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E4E2B" w14:textId="200B822D" w:rsidR="00F30DBF" w:rsidRPr="002E77A1" w:rsidRDefault="00F30DBF" w:rsidP="00F30DBF">
      <w:pPr>
        <w:spacing w:line="360" w:lineRule="auto"/>
        <w:jc w:val="center"/>
        <w:rPr>
          <w:rFonts w:ascii="Times New Roman" w:hAnsi="Times New Roman" w:cs="Times New Roman"/>
          <w:b/>
          <w:sz w:val="32"/>
          <w:szCs w:val="32"/>
        </w:rPr>
      </w:pPr>
      <w:r w:rsidRPr="002E77A1">
        <w:rPr>
          <w:rFonts w:ascii="Times New Roman" w:hAnsi="Times New Roman" w:cs="Times New Roman"/>
          <w:b/>
          <w:sz w:val="32"/>
          <w:szCs w:val="32"/>
        </w:rPr>
        <w:t xml:space="preserve">UNIVERZITA </w:t>
      </w:r>
      <w:r w:rsidR="002B5D5E">
        <w:rPr>
          <w:rFonts w:ascii="Times New Roman" w:hAnsi="Times New Roman" w:cs="Times New Roman"/>
          <w:b/>
          <w:sz w:val="32"/>
          <w:szCs w:val="32"/>
        </w:rPr>
        <w:t>PALACKÉHO V OLOMOUCI</w:t>
      </w:r>
    </w:p>
    <w:p w14:paraId="18E98A89" w14:textId="4250F1DC" w:rsidR="00F30DBF" w:rsidRDefault="002B5D5E" w:rsidP="00F30DB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LÉKAŘSKÁ FAKULTA</w:t>
      </w:r>
      <w:r w:rsidR="00F30DBF" w:rsidRPr="002E77A1">
        <w:rPr>
          <w:rFonts w:ascii="Times New Roman" w:hAnsi="Times New Roman" w:cs="Times New Roman"/>
          <w:b/>
          <w:sz w:val="28"/>
          <w:szCs w:val="28"/>
        </w:rPr>
        <w:t xml:space="preserve"> </w:t>
      </w:r>
    </w:p>
    <w:p w14:paraId="2D9788BA" w14:textId="2B3F2D6A" w:rsidR="00AA3622" w:rsidRPr="00B74799" w:rsidRDefault="00AA3622" w:rsidP="00224EDF">
      <w:pPr>
        <w:spacing w:line="360" w:lineRule="auto"/>
        <w:rPr>
          <w:rFonts w:ascii="Times New Roman" w:hAnsi="Times New Roman" w:cs="Times New Roman"/>
          <w:sz w:val="24"/>
          <w:szCs w:val="24"/>
        </w:rPr>
      </w:pPr>
    </w:p>
    <w:p w14:paraId="46BCBEF0" w14:textId="5657DDFA" w:rsidR="00AA3622" w:rsidRDefault="00AA3622" w:rsidP="00AA3622">
      <w:pPr>
        <w:spacing w:line="360" w:lineRule="auto"/>
        <w:rPr>
          <w:rFonts w:ascii="Times New Roman" w:hAnsi="Times New Roman" w:cs="Times New Roman"/>
          <w:sz w:val="24"/>
          <w:szCs w:val="24"/>
        </w:rPr>
      </w:pPr>
    </w:p>
    <w:p w14:paraId="03EBB4DD" w14:textId="04862B20" w:rsidR="00F30DBF" w:rsidRDefault="00F30DBF" w:rsidP="00AA3622">
      <w:pPr>
        <w:spacing w:line="360" w:lineRule="auto"/>
        <w:rPr>
          <w:rFonts w:ascii="Times New Roman" w:hAnsi="Times New Roman" w:cs="Times New Roman"/>
          <w:sz w:val="24"/>
          <w:szCs w:val="24"/>
        </w:rPr>
      </w:pPr>
    </w:p>
    <w:p w14:paraId="2A311DE1" w14:textId="3953FD82" w:rsidR="00F30DBF" w:rsidRDefault="00F30DBF" w:rsidP="00AA3622">
      <w:pPr>
        <w:spacing w:line="360" w:lineRule="auto"/>
        <w:rPr>
          <w:rFonts w:ascii="Times New Roman" w:hAnsi="Times New Roman" w:cs="Times New Roman"/>
          <w:sz w:val="24"/>
          <w:szCs w:val="24"/>
        </w:rPr>
      </w:pPr>
    </w:p>
    <w:p w14:paraId="6D750E60" w14:textId="44392F5C" w:rsidR="00F30DBF" w:rsidRDefault="00385E70" w:rsidP="00385E70">
      <w:pPr>
        <w:spacing w:line="360" w:lineRule="auto"/>
        <w:jc w:val="center"/>
        <w:rPr>
          <w:rFonts w:ascii="Times New Roman" w:hAnsi="Times New Roman" w:cs="Times New Roman"/>
          <w:sz w:val="24"/>
          <w:szCs w:val="24"/>
        </w:rPr>
      </w:pPr>
      <w:r w:rsidRPr="00385E70">
        <w:rPr>
          <w:rFonts w:ascii="Times New Roman" w:hAnsi="Times New Roman" w:cs="Times New Roman"/>
          <w:noProof/>
          <w:sz w:val="24"/>
          <w:szCs w:val="24"/>
        </w:rPr>
        <w:drawing>
          <wp:inline distT="0" distB="0" distL="0" distR="0" wp14:anchorId="60DAB330" wp14:editId="1F0E9ADF">
            <wp:extent cx="1043354" cy="992554"/>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55037" cy="1003669"/>
                    </a:xfrm>
                    <a:prstGeom prst="rect">
                      <a:avLst/>
                    </a:prstGeom>
                  </pic:spPr>
                </pic:pic>
              </a:graphicData>
            </a:graphic>
          </wp:inline>
        </w:drawing>
      </w:r>
    </w:p>
    <w:p w14:paraId="01E7D1D2" w14:textId="3569225B" w:rsidR="00F30DBF" w:rsidRDefault="00F30DBF" w:rsidP="00AA3622">
      <w:pPr>
        <w:spacing w:line="360" w:lineRule="auto"/>
        <w:rPr>
          <w:rFonts w:ascii="Times New Roman" w:hAnsi="Times New Roman" w:cs="Times New Roman"/>
          <w:sz w:val="24"/>
          <w:szCs w:val="24"/>
        </w:rPr>
      </w:pPr>
    </w:p>
    <w:p w14:paraId="1D57D853" w14:textId="6513C4F2" w:rsidR="00F30DBF" w:rsidRPr="00B74799" w:rsidRDefault="002B5D5E" w:rsidP="00F30DBF">
      <w:pPr>
        <w:spacing w:line="360" w:lineRule="auto"/>
        <w:jc w:val="center"/>
        <w:rPr>
          <w:rFonts w:ascii="Times New Roman" w:hAnsi="Times New Roman" w:cs="Times New Roman"/>
          <w:sz w:val="24"/>
          <w:szCs w:val="24"/>
        </w:rPr>
      </w:pPr>
      <w:r>
        <w:rPr>
          <w:rFonts w:ascii="Times New Roman" w:hAnsi="Times New Roman" w:cs="Times New Roman"/>
          <w:b/>
          <w:caps/>
          <w:sz w:val="32"/>
          <w:szCs w:val="24"/>
        </w:rPr>
        <w:t>DI</w:t>
      </w:r>
      <w:r w:rsidR="00BC5206">
        <w:rPr>
          <w:rFonts w:ascii="Times New Roman" w:hAnsi="Times New Roman" w:cs="Times New Roman"/>
          <w:b/>
          <w:caps/>
          <w:sz w:val="32"/>
          <w:szCs w:val="24"/>
        </w:rPr>
        <w:t>ZERTAČNÁ</w:t>
      </w:r>
      <w:r>
        <w:rPr>
          <w:rFonts w:ascii="Times New Roman" w:hAnsi="Times New Roman" w:cs="Times New Roman"/>
          <w:b/>
          <w:caps/>
          <w:sz w:val="32"/>
          <w:szCs w:val="24"/>
        </w:rPr>
        <w:t xml:space="preserve"> PRÁC</w:t>
      </w:r>
      <w:r w:rsidR="00BC5206">
        <w:rPr>
          <w:rFonts w:ascii="Times New Roman" w:hAnsi="Times New Roman" w:cs="Times New Roman"/>
          <w:b/>
          <w:caps/>
          <w:sz w:val="32"/>
          <w:szCs w:val="24"/>
        </w:rPr>
        <w:t>A</w:t>
      </w:r>
    </w:p>
    <w:p w14:paraId="375FFC0D" w14:textId="77777777" w:rsidR="00F30DBF" w:rsidRDefault="00F30DBF">
      <w:pPr>
        <w:rPr>
          <w:rFonts w:ascii="Times New Roman" w:hAnsi="Times New Roman" w:cs="Times New Roman"/>
          <w:sz w:val="24"/>
          <w:szCs w:val="24"/>
        </w:rPr>
      </w:pPr>
    </w:p>
    <w:p w14:paraId="7B563373" w14:textId="77777777" w:rsidR="00F30DBF" w:rsidRDefault="00F30DBF">
      <w:pPr>
        <w:rPr>
          <w:rFonts w:ascii="Times New Roman" w:hAnsi="Times New Roman" w:cs="Times New Roman"/>
          <w:sz w:val="24"/>
          <w:szCs w:val="24"/>
        </w:rPr>
      </w:pPr>
    </w:p>
    <w:p w14:paraId="783C74D3" w14:textId="77777777" w:rsidR="00F30DBF" w:rsidRDefault="00F30DBF">
      <w:pPr>
        <w:rPr>
          <w:rFonts w:ascii="Times New Roman" w:hAnsi="Times New Roman" w:cs="Times New Roman"/>
          <w:sz w:val="24"/>
          <w:szCs w:val="24"/>
        </w:rPr>
      </w:pPr>
    </w:p>
    <w:p w14:paraId="2F3FB9E4" w14:textId="77777777" w:rsidR="00F30DBF" w:rsidRDefault="00F30DBF">
      <w:pPr>
        <w:rPr>
          <w:rFonts w:ascii="Times New Roman" w:hAnsi="Times New Roman" w:cs="Times New Roman"/>
          <w:sz w:val="24"/>
          <w:szCs w:val="24"/>
        </w:rPr>
      </w:pPr>
    </w:p>
    <w:p w14:paraId="1E486B23" w14:textId="77777777" w:rsidR="00F30DBF" w:rsidRDefault="00F30DBF">
      <w:pPr>
        <w:rPr>
          <w:rFonts w:ascii="Times New Roman" w:hAnsi="Times New Roman" w:cs="Times New Roman"/>
          <w:sz w:val="24"/>
          <w:szCs w:val="24"/>
        </w:rPr>
      </w:pPr>
    </w:p>
    <w:p w14:paraId="2E5FEAF7" w14:textId="77777777" w:rsidR="00F30DBF" w:rsidRDefault="00F30DBF">
      <w:pPr>
        <w:rPr>
          <w:rFonts w:ascii="Times New Roman" w:hAnsi="Times New Roman" w:cs="Times New Roman"/>
          <w:sz w:val="24"/>
          <w:szCs w:val="24"/>
        </w:rPr>
      </w:pPr>
    </w:p>
    <w:p w14:paraId="2ED47B9B" w14:textId="77777777" w:rsidR="00F30DBF" w:rsidRDefault="00F30DBF">
      <w:pPr>
        <w:rPr>
          <w:rFonts w:ascii="Times New Roman" w:hAnsi="Times New Roman" w:cs="Times New Roman"/>
          <w:sz w:val="24"/>
          <w:szCs w:val="24"/>
        </w:rPr>
      </w:pPr>
    </w:p>
    <w:p w14:paraId="7EEC9394" w14:textId="77777777" w:rsidR="00F30DBF" w:rsidRDefault="00F30DBF">
      <w:pPr>
        <w:rPr>
          <w:rFonts w:ascii="Times New Roman" w:hAnsi="Times New Roman" w:cs="Times New Roman"/>
          <w:sz w:val="24"/>
          <w:szCs w:val="24"/>
        </w:rPr>
      </w:pPr>
    </w:p>
    <w:p w14:paraId="3BB027AC" w14:textId="77777777" w:rsidR="00F30DBF" w:rsidRDefault="00F30DBF">
      <w:pPr>
        <w:rPr>
          <w:rFonts w:ascii="Times New Roman" w:hAnsi="Times New Roman" w:cs="Times New Roman"/>
          <w:sz w:val="24"/>
          <w:szCs w:val="24"/>
        </w:rPr>
      </w:pPr>
    </w:p>
    <w:p w14:paraId="339F877E" w14:textId="77777777" w:rsidR="00F30DBF" w:rsidRDefault="00F30DBF">
      <w:pPr>
        <w:rPr>
          <w:rFonts w:ascii="Times New Roman" w:hAnsi="Times New Roman" w:cs="Times New Roman"/>
          <w:sz w:val="24"/>
          <w:szCs w:val="24"/>
        </w:rPr>
      </w:pPr>
    </w:p>
    <w:p w14:paraId="33FA3F77" w14:textId="4E4991D1" w:rsidR="00F30DBF" w:rsidRDefault="00F30DBF">
      <w:pPr>
        <w:rPr>
          <w:rFonts w:ascii="Times New Roman" w:hAnsi="Times New Roman" w:cs="Times New Roman"/>
          <w:sz w:val="24"/>
          <w:szCs w:val="24"/>
        </w:rPr>
      </w:pPr>
    </w:p>
    <w:p w14:paraId="776BCCD9" w14:textId="7D9E9D6F" w:rsidR="005F6875" w:rsidRDefault="005F6875">
      <w:pPr>
        <w:rPr>
          <w:rFonts w:ascii="Times New Roman" w:hAnsi="Times New Roman" w:cs="Times New Roman"/>
          <w:sz w:val="24"/>
          <w:szCs w:val="24"/>
        </w:rPr>
      </w:pPr>
    </w:p>
    <w:p w14:paraId="490AAE39" w14:textId="77777777" w:rsidR="005F6875" w:rsidRDefault="005F6875">
      <w:pPr>
        <w:rPr>
          <w:rFonts w:ascii="Times New Roman" w:hAnsi="Times New Roman" w:cs="Times New Roman"/>
          <w:sz w:val="24"/>
          <w:szCs w:val="24"/>
        </w:rPr>
      </w:pPr>
    </w:p>
    <w:p w14:paraId="3D99BEFB" w14:textId="0C1F6335" w:rsidR="00F30DBF" w:rsidRPr="002E77A1" w:rsidRDefault="000373EF" w:rsidP="005F6875">
      <w:pPr>
        <w:spacing w:line="360" w:lineRule="auto"/>
        <w:rPr>
          <w:rFonts w:ascii="Times New Roman" w:hAnsi="Times New Roman" w:cs="Times New Roman"/>
          <w:b/>
          <w:sz w:val="28"/>
          <w:szCs w:val="28"/>
        </w:rPr>
      </w:pPr>
      <w:r>
        <w:rPr>
          <w:rFonts w:ascii="Times New Roman" w:hAnsi="Times New Roman" w:cs="Times New Roman"/>
          <w:b/>
          <w:sz w:val="28"/>
          <w:szCs w:val="28"/>
        </w:rPr>
        <w:t>Olomouc</w:t>
      </w:r>
      <w:r w:rsidR="00F30DBF" w:rsidRPr="002E77A1">
        <w:rPr>
          <w:rFonts w:ascii="Times New Roman" w:hAnsi="Times New Roman" w:cs="Times New Roman"/>
          <w:b/>
          <w:sz w:val="28"/>
          <w:szCs w:val="28"/>
        </w:rPr>
        <w:t>, 202</w:t>
      </w:r>
      <w:r w:rsidR="002B5D5E">
        <w:rPr>
          <w:rFonts w:ascii="Times New Roman" w:hAnsi="Times New Roman" w:cs="Times New Roman"/>
          <w:b/>
          <w:sz w:val="28"/>
          <w:szCs w:val="28"/>
        </w:rPr>
        <w:t>1</w:t>
      </w:r>
      <w:r w:rsidR="00F30DBF" w:rsidRPr="002E77A1">
        <w:rPr>
          <w:rFonts w:ascii="Times New Roman" w:hAnsi="Times New Roman" w:cs="Times New Roman"/>
          <w:b/>
          <w:sz w:val="28"/>
          <w:szCs w:val="28"/>
        </w:rPr>
        <w:t xml:space="preserve"> </w:t>
      </w:r>
      <w:r w:rsidR="005F6875">
        <w:rPr>
          <w:rFonts w:ascii="Times New Roman" w:hAnsi="Times New Roman" w:cs="Times New Roman"/>
          <w:b/>
          <w:sz w:val="28"/>
          <w:szCs w:val="28"/>
        </w:rPr>
        <w:tab/>
      </w:r>
      <w:r w:rsidR="005F6875">
        <w:rPr>
          <w:rFonts w:ascii="Times New Roman" w:hAnsi="Times New Roman" w:cs="Times New Roman"/>
          <w:b/>
          <w:sz w:val="28"/>
          <w:szCs w:val="28"/>
        </w:rPr>
        <w:tab/>
      </w:r>
      <w:r w:rsidR="005F6875">
        <w:rPr>
          <w:rFonts w:ascii="Times New Roman" w:hAnsi="Times New Roman" w:cs="Times New Roman"/>
          <w:b/>
          <w:sz w:val="28"/>
          <w:szCs w:val="28"/>
        </w:rPr>
        <w:tab/>
      </w:r>
      <w:r w:rsidR="005F6875">
        <w:rPr>
          <w:rFonts w:ascii="Times New Roman" w:hAnsi="Times New Roman" w:cs="Times New Roman"/>
          <w:b/>
          <w:sz w:val="28"/>
          <w:szCs w:val="28"/>
        </w:rPr>
        <w:tab/>
      </w:r>
      <w:r w:rsidR="005F6875">
        <w:rPr>
          <w:rFonts w:ascii="Times New Roman" w:hAnsi="Times New Roman" w:cs="Times New Roman"/>
          <w:b/>
          <w:sz w:val="28"/>
          <w:szCs w:val="28"/>
        </w:rPr>
        <w:tab/>
      </w:r>
      <w:r w:rsidR="005F6875">
        <w:rPr>
          <w:rFonts w:ascii="Times New Roman" w:hAnsi="Times New Roman" w:cs="Times New Roman"/>
          <w:b/>
          <w:sz w:val="28"/>
          <w:szCs w:val="28"/>
        </w:rPr>
        <w:tab/>
      </w:r>
      <w:r w:rsidR="00F30DBF" w:rsidRPr="002E77A1">
        <w:rPr>
          <w:rFonts w:ascii="Times New Roman" w:hAnsi="Times New Roman" w:cs="Times New Roman"/>
          <w:b/>
          <w:sz w:val="28"/>
          <w:szCs w:val="28"/>
        </w:rPr>
        <w:t>MUDr. Ján Švihra</w:t>
      </w:r>
    </w:p>
    <w:p w14:paraId="60846E96" w14:textId="2C7E5A76" w:rsidR="00F30DBF" w:rsidRDefault="003B394E">
      <w:pP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06612402" wp14:editId="457BA9B0">
                <wp:simplePos x="0" y="0"/>
                <wp:positionH relativeFrom="margin">
                  <wp:align>center</wp:align>
                </wp:positionH>
                <wp:positionV relativeFrom="paragraph">
                  <wp:posOffset>472293</wp:posOffset>
                </wp:positionV>
                <wp:extent cx="486508" cy="228600"/>
                <wp:effectExtent l="0" t="0" r="8890" b="0"/>
                <wp:wrapNone/>
                <wp:docPr id="24" name="Obdélník 24"/>
                <wp:cNvGraphicFramePr/>
                <a:graphic xmlns:a="http://schemas.openxmlformats.org/drawingml/2006/main">
                  <a:graphicData uri="http://schemas.microsoft.com/office/word/2010/wordprocessingShape">
                    <wps:wsp>
                      <wps:cNvSpPr/>
                      <wps:spPr>
                        <a:xfrm>
                          <a:off x="0" y="0"/>
                          <a:ext cx="486508"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7B72E" id="Obdélník 24" o:spid="_x0000_s1026" style="position:absolute;margin-left:0;margin-top:37.2pt;width:38.3pt;height:18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" fillcolor="white [3212]" stroked="f" strokeweight="1pt">
                <w10:wrap anchorx="margin"/>
              </v:rect>
            </w:pict>
          </mc:Fallback>
        </mc:AlternateContent>
      </w:r>
      <w:r w:rsidR="00F30DBF">
        <w:rPr>
          <w:rFonts w:ascii="Times New Roman" w:hAnsi="Times New Roman" w:cs="Times New Roman"/>
          <w:b/>
          <w:sz w:val="32"/>
          <w:szCs w:val="32"/>
        </w:rPr>
        <w:br w:type="page"/>
      </w:r>
    </w:p>
    <w:p w14:paraId="7C5E40B7" w14:textId="7B9B0488" w:rsidR="002E77A1" w:rsidRPr="002E77A1" w:rsidRDefault="002E77A1" w:rsidP="002E77A1">
      <w:pPr>
        <w:spacing w:line="360" w:lineRule="auto"/>
        <w:jc w:val="center"/>
        <w:rPr>
          <w:rFonts w:ascii="Times New Roman" w:hAnsi="Times New Roman" w:cs="Times New Roman"/>
          <w:b/>
          <w:sz w:val="32"/>
          <w:szCs w:val="32"/>
        </w:rPr>
      </w:pPr>
      <w:r w:rsidRPr="002E77A1">
        <w:rPr>
          <w:rFonts w:ascii="Times New Roman" w:hAnsi="Times New Roman" w:cs="Times New Roman"/>
          <w:b/>
          <w:sz w:val="32"/>
          <w:szCs w:val="32"/>
        </w:rPr>
        <w:lastRenderedPageBreak/>
        <w:t xml:space="preserve">UNIVERZITA </w:t>
      </w:r>
      <w:r w:rsidR="002C23BC">
        <w:rPr>
          <w:rFonts w:ascii="Times New Roman" w:hAnsi="Times New Roman" w:cs="Times New Roman"/>
          <w:b/>
          <w:sz w:val="32"/>
          <w:szCs w:val="32"/>
        </w:rPr>
        <w:t>PALACKÉHO V OLOMOUCI</w:t>
      </w:r>
    </w:p>
    <w:p w14:paraId="6FA2051F" w14:textId="77777777" w:rsidR="00980D51" w:rsidRDefault="00980D51" w:rsidP="002E77A1">
      <w:pPr>
        <w:spacing w:line="360" w:lineRule="auto"/>
        <w:jc w:val="center"/>
        <w:rPr>
          <w:rFonts w:ascii="Times New Roman" w:hAnsi="Times New Roman" w:cs="Times New Roman"/>
          <w:b/>
          <w:sz w:val="28"/>
          <w:szCs w:val="28"/>
        </w:rPr>
      </w:pPr>
    </w:p>
    <w:p w14:paraId="59162AB9" w14:textId="6272F807" w:rsidR="002E77A1" w:rsidRDefault="002C23BC" w:rsidP="002E77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w:t>
      </w:r>
      <w:r w:rsidR="00980D51">
        <w:rPr>
          <w:rFonts w:ascii="Times New Roman" w:hAnsi="Times New Roman" w:cs="Times New Roman"/>
          <w:b/>
          <w:sz w:val="28"/>
          <w:szCs w:val="28"/>
        </w:rPr>
        <w:t>ÉKAŘSKÁ FAKULTA</w:t>
      </w:r>
    </w:p>
    <w:p w14:paraId="2765583C" w14:textId="75F6C67E" w:rsidR="002E77A1" w:rsidRDefault="002E77A1" w:rsidP="002E77A1">
      <w:pPr>
        <w:spacing w:line="360" w:lineRule="auto"/>
        <w:jc w:val="center"/>
        <w:rPr>
          <w:rFonts w:ascii="Times New Roman" w:hAnsi="Times New Roman" w:cs="Times New Roman"/>
          <w:b/>
          <w:sz w:val="28"/>
          <w:szCs w:val="28"/>
        </w:rPr>
      </w:pPr>
    </w:p>
    <w:p w14:paraId="1729C1AB" w14:textId="2B81D505" w:rsidR="002E77A1" w:rsidRDefault="002E77A1" w:rsidP="002E77A1">
      <w:pPr>
        <w:spacing w:line="360" w:lineRule="auto"/>
        <w:jc w:val="center"/>
        <w:rPr>
          <w:rFonts w:ascii="Times New Roman" w:hAnsi="Times New Roman" w:cs="Times New Roman"/>
          <w:b/>
          <w:sz w:val="28"/>
          <w:szCs w:val="28"/>
        </w:rPr>
      </w:pPr>
    </w:p>
    <w:p w14:paraId="2ED5F7A9" w14:textId="618AD5E0" w:rsidR="002E77A1" w:rsidRDefault="002E77A1" w:rsidP="002E77A1">
      <w:pPr>
        <w:spacing w:line="360" w:lineRule="auto"/>
        <w:jc w:val="center"/>
        <w:rPr>
          <w:rFonts w:ascii="Times New Roman" w:hAnsi="Times New Roman" w:cs="Times New Roman"/>
          <w:b/>
          <w:sz w:val="28"/>
          <w:szCs w:val="28"/>
        </w:rPr>
      </w:pPr>
    </w:p>
    <w:p w14:paraId="263BD728" w14:textId="77777777" w:rsidR="002E77A1" w:rsidRDefault="002E77A1" w:rsidP="002E77A1">
      <w:pPr>
        <w:spacing w:line="360" w:lineRule="auto"/>
        <w:jc w:val="center"/>
        <w:rPr>
          <w:rFonts w:ascii="Times New Roman" w:hAnsi="Times New Roman" w:cs="Times New Roman"/>
          <w:b/>
          <w:sz w:val="28"/>
          <w:szCs w:val="28"/>
        </w:rPr>
      </w:pPr>
    </w:p>
    <w:p w14:paraId="2E7AA8CE" w14:textId="349400D5" w:rsidR="005F6875" w:rsidRPr="00980D51" w:rsidRDefault="00980D51" w:rsidP="005F6875">
      <w:pPr>
        <w:spacing w:line="360" w:lineRule="auto"/>
        <w:jc w:val="center"/>
        <w:rPr>
          <w:rFonts w:ascii="Times New Roman" w:hAnsi="Times New Roman" w:cs="Times New Roman"/>
          <w:bCs/>
          <w:sz w:val="28"/>
          <w:szCs w:val="28"/>
        </w:rPr>
      </w:pPr>
      <w:r w:rsidRPr="00980D51">
        <w:rPr>
          <w:rFonts w:ascii="Times New Roman" w:hAnsi="Times New Roman" w:cs="Times New Roman"/>
          <w:bCs/>
          <w:sz w:val="28"/>
          <w:szCs w:val="28"/>
        </w:rPr>
        <w:t>DIZERTAČNÁ PRÁCA</w:t>
      </w:r>
    </w:p>
    <w:p w14:paraId="20EC209A" w14:textId="77777777" w:rsidR="00980D51" w:rsidRDefault="00980D51" w:rsidP="002E77A1">
      <w:pPr>
        <w:spacing w:line="360" w:lineRule="auto"/>
        <w:jc w:val="center"/>
        <w:rPr>
          <w:rFonts w:ascii="Times New Roman" w:hAnsi="Times New Roman" w:cs="Times New Roman"/>
          <w:b/>
          <w:sz w:val="28"/>
          <w:szCs w:val="28"/>
        </w:rPr>
      </w:pPr>
    </w:p>
    <w:p w14:paraId="0DEA7B8F" w14:textId="77777777" w:rsidR="00644522" w:rsidRDefault="00980D51" w:rsidP="00980D51">
      <w:pPr>
        <w:spacing w:line="360" w:lineRule="auto"/>
        <w:jc w:val="center"/>
        <w:rPr>
          <w:rFonts w:ascii="Times New Roman" w:hAnsi="Times New Roman" w:cs="Times New Roman"/>
          <w:b/>
          <w:sz w:val="32"/>
          <w:szCs w:val="32"/>
        </w:rPr>
      </w:pPr>
      <w:r w:rsidRPr="00980D51">
        <w:rPr>
          <w:rFonts w:ascii="Times New Roman" w:hAnsi="Times New Roman" w:cs="Times New Roman"/>
          <w:b/>
          <w:sz w:val="32"/>
          <w:szCs w:val="32"/>
        </w:rPr>
        <w:t xml:space="preserve">Psychometrické testovanie a kvalita života </w:t>
      </w:r>
    </w:p>
    <w:p w14:paraId="2DDA5E9A" w14:textId="2B2D8F98" w:rsidR="002E77A1" w:rsidRPr="00980D51" w:rsidRDefault="00980D51" w:rsidP="00980D51">
      <w:pPr>
        <w:spacing w:line="360" w:lineRule="auto"/>
        <w:jc w:val="center"/>
        <w:rPr>
          <w:rFonts w:ascii="Times New Roman" w:hAnsi="Times New Roman" w:cs="Times New Roman"/>
          <w:b/>
          <w:caps/>
          <w:sz w:val="36"/>
          <w:szCs w:val="32"/>
        </w:rPr>
      </w:pPr>
      <w:r w:rsidRPr="00980D51">
        <w:rPr>
          <w:rFonts w:ascii="Times New Roman" w:hAnsi="Times New Roman" w:cs="Times New Roman"/>
          <w:b/>
          <w:sz w:val="32"/>
          <w:szCs w:val="32"/>
        </w:rPr>
        <w:t>u pacientov s urolitiázou</w:t>
      </w:r>
      <w:r w:rsidR="002E77A1" w:rsidRPr="00980D51">
        <w:rPr>
          <w:rFonts w:ascii="Times New Roman" w:hAnsi="Times New Roman" w:cs="Times New Roman"/>
          <w:b/>
          <w:caps/>
          <w:sz w:val="36"/>
          <w:szCs w:val="32"/>
        </w:rPr>
        <w:t xml:space="preserve"> </w:t>
      </w:r>
    </w:p>
    <w:p w14:paraId="29CF339D" w14:textId="0CFBE09C" w:rsidR="002E77A1" w:rsidRDefault="002E77A1" w:rsidP="002E77A1">
      <w:pPr>
        <w:spacing w:line="360" w:lineRule="auto"/>
        <w:jc w:val="center"/>
        <w:rPr>
          <w:rFonts w:ascii="Times New Roman" w:hAnsi="Times New Roman" w:cs="Times New Roman"/>
          <w:b/>
          <w:sz w:val="28"/>
          <w:szCs w:val="28"/>
        </w:rPr>
      </w:pPr>
    </w:p>
    <w:p w14:paraId="35E47A98" w14:textId="77777777" w:rsidR="002E77A1" w:rsidRPr="002E77A1" w:rsidRDefault="002E77A1" w:rsidP="002E77A1">
      <w:pPr>
        <w:spacing w:line="360" w:lineRule="auto"/>
        <w:jc w:val="center"/>
        <w:rPr>
          <w:rFonts w:ascii="Times New Roman" w:hAnsi="Times New Roman" w:cs="Times New Roman"/>
          <w:b/>
          <w:sz w:val="28"/>
          <w:szCs w:val="28"/>
        </w:rPr>
      </w:pPr>
    </w:p>
    <w:p w14:paraId="41F55F4F" w14:textId="4506F599" w:rsidR="002E77A1" w:rsidRDefault="005F6875" w:rsidP="002E77A1">
      <w:pPr>
        <w:spacing w:line="360" w:lineRule="auto"/>
        <w:rPr>
          <w:rFonts w:ascii="Times New Roman" w:hAnsi="Times New Roman" w:cs="Times New Roman"/>
          <w:sz w:val="28"/>
          <w:szCs w:val="28"/>
        </w:rPr>
      </w:pPr>
      <w:r>
        <w:rPr>
          <w:rFonts w:ascii="Times New Roman" w:hAnsi="Times New Roman" w:cs="Times New Roman"/>
          <w:sz w:val="28"/>
          <w:szCs w:val="28"/>
        </w:rPr>
        <w:t>Š</w:t>
      </w:r>
      <w:r w:rsidR="002E77A1" w:rsidRPr="002E77A1">
        <w:rPr>
          <w:rFonts w:ascii="Times New Roman" w:hAnsi="Times New Roman" w:cs="Times New Roman"/>
          <w:sz w:val="28"/>
          <w:szCs w:val="28"/>
        </w:rPr>
        <w:t>tudijný program:</w:t>
      </w:r>
      <w:r w:rsidR="002E77A1">
        <w:rPr>
          <w:rFonts w:ascii="Times New Roman" w:hAnsi="Times New Roman" w:cs="Times New Roman"/>
          <w:sz w:val="28"/>
          <w:szCs w:val="28"/>
        </w:rPr>
        <w:t xml:space="preserve"> </w:t>
      </w:r>
      <w:r>
        <w:rPr>
          <w:rFonts w:ascii="Times New Roman" w:hAnsi="Times New Roman" w:cs="Times New Roman"/>
          <w:sz w:val="28"/>
          <w:szCs w:val="28"/>
        </w:rPr>
        <w:t>U</w:t>
      </w:r>
      <w:r w:rsidR="002E77A1" w:rsidRPr="00524EF8">
        <w:rPr>
          <w:rFonts w:ascii="Times New Roman" w:hAnsi="Times New Roman" w:cs="Times New Roman"/>
          <w:sz w:val="28"/>
          <w:szCs w:val="28"/>
        </w:rPr>
        <w:t>rol</w:t>
      </w:r>
      <w:r>
        <w:rPr>
          <w:rFonts w:ascii="Times New Roman" w:hAnsi="Times New Roman" w:cs="Times New Roman"/>
          <w:sz w:val="28"/>
          <w:szCs w:val="28"/>
        </w:rPr>
        <w:t>o</w:t>
      </w:r>
      <w:r w:rsidR="002E77A1" w:rsidRPr="00524EF8">
        <w:rPr>
          <w:rFonts w:ascii="Times New Roman" w:hAnsi="Times New Roman" w:cs="Times New Roman"/>
          <w:sz w:val="28"/>
          <w:szCs w:val="28"/>
        </w:rPr>
        <w:t>gi</w:t>
      </w:r>
      <w:r>
        <w:rPr>
          <w:rFonts w:ascii="Times New Roman" w:hAnsi="Times New Roman" w:cs="Times New Roman"/>
          <w:sz w:val="28"/>
          <w:szCs w:val="28"/>
        </w:rPr>
        <w:t>e</w:t>
      </w:r>
    </w:p>
    <w:p w14:paraId="3708CA85" w14:textId="15CB66BD" w:rsidR="005F6875" w:rsidRDefault="005F6875" w:rsidP="002E77A1">
      <w:pPr>
        <w:spacing w:line="360" w:lineRule="auto"/>
        <w:rPr>
          <w:rFonts w:ascii="Times New Roman" w:hAnsi="Times New Roman" w:cs="Times New Roman"/>
          <w:sz w:val="28"/>
          <w:szCs w:val="28"/>
        </w:rPr>
      </w:pPr>
      <w:r w:rsidRPr="00F11032">
        <w:rPr>
          <w:rFonts w:ascii="Times New Roman" w:hAnsi="Times New Roman" w:cs="Times New Roman"/>
          <w:sz w:val="28"/>
          <w:szCs w:val="28"/>
        </w:rPr>
        <w:t>Doktorand:</w:t>
      </w:r>
      <w:r>
        <w:rPr>
          <w:rFonts w:ascii="Times New Roman" w:hAnsi="Times New Roman" w:cs="Times New Roman"/>
          <w:sz w:val="28"/>
          <w:szCs w:val="28"/>
        </w:rPr>
        <w:t xml:space="preserve"> MUDr. Ján Švihra</w:t>
      </w:r>
    </w:p>
    <w:p w14:paraId="3216D007" w14:textId="778DBF03" w:rsidR="002E77A1" w:rsidRDefault="005F6875" w:rsidP="005F6875">
      <w:pPr>
        <w:spacing w:line="360" w:lineRule="auto"/>
        <w:rPr>
          <w:rFonts w:ascii="Times New Roman" w:hAnsi="Times New Roman" w:cs="Times New Roman"/>
          <w:sz w:val="28"/>
          <w:szCs w:val="28"/>
        </w:rPr>
      </w:pPr>
      <w:r>
        <w:rPr>
          <w:rFonts w:ascii="Times New Roman" w:hAnsi="Times New Roman" w:cs="Times New Roman"/>
          <w:sz w:val="28"/>
          <w:szCs w:val="28"/>
        </w:rPr>
        <w:t xml:space="preserve">Školiteľ: </w:t>
      </w:r>
      <w:r w:rsidR="00524EF8">
        <w:rPr>
          <w:rFonts w:ascii="Times New Roman" w:hAnsi="Times New Roman" w:cs="Times New Roman"/>
          <w:sz w:val="28"/>
          <w:szCs w:val="28"/>
        </w:rPr>
        <w:t xml:space="preserve">Prof. MUDr. </w:t>
      </w:r>
      <w:r w:rsidR="002C23BC">
        <w:rPr>
          <w:rFonts w:ascii="Times New Roman" w:hAnsi="Times New Roman" w:cs="Times New Roman"/>
          <w:sz w:val="28"/>
          <w:szCs w:val="28"/>
        </w:rPr>
        <w:t>Vladimír Študent</w:t>
      </w:r>
      <w:r w:rsidR="00524EF8">
        <w:rPr>
          <w:rFonts w:ascii="Times New Roman" w:hAnsi="Times New Roman" w:cs="Times New Roman"/>
          <w:sz w:val="28"/>
          <w:szCs w:val="28"/>
        </w:rPr>
        <w:t xml:space="preserve">, </w:t>
      </w:r>
      <w:r w:rsidR="002C23BC">
        <w:rPr>
          <w:rFonts w:ascii="Times New Roman" w:hAnsi="Times New Roman" w:cs="Times New Roman"/>
          <w:sz w:val="28"/>
          <w:szCs w:val="28"/>
        </w:rPr>
        <w:t>Ph</w:t>
      </w:r>
      <w:r w:rsidR="00BC5206">
        <w:rPr>
          <w:rFonts w:ascii="Times New Roman" w:hAnsi="Times New Roman" w:cs="Times New Roman"/>
          <w:sz w:val="28"/>
          <w:szCs w:val="28"/>
        </w:rPr>
        <w:t xml:space="preserve">. </w:t>
      </w:r>
      <w:r w:rsidR="002C23BC">
        <w:rPr>
          <w:rFonts w:ascii="Times New Roman" w:hAnsi="Times New Roman" w:cs="Times New Roman"/>
          <w:sz w:val="28"/>
          <w:szCs w:val="28"/>
        </w:rPr>
        <w:t>D.</w:t>
      </w:r>
    </w:p>
    <w:p w14:paraId="56D46CAA" w14:textId="2191E1F8" w:rsidR="002E77A1" w:rsidRDefault="005F6875" w:rsidP="002E77A1">
      <w:pPr>
        <w:spacing w:line="360" w:lineRule="auto"/>
        <w:rPr>
          <w:rFonts w:ascii="Times New Roman" w:hAnsi="Times New Roman" w:cs="Times New Roman"/>
          <w:sz w:val="28"/>
          <w:szCs w:val="28"/>
        </w:rPr>
      </w:pPr>
      <w:r>
        <w:rPr>
          <w:rFonts w:ascii="Times New Roman" w:hAnsi="Times New Roman" w:cs="Times New Roman"/>
          <w:sz w:val="28"/>
          <w:szCs w:val="28"/>
        </w:rPr>
        <w:t xml:space="preserve">Školiace pracovisko: Urologická klinika LF </w:t>
      </w:r>
      <w:r w:rsidR="00BC5206">
        <w:rPr>
          <w:rFonts w:ascii="Times New Roman" w:hAnsi="Times New Roman" w:cs="Times New Roman"/>
          <w:sz w:val="28"/>
          <w:szCs w:val="28"/>
        </w:rPr>
        <w:t xml:space="preserve">UPOL </w:t>
      </w:r>
      <w:r>
        <w:rPr>
          <w:rFonts w:ascii="Times New Roman" w:hAnsi="Times New Roman" w:cs="Times New Roman"/>
          <w:sz w:val="28"/>
          <w:szCs w:val="28"/>
        </w:rPr>
        <w:t>a FN v Olomouci</w:t>
      </w:r>
    </w:p>
    <w:p w14:paraId="40E32458" w14:textId="77777777" w:rsidR="002E77A1" w:rsidRDefault="002E77A1" w:rsidP="002E77A1">
      <w:pPr>
        <w:spacing w:line="360" w:lineRule="auto"/>
        <w:rPr>
          <w:rFonts w:ascii="Times New Roman" w:hAnsi="Times New Roman" w:cs="Times New Roman"/>
          <w:sz w:val="28"/>
          <w:szCs w:val="28"/>
        </w:rPr>
      </w:pPr>
    </w:p>
    <w:p w14:paraId="500AC992" w14:textId="60B9D8C5" w:rsidR="002E77A1" w:rsidRDefault="002E77A1" w:rsidP="002E77A1">
      <w:pPr>
        <w:spacing w:line="360" w:lineRule="auto"/>
        <w:rPr>
          <w:rFonts w:ascii="Times New Roman" w:hAnsi="Times New Roman" w:cs="Times New Roman"/>
          <w:sz w:val="28"/>
          <w:szCs w:val="28"/>
        </w:rPr>
      </w:pPr>
    </w:p>
    <w:p w14:paraId="6487096F" w14:textId="77777777" w:rsidR="002E77A1" w:rsidRDefault="002E77A1" w:rsidP="002E77A1">
      <w:pPr>
        <w:spacing w:line="360" w:lineRule="auto"/>
        <w:rPr>
          <w:rFonts w:ascii="Times New Roman" w:hAnsi="Times New Roman" w:cs="Times New Roman"/>
          <w:sz w:val="28"/>
          <w:szCs w:val="28"/>
        </w:rPr>
      </w:pPr>
    </w:p>
    <w:p w14:paraId="646D0C23" w14:textId="5250063B" w:rsidR="00DA07E4" w:rsidRDefault="000373EF" w:rsidP="005F6875">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Olomouc</w:t>
      </w:r>
      <w:r w:rsidR="002E77A1" w:rsidRPr="005F6875">
        <w:rPr>
          <w:rFonts w:ascii="Times New Roman" w:hAnsi="Times New Roman" w:cs="Times New Roman"/>
          <w:bCs/>
          <w:sz w:val="28"/>
          <w:szCs w:val="28"/>
        </w:rPr>
        <w:t>, 202</w:t>
      </w:r>
      <w:r w:rsidR="002C23BC" w:rsidRPr="005F6875">
        <w:rPr>
          <w:rFonts w:ascii="Times New Roman" w:hAnsi="Times New Roman" w:cs="Times New Roman"/>
          <w:bCs/>
          <w:sz w:val="28"/>
          <w:szCs w:val="28"/>
        </w:rPr>
        <w:t>1</w:t>
      </w:r>
    </w:p>
    <w:p w14:paraId="26977824" w14:textId="48A3ADDE" w:rsidR="00AA3622" w:rsidRPr="00BC5206" w:rsidRDefault="00230415" w:rsidP="00BC5206">
      <w:pPr>
        <w:spacing w:after="0" w:line="360" w:lineRule="auto"/>
        <w:jc w:val="both"/>
        <w:rPr>
          <w:rFonts w:ascii="Times New Roman" w:hAnsi="Times New Roman" w:cs="Times New Roman"/>
          <w:bCs/>
          <w:sz w:val="28"/>
          <w:szCs w:val="28"/>
        </w:rPr>
      </w:pPr>
      <w:r>
        <w:rPr>
          <w:rFonts w:ascii="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4A51F2D7" wp14:editId="7246F688">
                <wp:simplePos x="0" y="0"/>
                <wp:positionH relativeFrom="column">
                  <wp:posOffset>2478768</wp:posOffset>
                </wp:positionH>
                <wp:positionV relativeFrom="paragraph">
                  <wp:posOffset>289469</wp:posOffset>
                </wp:positionV>
                <wp:extent cx="446314" cy="185057"/>
                <wp:effectExtent l="0" t="0" r="0" b="5715"/>
                <wp:wrapNone/>
                <wp:docPr id="14" name="Obdélník 14"/>
                <wp:cNvGraphicFramePr/>
                <a:graphic xmlns:a="http://schemas.openxmlformats.org/drawingml/2006/main">
                  <a:graphicData uri="http://schemas.microsoft.com/office/word/2010/wordprocessingShape">
                    <wps:wsp>
                      <wps:cNvSpPr/>
                      <wps:spPr>
                        <a:xfrm>
                          <a:off x="0" y="0"/>
                          <a:ext cx="446314" cy="18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1CE44" id="Obdélník 14" o:spid="_x0000_s1026" style="position:absolute;margin-left:195.2pt;margin-top:22.8pt;width:35.15pt;height:1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" fillcolor="white [3212]" stroked="f" strokeweight="1pt"/>
            </w:pict>
          </mc:Fallback>
        </mc:AlternateContent>
      </w:r>
      <w:r w:rsidR="00DA07E4" w:rsidRPr="00BC5206">
        <w:rPr>
          <w:rFonts w:ascii="Times New Roman" w:hAnsi="Times New Roman" w:cs="Times New Roman"/>
          <w:bCs/>
          <w:sz w:val="28"/>
          <w:szCs w:val="28"/>
        </w:rPr>
        <w:br w:type="page"/>
      </w:r>
      <w:r w:rsidR="00980D51" w:rsidRPr="00BC5206">
        <w:rPr>
          <w:rFonts w:ascii="Times New Roman" w:hAnsi="Times New Roman" w:cs="Times New Roman"/>
          <w:sz w:val="24"/>
          <w:szCs w:val="24"/>
        </w:rPr>
        <w:lastRenderedPageBreak/>
        <w:t>Pr</w:t>
      </w:r>
      <w:r w:rsidR="00BC5206" w:rsidRPr="00BC5206">
        <w:rPr>
          <w:rFonts w:ascii="Times New Roman" w:hAnsi="Times New Roman" w:cs="Times New Roman"/>
          <w:sz w:val="24"/>
          <w:szCs w:val="24"/>
        </w:rPr>
        <w:t xml:space="preserve">ehlasujem, že som </w:t>
      </w:r>
      <w:r w:rsidR="00BC5206" w:rsidRPr="00BC5206">
        <w:rPr>
          <w:rFonts w:ascii="Times New Roman" w:hAnsi="Times New Roman" w:cs="Times New Roman"/>
          <w:color w:val="000000"/>
          <w:sz w:val="24"/>
          <w:szCs w:val="24"/>
        </w:rPr>
        <w:t>di</w:t>
      </w:r>
      <w:r w:rsidR="00BC5206">
        <w:rPr>
          <w:rFonts w:ascii="Times New Roman" w:hAnsi="Times New Roman" w:cs="Times New Roman"/>
          <w:color w:val="000000"/>
          <w:sz w:val="24"/>
          <w:szCs w:val="24"/>
        </w:rPr>
        <w:t>z</w:t>
      </w:r>
      <w:r w:rsidR="00BC5206" w:rsidRPr="00BC5206">
        <w:rPr>
          <w:rFonts w:ascii="Times New Roman" w:hAnsi="Times New Roman" w:cs="Times New Roman"/>
          <w:color w:val="000000"/>
          <w:sz w:val="24"/>
          <w:szCs w:val="24"/>
        </w:rPr>
        <w:t>ertačn</w:t>
      </w:r>
      <w:r w:rsidR="00BC5206">
        <w:rPr>
          <w:rFonts w:ascii="Times New Roman" w:hAnsi="Times New Roman" w:cs="Times New Roman"/>
          <w:color w:val="000000"/>
          <w:sz w:val="24"/>
          <w:szCs w:val="24"/>
        </w:rPr>
        <w:t>ú</w:t>
      </w:r>
      <w:r w:rsidR="00BC5206" w:rsidRPr="00BC5206">
        <w:rPr>
          <w:rFonts w:ascii="Times New Roman" w:hAnsi="Times New Roman" w:cs="Times New Roman"/>
          <w:color w:val="000000"/>
          <w:sz w:val="24"/>
          <w:szCs w:val="24"/>
        </w:rPr>
        <w:t xml:space="preserve"> prác</w:t>
      </w:r>
      <w:r w:rsidR="00BC5206">
        <w:rPr>
          <w:rFonts w:ascii="Times New Roman" w:hAnsi="Times New Roman" w:cs="Times New Roman"/>
          <w:color w:val="000000"/>
          <w:sz w:val="24"/>
          <w:szCs w:val="24"/>
        </w:rPr>
        <w:t>u</w:t>
      </w:r>
      <w:r w:rsidR="00BC5206" w:rsidRPr="00BC5206">
        <w:rPr>
          <w:rFonts w:ascii="Times New Roman" w:hAnsi="Times New Roman" w:cs="Times New Roman"/>
          <w:color w:val="000000"/>
          <w:sz w:val="24"/>
          <w:szCs w:val="24"/>
        </w:rPr>
        <w:t xml:space="preserve"> „</w:t>
      </w:r>
      <w:r w:rsidR="00BC5206">
        <w:rPr>
          <w:rFonts w:ascii="Times New Roman" w:hAnsi="Times New Roman" w:cs="Times New Roman"/>
          <w:color w:val="000000"/>
          <w:sz w:val="24"/>
          <w:szCs w:val="24"/>
        </w:rPr>
        <w:t xml:space="preserve">Psychometrické testovanie a kvalita života pacientov s urolitiázou“ </w:t>
      </w:r>
      <w:r w:rsidR="00BC5206" w:rsidRPr="00BC5206">
        <w:rPr>
          <w:rFonts w:ascii="Times New Roman" w:hAnsi="Times New Roman" w:cs="Times New Roman"/>
          <w:color w:val="000000"/>
          <w:sz w:val="24"/>
          <w:szCs w:val="24"/>
        </w:rPr>
        <w:t>vytvo</w:t>
      </w:r>
      <w:r w:rsidR="00BC5206">
        <w:rPr>
          <w:rFonts w:ascii="Times New Roman" w:hAnsi="Times New Roman" w:cs="Times New Roman"/>
          <w:color w:val="000000"/>
          <w:sz w:val="24"/>
          <w:szCs w:val="24"/>
        </w:rPr>
        <w:t xml:space="preserve">ril samostatne </w:t>
      </w:r>
      <w:r w:rsidR="00BC5206" w:rsidRPr="00BC5206">
        <w:rPr>
          <w:rFonts w:ascii="Times New Roman" w:hAnsi="Times New Roman" w:cs="Times New Roman"/>
          <w:color w:val="000000"/>
          <w:sz w:val="24"/>
          <w:szCs w:val="24"/>
        </w:rPr>
        <w:t>pod vedením sv</w:t>
      </w:r>
      <w:r w:rsidR="00BC5206">
        <w:rPr>
          <w:rFonts w:ascii="Times New Roman" w:hAnsi="Times New Roman" w:cs="Times New Roman"/>
          <w:color w:val="000000"/>
          <w:sz w:val="24"/>
          <w:szCs w:val="24"/>
        </w:rPr>
        <w:t>oj</w:t>
      </w:r>
      <w:r w:rsidR="00BC5206" w:rsidRPr="00BC5206">
        <w:rPr>
          <w:rFonts w:ascii="Times New Roman" w:hAnsi="Times New Roman" w:cs="Times New Roman"/>
          <w:color w:val="000000"/>
          <w:sz w:val="24"/>
          <w:szCs w:val="24"/>
        </w:rPr>
        <w:t>ho školite</w:t>
      </w:r>
      <w:r w:rsidR="00BC5206">
        <w:rPr>
          <w:rFonts w:ascii="Times New Roman" w:hAnsi="Times New Roman" w:cs="Times New Roman"/>
          <w:color w:val="000000"/>
          <w:sz w:val="24"/>
          <w:szCs w:val="24"/>
        </w:rPr>
        <w:t>ľa</w:t>
      </w:r>
      <w:r w:rsidR="00BC5206" w:rsidRPr="00BC5206">
        <w:rPr>
          <w:rFonts w:ascii="Times New Roman" w:hAnsi="Times New Roman" w:cs="Times New Roman"/>
          <w:color w:val="000000"/>
          <w:sz w:val="24"/>
          <w:szCs w:val="24"/>
        </w:rPr>
        <w:t xml:space="preserve"> </w:t>
      </w:r>
      <w:r w:rsidR="00BC5206">
        <w:rPr>
          <w:rFonts w:ascii="Times New Roman" w:hAnsi="Times New Roman" w:cs="Times New Roman"/>
          <w:color w:val="000000"/>
          <w:sz w:val="24"/>
          <w:szCs w:val="24"/>
        </w:rPr>
        <w:t>prof</w:t>
      </w:r>
      <w:r w:rsidR="00BC5206" w:rsidRPr="00BC5206">
        <w:rPr>
          <w:rFonts w:ascii="Times New Roman" w:hAnsi="Times New Roman" w:cs="Times New Roman"/>
          <w:color w:val="000000"/>
          <w:sz w:val="24"/>
          <w:szCs w:val="24"/>
        </w:rPr>
        <w:t xml:space="preserve">. MUDr. </w:t>
      </w:r>
      <w:r w:rsidR="00BC5206">
        <w:rPr>
          <w:rFonts w:ascii="Times New Roman" w:hAnsi="Times New Roman" w:cs="Times New Roman"/>
          <w:color w:val="000000"/>
          <w:sz w:val="24"/>
          <w:szCs w:val="24"/>
        </w:rPr>
        <w:t>Vladimíra Študenta</w:t>
      </w:r>
      <w:r w:rsidR="00BC5206" w:rsidRPr="00BC5206">
        <w:rPr>
          <w:rFonts w:ascii="Times New Roman" w:hAnsi="Times New Roman" w:cs="Times New Roman"/>
          <w:color w:val="000000"/>
          <w:sz w:val="24"/>
          <w:szCs w:val="24"/>
        </w:rPr>
        <w:t>, Ph.</w:t>
      </w:r>
      <w:r w:rsidR="00BC5206">
        <w:rPr>
          <w:rFonts w:ascii="Times New Roman" w:hAnsi="Times New Roman" w:cs="Times New Roman"/>
          <w:color w:val="000000"/>
          <w:sz w:val="24"/>
          <w:szCs w:val="24"/>
        </w:rPr>
        <w:t xml:space="preserve"> </w:t>
      </w:r>
      <w:r w:rsidR="00BC5206" w:rsidRPr="00BC5206">
        <w:rPr>
          <w:rFonts w:ascii="Times New Roman" w:hAnsi="Times New Roman" w:cs="Times New Roman"/>
          <w:color w:val="000000"/>
          <w:sz w:val="24"/>
          <w:szCs w:val="24"/>
        </w:rPr>
        <w:t>D.,</w:t>
      </w:r>
      <w:r w:rsidR="00BC5206">
        <w:rPr>
          <w:rFonts w:ascii="Times New Roman" w:hAnsi="Times New Roman" w:cs="Times New Roman"/>
          <w:color w:val="000000"/>
          <w:sz w:val="24"/>
          <w:szCs w:val="24"/>
        </w:rPr>
        <w:t xml:space="preserve"> </w:t>
      </w:r>
      <w:r w:rsidR="00BC5206" w:rsidRPr="00BC5206">
        <w:rPr>
          <w:rFonts w:ascii="Times New Roman" w:hAnsi="Times New Roman" w:cs="Times New Roman"/>
          <w:color w:val="000000"/>
          <w:sz w:val="24"/>
          <w:szCs w:val="24"/>
        </w:rPr>
        <w:t xml:space="preserve">a </w:t>
      </w:r>
      <w:r w:rsidR="00BC5206">
        <w:rPr>
          <w:rFonts w:ascii="Times New Roman" w:hAnsi="Times New Roman" w:cs="Times New Roman"/>
          <w:color w:val="000000"/>
          <w:sz w:val="24"/>
          <w:szCs w:val="24"/>
        </w:rPr>
        <w:t>ž</w:t>
      </w:r>
      <w:r w:rsidR="00BC5206" w:rsidRPr="00BC5206">
        <w:rPr>
          <w:rFonts w:ascii="Times New Roman" w:hAnsi="Times New Roman" w:cs="Times New Roman"/>
          <w:color w:val="000000"/>
          <w:sz w:val="24"/>
          <w:szCs w:val="24"/>
        </w:rPr>
        <w:t>e s</w:t>
      </w:r>
      <w:r w:rsidR="00BC5206">
        <w:rPr>
          <w:rFonts w:ascii="Times New Roman" w:hAnsi="Times New Roman" w:cs="Times New Roman"/>
          <w:color w:val="000000"/>
          <w:sz w:val="24"/>
          <w:szCs w:val="24"/>
        </w:rPr>
        <w:t>o</w:t>
      </w:r>
      <w:r w:rsidR="00BC5206" w:rsidRPr="00BC5206">
        <w:rPr>
          <w:rFonts w:ascii="Times New Roman" w:hAnsi="Times New Roman" w:cs="Times New Roman"/>
          <w:color w:val="000000"/>
          <w:sz w:val="24"/>
          <w:szCs w:val="24"/>
        </w:rPr>
        <w:t>m pravdiv</w:t>
      </w:r>
      <w:r w:rsidR="00BC5206">
        <w:rPr>
          <w:rFonts w:ascii="Times New Roman" w:hAnsi="Times New Roman" w:cs="Times New Roman"/>
          <w:color w:val="000000"/>
          <w:sz w:val="24"/>
          <w:szCs w:val="24"/>
        </w:rPr>
        <w:t xml:space="preserve">o </w:t>
      </w:r>
      <w:r w:rsidR="00BC5206" w:rsidRPr="00BC5206">
        <w:rPr>
          <w:rFonts w:ascii="Times New Roman" w:hAnsi="Times New Roman" w:cs="Times New Roman"/>
          <w:color w:val="000000"/>
          <w:sz w:val="24"/>
          <w:szCs w:val="24"/>
        </w:rPr>
        <w:t>uv</w:t>
      </w:r>
      <w:r w:rsidR="00BC5206">
        <w:rPr>
          <w:rFonts w:ascii="Times New Roman" w:hAnsi="Times New Roman" w:cs="Times New Roman"/>
          <w:color w:val="000000"/>
          <w:sz w:val="24"/>
          <w:szCs w:val="24"/>
        </w:rPr>
        <w:t>i</w:t>
      </w:r>
      <w:r w:rsidR="00BC5206" w:rsidRPr="00BC5206">
        <w:rPr>
          <w:rFonts w:ascii="Times New Roman" w:hAnsi="Times New Roman" w:cs="Times New Roman"/>
          <w:color w:val="000000"/>
          <w:sz w:val="24"/>
          <w:szCs w:val="24"/>
        </w:rPr>
        <w:t>ed</w:t>
      </w:r>
      <w:r w:rsidR="00BC5206">
        <w:rPr>
          <w:rFonts w:ascii="Times New Roman" w:hAnsi="Times New Roman" w:cs="Times New Roman"/>
          <w:color w:val="000000"/>
          <w:sz w:val="24"/>
          <w:szCs w:val="24"/>
        </w:rPr>
        <w:t>o</w:t>
      </w:r>
      <w:r w:rsidR="00BC5206" w:rsidRPr="00BC5206">
        <w:rPr>
          <w:rFonts w:ascii="Times New Roman" w:hAnsi="Times New Roman" w:cs="Times New Roman"/>
          <w:color w:val="000000"/>
          <w:sz w:val="24"/>
          <w:szCs w:val="24"/>
        </w:rPr>
        <w:t>l</w:t>
      </w:r>
      <w:r w:rsidR="00BC5206">
        <w:rPr>
          <w:rFonts w:ascii="Times New Roman" w:hAnsi="Times New Roman" w:cs="Times New Roman"/>
          <w:color w:val="000000"/>
          <w:sz w:val="24"/>
          <w:szCs w:val="24"/>
        </w:rPr>
        <w:t xml:space="preserve"> všetky</w:t>
      </w:r>
      <w:r w:rsidR="00BC5206" w:rsidRPr="00BC5206">
        <w:rPr>
          <w:rFonts w:ascii="Times New Roman" w:hAnsi="Times New Roman" w:cs="Times New Roman"/>
          <w:color w:val="000000"/>
          <w:sz w:val="24"/>
          <w:szCs w:val="24"/>
        </w:rPr>
        <w:t xml:space="preserve"> literárn</w:t>
      </w:r>
      <w:r w:rsidR="00BC5206">
        <w:rPr>
          <w:rFonts w:ascii="Times New Roman" w:hAnsi="Times New Roman" w:cs="Times New Roman"/>
          <w:color w:val="000000"/>
          <w:sz w:val="24"/>
          <w:szCs w:val="24"/>
        </w:rPr>
        <w:t>e</w:t>
      </w:r>
      <w:r w:rsidR="00BC5206" w:rsidRPr="00BC5206">
        <w:rPr>
          <w:rFonts w:ascii="Times New Roman" w:hAnsi="Times New Roman" w:cs="Times New Roman"/>
          <w:color w:val="000000"/>
          <w:sz w:val="24"/>
          <w:szCs w:val="24"/>
        </w:rPr>
        <w:t xml:space="preserve"> a iné informačn</w:t>
      </w:r>
      <w:r w:rsidR="00BC5206">
        <w:rPr>
          <w:rFonts w:ascii="Times New Roman" w:hAnsi="Times New Roman" w:cs="Times New Roman"/>
          <w:color w:val="000000"/>
          <w:sz w:val="24"/>
          <w:szCs w:val="24"/>
        </w:rPr>
        <w:t>é</w:t>
      </w:r>
      <w:r w:rsidR="00BC5206" w:rsidRPr="00BC5206">
        <w:rPr>
          <w:rFonts w:ascii="Times New Roman" w:hAnsi="Times New Roman" w:cs="Times New Roman"/>
          <w:color w:val="000000"/>
          <w:sz w:val="24"/>
          <w:szCs w:val="24"/>
        </w:rPr>
        <w:t xml:space="preserve"> zdroje, z kt</w:t>
      </w:r>
      <w:r w:rsidR="00BC5206">
        <w:rPr>
          <w:rFonts w:ascii="Times New Roman" w:hAnsi="Times New Roman" w:cs="Times New Roman"/>
          <w:color w:val="000000"/>
          <w:sz w:val="24"/>
          <w:szCs w:val="24"/>
        </w:rPr>
        <w:t>o</w:t>
      </w:r>
      <w:r w:rsidR="00BC5206" w:rsidRPr="00BC5206">
        <w:rPr>
          <w:rFonts w:ascii="Times New Roman" w:hAnsi="Times New Roman" w:cs="Times New Roman"/>
          <w:color w:val="000000"/>
          <w:sz w:val="24"/>
          <w:szCs w:val="24"/>
        </w:rPr>
        <w:t>rých s</w:t>
      </w:r>
      <w:r w:rsidR="00BC5206">
        <w:rPr>
          <w:rFonts w:ascii="Times New Roman" w:hAnsi="Times New Roman" w:cs="Times New Roman"/>
          <w:color w:val="000000"/>
          <w:sz w:val="24"/>
          <w:szCs w:val="24"/>
        </w:rPr>
        <w:t>o</w:t>
      </w:r>
      <w:r w:rsidR="00BC5206" w:rsidRPr="00BC5206">
        <w:rPr>
          <w:rFonts w:ascii="Times New Roman" w:hAnsi="Times New Roman" w:cs="Times New Roman"/>
          <w:color w:val="000000"/>
          <w:sz w:val="24"/>
          <w:szCs w:val="24"/>
        </w:rPr>
        <w:t>m čerpal</w:t>
      </w:r>
      <w:r w:rsidR="00BC5206">
        <w:rPr>
          <w:rFonts w:ascii="Times New Roman" w:hAnsi="Times New Roman" w:cs="Times New Roman"/>
          <w:color w:val="000000"/>
          <w:sz w:val="24"/>
          <w:szCs w:val="24"/>
        </w:rPr>
        <w:t>.</w:t>
      </w:r>
      <w:r w:rsidR="00BC5206" w:rsidRPr="00BC5206">
        <w:rPr>
          <w:rFonts w:ascii="Times New Roman" w:hAnsi="Times New Roman" w:cs="Times New Roman"/>
        </w:rPr>
        <w:t xml:space="preserve"> </w:t>
      </w:r>
      <w:r w:rsidR="00AA3622" w:rsidRPr="00BC5206">
        <w:rPr>
          <w:rFonts w:ascii="Times New Roman" w:hAnsi="Times New Roman" w:cs="Times New Roman"/>
          <w:b/>
          <w:sz w:val="24"/>
          <w:szCs w:val="24"/>
        </w:rPr>
        <w:br w:type="page"/>
      </w:r>
    </w:p>
    <w:p w14:paraId="730FB146" w14:textId="72BE6FCA" w:rsidR="00A3085C" w:rsidRDefault="00980D51" w:rsidP="00A3085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Poď</w:t>
      </w:r>
      <w:r w:rsidR="00A3085C">
        <w:rPr>
          <w:rFonts w:ascii="Times New Roman" w:hAnsi="Times New Roman" w:cs="Times New Roman"/>
          <w:b/>
          <w:sz w:val="24"/>
          <w:szCs w:val="24"/>
        </w:rPr>
        <w:t>akovanie</w:t>
      </w:r>
    </w:p>
    <w:p w14:paraId="0ED39EF5" w14:textId="77777777" w:rsidR="00BC5206" w:rsidRPr="00A3085C" w:rsidRDefault="00BC5206" w:rsidP="00A3085C">
      <w:pPr>
        <w:spacing w:after="0" w:line="360" w:lineRule="auto"/>
        <w:rPr>
          <w:rFonts w:ascii="Times New Roman" w:hAnsi="Times New Roman" w:cs="Times New Roman"/>
          <w:sz w:val="24"/>
          <w:szCs w:val="24"/>
        </w:rPr>
      </w:pPr>
    </w:p>
    <w:p w14:paraId="36361526" w14:textId="271C32B6" w:rsidR="00750E13" w:rsidRDefault="00A3085C" w:rsidP="00BC5206">
      <w:pPr>
        <w:spacing w:after="0" w:line="360" w:lineRule="auto"/>
        <w:jc w:val="both"/>
        <w:rPr>
          <w:rFonts w:ascii="Times New Roman" w:hAnsi="Times New Roman" w:cs="Times New Roman"/>
          <w:b/>
          <w:sz w:val="24"/>
          <w:szCs w:val="24"/>
        </w:rPr>
      </w:pPr>
      <w:r w:rsidRPr="00A3085C">
        <w:rPr>
          <w:rFonts w:ascii="Times New Roman" w:hAnsi="Times New Roman" w:cs="Times New Roman"/>
          <w:sz w:val="24"/>
          <w:szCs w:val="24"/>
        </w:rPr>
        <w:t xml:space="preserve">Ďakujem </w:t>
      </w:r>
      <w:r>
        <w:rPr>
          <w:rFonts w:ascii="Times New Roman" w:hAnsi="Times New Roman" w:cs="Times New Roman"/>
          <w:sz w:val="24"/>
          <w:szCs w:val="24"/>
        </w:rPr>
        <w:t>môjmu školiteľovi prof. MUDr. Vladimírovi Študentovi, Ph. D., za pripomienky a vedenie mojej vedeckej práce. Ďalej ďakujem celému kolektívu Urologickej kliniky LF UPOL a FN Olomouc, kde som odborne začínal a celému kolektívu Urologickej kliniky JLF UK a UNM, kde som realizoval praktickú časť mojej dizertačnej práce.</w:t>
      </w:r>
      <w:r w:rsidR="00BC5206">
        <w:rPr>
          <w:rFonts w:ascii="Times New Roman" w:hAnsi="Times New Roman" w:cs="Times New Roman"/>
          <w:sz w:val="24"/>
          <w:szCs w:val="24"/>
        </w:rPr>
        <w:t xml:space="preserve"> Za príjemnú a odbornú spoluprácu ďakujem autorke dotazníka WISQOL Kristine L. Penniston a za trpezlivosť a podporu ďakujem mojej manželke a rodine.</w:t>
      </w:r>
      <w:r>
        <w:rPr>
          <w:rFonts w:ascii="Times New Roman" w:hAnsi="Times New Roman" w:cs="Times New Roman"/>
          <w:sz w:val="24"/>
          <w:szCs w:val="24"/>
        </w:rPr>
        <w:t xml:space="preserve">    </w:t>
      </w:r>
      <w:r w:rsidR="00750E13">
        <w:rPr>
          <w:rFonts w:ascii="Times New Roman" w:hAnsi="Times New Roman" w:cs="Times New Roman"/>
          <w:b/>
          <w:sz w:val="24"/>
          <w:szCs w:val="24"/>
        </w:rPr>
        <w:br w:type="page"/>
      </w:r>
    </w:p>
    <w:p w14:paraId="6B29F9A8" w14:textId="54F145DA" w:rsidR="00837702" w:rsidRPr="00F30DBF" w:rsidRDefault="00837702" w:rsidP="00224EDF">
      <w:pPr>
        <w:spacing w:line="360" w:lineRule="auto"/>
        <w:rPr>
          <w:rFonts w:ascii="Times New Roman" w:hAnsi="Times New Roman" w:cs="Times New Roman"/>
          <w:b/>
          <w:sz w:val="28"/>
          <w:szCs w:val="24"/>
        </w:rPr>
      </w:pPr>
      <w:bookmarkStart w:id="0" w:name="_Hlk68639101"/>
      <w:r w:rsidRPr="00F30DBF">
        <w:rPr>
          <w:rFonts w:ascii="Times New Roman" w:hAnsi="Times New Roman" w:cs="Times New Roman"/>
          <w:b/>
          <w:sz w:val="28"/>
          <w:szCs w:val="24"/>
        </w:rPr>
        <w:lastRenderedPageBreak/>
        <w:t>OBSAH</w:t>
      </w:r>
    </w:p>
    <w:p w14:paraId="71216590" w14:textId="77777777" w:rsidR="002E77A1" w:rsidRPr="00B74799" w:rsidRDefault="002E77A1" w:rsidP="00224EDF">
      <w:pPr>
        <w:spacing w:line="360" w:lineRule="auto"/>
        <w:rPr>
          <w:rFonts w:ascii="Times New Roman" w:hAnsi="Times New Roman" w:cs="Times New Roman"/>
          <w:sz w:val="24"/>
          <w:szCs w:val="24"/>
        </w:rPr>
      </w:pPr>
    </w:p>
    <w:p w14:paraId="1CC24B99" w14:textId="685349B7" w:rsidR="00837702" w:rsidRPr="00B74799" w:rsidRDefault="00837702"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ÚVOD</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8</w:t>
      </w:r>
    </w:p>
    <w:p w14:paraId="0F7044F0" w14:textId="77777777" w:rsidR="00D505EA" w:rsidRPr="00B74799" w:rsidRDefault="00D505EA" w:rsidP="003654EB">
      <w:pPr>
        <w:spacing w:after="0" w:line="360" w:lineRule="auto"/>
        <w:rPr>
          <w:rFonts w:ascii="Times New Roman" w:hAnsi="Times New Roman" w:cs="Times New Roman"/>
          <w:sz w:val="8"/>
          <w:szCs w:val="8"/>
        </w:rPr>
      </w:pPr>
    </w:p>
    <w:p w14:paraId="7D697E56" w14:textId="50F4B420" w:rsidR="00837702" w:rsidRPr="00B74799" w:rsidRDefault="00837702"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 xml:space="preserve">1. ETIOLÓGIA </w:t>
      </w:r>
      <w:r w:rsidR="00A679D3" w:rsidRPr="00B74799">
        <w:rPr>
          <w:rFonts w:ascii="Times New Roman" w:hAnsi="Times New Roman" w:cs="Times New Roman"/>
          <w:sz w:val="24"/>
          <w:szCs w:val="24"/>
        </w:rPr>
        <w:t>UROLITIÁZY</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9</w:t>
      </w:r>
    </w:p>
    <w:p w14:paraId="58503BCB" w14:textId="12759E24" w:rsidR="00837702" w:rsidRPr="00B74799" w:rsidRDefault="00837702" w:rsidP="00C45B92">
      <w:pPr>
        <w:spacing w:after="0" w:line="360" w:lineRule="auto"/>
        <w:ind w:firstLine="284"/>
        <w:rPr>
          <w:rFonts w:ascii="Times New Roman" w:hAnsi="Times New Roman" w:cs="Times New Roman"/>
          <w:sz w:val="24"/>
          <w:szCs w:val="24"/>
          <w:shd w:val="clear" w:color="auto" w:fill="FFFFFF"/>
        </w:rPr>
      </w:pPr>
      <w:r w:rsidRPr="00B74799">
        <w:rPr>
          <w:rFonts w:ascii="Times New Roman" w:hAnsi="Times New Roman" w:cs="Times New Roman"/>
          <w:sz w:val="24"/>
          <w:szCs w:val="24"/>
        </w:rPr>
        <w:t xml:space="preserve">1.1. </w:t>
      </w:r>
      <w:r w:rsidRPr="00B74799">
        <w:rPr>
          <w:rStyle w:val="A1"/>
          <w:rFonts w:ascii="Times New Roman" w:hAnsi="Times New Roman" w:cs="Times New Roman"/>
          <w:color w:val="auto"/>
          <w:sz w:val="24"/>
          <w:szCs w:val="24"/>
        </w:rPr>
        <w:t>Vybrané</w:t>
      </w:r>
      <w:r w:rsidRPr="00B74799">
        <w:rPr>
          <w:rFonts w:ascii="Times New Roman" w:hAnsi="Times New Roman" w:cs="Times New Roman"/>
          <w:sz w:val="24"/>
          <w:szCs w:val="24"/>
          <w:shd w:val="clear" w:color="auto" w:fill="FFFFFF"/>
        </w:rPr>
        <w:t xml:space="preserve"> faktory vzniku urolitiázy</w:t>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4B5F23">
        <w:rPr>
          <w:rFonts w:ascii="Times New Roman" w:hAnsi="Times New Roman" w:cs="Times New Roman"/>
          <w:sz w:val="24"/>
          <w:szCs w:val="24"/>
          <w:shd w:val="clear" w:color="auto" w:fill="FFFFFF"/>
        </w:rPr>
        <w:t>9</w:t>
      </w:r>
    </w:p>
    <w:p w14:paraId="7064D472" w14:textId="3DD34AD2" w:rsidR="00837702" w:rsidRPr="00B74799" w:rsidRDefault="00837702" w:rsidP="00C45B92">
      <w:pPr>
        <w:spacing w:after="0" w:line="360" w:lineRule="auto"/>
        <w:ind w:firstLine="567"/>
        <w:rPr>
          <w:rFonts w:ascii="Times New Roman" w:hAnsi="Times New Roman" w:cs="Times New Roman"/>
          <w:sz w:val="24"/>
          <w:szCs w:val="24"/>
          <w:shd w:val="clear" w:color="auto" w:fill="FFFFFF"/>
        </w:rPr>
      </w:pPr>
      <w:r w:rsidRPr="00B74799">
        <w:rPr>
          <w:rFonts w:ascii="Times New Roman" w:hAnsi="Times New Roman" w:cs="Times New Roman"/>
          <w:sz w:val="24"/>
          <w:szCs w:val="24"/>
        </w:rPr>
        <w:t xml:space="preserve">1.1.1. </w:t>
      </w:r>
      <w:r w:rsidRPr="00B74799">
        <w:rPr>
          <w:rFonts w:ascii="Times New Roman" w:hAnsi="Times New Roman" w:cs="Times New Roman"/>
          <w:sz w:val="24"/>
          <w:szCs w:val="24"/>
          <w:shd w:val="clear" w:color="auto" w:fill="FFFFFF"/>
        </w:rPr>
        <w:t>Hydratácia ako dôležitý faktor vzniku urolitiázy</w:t>
      </w:r>
      <w:r w:rsidR="00DE214F">
        <w:rPr>
          <w:rFonts w:ascii="Times New Roman" w:hAnsi="Times New Roman" w:cs="Times New Roman"/>
          <w:sz w:val="24"/>
          <w:szCs w:val="24"/>
          <w:shd w:val="clear" w:color="auto" w:fill="FFFFFF"/>
        </w:rPr>
        <w:tab/>
      </w:r>
      <w:r w:rsidR="00DE214F">
        <w:rPr>
          <w:rFonts w:ascii="Times New Roman" w:hAnsi="Times New Roman" w:cs="Times New Roman"/>
          <w:sz w:val="24"/>
          <w:szCs w:val="24"/>
          <w:shd w:val="clear" w:color="auto" w:fill="FFFFFF"/>
        </w:rPr>
        <w:tab/>
      </w:r>
      <w:r w:rsidR="00C45B92">
        <w:rPr>
          <w:rFonts w:ascii="Times New Roman" w:hAnsi="Times New Roman" w:cs="Times New Roman"/>
          <w:sz w:val="24"/>
          <w:szCs w:val="24"/>
          <w:shd w:val="clear" w:color="auto" w:fill="FFFFFF"/>
        </w:rPr>
        <w:tab/>
      </w:r>
      <w:r w:rsidR="004B5F23">
        <w:rPr>
          <w:rFonts w:ascii="Times New Roman" w:hAnsi="Times New Roman" w:cs="Times New Roman"/>
          <w:sz w:val="24"/>
          <w:szCs w:val="24"/>
          <w:shd w:val="clear" w:color="auto" w:fill="FFFFFF"/>
        </w:rPr>
        <w:t>10</w:t>
      </w:r>
    </w:p>
    <w:p w14:paraId="4E5986D5" w14:textId="6D156F02" w:rsidR="00837702" w:rsidRPr="00B74799" w:rsidRDefault="00837702" w:rsidP="00C45B92">
      <w:pPr>
        <w:spacing w:after="0" w:line="360" w:lineRule="auto"/>
        <w:ind w:firstLine="567"/>
        <w:rPr>
          <w:rFonts w:ascii="Times New Roman" w:hAnsi="Times New Roman" w:cs="Times New Roman"/>
          <w:sz w:val="24"/>
          <w:szCs w:val="24"/>
          <w:shd w:val="clear" w:color="auto" w:fill="FFFFFF"/>
        </w:rPr>
      </w:pPr>
      <w:r w:rsidRPr="00B74799">
        <w:rPr>
          <w:rFonts w:ascii="Times New Roman" w:hAnsi="Times New Roman" w:cs="Times New Roman"/>
          <w:sz w:val="24"/>
          <w:szCs w:val="24"/>
        </w:rPr>
        <w:t xml:space="preserve">1.1.2. </w:t>
      </w:r>
      <w:r w:rsidRPr="00B74799">
        <w:rPr>
          <w:rFonts w:ascii="Times New Roman" w:hAnsi="Times New Roman" w:cs="Times New Roman"/>
          <w:sz w:val="24"/>
          <w:szCs w:val="24"/>
          <w:shd w:val="clear" w:color="auto" w:fill="FFFFFF"/>
        </w:rPr>
        <w:t>Diéta ako rizikový aj protektívny faktor pri vzniku urolitiázy</w:t>
      </w:r>
      <w:r w:rsidR="00DE214F">
        <w:rPr>
          <w:rFonts w:ascii="Times New Roman" w:hAnsi="Times New Roman" w:cs="Times New Roman"/>
          <w:sz w:val="24"/>
          <w:szCs w:val="24"/>
          <w:shd w:val="clear" w:color="auto" w:fill="FFFFFF"/>
        </w:rPr>
        <w:tab/>
      </w:r>
      <w:r w:rsidR="00C45B92">
        <w:rPr>
          <w:rFonts w:ascii="Times New Roman" w:hAnsi="Times New Roman" w:cs="Times New Roman"/>
          <w:sz w:val="24"/>
          <w:szCs w:val="24"/>
          <w:shd w:val="clear" w:color="auto" w:fill="FFFFFF"/>
        </w:rPr>
        <w:tab/>
      </w:r>
      <w:r w:rsidR="004B5F23">
        <w:rPr>
          <w:rFonts w:ascii="Times New Roman" w:hAnsi="Times New Roman" w:cs="Times New Roman"/>
          <w:sz w:val="24"/>
          <w:szCs w:val="24"/>
          <w:shd w:val="clear" w:color="auto" w:fill="FFFFFF"/>
        </w:rPr>
        <w:t>11</w:t>
      </w:r>
    </w:p>
    <w:p w14:paraId="713B1112" w14:textId="28CFDB86" w:rsidR="00837702" w:rsidRPr="00B74799" w:rsidRDefault="00C45B92" w:rsidP="00C45B92">
      <w:pPr>
        <w:spacing w:after="0" w:line="360" w:lineRule="auto"/>
        <w:ind w:left="708" w:hanging="141"/>
        <w:rPr>
          <w:rFonts w:ascii="Times New Roman" w:hAnsi="Times New Roman" w:cs="Times New Roman"/>
          <w:sz w:val="24"/>
          <w:szCs w:val="24"/>
        </w:rPr>
      </w:pPr>
      <w:r>
        <w:rPr>
          <w:rFonts w:ascii="Times New Roman" w:eastAsia="Times New Roman" w:hAnsi="Times New Roman" w:cs="Times New Roman"/>
          <w:sz w:val="24"/>
          <w:szCs w:val="24"/>
          <w:lang w:eastAsia="sk-SK"/>
        </w:rPr>
        <w:t xml:space="preserve">  </w:t>
      </w:r>
      <w:r w:rsidR="00837702" w:rsidRPr="00B74799">
        <w:rPr>
          <w:rFonts w:ascii="Times New Roman" w:eastAsia="Times New Roman" w:hAnsi="Times New Roman" w:cs="Times New Roman"/>
          <w:sz w:val="24"/>
          <w:szCs w:val="24"/>
          <w:lang w:eastAsia="sk-SK"/>
        </w:rPr>
        <w:t>1.1.2.1. Vybrané stravovacie návyky a ich vplyv na tvorbu urolitiázy</w:t>
      </w:r>
      <w:r w:rsidR="00DE214F">
        <w:rPr>
          <w:rFonts w:ascii="Times New Roman" w:eastAsia="Times New Roman" w:hAnsi="Times New Roman" w:cs="Times New Roman"/>
          <w:sz w:val="24"/>
          <w:szCs w:val="24"/>
          <w:lang w:eastAsia="sk-SK"/>
        </w:rPr>
        <w:tab/>
      </w:r>
      <w:r w:rsidR="004B5F23">
        <w:rPr>
          <w:rFonts w:ascii="Times New Roman" w:eastAsia="Times New Roman" w:hAnsi="Times New Roman" w:cs="Times New Roman"/>
          <w:sz w:val="24"/>
          <w:szCs w:val="24"/>
          <w:lang w:eastAsia="sk-SK"/>
        </w:rPr>
        <w:t>11</w:t>
      </w:r>
    </w:p>
    <w:p w14:paraId="0191E309" w14:textId="39F79AE9" w:rsidR="00837702" w:rsidRPr="00B74799" w:rsidRDefault="00837702" w:rsidP="00C45B92">
      <w:pPr>
        <w:spacing w:after="0" w:line="360" w:lineRule="auto"/>
        <w:ind w:left="567" w:hanging="1134"/>
        <w:rPr>
          <w:rFonts w:ascii="Times New Roman" w:eastAsia="Times New Roman" w:hAnsi="Times New Roman" w:cs="Times New Roman"/>
          <w:sz w:val="24"/>
          <w:szCs w:val="24"/>
          <w:lang w:eastAsia="sk-SK"/>
        </w:rPr>
      </w:pPr>
      <w:r w:rsidRPr="00B74799">
        <w:rPr>
          <w:rFonts w:ascii="Times New Roman" w:hAnsi="Times New Roman" w:cs="Times New Roman"/>
          <w:sz w:val="24"/>
          <w:szCs w:val="24"/>
        </w:rPr>
        <w:tab/>
      </w:r>
      <w:r w:rsidR="00C45B92">
        <w:rPr>
          <w:rFonts w:ascii="Times New Roman" w:hAnsi="Times New Roman" w:cs="Times New Roman"/>
          <w:sz w:val="24"/>
          <w:szCs w:val="24"/>
        </w:rPr>
        <w:t xml:space="preserve">  </w:t>
      </w:r>
      <w:r w:rsidRPr="00B74799">
        <w:rPr>
          <w:rFonts w:ascii="Times New Roman" w:hAnsi="Times New Roman" w:cs="Times New Roman"/>
          <w:sz w:val="24"/>
          <w:szCs w:val="24"/>
        </w:rPr>
        <w:t xml:space="preserve">1.1.2.2. </w:t>
      </w:r>
      <w:r w:rsidRPr="00B74799">
        <w:rPr>
          <w:rFonts w:ascii="Times New Roman" w:eastAsia="Times New Roman" w:hAnsi="Times New Roman" w:cs="Times New Roman"/>
          <w:sz w:val="24"/>
          <w:szCs w:val="24"/>
          <w:lang w:eastAsia="sk-SK"/>
        </w:rPr>
        <w:t>Subtypy močových konkrementov podľa diétnej chyby pacientov</w:t>
      </w:r>
      <w:r w:rsidR="00DE214F">
        <w:rPr>
          <w:rFonts w:ascii="Times New Roman" w:eastAsia="Times New Roman" w:hAnsi="Times New Roman" w:cs="Times New Roman"/>
          <w:sz w:val="24"/>
          <w:szCs w:val="24"/>
          <w:lang w:eastAsia="sk-SK"/>
        </w:rPr>
        <w:tab/>
      </w:r>
      <w:r w:rsidR="00871B9E">
        <w:rPr>
          <w:rFonts w:ascii="Times New Roman" w:eastAsia="Times New Roman" w:hAnsi="Times New Roman" w:cs="Times New Roman"/>
          <w:sz w:val="24"/>
          <w:szCs w:val="24"/>
          <w:lang w:eastAsia="sk-SK"/>
        </w:rPr>
        <w:t>1</w:t>
      </w:r>
      <w:r w:rsidR="004B5F23">
        <w:rPr>
          <w:rFonts w:ascii="Times New Roman" w:eastAsia="Times New Roman" w:hAnsi="Times New Roman" w:cs="Times New Roman"/>
          <w:sz w:val="24"/>
          <w:szCs w:val="24"/>
          <w:lang w:eastAsia="sk-SK"/>
        </w:rPr>
        <w:t>2</w:t>
      </w:r>
    </w:p>
    <w:p w14:paraId="4C2DF4E5" w14:textId="4586A8EE" w:rsidR="00837702" w:rsidRPr="00B74799" w:rsidRDefault="00837702" w:rsidP="00C45B92">
      <w:pPr>
        <w:tabs>
          <w:tab w:val="left" w:pos="567"/>
        </w:tabs>
        <w:spacing w:after="0" w:line="360" w:lineRule="auto"/>
        <w:ind w:left="142" w:hanging="142"/>
        <w:rPr>
          <w:rFonts w:ascii="Times New Roman" w:hAnsi="Times New Roman" w:cs="Times New Roman"/>
          <w:sz w:val="24"/>
          <w:szCs w:val="24"/>
        </w:rPr>
      </w:pPr>
      <w:r w:rsidRPr="00B74799">
        <w:rPr>
          <w:rFonts w:ascii="Times New Roman" w:hAnsi="Times New Roman" w:cs="Times New Roman"/>
          <w:sz w:val="24"/>
          <w:szCs w:val="24"/>
        </w:rPr>
        <w:tab/>
      </w:r>
      <w:r w:rsidRPr="00B74799">
        <w:rPr>
          <w:rFonts w:ascii="Times New Roman" w:hAnsi="Times New Roman" w:cs="Times New Roman"/>
          <w:sz w:val="24"/>
          <w:szCs w:val="24"/>
        </w:rPr>
        <w:tab/>
      </w:r>
      <w:r w:rsidR="00C45B92">
        <w:rPr>
          <w:rFonts w:ascii="Times New Roman" w:hAnsi="Times New Roman" w:cs="Times New Roman"/>
          <w:sz w:val="24"/>
          <w:szCs w:val="24"/>
        </w:rPr>
        <w:t xml:space="preserve">  </w:t>
      </w:r>
      <w:r w:rsidRPr="00B74799">
        <w:rPr>
          <w:rFonts w:ascii="Times New Roman" w:hAnsi="Times New Roman" w:cs="Times New Roman"/>
          <w:sz w:val="24"/>
          <w:szCs w:val="24"/>
        </w:rPr>
        <w:t>1.1.2.3. Prevencia vzniku urolitiázy pomocou diéty</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1</w:t>
      </w:r>
      <w:r w:rsidR="004B5F23">
        <w:rPr>
          <w:rFonts w:ascii="Times New Roman" w:hAnsi="Times New Roman" w:cs="Times New Roman"/>
          <w:sz w:val="24"/>
          <w:szCs w:val="24"/>
        </w:rPr>
        <w:t>5</w:t>
      </w:r>
    </w:p>
    <w:p w14:paraId="482F5086" w14:textId="7A142955" w:rsidR="00837702" w:rsidRPr="00B74799" w:rsidRDefault="00837702"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 xml:space="preserve">1.2. </w:t>
      </w:r>
      <w:r w:rsidRPr="00B74799">
        <w:rPr>
          <w:rStyle w:val="A1"/>
          <w:rFonts w:ascii="Times New Roman" w:eastAsia="Times New Roman" w:hAnsi="Times New Roman" w:cs="Times New Roman"/>
          <w:color w:val="auto"/>
          <w:sz w:val="24"/>
          <w:szCs w:val="24"/>
          <w:lang w:eastAsia="sk-SK"/>
        </w:rPr>
        <w:t>Komplexný prehľad konkrementov a najčastejších príčin ich vzniku</w:t>
      </w:r>
      <w:r w:rsidR="00DE214F">
        <w:rPr>
          <w:rStyle w:val="A1"/>
          <w:rFonts w:ascii="Times New Roman" w:eastAsia="Times New Roman" w:hAnsi="Times New Roman" w:cs="Times New Roman"/>
          <w:color w:val="auto"/>
          <w:sz w:val="24"/>
          <w:szCs w:val="24"/>
          <w:lang w:eastAsia="sk-SK"/>
        </w:rPr>
        <w:tab/>
      </w:r>
      <w:r w:rsidR="00871B9E">
        <w:rPr>
          <w:rStyle w:val="A1"/>
          <w:rFonts w:ascii="Times New Roman" w:eastAsia="Times New Roman" w:hAnsi="Times New Roman" w:cs="Times New Roman"/>
          <w:color w:val="auto"/>
          <w:sz w:val="24"/>
          <w:szCs w:val="24"/>
          <w:lang w:eastAsia="sk-SK"/>
        </w:rPr>
        <w:t>1</w:t>
      </w:r>
      <w:r w:rsidR="008E47DC">
        <w:rPr>
          <w:rStyle w:val="A1"/>
          <w:rFonts w:ascii="Times New Roman" w:eastAsia="Times New Roman" w:hAnsi="Times New Roman" w:cs="Times New Roman"/>
          <w:color w:val="auto"/>
          <w:sz w:val="24"/>
          <w:szCs w:val="24"/>
          <w:lang w:eastAsia="sk-SK"/>
        </w:rPr>
        <w:t>9</w:t>
      </w:r>
    </w:p>
    <w:p w14:paraId="5B89EAF9" w14:textId="0713CA98" w:rsidR="00837702" w:rsidRPr="00B74799" w:rsidRDefault="00837702" w:rsidP="00C45B92">
      <w:pPr>
        <w:shd w:val="clear" w:color="auto" w:fill="FFFFFF"/>
        <w:spacing w:after="0" w:line="360" w:lineRule="auto"/>
        <w:ind w:firstLine="567"/>
        <w:rPr>
          <w:rFonts w:ascii="Times New Roman" w:eastAsia="Times New Roman" w:hAnsi="Times New Roman" w:cs="Times New Roman"/>
          <w:sz w:val="24"/>
          <w:szCs w:val="24"/>
          <w:lang w:eastAsia="sk-SK"/>
        </w:rPr>
      </w:pPr>
      <w:r w:rsidRPr="00B74799">
        <w:rPr>
          <w:rFonts w:ascii="Times New Roman" w:hAnsi="Times New Roman" w:cs="Times New Roman"/>
          <w:sz w:val="24"/>
          <w:szCs w:val="24"/>
        </w:rPr>
        <w:t xml:space="preserve">1.2.1. </w:t>
      </w:r>
      <w:r w:rsidRPr="00B74799">
        <w:rPr>
          <w:rFonts w:ascii="Times New Roman" w:eastAsia="Times New Roman" w:hAnsi="Times New Roman" w:cs="Times New Roman"/>
          <w:sz w:val="24"/>
          <w:szCs w:val="24"/>
          <w:lang w:eastAsia="sk-SK"/>
        </w:rPr>
        <w:t>Whewellit</w:t>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C45B92">
        <w:rPr>
          <w:rFonts w:ascii="Times New Roman" w:eastAsia="Times New Roman" w:hAnsi="Times New Roman" w:cs="Times New Roman"/>
          <w:sz w:val="24"/>
          <w:szCs w:val="24"/>
          <w:lang w:eastAsia="sk-SK"/>
        </w:rPr>
        <w:tab/>
      </w:r>
      <w:r w:rsidR="00871B9E">
        <w:rPr>
          <w:rFonts w:ascii="Times New Roman" w:eastAsia="Times New Roman" w:hAnsi="Times New Roman" w:cs="Times New Roman"/>
          <w:sz w:val="24"/>
          <w:szCs w:val="24"/>
          <w:lang w:eastAsia="sk-SK"/>
        </w:rPr>
        <w:t>19</w:t>
      </w:r>
    </w:p>
    <w:p w14:paraId="5663E465" w14:textId="0879B2FE" w:rsidR="00837702" w:rsidRPr="00B74799" w:rsidRDefault="00837702" w:rsidP="00C45B92">
      <w:pPr>
        <w:shd w:val="clear" w:color="auto" w:fill="FFFFFF"/>
        <w:spacing w:after="0" w:line="360" w:lineRule="auto"/>
        <w:ind w:firstLine="567"/>
        <w:rPr>
          <w:rFonts w:ascii="Times New Roman" w:eastAsia="Times New Roman" w:hAnsi="Times New Roman" w:cs="Times New Roman"/>
          <w:sz w:val="24"/>
          <w:szCs w:val="24"/>
          <w:lang w:eastAsia="sk-SK"/>
        </w:rPr>
      </w:pPr>
      <w:r w:rsidRPr="00B74799">
        <w:rPr>
          <w:rFonts w:ascii="Times New Roman" w:hAnsi="Times New Roman" w:cs="Times New Roman"/>
          <w:sz w:val="24"/>
          <w:szCs w:val="24"/>
        </w:rPr>
        <w:t xml:space="preserve">1.2.2. </w:t>
      </w:r>
      <w:r w:rsidRPr="00B74799">
        <w:rPr>
          <w:rFonts w:ascii="Times New Roman" w:eastAsia="Times New Roman" w:hAnsi="Times New Roman" w:cs="Times New Roman"/>
          <w:sz w:val="24"/>
          <w:szCs w:val="24"/>
          <w:lang w:eastAsia="sk-SK"/>
        </w:rPr>
        <w:t>Wheddellit</w:t>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C45B92">
        <w:rPr>
          <w:rFonts w:ascii="Times New Roman" w:eastAsia="Times New Roman" w:hAnsi="Times New Roman" w:cs="Times New Roman"/>
          <w:sz w:val="24"/>
          <w:szCs w:val="24"/>
          <w:lang w:eastAsia="sk-SK"/>
        </w:rPr>
        <w:tab/>
      </w:r>
      <w:r w:rsidR="00871B9E">
        <w:rPr>
          <w:rFonts w:ascii="Times New Roman" w:eastAsia="Times New Roman" w:hAnsi="Times New Roman" w:cs="Times New Roman"/>
          <w:sz w:val="24"/>
          <w:szCs w:val="24"/>
          <w:lang w:eastAsia="sk-SK"/>
        </w:rPr>
        <w:t>2</w:t>
      </w:r>
      <w:r w:rsidR="004B5F23">
        <w:rPr>
          <w:rFonts w:ascii="Times New Roman" w:eastAsia="Times New Roman" w:hAnsi="Times New Roman" w:cs="Times New Roman"/>
          <w:sz w:val="24"/>
          <w:szCs w:val="24"/>
          <w:lang w:eastAsia="sk-SK"/>
        </w:rPr>
        <w:t>4</w:t>
      </w:r>
    </w:p>
    <w:p w14:paraId="1D0C1F32" w14:textId="54356867" w:rsidR="00837702" w:rsidRPr="00B74799" w:rsidRDefault="00837702" w:rsidP="00C45B92">
      <w:pPr>
        <w:shd w:val="clear" w:color="auto" w:fill="FFFFFF"/>
        <w:tabs>
          <w:tab w:val="left" w:pos="284"/>
        </w:tabs>
        <w:spacing w:after="0" w:line="360" w:lineRule="auto"/>
        <w:ind w:firstLine="567"/>
        <w:rPr>
          <w:rFonts w:ascii="Times New Roman" w:eastAsia="Times New Roman" w:hAnsi="Times New Roman" w:cs="Times New Roman"/>
          <w:sz w:val="24"/>
          <w:szCs w:val="24"/>
          <w:lang w:eastAsia="sk-SK"/>
        </w:rPr>
      </w:pPr>
      <w:r w:rsidRPr="00B74799">
        <w:rPr>
          <w:rFonts w:ascii="Times New Roman" w:hAnsi="Times New Roman" w:cs="Times New Roman"/>
          <w:sz w:val="24"/>
          <w:szCs w:val="24"/>
        </w:rPr>
        <w:t xml:space="preserve">1.2.3. </w:t>
      </w:r>
      <w:r w:rsidRPr="00B74799">
        <w:rPr>
          <w:rFonts w:ascii="Times New Roman" w:eastAsia="Times New Roman" w:hAnsi="Times New Roman" w:cs="Times New Roman"/>
          <w:sz w:val="24"/>
          <w:szCs w:val="24"/>
          <w:lang w:eastAsia="sk-SK"/>
        </w:rPr>
        <w:t>Konkrementy na báze kyseliny močovej a</w:t>
      </w:r>
      <w:r w:rsidR="00DE214F">
        <w:rPr>
          <w:rFonts w:ascii="Times New Roman" w:eastAsia="Times New Roman" w:hAnsi="Times New Roman" w:cs="Times New Roman"/>
          <w:sz w:val="24"/>
          <w:szCs w:val="24"/>
          <w:lang w:eastAsia="sk-SK"/>
        </w:rPr>
        <w:t> </w:t>
      </w:r>
      <w:r w:rsidRPr="00B74799">
        <w:rPr>
          <w:rFonts w:ascii="Times New Roman" w:eastAsia="Times New Roman" w:hAnsi="Times New Roman" w:cs="Times New Roman"/>
          <w:sz w:val="24"/>
          <w:szCs w:val="24"/>
          <w:lang w:eastAsia="sk-SK"/>
        </w:rPr>
        <w:t>uráty</w:t>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DE214F">
        <w:rPr>
          <w:rFonts w:ascii="Times New Roman" w:eastAsia="Times New Roman" w:hAnsi="Times New Roman" w:cs="Times New Roman"/>
          <w:sz w:val="24"/>
          <w:szCs w:val="24"/>
          <w:lang w:eastAsia="sk-SK"/>
        </w:rPr>
        <w:tab/>
      </w:r>
      <w:r w:rsidR="00871B9E">
        <w:rPr>
          <w:rFonts w:ascii="Times New Roman" w:eastAsia="Times New Roman" w:hAnsi="Times New Roman" w:cs="Times New Roman"/>
          <w:sz w:val="24"/>
          <w:szCs w:val="24"/>
          <w:lang w:eastAsia="sk-SK"/>
        </w:rPr>
        <w:t>2</w:t>
      </w:r>
      <w:r w:rsidR="004B5F23">
        <w:rPr>
          <w:rFonts w:ascii="Times New Roman" w:eastAsia="Times New Roman" w:hAnsi="Times New Roman" w:cs="Times New Roman"/>
          <w:sz w:val="24"/>
          <w:szCs w:val="24"/>
          <w:lang w:eastAsia="sk-SK"/>
        </w:rPr>
        <w:t>5</w:t>
      </w:r>
    </w:p>
    <w:p w14:paraId="67CB7A28" w14:textId="53EEAC5B" w:rsidR="00837702" w:rsidRPr="00C45B92" w:rsidRDefault="00837702" w:rsidP="00C45B92">
      <w:pPr>
        <w:shd w:val="clear" w:color="auto" w:fill="FFFFFF"/>
        <w:spacing w:after="0" w:line="360" w:lineRule="auto"/>
        <w:ind w:firstLine="567"/>
        <w:rPr>
          <w:rFonts w:ascii="Times New Roman" w:hAnsi="Times New Roman" w:cs="Times New Roman"/>
          <w:sz w:val="24"/>
          <w:szCs w:val="24"/>
        </w:rPr>
      </w:pPr>
      <w:r w:rsidRPr="00C45B92">
        <w:rPr>
          <w:rFonts w:ascii="Times New Roman" w:hAnsi="Times New Roman" w:cs="Times New Roman"/>
          <w:sz w:val="24"/>
          <w:szCs w:val="24"/>
        </w:rPr>
        <w:t xml:space="preserve">1.2.4. </w:t>
      </w:r>
      <w:r w:rsidRPr="00C45B92">
        <w:rPr>
          <w:rFonts w:ascii="Times New Roman" w:eastAsia="Times New Roman" w:hAnsi="Times New Roman" w:cs="Times New Roman"/>
          <w:sz w:val="24"/>
          <w:szCs w:val="24"/>
          <w:lang w:eastAsia="sk-SK"/>
        </w:rPr>
        <w:t>Karbapatit, brushit a</w:t>
      </w:r>
      <w:r w:rsidR="00DE214F" w:rsidRPr="00C45B92">
        <w:rPr>
          <w:rFonts w:ascii="Times New Roman" w:eastAsia="Times New Roman" w:hAnsi="Times New Roman" w:cs="Times New Roman"/>
          <w:sz w:val="24"/>
          <w:szCs w:val="24"/>
          <w:lang w:eastAsia="sk-SK"/>
        </w:rPr>
        <w:t> </w:t>
      </w:r>
      <w:r w:rsidRPr="00C45B92">
        <w:rPr>
          <w:rFonts w:ascii="Times New Roman" w:eastAsia="Times New Roman" w:hAnsi="Times New Roman" w:cs="Times New Roman"/>
          <w:sz w:val="24"/>
          <w:szCs w:val="24"/>
          <w:lang w:eastAsia="sk-SK"/>
        </w:rPr>
        <w:t>struvit</w:t>
      </w:r>
      <w:r w:rsidR="00DE214F" w:rsidRPr="00C45B92">
        <w:rPr>
          <w:rFonts w:ascii="Times New Roman" w:eastAsia="Times New Roman" w:hAnsi="Times New Roman" w:cs="Times New Roman"/>
          <w:sz w:val="24"/>
          <w:szCs w:val="24"/>
          <w:lang w:eastAsia="sk-SK"/>
        </w:rPr>
        <w:tab/>
      </w:r>
      <w:r w:rsidR="00DE214F" w:rsidRPr="00C45B92">
        <w:rPr>
          <w:rFonts w:ascii="Times New Roman" w:eastAsia="Times New Roman" w:hAnsi="Times New Roman" w:cs="Times New Roman"/>
          <w:sz w:val="24"/>
          <w:szCs w:val="24"/>
          <w:lang w:eastAsia="sk-SK"/>
        </w:rPr>
        <w:tab/>
      </w:r>
      <w:r w:rsidR="00DE214F" w:rsidRPr="00C45B92">
        <w:rPr>
          <w:rFonts w:ascii="Times New Roman" w:eastAsia="Times New Roman" w:hAnsi="Times New Roman" w:cs="Times New Roman"/>
          <w:sz w:val="24"/>
          <w:szCs w:val="24"/>
          <w:lang w:eastAsia="sk-SK"/>
        </w:rPr>
        <w:tab/>
      </w:r>
      <w:r w:rsidR="00DE214F" w:rsidRPr="00C45B92">
        <w:rPr>
          <w:rFonts w:ascii="Times New Roman" w:eastAsia="Times New Roman" w:hAnsi="Times New Roman" w:cs="Times New Roman"/>
          <w:sz w:val="24"/>
          <w:szCs w:val="24"/>
          <w:lang w:eastAsia="sk-SK"/>
        </w:rPr>
        <w:tab/>
      </w:r>
      <w:r w:rsidR="00DE214F" w:rsidRPr="00C45B92">
        <w:rPr>
          <w:rFonts w:ascii="Times New Roman" w:eastAsia="Times New Roman" w:hAnsi="Times New Roman" w:cs="Times New Roman"/>
          <w:sz w:val="24"/>
          <w:szCs w:val="24"/>
          <w:lang w:eastAsia="sk-SK"/>
        </w:rPr>
        <w:tab/>
      </w:r>
      <w:r w:rsidR="00DE214F" w:rsidRPr="00C45B92">
        <w:rPr>
          <w:rFonts w:ascii="Times New Roman" w:eastAsia="Times New Roman" w:hAnsi="Times New Roman" w:cs="Times New Roman"/>
          <w:sz w:val="24"/>
          <w:szCs w:val="24"/>
          <w:lang w:eastAsia="sk-SK"/>
        </w:rPr>
        <w:tab/>
      </w:r>
      <w:r w:rsidR="00871B9E" w:rsidRPr="00C45B92">
        <w:rPr>
          <w:rFonts w:ascii="Times New Roman" w:eastAsia="Times New Roman" w:hAnsi="Times New Roman" w:cs="Times New Roman"/>
          <w:sz w:val="24"/>
          <w:szCs w:val="24"/>
          <w:lang w:eastAsia="sk-SK"/>
        </w:rPr>
        <w:t>27</w:t>
      </w:r>
    </w:p>
    <w:p w14:paraId="51C8E0A7" w14:textId="0674D975" w:rsidR="00D505EA" w:rsidRPr="00B74799" w:rsidRDefault="00DE214F" w:rsidP="003654EB">
      <w:pPr>
        <w:spacing w:after="0" w:line="360" w:lineRule="auto"/>
        <w:rPr>
          <w:rFonts w:ascii="Times New Roman" w:hAnsi="Times New Roman" w:cs="Times New Roman"/>
          <w:sz w:val="8"/>
          <w:szCs w:val="8"/>
        </w:rPr>
      </w:pPr>
      <w:r>
        <w:rPr>
          <w:rFonts w:ascii="Times New Roman" w:hAnsi="Times New Roman" w:cs="Times New Roman"/>
          <w:sz w:val="8"/>
          <w:szCs w:val="8"/>
        </w:rPr>
        <w:tab/>
      </w:r>
    </w:p>
    <w:p w14:paraId="7EE3219F" w14:textId="4CCCCCEC" w:rsidR="00837702" w:rsidRPr="00B74799" w:rsidRDefault="00837702"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2. ZOBRAZOVACIE VYŠETRENIA</w:t>
      </w:r>
      <w:r w:rsidR="00A679D3" w:rsidRPr="00B74799">
        <w:rPr>
          <w:rFonts w:ascii="Times New Roman" w:hAnsi="Times New Roman" w:cs="Times New Roman"/>
          <w:sz w:val="24"/>
          <w:szCs w:val="24"/>
        </w:rPr>
        <w:t xml:space="preserve"> V DIAGNOSTIKE UROLITIÁZY</w:t>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1</w:t>
      </w:r>
    </w:p>
    <w:p w14:paraId="73FE49B5" w14:textId="56E2C3F4" w:rsidR="00D505EA" w:rsidRPr="00B74799" w:rsidRDefault="00D505EA"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2.1. Natívna RTG snímka</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1</w:t>
      </w:r>
    </w:p>
    <w:p w14:paraId="380CFA8D" w14:textId="72074F63" w:rsidR="00D505EA" w:rsidRPr="00B74799" w:rsidRDefault="00D505EA"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2.2. Vylučovacia intravenózna urografia (IVU)</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1</w:t>
      </w:r>
    </w:p>
    <w:p w14:paraId="50C24623" w14:textId="707D70F9" w:rsidR="00D505EA" w:rsidRPr="00B74799" w:rsidRDefault="00D505EA"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2.3. Ultrazvukové vyšetrenie (USG)</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2</w:t>
      </w:r>
    </w:p>
    <w:p w14:paraId="6A806FEB" w14:textId="772738D4" w:rsidR="00D505EA" w:rsidRPr="00B74799" w:rsidRDefault="00D505EA"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 xml:space="preserve">2.4. </w:t>
      </w:r>
      <w:r w:rsidR="00A56594">
        <w:rPr>
          <w:rFonts w:ascii="Times New Roman" w:hAnsi="Times New Roman" w:cs="Times New Roman"/>
          <w:sz w:val="24"/>
          <w:szCs w:val="24"/>
        </w:rPr>
        <w:t>Počítač</w:t>
      </w:r>
      <w:r w:rsidRPr="00B74799">
        <w:rPr>
          <w:rFonts w:ascii="Times New Roman" w:hAnsi="Times New Roman" w:cs="Times New Roman"/>
          <w:sz w:val="24"/>
          <w:szCs w:val="24"/>
        </w:rPr>
        <w:t xml:space="preserve">ová tomografia </w:t>
      </w:r>
      <w:r w:rsidR="004B5F23">
        <w:rPr>
          <w:rFonts w:ascii="Times New Roman" w:hAnsi="Times New Roman" w:cs="Times New Roman"/>
          <w:sz w:val="24"/>
          <w:szCs w:val="24"/>
        </w:rPr>
        <w:t>(</w:t>
      </w:r>
      <w:r w:rsidRPr="00B74799">
        <w:rPr>
          <w:rFonts w:ascii="Times New Roman" w:hAnsi="Times New Roman" w:cs="Times New Roman"/>
          <w:sz w:val="24"/>
          <w:szCs w:val="24"/>
        </w:rPr>
        <w:t>CT</w:t>
      </w:r>
      <w:r w:rsidR="004B5F23">
        <w:rPr>
          <w:rFonts w:ascii="Times New Roman" w:hAnsi="Times New Roman" w:cs="Times New Roman"/>
          <w:sz w:val="24"/>
          <w:szCs w:val="24"/>
        </w:rPr>
        <w:t>)</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3</w:t>
      </w:r>
    </w:p>
    <w:p w14:paraId="3E48E864" w14:textId="090B9F24" w:rsidR="00D505EA" w:rsidRPr="00B74799" w:rsidRDefault="00D505EA"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 xml:space="preserve">2.5. Magnetická rezonancia </w:t>
      </w:r>
      <w:r w:rsidR="004B5F23">
        <w:rPr>
          <w:rFonts w:ascii="Times New Roman" w:hAnsi="Times New Roman" w:cs="Times New Roman"/>
          <w:sz w:val="24"/>
          <w:szCs w:val="24"/>
        </w:rPr>
        <w:t>(</w:t>
      </w:r>
      <w:r w:rsidRPr="00B74799">
        <w:rPr>
          <w:rFonts w:ascii="Times New Roman" w:hAnsi="Times New Roman" w:cs="Times New Roman"/>
          <w:sz w:val="24"/>
          <w:szCs w:val="24"/>
        </w:rPr>
        <w:t>MRI</w:t>
      </w:r>
      <w:r w:rsidR="004B5F23">
        <w:rPr>
          <w:rFonts w:ascii="Times New Roman" w:hAnsi="Times New Roman" w:cs="Times New Roman"/>
          <w:sz w:val="24"/>
          <w:szCs w:val="24"/>
        </w:rPr>
        <w:t>)</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4</w:t>
      </w:r>
    </w:p>
    <w:p w14:paraId="3BECC4E1" w14:textId="77777777" w:rsidR="00D505EA" w:rsidRPr="00B74799" w:rsidRDefault="00D505EA" w:rsidP="003654EB">
      <w:pPr>
        <w:pStyle w:val="Odstavecseseznamem"/>
        <w:spacing w:after="0" w:line="360" w:lineRule="auto"/>
        <w:ind w:left="0"/>
        <w:rPr>
          <w:rFonts w:ascii="Times New Roman" w:hAnsi="Times New Roman" w:cs="Times New Roman"/>
          <w:sz w:val="8"/>
          <w:szCs w:val="8"/>
        </w:rPr>
      </w:pPr>
    </w:p>
    <w:p w14:paraId="5BE859CE" w14:textId="7F8C66DB" w:rsidR="00837702" w:rsidRPr="00B74799" w:rsidRDefault="00837702" w:rsidP="003654EB">
      <w:pPr>
        <w:pStyle w:val="Odstavecseseznamem"/>
        <w:spacing w:after="0" w:line="360" w:lineRule="auto"/>
        <w:ind w:left="0"/>
        <w:rPr>
          <w:rFonts w:ascii="Times New Roman" w:hAnsi="Times New Roman" w:cs="Times New Roman"/>
          <w:sz w:val="24"/>
          <w:szCs w:val="24"/>
        </w:rPr>
      </w:pPr>
      <w:r w:rsidRPr="00B74799">
        <w:rPr>
          <w:rFonts w:ascii="Times New Roman" w:hAnsi="Times New Roman" w:cs="Times New Roman"/>
          <w:sz w:val="24"/>
          <w:szCs w:val="24"/>
        </w:rPr>
        <w:t xml:space="preserve">3. </w:t>
      </w:r>
      <w:r w:rsidR="00880677" w:rsidRPr="00B74799">
        <w:rPr>
          <w:rFonts w:ascii="Times New Roman" w:hAnsi="Times New Roman" w:cs="Times New Roman"/>
          <w:sz w:val="24"/>
          <w:szCs w:val="24"/>
        </w:rPr>
        <w:t xml:space="preserve">VYBRANÉ </w:t>
      </w:r>
      <w:r w:rsidRPr="00B74799">
        <w:rPr>
          <w:rFonts w:ascii="Times New Roman" w:hAnsi="Times New Roman" w:cs="Times New Roman"/>
          <w:sz w:val="24"/>
          <w:szCs w:val="24"/>
        </w:rPr>
        <w:t>MOŽNOSTI</w:t>
      </w:r>
      <w:r w:rsidR="00472B07" w:rsidRPr="00B74799">
        <w:rPr>
          <w:rFonts w:ascii="Times New Roman" w:hAnsi="Times New Roman" w:cs="Times New Roman"/>
          <w:sz w:val="24"/>
          <w:szCs w:val="24"/>
        </w:rPr>
        <w:t xml:space="preserve"> OPERAČNEJ</w:t>
      </w:r>
      <w:r w:rsidRPr="00B74799">
        <w:rPr>
          <w:rFonts w:ascii="Times New Roman" w:hAnsi="Times New Roman" w:cs="Times New Roman"/>
          <w:sz w:val="24"/>
          <w:szCs w:val="24"/>
        </w:rPr>
        <w:t xml:space="preserve"> LIEČBY UROLITIÁZY</w:t>
      </w:r>
      <w:r w:rsidR="00C45B92">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5</w:t>
      </w:r>
    </w:p>
    <w:p w14:paraId="48825E32" w14:textId="2FBDBDCF" w:rsidR="005C091E" w:rsidRPr="00B74799" w:rsidRDefault="005C091E" w:rsidP="00C45B92">
      <w:pPr>
        <w:pStyle w:val="Odstavecseseznamem"/>
        <w:spacing w:after="0" w:line="360" w:lineRule="auto"/>
        <w:ind w:left="0" w:firstLine="142"/>
        <w:rPr>
          <w:rFonts w:ascii="Times New Roman" w:hAnsi="Times New Roman" w:cs="Times New Roman"/>
          <w:sz w:val="24"/>
          <w:szCs w:val="24"/>
        </w:rPr>
      </w:pPr>
      <w:r w:rsidRPr="00B74799">
        <w:rPr>
          <w:rFonts w:ascii="Times New Roman" w:hAnsi="Times New Roman" w:cs="Times New Roman"/>
          <w:sz w:val="24"/>
          <w:szCs w:val="24"/>
        </w:rPr>
        <w:t>3.1. ESWL</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3</w:t>
      </w:r>
      <w:r w:rsidR="004B5F23">
        <w:rPr>
          <w:rFonts w:ascii="Times New Roman" w:hAnsi="Times New Roman" w:cs="Times New Roman"/>
          <w:sz w:val="24"/>
          <w:szCs w:val="24"/>
        </w:rPr>
        <w:t>5</w:t>
      </w:r>
    </w:p>
    <w:p w14:paraId="25703DA6" w14:textId="10F9950A" w:rsidR="005C091E" w:rsidRPr="00C45B92" w:rsidRDefault="005C091E" w:rsidP="00C45B92">
      <w:pPr>
        <w:pStyle w:val="Odstavecseseznamem"/>
        <w:spacing w:after="0" w:line="360" w:lineRule="auto"/>
        <w:ind w:left="0" w:firstLine="142"/>
        <w:rPr>
          <w:rFonts w:ascii="Times New Roman" w:hAnsi="Times New Roman" w:cs="Times New Roman"/>
          <w:sz w:val="24"/>
          <w:szCs w:val="24"/>
        </w:rPr>
      </w:pPr>
      <w:r w:rsidRPr="00B74799">
        <w:rPr>
          <w:rFonts w:ascii="Times New Roman" w:hAnsi="Times New Roman" w:cs="Times New Roman"/>
          <w:sz w:val="24"/>
          <w:szCs w:val="24"/>
        </w:rPr>
        <w:t>3.2</w:t>
      </w:r>
      <w:r w:rsidRPr="00C45B92">
        <w:rPr>
          <w:rFonts w:ascii="Times New Roman" w:hAnsi="Times New Roman" w:cs="Times New Roman"/>
          <w:sz w:val="24"/>
          <w:szCs w:val="24"/>
        </w:rPr>
        <w:t>. URS, RIRS</w:t>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871B9E" w:rsidRPr="00C45B92">
        <w:rPr>
          <w:rFonts w:ascii="Times New Roman" w:hAnsi="Times New Roman" w:cs="Times New Roman"/>
          <w:sz w:val="24"/>
          <w:szCs w:val="24"/>
        </w:rPr>
        <w:t>3</w:t>
      </w:r>
      <w:r w:rsidR="004B5F23">
        <w:rPr>
          <w:rFonts w:ascii="Times New Roman" w:hAnsi="Times New Roman" w:cs="Times New Roman"/>
          <w:sz w:val="24"/>
          <w:szCs w:val="24"/>
        </w:rPr>
        <w:t>7</w:t>
      </w:r>
    </w:p>
    <w:p w14:paraId="3C560ACD" w14:textId="4F4F0A7C" w:rsidR="00880677" w:rsidRPr="00C45B92" w:rsidRDefault="00880677" w:rsidP="00C45B92">
      <w:pPr>
        <w:pStyle w:val="Odstavecseseznamem"/>
        <w:spacing w:after="0" w:line="360" w:lineRule="auto"/>
        <w:ind w:left="0" w:firstLine="142"/>
        <w:rPr>
          <w:rFonts w:ascii="Times New Roman" w:hAnsi="Times New Roman" w:cs="Times New Roman"/>
          <w:sz w:val="24"/>
          <w:szCs w:val="24"/>
        </w:rPr>
      </w:pPr>
      <w:r w:rsidRPr="00C45B92">
        <w:rPr>
          <w:rFonts w:ascii="Times New Roman" w:hAnsi="Times New Roman" w:cs="Times New Roman"/>
          <w:sz w:val="24"/>
          <w:szCs w:val="24"/>
        </w:rPr>
        <w:t>3.</w:t>
      </w:r>
      <w:r w:rsidR="00C45B92" w:rsidRPr="00C45B92">
        <w:rPr>
          <w:rFonts w:ascii="Times New Roman" w:hAnsi="Times New Roman" w:cs="Times New Roman"/>
          <w:sz w:val="24"/>
          <w:szCs w:val="24"/>
        </w:rPr>
        <w:t>3</w:t>
      </w:r>
      <w:r w:rsidRPr="00C45B92">
        <w:rPr>
          <w:rFonts w:ascii="Times New Roman" w:hAnsi="Times New Roman" w:cs="Times New Roman"/>
          <w:sz w:val="24"/>
          <w:szCs w:val="24"/>
        </w:rPr>
        <w:t>. Ďalšie možnosti operačnej liečby urolitiázy</w:t>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DE214F" w:rsidRPr="00C45B92">
        <w:rPr>
          <w:rFonts w:ascii="Times New Roman" w:hAnsi="Times New Roman" w:cs="Times New Roman"/>
          <w:sz w:val="24"/>
          <w:szCs w:val="24"/>
        </w:rPr>
        <w:tab/>
      </w:r>
      <w:r w:rsidR="00871B9E" w:rsidRPr="00C45B92">
        <w:rPr>
          <w:rFonts w:ascii="Times New Roman" w:hAnsi="Times New Roman" w:cs="Times New Roman"/>
          <w:sz w:val="24"/>
          <w:szCs w:val="24"/>
        </w:rPr>
        <w:t>3</w:t>
      </w:r>
      <w:r w:rsidR="004B5F23">
        <w:rPr>
          <w:rFonts w:ascii="Times New Roman" w:hAnsi="Times New Roman" w:cs="Times New Roman"/>
          <w:sz w:val="24"/>
          <w:szCs w:val="24"/>
        </w:rPr>
        <w:t>8</w:t>
      </w:r>
    </w:p>
    <w:p w14:paraId="4EADFBB0" w14:textId="77777777" w:rsidR="00DE214F" w:rsidRPr="00C45B92" w:rsidRDefault="00DE214F" w:rsidP="003654EB">
      <w:pPr>
        <w:pStyle w:val="Odstavecseseznamem"/>
        <w:spacing w:after="0" w:line="360" w:lineRule="auto"/>
        <w:ind w:left="0"/>
        <w:rPr>
          <w:rFonts w:ascii="Times New Roman" w:hAnsi="Times New Roman" w:cs="Times New Roman"/>
          <w:sz w:val="8"/>
          <w:szCs w:val="8"/>
        </w:rPr>
      </w:pPr>
    </w:p>
    <w:p w14:paraId="3E54FBE3" w14:textId="1E70B164" w:rsidR="00837702" w:rsidRPr="00B74799" w:rsidRDefault="00837702"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4. KVALITA ŽIVOTA</w:t>
      </w:r>
      <w:r w:rsidR="004B5F23">
        <w:rPr>
          <w:rFonts w:ascii="Times New Roman" w:hAnsi="Times New Roman" w:cs="Times New Roman"/>
          <w:sz w:val="24"/>
          <w:szCs w:val="24"/>
        </w:rPr>
        <w:t xml:space="preserve"> A PSYCHOMETRICKÉ TESTOVANIE</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40</w:t>
      </w:r>
    </w:p>
    <w:p w14:paraId="6144F8F6" w14:textId="11C7CDED" w:rsidR="00837702" w:rsidRPr="00B74799" w:rsidRDefault="00837702"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4.1. Typy dotazníkov testujúcich HRQOL</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40</w:t>
      </w:r>
    </w:p>
    <w:p w14:paraId="039E86F4" w14:textId="245E6CBE" w:rsidR="00837702" w:rsidRPr="00B74799" w:rsidRDefault="00837702"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4.2. Základy psychometrického testovania</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41</w:t>
      </w:r>
    </w:p>
    <w:p w14:paraId="796CC3A5" w14:textId="71FC744F" w:rsidR="00837702" w:rsidRPr="00B74799" w:rsidRDefault="00837702" w:rsidP="00C45B92">
      <w:pPr>
        <w:spacing w:after="0" w:line="360" w:lineRule="auto"/>
        <w:ind w:firstLine="142"/>
        <w:rPr>
          <w:rFonts w:ascii="Times New Roman" w:hAnsi="Times New Roman" w:cs="Times New Roman"/>
          <w:sz w:val="24"/>
          <w:szCs w:val="24"/>
        </w:rPr>
      </w:pPr>
      <w:r w:rsidRPr="00B74799">
        <w:rPr>
          <w:rFonts w:ascii="Times New Roman" w:hAnsi="Times New Roman" w:cs="Times New Roman"/>
          <w:sz w:val="24"/>
          <w:szCs w:val="24"/>
        </w:rPr>
        <w:t>4.3. Kvalita života u urologických pacientov</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4</w:t>
      </w:r>
      <w:r w:rsidR="004B5F23">
        <w:rPr>
          <w:rFonts w:ascii="Times New Roman" w:hAnsi="Times New Roman" w:cs="Times New Roman"/>
          <w:sz w:val="24"/>
          <w:szCs w:val="24"/>
        </w:rPr>
        <w:t>2</w:t>
      </w:r>
    </w:p>
    <w:p w14:paraId="6D817BF8" w14:textId="0F52E790" w:rsidR="00D505EA" w:rsidRPr="00B74799"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ab/>
        <w:t>4.3.1. Kvalita života u pacientov s</w:t>
      </w:r>
      <w:r w:rsidR="00DE214F">
        <w:rPr>
          <w:rFonts w:ascii="Times New Roman" w:hAnsi="Times New Roman" w:cs="Times New Roman"/>
          <w:sz w:val="24"/>
          <w:szCs w:val="24"/>
        </w:rPr>
        <w:t> </w:t>
      </w:r>
      <w:r w:rsidRPr="00B74799">
        <w:rPr>
          <w:rFonts w:ascii="Times New Roman" w:hAnsi="Times New Roman" w:cs="Times New Roman"/>
          <w:sz w:val="24"/>
          <w:szCs w:val="24"/>
        </w:rPr>
        <w:t>urolitiázou</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4</w:t>
      </w:r>
      <w:r w:rsidR="004B5F23">
        <w:rPr>
          <w:rFonts w:ascii="Times New Roman" w:hAnsi="Times New Roman" w:cs="Times New Roman"/>
          <w:sz w:val="24"/>
          <w:szCs w:val="24"/>
        </w:rPr>
        <w:t>3</w:t>
      </w:r>
    </w:p>
    <w:p w14:paraId="3FBAE131" w14:textId="6F50C7DE" w:rsidR="00D505EA" w:rsidRPr="00B74799" w:rsidRDefault="00DE214F" w:rsidP="003654EB">
      <w:pPr>
        <w:spacing w:after="0" w:line="360" w:lineRule="auto"/>
        <w:rPr>
          <w:rFonts w:ascii="Times New Roman" w:hAnsi="Times New Roman" w:cs="Times New Roman"/>
          <w:sz w:val="8"/>
          <w:szCs w:val="8"/>
        </w:rPr>
      </w:pPr>
      <w:r>
        <w:rPr>
          <w:rFonts w:ascii="Times New Roman" w:hAnsi="Times New Roman" w:cs="Times New Roman"/>
          <w:sz w:val="8"/>
          <w:szCs w:val="8"/>
        </w:rPr>
        <w:tab/>
      </w:r>
    </w:p>
    <w:p w14:paraId="53E060FF" w14:textId="4FCA4C8D" w:rsidR="00D505EA" w:rsidRPr="00C45B92" w:rsidRDefault="00837702"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 xml:space="preserve">5. </w:t>
      </w:r>
      <w:r w:rsidR="00D505EA" w:rsidRPr="00B74799">
        <w:rPr>
          <w:rFonts w:ascii="Times New Roman" w:hAnsi="Times New Roman" w:cs="Times New Roman"/>
          <w:sz w:val="24"/>
          <w:szCs w:val="24"/>
        </w:rPr>
        <w:t>CIE</w:t>
      </w:r>
      <w:r w:rsidR="004B5F23">
        <w:rPr>
          <w:rFonts w:ascii="Times New Roman" w:hAnsi="Times New Roman" w:cs="Times New Roman"/>
          <w:sz w:val="24"/>
          <w:szCs w:val="24"/>
        </w:rPr>
        <w:t>LE DIZERTAČNEJ</w:t>
      </w:r>
      <w:r w:rsidR="00D505EA" w:rsidRPr="00B74799">
        <w:rPr>
          <w:rFonts w:ascii="Times New Roman" w:hAnsi="Times New Roman" w:cs="Times New Roman"/>
          <w:sz w:val="24"/>
          <w:szCs w:val="24"/>
        </w:rPr>
        <w:t xml:space="preserve"> PRÁCE</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4</w:t>
      </w:r>
      <w:r w:rsidR="004B5F23">
        <w:rPr>
          <w:rFonts w:ascii="Times New Roman" w:hAnsi="Times New Roman" w:cs="Times New Roman"/>
          <w:sz w:val="24"/>
          <w:szCs w:val="24"/>
        </w:rPr>
        <w:t>5</w:t>
      </w:r>
    </w:p>
    <w:p w14:paraId="34257DD6" w14:textId="233CA8B4" w:rsidR="00D505EA"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lastRenderedPageBreak/>
        <w:t xml:space="preserve">6. </w:t>
      </w:r>
      <w:r w:rsidR="004B5F23">
        <w:rPr>
          <w:rFonts w:ascii="Times New Roman" w:hAnsi="Times New Roman" w:cs="Times New Roman"/>
          <w:sz w:val="24"/>
          <w:szCs w:val="24"/>
        </w:rPr>
        <w:t xml:space="preserve">KLINICKÝ SÚBOR A </w:t>
      </w:r>
      <w:r w:rsidRPr="00B74799">
        <w:rPr>
          <w:rFonts w:ascii="Times New Roman" w:hAnsi="Times New Roman" w:cs="Times New Roman"/>
          <w:sz w:val="24"/>
          <w:szCs w:val="24"/>
        </w:rPr>
        <w:t>MET</w:t>
      </w:r>
      <w:r w:rsidR="004B5F23">
        <w:rPr>
          <w:rFonts w:ascii="Times New Roman" w:hAnsi="Times New Roman" w:cs="Times New Roman"/>
          <w:sz w:val="24"/>
          <w:szCs w:val="24"/>
        </w:rPr>
        <w:t>ÓDY</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871B9E">
        <w:rPr>
          <w:rFonts w:ascii="Times New Roman" w:hAnsi="Times New Roman" w:cs="Times New Roman"/>
          <w:sz w:val="24"/>
          <w:szCs w:val="24"/>
        </w:rPr>
        <w:t>4</w:t>
      </w:r>
      <w:r w:rsidR="004B5F23">
        <w:rPr>
          <w:rFonts w:ascii="Times New Roman" w:hAnsi="Times New Roman" w:cs="Times New Roman"/>
          <w:sz w:val="24"/>
          <w:szCs w:val="24"/>
        </w:rPr>
        <w:t>6</w:t>
      </w:r>
    </w:p>
    <w:p w14:paraId="6920B40A" w14:textId="77777777" w:rsidR="004B5F23" w:rsidRPr="00B74799" w:rsidRDefault="004B5F23" w:rsidP="003654EB">
      <w:pPr>
        <w:spacing w:after="0" w:line="360" w:lineRule="auto"/>
        <w:rPr>
          <w:rFonts w:ascii="Times New Roman" w:hAnsi="Times New Roman" w:cs="Times New Roman"/>
          <w:sz w:val="8"/>
          <w:szCs w:val="8"/>
        </w:rPr>
      </w:pPr>
    </w:p>
    <w:p w14:paraId="487410CD" w14:textId="26A7DBBF" w:rsidR="00D505EA"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7. VÝSLEDKY</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50</w:t>
      </w:r>
    </w:p>
    <w:p w14:paraId="10A5E862" w14:textId="77777777" w:rsidR="004B5F23" w:rsidRPr="004B5F23" w:rsidRDefault="004B5F23" w:rsidP="003654EB">
      <w:pPr>
        <w:spacing w:after="0" w:line="360" w:lineRule="auto"/>
        <w:rPr>
          <w:rFonts w:ascii="Times New Roman" w:hAnsi="Times New Roman" w:cs="Times New Roman"/>
          <w:sz w:val="8"/>
          <w:szCs w:val="8"/>
        </w:rPr>
      </w:pPr>
    </w:p>
    <w:p w14:paraId="2D1DBF28" w14:textId="164F9584" w:rsidR="00D505EA"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8. DISKUSIA</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230415">
        <w:rPr>
          <w:rFonts w:ascii="Times New Roman" w:hAnsi="Times New Roman" w:cs="Times New Roman"/>
          <w:sz w:val="24"/>
          <w:szCs w:val="24"/>
        </w:rPr>
        <w:t>60</w:t>
      </w:r>
    </w:p>
    <w:p w14:paraId="2EA408E2" w14:textId="77777777" w:rsidR="004B5F23" w:rsidRPr="00B74799" w:rsidRDefault="004B5F23" w:rsidP="003654EB">
      <w:pPr>
        <w:spacing w:after="0" w:line="360" w:lineRule="auto"/>
        <w:rPr>
          <w:rFonts w:ascii="Times New Roman" w:hAnsi="Times New Roman" w:cs="Times New Roman"/>
          <w:sz w:val="8"/>
          <w:szCs w:val="8"/>
        </w:rPr>
      </w:pPr>
    </w:p>
    <w:p w14:paraId="37C12411" w14:textId="38ABD981" w:rsidR="00AC44AA"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ZÁVER</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6</w:t>
      </w:r>
      <w:r w:rsidR="00230415">
        <w:rPr>
          <w:rFonts w:ascii="Times New Roman" w:hAnsi="Times New Roman" w:cs="Times New Roman"/>
          <w:sz w:val="24"/>
          <w:szCs w:val="24"/>
        </w:rPr>
        <w:t>4</w:t>
      </w:r>
    </w:p>
    <w:p w14:paraId="186AD03B" w14:textId="77777777" w:rsidR="004B5F23" w:rsidRPr="00AC44AA" w:rsidRDefault="004B5F23" w:rsidP="003654EB">
      <w:pPr>
        <w:spacing w:after="0" w:line="360" w:lineRule="auto"/>
        <w:rPr>
          <w:rFonts w:ascii="Times New Roman" w:hAnsi="Times New Roman" w:cs="Times New Roman"/>
          <w:sz w:val="8"/>
          <w:szCs w:val="8"/>
        </w:rPr>
      </w:pPr>
    </w:p>
    <w:p w14:paraId="5B67F444" w14:textId="011F89F5" w:rsidR="004B5F23" w:rsidRDefault="00AC44AA" w:rsidP="003654EB">
      <w:pPr>
        <w:spacing w:after="0" w:line="360" w:lineRule="auto"/>
        <w:rPr>
          <w:rFonts w:ascii="Times New Roman" w:hAnsi="Times New Roman" w:cs="Times New Roman"/>
          <w:sz w:val="24"/>
          <w:szCs w:val="24"/>
        </w:rPr>
      </w:pPr>
      <w:r>
        <w:rPr>
          <w:rFonts w:ascii="Times New Roman" w:hAnsi="Times New Roman" w:cs="Times New Roman"/>
          <w:sz w:val="24"/>
          <w:szCs w:val="24"/>
        </w:rPr>
        <w:t>ZOZNAM OBRÁZKOV A</w:t>
      </w:r>
      <w:r w:rsidR="00DE214F">
        <w:rPr>
          <w:rFonts w:ascii="Times New Roman" w:hAnsi="Times New Roman" w:cs="Times New Roman"/>
          <w:sz w:val="24"/>
          <w:szCs w:val="24"/>
        </w:rPr>
        <w:t> </w:t>
      </w:r>
      <w:r>
        <w:rPr>
          <w:rFonts w:ascii="Times New Roman" w:hAnsi="Times New Roman" w:cs="Times New Roman"/>
          <w:sz w:val="24"/>
          <w:szCs w:val="24"/>
        </w:rPr>
        <w:t>TABULIEK</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6</w:t>
      </w:r>
      <w:r w:rsidR="00230415">
        <w:rPr>
          <w:rFonts w:ascii="Times New Roman" w:hAnsi="Times New Roman" w:cs="Times New Roman"/>
          <w:sz w:val="24"/>
          <w:szCs w:val="24"/>
        </w:rPr>
        <w:t>5</w:t>
      </w:r>
    </w:p>
    <w:p w14:paraId="72E5FE6A" w14:textId="54C31776" w:rsidR="00AC44AA" w:rsidRPr="00AC44AA" w:rsidRDefault="00DE214F" w:rsidP="003654EB">
      <w:pPr>
        <w:spacing w:after="0" w:line="360" w:lineRule="auto"/>
        <w:rPr>
          <w:rFonts w:ascii="Times New Roman" w:hAnsi="Times New Roman" w:cs="Times New Roman"/>
          <w:sz w:val="8"/>
          <w:szCs w:val="8"/>
        </w:rPr>
      </w:pPr>
      <w:r>
        <w:rPr>
          <w:rFonts w:ascii="Times New Roman" w:hAnsi="Times New Roman" w:cs="Times New Roman"/>
          <w:sz w:val="8"/>
          <w:szCs w:val="8"/>
        </w:rPr>
        <w:tab/>
      </w:r>
    </w:p>
    <w:p w14:paraId="07A2B1B6" w14:textId="3012D1C0" w:rsidR="00411FC1" w:rsidRDefault="00D505EA" w:rsidP="003654EB">
      <w:pPr>
        <w:spacing w:after="0" w:line="360" w:lineRule="auto"/>
        <w:rPr>
          <w:rFonts w:ascii="Times New Roman" w:hAnsi="Times New Roman" w:cs="Times New Roman"/>
          <w:sz w:val="24"/>
          <w:szCs w:val="24"/>
        </w:rPr>
      </w:pPr>
      <w:r w:rsidRPr="00B74799">
        <w:rPr>
          <w:rFonts w:ascii="Times New Roman" w:hAnsi="Times New Roman" w:cs="Times New Roman"/>
          <w:sz w:val="24"/>
          <w:szCs w:val="24"/>
        </w:rPr>
        <w:t>LITER</w:t>
      </w:r>
      <w:r w:rsidR="00DE214F">
        <w:rPr>
          <w:rFonts w:ascii="Times New Roman" w:hAnsi="Times New Roman" w:cs="Times New Roman"/>
          <w:sz w:val="24"/>
          <w:szCs w:val="24"/>
        </w:rPr>
        <w:tab/>
      </w:r>
      <w:r w:rsidRPr="00B74799">
        <w:rPr>
          <w:rFonts w:ascii="Times New Roman" w:hAnsi="Times New Roman" w:cs="Times New Roman"/>
          <w:sz w:val="24"/>
          <w:szCs w:val="24"/>
        </w:rPr>
        <w:t>ATÚRA</w:t>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DE214F">
        <w:rPr>
          <w:rFonts w:ascii="Times New Roman" w:hAnsi="Times New Roman" w:cs="Times New Roman"/>
          <w:sz w:val="24"/>
          <w:szCs w:val="24"/>
        </w:rPr>
        <w:tab/>
      </w:r>
      <w:r w:rsidR="004B5F23">
        <w:rPr>
          <w:rFonts w:ascii="Times New Roman" w:hAnsi="Times New Roman" w:cs="Times New Roman"/>
          <w:sz w:val="24"/>
          <w:szCs w:val="24"/>
        </w:rPr>
        <w:t>6</w:t>
      </w:r>
      <w:r w:rsidR="00230415">
        <w:rPr>
          <w:rFonts w:ascii="Times New Roman" w:hAnsi="Times New Roman" w:cs="Times New Roman"/>
          <w:sz w:val="24"/>
          <w:szCs w:val="24"/>
        </w:rPr>
        <w:t>7</w:t>
      </w:r>
    </w:p>
    <w:p w14:paraId="6D5760D2" w14:textId="77777777" w:rsidR="004B5F23" w:rsidRPr="00411FC1" w:rsidRDefault="004B5F23" w:rsidP="003654EB">
      <w:pPr>
        <w:spacing w:after="0" w:line="360" w:lineRule="auto"/>
        <w:rPr>
          <w:rFonts w:ascii="Times New Roman" w:hAnsi="Times New Roman" w:cs="Times New Roman"/>
          <w:sz w:val="8"/>
          <w:szCs w:val="8"/>
        </w:rPr>
      </w:pPr>
    </w:p>
    <w:p w14:paraId="71AF25D6" w14:textId="363EDD80" w:rsidR="00411FC1" w:rsidRPr="00B74799" w:rsidRDefault="00411FC1" w:rsidP="003654EB">
      <w:pPr>
        <w:spacing w:after="0" w:line="360" w:lineRule="auto"/>
        <w:rPr>
          <w:rFonts w:ascii="Times New Roman" w:hAnsi="Times New Roman" w:cs="Times New Roman"/>
          <w:sz w:val="24"/>
          <w:szCs w:val="24"/>
        </w:rPr>
      </w:pPr>
      <w:r>
        <w:rPr>
          <w:rFonts w:ascii="Times New Roman" w:hAnsi="Times New Roman" w:cs="Times New Roman"/>
          <w:sz w:val="24"/>
          <w:szCs w:val="24"/>
        </w:rPr>
        <w:t>PRÍLOHA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5F23">
        <w:rPr>
          <w:rFonts w:ascii="Times New Roman" w:hAnsi="Times New Roman" w:cs="Times New Roman"/>
          <w:sz w:val="24"/>
          <w:szCs w:val="24"/>
        </w:rPr>
        <w:t>8</w:t>
      </w:r>
      <w:r w:rsidR="00230415">
        <w:rPr>
          <w:rFonts w:ascii="Times New Roman" w:hAnsi="Times New Roman" w:cs="Times New Roman"/>
          <w:sz w:val="24"/>
          <w:szCs w:val="24"/>
        </w:rPr>
        <w:t>2</w:t>
      </w:r>
    </w:p>
    <w:bookmarkEnd w:id="0"/>
    <w:p w14:paraId="663FB737" w14:textId="35649E22" w:rsidR="00D505EA" w:rsidRPr="00B74799" w:rsidRDefault="00D505EA" w:rsidP="00224EDF">
      <w:pPr>
        <w:spacing w:line="360" w:lineRule="auto"/>
        <w:rPr>
          <w:rFonts w:ascii="Times New Roman" w:hAnsi="Times New Roman" w:cs="Times New Roman"/>
          <w:sz w:val="24"/>
          <w:szCs w:val="24"/>
        </w:rPr>
      </w:pPr>
    </w:p>
    <w:p w14:paraId="6DEB4B1A" w14:textId="75D7B6A7" w:rsidR="00AC44AA" w:rsidRPr="00F30DBF" w:rsidRDefault="00AC44AA" w:rsidP="00AC44AA">
      <w:pPr>
        <w:rPr>
          <w:rFonts w:ascii="Times New Roman" w:hAnsi="Times New Roman" w:cs="Times New Roman"/>
          <w:b/>
          <w:sz w:val="24"/>
          <w:szCs w:val="24"/>
        </w:rPr>
      </w:pPr>
      <w:r w:rsidRPr="00F30DBF">
        <w:rPr>
          <w:rFonts w:ascii="Times New Roman" w:hAnsi="Times New Roman" w:cs="Times New Roman"/>
          <w:b/>
          <w:sz w:val="24"/>
          <w:szCs w:val="24"/>
        </w:rPr>
        <w:t xml:space="preserve"> </w:t>
      </w:r>
    </w:p>
    <w:p w14:paraId="118204F0" w14:textId="06DF6A07" w:rsidR="002E77A1" w:rsidRPr="00F30DBF" w:rsidRDefault="002E77A1">
      <w:pPr>
        <w:rPr>
          <w:rFonts w:ascii="Times New Roman" w:hAnsi="Times New Roman" w:cs="Times New Roman"/>
          <w:b/>
          <w:sz w:val="24"/>
          <w:szCs w:val="24"/>
        </w:rPr>
      </w:pPr>
      <w:r w:rsidRPr="00F30DBF">
        <w:rPr>
          <w:rFonts w:ascii="Times New Roman" w:hAnsi="Times New Roman" w:cs="Times New Roman"/>
          <w:b/>
          <w:sz w:val="24"/>
          <w:szCs w:val="24"/>
        </w:rPr>
        <w:br w:type="page"/>
      </w:r>
    </w:p>
    <w:p w14:paraId="2CD04711" w14:textId="68ACD0F4" w:rsidR="0035621D" w:rsidRDefault="00916AC0" w:rsidP="0064452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ABSTRAKT</w:t>
      </w:r>
    </w:p>
    <w:p w14:paraId="48D91707" w14:textId="77777777" w:rsidR="00916AC0" w:rsidRPr="00DA07E4" w:rsidRDefault="00916AC0" w:rsidP="00644522">
      <w:pPr>
        <w:spacing w:after="0" w:line="360" w:lineRule="auto"/>
        <w:jc w:val="both"/>
        <w:rPr>
          <w:rFonts w:ascii="Times New Roman" w:hAnsi="Times New Roman" w:cs="Times New Roman"/>
          <w:b/>
          <w:sz w:val="24"/>
          <w:szCs w:val="24"/>
        </w:rPr>
      </w:pPr>
    </w:p>
    <w:p w14:paraId="1E6DC12E" w14:textId="74CE292A" w:rsidR="002F58F9" w:rsidRPr="00A3085C" w:rsidRDefault="002F58F9" w:rsidP="00644522">
      <w:pPr>
        <w:spacing w:after="0" w:line="360" w:lineRule="auto"/>
        <w:jc w:val="both"/>
        <w:rPr>
          <w:rFonts w:ascii="Times New Roman" w:hAnsi="Times New Roman" w:cs="Times New Roman"/>
          <w:bCs/>
          <w:sz w:val="24"/>
          <w:szCs w:val="24"/>
        </w:rPr>
      </w:pPr>
      <w:r w:rsidRPr="00A3085C">
        <w:rPr>
          <w:rFonts w:ascii="Times New Roman" w:hAnsi="Times New Roman" w:cs="Times New Roman"/>
          <w:b/>
          <w:sz w:val="24"/>
          <w:szCs w:val="24"/>
        </w:rPr>
        <w:t>Ciele:</w:t>
      </w:r>
      <w:r w:rsidRPr="00A3085C">
        <w:rPr>
          <w:rFonts w:ascii="Times New Roman" w:hAnsi="Times New Roman" w:cs="Times New Roman"/>
          <w:sz w:val="24"/>
          <w:szCs w:val="24"/>
        </w:rPr>
        <w:t xml:space="preserve"> Validovať do slovenského jazyka dotazník pre pacientov s urolitiázou WISQOL (Wisconsin Stone Quality of Life Questionnaire)</w:t>
      </w:r>
      <w:r w:rsidRPr="00A3085C">
        <w:rPr>
          <w:rFonts w:ascii="Times New Roman" w:hAnsi="Times New Roman" w:cs="Times New Roman"/>
          <w:bCs/>
          <w:sz w:val="24"/>
          <w:szCs w:val="24"/>
        </w:rPr>
        <w:t xml:space="preserve"> a overiť jeho použitie v praxi. Porovnať zmenu skóre kvality života pacientov (HRQOL) pomocou dotazníka WISQOL u pacientov s</w:t>
      </w:r>
      <w:r w:rsidR="00644522" w:rsidRPr="00A3085C">
        <w:rPr>
          <w:rFonts w:ascii="Times New Roman" w:hAnsi="Times New Roman" w:cs="Times New Roman"/>
          <w:bCs/>
          <w:sz w:val="24"/>
          <w:szCs w:val="24"/>
        </w:rPr>
        <w:t> </w:t>
      </w:r>
      <w:r w:rsidRPr="00A3085C">
        <w:rPr>
          <w:rFonts w:ascii="Times New Roman" w:hAnsi="Times New Roman" w:cs="Times New Roman"/>
          <w:bCs/>
          <w:sz w:val="24"/>
          <w:szCs w:val="24"/>
        </w:rPr>
        <w:t>nefrolitiázou</w:t>
      </w:r>
      <w:r w:rsidR="00644522" w:rsidRPr="00A3085C">
        <w:rPr>
          <w:rFonts w:ascii="Times New Roman" w:hAnsi="Times New Roman" w:cs="Times New Roman"/>
          <w:bCs/>
          <w:sz w:val="24"/>
          <w:szCs w:val="24"/>
        </w:rPr>
        <w:t xml:space="preserve">, </w:t>
      </w:r>
      <w:r w:rsidRPr="00A3085C">
        <w:rPr>
          <w:rFonts w:ascii="Times New Roman" w:hAnsi="Times New Roman" w:cs="Times New Roman"/>
          <w:bCs/>
          <w:sz w:val="24"/>
          <w:szCs w:val="24"/>
        </w:rPr>
        <w:t>ktorí mali liečbu ESWL (litotripsiu rázovými vlnami) alebo ureterorenoskopiu</w:t>
      </w:r>
      <w:r w:rsidR="00E26032" w:rsidRPr="00A3085C">
        <w:rPr>
          <w:rFonts w:ascii="Times New Roman" w:hAnsi="Times New Roman" w:cs="Times New Roman"/>
          <w:bCs/>
          <w:sz w:val="24"/>
          <w:szCs w:val="24"/>
        </w:rPr>
        <w:t xml:space="preserve"> (URS, RIRS</w:t>
      </w:r>
      <w:r w:rsidRPr="00A3085C">
        <w:rPr>
          <w:rFonts w:ascii="Times New Roman" w:hAnsi="Times New Roman" w:cs="Times New Roman"/>
          <w:bCs/>
          <w:sz w:val="24"/>
          <w:szCs w:val="24"/>
        </w:rPr>
        <w:t>) s použitím jednorázového flexibilného ureterorenoskopu so stanovením dosiahnutých QALYs (quality-adjusted life-years) pre každý typ zákroku.</w:t>
      </w:r>
    </w:p>
    <w:p w14:paraId="7398CAEA" w14:textId="5B189C1D" w:rsidR="002F58F9" w:rsidRPr="00A3085C" w:rsidRDefault="006935B6" w:rsidP="00644522">
      <w:pPr>
        <w:pStyle w:val="Default"/>
        <w:spacing w:line="360" w:lineRule="auto"/>
        <w:jc w:val="both"/>
        <w:rPr>
          <w:rFonts w:ascii="Times New Roman" w:hAnsi="Times New Roman" w:cs="Times New Roman"/>
          <w:spacing w:val="2"/>
          <w:lang w:val="en-GB"/>
        </w:rPr>
      </w:pPr>
      <w:r w:rsidRPr="00A3085C">
        <w:rPr>
          <w:rFonts w:ascii="Times New Roman" w:hAnsi="Times New Roman" w:cs="Times New Roman"/>
          <w:b/>
        </w:rPr>
        <w:t>M</w:t>
      </w:r>
      <w:r w:rsidR="002F58F9" w:rsidRPr="00A3085C">
        <w:rPr>
          <w:rFonts w:ascii="Times New Roman" w:hAnsi="Times New Roman" w:cs="Times New Roman"/>
          <w:b/>
        </w:rPr>
        <w:t>etód</w:t>
      </w:r>
      <w:r w:rsidR="00644522" w:rsidRPr="00A3085C">
        <w:rPr>
          <w:rFonts w:ascii="Times New Roman" w:hAnsi="Times New Roman" w:cs="Times New Roman"/>
          <w:b/>
        </w:rPr>
        <w:t>y</w:t>
      </w:r>
      <w:r w:rsidR="002F58F9" w:rsidRPr="00A3085C">
        <w:rPr>
          <w:rFonts w:ascii="Times New Roman" w:hAnsi="Times New Roman" w:cs="Times New Roman"/>
          <w:b/>
        </w:rPr>
        <w:t>:</w:t>
      </w:r>
      <w:r w:rsidR="002F58F9" w:rsidRPr="00A3085C">
        <w:rPr>
          <w:rFonts w:ascii="Times New Roman" w:hAnsi="Times New Roman" w:cs="Times New Roman"/>
        </w:rPr>
        <w:t xml:space="preserve"> </w:t>
      </w:r>
      <w:r w:rsidR="002F58F9" w:rsidRPr="00A3085C">
        <w:rPr>
          <w:rFonts w:ascii="Times New Roman" w:hAnsi="Times New Roman" w:cs="Times New Roman"/>
          <w:spacing w:val="2"/>
          <w:lang w:val="en-GB"/>
        </w:rPr>
        <w:t xml:space="preserve">158 pacientov liečených s urolitiázou bolo randomizovane rozdelených do dvoch ramien – 80 do validačného ramena a 78 do intervenčného ramena štúdie. Na validáciu bolo zahrnutých 45 zdravých respondentov. Lingvistická validácia dotazníka WISQOL do slovenského jazyka bola realizovaná podľa štandardizovaného viackrokového procesu. Diskriminačná validita dotazníka bola zhodnotená porovnaním 52 </w:t>
      </w:r>
      <w:r w:rsidR="00966F7B" w:rsidRPr="00A3085C">
        <w:rPr>
          <w:rFonts w:ascii="Times New Roman" w:hAnsi="Times New Roman" w:cs="Times New Roman"/>
          <w:spacing w:val="2"/>
          <w:lang w:val="en-GB"/>
        </w:rPr>
        <w:t>(</w:t>
      </w:r>
      <w:r w:rsidR="002F58F9" w:rsidRPr="00A3085C">
        <w:rPr>
          <w:rFonts w:ascii="Times New Roman" w:hAnsi="Times New Roman" w:cs="Times New Roman"/>
          <w:spacing w:val="2"/>
          <w:lang w:val="en-GB"/>
        </w:rPr>
        <w:t>z 80</w:t>
      </w:r>
      <w:r w:rsidR="00966F7B" w:rsidRPr="00A3085C">
        <w:rPr>
          <w:rFonts w:ascii="Times New Roman" w:hAnsi="Times New Roman" w:cs="Times New Roman"/>
          <w:spacing w:val="2"/>
          <w:lang w:val="en-GB"/>
        </w:rPr>
        <w:t>)</w:t>
      </w:r>
      <w:r w:rsidR="002F58F9" w:rsidRPr="00A3085C">
        <w:rPr>
          <w:rFonts w:ascii="Times New Roman" w:hAnsi="Times New Roman" w:cs="Times New Roman"/>
          <w:spacing w:val="2"/>
          <w:lang w:val="en-GB"/>
        </w:rPr>
        <w:t xml:space="preserve"> pacientov s urolitiázou a 34 </w:t>
      </w:r>
      <w:r w:rsidR="00966F7B" w:rsidRPr="00A3085C">
        <w:rPr>
          <w:rFonts w:ascii="Times New Roman" w:hAnsi="Times New Roman" w:cs="Times New Roman"/>
          <w:spacing w:val="2"/>
          <w:lang w:val="en-GB"/>
        </w:rPr>
        <w:t>(</w:t>
      </w:r>
      <w:r w:rsidR="002F58F9" w:rsidRPr="00A3085C">
        <w:rPr>
          <w:rFonts w:ascii="Times New Roman" w:hAnsi="Times New Roman" w:cs="Times New Roman"/>
          <w:spacing w:val="2"/>
          <w:lang w:val="en-GB"/>
        </w:rPr>
        <w:t>zo 45</w:t>
      </w:r>
      <w:r w:rsidR="005A0250" w:rsidRPr="00A3085C">
        <w:rPr>
          <w:rFonts w:ascii="Times New Roman" w:hAnsi="Times New Roman" w:cs="Times New Roman"/>
          <w:spacing w:val="2"/>
          <w:lang w:val="en-GB"/>
        </w:rPr>
        <w:t>)</w:t>
      </w:r>
      <w:r w:rsidR="002F58F9" w:rsidRPr="00A3085C">
        <w:rPr>
          <w:rFonts w:ascii="Times New Roman" w:hAnsi="Times New Roman" w:cs="Times New Roman"/>
          <w:spacing w:val="2"/>
          <w:lang w:val="en-GB"/>
        </w:rPr>
        <w:t xml:space="preserve"> zdravých respondentov. V intervenčnej časti štúdie boli pacienti vyzvaní vyplniť WISQOL pred zákrokom RIRS (n=34) alebo ESWL (n=32) a v 24. týždni po zákroku. Výpočet QALYs bol realizovaný podľa QALY = váhový faktor (WF) x dĺžka doby po zákroku.</w:t>
      </w:r>
    </w:p>
    <w:p w14:paraId="47AD5E9B" w14:textId="3AAEB66D" w:rsidR="002F58F9" w:rsidRDefault="002F58F9" w:rsidP="00644522">
      <w:pPr>
        <w:spacing w:after="0" w:line="360" w:lineRule="auto"/>
        <w:jc w:val="both"/>
        <w:rPr>
          <w:rFonts w:ascii="Times New Roman" w:hAnsi="Times New Roman" w:cs="Times New Roman"/>
          <w:sz w:val="24"/>
          <w:szCs w:val="24"/>
        </w:rPr>
      </w:pPr>
      <w:r w:rsidRPr="00A3085C">
        <w:rPr>
          <w:rFonts w:ascii="Times New Roman" w:hAnsi="Times New Roman" w:cs="Times New Roman"/>
          <w:b/>
          <w:sz w:val="24"/>
          <w:szCs w:val="24"/>
        </w:rPr>
        <w:t>Výsledky</w:t>
      </w:r>
      <w:r w:rsidRPr="00A3085C">
        <w:rPr>
          <w:rFonts w:ascii="Times New Roman" w:hAnsi="Times New Roman" w:cs="Times New Roman"/>
          <w:sz w:val="24"/>
          <w:szCs w:val="24"/>
        </w:rPr>
        <w:t>: Cronbachova alfa pre celý dotazník</w:t>
      </w:r>
      <w:r>
        <w:rPr>
          <w:rFonts w:ascii="Times New Roman" w:hAnsi="Times New Roman" w:cs="Times New Roman"/>
          <w:sz w:val="24"/>
          <w:szCs w:val="24"/>
        </w:rPr>
        <w:t xml:space="preserve"> WISQOL bola 0</w:t>
      </w:r>
      <w:r w:rsidR="00644522">
        <w:rPr>
          <w:rFonts w:ascii="Times New Roman" w:hAnsi="Times New Roman" w:cs="Times New Roman"/>
          <w:sz w:val="24"/>
          <w:szCs w:val="24"/>
        </w:rPr>
        <w:t>,</w:t>
      </w:r>
      <w:r>
        <w:rPr>
          <w:rFonts w:ascii="Times New Roman" w:hAnsi="Times New Roman" w:cs="Times New Roman"/>
          <w:sz w:val="24"/>
          <w:szCs w:val="24"/>
        </w:rPr>
        <w:t>94 a Pearsonov koeficient pre spoľahlivosť dotazníka (test-retest) bol 0</w:t>
      </w:r>
      <w:r w:rsidR="00644522">
        <w:rPr>
          <w:rFonts w:ascii="Times New Roman" w:hAnsi="Times New Roman" w:cs="Times New Roman"/>
          <w:sz w:val="24"/>
          <w:szCs w:val="24"/>
        </w:rPr>
        <w:t>,</w:t>
      </w:r>
      <w:r>
        <w:rPr>
          <w:rFonts w:ascii="Times New Roman" w:hAnsi="Times New Roman" w:cs="Times New Roman"/>
          <w:sz w:val="24"/>
          <w:szCs w:val="24"/>
        </w:rPr>
        <w:t>91. Diskriminačná validita bola potvrdená štatisticky signifikantne vyšším skóre pacientov bez známej urolitiázy (</w:t>
      </w:r>
      <w:r w:rsidRPr="000C642D">
        <w:rPr>
          <w:rFonts w:ascii="Times New Roman" w:hAnsi="Times New Roman" w:cs="Times New Roman"/>
          <w:sz w:val="24"/>
          <w:szCs w:val="24"/>
          <w:lang w:val="en-GB"/>
        </w:rPr>
        <w:t>p &lt;0</w:t>
      </w:r>
      <w:r w:rsidR="00644522">
        <w:rPr>
          <w:rFonts w:ascii="Times New Roman" w:hAnsi="Times New Roman" w:cs="Times New Roman"/>
          <w:sz w:val="24"/>
          <w:szCs w:val="24"/>
          <w:lang w:val="en-GB"/>
        </w:rPr>
        <w:t>,</w:t>
      </w:r>
      <w:r w:rsidRPr="000C642D">
        <w:rPr>
          <w:rFonts w:ascii="Times New Roman" w:hAnsi="Times New Roman" w:cs="Times New Roman"/>
          <w:sz w:val="24"/>
          <w:szCs w:val="24"/>
          <w:lang w:val="en-GB"/>
        </w:rPr>
        <w:t>001</w:t>
      </w:r>
      <w:r>
        <w:rPr>
          <w:rFonts w:ascii="Times New Roman" w:hAnsi="Times New Roman" w:cs="Times New Roman"/>
          <w:sz w:val="24"/>
          <w:szCs w:val="24"/>
          <w:lang w:val="en-GB"/>
        </w:rPr>
        <w:t>). V intervenčnej časti štúdie medián WISQOL skóre vykázal zmenu z 45</w:t>
      </w:r>
      <w:r w:rsidR="00644522">
        <w:rPr>
          <w:rFonts w:ascii="Times New Roman" w:hAnsi="Times New Roman" w:cs="Times New Roman"/>
          <w:sz w:val="24"/>
          <w:szCs w:val="24"/>
          <w:lang w:val="en-GB"/>
        </w:rPr>
        <w:t>,</w:t>
      </w:r>
      <w:r>
        <w:rPr>
          <w:rFonts w:ascii="Times New Roman" w:hAnsi="Times New Roman" w:cs="Times New Roman"/>
          <w:sz w:val="24"/>
          <w:szCs w:val="24"/>
          <w:lang w:val="en-GB"/>
        </w:rPr>
        <w:t>5 na 95</w:t>
      </w:r>
      <w:r w:rsidR="00644522">
        <w:rPr>
          <w:rFonts w:ascii="Times New Roman" w:hAnsi="Times New Roman" w:cs="Times New Roman"/>
          <w:sz w:val="24"/>
          <w:szCs w:val="24"/>
          <w:lang w:val="en-GB"/>
        </w:rPr>
        <w:t>,</w:t>
      </w:r>
      <w:r>
        <w:rPr>
          <w:rFonts w:ascii="Times New Roman" w:hAnsi="Times New Roman" w:cs="Times New Roman"/>
          <w:sz w:val="24"/>
          <w:szCs w:val="24"/>
          <w:lang w:val="en-GB"/>
        </w:rPr>
        <w:t>5 pre RIRS skupinu vs. zmena z 33</w:t>
      </w:r>
      <w:r w:rsidR="00644522">
        <w:rPr>
          <w:rFonts w:ascii="Times New Roman" w:hAnsi="Times New Roman" w:cs="Times New Roman"/>
          <w:sz w:val="24"/>
          <w:szCs w:val="24"/>
          <w:lang w:val="en-GB"/>
        </w:rPr>
        <w:t>,</w:t>
      </w:r>
      <w:r>
        <w:rPr>
          <w:rFonts w:ascii="Times New Roman" w:hAnsi="Times New Roman" w:cs="Times New Roman"/>
          <w:sz w:val="24"/>
          <w:szCs w:val="24"/>
          <w:lang w:val="en-GB"/>
        </w:rPr>
        <w:t>9</w:t>
      </w:r>
      <w:r w:rsidR="00644522">
        <w:rPr>
          <w:rFonts w:ascii="Times New Roman" w:hAnsi="Times New Roman" w:cs="Times New Roman"/>
          <w:sz w:val="24"/>
          <w:szCs w:val="24"/>
          <w:lang w:val="en-GB"/>
        </w:rPr>
        <w:t xml:space="preserve"> </w:t>
      </w:r>
      <w:r>
        <w:rPr>
          <w:rFonts w:ascii="Times New Roman" w:hAnsi="Times New Roman" w:cs="Times New Roman"/>
          <w:sz w:val="24"/>
          <w:szCs w:val="24"/>
          <w:lang w:val="en-GB"/>
        </w:rPr>
        <w:t>na 87</w:t>
      </w:r>
      <w:r w:rsidR="00644522">
        <w:rPr>
          <w:rFonts w:ascii="Times New Roman" w:hAnsi="Times New Roman" w:cs="Times New Roman"/>
          <w:sz w:val="24"/>
          <w:szCs w:val="24"/>
          <w:lang w:val="en-GB"/>
        </w:rPr>
        <w:t>,</w:t>
      </w:r>
      <w:r>
        <w:rPr>
          <w:rFonts w:ascii="Times New Roman" w:hAnsi="Times New Roman" w:cs="Times New Roman"/>
          <w:sz w:val="24"/>
          <w:szCs w:val="24"/>
          <w:lang w:val="en-GB"/>
        </w:rPr>
        <w:t>1</w:t>
      </w:r>
      <w:r w:rsidR="00644522">
        <w:rPr>
          <w:rFonts w:ascii="Times New Roman" w:hAnsi="Times New Roman" w:cs="Times New Roman"/>
          <w:sz w:val="24"/>
          <w:szCs w:val="24"/>
          <w:lang w:val="en-GB"/>
        </w:rPr>
        <w:t xml:space="preserve"> </w:t>
      </w:r>
      <w:r>
        <w:rPr>
          <w:rFonts w:ascii="Times New Roman" w:hAnsi="Times New Roman" w:cs="Times New Roman"/>
          <w:sz w:val="24"/>
          <w:szCs w:val="24"/>
          <w:lang w:val="en-GB"/>
        </w:rPr>
        <w:t>pre ESWL skupinu (</w:t>
      </w:r>
      <w:r w:rsidRPr="000C642D">
        <w:rPr>
          <w:rFonts w:ascii="Times New Roman" w:hAnsi="Times New Roman" w:cs="Times New Roman"/>
          <w:sz w:val="24"/>
          <w:szCs w:val="24"/>
          <w:lang w:val="en-GB"/>
        </w:rPr>
        <w:t>p &lt;0</w:t>
      </w:r>
      <w:r w:rsidR="00644522">
        <w:rPr>
          <w:rFonts w:ascii="Times New Roman" w:hAnsi="Times New Roman" w:cs="Times New Roman"/>
          <w:sz w:val="24"/>
          <w:szCs w:val="24"/>
          <w:lang w:val="en-GB"/>
        </w:rPr>
        <w:t>,</w:t>
      </w:r>
      <w:r w:rsidRPr="000C642D">
        <w:rPr>
          <w:rFonts w:ascii="Times New Roman" w:hAnsi="Times New Roman" w:cs="Times New Roman"/>
          <w:sz w:val="24"/>
          <w:szCs w:val="24"/>
          <w:lang w:val="en-GB"/>
        </w:rPr>
        <w:t>001</w:t>
      </w:r>
      <w:r>
        <w:rPr>
          <w:rFonts w:ascii="Times New Roman" w:hAnsi="Times New Roman" w:cs="Times New Roman"/>
          <w:sz w:val="24"/>
          <w:szCs w:val="24"/>
          <w:lang w:val="en-GB"/>
        </w:rPr>
        <w:t>). Pacienti z RIRS skupiny mali dobrú pravdepodobnosť dosiahnutia 19</w:t>
      </w:r>
      <w:r w:rsidR="00644522">
        <w:rPr>
          <w:rFonts w:ascii="Times New Roman" w:hAnsi="Times New Roman" w:cs="Times New Roman"/>
          <w:sz w:val="24"/>
          <w:szCs w:val="24"/>
          <w:lang w:val="en-GB"/>
        </w:rPr>
        <w:t>,</w:t>
      </w:r>
      <w:r>
        <w:rPr>
          <w:rFonts w:ascii="Times New Roman" w:hAnsi="Times New Roman" w:cs="Times New Roman"/>
          <w:sz w:val="24"/>
          <w:szCs w:val="24"/>
          <w:lang w:val="en-GB"/>
        </w:rPr>
        <w:t>727 QALYs počas priemernej dĺžky života v porovnaní s 15</w:t>
      </w:r>
      <w:r w:rsidR="00644522">
        <w:rPr>
          <w:rFonts w:ascii="Times New Roman" w:hAnsi="Times New Roman" w:cs="Times New Roman"/>
          <w:sz w:val="24"/>
          <w:szCs w:val="24"/>
          <w:lang w:val="en-GB"/>
        </w:rPr>
        <w:t>,</w:t>
      </w:r>
      <w:r>
        <w:rPr>
          <w:rFonts w:ascii="Times New Roman" w:hAnsi="Times New Roman" w:cs="Times New Roman"/>
          <w:sz w:val="24"/>
          <w:szCs w:val="24"/>
          <w:lang w:val="en-GB"/>
        </w:rPr>
        <w:t>780 pre ESWL skupinu (</w:t>
      </w:r>
      <w:r w:rsidRPr="000C642D">
        <w:rPr>
          <w:rFonts w:ascii="Times New Roman" w:hAnsi="Times New Roman" w:cs="Times New Roman"/>
          <w:sz w:val="24"/>
          <w:szCs w:val="24"/>
          <w:lang w:val="en-GB"/>
        </w:rPr>
        <w:t>p &lt;0</w:t>
      </w:r>
      <w:r w:rsidR="00644522">
        <w:rPr>
          <w:rFonts w:ascii="Times New Roman" w:hAnsi="Times New Roman" w:cs="Times New Roman"/>
          <w:sz w:val="24"/>
          <w:szCs w:val="24"/>
          <w:lang w:val="en-GB"/>
        </w:rPr>
        <w:t>,</w:t>
      </w:r>
      <w:r w:rsidRPr="000C642D">
        <w:rPr>
          <w:rFonts w:ascii="Times New Roman" w:hAnsi="Times New Roman" w:cs="Times New Roman"/>
          <w:sz w:val="24"/>
          <w:szCs w:val="24"/>
          <w:lang w:val="en-GB"/>
        </w:rPr>
        <w:t>001</w:t>
      </w:r>
      <w:r>
        <w:rPr>
          <w:rFonts w:ascii="Times New Roman" w:hAnsi="Times New Roman" w:cs="Times New Roman"/>
          <w:sz w:val="24"/>
          <w:szCs w:val="24"/>
          <w:lang w:val="en-GB"/>
        </w:rPr>
        <w:t>).</w:t>
      </w:r>
    </w:p>
    <w:p w14:paraId="1A6509B8" w14:textId="0396423D" w:rsidR="000E2369" w:rsidRPr="00DA07E4" w:rsidRDefault="002F58F9" w:rsidP="00644522">
      <w:pPr>
        <w:spacing w:after="0" w:line="360" w:lineRule="auto"/>
        <w:jc w:val="both"/>
        <w:rPr>
          <w:rFonts w:ascii="Times New Roman" w:hAnsi="Times New Roman" w:cs="Times New Roman"/>
          <w:sz w:val="24"/>
          <w:szCs w:val="24"/>
        </w:rPr>
      </w:pPr>
      <w:r w:rsidRPr="00644522">
        <w:rPr>
          <w:rFonts w:ascii="Times New Roman" w:hAnsi="Times New Roman" w:cs="Times New Roman"/>
          <w:b/>
          <w:sz w:val="24"/>
          <w:szCs w:val="24"/>
        </w:rPr>
        <w:t>Záver:</w:t>
      </w:r>
      <w:r>
        <w:rPr>
          <w:rFonts w:ascii="Times New Roman" w:hAnsi="Times New Roman" w:cs="Times New Roman"/>
          <w:sz w:val="24"/>
          <w:szCs w:val="24"/>
        </w:rPr>
        <w:t xml:space="preserve"> Ureterorenoskopia s použitím jednorázového flexibilného ureterorenoskopu v porovnaní s ESWL umožní pacientom dosiahnuť štatisticky signifikantne lepšiu kvalitu života a viac QALYs počas priemernej dĺžky života. Slovenská verzia dotazníka WISQOL je špecifická pre ochorenie urolitiázou a spoľahlivá pre použite v praxi.</w:t>
      </w:r>
      <w:r w:rsidR="00DA07E4">
        <w:rPr>
          <w:rFonts w:ascii="Times New Roman" w:hAnsi="Times New Roman" w:cs="Times New Roman"/>
          <w:b/>
          <w:bCs/>
          <w:sz w:val="24"/>
          <w:szCs w:val="24"/>
        </w:rPr>
        <w:t xml:space="preserve"> </w:t>
      </w:r>
    </w:p>
    <w:p w14:paraId="300BA410" w14:textId="77777777" w:rsidR="00916AC0" w:rsidRDefault="00916AC0" w:rsidP="00DA07E4">
      <w:pPr>
        <w:autoSpaceDE w:val="0"/>
        <w:autoSpaceDN w:val="0"/>
        <w:adjustRightInd w:val="0"/>
        <w:spacing w:after="0" w:line="360" w:lineRule="auto"/>
        <w:jc w:val="both"/>
        <w:rPr>
          <w:rStyle w:val="A1"/>
          <w:rFonts w:ascii="Times New Roman" w:hAnsi="Times New Roman" w:cs="Times New Roman"/>
          <w:b/>
          <w:bCs/>
          <w:color w:val="auto"/>
          <w:sz w:val="24"/>
          <w:szCs w:val="24"/>
        </w:rPr>
      </w:pPr>
    </w:p>
    <w:p w14:paraId="4E6ED474" w14:textId="51F2414C" w:rsidR="00DA07E4" w:rsidRPr="00DA07E4" w:rsidRDefault="00DA07E4" w:rsidP="00DA07E4">
      <w:pPr>
        <w:autoSpaceDE w:val="0"/>
        <w:autoSpaceDN w:val="0"/>
        <w:adjustRightInd w:val="0"/>
        <w:spacing w:after="0" w:line="360" w:lineRule="auto"/>
        <w:jc w:val="both"/>
        <w:rPr>
          <w:rStyle w:val="A1"/>
          <w:rFonts w:ascii="Times New Roman" w:hAnsi="Times New Roman" w:cs="Times New Roman"/>
          <w:color w:val="auto"/>
          <w:sz w:val="24"/>
          <w:szCs w:val="24"/>
        </w:rPr>
      </w:pPr>
      <w:r w:rsidRPr="00DA07E4">
        <w:rPr>
          <w:rStyle w:val="A1"/>
          <w:rFonts w:ascii="Times New Roman" w:hAnsi="Times New Roman" w:cs="Times New Roman"/>
          <w:b/>
          <w:bCs/>
          <w:color w:val="auto"/>
          <w:sz w:val="24"/>
          <w:szCs w:val="24"/>
        </w:rPr>
        <w:t>Kľúčové slová:</w:t>
      </w:r>
      <w:r w:rsidRPr="00DA07E4">
        <w:rPr>
          <w:rStyle w:val="A1"/>
          <w:rFonts w:ascii="Times New Roman" w:hAnsi="Times New Roman" w:cs="Times New Roman"/>
          <w:color w:val="auto"/>
          <w:sz w:val="24"/>
          <w:szCs w:val="24"/>
        </w:rPr>
        <w:t xml:space="preserve"> urolitiáza, kvalita života, HRQOL, ESWL, </w:t>
      </w:r>
      <w:r w:rsidR="00E26032">
        <w:rPr>
          <w:rStyle w:val="A1"/>
          <w:rFonts w:ascii="Times New Roman" w:hAnsi="Times New Roman" w:cs="Times New Roman"/>
          <w:color w:val="auto"/>
          <w:sz w:val="24"/>
          <w:szCs w:val="24"/>
        </w:rPr>
        <w:t>RI</w:t>
      </w:r>
      <w:r w:rsidRPr="00DA07E4">
        <w:rPr>
          <w:rStyle w:val="A1"/>
          <w:rFonts w:ascii="Times New Roman" w:hAnsi="Times New Roman" w:cs="Times New Roman"/>
          <w:color w:val="auto"/>
          <w:sz w:val="24"/>
          <w:szCs w:val="24"/>
        </w:rPr>
        <w:t>RS, WISQOL</w:t>
      </w:r>
    </w:p>
    <w:p w14:paraId="2EB67A47" w14:textId="7D4DD5A3" w:rsidR="0035621D" w:rsidRDefault="0035621D" w:rsidP="00DA07E4">
      <w:pPr>
        <w:spacing w:after="0" w:line="360" w:lineRule="auto"/>
        <w:jc w:val="both"/>
        <w:rPr>
          <w:rFonts w:ascii="Times New Roman" w:hAnsi="Times New Roman" w:cs="Times New Roman"/>
          <w:b/>
          <w:sz w:val="24"/>
          <w:szCs w:val="24"/>
        </w:rPr>
      </w:pPr>
    </w:p>
    <w:p w14:paraId="60F9C03A" w14:textId="77777777" w:rsidR="00916AC0" w:rsidRDefault="00916AC0">
      <w:pPr>
        <w:rPr>
          <w:rStyle w:val="A1"/>
          <w:rFonts w:ascii="Times New Roman" w:hAnsi="Times New Roman" w:cs="Times New Roman"/>
          <w:b/>
          <w:bCs/>
          <w:color w:val="auto"/>
          <w:sz w:val="24"/>
          <w:szCs w:val="24"/>
        </w:rPr>
      </w:pPr>
      <w:r>
        <w:rPr>
          <w:rStyle w:val="A1"/>
          <w:rFonts w:ascii="Times New Roman" w:hAnsi="Times New Roman" w:cs="Times New Roman"/>
          <w:b/>
          <w:bCs/>
          <w:color w:val="auto"/>
          <w:sz w:val="24"/>
          <w:szCs w:val="24"/>
        </w:rPr>
        <w:br w:type="page"/>
      </w:r>
    </w:p>
    <w:p w14:paraId="6E648680" w14:textId="77777777" w:rsidR="00916AC0" w:rsidRDefault="00916AC0" w:rsidP="00DA07E4">
      <w:pPr>
        <w:autoSpaceDE w:val="0"/>
        <w:autoSpaceDN w:val="0"/>
        <w:adjustRightInd w:val="0"/>
        <w:spacing w:after="0" w:line="360" w:lineRule="auto"/>
        <w:jc w:val="both"/>
        <w:rPr>
          <w:rStyle w:val="A1"/>
          <w:rFonts w:ascii="Times New Roman" w:hAnsi="Times New Roman" w:cs="Times New Roman"/>
          <w:b/>
          <w:bCs/>
          <w:color w:val="auto"/>
          <w:sz w:val="24"/>
          <w:szCs w:val="24"/>
        </w:rPr>
      </w:pPr>
      <w:r>
        <w:rPr>
          <w:rStyle w:val="A1"/>
          <w:rFonts w:ascii="Times New Roman" w:hAnsi="Times New Roman" w:cs="Times New Roman"/>
          <w:b/>
          <w:bCs/>
          <w:color w:val="auto"/>
          <w:sz w:val="24"/>
          <w:szCs w:val="24"/>
        </w:rPr>
        <w:lastRenderedPageBreak/>
        <w:t>ABSTRACT</w:t>
      </w:r>
    </w:p>
    <w:p w14:paraId="484B9D62" w14:textId="5B993FF3" w:rsidR="00DA07E4" w:rsidRDefault="00DA07E4" w:rsidP="00DA07E4">
      <w:pPr>
        <w:spacing w:after="0" w:line="360" w:lineRule="auto"/>
        <w:jc w:val="both"/>
        <w:rPr>
          <w:rFonts w:ascii="Times New Roman" w:hAnsi="Times New Roman" w:cs="Times New Roman"/>
          <w:b/>
          <w:sz w:val="24"/>
          <w:szCs w:val="24"/>
        </w:rPr>
      </w:pPr>
    </w:p>
    <w:p w14:paraId="00E0048C" w14:textId="3EC6FFC0" w:rsidR="00644522" w:rsidRPr="000C642D" w:rsidRDefault="00644522" w:rsidP="00644522">
      <w:pPr>
        <w:spacing w:after="0" w:line="360" w:lineRule="auto"/>
        <w:jc w:val="both"/>
        <w:rPr>
          <w:rStyle w:val="A1"/>
          <w:rFonts w:ascii="Times New Roman" w:hAnsi="Times New Roman" w:cs="Times New Roman"/>
          <w:sz w:val="24"/>
          <w:szCs w:val="24"/>
          <w:lang w:val="en-GB"/>
        </w:rPr>
      </w:pPr>
      <w:r w:rsidRPr="00644522">
        <w:rPr>
          <w:rFonts w:ascii="Times New Roman" w:hAnsi="Times New Roman" w:cs="Times New Roman"/>
          <w:b/>
          <w:sz w:val="24"/>
          <w:szCs w:val="24"/>
          <w:lang w:val="en-GB"/>
        </w:rPr>
        <w:t>Purpose:</w:t>
      </w:r>
      <w:r w:rsidRPr="000C642D">
        <w:rPr>
          <w:rFonts w:ascii="Times New Roman" w:hAnsi="Times New Roman" w:cs="Times New Roman"/>
          <w:sz w:val="24"/>
          <w:szCs w:val="24"/>
          <w:lang w:val="en-GB"/>
        </w:rPr>
        <w:t xml:space="preserve"> To </w:t>
      </w:r>
      <w:r w:rsidR="0016219F">
        <w:rPr>
          <w:rFonts w:ascii="Times New Roman" w:hAnsi="Times New Roman" w:cs="Times New Roman"/>
          <w:sz w:val="24"/>
          <w:szCs w:val="24"/>
          <w:lang w:val="en-GB"/>
        </w:rPr>
        <w:t xml:space="preserve">validate </w:t>
      </w:r>
      <w:r w:rsidRPr="000C642D">
        <w:rPr>
          <w:rStyle w:val="A1"/>
          <w:rFonts w:ascii="Times New Roman" w:hAnsi="Times New Roman" w:cs="Times New Roman"/>
          <w:sz w:val="24"/>
          <w:szCs w:val="24"/>
          <w:lang w:val="en-GB"/>
        </w:rPr>
        <w:t>Wisconsin Stone Quality of Life (WISQOL)</w:t>
      </w:r>
      <w:r w:rsidR="0016219F">
        <w:rPr>
          <w:rStyle w:val="A1"/>
          <w:rFonts w:ascii="Times New Roman" w:hAnsi="Times New Roman" w:cs="Times New Roman"/>
          <w:sz w:val="24"/>
          <w:szCs w:val="24"/>
          <w:lang w:val="en-GB"/>
        </w:rPr>
        <w:t xml:space="preserve"> Questionnaire into Slovak language and to </w:t>
      </w:r>
      <w:r w:rsidR="0016219F" w:rsidRPr="000C642D">
        <w:rPr>
          <w:rFonts w:ascii="Times New Roman" w:hAnsi="Times New Roman" w:cs="Times New Roman"/>
          <w:sz w:val="24"/>
          <w:szCs w:val="24"/>
          <w:lang w:val="en-GB"/>
        </w:rPr>
        <w:t xml:space="preserve">compare </w:t>
      </w:r>
      <w:r w:rsidR="0016219F" w:rsidRPr="000C642D">
        <w:rPr>
          <w:rStyle w:val="A1"/>
          <w:rFonts w:ascii="Times New Roman" w:hAnsi="Times New Roman" w:cs="Times New Roman"/>
          <w:sz w:val="24"/>
          <w:szCs w:val="24"/>
          <w:lang w:val="en-GB"/>
        </w:rPr>
        <w:t>the change in the</w:t>
      </w:r>
      <w:r w:rsidRPr="000C642D">
        <w:rPr>
          <w:rStyle w:val="A1"/>
          <w:rFonts w:ascii="Times New Roman" w:hAnsi="Times New Roman" w:cs="Times New Roman"/>
          <w:sz w:val="24"/>
          <w:szCs w:val="24"/>
          <w:lang w:val="en-GB"/>
        </w:rPr>
        <w:t xml:space="preserve"> </w:t>
      </w:r>
      <w:r w:rsidR="0016219F">
        <w:rPr>
          <w:rStyle w:val="A1"/>
          <w:rFonts w:ascii="Times New Roman" w:hAnsi="Times New Roman" w:cs="Times New Roman"/>
          <w:sz w:val="24"/>
          <w:szCs w:val="24"/>
          <w:lang w:val="en-GB"/>
        </w:rPr>
        <w:t xml:space="preserve">WISQOL </w:t>
      </w:r>
      <w:r w:rsidRPr="000C642D">
        <w:rPr>
          <w:rStyle w:val="A1"/>
          <w:rFonts w:ascii="Times New Roman" w:hAnsi="Times New Roman" w:cs="Times New Roman"/>
          <w:sz w:val="24"/>
          <w:szCs w:val="24"/>
          <w:lang w:val="en-GB"/>
        </w:rPr>
        <w:t>score in patients who underwent single-use ureteroscope-operated retrograde intrarenal surgery (</w:t>
      </w:r>
      <w:r w:rsidR="0016219F">
        <w:rPr>
          <w:rStyle w:val="A1"/>
          <w:rFonts w:ascii="Times New Roman" w:hAnsi="Times New Roman" w:cs="Times New Roman"/>
          <w:sz w:val="24"/>
          <w:szCs w:val="24"/>
          <w:lang w:val="en-GB"/>
        </w:rPr>
        <w:t>RI</w:t>
      </w:r>
      <w:r w:rsidRPr="000C642D">
        <w:rPr>
          <w:rStyle w:val="A1"/>
          <w:rFonts w:ascii="Times New Roman" w:hAnsi="Times New Roman" w:cs="Times New Roman"/>
          <w:sz w:val="24"/>
          <w:szCs w:val="24"/>
          <w:lang w:val="en-GB"/>
        </w:rPr>
        <w:t>RS) or extracorporeal shock wave lithotripsy (ESWL) with a calculation of quality-adjusted life-years (QALYs).</w:t>
      </w:r>
    </w:p>
    <w:p w14:paraId="2D1B2FF9" w14:textId="4F72DF7A" w:rsidR="00644522" w:rsidRPr="000C642D" w:rsidRDefault="00644522" w:rsidP="00644522">
      <w:pPr>
        <w:pStyle w:val="Default"/>
        <w:spacing w:line="360" w:lineRule="auto"/>
        <w:jc w:val="both"/>
        <w:rPr>
          <w:rFonts w:ascii="Times New Roman" w:hAnsi="Times New Roman" w:cs="Times New Roman"/>
          <w:strike/>
          <w:lang w:val="en-GB"/>
        </w:rPr>
      </w:pPr>
      <w:r w:rsidRPr="00644522">
        <w:rPr>
          <w:rFonts w:ascii="Times New Roman" w:hAnsi="Times New Roman" w:cs="Times New Roman"/>
          <w:b/>
          <w:lang w:val="en-GB"/>
        </w:rPr>
        <w:t>Methods:</w:t>
      </w:r>
      <w:r w:rsidRPr="000C642D">
        <w:rPr>
          <w:rFonts w:ascii="Times New Roman" w:hAnsi="Times New Roman" w:cs="Times New Roman"/>
          <w:lang w:val="en-GB"/>
        </w:rPr>
        <w:t xml:space="preserve"> </w:t>
      </w:r>
      <w:r w:rsidRPr="000C642D">
        <w:rPr>
          <w:rFonts w:ascii="Times New Roman" w:hAnsi="Times New Roman" w:cs="Times New Roman"/>
          <w:spacing w:val="2"/>
          <w:lang w:val="en-GB"/>
        </w:rPr>
        <w:t xml:space="preserve">158 patients treated with urinary stone disease </w:t>
      </w:r>
      <w:r w:rsidRPr="000C642D">
        <w:rPr>
          <w:rFonts w:ascii="Times New Roman" w:hAnsi="Times New Roman" w:cs="Times New Roman"/>
          <w:lang w:val="en-GB"/>
        </w:rPr>
        <w:t xml:space="preserve">were randomly divided into 80 patients in the validation and 78 patients in the intervention arm. Patients in the intervention arm were randomly divided into the </w:t>
      </w:r>
      <w:r w:rsidR="00E26032">
        <w:rPr>
          <w:rFonts w:ascii="Times New Roman" w:hAnsi="Times New Roman" w:cs="Times New Roman"/>
          <w:lang w:val="en-GB"/>
        </w:rPr>
        <w:t>RI</w:t>
      </w:r>
      <w:r w:rsidRPr="000C642D">
        <w:rPr>
          <w:rFonts w:ascii="Times New Roman" w:hAnsi="Times New Roman" w:cs="Times New Roman"/>
          <w:lang w:val="en-GB"/>
        </w:rPr>
        <w:t>RS</w:t>
      </w:r>
      <w:r w:rsidR="00E10F1D">
        <w:rPr>
          <w:rFonts w:ascii="Times New Roman" w:hAnsi="Times New Roman" w:cs="Times New Roman"/>
          <w:lang w:val="en-GB"/>
        </w:rPr>
        <w:t xml:space="preserve"> (34)</w:t>
      </w:r>
      <w:r w:rsidRPr="000C642D">
        <w:rPr>
          <w:rFonts w:ascii="Times New Roman" w:hAnsi="Times New Roman" w:cs="Times New Roman"/>
          <w:lang w:val="en-GB"/>
        </w:rPr>
        <w:t xml:space="preserve"> or the ESWL</w:t>
      </w:r>
      <w:r w:rsidR="00E10F1D">
        <w:rPr>
          <w:rFonts w:ascii="Times New Roman" w:hAnsi="Times New Roman" w:cs="Times New Roman"/>
          <w:lang w:val="en-GB"/>
        </w:rPr>
        <w:t xml:space="preserve"> (32)</w:t>
      </w:r>
      <w:r w:rsidRPr="000C642D">
        <w:rPr>
          <w:rFonts w:ascii="Times New Roman" w:hAnsi="Times New Roman" w:cs="Times New Roman"/>
          <w:lang w:val="en-GB"/>
        </w:rPr>
        <w:t xml:space="preserve"> group. </w:t>
      </w:r>
      <w:r w:rsidRPr="000C642D">
        <w:rPr>
          <w:rStyle w:val="A1"/>
          <w:rFonts w:ascii="Times New Roman" w:hAnsi="Times New Roman" w:cs="Times New Roman"/>
          <w:sz w:val="24"/>
          <w:szCs w:val="24"/>
          <w:lang w:val="en-GB"/>
        </w:rPr>
        <w:t xml:space="preserve">Linguistic validation of the WISQOL into the Slovak language was performed using a standardised multistep process. </w:t>
      </w:r>
      <w:r w:rsidRPr="000C642D">
        <w:rPr>
          <w:rFonts w:ascii="Times New Roman" w:hAnsi="Times New Roman" w:cs="Times New Roman"/>
          <w:spacing w:val="2"/>
          <w:lang w:val="en-GB"/>
        </w:rPr>
        <w:t>D</w:t>
      </w:r>
      <w:r w:rsidRPr="000C642D">
        <w:rPr>
          <w:rFonts w:ascii="Times New Roman" w:hAnsi="Times New Roman" w:cs="Times New Roman"/>
          <w:lang w:val="en-GB"/>
        </w:rPr>
        <w:t xml:space="preserve">iscriminant validity was assessed by comparing stone-forming patients </w:t>
      </w:r>
      <w:r w:rsidR="00E10F1D">
        <w:rPr>
          <w:rFonts w:ascii="Times New Roman" w:hAnsi="Times New Roman" w:cs="Times New Roman"/>
          <w:lang w:val="en-GB"/>
        </w:rPr>
        <w:t xml:space="preserve">(52 of 80) </w:t>
      </w:r>
      <w:r w:rsidRPr="000C642D">
        <w:rPr>
          <w:rFonts w:ascii="Times New Roman" w:hAnsi="Times New Roman" w:cs="Times New Roman"/>
          <w:lang w:val="en-GB"/>
        </w:rPr>
        <w:t xml:space="preserve">to an additional 34 </w:t>
      </w:r>
      <w:r w:rsidR="00E10F1D">
        <w:rPr>
          <w:rFonts w:ascii="Times New Roman" w:hAnsi="Times New Roman" w:cs="Times New Roman"/>
          <w:lang w:val="en-GB"/>
        </w:rPr>
        <w:t xml:space="preserve">(of 45) </w:t>
      </w:r>
      <w:r w:rsidRPr="000C642D">
        <w:rPr>
          <w:rFonts w:ascii="Times New Roman" w:hAnsi="Times New Roman" w:cs="Times New Roman"/>
          <w:lang w:val="en-GB"/>
        </w:rPr>
        <w:t xml:space="preserve">healthy individuals. Patients </w:t>
      </w:r>
      <w:r w:rsidR="00E10F1D">
        <w:rPr>
          <w:rFonts w:ascii="Times New Roman" w:hAnsi="Times New Roman" w:cs="Times New Roman"/>
          <w:lang w:val="en-GB"/>
        </w:rPr>
        <w:t xml:space="preserve">in the intervention arm </w:t>
      </w:r>
      <w:r w:rsidRPr="000C642D">
        <w:rPr>
          <w:rFonts w:ascii="Times New Roman" w:hAnsi="Times New Roman" w:cs="Times New Roman"/>
          <w:lang w:val="en-GB"/>
        </w:rPr>
        <w:t>were asked to fill in the WISQOL before and in the 24</w:t>
      </w:r>
      <w:r w:rsidRPr="000C642D">
        <w:rPr>
          <w:rFonts w:ascii="Times New Roman" w:hAnsi="Times New Roman" w:cs="Times New Roman"/>
          <w:vertAlign w:val="superscript"/>
          <w:lang w:val="en-GB"/>
        </w:rPr>
        <w:t>th</w:t>
      </w:r>
      <w:r w:rsidRPr="000C642D">
        <w:rPr>
          <w:rFonts w:ascii="Times New Roman" w:hAnsi="Times New Roman" w:cs="Times New Roman"/>
          <w:lang w:val="en-GB"/>
        </w:rPr>
        <w:t xml:space="preserve"> week after the intervention. The QALYs were calculated by the formula QALY = weight factor (WF) x time period after intervention.</w:t>
      </w:r>
    </w:p>
    <w:p w14:paraId="070C3762" w14:textId="1D91F31F" w:rsidR="00644522" w:rsidRPr="000C642D" w:rsidRDefault="00644522" w:rsidP="00644522">
      <w:pPr>
        <w:spacing w:after="0" w:line="360" w:lineRule="auto"/>
        <w:jc w:val="both"/>
        <w:rPr>
          <w:rFonts w:ascii="Times New Roman" w:hAnsi="Times New Roman" w:cs="Times New Roman"/>
          <w:sz w:val="24"/>
          <w:szCs w:val="24"/>
          <w:lang w:val="en-GB"/>
        </w:rPr>
      </w:pPr>
      <w:r w:rsidRPr="00644522">
        <w:rPr>
          <w:rFonts w:ascii="Times New Roman" w:hAnsi="Times New Roman" w:cs="Times New Roman"/>
          <w:b/>
          <w:sz w:val="24"/>
          <w:szCs w:val="24"/>
          <w:lang w:val="en-GB"/>
        </w:rPr>
        <w:t>Results:</w:t>
      </w:r>
      <w:r w:rsidRPr="000C642D">
        <w:rPr>
          <w:rFonts w:ascii="Times New Roman" w:hAnsi="Times New Roman" w:cs="Times New Roman"/>
          <w:sz w:val="24"/>
          <w:szCs w:val="24"/>
          <w:lang w:val="en-GB"/>
        </w:rPr>
        <w:t xml:space="preserve"> The Cronbach’s α of the </w:t>
      </w:r>
      <w:r w:rsidRPr="000C642D">
        <w:rPr>
          <w:rStyle w:val="A1"/>
          <w:rFonts w:ascii="Times New Roman" w:hAnsi="Times New Roman" w:cs="Times New Roman"/>
          <w:sz w:val="24"/>
          <w:szCs w:val="24"/>
          <w:lang w:val="en-GB"/>
        </w:rPr>
        <w:t xml:space="preserve">WISQOL </w:t>
      </w:r>
      <w:r w:rsidRPr="000C642D">
        <w:rPr>
          <w:rFonts w:ascii="Times New Roman" w:hAnsi="Times New Roman" w:cs="Times New Roman"/>
          <w:sz w:val="24"/>
          <w:szCs w:val="24"/>
          <w:lang w:val="en-GB"/>
        </w:rPr>
        <w:t xml:space="preserve">was 0.94, the Pearson’s coefficient for test-retest reliability was 0.91, and the discriminant validity confirmed a higher score for </w:t>
      </w:r>
      <w:r w:rsidRPr="000C642D">
        <w:rPr>
          <w:rFonts w:ascii="Times New Roman" w:hAnsi="Times New Roman" w:cs="Times New Roman"/>
          <w:spacing w:val="2"/>
          <w:sz w:val="24"/>
          <w:szCs w:val="24"/>
          <w:lang w:val="en-GB"/>
        </w:rPr>
        <w:t xml:space="preserve">healthy individuals </w:t>
      </w:r>
      <w:r w:rsidRPr="000C642D">
        <w:rPr>
          <w:rFonts w:ascii="Times New Roman" w:hAnsi="Times New Roman" w:cs="Times New Roman"/>
          <w:sz w:val="24"/>
          <w:szCs w:val="24"/>
          <w:lang w:val="en-GB"/>
        </w:rPr>
        <w:t xml:space="preserve">(p &lt;0.001). The median WISQOL score changed from 45.5 to 95.5 vs. 33.9 to 87.1 in the RIRS and ESWL groups, respectively (p&lt;0.001). Patients from the </w:t>
      </w:r>
      <w:r w:rsidR="00E26032">
        <w:rPr>
          <w:rFonts w:ascii="Times New Roman" w:hAnsi="Times New Roman" w:cs="Times New Roman"/>
          <w:sz w:val="24"/>
          <w:szCs w:val="24"/>
          <w:lang w:val="en-GB"/>
        </w:rPr>
        <w:t>RI</w:t>
      </w:r>
      <w:r w:rsidRPr="000C642D">
        <w:rPr>
          <w:rFonts w:ascii="Times New Roman" w:hAnsi="Times New Roman" w:cs="Times New Roman"/>
          <w:sz w:val="24"/>
          <w:szCs w:val="24"/>
          <w:lang w:val="en-GB"/>
        </w:rPr>
        <w:t xml:space="preserve">RS group had a good possibility of reaching 19.727 QALYs gained during life expectancy compared to 15.780 for the ESWL group (p&lt;0.001). </w:t>
      </w:r>
    </w:p>
    <w:p w14:paraId="7AB553FF" w14:textId="77777777" w:rsidR="00644522" w:rsidRPr="000C642D" w:rsidRDefault="00644522" w:rsidP="00644522">
      <w:pPr>
        <w:spacing w:after="0" w:line="360" w:lineRule="auto"/>
        <w:jc w:val="both"/>
        <w:rPr>
          <w:rFonts w:ascii="Times New Roman" w:hAnsi="Times New Roman" w:cs="Times New Roman"/>
          <w:sz w:val="24"/>
          <w:szCs w:val="24"/>
          <w:lang w:val="en-GB"/>
        </w:rPr>
      </w:pPr>
      <w:r w:rsidRPr="00644522">
        <w:rPr>
          <w:rFonts w:ascii="Times New Roman" w:hAnsi="Times New Roman" w:cs="Times New Roman"/>
          <w:b/>
          <w:sz w:val="24"/>
          <w:szCs w:val="24"/>
          <w:lang w:val="en-GB"/>
        </w:rPr>
        <w:t>Conclusion:</w:t>
      </w:r>
      <w:r w:rsidRPr="000C642D">
        <w:rPr>
          <w:rFonts w:ascii="Times New Roman" w:hAnsi="Times New Roman" w:cs="Times New Roman"/>
          <w:sz w:val="24"/>
          <w:szCs w:val="24"/>
          <w:lang w:val="en-GB"/>
        </w:rPr>
        <w:t xml:space="preserve"> Single-use ureteroscope operated RIRS is significantly superior to ESWL in reaching more QALYs gained during life expectancy. The WISQOL Slovak version is </w:t>
      </w:r>
      <w:r w:rsidRPr="000C642D">
        <w:rPr>
          <w:rFonts w:ascii="Times New Roman" w:hAnsi="Times New Roman" w:cs="Times New Roman"/>
          <w:sz w:val="24"/>
          <w:szCs w:val="24"/>
          <w:lang w:val="en-GB" w:eastAsia="sk-SK"/>
        </w:rPr>
        <w:t>valid, reliable and strictly specific for stone-forming patients.</w:t>
      </w:r>
    </w:p>
    <w:p w14:paraId="21372AA4" w14:textId="77777777" w:rsidR="00644522" w:rsidRPr="00DA07E4" w:rsidRDefault="00644522" w:rsidP="00DA07E4">
      <w:pPr>
        <w:spacing w:after="0" w:line="360" w:lineRule="auto"/>
        <w:jc w:val="both"/>
        <w:rPr>
          <w:rFonts w:ascii="Times New Roman" w:hAnsi="Times New Roman" w:cs="Times New Roman"/>
          <w:b/>
          <w:sz w:val="24"/>
          <w:szCs w:val="24"/>
        </w:rPr>
      </w:pPr>
    </w:p>
    <w:p w14:paraId="17E18E3F" w14:textId="77777777" w:rsidR="00DA07E4" w:rsidRPr="00DA07E4" w:rsidRDefault="00DA07E4" w:rsidP="00DA07E4">
      <w:pPr>
        <w:autoSpaceDE w:val="0"/>
        <w:autoSpaceDN w:val="0"/>
        <w:adjustRightInd w:val="0"/>
        <w:spacing w:after="0" w:line="360" w:lineRule="auto"/>
        <w:jc w:val="both"/>
        <w:rPr>
          <w:rStyle w:val="A1"/>
          <w:rFonts w:ascii="Times New Roman" w:hAnsi="Times New Roman" w:cs="Times New Roman"/>
          <w:color w:val="auto"/>
          <w:sz w:val="24"/>
          <w:szCs w:val="24"/>
        </w:rPr>
      </w:pPr>
      <w:r w:rsidRPr="00DA07E4">
        <w:rPr>
          <w:rStyle w:val="A1"/>
          <w:rFonts w:ascii="Times New Roman" w:hAnsi="Times New Roman" w:cs="Times New Roman"/>
          <w:b/>
          <w:bCs/>
          <w:color w:val="auto"/>
          <w:sz w:val="24"/>
          <w:szCs w:val="24"/>
        </w:rPr>
        <w:t>Keywords:</w:t>
      </w:r>
      <w:r w:rsidRPr="00DA07E4">
        <w:rPr>
          <w:rStyle w:val="A1"/>
          <w:rFonts w:ascii="Times New Roman" w:hAnsi="Times New Roman" w:cs="Times New Roman"/>
          <w:color w:val="auto"/>
          <w:sz w:val="24"/>
          <w:szCs w:val="24"/>
        </w:rPr>
        <w:t xml:space="preserve"> urolithiasis, </w:t>
      </w:r>
      <w:r w:rsidRPr="00DA07E4">
        <w:rPr>
          <w:rFonts w:ascii="Times New Roman" w:hAnsi="Times New Roman" w:cs="Times New Roman"/>
          <w:sz w:val="24"/>
          <w:szCs w:val="24"/>
          <w:shd w:val="clear" w:color="auto" w:fill="FFFFFF"/>
        </w:rPr>
        <w:t>health-related quality of life</w:t>
      </w:r>
      <w:r w:rsidRPr="00DA07E4">
        <w:rPr>
          <w:rStyle w:val="A1"/>
          <w:rFonts w:ascii="Times New Roman" w:hAnsi="Times New Roman" w:cs="Times New Roman"/>
          <w:color w:val="auto"/>
          <w:sz w:val="24"/>
          <w:szCs w:val="24"/>
        </w:rPr>
        <w:t>, HRQOL, ESWL, RIRS, WISQOL</w:t>
      </w:r>
    </w:p>
    <w:p w14:paraId="431AD1F7" w14:textId="77777777" w:rsidR="00DA07E4" w:rsidRPr="00DA07E4" w:rsidRDefault="00DA07E4" w:rsidP="00DA07E4">
      <w:pPr>
        <w:spacing w:after="0" w:line="360" w:lineRule="auto"/>
        <w:jc w:val="both"/>
        <w:rPr>
          <w:rFonts w:ascii="Times New Roman" w:hAnsi="Times New Roman" w:cs="Times New Roman"/>
          <w:b/>
          <w:sz w:val="24"/>
          <w:szCs w:val="24"/>
        </w:rPr>
      </w:pPr>
    </w:p>
    <w:p w14:paraId="1DCBE7F3" w14:textId="77777777" w:rsidR="0035621D" w:rsidRPr="00DA07E4" w:rsidRDefault="0035621D" w:rsidP="00DA07E4">
      <w:pPr>
        <w:spacing w:after="0" w:line="360" w:lineRule="auto"/>
        <w:jc w:val="both"/>
        <w:rPr>
          <w:rFonts w:ascii="Times New Roman" w:hAnsi="Times New Roman" w:cs="Times New Roman"/>
          <w:b/>
          <w:sz w:val="24"/>
          <w:szCs w:val="24"/>
        </w:rPr>
      </w:pPr>
    </w:p>
    <w:p w14:paraId="1156BEBB" w14:textId="77777777" w:rsidR="0035621D" w:rsidRPr="00DA07E4" w:rsidRDefault="0035621D" w:rsidP="00DA07E4">
      <w:pPr>
        <w:spacing w:after="0" w:line="360" w:lineRule="auto"/>
        <w:jc w:val="both"/>
        <w:rPr>
          <w:rFonts w:ascii="Times New Roman" w:hAnsi="Times New Roman" w:cs="Times New Roman"/>
          <w:b/>
          <w:sz w:val="24"/>
          <w:szCs w:val="24"/>
        </w:rPr>
      </w:pPr>
    </w:p>
    <w:p w14:paraId="70E3CC9A" w14:textId="77777777" w:rsidR="0035621D" w:rsidRPr="00DA07E4" w:rsidRDefault="0035621D" w:rsidP="00DA07E4">
      <w:pPr>
        <w:spacing w:after="0" w:line="360" w:lineRule="auto"/>
        <w:jc w:val="both"/>
        <w:rPr>
          <w:rFonts w:ascii="Times New Roman" w:hAnsi="Times New Roman" w:cs="Times New Roman"/>
          <w:b/>
          <w:sz w:val="24"/>
          <w:szCs w:val="24"/>
        </w:rPr>
      </w:pPr>
    </w:p>
    <w:p w14:paraId="5618B980" w14:textId="77777777" w:rsidR="0035621D" w:rsidRPr="00DA07E4" w:rsidRDefault="0035621D" w:rsidP="00DA07E4">
      <w:pPr>
        <w:spacing w:after="0" w:line="360" w:lineRule="auto"/>
        <w:jc w:val="both"/>
        <w:rPr>
          <w:rFonts w:ascii="Times New Roman" w:hAnsi="Times New Roman" w:cs="Times New Roman"/>
          <w:b/>
          <w:sz w:val="24"/>
          <w:szCs w:val="24"/>
        </w:rPr>
      </w:pPr>
    </w:p>
    <w:p w14:paraId="1891BCC7" w14:textId="77777777" w:rsidR="0035621D" w:rsidRPr="00DA07E4" w:rsidRDefault="0035621D" w:rsidP="00DA07E4">
      <w:pPr>
        <w:spacing w:after="0" w:line="360" w:lineRule="auto"/>
        <w:jc w:val="both"/>
        <w:rPr>
          <w:rFonts w:ascii="Times New Roman" w:hAnsi="Times New Roman" w:cs="Times New Roman"/>
          <w:b/>
          <w:sz w:val="24"/>
          <w:szCs w:val="24"/>
        </w:rPr>
      </w:pPr>
    </w:p>
    <w:p w14:paraId="5A19C10E" w14:textId="77777777" w:rsidR="00916AC0" w:rsidRDefault="00916AC0">
      <w:pPr>
        <w:rPr>
          <w:rFonts w:ascii="Times New Roman" w:hAnsi="Times New Roman" w:cs="Times New Roman"/>
          <w:b/>
          <w:sz w:val="24"/>
          <w:szCs w:val="24"/>
        </w:rPr>
      </w:pPr>
      <w:r>
        <w:rPr>
          <w:rFonts w:ascii="Times New Roman" w:hAnsi="Times New Roman" w:cs="Times New Roman"/>
          <w:b/>
          <w:sz w:val="24"/>
          <w:szCs w:val="24"/>
        </w:rPr>
        <w:br w:type="page"/>
      </w:r>
    </w:p>
    <w:p w14:paraId="73EE920F" w14:textId="5E1155E9" w:rsidR="0035621D" w:rsidRPr="00DA07E4" w:rsidRDefault="00DA07E4" w:rsidP="00DA07E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ÚVOD</w:t>
      </w:r>
    </w:p>
    <w:p w14:paraId="452ACB32" w14:textId="77777777" w:rsidR="0035621D" w:rsidRPr="00DA07E4" w:rsidRDefault="0035621D" w:rsidP="00DA07E4">
      <w:pPr>
        <w:spacing w:after="0" w:line="360" w:lineRule="auto"/>
        <w:jc w:val="both"/>
        <w:rPr>
          <w:rFonts w:ascii="Times New Roman" w:hAnsi="Times New Roman" w:cs="Times New Roman"/>
          <w:b/>
          <w:sz w:val="24"/>
          <w:szCs w:val="24"/>
        </w:rPr>
      </w:pPr>
    </w:p>
    <w:p w14:paraId="366B2EEF" w14:textId="10B0ABF5" w:rsidR="005A0250" w:rsidRDefault="00916AC0" w:rsidP="00D25E45">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rPr>
        <w:t xml:space="preserve">Pre lekársku vedu je veľkou výzvou psychometricky objektivizovať a zhodnotiť subjektívnu kvalitu života pacientov. </w:t>
      </w:r>
      <w:r w:rsidRPr="00DA07E4">
        <w:rPr>
          <w:rFonts w:ascii="Times New Roman" w:hAnsi="Times New Roman" w:cs="Times New Roman"/>
          <w:sz w:val="24"/>
          <w:szCs w:val="24"/>
          <w:shd w:val="clear" w:color="auto" w:fill="FFFFFF"/>
        </w:rPr>
        <w:t xml:space="preserve">Urolitiáza je ochorenie, ktoré sprevádzajú komplikácie akútne aj chronické a preto má zásadný vplyv na celkovú kvalitu života pacientov. </w:t>
      </w:r>
    </w:p>
    <w:p w14:paraId="64C1A02E" w14:textId="77777777" w:rsidR="005A0250" w:rsidRDefault="005A0250" w:rsidP="00D25E45">
      <w:pPr>
        <w:spacing w:after="0" w:line="360" w:lineRule="auto"/>
        <w:ind w:firstLine="708"/>
        <w:jc w:val="both"/>
        <w:rPr>
          <w:rFonts w:ascii="Times New Roman" w:hAnsi="Times New Roman" w:cs="Times New Roman"/>
          <w:sz w:val="24"/>
          <w:szCs w:val="24"/>
          <w:shd w:val="clear" w:color="auto" w:fill="FFFFFF"/>
        </w:rPr>
      </w:pPr>
    </w:p>
    <w:p w14:paraId="05CDC12A" w14:textId="732AFE2B" w:rsidR="005A0250" w:rsidRDefault="005A0250" w:rsidP="005A0250">
      <w:pPr>
        <w:spacing w:after="0" w:line="360" w:lineRule="auto"/>
        <w:ind w:firstLine="708"/>
        <w:jc w:val="both"/>
        <w:rPr>
          <w:rStyle w:val="A1"/>
          <w:rFonts w:ascii="Times New Roman" w:hAnsi="Times New Roman" w:cs="Times New Roman"/>
          <w:color w:val="auto"/>
          <w:sz w:val="24"/>
          <w:szCs w:val="24"/>
        </w:rPr>
      </w:pPr>
      <w:r w:rsidRPr="00B74799">
        <w:rPr>
          <w:rFonts w:ascii="Times New Roman" w:hAnsi="Times New Roman" w:cs="Times New Roman"/>
          <w:sz w:val="24"/>
          <w:szCs w:val="24"/>
        </w:rPr>
        <w:t xml:space="preserve">Kvalita života v medicíne vychádza z definície zdravia od Svetovej zdravotníckej organizácie WHO: Zdravie je stav celkovej fyzickej, duševnej a sociálnej pohody, nie len neprítomnosť choroby. Stretávame sa so skratkou HRQOL – health-related quality of life – kvalita vzťahovaná ku zdraviu. Hodnotenie kvality života nesie so sebou viacero úskalí. Veľkou výzvou je objektivizovať a zhodnotiť túto subjektívnu veličinu. Zároveň je zrejmé, že kvalitu života najpresnejšie zhodnotí dotazník (v anglickej literatúre „instrument“ alebo „tool“), ktorý je ochorenie-špecifický. Pre pacientov s urolitiázou bol v roku 2017 vyvinutý dotazník </w:t>
      </w:r>
      <w:r w:rsidRPr="00B74799">
        <w:rPr>
          <w:rStyle w:val="A1"/>
          <w:rFonts w:ascii="Times New Roman" w:hAnsi="Times New Roman" w:cs="Times New Roman"/>
          <w:color w:val="auto"/>
          <w:sz w:val="24"/>
          <w:szCs w:val="24"/>
        </w:rPr>
        <w:t>Wisconsin Stone-Quality of Life Questionnaire (WISQOL)</w:t>
      </w:r>
      <w:r>
        <w:rPr>
          <w:rStyle w:val="A1"/>
          <w:rFonts w:ascii="Times New Roman" w:hAnsi="Times New Roman" w:cs="Times New Roman"/>
          <w:color w:val="auto"/>
          <w:sz w:val="24"/>
          <w:szCs w:val="24"/>
        </w:rPr>
        <w:t xml:space="preserve"> (Penniston et al., 2017)</w:t>
      </w:r>
      <w:r w:rsidRPr="00B74799">
        <w:rPr>
          <w:rStyle w:val="A1"/>
          <w:rFonts w:ascii="Times New Roman" w:hAnsi="Times New Roman" w:cs="Times New Roman"/>
          <w:color w:val="auto"/>
          <w:sz w:val="24"/>
          <w:szCs w:val="24"/>
        </w:rPr>
        <w:t>. Takýto dotazník nielen vyjadrí kvalitu života pacienta, ale je určený aj na výskum liečby urolitiázy.</w:t>
      </w:r>
    </w:p>
    <w:p w14:paraId="5365A251" w14:textId="77777777" w:rsidR="005A0250" w:rsidRPr="00B74799" w:rsidRDefault="005A0250" w:rsidP="005A0250">
      <w:pPr>
        <w:spacing w:after="0" w:line="360" w:lineRule="auto"/>
        <w:ind w:firstLine="708"/>
        <w:jc w:val="both"/>
        <w:rPr>
          <w:rStyle w:val="A1"/>
          <w:rFonts w:ascii="Times New Roman" w:hAnsi="Times New Roman" w:cs="Times New Roman"/>
          <w:color w:val="auto"/>
          <w:sz w:val="24"/>
          <w:szCs w:val="24"/>
        </w:rPr>
      </w:pPr>
    </w:p>
    <w:p w14:paraId="531BA5F9" w14:textId="64F8EFDB" w:rsidR="0035621D" w:rsidRDefault="00916AC0" w:rsidP="00D25E45">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 xml:space="preserve">Pri nefrolitiáze je na výber nieľko možností operatívy, spomedzi menej invazívnych zákrokov je to hlavne </w:t>
      </w:r>
      <w:r w:rsidRPr="00DA07E4">
        <w:rPr>
          <w:rFonts w:ascii="Times New Roman" w:hAnsi="Times New Roman" w:cs="Times New Roman"/>
          <w:sz w:val="24"/>
          <w:szCs w:val="24"/>
        </w:rPr>
        <w:t xml:space="preserve">litotripsia mimotelovými rázovými vlnami (z angl. Extracorporeal Shock Wave Lithotripsy, ESWL) </w:t>
      </w:r>
      <w:r w:rsidRPr="00DA07E4">
        <w:rPr>
          <w:rStyle w:val="A1"/>
          <w:rFonts w:ascii="Times New Roman" w:hAnsi="Times New Roman" w:cs="Times New Roman"/>
          <w:color w:val="auto"/>
          <w:sz w:val="24"/>
          <w:szCs w:val="24"/>
        </w:rPr>
        <w:t>a ureterorenoskopia (URS</w:t>
      </w:r>
      <w:r w:rsidR="00E26032">
        <w:rPr>
          <w:rStyle w:val="A1"/>
          <w:rFonts w:ascii="Times New Roman" w:hAnsi="Times New Roman" w:cs="Times New Roman"/>
          <w:color w:val="auto"/>
          <w:sz w:val="24"/>
          <w:szCs w:val="24"/>
        </w:rPr>
        <w:t>, RIRS</w:t>
      </w:r>
      <w:r w:rsidRPr="00DA07E4">
        <w:rPr>
          <w:rStyle w:val="A1"/>
          <w:rFonts w:ascii="Times New Roman" w:hAnsi="Times New Roman" w:cs="Times New Roman"/>
          <w:color w:val="auto"/>
          <w:sz w:val="24"/>
          <w:szCs w:val="24"/>
        </w:rPr>
        <w:t>). Ich správna indikácia je stále predmetom diskusie a do veľkej miery závisí od skúseností pracoviska. Aplikácia výskumu kvality života pacientov môže výrazne pomôcť v diagnostickej rozvahe a zlepšiť indikáciu liečby.</w:t>
      </w:r>
    </w:p>
    <w:p w14:paraId="0DE4F1ED" w14:textId="77777777" w:rsidR="005A0250" w:rsidRDefault="005A0250" w:rsidP="00D25E45">
      <w:pPr>
        <w:spacing w:after="0" w:line="360" w:lineRule="auto"/>
        <w:ind w:firstLine="708"/>
        <w:jc w:val="both"/>
        <w:rPr>
          <w:rStyle w:val="A1"/>
          <w:rFonts w:ascii="Times New Roman" w:hAnsi="Times New Roman" w:cs="Times New Roman"/>
          <w:color w:val="auto"/>
          <w:sz w:val="24"/>
          <w:szCs w:val="24"/>
        </w:rPr>
      </w:pPr>
    </w:p>
    <w:p w14:paraId="1C42CACD" w14:textId="2C27DF5D" w:rsidR="005A0250" w:rsidRPr="00DA07E4" w:rsidRDefault="005A0250" w:rsidP="005A0250">
      <w:pPr>
        <w:spacing w:after="0" w:line="360" w:lineRule="auto"/>
        <w:ind w:firstLine="708"/>
        <w:jc w:val="both"/>
        <w:rPr>
          <w:rFonts w:ascii="Times New Roman" w:hAnsi="Times New Roman" w:cs="Times New Roman"/>
          <w:b/>
          <w:sz w:val="24"/>
          <w:szCs w:val="24"/>
        </w:rPr>
      </w:pPr>
      <w:r w:rsidRPr="00B74799">
        <w:rPr>
          <w:rStyle w:val="A1"/>
          <w:rFonts w:ascii="Times New Roman" w:hAnsi="Times New Roman" w:cs="Times New Roman"/>
          <w:color w:val="auto"/>
          <w:sz w:val="24"/>
          <w:szCs w:val="24"/>
        </w:rPr>
        <w:t>V prvej časti práce je uvedený prehľad etiológie urolitiázy, diagnostika</w:t>
      </w:r>
      <w:r>
        <w:rPr>
          <w:rStyle w:val="A1"/>
          <w:rFonts w:ascii="Times New Roman" w:hAnsi="Times New Roman" w:cs="Times New Roman"/>
          <w:color w:val="auto"/>
          <w:sz w:val="24"/>
          <w:szCs w:val="24"/>
        </w:rPr>
        <w:t xml:space="preserve"> ochorenia</w:t>
      </w:r>
      <w:r w:rsidRPr="00B74799">
        <w:rPr>
          <w:rStyle w:val="A1"/>
          <w:rFonts w:ascii="Times New Roman" w:hAnsi="Times New Roman" w:cs="Times New Roman"/>
          <w:color w:val="auto"/>
          <w:sz w:val="24"/>
          <w:szCs w:val="24"/>
        </w:rPr>
        <w:t xml:space="preserve"> a</w:t>
      </w:r>
      <w:r>
        <w:rPr>
          <w:rStyle w:val="A1"/>
          <w:rFonts w:ascii="Times New Roman" w:hAnsi="Times New Roman" w:cs="Times New Roman"/>
          <w:color w:val="auto"/>
          <w:sz w:val="24"/>
          <w:szCs w:val="24"/>
        </w:rPr>
        <w:t> typy operačnej liečby</w:t>
      </w:r>
      <w:r w:rsidRPr="00B74799">
        <w:rPr>
          <w:rStyle w:val="A1"/>
          <w:rFonts w:ascii="Times New Roman" w:hAnsi="Times New Roman" w:cs="Times New Roman"/>
          <w:color w:val="auto"/>
          <w:sz w:val="24"/>
          <w:szCs w:val="24"/>
        </w:rPr>
        <w:t xml:space="preserve">. Táto časť obsahuje aj kapitolu, v ktorej sú uvedené základné aspekty výskumu kvality života pacientov. Druhá časť práce predstavuje vlastný výskum zameraný na </w:t>
      </w:r>
      <w:r>
        <w:rPr>
          <w:rStyle w:val="A1"/>
          <w:rFonts w:ascii="Times New Roman" w:hAnsi="Times New Roman" w:cs="Times New Roman"/>
          <w:color w:val="auto"/>
          <w:sz w:val="24"/>
          <w:szCs w:val="24"/>
        </w:rPr>
        <w:t xml:space="preserve">validáciu slovenskej verzie dotazníka WISQOL a </w:t>
      </w:r>
      <w:r w:rsidRPr="00B74799">
        <w:rPr>
          <w:rStyle w:val="A1"/>
          <w:rFonts w:ascii="Times New Roman" w:hAnsi="Times New Roman" w:cs="Times New Roman"/>
          <w:color w:val="auto"/>
          <w:sz w:val="24"/>
          <w:szCs w:val="24"/>
        </w:rPr>
        <w:t xml:space="preserve">porovnanie operačného riešenia </w:t>
      </w:r>
      <w:r>
        <w:rPr>
          <w:rStyle w:val="A1"/>
          <w:rFonts w:ascii="Times New Roman" w:hAnsi="Times New Roman" w:cs="Times New Roman"/>
          <w:color w:val="auto"/>
          <w:sz w:val="24"/>
          <w:szCs w:val="24"/>
        </w:rPr>
        <w:t>nefro</w:t>
      </w:r>
      <w:r w:rsidRPr="00B74799">
        <w:rPr>
          <w:rStyle w:val="A1"/>
          <w:rFonts w:ascii="Times New Roman" w:hAnsi="Times New Roman" w:cs="Times New Roman"/>
          <w:color w:val="auto"/>
          <w:sz w:val="24"/>
          <w:szCs w:val="24"/>
        </w:rPr>
        <w:t xml:space="preserve">litiázy s použitím </w:t>
      </w:r>
      <w:r>
        <w:rPr>
          <w:rStyle w:val="A1"/>
          <w:rFonts w:ascii="Times New Roman" w:hAnsi="Times New Roman" w:cs="Times New Roman"/>
          <w:color w:val="auto"/>
          <w:sz w:val="24"/>
          <w:szCs w:val="24"/>
        </w:rPr>
        <w:t xml:space="preserve">tohto </w:t>
      </w:r>
      <w:r w:rsidRPr="00B74799">
        <w:rPr>
          <w:rStyle w:val="A1"/>
          <w:rFonts w:ascii="Times New Roman" w:hAnsi="Times New Roman" w:cs="Times New Roman"/>
          <w:color w:val="auto"/>
          <w:sz w:val="24"/>
          <w:szCs w:val="24"/>
        </w:rPr>
        <w:t>dotazníka.</w:t>
      </w:r>
    </w:p>
    <w:p w14:paraId="32F6C5A0" w14:textId="40086ACF" w:rsidR="00B74799" w:rsidRPr="00DA07E4" w:rsidRDefault="00B74799" w:rsidP="00DA07E4">
      <w:pPr>
        <w:spacing w:after="0" w:line="360" w:lineRule="auto"/>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br w:type="page"/>
      </w:r>
    </w:p>
    <w:p w14:paraId="2F176CEC" w14:textId="6792FBF0" w:rsidR="00C854CC" w:rsidRPr="00DA07E4" w:rsidRDefault="00C854CC" w:rsidP="00DA07E4">
      <w:pPr>
        <w:pStyle w:val="Odstavecseseznamem"/>
        <w:numPr>
          <w:ilvl w:val="0"/>
          <w:numId w:val="23"/>
        </w:numPr>
        <w:spacing w:after="0" w:line="360" w:lineRule="auto"/>
        <w:ind w:left="426" w:hanging="426"/>
        <w:jc w:val="both"/>
        <w:rPr>
          <w:rStyle w:val="A1"/>
          <w:rFonts w:ascii="Times New Roman" w:hAnsi="Times New Roman" w:cs="Times New Roman"/>
          <w:b/>
          <w:color w:val="auto"/>
          <w:sz w:val="24"/>
          <w:szCs w:val="24"/>
        </w:rPr>
      </w:pPr>
      <w:r w:rsidRPr="00DA07E4">
        <w:rPr>
          <w:rStyle w:val="A1"/>
          <w:rFonts w:ascii="Times New Roman" w:hAnsi="Times New Roman" w:cs="Times New Roman"/>
          <w:b/>
          <w:color w:val="auto"/>
          <w:sz w:val="24"/>
          <w:szCs w:val="24"/>
        </w:rPr>
        <w:lastRenderedPageBreak/>
        <w:t>ETIOLÓGIA</w:t>
      </w:r>
      <w:r w:rsidR="00D07230" w:rsidRPr="00DA07E4">
        <w:rPr>
          <w:rStyle w:val="A1"/>
          <w:rFonts w:ascii="Times New Roman" w:hAnsi="Times New Roman" w:cs="Times New Roman"/>
          <w:b/>
          <w:color w:val="auto"/>
          <w:sz w:val="24"/>
          <w:szCs w:val="24"/>
        </w:rPr>
        <w:t xml:space="preserve"> </w:t>
      </w:r>
      <w:r w:rsidR="00A679D3" w:rsidRPr="00DA07E4">
        <w:rPr>
          <w:rStyle w:val="A1"/>
          <w:rFonts w:ascii="Times New Roman" w:hAnsi="Times New Roman" w:cs="Times New Roman"/>
          <w:b/>
          <w:color w:val="auto"/>
          <w:sz w:val="24"/>
          <w:szCs w:val="24"/>
        </w:rPr>
        <w:t>UROLITIÁZY</w:t>
      </w:r>
    </w:p>
    <w:p w14:paraId="2D2C4B57" w14:textId="77777777" w:rsidR="00526A4A" w:rsidRPr="00DA07E4" w:rsidRDefault="00526A4A" w:rsidP="00DA07E4">
      <w:pPr>
        <w:spacing w:after="0" w:line="360" w:lineRule="auto"/>
        <w:ind w:firstLine="708"/>
        <w:jc w:val="both"/>
        <w:rPr>
          <w:rFonts w:ascii="Times New Roman" w:hAnsi="Times New Roman" w:cs="Times New Roman"/>
          <w:sz w:val="24"/>
          <w:szCs w:val="24"/>
          <w:shd w:val="clear" w:color="auto" w:fill="FFFFFF"/>
        </w:rPr>
      </w:pPr>
    </w:p>
    <w:p w14:paraId="0FB88460" w14:textId="40C91DE6" w:rsidR="000F7C05" w:rsidRPr="00DA07E4" w:rsidRDefault="00970F08" w:rsidP="00DA07E4">
      <w:pPr>
        <w:spacing w:after="0" w:line="360" w:lineRule="auto"/>
        <w:ind w:firstLine="708"/>
        <w:jc w:val="both"/>
        <w:rPr>
          <w:rStyle w:val="A1"/>
          <w:rFonts w:ascii="Times New Roman" w:hAnsi="Times New Roman" w:cs="Times New Roman"/>
          <w:color w:val="auto"/>
          <w:sz w:val="24"/>
          <w:szCs w:val="24"/>
        </w:rPr>
      </w:pPr>
      <w:r w:rsidRPr="005A0250">
        <w:rPr>
          <w:rFonts w:ascii="Times New Roman" w:hAnsi="Times New Roman" w:cs="Times New Roman"/>
          <w:sz w:val="24"/>
          <w:szCs w:val="24"/>
          <w:shd w:val="clear" w:color="auto" w:fill="FFFFFF"/>
        </w:rPr>
        <w:t xml:space="preserve">Prevalencia urolitiázy je rozmanitá, čo potvrdzujú výsledky štúdií v Severnej Amerike aj Európe. </w:t>
      </w:r>
      <w:r w:rsidR="005A6D30" w:rsidRPr="005A0250">
        <w:rPr>
          <w:rFonts w:ascii="Times New Roman" w:hAnsi="Times New Roman" w:cs="Times New Roman"/>
          <w:sz w:val="24"/>
          <w:szCs w:val="24"/>
          <w:shd w:val="clear" w:color="auto" w:fill="FFFFFF"/>
        </w:rPr>
        <w:t>V </w:t>
      </w:r>
      <w:r w:rsidRPr="005A0250">
        <w:rPr>
          <w:rFonts w:ascii="Times New Roman" w:hAnsi="Times New Roman" w:cs="Times New Roman"/>
          <w:sz w:val="24"/>
          <w:szCs w:val="24"/>
          <w:shd w:val="clear" w:color="auto" w:fill="FFFFFF"/>
        </w:rPr>
        <w:t>USA</w:t>
      </w:r>
      <w:r w:rsidR="005A6D30" w:rsidRPr="005A0250">
        <w:rPr>
          <w:rFonts w:ascii="Times New Roman" w:hAnsi="Times New Roman" w:cs="Times New Roman"/>
          <w:sz w:val="24"/>
          <w:szCs w:val="24"/>
          <w:shd w:val="clear" w:color="auto" w:fill="FFFFFF"/>
        </w:rPr>
        <w:t xml:space="preserve"> </w:t>
      </w:r>
      <w:r w:rsidRPr="005A0250">
        <w:rPr>
          <w:rFonts w:ascii="Times New Roman" w:hAnsi="Times New Roman" w:cs="Times New Roman"/>
          <w:sz w:val="24"/>
          <w:szCs w:val="24"/>
          <w:shd w:val="clear" w:color="auto" w:fill="FFFFFF"/>
        </w:rPr>
        <w:t>sa prevalencia zvýšila z 3,2 % v roku 1980 na</w:t>
      </w:r>
      <w:r w:rsidR="003D0B4A" w:rsidRPr="005A0250">
        <w:rPr>
          <w:rFonts w:ascii="Times New Roman" w:hAnsi="Times New Roman" w:cs="Times New Roman"/>
          <w:sz w:val="24"/>
          <w:szCs w:val="24"/>
          <w:shd w:val="clear" w:color="auto" w:fill="FFFFFF"/>
        </w:rPr>
        <w:t xml:space="preserve"> </w:t>
      </w:r>
      <w:r w:rsidR="005A6D30" w:rsidRPr="005A0250">
        <w:rPr>
          <w:rFonts w:ascii="Times New Roman" w:hAnsi="Times New Roman" w:cs="Times New Roman"/>
          <w:sz w:val="24"/>
          <w:szCs w:val="24"/>
          <w:shd w:val="clear" w:color="auto" w:fill="FFFFFF"/>
        </w:rPr>
        <w:t>približne</w:t>
      </w:r>
      <w:r w:rsidR="003D0B4A" w:rsidRPr="005A0250">
        <w:rPr>
          <w:rFonts w:ascii="Times New Roman" w:hAnsi="Times New Roman" w:cs="Times New Roman"/>
          <w:sz w:val="24"/>
          <w:szCs w:val="24"/>
          <w:shd w:val="clear" w:color="auto" w:fill="FFFFFF"/>
        </w:rPr>
        <w:t xml:space="preserve"> </w:t>
      </w:r>
      <w:r w:rsidR="005A6D30" w:rsidRPr="005A0250">
        <w:rPr>
          <w:rFonts w:ascii="Times New Roman" w:hAnsi="Times New Roman" w:cs="Times New Roman"/>
          <w:sz w:val="24"/>
          <w:szCs w:val="24"/>
          <w:shd w:val="clear" w:color="auto" w:fill="FFFFFF"/>
        </w:rPr>
        <w:t xml:space="preserve">10 % </w:t>
      </w:r>
      <w:r w:rsidRPr="005A0250">
        <w:rPr>
          <w:rFonts w:ascii="Times New Roman" w:hAnsi="Times New Roman" w:cs="Times New Roman"/>
          <w:sz w:val="24"/>
          <w:szCs w:val="24"/>
          <w:shd w:val="clear" w:color="auto" w:fill="FFFFFF"/>
        </w:rPr>
        <w:t>v roku 2016</w:t>
      </w:r>
      <w:r w:rsidR="0038460C" w:rsidRPr="005A0250">
        <w:rPr>
          <w:rFonts w:ascii="Times New Roman" w:hAnsi="Times New Roman" w:cs="Times New Roman"/>
          <w:sz w:val="24"/>
          <w:szCs w:val="24"/>
          <w:shd w:val="clear" w:color="auto" w:fill="FFFFFF"/>
        </w:rPr>
        <w:t xml:space="preserve"> (Soucie et al., 1996; Chewcharat and Curhan, 2020)</w:t>
      </w:r>
      <w:r w:rsidR="007359E2" w:rsidRPr="005A0250">
        <w:rPr>
          <w:rFonts w:ascii="Times New Roman" w:hAnsi="Times New Roman" w:cs="Times New Roman"/>
          <w:sz w:val="24"/>
          <w:szCs w:val="24"/>
          <w:shd w:val="clear" w:color="auto" w:fill="FFFFFF"/>
        </w:rPr>
        <w:t xml:space="preserve">. </w:t>
      </w:r>
      <w:r w:rsidR="009D2771" w:rsidRPr="005A0250">
        <w:rPr>
          <w:rFonts w:ascii="Times New Roman" w:hAnsi="Times New Roman" w:cs="Times New Roman"/>
          <w:sz w:val="24"/>
          <w:szCs w:val="24"/>
          <w:shd w:val="clear" w:color="auto" w:fill="FFFFFF"/>
        </w:rPr>
        <w:t>Medzi pohlaviami je pomer ochorenia 1,3</w:t>
      </w:r>
      <w:r w:rsidR="0080286E" w:rsidRPr="005A0250">
        <w:rPr>
          <w:rFonts w:ascii="Times New Roman" w:hAnsi="Times New Roman" w:cs="Times New Roman"/>
          <w:sz w:val="24"/>
          <w:szCs w:val="24"/>
          <w:shd w:val="clear" w:color="auto" w:fill="FFFFFF"/>
        </w:rPr>
        <w:t xml:space="preserve"> až </w:t>
      </w:r>
      <w:r w:rsidR="009D2771" w:rsidRPr="005A0250">
        <w:rPr>
          <w:rFonts w:ascii="Times New Roman" w:hAnsi="Times New Roman" w:cs="Times New Roman"/>
          <w:sz w:val="24"/>
          <w:szCs w:val="24"/>
          <w:shd w:val="clear" w:color="auto" w:fill="FFFFFF"/>
        </w:rPr>
        <w:t>1,5:1 (muži:ženy) (</w:t>
      </w:r>
      <w:r w:rsidR="0038460C" w:rsidRPr="005A0250">
        <w:rPr>
          <w:rFonts w:ascii="Times New Roman" w:hAnsi="Times New Roman" w:cs="Times New Roman"/>
          <w:sz w:val="24"/>
          <w:szCs w:val="24"/>
          <w:shd w:val="clear" w:color="auto" w:fill="FFFFFF"/>
        </w:rPr>
        <w:t>Kawaciuk, 2009</w:t>
      </w:r>
      <w:r w:rsidR="009D2771" w:rsidRPr="005A0250">
        <w:rPr>
          <w:rFonts w:ascii="Times New Roman" w:hAnsi="Times New Roman" w:cs="Times New Roman"/>
          <w:sz w:val="24"/>
          <w:szCs w:val="24"/>
          <w:shd w:val="clear" w:color="auto" w:fill="FFFFFF"/>
        </w:rPr>
        <w:t>).</w:t>
      </w:r>
      <w:r w:rsidR="00EB115F" w:rsidRPr="005A0250">
        <w:rPr>
          <w:rFonts w:ascii="Times New Roman" w:hAnsi="Times New Roman" w:cs="Times New Roman"/>
          <w:sz w:val="24"/>
          <w:szCs w:val="24"/>
          <w:shd w:val="clear" w:color="auto" w:fill="FFFFFF"/>
        </w:rPr>
        <w:t xml:space="preserve"> </w:t>
      </w:r>
      <w:r w:rsidRPr="005A0250">
        <w:rPr>
          <w:rFonts w:ascii="Times New Roman" w:hAnsi="Times New Roman" w:cs="Times New Roman"/>
          <w:color w:val="000000" w:themeColor="text1"/>
          <w:sz w:val="24"/>
          <w:szCs w:val="24"/>
        </w:rPr>
        <w:t>Odhaduje sa, že v roku 2011 žilo so symptomatickými obličkovými kokrementmi 25 až 49 miliónov Európanov (Osther, 2012). V ďalšej štúdii Indridason a kol. (2013) zistili zvýšenie prevalencie kameňov pre obe pohlavia a u starších pacientov sa prevalencia zvýšila zo 4,8% na 6,2%. Podobná štúdia v rovnakej populácii potvrdila tento stúpajúci trend (</w:t>
      </w:r>
      <w:r w:rsidRPr="005A0250">
        <w:rPr>
          <w:rFonts w:ascii="Times New Roman" w:hAnsi="Times New Roman" w:cs="Times New Roman"/>
          <w:sz w:val="24"/>
          <w:szCs w:val="24"/>
        </w:rPr>
        <w:t>Edvardsson et al.</w:t>
      </w:r>
      <w:r w:rsidR="0036437E" w:rsidRPr="005A0250">
        <w:rPr>
          <w:rFonts w:ascii="Times New Roman" w:hAnsi="Times New Roman" w:cs="Times New Roman"/>
          <w:sz w:val="24"/>
          <w:szCs w:val="24"/>
        </w:rPr>
        <w:t>,</w:t>
      </w:r>
      <w:r w:rsidRPr="005A0250">
        <w:rPr>
          <w:rFonts w:ascii="Times New Roman" w:hAnsi="Times New Roman" w:cs="Times New Roman"/>
          <w:sz w:val="24"/>
          <w:szCs w:val="24"/>
        </w:rPr>
        <w:t xml:space="preserve"> 2013)</w:t>
      </w:r>
      <w:r w:rsidRPr="005A0250">
        <w:rPr>
          <w:rFonts w:ascii="Times New Roman" w:hAnsi="Times New Roman" w:cs="Times New Roman"/>
          <w:color w:val="000000" w:themeColor="text1"/>
          <w:sz w:val="24"/>
          <w:szCs w:val="24"/>
        </w:rPr>
        <w:t xml:space="preserve">. </w:t>
      </w:r>
      <w:r w:rsidR="005A6D30" w:rsidRPr="005A0250">
        <w:rPr>
          <w:rFonts w:ascii="Times New Roman" w:hAnsi="Times New Roman" w:cs="Times New Roman"/>
          <w:sz w:val="24"/>
          <w:szCs w:val="24"/>
          <w:shd w:val="clear" w:color="auto" w:fill="FFFFFF"/>
        </w:rPr>
        <w:t>Na vzniku ochorenia sa podieľa množstvo dobre zdokumentovaných</w:t>
      </w:r>
      <w:r w:rsidR="005A6D30" w:rsidRPr="00DA07E4">
        <w:rPr>
          <w:rFonts w:ascii="Times New Roman" w:hAnsi="Times New Roman" w:cs="Times New Roman"/>
          <w:sz w:val="24"/>
          <w:szCs w:val="24"/>
          <w:shd w:val="clear" w:color="auto" w:fill="FFFFFF"/>
        </w:rPr>
        <w:t xml:space="preserve"> faktorov.</w:t>
      </w:r>
      <w:r w:rsidR="00EB115F" w:rsidRPr="00DA07E4">
        <w:rPr>
          <w:rFonts w:ascii="Times New Roman" w:hAnsi="Times New Roman" w:cs="Times New Roman"/>
          <w:sz w:val="24"/>
          <w:szCs w:val="24"/>
          <w:shd w:val="clear" w:color="auto" w:fill="FFFFFF"/>
        </w:rPr>
        <w:t xml:space="preserve"> Celkovo bolo identifikovaných vyše 100 chemických zlúčenín a rozličných spôsobov vzniku konkrementov (</w:t>
      </w:r>
      <w:r w:rsidR="0038460C" w:rsidRPr="00DA07E4">
        <w:rPr>
          <w:rFonts w:ascii="Times New Roman" w:hAnsi="Times New Roman" w:cs="Times New Roman"/>
          <w:sz w:val="24"/>
          <w:szCs w:val="24"/>
          <w:shd w:val="clear" w:color="auto" w:fill="FFFFFF"/>
        </w:rPr>
        <w:t xml:space="preserve">Daudon </w:t>
      </w:r>
      <w:r w:rsidR="00D93836">
        <w:rPr>
          <w:rFonts w:ascii="Times New Roman" w:hAnsi="Times New Roman" w:cs="Times New Roman"/>
          <w:sz w:val="24"/>
          <w:szCs w:val="24"/>
          <w:shd w:val="clear" w:color="auto" w:fill="FFFFFF"/>
        </w:rPr>
        <w:t>et</w:t>
      </w:r>
      <w:r w:rsidR="0038460C" w:rsidRPr="00DA07E4">
        <w:rPr>
          <w:rFonts w:ascii="Times New Roman" w:hAnsi="Times New Roman" w:cs="Times New Roman"/>
          <w:sz w:val="24"/>
          <w:szCs w:val="24"/>
          <w:shd w:val="clear" w:color="auto" w:fill="FFFFFF"/>
        </w:rPr>
        <w:t xml:space="preserve"> Jungers, 2012</w:t>
      </w:r>
      <w:r w:rsidR="00EB115F" w:rsidRPr="00DA07E4">
        <w:rPr>
          <w:rFonts w:ascii="Times New Roman" w:hAnsi="Times New Roman" w:cs="Times New Roman"/>
          <w:sz w:val="24"/>
          <w:szCs w:val="24"/>
          <w:shd w:val="clear" w:color="auto" w:fill="FFFFFF"/>
        </w:rPr>
        <w:t>).</w:t>
      </w:r>
    </w:p>
    <w:p w14:paraId="0888995A" w14:textId="79862FEE" w:rsidR="000F7C05" w:rsidRPr="00DA07E4" w:rsidRDefault="000F7C05" w:rsidP="00DA07E4">
      <w:pPr>
        <w:spacing w:after="0" w:line="360" w:lineRule="auto"/>
        <w:jc w:val="both"/>
        <w:rPr>
          <w:rStyle w:val="A1"/>
          <w:rFonts w:ascii="Times New Roman" w:hAnsi="Times New Roman" w:cs="Times New Roman"/>
          <w:color w:val="auto"/>
          <w:sz w:val="24"/>
          <w:szCs w:val="24"/>
        </w:rPr>
      </w:pPr>
    </w:p>
    <w:p w14:paraId="22390572" w14:textId="2C3E8DB4" w:rsidR="000F7C05" w:rsidRPr="00DA07E4" w:rsidRDefault="00B713B9" w:rsidP="00DA07E4">
      <w:pPr>
        <w:spacing w:after="0" w:line="360" w:lineRule="auto"/>
        <w:jc w:val="both"/>
        <w:rPr>
          <w:rFonts w:ascii="Times New Roman" w:hAnsi="Times New Roman" w:cs="Times New Roman"/>
          <w:b/>
          <w:sz w:val="24"/>
          <w:szCs w:val="24"/>
        </w:rPr>
      </w:pPr>
      <w:r w:rsidRPr="00DA07E4">
        <w:rPr>
          <w:rStyle w:val="A1"/>
          <w:rFonts w:ascii="Times New Roman" w:hAnsi="Times New Roman" w:cs="Times New Roman"/>
          <w:b/>
          <w:color w:val="auto"/>
          <w:sz w:val="24"/>
          <w:szCs w:val="24"/>
        </w:rPr>
        <w:t>1</w:t>
      </w:r>
      <w:r w:rsidR="007A7F31" w:rsidRPr="00DA07E4">
        <w:rPr>
          <w:rStyle w:val="A1"/>
          <w:rFonts w:ascii="Times New Roman" w:hAnsi="Times New Roman" w:cs="Times New Roman"/>
          <w:b/>
          <w:color w:val="auto"/>
          <w:sz w:val="24"/>
          <w:szCs w:val="24"/>
        </w:rPr>
        <w:t>.1.</w:t>
      </w:r>
      <w:r w:rsidR="000F7C05" w:rsidRPr="00DA07E4">
        <w:rPr>
          <w:rStyle w:val="A1"/>
          <w:rFonts w:ascii="Times New Roman" w:hAnsi="Times New Roman" w:cs="Times New Roman"/>
          <w:b/>
          <w:color w:val="auto"/>
          <w:sz w:val="24"/>
          <w:szCs w:val="24"/>
        </w:rPr>
        <w:t xml:space="preserve"> </w:t>
      </w:r>
      <w:r w:rsidR="00B12603" w:rsidRPr="00DA07E4">
        <w:rPr>
          <w:rStyle w:val="A1"/>
          <w:rFonts w:ascii="Times New Roman" w:hAnsi="Times New Roman" w:cs="Times New Roman"/>
          <w:b/>
          <w:color w:val="auto"/>
          <w:sz w:val="24"/>
          <w:szCs w:val="24"/>
        </w:rPr>
        <w:t>Vybrané</w:t>
      </w:r>
      <w:r w:rsidR="000F7C05" w:rsidRPr="00DA07E4">
        <w:rPr>
          <w:rFonts w:ascii="Times New Roman" w:hAnsi="Times New Roman" w:cs="Times New Roman"/>
          <w:b/>
          <w:sz w:val="24"/>
          <w:szCs w:val="24"/>
          <w:shd w:val="clear" w:color="auto" w:fill="FFFFFF"/>
        </w:rPr>
        <w:t xml:space="preserve"> faktory vzniku urolitiázy</w:t>
      </w:r>
    </w:p>
    <w:p w14:paraId="6A2C8ECB" w14:textId="77777777" w:rsidR="00526A4A" w:rsidRPr="00DA07E4" w:rsidRDefault="00526A4A" w:rsidP="00DA07E4">
      <w:pPr>
        <w:spacing w:after="0" w:line="360" w:lineRule="auto"/>
        <w:ind w:firstLine="708"/>
        <w:jc w:val="both"/>
        <w:rPr>
          <w:rFonts w:ascii="Times New Roman" w:hAnsi="Times New Roman" w:cs="Times New Roman"/>
          <w:sz w:val="24"/>
          <w:szCs w:val="24"/>
          <w:shd w:val="clear" w:color="auto" w:fill="FFFFFF"/>
        </w:rPr>
      </w:pPr>
    </w:p>
    <w:p w14:paraId="3B788BBE" w14:textId="0BBB6C18" w:rsidR="0036437E" w:rsidRPr="0036437E" w:rsidRDefault="00EB115F" w:rsidP="0036437E">
      <w:pPr>
        <w:spacing w:after="0" w:line="360" w:lineRule="auto"/>
        <w:ind w:firstLine="709"/>
        <w:jc w:val="both"/>
        <w:rPr>
          <w:rStyle w:val="A1"/>
          <w:rFonts w:ascii="Times New Roman" w:hAnsi="Times New Roman" w:cs="Times New Roman"/>
          <w:color w:val="auto"/>
          <w:sz w:val="24"/>
          <w:szCs w:val="24"/>
        </w:rPr>
      </w:pPr>
      <w:r w:rsidRPr="00DA07E4">
        <w:rPr>
          <w:rFonts w:ascii="Times New Roman" w:hAnsi="Times New Roman" w:cs="Times New Roman"/>
          <w:sz w:val="24"/>
          <w:szCs w:val="24"/>
          <w:shd w:val="clear" w:color="auto" w:fill="FFFFFF"/>
        </w:rPr>
        <w:t>Pacienti s urolitiázou majú v moči dokázaný vyšší počet kryštálov kameňotvorných látok, moč je hypersaturovaný. Premena kryštálov na výsledné konkrementy prebieha postupne. Dochádza k nukleácii (zhlukovanie voľných kryštálov alebo kryštálov na povrchu bunečnej drte či mukoproteínov</w:t>
      </w:r>
      <w:r w:rsidRPr="0036437E">
        <w:rPr>
          <w:rFonts w:ascii="Times New Roman" w:hAnsi="Times New Roman" w:cs="Times New Roman"/>
          <w:sz w:val="24"/>
          <w:szCs w:val="24"/>
          <w:shd w:val="clear" w:color="auto" w:fill="FFFFFF"/>
        </w:rPr>
        <w:t>), agregácii a retencii v obličke za spoluúčasti promotorov a inhibítorov kryštalizácie (</w:t>
      </w:r>
      <w:bookmarkStart w:id="1" w:name="_Hlk52990224"/>
      <w:r w:rsidR="0036437E" w:rsidRPr="0036437E">
        <w:rPr>
          <w:rFonts w:ascii="Times New Roman" w:hAnsi="Times New Roman" w:cs="Times New Roman"/>
          <w:sz w:val="24"/>
          <w:szCs w:val="24"/>
        </w:rPr>
        <w:t>Aihara et al., 2003</w:t>
      </w:r>
      <w:r w:rsidR="0036437E">
        <w:rPr>
          <w:rFonts w:ascii="Times New Roman" w:hAnsi="Times New Roman" w:cs="Times New Roman"/>
          <w:sz w:val="24"/>
          <w:szCs w:val="24"/>
        </w:rPr>
        <w:t>;</w:t>
      </w:r>
      <w:r w:rsidR="0036437E" w:rsidRPr="0036437E">
        <w:rPr>
          <w:rFonts w:ascii="Times New Roman" w:hAnsi="Times New Roman" w:cs="Times New Roman"/>
          <w:sz w:val="24"/>
          <w:szCs w:val="24"/>
        </w:rPr>
        <w:t xml:space="preserve"> Khan, 2004</w:t>
      </w:r>
      <w:r w:rsidR="0036437E">
        <w:rPr>
          <w:rFonts w:ascii="Times New Roman" w:hAnsi="Times New Roman" w:cs="Times New Roman"/>
          <w:sz w:val="24"/>
          <w:szCs w:val="24"/>
        </w:rPr>
        <w:t>;</w:t>
      </w:r>
      <w:r w:rsidR="0036437E" w:rsidRPr="0036437E">
        <w:rPr>
          <w:rFonts w:ascii="Times New Roman" w:hAnsi="Times New Roman" w:cs="Times New Roman"/>
          <w:sz w:val="24"/>
          <w:szCs w:val="24"/>
        </w:rPr>
        <w:t xml:space="preserve"> Khan et Kok, 2004</w:t>
      </w:r>
      <w:r w:rsidR="0036437E">
        <w:rPr>
          <w:rFonts w:ascii="Times New Roman" w:hAnsi="Times New Roman" w:cs="Times New Roman"/>
          <w:sz w:val="24"/>
          <w:szCs w:val="24"/>
        </w:rPr>
        <w:t>;</w:t>
      </w:r>
      <w:r w:rsidR="0036437E" w:rsidRPr="0036437E">
        <w:rPr>
          <w:rFonts w:ascii="Times New Roman" w:hAnsi="Times New Roman" w:cs="Times New Roman"/>
          <w:sz w:val="24"/>
          <w:szCs w:val="24"/>
        </w:rPr>
        <w:t xml:space="preserve"> </w:t>
      </w:r>
      <w:r w:rsidR="0036437E" w:rsidRPr="0036437E">
        <w:rPr>
          <w:rFonts w:ascii="Times New Roman" w:hAnsi="Times New Roman" w:cs="Times New Roman"/>
          <w:sz w:val="24"/>
          <w:szCs w:val="24"/>
          <w:shd w:val="clear" w:color="auto" w:fill="FFFFFF"/>
        </w:rPr>
        <w:t>Kawaciuk, 2009</w:t>
      </w:r>
      <w:bookmarkEnd w:id="1"/>
      <w:r w:rsidRPr="0036437E">
        <w:rPr>
          <w:rFonts w:ascii="Times New Roman" w:hAnsi="Times New Roman" w:cs="Times New Roman"/>
          <w:sz w:val="24"/>
          <w:szCs w:val="24"/>
          <w:shd w:val="clear" w:color="auto" w:fill="FFFFFF"/>
        </w:rPr>
        <w:t>).</w:t>
      </w:r>
      <w:r w:rsidRPr="0036437E">
        <w:rPr>
          <w:rStyle w:val="A1"/>
          <w:rFonts w:ascii="Times New Roman" w:hAnsi="Times New Roman" w:cs="Times New Roman"/>
          <w:color w:val="auto"/>
          <w:sz w:val="24"/>
          <w:szCs w:val="24"/>
        </w:rPr>
        <w:t xml:space="preserve"> </w:t>
      </w:r>
    </w:p>
    <w:p w14:paraId="5E31E2B1" w14:textId="7E77CC53" w:rsidR="0036437E" w:rsidRPr="005A0250" w:rsidRDefault="0036437E" w:rsidP="0036437E">
      <w:pPr>
        <w:spacing w:after="0" w:line="360" w:lineRule="auto"/>
        <w:ind w:firstLine="709"/>
        <w:jc w:val="both"/>
        <w:rPr>
          <w:rStyle w:val="A1"/>
          <w:rFonts w:ascii="Times New Roman" w:hAnsi="Times New Roman" w:cs="Times New Roman"/>
          <w:color w:val="auto"/>
          <w:sz w:val="24"/>
          <w:szCs w:val="24"/>
        </w:rPr>
      </w:pPr>
      <w:r w:rsidRPr="005A0250">
        <w:rPr>
          <w:rStyle w:val="A1"/>
          <w:rFonts w:ascii="Times New Roman" w:hAnsi="Times New Roman" w:cs="Times New Roman"/>
          <w:color w:val="auto"/>
          <w:sz w:val="24"/>
          <w:szCs w:val="24"/>
        </w:rPr>
        <w:t>Khan a Canales (2015) navrhli teóriu o patogenéze Randallových plakov a zátok. Hyperkalciúria, hyperoxalúria a hypocitratúria, renálny stres alebo trauma ako aj proces starnutia ved</w:t>
      </w:r>
      <w:r w:rsidR="005A0250">
        <w:rPr>
          <w:rStyle w:val="A1"/>
          <w:rFonts w:ascii="Times New Roman" w:hAnsi="Times New Roman" w:cs="Times New Roman"/>
          <w:color w:val="auto"/>
          <w:sz w:val="24"/>
          <w:szCs w:val="24"/>
        </w:rPr>
        <w:t>ú</w:t>
      </w:r>
      <w:r w:rsidRPr="005A0250">
        <w:rPr>
          <w:rStyle w:val="A1"/>
          <w:rFonts w:ascii="Times New Roman" w:hAnsi="Times New Roman" w:cs="Times New Roman"/>
          <w:color w:val="auto"/>
          <w:sz w:val="24"/>
          <w:szCs w:val="24"/>
        </w:rPr>
        <w:t xml:space="preserve"> k transformácii renálnych epiteliálnych buniek do osteoblastického fenotypu. S touto de-diferenciáciou vzniká zvýšená produkcia proteínov špecifických pre kosti (t.j. </w:t>
      </w:r>
      <w:r w:rsidR="005A0250">
        <w:rPr>
          <w:rStyle w:val="A1"/>
          <w:rFonts w:ascii="Times New Roman" w:hAnsi="Times New Roman" w:cs="Times New Roman"/>
          <w:color w:val="auto"/>
          <w:sz w:val="24"/>
          <w:szCs w:val="24"/>
        </w:rPr>
        <w:t>o</w:t>
      </w:r>
      <w:r w:rsidRPr="005A0250">
        <w:rPr>
          <w:rStyle w:val="A1"/>
          <w:rFonts w:ascii="Times New Roman" w:hAnsi="Times New Roman" w:cs="Times New Roman"/>
          <w:color w:val="auto"/>
          <w:sz w:val="24"/>
          <w:szCs w:val="24"/>
        </w:rPr>
        <w:t xml:space="preserve">steopontín), zníženie inhibítorov kryštalizácie (napr. </w:t>
      </w:r>
      <w:r w:rsidR="005A0250">
        <w:rPr>
          <w:rStyle w:val="A1"/>
          <w:rFonts w:ascii="Times New Roman" w:hAnsi="Times New Roman" w:cs="Times New Roman"/>
          <w:color w:val="auto"/>
          <w:sz w:val="24"/>
          <w:szCs w:val="24"/>
        </w:rPr>
        <w:t>f</w:t>
      </w:r>
      <w:r w:rsidRPr="005A0250">
        <w:rPr>
          <w:rStyle w:val="A1"/>
          <w:rFonts w:ascii="Times New Roman" w:hAnsi="Times New Roman" w:cs="Times New Roman"/>
          <w:color w:val="auto"/>
          <w:sz w:val="24"/>
          <w:szCs w:val="24"/>
        </w:rPr>
        <w:t xml:space="preserve">etuin a proteínová matrix Gla) a tvorba matrixových vezikúl, ktoré podporujú nukleáciu kryštálov. Tieto malé usadeniny podporujú agregáciu a kalcifikáciu okolitého kolagénu. Mineralizácia pokračuje kalcifikáciou membránových produktov bunkovej degradácie a iných vlákien, kým sa plak nedostane k papilárnemu epitelu. Aktivitou matricových metaloproteináz a silným tlakom subepitelovej kryštalickej hmoty </w:t>
      </w:r>
      <w:r w:rsidR="005A0250">
        <w:rPr>
          <w:rStyle w:val="A1"/>
          <w:rFonts w:ascii="Times New Roman" w:hAnsi="Times New Roman" w:cs="Times New Roman"/>
          <w:color w:val="auto"/>
          <w:sz w:val="24"/>
          <w:szCs w:val="24"/>
        </w:rPr>
        <w:t>dochádza k porušeniu</w:t>
      </w:r>
      <w:r w:rsidRPr="005A0250">
        <w:rPr>
          <w:rStyle w:val="A1"/>
          <w:rFonts w:ascii="Times New Roman" w:hAnsi="Times New Roman" w:cs="Times New Roman"/>
          <w:color w:val="auto"/>
          <w:sz w:val="24"/>
          <w:szCs w:val="24"/>
        </w:rPr>
        <w:t xml:space="preserve"> povrch</w:t>
      </w:r>
      <w:r w:rsidR="005A0250">
        <w:rPr>
          <w:rStyle w:val="A1"/>
          <w:rFonts w:ascii="Times New Roman" w:hAnsi="Times New Roman" w:cs="Times New Roman"/>
          <w:color w:val="auto"/>
          <w:sz w:val="24"/>
          <w:szCs w:val="24"/>
        </w:rPr>
        <w:t>u</w:t>
      </w:r>
      <w:r w:rsidRPr="005A0250">
        <w:rPr>
          <w:rStyle w:val="A1"/>
          <w:rFonts w:ascii="Times New Roman" w:hAnsi="Times New Roman" w:cs="Times New Roman"/>
          <w:color w:val="auto"/>
          <w:sz w:val="24"/>
          <w:szCs w:val="24"/>
        </w:rPr>
        <w:t xml:space="preserve"> epitelu. Spôsobí to ďalšie zmnoženie kryštálov pôsobením organickej nukleácie </w:t>
      </w:r>
      <w:r w:rsidR="0025374B">
        <w:rPr>
          <w:rStyle w:val="A1"/>
          <w:rFonts w:ascii="Times New Roman" w:hAnsi="Times New Roman" w:cs="Times New Roman"/>
          <w:color w:val="auto"/>
          <w:sz w:val="24"/>
          <w:szCs w:val="24"/>
        </w:rPr>
        <w:t>s</w:t>
      </w:r>
      <w:r w:rsidRPr="005A0250">
        <w:rPr>
          <w:rStyle w:val="A1"/>
          <w:rFonts w:ascii="Times New Roman" w:hAnsi="Times New Roman" w:cs="Times New Roman"/>
          <w:color w:val="auto"/>
          <w:sz w:val="24"/>
          <w:szCs w:val="24"/>
        </w:rPr>
        <w:t xml:space="preserve"> transformáciou vonkajšej vrstvy </w:t>
      </w:r>
      <w:r w:rsidR="0025374B">
        <w:rPr>
          <w:rStyle w:val="A1"/>
          <w:rFonts w:ascii="Times New Roman" w:hAnsi="Times New Roman" w:cs="Times New Roman"/>
          <w:color w:val="auto"/>
          <w:sz w:val="24"/>
          <w:szCs w:val="24"/>
        </w:rPr>
        <w:t xml:space="preserve">kalciumfosfátových </w:t>
      </w:r>
      <w:r w:rsidRPr="005A0250">
        <w:rPr>
          <w:rStyle w:val="A1"/>
          <w:rFonts w:ascii="Times New Roman" w:hAnsi="Times New Roman" w:cs="Times New Roman"/>
          <w:color w:val="auto"/>
          <w:sz w:val="24"/>
          <w:szCs w:val="24"/>
        </w:rPr>
        <w:t xml:space="preserve">kryštálov do </w:t>
      </w:r>
      <w:r w:rsidR="0025374B">
        <w:rPr>
          <w:rStyle w:val="A1"/>
          <w:rFonts w:ascii="Times New Roman" w:hAnsi="Times New Roman" w:cs="Times New Roman"/>
          <w:color w:val="auto"/>
          <w:sz w:val="24"/>
          <w:szCs w:val="24"/>
        </w:rPr>
        <w:t xml:space="preserve">kalciumoxalátových </w:t>
      </w:r>
      <w:r w:rsidRPr="005A0250">
        <w:rPr>
          <w:rStyle w:val="A1"/>
          <w:rFonts w:ascii="Times New Roman" w:hAnsi="Times New Roman" w:cs="Times New Roman"/>
          <w:color w:val="auto"/>
          <w:sz w:val="24"/>
          <w:szCs w:val="24"/>
        </w:rPr>
        <w:t>kryštálov</w:t>
      </w:r>
      <w:r w:rsidR="0025374B">
        <w:rPr>
          <w:rStyle w:val="A1"/>
          <w:rFonts w:ascii="Times New Roman" w:hAnsi="Times New Roman" w:cs="Times New Roman"/>
          <w:color w:val="auto"/>
          <w:sz w:val="24"/>
          <w:szCs w:val="24"/>
        </w:rPr>
        <w:t xml:space="preserve"> </w:t>
      </w:r>
      <w:r w:rsidRPr="005A0250">
        <w:rPr>
          <w:rStyle w:val="A1"/>
          <w:rFonts w:ascii="Times New Roman" w:hAnsi="Times New Roman" w:cs="Times New Roman"/>
          <w:color w:val="auto"/>
          <w:sz w:val="24"/>
          <w:szCs w:val="24"/>
        </w:rPr>
        <w:t>(Khan et Canales, 2015).</w:t>
      </w:r>
    </w:p>
    <w:p w14:paraId="01C7799C" w14:textId="63375E84" w:rsidR="000F7C05" w:rsidRPr="00DA07E4" w:rsidRDefault="00EB115F" w:rsidP="0036437E">
      <w:pPr>
        <w:spacing w:after="0" w:line="360" w:lineRule="auto"/>
        <w:ind w:firstLine="709"/>
        <w:jc w:val="both"/>
        <w:rPr>
          <w:rFonts w:ascii="Times New Roman" w:hAnsi="Times New Roman" w:cs="Times New Roman"/>
          <w:sz w:val="24"/>
          <w:szCs w:val="24"/>
        </w:rPr>
      </w:pPr>
      <w:r w:rsidRPr="0036437E">
        <w:rPr>
          <w:rFonts w:ascii="Times New Roman" w:hAnsi="Times New Roman" w:cs="Times New Roman"/>
          <w:sz w:val="24"/>
          <w:szCs w:val="24"/>
          <w:shd w:val="clear" w:color="auto" w:fill="FFFFFF"/>
        </w:rPr>
        <w:lastRenderedPageBreak/>
        <w:t>Existujú známe</w:t>
      </w:r>
      <w:r w:rsidRPr="00DA07E4">
        <w:rPr>
          <w:rFonts w:ascii="Times New Roman" w:hAnsi="Times New Roman" w:cs="Times New Roman"/>
          <w:sz w:val="24"/>
          <w:szCs w:val="24"/>
          <w:shd w:val="clear" w:color="auto" w:fill="FFFFFF"/>
        </w:rPr>
        <w:t xml:space="preserve"> rizikové faktory, ktoré významne prispievajú k tvorbe konkrementov. Vplyv na vznik urolitiázy majú dedičné a metabolické faktory ale aj prostredie, v ktorom človek žije. V nasledujúcich </w:t>
      </w:r>
      <w:r w:rsidR="00D25E45">
        <w:rPr>
          <w:rFonts w:ascii="Times New Roman" w:hAnsi="Times New Roman" w:cs="Times New Roman"/>
          <w:sz w:val="24"/>
          <w:szCs w:val="24"/>
          <w:shd w:val="clear" w:color="auto" w:fill="FFFFFF"/>
        </w:rPr>
        <w:t>častia</w:t>
      </w:r>
      <w:r w:rsidRPr="00DA07E4">
        <w:rPr>
          <w:rFonts w:ascii="Times New Roman" w:hAnsi="Times New Roman" w:cs="Times New Roman"/>
          <w:sz w:val="24"/>
          <w:szCs w:val="24"/>
          <w:shd w:val="clear" w:color="auto" w:fill="FFFFFF"/>
        </w:rPr>
        <w:t xml:space="preserve">ch je uvedený prehľad </w:t>
      </w:r>
      <w:r w:rsidR="00EA160E" w:rsidRPr="00DA07E4">
        <w:rPr>
          <w:rFonts w:ascii="Times New Roman" w:hAnsi="Times New Roman" w:cs="Times New Roman"/>
          <w:sz w:val="24"/>
          <w:szCs w:val="24"/>
          <w:shd w:val="clear" w:color="auto" w:fill="FFFFFF"/>
        </w:rPr>
        <w:t xml:space="preserve">niektorých </w:t>
      </w:r>
      <w:r w:rsidRPr="00DA07E4">
        <w:rPr>
          <w:rFonts w:ascii="Times New Roman" w:hAnsi="Times New Roman" w:cs="Times New Roman"/>
          <w:sz w:val="24"/>
          <w:szCs w:val="24"/>
          <w:shd w:val="clear" w:color="auto" w:fill="FFFFFF"/>
        </w:rPr>
        <w:t>najčastejších faktorov, ktoré sa podieľajú na vzniku ochorenia.</w:t>
      </w:r>
    </w:p>
    <w:p w14:paraId="0605999C" w14:textId="77777777" w:rsidR="00A84C52" w:rsidRPr="00DA07E4" w:rsidRDefault="00A84C52" w:rsidP="00DA07E4">
      <w:pPr>
        <w:spacing w:after="0" w:line="360" w:lineRule="auto"/>
        <w:jc w:val="both"/>
        <w:rPr>
          <w:rFonts w:ascii="Times New Roman" w:hAnsi="Times New Roman" w:cs="Times New Roman"/>
          <w:sz w:val="24"/>
          <w:szCs w:val="24"/>
          <w:shd w:val="clear" w:color="auto" w:fill="FFFFFF"/>
        </w:rPr>
      </w:pPr>
    </w:p>
    <w:p w14:paraId="096AF1C8" w14:textId="087556B9" w:rsidR="00A84C52" w:rsidRPr="00DA07E4" w:rsidRDefault="004554B8" w:rsidP="00DA07E4">
      <w:pPr>
        <w:pStyle w:val="Odstavecseseznamem"/>
        <w:numPr>
          <w:ilvl w:val="2"/>
          <w:numId w:val="4"/>
        </w:numPr>
        <w:spacing w:after="0" w:line="360" w:lineRule="auto"/>
        <w:ind w:left="709"/>
        <w:jc w:val="both"/>
        <w:rPr>
          <w:rFonts w:ascii="Times New Roman" w:hAnsi="Times New Roman" w:cs="Times New Roman"/>
          <w:b/>
          <w:sz w:val="24"/>
          <w:szCs w:val="24"/>
          <w:shd w:val="clear" w:color="auto" w:fill="FFFFFF"/>
        </w:rPr>
      </w:pPr>
      <w:r w:rsidRPr="00DA07E4">
        <w:rPr>
          <w:rFonts w:ascii="Times New Roman" w:hAnsi="Times New Roman" w:cs="Times New Roman"/>
          <w:b/>
          <w:sz w:val="24"/>
          <w:szCs w:val="24"/>
          <w:shd w:val="clear" w:color="auto" w:fill="FFFFFF"/>
        </w:rPr>
        <w:t>Hydratácia ako dôležitý faktor vzniku urolitiázy</w:t>
      </w:r>
    </w:p>
    <w:p w14:paraId="1C12C256" w14:textId="77777777" w:rsidR="00526A4A" w:rsidRPr="00DA07E4" w:rsidRDefault="00526A4A" w:rsidP="00DA07E4">
      <w:pPr>
        <w:spacing w:after="0" w:line="360" w:lineRule="auto"/>
        <w:ind w:firstLine="708"/>
        <w:jc w:val="both"/>
        <w:rPr>
          <w:rFonts w:ascii="Times New Roman" w:hAnsi="Times New Roman" w:cs="Times New Roman"/>
          <w:sz w:val="24"/>
          <w:szCs w:val="24"/>
          <w:shd w:val="clear" w:color="auto" w:fill="FFFFFF"/>
        </w:rPr>
      </w:pPr>
    </w:p>
    <w:p w14:paraId="27B8D304" w14:textId="4A6EE9F9" w:rsidR="0054354B" w:rsidRPr="00DA07E4" w:rsidRDefault="0054354B"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Dehydratácia a z toho vyplývajúca nízka diuréza výrazne potencujú kryštalizáciu a tvorbu močových konkrementov. Dochádza k hypersaturácii moču a nukleácia a agregácia kryštálov prebieha významne rýchlejšie.</w:t>
      </w:r>
    </w:p>
    <w:p w14:paraId="32BE624A" w14:textId="2F5F2789" w:rsidR="004B5E42" w:rsidRPr="00DA07E4" w:rsidRDefault="004B5E42" w:rsidP="00DA07E4">
      <w:pPr>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hAnsi="Times New Roman" w:cs="Times New Roman"/>
          <w:sz w:val="24"/>
          <w:szCs w:val="24"/>
          <w:shd w:val="clear" w:color="auto" w:fill="FFFFFF"/>
        </w:rPr>
        <w:t>Odporúčaný príjem tekutín závisí od množstva faktorov (</w:t>
      </w:r>
      <w:r w:rsidR="004D5B79" w:rsidRPr="00DA07E4">
        <w:rPr>
          <w:rFonts w:ascii="Times New Roman" w:hAnsi="Times New Roman" w:cs="Times New Roman"/>
          <w:sz w:val="24"/>
          <w:szCs w:val="24"/>
          <w:shd w:val="clear" w:color="auto" w:fill="FFFFFF"/>
        </w:rPr>
        <w:t xml:space="preserve">napríklad </w:t>
      </w:r>
      <w:r w:rsidRPr="00DA07E4">
        <w:rPr>
          <w:rFonts w:ascii="Times New Roman" w:hAnsi="Times New Roman" w:cs="Times New Roman"/>
          <w:sz w:val="24"/>
          <w:szCs w:val="24"/>
          <w:shd w:val="clear" w:color="auto" w:fill="FFFFFF"/>
        </w:rPr>
        <w:t xml:space="preserve">v teplejšom prostredí a pri zvýšenej fyzickej aktivite telo stráca viac potu). </w:t>
      </w:r>
      <w:r w:rsidR="004D5B79" w:rsidRPr="00DA07E4">
        <w:rPr>
          <w:rFonts w:ascii="Times New Roman" w:hAnsi="Times New Roman" w:cs="Times New Roman"/>
          <w:sz w:val="24"/>
          <w:szCs w:val="24"/>
          <w:shd w:val="clear" w:color="auto" w:fill="FFFFFF"/>
        </w:rPr>
        <w:t>Je žiaduce odporúčať pacientom nie konkrétn</w:t>
      </w:r>
      <w:r w:rsidR="00D25E45">
        <w:rPr>
          <w:rFonts w:ascii="Times New Roman" w:hAnsi="Times New Roman" w:cs="Times New Roman"/>
          <w:sz w:val="24"/>
          <w:szCs w:val="24"/>
          <w:shd w:val="clear" w:color="auto" w:fill="FFFFFF"/>
        </w:rPr>
        <w:t>y</w:t>
      </w:r>
      <w:r w:rsidR="004D5B79" w:rsidRPr="00DA07E4">
        <w:rPr>
          <w:rFonts w:ascii="Times New Roman" w:hAnsi="Times New Roman" w:cs="Times New Roman"/>
          <w:sz w:val="24"/>
          <w:szCs w:val="24"/>
          <w:shd w:val="clear" w:color="auto" w:fill="FFFFFF"/>
        </w:rPr>
        <w:t xml:space="preserve"> objem prijatých tekutín ale </w:t>
      </w:r>
      <w:r w:rsidR="00D25E45">
        <w:rPr>
          <w:rFonts w:ascii="Times New Roman" w:hAnsi="Times New Roman" w:cs="Times New Roman"/>
          <w:sz w:val="24"/>
          <w:szCs w:val="24"/>
          <w:shd w:val="clear" w:color="auto" w:fill="FFFFFF"/>
        </w:rPr>
        <w:t xml:space="preserve">snahu o </w:t>
      </w:r>
      <w:r w:rsidR="004D5B79" w:rsidRPr="00DA07E4">
        <w:rPr>
          <w:rFonts w:ascii="Times New Roman" w:hAnsi="Times New Roman" w:cs="Times New Roman"/>
          <w:sz w:val="24"/>
          <w:szCs w:val="24"/>
          <w:shd w:val="clear" w:color="auto" w:fill="FFFFFF"/>
        </w:rPr>
        <w:t>dostatočný objem diurézy. Ideálne by pacient mal vyprodukovať 30 ml moču / kg hmotnosti za 24 hodín. Tento objem odpovedá asi 2 l diurézy za deň (</w:t>
      </w:r>
      <w:r w:rsidR="0038460C" w:rsidRPr="00DA07E4">
        <w:rPr>
          <w:rFonts w:ascii="Times New Roman" w:hAnsi="Times New Roman" w:cs="Times New Roman"/>
          <w:sz w:val="24"/>
          <w:szCs w:val="24"/>
          <w:shd w:val="clear" w:color="auto" w:fill="FFFFFF"/>
        </w:rPr>
        <w:t xml:space="preserve">Heilberg </w:t>
      </w:r>
      <w:r w:rsidR="004D3042">
        <w:rPr>
          <w:rFonts w:ascii="Times New Roman" w:hAnsi="Times New Roman" w:cs="Times New Roman"/>
          <w:sz w:val="24"/>
          <w:szCs w:val="24"/>
          <w:shd w:val="clear" w:color="auto" w:fill="FFFFFF"/>
        </w:rPr>
        <w:t>et</w:t>
      </w:r>
      <w:r w:rsidR="0038460C" w:rsidRPr="00DA07E4">
        <w:rPr>
          <w:rFonts w:ascii="Times New Roman" w:hAnsi="Times New Roman" w:cs="Times New Roman"/>
          <w:sz w:val="24"/>
          <w:szCs w:val="24"/>
          <w:shd w:val="clear" w:color="auto" w:fill="FFFFFF"/>
        </w:rPr>
        <w:t xml:space="preserve"> Goldfarb, 2013</w:t>
      </w:r>
      <w:r w:rsidR="004D5B79" w:rsidRPr="00DA07E4">
        <w:rPr>
          <w:rFonts w:ascii="Times New Roman" w:eastAsia="Times New Roman" w:hAnsi="Times New Roman" w:cs="Times New Roman"/>
          <w:sz w:val="24"/>
          <w:szCs w:val="24"/>
          <w:lang w:eastAsia="sk-SK"/>
        </w:rPr>
        <w:t>)</w:t>
      </w:r>
      <w:r w:rsidR="0038460C" w:rsidRPr="00DA07E4">
        <w:rPr>
          <w:rFonts w:ascii="Times New Roman" w:eastAsia="Times New Roman" w:hAnsi="Times New Roman" w:cs="Times New Roman"/>
          <w:sz w:val="24"/>
          <w:szCs w:val="24"/>
          <w:lang w:eastAsia="sk-SK"/>
        </w:rPr>
        <w:t>.</w:t>
      </w:r>
    </w:p>
    <w:p w14:paraId="190860A3" w14:textId="2A9E95CD" w:rsidR="0054354B" w:rsidRPr="00DA07E4" w:rsidRDefault="0054354B"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shd w:val="clear" w:color="auto" w:fill="FFFFFF"/>
        </w:rPr>
        <w:t xml:space="preserve">Zlý pitný režim v zmysle nízkeho príjmu tekutín je </w:t>
      </w:r>
      <w:r w:rsidR="004D5B79" w:rsidRPr="00DA07E4">
        <w:rPr>
          <w:rFonts w:ascii="Times New Roman" w:hAnsi="Times New Roman" w:cs="Times New Roman"/>
          <w:sz w:val="24"/>
          <w:szCs w:val="24"/>
          <w:shd w:val="clear" w:color="auto" w:fill="FFFFFF"/>
        </w:rPr>
        <w:t xml:space="preserve">preto </w:t>
      </w:r>
      <w:r w:rsidRPr="00DA07E4">
        <w:rPr>
          <w:rFonts w:ascii="Times New Roman" w:hAnsi="Times New Roman" w:cs="Times New Roman"/>
          <w:sz w:val="24"/>
          <w:szCs w:val="24"/>
          <w:shd w:val="clear" w:color="auto" w:fill="FFFFFF"/>
        </w:rPr>
        <w:t xml:space="preserve">len jedným z krokov, ktoré vedú k dehydratácii. Okrem porúch vodného </w:t>
      </w:r>
      <w:r w:rsidRPr="00644522">
        <w:rPr>
          <w:rFonts w:ascii="Times New Roman" w:hAnsi="Times New Roman" w:cs="Times New Roman"/>
          <w:sz w:val="24"/>
          <w:szCs w:val="24"/>
          <w:shd w:val="clear" w:color="auto" w:fill="FFFFFF"/>
        </w:rPr>
        <w:t>hospodárstva</w:t>
      </w:r>
      <w:r w:rsidR="00E83AC3" w:rsidRPr="00644522">
        <w:rPr>
          <w:rFonts w:ascii="Times New Roman" w:hAnsi="Times New Roman" w:cs="Times New Roman"/>
          <w:sz w:val="24"/>
          <w:szCs w:val="24"/>
          <w:shd w:val="clear" w:color="auto" w:fill="FFFFFF"/>
        </w:rPr>
        <w:t>, rôznych nozokomiálnych jednotiek</w:t>
      </w:r>
      <w:r w:rsidR="00E83AC3" w:rsidRPr="00DA07E4">
        <w:rPr>
          <w:rFonts w:ascii="Times New Roman" w:hAnsi="Times New Roman" w:cs="Times New Roman"/>
          <w:sz w:val="24"/>
          <w:szCs w:val="24"/>
          <w:shd w:val="clear" w:color="auto" w:fill="FFFFFF"/>
        </w:rPr>
        <w:t xml:space="preserve"> spojených so stratou vody pri zvracaní, hnačkách či febrilných stavoch, je nutné spomenúť aj sociálno-geografické faktory. </w:t>
      </w:r>
      <w:r w:rsidR="00D51BF8" w:rsidRPr="00DA07E4">
        <w:rPr>
          <w:rFonts w:ascii="Times New Roman" w:hAnsi="Times New Roman" w:cs="Times New Roman"/>
          <w:sz w:val="24"/>
          <w:szCs w:val="24"/>
          <w:shd w:val="clear" w:color="auto" w:fill="FFFFFF"/>
        </w:rPr>
        <w:t>Existujú</w:t>
      </w:r>
      <w:r w:rsidR="00E83AC3" w:rsidRPr="00DA07E4">
        <w:rPr>
          <w:rFonts w:ascii="Times New Roman" w:hAnsi="Times New Roman" w:cs="Times New Roman"/>
          <w:sz w:val="24"/>
          <w:szCs w:val="24"/>
          <w:shd w:val="clear" w:color="auto" w:fill="FFFFFF"/>
        </w:rPr>
        <w:t xml:space="preserve"> štúdie (</w:t>
      </w:r>
      <w:r w:rsidR="0038460C" w:rsidRPr="00DA07E4">
        <w:rPr>
          <w:rFonts w:ascii="Times New Roman" w:hAnsi="Times New Roman" w:cs="Times New Roman"/>
          <w:sz w:val="24"/>
          <w:szCs w:val="24"/>
          <w:shd w:val="clear" w:color="auto" w:fill="FFFFFF"/>
        </w:rPr>
        <w:t>Brikowski et al., 2008</w:t>
      </w:r>
      <w:r w:rsidR="00E83AC3" w:rsidRPr="00DA07E4">
        <w:rPr>
          <w:rFonts w:ascii="Times New Roman" w:hAnsi="Times New Roman" w:cs="Times New Roman"/>
          <w:sz w:val="24"/>
          <w:szCs w:val="24"/>
          <w:shd w:val="clear" w:color="auto" w:fill="FFFFFF"/>
        </w:rPr>
        <w:t>)</w:t>
      </w:r>
      <w:r w:rsidR="00D51BF8" w:rsidRPr="00DA07E4">
        <w:rPr>
          <w:rFonts w:ascii="Times New Roman" w:hAnsi="Times New Roman" w:cs="Times New Roman"/>
          <w:sz w:val="24"/>
          <w:szCs w:val="24"/>
          <w:shd w:val="clear" w:color="auto" w:fill="FFFFFF"/>
        </w:rPr>
        <w:t>, ktoré</w:t>
      </w:r>
      <w:r w:rsidR="00E83AC3" w:rsidRPr="00DA07E4">
        <w:rPr>
          <w:rFonts w:ascii="Times New Roman" w:hAnsi="Times New Roman" w:cs="Times New Roman"/>
          <w:sz w:val="24"/>
          <w:szCs w:val="24"/>
          <w:shd w:val="clear" w:color="auto" w:fill="FFFFFF"/>
        </w:rPr>
        <w:t xml:space="preserve"> udávajú zhoršenie výskytu urolitiázy pri klimatických zmenách. Dá sa hovoriť o predpoklade zvýšenia incidencie ochorenia vplyvom globálneho otepľovania. Rovnako je nutné spomenúť prirodzene zníženú potrebu smädu u starších pacientov a aj vplyv zamestnania. Vybrané profesie (zvárači, pokladači striech, pracovníci v ochranných oblekoch) významne strácajú veľké objemy tekutín v pote.</w:t>
      </w:r>
    </w:p>
    <w:p w14:paraId="1A4CD7D5" w14:textId="51547FD3" w:rsidR="004554B8" w:rsidRPr="00DA07E4" w:rsidRDefault="005572B3"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 xml:space="preserve">Okrem kvantity sa skúma aj kvalita prijímanej vody. </w:t>
      </w:r>
      <w:r w:rsidR="00E83AC3" w:rsidRPr="00DA07E4">
        <w:rPr>
          <w:rFonts w:ascii="Times New Roman" w:hAnsi="Times New Roman" w:cs="Times New Roman"/>
          <w:sz w:val="24"/>
          <w:szCs w:val="24"/>
          <w:shd w:val="clear" w:color="auto" w:fill="FFFFFF"/>
        </w:rPr>
        <w:t>Existujú viaceré úvahy o vplyve tvrdosti vody na tvorbu močových konkrementov</w:t>
      </w:r>
      <w:r w:rsidRPr="00DA07E4">
        <w:rPr>
          <w:rFonts w:ascii="Times New Roman" w:hAnsi="Times New Roman" w:cs="Times New Roman"/>
          <w:sz w:val="24"/>
          <w:szCs w:val="24"/>
          <w:shd w:val="clear" w:color="auto" w:fill="FFFFFF"/>
        </w:rPr>
        <w:t xml:space="preserve"> </w:t>
      </w:r>
      <w:r w:rsidR="00224EDF" w:rsidRPr="00DA07E4">
        <w:rPr>
          <w:rFonts w:ascii="Times New Roman" w:hAnsi="Times New Roman" w:cs="Times New Roman"/>
          <w:sz w:val="24"/>
          <w:szCs w:val="24"/>
          <w:shd w:val="clear" w:color="auto" w:fill="FFFFFF"/>
        </w:rPr>
        <w:t>(</w:t>
      </w:r>
      <w:r w:rsidR="0038460C" w:rsidRPr="00DA07E4">
        <w:rPr>
          <w:rFonts w:ascii="Times New Roman" w:hAnsi="Times New Roman" w:cs="Times New Roman"/>
          <w:sz w:val="24"/>
          <w:szCs w:val="24"/>
          <w:shd w:val="clear" w:color="auto" w:fill="FFFFFF"/>
        </w:rPr>
        <w:t>Agarwal et al., 2011).</w:t>
      </w:r>
      <w:r w:rsidR="004554B8" w:rsidRPr="00DA07E4">
        <w:rPr>
          <w:rFonts w:ascii="Times New Roman" w:hAnsi="Times New Roman" w:cs="Times New Roman"/>
          <w:sz w:val="24"/>
          <w:szCs w:val="24"/>
          <w:shd w:val="clear" w:color="auto" w:fill="FFFFFF"/>
        </w:rPr>
        <w:t xml:space="preserve"> </w:t>
      </w:r>
      <w:r w:rsidR="00E83AC3" w:rsidRPr="00DA07E4">
        <w:rPr>
          <w:rFonts w:ascii="Times New Roman" w:hAnsi="Times New Roman" w:cs="Times New Roman"/>
          <w:sz w:val="24"/>
          <w:szCs w:val="24"/>
          <w:shd w:val="clear" w:color="auto" w:fill="FFFFFF"/>
        </w:rPr>
        <w:t>Stále chýba vedecký konsenzus ohľadom litogénneho potenciálu tvrdej vody, ktorá je bohatá na vápnik</w:t>
      </w:r>
      <w:r w:rsidR="004554B8" w:rsidRPr="00DA07E4">
        <w:rPr>
          <w:rFonts w:ascii="Times New Roman" w:hAnsi="Times New Roman" w:cs="Times New Roman"/>
          <w:sz w:val="24"/>
          <w:szCs w:val="24"/>
          <w:shd w:val="clear" w:color="auto" w:fill="FFFFFF"/>
        </w:rPr>
        <w:t>.</w:t>
      </w:r>
      <w:r w:rsidR="00E83AC3" w:rsidRPr="00DA07E4">
        <w:rPr>
          <w:rFonts w:ascii="Times New Roman" w:hAnsi="Times New Roman" w:cs="Times New Roman"/>
          <w:sz w:val="24"/>
          <w:szCs w:val="24"/>
          <w:shd w:val="clear" w:color="auto" w:fill="FFFFFF"/>
        </w:rPr>
        <w:t xml:space="preserve"> Schwart</w:t>
      </w:r>
      <w:r w:rsidR="0015280F" w:rsidRPr="00DA07E4">
        <w:rPr>
          <w:rFonts w:ascii="Times New Roman" w:hAnsi="Times New Roman" w:cs="Times New Roman"/>
          <w:sz w:val="24"/>
          <w:szCs w:val="24"/>
          <w:shd w:val="clear" w:color="auto" w:fill="FFFFFF"/>
        </w:rPr>
        <w:t>z</w:t>
      </w:r>
      <w:r w:rsidR="00E83AC3" w:rsidRPr="00DA07E4">
        <w:rPr>
          <w:rFonts w:ascii="Times New Roman" w:hAnsi="Times New Roman" w:cs="Times New Roman"/>
          <w:sz w:val="24"/>
          <w:szCs w:val="24"/>
          <w:shd w:val="clear" w:color="auto" w:fill="FFFFFF"/>
        </w:rPr>
        <w:t xml:space="preserve"> a kol. v kohortovej štúdii na </w:t>
      </w:r>
      <w:r w:rsidR="004554B8" w:rsidRPr="00DA07E4">
        <w:rPr>
          <w:rFonts w:ascii="Times New Roman" w:hAnsi="Times New Roman" w:cs="Times New Roman"/>
          <w:sz w:val="24"/>
          <w:szCs w:val="24"/>
          <w:shd w:val="clear" w:color="auto" w:fill="FFFFFF"/>
        </w:rPr>
        <w:t xml:space="preserve">3270 </w:t>
      </w:r>
      <w:r w:rsidR="00E83AC3" w:rsidRPr="00DA07E4">
        <w:rPr>
          <w:rFonts w:ascii="Times New Roman" w:hAnsi="Times New Roman" w:cs="Times New Roman"/>
          <w:sz w:val="24"/>
          <w:szCs w:val="24"/>
          <w:shd w:val="clear" w:color="auto" w:fill="FFFFFF"/>
        </w:rPr>
        <w:t>pacientoch s</w:t>
      </w:r>
      <w:r w:rsidR="0038460C" w:rsidRPr="00DA07E4">
        <w:rPr>
          <w:rFonts w:ascii="Times New Roman" w:hAnsi="Times New Roman" w:cs="Times New Roman"/>
          <w:sz w:val="24"/>
          <w:szCs w:val="24"/>
          <w:shd w:val="clear" w:color="auto" w:fill="FFFFFF"/>
        </w:rPr>
        <w:t> </w:t>
      </w:r>
      <w:r w:rsidR="00E83AC3" w:rsidRPr="00DA07E4">
        <w:rPr>
          <w:rFonts w:ascii="Times New Roman" w:hAnsi="Times New Roman" w:cs="Times New Roman"/>
          <w:sz w:val="24"/>
          <w:szCs w:val="24"/>
          <w:shd w:val="clear" w:color="auto" w:fill="FFFFFF"/>
        </w:rPr>
        <w:t>urolitiázou</w:t>
      </w:r>
      <w:r w:rsidR="0038460C" w:rsidRPr="00DA07E4">
        <w:rPr>
          <w:rFonts w:ascii="Times New Roman" w:hAnsi="Times New Roman" w:cs="Times New Roman"/>
          <w:sz w:val="24"/>
          <w:szCs w:val="24"/>
          <w:shd w:val="clear" w:color="auto" w:fill="FFFFFF"/>
        </w:rPr>
        <w:t xml:space="preserve"> </w:t>
      </w:r>
      <w:r w:rsidR="00E83AC3" w:rsidRPr="00DA07E4">
        <w:rPr>
          <w:rFonts w:ascii="Times New Roman" w:hAnsi="Times New Roman" w:cs="Times New Roman"/>
          <w:sz w:val="24"/>
          <w:szCs w:val="24"/>
          <w:shd w:val="clear" w:color="auto" w:fill="FFFFFF"/>
        </w:rPr>
        <w:t>popísal</w:t>
      </w:r>
      <w:r w:rsidR="00D25E45">
        <w:rPr>
          <w:rFonts w:ascii="Times New Roman" w:hAnsi="Times New Roman" w:cs="Times New Roman"/>
          <w:sz w:val="24"/>
          <w:szCs w:val="24"/>
          <w:shd w:val="clear" w:color="auto" w:fill="FFFFFF"/>
        </w:rPr>
        <w:t>i</w:t>
      </w:r>
      <w:r w:rsidR="00E83AC3" w:rsidRPr="00DA07E4">
        <w:rPr>
          <w:rFonts w:ascii="Times New Roman" w:hAnsi="Times New Roman" w:cs="Times New Roman"/>
          <w:sz w:val="24"/>
          <w:szCs w:val="24"/>
          <w:shd w:val="clear" w:color="auto" w:fill="FFFFFF"/>
        </w:rPr>
        <w:t xml:space="preserve"> vyššiu</w:t>
      </w:r>
      <w:r w:rsidR="0015280F" w:rsidRPr="00DA07E4">
        <w:rPr>
          <w:rFonts w:ascii="Times New Roman" w:hAnsi="Times New Roman" w:cs="Times New Roman"/>
          <w:sz w:val="24"/>
          <w:szCs w:val="24"/>
          <w:shd w:val="clear" w:color="auto" w:fill="FFFFFF"/>
        </w:rPr>
        <w:t xml:space="preserve"> kalciúriu a citratúriu u pacientov, ktorí žili v oblasti s tvrdou vodou</w:t>
      </w:r>
      <w:r w:rsidR="0038460C" w:rsidRPr="00DA07E4">
        <w:rPr>
          <w:rFonts w:ascii="Times New Roman" w:hAnsi="Times New Roman" w:cs="Times New Roman"/>
          <w:sz w:val="24"/>
          <w:szCs w:val="24"/>
          <w:shd w:val="clear" w:color="auto" w:fill="FFFFFF"/>
        </w:rPr>
        <w:t xml:space="preserve"> (Schwartz et al., 2002)</w:t>
      </w:r>
      <w:r w:rsidR="004554B8" w:rsidRPr="00DA07E4">
        <w:rPr>
          <w:rFonts w:ascii="Times New Roman" w:hAnsi="Times New Roman" w:cs="Times New Roman"/>
          <w:sz w:val="24"/>
          <w:szCs w:val="24"/>
          <w:shd w:val="clear" w:color="auto" w:fill="FFFFFF"/>
        </w:rPr>
        <w:t xml:space="preserve">. </w:t>
      </w:r>
      <w:r w:rsidR="0015280F" w:rsidRPr="00DA07E4">
        <w:rPr>
          <w:rFonts w:ascii="Times New Roman" w:hAnsi="Times New Roman" w:cs="Times New Roman"/>
          <w:sz w:val="24"/>
          <w:szCs w:val="24"/>
          <w:shd w:val="clear" w:color="auto" w:fill="FFFFFF"/>
        </w:rPr>
        <w:t>Na druh</w:t>
      </w:r>
      <w:r w:rsidR="00D25E45">
        <w:rPr>
          <w:rFonts w:ascii="Times New Roman" w:hAnsi="Times New Roman" w:cs="Times New Roman"/>
          <w:sz w:val="24"/>
          <w:szCs w:val="24"/>
          <w:shd w:val="clear" w:color="auto" w:fill="FFFFFF"/>
        </w:rPr>
        <w:t>ej</w:t>
      </w:r>
      <w:r w:rsidR="0015280F" w:rsidRPr="00DA07E4">
        <w:rPr>
          <w:rFonts w:ascii="Times New Roman" w:hAnsi="Times New Roman" w:cs="Times New Roman"/>
          <w:sz w:val="24"/>
          <w:szCs w:val="24"/>
          <w:shd w:val="clear" w:color="auto" w:fill="FFFFFF"/>
        </w:rPr>
        <w:t xml:space="preserve"> stran</w:t>
      </w:r>
      <w:r w:rsidR="00D25E45">
        <w:rPr>
          <w:rFonts w:ascii="Times New Roman" w:hAnsi="Times New Roman" w:cs="Times New Roman"/>
          <w:sz w:val="24"/>
          <w:szCs w:val="24"/>
          <w:shd w:val="clear" w:color="auto" w:fill="FFFFFF"/>
        </w:rPr>
        <w:t>e</w:t>
      </w:r>
      <w:r w:rsidR="0015280F" w:rsidRPr="00DA07E4">
        <w:rPr>
          <w:rFonts w:ascii="Times New Roman" w:hAnsi="Times New Roman" w:cs="Times New Roman"/>
          <w:sz w:val="24"/>
          <w:szCs w:val="24"/>
          <w:shd w:val="clear" w:color="auto" w:fill="FFFFFF"/>
        </w:rPr>
        <w:t>, viaceré štúdie ukazujú rovnaký výskyt konkrementov u osôb, ktoré prijímali tvrdú alebo mäkkú vodu</w:t>
      </w:r>
      <w:r w:rsidR="0038460C" w:rsidRPr="00DA07E4">
        <w:rPr>
          <w:rFonts w:ascii="Times New Roman" w:hAnsi="Times New Roman" w:cs="Times New Roman"/>
          <w:sz w:val="24"/>
          <w:szCs w:val="24"/>
          <w:shd w:val="clear" w:color="auto" w:fill="FFFFFF"/>
        </w:rPr>
        <w:t xml:space="preserve"> (Juuti </w:t>
      </w:r>
      <w:r w:rsidR="004D3042">
        <w:rPr>
          <w:rFonts w:ascii="Times New Roman" w:hAnsi="Times New Roman" w:cs="Times New Roman"/>
          <w:sz w:val="24"/>
          <w:szCs w:val="24"/>
          <w:shd w:val="clear" w:color="auto" w:fill="FFFFFF"/>
        </w:rPr>
        <w:t>et</w:t>
      </w:r>
      <w:r w:rsidR="0038460C" w:rsidRPr="00DA07E4">
        <w:rPr>
          <w:rFonts w:ascii="Times New Roman" w:hAnsi="Times New Roman" w:cs="Times New Roman"/>
          <w:sz w:val="24"/>
          <w:szCs w:val="24"/>
          <w:shd w:val="clear" w:color="auto" w:fill="FFFFFF"/>
        </w:rPr>
        <w:t xml:space="preserve"> Heinonen, 1980)</w:t>
      </w:r>
      <w:r w:rsidR="0015280F" w:rsidRPr="00DA07E4">
        <w:rPr>
          <w:rFonts w:ascii="Times New Roman" w:hAnsi="Times New Roman" w:cs="Times New Roman"/>
          <w:sz w:val="24"/>
          <w:szCs w:val="24"/>
          <w:shd w:val="clear" w:color="auto" w:fill="FFFFFF"/>
        </w:rPr>
        <w:t>.</w:t>
      </w:r>
    </w:p>
    <w:p w14:paraId="0FDAB085" w14:textId="2D868F0F" w:rsidR="00A84C52" w:rsidRDefault="00A84C52" w:rsidP="00DA07E4">
      <w:pPr>
        <w:spacing w:after="0" w:line="360" w:lineRule="auto"/>
        <w:jc w:val="both"/>
        <w:rPr>
          <w:rFonts w:ascii="Times New Roman" w:hAnsi="Times New Roman" w:cs="Times New Roman"/>
          <w:sz w:val="24"/>
          <w:szCs w:val="24"/>
          <w:shd w:val="clear" w:color="auto" w:fill="FFFFFF"/>
        </w:rPr>
      </w:pPr>
    </w:p>
    <w:p w14:paraId="1E2AED32" w14:textId="4EE6450C" w:rsidR="000B363A" w:rsidRDefault="000B363A" w:rsidP="00DA07E4">
      <w:pPr>
        <w:spacing w:after="0" w:line="360" w:lineRule="auto"/>
        <w:jc w:val="both"/>
        <w:rPr>
          <w:rFonts w:ascii="Times New Roman" w:hAnsi="Times New Roman" w:cs="Times New Roman"/>
          <w:sz w:val="24"/>
          <w:szCs w:val="24"/>
          <w:shd w:val="clear" w:color="auto" w:fill="FFFFFF"/>
        </w:rPr>
      </w:pPr>
    </w:p>
    <w:p w14:paraId="72F3BAB8" w14:textId="77777777" w:rsidR="000B363A" w:rsidRPr="00DA07E4" w:rsidRDefault="000B363A" w:rsidP="00DA07E4">
      <w:pPr>
        <w:spacing w:after="0" w:line="360" w:lineRule="auto"/>
        <w:jc w:val="both"/>
        <w:rPr>
          <w:rFonts w:ascii="Times New Roman" w:hAnsi="Times New Roman" w:cs="Times New Roman"/>
          <w:sz w:val="24"/>
          <w:szCs w:val="24"/>
          <w:shd w:val="clear" w:color="auto" w:fill="FFFFFF"/>
        </w:rPr>
      </w:pPr>
      <w:bookmarkStart w:id="2" w:name="_GoBack"/>
      <w:bookmarkEnd w:id="2"/>
    </w:p>
    <w:p w14:paraId="14158178" w14:textId="204505FB" w:rsidR="00D63BAE" w:rsidRPr="00DA07E4" w:rsidRDefault="00973118" w:rsidP="00DA07E4">
      <w:pPr>
        <w:pStyle w:val="Odstavecseseznamem"/>
        <w:numPr>
          <w:ilvl w:val="2"/>
          <w:numId w:val="4"/>
        </w:numPr>
        <w:spacing w:after="0" w:line="360" w:lineRule="auto"/>
        <w:ind w:left="709" w:hanging="709"/>
        <w:jc w:val="both"/>
        <w:rPr>
          <w:rFonts w:ascii="Times New Roman" w:hAnsi="Times New Roman" w:cs="Times New Roman"/>
          <w:b/>
          <w:sz w:val="24"/>
          <w:szCs w:val="24"/>
          <w:shd w:val="clear" w:color="auto" w:fill="FFFFFF"/>
        </w:rPr>
      </w:pPr>
      <w:r w:rsidRPr="00DA07E4">
        <w:rPr>
          <w:rFonts w:ascii="Times New Roman" w:hAnsi="Times New Roman" w:cs="Times New Roman"/>
          <w:b/>
          <w:sz w:val="24"/>
          <w:szCs w:val="24"/>
          <w:shd w:val="clear" w:color="auto" w:fill="FFFFFF"/>
        </w:rPr>
        <w:lastRenderedPageBreak/>
        <w:t xml:space="preserve">Diéta ako rizikový aj protektívny faktor pri </w:t>
      </w:r>
      <w:r w:rsidR="000F7C05" w:rsidRPr="00DA07E4">
        <w:rPr>
          <w:rFonts w:ascii="Times New Roman" w:hAnsi="Times New Roman" w:cs="Times New Roman"/>
          <w:b/>
          <w:sz w:val="24"/>
          <w:szCs w:val="24"/>
          <w:shd w:val="clear" w:color="auto" w:fill="FFFFFF"/>
        </w:rPr>
        <w:t>vzniku</w:t>
      </w:r>
      <w:r w:rsidRPr="00DA07E4">
        <w:rPr>
          <w:rFonts w:ascii="Times New Roman" w:hAnsi="Times New Roman" w:cs="Times New Roman"/>
          <w:b/>
          <w:sz w:val="24"/>
          <w:szCs w:val="24"/>
          <w:shd w:val="clear" w:color="auto" w:fill="FFFFFF"/>
        </w:rPr>
        <w:t xml:space="preserve"> urolitiázy</w:t>
      </w:r>
    </w:p>
    <w:p w14:paraId="63C2DC76" w14:textId="77777777" w:rsidR="00526A4A" w:rsidRPr="00DA07E4" w:rsidRDefault="00526A4A" w:rsidP="00DA07E4">
      <w:pPr>
        <w:spacing w:after="0" w:line="360" w:lineRule="auto"/>
        <w:ind w:firstLine="708"/>
        <w:jc w:val="both"/>
        <w:rPr>
          <w:rFonts w:ascii="Times New Roman" w:hAnsi="Times New Roman" w:cs="Times New Roman"/>
          <w:sz w:val="24"/>
          <w:szCs w:val="24"/>
          <w:shd w:val="clear" w:color="auto" w:fill="FFFFFF"/>
        </w:rPr>
      </w:pPr>
    </w:p>
    <w:p w14:paraId="68B21B4E" w14:textId="302D2CA8" w:rsidR="00EB2FC1" w:rsidRPr="00DA07E4" w:rsidRDefault="005572B3" w:rsidP="00DA07E4">
      <w:pPr>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hAnsi="Times New Roman" w:cs="Times New Roman"/>
          <w:sz w:val="24"/>
          <w:szCs w:val="24"/>
          <w:shd w:val="clear" w:color="auto" w:fill="FFFFFF"/>
        </w:rPr>
        <w:t>K</w:t>
      </w:r>
      <w:r w:rsidR="005A6D30" w:rsidRPr="00DA07E4">
        <w:rPr>
          <w:rFonts w:ascii="Times New Roman" w:hAnsi="Times New Roman" w:cs="Times New Roman"/>
          <w:sz w:val="24"/>
          <w:szCs w:val="24"/>
          <w:shd w:val="clear" w:color="auto" w:fill="FFFFFF"/>
        </w:rPr>
        <w:t> vzniku močových</w:t>
      </w:r>
      <w:r w:rsidR="00AF27FF" w:rsidRPr="00DA07E4">
        <w:rPr>
          <w:rFonts w:ascii="Times New Roman" w:hAnsi="Times New Roman" w:cs="Times New Roman"/>
          <w:sz w:val="24"/>
          <w:szCs w:val="24"/>
          <w:shd w:val="clear" w:color="auto" w:fill="FFFFFF"/>
        </w:rPr>
        <w:t xml:space="preserve"> konkrementov</w:t>
      </w:r>
      <w:r w:rsidR="005A6D30" w:rsidRPr="00DA07E4">
        <w:rPr>
          <w:rFonts w:ascii="Times New Roman" w:hAnsi="Times New Roman" w:cs="Times New Roman"/>
          <w:sz w:val="24"/>
          <w:szCs w:val="24"/>
          <w:shd w:val="clear" w:color="auto" w:fill="FFFFFF"/>
        </w:rPr>
        <w:t xml:space="preserve"> výrazne prispievajú aj novodobé stravovacie návyky. </w:t>
      </w:r>
      <w:r w:rsidR="00EB2FC1" w:rsidRPr="00DA07E4">
        <w:rPr>
          <w:rFonts w:ascii="Times New Roman" w:eastAsia="Times New Roman" w:hAnsi="Times New Roman" w:cs="Times New Roman"/>
          <w:sz w:val="24"/>
          <w:szCs w:val="24"/>
          <w:lang w:eastAsia="sk-SK"/>
        </w:rPr>
        <w:t>Vedecké dôkaz</w:t>
      </w:r>
      <w:r w:rsidR="00973118" w:rsidRPr="00DA07E4">
        <w:rPr>
          <w:rFonts w:ascii="Times New Roman" w:eastAsia="Times New Roman" w:hAnsi="Times New Roman" w:cs="Times New Roman"/>
          <w:sz w:val="24"/>
          <w:szCs w:val="24"/>
          <w:lang w:eastAsia="sk-SK"/>
        </w:rPr>
        <w:t>y</w:t>
      </w:r>
      <w:r w:rsidR="00EB2FC1" w:rsidRPr="00DA07E4">
        <w:rPr>
          <w:rFonts w:ascii="Times New Roman" w:eastAsia="Times New Roman" w:hAnsi="Times New Roman" w:cs="Times New Roman"/>
          <w:sz w:val="24"/>
          <w:szCs w:val="24"/>
          <w:lang w:eastAsia="sk-SK"/>
        </w:rPr>
        <w:t xml:space="preserve"> poukazujú na </w:t>
      </w:r>
      <w:r w:rsidRPr="00DA07E4">
        <w:rPr>
          <w:rFonts w:ascii="Times New Roman" w:eastAsia="Times New Roman" w:hAnsi="Times New Roman" w:cs="Times New Roman"/>
          <w:sz w:val="24"/>
          <w:szCs w:val="24"/>
          <w:lang w:eastAsia="sk-SK"/>
        </w:rPr>
        <w:t>litogénny</w:t>
      </w:r>
      <w:r w:rsidR="00EB2FC1" w:rsidRPr="00DA07E4">
        <w:rPr>
          <w:rFonts w:ascii="Times New Roman" w:eastAsia="Times New Roman" w:hAnsi="Times New Roman" w:cs="Times New Roman"/>
          <w:sz w:val="24"/>
          <w:szCs w:val="24"/>
          <w:lang w:eastAsia="sk-SK"/>
        </w:rPr>
        <w:t xml:space="preserve"> účinok vysokého príjmu bielkovín živočíšneho pôvodu</w:t>
      </w:r>
      <w:r w:rsidRPr="00DA07E4">
        <w:rPr>
          <w:rFonts w:ascii="Times New Roman" w:eastAsia="Times New Roman" w:hAnsi="Times New Roman" w:cs="Times New Roman"/>
          <w:sz w:val="24"/>
          <w:szCs w:val="24"/>
          <w:lang w:eastAsia="sk-SK"/>
        </w:rPr>
        <w:t xml:space="preserve"> a sodíka vo forme soli</w:t>
      </w:r>
      <w:r w:rsidR="00EB2FC1" w:rsidRPr="00DA07E4">
        <w:rPr>
          <w:rFonts w:ascii="Times New Roman" w:eastAsia="Times New Roman" w:hAnsi="Times New Roman" w:cs="Times New Roman"/>
          <w:sz w:val="24"/>
          <w:szCs w:val="24"/>
          <w:lang w:eastAsia="sk-SK"/>
        </w:rPr>
        <w:t xml:space="preserve"> a zníženého príjmu vápnika</w:t>
      </w:r>
      <w:r w:rsidRPr="00DA07E4">
        <w:rPr>
          <w:rFonts w:ascii="Times New Roman" w:eastAsia="Times New Roman" w:hAnsi="Times New Roman" w:cs="Times New Roman"/>
          <w:sz w:val="24"/>
          <w:szCs w:val="24"/>
          <w:lang w:eastAsia="sk-SK"/>
        </w:rPr>
        <w:t>. Tieto návyky sú typické pre diéty západných krajín</w:t>
      </w:r>
      <w:r w:rsidR="0038460C" w:rsidRPr="00DA07E4">
        <w:rPr>
          <w:rFonts w:ascii="Times New Roman" w:eastAsia="Times New Roman" w:hAnsi="Times New Roman" w:cs="Times New Roman"/>
          <w:sz w:val="24"/>
          <w:szCs w:val="24"/>
          <w:lang w:eastAsia="sk-SK"/>
        </w:rPr>
        <w:t xml:space="preserve"> (Daudon et al., 2016).</w:t>
      </w:r>
      <w:r w:rsidRPr="00DA07E4">
        <w:rPr>
          <w:rFonts w:ascii="Times New Roman" w:eastAsia="Times New Roman" w:hAnsi="Times New Roman" w:cs="Times New Roman"/>
          <w:sz w:val="24"/>
          <w:szCs w:val="24"/>
          <w:lang w:eastAsia="sk-SK"/>
        </w:rPr>
        <w:t xml:space="preserve"> Výskum v oblasti vplyvu diétnych faktorov na vznik urolitiázy v posledných dekádach odhalil viaceré zaujímavé asociácie medzi prevažujúcou zložkou potravy a tvorbou močových konkrementov a tiež potenciál niektorých potravín predchádzať vzniku urolitiázy.</w:t>
      </w:r>
    </w:p>
    <w:p w14:paraId="35BCCA2E" w14:textId="77777777" w:rsidR="00D63BAE" w:rsidRPr="00DA07E4" w:rsidRDefault="00D63BAE" w:rsidP="00DA07E4">
      <w:pPr>
        <w:spacing w:after="0" w:line="360" w:lineRule="auto"/>
        <w:jc w:val="both"/>
        <w:rPr>
          <w:rFonts w:ascii="Times New Roman" w:eastAsia="Times New Roman" w:hAnsi="Times New Roman" w:cs="Times New Roman"/>
          <w:sz w:val="24"/>
          <w:szCs w:val="24"/>
          <w:lang w:eastAsia="sk-SK"/>
        </w:rPr>
      </w:pPr>
    </w:p>
    <w:p w14:paraId="79DEA5AF" w14:textId="1F240B74" w:rsidR="00D63BAE" w:rsidRPr="00DA07E4" w:rsidRDefault="00D63BAE" w:rsidP="00DA07E4">
      <w:pPr>
        <w:pStyle w:val="Odstavecseseznamem"/>
        <w:numPr>
          <w:ilvl w:val="3"/>
          <w:numId w:val="4"/>
        </w:numPr>
        <w:spacing w:after="0" w:line="360" w:lineRule="auto"/>
        <w:ind w:left="709"/>
        <w:jc w:val="both"/>
        <w:rPr>
          <w:rFonts w:ascii="Times New Roman" w:eastAsia="Times New Roman" w:hAnsi="Times New Roman" w:cs="Times New Roman"/>
          <w:b/>
          <w:sz w:val="24"/>
          <w:szCs w:val="24"/>
          <w:lang w:eastAsia="sk-SK"/>
        </w:rPr>
      </w:pPr>
      <w:r w:rsidRPr="00DA07E4">
        <w:rPr>
          <w:rFonts w:ascii="Times New Roman" w:eastAsia="Times New Roman" w:hAnsi="Times New Roman" w:cs="Times New Roman"/>
          <w:b/>
          <w:sz w:val="24"/>
          <w:szCs w:val="24"/>
          <w:lang w:eastAsia="sk-SK"/>
        </w:rPr>
        <w:t xml:space="preserve"> Vybrané stravovacie návyky a ich vplyv na tvorbu urolitiázy</w:t>
      </w:r>
    </w:p>
    <w:p w14:paraId="51E594E8" w14:textId="77777777" w:rsidR="00526A4A" w:rsidRPr="00DA07E4" w:rsidRDefault="00526A4A" w:rsidP="00DA07E4">
      <w:pPr>
        <w:spacing w:after="0" w:line="360" w:lineRule="auto"/>
        <w:ind w:firstLine="708"/>
        <w:jc w:val="both"/>
        <w:rPr>
          <w:rFonts w:ascii="Times New Roman" w:hAnsi="Times New Roman" w:cs="Times New Roman"/>
          <w:sz w:val="24"/>
          <w:szCs w:val="24"/>
          <w:shd w:val="clear" w:color="auto" w:fill="FFFFFF"/>
        </w:rPr>
      </w:pPr>
    </w:p>
    <w:p w14:paraId="29F028AC" w14:textId="17897450" w:rsidR="00973118" w:rsidRPr="00DA07E4" w:rsidRDefault="0025374B" w:rsidP="00DA07E4">
      <w:pPr>
        <w:spacing w:after="0" w:line="360" w:lineRule="auto"/>
        <w:ind w:firstLine="708"/>
        <w:jc w:val="both"/>
        <w:rPr>
          <w:rFonts w:ascii="Times New Roman" w:hAnsi="Times New Roman" w:cs="Times New Roman"/>
          <w:sz w:val="24"/>
          <w:szCs w:val="24"/>
          <w:shd w:val="clear" w:color="auto" w:fill="FFFFFF"/>
        </w:rPr>
      </w:pPr>
      <w:r w:rsidRPr="0025374B">
        <w:rPr>
          <w:rFonts w:ascii="Times New Roman" w:hAnsi="Times New Roman" w:cs="Times New Roman"/>
          <w:sz w:val="24"/>
          <w:szCs w:val="24"/>
          <w:shd w:val="clear" w:color="auto" w:fill="FFFFFF"/>
        </w:rPr>
        <w:t xml:space="preserve">Strava </w:t>
      </w:r>
      <w:r w:rsidR="00973118" w:rsidRPr="00DA07E4">
        <w:rPr>
          <w:rFonts w:ascii="Times New Roman" w:hAnsi="Times New Roman" w:cs="Times New Roman"/>
          <w:sz w:val="24"/>
          <w:szCs w:val="24"/>
          <w:shd w:val="clear" w:color="auto" w:fill="FFFFFF"/>
        </w:rPr>
        <w:t xml:space="preserve">vo vyspelých štátoch sveta je typická nadmerným energetickým príjmom, vysokým obsahom soli, vysokým obsahom bielkovín a tiež pitím sladených kolových nápojov. </w:t>
      </w:r>
      <w:r w:rsidR="0071042C" w:rsidRPr="00DA07E4">
        <w:rPr>
          <w:rFonts w:ascii="Times New Roman" w:hAnsi="Times New Roman" w:cs="Times New Roman"/>
          <w:sz w:val="24"/>
          <w:szCs w:val="24"/>
          <w:shd w:val="clear" w:color="auto" w:fill="FFFFFF"/>
        </w:rPr>
        <w:t>Vyšší diétny príjem soli (a sodíka v soli viazaného) zvyšuje vylučovanie vápnika, znižuje hladinu citrátov v moči a znižuje pH moču. Potom klesá schopnosť moču inhibovať agregáciu kryštálov.</w:t>
      </w:r>
      <w:r w:rsidR="00A84C52" w:rsidRPr="00DA07E4">
        <w:rPr>
          <w:rFonts w:ascii="Times New Roman" w:hAnsi="Times New Roman" w:cs="Times New Roman"/>
          <w:sz w:val="24"/>
          <w:szCs w:val="24"/>
          <w:shd w:val="clear" w:color="auto" w:fill="FFFFFF"/>
        </w:rPr>
        <w:t xml:space="preserve"> Vysoký príjem živočíšnych bielkovín zvyšuje hladinu kyseliny močovej v moči a tiež zvyšuje vylučovanie vápnika a znižuje hladinu citrátov v moči. </w:t>
      </w:r>
      <w:r w:rsidR="00973118" w:rsidRPr="00DA07E4">
        <w:rPr>
          <w:rFonts w:ascii="Times New Roman" w:hAnsi="Times New Roman" w:cs="Times New Roman"/>
          <w:sz w:val="24"/>
          <w:szCs w:val="24"/>
          <w:shd w:val="clear" w:color="auto" w:fill="FFFFFF"/>
        </w:rPr>
        <w:t xml:space="preserve">Aj preto je v súčasnosti najviac diagnostikovaným konkrementom </w:t>
      </w:r>
      <w:r w:rsidR="0069101F" w:rsidRPr="00DA07E4">
        <w:rPr>
          <w:rFonts w:ascii="Times New Roman" w:hAnsi="Times New Roman" w:cs="Times New Roman"/>
          <w:sz w:val="24"/>
          <w:szCs w:val="24"/>
          <w:shd w:val="clear" w:color="auto" w:fill="FFFFFF"/>
        </w:rPr>
        <w:t>k</w:t>
      </w:r>
      <w:r w:rsidR="00973118" w:rsidRPr="00DA07E4">
        <w:rPr>
          <w:rFonts w:ascii="Times New Roman" w:hAnsi="Times New Roman" w:cs="Times New Roman"/>
          <w:sz w:val="24"/>
          <w:szCs w:val="24"/>
          <w:shd w:val="clear" w:color="auto" w:fill="FFFFFF"/>
        </w:rPr>
        <w:t>alciumoxal</w:t>
      </w:r>
      <w:r w:rsidR="0069101F" w:rsidRPr="00DA07E4">
        <w:rPr>
          <w:rFonts w:ascii="Times New Roman" w:hAnsi="Times New Roman" w:cs="Times New Roman"/>
          <w:sz w:val="24"/>
          <w:szCs w:val="24"/>
          <w:shd w:val="clear" w:color="auto" w:fill="FFFFFF"/>
        </w:rPr>
        <w:t>á</w:t>
      </w:r>
      <w:r w:rsidR="00973118" w:rsidRPr="00DA07E4">
        <w:rPr>
          <w:rFonts w:ascii="Times New Roman" w:hAnsi="Times New Roman" w:cs="Times New Roman"/>
          <w:sz w:val="24"/>
          <w:szCs w:val="24"/>
          <w:shd w:val="clear" w:color="auto" w:fill="FFFFFF"/>
        </w:rPr>
        <w:t>t</w:t>
      </w:r>
      <w:r w:rsidR="00011820" w:rsidRPr="00DA07E4">
        <w:rPr>
          <w:rFonts w:ascii="Times New Roman" w:hAnsi="Times New Roman" w:cs="Times New Roman"/>
          <w:sz w:val="24"/>
          <w:szCs w:val="24"/>
          <w:shd w:val="clear" w:color="auto" w:fill="FFFFFF"/>
        </w:rPr>
        <w:t xml:space="preserve"> (Robertson </w:t>
      </w:r>
      <w:r w:rsidR="004D3042">
        <w:rPr>
          <w:rFonts w:ascii="Times New Roman" w:hAnsi="Times New Roman" w:cs="Times New Roman"/>
          <w:sz w:val="24"/>
          <w:szCs w:val="24"/>
          <w:shd w:val="clear" w:color="auto" w:fill="FFFFFF"/>
        </w:rPr>
        <w:t>et</w:t>
      </w:r>
      <w:r w:rsidR="00011820" w:rsidRPr="00DA07E4">
        <w:rPr>
          <w:rFonts w:ascii="Times New Roman" w:hAnsi="Times New Roman" w:cs="Times New Roman"/>
          <w:sz w:val="24"/>
          <w:szCs w:val="24"/>
          <w:shd w:val="clear" w:color="auto" w:fill="FFFFFF"/>
        </w:rPr>
        <w:t xml:space="preserve"> Peacock, 1982; Borghi et al., 2002; Taylor </w:t>
      </w:r>
      <w:r w:rsidR="004D3042">
        <w:rPr>
          <w:rFonts w:ascii="Times New Roman" w:hAnsi="Times New Roman" w:cs="Times New Roman"/>
          <w:sz w:val="24"/>
          <w:szCs w:val="24"/>
          <w:shd w:val="clear" w:color="auto" w:fill="FFFFFF"/>
        </w:rPr>
        <w:t>et</w:t>
      </w:r>
      <w:r w:rsidR="00011820" w:rsidRPr="00DA07E4">
        <w:rPr>
          <w:rFonts w:ascii="Times New Roman" w:hAnsi="Times New Roman" w:cs="Times New Roman"/>
          <w:sz w:val="24"/>
          <w:szCs w:val="24"/>
          <w:shd w:val="clear" w:color="auto" w:fill="FFFFFF"/>
        </w:rPr>
        <w:t xml:space="preserve"> Curhan, 2008)</w:t>
      </w:r>
      <w:r w:rsidR="00973118" w:rsidRPr="00DA07E4">
        <w:rPr>
          <w:rFonts w:ascii="Times New Roman" w:hAnsi="Times New Roman" w:cs="Times New Roman"/>
          <w:sz w:val="24"/>
          <w:szCs w:val="24"/>
          <w:shd w:val="clear" w:color="auto" w:fill="FFFFFF"/>
        </w:rPr>
        <w:t>.</w:t>
      </w:r>
      <w:r w:rsidR="00B12603" w:rsidRPr="00DA07E4">
        <w:rPr>
          <w:rFonts w:ascii="Times New Roman" w:hAnsi="Times New Roman" w:cs="Times New Roman"/>
          <w:sz w:val="24"/>
          <w:szCs w:val="24"/>
          <w:shd w:val="clear" w:color="auto" w:fill="FFFFFF"/>
        </w:rPr>
        <w:t xml:space="preserve"> </w:t>
      </w:r>
    </w:p>
    <w:p w14:paraId="31C30BDB" w14:textId="386786B7" w:rsidR="00023956" w:rsidRPr="00DA07E4" w:rsidRDefault="00023956"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 xml:space="preserve">Vegetariánska strava je definovaná ako </w:t>
      </w:r>
      <w:r w:rsidR="00875B80" w:rsidRPr="00DA07E4">
        <w:rPr>
          <w:rFonts w:ascii="Times New Roman" w:eastAsia="Times New Roman" w:hAnsi="Times New Roman" w:cs="Times New Roman"/>
          <w:sz w:val="24"/>
          <w:szCs w:val="24"/>
          <w:lang w:eastAsia="sk-SK"/>
        </w:rPr>
        <w:t xml:space="preserve">diéta bez </w:t>
      </w:r>
      <w:r w:rsidR="00A84C52" w:rsidRPr="00DA07E4">
        <w:rPr>
          <w:rFonts w:ascii="Times New Roman" w:eastAsia="Times New Roman" w:hAnsi="Times New Roman" w:cs="Times New Roman"/>
          <w:sz w:val="24"/>
          <w:szCs w:val="24"/>
          <w:lang w:eastAsia="sk-SK"/>
        </w:rPr>
        <w:t>potravín</w:t>
      </w:r>
      <w:r w:rsidR="00875B80" w:rsidRPr="00DA07E4">
        <w:rPr>
          <w:rFonts w:ascii="Times New Roman" w:eastAsia="Times New Roman" w:hAnsi="Times New Roman" w:cs="Times New Roman"/>
          <w:sz w:val="24"/>
          <w:szCs w:val="24"/>
          <w:lang w:eastAsia="sk-SK"/>
        </w:rPr>
        <w:t xml:space="preserve">, pri ktorých </w:t>
      </w:r>
      <w:r w:rsidR="00A84C52" w:rsidRPr="00DA07E4">
        <w:rPr>
          <w:rFonts w:ascii="Times New Roman" w:eastAsia="Times New Roman" w:hAnsi="Times New Roman" w:cs="Times New Roman"/>
          <w:sz w:val="24"/>
          <w:szCs w:val="24"/>
          <w:lang w:eastAsia="sk-SK"/>
        </w:rPr>
        <w:t xml:space="preserve">produkcii </w:t>
      </w:r>
      <w:r w:rsidR="00875B80" w:rsidRPr="00DA07E4">
        <w:rPr>
          <w:rFonts w:ascii="Times New Roman" w:eastAsia="Times New Roman" w:hAnsi="Times New Roman" w:cs="Times New Roman"/>
          <w:sz w:val="24"/>
          <w:szCs w:val="24"/>
          <w:lang w:eastAsia="sk-SK"/>
        </w:rPr>
        <w:t>dochádza k úhynu zvierat (rôzne druhy mäsa ale aj ryby a morské plody)</w:t>
      </w:r>
      <w:r w:rsidR="00011820" w:rsidRPr="00DA07E4">
        <w:rPr>
          <w:rFonts w:ascii="Times New Roman" w:eastAsia="Times New Roman" w:hAnsi="Times New Roman" w:cs="Times New Roman"/>
          <w:sz w:val="24"/>
          <w:szCs w:val="24"/>
          <w:lang w:eastAsia="sk-SK"/>
        </w:rPr>
        <w:t xml:space="preserve"> (The Vegetarian Society UK, 2020)</w:t>
      </w:r>
      <w:r w:rsidRPr="00DA07E4">
        <w:rPr>
          <w:rFonts w:ascii="Times New Roman" w:eastAsia="Times New Roman" w:hAnsi="Times New Roman" w:cs="Times New Roman"/>
          <w:sz w:val="24"/>
          <w:szCs w:val="24"/>
          <w:lang w:eastAsia="sk-SK"/>
        </w:rPr>
        <w:t xml:space="preserve">. </w:t>
      </w:r>
      <w:r w:rsidR="00A84C52" w:rsidRPr="00DA07E4">
        <w:rPr>
          <w:rFonts w:ascii="Times New Roman" w:eastAsia="Times New Roman" w:hAnsi="Times New Roman" w:cs="Times New Roman"/>
          <w:sz w:val="24"/>
          <w:szCs w:val="24"/>
          <w:lang w:eastAsia="sk-SK"/>
        </w:rPr>
        <w:t>Keď je povolená k</w:t>
      </w:r>
      <w:r w:rsidR="00875B80" w:rsidRPr="00DA07E4">
        <w:rPr>
          <w:rFonts w:ascii="Times New Roman" w:eastAsia="Times New Roman" w:hAnsi="Times New Roman" w:cs="Times New Roman"/>
          <w:sz w:val="24"/>
          <w:szCs w:val="24"/>
          <w:lang w:eastAsia="sk-SK"/>
        </w:rPr>
        <w:t xml:space="preserve">onzumácia vajíčok a mliečnych </w:t>
      </w:r>
      <w:r w:rsidR="00A84C52" w:rsidRPr="00DA07E4">
        <w:rPr>
          <w:rFonts w:ascii="Times New Roman" w:eastAsia="Times New Roman" w:hAnsi="Times New Roman" w:cs="Times New Roman"/>
          <w:sz w:val="24"/>
          <w:szCs w:val="24"/>
          <w:lang w:eastAsia="sk-SK"/>
        </w:rPr>
        <w:t>výrobkov</w:t>
      </w:r>
      <w:r w:rsidR="00875B80" w:rsidRPr="00DA07E4">
        <w:rPr>
          <w:rFonts w:ascii="Times New Roman" w:eastAsia="Times New Roman" w:hAnsi="Times New Roman" w:cs="Times New Roman"/>
          <w:sz w:val="24"/>
          <w:szCs w:val="24"/>
          <w:lang w:eastAsia="sk-SK"/>
        </w:rPr>
        <w:t>, hovorí</w:t>
      </w:r>
      <w:r w:rsidR="00A84C52" w:rsidRPr="00DA07E4">
        <w:rPr>
          <w:rFonts w:ascii="Times New Roman" w:eastAsia="Times New Roman" w:hAnsi="Times New Roman" w:cs="Times New Roman"/>
          <w:sz w:val="24"/>
          <w:szCs w:val="24"/>
          <w:lang w:eastAsia="sk-SK"/>
        </w:rPr>
        <w:t xml:space="preserve"> sa</w:t>
      </w:r>
      <w:r w:rsidR="00875B80" w:rsidRPr="00DA07E4">
        <w:rPr>
          <w:rFonts w:ascii="Times New Roman" w:eastAsia="Times New Roman" w:hAnsi="Times New Roman" w:cs="Times New Roman"/>
          <w:sz w:val="24"/>
          <w:szCs w:val="24"/>
          <w:lang w:eastAsia="sk-SK"/>
        </w:rPr>
        <w:t xml:space="preserve"> o lakto-ovo-vegetariánstve. Vegánska strava je striktnejšia, vylučuje akékoľvek produkty súvisiace so </w:t>
      </w:r>
      <w:r w:rsidR="00875B80" w:rsidRPr="0025374B">
        <w:rPr>
          <w:rFonts w:ascii="Times New Roman" w:eastAsia="Times New Roman" w:hAnsi="Times New Roman" w:cs="Times New Roman"/>
          <w:sz w:val="24"/>
          <w:szCs w:val="24"/>
          <w:lang w:eastAsia="sk-SK"/>
        </w:rPr>
        <w:t>zvieratami.</w:t>
      </w:r>
      <w:r w:rsidR="00846923" w:rsidRPr="0025374B">
        <w:rPr>
          <w:rFonts w:ascii="Times New Roman" w:eastAsia="Times New Roman" w:hAnsi="Times New Roman" w:cs="Times New Roman"/>
          <w:sz w:val="24"/>
          <w:szCs w:val="24"/>
          <w:lang w:eastAsia="sk-SK"/>
        </w:rPr>
        <w:t xml:space="preserve"> </w:t>
      </w:r>
      <w:r w:rsidR="00D25E45" w:rsidRPr="0025374B">
        <w:rPr>
          <w:rFonts w:ascii="Times New Roman" w:eastAsia="Times New Roman" w:hAnsi="Times New Roman" w:cs="Times New Roman"/>
          <w:sz w:val="24"/>
          <w:szCs w:val="24"/>
          <w:lang w:eastAsia="sk-SK"/>
        </w:rPr>
        <w:t>Z dostupných zdrojov zatiaľ ž</w:t>
      </w:r>
      <w:r w:rsidR="00846923" w:rsidRPr="0025374B">
        <w:rPr>
          <w:rFonts w:ascii="Times New Roman" w:eastAsia="Times New Roman" w:hAnsi="Times New Roman" w:cs="Times New Roman"/>
          <w:sz w:val="24"/>
          <w:szCs w:val="24"/>
          <w:lang w:eastAsia="sk-SK"/>
        </w:rPr>
        <w:t>iadna štúdia</w:t>
      </w:r>
      <w:r w:rsidR="00846923" w:rsidRPr="00DA07E4">
        <w:rPr>
          <w:rFonts w:ascii="Times New Roman" w:eastAsia="Times New Roman" w:hAnsi="Times New Roman" w:cs="Times New Roman"/>
          <w:sz w:val="24"/>
          <w:szCs w:val="24"/>
          <w:lang w:eastAsia="sk-SK"/>
        </w:rPr>
        <w:t xml:space="preserve"> prospektívne neanalyzovala potenciálny efekt vegánskej diéty na vznik urolitiázy ani priamo neporovnala vplyv vegánskej a vegetariánskej stravy. Výskum ale ukázal, že vegetariáni prijímajú dostatok vápnika, kdežto vegáni majú príjem vápnika signifikantne nižší</w:t>
      </w:r>
      <w:r w:rsidR="00011820" w:rsidRPr="00DA07E4">
        <w:rPr>
          <w:rFonts w:ascii="Times New Roman" w:eastAsia="Times New Roman" w:hAnsi="Times New Roman" w:cs="Times New Roman"/>
          <w:sz w:val="24"/>
          <w:szCs w:val="24"/>
          <w:lang w:eastAsia="sk-SK"/>
        </w:rPr>
        <w:t xml:space="preserve"> (Lamberg-Allardt et al., 1993; Davey et al., 2003)</w:t>
      </w:r>
      <w:r w:rsidRPr="00DA07E4">
        <w:rPr>
          <w:rFonts w:ascii="Times New Roman" w:eastAsia="Times New Roman" w:hAnsi="Times New Roman" w:cs="Times New Roman"/>
          <w:sz w:val="24"/>
          <w:szCs w:val="24"/>
          <w:lang w:eastAsia="sk-SK"/>
        </w:rPr>
        <w:t>.</w:t>
      </w:r>
      <w:r w:rsidR="00846923" w:rsidRPr="00DA07E4">
        <w:rPr>
          <w:rFonts w:ascii="Times New Roman" w:eastAsia="Times New Roman" w:hAnsi="Times New Roman" w:cs="Times New Roman"/>
          <w:sz w:val="24"/>
          <w:szCs w:val="24"/>
          <w:lang w:eastAsia="sk-SK"/>
        </w:rPr>
        <w:t xml:space="preserve"> Vegetariánska strava sa aj preto ukazuje ako vhodn</w:t>
      </w:r>
      <w:r w:rsidR="002B09B3" w:rsidRPr="00DA07E4">
        <w:rPr>
          <w:rFonts w:ascii="Times New Roman" w:eastAsia="Times New Roman" w:hAnsi="Times New Roman" w:cs="Times New Roman"/>
          <w:sz w:val="24"/>
          <w:szCs w:val="24"/>
          <w:lang w:eastAsia="sk-SK"/>
        </w:rPr>
        <w:t>ejšia pri prevencii urolitiázy.</w:t>
      </w:r>
      <w:r w:rsidR="00846923" w:rsidRPr="00DA07E4">
        <w:rPr>
          <w:rFonts w:ascii="Times New Roman" w:eastAsia="Times New Roman" w:hAnsi="Times New Roman" w:cs="Times New Roman"/>
          <w:sz w:val="24"/>
          <w:szCs w:val="24"/>
          <w:lang w:eastAsia="sk-SK"/>
        </w:rPr>
        <w:t xml:space="preserve"> </w:t>
      </w:r>
      <w:r w:rsidR="002B09B3" w:rsidRPr="00DA07E4">
        <w:rPr>
          <w:rFonts w:ascii="Times New Roman" w:eastAsia="Times New Roman" w:hAnsi="Times New Roman" w:cs="Times New Roman"/>
          <w:sz w:val="24"/>
          <w:szCs w:val="24"/>
          <w:lang w:eastAsia="sk-SK"/>
        </w:rPr>
        <w:t>P</w:t>
      </w:r>
      <w:r w:rsidR="00846923" w:rsidRPr="00DA07E4">
        <w:rPr>
          <w:rFonts w:ascii="Times New Roman" w:eastAsia="Times New Roman" w:hAnsi="Times New Roman" w:cs="Times New Roman"/>
          <w:sz w:val="24"/>
          <w:szCs w:val="24"/>
          <w:lang w:eastAsia="sk-SK"/>
        </w:rPr>
        <w:t xml:space="preserve">ozitívny vplyv vegetariánstva ukázal vo výskume </w:t>
      </w:r>
      <w:r w:rsidRPr="00DA07E4">
        <w:rPr>
          <w:rFonts w:ascii="Times New Roman" w:eastAsia="Times New Roman" w:hAnsi="Times New Roman" w:cs="Times New Roman"/>
          <w:sz w:val="24"/>
          <w:szCs w:val="24"/>
          <w:lang w:eastAsia="sk-SK"/>
        </w:rPr>
        <w:t>Robertson</w:t>
      </w:r>
      <w:r w:rsidR="00846923" w:rsidRPr="00DA07E4">
        <w:rPr>
          <w:rFonts w:ascii="Times New Roman" w:eastAsia="Times New Roman" w:hAnsi="Times New Roman" w:cs="Times New Roman"/>
          <w:sz w:val="24"/>
          <w:szCs w:val="24"/>
          <w:lang w:eastAsia="sk-SK"/>
        </w:rPr>
        <w:t xml:space="preserve"> s predikciou 40</w:t>
      </w:r>
      <w:r w:rsidR="009F17C8">
        <w:rPr>
          <w:rFonts w:ascii="Times New Roman" w:eastAsia="Times New Roman" w:hAnsi="Times New Roman" w:cs="Times New Roman"/>
          <w:sz w:val="24"/>
          <w:szCs w:val="24"/>
          <w:lang w:eastAsia="sk-SK"/>
        </w:rPr>
        <w:t xml:space="preserve"> až </w:t>
      </w:r>
      <w:r w:rsidR="00846923" w:rsidRPr="00DA07E4">
        <w:rPr>
          <w:rFonts w:ascii="Times New Roman" w:eastAsia="Times New Roman" w:hAnsi="Times New Roman" w:cs="Times New Roman"/>
          <w:sz w:val="24"/>
          <w:szCs w:val="24"/>
          <w:lang w:eastAsia="sk-SK"/>
        </w:rPr>
        <w:t>60</w:t>
      </w:r>
      <w:r w:rsidR="009F17C8">
        <w:rPr>
          <w:rFonts w:ascii="Times New Roman" w:eastAsia="Times New Roman" w:hAnsi="Times New Roman" w:cs="Times New Roman"/>
          <w:sz w:val="24"/>
          <w:szCs w:val="24"/>
          <w:lang w:eastAsia="sk-SK"/>
        </w:rPr>
        <w:t xml:space="preserve"> </w:t>
      </w:r>
      <w:r w:rsidR="00846923" w:rsidRPr="00DA07E4">
        <w:rPr>
          <w:rFonts w:ascii="Times New Roman" w:eastAsia="Times New Roman" w:hAnsi="Times New Roman" w:cs="Times New Roman"/>
          <w:sz w:val="24"/>
          <w:szCs w:val="24"/>
          <w:lang w:eastAsia="sk-SK"/>
        </w:rPr>
        <w:t>% redukci</w:t>
      </w:r>
      <w:r w:rsidR="002B09B3" w:rsidRPr="00DA07E4">
        <w:rPr>
          <w:rFonts w:ascii="Times New Roman" w:eastAsia="Times New Roman" w:hAnsi="Times New Roman" w:cs="Times New Roman"/>
          <w:sz w:val="24"/>
          <w:szCs w:val="24"/>
          <w:lang w:eastAsia="sk-SK"/>
        </w:rPr>
        <w:t>e prevalencie urolitiázy v porovnaní s bežnou populáciou</w:t>
      </w:r>
      <w:r w:rsidR="00011820" w:rsidRPr="00DA07E4">
        <w:rPr>
          <w:rFonts w:ascii="Times New Roman" w:eastAsia="Times New Roman" w:hAnsi="Times New Roman" w:cs="Times New Roman"/>
          <w:sz w:val="24"/>
          <w:szCs w:val="24"/>
          <w:lang w:eastAsia="sk-SK"/>
        </w:rPr>
        <w:t xml:space="preserve"> (Robertson et al., 1979; Robertson et al., 1982)</w:t>
      </w:r>
      <w:r w:rsidRPr="00DA07E4">
        <w:rPr>
          <w:rFonts w:ascii="Times New Roman" w:eastAsia="Times New Roman" w:hAnsi="Times New Roman" w:cs="Times New Roman"/>
          <w:sz w:val="24"/>
          <w:szCs w:val="24"/>
          <w:lang w:eastAsia="sk-SK"/>
        </w:rPr>
        <w:t>.</w:t>
      </w:r>
      <w:r w:rsidR="002B09B3" w:rsidRPr="00DA07E4">
        <w:rPr>
          <w:rFonts w:ascii="Times New Roman" w:eastAsia="Times New Roman" w:hAnsi="Times New Roman" w:cs="Times New Roman"/>
          <w:sz w:val="24"/>
          <w:szCs w:val="24"/>
          <w:lang w:eastAsia="sk-SK"/>
        </w:rPr>
        <w:t xml:space="preserve"> Aj Oxfordská štúdia EPIC (</w:t>
      </w:r>
      <w:r w:rsidRPr="00DA07E4">
        <w:rPr>
          <w:rFonts w:ascii="Times New Roman" w:eastAsia="Times New Roman" w:hAnsi="Times New Roman" w:cs="Times New Roman"/>
          <w:sz w:val="24"/>
          <w:szCs w:val="24"/>
          <w:lang w:eastAsia="sk-SK"/>
        </w:rPr>
        <w:t>European Prospective Investigation into Cancer and Nutrition</w:t>
      </w:r>
      <w:r w:rsidR="002B09B3" w:rsidRPr="00DA07E4">
        <w:rPr>
          <w:rFonts w:ascii="Times New Roman" w:eastAsia="Times New Roman" w:hAnsi="Times New Roman" w:cs="Times New Roman"/>
          <w:sz w:val="24"/>
          <w:szCs w:val="24"/>
          <w:lang w:eastAsia="sk-SK"/>
        </w:rPr>
        <w:t>) ukázala, že strava bohatá na červené mäso a hydinu korelovala so zvýšeným rizikom tvorby urolitiázy</w:t>
      </w:r>
      <w:r w:rsidR="00011820" w:rsidRPr="00DA07E4">
        <w:rPr>
          <w:rFonts w:ascii="Times New Roman" w:eastAsia="Times New Roman" w:hAnsi="Times New Roman" w:cs="Times New Roman"/>
          <w:sz w:val="24"/>
          <w:szCs w:val="24"/>
          <w:lang w:eastAsia="sk-SK"/>
        </w:rPr>
        <w:t xml:space="preserve"> (Turney et al., 2014).</w:t>
      </w:r>
      <w:r w:rsidRPr="00DA07E4">
        <w:rPr>
          <w:rFonts w:ascii="Times New Roman" w:eastAsia="Times New Roman" w:hAnsi="Times New Roman" w:cs="Times New Roman"/>
          <w:sz w:val="24"/>
          <w:szCs w:val="24"/>
          <w:lang w:eastAsia="sk-SK"/>
        </w:rPr>
        <w:t xml:space="preserve"> </w:t>
      </w:r>
      <w:r w:rsidR="002B09B3" w:rsidRPr="00DA07E4">
        <w:rPr>
          <w:rFonts w:ascii="Times New Roman" w:eastAsia="Times New Roman" w:hAnsi="Times New Roman" w:cs="Times New Roman"/>
          <w:sz w:val="24"/>
          <w:szCs w:val="24"/>
          <w:lang w:eastAsia="sk-SK"/>
        </w:rPr>
        <w:t xml:space="preserve">Do </w:t>
      </w:r>
      <w:r w:rsidR="002B09B3" w:rsidRPr="00DA07E4">
        <w:rPr>
          <w:rFonts w:ascii="Times New Roman" w:eastAsia="Times New Roman" w:hAnsi="Times New Roman" w:cs="Times New Roman"/>
          <w:sz w:val="24"/>
          <w:szCs w:val="24"/>
          <w:lang w:eastAsia="sk-SK"/>
        </w:rPr>
        <w:lastRenderedPageBreak/>
        <w:t xml:space="preserve">štúdie bolo zaradených </w:t>
      </w:r>
      <w:r w:rsidRPr="00DA07E4">
        <w:rPr>
          <w:rFonts w:ascii="Times New Roman" w:eastAsia="Times New Roman" w:hAnsi="Times New Roman" w:cs="Times New Roman"/>
          <w:sz w:val="24"/>
          <w:szCs w:val="24"/>
          <w:lang w:eastAsia="sk-SK"/>
        </w:rPr>
        <w:t>51</w:t>
      </w:r>
      <w:r w:rsidR="0095272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 xml:space="preserve">336 </w:t>
      </w:r>
      <w:r w:rsidR="002B09B3" w:rsidRPr="00DA07E4">
        <w:rPr>
          <w:rFonts w:ascii="Times New Roman" w:eastAsia="Times New Roman" w:hAnsi="Times New Roman" w:cs="Times New Roman"/>
          <w:sz w:val="24"/>
          <w:szCs w:val="24"/>
          <w:lang w:eastAsia="sk-SK"/>
        </w:rPr>
        <w:t xml:space="preserve">účastníkov. Vegetariánska strava a strava s nízkym príjmom mäsa vykázala najnižšie </w:t>
      </w:r>
      <w:r w:rsidR="000A7009" w:rsidRPr="00DA07E4">
        <w:rPr>
          <w:rFonts w:ascii="Times New Roman" w:eastAsia="Times New Roman" w:hAnsi="Times New Roman" w:cs="Times New Roman"/>
          <w:sz w:val="24"/>
          <w:szCs w:val="24"/>
          <w:lang w:eastAsia="sk-SK"/>
        </w:rPr>
        <w:t>riziko</w:t>
      </w:r>
      <w:r w:rsidR="002B09B3" w:rsidRPr="00DA07E4">
        <w:rPr>
          <w:rFonts w:ascii="Times New Roman" w:eastAsia="Times New Roman" w:hAnsi="Times New Roman" w:cs="Times New Roman"/>
          <w:sz w:val="24"/>
          <w:szCs w:val="24"/>
          <w:lang w:eastAsia="sk-SK"/>
        </w:rPr>
        <w:t>.</w:t>
      </w:r>
      <w:r w:rsidRPr="00DA07E4">
        <w:rPr>
          <w:rFonts w:ascii="Times New Roman" w:eastAsia="Times New Roman" w:hAnsi="Times New Roman" w:cs="Times New Roman"/>
          <w:sz w:val="24"/>
          <w:szCs w:val="24"/>
          <w:lang w:eastAsia="sk-SK"/>
        </w:rPr>
        <w:t xml:space="preserve"> </w:t>
      </w:r>
      <w:r w:rsidR="004A3436" w:rsidRPr="00DA07E4">
        <w:rPr>
          <w:rFonts w:ascii="Times New Roman" w:eastAsia="Times New Roman" w:hAnsi="Times New Roman" w:cs="Times New Roman"/>
          <w:sz w:val="24"/>
          <w:szCs w:val="24"/>
          <w:lang w:eastAsia="sk-SK"/>
        </w:rPr>
        <w:t xml:space="preserve">Na druhú stranu, </w:t>
      </w:r>
      <w:r w:rsidR="00D8203C" w:rsidRPr="00DA07E4">
        <w:rPr>
          <w:rFonts w:ascii="Times New Roman" w:eastAsia="Times New Roman" w:hAnsi="Times New Roman" w:cs="Times New Roman"/>
          <w:sz w:val="24"/>
          <w:szCs w:val="24"/>
          <w:lang w:eastAsia="sk-SK"/>
        </w:rPr>
        <w:t xml:space="preserve">čínska </w:t>
      </w:r>
      <w:r w:rsidR="004A3436" w:rsidRPr="00DA07E4">
        <w:rPr>
          <w:rFonts w:ascii="Times New Roman" w:eastAsia="Times New Roman" w:hAnsi="Times New Roman" w:cs="Times New Roman"/>
          <w:sz w:val="24"/>
          <w:szCs w:val="24"/>
          <w:lang w:eastAsia="sk-SK"/>
        </w:rPr>
        <w:t>štúdia prípadov a</w:t>
      </w:r>
      <w:r w:rsidR="00D8203C" w:rsidRPr="00DA07E4">
        <w:rPr>
          <w:rFonts w:ascii="Times New Roman" w:eastAsia="Times New Roman" w:hAnsi="Times New Roman" w:cs="Times New Roman"/>
          <w:sz w:val="24"/>
          <w:szCs w:val="24"/>
          <w:lang w:eastAsia="sk-SK"/>
        </w:rPr>
        <w:t> </w:t>
      </w:r>
      <w:r w:rsidR="004A3436" w:rsidRPr="00DA07E4">
        <w:rPr>
          <w:rFonts w:ascii="Times New Roman" w:eastAsia="Times New Roman" w:hAnsi="Times New Roman" w:cs="Times New Roman"/>
          <w:sz w:val="24"/>
          <w:szCs w:val="24"/>
          <w:lang w:eastAsia="sk-SK"/>
        </w:rPr>
        <w:t>kontrol</w:t>
      </w:r>
      <w:r w:rsidR="00D8203C" w:rsidRPr="00DA07E4">
        <w:rPr>
          <w:rFonts w:ascii="Times New Roman" w:eastAsia="Times New Roman" w:hAnsi="Times New Roman" w:cs="Times New Roman"/>
          <w:sz w:val="24"/>
          <w:szCs w:val="24"/>
          <w:lang w:eastAsia="sk-SK"/>
        </w:rPr>
        <w:t xml:space="preserve"> (1019 pacientov s urolitiázou a 987 zdravých kontrol) ukázala negatívny vplyv vegetariánskej diéty. Konzumácia viacerých jedál, ktoré sú základnou zložkou vegetariánskej diéty (obilniny, strukoviny, listová zelenina) pozitívne korelovala s tvorbou močových</w:t>
      </w:r>
      <w:r w:rsidR="00AF27FF" w:rsidRPr="00DA07E4">
        <w:rPr>
          <w:rFonts w:ascii="Times New Roman" w:eastAsia="Times New Roman" w:hAnsi="Times New Roman" w:cs="Times New Roman"/>
          <w:sz w:val="24"/>
          <w:szCs w:val="24"/>
          <w:lang w:eastAsia="sk-SK"/>
        </w:rPr>
        <w:t xml:space="preserve"> konkrementov</w:t>
      </w:r>
      <w:r w:rsidR="00011820" w:rsidRPr="00DA07E4">
        <w:rPr>
          <w:rFonts w:ascii="Times New Roman" w:eastAsia="Times New Roman" w:hAnsi="Times New Roman" w:cs="Times New Roman"/>
          <w:sz w:val="24"/>
          <w:szCs w:val="24"/>
          <w:lang w:eastAsia="sk-SK"/>
        </w:rPr>
        <w:t xml:space="preserve"> (Dai et al., 2013)</w:t>
      </w:r>
      <w:hyperlink r:id="rId9" w:anchor="B106-nutrients-12-00779" w:history="1"/>
      <w:r w:rsidR="00D8203C" w:rsidRPr="00DA07E4">
        <w:rPr>
          <w:rFonts w:ascii="Times New Roman" w:eastAsia="Times New Roman" w:hAnsi="Times New Roman" w:cs="Times New Roman"/>
          <w:sz w:val="24"/>
          <w:szCs w:val="24"/>
          <w:lang w:eastAsia="sk-SK"/>
        </w:rPr>
        <w:t>. Štúdia Littlejohns</w:t>
      </w:r>
      <w:r w:rsidR="009F17C8">
        <w:rPr>
          <w:rFonts w:ascii="Times New Roman" w:eastAsia="Times New Roman" w:hAnsi="Times New Roman" w:cs="Times New Roman"/>
          <w:sz w:val="24"/>
          <w:szCs w:val="24"/>
          <w:lang w:eastAsia="sk-SK"/>
        </w:rPr>
        <w:t>a</w:t>
      </w:r>
      <w:r w:rsidR="00D8203C" w:rsidRPr="00DA07E4">
        <w:rPr>
          <w:rFonts w:ascii="Times New Roman" w:eastAsia="Times New Roman" w:hAnsi="Times New Roman" w:cs="Times New Roman"/>
          <w:sz w:val="24"/>
          <w:szCs w:val="24"/>
          <w:lang w:eastAsia="sk-SK"/>
        </w:rPr>
        <w:t xml:space="preserve"> a kol</w:t>
      </w:r>
      <w:r w:rsidR="00011820" w:rsidRPr="00DA07E4">
        <w:rPr>
          <w:rFonts w:ascii="Times New Roman" w:eastAsia="Times New Roman" w:hAnsi="Times New Roman" w:cs="Times New Roman"/>
          <w:sz w:val="24"/>
          <w:szCs w:val="24"/>
          <w:lang w:eastAsia="sk-SK"/>
        </w:rPr>
        <w:t>ektívu</w:t>
      </w:r>
      <w:r w:rsidR="00D8203C" w:rsidRPr="00DA07E4">
        <w:rPr>
          <w:rFonts w:ascii="Times New Roman" w:eastAsia="Times New Roman" w:hAnsi="Times New Roman" w:cs="Times New Roman"/>
          <w:sz w:val="24"/>
          <w:szCs w:val="24"/>
          <w:lang w:eastAsia="sk-SK"/>
        </w:rPr>
        <w:t xml:space="preserve"> </w:t>
      </w:r>
      <w:hyperlink r:id="rId10" w:anchor="B31-nutrients-12-00779" w:history="1"/>
      <w:r w:rsidR="00D8203C" w:rsidRPr="00DA07E4">
        <w:rPr>
          <w:rFonts w:ascii="Times New Roman" w:eastAsia="Times New Roman" w:hAnsi="Times New Roman" w:cs="Times New Roman"/>
          <w:sz w:val="24"/>
          <w:szCs w:val="24"/>
          <w:lang w:eastAsia="sk-SK"/>
        </w:rPr>
        <w:t xml:space="preserve">ukázala, že príjem vlákniny </w:t>
      </w:r>
      <w:r w:rsidR="00973118" w:rsidRPr="00DA07E4">
        <w:rPr>
          <w:rFonts w:ascii="Times New Roman" w:eastAsia="Times New Roman" w:hAnsi="Times New Roman" w:cs="Times New Roman"/>
          <w:sz w:val="24"/>
          <w:szCs w:val="24"/>
          <w:lang w:eastAsia="sk-SK"/>
        </w:rPr>
        <w:t xml:space="preserve">ako takej </w:t>
      </w:r>
      <w:r w:rsidR="00D8203C" w:rsidRPr="00DA07E4">
        <w:rPr>
          <w:rFonts w:ascii="Times New Roman" w:eastAsia="Times New Roman" w:hAnsi="Times New Roman" w:cs="Times New Roman"/>
          <w:sz w:val="24"/>
          <w:szCs w:val="24"/>
          <w:lang w:eastAsia="sk-SK"/>
        </w:rPr>
        <w:t>predstavoval ochranný faktor pri tvorbe urolitiázy, ale príjem zeleniny</w:t>
      </w:r>
      <w:r w:rsidR="00973118" w:rsidRPr="00DA07E4">
        <w:rPr>
          <w:rFonts w:ascii="Times New Roman" w:eastAsia="Times New Roman" w:hAnsi="Times New Roman" w:cs="Times New Roman"/>
          <w:sz w:val="24"/>
          <w:szCs w:val="24"/>
          <w:lang w:eastAsia="sk-SK"/>
        </w:rPr>
        <w:t xml:space="preserve"> všeobecne</w:t>
      </w:r>
      <w:r w:rsidR="00D8203C" w:rsidRPr="00DA07E4">
        <w:rPr>
          <w:rFonts w:ascii="Times New Roman" w:eastAsia="Times New Roman" w:hAnsi="Times New Roman" w:cs="Times New Roman"/>
          <w:sz w:val="24"/>
          <w:szCs w:val="24"/>
          <w:lang w:eastAsia="sk-SK"/>
        </w:rPr>
        <w:t xml:space="preserve"> nemal ochranný ani škodlivý vplyv</w:t>
      </w:r>
      <w:r w:rsidR="00011820" w:rsidRPr="00DA07E4">
        <w:rPr>
          <w:rFonts w:ascii="Times New Roman" w:eastAsia="Times New Roman" w:hAnsi="Times New Roman" w:cs="Times New Roman"/>
          <w:sz w:val="24"/>
          <w:szCs w:val="24"/>
          <w:lang w:eastAsia="sk-SK"/>
        </w:rPr>
        <w:t xml:space="preserve"> (Littlejohns et al., 2020)</w:t>
      </w:r>
      <w:r w:rsidR="00D8203C" w:rsidRPr="00DA07E4">
        <w:rPr>
          <w:rFonts w:ascii="Times New Roman" w:eastAsia="Times New Roman" w:hAnsi="Times New Roman" w:cs="Times New Roman"/>
          <w:sz w:val="24"/>
          <w:szCs w:val="24"/>
          <w:lang w:eastAsia="sk-SK"/>
        </w:rPr>
        <w:t>.</w:t>
      </w:r>
    </w:p>
    <w:p w14:paraId="7BD9AEBC" w14:textId="1CD76DB7" w:rsidR="00973118" w:rsidRPr="00DA07E4" w:rsidRDefault="00973118" w:rsidP="00DA07E4">
      <w:pPr>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hAnsi="Times New Roman" w:cs="Times New Roman"/>
          <w:sz w:val="24"/>
          <w:szCs w:val="24"/>
        </w:rPr>
        <w:t>Zaujímavá je absencia výskytu urolitiázy v populácii Grónskych Inuitov (takzvaná eskimo diéta). Táto strava je typická bohatou konzumáciou čerstvých rýb. Rybí olej a omega-3-mastné kyseliny v strave môžu mať vplyv na zníženie kalciúrie, čo môže byť dôsledkom nižšej prevalencie urolitiázy (</w:t>
      </w:r>
      <w:r w:rsidR="00011820" w:rsidRPr="00DA07E4">
        <w:rPr>
          <w:rFonts w:ascii="Times New Roman" w:hAnsi="Times New Roman" w:cs="Times New Roman"/>
          <w:sz w:val="24"/>
          <w:szCs w:val="24"/>
        </w:rPr>
        <w:t>D´Alessandro et al., 2019</w:t>
      </w:r>
      <w:r w:rsidRPr="00DA07E4">
        <w:rPr>
          <w:rFonts w:ascii="Times New Roman" w:hAnsi="Times New Roman" w:cs="Times New Roman"/>
          <w:sz w:val="24"/>
          <w:szCs w:val="24"/>
        </w:rPr>
        <w:t>). Ďalšie štúdie budú ale potrebné na podloženie týchto tvrdení.</w:t>
      </w:r>
    </w:p>
    <w:p w14:paraId="08FE953B" w14:textId="24DEFCE6" w:rsidR="00023956" w:rsidRPr="00DA07E4" w:rsidRDefault="004A6313"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Ako dobrá pri prevencii urolitiázy sa ukazuje d</w:t>
      </w:r>
      <w:r w:rsidR="007B4ED5" w:rsidRPr="00DA07E4">
        <w:rPr>
          <w:rFonts w:ascii="Times New Roman" w:eastAsia="Times New Roman" w:hAnsi="Times New Roman" w:cs="Times New Roman"/>
          <w:sz w:val="24"/>
          <w:szCs w:val="24"/>
          <w:lang w:eastAsia="sk-SK"/>
        </w:rPr>
        <w:t>iéta založená na Stredomorskej kuchyni</w:t>
      </w:r>
      <w:r w:rsidRPr="00DA07E4">
        <w:rPr>
          <w:rFonts w:ascii="Times New Roman" w:eastAsia="Times New Roman" w:hAnsi="Times New Roman" w:cs="Times New Roman"/>
          <w:sz w:val="24"/>
          <w:szCs w:val="24"/>
          <w:lang w:eastAsia="sk-SK"/>
        </w:rPr>
        <w:t>. Táto diéta je charakterizovaná nízkym</w:t>
      </w:r>
      <w:r w:rsidR="00D8203C" w:rsidRPr="00DA07E4">
        <w:rPr>
          <w:rFonts w:ascii="Times New Roman" w:eastAsia="Times New Roman" w:hAnsi="Times New Roman" w:cs="Times New Roman"/>
          <w:sz w:val="24"/>
          <w:szCs w:val="24"/>
          <w:lang w:eastAsia="sk-SK"/>
        </w:rPr>
        <w:t xml:space="preserve"> ale nie úplne nulovým</w:t>
      </w:r>
      <w:r w:rsidRPr="00DA07E4">
        <w:rPr>
          <w:rFonts w:ascii="Times New Roman" w:eastAsia="Times New Roman" w:hAnsi="Times New Roman" w:cs="Times New Roman"/>
          <w:sz w:val="24"/>
          <w:szCs w:val="24"/>
          <w:lang w:eastAsia="sk-SK"/>
        </w:rPr>
        <w:t xml:space="preserve"> príjmom mäsa</w:t>
      </w:r>
      <w:r w:rsidR="00973118" w:rsidRPr="00DA07E4">
        <w:rPr>
          <w:rFonts w:ascii="Times New Roman" w:eastAsia="Times New Roman" w:hAnsi="Times New Roman" w:cs="Times New Roman"/>
          <w:sz w:val="24"/>
          <w:szCs w:val="24"/>
          <w:lang w:eastAsia="sk-SK"/>
        </w:rPr>
        <w:t>, príjmom rýb</w:t>
      </w:r>
      <w:r w:rsidRPr="00DA07E4">
        <w:rPr>
          <w:rFonts w:ascii="Times New Roman" w:eastAsia="Times New Roman" w:hAnsi="Times New Roman" w:cs="Times New Roman"/>
          <w:sz w:val="24"/>
          <w:szCs w:val="24"/>
          <w:lang w:eastAsia="sk-SK"/>
        </w:rPr>
        <w:t xml:space="preserve"> a bohatým príjmom rastlinnej potravy.</w:t>
      </w:r>
      <w:r w:rsidR="0002395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Kohortová štúdia</w:t>
      </w:r>
      <w:r w:rsidR="0002395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 xml:space="preserve">na vzorke </w:t>
      </w:r>
      <w:r w:rsidR="00023956" w:rsidRPr="00DA07E4">
        <w:rPr>
          <w:rFonts w:ascii="Times New Roman" w:eastAsia="Times New Roman" w:hAnsi="Times New Roman" w:cs="Times New Roman"/>
          <w:sz w:val="24"/>
          <w:szCs w:val="24"/>
          <w:lang w:eastAsia="sk-SK"/>
        </w:rPr>
        <w:t>16</w:t>
      </w:r>
      <w:r w:rsidR="00952726" w:rsidRPr="00DA07E4">
        <w:rPr>
          <w:rFonts w:ascii="Times New Roman" w:eastAsia="Times New Roman" w:hAnsi="Times New Roman" w:cs="Times New Roman"/>
          <w:sz w:val="24"/>
          <w:szCs w:val="24"/>
          <w:lang w:eastAsia="sk-SK"/>
        </w:rPr>
        <w:t xml:space="preserve"> </w:t>
      </w:r>
      <w:r w:rsidR="00023956" w:rsidRPr="00DA07E4">
        <w:rPr>
          <w:rFonts w:ascii="Times New Roman" w:eastAsia="Times New Roman" w:hAnsi="Times New Roman" w:cs="Times New Roman"/>
          <w:sz w:val="24"/>
          <w:szCs w:val="24"/>
          <w:lang w:eastAsia="sk-SK"/>
        </w:rPr>
        <w:t xml:space="preserve">094 </w:t>
      </w:r>
      <w:r w:rsidRPr="00DA07E4">
        <w:rPr>
          <w:rFonts w:ascii="Times New Roman" w:eastAsia="Times New Roman" w:hAnsi="Times New Roman" w:cs="Times New Roman"/>
          <w:sz w:val="24"/>
          <w:szCs w:val="24"/>
          <w:lang w:eastAsia="sk-SK"/>
        </w:rPr>
        <w:t xml:space="preserve">pacientov ukázala </w:t>
      </w:r>
      <w:r w:rsidR="00EB2FC1" w:rsidRPr="00DA07E4">
        <w:rPr>
          <w:rFonts w:ascii="Times New Roman" w:eastAsia="Times New Roman" w:hAnsi="Times New Roman" w:cs="Times New Roman"/>
          <w:sz w:val="24"/>
          <w:szCs w:val="24"/>
          <w:lang w:eastAsia="sk-SK"/>
        </w:rPr>
        <w:t>nízke</w:t>
      </w:r>
      <w:r w:rsidR="000A7009" w:rsidRPr="00DA07E4">
        <w:rPr>
          <w:rFonts w:ascii="Times New Roman" w:eastAsia="Times New Roman" w:hAnsi="Times New Roman" w:cs="Times New Roman"/>
          <w:sz w:val="24"/>
          <w:szCs w:val="24"/>
          <w:lang w:eastAsia="sk-SK"/>
        </w:rPr>
        <w:t xml:space="preserve"> riziko u</w:t>
      </w:r>
      <w:r w:rsidR="0002395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dvoch skupín pacientov s najväčším sklonom ku Stredomorskej kuchyni pri porovnaní s ostatnými skupinami</w:t>
      </w:r>
      <w:r w:rsidR="0002395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pacientov</w:t>
      </w:r>
      <w:r w:rsidR="00011820" w:rsidRPr="00DA07E4">
        <w:rPr>
          <w:rFonts w:ascii="Times New Roman" w:eastAsia="Times New Roman" w:hAnsi="Times New Roman" w:cs="Times New Roman"/>
          <w:sz w:val="24"/>
          <w:szCs w:val="24"/>
          <w:lang w:eastAsia="sk-SK"/>
        </w:rPr>
        <w:t xml:space="preserve"> (Leone et al., 2017)</w:t>
      </w:r>
      <w:hyperlink r:id="rId11" w:anchor="B103-nutrients-12-00779" w:history="1"/>
      <w:r w:rsidR="00023956" w:rsidRPr="00DA07E4">
        <w:rPr>
          <w:rFonts w:ascii="Times New Roman" w:eastAsia="Times New Roman" w:hAnsi="Times New Roman" w:cs="Times New Roman"/>
          <w:sz w:val="24"/>
          <w:szCs w:val="24"/>
          <w:lang w:eastAsia="sk-SK"/>
        </w:rPr>
        <w:t xml:space="preserve">. </w:t>
      </w:r>
      <w:r w:rsidRPr="00DA07E4">
        <w:rPr>
          <w:rFonts w:ascii="Times New Roman" w:eastAsia="Times New Roman" w:hAnsi="Times New Roman" w:cs="Times New Roman"/>
          <w:sz w:val="24"/>
          <w:szCs w:val="24"/>
          <w:lang w:eastAsia="sk-SK"/>
        </w:rPr>
        <w:t xml:space="preserve">Stredomorská strava </w:t>
      </w:r>
      <w:r w:rsidR="009F17C8">
        <w:rPr>
          <w:rFonts w:ascii="Times New Roman" w:eastAsia="Times New Roman" w:hAnsi="Times New Roman" w:cs="Times New Roman"/>
          <w:sz w:val="24"/>
          <w:szCs w:val="24"/>
          <w:lang w:eastAsia="sk-SK"/>
        </w:rPr>
        <w:t>u</w:t>
      </w:r>
      <w:r w:rsidRPr="00DA07E4">
        <w:rPr>
          <w:rFonts w:ascii="Times New Roman" w:eastAsia="Times New Roman" w:hAnsi="Times New Roman" w:cs="Times New Roman"/>
          <w:sz w:val="24"/>
          <w:szCs w:val="24"/>
          <w:lang w:eastAsia="sk-SK"/>
        </w:rPr>
        <w:t>kázala v ďalších štúdiách pozitívny vplyv na zníženie rizika kardiovaskulárnych ochorení a</w:t>
      </w:r>
      <w:r w:rsidR="0025374B">
        <w:rPr>
          <w:rFonts w:ascii="Times New Roman" w:eastAsia="Times New Roman" w:hAnsi="Times New Roman" w:cs="Times New Roman"/>
          <w:sz w:val="24"/>
          <w:szCs w:val="24"/>
          <w:lang w:eastAsia="sk-SK"/>
        </w:rPr>
        <w:t> </w:t>
      </w:r>
      <w:r w:rsidRPr="00DA07E4">
        <w:rPr>
          <w:rFonts w:ascii="Times New Roman" w:eastAsia="Times New Roman" w:hAnsi="Times New Roman" w:cs="Times New Roman"/>
          <w:sz w:val="24"/>
          <w:szCs w:val="24"/>
          <w:lang w:eastAsia="sk-SK"/>
        </w:rPr>
        <w:t>rozvoja</w:t>
      </w:r>
      <w:r w:rsidR="0025374B">
        <w:rPr>
          <w:rFonts w:ascii="Times New Roman" w:eastAsia="Times New Roman" w:hAnsi="Times New Roman" w:cs="Times New Roman"/>
          <w:sz w:val="24"/>
          <w:szCs w:val="24"/>
          <w:lang w:eastAsia="sk-SK"/>
        </w:rPr>
        <w:t xml:space="preserve"> chronického renálneho zlyhania</w:t>
      </w:r>
      <w:r w:rsidRPr="00DA07E4">
        <w:rPr>
          <w:rFonts w:ascii="Times New Roman" w:eastAsia="Times New Roman" w:hAnsi="Times New Roman" w:cs="Times New Roman"/>
          <w:sz w:val="24"/>
          <w:szCs w:val="24"/>
          <w:lang w:eastAsia="sk-SK"/>
        </w:rPr>
        <w:t xml:space="preserve"> u pacientov s</w:t>
      </w:r>
      <w:r w:rsidR="00011820" w:rsidRPr="00DA07E4">
        <w:rPr>
          <w:rFonts w:ascii="Times New Roman" w:eastAsia="Times New Roman" w:hAnsi="Times New Roman" w:cs="Times New Roman"/>
          <w:sz w:val="24"/>
          <w:szCs w:val="24"/>
          <w:lang w:eastAsia="sk-SK"/>
        </w:rPr>
        <w:t> </w:t>
      </w:r>
      <w:r w:rsidRPr="00DA07E4">
        <w:rPr>
          <w:rFonts w:ascii="Times New Roman" w:eastAsia="Times New Roman" w:hAnsi="Times New Roman" w:cs="Times New Roman"/>
          <w:sz w:val="24"/>
          <w:szCs w:val="24"/>
          <w:lang w:eastAsia="sk-SK"/>
        </w:rPr>
        <w:t>urolitiázou</w:t>
      </w:r>
      <w:r w:rsidR="00011820" w:rsidRPr="00DA07E4">
        <w:rPr>
          <w:rFonts w:ascii="Times New Roman" w:eastAsia="Times New Roman" w:hAnsi="Times New Roman" w:cs="Times New Roman"/>
          <w:sz w:val="24"/>
          <w:szCs w:val="24"/>
          <w:lang w:eastAsia="sk-SK"/>
        </w:rPr>
        <w:t xml:space="preserve"> (Di Daniele et al., 2014; Chauveau et al., 2018)</w:t>
      </w:r>
      <w:r w:rsidR="00023956" w:rsidRPr="00DA07E4">
        <w:rPr>
          <w:rFonts w:ascii="Times New Roman" w:eastAsia="Times New Roman" w:hAnsi="Times New Roman" w:cs="Times New Roman"/>
          <w:sz w:val="24"/>
          <w:szCs w:val="24"/>
          <w:lang w:eastAsia="sk-SK"/>
        </w:rPr>
        <w:t>.</w:t>
      </w:r>
    </w:p>
    <w:p w14:paraId="4C47D38C" w14:textId="7A8B751A" w:rsidR="00011820" w:rsidRPr="00DA07E4" w:rsidRDefault="00011820"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310B4698" w14:textId="05F2BE90" w:rsidR="00D63BAE" w:rsidRPr="00DA07E4" w:rsidRDefault="00D63BAE" w:rsidP="00DA07E4">
      <w:pPr>
        <w:pStyle w:val="Odstavecseseznamem"/>
        <w:numPr>
          <w:ilvl w:val="3"/>
          <w:numId w:val="4"/>
        </w:numPr>
        <w:shd w:val="clear" w:color="auto" w:fill="FFFFFF"/>
        <w:spacing w:after="0" w:line="360" w:lineRule="auto"/>
        <w:ind w:left="851" w:hanging="851"/>
        <w:jc w:val="both"/>
        <w:rPr>
          <w:rFonts w:ascii="Times New Roman" w:eastAsia="Times New Roman" w:hAnsi="Times New Roman" w:cs="Times New Roman"/>
          <w:b/>
          <w:sz w:val="24"/>
          <w:szCs w:val="24"/>
          <w:lang w:eastAsia="sk-SK"/>
        </w:rPr>
      </w:pPr>
      <w:r w:rsidRPr="00DA07E4">
        <w:rPr>
          <w:rFonts w:ascii="Times New Roman" w:eastAsia="Times New Roman" w:hAnsi="Times New Roman" w:cs="Times New Roman"/>
          <w:sz w:val="24"/>
          <w:szCs w:val="24"/>
          <w:lang w:eastAsia="sk-SK"/>
        </w:rPr>
        <w:t xml:space="preserve"> </w:t>
      </w:r>
      <w:r w:rsidR="003214AC" w:rsidRPr="00DA07E4">
        <w:rPr>
          <w:rFonts w:ascii="Times New Roman" w:eastAsia="Times New Roman" w:hAnsi="Times New Roman" w:cs="Times New Roman"/>
          <w:b/>
          <w:sz w:val="24"/>
          <w:szCs w:val="24"/>
          <w:lang w:eastAsia="sk-SK"/>
        </w:rPr>
        <w:t>Subtypy močových konkrementov podľa diétnej chyby pacientov</w:t>
      </w:r>
    </w:p>
    <w:p w14:paraId="478D2BF2" w14:textId="77777777" w:rsidR="00526A4A" w:rsidRPr="00DA07E4" w:rsidRDefault="00526A4A" w:rsidP="00DA07E4">
      <w:pPr>
        <w:pStyle w:val="Normlnweb"/>
        <w:shd w:val="clear" w:color="auto" w:fill="FFFFFF"/>
        <w:spacing w:before="0" w:beforeAutospacing="0" w:after="0" w:afterAutospacing="0" w:line="360" w:lineRule="auto"/>
        <w:ind w:firstLine="708"/>
        <w:jc w:val="both"/>
      </w:pPr>
    </w:p>
    <w:p w14:paraId="688ABDA7" w14:textId="6F8E778C" w:rsidR="0088062E" w:rsidRPr="00DA07E4" w:rsidRDefault="00A84C52" w:rsidP="00DA07E4">
      <w:pPr>
        <w:pStyle w:val="Normlnweb"/>
        <w:shd w:val="clear" w:color="auto" w:fill="FFFFFF"/>
        <w:spacing w:before="0" w:beforeAutospacing="0" w:after="0" w:afterAutospacing="0" w:line="360" w:lineRule="auto"/>
        <w:ind w:firstLine="708"/>
        <w:jc w:val="both"/>
      </w:pPr>
      <w:r w:rsidRPr="00DA07E4">
        <w:t xml:space="preserve">Keď hovoríme o konkrétnych </w:t>
      </w:r>
      <w:r w:rsidR="0069101F" w:rsidRPr="00DA07E4">
        <w:t>konkrementoch</w:t>
      </w:r>
      <w:r w:rsidRPr="00DA07E4">
        <w:t>,</w:t>
      </w:r>
      <w:r w:rsidR="0069101F" w:rsidRPr="00DA07E4">
        <w:t xml:space="preserve"> </w:t>
      </w:r>
      <w:r w:rsidR="0088062E" w:rsidRPr="00DA07E4">
        <w:t xml:space="preserve">sú známe viaceré súvislosti medzi </w:t>
      </w:r>
      <w:r w:rsidR="0088062E" w:rsidRPr="0025374B">
        <w:t>diétou a zložením</w:t>
      </w:r>
      <w:r w:rsidR="0088062E" w:rsidRPr="00DA07E4">
        <w:t xml:space="preserve"> konkrementu.</w:t>
      </w:r>
    </w:p>
    <w:p w14:paraId="327CEA02" w14:textId="7CE9F056" w:rsidR="00DE0026" w:rsidRPr="00DA07E4" w:rsidRDefault="0088062E" w:rsidP="00DA07E4">
      <w:pPr>
        <w:pStyle w:val="Normlnweb"/>
        <w:shd w:val="clear" w:color="auto" w:fill="FFFFFF"/>
        <w:spacing w:before="0" w:beforeAutospacing="0" w:after="0" w:afterAutospacing="0" w:line="360" w:lineRule="auto"/>
        <w:ind w:firstLine="708"/>
        <w:jc w:val="both"/>
      </w:pPr>
      <w:r w:rsidRPr="00DA07E4">
        <w:t>V</w:t>
      </w:r>
      <w:r w:rsidR="00EA160E" w:rsidRPr="00DA07E4">
        <w:t>ysoký príjem fruktózy (cukrovinky, sladené nápoje</w:t>
      </w:r>
      <w:r w:rsidR="003E4B2C" w:rsidRPr="00DA07E4">
        <w:t>, niektoré druhy ovocia</w:t>
      </w:r>
      <w:r w:rsidR="00EA160E" w:rsidRPr="00DA07E4">
        <w:t>) a stravy bohatej na nukleoproteíny môže viesť ku tvorbe konkrementov na báze kyseliny močovej (subtyp IIIb).</w:t>
      </w:r>
      <w:r w:rsidR="004B5E42" w:rsidRPr="00DA07E4">
        <w:t xml:space="preserve"> V tomto prípade by sa pacienti mali vyhýbať aj pitiu piva kvôli obsahu purínov</w:t>
      </w:r>
      <w:r w:rsidR="009F17C8">
        <w:t xml:space="preserve"> </w:t>
      </w:r>
      <w:r w:rsidR="004B5E42" w:rsidRPr="00DA07E4">
        <w:t>(</w:t>
      </w:r>
      <w:r w:rsidR="006F1E11" w:rsidRPr="00DA07E4">
        <w:t>Borghi et al., 1996).</w:t>
      </w:r>
      <w:r w:rsidR="00DE0026" w:rsidRPr="00DA07E4">
        <w:t xml:space="preserve"> Ďalšie potraviny bohaté na puríny sú vnútornosti ako pečienka či obličky, potom niektoré morské plody ako sardinky, ančovičky a mušle.</w:t>
      </w:r>
    </w:p>
    <w:p w14:paraId="69AA3A20" w14:textId="04E16DE4" w:rsidR="003214AC" w:rsidRPr="00DA07E4" w:rsidRDefault="00EA160E" w:rsidP="00DA07E4">
      <w:pPr>
        <w:pStyle w:val="Normlnweb"/>
        <w:shd w:val="clear" w:color="auto" w:fill="FFFFFF"/>
        <w:spacing w:before="0" w:beforeAutospacing="0" w:after="0" w:afterAutospacing="0" w:line="360" w:lineRule="auto"/>
        <w:ind w:firstLine="708"/>
        <w:jc w:val="both"/>
      </w:pPr>
      <w:r w:rsidRPr="00DA07E4">
        <w:t>P</w:t>
      </w:r>
      <w:r w:rsidR="0069101F" w:rsidRPr="00DA07E4">
        <w:t>acienti s</w:t>
      </w:r>
      <w:r w:rsidR="00F00D7D" w:rsidRPr="00DA07E4">
        <w:t>o zachytením</w:t>
      </w:r>
      <w:r w:rsidR="0069101F" w:rsidRPr="00DA07E4">
        <w:t xml:space="preserve"> kalciumoxalátmonohydrátu (</w:t>
      </w:r>
      <w:r w:rsidR="00A07DBE" w:rsidRPr="00DA07E4">
        <w:t xml:space="preserve">COM, </w:t>
      </w:r>
      <w:r w:rsidR="0069101F" w:rsidRPr="00DA07E4">
        <w:t>whewellit subtyp I</w:t>
      </w:r>
      <w:r w:rsidRPr="00DA07E4">
        <w:t>a</w:t>
      </w:r>
      <w:r w:rsidR="0069101F" w:rsidRPr="00DA07E4">
        <w:t xml:space="preserve">) </w:t>
      </w:r>
      <w:r w:rsidR="00F00D7D" w:rsidRPr="00DA07E4">
        <w:t>alebo jeho kombináci</w:t>
      </w:r>
      <w:r w:rsidR="00827025" w:rsidRPr="00DA07E4">
        <w:t>e</w:t>
      </w:r>
      <w:r w:rsidR="00F00D7D" w:rsidRPr="00DA07E4">
        <w:t xml:space="preserve"> s kalciumoxalátdihydrátom (</w:t>
      </w:r>
      <w:r w:rsidR="00A07DBE" w:rsidRPr="00DA07E4">
        <w:t xml:space="preserve">COD, </w:t>
      </w:r>
      <w:r w:rsidR="00F00D7D" w:rsidRPr="00DA07E4">
        <w:t xml:space="preserve">wheddellit) </w:t>
      </w:r>
      <w:r w:rsidR="0069101F" w:rsidRPr="00DA07E4">
        <w:t>by mali poznať zastúpenie oxalátov vo svojej strave</w:t>
      </w:r>
      <w:r w:rsidR="00F00D7D" w:rsidRPr="00DA07E4">
        <w:t xml:space="preserve"> (</w:t>
      </w:r>
      <w:r w:rsidR="006F1E11" w:rsidRPr="00DA07E4">
        <w:t>Cloutier et al., 2015</w:t>
      </w:r>
      <w:r w:rsidR="00F00D7D" w:rsidRPr="00DA07E4">
        <w:t>)</w:t>
      </w:r>
      <w:r w:rsidR="0069101F" w:rsidRPr="00DA07E4">
        <w:t xml:space="preserve">. </w:t>
      </w:r>
      <w:r w:rsidR="00EA33AC" w:rsidRPr="00DA07E4">
        <w:t xml:space="preserve">Jedná sa o najčastejšie zachytený </w:t>
      </w:r>
      <w:r w:rsidR="00EA33AC" w:rsidRPr="00DA07E4">
        <w:lastRenderedPageBreak/>
        <w:t xml:space="preserve">typ konkrementov. </w:t>
      </w:r>
      <w:r w:rsidR="0069101F" w:rsidRPr="00DA07E4">
        <w:t xml:space="preserve">Títo pacienti by sa mali vyhnúť nadmernej konzumácií potravín, ktoré sú bohaté na oxaláty (špenát, rebarbora, orechy, čokoláda). </w:t>
      </w:r>
      <w:r w:rsidR="00F00D7D" w:rsidRPr="00DA07E4">
        <w:t>Významné zníženie príjmu vápnika u</w:t>
      </w:r>
      <w:r w:rsidR="00EA33AC" w:rsidRPr="00DA07E4">
        <w:t> </w:t>
      </w:r>
      <w:r w:rsidR="00F00D7D" w:rsidRPr="00DA07E4">
        <w:t>pacientov</w:t>
      </w:r>
      <w:r w:rsidR="00EA33AC" w:rsidRPr="00DA07E4">
        <w:t xml:space="preserve"> s uvedenými typmi urolitov</w:t>
      </w:r>
      <w:r w:rsidR="00F00D7D" w:rsidRPr="00DA07E4">
        <w:t xml:space="preserve"> prekvapivo môže viesť k zvýšeniu výskytu konkrementov. Naopak, zvýšený príjem vápnika </w:t>
      </w:r>
      <w:r w:rsidR="004C2E7A" w:rsidRPr="00DA07E4">
        <w:t>počas bežnej dennej konzumácie u týchto pacientov</w:t>
      </w:r>
      <w:r w:rsidR="00F00D7D" w:rsidRPr="00DA07E4">
        <w:t xml:space="preserve"> zníži riziko rekurencie urolitiázy (</w:t>
      </w:r>
      <w:r w:rsidR="006F1E11" w:rsidRPr="00DA07E4">
        <w:t>Sorensen, 2014</w:t>
      </w:r>
      <w:hyperlink r:id="rId12" w:history="1"/>
      <w:r w:rsidR="00F00D7D" w:rsidRPr="00DA07E4">
        <w:t>).</w:t>
      </w:r>
      <w:r w:rsidR="00A07DBE" w:rsidRPr="00DA07E4">
        <w:t xml:space="preserve"> Nadmerná konzumácia vápnika a doplnkov výživy bohatých na vápnik môže viesť </w:t>
      </w:r>
      <w:r w:rsidR="00A07DBE" w:rsidRPr="0025374B">
        <w:t>k</w:t>
      </w:r>
      <w:r w:rsidR="00224EDF" w:rsidRPr="0025374B">
        <w:t> </w:t>
      </w:r>
      <w:r w:rsidR="003214AC" w:rsidRPr="0025374B">
        <w:t>Milk</w:t>
      </w:r>
      <w:r w:rsidR="00224EDF" w:rsidRPr="0025374B">
        <w:t>-</w:t>
      </w:r>
      <w:r w:rsidR="003214AC" w:rsidRPr="0025374B">
        <w:t>alkali syndr</w:t>
      </w:r>
      <w:r w:rsidR="00A07DBE" w:rsidRPr="0025374B">
        <w:t>ómu, ale v</w:t>
      </w:r>
      <w:r w:rsidR="00A07DBE" w:rsidRPr="00DA07E4">
        <w:t xml:space="preserve"> praxi pacienti skôr prijímajú vápnika nedostatok a preto u pacientov s COM a COD nie je primárne odporúčané príjem vápnika znižovať </w:t>
      </w:r>
      <w:r w:rsidR="00577BC7" w:rsidRPr="00DA07E4">
        <w:t>(</w:t>
      </w:r>
      <w:r w:rsidR="00F8639F" w:rsidRPr="00DA07E4">
        <w:t>D´Alessandro et al., 2019</w:t>
      </w:r>
      <w:r w:rsidR="00577BC7" w:rsidRPr="00DA07E4">
        <w:t>).</w:t>
      </w:r>
    </w:p>
    <w:p w14:paraId="0DF5B9D4" w14:textId="4F9443AF" w:rsidR="00D63BAE" w:rsidRPr="00DA07E4" w:rsidRDefault="00663D6D"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Diétne chyby pacientov sa môžu kombinovať s inými príčinami vzniku urolitiázy. </w:t>
      </w:r>
      <w:r w:rsidRPr="0025374B">
        <w:rPr>
          <w:rFonts w:ascii="Times New Roman" w:hAnsi="Times New Roman" w:cs="Times New Roman"/>
          <w:sz w:val="24"/>
          <w:szCs w:val="24"/>
        </w:rPr>
        <w:t>Výsledkom je potom konkrement s typickými letokruhmi, ktoré môžu napomôcť pri diagnostickej rozvahe.</w:t>
      </w:r>
    </w:p>
    <w:p w14:paraId="332D4348" w14:textId="77777777" w:rsidR="00663D6D" w:rsidRPr="00DA07E4" w:rsidRDefault="00663D6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"https://www.ncbi.nlm.nih.gov/pmc/articles/PMC4308647/figure/Fig2/" \t "figure" </w:instrText>
      </w:r>
      <w:r w:rsidRPr="00DA07E4">
        <w:rPr>
          <w:rFonts w:ascii="Times New Roman" w:hAnsi="Times New Roman" w:cs="Times New Roman"/>
          <w:sz w:val="24"/>
          <w:szCs w:val="24"/>
        </w:rPr>
        <w:fldChar w:fldCharType="separate"/>
      </w:r>
    </w:p>
    <w:p w14:paraId="6A7AF885" w14:textId="171D915C" w:rsidR="00663D6D" w:rsidRPr="00DA07E4" w:rsidRDefault="00663D6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noProof/>
          <w:sz w:val="24"/>
          <w:szCs w:val="24"/>
        </w:rPr>
        <w:drawing>
          <wp:inline distT="0" distB="0" distL="0" distR="0" wp14:anchorId="51CFFD17" wp14:editId="3F6693FE">
            <wp:extent cx="5386789" cy="3761014"/>
            <wp:effectExtent l="0" t="0" r="4445" b="0"/>
            <wp:docPr id="9" name="Obrázok 9">
              <a:hlinkClick xmlns:a="http://schemas.openxmlformats.org/drawingml/2006/main" r:id="rId1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3" tgtFrame="&quot;figur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802" cy="3768005"/>
                    </a:xfrm>
                    <a:prstGeom prst="rect">
                      <a:avLst/>
                    </a:prstGeom>
                    <a:noFill/>
                    <a:ln>
                      <a:noFill/>
                    </a:ln>
                  </pic:spPr>
                </pic:pic>
              </a:graphicData>
            </a:graphic>
          </wp:inline>
        </w:drawing>
      </w:r>
    </w:p>
    <w:p w14:paraId="28D4076F" w14:textId="2874BBBA" w:rsidR="00B74799" w:rsidRPr="00DA07E4" w:rsidRDefault="00663D6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fldChar w:fldCharType="end"/>
      </w:r>
      <w:bookmarkStart w:id="3" w:name="_Hlk68634103"/>
      <w:r w:rsidRPr="00DA07E4">
        <w:rPr>
          <w:rFonts w:ascii="Times New Roman" w:hAnsi="Times New Roman" w:cs="Times New Roman"/>
          <w:b/>
          <w:sz w:val="24"/>
          <w:szCs w:val="24"/>
        </w:rPr>
        <w:t>Obr</w:t>
      </w:r>
      <w:r w:rsidR="004D3042">
        <w:rPr>
          <w:rFonts w:ascii="Times New Roman" w:hAnsi="Times New Roman" w:cs="Times New Roman"/>
          <w:b/>
          <w:sz w:val="24"/>
          <w:szCs w:val="24"/>
        </w:rPr>
        <w:t>ázok</w:t>
      </w:r>
      <w:r w:rsidR="00B74799" w:rsidRPr="00DA07E4">
        <w:rPr>
          <w:rFonts w:ascii="Times New Roman" w:hAnsi="Times New Roman" w:cs="Times New Roman"/>
          <w:b/>
          <w:sz w:val="24"/>
          <w:szCs w:val="24"/>
        </w:rPr>
        <w:t xml:space="preserve"> </w:t>
      </w:r>
      <w:r w:rsidRPr="00DA07E4">
        <w:rPr>
          <w:rFonts w:ascii="Times New Roman" w:hAnsi="Times New Roman" w:cs="Times New Roman"/>
          <w:b/>
          <w:sz w:val="24"/>
          <w:szCs w:val="24"/>
        </w:rPr>
        <w:t>1</w:t>
      </w:r>
      <w:r w:rsidRPr="00DA07E4">
        <w:rPr>
          <w:rFonts w:ascii="Times New Roman" w:hAnsi="Times New Roman" w:cs="Times New Roman"/>
          <w:sz w:val="24"/>
          <w:szCs w:val="24"/>
        </w:rPr>
        <w:t xml:space="preserve"> </w:t>
      </w:r>
      <w:r w:rsidR="00B74799" w:rsidRPr="00DA07E4">
        <w:rPr>
          <w:rFonts w:ascii="Times New Roman" w:hAnsi="Times New Roman" w:cs="Times New Roman"/>
          <w:sz w:val="24"/>
          <w:szCs w:val="24"/>
        </w:rPr>
        <w:t xml:space="preserve">Konkrement deväťročného chlapca, priečny rez </w:t>
      </w:r>
      <w:r w:rsidRPr="00DA07E4">
        <w:rPr>
          <w:rFonts w:ascii="Times New Roman" w:hAnsi="Times New Roman" w:cs="Times New Roman"/>
          <w:sz w:val="24"/>
          <w:szCs w:val="24"/>
        </w:rPr>
        <w:t>(</w:t>
      </w:r>
      <w:r w:rsidR="00466575" w:rsidRPr="00DA07E4">
        <w:rPr>
          <w:rFonts w:ascii="Times New Roman" w:hAnsi="Times New Roman" w:cs="Times New Roman"/>
          <w:sz w:val="24"/>
          <w:szCs w:val="24"/>
        </w:rPr>
        <w:t>Podľa</w:t>
      </w:r>
      <w:r w:rsidR="00B74799" w:rsidRPr="00DA07E4">
        <w:rPr>
          <w:rFonts w:ascii="Times New Roman" w:hAnsi="Times New Roman" w:cs="Times New Roman"/>
          <w:sz w:val="24"/>
          <w:szCs w:val="24"/>
        </w:rPr>
        <w:t>: Cloutier et al., 2015</w:t>
      </w:r>
      <w:r w:rsidRPr="00DA07E4">
        <w:rPr>
          <w:rFonts w:ascii="Times New Roman" w:hAnsi="Times New Roman" w:cs="Times New Roman"/>
          <w:sz w:val="24"/>
          <w:szCs w:val="24"/>
        </w:rPr>
        <w:t>)</w:t>
      </w:r>
      <w:bookmarkEnd w:id="3"/>
      <w:r w:rsidRPr="00DA07E4">
        <w:rPr>
          <w:rFonts w:ascii="Times New Roman" w:hAnsi="Times New Roman" w:cs="Times New Roman"/>
          <w:sz w:val="24"/>
          <w:szCs w:val="24"/>
        </w:rPr>
        <w:t xml:space="preserve"> </w:t>
      </w:r>
    </w:p>
    <w:p w14:paraId="2154FBCB" w14:textId="77777777" w:rsidR="00B74799" w:rsidRPr="00DA07E4" w:rsidRDefault="00B74799" w:rsidP="00DA07E4">
      <w:pPr>
        <w:spacing w:after="0" w:line="360" w:lineRule="auto"/>
        <w:jc w:val="both"/>
        <w:rPr>
          <w:rFonts w:ascii="Times New Roman" w:hAnsi="Times New Roman" w:cs="Times New Roman"/>
          <w:sz w:val="24"/>
          <w:szCs w:val="24"/>
        </w:rPr>
      </w:pPr>
    </w:p>
    <w:p w14:paraId="660203E3" w14:textId="6D3F7728" w:rsidR="00663D6D" w:rsidRPr="00DA07E4" w:rsidRDefault="00B74799"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Na obr.1 je konkrement u deväťročného chlapca v priečnom reze</w:t>
      </w:r>
      <w:r w:rsidR="00F8639F" w:rsidRPr="00DA07E4">
        <w:rPr>
          <w:rFonts w:ascii="Times New Roman" w:hAnsi="Times New Roman" w:cs="Times New Roman"/>
          <w:sz w:val="24"/>
          <w:szCs w:val="24"/>
        </w:rPr>
        <w:t>, publikovaný v práci Cloutiera a kolektívu (Cloutier et al., 2015)</w:t>
      </w:r>
      <w:r w:rsidRPr="00DA07E4">
        <w:rPr>
          <w:rFonts w:ascii="Times New Roman" w:hAnsi="Times New Roman" w:cs="Times New Roman"/>
          <w:sz w:val="24"/>
          <w:szCs w:val="24"/>
        </w:rPr>
        <w:t xml:space="preserve">. </w:t>
      </w:r>
      <w:r w:rsidR="00663D6D" w:rsidRPr="00DA07E4">
        <w:rPr>
          <w:rFonts w:ascii="Times New Roman" w:hAnsi="Times New Roman" w:cs="Times New Roman"/>
          <w:sz w:val="24"/>
          <w:szCs w:val="24"/>
        </w:rPr>
        <w:t xml:space="preserve">Jadro predstavuje </w:t>
      </w:r>
      <w:r w:rsidR="002B4903" w:rsidRPr="00DA07E4">
        <w:rPr>
          <w:rFonts w:ascii="Times New Roman" w:hAnsi="Times New Roman" w:cs="Times New Roman"/>
          <w:sz w:val="24"/>
          <w:szCs w:val="24"/>
        </w:rPr>
        <w:t xml:space="preserve">amoniumhydrogénurát pri chronickej hnačke. Chlapec jedol zeleninovú stravu chudobnú na bielkoviny a fosfor. Biela šípka ukazuje následnú kryštalizáciu COM ako dôsledok stravy bohatej na oxaláty a znížený príjem tekutín. Čierna šípka ukazuje ďalšie zložky </w:t>
      </w:r>
      <w:r w:rsidR="002B4903" w:rsidRPr="00DA07E4">
        <w:rPr>
          <w:rFonts w:ascii="Times New Roman" w:hAnsi="Times New Roman" w:cs="Times New Roman"/>
          <w:sz w:val="24"/>
          <w:szCs w:val="24"/>
        </w:rPr>
        <w:lastRenderedPageBreak/>
        <w:t xml:space="preserve">konkrementu – COD a karbapatit – pacient mal hyperkalciúriu na diétnom podklade (pil </w:t>
      </w:r>
      <w:r w:rsidR="00A21546" w:rsidRPr="00DA07E4">
        <w:rPr>
          <w:rFonts w:ascii="Times New Roman" w:hAnsi="Times New Roman" w:cs="Times New Roman"/>
          <w:sz w:val="24"/>
          <w:szCs w:val="24"/>
        </w:rPr>
        <w:t>nadmerné množstvá</w:t>
      </w:r>
      <w:r w:rsidR="002B4903" w:rsidRPr="00DA07E4">
        <w:rPr>
          <w:rFonts w:ascii="Times New Roman" w:hAnsi="Times New Roman" w:cs="Times New Roman"/>
          <w:sz w:val="24"/>
          <w:szCs w:val="24"/>
        </w:rPr>
        <w:t xml:space="preserve"> mlieka).</w:t>
      </w:r>
    </w:p>
    <w:p w14:paraId="127F7234" w14:textId="6814477B" w:rsidR="00AA3622" w:rsidRPr="00DA07E4" w:rsidRDefault="00AA3622" w:rsidP="00DA07E4">
      <w:pPr>
        <w:pStyle w:val="Nadpis3"/>
        <w:spacing w:before="0" w:line="360" w:lineRule="auto"/>
        <w:ind w:firstLine="708"/>
        <w:jc w:val="both"/>
        <w:rPr>
          <w:rFonts w:ascii="Times New Roman" w:hAnsi="Times New Roman" w:cs="Times New Roman"/>
          <w:color w:val="auto"/>
        </w:rPr>
      </w:pPr>
      <w:r w:rsidRPr="00DA07E4">
        <w:rPr>
          <w:rFonts w:ascii="Times New Roman" w:hAnsi="Times New Roman" w:cs="Times New Roman"/>
          <w:bCs/>
          <w:color w:val="auto"/>
        </w:rPr>
        <w:t xml:space="preserve">V tabuľke </w:t>
      </w:r>
      <w:r w:rsidR="004D3042">
        <w:rPr>
          <w:rFonts w:ascii="Times New Roman" w:hAnsi="Times New Roman" w:cs="Times New Roman"/>
          <w:bCs/>
          <w:color w:val="auto"/>
        </w:rPr>
        <w:t xml:space="preserve">č. </w:t>
      </w:r>
      <w:r w:rsidR="00B74799" w:rsidRPr="00DA07E4">
        <w:rPr>
          <w:rFonts w:ascii="Times New Roman" w:hAnsi="Times New Roman" w:cs="Times New Roman"/>
          <w:bCs/>
          <w:color w:val="auto"/>
        </w:rPr>
        <w:t>1</w:t>
      </w:r>
      <w:r w:rsidRPr="00DA07E4">
        <w:rPr>
          <w:rFonts w:ascii="Times New Roman" w:hAnsi="Times New Roman" w:cs="Times New Roman"/>
          <w:bCs/>
          <w:color w:val="auto"/>
        </w:rPr>
        <w:t xml:space="preserve"> </w:t>
      </w:r>
      <w:r w:rsidR="009B1C7F">
        <w:rPr>
          <w:rFonts w:ascii="Times New Roman" w:hAnsi="Times New Roman" w:cs="Times New Roman"/>
          <w:bCs/>
          <w:color w:val="auto"/>
        </w:rPr>
        <w:t>sú</w:t>
      </w:r>
      <w:r w:rsidRPr="00DA07E4">
        <w:rPr>
          <w:rFonts w:ascii="Times New Roman" w:hAnsi="Times New Roman" w:cs="Times New Roman"/>
          <w:bCs/>
          <w:color w:val="auto"/>
        </w:rPr>
        <w:t xml:space="preserve"> </w:t>
      </w:r>
      <w:r w:rsidR="009B1C7F">
        <w:rPr>
          <w:rFonts w:ascii="Times New Roman" w:hAnsi="Times New Roman" w:cs="Times New Roman"/>
          <w:bCs/>
          <w:color w:val="auto"/>
        </w:rPr>
        <w:t xml:space="preserve">podľa práce z roku 2019 D´Alessandra a kolektívu </w:t>
      </w:r>
      <w:r w:rsidRPr="00DA07E4">
        <w:rPr>
          <w:rFonts w:ascii="Times New Roman" w:hAnsi="Times New Roman" w:cs="Times New Roman"/>
          <w:bCs/>
          <w:color w:val="auto"/>
        </w:rPr>
        <w:t>zadefinova</w:t>
      </w:r>
      <w:r w:rsidR="009B1C7F">
        <w:rPr>
          <w:rFonts w:ascii="Times New Roman" w:hAnsi="Times New Roman" w:cs="Times New Roman"/>
          <w:bCs/>
          <w:color w:val="auto"/>
        </w:rPr>
        <w:t>né</w:t>
      </w:r>
      <w:r w:rsidRPr="00DA07E4">
        <w:rPr>
          <w:rFonts w:ascii="Times New Roman" w:hAnsi="Times New Roman" w:cs="Times New Roman"/>
          <w:bCs/>
          <w:color w:val="auto"/>
        </w:rPr>
        <w:t xml:space="preserve"> 4 kategórie rozdelenia potravín namiesto uvádzania množstva oxalátu v každej potravine</w:t>
      </w:r>
      <w:r w:rsidR="009B1C7F">
        <w:rPr>
          <w:rFonts w:ascii="Times New Roman" w:hAnsi="Times New Roman" w:cs="Times New Roman"/>
          <w:bCs/>
          <w:color w:val="auto"/>
        </w:rPr>
        <w:t xml:space="preserve"> </w:t>
      </w:r>
      <w:r w:rsidR="00F8639F" w:rsidRPr="00DA07E4">
        <w:rPr>
          <w:rFonts w:ascii="Times New Roman" w:hAnsi="Times New Roman" w:cs="Times New Roman"/>
          <w:bCs/>
          <w:color w:val="auto"/>
        </w:rPr>
        <w:t>(</w:t>
      </w:r>
      <w:r w:rsidR="00F8639F" w:rsidRPr="00DA07E4">
        <w:rPr>
          <w:rFonts w:ascii="Times New Roman" w:hAnsi="Times New Roman" w:cs="Times New Roman"/>
          <w:color w:val="auto"/>
        </w:rPr>
        <w:t>D´Alessandro et al., 2019</w:t>
      </w:r>
      <w:r w:rsidR="00F8639F" w:rsidRPr="0025374B">
        <w:rPr>
          <w:rFonts w:ascii="Times New Roman" w:hAnsi="Times New Roman" w:cs="Times New Roman"/>
          <w:color w:val="auto"/>
        </w:rPr>
        <w:t>)</w:t>
      </w:r>
      <w:r w:rsidRPr="0025374B">
        <w:rPr>
          <w:rFonts w:ascii="Times New Roman" w:hAnsi="Times New Roman" w:cs="Times New Roman"/>
          <w:bCs/>
          <w:color w:val="auto"/>
        </w:rPr>
        <w:t xml:space="preserve">. </w:t>
      </w:r>
      <w:r w:rsidR="009B1C7F" w:rsidRPr="0025374B">
        <w:rPr>
          <w:rFonts w:ascii="Times New Roman" w:hAnsi="Times New Roman" w:cs="Times New Roman"/>
          <w:bCs/>
          <w:color w:val="auto"/>
        </w:rPr>
        <w:t>Obsah</w:t>
      </w:r>
      <w:r w:rsidRPr="0025374B">
        <w:rPr>
          <w:rFonts w:ascii="Times New Roman" w:hAnsi="Times New Roman" w:cs="Times New Roman"/>
          <w:bCs/>
          <w:color w:val="auto"/>
        </w:rPr>
        <w:t xml:space="preserve"> sa</w:t>
      </w:r>
      <w:r w:rsidRPr="00DA07E4">
        <w:rPr>
          <w:rFonts w:ascii="Times New Roman" w:hAnsi="Times New Roman" w:cs="Times New Roman"/>
          <w:bCs/>
          <w:color w:val="auto"/>
        </w:rPr>
        <w:t xml:space="preserve"> môže veľmi líšiť aj medzi rastlinami toho istého druhu v</w:t>
      </w:r>
      <w:r w:rsidR="009B1C7F">
        <w:rPr>
          <w:rFonts w:ascii="Times New Roman" w:hAnsi="Times New Roman" w:cs="Times New Roman"/>
          <w:bCs/>
          <w:color w:val="auto"/>
        </w:rPr>
        <w:t> </w:t>
      </w:r>
      <w:r w:rsidRPr="00DA07E4">
        <w:rPr>
          <w:rFonts w:ascii="Times New Roman" w:hAnsi="Times New Roman" w:cs="Times New Roman"/>
          <w:bCs/>
          <w:color w:val="auto"/>
        </w:rPr>
        <w:t>dôsledku</w:t>
      </w:r>
      <w:r w:rsidR="009B1C7F">
        <w:rPr>
          <w:rFonts w:ascii="Times New Roman" w:hAnsi="Times New Roman" w:cs="Times New Roman"/>
          <w:bCs/>
          <w:color w:val="auto"/>
        </w:rPr>
        <w:t xml:space="preserve"> </w:t>
      </w:r>
      <w:r w:rsidRPr="00DA07E4">
        <w:rPr>
          <w:rFonts w:ascii="Times New Roman" w:hAnsi="Times New Roman" w:cs="Times New Roman"/>
          <w:bCs/>
          <w:color w:val="auto"/>
        </w:rPr>
        <w:t xml:space="preserve">rozdielov v prostredí, v ktorom rastliny rástli (napr. zloženie pôdy, podnebie atď.), ako i v analytických metódach na stanovenie oxalátu. V tabuľke </w:t>
      </w:r>
      <w:r w:rsidR="004D3042">
        <w:rPr>
          <w:rFonts w:ascii="Times New Roman" w:hAnsi="Times New Roman" w:cs="Times New Roman"/>
          <w:bCs/>
          <w:color w:val="auto"/>
        </w:rPr>
        <w:t xml:space="preserve">č. </w:t>
      </w:r>
      <w:r w:rsidR="00B74799" w:rsidRPr="00DA07E4">
        <w:rPr>
          <w:rFonts w:ascii="Times New Roman" w:hAnsi="Times New Roman" w:cs="Times New Roman"/>
          <w:bCs/>
          <w:color w:val="auto"/>
        </w:rPr>
        <w:t xml:space="preserve">2 </w:t>
      </w:r>
      <w:r w:rsidRPr="00DA07E4">
        <w:rPr>
          <w:rFonts w:ascii="Times New Roman" w:hAnsi="Times New Roman" w:cs="Times New Roman"/>
          <w:bCs/>
          <w:color w:val="auto"/>
        </w:rPr>
        <w:t>je uvedené rozdelenie potravín</w:t>
      </w:r>
      <w:r w:rsidRPr="00DA07E4">
        <w:rPr>
          <w:rFonts w:ascii="Times New Roman" w:hAnsi="Times New Roman" w:cs="Times New Roman"/>
          <w:color w:val="auto"/>
        </w:rPr>
        <w:t xml:space="preserve"> do troch skupín podľa obsahu purínov na 100 g jedlej časti.</w:t>
      </w:r>
    </w:p>
    <w:p w14:paraId="00A56907" w14:textId="77777777" w:rsidR="00B74799" w:rsidRPr="00DA07E4" w:rsidRDefault="00B74799" w:rsidP="00DA07E4">
      <w:pPr>
        <w:spacing w:after="0" w:line="360" w:lineRule="auto"/>
        <w:jc w:val="both"/>
        <w:rPr>
          <w:rFonts w:ascii="Times New Roman" w:hAnsi="Times New Roman" w:cs="Times New Roman"/>
          <w:sz w:val="24"/>
          <w:szCs w:val="24"/>
        </w:rPr>
      </w:pPr>
    </w:p>
    <w:p w14:paraId="4B91D374" w14:textId="536706C0" w:rsidR="00AA3622" w:rsidRPr="00DA07E4" w:rsidRDefault="00AA3622" w:rsidP="00DA07E4">
      <w:pPr>
        <w:pStyle w:val="Nadpis3"/>
        <w:spacing w:before="0" w:line="360" w:lineRule="auto"/>
        <w:jc w:val="both"/>
        <w:rPr>
          <w:rFonts w:ascii="Times New Roman" w:hAnsi="Times New Roman" w:cs="Times New Roman"/>
          <w:color w:val="auto"/>
        </w:rPr>
      </w:pPr>
      <w:bookmarkStart w:id="4" w:name="_Hlk68634124"/>
      <w:r w:rsidRPr="00DA07E4">
        <w:rPr>
          <w:rFonts w:ascii="Times New Roman" w:hAnsi="Times New Roman" w:cs="Times New Roman"/>
          <w:b/>
          <w:bCs/>
          <w:color w:val="auto"/>
        </w:rPr>
        <w:t>Tab</w:t>
      </w:r>
      <w:r w:rsidR="004D3042">
        <w:rPr>
          <w:rFonts w:ascii="Times New Roman" w:hAnsi="Times New Roman" w:cs="Times New Roman"/>
          <w:b/>
          <w:bCs/>
          <w:color w:val="auto"/>
        </w:rPr>
        <w:t xml:space="preserve">uľka </w:t>
      </w:r>
      <w:r w:rsidR="00B74799" w:rsidRPr="00DA07E4">
        <w:rPr>
          <w:rFonts w:ascii="Times New Roman" w:hAnsi="Times New Roman" w:cs="Times New Roman"/>
          <w:b/>
          <w:bCs/>
          <w:color w:val="auto"/>
        </w:rPr>
        <w:t xml:space="preserve">1 </w:t>
      </w:r>
      <w:r w:rsidRPr="00DA07E4">
        <w:rPr>
          <w:rFonts w:ascii="Times New Roman" w:hAnsi="Times New Roman" w:cs="Times New Roman"/>
          <w:color w:val="auto"/>
        </w:rPr>
        <w:t>Rozdelenie potravín do 4 skupín podľa obsahu oxalátov (podľa</w:t>
      </w:r>
      <w:r w:rsidR="00B74799" w:rsidRPr="00DA07E4">
        <w:rPr>
          <w:rFonts w:ascii="Times New Roman" w:hAnsi="Times New Roman" w:cs="Times New Roman"/>
          <w:color w:val="auto"/>
        </w:rPr>
        <w:t>:</w:t>
      </w:r>
      <w:r w:rsidRPr="00DA07E4">
        <w:rPr>
          <w:rFonts w:ascii="Times New Roman" w:hAnsi="Times New Roman" w:cs="Times New Roman"/>
          <w:color w:val="auto"/>
        </w:rPr>
        <w:t xml:space="preserve"> D´Alessandro </w:t>
      </w:r>
      <w:r w:rsidR="00B74799" w:rsidRPr="00DA07E4">
        <w:rPr>
          <w:rFonts w:ascii="Times New Roman" w:hAnsi="Times New Roman" w:cs="Times New Roman"/>
          <w:color w:val="auto"/>
        </w:rPr>
        <w:t>et al</w:t>
      </w:r>
      <w:r w:rsidRPr="00DA07E4">
        <w:rPr>
          <w:rFonts w:ascii="Times New Roman" w:hAnsi="Times New Roman" w:cs="Times New Roman"/>
          <w:color w:val="auto"/>
        </w:rPr>
        <w:t>., 2019)</w:t>
      </w: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9"/>
        <w:gridCol w:w="2223"/>
        <w:gridCol w:w="2264"/>
        <w:gridCol w:w="1913"/>
      </w:tblGrid>
      <w:tr w:rsidR="00AA3622" w:rsidRPr="00DA07E4" w14:paraId="5E469C91" w14:textId="77777777" w:rsidTr="00230415">
        <w:trPr>
          <w:trHeight w:val="652"/>
          <w:tblHeader/>
        </w:trPr>
        <w:tc>
          <w:tcPr>
            <w:tcW w:w="0" w:type="auto"/>
            <w:gridSpan w:val="4"/>
            <w:shd w:val="clear" w:color="auto" w:fill="D9D9D9" w:themeFill="background1" w:themeFillShade="D9"/>
            <w:tcMar>
              <w:top w:w="48" w:type="dxa"/>
              <w:left w:w="96" w:type="dxa"/>
              <w:bottom w:w="48" w:type="dxa"/>
              <w:right w:w="96" w:type="dxa"/>
            </w:tcMar>
            <w:vAlign w:val="center"/>
          </w:tcPr>
          <w:bookmarkEnd w:id="4"/>
          <w:p w14:paraId="3469EA19"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b/>
                <w:bCs/>
                <w:sz w:val="24"/>
                <w:szCs w:val="24"/>
              </w:rPr>
              <w:t>Obsah oxalátov na 1 porciu</w:t>
            </w:r>
          </w:p>
        </w:tc>
      </w:tr>
      <w:tr w:rsidR="00AA3622" w:rsidRPr="00DA07E4" w14:paraId="6FB0716E" w14:textId="77777777" w:rsidTr="00230415">
        <w:trPr>
          <w:trHeight w:val="652"/>
          <w:tblHeader/>
        </w:trPr>
        <w:tc>
          <w:tcPr>
            <w:tcW w:w="0" w:type="auto"/>
            <w:shd w:val="clear" w:color="auto" w:fill="D9D9D9" w:themeFill="background1" w:themeFillShade="D9"/>
            <w:tcMar>
              <w:top w:w="48" w:type="dxa"/>
              <w:left w:w="96" w:type="dxa"/>
              <w:bottom w:w="48" w:type="dxa"/>
              <w:right w:w="96" w:type="dxa"/>
            </w:tcMar>
            <w:vAlign w:val="center"/>
            <w:hideMark/>
          </w:tcPr>
          <w:p w14:paraId="55F15E8F" w14:textId="35F29026" w:rsidR="00AA3622" w:rsidRPr="00230415" w:rsidRDefault="00AA3622" w:rsidP="009B1C7F">
            <w:pPr>
              <w:spacing w:after="0" w:line="360" w:lineRule="auto"/>
              <w:jc w:val="center"/>
              <w:rPr>
                <w:rFonts w:ascii="Times New Roman" w:hAnsi="Times New Roman" w:cs="Times New Roman"/>
                <w:b/>
                <w:bCs/>
                <w:szCs w:val="24"/>
              </w:rPr>
            </w:pPr>
            <w:r w:rsidRPr="00230415">
              <w:rPr>
                <w:rFonts w:ascii="Times New Roman" w:hAnsi="Times New Roman" w:cs="Times New Roman"/>
                <w:b/>
                <w:bCs/>
                <w:szCs w:val="24"/>
              </w:rPr>
              <w:t>V</w:t>
            </w:r>
            <w:r w:rsidRPr="00230415">
              <w:rPr>
                <w:rFonts w:ascii="Times New Roman" w:hAnsi="Times New Roman" w:cs="Times New Roman"/>
                <w:b/>
                <w:szCs w:val="24"/>
              </w:rPr>
              <w:t>eľmi vysoký</w:t>
            </w:r>
            <w:r w:rsidRPr="00230415">
              <w:rPr>
                <w:rFonts w:ascii="Times New Roman" w:hAnsi="Times New Roman" w:cs="Times New Roman"/>
                <w:b/>
                <w:bCs/>
                <w:szCs w:val="24"/>
              </w:rPr>
              <w:br/>
              <w:t>&gt;100 mg/1</w:t>
            </w:r>
            <w:r w:rsidRPr="00230415">
              <w:rPr>
                <w:rFonts w:ascii="Times New Roman" w:hAnsi="Times New Roman" w:cs="Times New Roman"/>
                <w:b/>
                <w:szCs w:val="24"/>
              </w:rPr>
              <w:t xml:space="preserve"> porcia</w:t>
            </w:r>
          </w:p>
        </w:tc>
        <w:tc>
          <w:tcPr>
            <w:tcW w:w="0" w:type="auto"/>
            <w:shd w:val="clear" w:color="auto" w:fill="D9D9D9" w:themeFill="background1" w:themeFillShade="D9"/>
            <w:tcMar>
              <w:top w:w="48" w:type="dxa"/>
              <w:left w:w="96" w:type="dxa"/>
              <w:bottom w:w="48" w:type="dxa"/>
              <w:right w:w="96" w:type="dxa"/>
            </w:tcMar>
            <w:vAlign w:val="center"/>
            <w:hideMark/>
          </w:tcPr>
          <w:p w14:paraId="27C585C4" w14:textId="77777777" w:rsidR="00AA3622" w:rsidRPr="00230415" w:rsidRDefault="00AA3622" w:rsidP="009B1C7F">
            <w:pPr>
              <w:spacing w:after="0" w:line="360" w:lineRule="auto"/>
              <w:jc w:val="center"/>
              <w:rPr>
                <w:rFonts w:ascii="Times New Roman" w:hAnsi="Times New Roman" w:cs="Times New Roman"/>
                <w:b/>
                <w:bCs/>
                <w:szCs w:val="24"/>
              </w:rPr>
            </w:pPr>
            <w:r w:rsidRPr="00230415">
              <w:rPr>
                <w:rFonts w:ascii="Times New Roman" w:hAnsi="Times New Roman" w:cs="Times New Roman"/>
                <w:b/>
                <w:bCs/>
                <w:szCs w:val="24"/>
              </w:rPr>
              <w:t>Vysoký</w:t>
            </w:r>
            <w:r w:rsidRPr="00230415">
              <w:rPr>
                <w:rFonts w:ascii="Times New Roman" w:hAnsi="Times New Roman" w:cs="Times New Roman"/>
                <w:b/>
                <w:bCs/>
                <w:szCs w:val="24"/>
              </w:rPr>
              <w:br/>
              <w:t>26–99 mg/ 1 porcia</w:t>
            </w:r>
          </w:p>
        </w:tc>
        <w:tc>
          <w:tcPr>
            <w:tcW w:w="0" w:type="auto"/>
            <w:shd w:val="clear" w:color="auto" w:fill="D9D9D9" w:themeFill="background1" w:themeFillShade="D9"/>
            <w:tcMar>
              <w:top w:w="48" w:type="dxa"/>
              <w:left w:w="96" w:type="dxa"/>
              <w:bottom w:w="48" w:type="dxa"/>
              <w:right w:w="96" w:type="dxa"/>
            </w:tcMar>
            <w:vAlign w:val="center"/>
            <w:hideMark/>
          </w:tcPr>
          <w:p w14:paraId="5FA986AB" w14:textId="77777777" w:rsidR="00AA3622" w:rsidRPr="00230415" w:rsidRDefault="00AA3622" w:rsidP="009B1C7F">
            <w:pPr>
              <w:spacing w:after="0" w:line="360" w:lineRule="auto"/>
              <w:jc w:val="center"/>
              <w:rPr>
                <w:rFonts w:ascii="Times New Roman" w:hAnsi="Times New Roman" w:cs="Times New Roman"/>
                <w:b/>
                <w:bCs/>
                <w:szCs w:val="24"/>
              </w:rPr>
            </w:pPr>
            <w:r w:rsidRPr="00230415">
              <w:rPr>
                <w:rFonts w:ascii="Times New Roman" w:hAnsi="Times New Roman" w:cs="Times New Roman"/>
                <w:b/>
                <w:bCs/>
                <w:szCs w:val="24"/>
              </w:rPr>
              <w:t>Stredný</w:t>
            </w:r>
            <w:r w:rsidRPr="00230415">
              <w:rPr>
                <w:rFonts w:ascii="Times New Roman" w:hAnsi="Times New Roman" w:cs="Times New Roman"/>
                <w:b/>
                <w:bCs/>
                <w:szCs w:val="24"/>
              </w:rPr>
              <w:br/>
              <w:t>10–25 mg/ 1 porcia</w:t>
            </w:r>
          </w:p>
        </w:tc>
        <w:tc>
          <w:tcPr>
            <w:tcW w:w="0" w:type="auto"/>
            <w:shd w:val="clear" w:color="auto" w:fill="D9D9D9" w:themeFill="background1" w:themeFillShade="D9"/>
            <w:tcMar>
              <w:top w:w="48" w:type="dxa"/>
              <w:left w:w="96" w:type="dxa"/>
              <w:bottom w:w="48" w:type="dxa"/>
              <w:right w:w="96" w:type="dxa"/>
            </w:tcMar>
            <w:vAlign w:val="center"/>
            <w:hideMark/>
          </w:tcPr>
          <w:p w14:paraId="05A03F7E" w14:textId="77777777" w:rsidR="00AA3622" w:rsidRPr="00230415" w:rsidRDefault="00AA3622" w:rsidP="009B1C7F">
            <w:pPr>
              <w:spacing w:after="0" w:line="360" w:lineRule="auto"/>
              <w:jc w:val="center"/>
              <w:rPr>
                <w:rFonts w:ascii="Times New Roman" w:hAnsi="Times New Roman" w:cs="Times New Roman"/>
                <w:b/>
                <w:bCs/>
                <w:szCs w:val="24"/>
              </w:rPr>
            </w:pPr>
            <w:r w:rsidRPr="00230415">
              <w:rPr>
                <w:rFonts w:ascii="Times New Roman" w:hAnsi="Times New Roman" w:cs="Times New Roman"/>
                <w:b/>
                <w:bCs/>
                <w:szCs w:val="24"/>
              </w:rPr>
              <w:t>Nízky</w:t>
            </w:r>
            <w:r w:rsidRPr="00230415">
              <w:rPr>
                <w:rFonts w:ascii="Times New Roman" w:hAnsi="Times New Roman" w:cs="Times New Roman"/>
                <w:b/>
                <w:bCs/>
                <w:szCs w:val="24"/>
              </w:rPr>
              <w:br/>
              <w:t>5–9 mg/1 porcia</w:t>
            </w:r>
          </w:p>
        </w:tc>
      </w:tr>
      <w:tr w:rsidR="00AA3622" w:rsidRPr="00DA07E4" w14:paraId="1E7CCFF9" w14:textId="77777777" w:rsidTr="00230415">
        <w:trPr>
          <w:trHeight w:val="332"/>
        </w:trPr>
        <w:tc>
          <w:tcPr>
            <w:tcW w:w="0" w:type="auto"/>
            <w:tcMar>
              <w:top w:w="48" w:type="dxa"/>
              <w:left w:w="96" w:type="dxa"/>
              <w:bottom w:w="48" w:type="dxa"/>
              <w:right w:w="96" w:type="dxa"/>
            </w:tcMar>
            <w:vAlign w:val="center"/>
            <w:hideMark/>
          </w:tcPr>
          <w:p w14:paraId="5EFC6CB0"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celozrnné produkty</w:t>
            </w:r>
          </w:p>
        </w:tc>
        <w:tc>
          <w:tcPr>
            <w:tcW w:w="0" w:type="auto"/>
            <w:tcMar>
              <w:top w:w="48" w:type="dxa"/>
              <w:left w:w="96" w:type="dxa"/>
              <w:bottom w:w="48" w:type="dxa"/>
              <w:right w:w="96" w:type="dxa"/>
            </w:tcMar>
            <w:vAlign w:val="center"/>
            <w:hideMark/>
          </w:tcPr>
          <w:p w14:paraId="14E29327"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lieskové orechy</w:t>
            </w:r>
          </w:p>
        </w:tc>
        <w:tc>
          <w:tcPr>
            <w:tcW w:w="0" w:type="auto"/>
            <w:tcMar>
              <w:top w:w="48" w:type="dxa"/>
              <w:left w:w="96" w:type="dxa"/>
              <w:bottom w:w="48" w:type="dxa"/>
              <w:right w:w="96" w:type="dxa"/>
            </w:tcMar>
            <w:vAlign w:val="center"/>
            <w:hideMark/>
          </w:tcPr>
          <w:p w14:paraId="5333F245"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fazuľa</w:t>
            </w:r>
          </w:p>
        </w:tc>
        <w:tc>
          <w:tcPr>
            <w:tcW w:w="0" w:type="auto"/>
            <w:tcMar>
              <w:top w:w="48" w:type="dxa"/>
              <w:left w:w="96" w:type="dxa"/>
              <w:bottom w:w="48" w:type="dxa"/>
              <w:right w:w="96" w:type="dxa"/>
            </w:tcMar>
            <w:vAlign w:val="center"/>
            <w:hideMark/>
          </w:tcPr>
          <w:p w14:paraId="0AE21643"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artičoky</w:t>
            </w:r>
          </w:p>
        </w:tc>
      </w:tr>
      <w:tr w:rsidR="00AA3622" w:rsidRPr="00DA07E4" w14:paraId="7D487F45" w14:textId="77777777" w:rsidTr="00230415">
        <w:trPr>
          <w:trHeight w:val="320"/>
        </w:trPr>
        <w:tc>
          <w:tcPr>
            <w:tcW w:w="0" w:type="auto"/>
            <w:tcMar>
              <w:top w:w="48" w:type="dxa"/>
              <w:left w:w="96" w:type="dxa"/>
              <w:bottom w:w="48" w:type="dxa"/>
              <w:right w:w="96" w:type="dxa"/>
            </w:tcMar>
            <w:vAlign w:val="center"/>
            <w:hideMark/>
          </w:tcPr>
          <w:p w14:paraId="35434FCF"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mandle</w:t>
            </w:r>
          </w:p>
        </w:tc>
        <w:tc>
          <w:tcPr>
            <w:tcW w:w="0" w:type="auto"/>
            <w:tcMar>
              <w:top w:w="48" w:type="dxa"/>
              <w:left w:w="96" w:type="dxa"/>
              <w:bottom w:w="48" w:type="dxa"/>
              <w:right w:w="96" w:type="dxa"/>
            </w:tcMar>
            <w:vAlign w:val="center"/>
            <w:hideMark/>
          </w:tcPr>
          <w:p w14:paraId="7259958F"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kešu</w:t>
            </w:r>
          </w:p>
        </w:tc>
        <w:tc>
          <w:tcPr>
            <w:tcW w:w="0" w:type="auto"/>
            <w:tcMar>
              <w:top w:w="48" w:type="dxa"/>
              <w:left w:w="96" w:type="dxa"/>
              <w:bottom w:w="48" w:type="dxa"/>
              <w:right w:w="96" w:type="dxa"/>
            </w:tcMar>
            <w:vAlign w:val="center"/>
            <w:hideMark/>
          </w:tcPr>
          <w:p w14:paraId="71CB7539"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čučoriedky</w:t>
            </w:r>
          </w:p>
        </w:tc>
        <w:tc>
          <w:tcPr>
            <w:tcW w:w="0" w:type="auto"/>
            <w:tcMar>
              <w:top w:w="48" w:type="dxa"/>
              <w:left w:w="96" w:type="dxa"/>
              <w:bottom w:w="48" w:type="dxa"/>
              <w:right w:w="96" w:type="dxa"/>
            </w:tcMar>
            <w:vAlign w:val="center"/>
            <w:hideMark/>
          </w:tcPr>
          <w:p w14:paraId="255D09AA"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špargľa (varená)</w:t>
            </w:r>
          </w:p>
        </w:tc>
      </w:tr>
      <w:tr w:rsidR="00AA3622" w:rsidRPr="00DA07E4" w14:paraId="239B4046" w14:textId="77777777" w:rsidTr="00230415">
        <w:trPr>
          <w:trHeight w:val="332"/>
        </w:trPr>
        <w:tc>
          <w:tcPr>
            <w:tcW w:w="0" w:type="auto"/>
            <w:tcMar>
              <w:top w:w="48" w:type="dxa"/>
              <w:left w:w="96" w:type="dxa"/>
              <w:bottom w:w="48" w:type="dxa"/>
              <w:right w:w="96" w:type="dxa"/>
            </w:tcMar>
            <w:vAlign w:val="center"/>
            <w:hideMark/>
          </w:tcPr>
          <w:p w14:paraId="614762F7"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kakao</w:t>
            </w:r>
          </w:p>
        </w:tc>
        <w:tc>
          <w:tcPr>
            <w:tcW w:w="0" w:type="auto"/>
            <w:tcMar>
              <w:top w:w="48" w:type="dxa"/>
              <w:left w:w="96" w:type="dxa"/>
              <w:bottom w:w="48" w:type="dxa"/>
              <w:right w:w="96" w:type="dxa"/>
            </w:tcMar>
            <w:vAlign w:val="center"/>
            <w:hideMark/>
          </w:tcPr>
          <w:p w14:paraId="0AAC82F6"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arašidy</w:t>
            </w:r>
          </w:p>
        </w:tc>
        <w:tc>
          <w:tcPr>
            <w:tcW w:w="0" w:type="auto"/>
            <w:tcMar>
              <w:top w:w="48" w:type="dxa"/>
              <w:left w:w="96" w:type="dxa"/>
              <w:bottom w:w="48" w:type="dxa"/>
              <w:right w:w="96" w:type="dxa"/>
            </w:tcMar>
            <w:vAlign w:val="center"/>
            <w:hideMark/>
          </w:tcPr>
          <w:p w14:paraId="1728DA0E"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zemiaky</w:t>
            </w:r>
          </w:p>
        </w:tc>
        <w:tc>
          <w:tcPr>
            <w:tcW w:w="0" w:type="auto"/>
            <w:tcMar>
              <w:top w:w="48" w:type="dxa"/>
              <w:left w:w="96" w:type="dxa"/>
              <w:bottom w:w="48" w:type="dxa"/>
              <w:right w:w="96" w:type="dxa"/>
            </w:tcMar>
            <w:vAlign w:val="center"/>
            <w:hideMark/>
          </w:tcPr>
          <w:p w14:paraId="154217E4"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šalát</w:t>
            </w:r>
          </w:p>
        </w:tc>
      </w:tr>
      <w:tr w:rsidR="00AA3622" w:rsidRPr="00DA07E4" w14:paraId="604F9883" w14:textId="77777777" w:rsidTr="00230415">
        <w:trPr>
          <w:trHeight w:val="332"/>
        </w:trPr>
        <w:tc>
          <w:tcPr>
            <w:tcW w:w="0" w:type="auto"/>
            <w:tcMar>
              <w:top w:w="48" w:type="dxa"/>
              <w:left w:w="96" w:type="dxa"/>
              <w:bottom w:w="48" w:type="dxa"/>
              <w:right w:w="96" w:type="dxa"/>
            </w:tcMar>
            <w:vAlign w:val="center"/>
            <w:hideMark/>
          </w:tcPr>
          <w:p w14:paraId="15FD8AFC"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pohánka</w:t>
            </w:r>
          </w:p>
        </w:tc>
        <w:tc>
          <w:tcPr>
            <w:tcW w:w="0" w:type="auto"/>
            <w:tcMar>
              <w:top w:w="48" w:type="dxa"/>
              <w:left w:w="96" w:type="dxa"/>
              <w:bottom w:w="48" w:type="dxa"/>
              <w:right w:w="96" w:type="dxa"/>
            </w:tcMar>
            <w:vAlign w:val="center"/>
            <w:hideMark/>
          </w:tcPr>
          <w:p w14:paraId="3AC998F3"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mliečna čokoláda</w:t>
            </w:r>
          </w:p>
        </w:tc>
        <w:tc>
          <w:tcPr>
            <w:tcW w:w="0" w:type="auto"/>
            <w:tcMar>
              <w:top w:w="48" w:type="dxa"/>
              <w:left w:w="96" w:type="dxa"/>
              <w:bottom w:w="48" w:type="dxa"/>
              <w:right w:w="96" w:type="dxa"/>
            </w:tcMar>
            <w:vAlign w:val="center"/>
            <w:hideMark/>
          </w:tcPr>
          <w:p w14:paraId="62FD6CFB"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paradajková omáčka</w:t>
            </w:r>
          </w:p>
        </w:tc>
        <w:tc>
          <w:tcPr>
            <w:tcW w:w="0" w:type="auto"/>
            <w:tcMar>
              <w:top w:w="48" w:type="dxa"/>
              <w:left w:w="96" w:type="dxa"/>
              <w:bottom w:w="48" w:type="dxa"/>
              <w:right w:w="96" w:type="dxa"/>
            </w:tcMar>
            <w:vAlign w:val="center"/>
            <w:hideMark/>
          </w:tcPr>
          <w:p w14:paraId="2F4AB6B2"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hrach</w:t>
            </w:r>
          </w:p>
        </w:tc>
      </w:tr>
      <w:tr w:rsidR="00AA3622" w:rsidRPr="00DA07E4" w14:paraId="54AA2B67" w14:textId="77777777" w:rsidTr="00230415">
        <w:trPr>
          <w:trHeight w:val="320"/>
        </w:trPr>
        <w:tc>
          <w:tcPr>
            <w:tcW w:w="0" w:type="auto"/>
            <w:tcMar>
              <w:top w:w="48" w:type="dxa"/>
              <w:left w:w="96" w:type="dxa"/>
              <w:bottom w:w="48" w:type="dxa"/>
              <w:right w:w="96" w:type="dxa"/>
            </w:tcMar>
            <w:vAlign w:val="center"/>
            <w:hideMark/>
          </w:tcPr>
          <w:p w14:paraId="689ACF3A"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repa</w:t>
            </w:r>
          </w:p>
        </w:tc>
        <w:tc>
          <w:tcPr>
            <w:tcW w:w="0" w:type="auto"/>
            <w:tcMar>
              <w:top w:w="48" w:type="dxa"/>
              <w:left w:w="96" w:type="dxa"/>
              <w:bottom w:w="48" w:type="dxa"/>
              <w:right w:w="96" w:type="dxa"/>
            </w:tcMar>
            <w:vAlign w:val="center"/>
            <w:hideMark/>
          </w:tcPr>
          <w:p w14:paraId="160CC4A8"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mrkva</w:t>
            </w:r>
          </w:p>
        </w:tc>
        <w:tc>
          <w:tcPr>
            <w:tcW w:w="0" w:type="auto"/>
            <w:tcMar>
              <w:top w:w="48" w:type="dxa"/>
              <w:left w:w="96" w:type="dxa"/>
              <w:bottom w:w="48" w:type="dxa"/>
              <w:right w:w="96" w:type="dxa"/>
            </w:tcMar>
            <w:vAlign w:val="center"/>
            <w:hideMark/>
          </w:tcPr>
          <w:p w14:paraId="02E119AE"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černice</w:t>
            </w:r>
          </w:p>
        </w:tc>
        <w:tc>
          <w:tcPr>
            <w:tcW w:w="0" w:type="auto"/>
            <w:tcMar>
              <w:top w:w="48" w:type="dxa"/>
              <w:left w:w="96" w:type="dxa"/>
              <w:bottom w:w="48" w:type="dxa"/>
              <w:right w:w="96" w:type="dxa"/>
            </w:tcMar>
            <w:vAlign w:val="center"/>
            <w:hideMark/>
          </w:tcPr>
          <w:p w14:paraId="10A2E7FA"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jablko</w:t>
            </w:r>
          </w:p>
        </w:tc>
      </w:tr>
      <w:tr w:rsidR="00AA3622" w:rsidRPr="00DA07E4" w14:paraId="4CD6DC0C" w14:textId="77777777" w:rsidTr="00230415">
        <w:trPr>
          <w:trHeight w:val="332"/>
        </w:trPr>
        <w:tc>
          <w:tcPr>
            <w:tcW w:w="0" w:type="auto"/>
            <w:tcMar>
              <w:top w:w="48" w:type="dxa"/>
              <w:left w:w="96" w:type="dxa"/>
              <w:bottom w:w="48" w:type="dxa"/>
              <w:right w:w="96" w:type="dxa"/>
            </w:tcMar>
            <w:vAlign w:val="center"/>
            <w:hideMark/>
          </w:tcPr>
          <w:p w14:paraId="1F4FE723"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rebarbora</w:t>
            </w:r>
          </w:p>
        </w:tc>
        <w:tc>
          <w:tcPr>
            <w:tcW w:w="0" w:type="auto"/>
            <w:tcMar>
              <w:top w:w="48" w:type="dxa"/>
              <w:left w:w="96" w:type="dxa"/>
              <w:bottom w:w="48" w:type="dxa"/>
              <w:right w:w="96" w:type="dxa"/>
            </w:tcMar>
            <w:vAlign w:val="center"/>
            <w:hideMark/>
          </w:tcPr>
          <w:p w14:paraId="5762DF96"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karfiol</w:t>
            </w:r>
          </w:p>
        </w:tc>
        <w:tc>
          <w:tcPr>
            <w:tcW w:w="0" w:type="auto"/>
            <w:tcMar>
              <w:top w:w="48" w:type="dxa"/>
              <w:left w:w="96" w:type="dxa"/>
              <w:bottom w:w="48" w:type="dxa"/>
              <w:right w:w="96" w:type="dxa"/>
            </w:tcMar>
            <w:vAlign w:val="center"/>
            <w:hideMark/>
          </w:tcPr>
          <w:p w14:paraId="07286E57"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vlašské orechy</w:t>
            </w:r>
          </w:p>
        </w:tc>
        <w:tc>
          <w:tcPr>
            <w:tcW w:w="0" w:type="auto"/>
            <w:tcMar>
              <w:top w:w="48" w:type="dxa"/>
              <w:left w:w="96" w:type="dxa"/>
              <w:bottom w:w="48" w:type="dxa"/>
              <w:right w:w="96" w:type="dxa"/>
            </w:tcMar>
            <w:vAlign w:val="center"/>
            <w:hideMark/>
          </w:tcPr>
          <w:p w14:paraId="351DA1D9"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hruška</w:t>
            </w:r>
          </w:p>
        </w:tc>
      </w:tr>
      <w:tr w:rsidR="00AA3622" w:rsidRPr="00DA07E4" w14:paraId="2E7EF1C6" w14:textId="77777777" w:rsidTr="00230415">
        <w:trPr>
          <w:trHeight w:val="320"/>
        </w:trPr>
        <w:tc>
          <w:tcPr>
            <w:tcW w:w="0" w:type="auto"/>
            <w:tcMar>
              <w:top w:w="48" w:type="dxa"/>
              <w:left w:w="96" w:type="dxa"/>
              <w:bottom w:w="48" w:type="dxa"/>
              <w:right w:w="96" w:type="dxa"/>
            </w:tcMar>
            <w:vAlign w:val="center"/>
            <w:hideMark/>
          </w:tcPr>
          <w:p w14:paraId="69C48682"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špenát</w:t>
            </w:r>
          </w:p>
        </w:tc>
        <w:tc>
          <w:tcPr>
            <w:tcW w:w="0" w:type="auto"/>
            <w:tcMar>
              <w:top w:w="48" w:type="dxa"/>
              <w:left w:w="96" w:type="dxa"/>
              <w:bottom w:w="48" w:type="dxa"/>
              <w:right w:w="96" w:type="dxa"/>
            </w:tcMar>
            <w:vAlign w:val="center"/>
            <w:hideMark/>
          </w:tcPr>
          <w:p w14:paraId="33691460"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zeler</w:t>
            </w:r>
          </w:p>
        </w:tc>
        <w:tc>
          <w:tcPr>
            <w:tcW w:w="0" w:type="auto"/>
            <w:tcMar>
              <w:top w:w="48" w:type="dxa"/>
              <w:left w:w="96" w:type="dxa"/>
              <w:bottom w:w="48" w:type="dxa"/>
              <w:right w:w="96" w:type="dxa"/>
            </w:tcMar>
            <w:vAlign w:val="center"/>
            <w:hideMark/>
          </w:tcPr>
          <w:p w14:paraId="613F76F9"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slivky (sušené)</w:t>
            </w:r>
          </w:p>
        </w:tc>
        <w:tc>
          <w:tcPr>
            <w:tcW w:w="0" w:type="auto"/>
            <w:tcMar>
              <w:top w:w="48" w:type="dxa"/>
              <w:left w:w="96" w:type="dxa"/>
              <w:bottom w:w="48" w:type="dxa"/>
              <w:right w:w="96" w:type="dxa"/>
            </w:tcMar>
            <w:vAlign w:val="center"/>
            <w:hideMark/>
          </w:tcPr>
          <w:p w14:paraId="5AC40EF7"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melón</w:t>
            </w:r>
          </w:p>
        </w:tc>
      </w:tr>
      <w:tr w:rsidR="00AA3622" w:rsidRPr="00DA07E4" w14:paraId="79686569" w14:textId="77777777" w:rsidTr="00230415">
        <w:trPr>
          <w:trHeight w:val="332"/>
        </w:trPr>
        <w:tc>
          <w:tcPr>
            <w:tcW w:w="0" w:type="auto"/>
            <w:tcMar>
              <w:top w:w="48" w:type="dxa"/>
              <w:left w:w="96" w:type="dxa"/>
              <w:bottom w:w="48" w:type="dxa"/>
              <w:right w:w="96" w:type="dxa"/>
            </w:tcMar>
            <w:vAlign w:val="center"/>
            <w:hideMark/>
          </w:tcPr>
          <w:p w14:paraId="570DFCD0"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mangold</w:t>
            </w:r>
          </w:p>
        </w:tc>
        <w:tc>
          <w:tcPr>
            <w:tcW w:w="0" w:type="auto"/>
            <w:tcMar>
              <w:top w:w="48" w:type="dxa"/>
              <w:left w:w="96" w:type="dxa"/>
              <w:bottom w:w="48" w:type="dxa"/>
              <w:right w:w="96" w:type="dxa"/>
            </w:tcMar>
            <w:vAlign w:val="center"/>
            <w:hideMark/>
          </w:tcPr>
          <w:p w14:paraId="4EA8A721" w14:textId="77777777" w:rsidR="00AA3622" w:rsidRPr="00230415" w:rsidRDefault="00AA3622" w:rsidP="009B1C7F">
            <w:pPr>
              <w:spacing w:after="0" w:line="360" w:lineRule="auto"/>
              <w:rPr>
                <w:rFonts w:ascii="Times New Roman" w:hAnsi="Times New Roman" w:cs="Times New Roman"/>
                <w:szCs w:val="24"/>
              </w:rPr>
            </w:pPr>
            <w:r w:rsidRPr="00230415">
              <w:rPr>
                <w:rFonts w:ascii="Times New Roman" w:hAnsi="Times New Roman" w:cs="Times New Roman"/>
                <w:szCs w:val="24"/>
              </w:rPr>
              <w:t>pomaranč</w:t>
            </w:r>
          </w:p>
        </w:tc>
        <w:tc>
          <w:tcPr>
            <w:tcW w:w="0" w:type="auto"/>
            <w:tcMar>
              <w:top w:w="48" w:type="dxa"/>
              <w:left w:w="96" w:type="dxa"/>
              <w:bottom w:w="48" w:type="dxa"/>
              <w:right w:w="96" w:type="dxa"/>
            </w:tcMar>
            <w:vAlign w:val="center"/>
            <w:hideMark/>
          </w:tcPr>
          <w:p w14:paraId="37208896" w14:textId="77777777" w:rsidR="00AA3622" w:rsidRPr="00230415" w:rsidRDefault="00AA3622" w:rsidP="009B1C7F">
            <w:pPr>
              <w:spacing w:after="0" w:line="360" w:lineRule="auto"/>
              <w:rPr>
                <w:rFonts w:ascii="Times New Roman" w:hAnsi="Times New Roman" w:cs="Times New Roman"/>
                <w:szCs w:val="24"/>
              </w:rPr>
            </w:pPr>
          </w:p>
        </w:tc>
        <w:tc>
          <w:tcPr>
            <w:tcW w:w="0" w:type="auto"/>
            <w:tcMar>
              <w:top w:w="48" w:type="dxa"/>
              <w:left w:w="96" w:type="dxa"/>
              <w:bottom w:w="48" w:type="dxa"/>
              <w:right w:w="96" w:type="dxa"/>
            </w:tcMar>
            <w:vAlign w:val="center"/>
            <w:hideMark/>
          </w:tcPr>
          <w:p w14:paraId="7624B609" w14:textId="77777777" w:rsidR="00AA3622" w:rsidRPr="00230415" w:rsidRDefault="00AA3622" w:rsidP="009B1C7F">
            <w:pPr>
              <w:spacing w:after="0" w:line="360" w:lineRule="auto"/>
              <w:rPr>
                <w:rFonts w:ascii="Times New Roman" w:hAnsi="Times New Roman" w:cs="Times New Roman"/>
                <w:szCs w:val="24"/>
              </w:rPr>
            </w:pPr>
          </w:p>
        </w:tc>
      </w:tr>
    </w:tbl>
    <w:p w14:paraId="2007904B" w14:textId="77777777" w:rsidR="00AA3622" w:rsidRPr="00DA07E4" w:rsidRDefault="00AA3622" w:rsidP="00DA07E4">
      <w:pPr>
        <w:pStyle w:val="Nadpis3"/>
        <w:spacing w:before="0" w:line="360" w:lineRule="auto"/>
        <w:jc w:val="both"/>
        <w:rPr>
          <w:rFonts w:ascii="Times New Roman" w:hAnsi="Times New Roman" w:cs="Times New Roman"/>
          <w:b/>
          <w:bCs/>
          <w:color w:val="auto"/>
        </w:rPr>
      </w:pPr>
    </w:p>
    <w:p w14:paraId="35076DF2" w14:textId="668F7EC7" w:rsidR="00AA3622" w:rsidRPr="00DA07E4" w:rsidRDefault="00AA3622" w:rsidP="00DA07E4">
      <w:pPr>
        <w:pStyle w:val="Nadpis3"/>
        <w:spacing w:before="0" w:line="360" w:lineRule="auto"/>
        <w:jc w:val="both"/>
        <w:rPr>
          <w:rFonts w:ascii="Times New Roman" w:hAnsi="Times New Roman" w:cs="Times New Roman"/>
          <w:color w:val="auto"/>
        </w:rPr>
      </w:pPr>
      <w:bookmarkStart w:id="5" w:name="_Hlk68634132"/>
      <w:r w:rsidRPr="00DA07E4">
        <w:rPr>
          <w:rFonts w:ascii="Times New Roman" w:hAnsi="Times New Roman" w:cs="Times New Roman"/>
          <w:b/>
          <w:bCs/>
          <w:color w:val="auto"/>
        </w:rPr>
        <w:t>Tab</w:t>
      </w:r>
      <w:r w:rsidR="004D3042">
        <w:rPr>
          <w:rFonts w:ascii="Times New Roman" w:hAnsi="Times New Roman" w:cs="Times New Roman"/>
          <w:b/>
          <w:bCs/>
          <w:color w:val="auto"/>
        </w:rPr>
        <w:t>uľka</w:t>
      </w:r>
      <w:r w:rsidR="00B74799" w:rsidRPr="00DA07E4">
        <w:rPr>
          <w:rFonts w:ascii="Times New Roman" w:hAnsi="Times New Roman" w:cs="Times New Roman"/>
          <w:b/>
          <w:bCs/>
          <w:color w:val="auto"/>
        </w:rPr>
        <w:t xml:space="preserve"> 2</w:t>
      </w:r>
      <w:r w:rsidRPr="00DA07E4">
        <w:rPr>
          <w:rFonts w:ascii="Times New Roman" w:hAnsi="Times New Roman" w:cs="Times New Roman"/>
          <w:b/>
          <w:bCs/>
          <w:color w:val="auto"/>
        </w:rPr>
        <w:t xml:space="preserve"> </w:t>
      </w:r>
      <w:r w:rsidRPr="00DA07E4">
        <w:rPr>
          <w:rFonts w:ascii="Times New Roman" w:hAnsi="Times New Roman" w:cs="Times New Roman"/>
          <w:bCs/>
          <w:color w:val="auto"/>
        </w:rPr>
        <w:t>Rozdelenie potravín</w:t>
      </w:r>
      <w:r w:rsidRPr="00DA07E4">
        <w:rPr>
          <w:rFonts w:ascii="Times New Roman" w:hAnsi="Times New Roman" w:cs="Times New Roman"/>
          <w:color w:val="auto"/>
        </w:rPr>
        <w:t xml:space="preserve"> do troch skupín podľa obsahu purínov na 100 g jedlej časti (podľa</w:t>
      </w:r>
      <w:r w:rsidR="00B74799" w:rsidRPr="00DA07E4">
        <w:rPr>
          <w:rFonts w:ascii="Times New Roman" w:hAnsi="Times New Roman" w:cs="Times New Roman"/>
          <w:color w:val="auto"/>
        </w:rPr>
        <w:t>:</w:t>
      </w:r>
      <w:r w:rsidRPr="00DA07E4">
        <w:rPr>
          <w:rFonts w:ascii="Times New Roman" w:hAnsi="Times New Roman" w:cs="Times New Roman"/>
          <w:color w:val="auto"/>
        </w:rPr>
        <w:t xml:space="preserve"> D´Alessandro </w:t>
      </w:r>
      <w:r w:rsidR="00DE214F" w:rsidRPr="00DA07E4">
        <w:rPr>
          <w:rFonts w:ascii="Times New Roman" w:hAnsi="Times New Roman" w:cs="Times New Roman"/>
          <w:color w:val="auto"/>
        </w:rPr>
        <w:t>et al</w:t>
      </w:r>
      <w:r w:rsidRPr="00DA07E4">
        <w:rPr>
          <w:rFonts w:ascii="Times New Roman" w:hAnsi="Times New Roman" w:cs="Times New Roman"/>
          <w:color w:val="auto"/>
        </w:rPr>
        <w:t>., 2019)</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2693"/>
        <w:gridCol w:w="2977"/>
      </w:tblGrid>
      <w:tr w:rsidR="00AA3622" w:rsidRPr="00DA07E4" w14:paraId="39014BC0" w14:textId="77777777" w:rsidTr="00230415">
        <w:trPr>
          <w:trHeight w:val="883"/>
          <w:tblHeader/>
        </w:trPr>
        <w:tc>
          <w:tcPr>
            <w:tcW w:w="8217" w:type="dxa"/>
            <w:gridSpan w:val="3"/>
            <w:shd w:val="clear" w:color="auto" w:fill="D9D9D9" w:themeFill="background1" w:themeFillShade="D9"/>
            <w:tcMar>
              <w:top w:w="48" w:type="dxa"/>
              <w:left w:w="96" w:type="dxa"/>
              <w:bottom w:w="48" w:type="dxa"/>
              <w:right w:w="96" w:type="dxa"/>
            </w:tcMar>
            <w:vAlign w:val="center"/>
          </w:tcPr>
          <w:bookmarkEnd w:id="5"/>
          <w:p w14:paraId="7911C00B"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b/>
                <w:bCs/>
                <w:sz w:val="24"/>
                <w:szCs w:val="24"/>
              </w:rPr>
              <w:t>Obsah purínov na 100 g porcie</w:t>
            </w:r>
          </w:p>
        </w:tc>
      </w:tr>
      <w:tr w:rsidR="00AA3622" w:rsidRPr="00DA07E4" w14:paraId="126DF330" w14:textId="77777777" w:rsidTr="00230415">
        <w:trPr>
          <w:trHeight w:val="883"/>
          <w:tblHeader/>
        </w:trPr>
        <w:tc>
          <w:tcPr>
            <w:tcW w:w="2547" w:type="dxa"/>
            <w:shd w:val="clear" w:color="auto" w:fill="D9D9D9" w:themeFill="background1" w:themeFillShade="D9"/>
            <w:tcMar>
              <w:top w:w="48" w:type="dxa"/>
              <w:left w:w="96" w:type="dxa"/>
              <w:bottom w:w="48" w:type="dxa"/>
              <w:right w:w="96" w:type="dxa"/>
            </w:tcMar>
            <w:vAlign w:val="center"/>
            <w:hideMark/>
          </w:tcPr>
          <w:p w14:paraId="01C3D201"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b/>
                <w:bCs/>
                <w:sz w:val="24"/>
                <w:szCs w:val="24"/>
              </w:rPr>
              <w:t>Vysoký</w:t>
            </w:r>
          </w:p>
          <w:p w14:paraId="505C2E41"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sz w:val="24"/>
                <w:szCs w:val="24"/>
              </w:rPr>
              <w:t>&gt;500 mg/100 g</w:t>
            </w:r>
          </w:p>
        </w:tc>
        <w:tc>
          <w:tcPr>
            <w:tcW w:w="2693" w:type="dxa"/>
            <w:shd w:val="clear" w:color="auto" w:fill="D9D9D9" w:themeFill="background1" w:themeFillShade="D9"/>
            <w:tcMar>
              <w:top w:w="48" w:type="dxa"/>
              <w:left w:w="96" w:type="dxa"/>
              <w:bottom w:w="48" w:type="dxa"/>
              <w:right w:w="96" w:type="dxa"/>
            </w:tcMar>
            <w:vAlign w:val="center"/>
            <w:hideMark/>
          </w:tcPr>
          <w:p w14:paraId="7B674ECD"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b/>
                <w:bCs/>
                <w:sz w:val="24"/>
                <w:szCs w:val="24"/>
              </w:rPr>
              <w:t>Stredný</w:t>
            </w:r>
          </w:p>
          <w:p w14:paraId="4547017D"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sz w:val="24"/>
                <w:szCs w:val="24"/>
              </w:rPr>
              <w:t>400–100 mg/100 g</w:t>
            </w:r>
          </w:p>
        </w:tc>
        <w:tc>
          <w:tcPr>
            <w:tcW w:w="2977" w:type="dxa"/>
            <w:shd w:val="clear" w:color="auto" w:fill="D9D9D9" w:themeFill="background1" w:themeFillShade="D9"/>
            <w:tcMar>
              <w:top w:w="48" w:type="dxa"/>
              <w:left w:w="96" w:type="dxa"/>
              <w:bottom w:w="48" w:type="dxa"/>
              <w:right w:w="96" w:type="dxa"/>
            </w:tcMar>
            <w:vAlign w:val="center"/>
            <w:hideMark/>
          </w:tcPr>
          <w:p w14:paraId="5010EB5B"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b/>
                <w:bCs/>
                <w:sz w:val="24"/>
                <w:szCs w:val="24"/>
              </w:rPr>
              <w:t>Nízky</w:t>
            </w:r>
          </w:p>
          <w:p w14:paraId="3421DED2" w14:textId="77777777" w:rsidR="00AA3622" w:rsidRPr="00DA07E4" w:rsidRDefault="00AA3622" w:rsidP="009B1C7F">
            <w:pPr>
              <w:spacing w:after="0" w:line="360" w:lineRule="auto"/>
              <w:jc w:val="center"/>
              <w:rPr>
                <w:rFonts w:ascii="Times New Roman" w:hAnsi="Times New Roman" w:cs="Times New Roman"/>
                <w:b/>
                <w:bCs/>
                <w:sz w:val="24"/>
                <w:szCs w:val="24"/>
              </w:rPr>
            </w:pPr>
            <w:r w:rsidRPr="00DA07E4">
              <w:rPr>
                <w:rFonts w:ascii="Times New Roman" w:hAnsi="Times New Roman" w:cs="Times New Roman"/>
                <w:sz w:val="24"/>
                <w:szCs w:val="24"/>
              </w:rPr>
              <w:t>&lt;100 mg/100 g</w:t>
            </w:r>
          </w:p>
        </w:tc>
      </w:tr>
      <w:tr w:rsidR="00AA3622" w:rsidRPr="00DA07E4" w14:paraId="6219A249" w14:textId="77777777" w:rsidTr="00230415">
        <w:trPr>
          <w:trHeight w:val="492"/>
        </w:trPr>
        <w:tc>
          <w:tcPr>
            <w:tcW w:w="2547" w:type="dxa"/>
            <w:tcMar>
              <w:top w:w="48" w:type="dxa"/>
              <w:left w:w="96" w:type="dxa"/>
              <w:bottom w:w="48" w:type="dxa"/>
              <w:right w:w="96" w:type="dxa"/>
            </w:tcMar>
            <w:vAlign w:val="center"/>
            <w:hideMark/>
          </w:tcPr>
          <w:p w14:paraId="1F172433"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pečeň</w:t>
            </w:r>
          </w:p>
        </w:tc>
        <w:tc>
          <w:tcPr>
            <w:tcW w:w="2693" w:type="dxa"/>
            <w:tcMar>
              <w:top w:w="48" w:type="dxa"/>
              <w:left w:w="96" w:type="dxa"/>
              <w:bottom w:w="48" w:type="dxa"/>
              <w:right w:w="96" w:type="dxa"/>
            </w:tcMar>
            <w:vAlign w:val="center"/>
            <w:hideMark/>
          </w:tcPr>
          <w:p w14:paraId="55D46F00"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špargľa</w:t>
            </w:r>
          </w:p>
        </w:tc>
        <w:tc>
          <w:tcPr>
            <w:tcW w:w="2977" w:type="dxa"/>
            <w:tcMar>
              <w:top w:w="48" w:type="dxa"/>
              <w:left w:w="96" w:type="dxa"/>
              <w:bottom w:w="48" w:type="dxa"/>
              <w:right w:w="96" w:type="dxa"/>
            </w:tcMar>
            <w:vAlign w:val="center"/>
            <w:hideMark/>
          </w:tcPr>
          <w:p w14:paraId="51B32EDD"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káva</w:t>
            </w:r>
          </w:p>
        </w:tc>
      </w:tr>
      <w:tr w:rsidR="00AA3622" w:rsidRPr="00DA07E4" w14:paraId="49156A85" w14:textId="77777777" w:rsidTr="00230415">
        <w:trPr>
          <w:trHeight w:val="423"/>
        </w:trPr>
        <w:tc>
          <w:tcPr>
            <w:tcW w:w="2547" w:type="dxa"/>
            <w:tcMar>
              <w:top w:w="48" w:type="dxa"/>
              <w:left w:w="96" w:type="dxa"/>
              <w:bottom w:w="48" w:type="dxa"/>
              <w:right w:w="96" w:type="dxa"/>
            </w:tcMar>
            <w:vAlign w:val="center"/>
            <w:hideMark/>
          </w:tcPr>
          <w:p w14:paraId="0C73A7BC"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lastRenderedPageBreak/>
              <w:t>obličky</w:t>
            </w:r>
          </w:p>
        </w:tc>
        <w:tc>
          <w:tcPr>
            <w:tcW w:w="2693" w:type="dxa"/>
            <w:tcMar>
              <w:top w:w="48" w:type="dxa"/>
              <w:left w:w="96" w:type="dxa"/>
              <w:bottom w:w="48" w:type="dxa"/>
              <w:right w:w="96" w:type="dxa"/>
            </w:tcMar>
            <w:vAlign w:val="center"/>
            <w:hideMark/>
          </w:tcPr>
          <w:p w14:paraId="4BF68946"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kura</w:t>
            </w:r>
          </w:p>
        </w:tc>
        <w:tc>
          <w:tcPr>
            <w:tcW w:w="2977" w:type="dxa"/>
            <w:tcMar>
              <w:top w:w="48" w:type="dxa"/>
              <w:left w:w="96" w:type="dxa"/>
              <w:bottom w:w="48" w:type="dxa"/>
              <w:right w:w="96" w:type="dxa"/>
            </w:tcMar>
            <w:vAlign w:val="center"/>
            <w:hideMark/>
          </w:tcPr>
          <w:p w14:paraId="4BFD2230"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chlieb</w:t>
            </w:r>
          </w:p>
        </w:tc>
      </w:tr>
      <w:tr w:rsidR="00AA3622" w:rsidRPr="00DA07E4" w14:paraId="2AE6727E" w14:textId="77777777" w:rsidTr="00230415">
        <w:trPr>
          <w:trHeight w:val="460"/>
        </w:trPr>
        <w:tc>
          <w:tcPr>
            <w:tcW w:w="2547" w:type="dxa"/>
            <w:tcMar>
              <w:top w:w="48" w:type="dxa"/>
              <w:left w:w="96" w:type="dxa"/>
              <w:bottom w:w="48" w:type="dxa"/>
              <w:right w:w="96" w:type="dxa"/>
            </w:tcMar>
            <w:vAlign w:val="center"/>
            <w:hideMark/>
          </w:tcPr>
          <w:p w14:paraId="55A45D69"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 xml:space="preserve">tymián </w:t>
            </w:r>
          </w:p>
        </w:tc>
        <w:tc>
          <w:tcPr>
            <w:tcW w:w="2693" w:type="dxa"/>
            <w:tcMar>
              <w:top w:w="48" w:type="dxa"/>
              <w:left w:w="96" w:type="dxa"/>
              <w:bottom w:w="48" w:type="dxa"/>
              <w:right w:w="96" w:type="dxa"/>
            </w:tcMar>
            <w:vAlign w:val="center"/>
            <w:hideMark/>
          </w:tcPr>
          <w:p w14:paraId="1DA070F8"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krab</w:t>
            </w:r>
          </w:p>
        </w:tc>
        <w:tc>
          <w:tcPr>
            <w:tcW w:w="2977" w:type="dxa"/>
            <w:tcMar>
              <w:top w:w="48" w:type="dxa"/>
              <w:left w:w="96" w:type="dxa"/>
              <w:bottom w:w="48" w:type="dxa"/>
              <w:right w:w="96" w:type="dxa"/>
            </w:tcMar>
            <w:vAlign w:val="center"/>
            <w:hideMark/>
          </w:tcPr>
          <w:p w14:paraId="2F1A9C2F"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cestoviny</w:t>
            </w:r>
          </w:p>
        </w:tc>
      </w:tr>
      <w:tr w:rsidR="00AA3622" w:rsidRPr="00DA07E4" w14:paraId="6A0933EC" w14:textId="77777777" w:rsidTr="00230415">
        <w:trPr>
          <w:trHeight w:val="467"/>
        </w:trPr>
        <w:tc>
          <w:tcPr>
            <w:tcW w:w="2547" w:type="dxa"/>
            <w:tcMar>
              <w:top w:w="48" w:type="dxa"/>
              <w:left w:w="96" w:type="dxa"/>
              <w:bottom w:w="48" w:type="dxa"/>
              <w:right w:w="96" w:type="dxa"/>
            </w:tcMar>
            <w:vAlign w:val="center"/>
            <w:hideMark/>
          </w:tcPr>
          <w:p w14:paraId="65C3272F"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ančovičky</w:t>
            </w:r>
          </w:p>
        </w:tc>
        <w:tc>
          <w:tcPr>
            <w:tcW w:w="2693" w:type="dxa"/>
            <w:tcMar>
              <w:top w:w="48" w:type="dxa"/>
              <w:left w:w="96" w:type="dxa"/>
              <w:bottom w:w="48" w:type="dxa"/>
              <w:right w:w="96" w:type="dxa"/>
            </w:tcMar>
            <w:vAlign w:val="center"/>
            <w:hideMark/>
          </w:tcPr>
          <w:p w14:paraId="0AC326FF"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kačica</w:t>
            </w:r>
          </w:p>
        </w:tc>
        <w:tc>
          <w:tcPr>
            <w:tcW w:w="2977" w:type="dxa"/>
            <w:tcMar>
              <w:top w:w="48" w:type="dxa"/>
              <w:left w:w="96" w:type="dxa"/>
              <w:bottom w:w="48" w:type="dxa"/>
              <w:right w:w="96" w:type="dxa"/>
            </w:tcMar>
            <w:vAlign w:val="center"/>
            <w:hideMark/>
          </w:tcPr>
          <w:p w14:paraId="7BBBADD8"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ryža</w:t>
            </w:r>
          </w:p>
        </w:tc>
      </w:tr>
      <w:tr w:rsidR="00AA3622" w:rsidRPr="00DA07E4" w14:paraId="0AA335E0" w14:textId="77777777" w:rsidTr="00230415">
        <w:trPr>
          <w:trHeight w:val="461"/>
        </w:trPr>
        <w:tc>
          <w:tcPr>
            <w:tcW w:w="2547" w:type="dxa"/>
            <w:tcMar>
              <w:top w:w="48" w:type="dxa"/>
              <w:left w:w="96" w:type="dxa"/>
              <w:bottom w:w="48" w:type="dxa"/>
              <w:right w:w="96" w:type="dxa"/>
            </w:tcMar>
            <w:vAlign w:val="center"/>
            <w:hideMark/>
          </w:tcPr>
          <w:p w14:paraId="7E19D9B2"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sardinky</w:t>
            </w:r>
          </w:p>
        </w:tc>
        <w:tc>
          <w:tcPr>
            <w:tcW w:w="2693" w:type="dxa"/>
            <w:tcMar>
              <w:top w:w="48" w:type="dxa"/>
              <w:left w:w="96" w:type="dxa"/>
              <w:bottom w:w="48" w:type="dxa"/>
              <w:right w:w="96" w:type="dxa"/>
            </w:tcMar>
            <w:vAlign w:val="center"/>
            <w:hideMark/>
          </w:tcPr>
          <w:p w14:paraId="40C17042"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šunka</w:t>
            </w:r>
          </w:p>
        </w:tc>
        <w:tc>
          <w:tcPr>
            <w:tcW w:w="2977" w:type="dxa"/>
            <w:tcMar>
              <w:top w:w="48" w:type="dxa"/>
              <w:left w:w="96" w:type="dxa"/>
              <w:bottom w:w="48" w:type="dxa"/>
              <w:right w:w="96" w:type="dxa"/>
            </w:tcMar>
            <w:vAlign w:val="center"/>
            <w:hideMark/>
          </w:tcPr>
          <w:p w14:paraId="57FC71B6"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vajcia</w:t>
            </w:r>
          </w:p>
        </w:tc>
      </w:tr>
      <w:tr w:rsidR="00AA3622" w:rsidRPr="00DA07E4" w14:paraId="1C86B2A1" w14:textId="77777777" w:rsidTr="00230415">
        <w:trPr>
          <w:trHeight w:val="455"/>
        </w:trPr>
        <w:tc>
          <w:tcPr>
            <w:tcW w:w="2547" w:type="dxa"/>
            <w:tcMar>
              <w:top w:w="48" w:type="dxa"/>
              <w:left w:w="96" w:type="dxa"/>
              <w:bottom w:w="48" w:type="dxa"/>
              <w:right w:w="96" w:type="dxa"/>
            </w:tcMar>
            <w:vAlign w:val="center"/>
            <w:hideMark/>
          </w:tcPr>
          <w:p w14:paraId="3256954A"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sleď</w:t>
            </w:r>
          </w:p>
        </w:tc>
        <w:tc>
          <w:tcPr>
            <w:tcW w:w="2693" w:type="dxa"/>
            <w:tcMar>
              <w:top w:w="48" w:type="dxa"/>
              <w:left w:w="96" w:type="dxa"/>
              <w:bottom w:w="48" w:type="dxa"/>
              <w:right w:w="96" w:type="dxa"/>
            </w:tcMar>
            <w:vAlign w:val="center"/>
            <w:hideMark/>
          </w:tcPr>
          <w:p w14:paraId="3EA9F33A"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fazuľa</w:t>
            </w:r>
          </w:p>
        </w:tc>
        <w:tc>
          <w:tcPr>
            <w:tcW w:w="2977" w:type="dxa"/>
            <w:tcMar>
              <w:top w:w="48" w:type="dxa"/>
              <w:left w:w="96" w:type="dxa"/>
              <w:bottom w:w="48" w:type="dxa"/>
              <w:right w:w="96" w:type="dxa"/>
            </w:tcMar>
            <w:vAlign w:val="center"/>
            <w:hideMark/>
          </w:tcPr>
          <w:p w14:paraId="18E4CC84"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mlieko, mliečne výrobky</w:t>
            </w:r>
          </w:p>
        </w:tc>
      </w:tr>
      <w:tr w:rsidR="00AA3622" w:rsidRPr="00DA07E4" w14:paraId="6BF49472" w14:textId="77777777" w:rsidTr="00230415">
        <w:trPr>
          <w:trHeight w:val="322"/>
        </w:trPr>
        <w:tc>
          <w:tcPr>
            <w:tcW w:w="2547" w:type="dxa"/>
            <w:tcMar>
              <w:top w:w="48" w:type="dxa"/>
              <w:left w:w="96" w:type="dxa"/>
              <w:bottom w:w="48" w:type="dxa"/>
              <w:right w:w="96" w:type="dxa"/>
            </w:tcMar>
            <w:vAlign w:val="center"/>
            <w:hideMark/>
          </w:tcPr>
          <w:p w14:paraId="767F99AF"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mušle</w:t>
            </w:r>
          </w:p>
        </w:tc>
        <w:tc>
          <w:tcPr>
            <w:tcW w:w="2693" w:type="dxa"/>
            <w:tcMar>
              <w:top w:w="48" w:type="dxa"/>
              <w:left w:w="96" w:type="dxa"/>
              <w:bottom w:w="48" w:type="dxa"/>
              <w:right w:w="96" w:type="dxa"/>
            </w:tcMar>
            <w:vAlign w:val="center"/>
            <w:hideMark/>
          </w:tcPr>
          <w:p w14:paraId="1837CE8E"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šošovica</w:t>
            </w:r>
          </w:p>
        </w:tc>
        <w:tc>
          <w:tcPr>
            <w:tcW w:w="2977" w:type="dxa"/>
            <w:tcMar>
              <w:top w:w="48" w:type="dxa"/>
              <w:left w:w="96" w:type="dxa"/>
              <w:bottom w:w="48" w:type="dxa"/>
              <w:right w:w="96" w:type="dxa"/>
            </w:tcMar>
            <w:vAlign w:val="center"/>
            <w:hideMark/>
          </w:tcPr>
          <w:p w14:paraId="2FFBDA5B"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cukor</w:t>
            </w:r>
          </w:p>
        </w:tc>
      </w:tr>
      <w:tr w:rsidR="00AA3622" w:rsidRPr="00DA07E4" w14:paraId="5FB3131B" w14:textId="77777777" w:rsidTr="00230415">
        <w:trPr>
          <w:trHeight w:val="500"/>
        </w:trPr>
        <w:tc>
          <w:tcPr>
            <w:tcW w:w="2547" w:type="dxa"/>
            <w:tcMar>
              <w:top w:w="48" w:type="dxa"/>
              <w:left w:w="96" w:type="dxa"/>
              <w:bottom w:w="48" w:type="dxa"/>
              <w:right w:w="96" w:type="dxa"/>
            </w:tcMar>
            <w:vAlign w:val="center"/>
            <w:hideMark/>
          </w:tcPr>
          <w:p w14:paraId="20EFCCE1"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údená slanina</w:t>
            </w:r>
          </w:p>
        </w:tc>
        <w:tc>
          <w:tcPr>
            <w:tcW w:w="2693" w:type="dxa"/>
            <w:tcMar>
              <w:top w:w="48" w:type="dxa"/>
              <w:left w:w="96" w:type="dxa"/>
              <w:bottom w:w="48" w:type="dxa"/>
              <w:right w:w="96" w:type="dxa"/>
            </w:tcMar>
            <w:vAlign w:val="center"/>
            <w:hideMark/>
          </w:tcPr>
          <w:p w14:paraId="2A93AA22"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huby</w:t>
            </w:r>
          </w:p>
        </w:tc>
        <w:tc>
          <w:tcPr>
            <w:tcW w:w="2977" w:type="dxa"/>
            <w:tcMar>
              <w:top w:w="48" w:type="dxa"/>
              <w:left w:w="96" w:type="dxa"/>
              <w:bottom w:w="48" w:type="dxa"/>
              <w:right w:w="96" w:type="dxa"/>
            </w:tcMar>
            <w:vAlign w:val="center"/>
            <w:hideMark/>
          </w:tcPr>
          <w:p w14:paraId="7DF29E62"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paradajka</w:t>
            </w:r>
          </w:p>
        </w:tc>
      </w:tr>
      <w:tr w:rsidR="00AA3622" w:rsidRPr="00DA07E4" w14:paraId="54C2C49D" w14:textId="77777777" w:rsidTr="00230415">
        <w:trPr>
          <w:trHeight w:val="466"/>
        </w:trPr>
        <w:tc>
          <w:tcPr>
            <w:tcW w:w="2547" w:type="dxa"/>
            <w:tcMar>
              <w:top w:w="48" w:type="dxa"/>
              <w:left w:w="96" w:type="dxa"/>
              <w:bottom w:w="48" w:type="dxa"/>
              <w:right w:w="96" w:type="dxa"/>
            </w:tcMar>
            <w:vAlign w:val="center"/>
            <w:hideMark/>
          </w:tcPr>
          <w:p w14:paraId="73F0D63C"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pstruh</w:t>
            </w:r>
          </w:p>
        </w:tc>
        <w:tc>
          <w:tcPr>
            <w:tcW w:w="2693" w:type="dxa"/>
            <w:tcMar>
              <w:top w:w="48" w:type="dxa"/>
              <w:left w:w="96" w:type="dxa"/>
              <w:bottom w:w="48" w:type="dxa"/>
              <w:right w:w="96" w:type="dxa"/>
            </w:tcMar>
            <w:vAlign w:val="center"/>
            <w:hideMark/>
          </w:tcPr>
          <w:p w14:paraId="7957BD6B"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homár</w:t>
            </w:r>
          </w:p>
        </w:tc>
        <w:tc>
          <w:tcPr>
            <w:tcW w:w="2977" w:type="dxa"/>
            <w:tcMar>
              <w:top w:w="48" w:type="dxa"/>
              <w:left w:w="96" w:type="dxa"/>
              <w:bottom w:w="48" w:type="dxa"/>
              <w:right w:w="96" w:type="dxa"/>
            </w:tcMar>
            <w:vAlign w:val="center"/>
            <w:hideMark/>
          </w:tcPr>
          <w:p w14:paraId="360ABB5E"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listová zelenina</w:t>
            </w:r>
          </w:p>
        </w:tc>
      </w:tr>
      <w:tr w:rsidR="00AA3622" w:rsidRPr="00DA07E4" w14:paraId="341C045D" w14:textId="77777777" w:rsidTr="00230415">
        <w:trPr>
          <w:trHeight w:val="318"/>
        </w:trPr>
        <w:tc>
          <w:tcPr>
            <w:tcW w:w="2547" w:type="dxa"/>
            <w:tcMar>
              <w:top w:w="48" w:type="dxa"/>
              <w:left w:w="96" w:type="dxa"/>
              <w:bottom w:w="48" w:type="dxa"/>
              <w:right w:w="96" w:type="dxa"/>
            </w:tcMar>
            <w:vAlign w:val="center"/>
            <w:hideMark/>
          </w:tcPr>
          <w:p w14:paraId="4EFD8F1B"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treska</w:t>
            </w:r>
          </w:p>
        </w:tc>
        <w:tc>
          <w:tcPr>
            <w:tcW w:w="2693" w:type="dxa"/>
            <w:tcMar>
              <w:top w:w="48" w:type="dxa"/>
              <w:left w:w="96" w:type="dxa"/>
              <w:bottom w:w="48" w:type="dxa"/>
              <w:right w:w="96" w:type="dxa"/>
            </w:tcMar>
            <w:vAlign w:val="center"/>
            <w:hideMark/>
          </w:tcPr>
          <w:p w14:paraId="7067D101"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ustrica</w:t>
            </w:r>
          </w:p>
        </w:tc>
        <w:tc>
          <w:tcPr>
            <w:tcW w:w="2977" w:type="dxa"/>
            <w:tcMar>
              <w:top w:w="48" w:type="dxa"/>
              <w:left w:w="96" w:type="dxa"/>
              <w:bottom w:w="48" w:type="dxa"/>
              <w:right w:w="96" w:type="dxa"/>
            </w:tcMar>
            <w:vAlign w:val="center"/>
            <w:hideMark/>
          </w:tcPr>
          <w:p w14:paraId="59C9F72B" w14:textId="77777777" w:rsidR="00AA3622" w:rsidRPr="00DA07E4" w:rsidRDefault="00AA3622" w:rsidP="009B1C7F">
            <w:pPr>
              <w:spacing w:after="0" w:line="360" w:lineRule="auto"/>
              <w:rPr>
                <w:rFonts w:ascii="Times New Roman" w:hAnsi="Times New Roman" w:cs="Times New Roman"/>
                <w:sz w:val="24"/>
                <w:szCs w:val="24"/>
              </w:rPr>
            </w:pPr>
          </w:p>
        </w:tc>
      </w:tr>
      <w:tr w:rsidR="00AA3622" w:rsidRPr="00DA07E4" w14:paraId="51F780B4" w14:textId="77777777" w:rsidTr="00230415">
        <w:trPr>
          <w:trHeight w:val="510"/>
        </w:trPr>
        <w:tc>
          <w:tcPr>
            <w:tcW w:w="2547" w:type="dxa"/>
            <w:tcMar>
              <w:top w:w="48" w:type="dxa"/>
              <w:left w:w="96" w:type="dxa"/>
              <w:bottom w:w="48" w:type="dxa"/>
              <w:right w:w="96" w:type="dxa"/>
            </w:tcMar>
            <w:vAlign w:val="center"/>
            <w:hideMark/>
          </w:tcPr>
          <w:p w14:paraId="31E03229"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jahňa</w:t>
            </w:r>
          </w:p>
        </w:tc>
        <w:tc>
          <w:tcPr>
            <w:tcW w:w="2693" w:type="dxa"/>
            <w:tcMar>
              <w:top w:w="48" w:type="dxa"/>
              <w:left w:w="96" w:type="dxa"/>
              <w:bottom w:w="48" w:type="dxa"/>
              <w:right w:w="96" w:type="dxa"/>
            </w:tcMar>
            <w:vAlign w:val="center"/>
            <w:hideMark/>
          </w:tcPr>
          <w:p w14:paraId="00F12896"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bravčové</w:t>
            </w:r>
          </w:p>
        </w:tc>
        <w:tc>
          <w:tcPr>
            <w:tcW w:w="2977" w:type="dxa"/>
            <w:tcMar>
              <w:top w:w="48" w:type="dxa"/>
              <w:left w:w="96" w:type="dxa"/>
              <w:bottom w:w="48" w:type="dxa"/>
              <w:right w:w="96" w:type="dxa"/>
            </w:tcMar>
            <w:vAlign w:val="center"/>
            <w:hideMark/>
          </w:tcPr>
          <w:p w14:paraId="3EAEC63A" w14:textId="77777777" w:rsidR="00AA3622" w:rsidRPr="00DA07E4" w:rsidRDefault="00AA3622" w:rsidP="009B1C7F">
            <w:pPr>
              <w:spacing w:after="0" w:line="360" w:lineRule="auto"/>
              <w:rPr>
                <w:rFonts w:ascii="Times New Roman" w:hAnsi="Times New Roman" w:cs="Times New Roman"/>
                <w:sz w:val="24"/>
                <w:szCs w:val="24"/>
              </w:rPr>
            </w:pPr>
          </w:p>
        </w:tc>
      </w:tr>
      <w:tr w:rsidR="00AA3622" w:rsidRPr="00DA07E4" w14:paraId="30973165" w14:textId="77777777" w:rsidTr="00230415">
        <w:trPr>
          <w:trHeight w:val="461"/>
        </w:trPr>
        <w:tc>
          <w:tcPr>
            <w:tcW w:w="2547" w:type="dxa"/>
            <w:tcMar>
              <w:top w:w="48" w:type="dxa"/>
              <w:left w:w="96" w:type="dxa"/>
              <w:bottom w:w="48" w:type="dxa"/>
              <w:right w:w="96" w:type="dxa"/>
            </w:tcMar>
            <w:vAlign w:val="center"/>
            <w:hideMark/>
          </w:tcPr>
          <w:p w14:paraId="1F115255"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koza</w:t>
            </w:r>
          </w:p>
        </w:tc>
        <w:tc>
          <w:tcPr>
            <w:tcW w:w="2693" w:type="dxa"/>
            <w:tcMar>
              <w:top w:w="48" w:type="dxa"/>
              <w:left w:w="96" w:type="dxa"/>
              <w:bottom w:w="48" w:type="dxa"/>
              <w:right w:w="96" w:type="dxa"/>
            </w:tcMar>
            <w:vAlign w:val="center"/>
            <w:hideMark/>
          </w:tcPr>
          <w:p w14:paraId="769051A8"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krevety</w:t>
            </w:r>
          </w:p>
        </w:tc>
        <w:tc>
          <w:tcPr>
            <w:tcW w:w="2977" w:type="dxa"/>
            <w:tcMar>
              <w:top w:w="48" w:type="dxa"/>
              <w:left w:w="96" w:type="dxa"/>
              <w:bottom w:w="48" w:type="dxa"/>
              <w:right w:w="96" w:type="dxa"/>
            </w:tcMar>
            <w:vAlign w:val="center"/>
            <w:hideMark/>
          </w:tcPr>
          <w:p w14:paraId="19997E83" w14:textId="77777777" w:rsidR="00AA3622" w:rsidRPr="00DA07E4" w:rsidRDefault="00AA3622" w:rsidP="009B1C7F">
            <w:pPr>
              <w:spacing w:after="0" w:line="360" w:lineRule="auto"/>
              <w:rPr>
                <w:rFonts w:ascii="Times New Roman" w:hAnsi="Times New Roman" w:cs="Times New Roman"/>
                <w:sz w:val="24"/>
                <w:szCs w:val="24"/>
              </w:rPr>
            </w:pPr>
          </w:p>
        </w:tc>
      </w:tr>
      <w:tr w:rsidR="00AA3622" w:rsidRPr="00DA07E4" w14:paraId="516FF2B0" w14:textId="77777777" w:rsidTr="00230415">
        <w:trPr>
          <w:trHeight w:val="455"/>
        </w:trPr>
        <w:tc>
          <w:tcPr>
            <w:tcW w:w="2547" w:type="dxa"/>
            <w:tcMar>
              <w:top w:w="48" w:type="dxa"/>
              <w:left w:w="96" w:type="dxa"/>
              <w:bottom w:w="48" w:type="dxa"/>
              <w:right w:w="96" w:type="dxa"/>
            </w:tcMar>
            <w:vAlign w:val="center"/>
            <w:hideMark/>
          </w:tcPr>
          <w:p w14:paraId="334EC64F"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zverina</w:t>
            </w:r>
          </w:p>
        </w:tc>
        <w:tc>
          <w:tcPr>
            <w:tcW w:w="2693" w:type="dxa"/>
            <w:tcMar>
              <w:top w:w="48" w:type="dxa"/>
              <w:left w:w="96" w:type="dxa"/>
              <w:bottom w:w="48" w:type="dxa"/>
              <w:right w:w="96" w:type="dxa"/>
            </w:tcMar>
            <w:vAlign w:val="center"/>
            <w:hideMark/>
          </w:tcPr>
          <w:p w14:paraId="701A9DA3" w14:textId="77777777" w:rsidR="00AA3622" w:rsidRPr="00DA07E4" w:rsidRDefault="00AA3622" w:rsidP="009B1C7F">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špenát</w:t>
            </w:r>
          </w:p>
        </w:tc>
        <w:tc>
          <w:tcPr>
            <w:tcW w:w="2977" w:type="dxa"/>
            <w:tcMar>
              <w:top w:w="48" w:type="dxa"/>
              <w:left w:w="96" w:type="dxa"/>
              <w:bottom w:w="48" w:type="dxa"/>
              <w:right w:w="96" w:type="dxa"/>
            </w:tcMar>
            <w:vAlign w:val="center"/>
            <w:hideMark/>
          </w:tcPr>
          <w:p w14:paraId="481E675B" w14:textId="77777777" w:rsidR="00AA3622" w:rsidRPr="00DA07E4" w:rsidRDefault="00AA3622" w:rsidP="009B1C7F">
            <w:pPr>
              <w:spacing w:after="0" w:line="360" w:lineRule="auto"/>
              <w:rPr>
                <w:rFonts w:ascii="Times New Roman" w:hAnsi="Times New Roman" w:cs="Times New Roman"/>
                <w:sz w:val="24"/>
                <w:szCs w:val="24"/>
              </w:rPr>
            </w:pPr>
          </w:p>
        </w:tc>
      </w:tr>
    </w:tbl>
    <w:p w14:paraId="4EBE219A" w14:textId="77777777" w:rsidR="00AA3622" w:rsidRPr="00DA07E4" w:rsidRDefault="00AA3622" w:rsidP="00DA07E4">
      <w:pPr>
        <w:shd w:val="clear" w:color="auto" w:fill="FFFFFF"/>
        <w:spacing w:after="0" w:line="360" w:lineRule="auto"/>
        <w:jc w:val="both"/>
        <w:rPr>
          <w:rFonts w:ascii="Times New Roman" w:hAnsi="Times New Roman" w:cs="Times New Roman"/>
          <w:sz w:val="24"/>
          <w:szCs w:val="24"/>
        </w:rPr>
      </w:pPr>
    </w:p>
    <w:p w14:paraId="76119FE6" w14:textId="77777777" w:rsidR="00577BC7" w:rsidRPr="00DA07E4" w:rsidRDefault="00577BC7" w:rsidP="00DA07E4">
      <w:pPr>
        <w:shd w:val="clear" w:color="auto" w:fill="FFFFFF"/>
        <w:spacing w:after="0" w:line="360" w:lineRule="auto"/>
        <w:jc w:val="both"/>
        <w:rPr>
          <w:rFonts w:ascii="Times New Roman" w:hAnsi="Times New Roman" w:cs="Times New Roman"/>
          <w:sz w:val="24"/>
          <w:szCs w:val="24"/>
        </w:rPr>
      </w:pPr>
    </w:p>
    <w:p w14:paraId="2FE0DD3F" w14:textId="1BBF2301" w:rsidR="003214AC" w:rsidRPr="00DA07E4" w:rsidRDefault="003214AC" w:rsidP="00DA07E4">
      <w:pPr>
        <w:pStyle w:val="Odstavecseseznamem"/>
        <w:numPr>
          <w:ilvl w:val="3"/>
          <w:numId w:val="4"/>
        </w:numPr>
        <w:shd w:val="clear" w:color="auto" w:fill="FFFFFF"/>
        <w:spacing w:after="0" w:line="360" w:lineRule="auto"/>
        <w:ind w:left="851" w:hanging="851"/>
        <w:jc w:val="both"/>
        <w:rPr>
          <w:rFonts w:ascii="Times New Roman" w:hAnsi="Times New Roman" w:cs="Times New Roman"/>
          <w:b/>
          <w:sz w:val="24"/>
          <w:szCs w:val="24"/>
        </w:rPr>
      </w:pPr>
      <w:r w:rsidRPr="00DA07E4">
        <w:rPr>
          <w:rFonts w:ascii="Times New Roman" w:hAnsi="Times New Roman" w:cs="Times New Roman"/>
          <w:sz w:val="24"/>
          <w:szCs w:val="24"/>
        </w:rPr>
        <w:t xml:space="preserve"> </w:t>
      </w:r>
      <w:r w:rsidRPr="00DA07E4">
        <w:rPr>
          <w:rFonts w:ascii="Times New Roman" w:hAnsi="Times New Roman" w:cs="Times New Roman"/>
          <w:b/>
          <w:sz w:val="24"/>
          <w:szCs w:val="24"/>
        </w:rPr>
        <w:t>Prevencia vzniku urolitiázy pomocou diéty</w:t>
      </w:r>
    </w:p>
    <w:p w14:paraId="436BF832" w14:textId="77777777" w:rsidR="00526A4A" w:rsidRPr="00DA07E4" w:rsidRDefault="00526A4A" w:rsidP="00DA07E4">
      <w:pPr>
        <w:shd w:val="clear" w:color="auto" w:fill="FFFFFF"/>
        <w:spacing w:after="0" w:line="360" w:lineRule="auto"/>
        <w:ind w:firstLine="708"/>
        <w:jc w:val="both"/>
        <w:rPr>
          <w:rFonts w:ascii="Times New Roman" w:hAnsi="Times New Roman" w:cs="Times New Roman"/>
          <w:sz w:val="24"/>
          <w:szCs w:val="24"/>
        </w:rPr>
      </w:pPr>
    </w:p>
    <w:p w14:paraId="7C0843C8" w14:textId="46F78D05" w:rsidR="003214AC" w:rsidRPr="00DA07E4" w:rsidRDefault="00C55B03"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Z</w:t>
      </w:r>
      <w:r w:rsidR="0043456B" w:rsidRPr="00DA07E4">
        <w:rPr>
          <w:rFonts w:ascii="Times New Roman" w:hAnsi="Times New Roman" w:cs="Times New Roman"/>
          <w:sz w:val="24"/>
          <w:szCs w:val="24"/>
        </w:rPr>
        <w:t> </w:t>
      </w:r>
      <w:r w:rsidRPr="00DA07E4">
        <w:rPr>
          <w:rFonts w:ascii="Times New Roman" w:hAnsi="Times New Roman" w:cs="Times New Roman"/>
          <w:sz w:val="24"/>
          <w:szCs w:val="24"/>
        </w:rPr>
        <w:t xml:space="preserve">vyššie uvedeného </w:t>
      </w:r>
      <w:r w:rsidR="0043456B" w:rsidRPr="00DA07E4">
        <w:rPr>
          <w:rFonts w:ascii="Times New Roman" w:hAnsi="Times New Roman" w:cs="Times New Roman"/>
          <w:sz w:val="24"/>
          <w:szCs w:val="24"/>
        </w:rPr>
        <w:t xml:space="preserve">textu </w:t>
      </w:r>
      <w:r w:rsidRPr="00DA07E4">
        <w:rPr>
          <w:rFonts w:ascii="Times New Roman" w:hAnsi="Times New Roman" w:cs="Times New Roman"/>
          <w:sz w:val="24"/>
          <w:szCs w:val="24"/>
        </w:rPr>
        <w:t xml:space="preserve">je zrejmé, že zloženie stravy dokáže vzniku konkrementov aj predchádzať pridaním niektorých </w:t>
      </w:r>
      <w:r w:rsidR="0043456B" w:rsidRPr="00DA07E4">
        <w:rPr>
          <w:rFonts w:ascii="Times New Roman" w:hAnsi="Times New Roman" w:cs="Times New Roman"/>
          <w:sz w:val="24"/>
          <w:szCs w:val="24"/>
        </w:rPr>
        <w:t xml:space="preserve">vhodných </w:t>
      </w:r>
      <w:r w:rsidRPr="00DA07E4">
        <w:rPr>
          <w:rFonts w:ascii="Times New Roman" w:hAnsi="Times New Roman" w:cs="Times New Roman"/>
          <w:sz w:val="24"/>
          <w:szCs w:val="24"/>
        </w:rPr>
        <w:t xml:space="preserve">potravín do </w:t>
      </w:r>
      <w:r w:rsidR="003214AC" w:rsidRPr="00DA07E4">
        <w:rPr>
          <w:rFonts w:ascii="Times New Roman" w:hAnsi="Times New Roman" w:cs="Times New Roman"/>
          <w:sz w:val="24"/>
          <w:szCs w:val="24"/>
        </w:rPr>
        <w:t>stravy</w:t>
      </w:r>
      <w:r w:rsidRPr="00DA07E4">
        <w:rPr>
          <w:rFonts w:ascii="Times New Roman" w:hAnsi="Times New Roman" w:cs="Times New Roman"/>
          <w:sz w:val="24"/>
          <w:szCs w:val="24"/>
        </w:rPr>
        <w:t>.</w:t>
      </w:r>
    </w:p>
    <w:p w14:paraId="51950B9E" w14:textId="7E89BF55" w:rsidR="0088062E" w:rsidRPr="00DA07E4" w:rsidRDefault="00681AD0" w:rsidP="00DA07E4">
      <w:pPr>
        <w:shd w:val="clear" w:color="auto" w:fill="FFFFFF"/>
        <w:spacing w:after="0" w:line="360" w:lineRule="auto"/>
        <w:ind w:firstLine="708"/>
        <w:jc w:val="both"/>
        <w:rPr>
          <w:rFonts w:ascii="Times New Roman" w:hAnsi="Times New Roman" w:cs="Times New Roman"/>
          <w:sz w:val="24"/>
          <w:szCs w:val="24"/>
          <w:u w:val="single"/>
        </w:rPr>
      </w:pPr>
      <w:r w:rsidRPr="00DA07E4">
        <w:rPr>
          <w:rFonts w:ascii="Times New Roman" w:hAnsi="Times New Roman" w:cs="Times New Roman"/>
          <w:sz w:val="24"/>
          <w:szCs w:val="24"/>
        </w:rPr>
        <w:t xml:space="preserve">Okrem </w:t>
      </w:r>
      <w:r w:rsidR="0043456B" w:rsidRPr="00DA07E4">
        <w:rPr>
          <w:rFonts w:ascii="Times New Roman" w:hAnsi="Times New Roman" w:cs="Times New Roman"/>
          <w:sz w:val="24"/>
          <w:szCs w:val="24"/>
        </w:rPr>
        <w:t xml:space="preserve">spomenutého </w:t>
      </w:r>
      <w:r w:rsidRPr="00DA07E4">
        <w:rPr>
          <w:rFonts w:ascii="Times New Roman" w:hAnsi="Times New Roman" w:cs="Times New Roman"/>
          <w:sz w:val="24"/>
          <w:szCs w:val="24"/>
        </w:rPr>
        <w:t xml:space="preserve">príjmu vápnika sa udáva aj vplyv citrátu. </w:t>
      </w:r>
      <w:r w:rsidR="00C55B03" w:rsidRPr="00DA07E4">
        <w:rPr>
          <w:rFonts w:ascii="Times New Roman" w:hAnsi="Times New Roman" w:cs="Times New Roman"/>
          <w:sz w:val="24"/>
          <w:szCs w:val="24"/>
        </w:rPr>
        <w:t>Citrát je prirodzeným inhibítorom nukleácie kalciumoxalátových a kalciumfosfátových konkrementov. Väčšia časť citrátu prijatého v strave prejde metabolickou premenou na bikarbonát. Napriek pomerne vysokému obsahu citrátu v limetkách a citrónoch tieto druhy ovocia nezvýšia pH moču, pravdepodobne kvôli svojej kyslej povahe</w:t>
      </w:r>
      <w:r w:rsidRPr="00DA07E4">
        <w:rPr>
          <w:rFonts w:ascii="Times New Roman" w:hAnsi="Times New Roman" w:cs="Times New Roman"/>
          <w:sz w:val="24"/>
          <w:szCs w:val="24"/>
        </w:rPr>
        <w:t xml:space="preserve"> a nemajú žiadaný protektívny efekt</w:t>
      </w:r>
      <w:r w:rsidR="00C55B03" w:rsidRPr="00DA07E4">
        <w:rPr>
          <w:rFonts w:ascii="Times New Roman" w:hAnsi="Times New Roman" w:cs="Times New Roman"/>
          <w:sz w:val="24"/>
          <w:szCs w:val="24"/>
        </w:rPr>
        <w:t xml:space="preserve">. Zaujímavým zisteným </w:t>
      </w:r>
      <w:r w:rsidRPr="00DA07E4">
        <w:rPr>
          <w:rFonts w:ascii="Times New Roman" w:hAnsi="Times New Roman" w:cs="Times New Roman"/>
          <w:sz w:val="24"/>
          <w:szCs w:val="24"/>
        </w:rPr>
        <w:t xml:space="preserve">ale </w:t>
      </w:r>
      <w:r w:rsidR="00C55B03" w:rsidRPr="00DA07E4">
        <w:rPr>
          <w:rFonts w:ascii="Times New Roman" w:hAnsi="Times New Roman" w:cs="Times New Roman"/>
          <w:sz w:val="24"/>
          <w:szCs w:val="24"/>
        </w:rPr>
        <w:t>je, že pomarančový džús pH moču zvyšuje. Viaceré prospektívne štúdie zistili, že pomarančový džús má istý ochranný efekt na prevenciu tvorby urolitiázy</w:t>
      </w:r>
      <w:r w:rsidR="00F8639F" w:rsidRPr="00DA07E4">
        <w:rPr>
          <w:rFonts w:ascii="Times New Roman" w:hAnsi="Times New Roman" w:cs="Times New Roman"/>
          <w:sz w:val="24"/>
          <w:szCs w:val="24"/>
        </w:rPr>
        <w:t xml:space="preserve"> </w:t>
      </w:r>
      <w:r w:rsidR="00F8639F" w:rsidRPr="00DA07E4">
        <w:rPr>
          <w:rFonts w:ascii="Times New Roman" w:hAnsi="Times New Roman" w:cs="Times New Roman"/>
          <w:sz w:val="24"/>
          <w:szCs w:val="24"/>
        </w:rPr>
        <w:lastRenderedPageBreak/>
        <w:t xml:space="preserve">(Wabner </w:t>
      </w:r>
      <w:r w:rsidR="004D3042">
        <w:rPr>
          <w:rFonts w:ascii="Times New Roman" w:hAnsi="Times New Roman" w:cs="Times New Roman"/>
          <w:sz w:val="24"/>
          <w:szCs w:val="24"/>
        </w:rPr>
        <w:t>et</w:t>
      </w:r>
      <w:r w:rsidR="00F8639F" w:rsidRPr="00DA07E4">
        <w:rPr>
          <w:rFonts w:ascii="Times New Roman" w:hAnsi="Times New Roman" w:cs="Times New Roman"/>
          <w:sz w:val="24"/>
          <w:szCs w:val="24"/>
        </w:rPr>
        <w:t xml:space="preserve"> Pak, 1993; Curhan et al., 1996; Kang et al., 2007)</w:t>
      </w:r>
      <w:hyperlink r:id="rId15" w:anchor="ref18" w:history="1"/>
      <w:hyperlink r:id="rId16" w:anchor="ref24" w:history="1"/>
      <w:hyperlink r:id="rId17" w:anchor="ref14" w:history="1"/>
      <w:r w:rsidR="00F8639F" w:rsidRPr="00DA07E4">
        <w:rPr>
          <w:rFonts w:ascii="Times New Roman" w:hAnsi="Times New Roman" w:cs="Times New Roman"/>
          <w:sz w:val="24"/>
          <w:szCs w:val="24"/>
        </w:rPr>
        <w:t>.</w:t>
      </w:r>
      <w:r w:rsidR="004554B8" w:rsidRPr="00DA07E4">
        <w:rPr>
          <w:rFonts w:ascii="Times New Roman" w:hAnsi="Times New Roman" w:cs="Times New Roman"/>
          <w:sz w:val="24"/>
          <w:szCs w:val="24"/>
        </w:rPr>
        <w:t xml:space="preserve"> Yilmaz </w:t>
      </w:r>
      <w:r w:rsidR="00C55B03" w:rsidRPr="00DA07E4">
        <w:rPr>
          <w:rFonts w:ascii="Times New Roman" w:hAnsi="Times New Roman" w:cs="Times New Roman"/>
          <w:sz w:val="24"/>
          <w:szCs w:val="24"/>
        </w:rPr>
        <w:t>a kol</w:t>
      </w:r>
      <w:r w:rsidR="00F8639F" w:rsidRPr="00DA07E4">
        <w:rPr>
          <w:rFonts w:ascii="Times New Roman" w:hAnsi="Times New Roman" w:cs="Times New Roman"/>
          <w:sz w:val="24"/>
          <w:szCs w:val="24"/>
        </w:rPr>
        <w:t>ektív</w:t>
      </w:r>
      <w:r w:rsidR="00C55B03" w:rsidRPr="00DA07E4">
        <w:rPr>
          <w:rFonts w:ascii="Times New Roman" w:hAnsi="Times New Roman" w:cs="Times New Roman"/>
          <w:sz w:val="24"/>
          <w:szCs w:val="24"/>
        </w:rPr>
        <w:t xml:space="preserve"> uviedli štúdiu, </w:t>
      </w:r>
      <w:r w:rsidRPr="00DA07E4">
        <w:rPr>
          <w:rFonts w:ascii="Times New Roman" w:hAnsi="Times New Roman" w:cs="Times New Roman"/>
          <w:sz w:val="24"/>
          <w:szCs w:val="24"/>
        </w:rPr>
        <w:t>v ktorej pozorovali bohatý výskyt citrátov aj v čerstvo pripravenej šťave z</w:t>
      </w:r>
      <w:r w:rsidR="00F8639F" w:rsidRPr="00DA07E4">
        <w:rPr>
          <w:rFonts w:ascii="Times New Roman" w:hAnsi="Times New Roman" w:cs="Times New Roman"/>
          <w:sz w:val="24"/>
          <w:szCs w:val="24"/>
        </w:rPr>
        <w:t> </w:t>
      </w:r>
      <w:r w:rsidRPr="00DA07E4">
        <w:rPr>
          <w:rFonts w:ascii="Times New Roman" w:hAnsi="Times New Roman" w:cs="Times New Roman"/>
          <w:sz w:val="24"/>
          <w:szCs w:val="24"/>
        </w:rPr>
        <w:t>rajčín</w:t>
      </w:r>
      <w:r w:rsidR="00F8639F" w:rsidRPr="00DA07E4">
        <w:rPr>
          <w:rFonts w:ascii="Times New Roman" w:hAnsi="Times New Roman" w:cs="Times New Roman"/>
          <w:sz w:val="24"/>
          <w:szCs w:val="24"/>
        </w:rPr>
        <w:t xml:space="preserve"> (Yilmaz et al., 2010).</w:t>
      </w:r>
      <w:hyperlink r:id="rId18" w:anchor="ref28" w:history="1"/>
    </w:p>
    <w:p w14:paraId="44C86D7E" w14:textId="7A8BEE31" w:rsidR="001E56FE" w:rsidRPr="00DA07E4" w:rsidRDefault="001E56FE"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Veľká kohortová štúdia realizovaná na 194 095 subjektoch skúmala vplyv rôznych druhov nápojov na incidenciu urolitiázy</w:t>
      </w:r>
      <w:r w:rsidR="00F8639F" w:rsidRPr="00DA07E4">
        <w:rPr>
          <w:rFonts w:ascii="Times New Roman" w:hAnsi="Times New Roman" w:cs="Times New Roman"/>
          <w:sz w:val="24"/>
          <w:szCs w:val="24"/>
        </w:rPr>
        <w:t xml:space="preserve"> </w:t>
      </w:r>
      <w:r w:rsidRPr="00DA07E4">
        <w:rPr>
          <w:rFonts w:ascii="Times New Roman" w:hAnsi="Times New Roman" w:cs="Times New Roman"/>
          <w:sz w:val="24"/>
          <w:szCs w:val="24"/>
        </w:rPr>
        <w:t>(</w:t>
      </w:r>
      <w:r w:rsidR="00F8639F" w:rsidRPr="00DA07E4">
        <w:rPr>
          <w:rFonts w:ascii="Times New Roman" w:hAnsi="Times New Roman" w:cs="Times New Roman"/>
          <w:sz w:val="24"/>
          <w:szCs w:val="24"/>
        </w:rPr>
        <w:t>Ferraro et al., 2013</w:t>
      </w:r>
      <w:r w:rsidRPr="00DA07E4">
        <w:rPr>
          <w:rFonts w:ascii="Times New Roman" w:hAnsi="Times New Roman" w:cs="Times New Roman"/>
          <w:sz w:val="24"/>
          <w:szCs w:val="24"/>
        </w:rPr>
        <w:t>). Konzumácia kávy, čaju, piva, vína a spomínaného pomarančového džúsu korelovala s nižším rizikom tvorby močových konkrementov. Ako bolo vyššie uvedené, aj v tejto štúdií sa potvrdilo zvýšené riziko incidencie urolitiázy u konzumentov sladkých sódových nápojov a punču.</w:t>
      </w:r>
      <w:r w:rsidR="00DE0026" w:rsidRPr="00DA07E4">
        <w:rPr>
          <w:rFonts w:ascii="Times New Roman" w:hAnsi="Times New Roman" w:cs="Times New Roman"/>
          <w:sz w:val="24"/>
          <w:szCs w:val="24"/>
        </w:rPr>
        <w:t xml:space="preserve"> Pitie alkoholických nápojov a najmä piva nesie so sebou protektívny efekt ohľadom tvorby konkrementov pravdepodobne kvôli vplyvu na antidiuretický hormón. Dochádza k jeho inhibícii a poklesu hypersaturácie moču soľou.</w:t>
      </w:r>
    </w:p>
    <w:p w14:paraId="1B89792D" w14:textId="61790425" w:rsidR="0088062E" w:rsidRPr="00DA07E4" w:rsidRDefault="001E56FE"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Iná štúdia na vzorke </w:t>
      </w:r>
      <w:r w:rsidR="0088062E" w:rsidRPr="00DA07E4">
        <w:rPr>
          <w:rFonts w:ascii="Times New Roman" w:hAnsi="Times New Roman" w:cs="Times New Roman"/>
          <w:sz w:val="24"/>
          <w:szCs w:val="24"/>
        </w:rPr>
        <w:t>217</w:t>
      </w:r>
      <w:r w:rsidRPr="00DA07E4">
        <w:rPr>
          <w:rFonts w:ascii="Times New Roman" w:hAnsi="Times New Roman" w:cs="Times New Roman"/>
          <w:sz w:val="24"/>
          <w:szCs w:val="24"/>
        </w:rPr>
        <w:t> </w:t>
      </w:r>
      <w:r w:rsidR="0088062E" w:rsidRPr="00DA07E4">
        <w:rPr>
          <w:rFonts w:ascii="Times New Roman" w:hAnsi="Times New Roman" w:cs="Times New Roman"/>
          <w:sz w:val="24"/>
          <w:szCs w:val="24"/>
        </w:rPr>
        <w:t>883</w:t>
      </w:r>
      <w:r w:rsidRPr="00DA07E4">
        <w:rPr>
          <w:rFonts w:ascii="Times New Roman" w:hAnsi="Times New Roman" w:cs="Times New Roman"/>
          <w:sz w:val="24"/>
          <w:szCs w:val="24"/>
        </w:rPr>
        <w:t xml:space="preserve"> pacientov</w:t>
      </w:r>
      <w:r w:rsidR="0088062E" w:rsidRPr="00DA07E4">
        <w:rPr>
          <w:rFonts w:ascii="Times New Roman" w:hAnsi="Times New Roman" w:cs="Times New Roman"/>
          <w:sz w:val="24"/>
          <w:szCs w:val="24"/>
        </w:rPr>
        <w:t xml:space="preserve"> skúmala</w:t>
      </w:r>
      <w:r w:rsidRPr="00DA07E4">
        <w:rPr>
          <w:rFonts w:ascii="Times New Roman" w:hAnsi="Times New Roman" w:cs="Times New Roman"/>
          <w:sz w:val="24"/>
          <w:szCs w:val="24"/>
        </w:rPr>
        <w:t xml:space="preserve"> priamo</w:t>
      </w:r>
      <w:r w:rsidR="0088062E" w:rsidRPr="00DA07E4">
        <w:rPr>
          <w:rFonts w:ascii="Times New Roman" w:hAnsi="Times New Roman" w:cs="Times New Roman"/>
          <w:sz w:val="24"/>
          <w:szCs w:val="24"/>
        </w:rPr>
        <w:t xml:space="preserve"> vplyv príjmu kofeínu na incidenciu urolitiázy</w:t>
      </w:r>
      <w:r w:rsidR="00F8639F" w:rsidRPr="00DA07E4">
        <w:rPr>
          <w:rFonts w:ascii="Times New Roman" w:hAnsi="Times New Roman" w:cs="Times New Roman"/>
          <w:sz w:val="24"/>
          <w:szCs w:val="24"/>
        </w:rPr>
        <w:t xml:space="preserve"> (Ferraro et al., 2014)</w:t>
      </w:r>
      <w:r w:rsidR="0088062E" w:rsidRPr="00DA07E4">
        <w:rPr>
          <w:rFonts w:ascii="Times New Roman" w:hAnsi="Times New Roman" w:cs="Times New Roman"/>
          <w:sz w:val="24"/>
          <w:szCs w:val="24"/>
        </w:rPr>
        <w:t>. Výsledky ukázali, že účastníci štúdie so zvýšeným príjmom kofeínu mali menšie riziko tvorby močových konkrementov.</w:t>
      </w:r>
      <w:r w:rsidR="008F1AD9" w:rsidRPr="00DA07E4">
        <w:rPr>
          <w:rFonts w:ascii="Times New Roman" w:hAnsi="Times New Roman" w:cs="Times New Roman"/>
          <w:sz w:val="24"/>
          <w:szCs w:val="24"/>
        </w:rPr>
        <w:t xml:space="preserve"> Iné práce ale ukázali, že podobný efekt sa dostavil aj u bezkofeínovej kávy </w:t>
      </w:r>
      <w:r w:rsidR="009436B0" w:rsidRPr="00DA07E4">
        <w:rPr>
          <w:rFonts w:ascii="Times New Roman" w:hAnsi="Times New Roman" w:cs="Times New Roman"/>
          <w:sz w:val="24"/>
          <w:szCs w:val="24"/>
        </w:rPr>
        <w:t>(</w:t>
      </w:r>
      <w:r w:rsidR="00F8639F" w:rsidRPr="00DA07E4">
        <w:rPr>
          <w:rFonts w:ascii="Times New Roman" w:hAnsi="Times New Roman" w:cs="Times New Roman"/>
          <w:sz w:val="24"/>
          <w:szCs w:val="24"/>
        </w:rPr>
        <w:t>D´Alessandro, 2019</w:t>
      </w:r>
      <w:r w:rsidR="009436B0" w:rsidRPr="00DA07E4">
        <w:rPr>
          <w:rFonts w:ascii="Times New Roman" w:hAnsi="Times New Roman" w:cs="Times New Roman"/>
          <w:sz w:val="24"/>
          <w:szCs w:val="24"/>
        </w:rPr>
        <w:t>)</w:t>
      </w:r>
      <w:r w:rsidR="008F1AD9" w:rsidRPr="00DA07E4">
        <w:rPr>
          <w:rFonts w:ascii="Times New Roman" w:hAnsi="Times New Roman" w:cs="Times New Roman"/>
          <w:sz w:val="24"/>
          <w:szCs w:val="24"/>
        </w:rPr>
        <w:t>.</w:t>
      </w:r>
    </w:p>
    <w:p w14:paraId="21EA69D3" w14:textId="3F823EDF" w:rsidR="0088062E" w:rsidRPr="00DA07E4" w:rsidRDefault="001E56FE"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Známy je aj ochranný vplyv horčíka a vitamínu B6.</w:t>
      </w:r>
      <w:r w:rsidR="008F1AD9" w:rsidRPr="00DA07E4">
        <w:rPr>
          <w:rFonts w:ascii="Times New Roman" w:eastAsia="Times New Roman" w:hAnsi="Times New Roman" w:cs="Times New Roman"/>
          <w:sz w:val="24"/>
          <w:szCs w:val="24"/>
          <w:lang w:eastAsia="sk-SK"/>
        </w:rPr>
        <w:t xml:space="preserve"> </w:t>
      </w:r>
      <w:r w:rsidR="00D63BAE" w:rsidRPr="00DA07E4">
        <w:rPr>
          <w:rFonts w:ascii="Times New Roman" w:eastAsia="Times New Roman" w:hAnsi="Times New Roman" w:cs="Times New Roman"/>
          <w:sz w:val="24"/>
          <w:szCs w:val="24"/>
          <w:lang w:eastAsia="sk-SK"/>
        </w:rPr>
        <w:t xml:space="preserve">Vysoký podiel </w:t>
      </w:r>
      <w:r w:rsidR="004B5E42" w:rsidRPr="00DA07E4">
        <w:rPr>
          <w:rFonts w:ascii="Times New Roman" w:eastAsia="Times New Roman" w:hAnsi="Times New Roman" w:cs="Times New Roman"/>
          <w:sz w:val="24"/>
          <w:szCs w:val="24"/>
          <w:lang w:eastAsia="sk-SK"/>
        </w:rPr>
        <w:t xml:space="preserve">vybranej </w:t>
      </w:r>
      <w:r w:rsidR="00D63BAE" w:rsidRPr="00DA07E4">
        <w:rPr>
          <w:rFonts w:ascii="Times New Roman" w:eastAsia="Times New Roman" w:hAnsi="Times New Roman" w:cs="Times New Roman"/>
          <w:sz w:val="24"/>
          <w:szCs w:val="24"/>
          <w:lang w:eastAsia="sk-SK"/>
        </w:rPr>
        <w:t xml:space="preserve">zeleniny v strave a príjem nízkotučných mliečnych výrobkov sa podľa štúdií </w:t>
      </w:r>
      <w:r w:rsidRPr="00DA07E4">
        <w:rPr>
          <w:rFonts w:ascii="Times New Roman" w:eastAsia="Times New Roman" w:hAnsi="Times New Roman" w:cs="Times New Roman"/>
          <w:sz w:val="24"/>
          <w:szCs w:val="24"/>
          <w:lang w:eastAsia="sk-SK"/>
        </w:rPr>
        <w:t xml:space="preserve">všeobecne </w:t>
      </w:r>
      <w:r w:rsidR="00D63BAE" w:rsidRPr="00DA07E4">
        <w:rPr>
          <w:rFonts w:ascii="Times New Roman" w:eastAsia="Times New Roman" w:hAnsi="Times New Roman" w:cs="Times New Roman"/>
          <w:sz w:val="24"/>
          <w:szCs w:val="24"/>
          <w:lang w:eastAsia="sk-SK"/>
        </w:rPr>
        <w:t xml:space="preserve">spája so zníženým rizikom vzniku urolitiázy. </w:t>
      </w:r>
      <w:r w:rsidR="003214AC" w:rsidRPr="00DA07E4">
        <w:rPr>
          <w:rFonts w:ascii="Times New Roman" w:hAnsi="Times New Roman" w:cs="Times New Roman"/>
          <w:sz w:val="24"/>
          <w:szCs w:val="24"/>
        </w:rPr>
        <w:t xml:space="preserve">Prehľad základných </w:t>
      </w:r>
      <w:r w:rsidR="003214AC" w:rsidRPr="00DA07E4">
        <w:rPr>
          <w:rFonts w:ascii="Times New Roman" w:eastAsia="Times New Roman" w:hAnsi="Times New Roman" w:cs="Times New Roman"/>
          <w:sz w:val="24"/>
          <w:szCs w:val="24"/>
          <w:lang w:eastAsia="sk-SK"/>
        </w:rPr>
        <w:t>prvkov diéty a súčasný vedecký pohľad na ich vplyv na tvorbu urolitiázy</w:t>
      </w:r>
      <w:r w:rsidR="003214AC" w:rsidRPr="00DA07E4">
        <w:rPr>
          <w:rFonts w:ascii="Times New Roman" w:hAnsi="Times New Roman" w:cs="Times New Roman"/>
          <w:sz w:val="24"/>
          <w:szCs w:val="24"/>
        </w:rPr>
        <w:t xml:space="preserve"> je uvedený v</w:t>
      </w:r>
      <w:r w:rsidR="00AA3622" w:rsidRPr="00DA07E4">
        <w:rPr>
          <w:rFonts w:ascii="Times New Roman" w:hAnsi="Times New Roman" w:cs="Times New Roman"/>
          <w:sz w:val="24"/>
          <w:szCs w:val="24"/>
        </w:rPr>
        <w:t> </w:t>
      </w:r>
      <w:r w:rsidR="004D3042">
        <w:rPr>
          <w:rFonts w:ascii="Times New Roman" w:hAnsi="Times New Roman" w:cs="Times New Roman"/>
          <w:sz w:val="24"/>
          <w:szCs w:val="24"/>
        </w:rPr>
        <w:t>t</w:t>
      </w:r>
      <w:r w:rsidR="003214AC" w:rsidRPr="00DA07E4">
        <w:rPr>
          <w:rFonts w:ascii="Times New Roman" w:hAnsi="Times New Roman" w:cs="Times New Roman"/>
          <w:sz w:val="24"/>
          <w:szCs w:val="24"/>
        </w:rPr>
        <w:t>abuľke</w:t>
      </w:r>
      <w:r w:rsidR="00AA3622" w:rsidRPr="00DA07E4">
        <w:rPr>
          <w:rFonts w:ascii="Times New Roman" w:hAnsi="Times New Roman" w:cs="Times New Roman"/>
          <w:sz w:val="24"/>
          <w:szCs w:val="24"/>
        </w:rPr>
        <w:t xml:space="preserve"> </w:t>
      </w:r>
      <w:r w:rsidR="004D3042">
        <w:rPr>
          <w:rFonts w:ascii="Times New Roman" w:hAnsi="Times New Roman" w:cs="Times New Roman"/>
          <w:sz w:val="24"/>
          <w:szCs w:val="24"/>
        </w:rPr>
        <w:t xml:space="preserve">č. </w:t>
      </w:r>
      <w:r w:rsidR="00B74799" w:rsidRPr="00DA07E4">
        <w:rPr>
          <w:rFonts w:ascii="Times New Roman" w:hAnsi="Times New Roman" w:cs="Times New Roman"/>
          <w:sz w:val="24"/>
          <w:szCs w:val="24"/>
        </w:rPr>
        <w:t>3</w:t>
      </w:r>
      <w:r w:rsidR="003214AC" w:rsidRPr="00DA07E4">
        <w:rPr>
          <w:rFonts w:ascii="Times New Roman" w:hAnsi="Times New Roman" w:cs="Times New Roman"/>
          <w:sz w:val="24"/>
          <w:szCs w:val="24"/>
        </w:rPr>
        <w:t xml:space="preserve">. </w:t>
      </w:r>
      <w:r w:rsidR="00681AD0" w:rsidRPr="00DA07E4">
        <w:rPr>
          <w:rFonts w:ascii="Times New Roman" w:hAnsi="Times New Roman" w:cs="Times New Roman"/>
          <w:sz w:val="24"/>
          <w:szCs w:val="24"/>
        </w:rPr>
        <w:t>Samozrejme, ďalšie štúdie sú potrebné na výskum zloženia stravy a tvorby močových konkrementov.</w:t>
      </w:r>
    </w:p>
    <w:p w14:paraId="1D87B584" w14:textId="319CF035" w:rsidR="00B74799" w:rsidRDefault="00B74799" w:rsidP="00AA3622">
      <w:pPr>
        <w:shd w:val="clear" w:color="auto" w:fill="FFFFFF"/>
        <w:spacing w:after="0" w:line="360" w:lineRule="auto"/>
        <w:rPr>
          <w:rFonts w:ascii="Times New Roman" w:eastAsia="Times New Roman" w:hAnsi="Times New Roman" w:cs="Times New Roman"/>
          <w:sz w:val="24"/>
          <w:szCs w:val="24"/>
          <w:lang w:eastAsia="sk-SK"/>
        </w:rPr>
      </w:pPr>
    </w:p>
    <w:tbl>
      <w:tblPr>
        <w:tblStyle w:val="Mkatabulky"/>
        <w:tblpPr w:leftFromText="141" w:rightFromText="141" w:horzAnchor="margin" w:tblpY="822"/>
        <w:tblW w:w="8915" w:type="dxa"/>
        <w:tblLayout w:type="fixed"/>
        <w:tblLook w:val="04A0" w:firstRow="1" w:lastRow="0" w:firstColumn="1" w:lastColumn="0" w:noHBand="0" w:noVBand="1"/>
      </w:tblPr>
      <w:tblGrid>
        <w:gridCol w:w="846"/>
        <w:gridCol w:w="1001"/>
        <w:gridCol w:w="708"/>
        <w:gridCol w:w="2552"/>
        <w:gridCol w:w="992"/>
        <w:gridCol w:w="749"/>
        <w:gridCol w:w="649"/>
        <w:gridCol w:w="1418"/>
      </w:tblGrid>
      <w:tr w:rsidR="00C92D2B" w:rsidRPr="000E55A6" w14:paraId="6A487F11" w14:textId="77777777" w:rsidTr="00D228F1">
        <w:trPr>
          <w:cantSplit/>
          <w:trHeight w:val="1402"/>
        </w:trPr>
        <w:tc>
          <w:tcPr>
            <w:tcW w:w="846" w:type="dxa"/>
            <w:shd w:val="clear" w:color="auto" w:fill="BFBFBF" w:themeFill="background1" w:themeFillShade="BF"/>
            <w:textDirection w:val="btLr"/>
          </w:tcPr>
          <w:p w14:paraId="6565A4B6"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lastRenderedPageBreak/>
              <w:t>stupeň</w:t>
            </w:r>
          </w:p>
          <w:p w14:paraId="076CD96D" w14:textId="77777777" w:rsidR="00C92D2B" w:rsidRPr="000E55A6"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odporúčania</w:t>
            </w:r>
          </w:p>
        </w:tc>
        <w:tc>
          <w:tcPr>
            <w:tcW w:w="1001" w:type="dxa"/>
            <w:shd w:val="clear" w:color="auto" w:fill="auto"/>
            <w:textDirection w:val="btLr"/>
          </w:tcPr>
          <w:p w14:paraId="75DDCF03"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A</w:t>
            </w:r>
          </w:p>
        </w:tc>
        <w:tc>
          <w:tcPr>
            <w:tcW w:w="708" w:type="dxa"/>
            <w:shd w:val="clear" w:color="auto" w:fill="auto"/>
            <w:textDirection w:val="btLr"/>
          </w:tcPr>
          <w:p w14:paraId="595B8A91"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D</w:t>
            </w:r>
          </w:p>
        </w:tc>
        <w:tc>
          <w:tcPr>
            <w:tcW w:w="2552" w:type="dxa"/>
            <w:shd w:val="clear" w:color="auto" w:fill="auto"/>
            <w:textDirection w:val="btLr"/>
          </w:tcPr>
          <w:p w14:paraId="27DFCCD8"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992" w:type="dxa"/>
            <w:shd w:val="clear" w:color="auto" w:fill="auto"/>
            <w:textDirection w:val="btLr"/>
          </w:tcPr>
          <w:p w14:paraId="4FC25116"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749" w:type="dxa"/>
            <w:shd w:val="clear" w:color="auto" w:fill="auto"/>
            <w:textDirection w:val="btLr"/>
          </w:tcPr>
          <w:p w14:paraId="6CAD91EE"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649" w:type="dxa"/>
            <w:shd w:val="clear" w:color="auto" w:fill="auto"/>
            <w:textDirection w:val="btLr"/>
          </w:tcPr>
          <w:p w14:paraId="59C4489A"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1418" w:type="dxa"/>
            <w:shd w:val="clear" w:color="auto" w:fill="auto"/>
            <w:textDirection w:val="btLr"/>
          </w:tcPr>
          <w:p w14:paraId="5A222093"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r>
      <w:tr w:rsidR="00C92D2B" w:rsidRPr="000E55A6" w14:paraId="22EC66BA" w14:textId="77777777" w:rsidTr="00D228F1">
        <w:trPr>
          <w:cantSplit/>
          <w:trHeight w:val="3959"/>
        </w:trPr>
        <w:tc>
          <w:tcPr>
            <w:tcW w:w="846" w:type="dxa"/>
            <w:shd w:val="clear" w:color="auto" w:fill="BFBFBF" w:themeFill="background1" w:themeFillShade="BF"/>
            <w:textDirection w:val="btLr"/>
          </w:tcPr>
          <w:p w14:paraId="7A3F9CF1" w14:textId="77777777" w:rsidR="00C92D2B" w:rsidRPr="000E55A6"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odporúčania</w:t>
            </w:r>
          </w:p>
        </w:tc>
        <w:tc>
          <w:tcPr>
            <w:tcW w:w="1001" w:type="dxa"/>
            <w:shd w:val="clear" w:color="auto" w:fill="auto"/>
            <w:textDirection w:val="btLr"/>
          </w:tcPr>
          <w:p w14:paraId="7574CDB9"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Dostatočný príjem vody, dostatočný výdaj moču (≥ 2l/deň), vyvarovať sa dehydratácii</w:t>
            </w:r>
          </w:p>
        </w:tc>
        <w:tc>
          <w:tcPr>
            <w:tcW w:w="708" w:type="dxa"/>
            <w:shd w:val="clear" w:color="auto" w:fill="auto"/>
            <w:textDirection w:val="btLr"/>
          </w:tcPr>
          <w:p w14:paraId="1D051BEF"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 súčasnosti žiadne odporúčanie; pravdepodobne to nemá význam.</w:t>
            </w:r>
          </w:p>
        </w:tc>
        <w:tc>
          <w:tcPr>
            <w:tcW w:w="2552" w:type="dxa"/>
            <w:shd w:val="clear" w:color="auto" w:fill="auto"/>
            <w:textDirection w:val="btLr"/>
          </w:tcPr>
          <w:p w14:paraId="680D5EB0"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Konzumácia primeraného množstva citrusov a štiav (najmä pomarančov) na doplnenie vitamínov, dopĺňa aj príjem tekutín. Je však pravdepodobné, že množstvo šťavy / ovocia potrebné na prevenciu urolitiázy je príliš veľké; okrem toho fruktóza (ktorá je potenciálne prolitogénna), čiastočne odporuje odporúčaniu zvýšiť príjem citrusov.</w:t>
            </w:r>
          </w:p>
        </w:tc>
        <w:tc>
          <w:tcPr>
            <w:tcW w:w="992" w:type="dxa"/>
            <w:shd w:val="clear" w:color="auto" w:fill="auto"/>
            <w:textDirection w:val="btLr"/>
          </w:tcPr>
          <w:p w14:paraId="63F66EFC"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Konzumácia bielkovín nie je hlavným nezávislým faktorom; vhodné znížiť nadmerný príjem živočíšnych bielkovín.</w:t>
            </w:r>
          </w:p>
        </w:tc>
        <w:tc>
          <w:tcPr>
            <w:tcW w:w="749" w:type="dxa"/>
            <w:shd w:val="clear" w:color="auto" w:fill="auto"/>
            <w:textDirection w:val="btLr"/>
          </w:tcPr>
          <w:p w14:paraId="000CACB7"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Vyhýbať sa nadmernému príjmu rafinovaných cukrov.</w:t>
            </w:r>
          </w:p>
        </w:tc>
        <w:tc>
          <w:tcPr>
            <w:tcW w:w="649" w:type="dxa"/>
            <w:shd w:val="clear" w:color="auto" w:fill="auto"/>
            <w:textDirection w:val="btLr"/>
          </w:tcPr>
          <w:p w14:paraId="014AA2EE"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Vyhýbať sa nadmernému príjmu tukov, môže viesť k obezite.</w:t>
            </w:r>
          </w:p>
        </w:tc>
        <w:tc>
          <w:tcPr>
            <w:tcW w:w="1418" w:type="dxa"/>
            <w:shd w:val="clear" w:color="auto" w:fill="auto"/>
            <w:textDirection w:val="btLr"/>
          </w:tcPr>
          <w:p w14:paraId="27592BA7"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Vyhýbať sa nadbytku sodíka ako prevencia hypertenzie, neexistujú presvedčivé dôkazy o prevencii urolitiázy (môže pomáhať pacientom, ktorí radi solia).</w:t>
            </w:r>
          </w:p>
        </w:tc>
      </w:tr>
      <w:tr w:rsidR="00C92D2B" w:rsidRPr="000E55A6" w14:paraId="0139E05C" w14:textId="77777777" w:rsidTr="00D228F1">
        <w:trPr>
          <w:cantSplit/>
          <w:trHeight w:val="1281"/>
        </w:trPr>
        <w:tc>
          <w:tcPr>
            <w:tcW w:w="846" w:type="dxa"/>
            <w:shd w:val="clear" w:color="auto" w:fill="BFBFBF" w:themeFill="background1" w:themeFillShade="BF"/>
            <w:textDirection w:val="btLr"/>
          </w:tcPr>
          <w:p w14:paraId="622DA730"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dáta</w:t>
            </w:r>
          </w:p>
          <w:p w14:paraId="0C73D06E" w14:textId="77777777" w:rsidR="00C92D2B" w:rsidRPr="000E55A6"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z intervencií</w:t>
            </w:r>
          </w:p>
        </w:tc>
        <w:tc>
          <w:tcPr>
            <w:tcW w:w="1001" w:type="dxa"/>
            <w:shd w:val="clear" w:color="auto" w:fill="auto"/>
            <w:textDirection w:val="btLr"/>
          </w:tcPr>
          <w:p w14:paraId="520FC654"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08" w:type="dxa"/>
            <w:shd w:val="clear" w:color="auto" w:fill="auto"/>
            <w:textDirection w:val="btLr"/>
          </w:tcPr>
          <w:p w14:paraId="4238717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2552" w:type="dxa"/>
            <w:shd w:val="clear" w:color="auto" w:fill="auto"/>
            <w:textDirection w:val="btLr"/>
          </w:tcPr>
          <w:p w14:paraId="0A6599C2"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992" w:type="dxa"/>
            <w:shd w:val="clear" w:color="auto" w:fill="auto"/>
            <w:textDirection w:val="btLr"/>
          </w:tcPr>
          <w:p w14:paraId="76C84B70"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c>
          <w:tcPr>
            <w:tcW w:w="749" w:type="dxa"/>
            <w:shd w:val="clear" w:color="auto" w:fill="auto"/>
            <w:textDirection w:val="btLr"/>
          </w:tcPr>
          <w:p w14:paraId="7D030F14"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649" w:type="dxa"/>
            <w:shd w:val="clear" w:color="auto" w:fill="auto"/>
            <w:textDirection w:val="btLr"/>
          </w:tcPr>
          <w:p w14:paraId="79667B28"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1418" w:type="dxa"/>
            <w:shd w:val="clear" w:color="auto" w:fill="auto"/>
            <w:textDirection w:val="btLr"/>
          </w:tcPr>
          <w:p w14:paraId="6B8FA85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r>
      <w:tr w:rsidR="00C92D2B" w:rsidRPr="000E55A6" w14:paraId="7B48B533" w14:textId="77777777" w:rsidTr="00D228F1">
        <w:trPr>
          <w:cantSplit/>
          <w:trHeight w:val="1663"/>
        </w:trPr>
        <w:tc>
          <w:tcPr>
            <w:tcW w:w="846" w:type="dxa"/>
            <w:shd w:val="clear" w:color="auto" w:fill="BFBFBF" w:themeFill="background1" w:themeFillShade="BF"/>
            <w:textDirection w:val="btLr"/>
          </w:tcPr>
          <w:p w14:paraId="2460D94E"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epidemiologické</w:t>
            </w:r>
          </w:p>
          <w:p w14:paraId="327D3B70"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prospektívne</w:t>
            </w:r>
          </w:p>
          <w:p w14:paraId="095DFC37" w14:textId="77777777" w:rsidR="00C92D2B" w:rsidRPr="000E55A6"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dáta</w:t>
            </w:r>
          </w:p>
        </w:tc>
        <w:tc>
          <w:tcPr>
            <w:tcW w:w="1001" w:type="dxa"/>
            <w:shd w:val="clear" w:color="auto" w:fill="auto"/>
            <w:textDirection w:val="btLr"/>
          </w:tcPr>
          <w:p w14:paraId="75A16E8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08" w:type="dxa"/>
            <w:shd w:val="clear" w:color="auto" w:fill="auto"/>
            <w:textDirection w:val="btLr"/>
          </w:tcPr>
          <w:p w14:paraId="4D194CF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2552" w:type="dxa"/>
            <w:shd w:val="clear" w:color="auto" w:fill="auto"/>
            <w:textDirection w:val="btLr"/>
          </w:tcPr>
          <w:p w14:paraId="5EAAE9A9"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c>
          <w:tcPr>
            <w:tcW w:w="992" w:type="dxa"/>
            <w:shd w:val="clear" w:color="auto" w:fill="auto"/>
            <w:textDirection w:val="btLr"/>
          </w:tcPr>
          <w:p w14:paraId="5DD2E63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bez efektu</w:t>
            </w:r>
          </w:p>
        </w:tc>
        <w:tc>
          <w:tcPr>
            <w:tcW w:w="749" w:type="dxa"/>
            <w:shd w:val="clear" w:color="auto" w:fill="auto"/>
            <w:textDirection w:val="btLr"/>
          </w:tcPr>
          <w:p w14:paraId="7ED796EF"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649" w:type="dxa"/>
            <w:shd w:val="clear" w:color="auto" w:fill="auto"/>
            <w:textDirection w:val="btLr"/>
          </w:tcPr>
          <w:p w14:paraId="2FC65ACB"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418" w:type="dxa"/>
            <w:shd w:val="clear" w:color="auto" w:fill="auto"/>
            <w:textDirection w:val="btLr"/>
          </w:tcPr>
          <w:p w14:paraId="6795DCE9"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bez efektu</w:t>
            </w:r>
          </w:p>
        </w:tc>
      </w:tr>
      <w:tr w:rsidR="00C92D2B" w:rsidRPr="000E55A6" w14:paraId="3A8A9F05" w14:textId="77777777" w:rsidTr="00D228F1">
        <w:trPr>
          <w:cantSplit/>
          <w:trHeight w:val="1650"/>
        </w:trPr>
        <w:tc>
          <w:tcPr>
            <w:tcW w:w="846" w:type="dxa"/>
            <w:shd w:val="clear" w:color="auto" w:fill="BFBFBF" w:themeFill="background1" w:themeFillShade="BF"/>
            <w:textDirection w:val="btLr"/>
          </w:tcPr>
          <w:p w14:paraId="2F5C6E93"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epidemiologické</w:t>
            </w:r>
          </w:p>
          <w:p w14:paraId="080AB96C" w14:textId="77777777" w:rsidR="00C92D2B"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prierezové</w:t>
            </w:r>
          </w:p>
          <w:p w14:paraId="1E782AAB" w14:textId="77777777" w:rsidR="00C92D2B" w:rsidRPr="000E55A6" w:rsidRDefault="00C92D2B" w:rsidP="00D228F1">
            <w:pPr>
              <w:ind w:left="113" w:right="113"/>
              <w:jc w:val="center"/>
              <w:rPr>
                <w:rFonts w:ascii="Times New Roman" w:hAnsi="Times New Roman" w:cs="Times New Roman"/>
                <w:b/>
                <w:sz w:val="20"/>
                <w:szCs w:val="20"/>
              </w:rPr>
            </w:pPr>
            <w:r>
              <w:rPr>
                <w:rFonts w:ascii="Times New Roman" w:hAnsi="Times New Roman" w:cs="Times New Roman"/>
                <w:b/>
                <w:sz w:val="20"/>
                <w:szCs w:val="20"/>
              </w:rPr>
              <w:t>dáta</w:t>
            </w:r>
          </w:p>
        </w:tc>
        <w:tc>
          <w:tcPr>
            <w:tcW w:w="1001" w:type="dxa"/>
            <w:shd w:val="clear" w:color="auto" w:fill="auto"/>
            <w:textDirection w:val="btLr"/>
          </w:tcPr>
          <w:p w14:paraId="0309B213"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08" w:type="dxa"/>
            <w:shd w:val="clear" w:color="auto" w:fill="auto"/>
            <w:textDirection w:val="btLr"/>
          </w:tcPr>
          <w:p w14:paraId="26012F1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c>
          <w:tcPr>
            <w:tcW w:w="2552" w:type="dxa"/>
            <w:shd w:val="clear" w:color="auto" w:fill="auto"/>
            <w:textDirection w:val="btLr"/>
          </w:tcPr>
          <w:p w14:paraId="1679257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c>
          <w:tcPr>
            <w:tcW w:w="992" w:type="dxa"/>
            <w:shd w:val="clear" w:color="auto" w:fill="auto"/>
            <w:textDirection w:val="btLr"/>
          </w:tcPr>
          <w:p w14:paraId="409ED3A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749" w:type="dxa"/>
            <w:shd w:val="clear" w:color="auto" w:fill="auto"/>
            <w:textDirection w:val="btLr"/>
          </w:tcPr>
          <w:p w14:paraId="282A2820"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649" w:type="dxa"/>
            <w:shd w:val="clear" w:color="auto" w:fill="auto"/>
            <w:textDirection w:val="btLr"/>
          </w:tcPr>
          <w:p w14:paraId="74521C87"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418" w:type="dxa"/>
            <w:shd w:val="clear" w:color="auto" w:fill="auto"/>
            <w:textDirection w:val="btLr"/>
          </w:tcPr>
          <w:p w14:paraId="0D1D5D22"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r>
      <w:tr w:rsidR="00C92D2B" w:rsidRPr="000E55A6" w14:paraId="4C1C4100" w14:textId="77777777" w:rsidTr="00D228F1">
        <w:trPr>
          <w:cantSplit/>
          <w:trHeight w:val="1497"/>
        </w:trPr>
        <w:tc>
          <w:tcPr>
            <w:tcW w:w="846" w:type="dxa"/>
            <w:shd w:val="clear" w:color="auto" w:fill="BFBFBF" w:themeFill="background1" w:themeFillShade="BF"/>
            <w:textDirection w:val="btLr"/>
          </w:tcPr>
          <w:p w14:paraId="73034919" w14:textId="77777777" w:rsidR="00C92D2B" w:rsidRPr="000E55A6" w:rsidRDefault="00C92D2B" w:rsidP="00D228F1">
            <w:pPr>
              <w:ind w:left="113" w:right="113"/>
              <w:jc w:val="center"/>
              <w:rPr>
                <w:rFonts w:ascii="Times New Roman" w:hAnsi="Times New Roman" w:cs="Times New Roman"/>
                <w:b/>
                <w:sz w:val="20"/>
                <w:szCs w:val="20"/>
              </w:rPr>
            </w:pPr>
            <w:r w:rsidRPr="000E55A6">
              <w:rPr>
                <w:rFonts w:ascii="Times New Roman" w:hAnsi="Times New Roman" w:cs="Times New Roman"/>
                <w:b/>
                <w:sz w:val="20"/>
                <w:szCs w:val="20"/>
              </w:rPr>
              <w:t>patofyziológia</w:t>
            </w:r>
          </w:p>
        </w:tc>
        <w:tc>
          <w:tcPr>
            <w:tcW w:w="1001" w:type="dxa"/>
            <w:shd w:val="clear" w:color="auto" w:fill="auto"/>
            <w:textDirection w:val="btLr"/>
          </w:tcPr>
          <w:p w14:paraId="60182C7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08" w:type="dxa"/>
            <w:shd w:val="clear" w:color="auto" w:fill="auto"/>
            <w:textDirection w:val="btLr"/>
          </w:tcPr>
          <w:p w14:paraId="1A6E5F6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2552" w:type="dxa"/>
            <w:shd w:val="clear" w:color="auto" w:fill="auto"/>
            <w:textDirection w:val="btLr"/>
          </w:tcPr>
          <w:p w14:paraId="174E65D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992" w:type="dxa"/>
            <w:shd w:val="clear" w:color="auto" w:fill="auto"/>
            <w:textDirection w:val="btLr"/>
          </w:tcPr>
          <w:p w14:paraId="35A56270"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749" w:type="dxa"/>
            <w:shd w:val="clear" w:color="auto" w:fill="auto"/>
            <w:textDirection w:val="btLr"/>
          </w:tcPr>
          <w:p w14:paraId="24BE3629"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649" w:type="dxa"/>
            <w:shd w:val="clear" w:color="auto" w:fill="auto"/>
            <w:textDirection w:val="btLr"/>
          </w:tcPr>
          <w:p w14:paraId="303083B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418" w:type="dxa"/>
            <w:shd w:val="clear" w:color="auto" w:fill="auto"/>
            <w:textDirection w:val="btLr"/>
          </w:tcPr>
          <w:p w14:paraId="5039952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r>
      <w:tr w:rsidR="00C92D2B" w:rsidRPr="000E55A6" w14:paraId="0D84D1A9" w14:textId="77777777" w:rsidTr="00D228F1">
        <w:trPr>
          <w:cantSplit/>
          <w:trHeight w:val="1373"/>
        </w:trPr>
        <w:tc>
          <w:tcPr>
            <w:tcW w:w="846" w:type="dxa"/>
            <w:shd w:val="clear" w:color="auto" w:fill="BFBFBF" w:themeFill="background1" w:themeFillShade="BF"/>
            <w:textDirection w:val="btLr"/>
          </w:tcPr>
          <w:p w14:paraId="72F6878C" w14:textId="77777777" w:rsidR="00C92D2B" w:rsidRPr="000E55A6" w:rsidRDefault="00C92D2B" w:rsidP="00D228F1">
            <w:pPr>
              <w:ind w:left="113" w:right="113"/>
              <w:jc w:val="center"/>
              <w:rPr>
                <w:rFonts w:ascii="Times New Roman" w:hAnsi="Times New Roman" w:cs="Times New Roman"/>
                <w:b/>
                <w:sz w:val="20"/>
                <w:szCs w:val="20"/>
              </w:rPr>
            </w:pPr>
            <w:r w:rsidRPr="000E55A6">
              <w:rPr>
                <w:rFonts w:ascii="Times New Roman" w:hAnsi="Times New Roman" w:cs="Times New Roman"/>
                <w:b/>
                <w:sz w:val="20"/>
                <w:szCs w:val="20"/>
              </w:rPr>
              <w:t>prvok</w:t>
            </w:r>
          </w:p>
          <w:p w14:paraId="76BAEAEF" w14:textId="77777777" w:rsidR="00C92D2B" w:rsidRPr="000E55A6" w:rsidRDefault="00C92D2B" w:rsidP="00D228F1">
            <w:pPr>
              <w:ind w:left="113" w:right="113"/>
              <w:jc w:val="center"/>
              <w:rPr>
                <w:rFonts w:ascii="Times New Roman" w:hAnsi="Times New Roman" w:cs="Times New Roman"/>
                <w:b/>
                <w:sz w:val="20"/>
                <w:szCs w:val="20"/>
              </w:rPr>
            </w:pPr>
            <w:r w:rsidRPr="000E55A6">
              <w:rPr>
                <w:rFonts w:ascii="Times New Roman" w:hAnsi="Times New Roman" w:cs="Times New Roman"/>
                <w:b/>
                <w:sz w:val="20"/>
                <w:szCs w:val="20"/>
              </w:rPr>
              <w:t>výživy</w:t>
            </w:r>
          </w:p>
        </w:tc>
        <w:tc>
          <w:tcPr>
            <w:tcW w:w="1001" w:type="dxa"/>
            <w:shd w:val="clear" w:color="auto" w:fill="auto"/>
            <w:textDirection w:val="btLr"/>
          </w:tcPr>
          <w:p w14:paraId="7BD3D45F"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voda</w:t>
            </w:r>
          </w:p>
        </w:tc>
        <w:tc>
          <w:tcPr>
            <w:tcW w:w="708" w:type="dxa"/>
            <w:shd w:val="clear" w:color="auto" w:fill="auto"/>
            <w:textDirection w:val="btLr"/>
          </w:tcPr>
          <w:p w14:paraId="088742F7"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tvrdosť vody</w:t>
            </w:r>
          </w:p>
        </w:tc>
        <w:tc>
          <w:tcPr>
            <w:tcW w:w="2552" w:type="dxa"/>
            <w:shd w:val="clear" w:color="auto" w:fill="auto"/>
            <w:textDirection w:val="btLr"/>
          </w:tcPr>
          <w:p w14:paraId="4820BA59"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citrusy/šťavy</w:t>
            </w:r>
          </w:p>
        </w:tc>
        <w:tc>
          <w:tcPr>
            <w:tcW w:w="992" w:type="dxa"/>
            <w:shd w:val="clear" w:color="auto" w:fill="auto"/>
            <w:textDirection w:val="btLr"/>
          </w:tcPr>
          <w:p w14:paraId="2A99C02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bielkoviny</w:t>
            </w:r>
          </w:p>
        </w:tc>
        <w:tc>
          <w:tcPr>
            <w:tcW w:w="749" w:type="dxa"/>
            <w:shd w:val="clear" w:color="auto" w:fill="auto"/>
            <w:textDirection w:val="btLr"/>
          </w:tcPr>
          <w:p w14:paraId="676D472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uhľohydráty</w:t>
            </w:r>
          </w:p>
        </w:tc>
        <w:tc>
          <w:tcPr>
            <w:tcW w:w="649" w:type="dxa"/>
            <w:shd w:val="clear" w:color="auto" w:fill="auto"/>
            <w:textDirection w:val="btLr"/>
          </w:tcPr>
          <w:p w14:paraId="664F525F"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tuky</w:t>
            </w:r>
          </w:p>
        </w:tc>
        <w:tc>
          <w:tcPr>
            <w:tcW w:w="1418" w:type="dxa"/>
            <w:shd w:val="clear" w:color="auto" w:fill="auto"/>
            <w:textDirection w:val="btLr"/>
          </w:tcPr>
          <w:p w14:paraId="0C17F0F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sodík</w:t>
            </w:r>
          </w:p>
        </w:tc>
      </w:tr>
    </w:tbl>
    <w:p w14:paraId="3B6BF944" w14:textId="77777777" w:rsidR="00C92D2B" w:rsidRDefault="00C92D2B" w:rsidP="00C92D2B">
      <w:pPr>
        <w:spacing w:after="0" w:line="240" w:lineRule="auto"/>
        <w:rPr>
          <w:rFonts w:ascii="Times New Roman" w:eastAsia="Times New Roman" w:hAnsi="Times New Roman" w:cs="Times New Roman"/>
          <w:sz w:val="24"/>
          <w:szCs w:val="24"/>
          <w:lang w:eastAsia="sk-SK"/>
        </w:rPr>
      </w:pPr>
      <w:r w:rsidRPr="000E55A6">
        <w:rPr>
          <w:rFonts w:ascii="Times New Roman" w:hAnsi="Times New Roman" w:cs="Times New Roman"/>
          <w:b/>
          <w:sz w:val="24"/>
          <w:szCs w:val="24"/>
        </w:rPr>
        <w:t>Tabuľka 3</w:t>
      </w:r>
      <w:r>
        <w:rPr>
          <w:rFonts w:ascii="Times New Roman" w:hAnsi="Times New Roman" w:cs="Times New Roman"/>
          <w:sz w:val="24"/>
          <w:szCs w:val="24"/>
        </w:rPr>
        <w:t xml:space="preserve"> </w:t>
      </w:r>
      <w:r w:rsidRPr="00B74799">
        <w:rPr>
          <w:rFonts w:ascii="Times New Roman" w:eastAsia="Times New Roman" w:hAnsi="Times New Roman" w:cs="Times New Roman"/>
          <w:sz w:val="24"/>
          <w:szCs w:val="24"/>
          <w:lang w:eastAsia="sk-SK"/>
        </w:rPr>
        <w:t xml:space="preserve">Prehľad študovaných prvkov </w:t>
      </w:r>
      <w:r w:rsidRPr="00DA6CE7">
        <w:rPr>
          <w:rFonts w:ascii="Times New Roman" w:eastAsia="Times New Roman" w:hAnsi="Times New Roman" w:cs="Times New Roman"/>
          <w:sz w:val="24"/>
          <w:szCs w:val="24"/>
          <w:lang w:eastAsia="sk-SK"/>
        </w:rPr>
        <w:t xml:space="preserve">diéty a súčasný vedecký pohľad na ich vplyv na tvorbu urolitiázy (podľa: </w:t>
      </w:r>
      <w:hyperlink r:id="rId19" w:history="1">
        <w:r>
          <w:rPr>
            <w:rStyle w:val="Hypertextovodkaz"/>
            <w:rFonts w:ascii="Times New Roman" w:hAnsi="Times New Roman" w:cs="Times New Roman"/>
            <w:color w:val="auto"/>
            <w:sz w:val="24"/>
            <w:szCs w:val="24"/>
            <w:u w:val="none"/>
            <w:shd w:val="clear" w:color="auto" w:fill="FFFFFF"/>
          </w:rPr>
          <w:t>Agarwal</w:t>
        </w:r>
        <w:r w:rsidRPr="00DA6CE7">
          <w:rPr>
            <w:rStyle w:val="Hypertextovodkaz"/>
            <w:rFonts w:ascii="Times New Roman" w:hAnsi="Times New Roman" w:cs="Times New Roman"/>
            <w:color w:val="auto"/>
            <w:sz w:val="24"/>
            <w:szCs w:val="24"/>
            <w:u w:val="none"/>
            <w:shd w:val="clear" w:color="auto" w:fill="FFFFFF"/>
          </w:rPr>
          <w:t xml:space="preserve"> </w:t>
        </w:r>
        <w:r>
          <w:rPr>
            <w:rStyle w:val="Hypertextovodkaz"/>
            <w:rFonts w:ascii="Times New Roman" w:hAnsi="Times New Roman" w:cs="Times New Roman"/>
            <w:color w:val="auto"/>
            <w:sz w:val="24"/>
            <w:szCs w:val="24"/>
            <w:u w:val="none"/>
            <w:shd w:val="clear" w:color="auto" w:fill="FFFFFF"/>
          </w:rPr>
          <w:t>et al</w:t>
        </w:r>
        <w:r w:rsidRPr="00DA6CE7">
          <w:rPr>
            <w:rStyle w:val="Hypertextovodkaz"/>
            <w:rFonts w:ascii="Times New Roman" w:hAnsi="Times New Roman" w:cs="Times New Roman"/>
            <w:color w:val="auto"/>
            <w:sz w:val="24"/>
            <w:szCs w:val="24"/>
            <w:u w:val="none"/>
            <w:shd w:val="clear" w:color="auto" w:fill="FFFFFF"/>
          </w:rPr>
          <w:t>., 2011</w:t>
        </w:r>
      </w:hyperlink>
      <w:r w:rsidRPr="00DA6CE7">
        <w:rPr>
          <w:rFonts w:ascii="Times New Roman" w:eastAsia="Times New Roman" w:hAnsi="Times New Roman" w:cs="Times New Roman"/>
          <w:sz w:val="24"/>
          <w:szCs w:val="24"/>
          <w:lang w:eastAsia="sk-SK"/>
        </w:rPr>
        <w:t>)</w:t>
      </w:r>
    </w:p>
    <w:p w14:paraId="38467A5F" w14:textId="0FD28697" w:rsidR="00C92D2B" w:rsidRDefault="00C92D2B" w:rsidP="00C92D2B">
      <w:pPr>
        <w:spacing w:after="0" w:line="240" w:lineRule="auto"/>
        <w:rPr>
          <w:rFonts w:ascii="Times New Roman" w:hAnsi="Times New Roman" w:cs="Times New Roman"/>
          <w:sz w:val="24"/>
          <w:szCs w:val="24"/>
        </w:rPr>
      </w:pPr>
    </w:p>
    <w:p w14:paraId="1A821272" w14:textId="77777777" w:rsidR="00C92D2B" w:rsidRDefault="00C92D2B" w:rsidP="00C92D2B">
      <w:pPr>
        <w:spacing w:after="0" w:line="240" w:lineRule="auto"/>
        <w:rPr>
          <w:rFonts w:ascii="Times New Roman" w:hAnsi="Times New Roman" w:cs="Times New Roman"/>
          <w:sz w:val="24"/>
          <w:szCs w:val="24"/>
        </w:rPr>
      </w:pPr>
    </w:p>
    <w:tbl>
      <w:tblPr>
        <w:tblStyle w:val="Mkatabulky"/>
        <w:tblpPr w:leftFromText="141" w:rightFromText="141" w:vertAnchor="page" w:horzAnchor="margin" w:tblpX="137" w:tblpY="1792"/>
        <w:tblW w:w="8784" w:type="dxa"/>
        <w:tblLayout w:type="fixed"/>
        <w:tblLook w:val="04A0" w:firstRow="1" w:lastRow="0" w:firstColumn="1" w:lastColumn="0" w:noHBand="0" w:noVBand="1"/>
      </w:tblPr>
      <w:tblGrid>
        <w:gridCol w:w="988"/>
        <w:gridCol w:w="1275"/>
        <w:gridCol w:w="1276"/>
        <w:gridCol w:w="1701"/>
        <w:gridCol w:w="992"/>
        <w:gridCol w:w="1134"/>
        <w:gridCol w:w="649"/>
        <w:gridCol w:w="769"/>
      </w:tblGrid>
      <w:tr w:rsidR="00C92D2B" w:rsidRPr="000E55A6" w14:paraId="42E24319" w14:textId="77777777" w:rsidTr="00D228F1">
        <w:trPr>
          <w:cantSplit/>
          <w:trHeight w:val="1402"/>
        </w:trPr>
        <w:tc>
          <w:tcPr>
            <w:tcW w:w="988" w:type="dxa"/>
            <w:shd w:val="clear" w:color="auto" w:fill="auto"/>
            <w:textDirection w:val="btLr"/>
          </w:tcPr>
          <w:p w14:paraId="02D17218" w14:textId="77777777" w:rsidR="00C92D2B" w:rsidRPr="003D50AE" w:rsidRDefault="00C92D2B" w:rsidP="00D228F1">
            <w:pPr>
              <w:ind w:left="113" w:right="113"/>
              <w:jc w:val="center"/>
              <w:rPr>
                <w:rFonts w:ascii="Times New Roman" w:hAnsi="Times New Roman" w:cs="Times New Roman"/>
                <w:szCs w:val="20"/>
              </w:rPr>
            </w:pPr>
            <w:r>
              <w:rPr>
                <w:rFonts w:ascii="Times New Roman" w:hAnsi="Times New Roman" w:cs="Times New Roman"/>
                <w:szCs w:val="20"/>
              </w:rPr>
              <w:t>B</w:t>
            </w:r>
          </w:p>
        </w:tc>
        <w:tc>
          <w:tcPr>
            <w:tcW w:w="1275" w:type="dxa"/>
            <w:shd w:val="clear" w:color="auto" w:fill="auto"/>
            <w:textDirection w:val="btLr"/>
          </w:tcPr>
          <w:p w14:paraId="3812C58E"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1276" w:type="dxa"/>
            <w:shd w:val="clear" w:color="auto" w:fill="auto"/>
            <w:textDirection w:val="btLr"/>
          </w:tcPr>
          <w:p w14:paraId="4331B354"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D</w:t>
            </w:r>
          </w:p>
        </w:tc>
        <w:tc>
          <w:tcPr>
            <w:tcW w:w="1701" w:type="dxa"/>
            <w:shd w:val="clear" w:color="auto" w:fill="auto"/>
            <w:textDirection w:val="btLr"/>
          </w:tcPr>
          <w:p w14:paraId="64B966B8"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C</w:t>
            </w:r>
          </w:p>
        </w:tc>
        <w:tc>
          <w:tcPr>
            <w:tcW w:w="992" w:type="dxa"/>
            <w:shd w:val="clear" w:color="auto" w:fill="auto"/>
            <w:textDirection w:val="btLr"/>
          </w:tcPr>
          <w:p w14:paraId="37A68C71"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B</w:t>
            </w:r>
          </w:p>
        </w:tc>
        <w:tc>
          <w:tcPr>
            <w:tcW w:w="1134" w:type="dxa"/>
            <w:shd w:val="clear" w:color="auto" w:fill="auto"/>
            <w:textDirection w:val="btLr"/>
          </w:tcPr>
          <w:p w14:paraId="0B669E99"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A</w:t>
            </w:r>
          </w:p>
        </w:tc>
        <w:tc>
          <w:tcPr>
            <w:tcW w:w="649" w:type="dxa"/>
            <w:shd w:val="clear" w:color="auto" w:fill="auto"/>
            <w:textDirection w:val="btLr"/>
          </w:tcPr>
          <w:p w14:paraId="7ADF1B5C"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D</w:t>
            </w:r>
          </w:p>
        </w:tc>
        <w:tc>
          <w:tcPr>
            <w:tcW w:w="769" w:type="dxa"/>
            <w:shd w:val="clear" w:color="auto" w:fill="auto"/>
            <w:textDirection w:val="btLr"/>
          </w:tcPr>
          <w:p w14:paraId="5C299913" w14:textId="77777777" w:rsidR="00C92D2B" w:rsidRPr="000E55A6" w:rsidRDefault="00C92D2B" w:rsidP="00D228F1">
            <w:pPr>
              <w:ind w:left="113" w:right="113"/>
              <w:jc w:val="center"/>
              <w:rPr>
                <w:rFonts w:ascii="Times New Roman" w:hAnsi="Times New Roman" w:cs="Times New Roman"/>
                <w:sz w:val="20"/>
                <w:szCs w:val="20"/>
              </w:rPr>
            </w:pPr>
            <w:r>
              <w:rPr>
                <w:rFonts w:ascii="Times New Roman" w:hAnsi="Times New Roman" w:cs="Times New Roman"/>
                <w:sz w:val="20"/>
                <w:szCs w:val="20"/>
              </w:rPr>
              <w:t>D</w:t>
            </w:r>
          </w:p>
        </w:tc>
      </w:tr>
      <w:tr w:rsidR="00C92D2B" w:rsidRPr="000E55A6" w14:paraId="771DAA08" w14:textId="77777777" w:rsidTr="00D228F1">
        <w:trPr>
          <w:cantSplit/>
          <w:trHeight w:val="3959"/>
        </w:trPr>
        <w:tc>
          <w:tcPr>
            <w:tcW w:w="988" w:type="dxa"/>
            <w:shd w:val="clear" w:color="auto" w:fill="auto"/>
            <w:textDirection w:val="btLr"/>
          </w:tcPr>
          <w:p w14:paraId="7D34DDB6" w14:textId="77777777" w:rsidR="00C92D2B" w:rsidRPr="003D50AE" w:rsidRDefault="00C92D2B" w:rsidP="00D228F1">
            <w:pPr>
              <w:ind w:left="113" w:right="113"/>
              <w:rPr>
                <w:rFonts w:ascii="Times New Roman" w:hAnsi="Times New Roman" w:cs="Times New Roman"/>
                <w:szCs w:val="20"/>
              </w:rPr>
            </w:pPr>
            <w:r w:rsidRPr="008E47DC">
              <w:rPr>
                <w:rFonts w:ascii="Times New Roman" w:hAnsi="Times New Roman" w:cs="Times New Roman"/>
                <w:szCs w:val="20"/>
              </w:rPr>
              <w:t>Podporiť stravu bohatú na draslík (ovocie a šaláty). Opatrnosť u pacientov so zlyhaním obličiek.</w:t>
            </w:r>
          </w:p>
        </w:tc>
        <w:tc>
          <w:tcPr>
            <w:tcW w:w="1275" w:type="dxa"/>
            <w:shd w:val="clear" w:color="auto" w:fill="auto"/>
            <w:textDirection w:val="btLr"/>
          </w:tcPr>
          <w:p w14:paraId="702A81D4"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Dostatočný príjem vápnika. Suplementácia je prípustná, ak nie je uvedené inak. Je dôležité prijímať vápnik s jedlom.</w:t>
            </w:r>
          </w:p>
        </w:tc>
        <w:tc>
          <w:tcPr>
            <w:tcW w:w="1276" w:type="dxa"/>
            <w:shd w:val="clear" w:color="auto" w:fill="auto"/>
            <w:textDirection w:val="btLr"/>
          </w:tcPr>
          <w:p w14:paraId="29C3A5D1"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Vyvarovať sa nadmernému množstvu stravy bohatej na oxaláty. Dôležité je načasovať príjem vápnika na zníženie absorpcie oxalátov.</w:t>
            </w:r>
          </w:p>
        </w:tc>
        <w:tc>
          <w:tcPr>
            <w:tcW w:w="1701" w:type="dxa"/>
            <w:shd w:val="clear" w:color="auto" w:fill="auto"/>
            <w:textDirection w:val="btLr"/>
          </w:tcPr>
          <w:p w14:paraId="51BD09E2"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Je nepravdepodobné, že by strava bohatá na B6 bola dostatočne účinná pri prevencii konkrementov. Suplementácia vo veľkých dávkach (nedefinovaná) môže byť prípustná pri opakovanej tvorbe konkrementov.</w:t>
            </w:r>
          </w:p>
        </w:tc>
        <w:tc>
          <w:tcPr>
            <w:tcW w:w="992" w:type="dxa"/>
            <w:shd w:val="clear" w:color="auto" w:fill="auto"/>
            <w:textDirection w:val="btLr"/>
          </w:tcPr>
          <w:p w14:paraId="5C30FD77"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Podpora stravy bohatej na horčík. Suplementácia môže byť prípustná pri opakovanej tvorbe konkrementov.</w:t>
            </w:r>
          </w:p>
        </w:tc>
        <w:tc>
          <w:tcPr>
            <w:tcW w:w="1134" w:type="dxa"/>
            <w:shd w:val="clear" w:color="auto" w:fill="auto"/>
            <w:textDirection w:val="btLr"/>
          </w:tcPr>
          <w:p w14:paraId="5E789A51"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Podpora príjmu dostatočného množstva vlákniny pre celkové zdravie. Žiadny priamy prínos v prevencii vzniku konkrementov.</w:t>
            </w:r>
          </w:p>
        </w:tc>
        <w:tc>
          <w:tcPr>
            <w:tcW w:w="649" w:type="dxa"/>
            <w:shd w:val="clear" w:color="auto" w:fill="auto"/>
            <w:textDirection w:val="btLr"/>
          </w:tcPr>
          <w:p w14:paraId="53C4F855"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 súčasnosti žiadne odporúčania. Oblasť budúceho výskumu.</w:t>
            </w:r>
          </w:p>
        </w:tc>
        <w:tc>
          <w:tcPr>
            <w:tcW w:w="769" w:type="dxa"/>
            <w:shd w:val="clear" w:color="auto" w:fill="auto"/>
            <w:textDirection w:val="btLr"/>
          </w:tcPr>
          <w:p w14:paraId="4677A5BA" w14:textId="77777777" w:rsidR="00C92D2B" w:rsidRPr="000E55A6" w:rsidRDefault="00C92D2B" w:rsidP="00D228F1">
            <w:pPr>
              <w:ind w:left="113" w:right="113"/>
              <w:rPr>
                <w:rFonts w:ascii="Times New Roman" w:hAnsi="Times New Roman" w:cs="Times New Roman"/>
                <w:sz w:val="20"/>
                <w:szCs w:val="20"/>
              </w:rPr>
            </w:pPr>
            <w:r w:rsidRPr="008E47DC">
              <w:rPr>
                <w:rFonts w:ascii="Times New Roman" w:hAnsi="Times New Roman" w:cs="Times New Roman"/>
                <w:szCs w:val="20"/>
              </w:rPr>
              <w:t>V súčasnosti žiadne odporúčania. Oblasť budúceho výskumu.</w:t>
            </w:r>
          </w:p>
        </w:tc>
      </w:tr>
      <w:tr w:rsidR="00C92D2B" w:rsidRPr="000E55A6" w14:paraId="44DB8253" w14:textId="77777777" w:rsidTr="00D228F1">
        <w:trPr>
          <w:cantSplit/>
          <w:trHeight w:val="1690"/>
        </w:trPr>
        <w:tc>
          <w:tcPr>
            <w:tcW w:w="988" w:type="dxa"/>
            <w:shd w:val="clear" w:color="auto" w:fill="auto"/>
            <w:textDirection w:val="btLr"/>
          </w:tcPr>
          <w:p w14:paraId="4810F076" w14:textId="77777777" w:rsidR="00C92D2B"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p w14:paraId="4CE5CCF0" w14:textId="77777777" w:rsidR="00C92D2B" w:rsidRPr="003D50AE" w:rsidRDefault="00C92D2B" w:rsidP="00D228F1">
            <w:pPr>
              <w:ind w:left="113" w:right="113"/>
              <w:rPr>
                <w:rFonts w:ascii="Times New Roman" w:hAnsi="Times New Roman" w:cs="Times New Roman"/>
                <w:szCs w:val="20"/>
              </w:rPr>
            </w:pPr>
            <w:r>
              <w:rPr>
                <w:rFonts w:ascii="Times New Roman" w:hAnsi="Times New Roman" w:cs="Times New Roman"/>
                <w:sz w:val="20"/>
                <w:szCs w:val="20"/>
              </w:rPr>
              <w:t>(suplementácia)</w:t>
            </w:r>
          </w:p>
        </w:tc>
        <w:tc>
          <w:tcPr>
            <w:tcW w:w="1275" w:type="dxa"/>
            <w:shd w:val="clear" w:color="auto" w:fill="auto"/>
            <w:textDirection w:val="btLr"/>
          </w:tcPr>
          <w:p w14:paraId="26F3E682" w14:textId="77777777" w:rsidR="00C92D2B"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p w14:paraId="75DEE277" w14:textId="77777777" w:rsidR="00C92D2B" w:rsidRPr="000E55A6" w:rsidRDefault="00C92D2B" w:rsidP="00D228F1">
            <w:pPr>
              <w:ind w:left="113" w:right="113"/>
              <w:rPr>
                <w:rFonts w:ascii="Times New Roman" w:hAnsi="Times New Roman" w:cs="Times New Roman"/>
                <w:sz w:val="20"/>
                <w:szCs w:val="20"/>
              </w:rPr>
            </w:pPr>
          </w:p>
        </w:tc>
        <w:tc>
          <w:tcPr>
            <w:tcW w:w="1276" w:type="dxa"/>
            <w:shd w:val="clear" w:color="auto" w:fill="auto"/>
            <w:textDirection w:val="btLr"/>
          </w:tcPr>
          <w:p w14:paraId="02A2D5E3"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701" w:type="dxa"/>
            <w:shd w:val="clear" w:color="auto" w:fill="auto"/>
            <w:textDirection w:val="btLr"/>
          </w:tcPr>
          <w:p w14:paraId="3BF4133F" w14:textId="77777777" w:rsidR="00C92D2B"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p w14:paraId="1D93310E"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 v mega dávke)</w:t>
            </w:r>
          </w:p>
        </w:tc>
        <w:tc>
          <w:tcPr>
            <w:tcW w:w="992" w:type="dxa"/>
            <w:shd w:val="clear" w:color="auto" w:fill="auto"/>
            <w:textDirection w:val="btLr"/>
          </w:tcPr>
          <w:p w14:paraId="32CDB669"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134" w:type="dxa"/>
            <w:shd w:val="clear" w:color="auto" w:fill="auto"/>
            <w:textDirection w:val="btLr"/>
          </w:tcPr>
          <w:p w14:paraId="18DBA932"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bez efektu</w:t>
            </w:r>
          </w:p>
        </w:tc>
        <w:tc>
          <w:tcPr>
            <w:tcW w:w="649" w:type="dxa"/>
            <w:shd w:val="clear" w:color="auto" w:fill="auto"/>
            <w:textDirection w:val="btLr"/>
          </w:tcPr>
          <w:p w14:paraId="3DF6AED8"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769" w:type="dxa"/>
            <w:shd w:val="clear" w:color="auto" w:fill="auto"/>
            <w:textDirection w:val="btLr"/>
          </w:tcPr>
          <w:p w14:paraId="3B9E597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r>
      <w:tr w:rsidR="00C92D2B" w:rsidRPr="000E55A6" w14:paraId="197BBE68" w14:textId="77777777" w:rsidTr="00D228F1">
        <w:trPr>
          <w:cantSplit/>
          <w:trHeight w:val="1663"/>
        </w:trPr>
        <w:tc>
          <w:tcPr>
            <w:tcW w:w="988" w:type="dxa"/>
            <w:shd w:val="clear" w:color="auto" w:fill="auto"/>
            <w:textDirection w:val="btLr"/>
          </w:tcPr>
          <w:p w14:paraId="34237E4C" w14:textId="77777777" w:rsidR="00C92D2B" w:rsidRPr="003D50AE" w:rsidRDefault="00C92D2B" w:rsidP="00D228F1">
            <w:pPr>
              <w:ind w:left="113" w:right="113"/>
              <w:rPr>
                <w:rFonts w:ascii="Times New Roman" w:hAnsi="Times New Roman" w:cs="Times New Roman"/>
                <w:szCs w:val="20"/>
              </w:rPr>
            </w:pPr>
            <w:r>
              <w:rPr>
                <w:rFonts w:ascii="Times New Roman" w:hAnsi="Times New Roman" w:cs="Times New Roman"/>
                <w:szCs w:val="20"/>
              </w:rPr>
              <w:t>priaznivý</w:t>
            </w:r>
          </w:p>
        </w:tc>
        <w:tc>
          <w:tcPr>
            <w:tcW w:w="1275" w:type="dxa"/>
            <w:shd w:val="clear" w:color="auto" w:fill="auto"/>
            <w:textDirection w:val="btLr"/>
          </w:tcPr>
          <w:p w14:paraId="50B102C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276" w:type="dxa"/>
            <w:shd w:val="clear" w:color="auto" w:fill="auto"/>
            <w:textDirection w:val="btLr"/>
          </w:tcPr>
          <w:p w14:paraId="31C4459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701" w:type="dxa"/>
            <w:shd w:val="clear" w:color="auto" w:fill="auto"/>
            <w:textDirection w:val="btLr"/>
          </w:tcPr>
          <w:p w14:paraId="51AF702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zmiešaný</w:t>
            </w:r>
          </w:p>
        </w:tc>
        <w:tc>
          <w:tcPr>
            <w:tcW w:w="992" w:type="dxa"/>
            <w:shd w:val="clear" w:color="auto" w:fill="auto"/>
            <w:textDirection w:val="btLr"/>
          </w:tcPr>
          <w:p w14:paraId="526E530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134" w:type="dxa"/>
            <w:shd w:val="clear" w:color="auto" w:fill="auto"/>
            <w:textDirection w:val="btLr"/>
          </w:tcPr>
          <w:p w14:paraId="6D73D243"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neaplik.</w:t>
            </w:r>
          </w:p>
        </w:tc>
        <w:tc>
          <w:tcPr>
            <w:tcW w:w="649" w:type="dxa"/>
            <w:shd w:val="clear" w:color="auto" w:fill="auto"/>
            <w:textDirection w:val="btLr"/>
          </w:tcPr>
          <w:p w14:paraId="0F56405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c>
          <w:tcPr>
            <w:tcW w:w="769" w:type="dxa"/>
            <w:shd w:val="clear" w:color="auto" w:fill="auto"/>
            <w:textDirection w:val="btLr"/>
          </w:tcPr>
          <w:p w14:paraId="7AEE0D28"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r>
      <w:tr w:rsidR="00C92D2B" w:rsidRPr="000E55A6" w14:paraId="1D6911FD" w14:textId="77777777" w:rsidTr="00D228F1">
        <w:trPr>
          <w:cantSplit/>
          <w:trHeight w:val="1650"/>
        </w:trPr>
        <w:tc>
          <w:tcPr>
            <w:tcW w:w="988" w:type="dxa"/>
            <w:shd w:val="clear" w:color="auto" w:fill="auto"/>
            <w:textDirection w:val="btLr"/>
          </w:tcPr>
          <w:p w14:paraId="3B444D76" w14:textId="77777777" w:rsidR="00C92D2B" w:rsidRPr="003D50AE" w:rsidRDefault="00C92D2B" w:rsidP="00D228F1">
            <w:pPr>
              <w:ind w:left="113" w:right="113"/>
              <w:rPr>
                <w:rFonts w:ascii="Times New Roman" w:hAnsi="Times New Roman" w:cs="Times New Roman"/>
                <w:szCs w:val="20"/>
              </w:rPr>
            </w:pPr>
            <w:r>
              <w:rPr>
                <w:rFonts w:ascii="Times New Roman" w:hAnsi="Times New Roman" w:cs="Times New Roman"/>
                <w:sz w:val="20"/>
                <w:szCs w:val="20"/>
              </w:rPr>
              <w:t>priaznivý</w:t>
            </w:r>
          </w:p>
        </w:tc>
        <w:tc>
          <w:tcPr>
            <w:tcW w:w="1275" w:type="dxa"/>
            <w:shd w:val="clear" w:color="auto" w:fill="auto"/>
            <w:textDirection w:val="btLr"/>
          </w:tcPr>
          <w:p w14:paraId="465C6BC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276" w:type="dxa"/>
            <w:shd w:val="clear" w:color="auto" w:fill="auto"/>
            <w:textDirection w:val="btLr"/>
          </w:tcPr>
          <w:p w14:paraId="629E945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701" w:type="dxa"/>
            <w:shd w:val="clear" w:color="auto" w:fill="auto"/>
            <w:textDirection w:val="btLr"/>
          </w:tcPr>
          <w:p w14:paraId="78ACD305"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992" w:type="dxa"/>
            <w:shd w:val="clear" w:color="auto" w:fill="auto"/>
            <w:textDirection w:val="btLr"/>
          </w:tcPr>
          <w:p w14:paraId="192860B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bez efektu</w:t>
            </w:r>
          </w:p>
        </w:tc>
        <w:tc>
          <w:tcPr>
            <w:tcW w:w="1134" w:type="dxa"/>
            <w:shd w:val="clear" w:color="auto" w:fill="auto"/>
            <w:textDirection w:val="btLr"/>
          </w:tcPr>
          <w:p w14:paraId="3D13876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neaplik.</w:t>
            </w:r>
          </w:p>
        </w:tc>
        <w:tc>
          <w:tcPr>
            <w:tcW w:w="649" w:type="dxa"/>
            <w:shd w:val="clear" w:color="auto" w:fill="auto"/>
            <w:textDirection w:val="btLr"/>
          </w:tcPr>
          <w:p w14:paraId="313F41DB"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69" w:type="dxa"/>
            <w:shd w:val="clear" w:color="auto" w:fill="auto"/>
            <w:textDirection w:val="btLr"/>
          </w:tcPr>
          <w:p w14:paraId="62CE3F8E"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žiadny</w:t>
            </w:r>
          </w:p>
        </w:tc>
      </w:tr>
      <w:tr w:rsidR="00C92D2B" w:rsidRPr="000E55A6" w14:paraId="06DCC7F4" w14:textId="77777777" w:rsidTr="00D228F1">
        <w:trPr>
          <w:cantSplit/>
          <w:trHeight w:val="1497"/>
        </w:trPr>
        <w:tc>
          <w:tcPr>
            <w:tcW w:w="988" w:type="dxa"/>
            <w:shd w:val="clear" w:color="auto" w:fill="auto"/>
            <w:textDirection w:val="btLr"/>
          </w:tcPr>
          <w:p w14:paraId="62E3E3DC" w14:textId="77777777" w:rsidR="00C92D2B" w:rsidRPr="003D50AE" w:rsidRDefault="00C92D2B" w:rsidP="00D228F1">
            <w:pPr>
              <w:ind w:left="113" w:right="113"/>
              <w:rPr>
                <w:rFonts w:ascii="Times New Roman" w:hAnsi="Times New Roman" w:cs="Times New Roman"/>
                <w:szCs w:val="20"/>
              </w:rPr>
            </w:pPr>
            <w:r>
              <w:rPr>
                <w:rFonts w:ascii="Times New Roman" w:hAnsi="Times New Roman" w:cs="Times New Roman"/>
                <w:sz w:val="20"/>
                <w:szCs w:val="20"/>
              </w:rPr>
              <w:t>priaznivý</w:t>
            </w:r>
          </w:p>
        </w:tc>
        <w:tc>
          <w:tcPr>
            <w:tcW w:w="1275" w:type="dxa"/>
            <w:shd w:val="clear" w:color="auto" w:fill="auto"/>
            <w:textDirection w:val="btLr"/>
          </w:tcPr>
          <w:p w14:paraId="5BA95DA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276" w:type="dxa"/>
            <w:shd w:val="clear" w:color="auto" w:fill="auto"/>
            <w:textDirection w:val="btLr"/>
          </w:tcPr>
          <w:p w14:paraId="0B7B2E6F"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nepriaznivý</w:t>
            </w:r>
          </w:p>
        </w:tc>
        <w:tc>
          <w:tcPr>
            <w:tcW w:w="1701" w:type="dxa"/>
            <w:shd w:val="clear" w:color="auto" w:fill="auto"/>
            <w:textDirection w:val="btLr"/>
          </w:tcPr>
          <w:p w14:paraId="0FB10C7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992" w:type="dxa"/>
            <w:shd w:val="clear" w:color="auto" w:fill="auto"/>
            <w:textDirection w:val="btLr"/>
          </w:tcPr>
          <w:p w14:paraId="163867FC"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1134" w:type="dxa"/>
            <w:shd w:val="clear" w:color="auto" w:fill="auto"/>
            <w:textDirection w:val="btLr"/>
          </w:tcPr>
          <w:p w14:paraId="0CF9E2DA"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649" w:type="dxa"/>
            <w:shd w:val="clear" w:color="auto" w:fill="auto"/>
            <w:textDirection w:val="btLr"/>
          </w:tcPr>
          <w:p w14:paraId="6980706D"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c>
          <w:tcPr>
            <w:tcW w:w="769" w:type="dxa"/>
            <w:shd w:val="clear" w:color="auto" w:fill="auto"/>
            <w:textDirection w:val="btLr"/>
          </w:tcPr>
          <w:p w14:paraId="7F65FE6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priaznivý</w:t>
            </w:r>
          </w:p>
        </w:tc>
      </w:tr>
      <w:tr w:rsidR="00C92D2B" w:rsidRPr="000E55A6" w14:paraId="6136BD1B" w14:textId="77777777" w:rsidTr="00D228F1">
        <w:trPr>
          <w:cantSplit/>
          <w:trHeight w:val="1373"/>
        </w:trPr>
        <w:tc>
          <w:tcPr>
            <w:tcW w:w="988" w:type="dxa"/>
            <w:shd w:val="clear" w:color="auto" w:fill="auto"/>
            <w:textDirection w:val="btLr"/>
          </w:tcPr>
          <w:p w14:paraId="5EEF80BB" w14:textId="77777777" w:rsidR="00C92D2B" w:rsidRPr="003D50AE" w:rsidRDefault="00C92D2B" w:rsidP="00D228F1">
            <w:pPr>
              <w:ind w:left="113" w:right="113"/>
              <w:rPr>
                <w:rFonts w:ascii="Times New Roman" w:hAnsi="Times New Roman" w:cs="Times New Roman"/>
                <w:szCs w:val="20"/>
              </w:rPr>
            </w:pPr>
            <w:r>
              <w:rPr>
                <w:rFonts w:ascii="Times New Roman" w:hAnsi="Times New Roman" w:cs="Times New Roman"/>
                <w:szCs w:val="20"/>
              </w:rPr>
              <w:t>draslík</w:t>
            </w:r>
          </w:p>
        </w:tc>
        <w:tc>
          <w:tcPr>
            <w:tcW w:w="1275" w:type="dxa"/>
            <w:shd w:val="clear" w:color="auto" w:fill="auto"/>
            <w:textDirection w:val="btLr"/>
          </w:tcPr>
          <w:p w14:paraId="252A5C67"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vápnik</w:t>
            </w:r>
          </w:p>
        </w:tc>
        <w:tc>
          <w:tcPr>
            <w:tcW w:w="1276" w:type="dxa"/>
            <w:shd w:val="clear" w:color="auto" w:fill="auto"/>
            <w:textDirection w:val="btLr"/>
          </w:tcPr>
          <w:p w14:paraId="6527A66B"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oxaláty</w:t>
            </w:r>
          </w:p>
        </w:tc>
        <w:tc>
          <w:tcPr>
            <w:tcW w:w="1701" w:type="dxa"/>
            <w:shd w:val="clear" w:color="auto" w:fill="auto"/>
            <w:textDirection w:val="btLr"/>
          </w:tcPr>
          <w:p w14:paraId="3D285041"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vitamín B6</w:t>
            </w:r>
          </w:p>
        </w:tc>
        <w:tc>
          <w:tcPr>
            <w:tcW w:w="992" w:type="dxa"/>
            <w:shd w:val="clear" w:color="auto" w:fill="auto"/>
            <w:textDirection w:val="btLr"/>
          </w:tcPr>
          <w:p w14:paraId="4E9BB158"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horčík</w:t>
            </w:r>
          </w:p>
        </w:tc>
        <w:tc>
          <w:tcPr>
            <w:tcW w:w="1134" w:type="dxa"/>
            <w:shd w:val="clear" w:color="auto" w:fill="auto"/>
            <w:textDirection w:val="btLr"/>
          </w:tcPr>
          <w:p w14:paraId="45EF4DBE"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vláknina</w:t>
            </w:r>
          </w:p>
        </w:tc>
        <w:tc>
          <w:tcPr>
            <w:tcW w:w="649" w:type="dxa"/>
            <w:shd w:val="clear" w:color="auto" w:fill="auto"/>
            <w:textDirection w:val="btLr"/>
          </w:tcPr>
          <w:p w14:paraId="08864486"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probiotiká</w:t>
            </w:r>
          </w:p>
        </w:tc>
        <w:tc>
          <w:tcPr>
            <w:tcW w:w="769" w:type="dxa"/>
            <w:shd w:val="clear" w:color="auto" w:fill="auto"/>
            <w:textDirection w:val="btLr"/>
          </w:tcPr>
          <w:p w14:paraId="21FF7BA2" w14:textId="77777777" w:rsidR="00C92D2B" w:rsidRPr="000E55A6" w:rsidRDefault="00C92D2B" w:rsidP="00D228F1">
            <w:pPr>
              <w:ind w:left="113" w:right="113"/>
              <w:rPr>
                <w:rFonts w:ascii="Times New Roman" w:hAnsi="Times New Roman" w:cs="Times New Roman"/>
                <w:sz w:val="20"/>
                <w:szCs w:val="20"/>
              </w:rPr>
            </w:pPr>
            <w:r>
              <w:rPr>
                <w:rFonts w:ascii="Times New Roman" w:hAnsi="Times New Roman" w:cs="Times New Roman"/>
                <w:sz w:val="20"/>
                <w:szCs w:val="20"/>
              </w:rPr>
              <w:t>fytoterapia</w:t>
            </w:r>
          </w:p>
        </w:tc>
      </w:tr>
    </w:tbl>
    <w:p w14:paraId="0C01AB0D" w14:textId="77777777" w:rsidR="00C92D2B" w:rsidRPr="000E55A6" w:rsidRDefault="00C92D2B" w:rsidP="00C92D2B">
      <w:pPr>
        <w:spacing w:after="0" w:line="240" w:lineRule="auto"/>
        <w:rPr>
          <w:rFonts w:ascii="Times New Roman" w:hAnsi="Times New Roman" w:cs="Times New Roman"/>
          <w:sz w:val="24"/>
          <w:szCs w:val="24"/>
        </w:rPr>
      </w:pPr>
    </w:p>
    <w:p w14:paraId="71B8C926" w14:textId="29432440" w:rsidR="00A84C52" w:rsidRPr="00DA07E4" w:rsidRDefault="005570AC" w:rsidP="00DA07E4">
      <w:pPr>
        <w:pStyle w:val="Odstavecseseznamem"/>
        <w:numPr>
          <w:ilvl w:val="1"/>
          <w:numId w:val="4"/>
        </w:numPr>
        <w:shd w:val="clear" w:color="auto" w:fill="FFFFFF"/>
        <w:spacing w:after="0" w:line="360" w:lineRule="auto"/>
        <w:jc w:val="both"/>
        <w:rPr>
          <w:rStyle w:val="A1"/>
          <w:rFonts w:ascii="Times New Roman" w:eastAsia="Times New Roman" w:hAnsi="Times New Roman" w:cs="Times New Roman"/>
          <w:b/>
          <w:color w:val="auto"/>
          <w:sz w:val="24"/>
          <w:szCs w:val="24"/>
          <w:lang w:eastAsia="sk-SK"/>
        </w:rPr>
      </w:pPr>
      <w:r w:rsidRPr="00DA07E4">
        <w:rPr>
          <w:rStyle w:val="A1"/>
          <w:rFonts w:ascii="Times New Roman" w:eastAsia="Times New Roman" w:hAnsi="Times New Roman" w:cs="Times New Roman"/>
          <w:b/>
          <w:color w:val="auto"/>
          <w:sz w:val="24"/>
          <w:szCs w:val="24"/>
          <w:lang w:eastAsia="sk-SK"/>
        </w:rPr>
        <w:lastRenderedPageBreak/>
        <w:t>Komplexný p</w:t>
      </w:r>
      <w:r w:rsidR="00722A13" w:rsidRPr="00DA07E4">
        <w:rPr>
          <w:rStyle w:val="A1"/>
          <w:rFonts w:ascii="Times New Roman" w:eastAsia="Times New Roman" w:hAnsi="Times New Roman" w:cs="Times New Roman"/>
          <w:b/>
          <w:color w:val="auto"/>
          <w:sz w:val="24"/>
          <w:szCs w:val="24"/>
          <w:lang w:eastAsia="sk-SK"/>
        </w:rPr>
        <w:t>rehľad konkrementov a</w:t>
      </w:r>
      <w:r w:rsidRPr="00DA07E4">
        <w:rPr>
          <w:rStyle w:val="A1"/>
          <w:rFonts w:ascii="Times New Roman" w:eastAsia="Times New Roman" w:hAnsi="Times New Roman" w:cs="Times New Roman"/>
          <w:b/>
          <w:color w:val="auto"/>
          <w:sz w:val="24"/>
          <w:szCs w:val="24"/>
          <w:lang w:eastAsia="sk-SK"/>
        </w:rPr>
        <w:t xml:space="preserve"> najčastejších </w:t>
      </w:r>
      <w:r w:rsidR="00722A13" w:rsidRPr="00DA07E4">
        <w:rPr>
          <w:rStyle w:val="A1"/>
          <w:rFonts w:ascii="Times New Roman" w:eastAsia="Times New Roman" w:hAnsi="Times New Roman" w:cs="Times New Roman"/>
          <w:b/>
          <w:color w:val="auto"/>
          <w:sz w:val="24"/>
          <w:szCs w:val="24"/>
          <w:lang w:eastAsia="sk-SK"/>
        </w:rPr>
        <w:t>príčin ich vzniku</w:t>
      </w:r>
    </w:p>
    <w:p w14:paraId="268C4EF3" w14:textId="57B5D41C" w:rsidR="00526A4A" w:rsidRPr="00DA07E4" w:rsidRDefault="00526A4A"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37B6C233" w14:textId="119C5FA7" w:rsidR="00A833FD" w:rsidRPr="00DA07E4" w:rsidRDefault="00A833FD"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Vznik močového konkrementu môže byť prejavom rôznych skrytých metabolických porúch a ďalších ochorení. Je preto dôležité u detí a pacientov s recidivujúcou tvorbou urolitiázy realizovať komplexnú diagnostiku a pátrať po primárnom ochorení.</w:t>
      </w:r>
      <w:r w:rsidR="00F85346" w:rsidRPr="00DA07E4">
        <w:rPr>
          <w:rFonts w:ascii="Times New Roman" w:eastAsia="Times New Roman" w:hAnsi="Times New Roman" w:cs="Times New Roman"/>
          <w:sz w:val="24"/>
          <w:szCs w:val="24"/>
          <w:lang w:eastAsia="sk-SK"/>
        </w:rPr>
        <w:t xml:space="preserve"> Vždy je vhodné kombinovať vzhľad konkrementu, jeho RTG opacitu a chemické zloženie. Podľa týchto parametrov sa potom konkrementy radia k jednotlivým subtypom. Samozrejme, často dochádza ku kombinácií rôznych subtypov, ktorá odpovedá kombinácii mechanizmu vzniku konkrementu (pridružené ochorenia pacienta, stavovacie návyky a pitný režim, obrázok </w:t>
      </w:r>
      <w:r w:rsidR="004D3042">
        <w:rPr>
          <w:rFonts w:ascii="Times New Roman" w:eastAsia="Times New Roman" w:hAnsi="Times New Roman" w:cs="Times New Roman"/>
          <w:sz w:val="24"/>
          <w:szCs w:val="24"/>
          <w:lang w:eastAsia="sk-SK"/>
        </w:rPr>
        <w:t xml:space="preserve">č. </w:t>
      </w:r>
      <w:r w:rsidR="00F85346" w:rsidRPr="00DA07E4">
        <w:rPr>
          <w:rFonts w:ascii="Times New Roman" w:eastAsia="Times New Roman" w:hAnsi="Times New Roman" w:cs="Times New Roman"/>
          <w:sz w:val="24"/>
          <w:szCs w:val="24"/>
          <w:lang w:eastAsia="sk-SK"/>
        </w:rPr>
        <w:t>1).</w:t>
      </w:r>
    </w:p>
    <w:p w14:paraId="425AB774" w14:textId="53FD6664" w:rsidR="00D54102" w:rsidRPr="00DA07E4" w:rsidRDefault="00D54102" w:rsidP="00DA07E4">
      <w:pPr>
        <w:shd w:val="clear" w:color="auto" w:fill="FFFFFF"/>
        <w:spacing w:after="0" w:line="360" w:lineRule="auto"/>
        <w:jc w:val="both"/>
        <w:rPr>
          <w:rFonts w:ascii="Times New Roman" w:eastAsia="Times New Roman" w:hAnsi="Times New Roman" w:cs="Times New Roman"/>
          <w:sz w:val="24"/>
          <w:szCs w:val="24"/>
          <w:lang w:eastAsia="sk-SK"/>
        </w:rPr>
      </w:pPr>
    </w:p>
    <w:p w14:paraId="4A4BB6AF" w14:textId="1A007400" w:rsidR="00A833FD" w:rsidRPr="00DA07E4" w:rsidRDefault="00A833FD" w:rsidP="00DA07E4">
      <w:pPr>
        <w:pStyle w:val="Odstavecseseznamem"/>
        <w:numPr>
          <w:ilvl w:val="2"/>
          <w:numId w:val="4"/>
        </w:numPr>
        <w:shd w:val="clear" w:color="auto" w:fill="FFFFFF"/>
        <w:spacing w:after="0" w:line="360" w:lineRule="auto"/>
        <w:ind w:left="709" w:hanging="709"/>
        <w:jc w:val="both"/>
        <w:rPr>
          <w:rFonts w:ascii="Times New Roman" w:eastAsia="Times New Roman" w:hAnsi="Times New Roman" w:cs="Times New Roman"/>
          <w:b/>
          <w:sz w:val="24"/>
          <w:szCs w:val="24"/>
          <w:lang w:eastAsia="sk-SK"/>
        </w:rPr>
      </w:pPr>
      <w:r w:rsidRPr="00DA07E4">
        <w:rPr>
          <w:rFonts w:ascii="Times New Roman" w:eastAsia="Times New Roman" w:hAnsi="Times New Roman" w:cs="Times New Roman"/>
          <w:b/>
          <w:sz w:val="24"/>
          <w:szCs w:val="24"/>
          <w:lang w:eastAsia="sk-SK"/>
        </w:rPr>
        <w:t>Whewellit</w:t>
      </w:r>
    </w:p>
    <w:p w14:paraId="52E8FAF5" w14:textId="00677319" w:rsidR="00526A4A" w:rsidRPr="00DA07E4" w:rsidRDefault="00526A4A"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04CC6FA7" w14:textId="428F93EC" w:rsidR="00D54102" w:rsidRPr="00DA07E4" w:rsidRDefault="00D54102"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eastAsia="Times New Roman" w:hAnsi="Times New Roman" w:cs="Times New Roman"/>
          <w:sz w:val="24"/>
          <w:szCs w:val="24"/>
          <w:lang w:eastAsia="sk-SK"/>
        </w:rPr>
        <w:t>Kalciumoxalátmonohydrát patrí medzi najčastejšie diagnostikované zložky konkrementov</w:t>
      </w:r>
      <w:r w:rsidR="00F8639F" w:rsidRPr="00DA07E4">
        <w:rPr>
          <w:rFonts w:ascii="Times New Roman" w:eastAsia="Times New Roman" w:hAnsi="Times New Roman" w:cs="Times New Roman"/>
          <w:sz w:val="24"/>
          <w:szCs w:val="24"/>
          <w:lang w:eastAsia="sk-SK"/>
        </w:rPr>
        <w:t xml:space="preserve"> (Osther, 2012; Ganesamoni </w:t>
      </w:r>
      <w:r w:rsidR="004D3042">
        <w:rPr>
          <w:rFonts w:ascii="Times New Roman" w:eastAsia="Times New Roman" w:hAnsi="Times New Roman" w:cs="Times New Roman"/>
          <w:sz w:val="24"/>
          <w:szCs w:val="24"/>
          <w:lang w:eastAsia="sk-SK"/>
        </w:rPr>
        <w:t>et</w:t>
      </w:r>
      <w:r w:rsidR="00F8639F" w:rsidRPr="00DA07E4">
        <w:rPr>
          <w:rFonts w:ascii="Times New Roman" w:eastAsia="Times New Roman" w:hAnsi="Times New Roman" w:cs="Times New Roman"/>
          <w:sz w:val="24"/>
          <w:szCs w:val="24"/>
          <w:lang w:eastAsia="sk-SK"/>
        </w:rPr>
        <w:t xml:space="preserve"> Singh, 2012; Rodgers, 2012; Korkes et al., 2012)</w:t>
      </w:r>
      <w:hyperlink r:id="rId20" w:anchor="CR50" w:history="1"/>
      <w:r w:rsidR="00A833FD" w:rsidRPr="00DA07E4">
        <w:rPr>
          <w:rFonts w:ascii="Times New Roman" w:hAnsi="Times New Roman" w:cs="Times New Roman"/>
          <w:sz w:val="24"/>
          <w:szCs w:val="24"/>
        </w:rPr>
        <w:t xml:space="preserve">. </w:t>
      </w:r>
      <w:r w:rsidRPr="00DA07E4">
        <w:rPr>
          <w:rFonts w:ascii="Times New Roman" w:hAnsi="Times New Roman" w:cs="Times New Roman"/>
          <w:sz w:val="24"/>
          <w:szCs w:val="24"/>
        </w:rPr>
        <w:t>Je známych 5 morfologických subtypov (tab</w:t>
      </w:r>
      <w:r w:rsidR="004D3042">
        <w:rPr>
          <w:rFonts w:ascii="Times New Roman" w:hAnsi="Times New Roman" w:cs="Times New Roman"/>
          <w:sz w:val="24"/>
          <w:szCs w:val="24"/>
        </w:rPr>
        <w:t>uľka č.</w:t>
      </w:r>
      <w:r w:rsidR="001B4298" w:rsidRPr="00DA07E4">
        <w:rPr>
          <w:rFonts w:ascii="Times New Roman" w:hAnsi="Times New Roman" w:cs="Times New Roman"/>
          <w:sz w:val="24"/>
          <w:szCs w:val="24"/>
        </w:rPr>
        <w:t xml:space="preserve"> </w:t>
      </w:r>
      <w:r w:rsidR="00941889" w:rsidRPr="00DA07E4">
        <w:rPr>
          <w:rFonts w:ascii="Times New Roman" w:hAnsi="Times New Roman" w:cs="Times New Roman"/>
          <w:sz w:val="24"/>
          <w:szCs w:val="24"/>
        </w:rPr>
        <w:t>4</w:t>
      </w:r>
      <w:r w:rsidRPr="00DA07E4">
        <w:rPr>
          <w:rFonts w:ascii="Times New Roman" w:hAnsi="Times New Roman" w:cs="Times New Roman"/>
          <w:sz w:val="24"/>
          <w:szCs w:val="24"/>
        </w:rPr>
        <w:t>)</w:t>
      </w:r>
      <w:r w:rsidR="00686B1D" w:rsidRPr="00DA07E4">
        <w:rPr>
          <w:rFonts w:ascii="Times New Roman" w:hAnsi="Times New Roman" w:cs="Times New Roman"/>
          <w:sz w:val="24"/>
          <w:szCs w:val="24"/>
        </w:rPr>
        <w:t xml:space="preserve"> (</w:t>
      </w:r>
      <w:r w:rsidR="001B4298" w:rsidRPr="00DA07E4">
        <w:rPr>
          <w:rFonts w:ascii="Times New Roman" w:hAnsi="Times New Roman" w:cs="Times New Roman"/>
          <w:sz w:val="24"/>
          <w:szCs w:val="24"/>
          <w:shd w:val="clear" w:color="auto" w:fill="FFFFFF"/>
        </w:rPr>
        <w:t>Cloutier</w:t>
      </w:r>
      <w:r w:rsidR="001B4298" w:rsidRPr="00DA07E4">
        <w:rPr>
          <w:rFonts w:ascii="Times New Roman" w:hAnsi="Times New Roman" w:cs="Times New Roman"/>
          <w:sz w:val="24"/>
          <w:szCs w:val="24"/>
        </w:rPr>
        <w:t>, 2015</w:t>
      </w:r>
      <w:r w:rsidR="00686B1D" w:rsidRPr="00DA07E4">
        <w:rPr>
          <w:rFonts w:ascii="Times New Roman" w:hAnsi="Times New Roman" w:cs="Times New Roman"/>
          <w:sz w:val="24"/>
          <w:szCs w:val="24"/>
        </w:rPr>
        <w:t>).</w:t>
      </w:r>
    </w:p>
    <w:p w14:paraId="4303009B" w14:textId="7B9571E6" w:rsidR="005017DD" w:rsidRPr="00DA07E4" w:rsidRDefault="00D54102"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Subtyp Ia (</w:t>
      </w:r>
      <w:r w:rsidR="00103F26" w:rsidRPr="00DA07E4">
        <w:rPr>
          <w:rFonts w:ascii="Times New Roman" w:hAnsi="Times New Roman" w:cs="Times New Roman"/>
          <w:sz w:val="24"/>
          <w:szCs w:val="24"/>
        </w:rPr>
        <w:t>O</w:t>
      </w:r>
      <w:r w:rsidRPr="00DA07E4">
        <w:rPr>
          <w:rFonts w:ascii="Times New Roman" w:hAnsi="Times New Roman" w:cs="Times New Roman"/>
          <w:sz w:val="24"/>
          <w:szCs w:val="24"/>
        </w:rPr>
        <w:t>br</w:t>
      </w:r>
      <w:r w:rsidR="004D3042">
        <w:rPr>
          <w:rFonts w:ascii="Times New Roman" w:hAnsi="Times New Roman" w:cs="Times New Roman"/>
          <w:sz w:val="24"/>
          <w:szCs w:val="24"/>
        </w:rPr>
        <w:t>ázok č.</w:t>
      </w:r>
      <w:r w:rsidR="00103F26" w:rsidRPr="00DA07E4">
        <w:rPr>
          <w:rFonts w:ascii="Times New Roman" w:hAnsi="Times New Roman" w:cs="Times New Roman"/>
          <w:sz w:val="24"/>
          <w:szCs w:val="24"/>
        </w:rPr>
        <w:t xml:space="preserve"> </w:t>
      </w:r>
      <w:r w:rsidR="00A21546" w:rsidRPr="00DA07E4">
        <w:rPr>
          <w:rFonts w:ascii="Times New Roman" w:hAnsi="Times New Roman" w:cs="Times New Roman"/>
          <w:sz w:val="24"/>
          <w:szCs w:val="24"/>
        </w:rPr>
        <w:t>2</w:t>
      </w:r>
      <w:r w:rsidRPr="00DA07E4">
        <w:rPr>
          <w:rFonts w:ascii="Times New Roman" w:hAnsi="Times New Roman" w:cs="Times New Roman"/>
          <w:sz w:val="24"/>
          <w:szCs w:val="24"/>
        </w:rPr>
        <w:t xml:space="preserve">) je </w:t>
      </w:r>
      <w:r w:rsidR="00103F26" w:rsidRPr="00DA07E4">
        <w:rPr>
          <w:rFonts w:ascii="Times New Roman" w:hAnsi="Times New Roman" w:cs="Times New Roman"/>
          <w:sz w:val="24"/>
          <w:szCs w:val="24"/>
        </w:rPr>
        <w:t>často na vzhľad tmavý, hnedočierny. Vzniká kombináciou nízkej diurézy a príjmu potravy, ktorá je bohatá na oxaláty.</w:t>
      </w:r>
      <w:r w:rsidR="008E23AF" w:rsidRPr="00DA07E4">
        <w:rPr>
          <w:rFonts w:ascii="Times New Roman" w:hAnsi="Times New Roman" w:cs="Times New Roman"/>
          <w:sz w:val="24"/>
          <w:szCs w:val="24"/>
        </w:rPr>
        <w:t xml:space="preserve"> </w:t>
      </w:r>
      <w:r w:rsidR="00944BB7" w:rsidRPr="00DA07E4">
        <w:rPr>
          <w:rFonts w:ascii="Times New Roman" w:hAnsi="Times New Roman" w:cs="Times New Roman"/>
          <w:sz w:val="24"/>
          <w:szCs w:val="24"/>
        </w:rPr>
        <w:t xml:space="preserve">Tenká šedá vrstva nedávno agregovaných jadier kryštálov obklopuje hnedý povrch konkrementu a je výsledkom nedávnej epizódy hyperoxalúrie často spájanej s príjmom potravín bohatých na oxaláty. </w:t>
      </w:r>
      <w:r w:rsidR="008E23AF" w:rsidRPr="00DA07E4">
        <w:rPr>
          <w:rFonts w:ascii="Times New Roman" w:hAnsi="Times New Roman" w:cs="Times New Roman"/>
          <w:sz w:val="24"/>
          <w:szCs w:val="24"/>
        </w:rPr>
        <w:t xml:space="preserve">Subtyp Ib </w:t>
      </w:r>
      <w:r w:rsidR="00FC4DF5" w:rsidRPr="00DA07E4">
        <w:rPr>
          <w:rFonts w:ascii="Times New Roman" w:hAnsi="Times New Roman" w:cs="Times New Roman"/>
          <w:sz w:val="24"/>
          <w:szCs w:val="24"/>
        </w:rPr>
        <w:t>(Obr</w:t>
      </w:r>
      <w:r w:rsidR="004D3042">
        <w:rPr>
          <w:rFonts w:ascii="Times New Roman" w:hAnsi="Times New Roman" w:cs="Times New Roman"/>
          <w:sz w:val="24"/>
          <w:szCs w:val="24"/>
        </w:rPr>
        <w:t>ázok č</w:t>
      </w:r>
      <w:r w:rsidR="001B4298" w:rsidRPr="00DA07E4">
        <w:rPr>
          <w:rFonts w:ascii="Times New Roman" w:hAnsi="Times New Roman" w:cs="Times New Roman"/>
          <w:sz w:val="24"/>
          <w:szCs w:val="24"/>
        </w:rPr>
        <w:t>.</w:t>
      </w:r>
      <w:r w:rsidR="00FC4DF5" w:rsidRPr="00DA07E4">
        <w:rPr>
          <w:rFonts w:ascii="Times New Roman" w:hAnsi="Times New Roman" w:cs="Times New Roman"/>
          <w:sz w:val="24"/>
          <w:szCs w:val="24"/>
        </w:rPr>
        <w:t xml:space="preserve"> 3) </w:t>
      </w:r>
      <w:r w:rsidR="008E23AF" w:rsidRPr="00DA07E4">
        <w:rPr>
          <w:rFonts w:ascii="Times New Roman" w:hAnsi="Times New Roman" w:cs="Times New Roman"/>
          <w:sz w:val="24"/>
          <w:szCs w:val="24"/>
        </w:rPr>
        <w:t xml:space="preserve">je farebne podobný a väčšinou pochádza zo staršieho COD, ktorý bol postupne konvertovaný. Subtyp Ic </w:t>
      </w:r>
      <w:r w:rsidR="00FC4DF5" w:rsidRPr="00DA07E4">
        <w:rPr>
          <w:rFonts w:ascii="Times New Roman" w:hAnsi="Times New Roman" w:cs="Times New Roman"/>
          <w:sz w:val="24"/>
          <w:szCs w:val="24"/>
        </w:rPr>
        <w:t>(Obr</w:t>
      </w:r>
      <w:r w:rsidR="004D3042">
        <w:rPr>
          <w:rFonts w:ascii="Times New Roman" w:hAnsi="Times New Roman" w:cs="Times New Roman"/>
          <w:sz w:val="24"/>
          <w:szCs w:val="24"/>
        </w:rPr>
        <w:t>ázok č</w:t>
      </w:r>
      <w:r w:rsidR="001B4298" w:rsidRPr="00DA07E4">
        <w:rPr>
          <w:rFonts w:ascii="Times New Roman" w:hAnsi="Times New Roman" w:cs="Times New Roman"/>
          <w:sz w:val="24"/>
          <w:szCs w:val="24"/>
        </w:rPr>
        <w:t>.</w:t>
      </w:r>
      <w:r w:rsidR="00FC4DF5" w:rsidRPr="00DA07E4">
        <w:rPr>
          <w:rFonts w:ascii="Times New Roman" w:hAnsi="Times New Roman" w:cs="Times New Roman"/>
          <w:sz w:val="24"/>
          <w:szCs w:val="24"/>
        </w:rPr>
        <w:t xml:space="preserve"> 4) </w:t>
      </w:r>
      <w:r w:rsidR="008E23AF" w:rsidRPr="00DA07E4">
        <w:rPr>
          <w:rFonts w:ascii="Times New Roman" w:hAnsi="Times New Roman" w:cs="Times New Roman"/>
          <w:sz w:val="24"/>
          <w:szCs w:val="24"/>
        </w:rPr>
        <w:t xml:space="preserve">je naopak svetlejší, </w:t>
      </w:r>
      <w:r w:rsidR="00686B1D" w:rsidRPr="00DA07E4">
        <w:rPr>
          <w:rFonts w:ascii="Times New Roman" w:hAnsi="Times New Roman" w:cs="Times New Roman"/>
          <w:sz w:val="24"/>
          <w:szCs w:val="24"/>
        </w:rPr>
        <w:t>žltohnedý až belavý</w:t>
      </w:r>
      <w:r w:rsidR="00FC4DF5" w:rsidRPr="00DA07E4">
        <w:rPr>
          <w:rFonts w:ascii="Times New Roman" w:hAnsi="Times New Roman" w:cs="Times New Roman"/>
          <w:sz w:val="24"/>
          <w:szCs w:val="24"/>
        </w:rPr>
        <w:t>, s bobtnavým povrchom</w:t>
      </w:r>
      <w:r w:rsidR="00686B1D" w:rsidRPr="00DA07E4">
        <w:rPr>
          <w:rFonts w:ascii="Times New Roman" w:hAnsi="Times New Roman" w:cs="Times New Roman"/>
          <w:sz w:val="24"/>
          <w:szCs w:val="24"/>
        </w:rPr>
        <w:t xml:space="preserve">. </w:t>
      </w:r>
      <w:r w:rsidR="00944BB7" w:rsidRPr="00DA07E4">
        <w:rPr>
          <w:rFonts w:ascii="Times New Roman" w:hAnsi="Times New Roman" w:cs="Times New Roman"/>
          <w:sz w:val="24"/>
          <w:szCs w:val="24"/>
        </w:rPr>
        <w:t xml:space="preserve">Na obrázku je ukážka </w:t>
      </w:r>
      <w:r w:rsidR="00944BB7" w:rsidRPr="00DA07E4">
        <w:rPr>
          <w:rFonts w:ascii="Times New Roman" w:hAnsi="Times New Roman" w:cs="Times New Roman"/>
          <w:bCs/>
          <w:sz w:val="24"/>
          <w:szCs w:val="24"/>
        </w:rPr>
        <w:t>konkrementov od dieťaťa mladšieho ako 2 roky.</w:t>
      </w:r>
      <w:r w:rsidR="00944BB7" w:rsidRPr="00DA07E4">
        <w:rPr>
          <w:rFonts w:ascii="Times New Roman" w:hAnsi="Times New Roman" w:cs="Times New Roman"/>
          <w:sz w:val="24"/>
          <w:szCs w:val="24"/>
        </w:rPr>
        <w:t xml:space="preserve"> </w:t>
      </w:r>
      <w:r w:rsidR="00686B1D" w:rsidRPr="00DA07E4">
        <w:rPr>
          <w:rFonts w:ascii="Times New Roman" w:hAnsi="Times New Roman" w:cs="Times New Roman"/>
          <w:sz w:val="24"/>
          <w:szCs w:val="24"/>
        </w:rPr>
        <w:t>Príčina vzniku COM Ic je primárna hyperoxalúria typ 1, ktorá sa spája s deficitom enzýmov na úrovni hepatocytov a môže vyústiť až do obličkového zlyhania</w:t>
      </w:r>
      <w:r w:rsidR="001B4298" w:rsidRPr="00DA07E4">
        <w:rPr>
          <w:rFonts w:ascii="Times New Roman" w:hAnsi="Times New Roman" w:cs="Times New Roman"/>
          <w:sz w:val="24"/>
          <w:szCs w:val="24"/>
        </w:rPr>
        <w:t xml:space="preserve"> (Danpure et al., 1987; Cochat et al., 2012)</w:t>
      </w:r>
      <w:r w:rsidR="005017DD" w:rsidRPr="00DA07E4">
        <w:rPr>
          <w:rFonts w:ascii="Times New Roman" w:hAnsi="Times New Roman" w:cs="Times New Roman"/>
          <w:sz w:val="24"/>
          <w:szCs w:val="24"/>
        </w:rPr>
        <w:t xml:space="preserve">. </w:t>
      </w:r>
      <w:r w:rsidR="00686B1D" w:rsidRPr="00DA07E4">
        <w:rPr>
          <w:rFonts w:ascii="Times New Roman" w:hAnsi="Times New Roman" w:cs="Times New Roman"/>
          <w:sz w:val="24"/>
          <w:szCs w:val="24"/>
        </w:rPr>
        <w:t xml:space="preserve">Subtyp </w:t>
      </w:r>
      <w:r w:rsidR="005017DD" w:rsidRPr="00DA07E4">
        <w:rPr>
          <w:rFonts w:ascii="Times New Roman" w:hAnsi="Times New Roman" w:cs="Times New Roman"/>
          <w:sz w:val="24"/>
          <w:szCs w:val="24"/>
        </w:rPr>
        <w:t xml:space="preserve">Id </w:t>
      </w:r>
      <w:r w:rsidR="00686B1D" w:rsidRPr="00DA07E4">
        <w:rPr>
          <w:rFonts w:ascii="Times New Roman" w:hAnsi="Times New Roman" w:cs="Times New Roman"/>
          <w:sz w:val="24"/>
          <w:szCs w:val="24"/>
        </w:rPr>
        <w:t xml:space="preserve">vzniká na podklade stázy moču. </w:t>
      </w:r>
      <w:r w:rsidR="00314E03" w:rsidRPr="00DA07E4">
        <w:rPr>
          <w:rFonts w:ascii="Times New Roman" w:hAnsi="Times New Roman" w:cs="Times New Roman"/>
          <w:sz w:val="24"/>
          <w:szCs w:val="24"/>
        </w:rPr>
        <w:t>Je béžový alebo svetlohnedý</w:t>
      </w:r>
      <w:r w:rsidR="00FC4DF5" w:rsidRPr="00DA07E4">
        <w:rPr>
          <w:rFonts w:ascii="Times New Roman" w:hAnsi="Times New Roman" w:cs="Times New Roman"/>
          <w:sz w:val="24"/>
          <w:szCs w:val="24"/>
        </w:rPr>
        <w:t>, hladký</w:t>
      </w:r>
      <w:r w:rsidR="00314E03" w:rsidRPr="00DA07E4">
        <w:rPr>
          <w:rFonts w:ascii="Times New Roman" w:hAnsi="Times New Roman" w:cs="Times New Roman"/>
          <w:sz w:val="24"/>
          <w:szCs w:val="24"/>
        </w:rPr>
        <w:t xml:space="preserve">. </w:t>
      </w:r>
      <w:r w:rsidR="00686B1D" w:rsidRPr="00DA07E4">
        <w:rPr>
          <w:rFonts w:ascii="Times New Roman" w:hAnsi="Times New Roman" w:cs="Times New Roman"/>
          <w:sz w:val="24"/>
          <w:szCs w:val="24"/>
        </w:rPr>
        <w:t xml:space="preserve">Môže sa tvoriť aj v močovom mechúri pri hyperplázii prostaty, ktorá spôsobuje vznik chronického postmikčného rezidua. Rovnako typický je subtyp Id u pacientov s hyperoxalúriou pri stenóze krčka kalichu alebo inej obštrukcii horných močových ciest. Subtyp Ie </w:t>
      </w:r>
      <w:r w:rsidR="00FC4DF5" w:rsidRPr="00DA07E4">
        <w:rPr>
          <w:rFonts w:ascii="Times New Roman" w:hAnsi="Times New Roman" w:cs="Times New Roman"/>
          <w:sz w:val="24"/>
          <w:szCs w:val="24"/>
        </w:rPr>
        <w:t>(Obr</w:t>
      </w:r>
      <w:r w:rsidR="004D3042">
        <w:rPr>
          <w:rFonts w:ascii="Times New Roman" w:hAnsi="Times New Roman" w:cs="Times New Roman"/>
          <w:sz w:val="24"/>
          <w:szCs w:val="24"/>
        </w:rPr>
        <w:t>ázok č</w:t>
      </w:r>
      <w:r w:rsidR="001B4298" w:rsidRPr="00DA07E4">
        <w:rPr>
          <w:rFonts w:ascii="Times New Roman" w:hAnsi="Times New Roman" w:cs="Times New Roman"/>
          <w:sz w:val="24"/>
          <w:szCs w:val="24"/>
        </w:rPr>
        <w:t xml:space="preserve">. </w:t>
      </w:r>
      <w:r w:rsidR="00FC4DF5" w:rsidRPr="00DA07E4">
        <w:rPr>
          <w:rFonts w:ascii="Times New Roman" w:hAnsi="Times New Roman" w:cs="Times New Roman"/>
          <w:sz w:val="24"/>
          <w:szCs w:val="24"/>
        </w:rPr>
        <w:t xml:space="preserve">5) je hnedý, s drsným povrchom a </w:t>
      </w:r>
      <w:r w:rsidR="00686B1D" w:rsidRPr="00DA07E4">
        <w:rPr>
          <w:rFonts w:ascii="Times New Roman" w:hAnsi="Times New Roman" w:cs="Times New Roman"/>
          <w:sz w:val="24"/>
          <w:szCs w:val="24"/>
        </w:rPr>
        <w:t xml:space="preserve">vyskytuje </w:t>
      </w:r>
      <w:r w:rsidR="00FC4DF5" w:rsidRPr="00DA07E4">
        <w:rPr>
          <w:rFonts w:ascii="Times New Roman" w:hAnsi="Times New Roman" w:cs="Times New Roman"/>
          <w:sz w:val="24"/>
          <w:szCs w:val="24"/>
        </w:rPr>
        <w:t xml:space="preserve">sa </w:t>
      </w:r>
      <w:r w:rsidR="00686B1D" w:rsidRPr="00DA07E4">
        <w:rPr>
          <w:rFonts w:ascii="Times New Roman" w:hAnsi="Times New Roman" w:cs="Times New Roman"/>
          <w:sz w:val="24"/>
          <w:szCs w:val="24"/>
        </w:rPr>
        <w:t>u pacientov s chronickým zápalom zažívacieho traktu (inflammatory bowel disease IBD, chronická pankreatitída, stav po bariatrickej chirurgii, stav po rozsiahlych resekciách ilea). Hyperoxalúria potom vzniká na črevnom podklade.</w:t>
      </w:r>
      <w:r w:rsidR="00925CB3" w:rsidRPr="00DA07E4">
        <w:rPr>
          <w:rFonts w:ascii="Times New Roman" w:hAnsi="Times New Roman" w:cs="Times New Roman"/>
          <w:sz w:val="24"/>
          <w:szCs w:val="24"/>
        </w:rPr>
        <w:t xml:space="preserve"> </w:t>
      </w:r>
    </w:p>
    <w:p w14:paraId="00A34A77" w14:textId="27EBF147"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"https://www.ncbi.nlm.nih.gov/pmc/articles/PMC4308647/figure/Fig9/" \t "figure" </w:instrText>
      </w:r>
      <w:r w:rsidRPr="00DA07E4">
        <w:rPr>
          <w:rFonts w:ascii="Times New Roman" w:hAnsi="Times New Roman" w:cs="Times New Roman"/>
          <w:sz w:val="24"/>
          <w:szCs w:val="24"/>
        </w:rPr>
        <w:fldChar w:fldCharType="separate"/>
      </w:r>
    </w:p>
    <w:p w14:paraId="136C725A" w14:textId="1C6DA788" w:rsidR="00A833FD" w:rsidRPr="00DA07E4" w:rsidRDefault="00A833FD" w:rsidP="00C45B92">
      <w:pPr>
        <w:spacing w:after="0" w:line="360" w:lineRule="auto"/>
        <w:jc w:val="center"/>
        <w:rPr>
          <w:rFonts w:ascii="Times New Roman" w:hAnsi="Times New Roman" w:cs="Times New Roman"/>
          <w:sz w:val="24"/>
          <w:szCs w:val="24"/>
        </w:rPr>
      </w:pPr>
      <w:r w:rsidRPr="00DA07E4">
        <w:rPr>
          <w:rFonts w:ascii="Times New Roman" w:hAnsi="Times New Roman" w:cs="Times New Roman"/>
          <w:noProof/>
          <w:sz w:val="24"/>
          <w:szCs w:val="24"/>
        </w:rPr>
        <w:lastRenderedPageBreak/>
        <w:drawing>
          <wp:inline distT="0" distB="0" distL="0" distR="0" wp14:anchorId="6802CC47" wp14:editId="5510624A">
            <wp:extent cx="5154385" cy="3663461"/>
            <wp:effectExtent l="0" t="0" r="8255" b="0"/>
            <wp:docPr id="8" name="Obrázok 8">
              <a:hlinkClick xmlns:a="http://schemas.openxmlformats.org/drawingml/2006/main" r:id="rId21"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tgtFrame="&quot;figur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2919" cy="3747708"/>
                    </a:xfrm>
                    <a:prstGeom prst="rect">
                      <a:avLst/>
                    </a:prstGeom>
                    <a:noFill/>
                    <a:ln>
                      <a:noFill/>
                    </a:ln>
                  </pic:spPr>
                </pic:pic>
              </a:graphicData>
            </a:graphic>
          </wp:inline>
        </w:drawing>
      </w:r>
    </w:p>
    <w:p w14:paraId="2BF8EA01" w14:textId="27443BC9" w:rsidR="00A833FD"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fldChar w:fldCharType="end"/>
      </w:r>
      <w:bookmarkStart w:id="6" w:name="_Hlk68634811"/>
      <w:r w:rsidR="00103F26" w:rsidRPr="00C45B92">
        <w:rPr>
          <w:rFonts w:ascii="Times New Roman" w:hAnsi="Times New Roman" w:cs="Times New Roman"/>
          <w:b/>
          <w:sz w:val="24"/>
          <w:szCs w:val="24"/>
        </w:rPr>
        <w:t>Obr</w:t>
      </w:r>
      <w:r w:rsidR="004D3042" w:rsidRPr="00C45B92">
        <w:rPr>
          <w:rFonts w:ascii="Times New Roman" w:hAnsi="Times New Roman" w:cs="Times New Roman"/>
          <w:b/>
          <w:sz w:val="24"/>
          <w:szCs w:val="24"/>
        </w:rPr>
        <w:t>ázok</w:t>
      </w:r>
      <w:r w:rsidR="00B74799" w:rsidRPr="00C45B92">
        <w:rPr>
          <w:rFonts w:ascii="Times New Roman" w:hAnsi="Times New Roman" w:cs="Times New Roman"/>
          <w:b/>
          <w:sz w:val="24"/>
          <w:szCs w:val="24"/>
        </w:rPr>
        <w:t xml:space="preserve"> </w:t>
      </w:r>
      <w:r w:rsidR="00A21546" w:rsidRPr="00DA07E4">
        <w:rPr>
          <w:rFonts w:ascii="Times New Roman" w:hAnsi="Times New Roman" w:cs="Times New Roman"/>
          <w:b/>
          <w:sz w:val="24"/>
          <w:szCs w:val="24"/>
        </w:rPr>
        <w:t>2</w:t>
      </w:r>
      <w:r w:rsidR="00B74799" w:rsidRPr="00DA07E4">
        <w:rPr>
          <w:rFonts w:ascii="Times New Roman" w:hAnsi="Times New Roman" w:cs="Times New Roman"/>
          <w:sz w:val="24"/>
          <w:szCs w:val="24"/>
        </w:rPr>
        <w:t xml:space="preserve"> </w:t>
      </w:r>
      <w:r w:rsidR="00944BB7" w:rsidRPr="00DA07E4">
        <w:rPr>
          <w:rFonts w:ascii="Times New Roman" w:hAnsi="Times New Roman" w:cs="Times New Roman"/>
          <w:sz w:val="24"/>
          <w:szCs w:val="24"/>
        </w:rPr>
        <w:t xml:space="preserve">Kalciumoxalátmonohydrá </w:t>
      </w:r>
      <w:r w:rsidR="00DA6CE7" w:rsidRPr="00DA07E4">
        <w:rPr>
          <w:rFonts w:ascii="Times New Roman" w:hAnsi="Times New Roman" w:cs="Times New Roman"/>
          <w:sz w:val="24"/>
          <w:szCs w:val="24"/>
        </w:rPr>
        <w:t>subtyp Ia</w:t>
      </w:r>
      <w:r w:rsidRPr="00DA07E4">
        <w:rPr>
          <w:rFonts w:ascii="Times New Roman" w:hAnsi="Times New Roman" w:cs="Times New Roman"/>
          <w:sz w:val="24"/>
          <w:szCs w:val="24"/>
        </w:rPr>
        <w:t xml:space="preserve"> </w:t>
      </w:r>
      <w:r w:rsidR="00DA6CE7" w:rsidRPr="00DA07E4">
        <w:rPr>
          <w:rFonts w:ascii="Times New Roman" w:hAnsi="Times New Roman" w:cs="Times New Roman"/>
          <w:sz w:val="24"/>
          <w:szCs w:val="24"/>
        </w:rPr>
        <w:t>(podľa</w:t>
      </w:r>
      <w:r w:rsidR="00DE214F" w:rsidRPr="00DA07E4">
        <w:rPr>
          <w:rFonts w:ascii="Times New Roman" w:hAnsi="Times New Roman" w:cs="Times New Roman"/>
          <w:sz w:val="24"/>
          <w:szCs w:val="24"/>
        </w:rPr>
        <w:t>:</w:t>
      </w:r>
      <w:r w:rsidR="00DA6CE7" w:rsidRPr="00DA07E4">
        <w:rPr>
          <w:rFonts w:ascii="Times New Roman" w:hAnsi="Times New Roman" w:cs="Times New Roman"/>
          <w:sz w:val="24"/>
          <w:szCs w:val="24"/>
        </w:rPr>
        <w:t xml:space="preserve"> </w:t>
      </w:r>
      <w:r w:rsidR="00DA6CE7" w:rsidRPr="00DA07E4">
        <w:rPr>
          <w:rFonts w:ascii="Times New Roman" w:hAnsi="Times New Roman" w:cs="Times New Roman"/>
          <w:sz w:val="24"/>
          <w:szCs w:val="24"/>
          <w:shd w:val="clear" w:color="auto" w:fill="FFFFFF"/>
        </w:rPr>
        <w:t>Cloutier</w:t>
      </w:r>
      <w:r w:rsidR="00DE214F" w:rsidRPr="00DA07E4">
        <w:rPr>
          <w:rFonts w:ascii="Times New Roman" w:hAnsi="Times New Roman" w:cs="Times New Roman"/>
          <w:sz w:val="24"/>
          <w:szCs w:val="24"/>
          <w:shd w:val="clear" w:color="auto" w:fill="FFFFFF"/>
        </w:rPr>
        <w:t xml:space="preserve"> et al.</w:t>
      </w:r>
      <w:r w:rsidR="00DA6CE7" w:rsidRPr="00DA07E4">
        <w:rPr>
          <w:rFonts w:ascii="Times New Roman" w:hAnsi="Times New Roman" w:cs="Times New Roman"/>
          <w:sz w:val="24"/>
          <w:szCs w:val="24"/>
        </w:rPr>
        <w:t>, 2015)</w:t>
      </w:r>
    </w:p>
    <w:bookmarkEnd w:id="6"/>
    <w:p w14:paraId="3D419F19" w14:textId="77777777"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"https://www.ncbi.nlm.nih.gov/pmc/articles/PMC4308647/figure/Fig10/" \t "figure" </w:instrText>
      </w:r>
      <w:r w:rsidRPr="00DA07E4">
        <w:rPr>
          <w:rFonts w:ascii="Times New Roman" w:hAnsi="Times New Roman" w:cs="Times New Roman"/>
          <w:sz w:val="24"/>
          <w:szCs w:val="24"/>
        </w:rPr>
        <w:fldChar w:fldCharType="separate"/>
      </w:r>
    </w:p>
    <w:p w14:paraId="19815EEC" w14:textId="0B321EAD" w:rsidR="00A833FD" w:rsidRPr="00DA07E4" w:rsidRDefault="00A833FD" w:rsidP="00C45B92">
      <w:pPr>
        <w:spacing w:after="0" w:line="360" w:lineRule="auto"/>
        <w:jc w:val="center"/>
        <w:rPr>
          <w:rFonts w:ascii="Times New Roman" w:hAnsi="Times New Roman" w:cs="Times New Roman"/>
          <w:sz w:val="24"/>
          <w:szCs w:val="24"/>
        </w:rPr>
      </w:pPr>
      <w:r w:rsidRPr="00DA07E4">
        <w:rPr>
          <w:rFonts w:ascii="Times New Roman" w:hAnsi="Times New Roman" w:cs="Times New Roman"/>
          <w:noProof/>
          <w:sz w:val="24"/>
          <w:szCs w:val="24"/>
        </w:rPr>
        <w:lastRenderedPageBreak/>
        <w:drawing>
          <wp:inline distT="0" distB="0" distL="0" distR="0" wp14:anchorId="4E63B667" wp14:editId="68BC5F5C">
            <wp:extent cx="4656641" cy="7834312"/>
            <wp:effectExtent l="0" t="0" r="0" b="0"/>
            <wp:docPr id="7" name="Obrázok 7">
              <a:hlinkClick xmlns:a="http://schemas.openxmlformats.org/drawingml/2006/main" r:id="rId2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3" tgtFrame="&quot;figur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408" cy="7918039"/>
                    </a:xfrm>
                    <a:prstGeom prst="rect">
                      <a:avLst/>
                    </a:prstGeom>
                    <a:noFill/>
                    <a:ln>
                      <a:noFill/>
                    </a:ln>
                  </pic:spPr>
                </pic:pic>
              </a:graphicData>
            </a:graphic>
          </wp:inline>
        </w:drawing>
      </w:r>
    </w:p>
    <w:p w14:paraId="1B8DF522" w14:textId="69B421EA" w:rsidR="00A833FD"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fldChar w:fldCharType="end"/>
      </w:r>
      <w:bookmarkStart w:id="7" w:name="_Hlk68634833"/>
      <w:r w:rsidR="00FC4DF5" w:rsidRPr="00DA07E4">
        <w:rPr>
          <w:rFonts w:ascii="Times New Roman" w:hAnsi="Times New Roman" w:cs="Times New Roman"/>
          <w:b/>
          <w:sz w:val="24"/>
          <w:szCs w:val="24"/>
        </w:rPr>
        <w:t>Obr</w:t>
      </w:r>
      <w:r w:rsidR="004D3042">
        <w:rPr>
          <w:rFonts w:ascii="Times New Roman" w:hAnsi="Times New Roman" w:cs="Times New Roman"/>
          <w:b/>
          <w:sz w:val="24"/>
          <w:szCs w:val="24"/>
        </w:rPr>
        <w:t>ázok</w:t>
      </w:r>
      <w:r w:rsidR="00FC4DF5" w:rsidRPr="00DA07E4">
        <w:rPr>
          <w:rFonts w:ascii="Times New Roman" w:hAnsi="Times New Roman" w:cs="Times New Roman"/>
          <w:b/>
          <w:sz w:val="24"/>
          <w:szCs w:val="24"/>
        </w:rPr>
        <w:t xml:space="preserve"> 3</w:t>
      </w:r>
      <w:r w:rsidR="00B74799" w:rsidRPr="00DA07E4">
        <w:rPr>
          <w:rFonts w:ascii="Times New Roman" w:hAnsi="Times New Roman" w:cs="Times New Roman"/>
          <w:bCs/>
          <w:sz w:val="24"/>
          <w:szCs w:val="24"/>
        </w:rPr>
        <w:t xml:space="preserve"> </w:t>
      </w:r>
      <w:r w:rsidR="00944BB7" w:rsidRPr="00DA07E4">
        <w:rPr>
          <w:rFonts w:ascii="Times New Roman" w:hAnsi="Times New Roman" w:cs="Times New Roman"/>
          <w:sz w:val="24"/>
          <w:szCs w:val="24"/>
        </w:rPr>
        <w:t xml:space="preserve">Kalciumoxalátmonohydrát </w:t>
      </w:r>
      <w:r w:rsidR="00DA6CE7" w:rsidRPr="00DA07E4">
        <w:rPr>
          <w:rFonts w:ascii="Times New Roman" w:hAnsi="Times New Roman" w:cs="Times New Roman"/>
          <w:bCs/>
          <w:sz w:val="24"/>
          <w:szCs w:val="24"/>
        </w:rPr>
        <w:t>subtyp Ib. Hore povrch konkrementu, dole prierez  (podľa</w:t>
      </w:r>
      <w:r w:rsidR="00DE214F" w:rsidRPr="00DA07E4">
        <w:rPr>
          <w:rFonts w:ascii="Times New Roman" w:hAnsi="Times New Roman" w:cs="Times New Roman"/>
          <w:bCs/>
          <w:sz w:val="24"/>
          <w:szCs w:val="24"/>
        </w:rPr>
        <w:t>:</w:t>
      </w:r>
      <w:r w:rsidR="00DA6CE7" w:rsidRPr="00DA07E4">
        <w:rPr>
          <w:rFonts w:ascii="Times New Roman" w:hAnsi="Times New Roman" w:cs="Times New Roman"/>
          <w:bCs/>
          <w:sz w:val="24"/>
          <w:szCs w:val="24"/>
        </w:rPr>
        <w:t xml:space="preserve"> </w:t>
      </w:r>
      <w:r w:rsidR="00DA6CE7" w:rsidRPr="00DA07E4">
        <w:rPr>
          <w:rFonts w:ascii="Times New Roman" w:hAnsi="Times New Roman" w:cs="Times New Roman"/>
          <w:bCs/>
          <w:sz w:val="24"/>
          <w:szCs w:val="24"/>
          <w:shd w:val="clear" w:color="auto" w:fill="FFFFFF"/>
        </w:rPr>
        <w:t>Cloutier</w:t>
      </w:r>
      <w:r w:rsidR="00DE214F" w:rsidRPr="00DA07E4">
        <w:rPr>
          <w:rFonts w:ascii="Times New Roman" w:hAnsi="Times New Roman" w:cs="Times New Roman"/>
          <w:bCs/>
          <w:sz w:val="24"/>
          <w:szCs w:val="24"/>
          <w:shd w:val="clear" w:color="auto" w:fill="FFFFFF"/>
        </w:rPr>
        <w:t xml:space="preserve"> et al.</w:t>
      </w:r>
      <w:r w:rsidR="00DA6CE7" w:rsidRPr="00DA07E4">
        <w:rPr>
          <w:rFonts w:ascii="Times New Roman" w:hAnsi="Times New Roman" w:cs="Times New Roman"/>
          <w:bCs/>
          <w:sz w:val="24"/>
          <w:szCs w:val="24"/>
        </w:rPr>
        <w:t>, 2015)</w:t>
      </w:r>
      <w:bookmarkEnd w:id="7"/>
    </w:p>
    <w:p w14:paraId="24AF1C6E" w14:textId="77777777" w:rsidR="005017DD" w:rsidRPr="00DA07E4" w:rsidRDefault="005017DD" w:rsidP="00DA07E4">
      <w:pPr>
        <w:spacing w:after="0" w:line="360" w:lineRule="auto"/>
        <w:jc w:val="both"/>
        <w:rPr>
          <w:rFonts w:ascii="Times New Roman" w:hAnsi="Times New Roman" w:cs="Times New Roman"/>
          <w:sz w:val="24"/>
          <w:szCs w:val="24"/>
        </w:rPr>
      </w:pPr>
    </w:p>
    <w:p w14:paraId="50FEC878" w14:textId="00A2C219"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"https://www.ncbi.nlm.nih.gov/pmc/articles/PMC4308647/figure/Fig11/" \t "figure" </w:instrText>
      </w:r>
      <w:r w:rsidRPr="00DA07E4">
        <w:rPr>
          <w:rFonts w:ascii="Times New Roman" w:hAnsi="Times New Roman" w:cs="Times New Roman"/>
          <w:sz w:val="24"/>
          <w:szCs w:val="24"/>
        </w:rPr>
        <w:fldChar w:fldCharType="separate"/>
      </w:r>
    </w:p>
    <w:p w14:paraId="595D90B0" w14:textId="7560D170" w:rsidR="00A833FD"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noProof/>
          <w:sz w:val="24"/>
          <w:szCs w:val="24"/>
        </w:rPr>
        <w:lastRenderedPageBreak/>
        <w:drawing>
          <wp:inline distT="0" distB="0" distL="0" distR="0" wp14:anchorId="62597BDC" wp14:editId="1967A878">
            <wp:extent cx="5295900" cy="6214160"/>
            <wp:effectExtent l="0" t="0" r="0" b="0"/>
            <wp:docPr id="6" name="Obrázok 6">
              <a:hlinkClick xmlns:a="http://schemas.openxmlformats.org/drawingml/2006/main" r:id="rId25"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tgtFrame="&quot;figur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757" cy="6252714"/>
                    </a:xfrm>
                    <a:prstGeom prst="rect">
                      <a:avLst/>
                    </a:prstGeom>
                    <a:noFill/>
                    <a:ln>
                      <a:noFill/>
                    </a:ln>
                  </pic:spPr>
                </pic:pic>
              </a:graphicData>
            </a:graphic>
          </wp:inline>
        </w:drawing>
      </w:r>
    </w:p>
    <w:p w14:paraId="0518EB08" w14:textId="2F88DB69" w:rsidR="00A833FD" w:rsidRPr="00DA07E4" w:rsidRDefault="00A833FD"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sz w:val="24"/>
          <w:szCs w:val="24"/>
        </w:rPr>
        <w:fldChar w:fldCharType="end"/>
      </w:r>
      <w:bookmarkStart w:id="8" w:name="_Hlk68634841"/>
      <w:r w:rsidR="00FC4DF5" w:rsidRPr="00DA07E4">
        <w:rPr>
          <w:rFonts w:ascii="Times New Roman" w:hAnsi="Times New Roman" w:cs="Times New Roman"/>
          <w:b/>
          <w:sz w:val="24"/>
          <w:szCs w:val="24"/>
        </w:rPr>
        <w:t>Obr</w:t>
      </w:r>
      <w:r w:rsidR="004D3042">
        <w:rPr>
          <w:rFonts w:ascii="Times New Roman" w:hAnsi="Times New Roman" w:cs="Times New Roman"/>
          <w:b/>
          <w:sz w:val="24"/>
          <w:szCs w:val="24"/>
        </w:rPr>
        <w:t>ázok</w:t>
      </w:r>
      <w:r w:rsidR="00B74799" w:rsidRPr="00DA07E4">
        <w:rPr>
          <w:rFonts w:ascii="Times New Roman" w:hAnsi="Times New Roman" w:cs="Times New Roman"/>
          <w:b/>
          <w:sz w:val="24"/>
          <w:szCs w:val="24"/>
        </w:rPr>
        <w:t xml:space="preserve"> </w:t>
      </w:r>
      <w:r w:rsidR="00FC4DF5" w:rsidRPr="00DA07E4">
        <w:rPr>
          <w:rFonts w:ascii="Times New Roman" w:hAnsi="Times New Roman" w:cs="Times New Roman"/>
          <w:b/>
          <w:sz w:val="24"/>
          <w:szCs w:val="24"/>
        </w:rPr>
        <w:t>4</w:t>
      </w:r>
      <w:r w:rsidR="00B74799" w:rsidRPr="00DA07E4">
        <w:rPr>
          <w:rFonts w:ascii="Times New Roman" w:hAnsi="Times New Roman" w:cs="Times New Roman"/>
          <w:bCs/>
          <w:sz w:val="24"/>
          <w:szCs w:val="24"/>
        </w:rPr>
        <w:t xml:space="preserve"> </w:t>
      </w:r>
      <w:r w:rsidR="00944BB7" w:rsidRPr="00DA07E4">
        <w:rPr>
          <w:rFonts w:ascii="Times New Roman" w:hAnsi="Times New Roman" w:cs="Times New Roman"/>
          <w:sz w:val="24"/>
          <w:szCs w:val="24"/>
        </w:rPr>
        <w:t>Kalciumoxalátmonohydrát</w:t>
      </w:r>
      <w:r w:rsidR="00DA6CE7" w:rsidRPr="00DA07E4">
        <w:rPr>
          <w:rFonts w:ascii="Times New Roman" w:hAnsi="Times New Roman" w:cs="Times New Roman"/>
          <w:bCs/>
          <w:sz w:val="24"/>
          <w:szCs w:val="24"/>
        </w:rPr>
        <w:t xml:space="preserve"> subtyp Ic. Hore povrch, vľavo hore zobrazenie </w:t>
      </w:r>
      <w:r w:rsidR="00333F2A" w:rsidRPr="00DA07E4">
        <w:rPr>
          <w:rFonts w:ascii="Times New Roman" w:hAnsi="Times New Roman" w:cs="Times New Roman"/>
          <w:bCs/>
          <w:sz w:val="24"/>
          <w:szCs w:val="24"/>
        </w:rPr>
        <w:t xml:space="preserve">svetlého až </w:t>
      </w:r>
      <w:r w:rsidR="00DA6CE7" w:rsidRPr="00DA07E4">
        <w:rPr>
          <w:rFonts w:ascii="Times New Roman" w:hAnsi="Times New Roman" w:cs="Times New Roman"/>
          <w:bCs/>
          <w:sz w:val="24"/>
          <w:szCs w:val="24"/>
        </w:rPr>
        <w:t>belavého povrchu</w:t>
      </w:r>
      <w:r w:rsidR="004D3042">
        <w:rPr>
          <w:rFonts w:ascii="Times New Roman" w:hAnsi="Times New Roman" w:cs="Times New Roman"/>
          <w:bCs/>
          <w:sz w:val="24"/>
          <w:szCs w:val="24"/>
        </w:rPr>
        <w:t>,</w:t>
      </w:r>
      <w:r w:rsidR="00333F2A" w:rsidRPr="00DA07E4">
        <w:rPr>
          <w:rFonts w:ascii="Times New Roman" w:hAnsi="Times New Roman" w:cs="Times New Roman"/>
          <w:bCs/>
          <w:sz w:val="24"/>
          <w:szCs w:val="24"/>
        </w:rPr>
        <w:t xml:space="preserve"> </w:t>
      </w:r>
      <w:r w:rsidR="004D3042">
        <w:rPr>
          <w:rFonts w:ascii="Times New Roman" w:hAnsi="Times New Roman" w:cs="Times New Roman"/>
          <w:bCs/>
          <w:sz w:val="24"/>
          <w:szCs w:val="24"/>
        </w:rPr>
        <w:t>d</w:t>
      </w:r>
      <w:r w:rsidR="00333F2A" w:rsidRPr="00DA07E4">
        <w:rPr>
          <w:rFonts w:ascii="Times New Roman" w:hAnsi="Times New Roman" w:cs="Times New Roman"/>
          <w:bCs/>
          <w:sz w:val="24"/>
          <w:szCs w:val="24"/>
        </w:rPr>
        <w:t xml:space="preserve">ole zobrazený rez konkrementu </w:t>
      </w:r>
      <w:r w:rsidR="00333F2A" w:rsidRPr="00DA07E4">
        <w:rPr>
          <w:rFonts w:ascii="Times New Roman" w:hAnsi="Times New Roman" w:cs="Times New Roman"/>
          <w:sz w:val="24"/>
          <w:szCs w:val="24"/>
        </w:rPr>
        <w:t>(podľa</w:t>
      </w:r>
      <w:r w:rsidR="00DE214F" w:rsidRPr="00DA07E4">
        <w:rPr>
          <w:rFonts w:ascii="Times New Roman" w:hAnsi="Times New Roman" w:cs="Times New Roman"/>
          <w:sz w:val="24"/>
          <w:szCs w:val="24"/>
        </w:rPr>
        <w:t>:</w:t>
      </w:r>
      <w:r w:rsidR="00333F2A" w:rsidRPr="00DA07E4">
        <w:rPr>
          <w:rFonts w:ascii="Times New Roman" w:hAnsi="Times New Roman" w:cs="Times New Roman"/>
          <w:sz w:val="24"/>
          <w:szCs w:val="24"/>
        </w:rPr>
        <w:t xml:space="preserve"> </w:t>
      </w:r>
      <w:r w:rsidR="00333F2A" w:rsidRPr="00DA07E4">
        <w:rPr>
          <w:rFonts w:ascii="Times New Roman" w:hAnsi="Times New Roman" w:cs="Times New Roman"/>
          <w:sz w:val="24"/>
          <w:szCs w:val="24"/>
          <w:shd w:val="clear" w:color="auto" w:fill="FFFFFF"/>
        </w:rPr>
        <w:t>Cloutier</w:t>
      </w:r>
      <w:r w:rsidR="00DE214F" w:rsidRPr="00DA07E4">
        <w:rPr>
          <w:rFonts w:ascii="Times New Roman" w:hAnsi="Times New Roman" w:cs="Times New Roman"/>
          <w:sz w:val="24"/>
          <w:szCs w:val="24"/>
          <w:shd w:val="clear" w:color="auto" w:fill="FFFFFF"/>
        </w:rPr>
        <w:t xml:space="preserve"> et al.</w:t>
      </w:r>
      <w:r w:rsidR="00333F2A" w:rsidRPr="00DA07E4">
        <w:rPr>
          <w:rFonts w:ascii="Times New Roman" w:hAnsi="Times New Roman" w:cs="Times New Roman"/>
          <w:sz w:val="24"/>
          <w:szCs w:val="24"/>
        </w:rPr>
        <w:t>, 2015)</w:t>
      </w:r>
    </w:p>
    <w:bookmarkEnd w:id="8"/>
    <w:p w14:paraId="0C316930" w14:textId="77777777" w:rsidR="00925CB3" w:rsidRPr="00DA07E4" w:rsidRDefault="00925CB3" w:rsidP="00DA07E4">
      <w:pPr>
        <w:spacing w:after="0" w:line="360" w:lineRule="auto"/>
        <w:jc w:val="both"/>
        <w:rPr>
          <w:rFonts w:ascii="Times New Roman" w:hAnsi="Times New Roman" w:cs="Times New Roman"/>
          <w:sz w:val="24"/>
          <w:szCs w:val="24"/>
        </w:rPr>
      </w:pPr>
    </w:p>
    <w:p w14:paraId="4AF98304" w14:textId="77777777" w:rsidR="00925CB3" w:rsidRPr="00DA07E4" w:rsidRDefault="00925CB3" w:rsidP="00DA07E4">
      <w:pPr>
        <w:spacing w:after="0" w:line="360" w:lineRule="auto"/>
        <w:jc w:val="both"/>
        <w:rPr>
          <w:rFonts w:ascii="Times New Roman" w:hAnsi="Times New Roman" w:cs="Times New Roman"/>
          <w:sz w:val="24"/>
          <w:szCs w:val="24"/>
        </w:rPr>
      </w:pPr>
    </w:p>
    <w:p w14:paraId="721B50B0" w14:textId="5E9D1347"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"https://www.ncbi.nlm.nih.gov/pmc/articles/PMC4308647/figure/Fig12/" \t "figure" </w:instrText>
      </w:r>
      <w:r w:rsidRPr="00DA07E4">
        <w:rPr>
          <w:rFonts w:ascii="Times New Roman" w:hAnsi="Times New Roman" w:cs="Times New Roman"/>
          <w:sz w:val="24"/>
          <w:szCs w:val="24"/>
        </w:rPr>
        <w:fldChar w:fldCharType="separate"/>
      </w:r>
    </w:p>
    <w:p w14:paraId="1CF35E76" w14:textId="127B55CB" w:rsidR="00A833FD"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noProof/>
          <w:sz w:val="24"/>
          <w:szCs w:val="24"/>
        </w:rPr>
        <w:lastRenderedPageBreak/>
        <w:drawing>
          <wp:inline distT="0" distB="0" distL="0" distR="0" wp14:anchorId="1DF19D16" wp14:editId="4EB0020E">
            <wp:extent cx="5153573" cy="8034337"/>
            <wp:effectExtent l="0" t="0" r="9525" b="5080"/>
            <wp:docPr id="5" name="Obrázok 5">
              <a:hlinkClick xmlns:a="http://schemas.openxmlformats.org/drawingml/2006/main" r:id="rId27"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7" tgtFrame="&quot;figur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276" cy="8189772"/>
                    </a:xfrm>
                    <a:prstGeom prst="rect">
                      <a:avLst/>
                    </a:prstGeom>
                    <a:noFill/>
                    <a:ln>
                      <a:noFill/>
                    </a:ln>
                  </pic:spPr>
                </pic:pic>
              </a:graphicData>
            </a:graphic>
          </wp:inline>
        </w:drawing>
      </w:r>
    </w:p>
    <w:p w14:paraId="1722B202" w14:textId="441E021D" w:rsidR="00D54102"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fldChar w:fldCharType="end"/>
      </w:r>
      <w:bookmarkStart w:id="9" w:name="_Hlk68634850"/>
      <w:r w:rsidR="00FC4DF5" w:rsidRPr="00DA07E4">
        <w:rPr>
          <w:rFonts w:ascii="Times New Roman" w:hAnsi="Times New Roman" w:cs="Times New Roman"/>
          <w:b/>
          <w:sz w:val="24"/>
          <w:szCs w:val="24"/>
        </w:rPr>
        <w:t>Obr</w:t>
      </w:r>
      <w:r w:rsidR="004D3042">
        <w:rPr>
          <w:rFonts w:ascii="Times New Roman" w:hAnsi="Times New Roman" w:cs="Times New Roman"/>
          <w:b/>
          <w:sz w:val="24"/>
          <w:szCs w:val="24"/>
        </w:rPr>
        <w:t>ázok</w:t>
      </w:r>
      <w:r w:rsidR="00FC4DF5" w:rsidRPr="00DA07E4">
        <w:rPr>
          <w:rFonts w:ascii="Times New Roman" w:hAnsi="Times New Roman" w:cs="Times New Roman"/>
          <w:b/>
          <w:sz w:val="24"/>
          <w:szCs w:val="24"/>
        </w:rPr>
        <w:t xml:space="preserve"> 5</w:t>
      </w:r>
      <w:r w:rsidR="00333F2A" w:rsidRPr="00DA07E4">
        <w:rPr>
          <w:rFonts w:ascii="Times New Roman" w:hAnsi="Times New Roman" w:cs="Times New Roman"/>
          <w:bCs/>
          <w:sz w:val="24"/>
          <w:szCs w:val="24"/>
        </w:rPr>
        <w:t xml:space="preserve"> </w:t>
      </w:r>
      <w:r w:rsidR="00944BB7" w:rsidRPr="00DA07E4">
        <w:rPr>
          <w:rFonts w:ascii="Times New Roman" w:hAnsi="Times New Roman" w:cs="Times New Roman"/>
          <w:sz w:val="24"/>
          <w:szCs w:val="24"/>
        </w:rPr>
        <w:t xml:space="preserve">Kalciumoxalátmonohydrát </w:t>
      </w:r>
      <w:r w:rsidR="00333F2A" w:rsidRPr="00DA07E4">
        <w:rPr>
          <w:rFonts w:ascii="Times New Roman" w:hAnsi="Times New Roman" w:cs="Times New Roman"/>
          <w:bCs/>
          <w:sz w:val="24"/>
          <w:szCs w:val="24"/>
        </w:rPr>
        <w:t>subtyp Ie, hore povrch, dole rez (podľa</w:t>
      </w:r>
      <w:r w:rsidR="00DE214F" w:rsidRPr="00DA07E4">
        <w:rPr>
          <w:rFonts w:ascii="Times New Roman" w:hAnsi="Times New Roman" w:cs="Times New Roman"/>
          <w:bCs/>
          <w:sz w:val="24"/>
          <w:szCs w:val="24"/>
        </w:rPr>
        <w:t>:</w:t>
      </w:r>
      <w:r w:rsidR="00333F2A" w:rsidRPr="00DA07E4">
        <w:rPr>
          <w:rFonts w:ascii="Times New Roman" w:hAnsi="Times New Roman" w:cs="Times New Roman"/>
          <w:bCs/>
          <w:sz w:val="24"/>
          <w:szCs w:val="24"/>
        </w:rPr>
        <w:t xml:space="preserve"> </w:t>
      </w:r>
      <w:r w:rsidR="00333F2A" w:rsidRPr="00DA07E4">
        <w:rPr>
          <w:rFonts w:ascii="Times New Roman" w:hAnsi="Times New Roman" w:cs="Times New Roman"/>
          <w:bCs/>
          <w:sz w:val="24"/>
          <w:szCs w:val="24"/>
          <w:shd w:val="clear" w:color="auto" w:fill="FFFFFF"/>
        </w:rPr>
        <w:t>Cloutier</w:t>
      </w:r>
      <w:r w:rsidR="00DE214F" w:rsidRPr="00DA07E4">
        <w:rPr>
          <w:rFonts w:ascii="Times New Roman" w:hAnsi="Times New Roman" w:cs="Times New Roman"/>
          <w:bCs/>
          <w:sz w:val="24"/>
          <w:szCs w:val="24"/>
          <w:shd w:val="clear" w:color="auto" w:fill="FFFFFF"/>
        </w:rPr>
        <w:t xml:space="preserve"> et al.</w:t>
      </w:r>
      <w:r w:rsidR="00333F2A" w:rsidRPr="00DA07E4">
        <w:rPr>
          <w:rFonts w:ascii="Times New Roman" w:hAnsi="Times New Roman" w:cs="Times New Roman"/>
          <w:bCs/>
          <w:sz w:val="24"/>
          <w:szCs w:val="24"/>
        </w:rPr>
        <w:t>, 2015)</w:t>
      </w:r>
    </w:p>
    <w:bookmarkEnd w:id="9"/>
    <w:p w14:paraId="6A10F314" w14:textId="18DD568B" w:rsidR="00BF65B3" w:rsidRPr="00DA07E4" w:rsidRDefault="00BF65B3" w:rsidP="00DA07E4">
      <w:pPr>
        <w:pStyle w:val="Normlnweb"/>
        <w:spacing w:before="0" w:beforeAutospacing="0" w:after="0" w:afterAutospacing="0" w:line="360" w:lineRule="auto"/>
        <w:jc w:val="both"/>
        <w:textAlignment w:val="top"/>
      </w:pPr>
    </w:p>
    <w:p w14:paraId="2D15D27E" w14:textId="43874779" w:rsidR="00D54102" w:rsidRPr="00DA07E4" w:rsidRDefault="00D54102" w:rsidP="00DA07E4">
      <w:pPr>
        <w:pStyle w:val="Odstavecseseznamem"/>
        <w:numPr>
          <w:ilvl w:val="2"/>
          <w:numId w:val="4"/>
        </w:numPr>
        <w:shd w:val="clear" w:color="auto" w:fill="FFFFFF"/>
        <w:spacing w:after="0" w:line="360" w:lineRule="auto"/>
        <w:ind w:left="709" w:hanging="709"/>
        <w:jc w:val="both"/>
        <w:rPr>
          <w:rFonts w:ascii="Times New Roman" w:eastAsia="Times New Roman" w:hAnsi="Times New Roman" w:cs="Times New Roman"/>
          <w:b/>
          <w:bCs/>
          <w:sz w:val="24"/>
          <w:szCs w:val="24"/>
          <w:lang w:eastAsia="sk-SK"/>
        </w:rPr>
      </w:pPr>
      <w:r w:rsidRPr="00DA07E4">
        <w:rPr>
          <w:rFonts w:ascii="Times New Roman" w:eastAsia="Times New Roman" w:hAnsi="Times New Roman" w:cs="Times New Roman"/>
          <w:b/>
          <w:bCs/>
          <w:sz w:val="24"/>
          <w:szCs w:val="24"/>
          <w:lang w:eastAsia="sk-SK"/>
        </w:rPr>
        <w:lastRenderedPageBreak/>
        <w:t>Wheddellit</w:t>
      </w:r>
    </w:p>
    <w:p w14:paraId="760FD585" w14:textId="77777777" w:rsidR="00526A4A" w:rsidRPr="00DA07E4" w:rsidRDefault="00526A4A" w:rsidP="00DA07E4">
      <w:pPr>
        <w:pStyle w:val="p"/>
        <w:shd w:val="clear" w:color="auto" w:fill="FFFFFF"/>
        <w:spacing w:before="0" w:beforeAutospacing="0" w:after="0" w:afterAutospacing="0" w:line="360" w:lineRule="auto"/>
        <w:ind w:firstLine="708"/>
        <w:jc w:val="both"/>
      </w:pPr>
    </w:p>
    <w:p w14:paraId="61BA00B9" w14:textId="544ABE03" w:rsidR="00F85346" w:rsidRPr="00DA07E4" w:rsidRDefault="007D5CCB" w:rsidP="00DA07E4">
      <w:pPr>
        <w:pStyle w:val="p"/>
        <w:shd w:val="clear" w:color="auto" w:fill="FFFFFF"/>
        <w:spacing w:before="0" w:beforeAutospacing="0" w:after="0" w:afterAutospacing="0" w:line="360" w:lineRule="auto"/>
        <w:ind w:firstLine="708"/>
        <w:jc w:val="both"/>
      </w:pPr>
      <w:r w:rsidRPr="00DA07E4">
        <w:t xml:space="preserve">Kalciumoxalátdihydrát a všetky jeho subtypy vznikajú na podklade hyperkalciúrie. </w:t>
      </w:r>
      <w:r w:rsidR="00F85346" w:rsidRPr="00DA07E4">
        <w:t>Subtyp IIa je bledý, žltohnedý, s ostrými a špicatými kryštálmi</w:t>
      </w:r>
      <w:r w:rsidR="00CB53B9" w:rsidRPr="00DA07E4">
        <w:t xml:space="preserve"> (</w:t>
      </w:r>
      <w:r w:rsidR="001B4298" w:rsidRPr="00DA07E4">
        <w:t>Daudon et al., 2016</w:t>
      </w:r>
      <w:r w:rsidR="00CB53B9" w:rsidRPr="00DA07E4">
        <w:t>)</w:t>
      </w:r>
      <w:r w:rsidR="00F85346" w:rsidRPr="00DA07E4">
        <w:t>. Subtyp IIa a hlavne IIb sú spájané s hyperkalciúriou, ktorú sprevádza hyperoxalúria a</w:t>
      </w:r>
      <w:r w:rsidR="00880AFC" w:rsidRPr="00DA07E4">
        <w:t> </w:t>
      </w:r>
      <w:r w:rsidR="00F85346" w:rsidRPr="00DA07E4">
        <w:t>hypocitratúria</w:t>
      </w:r>
      <w:r w:rsidR="00880AFC" w:rsidRPr="00DA07E4">
        <w:t xml:space="preserve"> (Obr</w:t>
      </w:r>
      <w:r w:rsidR="004D3042">
        <w:t>ázok č</w:t>
      </w:r>
      <w:r w:rsidR="001B4298" w:rsidRPr="00DA07E4">
        <w:t>.</w:t>
      </w:r>
      <w:r w:rsidR="00880AFC" w:rsidRPr="00DA07E4">
        <w:t xml:space="preserve"> 6)</w:t>
      </w:r>
      <w:r w:rsidR="00F85346" w:rsidRPr="00DA07E4">
        <w:t xml:space="preserve">. </w:t>
      </w:r>
      <w:r w:rsidR="00880AFC" w:rsidRPr="00DA07E4">
        <w:t>Subtyp IIb je hrebenatý, má na povrchu tupé kryštály a farebne je podobný predošlému subtypu. Subtyp IIc má drsný povrch, je šedavý, až tmavožltý. Typicky vzniká pri obštrukcii toku moču.</w:t>
      </w:r>
    </w:p>
    <w:p w14:paraId="71F496D3" w14:textId="77777777"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"https://www.ncbi.nlm.nih.gov/pmc/articles/PMC4308647/figure/Fig13/" \t "figure" </w:instrText>
      </w:r>
      <w:r w:rsidRPr="00DA07E4">
        <w:rPr>
          <w:rFonts w:ascii="Times New Roman" w:hAnsi="Times New Roman" w:cs="Times New Roman"/>
          <w:sz w:val="24"/>
          <w:szCs w:val="24"/>
        </w:rPr>
        <w:fldChar w:fldCharType="separate"/>
      </w:r>
    </w:p>
    <w:p w14:paraId="4F4AFEFF" w14:textId="0CB8DDF8" w:rsidR="00A833FD" w:rsidRPr="00DA07E4" w:rsidRDefault="00A833FD" w:rsidP="00C45B92">
      <w:pPr>
        <w:spacing w:after="0" w:line="360" w:lineRule="auto"/>
        <w:jc w:val="center"/>
        <w:rPr>
          <w:rFonts w:ascii="Times New Roman" w:hAnsi="Times New Roman" w:cs="Times New Roman"/>
          <w:sz w:val="24"/>
          <w:szCs w:val="24"/>
        </w:rPr>
      </w:pPr>
      <w:r w:rsidRPr="00DA07E4">
        <w:rPr>
          <w:rFonts w:ascii="Times New Roman" w:hAnsi="Times New Roman" w:cs="Times New Roman"/>
          <w:noProof/>
          <w:sz w:val="24"/>
          <w:szCs w:val="24"/>
        </w:rPr>
        <w:drawing>
          <wp:inline distT="0" distB="0" distL="0" distR="0" wp14:anchorId="592419A0" wp14:editId="175D9CF4">
            <wp:extent cx="3781465" cy="5586412"/>
            <wp:effectExtent l="0" t="0" r="0" b="0"/>
            <wp:docPr id="4" name="Obrázok 4">
              <a:hlinkClick xmlns:a="http://schemas.openxmlformats.org/drawingml/2006/main" r:id="rId29"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9" tgtFrame="&quot;figur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1431" cy="5719321"/>
                    </a:xfrm>
                    <a:prstGeom prst="rect">
                      <a:avLst/>
                    </a:prstGeom>
                    <a:noFill/>
                    <a:ln>
                      <a:noFill/>
                    </a:ln>
                  </pic:spPr>
                </pic:pic>
              </a:graphicData>
            </a:graphic>
          </wp:inline>
        </w:drawing>
      </w:r>
    </w:p>
    <w:p w14:paraId="7386C836" w14:textId="690A6389" w:rsidR="00CB53B9" w:rsidRPr="00DA07E4" w:rsidRDefault="00A833FD"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sz w:val="24"/>
          <w:szCs w:val="24"/>
        </w:rPr>
        <w:fldChar w:fldCharType="end"/>
      </w:r>
      <w:bookmarkStart w:id="10" w:name="_Hlk68634865"/>
      <w:r w:rsidR="007D5CCB" w:rsidRPr="00DA07E4">
        <w:rPr>
          <w:rFonts w:ascii="Times New Roman" w:hAnsi="Times New Roman" w:cs="Times New Roman"/>
          <w:b/>
          <w:sz w:val="24"/>
          <w:szCs w:val="24"/>
        </w:rPr>
        <w:t>Obr</w:t>
      </w:r>
      <w:r w:rsidR="004D3042">
        <w:rPr>
          <w:rFonts w:ascii="Times New Roman" w:hAnsi="Times New Roman" w:cs="Times New Roman"/>
          <w:b/>
          <w:sz w:val="24"/>
          <w:szCs w:val="24"/>
        </w:rPr>
        <w:t>ázok</w:t>
      </w:r>
      <w:r w:rsidR="007D5CCB" w:rsidRPr="00DA07E4">
        <w:rPr>
          <w:rFonts w:ascii="Times New Roman" w:hAnsi="Times New Roman" w:cs="Times New Roman"/>
          <w:b/>
          <w:sz w:val="24"/>
          <w:szCs w:val="24"/>
        </w:rPr>
        <w:t xml:space="preserve"> 6</w:t>
      </w:r>
      <w:r w:rsidR="00B74799"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Kalciumoxalátdihydrát</w:t>
      </w:r>
      <w:r w:rsidRPr="00DA07E4">
        <w:rPr>
          <w:rFonts w:ascii="Times New Roman" w:hAnsi="Times New Roman" w:cs="Times New Roman"/>
          <w:sz w:val="24"/>
          <w:szCs w:val="24"/>
        </w:rPr>
        <w:t xml:space="preserve"> </w:t>
      </w:r>
      <w:r w:rsidR="00BF65B3" w:rsidRPr="00DA07E4">
        <w:rPr>
          <w:rFonts w:ascii="Times New Roman" w:hAnsi="Times New Roman" w:cs="Times New Roman"/>
          <w:sz w:val="24"/>
          <w:szCs w:val="24"/>
        </w:rPr>
        <w:t>konkrement subtyp</w:t>
      </w:r>
      <w:r w:rsidRPr="00DA07E4">
        <w:rPr>
          <w:rFonts w:ascii="Times New Roman" w:hAnsi="Times New Roman" w:cs="Times New Roman"/>
          <w:sz w:val="24"/>
          <w:szCs w:val="24"/>
        </w:rPr>
        <w:t xml:space="preserve"> IIa. </w:t>
      </w:r>
      <w:r w:rsidR="00BF65B3" w:rsidRPr="00DA07E4">
        <w:rPr>
          <w:rFonts w:ascii="Times New Roman" w:hAnsi="Times New Roman" w:cs="Times New Roman"/>
          <w:sz w:val="24"/>
          <w:szCs w:val="24"/>
        </w:rPr>
        <w:t>Čierne šípky na dolnej časti obrázka ukazujú na malé a veľké kryštály, ktoré sú typicky prítomné u pacientov s</w:t>
      </w:r>
      <w:r w:rsidRPr="00DA07E4">
        <w:rPr>
          <w:rFonts w:ascii="Times New Roman" w:hAnsi="Times New Roman" w:cs="Times New Roman"/>
          <w:sz w:val="24"/>
          <w:szCs w:val="24"/>
        </w:rPr>
        <w:t xml:space="preserve"> hyper</w:t>
      </w:r>
      <w:r w:rsidR="00BF65B3" w:rsidRPr="00DA07E4">
        <w:rPr>
          <w:rFonts w:ascii="Times New Roman" w:hAnsi="Times New Roman" w:cs="Times New Roman"/>
          <w:sz w:val="24"/>
          <w:szCs w:val="24"/>
        </w:rPr>
        <w:t>k</w:t>
      </w:r>
      <w:r w:rsidRPr="00DA07E4">
        <w:rPr>
          <w:rFonts w:ascii="Times New Roman" w:hAnsi="Times New Roman" w:cs="Times New Roman"/>
          <w:sz w:val="24"/>
          <w:szCs w:val="24"/>
        </w:rPr>
        <w:t>alci</w:t>
      </w:r>
      <w:r w:rsidR="00BF65B3" w:rsidRPr="00DA07E4">
        <w:rPr>
          <w:rFonts w:ascii="Times New Roman" w:hAnsi="Times New Roman" w:cs="Times New Roman"/>
          <w:sz w:val="24"/>
          <w:szCs w:val="24"/>
        </w:rPr>
        <w:t>ú</w:t>
      </w:r>
      <w:r w:rsidRPr="00DA07E4">
        <w:rPr>
          <w:rFonts w:ascii="Times New Roman" w:hAnsi="Times New Roman" w:cs="Times New Roman"/>
          <w:sz w:val="24"/>
          <w:szCs w:val="24"/>
        </w:rPr>
        <w:t>ri</w:t>
      </w:r>
      <w:r w:rsidR="00BF65B3" w:rsidRPr="00DA07E4">
        <w:rPr>
          <w:rFonts w:ascii="Times New Roman" w:hAnsi="Times New Roman" w:cs="Times New Roman"/>
          <w:sz w:val="24"/>
          <w:szCs w:val="24"/>
        </w:rPr>
        <w:t>ou</w:t>
      </w:r>
      <w:r w:rsidRPr="00DA07E4">
        <w:rPr>
          <w:rFonts w:ascii="Times New Roman" w:hAnsi="Times New Roman" w:cs="Times New Roman"/>
          <w:sz w:val="24"/>
          <w:szCs w:val="24"/>
        </w:rPr>
        <w:t>, hyperoxal</w:t>
      </w:r>
      <w:r w:rsidR="00BF65B3" w:rsidRPr="00DA07E4">
        <w:rPr>
          <w:rFonts w:ascii="Times New Roman" w:hAnsi="Times New Roman" w:cs="Times New Roman"/>
          <w:sz w:val="24"/>
          <w:szCs w:val="24"/>
        </w:rPr>
        <w:t>ú</w:t>
      </w:r>
      <w:r w:rsidRPr="00DA07E4">
        <w:rPr>
          <w:rFonts w:ascii="Times New Roman" w:hAnsi="Times New Roman" w:cs="Times New Roman"/>
          <w:sz w:val="24"/>
          <w:szCs w:val="24"/>
        </w:rPr>
        <w:t>ri</w:t>
      </w:r>
      <w:r w:rsidR="00BF65B3" w:rsidRPr="00DA07E4">
        <w:rPr>
          <w:rFonts w:ascii="Times New Roman" w:hAnsi="Times New Roman" w:cs="Times New Roman"/>
          <w:sz w:val="24"/>
          <w:szCs w:val="24"/>
        </w:rPr>
        <w:t>o</w:t>
      </w:r>
      <w:r w:rsidR="00B55FFA" w:rsidRPr="00DA07E4">
        <w:rPr>
          <w:rFonts w:ascii="Times New Roman" w:hAnsi="Times New Roman" w:cs="Times New Roman"/>
          <w:sz w:val="24"/>
          <w:szCs w:val="24"/>
        </w:rPr>
        <w:t>u</w:t>
      </w:r>
      <w:r w:rsidRPr="00DA07E4">
        <w:rPr>
          <w:rFonts w:ascii="Times New Roman" w:hAnsi="Times New Roman" w:cs="Times New Roman"/>
          <w:sz w:val="24"/>
          <w:szCs w:val="24"/>
        </w:rPr>
        <w:t xml:space="preserve"> </w:t>
      </w:r>
      <w:r w:rsidR="00BF65B3" w:rsidRPr="00DA07E4">
        <w:rPr>
          <w:rFonts w:ascii="Times New Roman" w:hAnsi="Times New Roman" w:cs="Times New Roman"/>
          <w:sz w:val="24"/>
          <w:szCs w:val="24"/>
        </w:rPr>
        <w:t>a</w:t>
      </w:r>
      <w:r w:rsidR="00333F2A" w:rsidRPr="00DA07E4">
        <w:rPr>
          <w:rFonts w:ascii="Times New Roman" w:hAnsi="Times New Roman" w:cs="Times New Roman"/>
          <w:sz w:val="24"/>
          <w:szCs w:val="24"/>
        </w:rPr>
        <w:t> </w:t>
      </w:r>
      <w:r w:rsidRPr="00DA07E4">
        <w:rPr>
          <w:rFonts w:ascii="Times New Roman" w:hAnsi="Times New Roman" w:cs="Times New Roman"/>
          <w:sz w:val="24"/>
          <w:szCs w:val="24"/>
        </w:rPr>
        <w:t>hypocitrat</w:t>
      </w:r>
      <w:r w:rsidR="00BF65B3" w:rsidRPr="00DA07E4">
        <w:rPr>
          <w:rFonts w:ascii="Times New Roman" w:hAnsi="Times New Roman" w:cs="Times New Roman"/>
          <w:sz w:val="24"/>
          <w:szCs w:val="24"/>
        </w:rPr>
        <w:t>ú</w:t>
      </w:r>
      <w:r w:rsidRPr="00DA07E4">
        <w:rPr>
          <w:rFonts w:ascii="Times New Roman" w:hAnsi="Times New Roman" w:cs="Times New Roman"/>
          <w:sz w:val="24"/>
          <w:szCs w:val="24"/>
        </w:rPr>
        <w:t>ri</w:t>
      </w:r>
      <w:r w:rsidR="00BF65B3" w:rsidRPr="00DA07E4">
        <w:rPr>
          <w:rFonts w:ascii="Times New Roman" w:hAnsi="Times New Roman" w:cs="Times New Roman"/>
          <w:sz w:val="24"/>
          <w:szCs w:val="24"/>
        </w:rPr>
        <w:t>ou</w:t>
      </w:r>
      <w:r w:rsidR="00333F2A" w:rsidRPr="00DA07E4">
        <w:rPr>
          <w:rFonts w:ascii="Times New Roman" w:hAnsi="Times New Roman" w:cs="Times New Roman"/>
          <w:sz w:val="24"/>
          <w:szCs w:val="24"/>
        </w:rPr>
        <w:t xml:space="preserve"> (podľa</w:t>
      </w:r>
      <w:r w:rsidR="00DE214F" w:rsidRPr="00DA07E4">
        <w:rPr>
          <w:rFonts w:ascii="Times New Roman" w:hAnsi="Times New Roman" w:cs="Times New Roman"/>
          <w:sz w:val="24"/>
          <w:szCs w:val="24"/>
        </w:rPr>
        <w:t>:</w:t>
      </w:r>
      <w:r w:rsidR="00333F2A" w:rsidRPr="00DA07E4">
        <w:rPr>
          <w:rFonts w:ascii="Times New Roman" w:hAnsi="Times New Roman" w:cs="Times New Roman"/>
          <w:sz w:val="24"/>
          <w:szCs w:val="24"/>
        </w:rPr>
        <w:t xml:space="preserve"> </w:t>
      </w:r>
      <w:r w:rsidR="00333F2A" w:rsidRPr="00DA07E4">
        <w:rPr>
          <w:rFonts w:ascii="Times New Roman" w:hAnsi="Times New Roman" w:cs="Times New Roman"/>
          <w:sz w:val="24"/>
          <w:szCs w:val="24"/>
          <w:shd w:val="clear" w:color="auto" w:fill="FFFFFF"/>
        </w:rPr>
        <w:t>Cloutier</w:t>
      </w:r>
      <w:r w:rsidR="00DE214F" w:rsidRPr="00DA07E4">
        <w:rPr>
          <w:rFonts w:ascii="Times New Roman" w:hAnsi="Times New Roman" w:cs="Times New Roman"/>
          <w:sz w:val="24"/>
          <w:szCs w:val="24"/>
          <w:shd w:val="clear" w:color="auto" w:fill="FFFFFF"/>
        </w:rPr>
        <w:t xml:space="preserve"> et al.</w:t>
      </w:r>
      <w:r w:rsidR="00333F2A" w:rsidRPr="00DA07E4">
        <w:rPr>
          <w:rFonts w:ascii="Times New Roman" w:hAnsi="Times New Roman" w:cs="Times New Roman"/>
          <w:sz w:val="24"/>
          <w:szCs w:val="24"/>
        </w:rPr>
        <w:t>, 2015)</w:t>
      </w:r>
    </w:p>
    <w:bookmarkEnd w:id="10"/>
    <w:p w14:paraId="17C1CAE9" w14:textId="6CE87140" w:rsidR="00D54102" w:rsidRPr="00DA07E4" w:rsidRDefault="00D54102" w:rsidP="00DA07E4">
      <w:pPr>
        <w:pStyle w:val="Odstavecseseznamem"/>
        <w:numPr>
          <w:ilvl w:val="2"/>
          <w:numId w:val="4"/>
        </w:numPr>
        <w:shd w:val="clear" w:color="auto" w:fill="FFFFFF"/>
        <w:spacing w:after="0" w:line="360" w:lineRule="auto"/>
        <w:ind w:left="426" w:hanging="426"/>
        <w:jc w:val="both"/>
        <w:rPr>
          <w:rFonts w:ascii="Times New Roman" w:eastAsia="Times New Roman" w:hAnsi="Times New Roman" w:cs="Times New Roman"/>
          <w:b/>
          <w:sz w:val="24"/>
          <w:szCs w:val="24"/>
          <w:lang w:eastAsia="sk-SK"/>
        </w:rPr>
      </w:pPr>
      <w:r w:rsidRPr="00DA07E4">
        <w:rPr>
          <w:rFonts w:ascii="Times New Roman" w:eastAsia="Times New Roman" w:hAnsi="Times New Roman" w:cs="Times New Roman"/>
          <w:b/>
          <w:sz w:val="24"/>
          <w:szCs w:val="24"/>
          <w:lang w:eastAsia="sk-SK"/>
        </w:rPr>
        <w:lastRenderedPageBreak/>
        <w:t>Konkrementy na báze kyseliny močovej</w:t>
      </w:r>
      <w:r w:rsidR="00D70933" w:rsidRPr="00DA07E4">
        <w:rPr>
          <w:rFonts w:ascii="Times New Roman" w:eastAsia="Times New Roman" w:hAnsi="Times New Roman" w:cs="Times New Roman"/>
          <w:b/>
          <w:sz w:val="24"/>
          <w:szCs w:val="24"/>
          <w:lang w:eastAsia="sk-SK"/>
        </w:rPr>
        <w:t xml:space="preserve"> a </w:t>
      </w:r>
      <w:r w:rsidRPr="00DA07E4">
        <w:rPr>
          <w:rFonts w:ascii="Times New Roman" w:eastAsia="Times New Roman" w:hAnsi="Times New Roman" w:cs="Times New Roman"/>
          <w:b/>
          <w:sz w:val="24"/>
          <w:szCs w:val="24"/>
          <w:lang w:eastAsia="sk-SK"/>
        </w:rPr>
        <w:t>uráty</w:t>
      </w:r>
    </w:p>
    <w:p w14:paraId="23E4580D" w14:textId="77777777" w:rsidR="00526A4A" w:rsidRPr="00DA07E4" w:rsidRDefault="00526A4A" w:rsidP="00DA07E4">
      <w:pPr>
        <w:pStyle w:val="p"/>
        <w:shd w:val="clear" w:color="auto" w:fill="FFFFFF"/>
        <w:spacing w:before="0" w:beforeAutospacing="0" w:after="0" w:afterAutospacing="0" w:line="360" w:lineRule="auto"/>
        <w:ind w:firstLine="708"/>
        <w:jc w:val="both"/>
      </w:pPr>
    </w:p>
    <w:p w14:paraId="0315FE9A" w14:textId="1604E132" w:rsidR="008E23AF" w:rsidRPr="00DA07E4" w:rsidRDefault="00CD28EA" w:rsidP="00DA07E4">
      <w:pPr>
        <w:pStyle w:val="p"/>
        <w:shd w:val="clear" w:color="auto" w:fill="FFFFFF"/>
        <w:spacing w:before="0" w:beforeAutospacing="0" w:after="0" w:afterAutospacing="0" w:line="360" w:lineRule="auto"/>
        <w:ind w:firstLine="708"/>
        <w:jc w:val="both"/>
      </w:pPr>
      <w:r w:rsidRPr="00DA07E4">
        <w:t>V tretej skupine nájdeme konkrementy na báze kyseliny močovej. S</w:t>
      </w:r>
      <w:r w:rsidR="00A833FD" w:rsidRPr="00DA07E4">
        <w:t>ubtyp</w:t>
      </w:r>
      <w:r w:rsidRPr="00DA07E4">
        <w:t>y</w:t>
      </w:r>
      <w:r w:rsidR="00A833FD" w:rsidRPr="00DA07E4">
        <w:t xml:space="preserve"> IIIa </w:t>
      </w:r>
      <w:r w:rsidRPr="00DA07E4">
        <w:t>a</w:t>
      </w:r>
      <w:r w:rsidR="0043456B" w:rsidRPr="00DA07E4">
        <w:t> </w:t>
      </w:r>
      <w:r w:rsidR="00A833FD" w:rsidRPr="00DA07E4">
        <w:t xml:space="preserve">IIIb </w:t>
      </w:r>
      <w:r w:rsidRPr="00DA07E4">
        <w:t xml:space="preserve">sú uricit </w:t>
      </w:r>
      <w:r w:rsidR="000259A5" w:rsidRPr="00DA07E4">
        <w:t xml:space="preserve">anhydrid </w:t>
      </w:r>
      <w:r w:rsidRPr="00DA07E4">
        <w:t>a dihydrát kyseliny močovej</w:t>
      </w:r>
      <w:r w:rsidR="0043456B" w:rsidRPr="00DA07E4">
        <w:t xml:space="preserve"> (Obr</w:t>
      </w:r>
      <w:r w:rsidR="004D3042">
        <w:t>ázky č</w:t>
      </w:r>
      <w:r w:rsidR="001B4298" w:rsidRPr="00DA07E4">
        <w:t>.</w:t>
      </w:r>
      <w:r w:rsidR="0043456B" w:rsidRPr="00DA07E4">
        <w:t xml:space="preserve"> 7</w:t>
      </w:r>
      <w:r w:rsidR="004D3042">
        <w:t xml:space="preserve"> a</w:t>
      </w:r>
      <w:r w:rsidR="0043456B" w:rsidRPr="00DA07E4">
        <w:t xml:space="preserve"> 8)</w:t>
      </w:r>
      <w:r w:rsidRPr="00DA07E4">
        <w:t xml:space="preserve">. </w:t>
      </w:r>
      <w:r w:rsidR="000259A5" w:rsidRPr="00DA07E4">
        <w:t>Vývoj konkrementov z kyseliny močovej prebieha v prostredí kyslého pH (v rozsahu 4</w:t>
      </w:r>
      <w:r w:rsidR="001B4298" w:rsidRPr="00DA07E4">
        <w:t>,</w:t>
      </w:r>
      <w:r w:rsidR="000259A5" w:rsidRPr="00DA07E4">
        <w:t>8</w:t>
      </w:r>
      <w:r w:rsidR="001B4298" w:rsidRPr="00DA07E4">
        <w:t xml:space="preserve"> až </w:t>
      </w:r>
      <w:r w:rsidR="000259A5" w:rsidRPr="00DA07E4">
        <w:t>5</w:t>
      </w:r>
      <w:r w:rsidR="001B4298" w:rsidRPr="00DA07E4">
        <w:t>,</w:t>
      </w:r>
      <w:r w:rsidR="000259A5" w:rsidRPr="00DA07E4">
        <w:t xml:space="preserve">5). </w:t>
      </w:r>
      <w:r w:rsidR="00785CC0" w:rsidRPr="00DA07E4">
        <w:t xml:space="preserve">Subtyp IIIa je konkrement, ktorý rastie veľmi pomaly a typicky sa nachádza prednostne v močovom mechúre pri chronickom postmikčnom rezidue na podklade hyperplázie prostaty. Konkrement je hladký, oranžovej farby. Subtyp IIIb má porézny povrch, rôznu farbu na povrchu ale v strede je tiež oranžový. Dihydrát kyseliny močovej vzniká pri prebiehajúcom metabolickom syndróme alebo diabetes mellitus 2. typu. Pri týchto ochoreniach je moč typicky kyslý. Subtyp IIIb sa vyskytuje aj u pacientov s chronickým ochorením čriev (dochádza k strate zásaditých substancií v črevách, napríklad </w:t>
      </w:r>
      <w:r w:rsidR="00A9246C" w:rsidRPr="00DA07E4">
        <w:t>hemoragická kolitída, stav po kolektómii a ďalšie). Subtyp IIIb vzniká aj pri hyperurikozúrii (býva prítomná pri myeloproliferačných ochoreniach pri cukrovke a rovnako na diétnom podklade, ako bolo uvedené v predošlých podkapitolách).</w:t>
      </w:r>
    </w:p>
    <w:p w14:paraId="0AF0F52A" w14:textId="7418685D" w:rsidR="008E23AF" w:rsidRPr="00DA07E4" w:rsidRDefault="00D70933" w:rsidP="00DA07E4">
      <w:pPr>
        <w:pStyle w:val="p"/>
        <w:shd w:val="clear" w:color="auto" w:fill="FFFFFF"/>
        <w:spacing w:before="0" w:beforeAutospacing="0" w:after="0" w:afterAutospacing="0" w:line="360" w:lineRule="auto"/>
        <w:ind w:firstLine="708"/>
        <w:jc w:val="both"/>
      </w:pPr>
      <w:r w:rsidRPr="00DA07E4">
        <w:t xml:space="preserve">Ďalšie dva subtypy sú uráty. </w:t>
      </w:r>
      <w:r w:rsidR="006B6A24" w:rsidRPr="00DA07E4">
        <w:t>Subtyp IIIc</w:t>
      </w:r>
      <w:r w:rsidR="00B45A1B" w:rsidRPr="00DA07E4">
        <w:t xml:space="preserve"> (</w:t>
      </w:r>
      <w:r w:rsidRPr="00DA07E4">
        <w:t>zložený z urátových solí, najviac zastúpený je amoniumhydrogenurátom v kombinácii s natriumurátmonohydrátom)</w:t>
      </w:r>
      <w:r w:rsidR="006B6A24" w:rsidRPr="00DA07E4">
        <w:t xml:space="preserve"> </w:t>
      </w:r>
      <w:r w:rsidR="00B45A1B" w:rsidRPr="00DA07E4">
        <w:t xml:space="preserve">je konkrement skôr homogénneho porózneho povrchu, krémovej </w:t>
      </w:r>
      <w:r w:rsidR="00FE196D" w:rsidRPr="00DA07E4">
        <w:t xml:space="preserve">až šedej </w:t>
      </w:r>
      <w:r w:rsidR="00B45A1B" w:rsidRPr="00DA07E4">
        <w:t xml:space="preserve">farby. </w:t>
      </w:r>
      <w:r w:rsidRPr="00DA07E4">
        <w:t>Subtyp IIId (čistý amoniumhydrogenurát) má zdrsnený porózny povrch a farebne je tmavých odtieňov</w:t>
      </w:r>
      <w:r w:rsidR="00F92F1C" w:rsidRPr="00DA07E4">
        <w:t>, na priereze sa striedajú tenké porózne béžové a hrubé hnedavé vrstvy</w:t>
      </w:r>
      <w:r w:rsidR="0043456B" w:rsidRPr="00DA07E4">
        <w:t xml:space="preserve"> (Obr</w:t>
      </w:r>
      <w:r w:rsidR="004D3042">
        <w:t>ázok č</w:t>
      </w:r>
      <w:r w:rsidR="001B4298" w:rsidRPr="00DA07E4">
        <w:t>.</w:t>
      </w:r>
      <w:r w:rsidR="0043456B" w:rsidRPr="00DA07E4">
        <w:t xml:space="preserve"> 1)</w:t>
      </w:r>
      <w:r w:rsidRPr="00DA07E4">
        <w:t>. Tieto konkrementy nepotrebujú kyslé prostredie, pre ich vznik je dôležitá vysoká koncentrácia urátu v moči. Vznikať teda môžu aj v prostredí, ktoré je alkalizované</w:t>
      </w:r>
      <w:r w:rsidR="00FE196D" w:rsidRPr="00DA07E4">
        <w:t>. Môže sa jednať o alkalizáciu</w:t>
      </w:r>
      <w:r w:rsidRPr="00DA07E4">
        <w:t xml:space="preserve"> vplyvom liečby</w:t>
      </w:r>
      <w:r w:rsidR="00FE196D" w:rsidRPr="00DA07E4">
        <w:t xml:space="preserve"> (snaha o medikamentózne rozpúšťanie konkrementov na podklade kyseliny močovej za stálej prítomnosti hyperurikozúrie) alebo vplyvom močovinu-štiepiacich baktérií. Tieto dva mechanizmy sú typické pre subtyp IIIc. Hlavn</w:t>
      </w:r>
      <w:r w:rsidR="00F92F1C" w:rsidRPr="00DA07E4">
        <w:t>á</w:t>
      </w:r>
      <w:r w:rsidR="00FE196D" w:rsidRPr="00DA07E4">
        <w:t xml:space="preserve"> príčin</w:t>
      </w:r>
      <w:r w:rsidR="00F92F1C" w:rsidRPr="00DA07E4">
        <w:t>a</w:t>
      </w:r>
      <w:r w:rsidR="00FE196D" w:rsidRPr="00DA07E4">
        <w:t xml:space="preserve"> vzniku subtypu IIId </w:t>
      </w:r>
      <w:r w:rsidR="00F92F1C" w:rsidRPr="00DA07E4">
        <w:t>je</w:t>
      </w:r>
      <w:r w:rsidR="00FE196D" w:rsidRPr="00DA07E4">
        <w:t xml:space="preserve"> chronická hnačka</w:t>
      </w:r>
      <w:r w:rsidR="00F92F1C" w:rsidRPr="00DA07E4">
        <w:t>. Tento stav v</w:t>
      </w:r>
      <w:r w:rsidR="00FE196D" w:rsidRPr="00DA07E4">
        <w:t>edie k nízkemu obsahu elektrolytov v moči za prítomnosti hyperurikozúrie</w:t>
      </w:r>
      <w:r w:rsidR="00F92F1C" w:rsidRPr="00DA07E4">
        <w:t>. Najčastejšie sa jedná o hnačku infekčného pôvodu</w:t>
      </w:r>
      <w:r w:rsidR="001B4298" w:rsidRPr="00DA07E4">
        <w:t xml:space="preserve"> (Dick et al., 1990; Kato et al., 2004</w:t>
      </w:r>
      <w:hyperlink r:id="rId31" w:anchor="CR59" w:history="1"/>
      <w:r w:rsidR="001B4298" w:rsidRPr="00DA07E4">
        <w:t>).</w:t>
      </w:r>
      <w:r w:rsidR="00F92F1C" w:rsidRPr="00DA07E4">
        <w:t xml:space="preserve"> Zaujímavým prípadom je hnačka vyvolaná abúzom laxatív pri anorektických pacientoch, ktorá je tiež asociovaná so vznikom tohto typu urátu</w:t>
      </w:r>
      <w:r w:rsidR="001B4298" w:rsidRPr="00DA07E4">
        <w:t xml:space="preserve"> (Daudon </w:t>
      </w:r>
      <w:r w:rsidR="00874818">
        <w:t>et</w:t>
      </w:r>
      <w:r w:rsidR="00715B14" w:rsidRPr="00DA07E4">
        <w:t xml:space="preserve"> Jurgens</w:t>
      </w:r>
      <w:r w:rsidR="001B4298" w:rsidRPr="00DA07E4">
        <w:t>, 2012).</w:t>
      </w:r>
      <w:r w:rsidR="00715B14" w:rsidRPr="00DA07E4">
        <w:t xml:space="preserve"> </w:t>
      </w:r>
      <w:r w:rsidR="00F92F1C" w:rsidRPr="00DA07E4">
        <w:t>Subtyp IIId sa vo vybraných krajinách vyskytuje aj ako</w:t>
      </w:r>
      <w:r w:rsidR="00FE196D" w:rsidRPr="00DA07E4">
        <w:t xml:space="preserve"> endemická cystolitiáza (postihuje hlavne chlapcov v rozvojových krajinách)</w:t>
      </w:r>
      <w:r w:rsidR="00715B14" w:rsidRPr="00DA07E4">
        <w:t xml:space="preserve"> (Cloutier et al., 2015</w:t>
      </w:r>
      <w:r w:rsidR="00F92F1C" w:rsidRPr="00DA07E4">
        <w:t>)</w:t>
      </w:r>
      <w:r w:rsidR="008E23AF" w:rsidRPr="00DA07E4">
        <w:t>.</w:t>
      </w:r>
    </w:p>
    <w:p w14:paraId="24343D07" w14:textId="58FA07C0" w:rsidR="008E23AF" w:rsidRPr="00DA07E4" w:rsidRDefault="008E23AF" w:rsidP="00DA07E4">
      <w:pPr>
        <w:pStyle w:val="Normlnweb"/>
        <w:shd w:val="clear" w:color="auto" w:fill="FFFFFF"/>
        <w:spacing w:before="0" w:beforeAutospacing="0" w:after="0" w:afterAutospacing="0" w:line="360" w:lineRule="auto"/>
        <w:jc w:val="both"/>
      </w:pPr>
    </w:p>
    <w:p w14:paraId="0B083322" w14:textId="549E65C9" w:rsidR="008E23AF" w:rsidRPr="00DA07E4" w:rsidRDefault="008E23AF" w:rsidP="00DA07E4">
      <w:pPr>
        <w:pStyle w:val="Normlnweb"/>
        <w:shd w:val="clear" w:color="auto" w:fill="FFFFFF"/>
        <w:spacing w:before="0" w:beforeAutospacing="0" w:after="0" w:afterAutospacing="0" w:line="360" w:lineRule="auto"/>
        <w:jc w:val="both"/>
      </w:pPr>
    </w:p>
    <w:p w14:paraId="5E3F7175" w14:textId="77777777" w:rsidR="00A833FD" w:rsidRPr="00C45B92" w:rsidRDefault="00A833FD" w:rsidP="00DA07E4">
      <w:pPr>
        <w:spacing w:after="0" w:line="360" w:lineRule="auto"/>
        <w:jc w:val="both"/>
        <w:rPr>
          <w:rStyle w:val="Hypertextovodkaz"/>
          <w:rFonts w:ascii="Times New Roman" w:hAnsi="Times New Roman" w:cs="Times New Roman"/>
          <w:color w:val="auto"/>
          <w:sz w:val="24"/>
          <w:szCs w:val="24"/>
        </w:rPr>
      </w:pPr>
      <w:r w:rsidRPr="00C45B92">
        <w:rPr>
          <w:rFonts w:ascii="Times New Roman" w:hAnsi="Times New Roman" w:cs="Times New Roman"/>
          <w:sz w:val="24"/>
          <w:szCs w:val="24"/>
        </w:rPr>
        <w:fldChar w:fldCharType="begin"/>
      </w:r>
      <w:r w:rsidRPr="00C45B92">
        <w:rPr>
          <w:rFonts w:ascii="Times New Roman" w:hAnsi="Times New Roman" w:cs="Times New Roman"/>
          <w:sz w:val="24"/>
          <w:szCs w:val="24"/>
        </w:rPr>
        <w:instrText xml:space="preserve"> HYPERLINK "https://www.ncbi.nlm.nih.gov/pmc/articles/PMC4308647/figure/Fig14/" \t "figure" </w:instrText>
      </w:r>
      <w:r w:rsidRPr="00C45B92">
        <w:rPr>
          <w:rFonts w:ascii="Times New Roman" w:hAnsi="Times New Roman" w:cs="Times New Roman"/>
          <w:sz w:val="24"/>
          <w:szCs w:val="24"/>
        </w:rPr>
        <w:fldChar w:fldCharType="separate"/>
      </w:r>
    </w:p>
    <w:p w14:paraId="42F07A5C" w14:textId="105D5537" w:rsidR="00A833FD" w:rsidRPr="00C45B92" w:rsidRDefault="00A833FD" w:rsidP="00C45B92">
      <w:pPr>
        <w:spacing w:after="0" w:line="360" w:lineRule="auto"/>
        <w:jc w:val="center"/>
        <w:rPr>
          <w:rFonts w:ascii="Times New Roman" w:hAnsi="Times New Roman" w:cs="Times New Roman"/>
          <w:sz w:val="24"/>
          <w:szCs w:val="24"/>
        </w:rPr>
      </w:pPr>
      <w:r w:rsidRPr="00C45B92">
        <w:rPr>
          <w:rFonts w:ascii="Times New Roman" w:hAnsi="Times New Roman" w:cs="Times New Roman"/>
          <w:noProof/>
          <w:sz w:val="24"/>
          <w:szCs w:val="24"/>
        </w:rPr>
        <w:lastRenderedPageBreak/>
        <w:drawing>
          <wp:inline distT="0" distB="0" distL="0" distR="0" wp14:anchorId="58F7F7A6" wp14:editId="09AF919A">
            <wp:extent cx="4495236" cy="7448550"/>
            <wp:effectExtent l="0" t="0" r="635" b="0"/>
            <wp:docPr id="3" name="Obrázok 3">
              <a:hlinkClick xmlns:a="http://schemas.openxmlformats.org/drawingml/2006/main" r:id="rId32"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2" tgtFrame="&quot;figure&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527" cy="7555079"/>
                    </a:xfrm>
                    <a:prstGeom prst="rect">
                      <a:avLst/>
                    </a:prstGeom>
                    <a:noFill/>
                    <a:ln>
                      <a:noFill/>
                    </a:ln>
                  </pic:spPr>
                </pic:pic>
              </a:graphicData>
            </a:graphic>
          </wp:inline>
        </w:drawing>
      </w:r>
    </w:p>
    <w:p w14:paraId="26C4B175" w14:textId="5A27F539" w:rsidR="00B74799" w:rsidRPr="00C45B92" w:rsidRDefault="00A833FD" w:rsidP="00C45B92">
      <w:pPr>
        <w:spacing w:after="0" w:line="360" w:lineRule="auto"/>
        <w:jc w:val="both"/>
        <w:rPr>
          <w:rFonts w:ascii="Times New Roman" w:hAnsi="Times New Roman" w:cs="Times New Roman"/>
          <w:sz w:val="24"/>
          <w:szCs w:val="24"/>
        </w:rPr>
      </w:pPr>
      <w:r w:rsidRPr="00C45B92">
        <w:rPr>
          <w:rFonts w:ascii="Times New Roman" w:hAnsi="Times New Roman" w:cs="Times New Roman"/>
          <w:sz w:val="24"/>
          <w:szCs w:val="24"/>
        </w:rPr>
        <w:fldChar w:fldCharType="end"/>
      </w:r>
      <w:bookmarkStart w:id="11" w:name="_Hlk68634878"/>
      <w:r w:rsidR="0043456B" w:rsidRPr="00C45B92">
        <w:rPr>
          <w:rFonts w:ascii="Times New Roman" w:hAnsi="Times New Roman" w:cs="Times New Roman"/>
          <w:b/>
          <w:sz w:val="24"/>
          <w:szCs w:val="24"/>
        </w:rPr>
        <w:t>Obr</w:t>
      </w:r>
      <w:r w:rsidR="00874818" w:rsidRPr="00C45B92">
        <w:rPr>
          <w:rFonts w:ascii="Times New Roman" w:hAnsi="Times New Roman" w:cs="Times New Roman"/>
          <w:b/>
          <w:sz w:val="24"/>
          <w:szCs w:val="24"/>
        </w:rPr>
        <w:t>ázok</w:t>
      </w:r>
      <w:r w:rsidR="0043456B" w:rsidRPr="00C45B92">
        <w:rPr>
          <w:rFonts w:ascii="Times New Roman" w:hAnsi="Times New Roman" w:cs="Times New Roman"/>
          <w:b/>
          <w:sz w:val="24"/>
          <w:szCs w:val="24"/>
        </w:rPr>
        <w:t xml:space="preserve"> 7</w:t>
      </w:r>
      <w:r w:rsidR="00B74799" w:rsidRPr="00C45B92">
        <w:rPr>
          <w:rFonts w:ascii="Times New Roman" w:hAnsi="Times New Roman" w:cs="Times New Roman"/>
          <w:sz w:val="24"/>
          <w:szCs w:val="24"/>
        </w:rPr>
        <w:t xml:space="preserve"> </w:t>
      </w:r>
      <w:r w:rsidR="00333F2A" w:rsidRPr="00C45B92">
        <w:rPr>
          <w:rFonts w:ascii="Times New Roman" w:hAnsi="Times New Roman" w:cs="Times New Roman"/>
          <w:sz w:val="24"/>
          <w:szCs w:val="24"/>
        </w:rPr>
        <w:t>Konkrement z kyseliny močovej subtp IIIa. Hore povrch, dole rez (podľa</w:t>
      </w:r>
      <w:r w:rsidR="00DE214F" w:rsidRPr="00C45B92">
        <w:rPr>
          <w:rFonts w:ascii="Times New Roman" w:hAnsi="Times New Roman" w:cs="Times New Roman"/>
          <w:sz w:val="24"/>
          <w:szCs w:val="24"/>
        </w:rPr>
        <w:t xml:space="preserve">: </w:t>
      </w:r>
      <w:r w:rsidR="00333F2A" w:rsidRPr="00C45B92">
        <w:rPr>
          <w:rFonts w:ascii="Times New Roman" w:hAnsi="Times New Roman" w:cs="Times New Roman"/>
          <w:sz w:val="24"/>
          <w:szCs w:val="24"/>
          <w:shd w:val="clear" w:color="auto" w:fill="FFFFFF"/>
        </w:rPr>
        <w:t>Cloutier</w:t>
      </w:r>
      <w:r w:rsidR="00DE214F" w:rsidRPr="00C45B92">
        <w:rPr>
          <w:rFonts w:ascii="Times New Roman" w:hAnsi="Times New Roman" w:cs="Times New Roman"/>
          <w:sz w:val="24"/>
          <w:szCs w:val="24"/>
          <w:shd w:val="clear" w:color="auto" w:fill="FFFFFF"/>
        </w:rPr>
        <w:t xml:space="preserve"> et al.</w:t>
      </w:r>
      <w:r w:rsidR="00333F2A" w:rsidRPr="00C45B92">
        <w:rPr>
          <w:rFonts w:ascii="Times New Roman" w:hAnsi="Times New Roman" w:cs="Times New Roman"/>
          <w:sz w:val="24"/>
          <w:szCs w:val="24"/>
        </w:rPr>
        <w:t>, 2015)</w:t>
      </w:r>
    </w:p>
    <w:bookmarkEnd w:id="11"/>
    <w:p w14:paraId="46363620" w14:textId="78671CB1" w:rsidR="00A833FD" w:rsidRPr="00C45B92" w:rsidRDefault="00A833FD" w:rsidP="00DA07E4">
      <w:pPr>
        <w:spacing w:after="0" w:line="360" w:lineRule="auto"/>
        <w:jc w:val="both"/>
        <w:textAlignment w:val="top"/>
        <w:rPr>
          <w:rFonts w:ascii="Times New Roman" w:hAnsi="Times New Roman" w:cs="Times New Roman"/>
          <w:sz w:val="24"/>
          <w:szCs w:val="24"/>
        </w:rPr>
      </w:pPr>
    </w:p>
    <w:p w14:paraId="3567BE8C" w14:textId="77777777" w:rsidR="00A833FD" w:rsidRPr="00DA07E4" w:rsidRDefault="00A833FD" w:rsidP="00DA07E4">
      <w:pPr>
        <w:spacing w:after="0" w:line="360" w:lineRule="auto"/>
        <w:jc w:val="both"/>
        <w:rPr>
          <w:rStyle w:val="Hypertextovodkaz"/>
          <w:rFonts w:ascii="Times New Roman" w:hAnsi="Times New Roman" w:cs="Times New Roman"/>
          <w:color w:val="auto"/>
          <w:sz w:val="24"/>
          <w:szCs w:val="24"/>
        </w:rPr>
      </w:pPr>
      <w:r w:rsidRPr="00DA07E4">
        <w:rPr>
          <w:rFonts w:ascii="Times New Roman" w:hAnsi="Times New Roman" w:cs="Times New Roman"/>
          <w:sz w:val="24"/>
          <w:szCs w:val="24"/>
        </w:rPr>
        <w:fldChar w:fldCharType="begin"/>
      </w:r>
      <w:r w:rsidRPr="00DA07E4">
        <w:rPr>
          <w:rFonts w:ascii="Times New Roman" w:hAnsi="Times New Roman" w:cs="Times New Roman"/>
          <w:sz w:val="24"/>
          <w:szCs w:val="24"/>
        </w:rPr>
        <w:instrText xml:space="preserve"> HYPERLINK "https://www.ncbi.nlm.nih.gov/pmc/articles/PMC4308647/figure/Fig15/" \t "figure" </w:instrText>
      </w:r>
      <w:r w:rsidRPr="00DA07E4">
        <w:rPr>
          <w:rFonts w:ascii="Times New Roman" w:hAnsi="Times New Roman" w:cs="Times New Roman"/>
          <w:sz w:val="24"/>
          <w:szCs w:val="24"/>
        </w:rPr>
        <w:fldChar w:fldCharType="separate"/>
      </w:r>
    </w:p>
    <w:p w14:paraId="6805C352" w14:textId="05A6D5DD" w:rsidR="00A833FD" w:rsidRPr="00DA07E4" w:rsidRDefault="00A833FD"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noProof/>
          <w:sz w:val="24"/>
          <w:szCs w:val="24"/>
        </w:rPr>
        <w:lastRenderedPageBreak/>
        <w:drawing>
          <wp:inline distT="0" distB="0" distL="0" distR="0" wp14:anchorId="3BE4840E" wp14:editId="42F3B59F">
            <wp:extent cx="5413529" cy="6846277"/>
            <wp:effectExtent l="0" t="0" r="0" b="0"/>
            <wp:docPr id="2" name="Obrázok 2">
              <a:hlinkClick xmlns:a="http://schemas.openxmlformats.org/drawingml/2006/main" r:id="rId34"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4" tgtFrame="&quot;figur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0493" cy="6880377"/>
                    </a:xfrm>
                    <a:prstGeom prst="rect">
                      <a:avLst/>
                    </a:prstGeom>
                    <a:noFill/>
                    <a:ln>
                      <a:noFill/>
                    </a:ln>
                  </pic:spPr>
                </pic:pic>
              </a:graphicData>
            </a:graphic>
          </wp:inline>
        </w:drawing>
      </w:r>
    </w:p>
    <w:p w14:paraId="467D04D7" w14:textId="715B6469" w:rsidR="00A833FD" w:rsidRPr="00DA07E4" w:rsidRDefault="00A833FD"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sz w:val="24"/>
          <w:szCs w:val="24"/>
        </w:rPr>
        <w:fldChar w:fldCharType="end"/>
      </w:r>
      <w:bookmarkStart w:id="12" w:name="_Hlk68634891"/>
      <w:r w:rsidR="0043456B" w:rsidRPr="00DA07E4">
        <w:rPr>
          <w:rFonts w:ascii="Times New Roman" w:hAnsi="Times New Roman" w:cs="Times New Roman"/>
          <w:b/>
          <w:sz w:val="24"/>
          <w:szCs w:val="24"/>
        </w:rPr>
        <w:t>Obr</w:t>
      </w:r>
      <w:r w:rsidR="00874818">
        <w:rPr>
          <w:rFonts w:ascii="Times New Roman" w:hAnsi="Times New Roman" w:cs="Times New Roman"/>
          <w:b/>
          <w:sz w:val="24"/>
          <w:szCs w:val="24"/>
        </w:rPr>
        <w:t>ázok</w:t>
      </w:r>
      <w:r w:rsidR="0043456B" w:rsidRPr="00DA07E4">
        <w:rPr>
          <w:rFonts w:ascii="Times New Roman" w:hAnsi="Times New Roman" w:cs="Times New Roman"/>
          <w:b/>
          <w:sz w:val="24"/>
          <w:szCs w:val="24"/>
        </w:rPr>
        <w:t xml:space="preserve"> 8</w:t>
      </w:r>
      <w:r w:rsidR="00B74799" w:rsidRPr="00DA07E4">
        <w:rPr>
          <w:rFonts w:ascii="Times New Roman" w:hAnsi="Times New Roman" w:cs="Times New Roman"/>
          <w:b/>
          <w:sz w:val="24"/>
          <w:szCs w:val="24"/>
        </w:rPr>
        <w:t xml:space="preserve"> </w:t>
      </w:r>
      <w:r w:rsidR="00333F2A" w:rsidRPr="00DA07E4">
        <w:rPr>
          <w:rFonts w:ascii="Times New Roman" w:hAnsi="Times New Roman" w:cs="Times New Roman"/>
          <w:bCs/>
          <w:sz w:val="24"/>
          <w:szCs w:val="24"/>
        </w:rPr>
        <w:t>Konkrement z kyseliny močovej subtyp IIIb. Hore povrch, dole rez</w:t>
      </w:r>
      <w:r w:rsidR="00333F2A" w:rsidRPr="00DA07E4">
        <w:rPr>
          <w:rFonts w:ascii="Times New Roman" w:hAnsi="Times New Roman" w:cs="Times New Roman"/>
          <w:sz w:val="24"/>
          <w:szCs w:val="24"/>
        </w:rPr>
        <w:t xml:space="preserve"> (podľa</w:t>
      </w:r>
      <w:r w:rsidR="00DE214F" w:rsidRPr="00DA07E4">
        <w:rPr>
          <w:rFonts w:ascii="Times New Roman" w:hAnsi="Times New Roman" w:cs="Times New Roman"/>
          <w:sz w:val="24"/>
          <w:szCs w:val="24"/>
        </w:rPr>
        <w:t xml:space="preserve">: </w:t>
      </w:r>
      <w:r w:rsidR="00333F2A" w:rsidRPr="00DA07E4">
        <w:rPr>
          <w:rFonts w:ascii="Times New Roman" w:hAnsi="Times New Roman" w:cs="Times New Roman"/>
          <w:sz w:val="24"/>
          <w:szCs w:val="24"/>
        </w:rPr>
        <w:t xml:space="preserve"> </w:t>
      </w:r>
      <w:r w:rsidR="00333F2A" w:rsidRPr="00DA07E4">
        <w:rPr>
          <w:rFonts w:ascii="Times New Roman" w:hAnsi="Times New Roman" w:cs="Times New Roman"/>
          <w:sz w:val="24"/>
          <w:szCs w:val="24"/>
          <w:shd w:val="clear" w:color="auto" w:fill="FFFFFF"/>
        </w:rPr>
        <w:t>Cloutier</w:t>
      </w:r>
      <w:r w:rsidR="00DE214F" w:rsidRPr="00DA07E4">
        <w:rPr>
          <w:rFonts w:ascii="Times New Roman" w:hAnsi="Times New Roman" w:cs="Times New Roman"/>
          <w:sz w:val="24"/>
          <w:szCs w:val="24"/>
          <w:shd w:val="clear" w:color="auto" w:fill="FFFFFF"/>
        </w:rPr>
        <w:t xml:space="preserve"> et al.</w:t>
      </w:r>
      <w:r w:rsidR="00333F2A" w:rsidRPr="00DA07E4">
        <w:rPr>
          <w:rFonts w:ascii="Times New Roman" w:hAnsi="Times New Roman" w:cs="Times New Roman"/>
          <w:sz w:val="24"/>
          <w:szCs w:val="24"/>
        </w:rPr>
        <w:t>, 2015)</w:t>
      </w:r>
    </w:p>
    <w:bookmarkEnd w:id="12"/>
    <w:p w14:paraId="452F8BA4" w14:textId="67E5B527" w:rsidR="00A833FD" w:rsidRPr="00DA07E4" w:rsidRDefault="00A833FD" w:rsidP="00DA07E4">
      <w:pPr>
        <w:pStyle w:val="Normlnweb"/>
        <w:spacing w:before="0" w:beforeAutospacing="0" w:after="0" w:afterAutospacing="0" w:line="360" w:lineRule="auto"/>
        <w:jc w:val="both"/>
        <w:textAlignment w:val="top"/>
      </w:pPr>
    </w:p>
    <w:p w14:paraId="0A6549C4" w14:textId="2063919D" w:rsidR="00D54102" w:rsidRPr="00DA07E4" w:rsidRDefault="00663D6D" w:rsidP="00DA07E4">
      <w:pPr>
        <w:pStyle w:val="Odstavecseseznamem"/>
        <w:numPr>
          <w:ilvl w:val="2"/>
          <w:numId w:val="16"/>
        </w:numPr>
        <w:shd w:val="clear" w:color="auto" w:fill="FFFFFF"/>
        <w:spacing w:after="0" w:line="360" w:lineRule="auto"/>
        <w:jc w:val="both"/>
        <w:rPr>
          <w:rFonts w:ascii="Times New Roman" w:eastAsia="Times New Roman" w:hAnsi="Times New Roman" w:cs="Times New Roman"/>
          <w:b/>
          <w:sz w:val="24"/>
          <w:szCs w:val="24"/>
          <w:lang w:eastAsia="sk-SK"/>
        </w:rPr>
      </w:pPr>
      <w:r w:rsidRPr="00DA07E4">
        <w:rPr>
          <w:rFonts w:ascii="Times New Roman" w:eastAsia="Times New Roman" w:hAnsi="Times New Roman" w:cs="Times New Roman"/>
          <w:b/>
          <w:sz w:val="24"/>
          <w:szCs w:val="24"/>
          <w:lang w:eastAsia="sk-SK"/>
        </w:rPr>
        <w:t>Karba</w:t>
      </w:r>
      <w:r w:rsidR="00D54102" w:rsidRPr="00DA07E4">
        <w:rPr>
          <w:rFonts w:ascii="Times New Roman" w:eastAsia="Times New Roman" w:hAnsi="Times New Roman" w:cs="Times New Roman"/>
          <w:b/>
          <w:sz w:val="24"/>
          <w:szCs w:val="24"/>
          <w:lang w:eastAsia="sk-SK"/>
        </w:rPr>
        <w:t>patit, brushit a</w:t>
      </w:r>
      <w:r w:rsidR="00CD28EA" w:rsidRPr="00DA07E4">
        <w:rPr>
          <w:rFonts w:ascii="Times New Roman" w:eastAsia="Times New Roman" w:hAnsi="Times New Roman" w:cs="Times New Roman"/>
          <w:b/>
          <w:sz w:val="24"/>
          <w:szCs w:val="24"/>
          <w:lang w:eastAsia="sk-SK"/>
        </w:rPr>
        <w:t> </w:t>
      </w:r>
      <w:r w:rsidR="00D54102" w:rsidRPr="00DA07E4">
        <w:rPr>
          <w:rFonts w:ascii="Times New Roman" w:eastAsia="Times New Roman" w:hAnsi="Times New Roman" w:cs="Times New Roman"/>
          <w:b/>
          <w:sz w:val="24"/>
          <w:szCs w:val="24"/>
          <w:lang w:eastAsia="sk-SK"/>
        </w:rPr>
        <w:t>struvit</w:t>
      </w:r>
    </w:p>
    <w:p w14:paraId="0C6D811A" w14:textId="77777777" w:rsidR="00526A4A" w:rsidRPr="00DA07E4" w:rsidRDefault="00526A4A" w:rsidP="00DA07E4">
      <w:pPr>
        <w:shd w:val="clear" w:color="auto" w:fill="FFFFFF"/>
        <w:spacing w:after="0" w:line="360" w:lineRule="auto"/>
        <w:ind w:firstLine="708"/>
        <w:jc w:val="both"/>
        <w:rPr>
          <w:rFonts w:ascii="Times New Roman" w:eastAsia="Times New Roman" w:hAnsi="Times New Roman" w:cs="Times New Roman"/>
          <w:b/>
          <w:sz w:val="24"/>
          <w:szCs w:val="24"/>
          <w:lang w:eastAsia="sk-SK"/>
        </w:rPr>
      </w:pPr>
    </w:p>
    <w:p w14:paraId="1E8F65CC" w14:textId="0D098CCE" w:rsidR="0069101F" w:rsidRPr="00DA07E4" w:rsidRDefault="00CD28EA"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 xml:space="preserve">V štvrtej skupine konkrementov sa nachádzajú močové </w:t>
      </w:r>
      <w:r w:rsidR="00AF27FF" w:rsidRPr="00DA07E4">
        <w:rPr>
          <w:rFonts w:ascii="Times New Roman" w:eastAsia="Times New Roman" w:hAnsi="Times New Roman" w:cs="Times New Roman"/>
          <w:sz w:val="24"/>
          <w:szCs w:val="24"/>
          <w:lang w:eastAsia="sk-SK"/>
        </w:rPr>
        <w:t>konkrementy</w:t>
      </w:r>
      <w:r w:rsidRPr="00DA07E4">
        <w:rPr>
          <w:rFonts w:ascii="Times New Roman" w:eastAsia="Times New Roman" w:hAnsi="Times New Roman" w:cs="Times New Roman"/>
          <w:sz w:val="24"/>
          <w:szCs w:val="24"/>
          <w:lang w:eastAsia="sk-SK"/>
        </w:rPr>
        <w:t xml:space="preserve">, v ktorých sa nachádza fosfor. Vznik týchto konkrementov je typicky korelovaný s prítomnosťou infekcie </w:t>
      </w:r>
      <w:r w:rsidRPr="00DA07E4">
        <w:rPr>
          <w:rFonts w:ascii="Times New Roman" w:eastAsia="Times New Roman" w:hAnsi="Times New Roman" w:cs="Times New Roman"/>
          <w:sz w:val="24"/>
          <w:szCs w:val="24"/>
          <w:lang w:eastAsia="sk-SK"/>
        </w:rPr>
        <w:lastRenderedPageBreak/>
        <w:t>močových ciest</w:t>
      </w:r>
      <w:r w:rsidR="00B32096" w:rsidRPr="00DA07E4">
        <w:rPr>
          <w:rFonts w:ascii="Times New Roman" w:eastAsia="Times New Roman" w:hAnsi="Times New Roman" w:cs="Times New Roman"/>
          <w:sz w:val="24"/>
          <w:szCs w:val="24"/>
          <w:lang w:eastAsia="sk-SK"/>
        </w:rPr>
        <w:t xml:space="preserve"> s výnimkou brushitu</w:t>
      </w:r>
      <w:r w:rsidR="004143E7" w:rsidRPr="00DA07E4">
        <w:rPr>
          <w:rFonts w:ascii="Times New Roman" w:eastAsia="Times New Roman" w:hAnsi="Times New Roman" w:cs="Times New Roman"/>
          <w:sz w:val="24"/>
          <w:szCs w:val="24"/>
          <w:lang w:eastAsia="sk-SK"/>
        </w:rPr>
        <w:t xml:space="preserve"> a karbapatitu subtypu IVa2</w:t>
      </w:r>
      <w:r w:rsidRPr="00DA07E4">
        <w:rPr>
          <w:rFonts w:ascii="Times New Roman" w:eastAsia="Times New Roman" w:hAnsi="Times New Roman" w:cs="Times New Roman"/>
          <w:sz w:val="24"/>
          <w:szCs w:val="24"/>
          <w:lang w:eastAsia="sk-SK"/>
        </w:rPr>
        <w:t xml:space="preserve">. </w:t>
      </w:r>
      <w:r w:rsidR="00B32096" w:rsidRPr="00DA07E4">
        <w:rPr>
          <w:rFonts w:ascii="Times New Roman" w:eastAsia="Times New Roman" w:hAnsi="Times New Roman" w:cs="Times New Roman"/>
          <w:sz w:val="24"/>
          <w:szCs w:val="24"/>
          <w:lang w:eastAsia="sk-SK"/>
        </w:rPr>
        <w:t>Brushit je béžovobiely, na povrchu jemne drsný. Vzniká ako dôsledok primárneho hyperparathyroidizmu. Karbapatit má tri subtypy – IVa1, IVa2 a IVb. Subtyp IVa1 je homogénneho drsného povrchu, belavej béžovej farby. Vzniká pri hyperkalciúrii a prítomnosti infekcie močových ciest. Rovnako subtyp IVb koreluje</w:t>
      </w:r>
      <w:r w:rsidR="004143E7" w:rsidRPr="00DA07E4">
        <w:rPr>
          <w:rFonts w:ascii="Times New Roman" w:eastAsia="Times New Roman" w:hAnsi="Times New Roman" w:cs="Times New Roman"/>
          <w:sz w:val="24"/>
          <w:szCs w:val="24"/>
          <w:lang w:eastAsia="sk-SK"/>
        </w:rPr>
        <w:t xml:space="preserve"> s hyperkalciúriou a infekciou, ale typicky sa viaže napríklad so struvitom – jeho etiológia preto závisí na ďalších prítomných komponentoch. Je heterogénneho vzhľadu a môže byť rôznej farby. Subtyp IVa2 má lesklý povrch s drobnými prasklinami a je bledohnedej farby. Tento konkremet vzniká pri distálnej renálnej tubulárnej acidóze. </w:t>
      </w:r>
      <w:r w:rsidRPr="00DA07E4">
        <w:rPr>
          <w:rFonts w:ascii="Times New Roman" w:eastAsia="Times New Roman" w:hAnsi="Times New Roman" w:cs="Times New Roman"/>
          <w:sz w:val="24"/>
          <w:szCs w:val="24"/>
          <w:lang w:eastAsia="sk-SK"/>
        </w:rPr>
        <w:t>Struvit (magnéziumamoniumfosfát) sa spája s prítomnosťou ureáz</w:t>
      </w:r>
      <w:r w:rsidR="00B32096" w:rsidRPr="00DA07E4">
        <w:rPr>
          <w:rFonts w:ascii="Times New Roman" w:eastAsia="Times New Roman" w:hAnsi="Times New Roman" w:cs="Times New Roman"/>
          <w:sz w:val="24"/>
          <w:szCs w:val="24"/>
          <w:lang w:eastAsia="sk-SK"/>
        </w:rPr>
        <w:t>a</w:t>
      </w:r>
      <w:r w:rsidRPr="00DA07E4">
        <w:rPr>
          <w:rFonts w:ascii="Times New Roman" w:eastAsia="Times New Roman" w:hAnsi="Times New Roman" w:cs="Times New Roman"/>
          <w:sz w:val="24"/>
          <w:szCs w:val="24"/>
          <w:lang w:eastAsia="sk-SK"/>
        </w:rPr>
        <w:t xml:space="preserve">-štiepiacich baktérií. </w:t>
      </w:r>
      <w:r w:rsidR="00B32096" w:rsidRPr="00DA07E4">
        <w:rPr>
          <w:rFonts w:ascii="Times New Roman" w:eastAsia="Times New Roman" w:hAnsi="Times New Roman" w:cs="Times New Roman"/>
          <w:sz w:val="24"/>
          <w:szCs w:val="24"/>
          <w:lang w:eastAsia="sk-SK"/>
        </w:rPr>
        <w:t>Struvit je belavý, má homogénny povrch s tupouhlými kryštálmi.</w:t>
      </w:r>
    </w:p>
    <w:p w14:paraId="4525A29D" w14:textId="2E8D9E1B" w:rsidR="004143E7" w:rsidRPr="00DA07E4" w:rsidRDefault="0043456B"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V</w:t>
      </w:r>
      <w:r w:rsidR="00874818">
        <w:rPr>
          <w:rFonts w:ascii="Times New Roman" w:eastAsia="Times New Roman" w:hAnsi="Times New Roman" w:cs="Times New Roman"/>
          <w:sz w:val="24"/>
          <w:szCs w:val="24"/>
          <w:lang w:eastAsia="sk-SK"/>
        </w:rPr>
        <w:t> </w:t>
      </w:r>
      <w:r w:rsidR="00526A4A" w:rsidRPr="00DA07E4">
        <w:rPr>
          <w:rFonts w:ascii="Times New Roman" w:eastAsia="Times New Roman" w:hAnsi="Times New Roman" w:cs="Times New Roman"/>
          <w:sz w:val="24"/>
          <w:szCs w:val="24"/>
          <w:lang w:eastAsia="sk-SK"/>
        </w:rPr>
        <w:t>t</w:t>
      </w:r>
      <w:r w:rsidRPr="00DA07E4">
        <w:rPr>
          <w:rFonts w:ascii="Times New Roman" w:eastAsia="Times New Roman" w:hAnsi="Times New Roman" w:cs="Times New Roman"/>
          <w:sz w:val="24"/>
          <w:szCs w:val="24"/>
          <w:lang w:eastAsia="sk-SK"/>
        </w:rPr>
        <w:t>abuľk</w:t>
      </w:r>
      <w:r w:rsidR="00874818">
        <w:rPr>
          <w:rFonts w:ascii="Times New Roman" w:eastAsia="Times New Roman" w:hAnsi="Times New Roman" w:cs="Times New Roman"/>
          <w:sz w:val="24"/>
          <w:szCs w:val="24"/>
          <w:lang w:eastAsia="sk-SK"/>
        </w:rPr>
        <w:t>ách č.</w:t>
      </w:r>
      <w:r w:rsidR="00B74799" w:rsidRPr="00DA07E4">
        <w:rPr>
          <w:rFonts w:ascii="Times New Roman" w:eastAsia="Times New Roman" w:hAnsi="Times New Roman" w:cs="Times New Roman"/>
          <w:sz w:val="24"/>
          <w:szCs w:val="24"/>
          <w:lang w:eastAsia="sk-SK"/>
        </w:rPr>
        <w:t xml:space="preserve"> 4</w:t>
      </w:r>
      <w:r w:rsidR="00526A4A" w:rsidRPr="00DA07E4">
        <w:rPr>
          <w:rFonts w:ascii="Times New Roman" w:eastAsia="Times New Roman" w:hAnsi="Times New Roman" w:cs="Times New Roman"/>
          <w:sz w:val="24"/>
          <w:szCs w:val="24"/>
          <w:lang w:eastAsia="sk-SK"/>
        </w:rPr>
        <w:t xml:space="preserve"> a</w:t>
      </w:r>
      <w:r w:rsidR="00874818">
        <w:rPr>
          <w:rFonts w:ascii="Times New Roman" w:eastAsia="Times New Roman" w:hAnsi="Times New Roman" w:cs="Times New Roman"/>
          <w:sz w:val="24"/>
          <w:szCs w:val="24"/>
          <w:lang w:eastAsia="sk-SK"/>
        </w:rPr>
        <w:t> </w:t>
      </w:r>
      <w:r w:rsidR="00526A4A" w:rsidRPr="00DA07E4">
        <w:rPr>
          <w:rFonts w:ascii="Times New Roman" w:eastAsia="Times New Roman" w:hAnsi="Times New Roman" w:cs="Times New Roman"/>
          <w:sz w:val="24"/>
          <w:szCs w:val="24"/>
          <w:lang w:eastAsia="sk-SK"/>
        </w:rPr>
        <w:t>5</w:t>
      </w:r>
      <w:r w:rsidR="00874818">
        <w:rPr>
          <w:rFonts w:ascii="Times New Roman" w:eastAsia="Times New Roman" w:hAnsi="Times New Roman" w:cs="Times New Roman"/>
          <w:sz w:val="24"/>
          <w:szCs w:val="24"/>
          <w:lang w:eastAsia="sk-SK"/>
        </w:rPr>
        <w:t xml:space="preserve"> je</w:t>
      </w:r>
      <w:r w:rsidR="004143E7" w:rsidRPr="00DA07E4">
        <w:rPr>
          <w:rFonts w:ascii="Times New Roman" w:eastAsia="Times New Roman" w:hAnsi="Times New Roman" w:cs="Times New Roman"/>
          <w:sz w:val="24"/>
          <w:szCs w:val="24"/>
          <w:lang w:eastAsia="sk-SK"/>
        </w:rPr>
        <w:t xml:space="preserve"> prehľad vyššie uvedených</w:t>
      </w:r>
      <w:r w:rsidRPr="00DA07E4">
        <w:rPr>
          <w:rFonts w:ascii="Times New Roman" w:eastAsia="Times New Roman" w:hAnsi="Times New Roman" w:cs="Times New Roman"/>
          <w:sz w:val="24"/>
          <w:szCs w:val="24"/>
          <w:lang w:eastAsia="sk-SK"/>
        </w:rPr>
        <w:t xml:space="preserve"> konkrementov</w:t>
      </w:r>
      <w:r w:rsidR="004143E7" w:rsidRPr="00DA07E4">
        <w:rPr>
          <w:rFonts w:ascii="Times New Roman" w:eastAsia="Times New Roman" w:hAnsi="Times New Roman" w:cs="Times New Roman"/>
          <w:sz w:val="24"/>
          <w:szCs w:val="24"/>
          <w:lang w:eastAsia="sk-SK"/>
        </w:rPr>
        <w:t xml:space="preserve"> aj ďalších bežných urolitov vrátane príčin ich vzniku.</w:t>
      </w:r>
    </w:p>
    <w:p w14:paraId="22D0F05C" w14:textId="77777777" w:rsidR="00B74799" w:rsidRPr="00DA07E4" w:rsidRDefault="00B74799"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478D8935" w14:textId="13C06231" w:rsidR="00AA3622" w:rsidRDefault="00AA3622" w:rsidP="00DA07E4">
      <w:pPr>
        <w:pStyle w:val="Normlnweb"/>
        <w:spacing w:before="0" w:beforeAutospacing="0" w:after="0" w:afterAutospacing="0" w:line="360" w:lineRule="auto"/>
        <w:jc w:val="both"/>
      </w:pPr>
      <w:bookmarkStart w:id="13" w:name="_Hlk68634958"/>
      <w:r w:rsidRPr="00DA07E4">
        <w:rPr>
          <w:b/>
        </w:rPr>
        <w:t>Tab</w:t>
      </w:r>
      <w:r w:rsidR="00874818">
        <w:rPr>
          <w:b/>
        </w:rPr>
        <w:t>uľka</w:t>
      </w:r>
      <w:r w:rsidR="00526A4A" w:rsidRPr="00DA07E4">
        <w:rPr>
          <w:b/>
        </w:rPr>
        <w:t xml:space="preserve"> 4</w:t>
      </w:r>
      <w:r w:rsidRPr="00DA07E4">
        <w:t xml:space="preserve">  Prehľad najčastejších vzťahov medzi typom, hlavnou zložkou konkrementu a etiológiou jeho vzniku (upravené podľa </w:t>
      </w:r>
      <w:r w:rsidR="00B55FFA" w:rsidRPr="00DA07E4">
        <w:rPr>
          <w:shd w:val="clear" w:color="auto" w:fill="FFFFFF"/>
        </w:rPr>
        <w:t>Cloutier</w:t>
      </w:r>
      <w:r w:rsidR="00DE214F" w:rsidRPr="00DA07E4">
        <w:rPr>
          <w:shd w:val="clear" w:color="auto" w:fill="FFFFFF"/>
        </w:rPr>
        <w:t xml:space="preserve"> et al.</w:t>
      </w:r>
      <w:r w:rsidR="00B55FFA" w:rsidRPr="00DA07E4">
        <w:t>, 2015</w:t>
      </w:r>
      <w:r w:rsidRPr="00DA07E4">
        <w:t>)</w:t>
      </w:r>
    </w:p>
    <w:p w14:paraId="56839D09" w14:textId="77777777" w:rsidR="00E43A8D" w:rsidRPr="00DA07E4" w:rsidRDefault="00E43A8D" w:rsidP="00DA07E4">
      <w:pPr>
        <w:pStyle w:val="Normlnweb"/>
        <w:spacing w:before="0" w:beforeAutospacing="0" w:after="0" w:afterAutospacing="0" w:line="360" w:lineRule="auto"/>
        <w:jc w:val="both"/>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96"/>
        <w:gridCol w:w="993"/>
        <w:gridCol w:w="1842"/>
        <w:gridCol w:w="3969"/>
      </w:tblGrid>
      <w:tr w:rsidR="00AA3622" w:rsidRPr="00DA07E4" w14:paraId="5F737227" w14:textId="77777777" w:rsidTr="00E43A8D">
        <w:trPr>
          <w:trHeight w:val="518"/>
          <w:tblHeader/>
        </w:trPr>
        <w:tc>
          <w:tcPr>
            <w:tcW w:w="1696" w:type="dxa"/>
            <w:shd w:val="clear" w:color="auto" w:fill="D9D9D9" w:themeFill="background1" w:themeFillShade="D9"/>
            <w:tcMar>
              <w:top w:w="48" w:type="dxa"/>
              <w:left w:w="96" w:type="dxa"/>
              <w:bottom w:w="48" w:type="dxa"/>
              <w:right w:w="96" w:type="dxa"/>
            </w:tcMar>
            <w:hideMark/>
          </w:tcPr>
          <w:bookmarkEnd w:id="13"/>
          <w:p w14:paraId="1BD5999D" w14:textId="77777777" w:rsidR="00AA3622" w:rsidRPr="00DA07E4" w:rsidRDefault="00AA3622" w:rsidP="00DA07E4">
            <w:pPr>
              <w:spacing w:after="0" w:line="360" w:lineRule="auto"/>
              <w:jc w:val="both"/>
              <w:rPr>
                <w:rFonts w:ascii="Times New Roman" w:hAnsi="Times New Roman" w:cs="Times New Roman"/>
                <w:b/>
                <w:bCs/>
                <w:sz w:val="24"/>
                <w:szCs w:val="24"/>
              </w:rPr>
            </w:pPr>
            <w:r w:rsidRPr="00DA07E4">
              <w:rPr>
                <w:rFonts w:ascii="Times New Roman" w:hAnsi="Times New Roman" w:cs="Times New Roman"/>
                <w:b/>
                <w:bCs/>
                <w:sz w:val="24"/>
                <w:szCs w:val="24"/>
              </w:rPr>
              <w:t>Morfologický typ</w:t>
            </w:r>
          </w:p>
        </w:tc>
        <w:tc>
          <w:tcPr>
            <w:tcW w:w="993" w:type="dxa"/>
            <w:shd w:val="clear" w:color="auto" w:fill="D9D9D9" w:themeFill="background1" w:themeFillShade="D9"/>
            <w:tcMar>
              <w:top w:w="48" w:type="dxa"/>
              <w:left w:w="96" w:type="dxa"/>
              <w:bottom w:w="48" w:type="dxa"/>
              <w:right w:w="96" w:type="dxa"/>
            </w:tcMar>
            <w:hideMark/>
          </w:tcPr>
          <w:p w14:paraId="6C72C9F7" w14:textId="77777777" w:rsidR="00AA3622" w:rsidRPr="00DA07E4" w:rsidRDefault="00AA3622" w:rsidP="00DA07E4">
            <w:pPr>
              <w:spacing w:after="0" w:line="360" w:lineRule="auto"/>
              <w:jc w:val="both"/>
              <w:rPr>
                <w:rFonts w:ascii="Times New Roman" w:hAnsi="Times New Roman" w:cs="Times New Roman"/>
                <w:b/>
                <w:bCs/>
                <w:sz w:val="24"/>
                <w:szCs w:val="24"/>
              </w:rPr>
            </w:pPr>
            <w:r w:rsidRPr="00DA07E4">
              <w:rPr>
                <w:rFonts w:ascii="Times New Roman" w:hAnsi="Times New Roman" w:cs="Times New Roman"/>
                <w:b/>
                <w:bCs/>
                <w:sz w:val="24"/>
                <w:szCs w:val="24"/>
              </w:rPr>
              <w:t>Subtyp</w:t>
            </w:r>
          </w:p>
        </w:tc>
        <w:tc>
          <w:tcPr>
            <w:tcW w:w="1842" w:type="dxa"/>
            <w:shd w:val="clear" w:color="auto" w:fill="D9D9D9" w:themeFill="background1" w:themeFillShade="D9"/>
            <w:tcMar>
              <w:top w:w="48" w:type="dxa"/>
              <w:left w:w="96" w:type="dxa"/>
              <w:bottom w:w="48" w:type="dxa"/>
              <w:right w:w="96" w:type="dxa"/>
            </w:tcMar>
            <w:hideMark/>
          </w:tcPr>
          <w:p w14:paraId="0ABAEFD6" w14:textId="77777777" w:rsidR="00AA3622" w:rsidRPr="00DA07E4" w:rsidRDefault="00AA3622" w:rsidP="00DA07E4">
            <w:pPr>
              <w:spacing w:after="0" w:line="360" w:lineRule="auto"/>
              <w:jc w:val="both"/>
              <w:rPr>
                <w:rFonts w:ascii="Times New Roman" w:hAnsi="Times New Roman" w:cs="Times New Roman"/>
                <w:b/>
                <w:bCs/>
                <w:sz w:val="24"/>
                <w:szCs w:val="24"/>
              </w:rPr>
            </w:pPr>
            <w:r w:rsidRPr="00DA07E4">
              <w:rPr>
                <w:rFonts w:ascii="Times New Roman" w:hAnsi="Times New Roman" w:cs="Times New Roman"/>
                <w:b/>
                <w:bCs/>
                <w:sz w:val="24"/>
                <w:szCs w:val="24"/>
              </w:rPr>
              <w:t>Hlavná zložka</w:t>
            </w:r>
          </w:p>
        </w:tc>
        <w:tc>
          <w:tcPr>
            <w:tcW w:w="3969" w:type="dxa"/>
            <w:shd w:val="clear" w:color="auto" w:fill="D9D9D9" w:themeFill="background1" w:themeFillShade="D9"/>
            <w:tcMar>
              <w:top w:w="48" w:type="dxa"/>
              <w:left w:w="96" w:type="dxa"/>
              <w:bottom w:w="48" w:type="dxa"/>
              <w:right w:w="96" w:type="dxa"/>
            </w:tcMar>
            <w:hideMark/>
          </w:tcPr>
          <w:p w14:paraId="408F95D2" w14:textId="77777777" w:rsidR="00AA3622" w:rsidRPr="00DA07E4" w:rsidRDefault="00AA3622" w:rsidP="00DA07E4">
            <w:pPr>
              <w:spacing w:after="0" w:line="360" w:lineRule="auto"/>
              <w:jc w:val="both"/>
              <w:rPr>
                <w:rFonts w:ascii="Times New Roman" w:hAnsi="Times New Roman" w:cs="Times New Roman"/>
                <w:b/>
                <w:bCs/>
                <w:sz w:val="24"/>
                <w:szCs w:val="24"/>
              </w:rPr>
            </w:pPr>
            <w:r w:rsidRPr="00DA07E4">
              <w:rPr>
                <w:rFonts w:ascii="Times New Roman" w:hAnsi="Times New Roman" w:cs="Times New Roman"/>
                <w:b/>
                <w:bCs/>
                <w:sz w:val="24"/>
                <w:szCs w:val="24"/>
              </w:rPr>
              <w:t>Bežné príčiny vzniku</w:t>
            </w:r>
          </w:p>
        </w:tc>
      </w:tr>
      <w:tr w:rsidR="00AA3622" w:rsidRPr="00DA07E4" w14:paraId="780940A4"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6AEF2C57"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w:t>
            </w:r>
          </w:p>
        </w:tc>
        <w:tc>
          <w:tcPr>
            <w:tcW w:w="993" w:type="dxa"/>
            <w:tcMar>
              <w:top w:w="48" w:type="dxa"/>
              <w:left w:w="96" w:type="dxa"/>
              <w:bottom w:w="48" w:type="dxa"/>
              <w:right w:w="96" w:type="dxa"/>
            </w:tcMar>
            <w:hideMark/>
          </w:tcPr>
          <w:p w14:paraId="7484EE34"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Ia</w:t>
            </w:r>
          </w:p>
        </w:tc>
        <w:tc>
          <w:tcPr>
            <w:tcW w:w="1842" w:type="dxa"/>
            <w:tcMar>
              <w:top w:w="48" w:type="dxa"/>
              <w:left w:w="96" w:type="dxa"/>
              <w:bottom w:w="48" w:type="dxa"/>
              <w:right w:w="96" w:type="dxa"/>
            </w:tcMar>
            <w:hideMark/>
          </w:tcPr>
          <w:p w14:paraId="2AB3309C"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375CA3EB"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hyperoxalúria v strave</w:t>
            </w:r>
          </w:p>
        </w:tc>
      </w:tr>
      <w:tr w:rsidR="00AA3622" w:rsidRPr="00DA07E4" w14:paraId="0CA361A7" w14:textId="77777777" w:rsidTr="00E43A8D">
        <w:tc>
          <w:tcPr>
            <w:tcW w:w="1696" w:type="dxa"/>
            <w:vMerge/>
            <w:shd w:val="clear" w:color="auto" w:fill="D9D9D9" w:themeFill="background1" w:themeFillShade="D9"/>
            <w:tcMar>
              <w:top w:w="48" w:type="dxa"/>
              <w:left w:w="96" w:type="dxa"/>
              <w:bottom w:w="48" w:type="dxa"/>
              <w:right w:w="96" w:type="dxa"/>
            </w:tcMar>
            <w:hideMark/>
          </w:tcPr>
          <w:p w14:paraId="1601BE5B"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5BF05664"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Ib</w:t>
            </w:r>
          </w:p>
        </w:tc>
        <w:tc>
          <w:tcPr>
            <w:tcW w:w="1842" w:type="dxa"/>
            <w:tcMar>
              <w:top w:w="48" w:type="dxa"/>
              <w:left w:w="96" w:type="dxa"/>
              <w:bottom w:w="48" w:type="dxa"/>
              <w:right w:w="96" w:type="dxa"/>
            </w:tcMar>
            <w:hideMark/>
          </w:tcPr>
          <w:p w14:paraId="2E2F100C"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5E876E68"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stáza, nízka diuréza</w:t>
            </w:r>
          </w:p>
        </w:tc>
      </w:tr>
      <w:tr w:rsidR="00AA3622" w:rsidRPr="00DA07E4" w14:paraId="032AD30A" w14:textId="77777777" w:rsidTr="00E43A8D">
        <w:tc>
          <w:tcPr>
            <w:tcW w:w="1696" w:type="dxa"/>
            <w:vMerge/>
            <w:shd w:val="clear" w:color="auto" w:fill="D9D9D9" w:themeFill="background1" w:themeFillShade="D9"/>
            <w:tcMar>
              <w:top w:w="48" w:type="dxa"/>
              <w:left w:w="96" w:type="dxa"/>
              <w:bottom w:w="48" w:type="dxa"/>
              <w:right w:w="96" w:type="dxa"/>
            </w:tcMar>
            <w:hideMark/>
          </w:tcPr>
          <w:p w14:paraId="72E5FD49"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7C32CD81"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Ic</w:t>
            </w:r>
          </w:p>
        </w:tc>
        <w:tc>
          <w:tcPr>
            <w:tcW w:w="1842" w:type="dxa"/>
            <w:tcMar>
              <w:top w:w="48" w:type="dxa"/>
              <w:left w:w="96" w:type="dxa"/>
              <w:bottom w:w="48" w:type="dxa"/>
              <w:right w:w="96" w:type="dxa"/>
            </w:tcMar>
            <w:hideMark/>
          </w:tcPr>
          <w:p w14:paraId="4402D4F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3BB0A80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primárna hyperoxalúria typ I</w:t>
            </w:r>
          </w:p>
        </w:tc>
      </w:tr>
      <w:tr w:rsidR="00AA3622" w:rsidRPr="00DA07E4" w14:paraId="406A3550" w14:textId="77777777" w:rsidTr="00E43A8D">
        <w:tc>
          <w:tcPr>
            <w:tcW w:w="1696" w:type="dxa"/>
            <w:vMerge/>
            <w:shd w:val="clear" w:color="auto" w:fill="D9D9D9" w:themeFill="background1" w:themeFillShade="D9"/>
            <w:tcMar>
              <w:top w:w="48" w:type="dxa"/>
              <w:left w:w="96" w:type="dxa"/>
              <w:bottom w:w="48" w:type="dxa"/>
              <w:right w:w="96" w:type="dxa"/>
            </w:tcMar>
            <w:hideMark/>
          </w:tcPr>
          <w:p w14:paraId="1CEEC67B"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0F4117BC"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Id</w:t>
            </w:r>
          </w:p>
        </w:tc>
        <w:tc>
          <w:tcPr>
            <w:tcW w:w="1842" w:type="dxa"/>
            <w:tcMar>
              <w:top w:w="48" w:type="dxa"/>
              <w:left w:w="96" w:type="dxa"/>
              <w:bottom w:w="48" w:type="dxa"/>
              <w:right w:w="96" w:type="dxa"/>
            </w:tcMar>
            <w:hideMark/>
          </w:tcPr>
          <w:p w14:paraId="4F383082"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39A9C152" w14:textId="3DF071C4"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malformačná uropatia, stáza a početné k</w:t>
            </w:r>
            <w:r w:rsidR="00AF27FF" w:rsidRPr="00DA07E4">
              <w:rPr>
                <w:rFonts w:ascii="Times New Roman" w:hAnsi="Times New Roman" w:cs="Times New Roman"/>
                <w:sz w:val="24"/>
                <w:szCs w:val="24"/>
              </w:rPr>
              <w:t>onkrementy</w:t>
            </w:r>
          </w:p>
        </w:tc>
      </w:tr>
      <w:tr w:rsidR="00AA3622" w:rsidRPr="00DA07E4" w14:paraId="214C8F2F" w14:textId="77777777" w:rsidTr="00E43A8D">
        <w:tc>
          <w:tcPr>
            <w:tcW w:w="1696" w:type="dxa"/>
            <w:vMerge/>
            <w:shd w:val="clear" w:color="auto" w:fill="D9D9D9" w:themeFill="background1" w:themeFillShade="D9"/>
            <w:tcMar>
              <w:top w:w="48" w:type="dxa"/>
              <w:left w:w="96" w:type="dxa"/>
              <w:bottom w:w="48" w:type="dxa"/>
              <w:right w:w="96" w:type="dxa"/>
            </w:tcMar>
            <w:hideMark/>
          </w:tcPr>
          <w:p w14:paraId="458C25B0"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2C8EB2CC"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Ie</w:t>
            </w:r>
          </w:p>
        </w:tc>
        <w:tc>
          <w:tcPr>
            <w:tcW w:w="1842" w:type="dxa"/>
            <w:tcMar>
              <w:top w:w="48" w:type="dxa"/>
              <w:left w:w="96" w:type="dxa"/>
              <w:bottom w:w="48" w:type="dxa"/>
              <w:right w:w="96" w:type="dxa"/>
            </w:tcMar>
            <w:hideMark/>
          </w:tcPr>
          <w:p w14:paraId="796DF820"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0AD4D06D"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črevná hyperoxalúria</w:t>
            </w:r>
          </w:p>
        </w:tc>
      </w:tr>
      <w:tr w:rsidR="00AA3622" w:rsidRPr="00DA07E4" w14:paraId="7ADF1FF1"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111DD0A6"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w:t>
            </w:r>
          </w:p>
        </w:tc>
        <w:tc>
          <w:tcPr>
            <w:tcW w:w="993" w:type="dxa"/>
            <w:tcMar>
              <w:top w:w="48" w:type="dxa"/>
              <w:left w:w="96" w:type="dxa"/>
              <w:bottom w:w="48" w:type="dxa"/>
              <w:right w:w="96" w:type="dxa"/>
            </w:tcMar>
            <w:hideMark/>
          </w:tcPr>
          <w:p w14:paraId="3FDA2A39"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IIa</w:t>
            </w:r>
          </w:p>
        </w:tc>
        <w:tc>
          <w:tcPr>
            <w:tcW w:w="1842" w:type="dxa"/>
            <w:tcMar>
              <w:top w:w="48" w:type="dxa"/>
              <w:left w:w="96" w:type="dxa"/>
              <w:bottom w:w="48" w:type="dxa"/>
              <w:right w:w="96" w:type="dxa"/>
            </w:tcMar>
            <w:hideMark/>
          </w:tcPr>
          <w:p w14:paraId="2F92B63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weddellit</w:t>
            </w:r>
          </w:p>
        </w:tc>
        <w:tc>
          <w:tcPr>
            <w:tcW w:w="3969" w:type="dxa"/>
            <w:tcMar>
              <w:top w:w="48" w:type="dxa"/>
              <w:left w:w="96" w:type="dxa"/>
              <w:bottom w:w="48" w:type="dxa"/>
              <w:right w:w="96" w:type="dxa"/>
            </w:tcMar>
            <w:hideMark/>
          </w:tcPr>
          <w:p w14:paraId="2A64DF81"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hyperkalciúria</w:t>
            </w:r>
          </w:p>
        </w:tc>
      </w:tr>
      <w:tr w:rsidR="00AA3622" w:rsidRPr="00DA07E4" w14:paraId="35C24324" w14:textId="77777777" w:rsidTr="00E43A8D">
        <w:tc>
          <w:tcPr>
            <w:tcW w:w="1696" w:type="dxa"/>
            <w:vMerge/>
            <w:shd w:val="clear" w:color="auto" w:fill="D9D9D9" w:themeFill="background1" w:themeFillShade="D9"/>
            <w:tcMar>
              <w:top w:w="48" w:type="dxa"/>
              <w:left w:w="96" w:type="dxa"/>
              <w:bottom w:w="48" w:type="dxa"/>
              <w:right w:w="96" w:type="dxa"/>
            </w:tcMar>
            <w:hideMark/>
          </w:tcPr>
          <w:p w14:paraId="5CD956B6"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18E06F31"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IIb</w:t>
            </w:r>
          </w:p>
        </w:tc>
        <w:tc>
          <w:tcPr>
            <w:tcW w:w="1842" w:type="dxa"/>
            <w:tcMar>
              <w:top w:w="48" w:type="dxa"/>
              <w:left w:w="96" w:type="dxa"/>
              <w:bottom w:w="48" w:type="dxa"/>
              <w:right w:w="96" w:type="dxa"/>
            </w:tcMar>
            <w:hideMark/>
          </w:tcPr>
          <w:p w14:paraId="751673EE"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weddellit ± </w:t>
            </w:r>
          </w:p>
          <w:p w14:paraId="796A561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w:t>
            </w:r>
          </w:p>
        </w:tc>
        <w:tc>
          <w:tcPr>
            <w:tcW w:w="3969" w:type="dxa"/>
            <w:tcMar>
              <w:top w:w="48" w:type="dxa"/>
              <w:left w:w="96" w:type="dxa"/>
              <w:bottom w:w="48" w:type="dxa"/>
              <w:right w:w="96" w:type="dxa"/>
            </w:tcMar>
            <w:hideMark/>
          </w:tcPr>
          <w:p w14:paraId="7F758818"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hyperkalciúria ± hyperoxalúria ± </w:t>
            </w:r>
          </w:p>
          <w:p w14:paraId="5AF2F588"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hypocitrátúria</w:t>
            </w:r>
          </w:p>
        </w:tc>
      </w:tr>
      <w:tr w:rsidR="00AA3622" w:rsidRPr="00DA07E4" w14:paraId="2B44749D" w14:textId="77777777" w:rsidTr="00E43A8D">
        <w:tc>
          <w:tcPr>
            <w:tcW w:w="1696" w:type="dxa"/>
            <w:vMerge/>
            <w:shd w:val="clear" w:color="auto" w:fill="D9D9D9" w:themeFill="background1" w:themeFillShade="D9"/>
            <w:tcMar>
              <w:top w:w="48" w:type="dxa"/>
              <w:left w:w="96" w:type="dxa"/>
              <w:bottom w:w="48" w:type="dxa"/>
              <w:right w:w="96" w:type="dxa"/>
            </w:tcMar>
            <w:hideMark/>
          </w:tcPr>
          <w:p w14:paraId="789682A8"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411F6B48"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IIc</w:t>
            </w:r>
          </w:p>
        </w:tc>
        <w:tc>
          <w:tcPr>
            <w:tcW w:w="1842" w:type="dxa"/>
            <w:tcMar>
              <w:top w:w="48" w:type="dxa"/>
              <w:left w:w="96" w:type="dxa"/>
              <w:bottom w:w="48" w:type="dxa"/>
              <w:right w:w="96" w:type="dxa"/>
            </w:tcMar>
            <w:hideMark/>
          </w:tcPr>
          <w:p w14:paraId="6D63738F"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weddellit</w:t>
            </w:r>
          </w:p>
        </w:tc>
        <w:tc>
          <w:tcPr>
            <w:tcW w:w="3969" w:type="dxa"/>
            <w:tcMar>
              <w:top w:w="48" w:type="dxa"/>
              <w:left w:w="96" w:type="dxa"/>
              <w:bottom w:w="48" w:type="dxa"/>
              <w:right w:w="96" w:type="dxa"/>
            </w:tcMar>
            <w:hideMark/>
          </w:tcPr>
          <w:p w14:paraId="1B551CF4" w14:textId="5F92EA58"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hyperkalciúria, stáza a početné k</w:t>
            </w:r>
            <w:r w:rsidR="00AF27FF" w:rsidRPr="00DA07E4">
              <w:rPr>
                <w:rFonts w:ascii="Times New Roman" w:hAnsi="Times New Roman" w:cs="Times New Roman"/>
                <w:sz w:val="24"/>
                <w:szCs w:val="24"/>
              </w:rPr>
              <w:t>onkrementy</w:t>
            </w:r>
          </w:p>
        </w:tc>
      </w:tr>
      <w:tr w:rsidR="00AA3622" w:rsidRPr="00DA07E4" w14:paraId="66AFE10E"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7C3A78CF"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III</w:t>
            </w:r>
          </w:p>
        </w:tc>
        <w:tc>
          <w:tcPr>
            <w:tcW w:w="993" w:type="dxa"/>
            <w:tcMar>
              <w:top w:w="48" w:type="dxa"/>
              <w:left w:w="96" w:type="dxa"/>
              <w:bottom w:w="48" w:type="dxa"/>
              <w:right w:w="96" w:type="dxa"/>
            </w:tcMar>
            <w:hideMark/>
          </w:tcPr>
          <w:p w14:paraId="6A398BDE"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IIIa</w:t>
            </w:r>
          </w:p>
        </w:tc>
        <w:tc>
          <w:tcPr>
            <w:tcW w:w="1842" w:type="dxa"/>
            <w:tcMar>
              <w:top w:w="48" w:type="dxa"/>
              <w:left w:w="96" w:type="dxa"/>
              <w:bottom w:w="48" w:type="dxa"/>
              <w:right w:w="96" w:type="dxa"/>
            </w:tcMar>
            <w:hideMark/>
          </w:tcPr>
          <w:p w14:paraId="3CB7A86D"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močové kyseliny</w:t>
            </w:r>
          </w:p>
        </w:tc>
        <w:tc>
          <w:tcPr>
            <w:tcW w:w="3969" w:type="dxa"/>
            <w:tcMar>
              <w:top w:w="48" w:type="dxa"/>
              <w:left w:w="96" w:type="dxa"/>
              <w:bottom w:w="48" w:type="dxa"/>
              <w:right w:w="96" w:type="dxa"/>
            </w:tcMar>
            <w:hideMark/>
          </w:tcPr>
          <w:p w14:paraId="6CC54333"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nízke pH moču a stáza (hlavne BPH, cystolitiáza)</w:t>
            </w:r>
          </w:p>
        </w:tc>
      </w:tr>
      <w:tr w:rsidR="00AA3622" w:rsidRPr="00DA07E4" w14:paraId="17AB2D58" w14:textId="77777777" w:rsidTr="00E43A8D">
        <w:tc>
          <w:tcPr>
            <w:tcW w:w="1696" w:type="dxa"/>
            <w:vMerge/>
            <w:shd w:val="clear" w:color="auto" w:fill="D9D9D9" w:themeFill="background1" w:themeFillShade="D9"/>
            <w:tcMar>
              <w:top w:w="48" w:type="dxa"/>
              <w:left w:w="96" w:type="dxa"/>
              <w:bottom w:w="48" w:type="dxa"/>
              <w:right w:w="96" w:type="dxa"/>
            </w:tcMar>
            <w:hideMark/>
          </w:tcPr>
          <w:p w14:paraId="0459B4B9"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0076E07F"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IIIb</w:t>
            </w:r>
          </w:p>
        </w:tc>
        <w:tc>
          <w:tcPr>
            <w:tcW w:w="1842" w:type="dxa"/>
            <w:tcMar>
              <w:top w:w="48" w:type="dxa"/>
              <w:left w:w="96" w:type="dxa"/>
              <w:bottom w:w="48" w:type="dxa"/>
              <w:right w:w="96" w:type="dxa"/>
            </w:tcMar>
            <w:hideMark/>
          </w:tcPr>
          <w:p w14:paraId="6B8F1FF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močové kyseliny</w:t>
            </w:r>
          </w:p>
        </w:tc>
        <w:tc>
          <w:tcPr>
            <w:tcW w:w="3969" w:type="dxa"/>
            <w:tcMar>
              <w:top w:w="48" w:type="dxa"/>
              <w:left w:w="96" w:type="dxa"/>
              <w:bottom w:w="48" w:type="dxa"/>
              <w:right w:w="96" w:type="dxa"/>
            </w:tcMar>
            <w:hideMark/>
          </w:tcPr>
          <w:p w14:paraId="6CC9E034"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metabolický syndróm, diabetes, diéta</w:t>
            </w:r>
          </w:p>
        </w:tc>
      </w:tr>
      <w:tr w:rsidR="00AA3622" w:rsidRPr="00DA07E4" w14:paraId="5F6528EF" w14:textId="77777777" w:rsidTr="00E43A8D">
        <w:tc>
          <w:tcPr>
            <w:tcW w:w="1696" w:type="dxa"/>
            <w:vMerge/>
            <w:shd w:val="clear" w:color="auto" w:fill="D9D9D9" w:themeFill="background1" w:themeFillShade="D9"/>
            <w:tcMar>
              <w:top w:w="48" w:type="dxa"/>
              <w:left w:w="96" w:type="dxa"/>
              <w:bottom w:w="48" w:type="dxa"/>
              <w:right w:w="96" w:type="dxa"/>
            </w:tcMar>
            <w:hideMark/>
          </w:tcPr>
          <w:p w14:paraId="1CF74597"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5535634F"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IIIc</w:t>
            </w:r>
          </w:p>
        </w:tc>
        <w:tc>
          <w:tcPr>
            <w:tcW w:w="1842" w:type="dxa"/>
            <w:tcMar>
              <w:top w:w="48" w:type="dxa"/>
              <w:left w:w="96" w:type="dxa"/>
              <w:bottom w:w="48" w:type="dxa"/>
              <w:right w:w="96" w:type="dxa"/>
            </w:tcMar>
            <w:hideMark/>
          </w:tcPr>
          <w:p w14:paraId="7C2FA30A"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rôzne uráty</w:t>
            </w:r>
          </w:p>
        </w:tc>
        <w:tc>
          <w:tcPr>
            <w:tcW w:w="3969" w:type="dxa"/>
            <w:tcMar>
              <w:top w:w="48" w:type="dxa"/>
              <w:left w:w="96" w:type="dxa"/>
              <w:bottom w:w="48" w:type="dxa"/>
              <w:right w:w="96" w:type="dxa"/>
            </w:tcMar>
            <w:hideMark/>
          </w:tcPr>
          <w:p w14:paraId="4A8EB290"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hyperurikozúria a alkalický moč, UTI</w:t>
            </w:r>
          </w:p>
        </w:tc>
      </w:tr>
      <w:tr w:rsidR="00AA3622" w:rsidRPr="00DA07E4" w14:paraId="16AC8028" w14:textId="77777777" w:rsidTr="00E43A8D">
        <w:trPr>
          <w:trHeight w:val="437"/>
        </w:trPr>
        <w:tc>
          <w:tcPr>
            <w:tcW w:w="1696" w:type="dxa"/>
            <w:vMerge/>
            <w:shd w:val="clear" w:color="auto" w:fill="D9D9D9" w:themeFill="background1" w:themeFillShade="D9"/>
            <w:tcMar>
              <w:top w:w="48" w:type="dxa"/>
              <w:left w:w="96" w:type="dxa"/>
              <w:bottom w:w="48" w:type="dxa"/>
              <w:right w:w="96" w:type="dxa"/>
            </w:tcMar>
            <w:hideMark/>
          </w:tcPr>
          <w:p w14:paraId="46E044DF"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24BEF601"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IIId</w:t>
            </w:r>
          </w:p>
        </w:tc>
        <w:tc>
          <w:tcPr>
            <w:tcW w:w="1842" w:type="dxa"/>
            <w:tcMar>
              <w:top w:w="48" w:type="dxa"/>
              <w:left w:w="96" w:type="dxa"/>
              <w:bottom w:w="48" w:type="dxa"/>
              <w:right w:w="96" w:type="dxa"/>
            </w:tcMar>
            <w:hideMark/>
          </w:tcPr>
          <w:p w14:paraId="4CF059C8"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amónium urát</w:t>
            </w:r>
          </w:p>
        </w:tc>
        <w:tc>
          <w:tcPr>
            <w:tcW w:w="3969" w:type="dxa"/>
            <w:tcMar>
              <w:top w:w="48" w:type="dxa"/>
              <w:left w:w="96" w:type="dxa"/>
              <w:bottom w:w="48" w:type="dxa"/>
              <w:right w:w="96" w:type="dxa"/>
            </w:tcMar>
            <w:hideMark/>
          </w:tcPr>
          <w:p w14:paraId="3BB12A31"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hyperurikozúria a hnačka</w:t>
            </w:r>
          </w:p>
        </w:tc>
      </w:tr>
      <w:tr w:rsidR="00AA3622" w:rsidRPr="00DA07E4" w14:paraId="781D1935"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72BD36A6"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w:t>
            </w:r>
          </w:p>
        </w:tc>
        <w:tc>
          <w:tcPr>
            <w:tcW w:w="993" w:type="dxa"/>
            <w:tcMar>
              <w:top w:w="48" w:type="dxa"/>
              <w:left w:w="96" w:type="dxa"/>
              <w:bottom w:w="48" w:type="dxa"/>
              <w:right w:w="96" w:type="dxa"/>
            </w:tcMar>
            <w:hideMark/>
          </w:tcPr>
          <w:p w14:paraId="5FE68061"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IVa1</w:t>
            </w:r>
          </w:p>
        </w:tc>
        <w:tc>
          <w:tcPr>
            <w:tcW w:w="1842" w:type="dxa"/>
            <w:tcMar>
              <w:top w:w="48" w:type="dxa"/>
              <w:left w:w="96" w:type="dxa"/>
              <w:bottom w:w="48" w:type="dxa"/>
              <w:right w:w="96" w:type="dxa"/>
            </w:tcMar>
            <w:hideMark/>
          </w:tcPr>
          <w:p w14:paraId="28D7EFAB"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karbapatit</w:t>
            </w:r>
          </w:p>
        </w:tc>
        <w:tc>
          <w:tcPr>
            <w:tcW w:w="3969" w:type="dxa"/>
            <w:tcMar>
              <w:top w:w="48" w:type="dxa"/>
              <w:left w:w="96" w:type="dxa"/>
              <w:bottom w:w="48" w:type="dxa"/>
              <w:right w:w="96" w:type="dxa"/>
            </w:tcMar>
            <w:hideMark/>
          </w:tcPr>
          <w:p w14:paraId="7F12323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hyperkalciúria, UTI</w:t>
            </w:r>
          </w:p>
        </w:tc>
      </w:tr>
      <w:tr w:rsidR="00AA3622" w:rsidRPr="00DA07E4" w14:paraId="5CEF9CB3" w14:textId="77777777" w:rsidTr="00E43A8D">
        <w:tc>
          <w:tcPr>
            <w:tcW w:w="1696" w:type="dxa"/>
            <w:vMerge/>
            <w:shd w:val="clear" w:color="auto" w:fill="D9D9D9" w:themeFill="background1" w:themeFillShade="D9"/>
            <w:tcMar>
              <w:top w:w="48" w:type="dxa"/>
              <w:left w:w="96" w:type="dxa"/>
              <w:bottom w:w="48" w:type="dxa"/>
              <w:right w:w="96" w:type="dxa"/>
            </w:tcMar>
            <w:hideMark/>
          </w:tcPr>
          <w:p w14:paraId="0F5CED22"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7B01F3F6"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IVa2</w:t>
            </w:r>
          </w:p>
        </w:tc>
        <w:tc>
          <w:tcPr>
            <w:tcW w:w="1842" w:type="dxa"/>
            <w:tcMar>
              <w:top w:w="48" w:type="dxa"/>
              <w:left w:w="96" w:type="dxa"/>
              <w:bottom w:w="48" w:type="dxa"/>
              <w:right w:w="96" w:type="dxa"/>
            </w:tcMar>
            <w:hideMark/>
          </w:tcPr>
          <w:p w14:paraId="14F91091"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karbapatit</w:t>
            </w:r>
          </w:p>
        </w:tc>
        <w:tc>
          <w:tcPr>
            <w:tcW w:w="3969" w:type="dxa"/>
            <w:tcMar>
              <w:top w:w="48" w:type="dxa"/>
              <w:left w:w="96" w:type="dxa"/>
              <w:bottom w:w="48" w:type="dxa"/>
              <w:right w:w="96" w:type="dxa"/>
            </w:tcMar>
            <w:hideMark/>
          </w:tcPr>
          <w:p w14:paraId="31FD493E"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distálna renálna tubulárna acidóza</w:t>
            </w:r>
          </w:p>
        </w:tc>
      </w:tr>
      <w:tr w:rsidR="00AA3622" w:rsidRPr="00DA07E4" w14:paraId="564FE0EA" w14:textId="77777777" w:rsidTr="00E43A8D">
        <w:tc>
          <w:tcPr>
            <w:tcW w:w="1696" w:type="dxa"/>
            <w:vMerge/>
            <w:shd w:val="clear" w:color="auto" w:fill="D9D9D9" w:themeFill="background1" w:themeFillShade="D9"/>
            <w:tcMar>
              <w:top w:w="48" w:type="dxa"/>
              <w:left w:w="96" w:type="dxa"/>
              <w:bottom w:w="48" w:type="dxa"/>
              <w:right w:w="96" w:type="dxa"/>
            </w:tcMar>
            <w:hideMark/>
          </w:tcPr>
          <w:p w14:paraId="6F5B5C4F"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1EF14860"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IVb</w:t>
            </w:r>
          </w:p>
        </w:tc>
        <w:tc>
          <w:tcPr>
            <w:tcW w:w="1842" w:type="dxa"/>
            <w:tcMar>
              <w:top w:w="48" w:type="dxa"/>
              <w:left w:w="96" w:type="dxa"/>
              <w:bottom w:w="48" w:type="dxa"/>
              <w:right w:w="96" w:type="dxa"/>
            </w:tcMar>
            <w:hideMark/>
          </w:tcPr>
          <w:p w14:paraId="2972402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karbapatit</w:t>
            </w:r>
          </w:p>
        </w:tc>
        <w:tc>
          <w:tcPr>
            <w:tcW w:w="3969" w:type="dxa"/>
            <w:tcMar>
              <w:top w:w="48" w:type="dxa"/>
              <w:left w:w="96" w:type="dxa"/>
              <w:bottom w:w="48" w:type="dxa"/>
              <w:right w:w="96" w:type="dxa"/>
            </w:tcMar>
            <w:hideMark/>
          </w:tcPr>
          <w:p w14:paraId="1F13D144" w14:textId="1659DA09"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UTI, hyperkalciúria. Etiológia závisí od menších zložiek identifikovaných v k</w:t>
            </w:r>
            <w:r w:rsidR="00AF27FF" w:rsidRPr="00DA07E4">
              <w:rPr>
                <w:rFonts w:ascii="Times New Roman" w:hAnsi="Times New Roman" w:cs="Times New Roman"/>
                <w:sz w:val="24"/>
                <w:szCs w:val="24"/>
              </w:rPr>
              <w:t>onkremente</w:t>
            </w:r>
          </w:p>
        </w:tc>
      </w:tr>
      <w:tr w:rsidR="00AA3622" w:rsidRPr="00DA07E4" w14:paraId="220B06B0" w14:textId="77777777" w:rsidTr="00E43A8D">
        <w:tc>
          <w:tcPr>
            <w:tcW w:w="1696" w:type="dxa"/>
            <w:vMerge/>
            <w:shd w:val="clear" w:color="auto" w:fill="D9D9D9" w:themeFill="background1" w:themeFillShade="D9"/>
            <w:tcMar>
              <w:top w:w="48" w:type="dxa"/>
              <w:left w:w="96" w:type="dxa"/>
              <w:bottom w:w="48" w:type="dxa"/>
              <w:right w:w="96" w:type="dxa"/>
            </w:tcMar>
            <w:hideMark/>
          </w:tcPr>
          <w:p w14:paraId="51744839"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75039D07"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IVc</w:t>
            </w:r>
          </w:p>
        </w:tc>
        <w:tc>
          <w:tcPr>
            <w:tcW w:w="1842" w:type="dxa"/>
            <w:tcMar>
              <w:top w:w="48" w:type="dxa"/>
              <w:left w:w="96" w:type="dxa"/>
              <w:bottom w:w="48" w:type="dxa"/>
              <w:right w:w="96" w:type="dxa"/>
            </w:tcMar>
            <w:hideMark/>
          </w:tcPr>
          <w:p w14:paraId="26AC0C1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struvit</w:t>
            </w:r>
          </w:p>
        </w:tc>
        <w:tc>
          <w:tcPr>
            <w:tcW w:w="3969" w:type="dxa"/>
            <w:tcMar>
              <w:top w:w="48" w:type="dxa"/>
              <w:left w:w="96" w:type="dxa"/>
              <w:bottom w:w="48" w:type="dxa"/>
              <w:right w:w="96" w:type="dxa"/>
            </w:tcMar>
            <w:hideMark/>
          </w:tcPr>
          <w:p w14:paraId="315842E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UTI baktériami štiepiacimi ureázu</w:t>
            </w:r>
          </w:p>
        </w:tc>
      </w:tr>
      <w:tr w:rsidR="00AA3622" w:rsidRPr="00DA07E4" w14:paraId="3A87444E" w14:textId="77777777" w:rsidTr="00E43A8D">
        <w:tc>
          <w:tcPr>
            <w:tcW w:w="1696" w:type="dxa"/>
            <w:vMerge/>
            <w:shd w:val="clear" w:color="auto" w:fill="D9D9D9" w:themeFill="background1" w:themeFillShade="D9"/>
            <w:tcMar>
              <w:top w:w="48" w:type="dxa"/>
              <w:left w:w="96" w:type="dxa"/>
              <w:bottom w:w="48" w:type="dxa"/>
              <w:right w:w="96" w:type="dxa"/>
            </w:tcMar>
            <w:hideMark/>
          </w:tcPr>
          <w:p w14:paraId="1C0C49F5"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1E7E0270"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IVd</w:t>
            </w:r>
          </w:p>
        </w:tc>
        <w:tc>
          <w:tcPr>
            <w:tcW w:w="1842" w:type="dxa"/>
            <w:tcMar>
              <w:top w:w="48" w:type="dxa"/>
              <w:left w:w="96" w:type="dxa"/>
              <w:bottom w:w="48" w:type="dxa"/>
              <w:right w:w="96" w:type="dxa"/>
            </w:tcMar>
            <w:hideMark/>
          </w:tcPr>
          <w:p w14:paraId="633052A2"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brushit</w:t>
            </w:r>
          </w:p>
        </w:tc>
        <w:tc>
          <w:tcPr>
            <w:tcW w:w="3969" w:type="dxa"/>
            <w:tcMar>
              <w:top w:w="48" w:type="dxa"/>
              <w:left w:w="96" w:type="dxa"/>
              <w:bottom w:w="48" w:type="dxa"/>
              <w:right w:w="96" w:type="dxa"/>
            </w:tcMar>
            <w:hideMark/>
          </w:tcPr>
          <w:p w14:paraId="4FDF09C9"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hyperkalciúria, PHPT, únik fosfátov</w:t>
            </w:r>
          </w:p>
        </w:tc>
      </w:tr>
      <w:tr w:rsidR="00AA3622" w:rsidRPr="00DA07E4" w14:paraId="0626AD86"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72542778"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w:t>
            </w:r>
          </w:p>
        </w:tc>
        <w:tc>
          <w:tcPr>
            <w:tcW w:w="993" w:type="dxa"/>
            <w:tcMar>
              <w:top w:w="48" w:type="dxa"/>
              <w:left w:w="96" w:type="dxa"/>
              <w:bottom w:w="48" w:type="dxa"/>
              <w:right w:w="96" w:type="dxa"/>
            </w:tcMar>
            <w:hideMark/>
          </w:tcPr>
          <w:p w14:paraId="217B1D35"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Va</w:t>
            </w:r>
          </w:p>
        </w:tc>
        <w:tc>
          <w:tcPr>
            <w:tcW w:w="1842" w:type="dxa"/>
            <w:tcMar>
              <w:top w:w="48" w:type="dxa"/>
              <w:left w:w="96" w:type="dxa"/>
              <w:bottom w:w="48" w:type="dxa"/>
              <w:right w:w="96" w:type="dxa"/>
            </w:tcMar>
            <w:hideMark/>
          </w:tcPr>
          <w:p w14:paraId="0B1C426A"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cystín</w:t>
            </w:r>
          </w:p>
        </w:tc>
        <w:tc>
          <w:tcPr>
            <w:tcW w:w="3969" w:type="dxa"/>
            <w:tcMar>
              <w:top w:w="48" w:type="dxa"/>
              <w:left w:w="96" w:type="dxa"/>
              <w:bottom w:w="48" w:type="dxa"/>
              <w:right w:w="96" w:type="dxa"/>
            </w:tcMar>
            <w:hideMark/>
          </w:tcPr>
          <w:p w14:paraId="562C8CE9"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cystinúria</w:t>
            </w:r>
          </w:p>
        </w:tc>
      </w:tr>
      <w:tr w:rsidR="00AA3622" w:rsidRPr="00DA07E4" w14:paraId="32C31199" w14:textId="77777777" w:rsidTr="00E43A8D">
        <w:tc>
          <w:tcPr>
            <w:tcW w:w="1696" w:type="dxa"/>
            <w:vMerge/>
            <w:shd w:val="clear" w:color="auto" w:fill="D9D9D9" w:themeFill="background1" w:themeFillShade="D9"/>
            <w:tcMar>
              <w:top w:w="48" w:type="dxa"/>
              <w:left w:w="96" w:type="dxa"/>
              <w:bottom w:w="48" w:type="dxa"/>
              <w:right w:w="96" w:type="dxa"/>
            </w:tcMar>
            <w:hideMark/>
          </w:tcPr>
          <w:p w14:paraId="14DBB038"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4B041335"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Vb</w:t>
            </w:r>
          </w:p>
        </w:tc>
        <w:tc>
          <w:tcPr>
            <w:tcW w:w="1842" w:type="dxa"/>
            <w:tcMar>
              <w:top w:w="48" w:type="dxa"/>
              <w:left w:w="96" w:type="dxa"/>
              <w:bottom w:w="48" w:type="dxa"/>
              <w:right w:w="96" w:type="dxa"/>
            </w:tcMar>
            <w:hideMark/>
          </w:tcPr>
          <w:p w14:paraId="7661C14D"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cystín</w:t>
            </w:r>
          </w:p>
        </w:tc>
        <w:tc>
          <w:tcPr>
            <w:tcW w:w="3969" w:type="dxa"/>
            <w:tcMar>
              <w:top w:w="48" w:type="dxa"/>
              <w:left w:w="96" w:type="dxa"/>
              <w:bottom w:w="48" w:type="dxa"/>
              <w:right w:w="96" w:type="dxa"/>
            </w:tcMar>
            <w:hideMark/>
          </w:tcPr>
          <w:p w14:paraId="1F419A24"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cystinúria + neadekvátna liečba</w:t>
            </w:r>
          </w:p>
        </w:tc>
      </w:tr>
      <w:tr w:rsidR="00AA3622" w:rsidRPr="00DA07E4" w14:paraId="69755FE2" w14:textId="77777777" w:rsidTr="00E43A8D">
        <w:tc>
          <w:tcPr>
            <w:tcW w:w="1696" w:type="dxa"/>
            <w:vMerge w:val="restart"/>
            <w:shd w:val="clear" w:color="auto" w:fill="D9D9D9" w:themeFill="background1" w:themeFillShade="D9"/>
            <w:tcMar>
              <w:top w:w="48" w:type="dxa"/>
              <w:left w:w="96" w:type="dxa"/>
              <w:bottom w:w="48" w:type="dxa"/>
              <w:right w:w="96" w:type="dxa"/>
            </w:tcMar>
            <w:hideMark/>
          </w:tcPr>
          <w:p w14:paraId="0086EF1B"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VI</w:t>
            </w:r>
          </w:p>
        </w:tc>
        <w:tc>
          <w:tcPr>
            <w:tcW w:w="993" w:type="dxa"/>
            <w:tcMar>
              <w:top w:w="48" w:type="dxa"/>
              <w:left w:w="96" w:type="dxa"/>
              <w:bottom w:w="48" w:type="dxa"/>
              <w:right w:w="96" w:type="dxa"/>
            </w:tcMar>
            <w:hideMark/>
          </w:tcPr>
          <w:p w14:paraId="538F8E16"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VIa</w:t>
            </w:r>
          </w:p>
        </w:tc>
        <w:tc>
          <w:tcPr>
            <w:tcW w:w="1842" w:type="dxa"/>
            <w:tcMar>
              <w:top w:w="48" w:type="dxa"/>
              <w:left w:w="96" w:type="dxa"/>
              <w:bottom w:w="48" w:type="dxa"/>
              <w:right w:w="96" w:type="dxa"/>
            </w:tcMar>
            <w:hideMark/>
          </w:tcPr>
          <w:p w14:paraId="454AD36F"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proteíny</w:t>
            </w:r>
          </w:p>
        </w:tc>
        <w:tc>
          <w:tcPr>
            <w:tcW w:w="3969" w:type="dxa"/>
            <w:tcMar>
              <w:top w:w="48" w:type="dxa"/>
              <w:left w:w="96" w:type="dxa"/>
              <w:bottom w:w="48" w:type="dxa"/>
              <w:right w:w="96" w:type="dxa"/>
            </w:tcMar>
            <w:hideMark/>
          </w:tcPr>
          <w:p w14:paraId="629E2EC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chronická pyelonefritída</w:t>
            </w:r>
          </w:p>
        </w:tc>
      </w:tr>
      <w:tr w:rsidR="00AA3622" w:rsidRPr="00DA07E4" w14:paraId="0C38EF4B" w14:textId="77777777" w:rsidTr="00E43A8D">
        <w:tc>
          <w:tcPr>
            <w:tcW w:w="1696" w:type="dxa"/>
            <w:vMerge/>
            <w:shd w:val="clear" w:color="auto" w:fill="D9D9D9" w:themeFill="background1" w:themeFillShade="D9"/>
            <w:tcMar>
              <w:top w:w="48" w:type="dxa"/>
              <w:left w:w="96" w:type="dxa"/>
              <w:bottom w:w="48" w:type="dxa"/>
              <w:right w:w="96" w:type="dxa"/>
            </w:tcMar>
            <w:hideMark/>
          </w:tcPr>
          <w:p w14:paraId="56EC47E7"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418F4AD9"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VIb</w:t>
            </w:r>
          </w:p>
        </w:tc>
        <w:tc>
          <w:tcPr>
            <w:tcW w:w="1842" w:type="dxa"/>
            <w:tcMar>
              <w:top w:w="48" w:type="dxa"/>
              <w:left w:w="96" w:type="dxa"/>
              <w:bottom w:w="48" w:type="dxa"/>
              <w:right w:w="96" w:type="dxa"/>
            </w:tcMar>
            <w:hideMark/>
          </w:tcPr>
          <w:p w14:paraId="3137502F"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proteíny</w:t>
            </w:r>
          </w:p>
        </w:tc>
        <w:tc>
          <w:tcPr>
            <w:tcW w:w="3969" w:type="dxa"/>
            <w:tcMar>
              <w:top w:w="48" w:type="dxa"/>
              <w:left w:w="96" w:type="dxa"/>
              <w:bottom w:w="48" w:type="dxa"/>
              <w:right w:w="96" w:type="dxa"/>
            </w:tcMar>
            <w:hideMark/>
          </w:tcPr>
          <w:p w14:paraId="320BDD63"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proteinúria, lieky, zrazeniny</w:t>
            </w:r>
          </w:p>
        </w:tc>
      </w:tr>
      <w:tr w:rsidR="00AA3622" w:rsidRPr="00DA07E4" w14:paraId="60AA163F" w14:textId="77777777" w:rsidTr="00E43A8D">
        <w:tc>
          <w:tcPr>
            <w:tcW w:w="1696" w:type="dxa"/>
            <w:vMerge/>
            <w:shd w:val="clear" w:color="auto" w:fill="D9D9D9" w:themeFill="background1" w:themeFillShade="D9"/>
            <w:tcMar>
              <w:top w:w="48" w:type="dxa"/>
              <w:left w:w="96" w:type="dxa"/>
              <w:bottom w:w="48" w:type="dxa"/>
              <w:right w:w="96" w:type="dxa"/>
            </w:tcMar>
            <w:hideMark/>
          </w:tcPr>
          <w:p w14:paraId="7F40B8EE" w14:textId="77777777" w:rsidR="00AA3622" w:rsidRPr="00DA07E4" w:rsidRDefault="00AA3622" w:rsidP="00DA07E4">
            <w:pPr>
              <w:spacing w:after="0" w:line="360" w:lineRule="auto"/>
              <w:jc w:val="both"/>
              <w:rPr>
                <w:rFonts w:ascii="Times New Roman" w:hAnsi="Times New Roman" w:cs="Times New Roman"/>
                <w:sz w:val="24"/>
                <w:szCs w:val="24"/>
              </w:rPr>
            </w:pPr>
          </w:p>
        </w:tc>
        <w:tc>
          <w:tcPr>
            <w:tcW w:w="993" w:type="dxa"/>
            <w:tcMar>
              <w:top w:w="48" w:type="dxa"/>
              <w:left w:w="96" w:type="dxa"/>
              <w:bottom w:w="48" w:type="dxa"/>
              <w:right w:w="96" w:type="dxa"/>
            </w:tcMar>
            <w:hideMark/>
          </w:tcPr>
          <w:p w14:paraId="71037480" w14:textId="77777777" w:rsidR="00AA3622" w:rsidRPr="00DA07E4" w:rsidRDefault="00AA3622"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VIc</w:t>
            </w:r>
          </w:p>
        </w:tc>
        <w:tc>
          <w:tcPr>
            <w:tcW w:w="1842" w:type="dxa"/>
            <w:tcMar>
              <w:top w:w="48" w:type="dxa"/>
              <w:left w:w="96" w:type="dxa"/>
              <w:bottom w:w="48" w:type="dxa"/>
              <w:right w:w="96" w:type="dxa"/>
            </w:tcMar>
            <w:hideMark/>
          </w:tcPr>
          <w:p w14:paraId="2C993E0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proteíny</w:t>
            </w:r>
          </w:p>
        </w:tc>
        <w:tc>
          <w:tcPr>
            <w:tcW w:w="3969" w:type="dxa"/>
            <w:tcMar>
              <w:top w:w="48" w:type="dxa"/>
              <w:left w:w="96" w:type="dxa"/>
              <w:bottom w:w="48" w:type="dxa"/>
              <w:right w:w="96" w:type="dxa"/>
            </w:tcMar>
            <w:hideMark/>
          </w:tcPr>
          <w:p w14:paraId="0DED38D6"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ESRF a nadmerný príjem vápnika + vitamínu D</w:t>
            </w:r>
          </w:p>
        </w:tc>
      </w:tr>
    </w:tbl>
    <w:p w14:paraId="78246B0A" w14:textId="77777777" w:rsidR="00AA3622" w:rsidRPr="00DA07E4" w:rsidRDefault="00AA3622" w:rsidP="00DA07E4">
      <w:pPr>
        <w:pStyle w:val="Normlnweb"/>
        <w:spacing w:before="0" w:beforeAutospacing="0" w:after="0" w:afterAutospacing="0" w:line="360" w:lineRule="auto"/>
        <w:jc w:val="both"/>
      </w:pPr>
      <w:r w:rsidRPr="00DA07E4">
        <w:rPr>
          <w:rStyle w:val="Zdraznn"/>
        </w:rPr>
        <w:t>UTI</w:t>
      </w:r>
      <w:r w:rsidRPr="00DA07E4">
        <w:t> urinary tract infection, </w:t>
      </w:r>
      <w:r w:rsidRPr="00DA07E4">
        <w:rPr>
          <w:rStyle w:val="Zdraznn"/>
        </w:rPr>
        <w:t>PHPT</w:t>
      </w:r>
      <w:r w:rsidRPr="00DA07E4">
        <w:t> primary hyperparathyroidism, </w:t>
      </w:r>
      <w:r w:rsidRPr="00DA07E4">
        <w:rPr>
          <w:rStyle w:val="Zdraznn"/>
        </w:rPr>
        <w:t>ESRF</w:t>
      </w:r>
      <w:r w:rsidRPr="00DA07E4">
        <w:t> end-stage renal failure</w:t>
      </w:r>
    </w:p>
    <w:p w14:paraId="282B5E03" w14:textId="2A901AD7" w:rsidR="00AA3622" w:rsidRPr="00DA07E4" w:rsidRDefault="00AA3622" w:rsidP="00DA07E4">
      <w:pPr>
        <w:spacing w:after="0" w:line="360" w:lineRule="auto"/>
        <w:jc w:val="both"/>
        <w:rPr>
          <w:rFonts w:ascii="Times New Roman" w:hAnsi="Times New Roman" w:cs="Times New Roman"/>
          <w:sz w:val="24"/>
          <w:szCs w:val="24"/>
        </w:rPr>
      </w:pPr>
    </w:p>
    <w:p w14:paraId="40AF8BFD" w14:textId="77777777" w:rsidR="00941889" w:rsidRPr="00DA07E4" w:rsidRDefault="00941889" w:rsidP="00DA07E4">
      <w:pPr>
        <w:spacing w:after="0" w:line="360" w:lineRule="auto"/>
        <w:jc w:val="both"/>
        <w:rPr>
          <w:rFonts w:ascii="Times New Roman" w:hAnsi="Times New Roman" w:cs="Times New Roman"/>
          <w:sz w:val="24"/>
          <w:szCs w:val="24"/>
        </w:rPr>
      </w:pPr>
    </w:p>
    <w:p w14:paraId="1EA36A0D" w14:textId="77777777" w:rsidR="00941889" w:rsidRPr="00DA07E4" w:rsidRDefault="00941889" w:rsidP="00DA07E4">
      <w:pPr>
        <w:spacing w:after="0" w:line="360" w:lineRule="auto"/>
        <w:jc w:val="both"/>
        <w:rPr>
          <w:rFonts w:ascii="Times New Roman" w:hAnsi="Times New Roman" w:cs="Times New Roman"/>
          <w:sz w:val="24"/>
          <w:szCs w:val="24"/>
        </w:rPr>
      </w:pPr>
    </w:p>
    <w:p w14:paraId="6A9464E8" w14:textId="77777777" w:rsidR="00941889" w:rsidRPr="00DA07E4" w:rsidRDefault="00941889" w:rsidP="00DA07E4">
      <w:pPr>
        <w:spacing w:after="0" w:line="360" w:lineRule="auto"/>
        <w:jc w:val="both"/>
        <w:rPr>
          <w:rFonts w:ascii="Times New Roman" w:hAnsi="Times New Roman" w:cs="Times New Roman"/>
          <w:sz w:val="24"/>
          <w:szCs w:val="24"/>
        </w:rPr>
      </w:pPr>
    </w:p>
    <w:p w14:paraId="6778864A" w14:textId="77777777" w:rsidR="00941889" w:rsidRPr="00DA07E4" w:rsidRDefault="00941889" w:rsidP="00DA07E4">
      <w:pPr>
        <w:spacing w:after="0" w:line="360" w:lineRule="auto"/>
        <w:jc w:val="both"/>
        <w:rPr>
          <w:rFonts w:ascii="Times New Roman" w:hAnsi="Times New Roman" w:cs="Times New Roman"/>
          <w:sz w:val="24"/>
          <w:szCs w:val="24"/>
        </w:rPr>
      </w:pPr>
    </w:p>
    <w:p w14:paraId="37FAB7FA" w14:textId="15434701" w:rsidR="00941889" w:rsidRDefault="00941889" w:rsidP="00DA07E4">
      <w:pPr>
        <w:spacing w:after="0" w:line="360" w:lineRule="auto"/>
        <w:jc w:val="both"/>
        <w:rPr>
          <w:rFonts w:ascii="Times New Roman" w:hAnsi="Times New Roman" w:cs="Times New Roman"/>
          <w:sz w:val="24"/>
          <w:szCs w:val="24"/>
        </w:rPr>
      </w:pPr>
    </w:p>
    <w:p w14:paraId="51079BC6" w14:textId="77777777" w:rsidR="00390864" w:rsidRPr="00DA07E4" w:rsidRDefault="00390864" w:rsidP="00DA07E4">
      <w:pPr>
        <w:spacing w:after="0" w:line="360" w:lineRule="auto"/>
        <w:jc w:val="both"/>
        <w:rPr>
          <w:rFonts w:ascii="Times New Roman" w:hAnsi="Times New Roman" w:cs="Times New Roman"/>
          <w:sz w:val="24"/>
          <w:szCs w:val="24"/>
        </w:rPr>
      </w:pPr>
    </w:p>
    <w:p w14:paraId="08A9B66F" w14:textId="77777777" w:rsidR="00941889" w:rsidRPr="00DA07E4" w:rsidRDefault="00941889" w:rsidP="00DA07E4">
      <w:pPr>
        <w:spacing w:after="0" w:line="360" w:lineRule="auto"/>
        <w:jc w:val="both"/>
        <w:rPr>
          <w:rFonts w:ascii="Times New Roman" w:hAnsi="Times New Roman" w:cs="Times New Roman"/>
          <w:sz w:val="24"/>
          <w:szCs w:val="24"/>
        </w:rPr>
      </w:pPr>
    </w:p>
    <w:p w14:paraId="7A1A2A18" w14:textId="3DE60E56" w:rsidR="00526A4A" w:rsidRPr="00DA07E4" w:rsidRDefault="00526A4A"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ab/>
      </w:r>
    </w:p>
    <w:p w14:paraId="3DC0DE8C" w14:textId="77777777" w:rsidR="00333F2A" w:rsidRPr="00DA07E4" w:rsidRDefault="00333F2A" w:rsidP="00DA07E4">
      <w:pPr>
        <w:spacing w:after="0" w:line="360" w:lineRule="auto"/>
        <w:jc w:val="both"/>
        <w:rPr>
          <w:rFonts w:ascii="Times New Roman" w:hAnsi="Times New Roman" w:cs="Times New Roman"/>
          <w:vanish/>
          <w:sz w:val="24"/>
          <w:szCs w:val="24"/>
        </w:rPr>
      </w:pPr>
    </w:p>
    <w:p w14:paraId="1789741A" w14:textId="709431F3" w:rsidR="00AA3622" w:rsidRDefault="00AA3622" w:rsidP="00DA07E4">
      <w:pPr>
        <w:spacing w:after="0" w:line="360" w:lineRule="auto"/>
        <w:jc w:val="both"/>
        <w:rPr>
          <w:rFonts w:ascii="Times New Roman" w:hAnsi="Times New Roman" w:cs="Times New Roman"/>
          <w:sz w:val="24"/>
          <w:szCs w:val="24"/>
        </w:rPr>
      </w:pPr>
      <w:bookmarkStart w:id="14" w:name="_Hlk68634970"/>
      <w:r w:rsidRPr="00DA07E4">
        <w:rPr>
          <w:rStyle w:val="A1"/>
          <w:rFonts w:ascii="Times New Roman" w:hAnsi="Times New Roman" w:cs="Times New Roman"/>
          <w:b/>
          <w:color w:val="auto"/>
          <w:sz w:val="24"/>
          <w:szCs w:val="24"/>
        </w:rPr>
        <w:t>Tab</w:t>
      </w:r>
      <w:r w:rsidR="00874818">
        <w:rPr>
          <w:rStyle w:val="A1"/>
          <w:rFonts w:ascii="Times New Roman" w:hAnsi="Times New Roman" w:cs="Times New Roman"/>
          <w:b/>
          <w:color w:val="auto"/>
          <w:sz w:val="24"/>
          <w:szCs w:val="24"/>
        </w:rPr>
        <w:t>uľka</w:t>
      </w:r>
      <w:r w:rsidR="00526A4A" w:rsidRPr="00DA07E4">
        <w:rPr>
          <w:rStyle w:val="A1"/>
          <w:rFonts w:ascii="Times New Roman" w:hAnsi="Times New Roman" w:cs="Times New Roman"/>
          <w:b/>
          <w:color w:val="auto"/>
          <w:sz w:val="24"/>
          <w:szCs w:val="24"/>
        </w:rPr>
        <w:t xml:space="preserve"> 5</w:t>
      </w:r>
      <w:r w:rsidRPr="00DA07E4">
        <w:rPr>
          <w:rStyle w:val="A1"/>
          <w:rFonts w:ascii="Times New Roman" w:hAnsi="Times New Roman" w:cs="Times New Roman"/>
          <w:color w:val="auto"/>
          <w:sz w:val="24"/>
          <w:szCs w:val="24"/>
        </w:rPr>
        <w:t xml:space="preserve"> </w:t>
      </w:r>
      <w:r w:rsidRPr="0025374B">
        <w:rPr>
          <w:rFonts w:ascii="Times New Roman" w:hAnsi="Times New Roman" w:cs="Times New Roman"/>
          <w:sz w:val="24"/>
          <w:szCs w:val="24"/>
        </w:rPr>
        <w:t>Naj</w:t>
      </w:r>
      <w:r w:rsidR="00874818" w:rsidRPr="0025374B">
        <w:rPr>
          <w:rFonts w:ascii="Times New Roman" w:hAnsi="Times New Roman" w:cs="Times New Roman"/>
          <w:sz w:val="24"/>
          <w:szCs w:val="24"/>
        </w:rPr>
        <w:t>čast</w:t>
      </w:r>
      <w:r w:rsidRPr="0025374B">
        <w:rPr>
          <w:rFonts w:ascii="Times New Roman" w:hAnsi="Times New Roman" w:cs="Times New Roman"/>
          <w:sz w:val="24"/>
          <w:szCs w:val="24"/>
        </w:rPr>
        <w:t xml:space="preserve">ejšie </w:t>
      </w:r>
      <w:r w:rsidR="00874818" w:rsidRPr="0025374B">
        <w:rPr>
          <w:rFonts w:ascii="Times New Roman" w:hAnsi="Times New Roman" w:cs="Times New Roman"/>
          <w:sz w:val="24"/>
          <w:szCs w:val="24"/>
        </w:rPr>
        <w:t>kombinácie</w:t>
      </w:r>
      <w:r w:rsidRPr="0025374B">
        <w:rPr>
          <w:rFonts w:ascii="Times New Roman" w:hAnsi="Times New Roman" w:cs="Times New Roman"/>
          <w:sz w:val="24"/>
          <w:szCs w:val="24"/>
        </w:rPr>
        <w:t xml:space="preserve"> konkrementov</w:t>
      </w:r>
      <w:r w:rsidRPr="00DA07E4">
        <w:rPr>
          <w:rFonts w:ascii="Times New Roman" w:hAnsi="Times New Roman" w:cs="Times New Roman"/>
          <w:sz w:val="24"/>
          <w:szCs w:val="24"/>
        </w:rPr>
        <w:t xml:space="preserve"> a etiológia ich vzniku (upravené podľa </w:t>
      </w:r>
      <w:r w:rsidR="00B55FFA" w:rsidRPr="00DA07E4">
        <w:rPr>
          <w:rFonts w:ascii="Times New Roman" w:hAnsi="Times New Roman" w:cs="Times New Roman"/>
          <w:sz w:val="24"/>
          <w:szCs w:val="24"/>
          <w:shd w:val="clear" w:color="auto" w:fill="FFFFFF"/>
        </w:rPr>
        <w:t>Cloutier</w:t>
      </w:r>
      <w:r w:rsidR="00DE214F" w:rsidRPr="00DA07E4">
        <w:rPr>
          <w:rFonts w:ascii="Times New Roman" w:hAnsi="Times New Roman" w:cs="Times New Roman"/>
          <w:sz w:val="24"/>
          <w:szCs w:val="24"/>
          <w:shd w:val="clear" w:color="auto" w:fill="FFFFFF"/>
        </w:rPr>
        <w:t xml:space="preserve"> et al.</w:t>
      </w:r>
      <w:r w:rsidR="00B55FFA" w:rsidRPr="00DA07E4">
        <w:rPr>
          <w:rFonts w:ascii="Times New Roman" w:hAnsi="Times New Roman" w:cs="Times New Roman"/>
          <w:sz w:val="24"/>
          <w:szCs w:val="24"/>
        </w:rPr>
        <w:t>, 2015</w:t>
      </w:r>
      <w:r w:rsidRPr="00DA07E4">
        <w:rPr>
          <w:rFonts w:ascii="Times New Roman" w:hAnsi="Times New Roman" w:cs="Times New Roman"/>
          <w:sz w:val="24"/>
          <w:szCs w:val="24"/>
        </w:rPr>
        <w:t>)</w:t>
      </w:r>
    </w:p>
    <w:p w14:paraId="004D2BA5" w14:textId="77777777" w:rsidR="00E43A8D" w:rsidRPr="00DA07E4" w:rsidRDefault="00E43A8D" w:rsidP="00DA07E4">
      <w:pPr>
        <w:spacing w:after="0" w:line="360" w:lineRule="auto"/>
        <w:jc w:val="both"/>
        <w:rPr>
          <w:rStyle w:val="A1"/>
          <w:rFonts w:ascii="Times New Roman" w:hAnsi="Times New Roman" w:cs="Times New Roman"/>
          <w:color w:val="auto"/>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3"/>
        <w:gridCol w:w="3502"/>
        <w:gridCol w:w="3255"/>
      </w:tblGrid>
      <w:tr w:rsidR="00AA3622" w:rsidRPr="00DA07E4" w14:paraId="6BBB9459" w14:textId="77777777" w:rsidTr="00E43A8D">
        <w:trPr>
          <w:tblHeader/>
        </w:trPr>
        <w:tc>
          <w:tcPr>
            <w:tcW w:w="8500" w:type="dxa"/>
            <w:gridSpan w:val="3"/>
            <w:shd w:val="clear" w:color="auto" w:fill="D9D9D9" w:themeFill="background1" w:themeFillShade="D9"/>
            <w:tcMar>
              <w:top w:w="48" w:type="dxa"/>
              <w:left w:w="96" w:type="dxa"/>
              <w:bottom w:w="48" w:type="dxa"/>
              <w:right w:w="96" w:type="dxa"/>
            </w:tcMar>
            <w:hideMark/>
          </w:tcPr>
          <w:bookmarkEnd w:id="14"/>
          <w:p w14:paraId="0F37D38D" w14:textId="724D2902" w:rsidR="00AA3622" w:rsidRPr="00DA07E4" w:rsidRDefault="00DA6CE7" w:rsidP="00DA07E4">
            <w:pPr>
              <w:spacing w:after="0" w:line="360" w:lineRule="auto"/>
              <w:jc w:val="both"/>
              <w:rPr>
                <w:rFonts w:ascii="Times New Roman" w:hAnsi="Times New Roman" w:cs="Times New Roman"/>
                <w:b/>
                <w:bCs/>
                <w:sz w:val="24"/>
                <w:szCs w:val="24"/>
              </w:rPr>
            </w:pPr>
            <w:r w:rsidRPr="00DA07E4">
              <w:rPr>
                <w:rFonts w:ascii="Times New Roman" w:hAnsi="Times New Roman" w:cs="Times New Roman"/>
                <w:b/>
                <w:bCs/>
                <w:sz w:val="24"/>
                <w:szCs w:val="24"/>
              </w:rPr>
              <w:t xml:space="preserve">Najčastejšie </w:t>
            </w:r>
            <w:r w:rsidR="00874818">
              <w:rPr>
                <w:rFonts w:ascii="Times New Roman" w:hAnsi="Times New Roman" w:cs="Times New Roman"/>
                <w:b/>
                <w:bCs/>
                <w:sz w:val="24"/>
                <w:szCs w:val="24"/>
              </w:rPr>
              <w:t>kombinácie</w:t>
            </w:r>
            <w:r w:rsidRPr="00DA07E4">
              <w:rPr>
                <w:rFonts w:ascii="Times New Roman" w:hAnsi="Times New Roman" w:cs="Times New Roman"/>
                <w:b/>
                <w:bCs/>
                <w:sz w:val="24"/>
                <w:szCs w:val="24"/>
              </w:rPr>
              <w:t xml:space="preserve"> konkrementov</w:t>
            </w:r>
          </w:p>
        </w:tc>
      </w:tr>
      <w:tr w:rsidR="00AA3622" w:rsidRPr="00DA07E4" w14:paraId="0E048321" w14:textId="77777777" w:rsidTr="00E43A8D">
        <w:trPr>
          <w:trHeight w:val="1155"/>
        </w:trPr>
        <w:tc>
          <w:tcPr>
            <w:tcW w:w="1743" w:type="dxa"/>
            <w:shd w:val="clear" w:color="auto" w:fill="D9D9D9" w:themeFill="background1" w:themeFillShade="D9"/>
            <w:tcMar>
              <w:top w:w="48" w:type="dxa"/>
              <w:left w:w="96" w:type="dxa"/>
              <w:bottom w:w="48" w:type="dxa"/>
              <w:right w:w="96" w:type="dxa"/>
            </w:tcMar>
            <w:hideMark/>
          </w:tcPr>
          <w:p w14:paraId="1637092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Ia alebo Ib + IIa alebo IIb</w:t>
            </w:r>
          </w:p>
        </w:tc>
        <w:tc>
          <w:tcPr>
            <w:tcW w:w="0" w:type="auto"/>
            <w:tcMar>
              <w:top w:w="48" w:type="dxa"/>
              <w:left w:w="96" w:type="dxa"/>
              <w:bottom w:w="48" w:type="dxa"/>
              <w:right w:w="96" w:type="dxa"/>
            </w:tcMar>
            <w:hideMark/>
          </w:tcPr>
          <w:p w14:paraId="5866E98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 + weddellit</w:t>
            </w:r>
          </w:p>
        </w:tc>
        <w:tc>
          <w:tcPr>
            <w:tcW w:w="3255" w:type="dxa"/>
            <w:tcMar>
              <w:top w:w="48" w:type="dxa"/>
              <w:left w:w="96" w:type="dxa"/>
              <w:bottom w:w="48" w:type="dxa"/>
              <w:right w:w="96" w:type="dxa"/>
            </w:tcMar>
            <w:hideMark/>
          </w:tcPr>
          <w:p w14:paraId="7F1970AC"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prerušovaná hyperoxalúria a hyperkalciúria (diétneho pôvodu)</w:t>
            </w:r>
          </w:p>
        </w:tc>
      </w:tr>
      <w:tr w:rsidR="00AA3622" w:rsidRPr="00DA07E4" w14:paraId="5B51FBD7" w14:textId="77777777" w:rsidTr="00E43A8D">
        <w:tc>
          <w:tcPr>
            <w:tcW w:w="1743" w:type="dxa"/>
            <w:shd w:val="clear" w:color="auto" w:fill="D9D9D9" w:themeFill="background1" w:themeFillShade="D9"/>
            <w:tcMar>
              <w:top w:w="48" w:type="dxa"/>
              <w:left w:w="96" w:type="dxa"/>
              <w:bottom w:w="48" w:type="dxa"/>
              <w:right w:w="96" w:type="dxa"/>
            </w:tcMar>
            <w:hideMark/>
          </w:tcPr>
          <w:p w14:paraId="5E273A3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Ia + IVa1</w:t>
            </w:r>
          </w:p>
        </w:tc>
        <w:tc>
          <w:tcPr>
            <w:tcW w:w="0" w:type="auto"/>
            <w:tcMar>
              <w:top w:w="48" w:type="dxa"/>
              <w:left w:w="96" w:type="dxa"/>
              <w:bottom w:w="48" w:type="dxa"/>
              <w:right w:w="96" w:type="dxa"/>
            </w:tcMar>
            <w:hideMark/>
          </w:tcPr>
          <w:p w14:paraId="21F136C9"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 + karbapatit</w:t>
            </w:r>
          </w:p>
        </w:tc>
        <w:tc>
          <w:tcPr>
            <w:tcW w:w="3255" w:type="dxa"/>
            <w:tcMar>
              <w:top w:w="48" w:type="dxa"/>
              <w:left w:w="96" w:type="dxa"/>
              <w:bottom w:w="48" w:type="dxa"/>
              <w:right w:w="96" w:type="dxa"/>
            </w:tcMar>
            <w:hideMark/>
          </w:tcPr>
          <w:p w14:paraId="3DCF789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Randalove plaky, špongiová oblička</w:t>
            </w:r>
          </w:p>
        </w:tc>
      </w:tr>
      <w:tr w:rsidR="00AA3622" w:rsidRPr="00DA07E4" w14:paraId="2D7A987A" w14:textId="77777777" w:rsidTr="00E43A8D">
        <w:tc>
          <w:tcPr>
            <w:tcW w:w="1743" w:type="dxa"/>
            <w:shd w:val="clear" w:color="auto" w:fill="D9D9D9" w:themeFill="background1" w:themeFillShade="D9"/>
            <w:tcMar>
              <w:top w:w="48" w:type="dxa"/>
              <w:left w:w="96" w:type="dxa"/>
              <w:bottom w:w="48" w:type="dxa"/>
              <w:right w:w="96" w:type="dxa"/>
            </w:tcMar>
            <w:hideMark/>
          </w:tcPr>
          <w:p w14:paraId="73374FC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IIa alebo IIb + IVa1</w:t>
            </w:r>
          </w:p>
        </w:tc>
        <w:tc>
          <w:tcPr>
            <w:tcW w:w="0" w:type="auto"/>
            <w:tcMar>
              <w:top w:w="48" w:type="dxa"/>
              <w:left w:w="96" w:type="dxa"/>
              <w:bottom w:w="48" w:type="dxa"/>
              <w:right w:w="96" w:type="dxa"/>
            </w:tcMar>
            <w:hideMark/>
          </w:tcPr>
          <w:p w14:paraId="2BFC7BFB"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weddellit + karbapatit</w:t>
            </w:r>
          </w:p>
        </w:tc>
        <w:tc>
          <w:tcPr>
            <w:tcW w:w="3255" w:type="dxa"/>
            <w:tcMar>
              <w:top w:w="48" w:type="dxa"/>
              <w:left w:w="96" w:type="dxa"/>
              <w:bottom w:w="48" w:type="dxa"/>
              <w:right w:w="96" w:type="dxa"/>
            </w:tcMar>
            <w:hideMark/>
          </w:tcPr>
          <w:p w14:paraId="102D1B3C"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absorpčná alebo resorpčná hyperkalciúria</w:t>
            </w:r>
          </w:p>
        </w:tc>
      </w:tr>
      <w:tr w:rsidR="00AA3622" w:rsidRPr="00DA07E4" w14:paraId="23A2EE09" w14:textId="77777777" w:rsidTr="00E43A8D">
        <w:tc>
          <w:tcPr>
            <w:tcW w:w="1743" w:type="dxa"/>
            <w:shd w:val="clear" w:color="auto" w:fill="D9D9D9" w:themeFill="background1" w:themeFillShade="D9"/>
            <w:tcMar>
              <w:top w:w="48" w:type="dxa"/>
              <w:left w:w="96" w:type="dxa"/>
              <w:bottom w:w="48" w:type="dxa"/>
              <w:right w:w="96" w:type="dxa"/>
            </w:tcMar>
            <w:hideMark/>
          </w:tcPr>
          <w:p w14:paraId="53384554"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Ia alebo Ib + IIa alebo IIb + IVa alebo IVb</w:t>
            </w:r>
          </w:p>
        </w:tc>
        <w:tc>
          <w:tcPr>
            <w:tcW w:w="0" w:type="auto"/>
            <w:tcMar>
              <w:top w:w="48" w:type="dxa"/>
              <w:left w:w="96" w:type="dxa"/>
              <w:bottom w:w="48" w:type="dxa"/>
              <w:right w:w="96" w:type="dxa"/>
            </w:tcMar>
            <w:hideMark/>
          </w:tcPr>
          <w:p w14:paraId="30C88C85"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 + weddellit + karbapatit</w:t>
            </w:r>
          </w:p>
        </w:tc>
        <w:tc>
          <w:tcPr>
            <w:tcW w:w="3255" w:type="dxa"/>
            <w:tcMar>
              <w:top w:w="48" w:type="dxa"/>
              <w:left w:w="96" w:type="dxa"/>
              <w:bottom w:w="48" w:type="dxa"/>
              <w:right w:w="96" w:type="dxa"/>
            </w:tcMar>
            <w:hideMark/>
          </w:tcPr>
          <w:p w14:paraId="18C39E7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hyperoxalúria + hyperkalciúria, špongiová oblička</w:t>
            </w:r>
          </w:p>
        </w:tc>
      </w:tr>
      <w:tr w:rsidR="00AA3622" w:rsidRPr="00DA07E4" w14:paraId="33DC7126" w14:textId="77777777" w:rsidTr="00E43A8D">
        <w:tc>
          <w:tcPr>
            <w:tcW w:w="1743" w:type="dxa"/>
            <w:shd w:val="clear" w:color="auto" w:fill="D9D9D9" w:themeFill="background1" w:themeFillShade="D9"/>
            <w:tcMar>
              <w:top w:w="48" w:type="dxa"/>
              <w:left w:w="96" w:type="dxa"/>
              <w:bottom w:w="48" w:type="dxa"/>
              <w:right w:w="96" w:type="dxa"/>
            </w:tcMar>
            <w:hideMark/>
          </w:tcPr>
          <w:p w14:paraId="3C928897"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Ia + IIIb</w:t>
            </w:r>
          </w:p>
        </w:tc>
        <w:tc>
          <w:tcPr>
            <w:tcW w:w="0" w:type="auto"/>
            <w:tcMar>
              <w:top w:w="48" w:type="dxa"/>
              <w:left w:w="96" w:type="dxa"/>
              <w:bottom w:w="48" w:type="dxa"/>
              <w:right w:w="96" w:type="dxa"/>
            </w:tcMar>
            <w:hideMark/>
          </w:tcPr>
          <w:p w14:paraId="5C8EE0F8"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whewellit + kyselina močová</w:t>
            </w:r>
          </w:p>
        </w:tc>
        <w:tc>
          <w:tcPr>
            <w:tcW w:w="3255" w:type="dxa"/>
            <w:tcMar>
              <w:top w:w="48" w:type="dxa"/>
              <w:left w:w="96" w:type="dxa"/>
              <w:bottom w:w="48" w:type="dxa"/>
              <w:right w:w="96" w:type="dxa"/>
            </w:tcMar>
            <w:hideMark/>
          </w:tcPr>
          <w:p w14:paraId="70597B4F" w14:textId="77777777" w:rsidR="00AA3622" w:rsidRPr="00DA07E4" w:rsidRDefault="00AA3622" w:rsidP="00874818">
            <w:pPr>
              <w:spacing w:after="0" w:line="360" w:lineRule="auto"/>
              <w:rPr>
                <w:rFonts w:ascii="Times New Roman" w:hAnsi="Times New Roman" w:cs="Times New Roman"/>
                <w:sz w:val="24"/>
                <w:szCs w:val="24"/>
              </w:rPr>
            </w:pPr>
            <w:r w:rsidRPr="00DA07E4">
              <w:rPr>
                <w:rFonts w:ascii="Times New Roman" w:hAnsi="Times New Roman" w:cs="Times New Roman"/>
                <w:sz w:val="24"/>
                <w:szCs w:val="24"/>
              </w:rPr>
              <w:t>hyperoxalúria + metabolický syndróm</w:t>
            </w:r>
          </w:p>
        </w:tc>
      </w:tr>
    </w:tbl>
    <w:p w14:paraId="2AED8491" w14:textId="77777777" w:rsidR="00AA3622" w:rsidRPr="00DA07E4" w:rsidRDefault="00AA3622" w:rsidP="00DA07E4">
      <w:pPr>
        <w:pStyle w:val="Normlnweb"/>
        <w:spacing w:before="0" w:beforeAutospacing="0" w:after="0" w:afterAutospacing="0" w:line="360" w:lineRule="auto"/>
        <w:jc w:val="both"/>
        <w:rPr>
          <w:rStyle w:val="A1"/>
          <w:color w:val="auto"/>
          <w:sz w:val="24"/>
          <w:szCs w:val="24"/>
        </w:rPr>
      </w:pPr>
    </w:p>
    <w:p w14:paraId="5A341744" w14:textId="42A88B21" w:rsidR="00BF1052" w:rsidRPr="00DA07E4" w:rsidRDefault="00BF1052" w:rsidP="00DA07E4">
      <w:pPr>
        <w:spacing w:after="0" w:line="360" w:lineRule="auto"/>
        <w:jc w:val="both"/>
        <w:rPr>
          <w:rFonts w:ascii="Times New Roman" w:hAnsi="Times New Roman" w:cs="Times New Roman"/>
          <w:sz w:val="24"/>
          <w:szCs w:val="24"/>
        </w:rPr>
      </w:pPr>
    </w:p>
    <w:p w14:paraId="56EE52C5" w14:textId="2D9F873C" w:rsidR="00526A4A" w:rsidRPr="00DA07E4" w:rsidRDefault="00526A4A" w:rsidP="00DA07E4">
      <w:pPr>
        <w:spacing w:after="0" w:line="360" w:lineRule="auto"/>
        <w:jc w:val="both"/>
        <w:rPr>
          <w:rFonts w:ascii="Times New Roman" w:hAnsi="Times New Roman" w:cs="Times New Roman"/>
          <w:sz w:val="24"/>
          <w:szCs w:val="24"/>
        </w:rPr>
      </w:pPr>
    </w:p>
    <w:p w14:paraId="257FA9BD" w14:textId="77777777" w:rsidR="00526A4A" w:rsidRPr="00DA07E4" w:rsidRDefault="00526A4A" w:rsidP="00DA07E4">
      <w:pPr>
        <w:spacing w:after="0" w:line="360" w:lineRule="auto"/>
        <w:jc w:val="both"/>
        <w:rPr>
          <w:rFonts w:ascii="Times New Roman" w:hAnsi="Times New Roman" w:cs="Times New Roman"/>
          <w:vanish/>
          <w:sz w:val="24"/>
          <w:szCs w:val="24"/>
        </w:rPr>
      </w:pPr>
    </w:p>
    <w:p w14:paraId="5224B167" w14:textId="77777777" w:rsidR="00BF1052" w:rsidRPr="00DA07E4" w:rsidRDefault="00BF1052" w:rsidP="00DA07E4">
      <w:pPr>
        <w:pStyle w:val="Normlnweb"/>
        <w:spacing w:before="0" w:beforeAutospacing="0" w:after="0" w:afterAutospacing="0" w:line="360" w:lineRule="auto"/>
        <w:jc w:val="both"/>
        <w:rPr>
          <w:rStyle w:val="A1"/>
          <w:color w:val="auto"/>
          <w:sz w:val="24"/>
          <w:szCs w:val="24"/>
        </w:rPr>
      </w:pPr>
    </w:p>
    <w:p w14:paraId="015A9F5B" w14:textId="77777777" w:rsidR="00526A4A" w:rsidRPr="00DA07E4" w:rsidRDefault="00526A4A" w:rsidP="00DA07E4">
      <w:pPr>
        <w:spacing w:after="0" w:line="360" w:lineRule="auto"/>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br w:type="page"/>
      </w:r>
    </w:p>
    <w:p w14:paraId="2AA43DCE" w14:textId="5C13DEE3" w:rsidR="00187CFB" w:rsidRPr="00DA07E4" w:rsidRDefault="005B27DC" w:rsidP="00DA07E4">
      <w:pPr>
        <w:pStyle w:val="Odstavecseseznamem"/>
        <w:numPr>
          <w:ilvl w:val="0"/>
          <w:numId w:val="4"/>
        </w:numPr>
        <w:spacing w:after="0" w:line="360" w:lineRule="auto"/>
        <w:ind w:left="426" w:hanging="426"/>
        <w:jc w:val="both"/>
        <w:rPr>
          <w:rStyle w:val="A1"/>
          <w:rFonts w:ascii="Times New Roman" w:hAnsi="Times New Roman" w:cs="Times New Roman"/>
          <w:b/>
          <w:color w:val="auto"/>
          <w:sz w:val="24"/>
          <w:szCs w:val="24"/>
        </w:rPr>
      </w:pPr>
      <w:r w:rsidRPr="00DA07E4">
        <w:rPr>
          <w:rStyle w:val="A1"/>
          <w:rFonts w:ascii="Times New Roman" w:hAnsi="Times New Roman" w:cs="Times New Roman"/>
          <w:b/>
          <w:color w:val="auto"/>
          <w:sz w:val="24"/>
          <w:szCs w:val="24"/>
        </w:rPr>
        <w:lastRenderedPageBreak/>
        <w:t>ZOBRAZOVACIE VYŠETRENIA</w:t>
      </w:r>
      <w:r w:rsidR="00A679D3" w:rsidRPr="00DA07E4">
        <w:rPr>
          <w:rStyle w:val="A1"/>
          <w:rFonts w:ascii="Times New Roman" w:hAnsi="Times New Roman" w:cs="Times New Roman"/>
          <w:b/>
          <w:color w:val="auto"/>
          <w:sz w:val="24"/>
          <w:szCs w:val="24"/>
        </w:rPr>
        <w:t xml:space="preserve"> V DIAGNOSTIKE UROLITIÁZY</w:t>
      </w:r>
    </w:p>
    <w:p w14:paraId="3032CDE1" w14:textId="77777777" w:rsidR="00526A4A" w:rsidRPr="00DA07E4" w:rsidRDefault="00526A4A" w:rsidP="00DA07E4">
      <w:pPr>
        <w:spacing w:after="0" w:line="360" w:lineRule="auto"/>
        <w:jc w:val="both"/>
        <w:rPr>
          <w:rFonts w:ascii="Times New Roman" w:hAnsi="Times New Roman" w:cs="Times New Roman"/>
          <w:sz w:val="24"/>
          <w:szCs w:val="24"/>
        </w:rPr>
      </w:pPr>
    </w:p>
    <w:p w14:paraId="41C2EAC4" w14:textId="6D3BF4FF" w:rsidR="00DA4F0E" w:rsidRPr="00DA07E4" w:rsidRDefault="00B201C2"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Zlatý štandard pri diagnostike urolitiázy predstavuje natívne CT vyšetrenie. Stále sa ale využívajú aj ďalšie metódy –</w:t>
      </w:r>
      <w:r w:rsidR="00CB53B9" w:rsidRPr="00DA07E4">
        <w:rPr>
          <w:rFonts w:ascii="Times New Roman" w:hAnsi="Times New Roman" w:cs="Times New Roman"/>
          <w:sz w:val="24"/>
          <w:szCs w:val="24"/>
        </w:rPr>
        <w:t xml:space="preserve"> </w:t>
      </w:r>
      <w:r w:rsidRPr="00DA07E4">
        <w:rPr>
          <w:rFonts w:ascii="Times New Roman" w:hAnsi="Times New Roman" w:cs="Times New Roman"/>
          <w:sz w:val="24"/>
          <w:szCs w:val="24"/>
        </w:rPr>
        <w:t>RTG snímky</w:t>
      </w:r>
      <w:r w:rsidR="0062653F" w:rsidRPr="00DA07E4">
        <w:rPr>
          <w:rFonts w:ascii="Times New Roman" w:hAnsi="Times New Roman" w:cs="Times New Roman"/>
          <w:sz w:val="24"/>
          <w:szCs w:val="24"/>
        </w:rPr>
        <w:t xml:space="preserve">, </w:t>
      </w:r>
      <w:r w:rsidR="002C38EF" w:rsidRPr="00DA07E4">
        <w:rPr>
          <w:rFonts w:ascii="Times New Roman" w:hAnsi="Times New Roman" w:cs="Times New Roman"/>
          <w:sz w:val="24"/>
          <w:szCs w:val="24"/>
        </w:rPr>
        <w:t xml:space="preserve">intravenózna urografia, </w:t>
      </w:r>
      <w:r w:rsidR="0062653F" w:rsidRPr="00DA07E4">
        <w:rPr>
          <w:rFonts w:ascii="Times New Roman" w:hAnsi="Times New Roman" w:cs="Times New Roman"/>
          <w:sz w:val="24"/>
          <w:szCs w:val="24"/>
        </w:rPr>
        <w:t>ultrazvukové zobrazenie</w:t>
      </w:r>
      <w:r w:rsidR="00DA4F0E" w:rsidRPr="00DA07E4">
        <w:rPr>
          <w:rFonts w:ascii="Times New Roman" w:hAnsi="Times New Roman" w:cs="Times New Roman"/>
          <w:sz w:val="24"/>
          <w:szCs w:val="24"/>
        </w:rPr>
        <w:t>, menej často MRI.</w:t>
      </w:r>
    </w:p>
    <w:p w14:paraId="6477C371" w14:textId="77777777" w:rsidR="0062653F" w:rsidRPr="00DA07E4" w:rsidRDefault="0062653F" w:rsidP="00DA07E4">
      <w:pPr>
        <w:spacing w:after="0" w:line="360" w:lineRule="auto"/>
        <w:jc w:val="both"/>
        <w:rPr>
          <w:rFonts w:ascii="Times New Roman" w:hAnsi="Times New Roman" w:cs="Times New Roman"/>
          <w:sz w:val="24"/>
          <w:szCs w:val="24"/>
        </w:rPr>
      </w:pPr>
    </w:p>
    <w:p w14:paraId="0E163F6D" w14:textId="6D82E3B3" w:rsidR="00DA4F0E" w:rsidRPr="00DA07E4" w:rsidRDefault="00D505EA"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2.1. </w:t>
      </w:r>
      <w:r w:rsidR="00181F17" w:rsidRPr="00DA07E4">
        <w:rPr>
          <w:rFonts w:ascii="Times New Roman" w:hAnsi="Times New Roman" w:cs="Times New Roman"/>
          <w:b/>
          <w:sz w:val="24"/>
          <w:szCs w:val="24"/>
        </w:rPr>
        <w:t>Natívna RTG snímka</w:t>
      </w:r>
    </w:p>
    <w:p w14:paraId="3F665743" w14:textId="77777777" w:rsidR="00526A4A" w:rsidRPr="00DA07E4" w:rsidRDefault="00526A4A" w:rsidP="00DA07E4">
      <w:pPr>
        <w:spacing w:after="0" w:line="360" w:lineRule="auto"/>
        <w:jc w:val="both"/>
        <w:rPr>
          <w:rFonts w:ascii="Times New Roman" w:hAnsi="Times New Roman" w:cs="Times New Roman"/>
          <w:sz w:val="24"/>
          <w:szCs w:val="24"/>
        </w:rPr>
      </w:pPr>
    </w:p>
    <w:p w14:paraId="29CB2647" w14:textId="33DE3A12" w:rsidR="00DA4F0E" w:rsidRPr="00DA07E4" w:rsidRDefault="0062653F"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Zobrazenie urotraktu pomocou natívnej RTG snímky v </w:t>
      </w:r>
      <w:r w:rsidRPr="0036437E">
        <w:rPr>
          <w:rFonts w:ascii="Times New Roman" w:hAnsi="Times New Roman" w:cs="Times New Roman"/>
          <w:sz w:val="24"/>
          <w:szCs w:val="24"/>
        </w:rPr>
        <w:t xml:space="preserve">ľahu </w:t>
      </w:r>
      <w:r w:rsidR="00874818" w:rsidRPr="00485D07">
        <w:rPr>
          <w:rFonts w:ascii="Times New Roman" w:hAnsi="Times New Roman" w:cs="Times New Roman"/>
          <w:sz w:val="24"/>
          <w:szCs w:val="24"/>
        </w:rPr>
        <w:t>patrí</w:t>
      </w:r>
      <w:r w:rsidR="00874818" w:rsidRPr="0036437E">
        <w:rPr>
          <w:rFonts w:ascii="Times New Roman" w:hAnsi="Times New Roman" w:cs="Times New Roman"/>
          <w:sz w:val="24"/>
          <w:szCs w:val="24"/>
        </w:rPr>
        <w:t xml:space="preserve"> k </w:t>
      </w:r>
      <w:r w:rsidRPr="0036437E">
        <w:rPr>
          <w:rFonts w:ascii="Times New Roman" w:hAnsi="Times New Roman" w:cs="Times New Roman"/>
          <w:sz w:val="24"/>
          <w:szCs w:val="24"/>
        </w:rPr>
        <w:t>najjednoduchš</w:t>
      </w:r>
      <w:r w:rsidR="00874818" w:rsidRPr="0036437E">
        <w:rPr>
          <w:rFonts w:ascii="Times New Roman" w:hAnsi="Times New Roman" w:cs="Times New Roman"/>
          <w:sz w:val="24"/>
          <w:szCs w:val="24"/>
        </w:rPr>
        <w:t>ím</w:t>
      </w:r>
      <w:r w:rsidR="00874818">
        <w:rPr>
          <w:rFonts w:ascii="Times New Roman" w:hAnsi="Times New Roman" w:cs="Times New Roman"/>
          <w:sz w:val="24"/>
          <w:szCs w:val="24"/>
        </w:rPr>
        <w:t xml:space="preserve"> </w:t>
      </w:r>
      <w:r w:rsidRPr="00DA07E4">
        <w:rPr>
          <w:rFonts w:ascii="Times New Roman" w:hAnsi="Times New Roman" w:cs="Times New Roman"/>
          <w:sz w:val="24"/>
          <w:szCs w:val="24"/>
        </w:rPr>
        <w:t>a najdostupnejš</w:t>
      </w:r>
      <w:r w:rsidR="00874818">
        <w:rPr>
          <w:rFonts w:ascii="Times New Roman" w:hAnsi="Times New Roman" w:cs="Times New Roman"/>
          <w:sz w:val="24"/>
          <w:szCs w:val="24"/>
        </w:rPr>
        <w:t>ím</w:t>
      </w:r>
      <w:r w:rsidRPr="00DA07E4">
        <w:rPr>
          <w:rFonts w:ascii="Times New Roman" w:hAnsi="Times New Roman" w:cs="Times New Roman"/>
          <w:sz w:val="24"/>
          <w:szCs w:val="24"/>
        </w:rPr>
        <w:t xml:space="preserve"> vyšetreni</w:t>
      </w:r>
      <w:r w:rsidR="00874818">
        <w:rPr>
          <w:rFonts w:ascii="Times New Roman" w:hAnsi="Times New Roman" w:cs="Times New Roman"/>
          <w:sz w:val="24"/>
          <w:szCs w:val="24"/>
        </w:rPr>
        <w:t>am</w:t>
      </w:r>
      <w:r w:rsidRPr="00DA07E4">
        <w:rPr>
          <w:rFonts w:ascii="Times New Roman" w:hAnsi="Times New Roman" w:cs="Times New Roman"/>
          <w:sz w:val="24"/>
          <w:szCs w:val="24"/>
        </w:rPr>
        <w:t xml:space="preserve"> spomedzi všetkých zobrazovacích vyšetrení. Vyhotovenie snímky nesie so sebou ale aj viacero nevýhod. Zachytiť drobné konkrementy u pacientov s vysokým percentom telesného tuku a pri významnom meteorizme v zažívacom trakte je veľmi komplikované. V týchto prípadoch dôjde k ľahkej zámene</w:t>
      </w:r>
      <w:r w:rsidR="0054254D" w:rsidRPr="00DA07E4">
        <w:rPr>
          <w:rFonts w:ascii="Times New Roman" w:hAnsi="Times New Roman" w:cs="Times New Roman"/>
          <w:sz w:val="24"/>
          <w:szCs w:val="24"/>
        </w:rPr>
        <w:t xml:space="preserve"> s </w:t>
      </w:r>
      <w:r w:rsidRPr="00DA07E4">
        <w:rPr>
          <w:rFonts w:ascii="Times New Roman" w:hAnsi="Times New Roman" w:cs="Times New Roman"/>
          <w:sz w:val="24"/>
          <w:szCs w:val="24"/>
        </w:rPr>
        <w:t>flebolitmi v malej panve</w:t>
      </w:r>
      <w:r w:rsidR="002C38EF" w:rsidRPr="00DA07E4">
        <w:rPr>
          <w:rFonts w:ascii="Times New Roman" w:hAnsi="Times New Roman" w:cs="Times New Roman"/>
          <w:sz w:val="24"/>
          <w:szCs w:val="24"/>
        </w:rPr>
        <w:t xml:space="preserve">, </w:t>
      </w:r>
      <w:r w:rsidR="0054254D" w:rsidRPr="00DA07E4">
        <w:rPr>
          <w:rFonts w:ascii="Times New Roman" w:hAnsi="Times New Roman" w:cs="Times New Roman"/>
          <w:sz w:val="24"/>
          <w:szCs w:val="24"/>
        </w:rPr>
        <w:t xml:space="preserve">menej často s cholecystolitiázou, </w:t>
      </w:r>
      <w:r w:rsidR="002C38EF" w:rsidRPr="00DA07E4">
        <w:rPr>
          <w:rFonts w:ascii="Times New Roman" w:hAnsi="Times New Roman" w:cs="Times New Roman"/>
          <w:sz w:val="24"/>
          <w:szCs w:val="24"/>
        </w:rPr>
        <w:t>kalcifikátmi v uzlinách či myómoch maternice</w:t>
      </w:r>
      <w:r w:rsidRPr="00DA07E4">
        <w:rPr>
          <w:rFonts w:ascii="Times New Roman" w:hAnsi="Times New Roman" w:cs="Times New Roman"/>
          <w:sz w:val="24"/>
          <w:szCs w:val="24"/>
        </w:rPr>
        <w:t xml:space="preserve">. V neposlednom rade predstavuje RTG snímka pre </w:t>
      </w:r>
      <w:r w:rsidRPr="0036437E">
        <w:rPr>
          <w:rFonts w:ascii="Times New Roman" w:hAnsi="Times New Roman" w:cs="Times New Roman"/>
          <w:sz w:val="24"/>
          <w:szCs w:val="24"/>
        </w:rPr>
        <w:t xml:space="preserve">pacienta istú radiačnú záťaž, aj keď malú. Okrem toho je potrebné </w:t>
      </w:r>
      <w:r w:rsidR="00874818" w:rsidRPr="0036437E">
        <w:rPr>
          <w:rFonts w:ascii="Times New Roman" w:hAnsi="Times New Roman" w:cs="Times New Roman"/>
          <w:sz w:val="24"/>
          <w:szCs w:val="24"/>
        </w:rPr>
        <w:t>zobrať</w:t>
      </w:r>
      <w:r w:rsidRPr="0036437E">
        <w:rPr>
          <w:rFonts w:ascii="Times New Roman" w:hAnsi="Times New Roman" w:cs="Times New Roman"/>
          <w:sz w:val="24"/>
          <w:szCs w:val="24"/>
        </w:rPr>
        <w:t xml:space="preserve"> do úvahy, že </w:t>
      </w:r>
      <w:r w:rsidR="002C38EF" w:rsidRPr="0036437E">
        <w:rPr>
          <w:rFonts w:ascii="Times New Roman" w:hAnsi="Times New Roman" w:cs="Times New Roman"/>
          <w:sz w:val="24"/>
          <w:szCs w:val="24"/>
        </w:rPr>
        <w:t xml:space="preserve">menšia, no stále </w:t>
      </w:r>
      <w:r w:rsidRPr="0036437E">
        <w:rPr>
          <w:rFonts w:ascii="Times New Roman" w:hAnsi="Times New Roman" w:cs="Times New Roman"/>
          <w:sz w:val="24"/>
          <w:szCs w:val="24"/>
        </w:rPr>
        <w:t>významná časť konkrementov</w:t>
      </w:r>
      <w:r w:rsidR="00874818" w:rsidRPr="0036437E">
        <w:rPr>
          <w:rFonts w:ascii="Times New Roman" w:hAnsi="Times New Roman" w:cs="Times New Roman"/>
          <w:sz w:val="24"/>
          <w:szCs w:val="24"/>
        </w:rPr>
        <w:t>,</w:t>
      </w:r>
      <w:r w:rsidRPr="0036437E">
        <w:rPr>
          <w:rFonts w:ascii="Times New Roman" w:hAnsi="Times New Roman" w:cs="Times New Roman"/>
          <w:sz w:val="24"/>
          <w:szCs w:val="24"/>
        </w:rPr>
        <w:t xml:space="preserve"> je RTG nekontrastná.</w:t>
      </w:r>
      <w:r w:rsidR="002C38EF" w:rsidRPr="0036437E">
        <w:rPr>
          <w:rFonts w:ascii="Times New Roman" w:hAnsi="Times New Roman" w:cs="Times New Roman"/>
          <w:sz w:val="24"/>
          <w:szCs w:val="24"/>
        </w:rPr>
        <w:t xml:space="preserve"> </w:t>
      </w:r>
      <w:r w:rsidR="007359E2" w:rsidRPr="0036437E">
        <w:rPr>
          <w:rFonts w:ascii="Times New Roman" w:hAnsi="Times New Roman" w:cs="Times New Roman"/>
          <w:sz w:val="24"/>
          <w:szCs w:val="24"/>
        </w:rPr>
        <w:t>Kontrastn</w:t>
      </w:r>
      <w:r w:rsidR="002C38EF" w:rsidRPr="0036437E">
        <w:rPr>
          <w:rFonts w:ascii="Times New Roman" w:hAnsi="Times New Roman" w:cs="Times New Roman"/>
          <w:sz w:val="24"/>
          <w:szCs w:val="24"/>
        </w:rPr>
        <w:t>é</w:t>
      </w:r>
      <w:r w:rsidR="007359E2" w:rsidRPr="0036437E">
        <w:rPr>
          <w:rFonts w:ascii="Times New Roman" w:hAnsi="Times New Roman" w:cs="Times New Roman"/>
          <w:sz w:val="24"/>
          <w:szCs w:val="24"/>
        </w:rPr>
        <w:t xml:space="preserve"> konkrementy </w:t>
      </w:r>
      <w:r w:rsidR="002C38EF" w:rsidRPr="0036437E">
        <w:rPr>
          <w:rFonts w:ascii="Times New Roman" w:hAnsi="Times New Roman" w:cs="Times New Roman"/>
          <w:sz w:val="24"/>
          <w:szCs w:val="24"/>
        </w:rPr>
        <w:t>sú všetky tie, ktoré majú vysoký obsah kalcia a tiež</w:t>
      </w:r>
      <w:r w:rsidR="007359E2" w:rsidRPr="0036437E">
        <w:rPr>
          <w:rFonts w:ascii="Times New Roman" w:hAnsi="Times New Roman" w:cs="Times New Roman"/>
          <w:sz w:val="24"/>
          <w:szCs w:val="24"/>
        </w:rPr>
        <w:t> cyst</w:t>
      </w:r>
      <w:r w:rsidR="002C38EF" w:rsidRPr="0036437E">
        <w:rPr>
          <w:rFonts w:ascii="Times New Roman" w:hAnsi="Times New Roman" w:cs="Times New Roman"/>
          <w:sz w:val="24"/>
          <w:szCs w:val="24"/>
        </w:rPr>
        <w:t>ínu</w:t>
      </w:r>
      <w:r w:rsidR="007359E2" w:rsidRPr="0036437E">
        <w:rPr>
          <w:rFonts w:ascii="Times New Roman" w:hAnsi="Times New Roman" w:cs="Times New Roman"/>
          <w:sz w:val="24"/>
          <w:szCs w:val="24"/>
        </w:rPr>
        <w:t xml:space="preserve">. </w:t>
      </w:r>
      <w:r w:rsidR="002C38EF" w:rsidRPr="0036437E">
        <w:rPr>
          <w:rFonts w:ascii="Times New Roman" w:hAnsi="Times New Roman" w:cs="Times New Roman"/>
          <w:sz w:val="24"/>
          <w:szCs w:val="24"/>
        </w:rPr>
        <w:t>N</w:t>
      </w:r>
      <w:r w:rsidR="007359E2" w:rsidRPr="0036437E">
        <w:rPr>
          <w:rFonts w:ascii="Times New Roman" w:hAnsi="Times New Roman" w:cs="Times New Roman"/>
          <w:sz w:val="24"/>
          <w:szCs w:val="24"/>
        </w:rPr>
        <w:t>ekontrastn</w:t>
      </w:r>
      <w:r w:rsidR="002C38EF" w:rsidRPr="0036437E">
        <w:rPr>
          <w:rFonts w:ascii="Times New Roman" w:hAnsi="Times New Roman" w:cs="Times New Roman"/>
          <w:sz w:val="24"/>
          <w:szCs w:val="24"/>
        </w:rPr>
        <w:t>é urolity sú</w:t>
      </w:r>
      <w:r w:rsidR="0054254D" w:rsidRPr="0036437E">
        <w:rPr>
          <w:rFonts w:ascii="Times New Roman" w:hAnsi="Times New Roman" w:cs="Times New Roman"/>
          <w:sz w:val="24"/>
          <w:szCs w:val="24"/>
        </w:rPr>
        <w:t xml:space="preserve"> najmä</w:t>
      </w:r>
      <w:r w:rsidR="002C38EF" w:rsidRPr="0036437E">
        <w:rPr>
          <w:rFonts w:ascii="Times New Roman" w:hAnsi="Times New Roman" w:cs="Times New Roman"/>
          <w:sz w:val="24"/>
          <w:szCs w:val="24"/>
        </w:rPr>
        <w:t xml:space="preserve"> </w:t>
      </w:r>
      <w:r w:rsidR="007359E2" w:rsidRPr="0036437E">
        <w:rPr>
          <w:rFonts w:ascii="Times New Roman" w:hAnsi="Times New Roman" w:cs="Times New Roman"/>
          <w:sz w:val="24"/>
          <w:szCs w:val="24"/>
        </w:rPr>
        <w:t>urát</w:t>
      </w:r>
      <w:r w:rsidR="002C38EF" w:rsidRPr="0036437E">
        <w:rPr>
          <w:rFonts w:ascii="Times New Roman" w:hAnsi="Times New Roman" w:cs="Times New Roman"/>
          <w:sz w:val="24"/>
          <w:szCs w:val="24"/>
        </w:rPr>
        <w:t>y a</w:t>
      </w:r>
      <w:r w:rsidR="00197197">
        <w:rPr>
          <w:rFonts w:ascii="Times New Roman" w:hAnsi="Times New Roman" w:cs="Times New Roman"/>
          <w:sz w:val="24"/>
          <w:szCs w:val="24"/>
        </w:rPr>
        <w:t> </w:t>
      </w:r>
      <w:r w:rsidR="007359E2" w:rsidRPr="00197197">
        <w:rPr>
          <w:rFonts w:ascii="Times New Roman" w:hAnsi="Times New Roman" w:cs="Times New Roman"/>
          <w:sz w:val="24"/>
          <w:szCs w:val="24"/>
        </w:rPr>
        <w:t>prote</w:t>
      </w:r>
      <w:r w:rsidR="002C38EF" w:rsidRPr="00197197">
        <w:rPr>
          <w:rFonts w:ascii="Times New Roman" w:hAnsi="Times New Roman" w:cs="Times New Roman"/>
          <w:sz w:val="24"/>
          <w:szCs w:val="24"/>
        </w:rPr>
        <w:t>í</w:t>
      </w:r>
      <w:r w:rsidR="007359E2" w:rsidRPr="00197197">
        <w:rPr>
          <w:rFonts w:ascii="Times New Roman" w:hAnsi="Times New Roman" w:cs="Times New Roman"/>
          <w:sz w:val="24"/>
          <w:szCs w:val="24"/>
        </w:rPr>
        <w:t>nové</w:t>
      </w:r>
      <w:r w:rsidR="00197197" w:rsidRPr="00197197">
        <w:rPr>
          <w:rFonts w:ascii="Times New Roman" w:hAnsi="Times New Roman" w:cs="Times New Roman"/>
          <w:sz w:val="24"/>
          <w:szCs w:val="24"/>
        </w:rPr>
        <w:t>.</w:t>
      </w:r>
      <w:r w:rsidR="002C38EF" w:rsidRPr="00197197">
        <w:rPr>
          <w:rFonts w:ascii="Times New Roman" w:hAnsi="Times New Roman" w:cs="Times New Roman"/>
          <w:sz w:val="24"/>
          <w:szCs w:val="24"/>
        </w:rPr>
        <w:t xml:space="preserve"> </w:t>
      </w:r>
      <w:r w:rsidR="0036437E" w:rsidRPr="00197197">
        <w:rPr>
          <w:rFonts w:ascii="Times New Roman" w:hAnsi="Times New Roman" w:cs="Times New Roman"/>
          <w:sz w:val="24"/>
          <w:szCs w:val="24"/>
        </w:rPr>
        <w:t>Všetky obmedzenia spôsobujú nižšiu celkovú diagnostickú presnosť RTG natívnej snímky v hodnotení urolitiazy. Výsledky dosahujú senzitivitu 59</w:t>
      </w:r>
      <w:r w:rsidR="00197197" w:rsidRPr="00197197">
        <w:rPr>
          <w:rFonts w:ascii="Times New Roman" w:hAnsi="Times New Roman" w:cs="Times New Roman"/>
          <w:sz w:val="24"/>
          <w:szCs w:val="24"/>
        </w:rPr>
        <w:t xml:space="preserve"> </w:t>
      </w:r>
      <w:r w:rsidR="0036437E" w:rsidRPr="00197197">
        <w:rPr>
          <w:rFonts w:ascii="Times New Roman" w:hAnsi="Times New Roman" w:cs="Times New Roman"/>
          <w:sz w:val="24"/>
          <w:szCs w:val="24"/>
        </w:rPr>
        <w:t>% a špecifickosť 71</w:t>
      </w:r>
      <w:r w:rsidR="00197197" w:rsidRPr="00197197">
        <w:rPr>
          <w:rFonts w:ascii="Times New Roman" w:hAnsi="Times New Roman" w:cs="Times New Roman"/>
          <w:sz w:val="24"/>
          <w:szCs w:val="24"/>
        </w:rPr>
        <w:t xml:space="preserve"> </w:t>
      </w:r>
      <w:r w:rsidR="0036437E" w:rsidRPr="00197197">
        <w:rPr>
          <w:rFonts w:ascii="Times New Roman" w:hAnsi="Times New Roman" w:cs="Times New Roman"/>
          <w:sz w:val="24"/>
          <w:szCs w:val="24"/>
        </w:rPr>
        <w:t>%. Vyšetrenie navyše neumožňuje hodnotenie hydronefrózy alebo aj špecifického umiestnenia konkrementu (</w:t>
      </w:r>
      <w:r w:rsidR="0036437E" w:rsidRPr="00197197">
        <w:rPr>
          <w:rFonts w:ascii="Times New Roman" w:hAnsi="Times New Roman" w:cs="Times New Roman"/>
          <w:color w:val="000000" w:themeColor="text1"/>
          <w:sz w:val="24"/>
          <w:szCs w:val="24"/>
        </w:rPr>
        <w:t>Levine et al., 1997</w:t>
      </w:r>
      <w:r w:rsidR="0036437E" w:rsidRPr="00197197">
        <w:rPr>
          <w:rFonts w:ascii="Times New Roman" w:hAnsi="Times New Roman" w:cs="Times New Roman"/>
          <w:sz w:val="24"/>
          <w:szCs w:val="24"/>
        </w:rPr>
        <w:t xml:space="preserve">; Čtvrtlík et al., 2016; </w:t>
      </w:r>
      <w:r w:rsidR="0036437E" w:rsidRPr="00197197">
        <w:rPr>
          <w:rFonts w:ascii="Times New Roman" w:hAnsi="Times New Roman" w:cs="Times New Roman"/>
          <w:color w:val="000000" w:themeColor="text1"/>
          <w:sz w:val="24"/>
          <w:szCs w:val="24"/>
        </w:rPr>
        <w:t>Türk et al. 2016</w:t>
      </w:r>
      <w:r w:rsidR="0036437E" w:rsidRPr="00197197">
        <w:rPr>
          <w:rFonts w:ascii="Times New Roman" w:hAnsi="Times New Roman" w:cs="Times New Roman"/>
          <w:sz w:val="24"/>
          <w:szCs w:val="24"/>
        </w:rPr>
        <w:t xml:space="preserve">). </w:t>
      </w:r>
      <w:r w:rsidR="002C38EF" w:rsidRPr="00197197">
        <w:rPr>
          <w:rFonts w:ascii="Times New Roman" w:hAnsi="Times New Roman" w:cs="Times New Roman"/>
          <w:sz w:val="24"/>
          <w:szCs w:val="24"/>
        </w:rPr>
        <w:t>Ako ale bolo</w:t>
      </w:r>
      <w:r w:rsidR="002C38EF" w:rsidRPr="0036437E">
        <w:rPr>
          <w:rFonts w:ascii="Times New Roman" w:hAnsi="Times New Roman" w:cs="Times New Roman"/>
          <w:sz w:val="24"/>
          <w:szCs w:val="24"/>
        </w:rPr>
        <w:t xml:space="preserve"> uvedené v predchádzajúcich kapitolách, konkrementy sú typicky zložené z viacerých subtypov a preto môžeme hovoriť aj o slabo kontrastných urolitoch (napríklad konkrement</w:t>
      </w:r>
      <w:r w:rsidR="002C38EF" w:rsidRPr="00DA07E4">
        <w:rPr>
          <w:rFonts w:ascii="Times New Roman" w:hAnsi="Times New Roman" w:cs="Times New Roman"/>
          <w:sz w:val="24"/>
          <w:szCs w:val="24"/>
        </w:rPr>
        <w:t xml:space="preserve"> z kyseliny močovej kombinovaný s menším množstvom COM).</w:t>
      </w:r>
      <w:r w:rsidR="0054254D" w:rsidRPr="00DA07E4">
        <w:rPr>
          <w:rFonts w:ascii="Times New Roman" w:hAnsi="Times New Roman" w:cs="Times New Roman"/>
          <w:sz w:val="24"/>
          <w:szCs w:val="24"/>
        </w:rPr>
        <w:t xml:space="preserve"> Vtedy RTG snímka nepodá presnú informáciu o veľkosti konkrementu.</w:t>
      </w:r>
    </w:p>
    <w:p w14:paraId="40BE2634" w14:textId="77777777" w:rsidR="00A679D3" w:rsidRPr="00DA07E4" w:rsidRDefault="00A679D3" w:rsidP="00DA07E4">
      <w:pPr>
        <w:spacing w:after="0" w:line="360" w:lineRule="auto"/>
        <w:jc w:val="both"/>
        <w:rPr>
          <w:rFonts w:ascii="Times New Roman" w:hAnsi="Times New Roman" w:cs="Times New Roman"/>
          <w:sz w:val="24"/>
          <w:szCs w:val="24"/>
        </w:rPr>
      </w:pPr>
    </w:p>
    <w:p w14:paraId="0595FF85" w14:textId="4B4F6AB9" w:rsidR="002146D3" w:rsidRPr="00DA07E4" w:rsidRDefault="00D505EA"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2.2. </w:t>
      </w:r>
      <w:r w:rsidR="007359E2" w:rsidRPr="00DA07E4">
        <w:rPr>
          <w:rFonts w:ascii="Times New Roman" w:hAnsi="Times New Roman" w:cs="Times New Roman"/>
          <w:b/>
          <w:sz w:val="24"/>
          <w:szCs w:val="24"/>
        </w:rPr>
        <w:t>Vylučovac</w:t>
      </w:r>
      <w:r w:rsidR="00E677BD" w:rsidRPr="00DA07E4">
        <w:rPr>
          <w:rFonts w:ascii="Times New Roman" w:hAnsi="Times New Roman" w:cs="Times New Roman"/>
          <w:b/>
          <w:sz w:val="24"/>
          <w:szCs w:val="24"/>
        </w:rPr>
        <w:t>ia intravenózna</w:t>
      </w:r>
      <w:r w:rsidR="007359E2" w:rsidRPr="00DA07E4">
        <w:rPr>
          <w:rFonts w:ascii="Times New Roman" w:hAnsi="Times New Roman" w:cs="Times New Roman"/>
          <w:b/>
          <w:sz w:val="24"/>
          <w:szCs w:val="24"/>
        </w:rPr>
        <w:t xml:space="preserve"> urografi</w:t>
      </w:r>
      <w:r w:rsidR="00E677BD" w:rsidRPr="00DA07E4">
        <w:rPr>
          <w:rFonts w:ascii="Times New Roman" w:hAnsi="Times New Roman" w:cs="Times New Roman"/>
          <w:b/>
          <w:sz w:val="24"/>
          <w:szCs w:val="24"/>
        </w:rPr>
        <w:t>a</w:t>
      </w:r>
      <w:r w:rsidR="007359E2" w:rsidRPr="00DA07E4">
        <w:rPr>
          <w:rFonts w:ascii="Times New Roman" w:hAnsi="Times New Roman" w:cs="Times New Roman"/>
          <w:b/>
          <w:sz w:val="24"/>
          <w:szCs w:val="24"/>
        </w:rPr>
        <w:t xml:space="preserve"> (IVU)</w:t>
      </w:r>
    </w:p>
    <w:p w14:paraId="14FD4E77" w14:textId="77777777" w:rsidR="00526A4A" w:rsidRPr="00DA07E4" w:rsidRDefault="00526A4A" w:rsidP="00DA07E4">
      <w:pPr>
        <w:spacing w:after="0" w:line="360" w:lineRule="auto"/>
        <w:jc w:val="both"/>
        <w:rPr>
          <w:rFonts w:ascii="Times New Roman" w:hAnsi="Times New Roman" w:cs="Times New Roman"/>
          <w:sz w:val="24"/>
          <w:szCs w:val="24"/>
        </w:rPr>
      </w:pPr>
    </w:p>
    <w:p w14:paraId="158DA843" w14:textId="23EDE752" w:rsidR="00A679D3" w:rsidRDefault="002146D3"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IVU</w:t>
      </w:r>
      <w:r w:rsidR="007359E2" w:rsidRPr="00DA07E4">
        <w:rPr>
          <w:rFonts w:ascii="Times New Roman" w:hAnsi="Times New Roman" w:cs="Times New Roman"/>
          <w:sz w:val="24"/>
          <w:szCs w:val="24"/>
        </w:rPr>
        <w:t xml:space="preserve"> </w:t>
      </w:r>
      <w:r w:rsidR="00E677BD" w:rsidRPr="00DA07E4">
        <w:rPr>
          <w:rFonts w:ascii="Times New Roman" w:hAnsi="Times New Roman" w:cs="Times New Roman"/>
          <w:sz w:val="24"/>
          <w:szCs w:val="24"/>
        </w:rPr>
        <w:t>bola často využívaná v </w:t>
      </w:r>
      <w:r w:rsidR="00874818">
        <w:rPr>
          <w:rFonts w:ascii="Times New Roman" w:hAnsi="Times New Roman" w:cs="Times New Roman"/>
          <w:sz w:val="24"/>
          <w:szCs w:val="24"/>
        </w:rPr>
        <w:t>období</w:t>
      </w:r>
      <w:r w:rsidR="00E677BD" w:rsidRPr="00DA07E4">
        <w:rPr>
          <w:rFonts w:ascii="Times New Roman" w:hAnsi="Times New Roman" w:cs="Times New Roman"/>
          <w:sz w:val="24"/>
          <w:szCs w:val="24"/>
        </w:rPr>
        <w:t xml:space="preserve"> pred zavedením CT vyšetrenia. Vtedy zlepšovala anatomickú informáciu natívnej RTG snímky a z výpad</w:t>
      </w:r>
      <w:r w:rsidR="0054254D" w:rsidRPr="00DA07E4">
        <w:rPr>
          <w:rFonts w:ascii="Times New Roman" w:hAnsi="Times New Roman" w:cs="Times New Roman"/>
          <w:sz w:val="24"/>
          <w:szCs w:val="24"/>
        </w:rPr>
        <w:t>k</w:t>
      </w:r>
      <w:r w:rsidR="00E677BD" w:rsidRPr="00DA07E4">
        <w:rPr>
          <w:rFonts w:ascii="Times New Roman" w:hAnsi="Times New Roman" w:cs="Times New Roman"/>
          <w:sz w:val="24"/>
          <w:szCs w:val="24"/>
        </w:rPr>
        <w:t xml:space="preserve">u </w:t>
      </w:r>
      <w:r w:rsidR="0054254D" w:rsidRPr="00DA07E4">
        <w:rPr>
          <w:rFonts w:ascii="Times New Roman" w:hAnsi="Times New Roman" w:cs="Times New Roman"/>
          <w:sz w:val="24"/>
          <w:szCs w:val="24"/>
        </w:rPr>
        <w:t>pri</w:t>
      </w:r>
      <w:r w:rsidR="00E677BD" w:rsidRPr="00DA07E4">
        <w:rPr>
          <w:rFonts w:ascii="Times New Roman" w:hAnsi="Times New Roman" w:cs="Times New Roman"/>
          <w:sz w:val="24"/>
          <w:szCs w:val="24"/>
        </w:rPr>
        <w:t xml:space="preserve"> náplni urotraktu kontrastnou látkou sa dalo usudzovať o polohe kontrastnej aj nekontrastnej litiázy. Hlavný význam IVU v súčasnosti spočíva v rýchlej diferenciálnej diagnostike </w:t>
      </w:r>
      <w:r w:rsidR="00836C97" w:rsidRPr="00DA07E4">
        <w:rPr>
          <w:rFonts w:ascii="Times New Roman" w:hAnsi="Times New Roman" w:cs="Times New Roman"/>
          <w:sz w:val="24"/>
          <w:szCs w:val="24"/>
        </w:rPr>
        <w:t>hydronefrózy</w:t>
      </w:r>
      <w:r w:rsidR="00E677BD" w:rsidRPr="00DA07E4">
        <w:rPr>
          <w:rFonts w:ascii="Times New Roman" w:hAnsi="Times New Roman" w:cs="Times New Roman"/>
          <w:sz w:val="24"/>
          <w:szCs w:val="24"/>
        </w:rPr>
        <w:t xml:space="preserve">. Pokiaľ kontrastná látka odchádza z obličky močovodom voľne do močového mechúra aj pri prítomnosti </w:t>
      </w:r>
      <w:r w:rsidR="00E677BD" w:rsidRPr="00DA07E4">
        <w:rPr>
          <w:rFonts w:ascii="Times New Roman" w:hAnsi="Times New Roman" w:cs="Times New Roman"/>
          <w:sz w:val="24"/>
          <w:szCs w:val="24"/>
        </w:rPr>
        <w:lastRenderedPageBreak/>
        <w:t xml:space="preserve">hydronefrózy, </w:t>
      </w:r>
      <w:r w:rsidR="00836C97" w:rsidRPr="00DA07E4">
        <w:rPr>
          <w:rFonts w:ascii="Times New Roman" w:hAnsi="Times New Roman" w:cs="Times New Roman"/>
          <w:sz w:val="24"/>
          <w:szCs w:val="24"/>
        </w:rPr>
        <w:t xml:space="preserve">nejedná sa o obštrukciu a v prípade pyelonefritídy potom </w:t>
      </w:r>
      <w:r w:rsidR="00E677BD" w:rsidRPr="00DA07E4">
        <w:rPr>
          <w:rFonts w:ascii="Times New Roman" w:hAnsi="Times New Roman" w:cs="Times New Roman"/>
          <w:sz w:val="24"/>
          <w:szCs w:val="24"/>
        </w:rPr>
        <w:t>stav nemusí vyžadovať akútne operačné riešenie</w:t>
      </w:r>
      <w:r w:rsidR="00836C97" w:rsidRPr="00DA07E4">
        <w:rPr>
          <w:rFonts w:ascii="Times New Roman" w:hAnsi="Times New Roman" w:cs="Times New Roman"/>
          <w:sz w:val="24"/>
          <w:szCs w:val="24"/>
        </w:rPr>
        <w:t xml:space="preserve"> –</w:t>
      </w:r>
      <w:r w:rsidR="00E677BD" w:rsidRPr="00DA07E4">
        <w:rPr>
          <w:rFonts w:ascii="Times New Roman" w:hAnsi="Times New Roman" w:cs="Times New Roman"/>
          <w:sz w:val="24"/>
          <w:szCs w:val="24"/>
        </w:rPr>
        <w:t xml:space="preserve"> intubáci</w:t>
      </w:r>
      <w:r w:rsidR="00836C97" w:rsidRPr="00DA07E4">
        <w:rPr>
          <w:rFonts w:ascii="Times New Roman" w:hAnsi="Times New Roman" w:cs="Times New Roman"/>
          <w:sz w:val="24"/>
          <w:szCs w:val="24"/>
        </w:rPr>
        <w:t>u</w:t>
      </w:r>
      <w:r w:rsidR="00E677BD" w:rsidRPr="00DA07E4">
        <w:rPr>
          <w:rFonts w:ascii="Times New Roman" w:hAnsi="Times New Roman" w:cs="Times New Roman"/>
          <w:sz w:val="24"/>
          <w:szCs w:val="24"/>
        </w:rPr>
        <w:t xml:space="preserve"> močovodu stentom. Samozrejme, kontrastná látka predstavuje istú záťaž pre obličky a je dôležité pamätať aj na možnú alergiu u</w:t>
      </w:r>
      <w:r w:rsidR="00836C97" w:rsidRPr="00DA07E4">
        <w:rPr>
          <w:rFonts w:ascii="Times New Roman" w:hAnsi="Times New Roman" w:cs="Times New Roman"/>
          <w:sz w:val="24"/>
          <w:szCs w:val="24"/>
        </w:rPr>
        <w:t> </w:t>
      </w:r>
      <w:r w:rsidR="00E677BD" w:rsidRPr="00DA07E4">
        <w:rPr>
          <w:rFonts w:ascii="Times New Roman" w:hAnsi="Times New Roman" w:cs="Times New Roman"/>
          <w:sz w:val="24"/>
          <w:szCs w:val="24"/>
        </w:rPr>
        <w:t>pacienta</w:t>
      </w:r>
      <w:r w:rsidR="00836C97" w:rsidRPr="00DA07E4">
        <w:rPr>
          <w:rFonts w:ascii="Times New Roman" w:hAnsi="Times New Roman" w:cs="Times New Roman"/>
          <w:sz w:val="24"/>
          <w:szCs w:val="24"/>
        </w:rPr>
        <w:t xml:space="preserve"> (</w:t>
      </w:r>
      <w:r w:rsidR="00715B14" w:rsidRPr="00DA07E4">
        <w:rPr>
          <w:rFonts w:ascii="Times New Roman" w:hAnsi="Times New Roman" w:cs="Times New Roman"/>
          <w:sz w:val="24"/>
          <w:szCs w:val="24"/>
        </w:rPr>
        <w:t>Čtvrtlík et al., 2016</w:t>
      </w:r>
      <w:r w:rsidR="00836C97" w:rsidRPr="00DA07E4">
        <w:rPr>
          <w:rFonts w:ascii="Times New Roman" w:hAnsi="Times New Roman" w:cs="Times New Roman"/>
          <w:sz w:val="24"/>
          <w:szCs w:val="24"/>
        </w:rPr>
        <w:t>)</w:t>
      </w:r>
      <w:r w:rsidR="00E677BD" w:rsidRPr="00DA07E4">
        <w:rPr>
          <w:rFonts w:ascii="Times New Roman" w:hAnsi="Times New Roman" w:cs="Times New Roman"/>
          <w:sz w:val="24"/>
          <w:szCs w:val="24"/>
        </w:rPr>
        <w:t>.</w:t>
      </w:r>
    </w:p>
    <w:p w14:paraId="78D002DC" w14:textId="77777777" w:rsidR="0036437E" w:rsidRPr="00DA07E4" w:rsidRDefault="0036437E" w:rsidP="00DA07E4">
      <w:pPr>
        <w:spacing w:after="0" w:line="360" w:lineRule="auto"/>
        <w:ind w:firstLine="708"/>
        <w:jc w:val="both"/>
        <w:rPr>
          <w:rFonts w:ascii="Times New Roman" w:hAnsi="Times New Roman" w:cs="Times New Roman"/>
          <w:sz w:val="24"/>
          <w:szCs w:val="24"/>
        </w:rPr>
      </w:pPr>
    </w:p>
    <w:p w14:paraId="559E4302" w14:textId="59CC816A" w:rsidR="002146D3" w:rsidRPr="00DA07E4" w:rsidRDefault="00D505EA"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2.3. </w:t>
      </w:r>
      <w:r w:rsidR="007359E2" w:rsidRPr="00DA07E4">
        <w:rPr>
          <w:rFonts w:ascii="Times New Roman" w:hAnsi="Times New Roman" w:cs="Times New Roman"/>
          <w:b/>
          <w:sz w:val="24"/>
          <w:szCs w:val="24"/>
        </w:rPr>
        <w:t>Ultrazvukové vyšet</w:t>
      </w:r>
      <w:r w:rsidR="002146D3" w:rsidRPr="00DA07E4">
        <w:rPr>
          <w:rFonts w:ascii="Times New Roman" w:hAnsi="Times New Roman" w:cs="Times New Roman"/>
          <w:b/>
          <w:sz w:val="24"/>
          <w:szCs w:val="24"/>
        </w:rPr>
        <w:t>r</w:t>
      </w:r>
      <w:r w:rsidR="007359E2" w:rsidRPr="00DA07E4">
        <w:rPr>
          <w:rFonts w:ascii="Times New Roman" w:hAnsi="Times New Roman" w:cs="Times New Roman"/>
          <w:b/>
          <w:sz w:val="24"/>
          <w:szCs w:val="24"/>
        </w:rPr>
        <w:t>en</w:t>
      </w:r>
      <w:r w:rsidR="002146D3" w:rsidRPr="00DA07E4">
        <w:rPr>
          <w:rFonts w:ascii="Times New Roman" w:hAnsi="Times New Roman" w:cs="Times New Roman"/>
          <w:b/>
          <w:sz w:val="24"/>
          <w:szCs w:val="24"/>
        </w:rPr>
        <w:t>ie</w:t>
      </w:r>
      <w:r w:rsidR="007359E2" w:rsidRPr="00DA07E4">
        <w:rPr>
          <w:rFonts w:ascii="Times New Roman" w:hAnsi="Times New Roman" w:cs="Times New Roman"/>
          <w:b/>
          <w:sz w:val="24"/>
          <w:szCs w:val="24"/>
        </w:rPr>
        <w:t xml:space="preserve"> (U</w:t>
      </w:r>
      <w:r w:rsidR="00675BE7" w:rsidRPr="00DA07E4">
        <w:rPr>
          <w:rFonts w:ascii="Times New Roman" w:hAnsi="Times New Roman" w:cs="Times New Roman"/>
          <w:b/>
          <w:sz w:val="24"/>
          <w:szCs w:val="24"/>
        </w:rPr>
        <w:t>SG</w:t>
      </w:r>
      <w:r w:rsidR="007359E2" w:rsidRPr="00DA07E4">
        <w:rPr>
          <w:rFonts w:ascii="Times New Roman" w:hAnsi="Times New Roman" w:cs="Times New Roman"/>
          <w:b/>
          <w:sz w:val="24"/>
          <w:szCs w:val="24"/>
        </w:rPr>
        <w:t>)</w:t>
      </w:r>
    </w:p>
    <w:p w14:paraId="2FC49673" w14:textId="77777777" w:rsidR="00526A4A" w:rsidRPr="0036437E" w:rsidRDefault="00526A4A" w:rsidP="00DA07E4">
      <w:pPr>
        <w:spacing w:after="0" w:line="360" w:lineRule="auto"/>
        <w:jc w:val="both"/>
        <w:rPr>
          <w:rFonts w:ascii="Times New Roman" w:hAnsi="Times New Roman" w:cs="Times New Roman"/>
          <w:sz w:val="24"/>
          <w:szCs w:val="24"/>
        </w:rPr>
      </w:pPr>
    </w:p>
    <w:p w14:paraId="6FBB03F2" w14:textId="6F669F93" w:rsidR="0036437E" w:rsidRPr="00197197" w:rsidRDefault="0036437E" w:rsidP="00DA07E4">
      <w:pPr>
        <w:spacing w:after="0" w:line="360" w:lineRule="auto"/>
        <w:ind w:firstLine="708"/>
        <w:jc w:val="both"/>
        <w:rPr>
          <w:rFonts w:ascii="Times New Roman" w:hAnsi="Times New Roman" w:cs="Times New Roman"/>
          <w:sz w:val="24"/>
          <w:szCs w:val="24"/>
        </w:rPr>
      </w:pPr>
      <w:r w:rsidRPr="00197197">
        <w:rPr>
          <w:rFonts w:ascii="Times New Roman" w:hAnsi="Times New Roman" w:cs="Times New Roman"/>
          <w:sz w:val="24"/>
          <w:szCs w:val="24"/>
        </w:rPr>
        <w:t>Ultrazvukové vyšetrenie bolo využité ako alternatívny spôsob zobrazovania urolitiázy. Ultrazvuk pacienta nevystavuje ionizujúcemu žiareniu a umožňuje rýchle vyšetrenie pacienta. Prítomnosť urolitiázy sa často hodnotí nepriamo podľa výskytu hydronefrózy avšak 11–15</w:t>
      </w:r>
      <w:r w:rsidR="00197197" w:rsidRPr="00197197">
        <w:rPr>
          <w:rFonts w:ascii="Times New Roman" w:hAnsi="Times New Roman" w:cs="Times New Roman"/>
          <w:sz w:val="24"/>
          <w:szCs w:val="24"/>
        </w:rPr>
        <w:t xml:space="preserve"> </w:t>
      </w:r>
      <w:r w:rsidRPr="00197197">
        <w:rPr>
          <w:rFonts w:ascii="Times New Roman" w:hAnsi="Times New Roman" w:cs="Times New Roman"/>
          <w:sz w:val="24"/>
          <w:szCs w:val="24"/>
        </w:rPr>
        <w:t>% pacientov s urolitiázou nemusí mať pri vyšetrení dokázanú hydronefrózu (</w:t>
      </w:r>
      <w:r w:rsidRPr="00197197">
        <w:rPr>
          <w:rFonts w:ascii="Times New Roman" w:hAnsi="Times New Roman" w:cs="Times New Roman"/>
          <w:color w:val="000000" w:themeColor="text1"/>
          <w:sz w:val="24"/>
          <w:szCs w:val="24"/>
        </w:rPr>
        <w:t>Goertz</w:t>
      </w:r>
      <w:r w:rsidRPr="00197197">
        <w:rPr>
          <w:rFonts w:ascii="Times New Roman" w:hAnsi="Times New Roman" w:cs="Times New Roman"/>
          <w:sz w:val="24"/>
          <w:szCs w:val="24"/>
        </w:rPr>
        <w:t xml:space="preserve">  et al., 2010, Song et al. 2016). V niektorých prípadoch to môže byť spôsobené dehydratáciou a hydronefróza sa prehodnotí po rehydratácii pacienta (Noble et Brown, 2004). Stupeň hydronefrózy dobre koreluje s veľkosťou konkrementu (</w:t>
      </w:r>
      <w:r w:rsidRPr="00197197">
        <w:rPr>
          <w:rFonts w:ascii="Times New Roman" w:hAnsi="Times New Roman" w:cs="Times New Roman"/>
          <w:color w:val="000000" w:themeColor="text1"/>
          <w:sz w:val="24"/>
          <w:szCs w:val="24"/>
        </w:rPr>
        <w:t>Goertz</w:t>
      </w:r>
      <w:r w:rsidRPr="00197197">
        <w:rPr>
          <w:rFonts w:ascii="Times New Roman" w:hAnsi="Times New Roman" w:cs="Times New Roman"/>
          <w:sz w:val="24"/>
          <w:szCs w:val="24"/>
        </w:rPr>
        <w:t xml:space="preserve">  et al., 2010; Song et al. 2016), naopak absencia hydronefrózy bola spojená so signifikantne zníženou mierou urologických intervencií (Yan et al 2015).</w:t>
      </w:r>
    </w:p>
    <w:p w14:paraId="247CD340" w14:textId="77777777" w:rsidR="00485D07" w:rsidRPr="0036437E" w:rsidRDefault="00485D07" w:rsidP="00DA07E4">
      <w:pPr>
        <w:spacing w:after="0" w:line="360" w:lineRule="auto"/>
        <w:ind w:firstLine="708"/>
        <w:jc w:val="both"/>
        <w:rPr>
          <w:rFonts w:ascii="Times New Roman" w:hAnsi="Times New Roman" w:cs="Times New Roman"/>
          <w:sz w:val="24"/>
          <w:szCs w:val="24"/>
          <w:highlight w:val="yellow"/>
        </w:rPr>
      </w:pPr>
    </w:p>
    <w:p w14:paraId="2C161718" w14:textId="0DF74ECF" w:rsidR="00DA4F0E" w:rsidRPr="00DA07E4" w:rsidRDefault="002146D3" w:rsidP="00DA07E4">
      <w:pPr>
        <w:spacing w:after="0" w:line="360" w:lineRule="auto"/>
        <w:ind w:firstLine="708"/>
        <w:jc w:val="both"/>
        <w:rPr>
          <w:rFonts w:ascii="Times New Roman" w:hAnsi="Times New Roman" w:cs="Times New Roman"/>
          <w:sz w:val="24"/>
          <w:szCs w:val="24"/>
        </w:rPr>
      </w:pPr>
      <w:r w:rsidRPr="0036437E">
        <w:rPr>
          <w:rFonts w:ascii="Times New Roman" w:hAnsi="Times New Roman" w:cs="Times New Roman"/>
          <w:sz w:val="24"/>
          <w:szCs w:val="24"/>
        </w:rPr>
        <w:t>Najväčšou</w:t>
      </w:r>
      <w:r w:rsidRPr="00DA07E4">
        <w:rPr>
          <w:rFonts w:ascii="Times New Roman" w:hAnsi="Times New Roman" w:cs="Times New Roman"/>
          <w:sz w:val="24"/>
          <w:szCs w:val="24"/>
        </w:rPr>
        <w:t xml:space="preserve"> nevýhodou ultrazvuku je skúsenosť lekára, ktorý vyšetrenie realizuje. </w:t>
      </w:r>
      <w:r w:rsidR="007A6505" w:rsidRPr="00DA07E4">
        <w:rPr>
          <w:rFonts w:ascii="Times New Roman" w:hAnsi="Times New Roman" w:cs="Times New Roman"/>
          <w:sz w:val="24"/>
          <w:szCs w:val="24"/>
        </w:rPr>
        <w:t>Inak je ultrazvukové</w:t>
      </w:r>
      <w:r w:rsidRPr="00DA07E4">
        <w:rPr>
          <w:rFonts w:ascii="Times New Roman" w:hAnsi="Times New Roman" w:cs="Times New Roman"/>
          <w:sz w:val="24"/>
          <w:szCs w:val="24"/>
        </w:rPr>
        <w:t xml:space="preserve"> vyšetrenie ľahko </w:t>
      </w:r>
      <w:r w:rsidR="007A6505" w:rsidRPr="00DA07E4">
        <w:rPr>
          <w:rFonts w:ascii="Times New Roman" w:hAnsi="Times New Roman" w:cs="Times New Roman"/>
          <w:sz w:val="24"/>
          <w:szCs w:val="24"/>
        </w:rPr>
        <w:t xml:space="preserve">a rýchlo </w:t>
      </w:r>
      <w:r w:rsidRPr="00DA07E4">
        <w:rPr>
          <w:rFonts w:ascii="Times New Roman" w:hAnsi="Times New Roman" w:cs="Times New Roman"/>
          <w:sz w:val="24"/>
          <w:szCs w:val="24"/>
        </w:rPr>
        <w:t xml:space="preserve">opakovateľné </w:t>
      </w:r>
      <w:r w:rsidR="007A6505" w:rsidRPr="00DA07E4">
        <w:rPr>
          <w:rFonts w:ascii="Times New Roman" w:hAnsi="Times New Roman" w:cs="Times New Roman"/>
          <w:sz w:val="24"/>
          <w:szCs w:val="24"/>
        </w:rPr>
        <w:t xml:space="preserve">a </w:t>
      </w:r>
      <w:r w:rsidRPr="00DA07E4">
        <w:rPr>
          <w:rFonts w:ascii="Times New Roman" w:hAnsi="Times New Roman" w:cs="Times New Roman"/>
          <w:sz w:val="24"/>
          <w:szCs w:val="24"/>
        </w:rPr>
        <w:t xml:space="preserve">bez väčšej záťaže </w:t>
      </w:r>
      <w:r w:rsidR="00874818">
        <w:rPr>
          <w:rFonts w:ascii="Times New Roman" w:hAnsi="Times New Roman" w:cs="Times New Roman"/>
          <w:sz w:val="24"/>
          <w:szCs w:val="24"/>
        </w:rPr>
        <w:t xml:space="preserve">pre </w:t>
      </w:r>
      <w:r w:rsidRPr="00DA07E4">
        <w:rPr>
          <w:rFonts w:ascii="Times New Roman" w:hAnsi="Times New Roman" w:cs="Times New Roman"/>
          <w:sz w:val="24"/>
          <w:szCs w:val="24"/>
        </w:rPr>
        <w:t xml:space="preserve">pacienta. Ultrazvuk </w:t>
      </w:r>
      <w:r w:rsidR="00197197">
        <w:rPr>
          <w:rFonts w:ascii="Times New Roman" w:hAnsi="Times New Roman" w:cs="Times New Roman"/>
          <w:sz w:val="24"/>
          <w:szCs w:val="24"/>
        </w:rPr>
        <w:t>je</w:t>
      </w:r>
      <w:r w:rsidRPr="00DA07E4">
        <w:rPr>
          <w:rFonts w:ascii="Times New Roman" w:hAnsi="Times New Roman" w:cs="Times New Roman"/>
          <w:sz w:val="24"/>
          <w:szCs w:val="24"/>
        </w:rPr>
        <w:t xml:space="preserve"> v porovnaní s RTG snímkou </w:t>
      </w:r>
      <w:r w:rsidR="00197197">
        <w:rPr>
          <w:rFonts w:ascii="Times New Roman" w:hAnsi="Times New Roman" w:cs="Times New Roman"/>
          <w:sz w:val="24"/>
          <w:szCs w:val="24"/>
        </w:rPr>
        <w:t xml:space="preserve">lepšou metódou </w:t>
      </w:r>
      <w:r w:rsidRPr="00DA07E4">
        <w:rPr>
          <w:rFonts w:ascii="Times New Roman" w:hAnsi="Times New Roman" w:cs="Times New Roman"/>
          <w:sz w:val="24"/>
          <w:szCs w:val="24"/>
        </w:rPr>
        <w:t xml:space="preserve">u obéznych a meteoristických pacientov, ale tieto aspekty tiež predstavujú istý limit vyšetrenia. Z klinickej praxe je na mieste zdôrazniť, že </w:t>
      </w:r>
      <w:r w:rsidR="007A6505" w:rsidRPr="00DA07E4">
        <w:rPr>
          <w:rFonts w:ascii="Times New Roman" w:hAnsi="Times New Roman" w:cs="Times New Roman"/>
          <w:sz w:val="24"/>
          <w:szCs w:val="24"/>
        </w:rPr>
        <w:t>pracoviská naprieč nemocnicou vždy disponujú rôznymi ultrasonografmi (prístroje novšie i staršie, rôzni výrobcovia s odlišným ovládaním), čo môže interpelovať s prípadným výstupom.</w:t>
      </w:r>
      <w:r w:rsidR="007359E2" w:rsidRPr="00DA07E4">
        <w:rPr>
          <w:rFonts w:ascii="Times New Roman" w:hAnsi="Times New Roman" w:cs="Times New Roman"/>
          <w:sz w:val="24"/>
          <w:szCs w:val="24"/>
        </w:rPr>
        <w:t xml:space="preserve"> </w:t>
      </w:r>
      <w:r w:rsidR="007A6505" w:rsidRPr="00DA07E4">
        <w:rPr>
          <w:rFonts w:ascii="Times New Roman" w:hAnsi="Times New Roman" w:cs="Times New Roman"/>
          <w:sz w:val="24"/>
          <w:szCs w:val="24"/>
        </w:rPr>
        <w:t>Čo sa týka diagnostiky močových konkrementov, ultrazvuk má skôr len pomocnú úlohu. Ultrazvukové zobrazenie je kľúčové v detekcii hydronefrózy</w:t>
      </w:r>
      <w:r w:rsidR="00836C97" w:rsidRPr="00DA07E4">
        <w:rPr>
          <w:rFonts w:ascii="Times New Roman" w:hAnsi="Times New Roman" w:cs="Times New Roman"/>
          <w:sz w:val="24"/>
          <w:szCs w:val="24"/>
        </w:rPr>
        <w:t>, ktorá často sprevádza zaklinený konkrement</w:t>
      </w:r>
      <w:r w:rsidR="007A6505" w:rsidRPr="00DA07E4">
        <w:rPr>
          <w:rFonts w:ascii="Times New Roman" w:hAnsi="Times New Roman" w:cs="Times New Roman"/>
          <w:sz w:val="24"/>
          <w:szCs w:val="24"/>
        </w:rPr>
        <w:t xml:space="preserve">. Tu je potrebné myslieť na možné peripelvické cysty, ktoré niekedy skresľujú </w:t>
      </w:r>
      <w:r w:rsidR="00931B0D" w:rsidRPr="00DA07E4">
        <w:rPr>
          <w:rFonts w:ascii="Times New Roman" w:hAnsi="Times New Roman" w:cs="Times New Roman"/>
          <w:sz w:val="24"/>
          <w:szCs w:val="24"/>
        </w:rPr>
        <w:t xml:space="preserve">výsledok vyšetrenia. </w:t>
      </w:r>
      <w:r w:rsidR="007A6505" w:rsidRPr="00DA07E4">
        <w:rPr>
          <w:rFonts w:ascii="Times New Roman" w:hAnsi="Times New Roman" w:cs="Times New Roman"/>
          <w:sz w:val="24"/>
          <w:szCs w:val="24"/>
        </w:rPr>
        <w:t>Samotné priame zobrazenie konkrementu sa podarí väčšinou len v</w:t>
      </w:r>
      <w:r w:rsidR="0054254D" w:rsidRPr="00DA07E4">
        <w:rPr>
          <w:rFonts w:ascii="Times New Roman" w:hAnsi="Times New Roman" w:cs="Times New Roman"/>
          <w:sz w:val="24"/>
          <w:szCs w:val="24"/>
        </w:rPr>
        <w:t> </w:t>
      </w:r>
      <w:r w:rsidR="007A6505" w:rsidRPr="00DA07E4">
        <w:rPr>
          <w:rFonts w:ascii="Times New Roman" w:hAnsi="Times New Roman" w:cs="Times New Roman"/>
          <w:sz w:val="24"/>
          <w:szCs w:val="24"/>
        </w:rPr>
        <w:t>obličke</w:t>
      </w:r>
      <w:r w:rsidR="0054254D" w:rsidRPr="00DA07E4">
        <w:rPr>
          <w:rFonts w:ascii="Times New Roman" w:hAnsi="Times New Roman" w:cs="Times New Roman"/>
          <w:sz w:val="24"/>
          <w:szCs w:val="24"/>
        </w:rPr>
        <w:t xml:space="preserve">, prípadne v juxtavezikálnej časti </w:t>
      </w:r>
      <w:r w:rsidR="00931B0D" w:rsidRPr="00DA07E4">
        <w:rPr>
          <w:rFonts w:ascii="Times New Roman" w:hAnsi="Times New Roman" w:cs="Times New Roman"/>
          <w:sz w:val="24"/>
          <w:szCs w:val="24"/>
        </w:rPr>
        <w:t>močovodu</w:t>
      </w:r>
      <w:r w:rsidR="00836C97" w:rsidRPr="00DA07E4">
        <w:rPr>
          <w:rFonts w:ascii="Times New Roman" w:hAnsi="Times New Roman" w:cs="Times New Roman"/>
          <w:sz w:val="24"/>
          <w:szCs w:val="24"/>
        </w:rPr>
        <w:t xml:space="preserve"> (</w:t>
      </w:r>
      <w:r w:rsidR="00715B14" w:rsidRPr="00DA07E4">
        <w:rPr>
          <w:rFonts w:ascii="Times New Roman" w:hAnsi="Times New Roman" w:cs="Times New Roman"/>
          <w:sz w:val="24"/>
          <w:szCs w:val="24"/>
        </w:rPr>
        <w:t>Čtvrtlík et al., 2016</w:t>
      </w:r>
      <w:r w:rsidR="00836C97" w:rsidRPr="00DA07E4">
        <w:rPr>
          <w:rFonts w:ascii="Times New Roman" w:hAnsi="Times New Roman" w:cs="Times New Roman"/>
          <w:sz w:val="24"/>
          <w:szCs w:val="24"/>
        </w:rPr>
        <w:t>)</w:t>
      </w:r>
      <w:r w:rsidR="007A6505" w:rsidRPr="00DA07E4">
        <w:rPr>
          <w:rFonts w:ascii="Times New Roman" w:hAnsi="Times New Roman" w:cs="Times New Roman"/>
          <w:sz w:val="24"/>
          <w:szCs w:val="24"/>
        </w:rPr>
        <w:t xml:space="preserve">. Drobné konkrementy ale ultrazvuk v rukách </w:t>
      </w:r>
      <w:r w:rsidR="0054254D" w:rsidRPr="00DA07E4">
        <w:rPr>
          <w:rFonts w:ascii="Times New Roman" w:hAnsi="Times New Roman" w:cs="Times New Roman"/>
          <w:sz w:val="24"/>
          <w:szCs w:val="24"/>
        </w:rPr>
        <w:t>bežného</w:t>
      </w:r>
      <w:r w:rsidR="007A6505" w:rsidRPr="00DA07E4">
        <w:rPr>
          <w:rFonts w:ascii="Times New Roman" w:hAnsi="Times New Roman" w:cs="Times New Roman"/>
          <w:sz w:val="24"/>
          <w:szCs w:val="24"/>
        </w:rPr>
        <w:t xml:space="preserve"> urológa zachytí skôr výnimočne s veľkou mierou falošnej pozitivity.</w:t>
      </w:r>
    </w:p>
    <w:p w14:paraId="014A6198" w14:textId="463E8344" w:rsidR="00485D07" w:rsidRDefault="00485D07" w:rsidP="00DA07E4">
      <w:pPr>
        <w:spacing w:after="0" w:line="360" w:lineRule="auto"/>
        <w:jc w:val="both"/>
        <w:rPr>
          <w:rFonts w:ascii="Times New Roman" w:hAnsi="Times New Roman" w:cs="Times New Roman"/>
          <w:sz w:val="24"/>
          <w:szCs w:val="24"/>
        </w:rPr>
      </w:pPr>
    </w:p>
    <w:p w14:paraId="673E9793" w14:textId="6749D45E" w:rsidR="00390864" w:rsidRDefault="00390864" w:rsidP="00DA07E4">
      <w:pPr>
        <w:spacing w:after="0" w:line="360" w:lineRule="auto"/>
        <w:jc w:val="both"/>
        <w:rPr>
          <w:rFonts w:ascii="Times New Roman" w:hAnsi="Times New Roman" w:cs="Times New Roman"/>
          <w:sz w:val="24"/>
          <w:szCs w:val="24"/>
        </w:rPr>
      </w:pPr>
    </w:p>
    <w:p w14:paraId="1664FE8E" w14:textId="3B865059" w:rsidR="00390864" w:rsidRDefault="00390864" w:rsidP="00DA07E4">
      <w:pPr>
        <w:spacing w:after="0" w:line="360" w:lineRule="auto"/>
        <w:jc w:val="both"/>
        <w:rPr>
          <w:rFonts w:ascii="Times New Roman" w:hAnsi="Times New Roman" w:cs="Times New Roman"/>
          <w:sz w:val="24"/>
          <w:szCs w:val="24"/>
        </w:rPr>
      </w:pPr>
    </w:p>
    <w:p w14:paraId="2AC53A1A" w14:textId="77777777" w:rsidR="00390864" w:rsidRPr="00DA07E4" w:rsidRDefault="00390864" w:rsidP="00DA07E4">
      <w:pPr>
        <w:spacing w:after="0" w:line="360" w:lineRule="auto"/>
        <w:jc w:val="both"/>
        <w:rPr>
          <w:rFonts w:ascii="Times New Roman" w:hAnsi="Times New Roman" w:cs="Times New Roman"/>
          <w:sz w:val="24"/>
          <w:szCs w:val="24"/>
        </w:rPr>
      </w:pPr>
    </w:p>
    <w:p w14:paraId="73783133" w14:textId="406BA04F" w:rsidR="00931B0D" w:rsidRPr="00DA07E4" w:rsidRDefault="00D505EA"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lastRenderedPageBreak/>
        <w:t xml:space="preserve">2.4. </w:t>
      </w:r>
      <w:r w:rsidR="00874818" w:rsidRPr="00197197">
        <w:rPr>
          <w:rFonts w:ascii="Times New Roman" w:hAnsi="Times New Roman" w:cs="Times New Roman"/>
          <w:b/>
          <w:sz w:val="24"/>
          <w:szCs w:val="24"/>
        </w:rPr>
        <w:t>Počítačo</w:t>
      </w:r>
      <w:r w:rsidR="00931B0D" w:rsidRPr="00197197">
        <w:rPr>
          <w:rFonts w:ascii="Times New Roman" w:hAnsi="Times New Roman" w:cs="Times New Roman"/>
          <w:b/>
          <w:sz w:val="24"/>
          <w:szCs w:val="24"/>
        </w:rPr>
        <w:t>vá tomografia</w:t>
      </w:r>
      <w:r w:rsidR="00931B0D" w:rsidRPr="00DA07E4">
        <w:rPr>
          <w:rFonts w:ascii="Times New Roman" w:hAnsi="Times New Roman" w:cs="Times New Roman"/>
          <w:b/>
          <w:sz w:val="24"/>
          <w:szCs w:val="24"/>
        </w:rPr>
        <w:t xml:space="preserve"> </w:t>
      </w:r>
      <w:r w:rsidR="005232A4">
        <w:rPr>
          <w:rFonts w:ascii="Times New Roman" w:hAnsi="Times New Roman" w:cs="Times New Roman"/>
          <w:b/>
          <w:sz w:val="24"/>
          <w:szCs w:val="24"/>
        </w:rPr>
        <w:t>(</w:t>
      </w:r>
      <w:r w:rsidR="00931B0D" w:rsidRPr="00DA07E4">
        <w:rPr>
          <w:rFonts w:ascii="Times New Roman" w:hAnsi="Times New Roman" w:cs="Times New Roman"/>
          <w:b/>
          <w:sz w:val="24"/>
          <w:szCs w:val="24"/>
        </w:rPr>
        <w:t>CT</w:t>
      </w:r>
      <w:r w:rsidR="005232A4">
        <w:rPr>
          <w:rFonts w:ascii="Times New Roman" w:hAnsi="Times New Roman" w:cs="Times New Roman"/>
          <w:b/>
          <w:sz w:val="24"/>
          <w:szCs w:val="24"/>
        </w:rPr>
        <w:t>)</w:t>
      </w:r>
    </w:p>
    <w:p w14:paraId="77F4E0D6" w14:textId="77777777" w:rsidR="00526A4A" w:rsidRPr="00DA07E4" w:rsidRDefault="00526A4A" w:rsidP="00DA07E4">
      <w:pPr>
        <w:spacing w:after="0" w:line="360" w:lineRule="auto"/>
        <w:jc w:val="both"/>
        <w:rPr>
          <w:rFonts w:ascii="Times New Roman" w:hAnsi="Times New Roman" w:cs="Times New Roman"/>
          <w:sz w:val="24"/>
          <w:szCs w:val="24"/>
        </w:rPr>
      </w:pPr>
    </w:p>
    <w:p w14:paraId="1336B772" w14:textId="296F8984" w:rsidR="007E61D9" w:rsidRPr="00DA07E4" w:rsidRDefault="0054254D"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CT vyšetrenie predstavuje zlatý štandard </w:t>
      </w:r>
      <w:r w:rsidR="00836C97" w:rsidRPr="00DA07E4">
        <w:rPr>
          <w:rFonts w:ascii="Times New Roman" w:hAnsi="Times New Roman" w:cs="Times New Roman"/>
          <w:sz w:val="24"/>
          <w:szCs w:val="24"/>
        </w:rPr>
        <w:t>v diagnostike urolitiázy (</w:t>
      </w:r>
      <w:r w:rsidR="007C29EC" w:rsidRPr="00DA07E4">
        <w:rPr>
          <w:rFonts w:ascii="Times New Roman" w:hAnsi="Times New Roman" w:cs="Times New Roman"/>
          <w:sz w:val="24"/>
          <w:szCs w:val="24"/>
        </w:rPr>
        <w:t>Cheng et al., 2012a; Cheng et al., 2012b</w:t>
      </w:r>
      <w:r w:rsidR="00836C97" w:rsidRPr="00DA07E4">
        <w:rPr>
          <w:rFonts w:ascii="Times New Roman" w:hAnsi="Times New Roman" w:cs="Times New Roman"/>
          <w:sz w:val="24"/>
          <w:szCs w:val="24"/>
        </w:rPr>
        <w:t xml:space="preserve">). Z hľadiska žiarenia je pre pacienta najlepší protokol </w:t>
      </w:r>
      <w:r w:rsidR="00836C97" w:rsidRPr="00197197">
        <w:rPr>
          <w:rFonts w:ascii="Times New Roman" w:hAnsi="Times New Roman" w:cs="Times New Roman"/>
          <w:sz w:val="24"/>
          <w:szCs w:val="24"/>
        </w:rPr>
        <w:t xml:space="preserve">low-dose </w:t>
      </w:r>
      <w:r w:rsidR="00197197">
        <w:rPr>
          <w:rFonts w:ascii="Times New Roman" w:hAnsi="Times New Roman" w:cs="Times New Roman"/>
          <w:sz w:val="24"/>
          <w:szCs w:val="24"/>
        </w:rPr>
        <w:t xml:space="preserve">pri </w:t>
      </w:r>
      <w:r w:rsidR="00836C97" w:rsidRPr="00197197">
        <w:rPr>
          <w:rFonts w:ascii="Times New Roman" w:hAnsi="Times New Roman" w:cs="Times New Roman"/>
          <w:sz w:val="24"/>
          <w:szCs w:val="24"/>
        </w:rPr>
        <w:t>natívn</w:t>
      </w:r>
      <w:r w:rsidR="00197197">
        <w:rPr>
          <w:rFonts w:ascii="Times New Roman" w:hAnsi="Times New Roman" w:cs="Times New Roman"/>
          <w:sz w:val="24"/>
          <w:szCs w:val="24"/>
        </w:rPr>
        <w:t>om CT vyšetrení</w:t>
      </w:r>
      <w:r w:rsidR="00836C97" w:rsidRPr="00197197">
        <w:rPr>
          <w:rFonts w:ascii="Times New Roman" w:hAnsi="Times New Roman" w:cs="Times New Roman"/>
          <w:sz w:val="24"/>
          <w:szCs w:val="24"/>
        </w:rPr>
        <w:t>, v rozsahu od bránice po symfýzu. CT dokáže zobraziť takmer všetky druhy konkrementov</w:t>
      </w:r>
      <w:r w:rsidR="00807535" w:rsidRPr="00DA07E4">
        <w:rPr>
          <w:rFonts w:ascii="Times New Roman" w:hAnsi="Times New Roman" w:cs="Times New Roman"/>
          <w:sz w:val="24"/>
          <w:szCs w:val="24"/>
        </w:rPr>
        <w:t>.</w:t>
      </w:r>
      <w:r w:rsidR="00836C97" w:rsidRPr="00DA07E4">
        <w:rPr>
          <w:rFonts w:ascii="Times New Roman" w:hAnsi="Times New Roman" w:cs="Times New Roman"/>
          <w:sz w:val="24"/>
          <w:szCs w:val="24"/>
        </w:rPr>
        <w:t xml:space="preserve"> Výnimku predstavujú indavírové kryštály (</w:t>
      </w:r>
      <w:r w:rsidR="007C29EC" w:rsidRPr="00DA07E4">
        <w:rPr>
          <w:rFonts w:ascii="Times New Roman" w:hAnsi="Times New Roman" w:cs="Times New Roman"/>
          <w:sz w:val="24"/>
          <w:szCs w:val="24"/>
        </w:rPr>
        <w:t>Čtvrtlík et al., 2016</w:t>
      </w:r>
      <w:r w:rsidR="00836C97" w:rsidRPr="00DA07E4">
        <w:rPr>
          <w:rFonts w:ascii="Times New Roman" w:hAnsi="Times New Roman" w:cs="Times New Roman"/>
          <w:sz w:val="24"/>
          <w:szCs w:val="24"/>
        </w:rPr>
        <w:t xml:space="preserve">). </w:t>
      </w:r>
      <w:r w:rsidR="007359E2" w:rsidRPr="00DA07E4">
        <w:rPr>
          <w:rFonts w:ascii="Times New Roman" w:hAnsi="Times New Roman" w:cs="Times New Roman"/>
          <w:sz w:val="24"/>
          <w:szCs w:val="24"/>
        </w:rPr>
        <w:t>Absol</w:t>
      </w:r>
      <w:r w:rsidR="002E1572" w:rsidRPr="00DA07E4">
        <w:rPr>
          <w:rFonts w:ascii="Times New Roman" w:hAnsi="Times New Roman" w:cs="Times New Roman"/>
          <w:sz w:val="24"/>
          <w:szCs w:val="24"/>
        </w:rPr>
        <w:t>ú</w:t>
      </w:r>
      <w:r w:rsidR="007359E2" w:rsidRPr="00DA07E4">
        <w:rPr>
          <w:rFonts w:ascii="Times New Roman" w:hAnsi="Times New Roman" w:cs="Times New Roman"/>
          <w:sz w:val="24"/>
          <w:szCs w:val="24"/>
        </w:rPr>
        <w:t>tn</w:t>
      </w:r>
      <w:r w:rsidR="002E1572" w:rsidRPr="00DA07E4">
        <w:rPr>
          <w:rFonts w:ascii="Times New Roman" w:hAnsi="Times New Roman" w:cs="Times New Roman"/>
          <w:sz w:val="24"/>
          <w:szCs w:val="24"/>
        </w:rPr>
        <w:t>e</w:t>
      </w:r>
      <w:r w:rsidR="007359E2" w:rsidRPr="00DA07E4">
        <w:rPr>
          <w:rFonts w:ascii="Times New Roman" w:hAnsi="Times New Roman" w:cs="Times New Roman"/>
          <w:sz w:val="24"/>
          <w:szCs w:val="24"/>
        </w:rPr>
        <w:t xml:space="preserve"> kontraindik</w:t>
      </w:r>
      <w:r w:rsidR="002E1572" w:rsidRPr="00DA07E4">
        <w:rPr>
          <w:rFonts w:ascii="Times New Roman" w:hAnsi="Times New Roman" w:cs="Times New Roman"/>
          <w:sz w:val="24"/>
          <w:szCs w:val="24"/>
        </w:rPr>
        <w:t>á</w:t>
      </w:r>
      <w:r w:rsidR="007359E2" w:rsidRPr="00DA07E4">
        <w:rPr>
          <w:rFonts w:ascii="Times New Roman" w:hAnsi="Times New Roman" w:cs="Times New Roman"/>
          <w:sz w:val="24"/>
          <w:szCs w:val="24"/>
        </w:rPr>
        <w:t>c</w:t>
      </w:r>
      <w:r w:rsidR="002E1572" w:rsidRPr="00DA07E4">
        <w:rPr>
          <w:rFonts w:ascii="Times New Roman" w:hAnsi="Times New Roman" w:cs="Times New Roman"/>
          <w:sz w:val="24"/>
          <w:szCs w:val="24"/>
        </w:rPr>
        <w:t>i</w:t>
      </w:r>
      <w:r w:rsidR="007359E2" w:rsidRPr="00DA07E4">
        <w:rPr>
          <w:rFonts w:ascii="Times New Roman" w:hAnsi="Times New Roman" w:cs="Times New Roman"/>
          <w:sz w:val="24"/>
          <w:szCs w:val="24"/>
        </w:rPr>
        <w:t>e CT vyšet</w:t>
      </w:r>
      <w:r w:rsidR="002E1572" w:rsidRPr="00DA07E4">
        <w:rPr>
          <w:rFonts w:ascii="Times New Roman" w:hAnsi="Times New Roman" w:cs="Times New Roman"/>
          <w:sz w:val="24"/>
          <w:szCs w:val="24"/>
        </w:rPr>
        <w:t>r</w:t>
      </w:r>
      <w:r w:rsidR="007359E2" w:rsidRPr="00DA07E4">
        <w:rPr>
          <w:rFonts w:ascii="Times New Roman" w:hAnsi="Times New Roman" w:cs="Times New Roman"/>
          <w:sz w:val="24"/>
          <w:szCs w:val="24"/>
        </w:rPr>
        <w:t>en</w:t>
      </w:r>
      <w:r w:rsidR="002E1572" w:rsidRPr="00DA07E4">
        <w:rPr>
          <w:rFonts w:ascii="Times New Roman" w:hAnsi="Times New Roman" w:cs="Times New Roman"/>
          <w:sz w:val="24"/>
          <w:szCs w:val="24"/>
        </w:rPr>
        <w:t>ia</w:t>
      </w:r>
      <w:r w:rsidR="007359E2" w:rsidRPr="00DA07E4">
        <w:rPr>
          <w:rFonts w:ascii="Times New Roman" w:hAnsi="Times New Roman" w:cs="Times New Roman"/>
          <w:sz w:val="24"/>
          <w:szCs w:val="24"/>
        </w:rPr>
        <w:t xml:space="preserve"> neexistuj</w:t>
      </w:r>
      <w:r w:rsidR="002E1572" w:rsidRPr="00DA07E4">
        <w:rPr>
          <w:rFonts w:ascii="Times New Roman" w:hAnsi="Times New Roman" w:cs="Times New Roman"/>
          <w:sz w:val="24"/>
          <w:szCs w:val="24"/>
        </w:rPr>
        <w:t>ú, gravidita je relatívnou kontraindikáciou</w:t>
      </w:r>
      <w:r w:rsidR="007359E2" w:rsidRPr="00DA07E4">
        <w:rPr>
          <w:rFonts w:ascii="Times New Roman" w:hAnsi="Times New Roman" w:cs="Times New Roman"/>
          <w:sz w:val="24"/>
          <w:szCs w:val="24"/>
        </w:rPr>
        <w:t>.</w:t>
      </w:r>
    </w:p>
    <w:p w14:paraId="3F2E08A9" w14:textId="3BF9270A" w:rsidR="007E61D9" w:rsidRPr="008D1014" w:rsidRDefault="007359E2"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CT</w:t>
      </w:r>
      <w:r w:rsidR="002E1572" w:rsidRPr="00DA07E4">
        <w:rPr>
          <w:rFonts w:ascii="Times New Roman" w:hAnsi="Times New Roman" w:cs="Times New Roman"/>
          <w:sz w:val="24"/>
          <w:szCs w:val="24"/>
        </w:rPr>
        <w:t xml:space="preserve"> podáva komplexnú informáciu o konkremente – jeho lokalizácii aj veľkosti – ale aj o stave urotraktu a okolitých orgánov.</w:t>
      </w:r>
      <w:r w:rsidRPr="00DA07E4">
        <w:rPr>
          <w:rFonts w:ascii="Times New Roman" w:hAnsi="Times New Roman" w:cs="Times New Roman"/>
          <w:sz w:val="24"/>
          <w:szCs w:val="24"/>
        </w:rPr>
        <w:t xml:space="preserve"> </w:t>
      </w:r>
      <w:r w:rsidR="002E1572" w:rsidRPr="00DA07E4">
        <w:rPr>
          <w:rFonts w:ascii="Times New Roman" w:hAnsi="Times New Roman" w:cs="Times New Roman"/>
          <w:sz w:val="24"/>
          <w:szCs w:val="24"/>
        </w:rPr>
        <w:t xml:space="preserve">CT zobrazenie zhodnotí hydronefrózu obličiek, stav parenchýmu obličiek aj tekutinu a patologické procesy v okolí obličiek a močovodov. Rádiológ popíše </w:t>
      </w:r>
      <w:r w:rsidR="00433E9F" w:rsidRPr="00DA07E4">
        <w:rPr>
          <w:rFonts w:ascii="Times New Roman" w:hAnsi="Times New Roman" w:cs="Times New Roman"/>
          <w:sz w:val="24"/>
          <w:szCs w:val="24"/>
        </w:rPr>
        <w:t xml:space="preserve">zápalovú komplikáciu (napríklad pyelonefritídu či absces obličky) a </w:t>
      </w:r>
      <w:r w:rsidR="00197197">
        <w:rPr>
          <w:rFonts w:ascii="Times New Roman" w:hAnsi="Times New Roman" w:cs="Times New Roman"/>
          <w:sz w:val="24"/>
          <w:szCs w:val="24"/>
        </w:rPr>
        <w:t>„</w:t>
      </w:r>
      <w:r w:rsidR="002E1572" w:rsidRPr="00197197">
        <w:rPr>
          <w:rFonts w:ascii="Times New Roman" w:hAnsi="Times New Roman" w:cs="Times New Roman"/>
          <w:sz w:val="24"/>
          <w:szCs w:val="24"/>
        </w:rPr>
        <w:t>perinefritic stranding</w:t>
      </w:r>
      <w:r w:rsidR="00197197">
        <w:rPr>
          <w:rFonts w:ascii="Times New Roman" w:hAnsi="Times New Roman" w:cs="Times New Roman"/>
          <w:sz w:val="24"/>
          <w:szCs w:val="24"/>
        </w:rPr>
        <w:t>“</w:t>
      </w:r>
      <w:r w:rsidR="002E1572" w:rsidRPr="00DA07E4">
        <w:rPr>
          <w:rFonts w:ascii="Times New Roman" w:hAnsi="Times New Roman" w:cs="Times New Roman"/>
          <w:sz w:val="24"/>
          <w:szCs w:val="24"/>
        </w:rPr>
        <w:t xml:space="preserve"> (početné pruhy vyššej denzity pri edéme v okolí obličky)</w:t>
      </w:r>
      <w:r w:rsidR="00433E9F" w:rsidRPr="00DA07E4">
        <w:rPr>
          <w:rFonts w:ascii="Times New Roman" w:hAnsi="Times New Roman" w:cs="Times New Roman"/>
          <w:sz w:val="24"/>
          <w:szCs w:val="24"/>
        </w:rPr>
        <w:t>. Niekedy sa popisuje</w:t>
      </w:r>
      <w:r w:rsidR="002E1572" w:rsidRPr="00DA07E4">
        <w:rPr>
          <w:rFonts w:ascii="Times New Roman" w:hAnsi="Times New Roman" w:cs="Times New Roman"/>
          <w:sz w:val="24"/>
          <w:szCs w:val="24"/>
        </w:rPr>
        <w:t xml:space="preserve"> </w:t>
      </w:r>
      <w:r w:rsidRPr="00DA07E4">
        <w:rPr>
          <w:rFonts w:ascii="Times New Roman" w:hAnsi="Times New Roman" w:cs="Times New Roman"/>
          <w:sz w:val="24"/>
          <w:szCs w:val="24"/>
        </w:rPr>
        <w:t>ureteric rim sign (</w:t>
      </w:r>
      <w:r w:rsidR="002E1572" w:rsidRPr="00DA07E4">
        <w:rPr>
          <w:rFonts w:ascii="Times New Roman" w:hAnsi="Times New Roman" w:cs="Times New Roman"/>
          <w:sz w:val="24"/>
          <w:szCs w:val="24"/>
        </w:rPr>
        <w:t>opuch</w:t>
      </w:r>
      <w:r w:rsidRPr="00DA07E4">
        <w:rPr>
          <w:rFonts w:ascii="Times New Roman" w:hAnsi="Times New Roman" w:cs="Times New Roman"/>
          <w:sz w:val="24"/>
          <w:szCs w:val="24"/>
        </w:rPr>
        <w:t xml:space="preserve"> st</w:t>
      </w:r>
      <w:r w:rsidR="002E1572" w:rsidRPr="00DA07E4">
        <w:rPr>
          <w:rFonts w:ascii="Times New Roman" w:hAnsi="Times New Roman" w:cs="Times New Roman"/>
          <w:sz w:val="24"/>
          <w:szCs w:val="24"/>
        </w:rPr>
        <w:t>e</w:t>
      </w:r>
      <w:r w:rsidRPr="00DA07E4">
        <w:rPr>
          <w:rFonts w:ascii="Times New Roman" w:hAnsi="Times New Roman" w:cs="Times New Roman"/>
          <w:sz w:val="24"/>
          <w:szCs w:val="24"/>
        </w:rPr>
        <w:t xml:space="preserve">ny </w:t>
      </w:r>
      <w:r w:rsidR="002E1572" w:rsidRPr="00DA07E4">
        <w:rPr>
          <w:rFonts w:ascii="Times New Roman" w:hAnsi="Times New Roman" w:cs="Times New Roman"/>
          <w:sz w:val="24"/>
          <w:szCs w:val="24"/>
        </w:rPr>
        <w:t>močovodu v mieste zaklineného konkrementu</w:t>
      </w:r>
      <w:r w:rsidRPr="00DA07E4">
        <w:rPr>
          <w:rFonts w:ascii="Times New Roman" w:hAnsi="Times New Roman" w:cs="Times New Roman"/>
          <w:sz w:val="24"/>
          <w:szCs w:val="24"/>
        </w:rPr>
        <w:t>)</w:t>
      </w:r>
      <w:r w:rsidR="00433E9F" w:rsidRPr="00DA07E4">
        <w:rPr>
          <w:rFonts w:ascii="Times New Roman" w:hAnsi="Times New Roman" w:cs="Times New Roman"/>
          <w:sz w:val="24"/>
          <w:szCs w:val="24"/>
        </w:rPr>
        <w:t>.</w:t>
      </w:r>
      <w:r w:rsidRPr="00DA07E4">
        <w:rPr>
          <w:rFonts w:ascii="Times New Roman" w:hAnsi="Times New Roman" w:cs="Times New Roman"/>
          <w:sz w:val="24"/>
          <w:szCs w:val="24"/>
        </w:rPr>
        <w:t> </w:t>
      </w:r>
      <w:r w:rsidR="00433E9F" w:rsidRPr="00DA07E4">
        <w:rPr>
          <w:rFonts w:ascii="Times New Roman" w:hAnsi="Times New Roman" w:cs="Times New Roman"/>
          <w:sz w:val="24"/>
          <w:szCs w:val="24"/>
        </w:rPr>
        <w:t xml:space="preserve">Natívne CT zobrazenie </w:t>
      </w:r>
      <w:r w:rsidR="002E1572" w:rsidRPr="00DA07E4">
        <w:rPr>
          <w:rFonts w:ascii="Times New Roman" w:hAnsi="Times New Roman" w:cs="Times New Roman"/>
          <w:sz w:val="24"/>
          <w:szCs w:val="24"/>
        </w:rPr>
        <w:t xml:space="preserve">potvrdí </w:t>
      </w:r>
      <w:r w:rsidR="00433E9F" w:rsidRPr="00DA07E4">
        <w:rPr>
          <w:rFonts w:ascii="Times New Roman" w:hAnsi="Times New Roman" w:cs="Times New Roman"/>
          <w:sz w:val="24"/>
          <w:szCs w:val="24"/>
        </w:rPr>
        <w:t xml:space="preserve">aj </w:t>
      </w:r>
      <w:r w:rsidR="002E1572" w:rsidRPr="00DA07E4">
        <w:rPr>
          <w:rFonts w:ascii="Times New Roman" w:hAnsi="Times New Roman" w:cs="Times New Roman"/>
          <w:sz w:val="24"/>
          <w:szCs w:val="24"/>
        </w:rPr>
        <w:t>prítomnosť urinómu pri ruptúre panvičky</w:t>
      </w:r>
      <w:r w:rsidR="00433E9F" w:rsidRPr="00DA07E4">
        <w:rPr>
          <w:rFonts w:ascii="Times New Roman" w:hAnsi="Times New Roman" w:cs="Times New Roman"/>
          <w:sz w:val="24"/>
          <w:szCs w:val="24"/>
        </w:rPr>
        <w:t>, výskyt</w:t>
      </w:r>
      <w:r w:rsidRPr="00DA07E4">
        <w:rPr>
          <w:rFonts w:ascii="Times New Roman" w:hAnsi="Times New Roman" w:cs="Times New Roman"/>
          <w:sz w:val="24"/>
          <w:szCs w:val="24"/>
        </w:rPr>
        <w:t xml:space="preserve"> koag</w:t>
      </w:r>
      <w:r w:rsidR="00433E9F" w:rsidRPr="00DA07E4">
        <w:rPr>
          <w:rFonts w:ascii="Times New Roman" w:hAnsi="Times New Roman" w:cs="Times New Roman"/>
          <w:sz w:val="24"/>
          <w:szCs w:val="24"/>
        </w:rPr>
        <w:t>ú</w:t>
      </w:r>
      <w:r w:rsidRPr="00DA07E4">
        <w:rPr>
          <w:rFonts w:ascii="Times New Roman" w:hAnsi="Times New Roman" w:cs="Times New Roman"/>
          <w:sz w:val="24"/>
          <w:szCs w:val="24"/>
        </w:rPr>
        <w:t xml:space="preserve">l. </w:t>
      </w:r>
      <w:r w:rsidR="00433E9F" w:rsidRPr="00DA07E4">
        <w:rPr>
          <w:rFonts w:ascii="Times New Roman" w:hAnsi="Times New Roman" w:cs="Times New Roman"/>
          <w:sz w:val="24"/>
          <w:szCs w:val="24"/>
        </w:rPr>
        <w:t>Samozrejmosťou je aj zobrazenie iných ochorení – tumor</w:t>
      </w:r>
      <w:r w:rsidR="0013454C" w:rsidRPr="00DA07E4">
        <w:rPr>
          <w:rFonts w:ascii="Times New Roman" w:hAnsi="Times New Roman" w:cs="Times New Roman"/>
          <w:sz w:val="24"/>
          <w:szCs w:val="24"/>
        </w:rPr>
        <w:t>u</w:t>
      </w:r>
      <w:r w:rsidR="00433E9F" w:rsidRPr="00DA07E4">
        <w:rPr>
          <w:rFonts w:ascii="Times New Roman" w:hAnsi="Times New Roman" w:cs="Times New Roman"/>
          <w:sz w:val="24"/>
          <w:szCs w:val="24"/>
        </w:rPr>
        <w:t xml:space="preserve"> obličky a močovodu, lokáln</w:t>
      </w:r>
      <w:r w:rsidR="0013454C" w:rsidRPr="00DA07E4">
        <w:rPr>
          <w:rFonts w:ascii="Times New Roman" w:hAnsi="Times New Roman" w:cs="Times New Roman"/>
          <w:sz w:val="24"/>
          <w:szCs w:val="24"/>
        </w:rPr>
        <w:t>ej</w:t>
      </w:r>
      <w:r w:rsidR="00433E9F" w:rsidRPr="00DA07E4">
        <w:rPr>
          <w:rFonts w:ascii="Times New Roman" w:hAnsi="Times New Roman" w:cs="Times New Roman"/>
          <w:sz w:val="24"/>
          <w:szCs w:val="24"/>
        </w:rPr>
        <w:t xml:space="preserve"> </w:t>
      </w:r>
      <w:r w:rsidR="00433E9F" w:rsidRPr="008D1014">
        <w:rPr>
          <w:rFonts w:ascii="Times New Roman" w:hAnsi="Times New Roman" w:cs="Times New Roman"/>
          <w:sz w:val="24"/>
          <w:szCs w:val="24"/>
        </w:rPr>
        <w:t>lymfadenopati</w:t>
      </w:r>
      <w:r w:rsidR="0013454C" w:rsidRPr="008D1014">
        <w:rPr>
          <w:rFonts w:ascii="Times New Roman" w:hAnsi="Times New Roman" w:cs="Times New Roman"/>
          <w:sz w:val="24"/>
          <w:szCs w:val="24"/>
        </w:rPr>
        <w:t>e</w:t>
      </w:r>
      <w:r w:rsidR="00433E9F" w:rsidRPr="008D1014">
        <w:rPr>
          <w:rFonts w:ascii="Times New Roman" w:hAnsi="Times New Roman" w:cs="Times New Roman"/>
          <w:sz w:val="24"/>
          <w:szCs w:val="24"/>
        </w:rPr>
        <w:t xml:space="preserve"> a útlak</w:t>
      </w:r>
      <w:r w:rsidR="0013454C" w:rsidRPr="008D1014">
        <w:rPr>
          <w:rFonts w:ascii="Times New Roman" w:hAnsi="Times New Roman" w:cs="Times New Roman"/>
          <w:sz w:val="24"/>
          <w:szCs w:val="24"/>
        </w:rPr>
        <w:t>u</w:t>
      </w:r>
      <w:r w:rsidR="00433E9F" w:rsidRPr="008D1014">
        <w:rPr>
          <w:rFonts w:ascii="Times New Roman" w:hAnsi="Times New Roman" w:cs="Times New Roman"/>
          <w:sz w:val="24"/>
          <w:szCs w:val="24"/>
        </w:rPr>
        <w:t xml:space="preserve"> močovodu patologickým procesom v niektorom zo </w:t>
      </w:r>
      <w:r w:rsidR="00433E9F" w:rsidRPr="00301A9C">
        <w:rPr>
          <w:rFonts w:ascii="Times New Roman" w:hAnsi="Times New Roman" w:cs="Times New Roman"/>
          <w:sz w:val="24"/>
          <w:szCs w:val="24"/>
        </w:rPr>
        <w:t xml:space="preserve">susediacich orgánov. Úloha CT je teda </w:t>
      </w:r>
      <w:r w:rsidR="007E61D9" w:rsidRPr="00301A9C">
        <w:rPr>
          <w:rFonts w:ascii="Times New Roman" w:hAnsi="Times New Roman" w:cs="Times New Roman"/>
          <w:sz w:val="24"/>
          <w:szCs w:val="24"/>
        </w:rPr>
        <w:t xml:space="preserve">aj </w:t>
      </w:r>
      <w:r w:rsidR="00433E9F" w:rsidRPr="00301A9C">
        <w:rPr>
          <w:rFonts w:ascii="Times New Roman" w:hAnsi="Times New Roman" w:cs="Times New Roman"/>
          <w:sz w:val="24"/>
          <w:szCs w:val="24"/>
        </w:rPr>
        <w:t>diferenciálne diagnostická</w:t>
      </w:r>
      <w:r w:rsidRPr="00301A9C">
        <w:rPr>
          <w:rFonts w:ascii="Times New Roman" w:hAnsi="Times New Roman" w:cs="Times New Roman"/>
          <w:sz w:val="24"/>
          <w:szCs w:val="24"/>
        </w:rPr>
        <w:t xml:space="preserve"> (</w:t>
      </w:r>
      <w:r w:rsidR="007C29EC" w:rsidRPr="00301A9C">
        <w:rPr>
          <w:rFonts w:ascii="Times New Roman" w:hAnsi="Times New Roman" w:cs="Times New Roman"/>
          <w:sz w:val="24"/>
          <w:szCs w:val="24"/>
        </w:rPr>
        <w:t>Rucker et al., 2004; Samim et al., 2015</w:t>
      </w:r>
      <w:r w:rsidRPr="00301A9C">
        <w:rPr>
          <w:rFonts w:ascii="Times New Roman" w:hAnsi="Times New Roman" w:cs="Times New Roman"/>
          <w:sz w:val="24"/>
          <w:szCs w:val="24"/>
        </w:rPr>
        <w:t>).</w:t>
      </w:r>
      <w:r w:rsidR="008D1014" w:rsidRPr="00301A9C">
        <w:rPr>
          <w:rFonts w:ascii="Times New Roman" w:hAnsi="Times New Roman" w:cs="Times New Roman"/>
          <w:sz w:val="24"/>
          <w:szCs w:val="24"/>
        </w:rPr>
        <w:t xml:space="preserve"> </w:t>
      </w:r>
      <w:r w:rsidR="00301A9C" w:rsidRPr="00301A9C">
        <w:rPr>
          <w:rFonts w:ascii="Times New Roman" w:hAnsi="Times New Roman" w:cs="Times New Roman"/>
          <w:sz w:val="24"/>
          <w:szCs w:val="24"/>
        </w:rPr>
        <w:t>Niekedy je o</w:t>
      </w:r>
      <w:r w:rsidR="008D1014" w:rsidRPr="00301A9C">
        <w:rPr>
          <w:rFonts w:ascii="Times New Roman" w:hAnsi="Times New Roman" w:cs="Times New Roman"/>
          <w:sz w:val="24"/>
          <w:szCs w:val="24"/>
        </w:rPr>
        <w:t>dporúča</w:t>
      </w:r>
      <w:r w:rsidR="00CA0030" w:rsidRPr="00301A9C">
        <w:rPr>
          <w:rFonts w:ascii="Times New Roman" w:hAnsi="Times New Roman" w:cs="Times New Roman"/>
          <w:sz w:val="24"/>
          <w:szCs w:val="24"/>
        </w:rPr>
        <w:t xml:space="preserve">né </w:t>
      </w:r>
      <w:r w:rsidR="008D1014" w:rsidRPr="00301A9C">
        <w:rPr>
          <w:rFonts w:ascii="Times New Roman" w:hAnsi="Times New Roman" w:cs="Times New Roman"/>
          <w:sz w:val="24"/>
          <w:szCs w:val="24"/>
        </w:rPr>
        <w:t xml:space="preserve">vyhnúť sa intravenóznemu podaniu kontrastných látok počas CT </w:t>
      </w:r>
      <w:r w:rsidR="008D1014" w:rsidRPr="00301A9C">
        <w:rPr>
          <w:rFonts w:ascii="Times New Roman" w:hAnsi="Times New Roman" w:cs="Times New Roman"/>
          <w:color w:val="000000" w:themeColor="text1"/>
          <w:sz w:val="24"/>
          <w:szCs w:val="24"/>
        </w:rPr>
        <w:t xml:space="preserve">vyšetrení indikovaných </w:t>
      </w:r>
      <w:r w:rsidR="00301A9C" w:rsidRPr="00301A9C">
        <w:rPr>
          <w:rFonts w:ascii="Times New Roman" w:hAnsi="Times New Roman" w:cs="Times New Roman"/>
          <w:color w:val="000000" w:themeColor="text1"/>
          <w:sz w:val="24"/>
          <w:szCs w:val="24"/>
        </w:rPr>
        <w:t xml:space="preserve">len za účelom </w:t>
      </w:r>
      <w:r w:rsidR="008D1014" w:rsidRPr="00301A9C">
        <w:rPr>
          <w:rFonts w:ascii="Times New Roman" w:hAnsi="Times New Roman" w:cs="Times New Roman"/>
          <w:color w:val="000000" w:themeColor="text1"/>
          <w:sz w:val="24"/>
          <w:szCs w:val="24"/>
        </w:rPr>
        <w:t>detekci</w:t>
      </w:r>
      <w:r w:rsidR="00301A9C" w:rsidRPr="00301A9C">
        <w:rPr>
          <w:rFonts w:ascii="Times New Roman" w:hAnsi="Times New Roman" w:cs="Times New Roman"/>
          <w:color w:val="000000" w:themeColor="text1"/>
          <w:sz w:val="24"/>
          <w:szCs w:val="24"/>
        </w:rPr>
        <w:t>e</w:t>
      </w:r>
      <w:r w:rsidR="008D1014" w:rsidRPr="00301A9C">
        <w:rPr>
          <w:rFonts w:ascii="Times New Roman" w:hAnsi="Times New Roman" w:cs="Times New Roman"/>
          <w:color w:val="000000" w:themeColor="text1"/>
          <w:sz w:val="24"/>
          <w:szCs w:val="24"/>
        </w:rPr>
        <w:t xml:space="preserve"> urolit</w:t>
      </w:r>
      <w:r w:rsidR="00301A9C" w:rsidRPr="00301A9C">
        <w:rPr>
          <w:rFonts w:ascii="Times New Roman" w:hAnsi="Times New Roman" w:cs="Times New Roman"/>
          <w:color w:val="000000" w:themeColor="text1"/>
          <w:sz w:val="24"/>
          <w:szCs w:val="24"/>
        </w:rPr>
        <w:t>iá</w:t>
      </w:r>
      <w:r w:rsidR="008D1014" w:rsidRPr="00301A9C">
        <w:rPr>
          <w:rFonts w:ascii="Times New Roman" w:hAnsi="Times New Roman" w:cs="Times New Roman"/>
          <w:color w:val="000000" w:themeColor="text1"/>
          <w:sz w:val="24"/>
          <w:szCs w:val="24"/>
        </w:rPr>
        <w:t>zy. Kontrastné CT vyšetrenie však umožňuje diferenciálnu diagnostiku uroliti</w:t>
      </w:r>
      <w:r w:rsidR="00301A9C" w:rsidRPr="00301A9C">
        <w:rPr>
          <w:rFonts w:ascii="Times New Roman" w:hAnsi="Times New Roman" w:cs="Times New Roman"/>
          <w:color w:val="000000" w:themeColor="text1"/>
          <w:sz w:val="24"/>
          <w:szCs w:val="24"/>
        </w:rPr>
        <w:t>á</w:t>
      </w:r>
      <w:r w:rsidR="008D1014" w:rsidRPr="00301A9C">
        <w:rPr>
          <w:rFonts w:ascii="Times New Roman" w:hAnsi="Times New Roman" w:cs="Times New Roman"/>
          <w:color w:val="000000" w:themeColor="text1"/>
          <w:sz w:val="24"/>
          <w:szCs w:val="24"/>
        </w:rPr>
        <w:t>zy a</w:t>
      </w:r>
      <w:r w:rsidR="00301A9C" w:rsidRPr="00301A9C">
        <w:rPr>
          <w:rFonts w:ascii="Times New Roman" w:hAnsi="Times New Roman" w:cs="Times New Roman"/>
          <w:color w:val="000000" w:themeColor="text1"/>
          <w:sz w:val="24"/>
          <w:szCs w:val="24"/>
        </w:rPr>
        <w:t> je schopné zachytiť</w:t>
      </w:r>
      <w:r w:rsidR="008D1014" w:rsidRPr="00301A9C">
        <w:rPr>
          <w:rFonts w:ascii="Times New Roman" w:hAnsi="Times New Roman" w:cs="Times New Roman"/>
          <w:color w:val="000000" w:themeColor="text1"/>
          <w:sz w:val="24"/>
          <w:szCs w:val="24"/>
        </w:rPr>
        <w:t xml:space="preserve"> konkrement</w:t>
      </w:r>
      <w:r w:rsidR="00301A9C" w:rsidRPr="00301A9C">
        <w:rPr>
          <w:rFonts w:ascii="Times New Roman" w:hAnsi="Times New Roman" w:cs="Times New Roman"/>
          <w:color w:val="000000" w:themeColor="text1"/>
          <w:sz w:val="24"/>
          <w:szCs w:val="24"/>
        </w:rPr>
        <w:t xml:space="preserve">y veľkosti </w:t>
      </w:r>
      <w:r w:rsidR="008D1014" w:rsidRPr="00301A9C">
        <w:rPr>
          <w:rFonts w:ascii="Times New Roman" w:hAnsi="Times New Roman" w:cs="Times New Roman"/>
          <w:color w:val="000000" w:themeColor="text1"/>
          <w:sz w:val="24"/>
          <w:szCs w:val="24"/>
        </w:rPr>
        <w:t>≥ 3 mm s presnosťou 97 až 100 % (Corwin et al., 2016).</w:t>
      </w:r>
    </w:p>
    <w:p w14:paraId="65EBFADA" w14:textId="7B949E1C" w:rsidR="005858F3" w:rsidRPr="00DA07E4" w:rsidRDefault="007E61D9"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Okrem toho môže byť CT zobrazenie aj pomôckou pri určení operačnej metódy prvej voľby. Hounsfieldove jednotky (Hounsfield units, HU) podľa odporúčaní EAU (European Association of Urology)</w:t>
      </w:r>
      <w:r w:rsidR="009E14E9" w:rsidRPr="00DA07E4">
        <w:rPr>
          <w:rFonts w:ascii="Times New Roman" w:hAnsi="Times New Roman" w:cs="Times New Roman"/>
          <w:sz w:val="24"/>
          <w:szCs w:val="24"/>
        </w:rPr>
        <w:t xml:space="preserve"> rozlišujú medzi veľmi tvrdými konkrementami (nad 1000 HU, menej vhodné pre ESWL) a mäkkšími konkrementami (pod 1000 HU, vhodné pre ESWL) (</w:t>
      </w:r>
      <w:r w:rsidR="007C29EC" w:rsidRPr="00DA07E4">
        <w:rPr>
          <w:rFonts w:ascii="Times New Roman" w:hAnsi="Times New Roman" w:cs="Times New Roman"/>
          <w:sz w:val="24"/>
          <w:szCs w:val="24"/>
        </w:rPr>
        <w:t>Brisbane et al., 2016</w:t>
      </w:r>
      <w:r w:rsidR="009E14E9" w:rsidRPr="00DA07E4">
        <w:rPr>
          <w:rFonts w:ascii="Times New Roman" w:hAnsi="Times New Roman" w:cs="Times New Roman"/>
          <w:sz w:val="24"/>
          <w:szCs w:val="24"/>
        </w:rPr>
        <w:t>). Dôležitý je aj parameter SSD (skin-to-stone distance, vzdialenosť koža-k</w:t>
      </w:r>
      <w:r w:rsidR="00AF27FF" w:rsidRPr="00DA07E4">
        <w:rPr>
          <w:rFonts w:ascii="Times New Roman" w:hAnsi="Times New Roman" w:cs="Times New Roman"/>
          <w:sz w:val="24"/>
          <w:szCs w:val="24"/>
        </w:rPr>
        <w:t>onkrement</w:t>
      </w:r>
      <w:r w:rsidR="009E14E9" w:rsidRPr="00DA07E4">
        <w:rPr>
          <w:rFonts w:ascii="Times New Roman" w:hAnsi="Times New Roman" w:cs="Times New Roman"/>
          <w:sz w:val="24"/>
          <w:szCs w:val="24"/>
        </w:rPr>
        <w:t>). Niekedy sa používa aj duálna energia (CT dokáže uskutočniť chemickú analýzu konkrementov</w:t>
      </w:r>
      <w:r w:rsidR="007359E2" w:rsidRPr="00DA07E4">
        <w:rPr>
          <w:rFonts w:ascii="Times New Roman" w:hAnsi="Times New Roman" w:cs="Times New Roman"/>
          <w:sz w:val="24"/>
          <w:szCs w:val="24"/>
        </w:rPr>
        <w:t xml:space="preserve"> na základ</w:t>
      </w:r>
      <w:r w:rsidR="009E14E9" w:rsidRPr="00DA07E4">
        <w:rPr>
          <w:rFonts w:ascii="Times New Roman" w:hAnsi="Times New Roman" w:cs="Times New Roman"/>
          <w:sz w:val="24"/>
          <w:szCs w:val="24"/>
        </w:rPr>
        <w:t>e ich rôznej absorbcie pri použití dvoch rôznych energií žiarenia</w:t>
      </w:r>
      <w:r w:rsidR="000832D5" w:rsidRPr="00DA07E4">
        <w:rPr>
          <w:rFonts w:ascii="Times New Roman" w:hAnsi="Times New Roman" w:cs="Times New Roman"/>
          <w:sz w:val="24"/>
          <w:szCs w:val="24"/>
        </w:rPr>
        <w:t xml:space="preserve"> a odlíšiť tak urátové konkrementy</w:t>
      </w:r>
      <w:r w:rsidR="009E14E9" w:rsidRPr="00DA07E4">
        <w:rPr>
          <w:rFonts w:ascii="Times New Roman" w:hAnsi="Times New Roman" w:cs="Times New Roman"/>
          <w:sz w:val="24"/>
          <w:szCs w:val="24"/>
        </w:rPr>
        <w:t>) (</w:t>
      </w:r>
      <w:r w:rsidR="007C29EC" w:rsidRPr="00DA07E4">
        <w:rPr>
          <w:rFonts w:ascii="Times New Roman" w:hAnsi="Times New Roman" w:cs="Times New Roman"/>
          <w:sz w:val="24"/>
          <w:szCs w:val="24"/>
        </w:rPr>
        <w:t>Čtvrtlík et al., 2016</w:t>
      </w:r>
      <w:r w:rsidR="009E14E9" w:rsidRPr="00DA07E4">
        <w:rPr>
          <w:rFonts w:ascii="Times New Roman" w:hAnsi="Times New Roman" w:cs="Times New Roman"/>
          <w:sz w:val="24"/>
          <w:szCs w:val="24"/>
        </w:rPr>
        <w:t>).</w:t>
      </w:r>
    </w:p>
    <w:p w14:paraId="179DC7AC" w14:textId="1D8EA8A3" w:rsidR="00A679D3" w:rsidRDefault="00A679D3" w:rsidP="00DA07E4">
      <w:pPr>
        <w:spacing w:after="0" w:line="360" w:lineRule="auto"/>
        <w:jc w:val="both"/>
        <w:rPr>
          <w:rFonts w:ascii="Times New Roman" w:hAnsi="Times New Roman" w:cs="Times New Roman"/>
          <w:sz w:val="24"/>
          <w:szCs w:val="24"/>
        </w:rPr>
      </w:pPr>
    </w:p>
    <w:p w14:paraId="04E83356" w14:textId="6B52D421" w:rsidR="00485D07" w:rsidRDefault="00485D07" w:rsidP="00DA07E4">
      <w:pPr>
        <w:spacing w:after="0" w:line="360" w:lineRule="auto"/>
        <w:jc w:val="both"/>
        <w:rPr>
          <w:rFonts w:ascii="Times New Roman" w:hAnsi="Times New Roman" w:cs="Times New Roman"/>
          <w:sz w:val="24"/>
          <w:szCs w:val="24"/>
        </w:rPr>
      </w:pPr>
    </w:p>
    <w:p w14:paraId="63A0EA46" w14:textId="77777777" w:rsidR="00390864" w:rsidRDefault="00390864" w:rsidP="00DA07E4">
      <w:pPr>
        <w:spacing w:after="0" w:line="360" w:lineRule="auto"/>
        <w:jc w:val="both"/>
        <w:rPr>
          <w:rFonts w:ascii="Times New Roman" w:hAnsi="Times New Roman" w:cs="Times New Roman"/>
          <w:sz w:val="24"/>
          <w:szCs w:val="24"/>
        </w:rPr>
      </w:pPr>
    </w:p>
    <w:p w14:paraId="13FE2579" w14:textId="77777777" w:rsidR="00485D07" w:rsidRPr="00DA07E4" w:rsidRDefault="00485D07" w:rsidP="00DA07E4">
      <w:pPr>
        <w:spacing w:after="0" w:line="360" w:lineRule="auto"/>
        <w:jc w:val="both"/>
        <w:rPr>
          <w:rFonts w:ascii="Times New Roman" w:hAnsi="Times New Roman" w:cs="Times New Roman"/>
          <w:sz w:val="24"/>
          <w:szCs w:val="24"/>
        </w:rPr>
      </w:pPr>
    </w:p>
    <w:p w14:paraId="03FA30FD" w14:textId="4501F03B" w:rsidR="000832D5" w:rsidRPr="00DA07E4" w:rsidRDefault="00D505EA"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lastRenderedPageBreak/>
        <w:t xml:space="preserve">2.5. </w:t>
      </w:r>
      <w:r w:rsidR="007359E2" w:rsidRPr="00DA07E4">
        <w:rPr>
          <w:rFonts w:ascii="Times New Roman" w:hAnsi="Times New Roman" w:cs="Times New Roman"/>
          <w:b/>
          <w:sz w:val="24"/>
          <w:szCs w:val="24"/>
        </w:rPr>
        <w:t>Magnetická rezonanc</w:t>
      </w:r>
      <w:r w:rsidR="000832D5" w:rsidRPr="00DA07E4">
        <w:rPr>
          <w:rFonts w:ascii="Times New Roman" w:hAnsi="Times New Roman" w:cs="Times New Roman"/>
          <w:b/>
          <w:sz w:val="24"/>
          <w:szCs w:val="24"/>
        </w:rPr>
        <w:t>ia</w:t>
      </w:r>
      <w:r w:rsidR="007359E2" w:rsidRPr="00DA07E4">
        <w:rPr>
          <w:rFonts w:ascii="Times New Roman" w:hAnsi="Times New Roman" w:cs="Times New Roman"/>
          <w:b/>
          <w:sz w:val="24"/>
          <w:szCs w:val="24"/>
        </w:rPr>
        <w:t xml:space="preserve"> (MR</w:t>
      </w:r>
      <w:r w:rsidR="005232A4">
        <w:rPr>
          <w:rFonts w:ascii="Times New Roman" w:hAnsi="Times New Roman" w:cs="Times New Roman"/>
          <w:b/>
          <w:sz w:val="24"/>
          <w:szCs w:val="24"/>
        </w:rPr>
        <w:t>I</w:t>
      </w:r>
      <w:r w:rsidR="007359E2" w:rsidRPr="00DA07E4">
        <w:rPr>
          <w:rFonts w:ascii="Times New Roman" w:hAnsi="Times New Roman" w:cs="Times New Roman"/>
          <w:b/>
          <w:sz w:val="24"/>
          <w:szCs w:val="24"/>
        </w:rPr>
        <w:t>)</w:t>
      </w:r>
    </w:p>
    <w:p w14:paraId="0369606E" w14:textId="77777777" w:rsidR="00526A4A" w:rsidRPr="00DA07E4" w:rsidRDefault="00526A4A" w:rsidP="00DA07E4">
      <w:pPr>
        <w:spacing w:after="0" w:line="360" w:lineRule="auto"/>
        <w:jc w:val="both"/>
        <w:rPr>
          <w:rFonts w:ascii="Times New Roman" w:hAnsi="Times New Roman" w:cs="Times New Roman"/>
          <w:sz w:val="24"/>
          <w:szCs w:val="24"/>
        </w:rPr>
      </w:pPr>
    </w:p>
    <w:p w14:paraId="357CD338" w14:textId="12F6A8E7" w:rsidR="000832D5" w:rsidRPr="00DA07E4" w:rsidRDefault="000832D5"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Magnetická rezonancia sa väčšinou pri diagnostike urolitiázy neuplatňuje. Je to </w:t>
      </w:r>
      <w:r w:rsidRPr="00301A9C">
        <w:rPr>
          <w:rFonts w:ascii="Times New Roman" w:hAnsi="Times New Roman" w:cs="Times New Roman"/>
          <w:sz w:val="24"/>
          <w:szCs w:val="24"/>
        </w:rPr>
        <w:t>hlavne pre nižšiu dostupnosť a s tým spojené čakacie doby, vyššiu cenu a</w:t>
      </w:r>
      <w:r w:rsidR="00301A9C" w:rsidRPr="00301A9C">
        <w:rPr>
          <w:rFonts w:ascii="Times New Roman" w:hAnsi="Times New Roman" w:cs="Times New Roman"/>
          <w:sz w:val="24"/>
          <w:szCs w:val="24"/>
        </w:rPr>
        <w:t> </w:t>
      </w:r>
      <w:r w:rsidRPr="00301A9C">
        <w:rPr>
          <w:rFonts w:ascii="Times New Roman" w:hAnsi="Times New Roman" w:cs="Times New Roman"/>
          <w:sz w:val="24"/>
          <w:szCs w:val="24"/>
        </w:rPr>
        <w:t>dlh</w:t>
      </w:r>
      <w:r w:rsidR="00301A9C" w:rsidRPr="00301A9C">
        <w:rPr>
          <w:rFonts w:ascii="Times New Roman" w:hAnsi="Times New Roman" w:cs="Times New Roman"/>
          <w:sz w:val="24"/>
          <w:szCs w:val="24"/>
        </w:rPr>
        <w:t>šie trvanie</w:t>
      </w:r>
      <w:r w:rsidRPr="00301A9C">
        <w:rPr>
          <w:rFonts w:ascii="Times New Roman" w:hAnsi="Times New Roman" w:cs="Times New Roman"/>
          <w:sz w:val="24"/>
          <w:szCs w:val="24"/>
        </w:rPr>
        <w:t xml:space="preserve"> vyšetrenia.</w:t>
      </w:r>
      <w:r w:rsidR="000716C9" w:rsidRPr="00301A9C">
        <w:rPr>
          <w:rFonts w:ascii="Times New Roman" w:hAnsi="Times New Roman" w:cs="Times New Roman"/>
          <w:sz w:val="24"/>
          <w:szCs w:val="24"/>
        </w:rPr>
        <w:t xml:space="preserve"> Pri akútnom zobrazení je teda toto vyšetrenie zatiaľ neuplatniteľné.</w:t>
      </w:r>
    </w:p>
    <w:p w14:paraId="58F7F60E" w14:textId="77777777" w:rsidR="000832D5" w:rsidRPr="00DA07E4" w:rsidRDefault="000832D5"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Za zmienku ale stojí MR hydrografia. Pri tomto zobrazení T2 vážená sekvencia dokáže detailne vykresliť dutý systém obličiek bez použitia kontrastnej látky. Vyšetrenie je navyše relatívne krátke (10 minút) a nepredstavuje pre pacienta žiadnu radiačnú záťaž.</w:t>
      </w:r>
    </w:p>
    <w:p w14:paraId="488D51EC" w14:textId="72129369" w:rsidR="000832D5" w:rsidRPr="00DA07E4" w:rsidRDefault="000716C9"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Štandardná magnetická rezonancia sa uplatní hlavne u pacientov, u ktorých CT nie je vhodné (v nedávnej dobe absolvovali väčšiu dávku žiarenia). </w:t>
      </w:r>
      <w:r w:rsidR="000832D5" w:rsidRPr="00DA07E4">
        <w:rPr>
          <w:rFonts w:ascii="Times New Roman" w:hAnsi="Times New Roman" w:cs="Times New Roman"/>
          <w:sz w:val="24"/>
          <w:szCs w:val="24"/>
        </w:rPr>
        <w:t>Niekedy sa</w:t>
      </w:r>
      <w:r w:rsidRPr="00DA07E4">
        <w:rPr>
          <w:rFonts w:ascii="Times New Roman" w:hAnsi="Times New Roman" w:cs="Times New Roman"/>
          <w:sz w:val="24"/>
          <w:szCs w:val="24"/>
        </w:rPr>
        <w:t xml:space="preserve"> </w:t>
      </w:r>
      <w:r w:rsidR="000832D5" w:rsidRPr="00DA07E4">
        <w:rPr>
          <w:rFonts w:ascii="Times New Roman" w:hAnsi="Times New Roman" w:cs="Times New Roman"/>
          <w:sz w:val="24"/>
          <w:szCs w:val="24"/>
        </w:rPr>
        <w:t xml:space="preserve">magnetická rezonancia používa pre zobrazenie urolitiázy v gravidite </w:t>
      </w:r>
      <w:r w:rsidR="002378BD" w:rsidRPr="00DA07E4">
        <w:rPr>
          <w:rFonts w:ascii="Times New Roman" w:hAnsi="Times New Roman" w:cs="Times New Roman"/>
          <w:sz w:val="24"/>
          <w:szCs w:val="24"/>
        </w:rPr>
        <w:t>(</w:t>
      </w:r>
      <w:r w:rsidR="007C29EC" w:rsidRPr="00DA07E4">
        <w:rPr>
          <w:rFonts w:ascii="Times New Roman" w:hAnsi="Times New Roman" w:cs="Times New Roman"/>
          <w:sz w:val="24"/>
          <w:szCs w:val="24"/>
        </w:rPr>
        <w:t>Masselli et al., 2015</w:t>
      </w:r>
      <w:r w:rsidR="002378BD" w:rsidRPr="00DA07E4">
        <w:rPr>
          <w:rFonts w:ascii="Times New Roman" w:hAnsi="Times New Roman" w:cs="Times New Roman"/>
          <w:sz w:val="24"/>
          <w:szCs w:val="24"/>
        </w:rPr>
        <w:t>).</w:t>
      </w:r>
      <w:r w:rsidR="000832D5" w:rsidRPr="00DA07E4">
        <w:rPr>
          <w:rFonts w:ascii="Times New Roman" w:hAnsi="Times New Roman" w:cs="Times New Roman"/>
          <w:sz w:val="24"/>
          <w:szCs w:val="24"/>
        </w:rPr>
        <w:t xml:space="preserve"> Relatívnu kontraindikáciu predstavuje gravidita v I. trimestri.</w:t>
      </w:r>
    </w:p>
    <w:p w14:paraId="06EFD8F2" w14:textId="771423FE" w:rsidR="007359E2" w:rsidRPr="00DA07E4" w:rsidRDefault="000832D5"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Zobrazenie MR má ale celú škálu absolútnych kontraindikácií. Medzi ne patrí</w:t>
      </w:r>
      <w:r w:rsidR="000716C9" w:rsidRPr="00DA07E4">
        <w:rPr>
          <w:rFonts w:ascii="Times New Roman" w:hAnsi="Times New Roman" w:cs="Times New Roman"/>
          <w:sz w:val="24"/>
          <w:szCs w:val="24"/>
        </w:rPr>
        <w:t xml:space="preserve"> nekompatibilný implantovaný kardiostimulátor alebo inzulínová pumpa a všetky nekompatibilné kovové predmety v tele. Niektorí pacienti sú tiež zaťažení klaustrofóbiou</w:t>
      </w:r>
      <w:r w:rsidR="007359E2" w:rsidRPr="00DA07E4">
        <w:rPr>
          <w:rFonts w:ascii="Times New Roman" w:hAnsi="Times New Roman" w:cs="Times New Roman"/>
          <w:sz w:val="24"/>
          <w:szCs w:val="24"/>
        </w:rPr>
        <w:t>.</w:t>
      </w:r>
    </w:p>
    <w:p w14:paraId="6901A6BC" w14:textId="1603D9E1" w:rsidR="002378BD" w:rsidRPr="00DA07E4" w:rsidRDefault="002378BD" w:rsidP="00DA07E4">
      <w:pPr>
        <w:spacing w:after="0" w:line="360" w:lineRule="auto"/>
        <w:jc w:val="both"/>
        <w:rPr>
          <w:rFonts w:ascii="Times New Roman" w:hAnsi="Times New Roman" w:cs="Times New Roman"/>
          <w:sz w:val="24"/>
          <w:szCs w:val="24"/>
        </w:rPr>
      </w:pPr>
    </w:p>
    <w:p w14:paraId="2CCA3F04" w14:textId="77777777" w:rsidR="002378BD" w:rsidRPr="00DA07E4" w:rsidRDefault="002378BD" w:rsidP="00DA07E4">
      <w:pPr>
        <w:spacing w:after="0" w:line="360" w:lineRule="auto"/>
        <w:jc w:val="both"/>
        <w:rPr>
          <w:rFonts w:ascii="Times New Roman" w:hAnsi="Times New Roman" w:cs="Times New Roman"/>
          <w:sz w:val="24"/>
          <w:szCs w:val="24"/>
        </w:rPr>
      </w:pPr>
    </w:p>
    <w:p w14:paraId="29ACB61D" w14:textId="77777777" w:rsidR="00526A4A" w:rsidRPr="00DA07E4" w:rsidRDefault="00526A4A"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br w:type="page"/>
      </w:r>
    </w:p>
    <w:p w14:paraId="4A095B74" w14:textId="05C61C39" w:rsidR="00812D60" w:rsidRPr="005232A4" w:rsidRDefault="00880677" w:rsidP="00DA07E4">
      <w:pPr>
        <w:pStyle w:val="Odstavecseseznamem"/>
        <w:numPr>
          <w:ilvl w:val="0"/>
          <w:numId w:val="4"/>
        </w:numPr>
        <w:spacing w:after="0" w:line="360" w:lineRule="auto"/>
        <w:ind w:left="284" w:hanging="284"/>
        <w:jc w:val="both"/>
        <w:rPr>
          <w:rFonts w:ascii="Times New Roman" w:hAnsi="Times New Roman" w:cs="Times New Roman"/>
          <w:b/>
          <w:sz w:val="24"/>
          <w:szCs w:val="24"/>
        </w:rPr>
      </w:pPr>
      <w:r w:rsidRPr="005232A4">
        <w:rPr>
          <w:rFonts w:ascii="Times New Roman" w:hAnsi="Times New Roman" w:cs="Times New Roman"/>
          <w:b/>
          <w:sz w:val="24"/>
          <w:szCs w:val="24"/>
        </w:rPr>
        <w:lastRenderedPageBreak/>
        <w:t xml:space="preserve">VYBRANÉ </w:t>
      </w:r>
      <w:r w:rsidR="005B27DC" w:rsidRPr="005232A4">
        <w:rPr>
          <w:rFonts w:ascii="Times New Roman" w:hAnsi="Times New Roman" w:cs="Times New Roman"/>
          <w:b/>
          <w:sz w:val="24"/>
          <w:szCs w:val="24"/>
        </w:rPr>
        <w:t xml:space="preserve">MOŽNOSTI </w:t>
      </w:r>
      <w:r w:rsidR="00472B07" w:rsidRPr="005232A4">
        <w:rPr>
          <w:rFonts w:ascii="Times New Roman" w:hAnsi="Times New Roman" w:cs="Times New Roman"/>
          <w:b/>
          <w:sz w:val="24"/>
          <w:szCs w:val="24"/>
        </w:rPr>
        <w:t xml:space="preserve">OPERAČNEJ </w:t>
      </w:r>
      <w:r w:rsidR="003B3BCF" w:rsidRPr="005232A4">
        <w:rPr>
          <w:rFonts w:ascii="Times New Roman" w:hAnsi="Times New Roman" w:cs="Times New Roman"/>
          <w:b/>
          <w:sz w:val="24"/>
          <w:szCs w:val="24"/>
        </w:rPr>
        <w:t>LIEČB</w:t>
      </w:r>
      <w:r w:rsidR="005B27DC" w:rsidRPr="005232A4">
        <w:rPr>
          <w:rFonts w:ascii="Times New Roman" w:hAnsi="Times New Roman" w:cs="Times New Roman"/>
          <w:b/>
          <w:sz w:val="24"/>
          <w:szCs w:val="24"/>
        </w:rPr>
        <w:t>Y</w:t>
      </w:r>
      <w:r w:rsidR="0054354B" w:rsidRPr="005232A4">
        <w:rPr>
          <w:rFonts w:ascii="Times New Roman" w:hAnsi="Times New Roman" w:cs="Times New Roman"/>
          <w:b/>
          <w:sz w:val="24"/>
          <w:szCs w:val="24"/>
        </w:rPr>
        <w:t xml:space="preserve"> </w:t>
      </w:r>
      <w:r w:rsidR="005232A4" w:rsidRPr="005232A4">
        <w:rPr>
          <w:rFonts w:ascii="Times New Roman" w:hAnsi="Times New Roman" w:cs="Times New Roman"/>
          <w:b/>
          <w:sz w:val="24"/>
          <w:szCs w:val="24"/>
        </w:rPr>
        <w:t>U</w:t>
      </w:r>
      <w:r w:rsidR="003116FB" w:rsidRPr="005232A4">
        <w:rPr>
          <w:rFonts w:ascii="Times New Roman" w:hAnsi="Times New Roman" w:cs="Times New Roman"/>
          <w:b/>
          <w:sz w:val="24"/>
          <w:szCs w:val="24"/>
        </w:rPr>
        <w:t>ROLITIÁZY</w:t>
      </w:r>
    </w:p>
    <w:p w14:paraId="1560B274" w14:textId="77777777" w:rsidR="00526A4A" w:rsidRPr="00DA07E4" w:rsidRDefault="00526A4A" w:rsidP="00DA07E4">
      <w:pPr>
        <w:spacing w:after="0" w:line="360" w:lineRule="auto"/>
        <w:jc w:val="both"/>
        <w:rPr>
          <w:rFonts w:ascii="Times New Roman" w:hAnsi="Times New Roman" w:cs="Times New Roman"/>
          <w:sz w:val="24"/>
          <w:szCs w:val="24"/>
        </w:rPr>
      </w:pPr>
    </w:p>
    <w:p w14:paraId="75B307AA" w14:textId="1D59BD61" w:rsidR="00472B07" w:rsidRPr="008D1014" w:rsidRDefault="00331EB5"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Operačná liečba urolitiázy často nepredstavuje kauzálnu liečbu ochorenia v pravom zmysle slova. Vo väčšine prípadov totiž nerieši príčinu vzniku konkrementov. Operačná liečba urolitiázy má ale veľký význam nielen pre ochranu obličiek pred poškodením (akútna či chronická obštrukcia konkrementom, </w:t>
      </w:r>
      <w:r w:rsidRPr="008D1014">
        <w:rPr>
          <w:rFonts w:ascii="Times New Roman" w:hAnsi="Times New Roman" w:cs="Times New Roman"/>
          <w:sz w:val="24"/>
          <w:szCs w:val="24"/>
        </w:rPr>
        <w:t>obštrukčná pyelonefritída a ďalšie)</w:t>
      </w:r>
      <w:r w:rsidR="00472B07" w:rsidRPr="008D1014">
        <w:rPr>
          <w:rFonts w:ascii="Times New Roman" w:hAnsi="Times New Roman" w:cs="Times New Roman"/>
          <w:sz w:val="24"/>
          <w:szCs w:val="24"/>
        </w:rPr>
        <w:t xml:space="preserve">, ale aj pre diagnostiku ochorenia (typ konkrementu na základe vizualizácie počas zákroku a získanie materiálu pre </w:t>
      </w:r>
      <w:r w:rsidR="00472B07" w:rsidRPr="00301A9C">
        <w:rPr>
          <w:rFonts w:ascii="Times New Roman" w:hAnsi="Times New Roman" w:cs="Times New Roman"/>
          <w:sz w:val="24"/>
          <w:szCs w:val="24"/>
        </w:rPr>
        <w:t>ďalšiu analýzu). Samozrejme, odstránenie urolitu znamená pre pacienta vymiznutie bolesti a iných ťažkostí.</w:t>
      </w:r>
      <w:r w:rsidR="008D1014" w:rsidRPr="00301A9C">
        <w:rPr>
          <w:rFonts w:ascii="Times New Roman" w:hAnsi="Times New Roman" w:cs="Times New Roman"/>
          <w:sz w:val="24"/>
          <w:szCs w:val="24"/>
        </w:rPr>
        <w:t xml:space="preserve"> Klinické návody na liečbu uroliti</w:t>
      </w:r>
      <w:r w:rsidR="00301A9C" w:rsidRPr="00301A9C">
        <w:rPr>
          <w:rFonts w:ascii="Times New Roman" w:hAnsi="Times New Roman" w:cs="Times New Roman"/>
          <w:sz w:val="24"/>
          <w:szCs w:val="24"/>
        </w:rPr>
        <w:t>á</w:t>
      </w:r>
      <w:r w:rsidR="008D1014" w:rsidRPr="00301A9C">
        <w:rPr>
          <w:rFonts w:ascii="Times New Roman" w:hAnsi="Times New Roman" w:cs="Times New Roman"/>
          <w:sz w:val="24"/>
          <w:szCs w:val="24"/>
        </w:rPr>
        <w:t>zy sú vypracované podľa publikovaných údajov Medicíny založenej na dôkazoch. Podľa vyhodnotenia piatich klinických návodov sa potvrdili významné zhody v záveroch jednotlivých urologických spoločnost</w:t>
      </w:r>
      <w:r w:rsidR="00301A9C">
        <w:rPr>
          <w:rFonts w:ascii="Times New Roman" w:hAnsi="Times New Roman" w:cs="Times New Roman"/>
          <w:sz w:val="24"/>
          <w:szCs w:val="24"/>
        </w:rPr>
        <w:t>í</w:t>
      </w:r>
      <w:r w:rsidR="008D1014" w:rsidRPr="00301A9C">
        <w:rPr>
          <w:rFonts w:ascii="Times New Roman" w:hAnsi="Times New Roman" w:cs="Times New Roman"/>
          <w:sz w:val="24"/>
          <w:szCs w:val="24"/>
        </w:rPr>
        <w:t xml:space="preserve"> (Jiang et al. 2021).</w:t>
      </w:r>
    </w:p>
    <w:p w14:paraId="0E2031B6" w14:textId="77777777" w:rsidR="00472B07" w:rsidRPr="00DA07E4" w:rsidRDefault="00472B07" w:rsidP="00DA07E4">
      <w:pPr>
        <w:spacing w:after="0" w:line="360" w:lineRule="auto"/>
        <w:jc w:val="both"/>
        <w:rPr>
          <w:rFonts w:ascii="Times New Roman" w:hAnsi="Times New Roman" w:cs="Times New Roman"/>
          <w:sz w:val="24"/>
          <w:szCs w:val="24"/>
        </w:rPr>
      </w:pPr>
    </w:p>
    <w:p w14:paraId="24583C15" w14:textId="3E2F22E1" w:rsidR="000376E5" w:rsidRPr="00DA07E4" w:rsidRDefault="003769AB"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3.1. </w:t>
      </w:r>
      <w:r w:rsidR="000376E5" w:rsidRPr="00DA07E4">
        <w:rPr>
          <w:rFonts w:ascii="Times New Roman" w:hAnsi="Times New Roman" w:cs="Times New Roman"/>
          <w:b/>
          <w:sz w:val="24"/>
          <w:szCs w:val="24"/>
        </w:rPr>
        <w:t>ESWL</w:t>
      </w:r>
    </w:p>
    <w:p w14:paraId="694BE220" w14:textId="77777777" w:rsidR="00526A4A" w:rsidRPr="00DA07E4" w:rsidRDefault="00526A4A" w:rsidP="00DA07E4">
      <w:pPr>
        <w:spacing w:after="0" w:line="360" w:lineRule="auto"/>
        <w:jc w:val="both"/>
        <w:rPr>
          <w:rFonts w:ascii="Times New Roman" w:hAnsi="Times New Roman" w:cs="Times New Roman"/>
          <w:sz w:val="24"/>
          <w:szCs w:val="24"/>
        </w:rPr>
      </w:pPr>
    </w:p>
    <w:p w14:paraId="36DAEE54" w14:textId="578F3555" w:rsidR="00150D5B" w:rsidRPr="00DA07E4" w:rsidRDefault="00150D5B"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Litotripsia mimotelovými rázovými vlnami (z angl. Extracorporeal </w:t>
      </w:r>
      <w:r w:rsidR="003769AB" w:rsidRPr="00DA07E4">
        <w:rPr>
          <w:rFonts w:ascii="Times New Roman" w:hAnsi="Times New Roman" w:cs="Times New Roman"/>
          <w:sz w:val="24"/>
          <w:szCs w:val="24"/>
        </w:rPr>
        <w:t>S</w:t>
      </w:r>
      <w:r w:rsidRPr="00DA07E4">
        <w:rPr>
          <w:rFonts w:ascii="Times New Roman" w:hAnsi="Times New Roman" w:cs="Times New Roman"/>
          <w:sz w:val="24"/>
          <w:szCs w:val="24"/>
        </w:rPr>
        <w:t xml:space="preserve">hock </w:t>
      </w:r>
      <w:r w:rsidR="003769AB" w:rsidRPr="00DA07E4">
        <w:rPr>
          <w:rFonts w:ascii="Times New Roman" w:hAnsi="Times New Roman" w:cs="Times New Roman"/>
          <w:sz w:val="24"/>
          <w:szCs w:val="24"/>
        </w:rPr>
        <w:t>Wa</w:t>
      </w:r>
      <w:r w:rsidRPr="00DA07E4">
        <w:rPr>
          <w:rFonts w:ascii="Times New Roman" w:hAnsi="Times New Roman" w:cs="Times New Roman"/>
          <w:sz w:val="24"/>
          <w:szCs w:val="24"/>
        </w:rPr>
        <w:t xml:space="preserve">ve </w:t>
      </w:r>
      <w:r w:rsidR="003769AB" w:rsidRPr="00DA07E4">
        <w:rPr>
          <w:rFonts w:ascii="Times New Roman" w:hAnsi="Times New Roman" w:cs="Times New Roman"/>
          <w:sz w:val="24"/>
          <w:szCs w:val="24"/>
        </w:rPr>
        <w:t>L</w:t>
      </w:r>
      <w:r w:rsidRPr="00DA07E4">
        <w:rPr>
          <w:rFonts w:ascii="Times New Roman" w:hAnsi="Times New Roman" w:cs="Times New Roman"/>
          <w:sz w:val="24"/>
          <w:szCs w:val="24"/>
        </w:rPr>
        <w:t xml:space="preserve">ithotripsy, ESWL) sa radí medzi </w:t>
      </w:r>
      <w:r w:rsidR="005C091E" w:rsidRPr="00DA07E4">
        <w:rPr>
          <w:rFonts w:ascii="Times New Roman" w:hAnsi="Times New Roman" w:cs="Times New Roman"/>
          <w:sz w:val="24"/>
          <w:szCs w:val="24"/>
        </w:rPr>
        <w:t xml:space="preserve">najmenej </w:t>
      </w:r>
      <w:r w:rsidRPr="00DA07E4">
        <w:rPr>
          <w:rFonts w:ascii="Times New Roman" w:hAnsi="Times New Roman" w:cs="Times New Roman"/>
          <w:sz w:val="24"/>
          <w:szCs w:val="24"/>
        </w:rPr>
        <w:t xml:space="preserve">invazívne zákroky na odstránenie urolitiázy. Vysoká energia rázových vĺn vzniká </w:t>
      </w:r>
      <w:r w:rsidR="00524EF8" w:rsidRPr="00DA07E4">
        <w:rPr>
          <w:rFonts w:ascii="Times New Roman" w:hAnsi="Times New Roman" w:cs="Times New Roman"/>
          <w:sz w:val="24"/>
          <w:szCs w:val="24"/>
        </w:rPr>
        <w:t>na podklade elektrohydraulickom, elektromagnetickom alebo piezoelektrickom.</w:t>
      </w:r>
      <w:r w:rsidRPr="00DA07E4">
        <w:rPr>
          <w:rFonts w:ascii="Times New Roman" w:hAnsi="Times New Roman" w:cs="Times New Roman"/>
          <w:sz w:val="24"/>
          <w:szCs w:val="24"/>
        </w:rPr>
        <w:t xml:space="preserve"> Pomocou RTG C-ramena a ultrazvuku litotriptor zacieli konkrement a energiou rázových vĺn ho rozbije na malé fragmenty.</w:t>
      </w:r>
    </w:p>
    <w:p w14:paraId="153E0B38" w14:textId="4DAE3EC2" w:rsidR="00150D5B" w:rsidRPr="00301A9C" w:rsidRDefault="00150D5B"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Výkon sa väčšinou realizuje bez akejkoľvek anestézie (výnimkou sú detskí pacienti)</w:t>
      </w:r>
      <w:r w:rsidR="008E1FC0" w:rsidRPr="00DA07E4">
        <w:rPr>
          <w:rFonts w:ascii="Times New Roman" w:hAnsi="Times New Roman" w:cs="Times New Roman"/>
          <w:sz w:val="24"/>
          <w:szCs w:val="24"/>
        </w:rPr>
        <w:t>, obvykle je ale podaná analgetická liečba</w:t>
      </w:r>
      <w:r w:rsidRPr="00DA07E4">
        <w:rPr>
          <w:rFonts w:ascii="Times New Roman" w:hAnsi="Times New Roman" w:cs="Times New Roman"/>
          <w:sz w:val="24"/>
          <w:szCs w:val="24"/>
        </w:rPr>
        <w:t xml:space="preserve">. Práve nepotrebnosť anestézie a žiadny zásah do organizmu pacienta </w:t>
      </w:r>
      <w:r w:rsidRPr="008D1014">
        <w:rPr>
          <w:rFonts w:ascii="Times New Roman" w:hAnsi="Times New Roman" w:cs="Times New Roman"/>
          <w:sz w:val="24"/>
          <w:szCs w:val="24"/>
        </w:rPr>
        <w:t xml:space="preserve">spravili z ESWL revolučnú metódu liečby urolitiázy pri uvedení do praxe v minulom </w:t>
      </w:r>
      <w:r w:rsidRPr="00301A9C">
        <w:rPr>
          <w:rFonts w:ascii="Times New Roman" w:hAnsi="Times New Roman" w:cs="Times New Roman"/>
          <w:sz w:val="24"/>
          <w:szCs w:val="24"/>
        </w:rPr>
        <w:t>storočí</w:t>
      </w:r>
      <w:r w:rsidR="008D1014" w:rsidRPr="00301A9C">
        <w:rPr>
          <w:rFonts w:ascii="Times New Roman" w:hAnsi="Times New Roman" w:cs="Times New Roman"/>
          <w:sz w:val="24"/>
          <w:szCs w:val="24"/>
        </w:rPr>
        <w:t xml:space="preserve"> (Chaussy et al., 1980).</w:t>
      </w:r>
    </w:p>
    <w:p w14:paraId="3F00E212" w14:textId="157CEE4A" w:rsidR="00EE0D2A" w:rsidRPr="00DA07E4" w:rsidRDefault="003769AB" w:rsidP="00DA07E4">
      <w:pPr>
        <w:spacing w:after="0" w:line="360" w:lineRule="auto"/>
        <w:ind w:firstLine="708"/>
        <w:jc w:val="both"/>
        <w:rPr>
          <w:rFonts w:ascii="Times New Roman" w:hAnsi="Times New Roman" w:cs="Times New Roman"/>
          <w:sz w:val="24"/>
          <w:szCs w:val="24"/>
        </w:rPr>
      </w:pPr>
      <w:r w:rsidRPr="00301A9C">
        <w:rPr>
          <w:rFonts w:ascii="Times New Roman" w:hAnsi="Times New Roman" w:cs="Times New Roman"/>
          <w:sz w:val="24"/>
          <w:szCs w:val="24"/>
        </w:rPr>
        <w:t>Pri indikácii pacienta na ESWL sa berie do úvahy</w:t>
      </w:r>
      <w:r w:rsidRPr="00DA07E4">
        <w:rPr>
          <w:rFonts w:ascii="Times New Roman" w:hAnsi="Times New Roman" w:cs="Times New Roman"/>
          <w:sz w:val="24"/>
          <w:szCs w:val="24"/>
        </w:rPr>
        <w:t xml:space="preserve"> niekoľko faktorov.</w:t>
      </w:r>
      <w:r w:rsidR="00EE0D2A" w:rsidRPr="00DA07E4">
        <w:rPr>
          <w:rFonts w:ascii="Times New Roman" w:hAnsi="Times New Roman" w:cs="Times New Roman"/>
          <w:sz w:val="24"/>
          <w:szCs w:val="24"/>
        </w:rPr>
        <w:t xml:space="preserve"> Konkrementy by podľa súčasných odporúčaní nemali mať viac než 1000 HU na CT zobrazení. Zjednodušene povedané – viac HU značí vyššiu tvrdosť konkrementu</w:t>
      </w:r>
      <w:r w:rsidR="00A47ABD" w:rsidRPr="00DA07E4">
        <w:rPr>
          <w:rFonts w:ascii="Times New Roman" w:hAnsi="Times New Roman" w:cs="Times New Roman"/>
          <w:sz w:val="24"/>
          <w:szCs w:val="24"/>
        </w:rPr>
        <w:t>, takže</w:t>
      </w:r>
      <w:r w:rsidR="00D465C4" w:rsidRPr="00DA07E4">
        <w:rPr>
          <w:rFonts w:ascii="Times New Roman" w:hAnsi="Times New Roman" w:cs="Times New Roman"/>
          <w:sz w:val="24"/>
          <w:szCs w:val="24"/>
        </w:rPr>
        <w:t xml:space="preserve"> napríklad</w:t>
      </w:r>
      <w:r w:rsidR="00A47ABD" w:rsidRPr="00DA07E4">
        <w:rPr>
          <w:rFonts w:ascii="Times New Roman" w:hAnsi="Times New Roman" w:cs="Times New Roman"/>
          <w:sz w:val="24"/>
          <w:szCs w:val="24"/>
        </w:rPr>
        <w:t xml:space="preserve"> </w:t>
      </w:r>
      <w:r w:rsidR="00D465C4" w:rsidRPr="00DA07E4">
        <w:rPr>
          <w:rFonts w:ascii="Times New Roman" w:hAnsi="Times New Roman" w:cs="Times New Roman"/>
          <w:sz w:val="24"/>
          <w:szCs w:val="24"/>
        </w:rPr>
        <w:t>kalcium oxalát monohydrát, kalciumfosfátové konkrementy alebo cysteín sú voči ESWL rezistentné (</w:t>
      </w:r>
      <w:r w:rsidR="007C29EC" w:rsidRPr="00DA07E4">
        <w:rPr>
          <w:rFonts w:ascii="Times New Roman" w:hAnsi="Times New Roman" w:cs="Times New Roman"/>
          <w:sz w:val="24"/>
          <w:szCs w:val="24"/>
        </w:rPr>
        <w:t xml:space="preserve">Dretler, 1994; Ringden </w:t>
      </w:r>
      <w:r w:rsidR="00971BD9">
        <w:rPr>
          <w:rFonts w:ascii="Times New Roman" w:hAnsi="Times New Roman" w:cs="Times New Roman"/>
          <w:sz w:val="24"/>
          <w:szCs w:val="24"/>
        </w:rPr>
        <w:t>et</w:t>
      </w:r>
      <w:r w:rsidR="007C29EC" w:rsidRPr="00DA07E4">
        <w:rPr>
          <w:rFonts w:ascii="Times New Roman" w:hAnsi="Times New Roman" w:cs="Times New Roman"/>
          <w:sz w:val="24"/>
          <w:szCs w:val="24"/>
        </w:rPr>
        <w:t xml:space="preserve"> Tiselius, 2007</w:t>
      </w:r>
      <w:r w:rsidR="00D465C4" w:rsidRPr="00DA07E4">
        <w:rPr>
          <w:rFonts w:ascii="Times New Roman" w:hAnsi="Times New Roman" w:cs="Times New Roman"/>
          <w:sz w:val="24"/>
          <w:szCs w:val="24"/>
        </w:rPr>
        <w:t xml:space="preserve">). </w:t>
      </w:r>
      <w:r w:rsidR="00EE0D2A" w:rsidRPr="00DA07E4">
        <w:rPr>
          <w:rFonts w:ascii="Times New Roman" w:hAnsi="Times New Roman" w:cs="Times New Roman"/>
          <w:sz w:val="24"/>
          <w:szCs w:val="24"/>
        </w:rPr>
        <w:t>Konkrementy okolo 1000 HU preto obvykle vyžadujú niekoľko zákrokov ESWL, aby došlo k ich dezintegrácii a uspokojivému SFR (stone-free rate, stav bez konkrementov). Pri RTG nekontrastných konkrementoch (menej HU) je potom rozhodujúca veľkosť – aj skúsený urológ môže mať prob</w:t>
      </w:r>
      <w:r w:rsidR="00EE0D2A" w:rsidRPr="00301A9C">
        <w:rPr>
          <w:rFonts w:ascii="Times New Roman" w:hAnsi="Times New Roman" w:cs="Times New Roman"/>
          <w:sz w:val="24"/>
          <w:szCs w:val="24"/>
        </w:rPr>
        <w:t>lém lokalizovať drobné 6</w:t>
      </w:r>
      <w:r w:rsidR="00971BD9" w:rsidRPr="00301A9C">
        <w:rPr>
          <w:rFonts w:ascii="Times New Roman" w:hAnsi="Times New Roman" w:cs="Times New Roman"/>
          <w:sz w:val="24"/>
          <w:szCs w:val="24"/>
        </w:rPr>
        <w:t xml:space="preserve"> až </w:t>
      </w:r>
      <w:r w:rsidR="00D465C4" w:rsidRPr="00301A9C">
        <w:rPr>
          <w:rFonts w:ascii="Times New Roman" w:hAnsi="Times New Roman" w:cs="Times New Roman"/>
          <w:sz w:val="24"/>
          <w:szCs w:val="24"/>
        </w:rPr>
        <w:t>7</w:t>
      </w:r>
      <w:r w:rsidR="00EE0D2A" w:rsidRPr="00301A9C">
        <w:rPr>
          <w:rFonts w:ascii="Times New Roman" w:hAnsi="Times New Roman" w:cs="Times New Roman"/>
          <w:sz w:val="24"/>
          <w:szCs w:val="24"/>
        </w:rPr>
        <w:t xml:space="preserve"> mm veľké konkrementy len ultrazvukom.</w:t>
      </w:r>
      <w:r w:rsidR="00D465C4" w:rsidRPr="00301A9C">
        <w:rPr>
          <w:rFonts w:ascii="Times New Roman" w:hAnsi="Times New Roman" w:cs="Times New Roman"/>
          <w:sz w:val="24"/>
          <w:szCs w:val="24"/>
        </w:rPr>
        <w:t xml:space="preserve"> </w:t>
      </w:r>
      <w:r w:rsidR="00301A9C" w:rsidRPr="00301A9C">
        <w:rPr>
          <w:rFonts w:ascii="Times New Roman" w:hAnsi="Times New Roman" w:cs="Times New Roman"/>
          <w:sz w:val="24"/>
          <w:szCs w:val="24"/>
        </w:rPr>
        <w:t xml:space="preserve">Nedávno </w:t>
      </w:r>
      <w:r w:rsidR="00D465C4" w:rsidRPr="00DA07E4">
        <w:rPr>
          <w:rFonts w:ascii="Times New Roman" w:hAnsi="Times New Roman" w:cs="Times New Roman"/>
          <w:sz w:val="24"/>
          <w:szCs w:val="24"/>
        </w:rPr>
        <w:t xml:space="preserve">bol predstavený nový parameter – variačný koeficient denzity konkrementu (VCSD), ktorý je </w:t>
      </w:r>
      <w:r w:rsidR="00D465C4" w:rsidRPr="00DA07E4">
        <w:rPr>
          <w:rFonts w:ascii="Times New Roman" w:hAnsi="Times New Roman" w:cs="Times New Roman"/>
          <w:sz w:val="24"/>
          <w:szCs w:val="24"/>
        </w:rPr>
        <w:lastRenderedPageBreak/>
        <w:t>silnejším prediktorom úspechu ESWL. Tento parameter zohľadňuje kryštalickú štruktúru konkrementu, ktorá môže byť v rôznych častiach konkrementu rôzna (</w:t>
      </w:r>
      <w:r w:rsidR="007C29EC" w:rsidRPr="00DA07E4">
        <w:rPr>
          <w:rFonts w:ascii="Times New Roman" w:hAnsi="Times New Roman" w:cs="Times New Roman"/>
          <w:sz w:val="24"/>
          <w:szCs w:val="24"/>
        </w:rPr>
        <w:t>Yamashita et al., 2017</w:t>
      </w:r>
      <w:r w:rsidR="00D465C4" w:rsidRPr="00DA07E4">
        <w:rPr>
          <w:rFonts w:ascii="Times New Roman" w:hAnsi="Times New Roman" w:cs="Times New Roman"/>
          <w:sz w:val="24"/>
          <w:szCs w:val="24"/>
        </w:rPr>
        <w:t>).</w:t>
      </w:r>
    </w:p>
    <w:p w14:paraId="5727FE2B" w14:textId="762D4285" w:rsidR="00D465C4" w:rsidRPr="00DA07E4" w:rsidRDefault="00EE0D2A"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rPr>
        <w:t>Pri veľkosti konkrementu je dôležitá aj jeho pozícia v dutom systéme</w:t>
      </w:r>
      <w:r w:rsidR="003116FB" w:rsidRPr="00DA07E4">
        <w:rPr>
          <w:rFonts w:ascii="Times New Roman" w:hAnsi="Times New Roman" w:cs="Times New Roman"/>
          <w:sz w:val="24"/>
          <w:szCs w:val="24"/>
        </w:rPr>
        <w:t xml:space="preserve"> obličky</w:t>
      </w:r>
      <w:r w:rsidRPr="00DA07E4">
        <w:rPr>
          <w:rFonts w:ascii="Times New Roman" w:hAnsi="Times New Roman" w:cs="Times New Roman"/>
          <w:sz w:val="24"/>
          <w:szCs w:val="24"/>
        </w:rPr>
        <w:t xml:space="preserve">. V dolnom kalichu obličky je ESWL možné použiť ako metódu voľby </w:t>
      </w:r>
      <w:r w:rsidR="00971BD9">
        <w:rPr>
          <w:rFonts w:ascii="Times New Roman" w:hAnsi="Times New Roman" w:cs="Times New Roman"/>
          <w:sz w:val="24"/>
          <w:szCs w:val="24"/>
        </w:rPr>
        <w:t>u</w:t>
      </w:r>
      <w:r w:rsidRPr="00DA07E4">
        <w:rPr>
          <w:rFonts w:ascii="Times New Roman" w:hAnsi="Times New Roman" w:cs="Times New Roman"/>
          <w:sz w:val="24"/>
          <w:szCs w:val="24"/>
        </w:rPr>
        <w:t> konkrementov do veľkosti 10 mm, v ostatných častiach obličky je to 20 mm. Netreba zabúdať aj na to, že dychová vlna pacienta hýbe celou obličkou vrátane konkrementu.</w:t>
      </w:r>
      <w:r w:rsidR="007A7136" w:rsidRPr="00DA07E4">
        <w:rPr>
          <w:rFonts w:ascii="Times New Roman" w:hAnsi="Times New Roman" w:cs="Times New Roman"/>
          <w:sz w:val="24"/>
          <w:szCs w:val="24"/>
        </w:rPr>
        <w:t xml:space="preserve"> </w:t>
      </w:r>
      <w:r w:rsidR="00D465C4" w:rsidRPr="00DA07E4">
        <w:rPr>
          <w:rFonts w:ascii="Times New Roman" w:hAnsi="Times New Roman" w:cs="Times New Roman"/>
          <w:sz w:val="24"/>
          <w:szCs w:val="24"/>
          <w:shd w:val="clear" w:color="auto" w:fill="FFFFFF"/>
        </w:rPr>
        <w:t xml:space="preserve">Pre konkrementy v dolnom kalichu je dôležité zhodnotiť </w:t>
      </w:r>
      <w:r w:rsidR="007A7136" w:rsidRPr="00DA07E4">
        <w:rPr>
          <w:rFonts w:ascii="Times New Roman" w:hAnsi="Times New Roman" w:cs="Times New Roman"/>
          <w:sz w:val="24"/>
          <w:szCs w:val="24"/>
          <w:shd w:val="clear" w:color="auto" w:fill="FFFFFF"/>
        </w:rPr>
        <w:t xml:space="preserve">aj </w:t>
      </w:r>
      <w:r w:rsidR="00D465C4" w:rsidRPr="00DA07E4">
        <w:rPr>
          <w:rFonts w:ascii="Times New Roman" w:hAnsi="Times New Roman" w:cs="Times New Roman"/>
          <w:sz w:val="24"/>
          <w:szCs w:val="24"/>
          <w:shd w:val="clear" w:color="auto" w:fill="FFFFFF"/>
        </w:rPr>
        <w:t xml:space="preserve">infundibulopelvický uhol. </w:t>
      </w:r>
      <w:r w:rsidR="00A25490" w:rsidRPr="00DA07E4">
        <w:rPr>
          <w:rFonts w:ascii="Times New Roman" w:hAnsi="Times New Roman" w:cs="Times New Roman"/>
          <w:sz w:val="24"/>
          <w:szCs w:val="24"/>
          <w:shd w:val="clear" w:color="auto" w:fill="FFFFFF"/>
        </w:rPr>
        <w:t>Dobrý SFR môžeme očakávať u pacientov, ktorých d</w:t>
      </w:r>
      <w:r w:rsidR="00D465C4" w:rsidRPr="00DA07E4">
        <w:rPr>
          <w:rFonts w:ascii="Times New Roman" w:hAnsi="Times New Roman" w:cs="Times New Roman"/>
          <w:sz w:val="24"/>
          <w:szCs w:val="24"/>
          <w:shd w:val="clear" w:color="auto" w:fill="FFFFFF"/>
        </w:rPr>
        <w:t>ĺžka a</w:t>
      </w:r>
      <w:r w:rsidR="00A25490" w:rsidRPr="00DA07E4">
        <w:rPr>
          <w:rFonts w:ascii="Times New Roman" w:hAnsi="Times New Roman" w:cs="Times New Roman"/>
          <w:sz w:val="24"/>
          <w:szCs w:val="24"/>
          <w:shd w:val="clear" w:color="auto" w:fill="FFFFFF"/>
        </w:rPr>
        <w:t> šírka infundibula vzhľadom k dolnému pólu</w:t>
      </w:r>
      <w:r w:rsidR="00D465C4" w:rsidRPr="00DA07E4">
        <w:rPr>
          <w:rFonts w:ascii="Times New Roman" w:hAnsi="Times New Roman" w:cs="Times New Roman"/>
          <w:sz w:val="24"/>
          <w:szCs w:val="24"/>
          <w:shd w:val="clear" w:color="auto" w:fill="FFFFFF"/>
        </w:rPr>
        <w:t xml:space="preserve"> </w:t>
      </w:r>
      <w:r w:rsidR="00A25490" w:rsidRPr="00DA07E4">
        <w:rPr>
          <w:rFonts w:ascii="Times New Roman" w:hAnsi="Times New Roman" w:cs="Times New Roman"/>
          <w:sz w:val="24"/>
          <w:szCs w:val="24"/>
          <w:shd w:val="clear" w:color="auto" w:fill="FFFFFF"/>
        </w:rPr>
        <w:t xml:space="preserve">obličky je </w:t>
      </w:r>
      <w:r w:rsidR="00D465C4" w:rsidRPr="00DA07E4">
        <w:rPr>
          <w:rFonts w:ascii="Times New Roman" w:hAnsi="Times New Roman" w:cs="Times New Roman"/>
          <w:sz w:val="24"/>
          <w:szCs w:val="24"/>
          <w:shd w:val="clear" w:color="auto" w:fill="FFFFFF"/>
        </w:rPr>
        <w:t>&lt;3 cm</w:t>
      </w:r>
      <w:r w:rsidR="00A25490" w:rsidRPr="00DA07E4">
        <w:rPr>
          <w:rFonts w:ascii="Times New Roman" w:hAnsi="Times New Roman" w:cs="Times New Roman"/>
          <w:sz w:val="24"/>
          <w:szCs w:val="24"/>
          <w:shd w:val="clear" w:color="auto" w:fill="FFFFFF"/>
        </w:rPr>
        <w:t xml:space="preserve"> dĺžka a </w:t>
      </w:r>
      <w:r w:rsidR="00D465C4" w:rsidRPr="00DA07E4">
        <w:rPr>
          <w:rFonts w:ascii="Times New Roman" w:hAnsi="Times New Roman" w:cs="Times New Roman"/>
          <w:sz w:val="24"/>
          <w:szCs w:val="24"/>
          <w:shd w:val="clear" w:color="auto" w:fill="FFFFFF"/>
        </w:rPr>
        <w:t>&gt;5 mm</w:t>
      </w:r>
      <w:r w:rsidR="00A25490" w:rsidRPr="00DA07E4">
        <w:rPr>
          <w:rFonts w:ascii="Times New Roman" w:hAnsi="Times New Roman" w:cs="Times New Roman"/>
          <w:sz w:val="24"/>
          <w:szCs w:val="24"/>
          <w:shd w:val="clear" w:color="auto" w:fill="FFFFFF"/>
        </w:rPr>
        <w:t xml:space="preserve"> šírka. I</w:t>
      </w:r>
      <w:r w:rsidR="00D465C4" w:rsidRPr="00DA07E4">
        <w:rPr>
          <w:rFonts w:ascii="Times New Roman" w:hAnsi="Times New Roman" w:cs="Times New Roman"/>
          <w:sz w:val="24"/>
          <w:szCs w:val="24"/>
          <w:shd w:val="clear" w:color="auto" w:fill="FFFFFF"/>
        </w:rPr>
        <w:t>nfundibulopelvic</w:t>
      </w:r>
      <w:r w:rsidR="00A25490" w:rsidRPr="00DA07E4">
        <w:rPr>
          <w:rFonts w:ascii="Times New Roman" w:hAnsi="Times New Roman" w:cs="Times New Roman"/>
          <w:sz w:val="24"/>
          <w:szCs w:val="24"/>
          <w:shd w:val="clear" w:color="auto" w:fill="FFFFFF"/>
        </w:rPr>
        <w:t>ký uhol by mal byť väčší ako</w:t>
      </w:r>
      <w:r w:rsidR="00D465C4" w:rsidRPr="00DA07E4">
        <w:rPr>
          <w:rFonts w:ascii="Times New Roman" w:hAnsi="Times New Roman" w:cs="Times New Roman"/>
          <w:sz w:val="24"/>
          <w:szCs w:val="24"/>
          <w:shd w:val="clear" w:color="auto" w:fill="FFFFFF"/>
        </w:rPr>
        <w:t xml:space="preserve"> 90°</w:t>
      </w:r>
      <w:r w:rsidR="007C29EC" w:rsidRPr="00DA07E4">
        <w:rPr>
          <w:rFonts w:ascii="Times New Roman" w:hAnsi="Times New Roman" w:cs="Times New Roman"/>
          <w:sz w:val="24"/>
          <w:szCs w:val="24"/>
          <w:shd w:val="clear" w:color="auto" w:fill="FFFFFF"/>
        </w:rPr>
        <w:t xml:space="preserve"> (Elbahnasy et al., 1998)</w:t>
      </w:r>
      <w:r w:rsidR="00D465C4" w:rsidRPr="00DA07E4">
        <w:rPr>
          <w:rFonts w:ascii="Times New Roman" w:hAnsi="Times New Roman" w:cs="Times New Roman"/>
          <w:sz w:val="24"/>
          <w:szCs w:val="24"/>
          <w:shd w:val="clear" w:color="auto" w:fill="FFFFFF"/>
        </w:rPr>
        <w:t>.</w:t>
      </w:r>
    </w:p>
    <w:p w14:paraId="009DA9E2" w14:textId="094AF613" w:rsidR="00A25490" w:rsidRPr="00DA07E4" w:rsidRDefault="00A25490"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Zaujímavé je aj uplatnenie parametra SSD (skin-to-stone distance z CT zobrazenia, spomenuté v predošlej kapitole). Štúdia M</w:t>
      </w:r>
      <w:bookmarkStart w:id="15" w:name="_Hlk68513981"/>
      <w:r w:rsidRPr="00DA07E4">
        <w:rPr>
          <w:rFonts w:ascii="Times New Roman" w:hAnsi="Times New Roman" w:cs="Times New Roman"/>
          <w:sz w:val="24"/>
          <w:szCs w:val="24"/>
          <w:shd w:val="clear" w:color="auto" w:fill="FFFFFF"/>
        </w:rPr>
        <w:t>ü</w:t>
      </w:r>
      <w:bookmarkEnd w:id="15"/>
      <w:r w:rsidRPr="00DA07E4">
        <w:rPr>
          <w:rFonts w:ascii="Times New Roman" w:hAnsi="Times New Roman" w:cs="Times New Roman"/>
          <w:sz w:val="24"/>
          <w:szCs w:val="24"/>
          <w:shd w:val="clear" w:color="auto" w:fill="FFFFFF"/>
        </w:rPr>
        <w:t>llhaupta</w:t>
      </w:r>
      <w:r w:rsidR="00971BD9">
        <w:rPr>
          <w:rFonts w:ascii="Times New Roman" w:hAnsi="Times New Roman" w:cs="Times New Roman"/>
          <w:sz w:val="24"/>
          <w:szCs w:val="24"/>
          <w:shd w:val="clear" w:color="auto" w:fill="FFFFFF"/>
        </w:rPr>
        <w:t xml:space="preserve"> a kolektívu</w:t>
      </w:r>
      <w:r w:rsidRPr="00DA07E4">
        <w:rPr>
          <w:rFonts w:ascii="Times New Roman" w:hAnsi="Times New Roman" w:cs="Times New Roman"/>
          <w:sz w:val="24"/>
          <w:szCs w:val="24"/>
          <w:shd w:val="clear" w:color="auto" w:fill="FFFFFF"/>
        </w:rPr>
        <w:t xml:space="preserve"> z roku 2015 ukázala, že u pacientov s mediánom SSD 125 mm bol počas ESWL konkrement dezintegrovaný štatisticky signifikantne lepšie než v skupine s dlhším SSD (</w:t>
      </w:r>
      <w:r w:rsidR="007C29EC" w:rsidRPr="00DA07E4">
        <w:rPr>
          <w:rFonts w:ascii="Times New Roman" w:hAnsi="Times New Roman" w:cs="Times New Roman"/>
          <w:sz w:val="24"/>
          <w:szCs w:val="24"/>
          <w:shd w:val="clear" w:color="auto" w:fill="FFFFFF"/>
        </w:rPr>
        <w:t>M</w:t>
      </w:r>
      <w:r w:rsidR="00971BD9" w:rsidRPr="00DA07E4">
        <w:rPr>
          <w:rFonts w:ascii="Times New Roman" w:hAnsi="Times New Roman" w:cs="Times New Roman"/>
          <w:sz w:val="24"/>
          <w:szCs w:val="24"/>
          <w:shd w:val="clear" w:color="auto" w:fill="FFFFFF"/>
        </w:rPr>
        <w:t>ü</w:t>
      </w:r>
      <w:r w:rsidR="007C29EC" w:rsidRPr="00DA07E4">
        <w:rPr>
          <w:rFonts w:ascii="Times New Roman" w:hAnsi="Times New Roman" w:cs="Times New Roman"/>
          <w:sz w:val="24"/>
          <w:szCs w:val="24"/>
          <w:shd w:val="clear" w:color="auto" w:fill="FFFFFF"/>
        </w:rPr>
        <w:t>llhaupt et al., 2015</w:t>
      </w:r>
      <w:r w:rsidRPr="00DA07E4">
        <w:rPr>
          <w:rFonts w:ascii="Times New Roman" w:hAnsi="Times New Roman" w:cs="Times New Roman"/>
          <w:sz w:val="24"/>
          <w:szCs w:val="24"/>
          <w:shd w:val="clear" w:color="auto" w:fill="FFFFFF"/>
        </w:rPr>
        <w:t>).</w:t>
      </w:r>
      <w:r w:rsidR="000164E5" w:rsidRPr="00DA07E4">
        <w:rPr>
          <w:rFonts w:ascii="Times New Roman" w:hAnsi="Times New Roman" w:cs="Times New Roman"/>
          <w:sz w:val="24"/>
          <w:szCs w:val="24"/>
          <w:shd w:val="clear" w:color="auto" w:fill="FFFFFF"/>
        </w:rPr>
        <w:t xml:space="preserve"> Obezita pacienta teda predstavuje dôležitý parameter v indikácii ESWL.</w:t>
      </w:r>
    </w:p>
    <w:p w14:paraId="5CE0A85E" w14:textId="5ED032D9" w:rsidR="00D164A9" w:rsidRPr="00DA07E4" w:rsidRDefault="000164E5"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shd w:val="clear" w:color="auto" w:fill="FFFFFF"/>
        </w:rPr>
        <w:t>Do</w:t>
      </w:r>
      <w:r w:rsidR="008E1FC0" w:rsidRPr="00DA07E4">
        <w:rPr>
          <w:rFonts w:ascii="Times New Roman" w:hAnsi="Times New Roman" w:cs="Times New Roman"/>
          <w:sz w:val="24"/>
          <w:szCs w:val="24"/>
          <w:shd w:val="clear" w:color="auto" w:fill="FFFFFF"/>
        </w:rPr>
        <w:t xml:space="preserve"> úvahy </w:t>
      </w:r>
      <w:r w:rsidRPr="00DA07E4">
        <w:rPr>
          <w:rFonts w:ascii="Times New Roman" w:hAnsi="Times New Roman" w:cs="Times New Roman"/>
          <w:sz w:val="24"/>
          <w:szCs w:val="24"/>
          <w:shd w:val="clear" w:color="auto" w:fill="FFFFFF"/>
        </w:rPr>
        <w:t xml:space="preserve">je nutné brať </w:t>
      </w:r>
      <w:r w:rsidR="008E1FC0" w:rsidRPr="00DA07E4">
        <w:rPr>
          <w:rFonts w:ascii="Times New Roman" w:hAnsi="Times New Roman" w:cs="Times New Roman"/>
          <w:sz w:val="24"/>
          <w:szCs w:val="24"/>
          <w:shd w:val="clear" w:color="auto" w:fill="FFFFFF"/>
        </w:rPr>
        <w:t xml:space="preserve">aj </w:t>
      </w:r>
      <w:r w:rsidRPr="00DA07E4">
        <w:rPr>
          <w:rFonts w:ascii="Times New Roman" w:hAnsi="Times New Roman" w:cs="Times New Roman"/>
          <w:sz w:val="24"/>
          <w:szCs w:val="24"/>
          <w:shd w:val="clear" w:color="auto" w:fill="FFFFFF"/>
        </w:rPr>
        <w:t xml:space="preserve">ďalšie </w:t>
      </w:r>
      <w:r w:rsidR="008E1FC0" w:rsidRPr="00DA07E4">
        <w:rPr>
          <w:rFonts w:ascii="Times New Roman" w:hAnsi="Times New Roman" w:cs="Times New Roman"/>
          <w:sz w:val="24"/>
          <w:szCs w:val="24"/>
          <w:shd w:val="clear" w:color="auto" w:fill="FFFFFF"/>
        </w:rPr>
        <w:t xml:space="preserve">anatomické odlišnosti pacienta. </w:t>
      </w:r>
      <w:r w:rsidR="00BC0632" w:rsidRPr="00DA07E4">
        <w:rPr>
          <w:rFonts w:ascii="Times New Roman" w:hAnsi="Times New Roman" w:cs="Times New Roman"/>
          <w:sz w:val="24"/>
          <w:szCs w:val="24"/>
          <w:shd w:val="clear" w:color="auto" w:fill="FFFFFF"/>
        </w:rPr>
        <w:t>Prítomnosť hydronefrózy ale aj malrotácia obličky a divertikle kalichov znižujú úspešnosť zákroku (</w:t>
      </w:r>
      <w:r w:rsidR="007C29EC" w:rsidRPr="00DA07E4">
        <w:rPr>
          <w:rFonts w:ascii="Times New Roman" w:hAnsi="Times New Roman" w:cs="Times New Roman"/>
          <w:sz w:val="24"/>
          <w:szCs w:val="24"/>
          <w:shd w:val="clear" w:color="auto" w:fill="FFFFFF"/>
        </w:rPr>
        <w:t>Turna et al., 2007; Chang et al., 2017</w:t>
      </w:r>
      <w:r w:rsidR="00BC0632" w:rsidRPr="00DA07E4">
        <w:rPr>
          <w:rFonts w:ascii="Times New Roman" w:hAnsi="Times New Roman" w:cs="Times New Roman"/>
          <w:sz w:val="24"/>
          <w:szCs w:val="24"/>
          <w:shd w:val="clear" w:color="auto" w:fill="FFFFFF"/>
        </w:rPr>
        <w:t xml:space="preserve">). </w:t>
      </w:r>
      <w:r w:rsidR="00D164A9" w:rsidRPr="00DA07E4">
        <w:rPr>
          <w:rFonts w:ascii="Times New Roman" w:hAnsi="Times New Roman" w:cs="Times New Roman"/>
          <w:sz w:val="24"/>
          <w:szCs w:val="24"/>
        </w:rPr>
        <w:t>SFR pri zákroku nielen v oblasti dolného kalicha sa dá vylepšiť následným použitím mechanickej perkúzie (</w:t>
      </w:r>
      <w:r w:rsidR="007C29EC" w:rsidRPr="00DA07E4">
        <w:rPr>
          <w:rFonts w:ascii="Times New Roman" w:hAnsi="Times New Roman" w:cs="Times New Roman"/>
          <w:sz w:val="24"/>
          <w:szCs w:val="24"/>
        </w:rPr>
        <w:t>Zeng et al., 2020</w:t>
      </w:r>
      <w:r w:rsidR="00D164A9" w:rsidRPr="00DA07E4">
        <w:rPr>
          <w:rFonts w:ascii="Times New Roman" w:hAnsi="Times New Roman" w:cs="Times New Roman"/>
          <w:sz w:val="24"/>
          <w:szCs w:val="24"/>
        </w:rPr>
        <w:t>), ktorá je ale zatiaľ skôr predmetom štúdií a v bežnej klinickej praxi sa nepoužíva.</w:t>
      </w:r>
    </w:p>
    <w:p w14:paraId="7BD0A384" w14:textId="3ED57909" w:rsidR="00D125FB" w:rsidRPr="00DA07E4" w:rsidRDefault="00D164A9"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V súčasnosti sa v bežnej praxi ESWL realizuje hlavne u vybraných skupín pacientov. Sú to </w:t>
      </w:r>
      <w:r w:rsidR="00524EF8" w:rsidRPr="00DA07E4">
        <w:rPr>
          <w:rFonts w:ascii="Times New Roman" w:hAnsi="Times New Roman" w:cs="Times New Roman"/>
          <w:sz w:val="24"/>
          <w:szCs w:val="24"/>
        </w:rPr>
        <w:t xml:space="preserve">napríklad </w:t>
      </w:r>
      <w:r w:rsidRPr="00DA07E4">
        <w:rPr>
          <w:rFonts w:ascii="Times New Roman" w:hAnsi="Times New Roman" w:cs="Times New Roman"/>
          <w:sz w:val="24"/>
          <w:szCs w:val="24"/>
        </w:rPr>
        <w:t xml:space="preserve">pacienti u ktorých nie je vhodný zákrok v anestézii (starší polymorbídnejší pacienti) alebo u ktorých je vhodný čo najmenej invazívny zákrok (detskí pacienti). </w:t>
      </w:r>
      <w:r w:rsidR="00894387" w:rsidRPr="00DA07E4">
        <w:rPr>
          <w:rFonts w:ascii="Times New Roman" w:hAnsi="Times New Roman" w:cs="Times New Roman"/>
          <w:sz w:val="24"/>
          <w:szCs w:val="24"/>
        </w:rPr>
        <w:t>Zároveň platia všetky vyššie uvedené odporúčania. Svetová odborná verejnosť dlho</w:t>
      </w:r>
      <w:r w:rsidR="00301A9C">
        <w:rPr>
          <w:rFonts w:ascii="Times New Roman" w:hAnsi="Times New Roman" w:cs="Times New Roman"/>
          <w:sz w:val="24"/>
          <w:szCs w:val="24"/>
        </w:rPr>
        <w:t xml:space="preserve"> diskutuje</w:t>
      </w:r>
      <w:r w:rsidR="00894387" w:rsidRPr="00DA07E4">
        <w:rPr>
          <w:rFonts w:ascii="Times New Roman" w:hAnsi="Times New Roman" w:cs="Times New Roman"/>
          <w:sz w:val="24"/>
          <w:szCs w:val="24"/>
        </w:rPr>
        <w:t xml:space="preserve">, či je pre bežného ekonomicky aktívneho pacienta vhodnejším zákrokom prvej voľby ESWL alebo URS (ureterorenoskopia, </w:t>
      </w:r>
      <w:r w:rsidR="00A60123" w:rsidRPr="00DA07E4">
        <w:rPr>
          <w:rFonts w:ascii="Times New Roman" w:hAnsi="Times New Roman" w:cs="Times New Roman"/>
          <w:sz w:val="24"/>
          <w:szCs w:val="24"/>
        </w:rPr>
        <w:t>pri konkremente v dutom systéme</w:t>
      </w:r>
      <w:r w:rsidR="00894387" w:rsidRPr="00DA07E4">
        <w:rPr>
          <w:rFonts w:ascii="Times New Roman" w:hAnsi="Times New Roman" w:cs="Times New Roman"/>
          <w:sz w:val="24"/>
          <w:szCs w:val="24"/>
        </w:rPr>
        <w:t> angl. RIRS – retrograde intrarenal surgery).</w:t>
      </w:r>
      <w:r w:rsidR="00301A9C">
        <w:rPr>
          <w:rFonts w:ascii="Times New Roman" w:hAnsi="Times New Roman" w:cs="Times New Roman"/>
          <w:sz w:val="24"/>
          <w:szCs w:val="24"/>
        </w:rPr>
        <w:t xml:space="preserve"> Uvedenou polemikou sa zaoberá aj diskusia tejto práce.</w:t>
      </w:r>
    </w:p>
    <w:p w14:paraId="66449B64" w14:textId="7EB4F5CB" w:rsidR="00A47ABD" w:rsidRPr="00DA07E4" w:rsidRDefault="00A47ABD"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Kontraindikácie k ESWL sú </w:t>
      </w:r>
      <w:r w:rsidR="00D125FB" w:rsidRPr="00DA07E4">
        <w:rPr>
          <w:rFonts w:ascii="Times New Roman" w:hAnsi="Times New Roman" w:cs="Times New Roman"/>
          <w:sz w:val="24"/>
          <w:szCs w:val="24"/>
        </w:rPr>
        <w:t>tehotenstvo, implantovaný kardiostimulátor, nádory na obličke a</w:t>
      </w:r>
      <w:r w:rsidR="00971BD9">
        <w:rPr>
          <w:rFonts w:ascii="Times New Roman" w:hAnsi="Times New Roman" w:cs="Times New Roman"/>
          <w:sz w:val="24"/>
          <w:szCs w:val="24"/>
        </w:rPr>
        <w:t> </w:t>
      </w:r>
      <w:r w:rsidR="00D125FB" w:rsidRPr="00DA07E4">
        <w:rPr>
          <w:rFonts w:ascii="Times New Roman" w:hAnsi="Times New Roman" w:cs="Times New Roman"/>
          <w:sz w:val="24"/>
          <w:szCs w:val="24"/>
        </w:rPr>
        <w:t>v</w:t>
      </w:r>
      <w:r w:rsidR="00971BD9">
        <w:rPr>
          <w:rFonts w:ascii="Times New Roman" w:hAnsi="Times New Roman" w:cs="Times New Roman"/>
          <w:sz w:val="24"/>
          <w:szCs w:val="24"/>
        </w:rPr>
        <w:t xml:space="preserve"> </w:t>
      </w:r>
      <w:r w:rsidR="00D125FB" w:rsidRPr="00DA07E4">
        <w:rPr>
          <w:rFonts w:ascii="Times New Roman" w:hAnsi="Times New Roman" w:cs="Times New Roman"/>
          <w:sz w:val="24"/>
          <w:szCs w:val="24"/>
        </w:rPr>
        <w:t>okolí, infekcia alebo dermatologické ochorenie v mieste plánovaného zákroku. Kontraindikáciou je tiež krvácavý stav, pozorne treba zvážiť užitú antikoagulačnú / antiagregačnú liečbu, štúdie odporúčajú v týchto prípadoch uprednostniť URS (</w:t>
      </w:r>
      <w:r w:rsidR="007C29EC" w:rsidRPr="00DA07E4">
        <w:rPr>
          <w:rFonts w:ascii="Times New Roman" w:hAnsi="Times New Roman" w:cs="Times New Roman"/>
          <w:sz w:val="24"/>
          <w:szCs w:val="24"/>
        </w:rPr>
        <w:t xml:space="preserve">Alsaikhan </w:t>
      </w:r>
      <w:r w:rsidR="00971BD9">
        <w:rPr>
          <w:rFonts w:ascii="Times New Roman" w:hAnsi="Times New Roman" w:cs="Times New Roman"/>
          <w:sz w:val="24"/>
          <w:szCs w:val="24"/>
        </w:rPr>
        <w:t xml:space="preserve">et </w:t>
      </w:r>
      <w:r w:rsidR="007C29EC" w:rsidRPr="00DA07E4">
        <w:rPr>
          <w:rFonts w:ascii="Times New Roman" w:hAnsi="Times New Roman" w:cs="Times New Roman"/>
          <w:sz w:val="24"/>
          <w:szCs w:val="24"/>
        </w:rPr>
        <w:t>Andonian, 2011</w:t>
      </w:r>
      <w:r w:rsidR="00D125FB" w:rsidRPr="00DA07E4">
        <w:rPr>
          <w:rFonts w:ascii="Times New Roman" w:hAnsi="Times New Roman" w:cs="Times New Roman"/>
          <w:sz w:val="24"/>
          <w:szCs w:val="24"/>
        </w:rPr>
        <w:t>).</w:t>
      </w:r>
    </w:p>
    <w:p w14:paraId="40371F11" w14:textId="4AF3C3A4" w:rsidR="005858F3" w:rsidRPr="00DA07E4" w:rsidRDefault="000F548F"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lastRenderedPageBreak/>
        <w:t xml:space="preserve">Komplikácie ESWL nie sú časté, čo predstavuje ďalšiu výhodu zákroku. Krvácanie obličky a vznik perirenálneho hematómu predstavuje asi najzávažnejšiu komplikáciu ESWL. Incidencia sa udáva na 1 z 1000 prípadov. Viaceré štúdie </w:t>
      </w:r>
      <w:r w:rsidR="007A7136" w:rsidRPr="00DA07E4">
        <w:rPr>
          <w:rFonts w:ascii="Times New Roman" w:hAnsi="Times New Roman" w:cs="Times New Roman"/>
          <w:sz w:val="24"/>
          <w:szCs w:val="24"/>
        </w:rPr>
        <w:t xml:space="preserve">ale </w:t>
      </w:r>
      <w:r w:rsidRPr="00DA07E4">
        <w:rPr>
          <w:rFonts w:ascii="Times New Roman" w:hAnsi="Times New Roman" w:cs="Times New Roman"/>
          <w:sz w:val="24"/>
          <w:szCs w:val="24"/>
        </w:rPr>
        <w:t>zistili, že frekvencia 60</w:t>
      </w:r>
      <w:r w:rsidR="00971BD9">
        <w:rPr>
          <w:rFonts w:ascii="Times New Roman" w:hAnsi="Times New Roman" w:cs="Times New Roman"/>
          <w:sz w:val="24"/>
          <w:szCs w:val="24"/>
        </w:rPr>
        <w:t xml:space="preserve"> až </w:t>
      </w:r>
      <w:r w:rsidRPr="00DA07E4">
        <w:rPr>
          <w:rFonts w:ascii="Times New Roman" w:hAnsi="Times New Roman" w:cs="Times New Roman"/>
          <w:sz w:val="24"/>
          <w:szCs w:val="24"/>
        </w:rPr>
        <w:t>90 rázových vĺn za minútu nielen zlepšila SFR</w:t>
      </w:r>
      <w:r w:rsidR="007A7136" w:rsidRPr="00DA07E4">
        <w:rPr>
          <w:rFonts w:ascii="Times New Roman" w:hAnsi="Times New Roman" w:cs="Times New Roman"/>
          <w:sz w:val="24"/>
          <w:szCs w:val="24"/>
        </w:rPr>
        <w:t>, ale aj</w:t>
      </w:r>
      <w:r w:rsidRPr="00DA07E4">
        <w:rPr>
          <w:rFonts w:ascii="Times New Roman" w:hAnsi="Times New Roman" w:cs="Times New Roman"/>
          <w:sz w:val="24"/>
          <w:szCs w:val="24"/>
        </w:rPr>
        <w:t xml:space="preserve"> </w:t>
      </w:r>
      <w:r w:rsidR="007A7136" w:rsidRPr="00DA07E4">
        <w:rPr>
          <w:rFonts w:ascii="Times New Roman" w:hAnsi="Times New Roman" w:cs="Times New Roman"/>
          <w:sz w:val="24"/>
          <w:szCs w:val="24"/>
        </w:rPr>
        <w:t xml:space="preserve">zvýšila bezpečnosť ESWL </w:t>
      </w:r>
      <w:r w:rsidRPr="00DA07E4">
        <w:rPr>
          <w:rFonts w:ascii="Times New Roman" w:hAnsi="Times New Roman" w:cs="Times New Roman"/>
          <w:sz w:val="24"/>
          <w:szCs w:val="24"/>
        </w:rPr>
        <w:t>v porovnaní s vyššou frekvenciou</w:t>
      </w:r>
      <w:r w:rsidR="007A7136" w:rsidRPr="00DA07E4">
        <w:rPr>
          <w:rFonts w:ascii="Times New Roman" w:hAnsi="Times New Roman" w:cs="Times New Roman"/>
          <w:sz w:val="24"/>
          <w:szCs w:val="24"/>
        </w:rPr>
        <w:t xml:space="preserve"> rázových vĺn</w:t>
      </w:r>
      <w:r w:rsidRPr="00DA07E4">
        <w:rPr>
          <w:rFonts w:ascii="Times New Roman" w:hAnsi="Times New Roman" w:cs="Times New Roman"/>
          <w:sz w:val="24"/>
          <w:szCs w:val="24"/>
        </w:rPr>
        <w:t xml:space="preserve"> (</w:t>
      </w:r>
      <w:r w:rsidR="007C29EC" w:rsidRPr="00DA07E4">
        <w:rPr>
          <w:rFonts w:ascii="Times New Roman" w:hAnsi="Times New Roman" w:cs="Times New Roman"/>
          <w:sz w:val="24"/>
          <w:szCs w:val="24"/>
        </w:rPr>
        <w:t>Honey et al., 2009; Kang et al., 2016</w:t>
      </w:r>
      <w:r w:rsidR="00A60123" w:rsidRPr="00DA07E4">
        <w:rPr>
          <w:rFonts w:ascii="Times New Roman" w:hAnsi="Times New Roman" w:cs="Times New Roman"/>
          <w:sz w:val="24"/>
          <w:szCs w:val="24"/>
        </w:rPr>
        <w:t>a</w:t>
      </w:r>
      <w:r w:rsidRPr="00DA07E4">
        <w:rPr>
          <w:rFonts w:ascii="Times New Roman" w:hAnsi="Times New Roman" w:cs="Times New Roman"/>
          <w:sz w:val="24"/>
          <w:szCs w:val="24"/>
        </w:rPr>
        <w:t xml:space="preserve">). Medzi ďalšie komplikácie patrí rozvoj </w:t>
      </w:r>
      <w:r w:rsidR="00301A9C">
        <w:rPr>
          <w:rFonts w:ascii="Times New Roman" w:hAnsi="Times New Roman" w:cs="Times New Roman"/>
          <w:sz w:val="24"/>
          <w:szCs w:val="24"/>
        </w:rPr>
        <w:t>„</w:t>
      </w:r>
      <w:r w:rsidRPr="00301A9C">
        <w:rPr>
          <w:rFonts w:ascii="Times New Roman" w:hAnsi="Times New Roman" w:cs="Times New Roman"/>
          <w:sz w:val="24"/>
          <w:szCs w:val="24"/>
        </w:rPr>
        <w:t>Steinstrasse</w:t>
      </w:r>
      <w:r w:rsidR="00301A9C">
        <w:rPr>
          <w:rFonts w:ascii="Times New Roman" w:hAnsi="Times New Roman" w:cs="Times New Roman"/>
          <w:sz w:val="24"/>
          <w:szCs w:val="24"/>
        </w:rPr>
        <w:t>“</w:t>
      </w:r>
      <w:r w:rsidRPr="00DA07E4">
        <w:rPr>
          <w:rFonts w:ascii="Times New Roman" w:hAnsi="Times New Roman" w:cs="Times New Roman"/>
          <w:sz w:val="24"/>
          <w:szCs w:val="24"/>
        </w:rPr>
        <w:t xml:space="preserve"> – zaklinenie viacerých fragmentov konkrementu za sebou v močovode</w:t>
      </w:r>
      <w:r w:rsidR="00A25490" w:rsidRPr="00DA07E4">
        <w:rPr>
          <w:rFonts w:ascii="Times New Roman" w:hAnsi="Times New Roman" w:cs="Times New Roman"/>
          <w:sz w:val="24"/>
          <w:szCs w:val="24"/>
        </w:rPr>
        <w:t>. Nová štúdia tiež odhalila riziko</w:t>
      </w:r>
      <w:r w:rsidR="00990659" w:rsidRPr="00DA07E4">
        <w:rPr>
          <w:rFonts w:ascii="Times New Roman" w:hAnsi="Times New Roman" w:cs="Times New Roman"/>
          <w:sz w:val="24"/>
          <w:szCs w:val="24"/>
        </w:rPr>
        <w:t xml:space="preserve"> vyššej budúcej</w:t>
      </w:r>
      <w:r w:rsidR="00A25490" w:rsidRPr="00DA07E4">
        <w:rPr>
          <w:rFonts w:ascii="Times New Roman" w:hAnsi="Times New Roman" w:cs="Times New Roman"/>
          <w:sz w:val="24"/>
          <w:szCs w:val="24"/>
        </w:rPr>
        <w:t xml:space="preserve"> prevalencie hypertenzie a diabetu po realizovanom zákroku ESWL v</w:t>
      </w:r>
      <w:r w:rsidR="00990659" w:rsidRPr="00DA07E4">
        <w:rPr>
          <w:rFonts w:ascii="Times New Roman" w:hAnsi="Times New Roman" w:cs="Times New Roman"/>
          <w:sz w:val="24"/>
          <w:szCs w:val="24"/>
        </w:rPr>
        <w:t> </w:t>
      </w:r>
      <w:r w:rsidR="00A25490" w:rsidRPr="00DA07E4">
        <w:rPr>
          <w:rFonts w:ascii="Times New Roman" w:hAnsi="Times New Roman" w:cs="Times New Roman"/>
          <w:sz w:val="24"/>
          <w:szCs w:val="24"/>
        </w:rPr>
        <w:t>minulosti</w:t>
      </w:r>
      <w:r w:rsidR="00990659" w:rsidRPr="00DA07E4">
        <w:rPr>
          <w:rFonts w:ascii="Times New Roman" w:hAnsi="Times New Roman" w:cs="Times New Roman"/>
          <w:sz w:val="24"/>
          <w:szCs w:val="24"/>
        </w:rPr>
        <w:t xml:space="preserve"> (</w:t>
      </w:r>
      <w:r w:rsidR="007C29EC" w:rsidRPr="00DA07E4">
        <w:rPr>
          <w:rFonts w:ascii="Times New Roman" w:hAnsi="Times New Roman" w:cs="Times New Roman"/>
          <w:sz w:val="24"/>
          <w:szCs w:val="24"/>
        </w:rPr>
        <w:t>Fankhauser et al., 2018</w:t>
      </w:r>
      <w:r w:rsidR="00990659" w:rsidRPr="00DA07E4">
        <w:rPr>
          <w:rFonts w:ascii="Times New Roman" w:hAnsi="Times New Roman" w:cs="Times New Roman"/>
          <w:sz w:val="24"/>
          <w:szCs w:val="24"/>
        </w:rPr>
        <w:t>)</w:t>
      </w:r>
      <w:r w:rsidR="00A25490" w:rsidRPr="00DA07E4">
        <w:rPr>
          <w:rFonts w:ascii="Times New Roman" w:hAnsi="Times New Roman" w:cs="Times New Roman"/>
          <w:sz w:val="24"/>
          <w:szCs w:val="24"/>
        </w:rPr>
        <w:t>.</w:t>
      </w:r>
    </w:p>
    <w:p w14:paraId="3A56DEC0" w14:textId="2FAB6CB3" w:rsidR="00C81423" w:rsidRPr="00DA07E4" w:rsidRDefault="00C81423" w:rsidP="00DA07E4">
      <w:pPr>
        <w:spacing w:after="0" w:line="360" w:lineRule="auto"/>
        <w:jc w:val="both"/>
        <w:rPr>
          <w:rFonts w:ascii="Times New Roman" w:hAnsi="Times New Roman" w:cs="Times New Roman"/>
          <w:sz w:val="24"/>
          <w:szCs w:val="24"/>
          <w:shd w:val="clear" w:color="auto" w:fill="FFFFFF"/>
        </w:rPr>
      </w:pPr>
    </w:p>
    <w:p w14:paraId="5E75D0F6" w14:textId="120F2D00" w:rsidR="00D125FB" w:rsidRPr="00DA07E4" w:rsidRDefault="00D125FB" w:rsidP="00DA07E4">
      <w:pPr>
        <w:spacing w:after="0" w:line="360" w:lineRule="auto"/>
        <w:jc w:val="both"/>
        <w:rPr>
          <w:rFonts w:ascii="Times New Roman" w:hAnsi="Times New Roman" w:cs="Times New Roman"/>
          <w:b/>
          <w:sz w:val="24"/>
          <w:szCs w:val="24"/>
          <w:shd w:val="clear" w:color="auto" w:fill="FFFFFF"/>
        </w:rPr>
      </w:pPr>
      <w:r w:rsidRPr="00DA07E4">
        <w:rPr>
          <w:rFonts w:ascii="Times New Roman" w:hAnsi="Times New Roman" w:cs="Times New Roman"/>
          <w:b/>
          <w:sz w:val="24"/>
          <w:szCs w:val="24"/>
          <w:shd w:val="clear" w:color="auto" w:fill="FFFFFF"/>
        </w:rPr>
        <w:t>3.2. URS</w:t>
      </w:r>
      <w:r w:rsidR="005C091E" w:rsidRPr="00DA07E4">
        <w:rPr>
          <w:rFonts w:ascii="Times New Roman" w:hAnsi="Times New Roman" w:cs="Times New Roman"/>
          <w:b/>
          <w:sz w:val="24"/>
          <w:szCs w:val="24"/>
          <w:shd w:val="clear" w:color="auto" w:fill="FFFFFF"/>
        </w:rPr>
        <w:t>, RIRS</w:t>
      </w:r>
    </w:p>
    <w:p w14:paraId="6211CBC5" w14:textId="77777777" w:rsidR="00526A4A" w:rsidRPr="00DA07E4" w:rsidRDefault="00526A4A" w:rsidP="00DA07E4">
      <w:pPr>
        <w:spacing w:after="0" w:line="360" w:lineRule="auto"/>
        <w:jc w:val="both"/>
        <w:rPr>
          <w:rFonts w:ascii="Times New Roman" w:hAnsi="Times New Roman" w:cs="Times New Roman"/>
          <w:sz w:val="24"/>
          <w:szCs w:val="24"/>
          <w:shd w:val="clear" w:color="auto" w:fill="FFFFFF"/>
        </w:rPr>
      </w:pPr>
    </w:p>
    <w:p w14:paraId="23DE9EEF" w14:textId="401920B7" w:rsidR="00D125FB" w:rsidRPr="00DA07E4" w:rsidRDefault="00D125FB"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Pri operačnom riešení proximálnej urolitiázy prichádza do úvahy rig</w:t>
      </w:r>
      <w:r w:rsidR="003116FB" w:rsidRPr="00DA07E4">
        <w:rPr>
          <w:rFonts w:ascii="Times New Roman" w:hAnsi="Times New Roman" w:cs="Times New Roman"/>
          <w:sz w:val="24"/>
          <w:szCs w:val="24"/>
          <w:shd w:val="clear" w:color="auto" w:fill="FFFFFF"/>
        </w:rPr>
        <w:t>í</w:t>
      </w:r>
      <w:r w:rsidRPr="00DA07E4">
        <w:rPr>
          <w:rFonts w:ascii="Times New Roman" w:hAnsi="Times New Roman" w:cs="Times New Roman"/>
          <w:sz w:val="24"/>
          <w:szCs w:val="24"/>
          <w:shd w:val="clear" w:color="auto" w:fill="FFFFFF"/>
        </w:rPr>
        <w:t>dn</w:t>
      </w:r>
      <w:r w:rsidR="003116FB" w:rsidRPr="00DA07E4">
        <w:rPr>
          <w:rFonts w:ascii="Times New Roman" w:hAnsi="Times New Roman" w:cs="Times New Roman"/>
          <w:sz w:val="24"/>
          <w:szCs w:val="24"/>
          <w:shd w:val="clear" w:color="auto" w:fill="FFFFFF"/>
        </w:rPr>
        <w:t>a</w:t>
      </w:r>
      <w:r w:rsidRPr="00DA07E4">
        <w:rPr>
          <w:rFonts w:ascii="Times New Roman" w:hAnsi="Times New Roman" w:cs="Times New Roman"/>
          <w:sz w:val="24"/>
          <w:szCs w:val="24"/>
          <w:shd w:val="clear" w:color="auto" w:fill="FFFFFF"/>
        </w:rPr>
        <w:t xml:space="preserve"> ureteroskopia</w:t>
      </w:r>
      <w:r w:rsidR="005C091E" w:rsidRPr="00DA07E4">
        <w:rPr>
          <w:rFonts w:ascii="Times New Roman" w:hAnsi="Times New Roman" w:cs="Times New Roman"/>
          <w:sz w:val="24"/>
          <w:szCs w:val="24"/>
          <w:shd w:val="clear" w:color="auto" w:fill="FFFFFF"/>
        </w:rPr>
        <w:t xml:space="preserve"> </w:t>
      </w:r>
      <w:r w:rsidR="00A84A0F" w:rsidRPr="00DA07E4">
        <w:rPr>
          <w:rFonts w:ascii="Times New Roman" w:hAnsi="Times New Roman" w:cs="Times New Roman"/>
          <w:sz w:val="24"/>
          <w:szCs w:val="24"/>
          <w:shd w:val="clear" w:color="auto" w:fill="FFFFFF"/>
        </w:rPr>
        <w:t xml:space="preserve">zameraná na </w:t>
      </w:r>
      <w:r w:rsidR="00A84A0F" w:rsidRPr="00301A9C">
        <w:rPr>
          <w:rFonts w:ascii="Times New Roman" w:hAnsi="Times New Roman" w:cs="Times New Roman"/>
          <w:sz w:val="24"/>
          <w:szCs w:val="24"/>
          <w:shd w:val="clear" w:color="auto" w:fill="FFFFFF"/>
        </w:rPr>
        <w:t xml:space="preserve">oblasť proximálneho močovodu a flexibilná ureterorenoskopia zameraná na dutý systém obličky </w:t>
      </w:r>
      <w:r w:rsidR="00A60123" w:rsidRPr="00301A9C">
        <w:rPr>
          <w:rFonts w:ascii="Times New Roman" w:hAnsi="Times New Roman" w:cs="Times New Roman"/>
          <w:sz w:val="24"/>
          <w:szCs w:val="24"/>
          <w:shd w:val="clear" w:color="auto" w:fill="FFFFFF"/>
        </w:rPr>
        <w:t>(</w:t>
      </w:r>
      <w:r w:rsidR="008D1014" w:rsidRPr="00301A9C">
        <w:rPr>
          <w:rFonts w:ascii="Times New Roman" w:hAnsi="Times New Roman" w:cs="Times New Roman"/>
          <w:color w:val="000000" w:themeColor="text1"/>
          <w:sz w:val="24"/>
          <w:szCs w:val="24"/>
        </w:rPr>
        <w:t>Retrograde Intrarenal Surgery – RIRS; Das, 1981; Babayan et al., 1983; Fuchs et Fuchs, 1990</w:t>
      </w:r>
      <w:r w:rsidR="00A60123" w:rsidRPr="00301A9C">
        <w:rPr>
          <w:rFonts w:ascii="Times New Roman" w:hAnsi="Times New Roman" w:cs="Times New Roman"/>
          <w:sz w:val="24"/>
          <w:szCs w:val="24"/>
          <w:shd w:val="clear" w:color="auto" w:fill="FFFFFF"/>
        </w:rPr>
        <w:t>)</w:t>
      </w:r>
      <w:r w:rsidR="00A84A0F" w:rsidRPr="00301A9C">
        <w:rPr>
          <w:rFonts w:ascii="Times New Roman" w:hAnsi="Times New Roman" w:cs="Times New Roman"/>
          <w:sz w:val="24"/>
          <w:szCs w:val="24"/>
          <w:shd w:val="clear" w:color="auto" w:fill="FFFFFF"/>
        </w:rPr>
        <w:t>. Sú pracoviská, kde sa rigidná URS pri proximálnej litiáze nepoužíva vôbec</w:t>
      </w:r>
      <w:r w:rsidR="00A60123" w:rsidRPr="00301A9C">
        <w:rPr>
          <w:rFonts w:ascii="Times New Roman" w:hAnsi="Times New Roman" w:cs="Times New Roman"/>
          <w:sz w:val="24"/>
          <w:szCs w:val="24"/>
          <w:shd w:val="clear" w:color="auto" w:fill="FFFFFF"/>
        </w:rPr>
        <w:t>, uplatní sa len flexibilný</w:t>
      </w:r>
      <w:r w:rsidR="00A60123" w:rsidRPr="00DA07E4">
        <w:rPr>
          <w:rFonts w:ascii="Times New Roman" w:hAnsi="Times New Roman" w:cs="Times New Roman"/>
          <w:sz w:val="24"/>
          <w:szCs w:val="24"/>
          <w:shd w:val="clear" w:color="auto" w:fill="FFFFFF"/>
        </w:rPr>
        <w:t xml:space="preserve"> nástroj</w:t>
      </w:r>
      <w:r w:rsidR="008D1014">
        <w:rPr>
          <w:rFonts w:ascii="Times New Roman" w:hAnsi="Times New Roman" w:cs="Times New Roman"/>
          <w:sz w:val="24"/>
          <w:szCs w:val="24"/>
          <w:shd w:val="clear" w:color="auto" w:fill="FFFFFF"/>
        </w:rPr>
        <w:t xml:space="preserve"> (Jiang et al., 2021)</w:t>
      </w:r>
      <w:r w:rsidR="00A84A0F" w:rsidRPr="00DA07E4">
        <w:rPr>
          <w:rFonts w:ascii="Times New Roman" w:hAnsi="Times New Roman" w:cs="Times New Roman"/>
          <w:sz w:val="24"/>
          <w:szCs w:val="24"/>
          <w:shd w:val="clear" w:color="auto" w:fill="FFFFFF"/>
        </w:rPr>
        <w:t>.</w:t>
      </w:r>
    </w:p>
    <w:p w14:paraId="26610B52" w14:textId="37F2AE01" w:rsidR="003116FB" w:rsidRPr="00DA07E4" w:rsidRDefault="003116FB"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color w:val="212121"/>
          <w:sz w:val="24"/>
          <w:szCs w:val="24"/>
          <w:shd w:val="clear" w:color="auto" w:fill="FFFFFF"/>
        </w:rPr>
        <w:t xml:space="preserve">Tvrdosť konkrementu nepredstavuje pre URS takú prekážku ako pre ESWL, </w:t>
      </w:r>
      <w:r w:rsidR="00FA5848" w:rsidRPr="00DA07E4">
        <w:rPr>
          <w:rFonts w:ascii="Times New Roman" w:hAnsi="Times New Roman" w:cs="Times New Roman"/>
          <w:color w:val="212121"/>
          <w:sz w:val="24"/>
          <w:szCs w:val="24"/>
          <w:shd w:val="clear" w:color="auto" w:fill="FFFFFF"/>
        </w:rPr>
        <w:t>preto aj v guidelines nie sú pre URS obmedzenia vyššej hodnoty HU na CT skene ako pri ESWL</w:t>
      </w:r>
      <w:r w:rsidRPr="00DA07E4">
        <w:rPr>
          <w:rFonts w:ascii="Times New Roman" w:hAnsi="Times New Roman" w:cs="Times New Roman"/>
          <w:color w:val="212121"/>
          <w:sz w:val="24"/>
          <w:szCs w:val="24"/>
          <w:shd w:val="clear" w:color="auto" w:fill="FFFFFF"/>
        </w:rPr>
        <w:t>. Iné je to s veľkosťou. Pri väčších konkrementoch alebo väčšom počte konkrementov je na mieste preferovať inú operačnú metódu</w:t>
      </w:r>
      <w:r w:rsidR="00FA5848" w:rsidRPr="00DA07E4">
        <w:rPr>
          <w:rFonts w:ascii="Times New Roman" w:hAnsi="Times New Roman" w:cs="Times New Roman"/>
          <w:color w:val="212121"/>
          <w:sz w:val="24"/>
          <w:szCs w:val="24"/>
          <w:shd w:val="clear" w:color="auto" w:fill="FFFFFF"/>
        </w:rPr>
        <w:t xml:space="preserve"> </w:t>
      </w:r>
      <w:r w:rsidR="008D1014">
        <w:rPr>
          <w:rFonts w:ascii="Times New Roman" w:hAnsi="Times New Roman" w:cs="Times New Roman"/>
          <w:sz w:val="24"/>
          <w:szCs w:val="24"/>
          <w:shd w:val="clear" w:color="auto" w:fill="FFFFFF"/>
        </w:rPr>
        <w:t>(Jiang et al., 2021)</w:t>
      </w:r>
      <w:r w:rsidR="008D1014" w:rsidRPr="00DA07E4">
        <w:rPr>
          <w:rFonts w:ascii="Times New Roman" w:hAnsi="Times New Roman" w:cs="Times New Roman"/>
          <w:sz w:val="24"/>
          <w:szCs w:val="24"/>
          <w:shd w:val="clear" w:color="auto" w:fill="FFFFFF"/>
        </w:rPr>
        <w:t>.</w:t>
      </w:r>
    </w:p>
    <w:p w14:paraId="083C0DF4" w14:textId="3CABD2FF" w:rsidR="00A84A0F" w:rsidRPr="008D1014" w:rsidRDefault="00A84A0F"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Existuje cel</w:t>
      </w:r>
      <w:r w:rsidR="00301A9C">
        <w:rPr>
          <w:rFonts w:ascii="Times New Roman" w:hAnsi="Times New Roman" w:cs="Times New Roman"/>
          <w:sz w:val="24"/>
          <w:szCs w:val="24"/>
          <w:shd w:val="clear" w:color="auto" w:fill="FFFFFF"/>
        </w:rPr>
        <w:t>ý rad</w:t>
      </w:r>
      <w:r w:rsidRPr="00DA07E4">
        <w:rPr>
          <w:rFonts w:ascii="Times New Roman" w:hAnsi="Times New Roman" w:cs="Times New Roman"/>
          <w:sz w:val="24"/>
          <w:szCs w:val="24"/>
          <w:shd w:val="clear" w:color="auto" w:fill="FFFFFF"/>
        </w:rPr>
        <w:t xml:space="preserve"> ureteroskopov, rôznych priemerov a od rôznych výrobcov. Novinkou posledných rokov sú jednorázové flexibilné ureterorenoskopy. Voľba nástroja do veľkej miery závisí od finančných možností pracoviska. Jednorázové ureterorenoskopy sú drahšie</w:t>
      </w:r>
      <w:r w:rsidR="009517CA" w:rsidRPr="00DA07E4">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 xml:space="preserve"> </w:t>
      </w:r>
      <w:r w:rsidR="009517CA" w:rsidRPr="00DA07E4">
        <w:rPr>
          <w:rFonts w:ascii="Times New Roman" w:hAnsi="Times New Roman" w:cs="Times New Roman"/>
          <w:sz w:val="24"/>
          <w:szCs w:val="24"/>
          <w:shd w:val="clear" w:color="auto" w:fill="FFFFFF"/>
        </w:rPr>
        <w:t>R</w:t>
      </w:r>
      <w:r w:rsidRPr="00DA07E4">
        <w:rPr>
          <w:rFonts w:ascii="Times New Roman" w:hAnsi="Times New Roman" w:cs="Times New Roman"/>
          <w:sz w:val="24"/>
          <w:szCs w:val="24"/>
          <w:shd w:val="clear" w:color="auto" w:fill="FFFFFF"/>
        </w:rPr>
        <w:t>esterizovateľné ureterorenoskopy zas majú nákladnú cenu opravy</w:t>
      </w:r>
      <w:r w:rsidR="009517CA" w:rsidRPr="00DA07E4">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 xml:space="preserve"> </w:t>
      </w:r>
      <w:r w:rsidR="009517CA" w:rsidRPr="00DA07E4">
        <w:rPr>
          <w:rFonts w:ascii="Times New Roman" w:hAnsi="Times New Roman" w:cs="Times New Roman"/>
          <w:sz w:val="24"/>
          <w:szCs w:val="24"/>
          <w:shd w:val="clear" w:color="auto" w:fill="FFFFFF"/>
        </w:rPr>
        <w:t xml:space="preserve">Oprava </w:t>
      </w:r>
      <w:r w:rsidRPr="00DA07E4">
        <w:rPr>
          <w:rFonts w:ascii="Times New Roman" w:hAnsi="Times New Roman" w:cs="Times New Roman"/>
          <w:sz w:val="24"/>
          <w:szCs w:val="24"/>
          <w:shd w:val="clear" w:color="auto" w:fill="FFFFFF"/>
        </w:rPr>
        <w:t xml:space="preserve">je </w:t>
      </w:r>
      <w:r w:rsidR="009517CA" w:rsidRPr="00DA07E4">
        <w:rPr>
          <w:rFonts w:ascii="Times New Roman" w:hAnsi="Times New Roman" w:cs="Times New Roman"/>
          <w:sz w:val="24"/>
          <w:szCs w:val="24"/>
          <w:shd w:val="clear" w:color="auto" w:fill="FFFFFF"/>
        </w:rPr>
        <w:t xml:space="preserve">ale </w:t>
      </w:r>
      <w:r w:rsidRPr="00DA07E4">
        <w:rPr>
          <w:rFonts w:ascii="Times New Roman" w:hAnsi="Times New Roman" w:cs="Times New Roman"/>
          <w:sz w:val="24"/>
          <w:szCs w:val="24"/>
          <w:shd w:val="clear" w:color="auto" w:fill="FFFFFF"/>
        </w:rPr>
        <w:t>po určitom počte výkonov nevyhnutná</w:t>
      </w:r>
      <w:r w:rsidR="00A60123" w:rsidRPr="00DA07E4">
        <w:rPr>
          <w:rFonts w:ascii="Times New Roman" w:hAnsi="Times New Roman" w:cs="Times New Roman"/>
          <w:sz w:val="24"/>
          <w:szCs w:val="24"/>
          <w:shd w:val="clear" w:color="auto" w:fill="FFFFFF"/>
        </w:rPr>
        <w:t xml:space="preserve"> a </w:t>
      </w:r>
      <w:r w:rsidR="009517CA" w:rsidRPr="00DA07E4">
        <w:rPr>
          <w:rFonts w:ascii="Times New Roman" w:hAnsi="Times New Roman" w:cs="Times New Roman"/>
          <w:sz w:val="24"/>
          <w:szCs w:val="24"/>
          <w:shd w:val="clear" w:color="auto" w:fill="FFFFFF"/>
        </w:rPr>
        <w:t xml:space="preserve">pri komplikovanejšom zákroku je poškodiť nástroj veľmi jednoduché. </w:t>
      </w:r>
      <w:r w:rsidRPr="00DA07E4">
        <w:rPr>
          <w:rFonts w:ascii="Times New Roman" w:hAnsi="Times New Roman" w:cs="Times New Roman"/>
          <w:sz w:val="24"/>
          <w:szCs w:val="24"/>
          <w:shd w:val="clear" w:color="auto" w:fill="FFFFFF"/>
        </w:rPr>
        <w:t xml:space="preserve">Životnosť resterizovateľného ureterorenoskopu sa </w:t>
      </w:r>
      <w:r w:rsidRPr="00301A9C">
        <w:rPr>
          <w:rFonts w:ascii="Times New Roman" w:hAnsi="Times New Roman" w:cs="Times New Roman"/>
          <w:sz w:val="24"/>
          <w:szCs w:val="24"/>
          <w:shd w:val="clear" w:color="auto" w:fill="FFFFFF"/>
        </w:rPr>
        <w:t xml:space="preserve">dá predĺžiť dodržiavaním niekoľkých zásad správnej manipulácie, v bežnej praxi vždy </w:t>
      </w:r>
      <w:r w:rsidR="009517CA" w:rsidRPr="00301A9C">
        <w:rPr>
          <w:rFonts w:ascii="Times New Roman" w:hAnsi="Times New Roman" w:cs="Times New Roman"/>
          <w:sz w:val="24"/>
          <w:szCs w:val="24"/>
          <w:shd w:val="clear" w:color="auto" w:fill="FFFFFF"/>
        </w:rPr>
        <w:t xml:space="preserve">ale nie sú </w:t>
      </w:r>
      <w:r w:rsidRPr="00301A9C">
        <w:rPr>
          <w:rFonts w:ascii="Times New Roman" w:hAnsi="Times New Roman" w:cs="Times New Roman"/>
          <w:sz w:val="24"/>
          <w:szCs w:val="24"/>
          <w:shd w:val="clear" w:color="auto" w:fill="FFFFFF"/>
        </w:rPr>
        <w:t>jednoducho realizovateľné. Aj preto patrí ureterorenoskop do rúk skúseného operatéra</w:t>
      </w:r>
      <w:r w:rsidR="008D1014" w:rsidRPr="00301A9C">
        <w:rPr>
          <w:rFonts w:ascii="Times New Roman" w:hAnsi="Times New Roman" w:cs="Times New Roman"/>
          <w:sz w:val="24"/>
          <w:szCs w:val="24"/>
          <w:shd w:val="clear" w:color="auto" w:fill="FFFFFF"/>
        </w:rPr>
        <w:t xml:space="preserve"> (Assimos et al., 2016; </w:t>
      </w:r>
      <w:r w:rsidR="008D1014" w:rsidRPr="00301A9C">
        <w:rPr>
          <w:rFonts w:ascii="Times New Roman" w:hAnsi="Times New Roman" w:cs="Times New Roman"/>
          <w:color w:val="000000" w:themeColor="text1"/>
          <w:sz w:val="24"/>
          <w:szCs w:val="24"/>
        </w:rPr>
        <w:t>Türk et al. 2016).</w:t>
      </w:r>
    </w:p>
    <w:p w14:paraId="4E8A8643" w14:textId="61D0D835" w:rsidR="00A84A0F" w:rsidRPr="00E26032" w:rsidRDefault="005C091E"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 xml:space="preserve">Cez kanál ureterorenoskopu je možné zaviesť </w:t>
      </w:r>
      <w:r w:rsidR="00FA5848" w:rsidRPr="00DA07E4">
        <w:rPr>
          <w:rFonts w:ascii="Times New Roman" w:hAnsi="Times New Roman" w:cs="Times New Roman"/>
          <w:sz w:val="24"/>
          <w:szCs w:val="24"/>
          <w:shd w:val="clear" w:color="auto" w:fill="FFFFFF"/>
        </w:rPr>
        <w:t>širokú</w:t>
      </w:r>
      <w:r w:rsidRPr="00DA07E4">
        <w:rPr>
          <w:rFonts w:ascii="Times New Roman" w:hAnsi="Times New Roman" w:cs="Times New Roman"/>
          <w:sz w:val="24"/>
          <w:szCs w:val="24"/>
          <w:shd w:val="clear" w:color="auto" w:fill="FFFFFF"/>
        </w:rPr>
        <w:t xml:space="preserve"> škálu </w:t>
      </w:r>
      <w:r w:rsidRPr="00301A9C">
        <w:rPr>
          <w:rFonts w:ascii="Times New Roman" w:hAnsi="Times New Roman" w:cs="Times New Roman"/>
          <w:sz w:val="24"/>
          <w:szCs w:val="24"/>
          <w:shd w:val="clear" w:color="auto" w:fill="FFFFFF"/>
        </w:rPr>
        <w:t>nástrojov. Samostatn</w:t>
      </w:r>
      <w:r w:rsidR="00301A9C">
        <w:rPr>
          <w:rFonts w:ascii="Times New Roman" w:hAnsi="Times New Roman" w:cs="Times New Roman"/>
          <w:sz w:val="24"/>
          <w:szCs w:val="24"/>
          <w:shd w:val="clear" w:color="auto" w:fill="FFFFFF"/>
        </w:rPr>
        <w:t>ú tém</w:t>
      </w:r>
      <w:r w:rsidRPr="00301A9C">
        <w:rPr>
          <w:rFonts w:ascii="Times New Roman" w:hAnsi="Times New Roman" w:cs="Times New Roman"/>
          <w:sz w:val="24"/>
          <w:szCs w:val="24"/>
          <w:shd w:val="clear" w:color="auto" w:fill="FFFFFF"/>
        </w:rPr>
        <w:t>u predstavuje laserové vlákno, ktoré prechádza kanálom uret</w:t>
      </w:r>
      <w:r w:rsidRPr="00DA07E4">
        <w:rPr>
          <w:rFonts w:ascii="Times New Roman" w:hAnsi="Times New Roman" w:cs="Times New Roman"/>
          <w:sz w:val="24"/>
          <w:szCs w:val="24"/>
          <w:shd w:val="clear" w:color="auto" w:fill="FFFFFF"/>
        </w:rPr>
        <w:t>erorenoskopu a dezintegruje konkrement. V skratke sa dá hovoriť o niekoľkých parametroch, ktoré sa pri použití laseru nastavujú. Vysoká energia a nízka frekvencia</w:t>
      </w:r>
      <w:r w:rsidR="00301A9C">
        <w:rPr>
          <w:rFonts w:ascii="Times New Roman" w:hAnsi="Times New Roman" w:cs="Times New Roman"/>
          <w:sz w:val="24"/>
          <w:szCs w:val="24"/>
          <w:shd w:val="clear" w:color="auto" w:fill="FFFFFF"/>
        </w:rPr>
        <w:t xml:space="preserve"> pulzov vyvolajú f</w:t>
      </w:r>
      <w:r w:rsidRPr="00DA07E4">
        <w:rPr>
          <w:rFonts w:ascii="Times New Roman" w:hAnsi="Times New Roman" w:cs="Times New Roman"/>
          <w:sz w:val="24"/>
          <w:szCs w:val="24"/>
          <w:shd w:val="clear" w:color="auto" w:fill="FFFFFF"/>
        </w:rPr>
        <w:t xml:space="preserve">ragmentáciu konkrementu, </w:t>
      </w:r>
      <w:r w:rsidRPr="00DA07E4">
        <w:rPr>
          <w:rFonts w:ascii="Times New Roman" w:hAnsi="Times New Roman" w:cs="Times New Roman"/>
          <w:sz w:val="24"/>
          <w:szCs w:val="24"/>
          <w:shd w:val="clear" w:color="auto" w:fill="FFFFFF"/>
        </w:rPr>
        <w:lastRenderedPageBreak/>
        <w:t xml:space="preserve">naopak nízka energia a vysoká frekvencia </w:t>
      </w:r>
      <w:r w:rsidR="009517CA" w:rsidRPr="00DA07E4">
        <w:rPr>
          <w:rFonts w:ascii="Times New Roman" w:hAnsi="Times New Roman" w:cs="Times New Roman"/>
          <w:sz w:val="24"/>
          <w:szCs w:val="24"/>
          <w:shd w:val="clear" w:color="auto" w:fill="FFFFFF"/>
        </w:rPr>
        <w:t xml:space="preserve">sa používajú na </w:t>
      </w:r>
      <w:r w:rsidR="00E26032">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dusting</w:t>
      </w:r>
      <w:r w:rsidR="00E26032">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 xml:space="preserve"> (rozbíja</w:t>
      </w:r>
      <w:r w:rsidR="009517CA" w:rsidRPr="00DA07E4">
        <w:rPr>
          <w:rFonts w:ascii="Times New Roman" w:hAnsi="Times New Roman" w:cs="Times New Roman"/>
          <w:sz w:val="24"/>
          <w:szCs w:val="24"/>
          <w:shd w:val="clear" w:color="auto" w:fill="FFFFFF"/>
        </w:rPr>
        <w:t>nie</w:t>
      </w:r>
      <w:r w:rsidRPr="00DA07E4">
        <w:rPr>
          <w:rFonts w:ascii="Times New Roman" w:hAnsi="Times New Roman" w:cs="Times New Roman"/>
          <w:sz w:val="24"/>
          <w:szCs w:val="24"/>
          <w:shd w:val="clear" w:color="auto" w:fill="FFFFFF"/>
        </w:rPr>
        <w:t xml:space="preserve"> konkrement</w:t>
      </w:r>
      <w:r w:rsidR="009517CA" w:rsidRPr="00DA07E4">
        <w:rPr>
          <w:rFonts w:ascii="Times New Roman" w:hAnsi="Times New Roman" w:cs="Times New Roman"/>
          <w:sz w:val="24"/>
          <w:szCs w:val="24"/>
          <w:shd w:val="clear" w:color="auto" w:fill="FFFFFF"/>
        </w:rPr>
        <w:t>u</w:t>
      </w:r>
      <w:r w:rsidRPr="00DA07E4">
        <w:rPr>
          <w:rFonts w:ascii="Times New Roman" w:hAnsi="Times New Roman" w:cs="Times New Roman"/>
          <w:sz w:val="24"/>
          <w:szCs w:val="24"/>
          <w:shd w:val="clear" w:color="auto" w:fill="FFFFFF"/>
        </w:rPr>
        <w:t xml:space="preserve"> na prach).</w:t>
      </w:r>
      <w:r w:rsidR="003C6357" w:rsidRPr="00DA07E4">
        <w:rPr>
          <w:rFonts w:ascii="Times New Roman" w:hAnsi="Times New Roman" w:cs="Times New Roman"/>
          <w:sz w:val="24"/>
          <w:szCs w:val="24"/>
          <w:shd w:val="clear" w:color="auto" w:fill="FFFFFF"/>
        </w:rPr>
        <w:t xml:space="preserve"> Laser okrem dezintegrácie konkrementu dokáže obličku</w:t>
      </w:r>
      <w:r w:rsidR="009517CA" w:rsidRPr="00DA07E4">
        <w:rPr>
          <w:rFonts w:ascii="Times New Roman" w:hAnsi="Times New Roman" w:cs="Times New Roman"/>
          <w:sz w:val="24"/>
          <w:szCs w:val="24"/>
          <w:shd w:val="clear" w:color="auto" w:fill="FFFFFF"/>
        </w:rPr>
        <w:t xml:space="preserve"> aj poraniť.</w:t>
      </w:r>
      <w:r w:rsidR="003C6357" w:rsidRPr="00DA07E4">
        <w:rPr>
          <w:rFonts w:ascii="Times New Roman" w:hAnsi="Times New Roman" w:cs="Times New Roman"/>
          <w:sz w:val="24"/>
          <w:szCs w:val="24"/>
          <w:shd w:val="clear" w:color="auto" w:fill="FFFFFF"/>
        </w:rPr>
        <w:t xml:space="preserve"> </w:t>
      </w:r>
      <w:r w:rsidR="009517CA" w:rsidRPr="00DA07E4">
        <w:rPr>
          <w:rFonts w:ascii="Times New Roman" w:hAnsi="Times New Roman" w:cs="Times New Roman"/>
          <w:sz w:val="24"/>
          <w:szCs w:val="24"/>
          <w:shd w:val="clear" w:color="auto" w:fill="FFFFFF"/>
        </w:rPr>
        <w:t>J</w:t>
      </w:r>
      <w:r w:rsidR="003C6357" w:rsidRPr="00DA07E4">
        <w:rPr>
          <w:rFonts w:ascii="Times New Roman" w:hAnsi="Times New Roman" w:cs="Times New Roman"/>
          <w:sz w:val="24"/>
          <w:szCs w:val="24"/>
          <w:shd w:val="clear" w:color="auto" w:fill="FFFFFF"/>
        </w:rPr>
        <w:t xml:space="preserve">ednak priamo (čo sa využíva napríklad pri urotelových karcinómoch horného </w:t>
      </w:r>
      <w:r w:rsidR="003C6357" w:rsidRPr="00E26032">
        <w:rPr>
          <w:rFonts w:ascii="Times New Roman" w:hAnsi="Times New Roman" w:cs="Times New Roman"/>
          <w:sz w:val="24"/>
          <w:szCs w:val="24"/>
          <w:shd w:val="clear" w:color="auto" w:fill="FFFFFF"/>
        </w:rPr>
        <w:t>urotraktu), jednak termickým efektom, ktorý vzniká pri dezintegrácii konkrementu</w:t>
      </w:r>
      <w:r w:rsidR="008D1014" w:rsidRPr="00E26032">
        <w:rPr>
          <w:rFonts w:ascii="Times New Roman" w:hAnsi="Times New Roman" w:cs="Times New Roman"/>
          <w:sz w:val="24"/>
          <w:szCs w:val="24"/>
          <w:shd w:val="clear" w:color="auto" w:fill="FFFFFF"/>
        </w:rPr>
        <w:t xml:space="preserve"> (Assimos et al., 2016; </w:t>
      </w:r>
      <w:r w:rsidR="008D1014" w:rsidRPr="00E26032">
        <w:rPr>
          <w:rFonts w:ascii="Times New Roman" w:hAnsi="Times New Roman" w:cs="Times New Roman"/>
          <w:color w:val="000000" w:themeColor="text1"/>
          <w:sz w:val="24"/>
          <w:szCs w:val="24"/>
        </w:rPr>
        <w:t>Türk et al. 2016).</w:t>
      </w:r>
    </w:p>
    <w:p w14:paraId="74741C60" w14:textId="3DFF4D22" w:rsidR="00A84A0F" w:rsidRPr="00E26032" w:rsidRDefault="005C091E" w:rsidP="00DA07E4">
      <w:pPr>
        <w:spacing w:after="0" w:line="360" w:lineRule="auto"/>
        <w:ind w:firstLine="708"/>
        <w:jc w:val="both"/>
        <w:rPr>
          <w:rFonts w:ascii="Times New Roman" w:hAnsi="Times New Roman" w:cs="Times New Roman"/>
          <w:sz w:val="24"/>
          <w:szCs w:val="24"/>
          <w:shd w:val="clear" w:color="auto" w:fill="FFFFFF"/>
        </w:rPr>
      </w:pPr>
      <w:r w:rsidRPr="00E26032">
        <w:rPr>
          <w:rFonts w:ascii="Times New Roman" w:hAnsi="Times New Roman" w:cs="Times New Roman"/>
          <w:sz w:val="24"/>
          <w:szCs w:val="24"/>
          <w:shd w:val="clear" w:color="auto" w:fill="FFFFFF"/>
        </w:rPr>
        <w:t>Medzi ďalšie nástroje, ktoré operatér pri RIRS používa, patria rozličné slučky. Opäť existuje celá škála rôznych typov od rôznych výrobcov. Výber slučky závisí od preferencií operatéra a lokalizácie konkrementu.</w:t>
      </w:r>
      <w:r w:rsidR="009517CA" w:rsidRPr="00E26032">
        <w:rPr>
          <w:rFonts w:ascii="Times New Roman" w:hAnsi="Times New Roman" w:cs="Times New Roman"/>
          <w:sz w:val="24"/>
          <w:szCs w:val="24"/>
          <w:shd w:val="clear" w:color="auto" w:fill="FFFFFF"/>
        </w:rPr>
        <w:t xml:space="preserve"> Termín extrakcie konkrementu slučkou sa označuje v</w:t>
      </w:r>
      <w:r w:rsidR="007C29EC" w:rsidRPr="00E26032">
        <w:rPr>
          <w:rFonts w:ascii="Times New Roman" w:hAnsi="Times New Roman" w:cs="Times New Roman"/>
          <w:sz w:val="24"/>
          <w:szCs w:val="24"/>
          <w:shd w:val="clear" w:color="auto" w:fill="FFFFFF"/>
        </w:rPr>
        <w:t> </w:t>
      </w:r>
      <w:r w:rsidR="009517CA" w:rsidRPr="00E26032">
        <w:rPr>
          <w:rFonts w:ascii="Times New Roman" w:hAnsi="Times New Roman" w:cs="Times New Roman"/>
          <w:sz w:val="24"/>
          <w:szCs w:val="24"/>
          <w:shd w:val="clear" w:color="auto" w:fill="FFFFFF"/>
        </w:rPr>
        <w:t>angl</w:t>
      </w:r>
      <w:r w:rsidR="007C29EC" w:rsidRPr="00E26032">
        <w:rPr>
          <w:rFonts w:ascii="Times New Roman" w:hAnsi="Times New Roman" w:cs="Times New Roman"/>
          <w:sz w:val="24"/>
          <w:szCs w:val="24"/>
          <w:shd w:val="clear" w:color="auto" w:fill="FFFFFF"/>
        </w:rPr>
        <w:t>ickom jazyku</w:t>
      </w:r>
      <w:r w:rsidR="009517CA" w:rsidRPr="00E26032">
        <w:rPr>
          <w:rFonts w:ascii="Times New Roman" w:hAnsi="Times New Roman" w:cs="Times New Roman"/>
          <w:sz w:val="24"/>
          <w:szCs w:val="24"/>
          <w:shd w:val="clear" w:color="auto" w:fill="FFFFFF"/>
        </w:rPr>
        <w:t xml:space="preserve"> basketing</w:t>
      </w:r>
      <w:r w:rsidR="008D1014" w:rsidRPr="00E26032">
        <w:rPr>
          <w:rFonts w:ascii="Times New Roman" w:hAnsi="Times New Roman" w:cs="Times New Roman"/>
          <w:sz w:val="24"/>
          <w:szCs w:val="24"/>
          <w:shd w:val="clear" w:color="auto" w:fill="FFFFFF"/>
        </w:rPr>
        <w:t xml:space="preserve"> (Assimos et al., 2016; </w:t>
      </w:r>
      <w:r w:rsidR="008D1014" w:rsidRPr="00E26032">
        <w:rPr>
          <w:rFonts w:ascii="Times New Roman" w:hAnsi="Times New Roman" w:cs="Times New Roman"/>
          <w:color w:val="000000" w:themeColor="text1"/>
          <w:sz w:val="24"/>
          <w:szCs w:val="24"/>
        </w:rPr>
        <w:t>Türk et al. 2016).</w:t>
      </w:r>
    </w:p>
    <w:p w14:paraId="7038E588" w14:textId="5531DDE8" w:rsidR="005C091E" w:rsidRPr="00E26032" w:rsidRDefault="005C091E" w:rsidP="00DA07E4">
      <w:pPr>
        <w:spacing w:after="0" w:line="360" w:lineRule="auto"/>
        <w:ind w:firstLine="708"/>
        <w:jc w:val="both"/>
        <w:rPr>
          <w:rFonts w:ascii="Times New Roman" w:hAnsi="Times New Roman" w:cs="Times New Roman"/>
          <w:sz w:val="24"/>
          <w:szCs w:val="24"/>
          <w:shd w:val="clear" w:color="auto" w:fill="FFFFFF"/>
        </w:rPr>
      </w:pPr>
      <w:r w:rsidRPr="00E26032">
        <w:rPr>
          <w:rFonts w:ascii="Times New Roman" w:hAnsi="Times New Roman" w:cs="Times New Roman"/>
          <w:sz w:val="24"/>
          <w:szCs w:val="24"/>
          <w:shd w:val="clear" w:color="auto" w:fill="FFFFFF"/>
        </w:rPr>
        <w:t>RIRS je zákrok invazívny, ktorý prináša so sebou viaceré limity a komplikácie.</w:t>
      </w:r>
      <w:r w:rsidRPr="00DA07E4">
        <w:rPr>
          <w:rFonts w:ascii="Times New Roman" w:hAnsi="Times New Roman" w:cs="Times New Roman"/>
          <w:sz w:val="24"/>
          <w:szCs w:val="24"/>
          <w:shd w:val="clear" w:color="auto" w:fill="FFFFFF"/>
        </w:rPr>
        <w:t xml:space="preserve"> Zákrok sa štandardne realizuje </w:t>
      </w:r>
      <w:r w:rsidR="003C6357" w:rsidRPr="00DA07E4">
        <w:rPr>
          <w:rFonts w:ascii="Times New Roman" w:hAnsi="Times New Roman" w:cs="Times New Roman"/>
          <w:sz w:val="24"/>
          <w:szCs w:val="24"/>
          <w:shd w:val="clear" w:color="auto" w:fill="FFFFFF"/>
        </w:rPr>
        <w:t>s použitím ochranného puzdra (sheath). Puzdro sa po vodiči pod RTG kontrolou zavedie do močovodu. Jeho úloha je viacnásobná. Puzdro chráni močovod pred poranením a umožňuje opakovanú manipuláciu ureterorenoskopom (napríklad pri extrakcii viacerých fragmentov slučkou). Keďže kvôli viditeľnosti je nutné do dutého systému</w:t>
      </w:r>
      <w:r w:rsidR="00E26032">
        <w:rPr>
          <w:rFonts w:ascii="Times New Roman" w:hAnsi="Times New Roman" w:cs="Times New Roman"/>
          <w:sz w:val="24"/>
          <w:szCs w:val="24"/>
          <w:shd w:val="clear" w:color="auto" w:fill="FFFFFF"/>
        </w:rPr>
        <w:t xml:space="preserve"> instilovať</w:t>
      </w:r>
      <w:r w:rsidR="003C6357" w:rsidRPr="00DA07E4">
        <w:rPr>
          <w:rFonts w:ascii="Times New Roman" w:hAnsi="Times New Roman" w:cs="Times New Roman"/>
          <w:sz w:val="24"/>
          <w:szCs w:val="24"/>
          <w:shd w:val="clear" w:color="auto" w:fill="FFFFFF"/>
        </w:rPr>
        <w:t xml:space="preserve"> preplachovú tekutinu, puzdro pomáha udržať tlak v obličke odvedením prebytočnej tekutiny. Predchádza </w:t>
      </w:r>
      <w:r w:rsidR="003C6357" w:rsidRPr="00E26032">
        <w:rPr>
          <w:rFonts w:ascii="Times New Roman" w:hAnsi="Times New Roman" w:cs="Times New Roman"/>
          <w:sz w:val="24"/>
          <w:szCs w:val="24"/>
          <w:shd w:val="clear" w:color="auto" w:fill="FFFFFF"/>
        </w:rPr>
        <w:t>tak napríklad ruptúre panvičky či kalicha. Puzdrá ureterorenoskopov majú rôzne priemery, štandardne okolo 13 Ch. Preto je často RIRS realizovaná v prestentovanej obličke</w:t>
      </w:r>
      <w:r w:rsidR="00B54AB8" w:rsidRPr="00E26032">
        <w:rPr>
          <w:rFonts w:ascii="Times New Roman" w:hAnsi="Times New Roman" w:cs="Times New Roman"/>
          <w:sz w:val="24"/>
          <w:szCs w:val="24"/>
          <w:shd w:val="clear" w:color="auto" w:fill="FFFFFF"/>
        </w:rPr>
        <w:t xml:space="preserve"> (Assimos et al., 2016; </w:t>
      </w:r>
      <w:r w:rsidR="00B54AB8" w:rsidRPr="00E26032">
        <w:rPr>
          <w:rFonts w:ascii="Times New Roman" w:hAnsi="Times New Roman" w:cs="Times New Roman"/>
          <w:color w:val="000000" w:themeColor="text1"/>
          <w:sz w:val="24"/>
          <w:szCs w:val="24"/>
        </w:rPr>
        <w:t>Türk et al. 2016).</w:t>
      </w:r>
    </w:p>
    <w:p w14:paraId="4AC95BFA" w14:textId="5AE5412D" w:rsidR="005C091E" w:rsidRPr="00DA07E4" w:rsidRDefault="003C6357" w:rsidP="00DA07E4">
      <w:pPr>
        <w:spacing w:after="0" w:line="360" w:lineRule="auto"/>
        <w:ind w:firstLine="708"/>
        <w:jc w:val="both"/>
        <w:rPr>
          <w:rFonts w:ascii="Times New Roman" w:hAnsi="Times New Roman" w:cs="Times New Roman"/>
          <w:sz w:val="24"/>
          <w:szCs w:val="24"/>
          <w:shd w:val="clear" w:color="auto" w:fill="FFFFFF"/>
        </w:rPr>
      </w:pPr>
      <w:r w:rsidRPr="00E26032">
        <w:rPr>
          <w:rFonts w:ascii="Times New Roman" w:hAnsi="Times New Roman" w:cs="Times New Roman"/>
          <w:sz w:val="24"/>
          <w:szCs w:val="24"/>
          <w:shd w:val="clear" w:color="auto" w:fill="FFFFFF"/>
        </w:rPr>
        <w:t>Komplik</w:t>
      </w:r>
      <w:r w:rsidR="001461EE" w:rsidRPr="00E26032">
        <w:rPr>
          <w:rFonts w:ascii="Times New Roman" w:hAnsi="Times New Roman" w:cs="Times New Roman"/>
          <w:sz w:val="24"/>
          <w:szCs w:val="24"/>
          <w:shd w:val="clear" w:color="auto" w:fill="FFFFFF"/>
        </w:rPr>
        <w:t>á</w:t>
      </w:r>
      <w:r w:rsidRPr="00E26032">
        <w:rPr>
          <w:rFonts w:ascii="Times New Roman" w:hAnsi="Times New Roman" w:cs="Times New Roman"/>
          <w:sz w:val="24"/>
          <w:szCs w:val="24"/>
          <w:shd w:val="clear" w:color="auto" w:fill="FFFFFF"/>
        </w:rPr>
        <w:t xml:space="preserve">cie </w:t>
      </w:r>
      <w:r w:rsidR="001461EE" w:rsidRPr="00E26032">
        <w:rPr>
          <w:rFonts w:ascii="Times New Roman" w:hAnsi="Times New Roman" w:cs="Times New Roman"/>
          <w:sz w:val="24"/>
          <w:szCs w:val="24"/>
          <w:shd w:val="clear" w:color="auto" w:fill="FFFFFF"/>
        </w:rPr>
        <w:t>URS/RIRS možno rozdeliť do dvoch skupín. Medzi mierne komplikácie sa radí perforácia močovodu alebo panvičky obličky</w:t>
      </w:r>
      <w:r w:rsidR="00ED4E4F" w:rsidRPr="00E26032">
        <w:rPr>
          <w:rFonts w:ascii="Times New Roman" w:hAnsi="Times New Roman" w:cs="Times New Roman"/>
          <w:sz w:val="24"/>
          <w:szCs w:val="24"/>
          <w:shd w:val="clear" w:color="auto" w:fill="FFFFFF"/>
        </w:rPr>
        <w:t xml:space="preserve"> spolu s hematúriou a spôsobením obštrukcie odtoku moču. Veľkými komplikáciami sú avulzia močovodu, rozvoj urosepsy a rozsiahle krvácanie, ktoré vyžaduje transfúznu liečbu. Veľké komplikácie vyžadujú okamžité riešenie</w:t>
      </w:r>
      <w:r w:rsidR="00B54AB8" w:rsidRPr="00E26032">
        <w:rPr>
          <w:rFonts w:ascii="Times New Roman" w:hAnsi="Times New Roman" w:cs="Times New Roman"/>
          <w:sz w:val="24"/>
          <w:szCs w:val="24"/>
          <w:shd w:val="clear" w:color="auto" w:fill="FFFFFF"/>
        </w:rPr>
        <w:t xml:space="preserve"> (Assimos et al., 2016; </w:t>
      </w:r>
      <w:r w:rsidR="00B54AB8" w:rsidRPr="00E26032">
        <w:rPr>
          <w:rFonts w:ascii="Times New Roman" w:hAnsi="Times New Roman" w:cs="Times New Roman"/>
          <w:color w:val="000000" w:themeColor="text1"/>
          <w:sz w:val="24"/>
          <w:szCs w:val="24"/>
        </w:rPr>
        <w:t>Türk et al. 2016).</w:t>
      </w:r>
    </w:p>
    <w:p w14:paraId="2AC1FC64" w14:textId="77777777" w:rsidR="00880677" w:rsidRPr="00DA07E4" w:rsidRDefault="00880677" w:rsidP="00DA07E4">
      <w:pPr>
        <w:spacing w:after="0" w:line="360" w:lineRule="auto"/>
        <w:jc w:val="both"/>
        <w:rPr>
          <w:rFonts w:ascii="Times New Roman" w:hAnsi="Times New Roman" w:cs="Times New Roman"/>
          <w:sz w:val="24"/>
          <w:szCs w:val="24"/>
        </w:rPr>
      </w:pPr>
    </w:p>
    <w:p w14:paraId="7E9466FD" w14:textId="7857BBA8" w:rsidR="00880677" w:rsidRPr="00DA07E4" w:rsidRDefault="00880677" w:rsidP="00DA07E4">
      <w:pPr>
        <w:spacing w:after="0" w:line="360" w:lineRule="auto"/>
        <w:jc w:val="both"/>
        <w:rPr>
          <w:rFonts w:ascii="Times New Roman" w:hAnsi="Times New Roman" w:cs="Times New Roman"/>
          <w:b/>
          <w:sz w:val="24"/>
          <w:szCs w:val="24"/>
        </w:rPr>
      </w:pPr>
      <w:r w:rsidRPr="00485D07">
        <w:rPr>
          <w:rFonts w:ascii="Times New Roman" w:hAnsi="Times New Roman" w:cs="Times New Roman"/>
          <w:b/>
          <w:sz w:val="24"/>
          <w:szCs w:val="24"/>
        </w:rPr>
        <w:t>3.</w:t>
      </w:r>
      <w:r w:rsidR="00485D07" w:rsidRPr="00485D07">
        <w:rPr>
          <w:rFonts w:ascii="Times New Roman" w:hAnsi="Times New Roman" w:cs="Times New Roman"/>
          <w:b/>
          <w:sz w:val="24"/>
          <w:szCs w:val="24"/>
        </w:rPr>
        <w:t>3</w:t>
      </w:r>
      <w:r w:rsidRPr="00485D07">
        <w:rPr>
          <w:rFonts w:ascii="Times New Roman" w:hAnsi="Times New Roman" w:cs="Times New Roman"/>
          <w:b/>
          <w:sz w:val="24"/>
          <w:szCs w:val="24"/>
        </w:rPr>
        <w:t>. Ďalšie</w:t>
      </w:r>
      <w:r w:rsidRPr="00DA07E4">
        <w:rPr>
          <w:rFonts w:ascii="Times New Roman" w:hAnsi="Times New Roman" w:cs="Times New Roman"/>
          <w:b/>
          <w:sz w:val="24"/>
          <w:szCs w:val="24"/>
        </w:rPr>
        <w:t xml:space="preserve"> možnosti operačnej liečby urolitiázy</w:t>
      </w:r>
    </w:p>
    <w:p w14:paraId="719FFE3F" w14:textId="77777777" w:rsidR="00526A4A" w:rsidRPr="00DA07E4" w:rsidRDefault="00526A4A" w:rsidP="00DA07E4">
      <w:pPr>
        <w:spacing w:after="0" w:line="360" w:lineRule="auto"/>
        <w:jc w:val="both"/>
        <w:rPr>
          <w:rFonts w:ascii="Times New Roman" w:hAnsi="Times New Roman" w:cs="Times New Roman"/>
          <w:sz w:val="24"/>
          <w:szCs w:val="24"/>
        </w:rPr>
      </w:pPr>
    </w:p>
    <w:p w14:paraId="142E0614" w14:textId="2D16D487" w:rsidR="002D30DD" w:rsidRPr="00E26032" w:rsidRDefault="00ED4E4F"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Medzi ďalšie operačné metódy </w:t>
      </w:r>
      <w:r w:rsidR="002D30DD" w:rsidRPr="00DA07E4">
        <w:rPr>
          <w:rFonts w:ascii="Times New Roman" w:hAnsi="Times New Roman" w:cs="Times New Roman"/>
          <w:sz w:val="24"/>
          <w:szCs w:val="24"/>
        </w:rPr>
        <w:t xml:space="preserve">urolitiázy lokalizovanej v obličke </w:t>
      </w:r>
      <w:r w:rsidRPr="00DA07E4">
        <w:rPr>
          <w:rFonts w:ascii="Times New Roman" w:hAnsi="Times New Roman" w:cs="Times New Roman"/>
          <w:sz w:val="24"/>
          <w:szCs w:val="24"/>
        </w:rPr>
        <w:t>patrí perkutánna extrakcia konkrementu – PEK, v angl. PCNL (percutaneous nephrolithotomy). Spomedzi menej invazívnych zákrokov je PEK najinvazívnejší, práve kvôli nutnosti punkcie obličky a vytvorenia prístup</w:t>
      </w:r>
      <w:r w:rsidR="00A60123" w:rsidRPr="00DA07E4">
        <w:rPr>
          <w:rFonts w:ascii="Times New Roman" w:hAnsi="Times New Roman" w:cs="Times New Roman"/>
          <w:sz w:val="24"/>
          <w:szCs w:val="24"/>
        </w:rPr>
        <w:t>u do dutého systému cez kožu</w:t>
      </w:r>
      <w:r w:rsidRPr="00DA07E4">
        <w:rPr>
          <w:rFonts w:ascii="Times New Roman" w:hAnsi="Times New Roman" w:cs="Times New Roman"/>
          <w:sz w:val="24"/>
          <w:szCs w:val="24"/>
        </w:rPr>
        <w:t xml:space="preserve">. </w:t>
      </w:r>
      <w:r w:rsidR="002D30DD" w:rsidRPr="00DA07E4">
        <w:rPr>
          <w:rFonts w:ascii="Times New Roman" w:hAnsi="Times New Roman" w:cs="Times New Roman"/>
          <w:sz w:val="24"/>
          <w:szCs w:val="24"/>
        </w:rPr>
        <w:t xml:space="preserve">Cez pracovný kanál nefroskopu potom vedie ku konkrementu sonotróda alebo laserové vlákno. </w:t>
      </w:r>
      <w:r w:rsidRPr="00DA07E4">
        <w:rPr>
          <w:rFonts w:ascii="Times New Roman" w:hAnsi="Times New Roman" w:cs="Times New Roman"/>
          <w:sz w:val="24"/>
          <w:szCs w:val="24"/>
        </w:rPr>
        <w:t xml:space="preserve">Existujú </w:t>
      </w:r>
      <w:r w:rsidR="00F33D7A">
        <w:rPr>
          <w:rFonts w:ascii="Times New Roman" w:hAnsi="Times New Roman" w:cs="Times New Roman"/>
          <w:sz w:val="24"/>
          <w:szCs w:val="24"/>
        </w:rPr>
        <w:t>aj</w:t>
      </w:r>
      <w:r w:rsidRPr="00DA07E4">
        <w:rPr>
          <w:rFonts w:ascii="Times New Roman" w:hAnsi="Times New Roman" w:cs="Times New Roman"/>
          <w:sz w:val="24"/>
          <w:szCs w:val="24"/>
        </w:rPr>
        <w:t xml:space="preserve"> menej invazívne modality výkonu, tzv. miniPCNL alebo ultra-miniPCNL, kde operatérovi postačuje len drobná punkcia bez nutnosti rozsiahlej dilatácie. U týchto výkonov sa </w:t>
      </w:r>
      <w:r w:rsidRPr="00E26032">
        <w:rPr>
          <w:rFonts w:ascii="Times New Roman" w:hAnsi="Times New Roman" w:cs="Times New Roman"/>
          <w:sz w:val="24"/>
          <w:szCs w:val="24"/>
        </w:rPr>
        <w:t xml:space="preserve">ale do istej miery stráca hlavná výhoda PEK – spoľahlivé dezintegrovanie a odstránenie aj veľkej masy </w:t>
      </w:r>
      <w:r w:rsidRPr="00E26032">
        <w:rPr>
          <w:rFonts w:ascii="Times New Roman" w:hAnsi="Times New Roman" w:cs="Times New Roman"/>
          <w:sz w:val="24"/>
          <w:szCs w:val="24"/>
        </w:rPr>
        <w:lastRenderedPageBreak/>
        <w:t xml:space="preserve">konkrementov </w:t>
      </w:r>
      <w:r w:rsidR="002D30DD" w:rsidRPr="00E26032">
        <w:rPr>
          <w:rFonts w:ascii="Times New Roman" w:hAnsi="Times New Roman" w:cs="Times New Roman"/>
          <w:sz w:val="24"/>
          <w:szCs w:val="24"/>
        </w:rPr>
        <w:t xml:space="preserve">(nad 2 cm) </w:t>
      </w:r>
      <w:r w:rsidRPr="00E26032">
        <w:rPr>
          <w:rFonts w:ascii="Times New Roman" w:hAnsi="Times New Roman" w:cs="Times New Roman"/>
          <w:sz w:val="24"/>
          <w:szCs w:val="24"/>
        </w:rPr>
        <w:t xml:space="preserve">vrátane odliatkovej litiázy. Pri perkutánnej extrakcii konkrementu zohráva úlohu aj poloha pacienta – niektorí operatéri uprednostňujú supinačnú polohu oproti klasickej pronačnej. </w:t>
      </w:r>
      <w:r w:rsidR="002D30DD" w:rsidRPr="00E26032">
        <w:rPr>
          <w:rFonts w:ascii="Times New Roman" w:hAnsi="Times New Roman" w:cs="Times New Roman"/>
          <w:sz w:val="24"/>
          <w:szCs w:val="24"/>
        </w:rPr>
        <w:t xml:space="preserve">Za zmienku stojí ešte tzv. </w:t>
      </w:r>
      <w:r w:rsidR="005858F3" w:rsidRPr="00E26032">
        <w:rPr>
          <w:rFonts w:ascii="Times New Roman" w:hAnsi="Times New Roman" w:cs="Times New Roman"/>
          <w:sz w:val="24"/>
          <w:szCs w:val="24"/>
        </w:rPr>
        <w:t>tubeless</w:t>
      </w:r>
      <w:r w:rsidR="002D30DD" w:rsidRPr="00E26032">
        <w:rPr>
          <w:rFonts w:ascii="Times New Roman" w:hAnsi="Times New Roman" w:cs="Times New Roman"/>
          <w:sz w:val="24"/>
          <w:szCs w:val="24"/>
        </w:rPr>
        <w:t xml:space="preserve"> procedure – vtedy sa PEK ukončí bez ponechania drenáže obličky, štandardom je ale ponechanie punkčnej nefrostómie v krátkom postoperačnom období</w:t>
      </w:r>
      <w:r w:rsidR="00B54AB8" w:rsidRPr="00E26032">
        <w:rPr>
          <w:rFonts w:ascii="Times New Roman" w:hAnsi="Times New Roman" w:cs="Times New Roman"/>
          <w:sz w:val="24"/>
          <w:szCs w:val="24"/>
        </w:rPr>
        <w:t xml:space="preserve"> </w:t>
      </w:r>
      <w:r w:rsidR="00B54AB8" w:rsidRPr="00E26032">
        <w:rPr>
          <w:rFonts w:ascii="Times New Roman" w:hAnsi="Times New Roman" w:cs="Times New Roman"/>
          <w:sz w:val="24"/>
          <w:szCs w:val="24"/>
          <w:shd w:val="clear" w:color="auto" w:fill="FFFFFF"/>
        </w:rPr>
        <w:t xml:space="preserve">(Assimos et al., 2016; </w:t>
      </w:r>
      <w:r w:rsidR="00B54AB8" w:rsidRPr="00E26032">
        <w:rPr>
          <w:rFonts w:ascii="Times New Roman" w:hAnsi="Times New Roman" w:cs="Times New Roman"/>
          <w:color w:val="000000" w:themeColor="text1"/>
          <w:sz w:val="24"/>
          <w:szCs w:val="24"/>
        </w:rPr>
        <w:t>Türk et al. 2016).</w:t>
      </w:r>
    </w:p>
    <w:p w14:paraId="67323023" w14:textId="7F24D5F1" w:rsidR="00B54AB8" w:rsidRPr="00E26032" w:rsidRDefault="002D30DD" w:rsidP="00F33D7A">
      <w:pPr>
        <w:spacing w:after="0" w:line="360" w:lineRule="auto"/>
        <w:ind w:firstLine="708"/>
        <w:jc w:val="both"/>
        <w:rPr>
          <w:rFonts w:ascii="Times New Roman" w:hAnsi="Times New Roman" w:cs="Times New Roman"/>
          <w:color w:val="000000" w:themeColor="text1"/>
          <w:sz w:val="24"/>
          <w:szCs w:val="24"/>
        </w:rPr>
      </w:pPr>
      <w:r w:rsidRPr="00E26032">
        <w:rPr>
          <w:rFonts w:ascii="Times New Roman" w:hAnsi="Times New Roman" w:cs="Times New Roman"/>
          <w:sz w:val="24"/>
          <w:szCs w:val="24"/>
        </w:rPr>
        <w:t>Otvorené ureterolitotómie alebo nefrolitotómie sa v súčasnosti realizujú len zriedkavo. Invazívny zákrok býva uskutočnený napríklad počas pyeloplastiky, keď pri obštrukcii pyeloureterálnej junkcie došlo k tvorbe konkrementov.</w:t>
      </w:r>
      <w:r w:rsidR="00880677" w:rsidRPr="00E26032">
        <w:rPr>
          <w:rFonts w:ascii="Times New Roman" w:hAnsi="Times New Roman" w:cs="Times New Roman"/>
          <w:sz w:val="24"/>
          <w:szCs w:val="24"/>
        </w:rPr>
        <w:t xml:space="preserve"> </w:t>
      </w:r>
      <w:r w:rsidRPr="00E26032">
        <w:rPr>
          <w:rFonts w:ascii="Times New Roman" w:hAnsi="Times New Roman" w:cs="Times New Roman"/>
          <w:sz w:val="24"/>
          <w:szCs w:val="24"/>
        </w:rPr>
        <w:t>Ďalším príkladom je rozsiahla Steinstrasse v močovode, ktorá je endoskopicky neriešiteľná. Uplatňuje sa aj laparoskopická modifikácia zákrokov. V poslednej dobe sa začalo uvažovať o roboticky asistovaných výkonoch</w:t>
      </w:r>
      <w:r w:rsidR="00B54AB8" w:rsidRPr="00E26032">
        <w:rPr>
          <w:rFonts w:ascii="Times New Roman" w:hAnsi="Times New Roman" w:cs="Times New Roman"/>
          <w:sz w:val="24"/>
          <w:szCs w:val="24"/>
        </w:rPr>
        <w:t xml:space="preserve"> </w:t>
      </w:r>
      <w:r w:rsidR="00B54AB8" w:rsidRPr="00E26032">
        <w:rPr>
          <w:rFonts w:ascii="Times New Roman" w:hAnsi="Times New Roman" w:cs="Times New Roman"/>
          <w:sz w:val="24"/>
          <w:szCs w:val="24"/>
          <w:shd w:val="clear" w:color="auto" w:fill="FFFFFF"/>
        </w:rPr>
        <w:t xml:space="preserve">(Assimos et al., 2016; </w:t>
      </w:r>
      <w:r w:rsidR="00B54AB8" w:rsidRPr="00E26032">
        <w:rPr>
          <w:rFonts w:ascii="Times New Roman" w:hAnsi="Times New Roman" w:cs="Times New Roman"/>
          <w:color w:val="000000" w:themeColor="text1"/>
          <w:sz w:val="24"/>
          <w:szCs w:val="24"/>
        </w:rPr>
        <w:t>Türk et al. 2016).</w:t>
      </w:r>
    </w:p>
    <w:p w14:paraId="43306D12" w14:textId="77777777" w:rsidR="00B54AB8" w:rsidRDefault="00B54AB8">
      <w:pPr>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highlight w:val="yellow"/>
        </w:rPr>
        <w:br w:type="page"/>
      </w:r>
    </w:p>
    <w:p w14:paraId="7769C87B" w14:textId="05569473" w:rsidR="00532D8A" w:rsidRPr="00DA07E4" w:rsidRDefault="00681AD0" w:rsidP="00DA07E4">
      <w:pPr>
        <w:pStyle w:val="Odstavecseseznamem"/>
        <w:numPr>
          <w:ilvl w:val="0"/>
          <w:numId w:val="4"/>
        </w:numPr>
        <w:spacing w:after="0" w:line="360" w:lineRule="auto"/>
        <w:ind w:left="426" w:hanging="426"/>
        <w:jc w:val="both"/>
        <w:rPr>
          <w:rFonts w:ascii="Times New Roman" w:hAnsi="Times New Roman" w:cs="Times New Roman"/>
          <w:b/>
          <w:sz w:val="24"/>
          <w:szCs w:val="24"/>
        </w:rPr>
      </w:pPr>
      <w:r w:rsidRPr="00DA07E4">
        <w:rPr>
          <w:rFonts w:ascii="Times New Roman" w:hAnsi="Times New Roman" w:cs="Times New Roman"/>
          <w:b/>
          <w:sz w:val="24"/>
          <w:szCs w:val="24"/>
        </w:rPr>
        <w:lastRenderedPageBreak/>
        <w:t>KVALITA ŽIVOTA</w:t>
      </w:r>
      <w:r w:rsidR="003D0B4A" w:rsidRPr="00DA07E4">
        <w:rPr>
          <w:rFonts w:ascii="Times New Roman" w:hAnsi="Times New Roman" w:cs="Times New Roman"/>
          <w:b/>
          <w:sz w:val="24"/>
          <w:szCs w:val="24"/>
        </w:rPr>
        <w:t xml:space="preserve"> A PSYCHOMETRICKÉ TESTOVANIE</w:t>
      </w:r>
    </w:p>
    <w:p w14:paraId="1EAA0973" w14:textId="77777777" w:rsidR="00F01DE1" w:rsidRPr="00DA07E4" w:rsidRDefault="00F01DE1" w:rsidP="00DA07E4">
      <w:pPr>
        <w:spacing w:after="0" w:line="360" w:lineRule="auto"/>
        <w:jc w:val="both"/>
        <w:rPr>
          <w:rFonts w:ascii="Times New Roman" w:hAnsi="Times New Roman" w:cs="Times New Roman"/>
          <w:sz w:val="24"/>
          <w:szCs w:val="24"/>
        </w:rPr>
      </w:pPr>
    </w:p>
    <w:p w14:paraId="2A30DDEB" w14:textId="323EB604" w:rsidR="0022455A" w:rsidRPr="00DA07E4" w:rsidRDefault="0022455A"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Podľa Svetovej zdravotníckej organizácie </w:t>
      </w:r>
      <w:r w:rsidR="00F33D7A">
        <w:rPr>
          <w:rFonts w:ascii="Times New Roman" w:hAnsi="Times New Roman" w:cs="Times New Roman"/>
          <w:sz w:val="24"/>
          <w:szCs w:val="24"/>
        </w:rPr>
        <w:t>(</w:t>
      </w:r>
      <w:r w:rsidRPr="00DA07E4">
        <w:rPr>
          <w:rFonts w:ascii="Times New Roman" w:hAnsi="Times New Roman" w:cs="Times New Roman"/>
          <w:sz w:val="24"/>
          <w:szCs w:val="24"/>
        </w:rPr>
        <w:t>WHO</w:t>
      </w:r>
      <w:r w:rsidR="00F33D7A" w:rsidRPr="00E26032">
        <w:rPr>
          <w:rFonts w:ascii="Times New Roman" w:hAnsi="Times New Roman" w:cs="Times New Roman"/>
          <w:sz w:val="24"/>
          <w:szCs w:val="24"/>
        </w:rPr>
        <w:t>)</w:t>
      </w:r>
      <w:r w:rsidRPr="00E26032">
        <w:rPr>
          <w:rFonts w:ascii="Times New Roman" w:hAnsi="Times New Roman" w:cs="Times New Roman"/>
          <w:sz w:val="24"/>
          <w:szCs w:val="24"/>
        </w:rPr>
        <w:t xml:space="preserve"> je zdravie stav celkovej fyzickej, duševnej a sociálnej pohody, nie len neprítomnosť choroby</w:t>
      </w:r>
      <w:r w:rsidR="00B54AB8" w:rsidRPr="00E26032">
        <w:rPr>
          <w:rFonts w:ascii="Times New Roman" w:hAnsi="Times New Roman" w:cs="Times New Roman"/>
          <w:sz w:val="24"/>
          <w:szCs w:val="24"/>
        </w:rPr>
        <w:t xml:space="preserve"> (WHO, 1948)</w:t>
      </w:r>
      <w:r w:rsidRPr="00E26032">
        <w:rPr>
          <w:rFonts w:ascii="Times New Roman" w:hAnsi="Times New Roman" w:cs="Times New Roman"/>
          <w:sz w:val="24"/>
          <w:szCs w:val="24"/>
        </w:rPr>
        <w:t>. Z tejto definície vychádza štúdium kvality života pacientov. Skratka HRQOL – health-related quality of life – je v preklade kvalita</w:t>
      </w:r>
      <w:r w:rsidR="00F33D7A" w:rsidRPr="00E26032">
        <w:rPr>
          <w:rFonts w:ascii="Times New Roman" w:hAnsi="Times New Roman" w:cs="Times New Roman"/>
          <w:sz w:val="24"/>
          <w:szCs w:val="24"/>
        </w:rPr>
        <w:t xml:space="preserve"> života </w:t>
      </w:r>
      <w:r w:rsidRPr="00E26032">
        <w:rPr>
          <w:rFonts w:ascii="Times New Roman" w:hAnsi="Times New Roman" w:cs="Times New Roman"/>
          <w:sz w:val="24"/>
          <w:szCs w:val="24"/>
        </w:rPr>
        <w:t>vzťahovaná ku zdraviu</w:t>
      </w:r>
      <w:r w:rsidR="00B54AB8" w:rsidRPr="00E26032">
        <w:rPr>
          <w:rFonts w:ascii="Times New Roman" w:hAnsi="Times New Roman" w:cs="Times New Roman"/>
          <w:sz w:val="24"/>
          <w:szCs w:val="24"/>
        </w:rPr>
        <w:t xml:space="preserve"> (Ware, 1976)</w:t>
      </w:r>
      <w:r w:rsidRPr="00E26032">
        <w:rPr>
          <w:rFonts w:ascii="Times New Roman" w:hAnsi="Times New Roman" w:cs="Times New Roman"/>
          <w:sz w:val="24"/>
          <w:szCs w:val="24"/>
        </w:rPr>
        <w:t>.</w:t>
      </w:r>
      <w:r w:rsidR="00F2669C" w:rsidRPr="00DA07E4">
        <w:rPr>
          <w:rFonts w:ascii="Times New Roman" w:hAnsi="Times New Roman" w:cs="Times New Roman"/>
          <w:sz w:val="24"/>
          <w:szCs w:val="24"/>
        </w:rPr>
        <w:t xml:space="preserve"> V súčasnosti by nemalo byť cieľom len liečiť chorého, ale sledovať aj vplyvy liečby na jeho budúci zdravotný stav </w:t>
      </w:r>
      <w:r w:rsidR="00F2669C" w:rsidRPr="002403BE">
        <w:rPr>
          <w:rFonts w:ascii="Times New Roman" w:hAnsi="Times New Roman" w:cs="Times New Roman"/>
          <w:sz w:val="24"/>
          <w:szCs w:val="24"/>
        </w:rPr>
        <w:t>(</w:t>
      </w:r>
      <w:r w:rsidR="007C29EC" w:rsidRPr="00B54AB8">
        <w:rPr>
          <w:rFonts w:ascii="Times New Roman" w:hAnsi="Times New Roman" w:cs="Times New Roman"/>
          <w:sz w:val="24"/>
          <w:szCs w:val="24"/>
        </w:rPr>
        <w:t>Švihra</w:t>
      </w:r>
      <w:r w:rsidR="005A093B" w:rsidRPr="00B54AB8">
        <w:rPr>
          <w:rFonts w:ascii="Times New Roman" w:hAnsi="Times New Roman" w:cs="Times New Roman"/>
          <w:sz w:val="24"/>
          <w:szCs w:val="24"/>
        </w:rPr>
        <w:t xml:space="preserve"> jr.</w:t>
      </w:r>
      <w:r w:rsidR="00A336A3" w:rsidRPr="00B54AB8">
        <w:rPr>
          <w:rFonts w:ascii="Times New Roman" w:hAnsi="Times New Roman" w:cs="Times New Roman"/>
          <w:sz w:val="24"/>
          <w:szCs w:val="24"/>
        </w:rPr>
        <w:t xml:space="preserve"> et al.</w:t>
      </w:r>
      <w:r w:rsidR="005A093B" w:rsidRPr="00B54AB8">
        <w:rPr>
          <w:rFonts w:ascii="Times New Roman" w:hAnsi="Times New Roman" w:cs="Times New Roman"/>
          <w:sz w:val="24"/>
          <w:szCs w:val="24"/>
        </w:rPr>
        <w:t>,</w:t>
      </w:r>
      <w:r w:rsidR="005A093B" w:rsidRPr="002403BE">
        <w:rPr>
          <w:rFonts w:ascii="Times New Roman" w:hAnsi="Times New Roman" w:cs="Times New Roman"/>
          <w:sz w:val="24"/>
          <w:szCs w:val="24"/>
        </w:rPr>
        <w:t xml:space="preserve"> </w:t>
      </w:r>
      <w:r w:rsidR="005A093B" w:rsidRPr="00DA07E4">
        <w:rPr>
          <w:rFonts w:ascii="Times New Roman" w:hAnsi="Times New Roman" w:cs="Times New Roman"/>
          <w:sz w:val="24"/>
          <w:szCs w:val="24"/>
        </w:rPr>
        <w:t>2016</w:t>
      </w:r>
      <w:r w:rsidR="00F2669C" w:rsidRPr="00DA07E4">
        <w:rPr>
          <w:rFonts w:ascii="Times New Roman" w:hAnsi="Times New Roman" w:cs="Times New Roman"/>
          <w:sz w:val="24"/>
          <w:szCs w:val="24"/>
        </w:rPr>
        <w:t>)</w:t>
      </w:r>
      <w:r w:rsidR="005A093B" w:rsidRPr="00DA07E4">
        <w:rPr>
          <w:rFonts w:ascii="Times New Roman" w:hAnsi="Times New Roman" w:cs="Times New Roman"/>
          <w:sz w:val="24"/>
          <w:szCs w:val="24"/>
        </w:rPr>
        <w:t>.</w:t>
      </w:r>
    </w:p>
    <w:p w14:paraId="007569CA" w14:textId="2846F87C" w:rsidR="003D763E" w:rsidRPr="00DA07E4" w:rsidRDefault="0022455A"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Ako je každý pacient individuálnou bytosťou, ktorá rôzne situácie prežíva rozličným spôsobom, tak aj kvalita života konkrétneho pacienta vykazuje výsostne individuálne prvky. Pre lekársku vedu je pochopiteľne veľkou výzvou objektivizovať a zhodnotiť túto subjektívnu veličinu. </w:t>
      </w:r>
      <w:r w:rsidR="00E205D7" w:rsidRPr="00DA07E4">
        <w:rPr>
          <w:rFonts w:ascii="Times New Roman" w:hAnsi="Times New Roman" w:cs="Times New Roman"/>
          <w:sz w:val="24"/>
          <w:szCs w:val="24"/>
        </w:rPr>
        <w:t xml:space="preserve">Keď sa podarí vytvoriť nástroj, ktorý to dokáže (hovoríme o dotazníkoch, v anglickej literatúre „instruments“ alebo „tools“), dostávame do rúk </w:t>
      </w:r>
      <w:r w:rsidR="00F2669C" w:rsidRPr="00DA07E4">
        <w:rPr>
          <w:rFonts w:ascii="Times New Roman" w:hAnsi="Times New Roman" w:cs="Times New Roman"/>
          <w:sz w:val="24"/>
          <w:szCs w:val="24"/>
        </w:rPr>
        <w:t>hodnotný test použiteľný v </w:t>
      </w:r>
      <w:r w:rsidR="00F2669C" w:rsidRPr="00E26032">
        <w:rPr>
          <w:rFonts w:ascii="Times New Roman" w:hAnsi="Times New Roman" w:cs="Times New Roman"/>
          <w:sz w:val="24"/>
          <w:szCs w:val="24"/>
        </w:rPr>
        <w:t>dennej klinickej praxi. Validovaný dotazník má rovnakú váhu ako ktorýkoľvek biochemický marker či zobrazovacie vyšetrenie. Môže byť použitý ako pomôcka pri diagnostickej rozvahe</w:t>
      </w:r>
      <w:r w:rsidR="00B54AB8" w:rsidRPr="00E26032">
        <w:rPr>
          <w:rFonts w:ascii="Times New Roman" w:hAnsi="Times New Roman" w:cs="Times New Roman"/>
          <w:sz w:val="24"/>
          <w:szCs w:val="24"/>
        </w:rPr>
        <w:t xml:space="preserve"> (Ware, 1976)</w:t>
      </w:r>
      <w:r w:rsidR="00F2669C" w:rsidRPr="00E26032">
        <w:rPr>
          <w:rFonts w:ascii="Times New Roman" w:hAnsi="Times New Roman" w:cs="Times New Roman"/>
          <w:sz w:val="24"/>
          <w:szCs w:val="24"/>
        </w:rPr>
        <w:t>.</w:t>
      </w:r>
      <w:r w:rsidR="00F2669C" w:rsidRPr="00DA07E4">
        <w:rPr>
          <w:rFonts w:ascii="Times New Roman" w:hAnsi="Times New Roman" w:cs="Times New Roman"/>
          <w:sz w:val="24"/>
          <w:szCs w:val="24"/>
        </w:rPr>
        <w:t xml:space="preserve"> </w:t>
      </w:r>
    </w:p>
    <w:p w14:paraId="5A145614" w14:textId="77777777" w:rsidR="00CB0810" w:rsidRPr="00DA07E4" w:rsidRDefault="00CB0810" w:rsidP="00DA07E4">
      <w:pPr>
        <w:shd w:val="clear" w:color="auto" w:fill="FFFFFF"/>
        <w:spacing w:after="0" w:line="360" w:lineRule="auto"/>
        <w:jc w:val="both"/>
        <w:rPr>
          <w:rFonts w:ascii="Times New Roman" w:hAnsi="Times New Roman" w:cs="Times New Roman"/>
          <w:sz w:val="24"/>
          <w:szCs w:val="24"/>
        </w:rPr>
      </w:pPr>
    </w:p>
    <w:p w14:paraId="74232832" w14:textId="262B53AE" w:rsidR="00CB0810" w:rsidRPr="00DA07E4" w:rsidRDefault="00CB0810" w:rsidP="00DA07E4">
      <w:pPr>
        <w:pStyle w:val="Odstavecseseznamem"/>
        <w:numPr>
          <w:ilvl w:val="1"/>
          <w:numId w:val="4"/>
        </w:numPr>
        <w:shd w:val="clear" w:color="auto" w:fill="FFFFFF"/>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Typy dotazníkov testujúcich HRQOL</w:t>
      </w:r>
    </w:p>
    <w:p w14:paraId="5EF8C258" w14:textId="77777777" w:rsidR="008C754F" w:rsidRPr="00DA07E4" w:rsidRDefault="008C754F" w:rsidP="00DA07E4">
      <w:pPr>
        <w:shd w:val="clear" w:color="auto" w:fill="FFFFFF"/>
        <w:spacing w:after="0" w:line="360" w:lineRule="auto"/>
        <w:jc w:val="both"/>
        <w:rPr>
          <w:rFonts w:ascii="Times New Roman" w:hAnsi="Times New Roman" w:cs="Times New Roman"/>
          <w:sz w:val="24"/>
          <w:szCs w:val="24"/>
        </w:rPr>
      </w:pPr>
    </w:p>
    <w:p w14:paraId="5F2EF3EB" w14:textId="3F2158A3" w:rsidR="00DD52B5" w:rsidRPr="00DA07E4" w:rsidRDefault="00DD52B5"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Dotazníky, ktoré testujú kvalitu života, je možné jednoducho rozdeliť na v</w:t>
      </w:r>
      <w:r w:rsidR="00EB4E6E" w:rsidRPr="00DA07E4">
        <w:rPr>
          <w:rFonts w:ascii="Times New Roman" w:hAnsi="Times New Roman" w:cs="Times New Roman"/>
          <w:sz w:val="24"/>
          <w:szCs w:val="24"/>
        </w:rPr>
        <w:t xml:space="preserve">šeobecné </w:t>
      </w:r>
      <w:r w:rsidRPr="00DA07E4">
        <w:rPr>
          <w:rFonts w:ascii="Times New Roman" w:hAnsi="Times New Roman" w:cs="Times New Roman"/>
          <w:sz w:val="24"/>
          <w:szCs w:val="24"/>
        </w:rPr>
        <w:t xml:space="preserve">a ochorenie-špecifické. Všeobecné dotazníky </w:t>
      </w:r>
      <w:r w:rsidR="00EB4E6E" w:rsidRPr="00DA07E4">
        <w:rPr>
          <w:rFonts w:ascii="Times New Roman" w:hAnsi="Times New Roman" w:cs="Times New Roman"/>
          <w:sz w:val="24"/>
          <w:szCs w:val="24"/>
        </w:rPr>
        <w:t>sa sústredia na </w:t>
      </w:r>
      <w:r w:rsidRPr="00DA07E4">
        <w:rPr>
          <w:rFonts w:ascii="Times New Roman" w:hAnsi="Times New Roman" w:cs="Times New Roman"/>
          <w:sz w:val="24"/>
          <w:szCs w:val="24"/>
        </w:rPr>
        <w:t xml:space="preserve">celkové </w:t>
      </w:r>
      <w:r w:rsidR="00EB4E6E" w:rsidRPr="00DA07E4">
        <w:rPr>
          <w:rFonts w:ascii="Times New Roman" w:hAnsi="Times New Roman" w:cs="Times New Roman"/>
          <w:sz w:val="24"/>
          <w:szCs w:val="24"/>
        </w:rPr>
        <w:t xml:space="preserve">vnímanie zdravotného stavu </w:t>
      </w:r>
      <w:r w:rsidRPr="00DA07E4">
        <w:rPr>
          <w:rFonts w:ascii="Times New Roman" w:hAnsi="Times New Roman" w:cs="Times New Roman"/>
          <w:sz w:val="24"/>
          <w:szCs w:val="24"/>
        </w:rPr>
        <w:t>pacientom</w:t>
      </w:r>
      <w:r w:rsidR="00D770C4">
        <w:rPr>
          <w:rFonts w:ascii="Times New Roman" w:hAnsi="Times New Roman" w:cs="Times New Roman"/>
          <w:sz w:val="24"/>
          <w:szCs w:val="24"/>
        </w:rPr>
        <w:t>,</w:t>
      </w:r>
      <w:r w:rsidRPr="00DA07E4">
        <w:rPr>
          <w:rFonts w:ascii="Times New Roman" w:hAnsi="Times New Roman" w:cs="Times New Roman"/>
          <w:sz w:val="24"/>
          <w:szCs w:val="24"/>
        </w:rPr>
        <w:t xml:space="preserve"> </w:t>
      </w:r>
      <w:r w:rsidR="00D770C4">
        <w:rPr>
          <w:rFonts w:ascii="Times New Roman" w:hAnsi="Times New Roman" w:cs="Times New Roman"/>
          <w:sz w:val="24"/>
          <w:szCs w:val="24"/>
        </w:rPr>
        <w:t>v</w:t>
      </w:r>
      <w:r w:rsidRPr="00DA07E4">
        <w:rPr>
          <w:rFonts w:ascii="Times New Roman" w:hAnsi="Times New Roman" w:cs="Times New Roman"/>
          <w:sz w:val="24"/>
          <w:szCs w:val="24"/>
        </w:rPr>
        <w:t xml:space="preserve">rátane </w:t>
      </w:r>
      <w:r w:rsidR="00EB4E6E" w:rsidRPr="00DA07E4">
        <w:rPr>
          <w:rFonts w:ascii="Times New Roman" w:hAnsi="Times New Roman" w:cs="Times New Roman"/>
          <w:sz w:val="24"/>
          <w:szCs w:val="24"/>
        </w:rPr>
        <w:t>sociáln</w:t>
      </w:r>
      <w:r w:rsidRPr="00DA07E4">
        <w:rPr>
          <w:rFonts w:ascii="Times New Roman" w:hAnsi="Times New Roman" w:cs="Times New Roman"/>
          <w:sz w:val="24"/>
          <w:szCs w:val="24"/>
        </w:rPr>
        <w:t>ej alebo</w:t>
      </w:r>
      <w:r w:rsidR="00EB4E6E" w:rsidRPr="00DA07E4">
        <w:rPr>
          <w:rFonts w:ascii="Times New Roman" w:hAnsi="Times New Roman" w:cs="Times New Roman"/>
          <w:sz w:val="24"/>
          <w:szCs w:val="24"/>
        </w:rPr>
        <w:t xml:space="preserve"> emočn</w:t>
      </w:r>
      <w:r w:rsidRPr="00DA07E4">
        <w:rPr>
          <w:rFonts w:ascii="Times New Roman" w:hAnsi="Times New Roman" w:cs="Times New Roman"/>
          <w:sz w:val="24"/>
          <w:szCs w:val="24"/>
        </w:rPr>
        <w:t>ej</w:t>
      </w:r>
      <w:r w:rsidR="00EB4E6E" w:rsidRPr="00DA07E4">
        <w:rPr>
          <w:rFonts w:ascii="Times New Roman" w:hAnsi="Times New Roman" w:cs="Times New Roman"/>
          <w:sz w:val="24"/>
          <w:szCs w:val="24"/>
        </w:rPr>
        <w:t xml:space="preserve"> zlož</w:t>
      </w:r>
      <w:r w:rsidRPr="00DA07E4">
        <w:rPr>
          <w:rFonts w:ascii="Times New Roman" w:hAnsi="Times New Roman" w:cs="Times New Roman"/>
          <w:sz w:val="24"/>
          <w:szCs w:val="24"/>
        </w:rPr>
        <w:t>ky</w:t>
      </w:r>
      <w:r w:rsidR="00EB4E6E" w:rsidRPr="00DA07E4">
        <w:rPr>
          <w:rFonts w:ascii="Times New Roman" w:hAnsi="Times New Roman" w:cs="Times New Roman"/>
          <w:sz w:val="24"/>
          <w:szCs w:val="24"/>
        </w:rPr>
        <w:t xml:space="preserve">. </w:t>
      </w:r>
      <w:r w:rsidRPr="00DA07E4">
        <w:rPr>
          <w:rFonts w:ascii="Times New Roman" w:hAnsi="Times New Roman" w:cs="Times New Roman"/>
          <w:sz w:val="24"/>
          <w:szCs w:val="24"/>
        </w:rPr>
        <w:t>Takýto dotazník je vhodné použiť na ochorenie, ktoré ovplyvňuje celý organizmus, napríklad onkologické ochorenie v štádiu orgánových komplikácií.</w:t>
      </w:r>
    </w:p>
    <w:p w14:paraId="6735F926" w14:textId="7D52298C" w:rsidR="00CB0810" w:rsidRPr="00DA07E4" w:rsidRDefault="00DD52B5"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Špecifické dotazníky sú zamerané na sledovanie vplyvu </w:t>
      </w:r>
      <w:r w:rsidR="00EB4E6E" w:rsidRPr="00DA07E4">
        <w:rPr>
          <w:rFonts w:ascii="Times New Roman" w:hAnsi="Times New Roman" w:cs="Times New Roman"/>
          <w:sz w:val="24"/>
          <w:szCs w:val="24"/>
        </w:rPr>
        <w:t>ochoreni</w:t>
      </w:r>
      <w:r w:rsidRPr="00DA07E4">
        <w:rPr>
          <w:rFonts w:ascii="Times New Roman" w:hAnsi="Times New Roman" w:cs="Times New Roman"/>
          <w:sz w:val="24"/>
          <w:szCs w:val="24"/>
        </w:rPr>
        <w:t>a</w:t>
      </w:r>
      <w:r w:rsidR="00EB4E6E" w:rsidRPr="00DA07E4">
        <w:rPr>
          <w:rFonts w:ascii="Times New Roman" w:hAnsi="Times New Roman" w:cs="Times New Roman"/>
          <w:sz w:val="24"/>
          <w:szCs w:val="24"/>
        </w:rPr>
        <w:t xml:space="preserve"> či dysfunkci</w:t>
      </w:r>
      <w:r w:rsidRPr="00DA07E4">
        <w:rPr>
          <w:rFonts w:ascii="Times New Roman" w:hAnsi="Times New Roman" w:cs="Times New Roman"/>
          <w:sz w:val="24"/>
          <w:szCs w:val="24"/>
        </w:rPr>
        <w:t>e</w:t>
      </w:r>
      <w:r w:rsidR="00EB4E6E" w:rsidRPr="00DA07E4">
        <w:rPr>
          <w:rFonts w:ascii="Times New Roman" w:hAnsi="Times New Roman" w:cs="Times New Roman"/>
          <w:sz w:val="24"/>
          <w:szCs w:val="24"/>
        </w:rPr>
        <w:t xml:space="preserve"> jedného orgánu</w:t>
      </w:r>
      <w:r w:rsidRPr="00DA07E4">
        <w:rPr>
          <w:rFonts w:ascii="Times New Roman" w:hAnsi="Times New Roman" w:cs="Times New Roman"/>
          <w:sz w:val="24"/>
          <w:szCs w:val="24"/>
        </w:rPr>
        <w:t xml:space="preserve"> </w:t>
      </w:r>
      <w:r w:rsidR="00EB4E6E" w:rsidRPr="00DA07E4">
        <w:rPr>
          <w:rFonts w:ascii="Times New Roman" w:hAnsi="Times New Roman" w:cs="Times New Roman"/>
          <w:sz w:val="24"/>
          <w:szCs w:val="24"/>
        </w:rPr>
        <w:t>na celkovú kvalitu života (</w:t>
      </w:r>
      <w:r w:rsidRPr="00DA07E4">
        <w:rPr>
          <w:rFonts w:ascii="Times New Roman" w:hAnsi="Times New Roman" w:cs="Times New Roman"/>
          <w:sz w:val="24"/>
          <w:szCs w:val="24"/>
        </w:rPr>
        <w:t>opäť môže ísť o onkologické ochorenie</w:t>
      </w:r>
      <w:r w:rsidR="00EB4E6E" w:rsidRPr="00DA07E4">
        <w:rPr>
          <w:rFonts w:ascii="Times New Roman" w:hAnsi="Times New Roman" w:cs="Times New Roman"/>
          <w:sz w:val="24"/>
          <w:szCs w:val="24"/>
        </w:rPr>
        <w:t xml:space="preserve">). </w:t>
      </w:r>
      <w:r w:rsidRPr="00DA07E4">
        <w:rPr>
          <w:rFonts w:ascii="Times New Roman" w:hAnsi="Times New Roman" w:cs="Times New Roman"/>
          <w:sz w:val="24"/>
          <w:szCs w:val="24"/>
        </w:rPr>
        <w:t xml:space="preserve">Tieto dotazníky sú veľmi efektívne pri určení hlavných negatívnych vplyvov liečby (napríklad </w:t>
      </w:r>
      <w:r w:rsidR="00862203" w:rsidRPr="00DA07E4">
        <w:rPr>
          <w:rFonts w:ascii="Times New Roman" w:hAnsi="Times New Roman" w:cs="Times New Roman"/>
          <w:sz w:val="24"/>
          <w:szCs w:val="24"/>
        </w:rPr>
        <w:t xml:space="preserve">inkontinencia a erektilná dysfunkcia po radikálnej prostatektómii). Použitie dotazníka z jednej skupiny nevylučuje použitie druhého dotazníka. Vzhľadom k pokroku lekárskej vedy je v súčasnosti už </w:t>
      </w:r>
      <w:r w:rsidR="00EB4E6E" w:rsidRPr="00DA07E4">
        <w:rPr>
          <w:rFonts w:ascii="Times New Roman" w:hAnsi="Times New Roman" w:cs="Times New Roman"/>
          <w:sz w:val="24"/>
          <w:szCs w:val="24"/>
        </w:rPr>
        <w:t>prakticky nemožné zostaviť</w:t>
      </w:r>
      <w:r w:rsidR="00862203" w:rsidRPr="00DA07E4">
        <w:rPr>
          <w:rFonts w:ascii="Times New Roman" w:hAnsi="Times New Roman" w:cs="Times New Roman"/>
          <w:sz w:val="24"/>
          <w:szCs w:val="24"/>
        </w:rPr>
        <w:t xml:space="preserve"> jediný univerzál</w:t>
      </w:r>
      <w:r w:rsidR="00D770C4">
        <w:rPr>
          <w:rFonts w:ascii="Times New Roman" w:hAnsi="Times New Roman" w:cs="Times New Roman"/>
          <w:sz w:val="24"/>
          <w:szCs w:val="24"/>
        </w:rPr>
        <w:t>n</w:t>
      </w:r>
      <w:r w:rsidR="00862203" w:rsidRPr="00DA07E4">
        <w:rPr>
          <w:rFonts w:ascii="Times New Roman" w:hAnsi="Times New Roman" w:cs="Times New Roman"/>
          <w:sz w:val="24"/>
          <w:szCs w:val="24"/>
        </w:rPr>
        <w:t xml:space="preserve">y dotazník, ktorý by hodnotil stav pacienta </w:t>
      </w:r>
      <w:r w:rsidR="00EB4E6E" w:rsidRPr="00DA07E4">
        <w:rPr>
          <w:rFonts w:ascii="Times New Roman" w:hAnsi="Times New Roman" w:cs="Times New Roman"/>
          <w:sz w:val="24"/>
          <w:szCs w:val="24"/>
        </w:rPr>
        <w:t>pri ak</w:t>
      </w:r>
      <w:r w:rsidR="00862203" w:rsidRPr="00DA07E4">
        <w:rPr>
          <w:rFonts w:ascii="Times New Roman" w:hAnsi="Times New Roman" w:cs="Times New Roman"/>
          <w:sz w:val="24"/>
          <w:szCs w:val="24"/>
        </w:rPr>
        <w:t>om</w:t>
      </w:r>
      <w:r w:rsidR="00EB4E6E" w:rsidRPr="00DA07E4">
        <w:rPr>
          <w:rFonts w:ascii="Times New Roman" w:hAnsi="Times New Roman" w:cs="Times New Roman"/>
          <w:sz w:val="24"/>
          <w:szCs w:val="24"/>
        </w:rPr>
        <w:t xml:space="preserve">koľvek </w:t>
      </w:r>
      <w:r w:rsidR="00862203" w:rsidRPr="00DA07E4">
        <w:rPr>
          <w:rFonts w:ascii="Times New Roman" w:hAnsi="Times New Roman" w:cs="Times New Roman"/>
          <w:sz w:val="24"/>
          <w:szCs w:val="24"/>
        </w:rPr>
        <w:t>ochorení</w:t>
      </w:r>
      <w:r w:rsidR="00EB4E6E" w:rsidRPr="00DA07E4">
        <w:rPr>
          <w:rFonts w:ascii="Times New Roman" w:hAnsi="Times New Roman" w:cs="Times New Roman"/>
          <w:sz w:val="24"/>
          <w:szCs w:val="24"/>
        </w:rPr>
        <w:t>.</w:t>
      </w:r>
    </w:p>
    <w:p w14:paraId="3909D83B" w14:textId="1C3575E0" w:rsidR="003D763E" w:rsidRDefault="003D763E" w:rsidP="00DA07E4">
      <w:pPr>
        <w:shd w:val="clear" w:color="auto" w:fill="FFFFFF"/>
        <w:spacing w:after="0" w:line="360" w:lineRule="auto"/>
        <w:jc w:val="both"/>
        <w:rPr>
          <w:rFonts w:ascii="Times New Roman" w:hAnsi="Times New Roman" w:cs="Times New Roman"/>
          <w:sz w:val="24"/>
          <w:szCs w:val="24"/>
        </w:rPr>
      </w:pPr>
    </w:p>
    <w:p w14:paraId="49F7CA92" w14:textId="422325B8" w:rsidR="005232A4" w:rsidRDefault="005232A4" w:rsidP="00DA07E4">
      <w:pPr>
        <w:shd w:val="clear" w:color="auto" w:fill="FFFFFF"/>
        <w:spacing w:after="0" w:line="360" w:lineRule="auto"/>
        <w:jc w:val="both"/>
        <w:rPr>
          <w:rFonts w:ascii="Times New Roman" w:hAnsi="Times New Roman" w:cs="Times New Roman"/>
          <w:sz w:val="24"/>
          <w:szCs w:val="24"/>
        </w:rPr>
      </w:pPr>
    </w:p>
    <w:p w14:paraId="596AE626" w14:textId="77777777" w:rsidR="005232A4" w:rsidRPr="00DA07E4" w:rsidRDefault="005232A4" w:rsidP="00DA07E4">
      <w:pPr>
        <w:shd w:val="clear" w:color="auto" w:fill="FFFFFF"/>
        <w:spacing w:after="0" w:line="360" w:lineRule="auto"/>
        <w:jc w:val="both"/>
        <w:rPr>
          <w:rFonts w:ascii="Times New Roman" w:hAnsi="Times New Roman" w:cs="Times New Roman"/>
          <w:sz w:val="24"/>
          <w:szCs w:val="24"/>
        </w:rPr>
      </w:pPr>
    </w:p>
    <w:p w14:paraId="1F6231AF" w14:textId="3D03A759" w:rsidR="0022455A" w:rsidRPr="00DA07E4" w:rsidRDefault="0022455A" w:rsidP="00DA07E4">
      <w:pPr>
        <w:pStyle w:val="Odstavecseseznamem"/>
        <w:numPr>
          <w:ilvl w:val="1"/>
          <w:numId w:val="4"/>
        </w:numPr>
        <w:spacing w:after="0" w:line="360" w:lineRule="auto"/>
        <w:jc w:val="both"/>
        <w:rPr>
          <w:rFonts w:ascii="Times New Roman" w:hAnsi="Times New Roman" w:cs="Times New Roman"/>
          <w:b/>
          <w:sz w:val="24"/>
          <w:szCs w:val="24"/>
        </w:rPr>
      </w:pPr>
      <w:r w:rsidRPr="00DA07E4">
        <w:rPr>
          <w:rFonts w:ascii="Times New Roman" w:hAnsi="Times New Roman" w:cs="Times New Roman"/>
          <w:sz w:val="24"/>
          <w:szCs w:val="24"/>
        </w:rPr>
        <w:lastRenderedPageBreak/>
        <w:t xml:space="preserve"> </w:t>
      </w:r>
      <w:r w:rsidRPr="00DA07E4">
        <w:rPr>
          <w:rFonts w:ascii="Times New Roman" w:hAnsi="Times New Roman" w:cs="Times New Roman"/>
          <w:b/>
          <w:sz w:val="24"/>
          <w:szCs w:val="24"/>
        </w:rPr>
        <w:t>Základy psychometrického testovania</w:t>
      </w:r>
    </w:p>
    <w:p w14:paraId="4BBD1D1D" w14:textId="77777777" w:rsidR="008C754F" w:rsidRPr="00DA07E4" w:rsidRDefault="008C754F" w:rsidP="00DA07E4">
      <w:pPr>
        <w:spacing w:after="0" w:line="360" w:lineRule="auto"/>
        <w:jc w:val="both"/>
        <w:rPr>
          <w:rStyle w:val="A1"/>
          <w:rFonts w:ascii="Times New Roman" w:hAnsi="Times New Roman" w:cs="Times New Roman"/>
          <w:color w:val="auto"/>
          <w:sz w:val="24"/>
          <w:szCs w:val="24"/>
        </w:rPr>
      </w:pPr>
    </w:p>
    <w:p w14:paraId="12A729F7" w14:textId="01649CE6" w:rsidR="0022455A" w:rsidRPr="00E26032" w:rsidRDefault="00E205D7" w:rsidP="00DA07E4">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Tvorba dotazníka</w:t>
      </w:r>
      <w:r w:rsidR="00CB0810" w:rsidRPr="00DA07E4">
        <w:rPr>
          <w:rStyle w:val="A1"/>
          <w:rFonts w:ascii="Times New Roman" w:hAnsi="Times New Roman" w:cs="Times New Roman"/>
          <w:color w:val="auto"/>
          <w:sz w:val="24"/>
          <w:szCs w:val="24"/>
        </w:rPr>
        <w:t>, ktorý testuje HRQOL,</w:t>
      </w:r>
      <w:r w:rsidRPr="00DA07E4">
        <w:rPr>
          <w:rStyle w:val="A1"/>
          <w:rFonts w:ascii="Times New Roman" w:hAnsi="Times New Roman" w:cs="Times New Roman"/>
          <w:color w:val="auto"/>
          <w:sz w:val="24"/>
          <w:szCs w:val="24"/>
        </w:rPr>
        <w:t xml:space="preserve"> je náročný proces vyžaduj</w:t>
      </w:r>
      <w:r w:rsidR="00CB0810" w:rsidRPr="00DA07E4">
        <w:rPr>
          <w:rStyle w:val="A1"/>
          <w:rFonts w:ascii="Times New Roman" w:hAnsi="Times New Roman" w:cs="Times New Roman"/>
          <w:color w:val="auto"/>
          <w:sz w:val="24"/>
          <w:szCs w:val="24"/>
        </w:rPr>
        <w:t>úci</w:t>
      </w:r>
      <w:r w:rsidRPr="00DA07E4">
        <w:rPr>
          <w:rStyle w:val="A1"/>
          <w:rFonts w:ascii="Times New Roman" w:hAnsi="Times New Roman" w:cs="Times New Roman"/>
          <w:color w:val="auto"/>
          <w:sz w:val="24"/>
          <w:szCs w:val="24"/>
        </w:rPr>
        <w:t xml:space="preserve"> znalosti psychometrického testovania. </w:t>
      </w:r>
      <w:r w:rsidRPr="00E26032">
        <w:rPr>
          <w:rStyle w:val="A1"/>
          <w:rFonts w:ascii="Times New Roman" w:hAnsi="Times New Roman" w:cs="Times New Roman"/>
          <w:color w:val="auto"/>
          <w:sz w:val="24"/>
          <w:szCs w:val="24"/>
        </w:rPr>
        <w:t>Rovnako</w:t>
      </w:r>
      <w:r w:rsidR="00D770C4" w:rsidRPr="00E26032">
        <w:rPr>
          <w:rStyle w:val="A1"/>
          <w:rFonts w:ascii="Times New Roman" w:hAnsi="Times New Roman" w:cs="Times New Roman"/>
          <w:color w:val="auto"/>
          <w:sz w:val="24"/>
          <w:szCs w:val="24"/>
        </w:rPr>
        <w:t xml:space="preserve"> náročná je</w:t>
      </w:r>
      <w:r w:rsidRPr="00E26032">
        <w:rPr>
          <w:rStyle w:val="A1"/>
          <w:rFonts w:ascii="Times New Roman" w:hAnsi="Times New Roman" w:cs="Times New Roman"/>
          <w:color w:val="auto"/>
          <w:sz w:val="24"/>
          <w:szCs w:val="24"/>
        </w:rPr>
        <w:t xml:space="preserve"> aj validácia dotazníka </w:t>
      </w:r>
      <w:r w:rsidR="00CB0810" w:rsidRPr="00E26032">
        <w:rPr>
          <w:rStyle w:val="A1"/>
          <w:rFonts w:ascii="Times New Roman" w:hAnsi="Times New Roman" w:cs="Times New Roman"/>
          <w:color w:val="auto"/>
          <w:sz w:val="24"/>
          <w:szCs w:val="24"/>
        </w:rPr>
        <w:t xml:space="preserve">z originálu </w:t>
      </w:r>
      <w:r w:rsidRPr="00E26032">
        <w:rPr>
          <w:rStyle w:val="A1"/>
          <w:rFonts w:ascii="Times New Roman" w:hAnsi="Times New Roman" w:cs="Times New Roman"/>
          <w:color w:val="auto"/>
          <w:sz w:val="24"/>
          <w:szCs w:val="24"/>
        </w:rPr>
        <w:t>do nového jazyk</w:t>
      </w:r>
      <w:r w:rsidR="00CB0810" w:rsidRPr="00E26032">
        <w:rPr>
          <w:rStyle w:val="A1"/>
          <w:rFonts w:ascii="Times New Roman" w:hAnsi="Times New Roman" w:cs="Times New Roman"/>
          <w:color w:val="auto"/>
          <w:sz w:val="24"/>
          <w:szCs w:val="24"/>
        </w:rPr>
        <w:t>a</w:t>
      </w:r>
      <w:r w:rsidRPr="00E26032">
        <w:rPr>
          <w:rStyle w:val="A1"/>
          <w:rFonts w:ascii="Times New Roman" w:hAnsi="Times New Roman" w:cs="Times New Roman"/>
          <w:color w:val="auto"/>
          <w:sz w:val="24"/>
          <w:szCs w:val="24"/>
        </w:rPr>
        <w:t>. Len dodržanie presne určených postupov umožňuje použitie dotazníka ako valídneho diagnostického nástroja.</w:t>
      </w:r>
    </w:p>
    <w:p w14:paraId="27509C60" w14:textId="5110CB08" w:rsidR="00277316" w:rsidRPr="00B54AB8" w:rsidRDefault="00277316" w:rsidP="00DA07E4">
      <w:pPr>
        <w:spacing w:after="0" w:line="360" w:lineRule="auto"/>
        <w:ind w:firstLine="708"/>
        <w:jc w:val="both"/>
        <w:rPr>
          <w:rStyle w:val="A1"/>
          <w:rFonts w:ascii="Times New Roman" w:hAnsi="Times New Roman" w:cs="Times New Roman"/>
          <w:color w:val="auto"/>
          <w:sz w:val="24"/>
          <w:szCs w:val="24"/>
        </w:rPr>
      </w:pPr>
      <w:r w:rsidRPr="00E26032">
        <w:rPr>
          <w:rStyle w:val="A1"/>
          <w:rFonts w:ascii="Times New Roman" w:hAnsi="Times New Roman" w:cs="Times New Roman"/>
          <w:color w:val="auto"/>
          <w:sz w:val="24"/>
          <w:szCs w:val="24"/>
        </w:rPr>
        <w:t>Dotazník pozostáva z otázok, ktoré sa anglicky označujú items. Pochopiteľne, čím menej otázok, tým je dotazník prívetivejší ako pre pacienta, tak pre lekára v bežnej klinickej praxis. Otázky preto musia čo najlepšie pokryť možné komplikácie, ktoré dotazník testuje</w:t>
      </w:r>
      <w:r w:rsidR="00B54AB8" w:rsidRPr="00E26032">
        <w:rPr>
          <w:rStyle w:val="A1"/>
          <w:rFonts w:ascii="Times New Roman" w:hAnsi="Times New Roman" w:cs="Times New Roman"/>
          <w:color w:val="auto"/>
          <w:sz w:val="24"/>
          <w:szCs w:val="24"/>
        </w:rPr>
        <w:t xml:space="preserve"> (</w:t>
      </w:r>
      <w:r w:rsidR="00B54AB8" w:rsidRPr="00E26032">
        <w:rPr>
          <w:rFonts w:ascii="Times New Roman" w:hAnsi="Times New Roman" w:cs="Times New Roman"/>
          <w:sz w:val="24"/>
          <w:szCs w:val="24"/>
        </w:rPr>
        <w:t>Guillemin et al., 1993)</w:t>
      </w:r>
      <w:r w:rsidRPr="00E26032">
        <w:rPr>
          <w:rStyle w:val="A1"/>
          <w:rFonts w:ascii="Times New Roman" w:hAnsi="Times New Roman" w:cs="Times New Roman"/>
          <w:color w:val="auto"/>
          <w:sz w:val="24"/>
          <w:szCs w:val="24"/>
        </w:rPr>
        <w:t>.</w:t>
      </w:r>
    </w:p>
    <w:p w14:paraId="4E7AC9AD" w14:textId="22DC4D9A" w:rsidR="00277316" w:rsidRPr="00DA07E4" w:rsidRDefault="00277316" w:rsidP="00DA07E4">
      <w:pPr>
        <w:spacing w:after="0" w:line="360" w:lineRule="auto"/>
        <w:ind w:firstLine="708"/>
        <w:jc w:val="both"/>
        <w:rPr>
          <w:rStyle w:val="A1"/>
          <w:rFonts w:ascii="Times New Roman" w:hAnsi="Times New Roman" w:cs="Times New Roman"/>
          <w:color w:val="auto"/>
          <w:sz w:val="24"/>
          <w:szCs w:val="24"/>
        </w:rPr>
      </w:pPr>
      <w:r w:rsidRPr="00B54AB8">
        <w:rPr>
          <w:rStyle w:val="A1"/>
          <w:rFonts w:ascii="Times New Roman" w:hAnsi="Times New Roman" w:cs="Times New Roman"/>
          <w:color w:val="auto"/>
          <w:sz w:val="24"/>
          <w:szCs w:val="24"/>
        </w:rPr>
        <w:t xml:space="preserve">Pacient zodpovedá </w:t>
      </w:r>
      <w:r w:rsidRPr="00DA07E4">
        <w:rPr>
          <w:rStyle w:val="A1"/>
          <w:rFonts w:ascii="Times New Roman" w:hAnsi="Times New Roman" w:cs="Times New Roman"/>
          <w:color w:val="auto"/>
          <w:sz w:val="24"/>
          <w:szCs w:val="24"/>
        </w:rPr>
        <w:t>každú otázku určeným spôsobom. Niekedy odpovede treba vybrať na číselnej škále (napríklad posúdenie závažnosti príznakov dolných močových ciest – angl. Low Urinary Tract Symptoms, LUTS v rozsahu 0</w:t>
      </w:r>
      <w:r w:rsidR="00D770C4">
        <w:rPr>
          <w:rStyle w:val="A1"/>
          <w:rFonts w:ascii="Times New Roman" w:hAnsi="Times New Roman" w:cs="Times New Roman"/>
          <w:color w:val="auto"/>
          <w:sz w:val="24"/>
          <w:szCs w:val="24"/>
        </w:rPr>
        <w:t xml:space="preserve"> až </w:t>
      </w:r>
      <w:r w:rsidRPr="00DA07E4">
        <w:rPr>
          <w:rStyle w:val="A1"/>
          <w:rFonts w:ascii="Times New Roman" w:hAnsi="Times New Roman" w:cs="Times New Roman"/>
          <w:color w:val="auto"/>
          <w:sz w:val="24"/>
          <w:szCs w:val="24"/>
        </w:rPr>
        <w:t>5, kde vyššie číslo značí závažnejšie príznaky). Inokedy sa používa vizuálna analógová škála (VAS, pacient si vyberie na škále bod) alebo Likertova škála (dobre známy zoznam odpovedí na výber – napríklad príznaky mierne, mierne závažné, veľmi závažné, neznesiteľné)</w:t>
      </w:r>
      <w:r w:rsidRPr="00DA07E4">
        <w:rPr>
          <w:rFonts w:ascii="Times New Roman" w:hAnsi="Times New Roman" w:cs="Times New Roman"/>
          <w:sz w:val="24"/>
          <w:szCs w:val="24"/>
        </w:rPr>
        <w:t xml:space="preserve"> (</w:t>
      </w:r>
      <w:r w:rsidR="005A093B" w:rsidRPr="00DA07E4">
        <w:rPr>
          <w:rFonts w:ascii="Times New Roman" w:hAnsi="Times New Roman" w:cs="Times New Roman"/>
          <w:sz w:val="24"/>
          <w:szCs w:val="24"/>
        </w:rPr>
        <w:t xml:space="preserve">Nelson et al., 1990; Finlay </w:t>
      </w:r>
      <w:r w:rsidR="00D770C4">
        <w:rPr>
          <w:rFonts w:ascii="Times New Roman" w:hAnsi="Times New Roman" w:cs="Times New Roman"/>
          <w:sz w:val="24"/>
          <w:szCs w:val="24"/>
        </w:rPr>
        <w:t>et</w:t>
      </w:r>
      <w:r w:rsidR="005A093B" w:rsidRPr="00DA07E4">
        <w:rPr>
          <w:rFonts w:ascii="Times New Roman" w:hAnsi="Times New Roman" w:cs="Times New Roman"/>
          <w:sz w:val="24"/>
          <w:szCs w:val="24"/>
        </w:rPr>
        <w:t xml:space="preserve"> Lyons, 2001</w:t>
      </w:r>
      <w:r w:rsidRPr="00DA07E4">
        <w:rPr>
          <w:rFonts w:ascii="Times New Roman" w:hAnsi="Times New Roman" w:cs="Times New Roman"/>
          <w:sz w:val="24"/>
          <w:szCs w:val="24"/>
        </w:rPr>
        <w:t>)</w:t>
      </w:r>
      <w:r w:rsidRPr="00DA07E4">
        <w:rPr>
          <w:rStyle w:val="A1"/>
          <w:rFonts w:ascii="Times New Roman" w:hAnsi="Times New Roman" w:cs="Times New Roman"/>
          <w:color w:val="auto"/>
          <w:sz w:val="24"/>
          <w:szCs w:val="24"/>
        </w:rPr>
        <w:t>.</w:t>
      </w:r>
    </w:p>
    <w:p w14:paraId="736185E9" w14:textId="0443111A" w:rsidR="00984BAA" w:rsidRPr="00DA07E4" w:rsidRDefault="00277316" w:rsidP="00DA07E4">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Otázky sú zoskupené do domén na základe spoločného problému (napríklad doména erektilnej dysfunkcie, doména celkovej vitality).</w:t>
      </w:r>
      <w:r w:rsidR="00865B98" w:rsidRPr="00DA07E4">
        <w:rPr>
          <w:rStyle w:val="A1"/>
          <w:rFonts w:ascii="Times New Roman" w:hAnsi="Times New Roman" w:cs="Times New Roman"/>
          <w:color w:val="auto"/>
          <w:sz w:val="24"/>
          <w:szCs w:val="24"/>
        </w:rPr>
        <w:t xml:space="preserve"> Každá doména dostane finálne skóre, ktoré sa zistí súčtom čiastočného skóre jednotlivých otázok. Takzvaná Confirmatory factor analysis</w:t>
      </w:r>
      <w:r w:rsidR="00984BAA" w:rsidRPr="00DA07E4">
        <w:rPr>
          <w:rStyle w:val="A1"/>
          <w:rFonts w:ascii="Times New Roman" w:hAnsi="Times New Roman" w:cs="Times New Roman"/>
          <w:color w:val="auto"/>
          <w:sz w:val="24"/>
          <w:szCs w:val="24"/>
        </w:rPr>
        <w:t xml:space="preserve"> matematicky určuje zadelenie otázok do domén (faktorov). Aby doména ako súbor otázok dávala zmysel, musí byť konzistentná. Vnútorná konzistencia domény je faktor, ktorý sa počíta pomocou Cronbachovej alfy alebo McDonaldovej omegy</w:t>
      </w:r>
      <w:r w:rsidR="005A093B" w:rsidRPr="00DA07E4">
        <w:rPr>
          <w:rStyle w:val="A1"/>
          <w:rFonts w:ascii="Times New Roman" w:hAnsi="Times New Roman" w:cs="Times New Roman"/>
          <w:color w:val="auto"/>
          <w:sz w:val="24"/>
          <w:szCs w:val="24"/>
        </w:rPr>
        <w:t xml:space="preserve"> (Cronbach </w:t>
      </w:r>
      <w:r w:rsidR="00D770C4">
        <w:rPr>
          <w:rStyle w:val="A1"/>
          <w:rFonts w:ascii="Times New Roman" w:hAnsi="Times New Roman" w:cs="Times New Roman"/>
          <w:color w:val="auto"/>
          <w:sz w:val="24"/>
          <w:szCs w:val="24"/>
        </w:rPr>
        <w:t>et</w:t>
      </w:r>
      <w:r w:rsidR="005A093B" w:rsidRPr="00DA07E4">
        <w:rPr>
          <w:rStyle w:val="A1"/>
          <w:rFonts w:ascii="Times New Roman" w:hAnsi="Times New Roman" w:cs="Times New Roman"/>
          <w:color w:val="auto"/>
          <w:sz w:val="24"/>
          <w:szCs w:val="24"/>
        </w:rPr>
        <w:t xml:space="preserve"> Meehl, 1955)</w:t>
      </w:r>
      <w:r w:rsidR="00984BAA" w:rsidRPr="00DA07E4">
        <w:rPr>
          <w:rStyle w:val="A1"/>
          <w:rFonts w:ascii="Times New Roman" w:hAnsi="Times New Roman" w:cs="Times New Roman"/>
          <w:color w:val="auto"/>
          <w:sz w:val="24"/>
          <w:szCs w:val="24"/>
        </w:rPr>
        <w:t>. Informuje nás, že otázky zoskupené v doméne dávajú podobné skóre pri rovnakej intenzite problému pacienta. Dobrý príklad je inkontinencia. Ak pacient v jednej otázke označí, že moč mu neuniká a vôbec nepotrebuje používať vložky na únik moču a v ďalšej otázke z dostupných odpovedí vyberie, že inkontinenciu pociťuje ako veľmi veľký problem, je zrejmé, že vnútorná konzistencia domény je nízka a otázky sú vyskladané zle.</w:t>
      </w:r>
    </w:p>
    <w:p w14:paraId="19E2BCCC" w14:textId="56933E00" w:rsidR="00984BAA" w:rsidRPr="00DA07E4" w:rsidRDefault="00984BAA" w:rsidP="00DA07E4">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 xml:space="preserve">Ďalším parametrom dotazníka je </w:t>
      </w:r>
      <w:r w:rsidR="004953D2" w:rsidRPr="00DA07E4">
        <w:rPr>
          <w:rStyle w:val="A1"/>
          <w:rFonts w:ascii="Times New Roman" w:hAnsi="Times New Roman" w:cs="Times New Roman"/>
          <w:color w:val="auto"/>
          <w:sz w:val="24"/>
          <w:szCs w:val="24"/>
        </w:rPr>
        <w:t>platnosť (validita) nástroja. Matematicky sa hodnotí pomocou Spearmanovej alebo Pearsonovej korelácie. Spearmanova korelácia porovná skóre domény pacienta a jeho objektívny stav</w:t>
      </w:r>
      <w:r w:rsidR="00757855" w:rsidRPr="00DA07E4">
        <w:rPr>
          <w:rStyle w:val="A1"/>
          <w:rFonts w:ascii="Times New Roman" w:hAnsi="Times New Roman" w:cs="Times New Roman"/>
          <w:color w:val="auto"/>
          <w:sz w:val="24"/>
          <w:szCs w:val="24"/>
        </w:rPr>
        <w:t xml:space="preserve"> pre daný problém (inkontinencia, erektilná dysfunkcia atď.)</w:t>
      </w:r>
      <w:r w:rsidR="004953D2" w:rsidRPr="00DA07E4">
        <w:rPr>
          <w:rStyle w:val="A1"/>
          <w:rFonts w:ascii="Times New Roman" w:hAnsi="Times New Roman" w:cs="Times New Roman"/>
          <w:color w:val="auto"/>
          <w:sz w:val="24"/>
          <w:szCs w:val="24"/>
        </w:rPr>
        <w:t>.</w:t>
      </w:r>
    </w:p>
    <w:p w14:paraId="135F3A82" w14:textId="0A345A72" w:rsidR="00757855" w:rsidRPr="00DA07E4" w:rsidRDefault="00757855" w:rsidP="00DA07E4">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 xml:space="preserve">Vnútorná a vonkajšia responzivita vyjadrujú zmenu skóre. Analýza rozptylu (angl. Analysis of Variance, ANOVA) testuje vnútornú responzivitu, ktorá vyjadruje schopnosť </w:t>
      </w:r>
      <w:r w:rsidRPr="00DA07E4">
        <w:rPr>
          <w:rStyle w:val="A1"/>
          <w:rFonts w:ascii="Times New Roman" w:hAnsi="Times New Roman" w:cs="Times New Roman"/>
          <w:color w:val="auto"/>
          <w:sz w:val="24"/>
          <w:szCs w:val="24"/>
        </w:rPr>
        <w:lastRenderedPageBreak/>
        <w:t xml:space="preserve">merania meniť sa v čase. Ako zmena zdravotného stavu pacienta koreluje so zmenou skóre v dotazníku testuje vonkajšia responzivita </w:t>
      </w:r>
      <w:r w:rsidRPr="00DA07E4">
        <w:rPr>
          <w:rFonts w:ascii="Times New Roman" w:hAnsi="Times New Roman" w:cs="Times New Roman"/>
          <w:sz w:val="24"/>
          <w:szCs w:val="24"/>
        </w:rPr>
        <w:t>(</w:t>
      </w:r>
      <w:r w:rsidR="005A093B" w:rsidRPr="00DA07E4">
        <w:rPr>
          <w:rFonts w:ascii="Times New Roman" w:hAnsi="Times New Roman" w:cs="Times New Roman"/>
          <w:sz w:val="24"/>
          <w:szCs w:val="24"/>
        </w:rPr>
        <w:t>Husted et al., 2000</w:t>
      </w:r>
      <w:r w:rsidRPr="00DA07E4">
        <w:rPr>
          <w:rFonts w:ascii="Times New Roman" w:hAnsi="Times New Roman" w:cs="Times New Roman"/>
          <w:sz w:val="24"/>
          <w:szCs w:val="24"/>
        </w:rPr>
        <w:t>)</w:t>
      </w:r>
      <w:r w:rsidRPr="00DA07E4">
        <w:rPr>
          <w:rStyle w:val="A1"/>
          <w:rFonts w:ascii="Times New Roman" w:hAnsi="Times New Roman" w:cs="Times New Roman"/>
          <w:color w:val="auto"/>
          <w:sz w:val="24"/>
          <w:szCs w:val="24"/>
        </w:rPr>
        <w:t>.</w:t>
      </w:r>
    </w:p>
    <w:p w14:paraId="3B0EF8DE" w14:textId="40654E17" w:rsidR="00DF049B" w:rsidRPr="00DA07E4" w:rsidRDefault="00757855" w:rsidP="00DA07E4">
      <w:pPr>
        <w:spacing w:after="0" w:line="360" w:lineRule="auto"/>
        <w:ind w:firstLine="708"/>
        <w:jc w:val="both"/>
        <w:rPr>
          <w:rStyle w:val="A1"/>
          <w:rFonts w:ascii="Times New Roman" w:hAnsi="Times New Roman" w:cs="Times New Roman"/>
          <w:color w:val="auto"/>
          <w:sz w:val="24"/>
          <w:szCs w:val="24"/>
        </w:rPr>
      </w:pPr>
      <w:r w:rsidRPr="00DA07E4">
        <w:rPr>
          <w:rStyle w:val="A1"/>
          <w:rFonts w:ascii="Times New Roman" w:hAnsi="Times New Roman" w:cs="Times New Roman"/>
          <w:color w:val="auto"/>
          <w:sz w:val="24"/>
          <w:szCs w:val="24"/>
        </w:rPr>
        <w:t>Keď skupina pacientov vyplní dotazník v časovom odstupe, môžeme určiť stabilitu testu, korelačný koeficient a spoľahlivosť dotazníka (intraobserver a interobserver reliability). Intraobserver reliability je spoľahlivosť dotazníka u jedného konkrétneho pacienta (ak pacient vyplní tzv. test-retest, čiže ten istý dotazník dvakrát počas krátkeho časového odstupu, jeho odpovede by mali byť veľmi podobné). Interobserver reliability</w:t>
      </w:r>
      <w:r w:rsidR="00DF049B" w:rsidRPr="00DA07E4">
        <w:rPr>
          <w:rStyle w:val="A1"/>
          <w:rFonts w:ascii="Times New Roman" w:hAnsi="Times New Roman" w:cs="Times New Roman"/>
          <w:color w:val="auto"/>
          <w:sz w:val="24"/>
          <w:szCs w:val="24"/>
        </w:rPr>
        <w:t xml:space="preserve"> je spoľahlivosť examinátora – toho, kto pacientovi dotazník predložil. Niekedy examinátor otázky pacientovi zadáva telefonicky, nemusí sa vždy jednať o klasický papierový dotazník. Testuje sa, či dvaja rôzni examinátori dosiahnu u rovnakých pacientov približne zhodné skóre.</w:t>
      </w:r>
    </w:p>
    <w:p w14:paraId="516479BC" w14:textId="1413A795" w:rsidR="000F7A3B" w:rsidRPr="00E26032" w:rsidRDefault="00575230" w:rsidP="00DA07E4">
      <w:pPr>
        <w:spacing w:after="0" w:line="360" w:lineRule="auto"/>
        <w:ind w:firstLine="708"/>
        <w:jc w:val="both"/>
        <w:rPr>
          <w:rFonts w:ascii="Times New Roman" w:hAnsi="Times New Roman" w:cs="Times New Roman"/>
          <w:sz w:val="24"/>
          <w:szCs w:val="24"/>
        </w:rPr>
      </w:pPr>
      <w:r w:rsidRPr="00DA07E4">
        <w:rPr>
          <w:rStyle w:val="A1"/>
          <w:rFonts w:ascii="Times New Roman" w:hAnsi="Times New Roman" w:cs="Times New Roman"/>
          <w:color w:val="auto"/>
          <w:sz w:val="24"/>
          <w:szCs w:val="24"/>
        </w:rPr>
        <w:t xml:space="preserve">Keď chceme použiť dotazník v inom jazyku než bol originálne vytvorený, z vyššie uvedeného vyplýva, že ho nestačí jednoducho preložiť. Kultúrne rozdiely, linguistické variácie by mohli presne vypočítanú matematiku domén a celého dotazníka narušiť. Preto sa validácia do </w:t>
      </w:r>
      <w:r w:rsidRPr="00E26032">
        <w:rPr>
          <w:rStyle w:val="A1"/>
          <w:rFonts w:ascii="Times New Roman" w:hAnsi="Times New Roman" w:cs="Times New Roman"/>
          <w:color w:val="auto"/>
          <w:sz w:val="24"/>
          <w:szCs w:val="24"/>
        </w:rPr>
        <w:t>nového jazyka rieši v postupných krokoch – test na pilotnej vzorke pacientov, spätný preklad bilingv</w:t>
      </w:r>
      <w:r w:rsidR="005A093B" w:rsidRPr="00E26032">
        <w:rPr>
          <w:rStyle w:val="A1"/>
          <w:rFonts w:ascii="Times New Roman" w:hAnsi="Times New Roman" w:cs="Times New Roman"/>
          <w:color w:val="auto"/>
          <w:sz w:val="24"/>
          <w:szCs w:val="24"/>
        </w:rPr>
        <w:t>á</w:t>
      </w:r>
      <w:r w:rsidRPr="00E26032">
        <w:rPr>
          <w:rStyle w:val="A1"/>
          <w:rFonts w:ascii="Times New Roman" w:hAnsi="Times New Roman" w:cs="Times New Roman"/>
          <w:color w:val="auto"/>
          <w:sz w:val="24"/>
          <w:szCs w:val="24"/>
        </w:rPr>
        <w:t>lnym prekladateľom do pôvodného jazyka s konzultáciou autorov dotazníka, následná kontrola vybraných parametrov dotazníka, ktoré boli spomenuté v tomto texte. Len potom je dotazník platný a prinesie spoľahlivé výsledky</w:t>
      </w:r>
      <w:r w:rsidR="00B54AB8" w:rsidRPr="00E26032">
        <w:rPr>
          <w:rStyle w:val="A1"/>
          <w:rFonts w:ascii="Times New Roman" w:hAnsi="Times New Roman" w:cs="Times New Roman"/>
          <w:color w:val="auto"/>
          <w:sz w:val="24"/>
          <w:szCs w:val="24"/>
        </w:rPr>
        <w:t xml:space="preserve"> (Guillemin et al., 1993)</w:t>
      </w:r>
      <w:r w:rsidRPr="00E26032">
        <w:rPr>
          <w:rStyle w:val="A1"/>
          <w:rFonts w:ascii="Times New Roman" w:hAnsi="Times New Roman" w:cs="Times New Roman"/>
          <w:color w:val="auto"/>
          <w:sz w:val="24"/>
          <w:szCs w:val="24"/>
        </w:rPr>
        <w:t>.</w:t>
      </w:r>
      <w:r w:rsidR="00E205D7" w:rsidRPr="00E26032">
        <w:rPr>
          <w:rFonts w:ascii="Times New Roman" w:hAnsi="Times New Roman" w:cs="Times New Roman"/>
          <w:sz w:val="24"/>
          <w:szCs w:val="24"/>
        </w:rPr>
        <w:t xml:space="preserve"> </w:t>
      </w:r>
    </w:p>
    <w:p w14:paraId="40843FF9" w14:textId="2846E656" w:rsidR="00681AD0" w:rsidRPr="00E26032" w:rsidRDefault="00681AD0" w:rsidP="00DA07E4">
      <w:pPr>
        <w:spacing w:after="0" w:line="360" w:lineRule="auto"/>
        <w:jc w:val="both"/>
        <w:rPr>
          <w:rFonts w:ascii="Times New Roman" w:hAnsi="Times New Roman" w:cs="Times New Roman"/>
          <w:sz w:val="24"/>
          <w:szCs w:val="24"/>
        </w:rPr>
      </w:pPr>
    </w:p>
    <w:p w14:paraId="703CEC1F" w14:textId="76878D5D" w:rsidR="000F7A3B" w:rsidRPr="00E26032" w:rsidRDefault="000F7A3B" w:rsidP="00DA07E4">
      <w:pPr>
        <w:pStyle w:val="Odstavecseseznamem"/>
        <w:numPr>
          <w:ilvl w:val="1"/>
          <w:numId w:val="4"/>
        </w:numPr>
        <w:spacing w:after="0" w:line="360" w:lineRule="auto"/>
        <w:jc w:val="both"/>
        <w:rPr>
          <w:rFonts w:ascii="Times New Roman" w:hAnsi="Times New Roman" w:cs="Times New Roman"/>
          <w:b/>
          <w:sz w:val="24"/>
          <w:szCs w:val="24"/>
        </w:rPr>
      </w:pPr>
      <w:r w:rsidRPr="00E26032">
        <w:rPr>
          <w:rFonts w:ascii="Times New Roman" w:hAnsi="Times New Roman" w:cs="Times New Roman"/>
          <w:sz w:val="24"/>
          <w:szCs w:val="24"/>
        </w:rPr>
        <w:t xml:space="preserve"> </w:t>
      </w:r>
      <w:r w:rsidRPr="00E26032">
        <w:rPr>
          <w:rFonts w:ascii="Times New Roman" w:hAnsi="Times New Roman" w:cs="Times New Roman"/>
          <w:b/>
          <w:sz w:val="24"/>
          <w:szCs w:val="24"/>
        </w:rPr>
        <w:t>Kvalita života u urologických pacientov</w:t>
      </w:r>
    </w:p>
    <w:p w14:paraId="397CA316" w14:textId="77777777" w:rsidR="008C754F" w:rsidRPr="00E26032" w:rsidRDefault="008C754F" w:rsidP="00DA07E4">
      <w:pPr>
        <w:spacing w:after="0" w:line="360" w:lineRule="auto"/>
        <w:jc w:val="both"/>
        <w:rPr>
          <w:rFonts w:ascii="Times New Roman" w:hAnsi="Times New Roman" w:cs="Times New Roman"/>
          <w:sz w:val="24"/>
          <w:szCs w:val="24"/>
        </w:rPr>
      </w:pPr>
    </w:p>
    <w:p w14:paraId="6C3B5B21" w14:textId="43ACF503" w:rsidR="000F7A3B" w:rsidRPr="00DA07E4" w:rsidRDefault="000F7A3B" w:rsidP="00DA07E4">
      <w:pPr>
        <w:spacing w:after="0" w:line="360" w:lineRule="auto"/>
        <w:ind w:firstLine="708"/>
        <w:jc w:val="both"/>
        <w:rPr>
          <w:rFonts w:ascii="Times New Roman" w:hAnsi="Times New Roman" w:cs="Times New Roman"/>
          <w:sz w:val="24"/>
          <w:szCs w:val="24"/>
        </w:rPr>
      </w:pPr>
      <w:r w:rsidRPr="00E26032">
        <w:rPr>
          <w:rFonts w:ascii="Times New Roman" w:hAnsi="Times New Roman" w:cs="Times New Roman"/>
          <w:sz w:val="24"/>
          <w:szCs w:val="24"/>
        </w:rPr>
        <w:t>Pacientov pri akomkoľvek ochorení nakoniec</w:t>
      </w:r>
      <w:r w:rsidRPr="00DA07E4">
        <w:rPr>
          <w:rFonts w:ascii="Times New Roman" w:hAnsi="Times New Roman" w:cs="Times New Roman"/>
          <w:sz w:val="24"/>
          <w:szCs w:val="24"/>
        </w:rPr>
        <w:t xml:space="preserve"> vždy zaujíma, koľko potrvá liečba a aká bude efektívna. Inými slovami, kedy (ak vôbec) sa stav vráti do normálu. Odborne povedané – ako kvalitne pacient prežije ďalšie roky svojho života. Kvalita života je často pre pacienta najdôležitejším aspektom celého liečebného procesu. Počas liečby je preto žiadúce brať do úvahy celé spektrum vnemov pacienta, ktoré vychádzajú z definície zdravia a HRQOL. Lekár by si mal všímať aj to, ako liečba ovplyvňuje denné potreby pacienta, jeho medziľudské vzťahy, duševnú pohodu či pracovné nasadenie (</w:t>
      </w:r>
      <w:r w:rsidR="005A093B" w:rsidRPr="00DA07E4">
        <w:rPr>
          <w:rFonts w:ascii="Times New Roman" w:hAnsi="Times New Roman" w:cs="Times New Roman"/>
          <w:sz w:val="24"/>
          <w:szCs w:val="24"/>
        </w:rPr>
        <w:t xml:space="preserve">Patrick </w:t>
      </w:r>
      <w:r w:rsidR="00D770C4">
        <w:rPr>
          <w:rFonts w:ascii="Times New Roman" w:hAnsi="Times New Roman" w:cs="Times New Roman"/>
          <w:sz w:val="24"/>
          <w:szCs w:val="24"/>
        </w:rPr>
        <w:t>et</w:t>
      </w:r>
      <w:r w:rsidR="005A093B" w:rsidRPr="00DA07E4">
        <w:rPr>
          <w:rFonts w:ascii="Times New Roman" w:hAnsi="Times New Roman" w:cs="Times New Roman"/>
          <w:sz w:val="24"/>
          <w:szCs w:val="24"/>
        </w:rPr>
        <w:t xml:space="preserve"> Erickson, 1993</w:t>
      </w:r>
      <w:r w:rsidRPr="00DA07E4">
        <w:rPr>
          <w:rFonts w:ascii="Times New Roman" w:hAnsi="Times New Roman" w:cs="Times New Roman"/>
          <w:sz w:val="24"/>
          <w:szCs w:val="24"/>
        </w:rPr>
        <w:t>). Tieto faktory môžu ovplyvňovať aj prognózu urologického ochorenia (</w:t>
      </w:r>
      <w:r w:rsidR="005A093B" w:rsidRPr="00DA07E4">
        <w:rPr>
          <w:rFonts w:ascii="Times New Roman" w:hAnsi="Times New Roman" w:cs="Times New Roman"/>
          <w:sz w:val="24"/>
          <w:szCs w:val="24"/>
        </w:rPr>
        <w:t>Fossa, 1994</w:t>
      </w:r>
      <w:r w:rsidRPr="00DA07E4">
        <w:rPr>
          <w:rFonts w:ascii="Times New Roman" w:hAnsi="Times New Roman" w:cs="Times New Roman"/>
          <w:sz w:val="24"/>
          <w:szCs w:val="24"/>
        </w:rPr>
        <w:t>).</w:t>
      </w:r>
    </w:p>
    <w:p w14:paraId="3C23FEF1" w14:textId="301E64CD" w:rsidR="000F7A3B" w:rsidRPr="00DA07E4" w:rsidRDefault="000F7A3B"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Výskumy napríklad zistili, že pri výbere typu liečby rakoviny prostaty môžu byť vedomosti o HRQOL smerodajné vzhľadom na budúcu kvalitu života konkrétneho pacienta (</w:t>
      </w:r>
      <w:r w:rsidR="005A093B" w:rsidRPr="00DA07E4">
        <w:rPr>
          <w:rFonts w:ascii="Times New Roman" w:hAnsi="Times New Roman" w:cs="Times New Roman"/>
          <w:sz w:val="24"/>
          <w:szCs w:val="24"/>
        </w:rPr>
        <w:t xml:space="preserve">Bergman </w:t>
      </w:r>
      <w:r w:rsidR="00D770C4">
        <w:rPr>
          <w:rFonts w:ascii="Times New Roman" w:hAnsi="Times New Roman" w:cs="Times New Roman"/>
          <w:sz w:val="24"/>
          <w:szCs w:val="24"/>
        </w:rPr>
        <w:t>et</w:t>
      </w:r>
      <w:r w:rsidR="005A093B" w:rsidRPr="00DA07E4">
        <w:rPr>
          <w:rFonts w:ascii="Times New Roman" w:hAnsi="Times New Roman" w:cs="Times New Roman"/>
          <w:sz w:val="24"/>
          <w:szCs w:val="24"/>
        </w:rPr>
        <w:t xml:space="preserve"> Laviana, 2014</w:t>
      </w:r>
      <w:r w:rsidRPr="00DA07E4">
        <w:rPr>
          <w:rFonts w:ascii="Times New Roman" w:hAnsi="Times New Roman" w:cs="Times New Roman"/>
          <w:sz w:val="24"/>
          <w:szCs w:val="24"/>
        </w:rPr>
        <w:t>). Ďalšia kohortová štúdia skúmala LUTS. Štúdia ukázala jednoznačnú koreláciu LUTS so zhoršenou kvalitou života pacientov vo viacerých aspektoch</w:t>
      </w:r>
      <w:r w:rsidR="005A093B" w:rsidRPr="00DA07E4">
        <w:rPr>
          <w:rFonts w:ascii="Times New Roman" w:hAnsi="Times New Roman" w:cs="Times New Roman"/>
          <w:sz w:val="24"/>
          <w:szCs w:val="24"/>
        </w:rPr>
        <w:t xml:space="preserve"> </w:t>
      </w:r>
      <w:r w:rsidRPr="00DA07E4">
        <w:rPr>
          <w:rFonts w:ascii="Times New Roman" w:hAnsi="Times New Roman" w:cs="Times New Roman"/>
          <w:sz w:val="24"/>
          <w:szCs w:val="24"/>
          <w:shd w:val="clear" w:color="auto" w:fill="FFFFFF"/>
        </w:rPr>
        <w:t>(</w:t>
      </w:r>
      <w:r w:rsidR="005A093B" w:rsidRPr="00DA07E4">
        <w:rPr>
          <w:rFonts w:ascii="Times New Roman" w:hAnsi="Times New Roman" w:cs="Times New Roman"/>
          <w:sz w:val="24"/>
          <w:szCs w:val="24"/>
          <w:shd w:val="clear" w:color="auto" w:fill="FFFFFF"/>
        </w:rPr>
        <w:t>Welch et al., 2002</w:t>
      </w:r>
      <w:r w:rsidRPr="00DA07E4">
        <w:rPr>
          <w:rStyle w:val="authors-list-item"/>
          <w:rFonts w:ascii="Times New Roman" w:hAnsi="Times New Roman" w:cs="Times New Roman"/>
          <w:sz w:val="24"/>
          <w:szCs w:val="24"/>
        </w:rPr>
        <w:t>)</w:t>
      </w:r>
      <w:r w:rsidR="005A093B" w:rsidRPr="00DA07E4">
        <w:rPr>
          <w:rStyle w:val="authors-list-item"/>
          <w:rFonts w:ascii="Times New Roman" w:hAnsi="Times New Roman" w:cs="Times New Roman"/>
          <w:sz w:val="24"/>
          <w:szCs w:val="24"/>
        </w:rPr>
        <w:t>.</w:t>
      </w:r>
    </w:p>
    <w:p w14:paraId="4BF84A6D" w14:textId="67AD34AD" w:rsidR="000F7A3B" w:rsidRPr="00DA07E4" w:rsidRDefault="000F7A3B" w:rsidP="00DA07E4">
      <w:pPr>
        <w:shd w:val="clear" w:color="auto" w:fill="FFFFFF"/>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rPr>
        <w:lastRenderedPageBreak/>
        <w:t>Iný výskum skúmal umiestnenie vezikorenálneho stentu u pacientov a vplyv na</w:t>
      </w:r>
      <w:r w:rsidR="00597D1C" w:rsidRPr="00DA07E4">
        <w:rPr>
          <w:rFonts w:ascii="Times New Roman" w:hAnsi="Times New Roman" w:cs="Times New Roman"/>
          <w:sz w:val="24"/>
          <w:szCs w:val="24"/>
        </w:rPr>
        <w:t xml:space="preserve"> ich</w:t>
      </w:r>
      <w:r w:rsidRPr="00DA07E4">
        <w:rPr>
          <w:rFonts w:ascii="Times New Roman" w:hAnsi="Times New Roman" w:cs="Times New Roman"/>
          <w:sz w:val="24"/>
          <w:szCs w:val="24"/>
        </w:rPr>
        <w:t xml:space="preserve"> kvalitu života. Výsledky ukázali, že pacienti s dlhším stentom presahujúcim strednú líniu močového mechúra trpeli zhoršenou kvalitou života</w:t>
      </w:r>
      <w:r w:rsidRPr="00DA07E4">
        <w:rPr>
          <w:rFonts w:ascii="Times New Roman" w:hAnsi="Times New Roman" w:cs="Times New Roman"/>
          <w:sz w:val="24"/>
          <w:szCs w:val="24"/>
          <w:shd w:val="clear" w:color="auto" w:fill="FFFFFF"/>
        </w:rPr>
        <w:t xml:space="preserve"> (</w:t>
      </w:r>
      <w:r w:rsidR="005A093B" w:rsidRPr="00DA07E4">
        <w:rPr>
          <w:rFonts w:ascii="Times New Roman" w:hAnsi="Times New Roman" w:cs="Times New Roman"/>
          <w:sz w:val="24"/>
          <w:szCs w:val="24"/>
          <w:shd w:val="clear" w:color="auto" w:fill="FFFFFF"/>
        </w:rPr>
        <w:t>Inn et al., 2019</w:t>
      </w:r>
      <w:r w:rsidRPr="00DA07E4">
        <w:rPr>
          <w:rFonts w:ascii="Times New Roman" w:hAnsi="Times New Roman" w:cs="Times New Roman"/>
          <w:sz w:val="24"/>
          <w:szCs w:val="24"/>
          <w:shd w:val="clear" w:color="auto" w:fill="FFFFFF"/>
        </w:rPr>
        <w:t>)</w:t>
      </w:r>
      <w:r w:rsidR="00C630C2" w:rsidRPr="00DA07E4">
        <w:rPr>
          <w:rFonts w:ascii="Times New Roman" w:hAnsi="Times New Roman" w:cs="Times New Roman"/>
          <w:sz w:val="24"/>
          <w:szCs w:val="24"/>
          <w:shd w:val="clear" w:color="auto" w:fill="FFFFFF"/>
        </w:rPr>
        <w:t>.</w:t>
      </w:r>
    </w:p>
    <w:p w14:paraId="42FF3E45" w14:textId="190DDE99" w:rsidR="003D763E" w:rsidRPr="00DA07E4" w:rsidRDefault="000F7A3B"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Naša štúdia porovnávala vzťah medzi symptómami OAB a</w:t>
      </w:r>
      <w:r w:rsidR="005A093B" w:rsidRPr="00DA07E4">
        <w:rPr>
          <w:rFonts w:ascii="Times New Roman" w:hAnsi="Times New Roman" w:cs="Times New Roman"/>
          <w:sz w:val="24"/>
          <w:szCs w:val="24"/>
          <w:shd w:val="clear" w:color="auto" w:fill="FFFFFF"/>
        </w:rPr>
        <w:t> </w:t>
      </w:r>
      <w:r w:rsidRPr="00DA07E4">
        <w:rPr>
          <w:rFonts w:ascii="Times New Roman" w:hAnsi="Times New Roman" w:cs="Times New Roman"/>
          <w:sz w:val="24"/>
          <w:szCs w:val="24"/>
          <w:shd w:val="clear" w:color="auto" w:fill="FFFFFF"/>
        </w:rPr>
        <w:t>nadváhou</w:t>
      </w:r>
      <w:r w:rsidR="005A093B" w:rsidRPr="00DA07E4">
        <w:rPr>
          <w:rFonts w:ascii="Times New Roman" w:hAnsi="Times New Roman" w:cs="Times New Roman"/>
          <w:sz w:val="24"/>
          <w:szCs w:val="24"/>
          <w:shd w:val="clear" w:color="auto" w:fill="FFFFFF"/>
        </w:rPr>
        <w:t xml:space="preserve"> (Hagovska et al., 2020)</w:t>
      </w:r>
      <w:r w:rsidRPr="00DA07E4">
        <w:rPr>
          <w:rFonts w:ascii="Times New Roman" w:hAnsi="Times New Roman" w:cs="Times New Roman"/>
          <w:sz w:val="24"/>
          <w:szCs w:val="24"/>
          <w:shd w:val="clear" w:color="auto" w:fill="FFFFFF"/>
        </w:rPr>
        <w:t>. Pacientky s percentom telesného tuku &gt;32</w:t>
      </w:r>
      <w:r w:rsidR="00D770C4">
        <w:rPr>
          <w:rFonts w:ascii="Times New Roman" w:hAnsi="Times New Roman" w:cs="Times New Roman"/>
          <w:sz w:val="24"/>
          <w:szCs w:val="24"/>
          <w:shd w:val="clear" w:color="auto" w:fill="FFFFFF"/>
        </w:rPr>
        <w:t xml:space="preserve"> </w:t>
      </w:r>
      <w:r w:rsidRPr="00DA07E4">
        <w:rPr>
          <w:rFonts w:ascii="Times New Roman" w:hAnsi="Times New Roman" w:cs="Times New Roman"/>
          <w:sz w:val="24"/>
          <w:szCs w:val="24"/>
          <w:shd w:val="clear" w:color="auto" w:fill="FFFFFF"/>
        </w:rPr>
        <w:t>% vykazovali signifikantne zhoršené parametre kvality života a mali 1</w:t>
      </w:r>
      <w:r w:rsidR="005A093B" w:rsidRPr="00DA07E4">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95</w:t>
      </w:r>
      <w:r w:rsidR="005A093B" w:rsidRPr="00DA07E4">
        <w:rPr>
          <w:rFonts w:ascii="Times New Roman" w:hAnsi="Times New Roman" w:cs="Times New Roman"/>
          <w:sz w:val="24"/>
          <w:szCs w:val="24"/>
          <w:shd w:val="clear" w:color="auto" w:fill="FFFFFF"/>
        </w:rPr>
        <w:t>-</w:t>
      </w:r>
      <w:r w:rsidRPr="00DA07E4">
        <w:rPr>
          <w:rFonts w:ascii="Times New Roman" w:hAnsi="Times New Roman" w:cs="Times New Roman"/>
          <w:sz w:val="24"/>
          <w:szCs w:val="24"/>
          <w:shd w:val="clear" w:color="auto" w:fill="FFFFFF"/>
        </w:rPr>
        <w:t>krát vyššiu šancu rozvoja OAB.</w:t>
      </w:r>
    </w:p>
    <w:p w14:paraId="75DAEE2F" w14:textId="77777777" w:rsidR="000F7A3B" w:rsidRPr="00DA07E4" w:rsidRDefault="000F7A3B" w:rsidP="00DA07E4">
      <w:pPr>
        <w:spacing w:after="0" w:line="360" w:lineRule="auto"/>
        <w:jc w:val="both"/>
        <w:rPr>
          <w:rFonts w:ascii="Times New Roman" w:hAnsi="Times New Roman" w:cs="Times New Roman"/>
          <w:sz w:val="24"/>
          <w:szCs w:val="24"/>
        </w:rPr>
      </w:pPr>
    </w:p>
    <w:p w14:paraId="330D37EC" w14:textId="174AE533" w:rsidR="003D763E" w:rsidRPr="00DA07E4" w:rsidRDefault="003D763E" w:rsidP="00DA07E4">
      <w:pPr>
        <w:pStyle w:val="Odstavecseseznamem"/>
        <w:numPr>
          <w:ilvl w:val="2"/>
          <w:numId w:val="4"/>
        </w:num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Kvalita života u pacientov s urolitiázou</w:t>
      </w:r>
    </w:p>
    <w:p w14:paraId="53F7082F" w14:textId="77777777" w:rsidR="00B544D3" w:rsidRPr="00DA07E4" w:rsidRDefault="00B544D3" w:rsidP="00DA07E4">
      <w:pPr>
        <w:spacing w:after="0" w:line="360" w:lineRule="auto"/>
        <w:jc w:val="both"/>
        <w:rPr>
          <w:rFonts w:ascii="Times New Roman" w:hAnsi="Times New Roman" w:cs="Times New Roman"/>
          <w:sz w:val="24"/>
          <w:szCs w:val="24"/>
        </w:rPr>
      </w:pPr>
    </w:p>
    <w:p w14:paraId="2303281F" w14:textId="23642548" w:rsidR="00615D13" w:rsidRPr="00DA07E4" w:rsidRDefault="00FF54AA"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Život pacientov s urolitiázou je komplikovaný z viacerých hľadísk. </w:t>
      </w:r>
      <w:r w:rsidR="003D763E" w:rsidRPr="00DA07E4">
        <w:rPr>
          <w:rFonts w:ascii="Times New Roman" w:hAnsi="Times New Roman" w:cs="Times New Roman"/>
          <w:sz w:val="24"/>
          <w:szCs w:val="24"/>
        </w:rPr>
        <w:t xml:space="preserve">Samotná operačná terapia </w:t>
      </w:r>
      <w:r w:rsidRPr="00DA07E4">
        <w:rPr>
          <w:rFonts w:ascii="Times New Roman" w:hAnsi="Times New Roman" w:cs="Times New Roman"/>
          <w:sz w:val="24"/>
          <w:szCs w:val="24"/>
        </w:rPr>
        <w:t>zahŕňa často kombináciu výkonov a viacero operačných zákrokov (</w:t>
      </w:r>
      <w:r w:rsidR="00366E38" w:rsidRPr="00DA07E4">
        <w:rPr>
          <w:rFonts w:ascii="Times New Roman" w:hAnsi="Times New Roman" w:cs="Times New Roman"/>
          <w:sz w:val="24"/>
          <w:szCs w:val="24"/>
        </w:rPr>
        <w:t xml:space="preserve">akútne zavedenie </w:t>
      </w:r>
      <w:r w:rsidRPr="00DA07E4">
        <w:rPr>
          <w:rFonts w:ascii="Times New Roman" w:hAnsi="Times New Roman" w:cs="Times New Roman"/>
          <w:sz w:val="24"/>
          <w:szCs w:val="24"/>
        </w:rPr>
        <w:t>stent</w:t>
      </w:r>
      <w:r w:rsidR="00366E38" w:rsidRPr="00DA07E4">
        <w:rPr>
          <w:rFonts w:ascii="Times New Roman" w:hAnsi="Times New Roman" w:cs="Times New Roman"/>
          <w:sz w:val="24"/>
          <w:szCs w:val="24"/>
        </w:rPr>
        <w:t>u v nočnej službe</w:t>
      </w:r>
      <w:r w:rsidRPr="00DA07E4">
        <w:rPr>
          <w:rFonts w:ascii="Times New Roman" w:hAnsi="Times New Roman" w:cs="Times New Roman"/>
          <w:sz w:val="24"/>
          <w:szCs w:val="24"/>
        </w:rPr>
        <w:t xml:space="preserve"> v prvej dobe, potom </w:t>
      </w:r>
      <w:r w:rsidR="00366E38" w:rsidRPr="00DA07E4">
        <w:rPr>
          <w:rFonts w:ascii="Times New Roman" w:hAnsi="Times New Roman" w:cs="Times New Roman"/>
          <w:sz w:val="24"/>
          <w:szCs w:val="24"/>
        </w:rPr>
        <w:t>niekoľko sedení ESWL, pri pretrvávaní významného množstva reziduálnych fragmentov nutné doplnenie URS</w:t>
      </w:r>
      <w:r w:rsidR="00615D13" w:rsidRPr="00DA07E4">
        <w:rPr>
          <w:rFonts w:ascii="Times New Roman" w:hAnsi="Times New Roman" w:cs="Times New Roman"/>
          <w:sz w:val="24"/>
          <w:szCs w:val="24"/>
        </w:rPr>
        <w:t xml:space="preserve"> a následná extrakcia stentu v ďalšom období</w:t>
      </w:r>
      <w:r w:rsidR="00366E38" w:rsidRPr="00DA07E4">
        <w:rPr>
          <w:rFonts w:ascii="Times New Roman" w:hAnsi="Times New Roman" w:cs="Times New Roman"/>
          <w:sz w:val="24"/>
          <w:szCs w:val="24"/>
        </w:rPr>
        <w:t>). Pre pacientov môže byť toto postupné riešenie stigmatizujúce aj pri nekomplikovanom priebehu hospitalizácie.</w:t>
      </w:r>
    </w:p>
    <w:p w14:paraId="186C618B" w14:textId="14AD1BCC" w:rsidR="00366E38" w:rsidRPr="00DA07E4" w:rsidRDefault="00366E38"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Mnohokrát je ale liečba urolitiázy spojená s výskytom obštrukčnej pyelonefritídy</w:t>
      </w:r>
      <w:r w:rsidR="00615D13" w:rsidRPr="00DA07E4">
        <w:rPr>
          <w:rFonts w:ascii="Times New Roman" w:hAnsi="Times New Roman" w:cs="Times New Roman"/>
          <w:sz w:val="24"/>
          <w:szCs w:val="24"/>
        </w:rPr>
        <w:t xml:space="preserve"> či ďalších infekčných aj neinfekčných komplikácií (iatrogénne poranenia, bolestivý odchod fragmentov po zákroku, LUTS v súvislosti s dráždením stentom a ďalšie). </w:t>
      </w:r>
      <w:r w:rsidRPr="00DA07E4">
        <w:rPr>
          <w:rFonts w:ascii="Times New Roman" w:hAnsi="Times New Roman" w:cs="Times New Roman"/>
          <w:sz w:val="24"/>
          <w:szCs w:val="24"/>
        </w:rPr>
        <w:t>Vzhľadom k tendencii urolitiázy k recidívam môžu mať pacienti oprávnený strach, že operačnú tortúru budú musieť podstupovať znovu.</w:t>
      </w:r>
    </w:p>
    <w:p w14:paraId="136C4E66" w14:textId="50101628" w:rsidR="003D763E" w:rsidRPr="00DA07E4" w:rsidRDefault="00366E38"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Ako bolo uvedené vyššie, urolitiáza veľmi úzko súvisí so stravovacími návykmi pacienta. Kvalitu života pacientov pochopiteľne môže ovplyvniť aj odporúčanie, ktoré vyžaduje vzdať sa niektorých obľúbených potravín pri prevencii vzniku ochorenia.</w:t>
      </w:r>
    </w:p>
    <w:p w14:paraId="142EED74" w14:textId="3A46837B" w:rsidR="00615D13" w:rsidRPr="00DA07E4" w:rsidRDefault="00615D13"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V neposlednom rade je potrebné brať do úvahy aj pacientov, u ktorých sa zvolil konzervatívny postup – pravidelné sledovanie kľudových konkrementov. Títo pacienti môžu mať intermitentné bolesti a strach, že dôjde k akútnemu stavu (novovzniknutá obštrukcia horných močových ciest pri náhlom uvoľnení konkrementu z obličky). </w:t>
      </w:r>
      <w:r w:rsidR="00824AA2" w:rsidRPr="00DA07E4">
        <w:rPr>
          <w:rFonts w:ascii="Times New Roman" w:hAnsi="Times New Roman" w:cs="Times New Roman"/>
          <w:sz w:val="24"/>
          <w:szCs w:val="24"/>
        </w:rPr>
        <w:t>Pacienti sa potom napríklad môžu báť cestovať, čo je opäť negatívne ovplyvnenie ich kvality života.</w:t>
      </w:r>
    </w:p>
    <w:p w14:paraId="78645EF7" w14:textId="2084BE89" w:rsidR="006F4B7C" w:rsidRPr="00DA07E4" w:rsidRDefault="003D763E" w:rsidP="00B54AB8">
      <w:pPr>
        <w:spacing w:after="0" w:line="360" w:lineRule="auto"/>
        <w:ind w:firstLine="708"/>
        <w:jc w:val="both"/>
        <w:rPr>
          <w:rFonts w:ascii="Times New Roman" w:hAnsi="Times New Roman" w:cs="Times New Roman"/>
          <w:sz w:val="24"/>
          <w:szCs w:val="24"/>
        </w:rPr>
      </w:pPr>
      <w:r w:rsidRPr="00DA07E4">
        <w:rPr>
          <w:rStyle w:val="A1"/>
          <w:rFonts w:ascii="Times New Roman" w:hAnsi="Times New Roman" w:cs="Times New Roman"/>
          <w:color w:val="auto"/>
          <w:sz w:val="24"/>
          <w:szCs w:val="24"/>
        </w:rPr>
        <w:t>S vedomosťou veľkého vplyvu urolitiázy na kvalitu života pacientov prišla nutnosť vytvoriť dotazník striktne špecifický na toto ochorenie. Penniston a kol</w:t>
      </w:r>
      <w:r w:rsidR="00D770C4">
        <w:rPr>
          <w:rStyle w:val="A1"/>
          <w:rFonts w:ascii="Times New Roman" w:hAnsi="Times New Roman" w:cs="Times New Roman"/>
          <w:color w:val="auto"/>
          <w:sz w:val="24"/>
          <w:szCs w:val="24"/>
        </w:rPr>
        <w:t>ektív</w:t>
      </w:r>
      <w:r w:rsidRPr="00DA07E4">
        <w:rPr>
          <w:rStyle w:val="A1"/>
          <w:rFonts w:ascii="Times New Roman" w:hAnsi="Times New Roman" w:cs="Times New Roman"/>
          <w:color w:val="auto"/>
          <w:sz w:val="24"/>
          <w:szCs w:val="24"/>
        </w:rPr>
        <w:t xml:space="preserve"> vyvinuli dotazník Wisconsin Stone-Quality of Life Questionnaire (WISQOL) v roku 2017</w:t>
      </w:r>
      <w:r w:rsidR="005A093B" w:rsidRPr="00DA07E4">
        <w:rPr>
          <w:rStyle w:val="A1"/>
          <w:rFonts w:ascii="Times New Roman" w:hAnsi="Times New Roman" w:cs="Times New Roman"/>
          <w:color w:val="auto"/>
          <w:sz w:val="24"/>
          <w:szCs w:val="24"/>
        </w:rPr>
        <w:t xml:space="preserve"> (Penniston et al., 2017)</w:t>
      </w:r>
      <w:r w:rsidRPr="00DA07E4">
        <w:rPr>
          <w:rStyle w:val="A1"/>
          <w:rFonts w:ascii="Times New Roman" w:hAnsi="Times New Roman" w:cs="Times New Roman"/>
          <w:color w:val="auto"/>
          <w:sz w:val="24"/>
          <w:szCs w:val="24"/>
        </w:rPr>
        <w:t>. WISQOL pozostáva zo štyroch domén, ktoré sledujú jednotlivé aspekty celkového zdravia pacienta a vplyvu močových k</w:t>
      </w:r>
      <w:r w:rsidR="00AF27FF" w:rsidRPr="00DA07E4">
        <w:rPr>
          <w:rStyle w:val="A1"/>
          <w:rFonts w:ascii="Times New Roman" w:hAnsi="Times New Roman" w:cs="Times New Roman"/>
          <w:color w:val="auto"/>
          <w:sz w:val="24"/>
          <w:szCs w:val="24"/>
        </w:rPr>
        <w:t>onkrementov</w:t>
      </w:r>
      <w:r w:rsidRPr="00DA07E4">
        <w:rPr>
          <w:rStyle w:val="A1"/>
          <w:rFonts w:ascii="Times New Roman" w:hAnsi="Times New Roman" w:cs="Times New Roman"/>
          <w:color w:val="auto"/>
          <w:sz w:val="24"/>
          <w:szCs w:val="24"/>
        </w:rPr>
        <w:t xml:space="preserve"> na ne. Domény sú: Sociálny dopad, Emocionálny dopad, Symptómy špecifické pre ochorenie močovými k</w:t>
      </w:r>
      <w:r w:rsidR="00AF27FF" w:rsidRPr="00DA07E4">
        <w:rPr>
          <w:rStyle w:val="A1"/>
          <w:rFonts w:ascii="Times New Roman" w:hAnsi="Times New Roman" w:cs="Times New Roman"/>
          <w:color w:val="auto"/>
          <w:sz w:val="24"/>
          <w:szCs w:val="24"/>
        </w:rPr>
        <w:t>onkrementmi</w:t>
      </w:r>
      <w:r w:rsidRPr="00DA07E4">
        <w:rPr>
          <w:rStyle w:val="A1"/>
          <w:rFonts w:ascii="Times New Roman" w:hAnsi="Times New Roman" w:cs="Times New Roman"/>
          <w:color w:val="auto"/>
          <w:sz w:val="24"/>
          <w:szCs w:val="24"/>
        </w:rPr>
        <w:t xml:space="preserve"> </w:t>
      </w:r>
      <w:r w:rsidRPr="00DA07E4">
        <w:rPr>
          <w:rStyle w:val="A1"/>
          <w:rFonts w:ascii="Times New Roman" w:hAnsi="Times New Roman" w:cs="Times New Roman"/>
          <w:color w:val="auto"/>
          <w:sz w:val="24"/>
          <w:szCs w:val="24"/>
        </w:rPr>
        <w:lastRenderedPageBreak/>
        <w:t>a Vitalita. Dotazník sa postupne začína používať vo viacerých krajinách sveta. Ukázalo sa, že dotazník WISQOL je klinicky užitočný nástroj na testovanie HRQOL u pacientov liečených s</w:t>
      </w:r>
      <w:r w:rsidR="005A093B" w:rsidRPr="00DA07E4">
        <w:rPr>
          <w:rStyle w:val="A1"/>
          <w:rFonts w:ascii="Times New Roman" w:hAnsi="Times New Roman" w:cs="Times New Roman"/>
          <w:color w:val="auto"/>
          <w:sz w:val="24"/>
          <w:szCs w:val="24"/>
        </w:rPr>
        <w:t> </w:t>
      </w:r>
      <w:r w:rsidRPr="00DA07E4">
        <w:rPr>
          <w:rStyle w:val="A1"/>
          <w:rFonts w:ascii="Times New Roman" w:hAnsi="Times New Roman" w:cs="Times New Roman"/>
          <w:color w:val="auto"/>
          <w:sz w:val="24"/>
          <w:szCs w:val="24"/>
        </w:rPr>
        <w:t>urolitiázou</w:t>
      </w:r>
      <w:r w:rsidR="005A093B" w:rsidRPr="00DA07E4">
        <w:rPr>
          <w:rStyle w:val="A1"/>
          <w:rFonts w:ascii="Times New Roman" w:hAnsi="Times New Roman" w:cs="Times New Roman"/>
          <w:color w:val="auto"/>
          <w:sz w:val="24"/>
          <w:szCs w:val="24"/>
        </w:rPr>
        <w:t xml:space="preserve"> (Atalay et al., 2018; Basulto-Martinez et al., 2020)</w:t>
      </w:r>
      <w:r w:rsidRPr="00DA07E4">
        <w:rPr>
          <w:rStyle w:val="A1"/>
          <w:rFonts w:ascii="Times New Roman" w:hAnsi="Times New Roman" w:cs="Times New Roman"/>
          <w:color w:val="auto"/>
          <w:sz w:val="24"/>
          <w:szCs w:val="24"/>
        </w:rPr>
        <w:t>.</w:t>
      </w:r>
      <w:r w:rsidR="00B544D3" w:rsidRPr="00DA07E4">
        <w:rPr>
          <w:rFonts w:ascii="Times New Roman" w:hAnsi="Times New Roman" w:cs="Times New Roman"/>
          <w:sz w:val="24"/>
          <w:szCs w:val="24"/>
        </w:rPr>
        <w:br w:type="page"/>
      </w:r>
    </w:p>
    <w:p w14:paraId="173DE7C0" w14:textId="4FE492B2" w:rsidR="005B27DC" w:rsidRPr="00E26032" w:rsidRDefault="005B27DC" w:rsidP="00DA07E4">
      <w:pPr>
        <w:pStyle w:val="Odstavecseseznamem"/>
        <w:numPr>
          <w:ilvl w:val="0"/>
          <w:numId w:val="4"/>
        </w:numPr>
        <w:spacing w:after="0" w:line="360" w:lineRule="auto"/>
        <w:ind w:left="426" w:hanging="426"/>
        <w:jc w:val="both"/>
        <w:rPr>
          <w:rFonts w:ascii="Times New Roman" w:hAnsi="Times New Roman" w:cs="Times New Roman"/>
          <w:b/>
          <w:sz w:val="24"/>
          <w:szCs w:val="24"/>
        </w:rPr>
      </w:pPr>
      <w:r w:rsidRPr="00E26032">
        <w:rPr>
          <w:rFonts w:ascii="Times New Roman" w:hAnsi="Times New Roman" w:cs="Times New Roman"/>
          <w:b/>
          <w:sz w:val="24"/>
          <w:szCs w:val="24"/>
        </w:rPr>
        <w:lastRenderedPageBreak/>
        <w:t>C</w:t>
      </w:r>
      <w:r w:rsidR="003D0B4A" w:rsidRPr="00E26032">
        <w:rPr>
          <w:rFonts w:ascii="Times New Roman" w:hAnsi="Times New Roman" w:cs="Times New Roman"/>
          <w:b/>
          <w:sz w:val="24"/>
          <w:szCs w:val="24"/>
        </w:rPr>
        <w:t>IELE DIZERTAČNEJ</w:t>
      </w:r>
      <w:r w:rsidRPr="00E26032">
        <w:rPr>
          <w:rFonts w:ascii="Times New Roman" w:hAnsi="Times New Roman" w:cs="Times New Roman"/>
          <w:b/>
          <w:sz w:val="24"/>
          <w:szCs w:val="24"/>
        </w:rPr>
        <w:t xml:space="preserve"> PRÁCE</w:t>
      </w:r>
    </w:p>
    <w:p w14:paraId="18BD27C9" w14:textId="05E0366C" w:rsidR="00B544D3" w:rsidRDefault="00B544D3" w:rsidP="00DA07E4">
      <w:pPr>
        <w:spacing w:after="0" w:line="360" w:lineRule="auto"/>
        <w:jc w:val="both"/>
        <w:rPr>
          <w:rStyle w:val="A1"/>
          <w:rFonts w:ascii="Times New Roman" w:hAnsi="Times New Roman" w:cs="Times New Roman"/>
          <w:color w:val="auto"/>
          <w:sz w:val="24"/>
          <w:szCs w:val="24"/>
        </w:rPr>
      </w:pPr>
    </w:p>
    <w:p w14:paraId="0594904D" w14:textId="77777777" w:rsidR="006B1858" w:rsidRPr="00DA07E4" w:rsidRDefault="006B1858" w:rsidP="00DA07E4">
      <w:pPr>
        <w:spacing w:after="0" w:line="360" w:lineRule="auto"/>
        <w:jc w:val="both"/>
        <w:rPr>
          <w:rStyle w:val="A1"/>
          <w:rFonts w:ascii="Times New Roman" w:hAnsi="Times New Roman" w:cs="Times New Roman"/>
          <w:color w:val="auto"/>
          <w:sz w:val="24"/>
          <w:szCs w:val="24"/>
        </w:rPr>
      </w:pPr>
    </w:p>
    <w:p w14:paraId="2AD4B2FA" w14:textId="77777777" w:rsidR="00485D07" w:rsidRPr="00DA07E4" w:rsidRDefault="00485D07" w:rsidP="00485D07">
      <w:pPr>
        <w:pStyle w:val="Default"/>
        <w:spacing w:line="360" w:lineRule="auto"/>
        <w:jc w:val="both"/>
        <w:rPr>
          <w:rFonts w:ascii="Times New Roman" w:hAnsi="Times New Roman" w:cs="Times New Roman"/>
          <w:bCs/>
        </w:rPr>
      </w:pPr>
      <w:bookmarkStart w:id="16" w:name="_Hlk68524706"/>
      <w:bookmarkStart w:id="17" w:name="_Hlk68525047"/>
      <w:r w:rsidRPr="00DA07E4">
        <w:rPr>
          <w:rFonts w:ascii="Times New Roman" w:hAnsi="Times New Roman" w:cs="Times New Roman"/>
          <w:b/>
          <w:bCs/>
          <w:spacing w:val="2"/>
          <w:lang w:val="en-GB"/>
        </w:rPr>
        <w:t>Cieľ č. 1:</w:t>
      </w:r>
      <w:r w:rsidRPr="00DA07E4">
        <w:rPr>
          <w:rFonts w:ascii="Times New Roman" w:hAnsi="Times New Roman" w:cs="Times New Roman"/>
          <w:spacing w:val="2"/>
          <w:lang w:val="en-GB"/>
        </w:rPr>
        <w:t xml:space="preserve"> </w:t>
      </w:r>
      <w:r w:rsidRPr="00DA07E4">
        <w:rPr>
          <w:rFonts w:ascii="Times New Roman" w:hAnsi="Times New Roman" w:cs="Times New Roman"/>
          <w:bCs/>
        </w:rPr>
        <w:t>Validovať do slovenského jazyka dotazník špecifický pre urolitiázu WISQOL (Wisconsin Stone Quality of Life Questionnaire) a overiť jeho použitie v</w:t>
      </w:r>
      <w:r>
        <w:rPr>
          <w:rFonts w:ascii="Times New Roman" w:hAnsi="Times New Roman" w:cs="Times New Roman"/>
          <w:bCs/>
        </w:rPr>
        <w:t xml:space="preserve"> klinickej </w:t>
      </w:r>
      <w:r w:rsidRPr="00DA07E4">
        <w:rPr>
          <w:rFonts w:ascii="Times New Roman" w:hAnsi="Times New Roman" w:cs="Times New Roman"/>
          <w:bCs/>
        </w:rPr>
        <w:t>praxi</w:t>
      </w:r>
      <w:bookmarkEnd w:id="16"/>
    </w:p>
    <w:p w14:paraId="3CE2EB4D" w14:textId="77777777" w:rsidR="00485D07" w:rsidRPr="00DA07E4" w:rsidRDefault="00485D07" w:rsidP="00485D07">
      <w:pPr>
        <w:pStyle w:val="Default"/>
        <w:spacing w:line="360" w:lineRule="auto"/>
        <w:jc w:val="both"/>
        <w:rPr>
          <w:rFonts w:ascii="Times New Roman" w:hAnsi="Times New Roman" w:cs="Times New Roman"/>
          <w:spacing w:val="2"/>
          <w:lang w:val="en-GB"/>
        </w:rPr>
      </w:pPr>
    </w:p>
    <w:p w14:paraId="6869B193" w14:textId="07E173A2" w:rsidR="00485D07" w:rsidRDefault="00485D07" w:rsidP="00485D07">
      <w:pPr>
        <w:spacing w:after="0" w:line="360" w:lineRule="auto"/>
        <w:jc w:val="both"/>
        <w:rPr>
          <w:rFonts w:ascii="Times New Roman" w:hAnsi="Times New Roman" w:cs="Times New Roman"/>
          <w:bCs/>
          <w:sz w:val="24"/>
          <w:szCs w:val="24"/>
        </w:rPr>
      </w:pPr>
      <w:r w:rsidRPr="00DA07E4">
        <w:rPr>
          <w:rFonts w:ascii="Times New Roman" w:hAnsi="Times New Roman" w:cs="Times New Roman"/>
          <w:b/>
          <w:sz w:val="24"/>
          <w:szCs w:val="24"/>
        </w:rPr>
        <w:t>Cieľ č.</w:t>
      </w:r>
      <w:r>
        <w:rPr>
          <w:rFonts w:ascii="Times New Roman" w:hAnsi="Times New Roman" w:cs="Times New Roman"/>
          <w:b/>
          <w:sz w:val="24"/>
          <w:szCs w:val="24"/>
        </w:rPr>
        <w:t xml:space="preserve"> </w:t>
      </w:r>
      <w:r w:rsidRPr="00DA07E4">
        <w:rPr>
          <w:rFonts w:ascii="Times New Roman" w:hAnsi="Times New Roman" w:cs="Times New Roman"/>
          <w:b/>
          <w:sz w:val="24"/>
          <w:szCs w:val="24"/>
        </w:rPr>
        <w:t>2:</w:t>
      </w:r>
      <w:r w:rsidRPr="00DA07E4">
        <w:rPr>
          <w:rFonts w:ascii="Times New Roman" w:hAnsi="Times New Roman" w:cs="Times New Roman"/>
          <w:bCs/>
          <w:sz w:val="24"/>
          <w:szCs w:val="24"/>
        </w:rPr>
        <w:t xml:space="preserve"> Porovnať </w:t>
      </w:r>
      <w:r>
        <w:rPr>
          <w:rFonts w:ascii="Times New Roman" w:hAnsi="Times New Roman" w:cs="Times New Roman"/>
          <w:bCs/>
          <w:sz w:val="24"/>
          <w:szCs w:val="24"/>
        </w:rPr>
        <w:t>prostredníctvom</w:t>
      </w:r>
      <w:r w:rsidRPr="00DA07E4">
        <w:rPr>
          <w:rFonts w:ascii="Times New Roman" w:hAnsi="Times New Roman" w:cs="Times New Roman"/>
          <w:bCs/>
          <w:sz w:val="24"/>
          <w:szCs w:val="24"/>
        </w:rPr>
        <w:t xml:space="preserve"> dotazníka WISQOL skóre HRQOL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r w:rsidRPr="00DA07E4">
        <w:rPr>
          <w:rFonts w:ascii="Times New Roman" w:hAnsi="Times New Roman" w:cs="Times New Roman"/>
          <w:bCs/>
          <w:sz w:val="24"/>
          <w:szCs w:val="24"/>
        </w:rPr>
        <w:t xml:space="preserve"> </w:t>
      </w:r>
    </w:p>
    <w:p w14:paraId="39CE54FB" w14:textId="77777777" w:rsidR="00485D07" w:rsidRDefault="00485D07" w:rsidP="00485D07">
      <w:pPr>
        <w:spacing w:after="0" w:line="360" w:lineRule="auto"/>
        <w:jc w:val="both"/>
        <w:rPr>
          <w:rFonts w:ascii="Times New Roman" w:hAnsi="Times New Roman" w:cs="Times New Roman"/>
          <w:bCs/>
          <w:sz w:val="24"/>
          <w:szCs w:val="24"/>
        </w:rPr>
      </w:pPr>
    </w:p>
    <w:p w14:paraId="3B9EEF56" w14:textId="2654AC25" w:rsidR="00485D07" w:rsidRDefault="00485D07" w:rsidP="00485D07">
      <w:pPr>
        <w:spacing w:after="0" w:line="360" w:lineRule="auto"/>
        <w:jc w:val="both"/>
        <w:rPr>
          <w:rFonts w:ascii="Times New Roman" w:hAnsi="Times New Roman" w:cs="Times New Roman"/>
          <w:bCs/>
          <w:sz w:val="24"/>
          <w:szCs w:val="24"/>
        </w:rPr>
      </w:pPr>
      <w:r w:rsidRPr="00DA07E4">
        <w:rPr>
          <w:rFonts w:ascii="Times New Roman" w:hAnsi="Times New Roman" w:cs="Times New Roman"/>
          <w:b/>
          <w:sz w:val="24"/>
          <w:szCs w:val="24"/>
        </w:rPr>
        <w:t xml:space="preserve">Cieľ č. </w:t>
      </w:r>
      <w:r>
        <w:rPr>
          <w:rFonts w:ascii="Times New Roman" w:hAnsi="Times New Roman" w:cs="Times New Roman"/>
          <w:b/>
          <w:sz w:val="24"/>
          <w:szCs w:val="24"/>
        </w:rPr>
        <w:t>3</w:t>
      </w:r>
      <w:r w:rsidRPr="00DA07E4">
        <w:rPr>
          <w:rFonts w:ascii="Times New Roman" w:hAnsi="Times New Roman" w:cs="Times New Roman"/>
          <w:b/>
          <w:sz w:val="24"/>
          <w:szCs w:val="24"/>
        </w:rPr>
        <w:t>:</w:t>
      </w:r>
      <w:r>
        <w:rPr>
          <w:rFonts w:ascii="Times New Roman" w:hAnsi="Times New Roman" w:cs="Times New Roman"/>
          <w:b/>
          <w:sz w:val="24"/>
          <w:szCs w:val="24"/>
        </w:rPr>
        <w:t xml:space="preserve"> </w:t>
      </w:r>
      <w:r w:rsidRPr="00DA07E4">
        <w:rPr>
          <w:rFonts w:ascii="Times New Roman" w:hAnsi="Times New Roman" w:cs="Times New Roman"/>
          <w:bCs/>
          <w:sz w:val="24"/>
          <w:szCs w:val="24"/>
        </w:rPr>
        <w:t xml:space="preserve">Porovnať </w:t>
      </w:r>
      <w:r>
        <w:rPr>
          <w:rFonts w:ascii="Times New Roman" w:hAnsi="Times New Roman" w:cs="Times New Roman"/>
          <w:bCs/>
          <w:sz w:val="24"/>
          <w:szCs w:val="24"/>
        </w:rPr>
        <w:t xml:space="preserve">zmenu </w:t>
      </w:r>
      <w:r w:rsidRPr="00DA07E4">
        <w:rPr>
          <w:rFonts w:ascii="Times New Roman" w:hAnsi="Times New Roman" w:cs="Times New Roman"/>
          <w:bCs/>
          <w:sz w:val="24"/>
          <w:szCs w:val="24"/>
        </w:rPr>
        <w:t>dosiahnutých QALYs (quality-adjusted life-years)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r w:rsidRPr="00DA07E4">
        <w:rPr>
          <w:rFonts w:ascii="Times New Roman" w:hAnsi="Times New Roman" w:cs="Times New Roman"/>
          <w:bCs/>
          <w:sz w:val="24"/>
          <w:szCs w:val="24"/>
        </w:rPr>
        <w:t xml:space="preserve">  </w:t>
      </w:r>
    </w:p>
    <w:p w14:paraId="6A2B1E20" w14:textId="21BEABE2" w:rsidR="003D0B4A" w:rsidRPr="00DA07E4" w:rsidRDefault="003D0B4A" w:rsidP="00DA07E4">
      <w:pPr>
        <w:spacing w:after="0" w:line="360" w:lineRule="auto"/>
        <w:jc w:val="both"/>
        <w:rPr>
          <w:rFonts w:ascii="Times New Roman" w:hAnsi="Times New Roman" w:cs="Times New Roman"/>
          <w:bCs/>
          <w:sz w:val="24"/>
          <w:szCs w:val="24"/>
        </w:rPr>
      </w:pPr>
    </w:p>
    <w:bookmarkEnd w:id="17"/>
    <w:p w14:paraId="63332FFA" w14:textId="77777777" w:rsidR="005858F3" w:rsidRPr="00DA07E4" w:rsidRDefault="005858F3" w:rsidP="00DA07E4">
      <w:pPr>
        <w:autoSpaceDE w:val="0"/>
        <w:autoSpaceDN w:val="0"/>
        <w:adjustRightInd w:val="0"/>
        <w:spacing w:after="0" w:line="360" w:lineRule="auto"/>
        <w:jc w:val="both"/>
        <w:rPr>
          <w:rStyle w:val="A1"/>
          <w:rFonts w:ascii="Times New Roman" w:hAnsi="Times New Roman" w:cs="Times New Roman"/>
          <w:color w:val="auto"/>
          <w:sz w:val="24"/>
          <w:szCs w:val="24"/>
        </w:rPr>
      </w:pPr>
    </w:p>
    <w:p w14:paraId="038CDBC2" w14:textId="77777777" w:rsidR="00B544D3" w:rsidRPr="00DA07E4" w:rsidRDefault="00B544D3"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br w:type="page"/>
      </w:r>
    </w:p>
    <w:p w14:paraId="0192380B" w14:textId="69B2FD53" w:rsidR="005B27DC" w:rsidRPr="00DA07E4" w:rsidRDefault="004B5F23" w:rsidP="00DA07E4">
      <w:pPr>
        <w:pStyle w:val="Odstavecseseznamem"/>
        <w:numPr>
          <w:ilvl w:val="0"/>
          <w:numId w:val="4"/>
        </w:numPr>
        <w:autoSpaceDE w:val="0"/>
        <w:autoSpaceDN w:val="0"/>
        <w:adjustRightInd w:val="0"/>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KLINICKÝ SÚBOR A </w:t>
      </w:r>
      <w:r w:rsidR="005B27DC" w:rsidRPr="00DA07E4">
        <w:rPr>
          <w:rFonts w:ascii="Times New Roman" w:hAnsi="Times New Roman" w:cs="Times New Roman"/>
          <w:b/>
          <w:sz w:val="24"/>
          <w:szCs w:val="24"/>
        </w:rPr>
        <w:t>MET</w:t>
      </w:r>
      <w:r>
        <w:rPr>
          <w:rFonts w:ascii="Times New Roman" w:hAnsi="Times New Roman" w:cs="Times New Roman"/>
          <w:b/>
          <w:sz w:val="24"/>
          <w:szCs w:val="24"/>
        </w:rPr>
        <w:t>ÓDY</w:t>
      </w:r>
    </w:p>
    <w:p w14:paraId="21E7AAD3" w14:textId="77777777" w:rsidR="00B544D3" w:rsidRPr="006B1858" w:rsidRDefault="00B544D3" w:rsidP="006B1858">
      <w:pPr>
        <w:pStyle w:val="Bezmezer"/>
        <w:spacing w:line="360" w:lineRule="auto"/>
        <w:jc w:val="both"/>
        <w:rPr>
          <w:rFonts w:ascii="Times New Roman" w:hAnsi="Times New Roman" w:cs="Times New Roman"/>
          <w:spacing w:val="2"/>
          <w:sz w:val="28"/>
          <w:szCs w:val="24"/>
        </w:rPr>
      </w:pPr>
    </w:p>
    <w:p w14:paraId="762D93F4" w14:textId="32F15955" w:rsidR="00BB3A19" w:rsidRPr="006B1858" w:rsidRDefault="006B1858" w:rsidP="006B1858">
      <w:pPr>
        <w:spacing w:after="0" w:line="360" w:lineRule="auto"/>
        <w:jc w:val="both"/>
        <w:rPr>
          <w:rStyle w:val="A1"/>
          <w:rFonts w:ascii="Times New Roman" w:hAnsi="Times New Roman" w:cs="Times New Roman"/>
          <w:sz w:val="28"/>
          <w:szCs w:val="24"/>
        </w:rPr>
      </w:pPr>
      <w:r w:rsidRPr="006B1858">
        <w:rPr>
          <w:rFonts w:ascii="Times New Roman" w:hAnsi="Times New Roman" w:cs="Times New Roman"/>
          <w:b/>
          <w:bCs/>
          <w:spacing w:val="2"/>
          <w:sz w:val="24"/>
          <w:lang w:val="en-GB"/>
        </w:rPr>
        <w:t>Cieľ č. 1:</w:t>
      </w:r>
      <w:r w:rsidRPr="006B1858">
        <w:rPr>
          <w:rFonts w:ascii="Times New Roman" w:hAnsi="Times New Roman" w:cs="Times New Roman"/>
          <w:spacing w:val="2"/>
          <w:sz w:val="24"/>
          <w:lang w:val="en-GB"/>
        </w:rPr>
        <w:t xml:space="preserve"> </w:t>
      </w:r>
      <w:r w:rsidRPr="006B1858">
        <w:rPr>
          <w:rFonts w:ascii="Times New Roman" w:hAnsi="Times New Roman" w:cs="Times New Roman"/>
          <w:bCs/>
          <w:sz w:val="24"/>
        </w:rPr>
        <w:t xml:space="preserve">Validovať do slovenského jazyka dotazník špecifický pre urolitiázu WISQOL (Wisconsin Stone Quality of Life Questionnaire) </w:t>
      </w:r>
      <w:proofErr w:type="gramStart"/>
      <w:r w:rsidRPr="006B1858">
        <w:rPr>
          <w:rFonts w:ascii="Times New Roman" w:hAnsi="Times New Roman" w:cs="Times New Roman"/>
          <w:bCs/>
          <w:sz w:val="24"/>
        </w:rPr>
        <w:t>a</w:t>
      </w:r>
      <w:proofErr w:type="gramEnd"/>
      <w:r w:rsidRPr="006B1858">
        <w:rPr>
          <w:rFonts w:ascii="Times New Roman" w:hAnsi="Times New Roman" w:cs="Times New Roman"/>
          <w:bCs/>
          <w:sz w:val="24"/>
        </w:rPr>
        <w:t> overiť jeho použitie v klinickej praxi</w:t>
      </w:r>
      <w:r w:rsidR="00BB3A19" w:rsidRPr="006B1858">
        <w:rPr>
          <w:rStyle w:val="A1"/>
          <w:rFonts w:ascii="Times New Roman" w:hAnsi="Times New Roman" w:cs="Times New Roman"/>
          <w:sz w:val="28"/>
          <w:szCs w:val="24"/>
        </w:rPr>
        <w:t xml:space="preserve"> </w:t>
      </w:r>
    </w:p>
    <w:p w14:paraId="4D9200D5" w14:textId="77777777" w:rsidR="00BB3A19" w:rsidRPr="006B1858" w:rsidRDefault="00BB3A19" w:rsidP="006B1858">
      <w:pPr>
        <w:spacing w:after="0" w:line="360" w:lineRule="auto"/>
        <w:jc w:val="both"/>
        <w:rPr>
          <w:rStyle w:val="fontstyle21"/>
          <w:rFonts w:ascii="Times New Roman" w:hAnsi="Times New Roman" w:cs="Times New Roman"/>
          <w:sz w:val="28"/>
          <w:szCs w:val="24"/>
        </w:rPr>
      </w:pPr>
    </w:p>
    <w:p w14:paraId="7536DBB2" w14:textId="1C92915B" w:rsidR="00BB3A19" w:rsidRDefault="00485D07" w:rsidP="00BB3A19">
      <w:pPr>
        <w:spacing w:after="0" w:line="360" w:lineRule="auto"/>
        <w:ind w:firstLine="708"/>
        <w:jc w:val="both"/>
        <w:rPr>
          <w:rStyle w:val="fontstyle21"/>
          <w:rFonts w:ascii="Times New Roman" w:hAnsi="Times New Roman" w:cs="Times New Roman"/>
          <w:sz w:val="24"/>
          <w:szCs w:val="24"/>
        </w:rPr>
      </w:pPr>
      <w:r w:rsidRPr="005470B4">
        <w:rPr>
          <w:rStyle w:val="fontstyle21"/>
          <w:rFonts w:ascii="Times New Roman" w:hAnsi="Times New Roman" w:cs="Times New Roman"/>
          <w:sz w:val="24"/>
          <w:szCs w:val="24"/>
        </w:rPr>
        <w:t xml:space="preserve">Originálny dotazník WISQOL je vytvorený v anglickom jazyku. </w:t>
      </w:r>
      <w:r w:rsidRPr="005470B4">
        <w:rPr>
          <w:rFonts w:ascii="Times New Roman" w:hAnsi="Times New Roman" w:cs="Times New Roman"/>
          <w:bCs/>
          <w:sz w:val="24"/>
          <w:szCs w:val="24"/>
        </w:rPr>
        <w:t xml:space="preserve">Použitiu dotazníka u pacientov predchádzala lingvistická validácia </w:t>
      </w:r>
      <w:r w:rsidRPr="00485D07">
        <w:rPr>
          <w:rFonts w:ascii="Times New Roman" w:hAnsi="Times New Roman" w:cs="Times New Roman"/>
          <w:bCs/>
          <w:sz w:val="24"/>
          <w:szCs w:val="24"/>
        </w:rPr>
        <w:t>dotazníka WISQOL podľa štandardizovaného viac-krokového postupu psychometrického testovania (Muniz et Hambleton, 1997</w:t>
      </w:r>
      <w:r w:rsidRPr="00485D07">
        <w:rPr>
          <w:rFonts w:ascii="Times New Roman" w:hAnsi="Times New Roman" w:cs="Times New Roman"/>
          <w:bCs/>
        </w:rPr>
        <w:t xml:space="preserve">). </w:t>
      </w:r>
      <w:r w:rsidRPr="00485D07">
        <w:rPr>
          <w:rStyle w:val="fontstyle21"/>
          <w:rFonts w:ascii="Times New Roman" w:hAnsi="Times New Roman" w:cs="Times New Roman"/>
          <w:sz w:val="24"/>
          <w:szCs w:val="24"/>
        </w:rPr>
        <w:t>V roku 2018 so súhlasom autorky v súlade so štandardným</w:t>
      </w:r>
      <w:r w:rsidRPr="005470B4">
        <w:rPr>
          <w:rStyle w:val="fontstyle21"/>
          <w:rFonts w:ascii="Times New Roman" w:hAnsi="Times New Roman" w:cs="Times New Roman"/>
          <w:sz w:val="24"/>
          <w:szCs w:val="24"/>
        </w:rPr>
        <w:t xml:space="preserve">i postupmi preložili dvaja bilingválni výskumníci dotazník do slovenského jazyka. Z dvoch prekladov boli vybrané výroky, ktoré najvýstižnejšie zodpovedali anglickému originálu. Následne bol urobený spätný preklad do anglického jazyka a tento bol porovnaný s originálnou verziou. Po drobných jazykových korekciách bol dotazník odoslaný na overenie autorke. </w:t>
      </w:r>
      <w:r w:rsidRPr="005470B4">
        <w:rPr>
          <w:rFonts w:ascii="Times New Roman" w:hAnsi="Times New Roman" w:cs="Times New Roman"/>
          <w:bCs/>
          <w:sz w:val="24"/>
          <w:szCs w:val="24"/>
        </w:rPr>
        <w:t xml:space="preserve">Nasledoval spoločný pohovor prekladateľov a urológov. Výsledkom bola prvá slovenská verzia dotazníka WISQOL. </w:t>
      </w:r>
      <w:r>
        <w:rPr>
          <w:rStyle w:val="fontstyle21"/>
          <w:rFonts w:ascii="Times New Roman" w:hAnsi="Times New Roman" w:cs="Times New Roman"/>
          <w:sz w:val="24"/>
          <w:szCs w:val="24"/>
        </w:rPr>
        <w:t xml:space="preserve">Ďalším krokom bolo </w:t>
      </w:r>
      <w:r w:rsidRPr="005470B4">
        <w:rPr>
          <w:rStyle w:val="fontstyle21"/>
          <w:rFonts w:ascii="Times New Roman" w:hAnsi="Times New Roman" w:cs="Times New Roman"/>
          <w:sz w:val="24"/>
          <w:szCs w:val="24"/>
        </w:rPr>
        <w:t>overen</w:t>
      </w:r>
      <w:r>
        <w:rPr>
          <w:rStyle w:val="fontstyle21"/>
          <w:rFonts w:ascii="Times New Roman" w:hAnsi="Times New Roman" w:cs="Times New Roman"/>
          <w:sz w:val="24"/>
          <w:szCs w:val="24"/>
        </w:rPr>
        <w:t>ie pilot</w:t>
      </w:r>
      <w:r w:rsidRPr="005470B4">
        <w:rPr>
          <w:rStyle w:val="fontstyle21"/>
          <w:rFonts w:ascii="Times New Roman" w:hAnsi="Times New Roman" w:cs="Times New Roman"/>
          <w:sz w:val="24"/>
          <w:szCs w:val="24"/>
        </w:rPr>
        <w:t>ne na 5 pacientoch so zameraním na zrozumiteľnosť a opäť kontrol</w:t>
      </w:r>
      <w:r>
        <w:rPr>
          <w:rStyle w:val="fontstyle21"/>
          <w:rFonts w:ascii="Times New Roman" w:hAnsi="Times New Roman" w:cs="Times New Roman"/>
          <w:sz w:val="24"/>
          <w:szCs w:val="24"/>
        </w:rPr>
        <w:t>a</w:t>
      </w:r>
      <w:r w:rsidRPr="005470B4">
        <w:rPr>
          <w:rStyle w:val="fontstyle21"/>
          <w:rFonts w:ascii="Times New Roman" w:hAnsi="Times New Roman" w:cs="Times New Roman"/>
          <w:sz w:val="24"/>
          <w:szCs w:val="24"/>
        </w:rPr>
        <w:t xml:space="preserve"> s originálnou verziou a konzult</w:t>
      </w:r>
      <w:r>
        <w:rPr>
          <w:rStyle w:val="fontstyle21"/>
          <w:rFonts w:ascii="Times New Roman" w:hAnsi="Times New Roman" w:cs="Times New Roman"/>
          <w:sz w:val="24"/>
          <w:szCs w:val="24"/>
        </w:rPr>
        <w:t>ácia</w:t>
      </w:r>
      <w:r w:rsidRPr="005470B4">
        <w:rPr>
          <w:rStyle w:val="fontstyle21"/>
          <w:rFonts w:ascii="Times New Roman" w:hAnsi="Times New Roman" w:cs="Times New Roman"/>
          <w:sz w:val="24"/>
          <w:szCs w:val="24"/>
        </w:rPr>
        <w:t xml:space="preserve"> s</w:t>
      </w:r>
      <w:r>
        <w:rPr>
          <w:rStyle w:val="fontstyle21"/>
          <w:rFonts w:ascii="Times New Roman" w:hAnsi="Times New Roman" w:cs="Times New Roman"/>
          <w:sz w:val="24"/>
          <w:szCs w:val="24"/>
        </w:rPr>
        <w:t> </w:t>
      </w:r>
      <w:r w:rsidRPr="005470B4">
        <w:rPr>
          <w:rStyle w:val="fontstyle21"/>
          <w:rFonts w:ascii="Times New Roman" w:hAnsi="Times New Roman" w:cs="Times New Roman"/>
          <w:sz w:val="24"/>
          <w:szCs w:val="24"/>
        </w:rPr>
        <w:t>autorkou</w:t>
      </w:r>
      <w:r>
        <w:rPr>
          <w:rStyle w:val="fontstyle21"/>
          <w:rFonts w:ascii="Times New Roman" w:hAnsi="Times New Roman" w:cs="Times New Roman"/>
          <w:sz w:val="24"/>
          <w:szCs w:val="24"/>
        </w:rPr>
        <w:t xml:space="preserve"> </w:t>
      </w:r>
      <w:r w:rsidRPr="00485D07">
        <w:rPr>
          <w:rStyle w:val="fontstyle21"/>
          <w:rFonts w:ascii="Times New Roman" w:hAnsi="Times New Roman" w:cs="Times New Roman"/>
          <w:sz w:val="24"/>
          <w:szCs w:val="24"/>
        </w:rPr>
        <w:t>(</w:t>
      </w:r>
      <w:r>
        <w:rPr>
          <w:rStyle w:val="fontstyle21"/>
          <w:rFonts w:ascii="Times New Roman" w:hAnsi="Times New Roman" w:cs="Times New Roman"/>
          <w:color w:val="000000" w:themeColor="text1"/>
          <w:sz w:val="24"/>
          <w:szCs w:val="24"/>
        </w:rPr>
        <w:t>o</w:t>
      </w:r>
      <w:r w:rsidRPr="00485D07">
        <w:rPr>
          <w:rStyle w:val="fontstyle21"/>
          <w:rFonts w:ascii="Times New Roman" w:hAnsi="Times New Roman" w:cs="Times New Roman"/>
          <w:color w:val="000000" w:themeColor="text1"/>
          <w:sz w:val="24"/>
          <w:szCs w:val="24"/>
        </w:rPr>
        <w:t>brázok č. 9)</w:t>
      </w:r>
      <w:r w:rsidRPr="005470B4">
        <w:rPr>
          <w:rStyle w:val="fontstyle21"/>
          <w:rFonts w:ascii="Times New Roman" w:hAnsi="Times New Roman" w:cs="Times New Roman"/>
          <w:sz w:val="24"/>
          <w:szCs w:val="24"/>
        </w:rPr>
        <w:t xml:space="preserve">. </w:t>
      </w:r>
      <w:r w:rsidR="00BB3A19" w:rsidRPr="005470B4">
        <w:rPr>
          <w:rStyle w:val="fontstyle21"/>
          <w:rFonts w:ascii="Times New Roman" w:hAnsi="Times New Roman" w:cs="Times New Roman"/>
          <w:sz w:val="24"/>
          <w:szCs w:val="24"/>
        </w:rPr>
        <w:t xml:space="preserve"> </w:t>
      </w:r>
    </w:p>
    <w:p w14:paraId="35636DA6" w14:textId="77777777" w:rsidR="00485D07" w:rsidRDefault="00485D07" w:rsidP="00485D07">
      <w:pPr>
        <w:spacing w:after="0" w:line="360" w:lineRule="auto"/>
        <w:jc w:val="center"/>
        <w:rPr>
          <w:rFonts w:ascii="Times New Roman" w:hAnsi="Times New Roman" w:cs="Times New Roman"/>
          <w:sz w:val="24"/>
          <w:szCs w:val="24"/>
        </w:rPr>
      </w:pPr>
      <w:r w:rsidRPr="005470B4">
        <w:rPr>
          <w:noProof/>
          <w:bdr w:val="single" w:sz="4" w:space="0" w:color="auto"/>
        </w:rPr>
        <w:drawing>
          <wp:inline distT="0" distB="0" distL="0" distR="0" wp14:anchorId="35A4D2DB" wp14:editId="010C98EB">
            <wp:extent cx="4183825" cy="4038600"/>
            <wp:effectExtent l="0" t="0" r="762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0220" cy="4073732"/>
                    </a:xfrm>
                    <a:prstGeom prst="rect">
                      <a:avLst/>
                    </a:prstGeom>
                    <a:noFill/>
                    <a:ln>
                      <a:noFill/>
                    </a:ln>
                  </pic:spPr>
                </pic:pic>
              </a:graphicData>
            </a:graphic>
          </wp:inline>
        </w:drawing>
      </w:r>
    </w:p>
    <w:p w14:paraId="48927370" w14:textId="1FF37663" w:rsidR="00485D07" w:rsidRDefault="00485D07" w:rsidP="00485D07">
      <w:pPr>
        <w:spacing w:after="0" w:line="360" w:lineRule="auto"/>
        <w:jc w:val="both"/>
        <w:rPr>
          <w:rStyle w:val="fontstyle21"/>
          <w:rFonts w:ascii="Times New Roman" w:hAnsi="Times New Roman" w:cs="Times New Roman"/>
          <w:sz w:val="24"/>
          <w:szCs w:val="24"/>
        </w:rPr>
      </w:pPr>
      <w:bookmarkStart w:id="18" w:name="_Hlk68635310"/>
      <w:r w:rsidRPr="00485D07">
        <w:rPr>
          <w:rStyle w:val="fontstyle21"/>
          <w:rFonts w:ascii="Times New Roman" w:hAnsi="Times New Roman" w:cs="Times New Roman"/>
          <w:b/>
          <w:sz w:val="24"/>
          <w:szCs w:val="24"/>
        </w:rPr>
        <w:t>Obrázok 9</w:t>
      </w:r>
      <w:r>
        <w:rPr>
          <w:rStyle w:val="fontstyle21"/>
          <w:rFonts w:ascii="Times New Roman" w:hAnsi="Times New Roman" w:cs="Times New Roman"/>
          <w:sz w:val="24"/>
          <w:szCs w:val="24"/>
        </w:rPr>
        <w:t xml:space="preserve"> Schéma prekladu dotazníka</w:t>
      </w:r>
    </w:p>
    <w:bookmarkEnd w:id="18"/>
    <w:p w14:paraId="54972038" w14:textId="6C214CB5" w:rsidR="00BB3A19" w:rsidRDefault="00485D07" w:rsidP="00BB3A19">
      <w:pPr>
        <w:spacing w:after="0" w:line="360" w:lineRule="auto"/>
        <w:ind w:firstLine="708"/>
        <w:jc w:val="both"/>
        <w:rPr>
          <w:rStyle w:val="fontstyle21"/>
          <w:rFonts w:ascii="Times New Roman" w:hAnsi="Times New Roman" w:cs="Times New Roman"/>
          <w:sz w:val="24"/>
          <w:szCs w:val="24"/>
        </w:rPr>
      </w:pPr>
      <w:r w:rsidRPr="005470B4">
        <w:rPr>
          <w:rStyle w:val="fontstyle21"/>
          <w:rFonts w:ascii="Times New Roman" w:hAnsi="Times New Roman" w:cs="Times New Roman"/>
          <w:sz w:val="24"/>
          <w:szCs w:val="24"/>
        </w:rPr>
        <w:lastRenderedPageBreak/>
        <w:t xml:space="preserve">Vlastný proces štandardizovanej validácie bol </w:t>
      </w:r>
      <w:r>
        <w:rPr>
          <w:rStyle w:val="fontstyle21"/>
          <w:rFonts w:ascii="Times New Roman" w:hAnsi="Times New Roman" w:cs="Times New Roman"/>
          <w:sz w:val="24"/>
          <w:szCs w:val="24"/>
        </w:rPr>
        <w:t xml:space="preserve">kompletne </w:t>
      </w:r>
      <w:r w:rsidRPr="005470B4">
        <w:rPr>
          <w:rStyle w:val="fontstyle21"/>
          <w:rFonts w:ascii="Times New Roman" w:hAnsi="Times New Roman" w:cs="Times New Roman"/>
          <w:sz w:val="24"/>
          <w:szCs w:val="24"/>
        </w:rPr>
        <w:t xml:space="preserve">zrealizovaný v súbore </w:t>
      </w:r>
      <w:r>
        <w:rPr>
          <w:rStyle w:val="fontstyle21"/>
          <w:rFonts w:ascii="Times New Roman" w:hAnsi="Times New Roman" w:cs="Times New Roman"/>
          <w:sz w:val="24"/>
          <w:szCs w:val="24"/>
        </w:rPr>
        <w:t xml:space="preserve">86 zo </w:t>
      </w:r>
      <w:r w:rsidRPr="005470B4">
        <w:rPr>
          <w:rStyle w:val="fontstyle21"/>
          <w:rFonts w:ascii="Times New Roman" w:hAnsi="Times New Roman" w:cs="Times New Roman"/>
          <w:sz w:val="24"/>
          <w:szCs w:val="24"/>
        </w:rPr>
        <w:t xml:space="preserve">125 respondentov: prvú skupinu tvorilo </w:t>
      </w:r>
      <w:r>
        <w:rPr>
          <w:rStyle w:val="fontstyle21"/>
          <w:rFonts w:ascii="Times New Roman" w:hAnsi="Times New Roman" w:cs="Times New Roman"/>
          <w:sz w:val="24"/>
          <w:szCs w:val="24"/>
        </w:rPr>
        <w:t>52</w:t>
      </w:r>
      <w:r w:rsidRPr="005470B4">
        <w:rPr>
          <w:rStyle w:val="fontstyle21"/>
          <w:rFonts w:ascii="Times New Roman" w:hAnsi="Times New Roman" w:cs="Times New Roman"/>
          <w:sz w:val="24"/>
          <w:szCs w:val="24"/>
        </w:rPr>
        <w:t xml:space="preserve"> pacientov s urolitiázou a druhú skupinu </w:t>
      </w:r>
      <w:r>
        <w:rPr>
          <w:rStyle w:val="fontstyle21"/>
          <w:rFonts w:ascii="Times New Roman" w:hAnsi="Times New Roman" w:cs="Times New Roman"/>
          <w:sz w:val="24"/>
          <w:szCs w:val="24"/>
        </w:rPr>
        <w:t>34</w:t>
      </w:r>
      <w:r w:rsidRPr="005470B4">
        <w:rPr>
          <w:rStyle w:val="fontstyle21"/>
          <w:rFonts w:ascii="Times New Roman" w:hAnsi="Times New Roman" w:cs="Times New Roman"/>
          <w:sz w:val="24"/>
          <w:szCs w:val="24"/>
        </w:rPr>
        <w:t xml:space="preserve"> pacientov bez urolitiázy</w:t>
      </w:r>
      <w:r>
        <w:rPr>
          <w:rStyle w:val="fontstyle21"/>
          <w:rFonts w:ascii="Times New Roman" w:hAnsi="Times New Roman" w:cs="Times New Roman"/>
          <w:sz w:val="24"/>
          <w:szCs w:val="24"/>
        </w:rPr>
        <w:t xml:space="preserve"> (obrázok č. 10)</w:t>
      </w:r>
      <w:r w:rsidRPr="005470B4">
        <w:rPr>
          <w:rStyle w:val="fontstyle21"/>
          <w:rFonts w:ascii="Times New Roman" w:hAnsi="Times New Roman" w:cs="Times New Roman"/>
          <w:sz w:val="24"/>
          <w:szCs w:val="24"/>
        </w:rPr>
        <w:t xml:space="preserve">. Z dotazníkov prvej skupiny bola vypočítaná vnútorná konzistencia (prostredníctvom Cronbachovej alfy) a spoľahlivosť (test-retest, stanovenie Pearsonovho koeficientu) opakovaného testu. Pri opakovanom teste pacienti vyplnili dotazník dvakrát – retest bol vyplnený po uplynutí dvoch týždňov od testu. Ďalej porovnaním skóre prvej a druhej skupiny bola vypočítaná diskriminačná platnosť. Skóre domény dotazníka sa vypočítalo podľa pôvodného sprievodcu skórovaním. Dotazník pozostáva z 28 položiek, ktoré sú rozdelené do 4 domén: Doména 1 </w:t>
      </w:r>
      <w:r w:rsidRPr="005470B4">
        <w:rPr>
          <w:rStyle w:val="A1"/>
          <w:rFonts w:ascii="Times New Roman" w:hAnsi="Times New Roman" w:cs="Times New Roman"/>
          <w:sz w:val="24"/>
          <w:szCs w:val="24"/>
        </w:rPr>
        <w:t>Sociálny dopad, Doména 2 Emocionálny dopad, Doména 3 Symptómy špecifické pre ochorenie urolitiázou, Doména 4 Vplyv na vitalitu</w:t>
      </w:r>
      <w:r w:rsidRPr="005470B4">
        <w:rPr>
          <w:rStyle w:val="fontstyle21"/>
          <w:rFonts w:ascii="Times New Roman" w:hAnsi="Times New Roman" w:cs="Times New Roman"/>
          <w:sz w:val="24"/>
          <w:szCs w:val="24"/>
        </w:rPr>
        <w:t>. Na hodnotenie odpovedí sa používa päťbodová Likertova stupnica. Maximálne skóre pre nástroj je 140 (28 x 5), vyššie skóre koreluje s</w:t>
      </w:r>
      <w:r>
        <w:rPr>
          <w:rStyle w:val="fontstyle21"/>
          <w:rFonts w:ascii="Times New Roman" w:hAnsi="Times New Roman" w:cs="Times New Roman"/>
          <w:sz w:val="24"/>
          <w:szCs w:val="24"/>
        </w:rPr>
        <w:t> </w:t>
      </w:r>
      <w:r w:rsidRPr="005470B4">
        <w:rPr>
          <w:rStyle w:val="fontstyle21"/>
          <w:rFonts w:ascii="Times New Roman" w:hAnsi="Times New Roman" w:cs="Times New Roman"/>
          <w:sz w:val="24"/>
          <w:szCs w:val="24"/>
        </w:rPr>
        <w:t>vyššou</w:t>
      </w:r>
      <w:r>
        <w:rPr>
          <w:rStyle w:val="fontstyle21"/>
          <w:rFonts w:ascii="Times New Roman" w:hAnsi="Times New Roman" w:cs="Times New Roman"/>
          <w:sz w:val="24"/>
          <w:szCs w:val="24"/>
        </w:rPr>
        <w:t xml:space="preserve"> </w:t>
      </w:r>
      <w:r w:rsidRPr="005470B4">
        <w:rPr>
          <w:rStyle w:val="fontstyle21"/>
          <w:rFonts w:ascii="Times New Roman" w:hAnsi="Times New Roman" w:cs="Times New Roman"/>
          <w:sz w:val="24"/>
          <w:szCs w:val="24"/>
        </w:rPr>
        <w:t>kvalitou života súvisiacou so zdravím</w:t>
      </w:r>
      <w:r>
        <w:rPr>
          <w:rStyle w:val="fontstyle21"/>
          <w:rFonts w:ascii="Times New Roman" w:hAnsi="Times New Roman" w:cs="Times New Roman"/>
          <w:sz w:val="24"/>
          <w:szCs w:val="24"/>
        </w:rPr>
        <w:t xml:space="preserve"> </w:t>
      </w:r>
      <w:r w:rsidRPr="005470B4">
        <w:rPr>
          <w:rStyle w:val="fontstyle21"/>
          <w:rFonts w:ascii="Times New Roman" w:hAnsi="Times New Roman" w:cs="Times New Roman"/>
          <w:sz w:val="24"/>
          <w:szCs w:val="24"/>
        </w:rPr>
        <w:t>(</w:t>
      </w:r>
      <w:r w:rsidRPr="00485D07">
        <w:rPr>
          <w:rStyle w:val="fontstyle21"/>
          <w:rFonts w:ascii="Times New Roman" w:hAnsi="Times New Roman" w:cs="Times New Roman"/>
          <w:sz w:val="24"/>
          <w:szCs w:val="24"/>
        </w:rPr>
        <w:t>Príloha</w:t>
      </w:r>
      <w:r w:rsidRPr="005470B4">
        <w:rPr>
          <w:rStyle w:val="fontstyle21"/>
          <w:rFonts w:ascii="Times New Roman" w:hAnsi="Times New Roman" w:cs="Times New Roman"/>
          <w:sz w:val="24"/>
          <w:szCs w:val="24"/>
        </w:rPr>
        <w:t xml:space="preserve">). </w:t>
      </w:r>
      <w:r w:rsidR="00BB3A19" w:rsidRPr="005470B4">
        <w:rPr>
          <w:rStyle w:val="fontstyle21"/>
          <w:rFonts w:ascii="Times New Roman" w:hAnsi="Times New Roman" w:cs="Times New Roman"/>
          <w:sz w:val="24"/>
          <w:szCs w:val="24"/>
        </w:rPr>
        <w:t xml:space="preserve"> </w:t>
      </w:r>
    </w:p>
    <w:p w14:paraId="7F49E29D" w14:textId="77777777" w:rsidR="00485D07" w:rsidRPr="005470B4" w:rsidRDefault="00485D07" w:rsidP="00BB3A19">
      <w:pPr>
        <w:spacing w:after="0" w:line="360" w:lineRule="auto"/>
        <w:ind w:firstLine="708"/>
        <w:jc w:val="both"/>
        <w:rPr>
          <w:rStyle w:val="fontstyle21"/>
          <w:rFonts w:ascii="Times New Roman" w:hAnsi="Times New Roman" w:cs="Times New Roman"/>
          <w:sz w:val="24"/>
          <w:szCs w:val="24"/>
        </w:rPr>
      </w:pPr>
    </w:p>
    <w:p w14:paraId="55A5FC27" w14:textId="77777777" w:rsidR="00485D07" w:rsidRDefault="00485D07" w:rsidP="00485D07">
      <w:pPr>
        <w:spacing w:after="0" w:line="360" w:lineRule="auto"/>
        <w:jc w:val="center"/>
        <w:rPr>
          <w:rFonts w:ascii="Times New Roman" w:hAnsi="Times New Roman" w:cs="Times New Roman"/>
          <w:spacing w:val="2"/>
          <w:sz w:val="24"/>
          <w:szCs w:val="24"/>
        </w:rPr>
      </w:pPr>
      <w:r w:rsidRPr="003E0F72">
        <w:rPr>
          <w:noProof/>
          <w:bdr w:val="single" w:sz="4" w:space="0" w:color="auto"/>
        </w:rPr>
        <w:drawing>
          <wp:inline distT="0" distB="0" distL="0" distR="0" wp14:anchorId="08E43EE6" wp14:editId="5DD25D0D">
            <wp:extent cx="4525108" cy="3015627"/>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2353" cy="3073769"/>
                    </a:xfrm>
                    <a:prstGeom prst="rect">
                      <a:avLst/>
                    </a:prstGeom>
                    <a:noFill/>
                    <a:ln>
                      <a:noFill/>
                    </a:ln>
                  </pic:spPr>
                </pic:pic>
              </a:graphicData>
            </a:graphic>
          </wp:inline>
        </w:drawing>
      </w:r>
    </w:p>
    <w:p w14:paraId="4EF81C7E" w14:textId="326F8926" w:rsidR="003E0F72" w:rsidRDefault="00485D07" w:rsidP="003E0F72">
      <w:pPr>
        <w:spacing w:after="0" w:line="360" w:lineRule="auto"/>
        <w:jc w:val="both"/>
        <w:rPr>
          <w:rStyle w:val="fontstyle21"/>
          <w:rFonts w:ascii="Times New Roman" w:hAnsi="Times New Roman" w:cs="Times New Roman"/>
          <w:sz w:val="24"/>
          <w:szCs w:val="24"/>
        </w:rPr>
      </w:pPr>
      <w:bookmarkStart w:id="19" w:name="_Hlk68635543"/>
      <w:r w:rsidRPr="00485D07">
        <w:rPr>
          <w:rStyle w:val="fontstyle21"/>
          <w:rFonts w:ascii="Times New Roman" w:hAnsi="Times New Roman" w:cs="Times New Roman"/>
          <w:b/>
          <w:sz w:val="24"/>
          <w:szCs w:val="24"/>
        </w:rPr>
        <w:t>Obrázok 10</w:t>
      </w:r>
      <w:r>
        <w:rPr>
          <w:rStyle w:val="fontstyle21"/>
          <w:rFonts w:ascii="Times New Roman" w:hAnsi="Times New Roman" w:cs="Times New Roman"/>
          <w:sz w:val="24"/>
          <w:szCs w:val="24"/>
        </w:rPr>
        <w:t xml:space="preserve"> Diagram zaraďovania účastníkov klinickej štúdie</w:t>
      </w:r>
    </w:p>
    <w:bookmarkEnd w:id="19"/>
    <w:p w14:paraId="0C36A698" w14:textId="77777777" w:rsidR="00485D07" w:rsidRDefault="00485D07" w:rsidP="003E0F72">
      <w:pPr>
        <w:spacing w:after="0" w:line="360" w:lineRule="auto"/>
        <w:jc w:val="both"/>
        <w:rPr>
          <w:rStyle w:val="fontstyle21"/>
          <w:rFonts w:ascii="Times New Roman" w:hAnsi="Times New Roman" w:cs="Times New Roman"/>
          <w:sz w:val="24"/>
          <w:szCs w:val="24"/>
        </w:rPr>
      </w:pPr>
    </w:p>
    <w:p w14:paraId="0C997FD8" w14:textId="77777777" w:rsidR="00BB3A19" w:rsidRDefault="00BB3A19" w:rsidP="00BB3A19">
      <w:pPr>
        <w:spacing w:after="0" w:line="360" w:lineRule="auto"/>
        <w:jc w:val="both"/>
        <w:rPr>
          <w:rFonts w:ascii="Times New Roman" w:hAnsi="Times New Roman" w:cs="Times New Roman"/>
          <w:sz w:val="24"/>
          <w:szCs w:val="24"/>
        </w:rPr>
      </w:pPr>
    </w:p>
    <w:p w14:paraId="533E2B90" w14:textId="1BC3F25B" w:rsidR="00485D07" w:rsidRDefault="00485D07" w:rsidP="00485D07">
      <w:pPr>
        <w:spacing w:after="0" w:line="360" w:lineRule="auto"/>
        <w:jc w:val="both"/>
        <w:rPr>
          <w:rFonts w:ascii="Times New Roman" w:hAnsi="Times New Roman" w:cs="Times New Roman"/>
          <w:bCs/>
          <w:sz w:val="24"/>
          <w:szCs w:val="24"/>
        </w:rPr>
      </w:pPr>
      <w:r w:rsidRPr="00DA07E4">
        <w:rPr>
          <w:rFonts w:ascii="Times New Roman" w:hAnsi="Times New Roman" w:cs="Times New Roman"/>
          <w:b/>
          <w:sz w:val="24"/>
          <w:szCs w:val="24"/>
        </w:rPr>
        <w:t>Cieľ č.</w:t>
      </w:r>
      <w:r>
        <w:rPr>
          <w:rFonts w:ascii="Times New Roman" w:hAnsi="Times New Roman" w:cs="Times New Roman"/>
          <w:b/>
          <w:sz w:val="24"/>
          <w:szCs w:val="24"/>
        </w:rPr>
        <w:t xml:space="preserve"> </w:t>
      </w:r>
      <w:r w:rsidRPr="00DA07E4">
        <w:rPr>
          <w:rFonts w:ascii="Times New Roman" w:hAnsi="Times New Roman" w:cs="Times New Roman"/>
          <w:b/>
          <w:sz w:val="24"/>
          <w:szCs w:val="24"/>
        </w:rPr>
        <w:t>2:</w:t>
      </w:r>
      <w:r w:rsidRPr="00DA07E4">
        <w:rPr>
          <w:rFonts w:ascii="Times New Roman" w:hAnsi="Times New Roman" w:cs="Times New Roman"/>
          <w:bCs/>
          <w:sz w:val="24"/>
          <w:szCs w:val="24"/>
        </w:rPr>
        <w:t xml:space="preserve"> Porovnať </w:t>
      </w:r>
      <w:r>
        <w:rPr>
          <w:rFonts w:ascii="Times New Roman" w:hAnsi="Times New Roman" w:cs="Times New Roman"/>
          <w:bCs/>
          <w:sz w:val="24"/>
          <w:szCs w:val="24"/>
        </w:rPr>
        <w:t>prostredníctvom</w:t>
      </w:r>
      <w:r w:rsidRPr="00DA07E4">
        <w:rPr>
          <w:rFonts w:ascii="Times New Roman" w:hAnsi="Times New Roman" w:cs="Times New Roman"/>
          <w:bCs/>
          <w:sz w:val="24"/>
          <w:szCs w:val="24"/>
        </w:rPr>
        <w:t xml:space="preserve"> dotazníka WISQOL skóre HRQOL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r w:rsidRPr="00DA07E4">
        <w:rPr>
          <w:rFonts w:ascii="Times New Roman" w:hAnsi="Times New Roman" w:cs="Times New Roman"/>
          <w:bCs/>
          <w:sz w:val="24"/>
          <w:szCs w:val="24"/>
        </w:rPr>
        <w:t xml:space="preserve"> </w:t>
      </w:r>
    </w:p>
    <w:p w14:paraId="131A17B9" w14:textId="6307E53F" w:rsidR="00485D07" w:rsidRDefault="00485D07" w:rsidP="00485D07">
      <w:pPr>
        <w:spacing w:after="0" w:line="360" w:lineRule="auto"/>
        <w:jc w:val="both"/>
        <w:rPr>
          <w:rFonts w:ascii="Times New Roman" w:hAnsi="Times New Roman" w:cs="Times New Roman"/>
          <w:bCs/>
          <w:sz w:val="24"/>
          <w:szCs w:val="24"/>
        </w:rPr>
      </w:pPr>
    </w:p>
    <w:p w14:paraId="12786166" w14:textId="59F44C21" w:rsidR="00485D07" w:rsidRDefault="00485D07" w:rsidP="00485D07">
      <w:pPr>
        <w:pStyle w:val="Bezmezer"/>
        <w:spacing w:line="360" w:lineRule="auto"/>
        <w:ind w:firstLine="708"/>
        <w:jc w:val="both"/>
        <w:rPr>
          <w:rFonts w:ascii="Times New Roman" w:hAnsi="Times New Roman" w:cs="Times New Roman"/>
          <w:spacing w:val="2"/>
          <w:sz w:val="24"/>
          <w:szCs w:val="24"/>
        </w:rPr>
      </w:pPr>
      <w:r w:rsidRPr="001D1F6D">
        <w:rPr>
          <w:rFonts w:ascii="Times New Roman" w:hAnsi="Times New Roman" w:cs="Times New Roman"/>
          <w:spacing w:val="2"/>
          <w:sz w:val="24"/>
          <w:szCs w:val="24"/>
        </w:rPr>
        <w:t>Do klinickej štúdie bolo</w:t>
      </w:r>
      <w:r w:rsidRPr="00DA07E4">
        <w:rPr>
          <w:rFonts w:ascii="Times New Roman" w:hAnsi="Times New Roman" w:cs="Times New Roman"/>
          <w:spacing w:val="2"/>
          <w:sz w:val="24"/>
          <w:szCs w:val="24"/>
        </w:rPr>
        <w:t xml:space="preserve"> zaradených 78 </w:t>
      </w:r>
      <w:r>
        <w:rPr>
          <w:rFonts w:ascii="Times New Roman" w:hAnsi="Times New Roman" w:cs="Times New Roman"/>
          <w:spacing w:val="2"/>
          <w:sz w:val="24"/>
          <w:szCs w:val="24"/>
        </w:rPr>
        <w:t xml:space="preserve">zo 158 pacientov s urolitiázou (obrázok č. 10). </w:t>
      </w:r>
      <w:r w:rsidRPr="00DA07E4">
        <w:rPr>
          <w:rFonts w:ascii="Times New Roman" w:hAnsi="Times New Roman" w:cs="Times New Roman"/>
          <w:spacing w:val="2"/>
          <w:sz w:val="24"/>
          <w:szCs w:val="24"/>
        </w:rPr>
        <w:t xml:space="preserve">Vstupné kritériá boli: veľkosť konkrementu menej ako 20 mm, menej ako 1 000 HU </w:t>
      </w:r>
      <w:r w:rsidRPr="00DA07E4">
        <w:rPr>
          <w:rFonts w:ascii="Times New Roman" w:hAnsi="Times New Roman" w:cs="Times New Roman"/>
          <w:spacing w:val="2"/>
          <w:sz w:val="24"/>
          <w:szCs w:val="24"/>
        </w:rPr>
        <w:lastRenderedPageBreak/>
        <w:t>(Hounsfieldových jednotiek) na natívnom CT zobrazení, lokalizácia konkrementu v dutom systéme obličky, konkrement bez predošlej intervencie a doba sledovania minimálne 24 týždňov. Vylučujúce kritériá boli: infekcia močových ciest, syndróm chronickej panvovej bolesti, syndróm dráždivého mechúra, neurologické a psychiatrické diagnózy, tehotenstvo u ženských pacientok, genitourinárna malignita a iné závažné komorbidity.</w:t>
      </w:r>
      <w:r>
        <w:rPr>
          <w:rFonts w:ascii="Times New Roman" w:hAnsi="Times New Roman" w:cs="Times New Roman"/>
          <w:spacing w:val="2"/>
          <w:sz w:val="24"/>
          <w:szCs w:val="24"/>
        </w:rPr>
        <w:t xml:space="preserve"> Pacienti, ktorí boli vylúčení na základe vstupných a vylučujúcich kritérií boli zaradení do validačnej skupiny (n = 80). Pacienti (n=78) </w:t>
      </w:r>
      <w:r w:rsidRPr="00DA07E4">
        <w:rPr>
          <w:rFonts w:ascii="Times New Roman" w:hAnsi="Times New Roman" w:cs="Times New Roman"/>
          <w:spacing w:val="2"/>
          <w:sz w:val="24"/>
          <w:szCs w:val="24"/>
        </w:rPr>
        <w:t>od januára 2018 do júna 2019 podstúpili operačnú liečbu na Urologickej klinike Univerzitnej nemocnice Martin Jesseniovej lekárskej fakulty v Martine Univerzity Komenského v</w:t>
      </w:r>
      <w:r>
        <w:rPr>
          <w:rFonts w:ascii="Times New Roman" w:hAnsi="Times New Roman" w:cs="Times New Roman"/>
          <w:spacing w:val="2"/>
          <w:sz w:val="24"/>
          <w:szCs w:val="24"/>
        </w:rPr>
        <w:t> </w:t>
      </w:r>
      <w:r w:rsidRPr="00DA07E4">
        <w:rPr>
          <w:rFonts w:ascii="Times New Roman" w:hAnsi="Times New Roman" w:cs="Times New Roman"/>
          <w:spacing w:val="2"/>
          <w:sz w:val="24"/>
          <w:szCs w:val="24"/>
        </w:rPr>
        <w:t>Bratislave</w:t>
      </w:r>
      <w:r w:rsidRPr="005470B4">
        <w:rPr>
          <w:rStyle w:val="fontstyle21"/>
          <w:rFonts w:ascii="Times New Roman" w:hAnsi="Times New Roman" w:cs="Times New Roman"/>
          <w:sz w:val="24"/>
          <w:szCs w:val="24"/>
        </w:rPr>
        <w:t>.</w:t>
      </w:r>
    </w:p>
    <w:p w14:paraId="2F3D2FA4" w14:textId="74CF9A04" w:rsidR="00485D07" w:rsidRDefault="00485D07" w:rsidP="00485D07">
      <w:pPr>
        <w:pStyle w:val="Bezmeze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DA07E4">
        <w:rPr>
          <w:rFonts w:ascii="Times New Roman" w:hAnsi="Times New Roman" w:cs="Times New Roman"/>
          <w:sz w:val="24"/>
          <w:szCs w:val="24"/>
        </w:rPr>
        <w:t>acient</w:t>
      </w:r>
      <w:r>
        <w:rPr>
          <w:rFonts w:ascii="Times New Roman" w:hAnsi="Times New Roman" w:cs="Times New Roman"/>
          <w:sz w:val="24"/>
          <w:szCs w:val="24"/>
        </w:rPr>
        <w:t>i</w:t>
      </w:r>
      <w:r w:rsidRPr="00DA07E4">
        <w:rPr>
          <w:rFonts w:ascii="Times New Roman" w:hAnsi="Times New Roman" w:cs="Times New Roman"/>
          <w:sz w:val="24"/>
          <w:szCs w:val="24"/>
        </w:rPr>
        <w:t xml:space="preserve"> v intervenčnom ramene </w:t>
      </w:r>
      <w:r>
        <w:rPr>
          <w:rFonts w:ascii="Times New Roman" w:hAnsi="Times New Roman" w:cs="Times New Roman"/>
          <w:sz w:val="24"/>
          <w:szCs w:val="24"/>
        </w:rPr>
        <w:t xml:space="preserve">boli </w:t>
      </w:r>
      <w:r w:rsidRPr="00DA07E4">
        <w:rPr>
          <w:rFonts w:ascii="Times New Roman" w:hAnsi="Times New Roman" w:cs="Times New Roman"/>
          <w:sz w:val="24"/>
          <w:szCs w:val="24"/>
        </w:rPr>
        <w:t>randomizovan</w:t>
      </w:r>
      <w:r>
        <w:rPr>
          <w:rFonts w:ascii="Times New Roman" w:hAnsi="Times New Roman" w:cs="Times New Roman"/>
          <w:sz w:val="24"/>
          <w:szCs w:val="24"/>
        </w:rPr>
        <w:t>í</w:t>
      </w:r>
      <w:r w:rsidRPr="00DA07E4">
        <w:rPr>
          <w:rFonts w:ascii="Times New Roman" w:hAnsi="Times New Roman" w:cs="Times New Roman"/>
          <w:sz w:val="24"/>
          <w:szCs w:val="24"/>
        </w:rPr>
        <w:t xml:space="preserve"> do dvoch skupín podľa pravidla párny-nepárny. Celkovo 39 pacientov v prvej skupine podstúpilo ureterorenoskopiu (</w:t>
      </w:r>
      <w:r w:rsidR="00E26032">
        <w:rPr>
          <w:rFonts w:ascii="Times New Roman" w:hAnsi="Times New Roman" w:cs="Times New Roman"/>
          <w:sz w:val="24"/>
          <w:szCs w:val="24"/>
        </w:rPr>
        <w:t>RI</w:t>
      </w:r>
      <w:r w:rsidRPr="00DA07E4">
        <w:rPr>
          <w:rFonts w:ascii="Times New Roman" w:hAnsi="Times New Roman" w:cs="Times New Roman"/>
          <w:sz w:val="24"/>
          <w:szCs w:val="24"/>
        </w:rPr>
        <w:t xml:space="preserve">RS) a 39 pacientov v druhej skupine podstúpilo litotripsiu mimotelovou rázovou vlnou (ESWL). Všetky ureterorenoskopie boli realizované použitím jednorázových flexibilných ureterorenoskopov. Litotripsia ESWL bola realizovaná použitím úplne nového litotriptora. Všetci pacienti dostali antibiotickú profylaxiu. Bol zaznamenaný počet výkonov </w:t>
      </w:r>
      <w:r>
        <w:rPr>
          <w:rFonts w:ascii="Times New Roman" w:hAnsi="Times New Roman" w:cs="Times New Roman"/>
          <w:sz w:val="24"/>
          <w:szCs w:val="24"/>
        </w:rPr>
        <w:t>potrebný</w:t>
      </w:r>
      <w:r w:rsidRPr="00DA07E4">
        <w:rPr>
          <w:rFonts w:ascii="Times New Roman" w:hAnsi="Times New Roman" w:cs="Times New Roman"/>
          <w:sz w:val="24"/>
          <w:szCs w:val="24"/>
        </w:rPr>
        <w:t xml:space="preserve"> na dosiahnutie stavu bez konkrementov (stone-free rate, SFR, fragmenty veľkosti menej ako 1 mm). Zaznamenané boli aj pridružené komplikácie (iatrogénne poranenia, nozokomiálne infekcie a podobne). Pred zákrokom všetci pacienti vyplnili dotazník WISQOL </w:t>
      </w:r>
      <w:r>
        <w:rPr>
          <w:rFonts w:ascii="Times New Roman" w:hAnsi="Times New Roman" w:cs="Times New Roman"/>
          <w:sz w:val="24"/>
          <w:szCs w:val="24"/>
        </w:rPr>
        <w:t>(</w:t>
      </w:r>
      <w:r w:rsidRPr="00485D07">
        <w:rPr>
          <w:rFonts w:ascii="Times New Roman" w:hAnsi="Times New Roman" w:cs="Times New Roman"/>
          <w:sz w:val="24"/>
          <w:szCs w:val="24"/>
        </w:rPr>
        <w:t>Príloha</w:t>
      </w:r>
      <w:r w:rsidRPr="00DA07E4">
        <w:rPr>
          <w:rFonts w:ascii="Times New Roman" w:hAnsi="Times New Roman" w:cs="Times New Roman"/>
          <w:sz w:val="24"/>
          <w:szCs w:val="24"/>
        </w:rPr>
        <w:t>). Nasledujúci deň po zákroku bola u každého pacienta realizovaná natívna RTG snímka. V štvrtom týždni po ukončení hospitalizácie bola realizovaná prvá ambulantná kontrola. V 24. týždni po zákroku bolo doplnené natívne CT a zároveň pacienti znovu vyplnili dotazník WISQOL.</w:t>
      </w:r>
    </w:p>
    <w:p w14:paraId="40F28D1C" w14:textId="0396BC62" w:rsidR="00485D07" w:rsidRDefault="00485D07" w:rsidP="00485D07">
      <w:pPr>
        <w:spacing w:after="0" w:line="360" w:lineRule="auto"/>
        <w:jc w:val="both"/>
        <w:rPr>
          <w:rFonts w:ascii="Times New Roman" w:hAnsi="Times New Roman" w:cs="Times New Roman"/>
          <w:bCs/>
          <w:sz w:val="24"/>
          <w:szCs w:val="24"/>
        </w:rPr>
      </w:pPr>
    </w:p>
    <w:p w14:paraId="48C5A7A9" w14:textId="77777777" w:rsidR="00744D73" w:rsidRDefault="00744D73" w:rsidP="00485D07">
      <w:pPr>
        <w:spacing w:after="0" w:line="360" w:lineRule="auto"/>
        <w:jc w:val="both"/>
        <w:rPr>
          <w:rFonts w:ascii="Times New Roman" w:hAnsi="Times New Roman" w:cs="Times New Roman"/>
          <w:bCs/>
          <w:sz w:val="24"/>
          <w:szCs w:val="24"/>
        </w:rPr>
      </w:pPr>
    </w:p>
    <w:p w14:paraId="5CFF9842" w14:textId="208B831B" w:rsidR="00485D07" w:rsidRDefault="00485D07" w:rsidP="00485D07">
      <w:pPr>
        <w:spacing w:after="0" w:line="360" w:lineRule="auto"/>
        <w:jc w:val="both"/>
        <w:rPr>
          <w:rFonts w:ascii="Times New Roman" w:hAnsi="Times New Roman" w:cs="Times New Roman"/>
          <w:bCs/>
          <w:sz w:val="24"/>
          <w:szCs w:val="24"/>
        </w:rPr>
      </w:pPr>
      <w:r w:rsidRPr="00DA07E4">
        <w:rPr>
          <w:rFonts w:ascii="Times New Roman" w:hAnsi="Times New Roman" w:cs="Times New Roman"/>
          <w:b/>
          <w:sz w:val="24"/>
          <w:szCs w:val="24"/>
        </w:rPr>
        <w:t xml:space="preserve">Cieľ č. </w:t>
      </w:r>
      <w:r>
        <w:rPr>
          <w:rFonts w:ascii="Times New Roman" w:hAnsi="Times New Roman" w:cs="Times New Roman"/>
          <w:b/>
          <w:sz w:val="24"/>
          <w:szCs w:val="24"/>
        </w:rPr>
        <w:t>3</w:t>
      </w:r>
      <w:r w:rsidRPr="00DA07E4">
        <w:rPr>
          <w:rFonts w:ascii="Times New Roman" w:hAnsi="Times New Roman" w:cs="Times New Roman"/>
          <w:b/>
          <w:sz w:val="24"/>
          <w:szCs w:val="24"/>
        </w:rPr>
        <w:t>:</w:t>
      </w:r>
      <w:r>
        <w:rPr>
          <w:rFonts w:ascii="Times New Roman" w:hAnsi="Times New Roman" w:cs="Times New Roman"/>
          <w:b/>
          <w:sz w:val="24"/>
          <w:szCs w:val="24"/>
        </w:rPr>
        <w:t xml:space="preserve"> </w:t>
      </w:r>
      <w:r w:rsidRPr="00DA07E4">
        <w:rPr>
          <w:rFonts w:ascii="Times New Roman" w:hAnsi="Times New Roman" w:cs="Times New Roman"/>
          <w:bCs/>
          <w:sz w:val="24"/>
          <w:szCs w:val="24"/>
        </w:rPr>
        <w:t xml:space="preserve">Porovnať </w:t>
      </w:r>
      <w:r>
        <w:rPr>
          <w:rFonts w:ascii="Times New Roman" w:hAnsi="Times New Roman" w:cs="Times New Roman"/>
          <w:bCs/>
          <w:sz w:val="24"/>
          <w:szCs w:val="24"/>
        </w:rPr>
        <w:t xml:space="preserve">zmenu </w:t>
      </w:r>
      <w:r w:rsidRPr="00DA07E4">
        <w:rPr>
          <w:rFonts w:ascii="Times New Roman" w:hAnsi="Times New Roman" w:cs="Times New Roman"/>
          <w:bCs/>
          <w:sz w:val="24"/>
          <w:szCs w:val="24"/>
        </w:rPr>
        <w:t>dosiahnutých QALYs (quality-adjusted life-years)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p>
    <w:p w14:paraId="76A1B3B6" w14:textId="77777777" w:rsidR="00485D07" w:rsidRDefault="00485D07" w:rsidP="00485D07">
      <w:pPr>
        <w:spacing w:after="0" w:line="360" w:lineRule="auto"/>
        <w:jc w:val="both"/>
        <w:rPr>
          <w:rFonts w:ascii="Times New Roman" w:hAnsi="Times New Roman" w:cs="Times New Roman"/>
          <w:sz w:val="24"/>
          <w:szCs w:val="24"/>
        </w:rPr>
      </w:pPr>
    </w:p>
    <w:p w14:paraId="347835A5" w14:textId="7B7B72E7" w:rsidR="00485D07" w:rsidRDefault="00485D07" w:rsidP="008B0BB4">
      <w:pPr>
        <w:pStyle w:val="Bezmezer"/>
        <w:spacing w:line="360" w:lineRule="auto"/>
        <w:ind w:firstLine="708"/>
        <w:jc w:val="both"/>
        <w:rPr>
          <w:rFonts w:ascii="Times New Roman" w:hAnsi="Times New Roman" w:cs="Times New Roman"/>
          <w:sz w:val="24"/>
          <w:szCs w:val="24"/>
          <w:lang w:val="en-GB"/>
        </w:rPr>
      </w:pPr>
      <w:r w:rsidRPr="00DA07E4">
        <w:rPr>
          <w:rFonts w:ascii="Times New Roman" w:hAnsi="Times New Roman" w:cs="Times New Roman"/>
          <w:sz w:val="24"/>
          <w:szCs w:val="24"/>
          <w:lang w:val="en-GB"/>
        </w:rPr>
        <w:t>Výpočet QALYs bol realizovaný podľa vzorca QALY</w:t>
      </w:r>
      <w:r>
        <w:rPr>
          <w:rFonts w:ascii="Times New Roman" w:hAnsi="Times New Roman" w:cs="Times New Roman"/>
          <w:sz w:val="24"/>
          <w:szCs w:val="24"/>
          <w:lang w:val="en-GB"/>
        </w:rPr>
        <w:t>s</w:t>
      </w:r>
      <w:r w:rsidRPr="00DA07E4">
        <w:rPr>
          <w:rFonts w:ascii="Times New Roman" w:hAnsi="Times New Roman" w:cs="Times New Roman"/>
          <w:sz w:val="24"/>
          <w:szCs w:val="24"/>
          <w:lang w:val="en-GB"/>
        </w:rPr>
        <w:t xml:space="preserve"> = WF x </w:t>
      </w:r>
      <w:r>
        <w:rPr>
          <w:rFonts w:ascii="Times New Roman" w:hAnsi="Times New Roman" w:cs="Times New Roman"/>
          <w:sz w:val="24"/>
          <w:szCs w:val="24"/>
          <w:lang w:val="en-GB"/>
        </w:rPr>
        <w:t xml:space="preserve">T </w:t>
      </w:r>
      <w:r w:rsidRPr="00DA07E4">
        <w:rPr>
          <w:rFonts w:ascii="Times New Roman" w:hAnsi="Times New Roman" w:cs="Times New Roman"/>
          <w:sz w:val="24"/>
          <w:szCs w:val="24"/>
          <w:lang w:val="en-GB"/>
        </w:rPr>
        <w:t xml:space="preserve">(váhový faktor násobený časovým obdobím po zákroku). Váhový faktor bol založený na hodnote výsledného WISQOL skóre pacientov a lineárnou </w:t>
      </w:r>
      <w:r w:rsidRPr="001D1F6D">
        <w:rPr>
          <w:rFonts w:ascii="Times New Roman" w:hAnsi="Times New Roman" w:cs="Times New Roman"/>
          <w:sz w:val="24"/>
          <w:szCs w:val="24"/>
          <w:lang w:val="en-GB"/>
        </w:rPr>
        <w:t xml:space="preserve">transformáciou </w:t>
      </w:r>
      <w:r w:rsidR="00744D73" w:rsidRPr="001D1F6D">
        <w:rPr>
          <w:rFonts w:ascii="Times New Roman" w:hAnsi="Times New Roman" w:cs="Times New Roman"/>
          <w:sz w:val="24"/>
          <w:szCs w:val="24"/>
          <w:lang w:val="en-GB"/>
        </w:rPr>
        <w:t>((SUM-28)/112*100)</w:t>
      </w:r>
      <w:r w:rsidRPr="001D1F6D">
        <w:rPr>
          <w:rFonts w:ascii="Times New Roman" w:hAnsi="Times New Roman" w:cs="Times New Roman"/>
          <w:sz w:val="24"/>
          <w:szCs w:val="24"/>
          <w:lang w:val="en-GB"/>
        </w:rPr>
        <w:t xml:space="preserve"> prepočítaný na hodnoty v rozsahu 0,0 až 1,0 (</w:t>
      </w:r>
      <w:r w:rsidRPr="001D1F6D">
        <w:rPr>
          <w:rFonts w:ascii="Times New Roman" w:eastAsia="Times New Roman" w:hAnsi="Times New Roman" w:cs="Times New Roman"/>
          <w:color w:val="000000" w:themeColor="text1"/>
          <w:sz w:val="24"/>
          <w:szCs w:val="24"/>
          <w:lang w:eastAsia="sk-SK"/>
        </w:rPr>
        <w:t>Leibovici et al., 2005)</w:t>
      </w:r>
      <w:r w:rsidRPr="001D1F6D">
        <w:rPr>
          <w:rFonts w:ascii="Times New Roman" w:hAnsi="Times New Roman" w:cs="Times New Roman"/>
          <w:sz w:val="24"/>
          <w:szCs w:val="24"/>
          <w:lang w:val="en-GB"/>
        </w:rPr>
        <w:t>. Výsledné QALYs</w:t>
      </w:r>
      <w:r>
        <w:rPr>
          <w:rFonts w:ascii="Times New Roman" w:hAnsi="Times New Roman" w:cs="Times New Roman"/>
          <w:sz w:val="24"/>
          <w:szCs w:val="24"/>
          <w:lang w:val="en-GB"/>
        </w:rPr>
        <w:t xml:space="preserve"> boli vypočítané pre časové obdobie 168 dní, 1 rok a pre dosiahnutú strednú dĺžku života. P</w:t>
      </w:r>
      <w:r w:rsidRPr="00DA07E4">
        <w:rPr>
          <w:rFonts w:ascii="Times New Roman" w:hAnsi="Times New Roman" w:cs="Times New Roman"/>
          <w:sz w:val="24"/>
          <w:szCs w:val="24"/>
          <w:lang w:val="en-GB"/>
        </w:rPr>
        <w:t>riemern</w:t>
      </w:r>
      <w:r>
        <w:rPr>
          <w:rFonts w:ascii="Times New Roman" w:hAnsi="Times New Roman" w:cs="Times New Roman"/>
          <w:sz w:val="24"/>
          <w:szCs w:val="24"/>
          <w:lang w:val="en-GB"/>
        </w:rPr>
        <w:t>á</w:t>
      </w:r>
      <w:r w:rsidRPr="00DA07E4">
        <w:rPr>
          <w:rFonts w:ascii="Times New Roman" w:hAnsi="Times New Roman" w:cs="Times New Roman"/>
          <w:sz w:val="24"/>
          <w:szCs w:val="24"/>
          <w:lang w:val="en-GB"/>
        </w:rPr>
        <w:t xml:space="preserve"> dĺžku života pacientov</w:t>
      </w:r>
      <w:r>
        <w:rPr>
          <w:rFonts w:ascii="Times New Roman" w:hAnsi="Times New Roman" w:cs="Times New Roman"/>
          <w:sz w:val="24"/>
          <w:szCs w:val="24"/>
          <w:lang w:val="en-GB"/>
        </w:rPr>
        <w:t xml:space="preserve"> </w:t>
      </w:r>
      <w:r w:rsidRPr="00DA07E4">
        <w:rPr>
          <w:rFonts w:ascii="Times New Roman" w:hAnsi="Times New Roman" w:cs="Times New Roman"/>
          <w:sz w:val="24"/>
          <w:szCs w:val="24"/>
          <w:lang w:val="en-GB"/>
        </w:rPr>
        <w:t>bola určená na základe dostupných národných štatistík mortality</w:t>
      </w:r>
      <w:r>
        <w:rPr>
          <w:rFonts w:ascii="Times New Roman" w:hAnsi="Times New Roman" w:cs="Times New Roman"/>
          <w:sz w:val="24"/>
          <w:szCs w:val="24"/>
          <w:lang w:val="en-GB"/>
        </w:rPr>
        <w:t xml:space="preserve"> (</w:t>
      </w:r>
      <w:r w:rsidR="00942C43">
        <w:rPr>
          <w:rFonts w:ascii="Times New Roman" w:hAnsi="Times New Roman" w:cs="Times New Roman"/>
          <w:sz w:val="24"/>
          <w:szCs w:val="24"/>
          <w:lang w:val="en-GB"/>
        </w:rPr>
        <w:t>Štatistický úrad SSR, 2020</w:t>
      </w:r>
      <w:r>
        <w:rPr>
          <w:rFonts w:ascii="Times New Roman" w:hAnsi="Times New Roman" w:cs="Times New Roman"/>
          <w:sz w:val="24"/>
          <w:szCs w:val="24"/>
          <w:lang w:val="en-GB"/>
        </w:rPr>
        <w:t>).</w:t>
      </w:r>
    </w:p>
    <w:p w14:paraId="02AEBD68" w14:textId="77777777" w:rsidR="00485D07" w:rsidRPr="00DA07E4" w:rsidRDefault="00485D07" w:rsidP="008B0BB4">
      <w:pPr>
        <w:pStyle w:val="Bezmezer"/>
        <w:spacing w:line="360" w:lineRule="auto"/>
        <w:ind w:firstLine="708"/>
        <w:jc w:val="both"/>
        <w:rPr>
          <w:rFonts w:ascii="Times New Roman" w:hAnsi="Times New Roman" w:cs="Times New Roman"/>
          <w:sz w:val="24"/>
          <w:szCs w:val="24"/>
          <w:lang w:val="en-GB"/>
        </w:rPr>
      </w:pPr>
    </w:p>
    <w:p w14:paraId="4CC74F6E" w14:textId="0A6802CF" w:rsidR="00B544D3" w:rsidRPr="00DA07E4" w:rsidRDefault="00485D07" w:rsidP="008B0B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Klinická š</w:t>
      </w:r>
      <w:r w:rsidRPr="00DA07E4">
        <w:rPr>
          <w:rFonts w:ascii="Times New Roman" w:hAnsi="Times New Roman" w:cs="Times New Roman"/>
          <w:sz w:val="24"/>
          <w:szCs w:val="24"/>
        </w:rPr>
        <w:t xml:space="preserve">túdia bola schválená </w:t>
      </w:r>
      <w:r>
        <w:rPr>
          <w:rFonts w:ascii="Times New Roman" w:hAnsi="Times New Roman" w:cs="Times New Roman"/>
          <w:sz w:val="24"/>
          <w:szCs w:val="24"/>
        </w:rPr>
        <w:t>E</w:t>
      </w:r>
      <w:r w:rsidRPr="00DA07E4">
        <w:rPr>
          <w:rFonts w:ascii="Times New Roman" w:hAnsi="Times New Roman" w:cs="Times New Roman"/>
          <w:sz w:val="24"/>
          <w:szCs w:val="24"/>
        </w:rPr>
        <w:t>tickou komisiou Univerzitnej nemocnice Martin (EK UNM 47/2020). Všetci pacienti boli plne informovaní o cie</w:t>
      </w:r>
      <w:r>
        <w:rPr>
          <w:rFonts w:ascii="Times New Roman" w:hAnsi="Times New Roman" w:cs="Times New Roman"/>
          <w:sz w:val="24"/>
          <w:szCs w:val="24"/>
        </w:rPr>
        <w:t>ľoch</w:t>
      </w:r>
      <w:r w:rsidRPr="00DA07E4">
        <w:rPr>
          <w:rFonts w:ascii="Times New Roman" w:hAnsi="Times New Roman" w:cs="Times New Roman"/>
          <w:sz w:val="24"/>
          <w:szCs w:val="24"/>
        </w:rPr>
        <w:t xml:space="preserve"> štúdie a podpísali informovaný súhlas. </w:t>
      </w:r>
      <w:r>
        <w:rPr>
          <w:rFonts w:ascii="Times New Roman" w:hAnsi="Times New Roman" w:cs="Times New Roman"/>
          <w:sz w:val="24"/>
          <w:szCs w:val="24"/>
        </w:rPr>
        <w:t xml:space="preserve">Deskriptívne štatistické hodnotenie bolo vyjadrené priemerom a smerodajnou odchýlkou respektíve mediánom a interkvantilovým rozsahom IR (25. a 75. percentil). Analytické štatistické hodnotenie bolo spracované neparametrickými testami: </w:t>
      </w:r>
      <w:r w:rsidRPr="00DA07E4">
        <w:rPr>
          <w:rFonts w:ascii="Times New Roman" w:hAnsi="Times New Roman" w:cs="Times New Roman"/>
          <w:sz w:val="24"/>
          <w:szCs w:val="24"/>
        </w:rPr>
        <w:t xml:space="preserve">Mann-Whitneyho U test, Wilcoxonov test a </w:t>
      </w:r>
      <w:r>
        <w:rPr>
          <w:rFonts w:ascii="Times New Roman" w:hAnsi="Times New Roman" w:cs="Times New Roman"/>
          <w:sz w:val="24"/>
          <w:szCs w:val="24"/>
        </w:rPr>
        <w:t>Fisherov</w:t>
      </w:r>
      <w:r w:rsidRPr="00DA07E4">
        <w:rPr>
          <w:rFonts w:ascii="Times New Roman" w:hAnsi="Times New Roman" w:cs="Times New Roman"/>
          <w:sz w:val="24"/>
          <w:szCs w:val="24"/>
        </w:rPr>
        <w:t xml:space="preserve"> </w:t>
      </w:r>
      <w:r>
        <w:rPr>
          <w:rFonts w:ascii="Times New Roman" w:hAnsi="Times New Roman" w:cs="Times New Roman"/>
          <w:sz w:val="24"/>
          <w:szCs w:val="24"/>
        </w:rPr>
        <w:t xml:space="preserve">chi-kvadrátový </w:t>
      </w:r>
      <w:r w:rsidRPr="00DA07E4">
        <w:rPr>
          <w:rFonts w:ascii="Times New Roman" w:hAnsi="Times New Roman" w:cs="Times New Roman"/>
          <w:sz w:val="24"/>
          <w:szCs w:val="24"/>
        </w:rPr>
        <w:t>test</w:t>
      </w:r>
      <w:r>
        <w:rPr>
          <w:rFonts w:ascii="Times New Roman" w:hAnsi="Times New Roman" w:cs="Times New Roman"/>
          <w:sz w:val="24"/>
          <w:szCs w:val="24"/>
        </w:rPr>
        <w:t xml:space="preserve">. </w:t>
      </w:r>
      <w:r w:rsidR="008B0BB4" w:rsidRPr="00C007D1">
        <w:rPr>
          <w:rFonts w:ascii="Times New Roman" w:hAnsi="Times New Roman" w:cs="Times New Roman"/>
          <w:sz w:val="24"/>
        </w:rPr>
        <w:t>Konečné porovnanie bolo urobené pomocou „eta squared“ – hodnot</w:t>
      </w:r>
      <w:r w:rsidR="008B0BB4">
        <w:rPr>
          <w:rFonts w:ascii="Times New Roman" w:hAnsi="Times New Roman" w:cs="Times New Roman"/>
          <w:sz w:val="24"/>
        </w:rPr>
        <w:t>y</w:t>
      </w:r>
      <w:r w:rsidR="008B0BB4" w:rsidRPr="00C007D1">
        <w:rPr>
          <w:rFonts w:ascii="Times New Roman" w:hAnsi="Times New Roman" w:cs="Times New Roman"/>
          <w:sz w:val="24"/>
        </w:rPr>
        <w:t xml:space="preserve"> miery efektu.</w:t>
      </w:r>
      <w:r w:rsidR="008B0BB4">
        <w:rPr>
          <w:rFonts w:ascii="Times New Roman" w:hAnsi="Times New Roman" w:cs="Times New Roman"/>
          <w:sz w:val="24"/>
        </w:rPr>
        <w:t xml:space="preserve"> </w:t>
      </w:r>
      <w:r>
        <w:rPr>
          <w:rFonts w:ascii="Times New Roman" w:hAnsi="Times New Roman" w:cs="Times New Roman"/>
          <w:sz w:val="24"/>
          <w:szCs w:val="24"/>
        </w:rPr>
        <w:t xml:space="preserve">Pri validácii dotazníka bola hodnotená vnútorná konzistencia podľa Cronbachovej alfy a spoľahlivosť testu-retestu podľa Pearsonovho koeficientu. </w:t>
      </w:r>
      <w:r w:rsidRPr="00DA07E4">
        <w:rPr>
          <w:rFonts w:ascii="Times New Roman" w:hAnsi="Times New Roman" w:cs="Times New Roman"/>
          <w:sz w:val="24"/>
          <w:szCs w:val="24"/>
        </w:rPr>
        <w:t xml:space="preserve">Výpočty boli spracované v štatistickom programe </w:t>
      </w:r>
      <w:r w:rsidRPr="00DA07E4">
        <w:rPr>
          <w:rFonts w:ascii="Times New Roman" w:hAnsi="Times New Roman" w:cs="Times New Roman"/>
          <w:sz w:val="24"/>
          <w:szCs w:val="24"/>
          <w:shd w:val="clear" w:color="auto" w:fill="FFFFFF"/>
        </w:rPr>
        <w:t>IBM SPSS Statistics for Macintosh, Version 25.0</w:t>
      </w:r>
      <w:r>
        <w:rPr>
          <w:rFonts w:ascii="Times New Roman" w:hAnsi="Times New Roman" w:cs="Times New Roman"/>
          <w:sz w:val="24"/>
          <w:szCs w:val="24"/>
          <w:shd w:val="clear" w:color="auto" w:fill="FFFFFF"/>
        </w:rPr>
        <w:t>,</w:t>
      </w:r>
      <w:r w:rsidRPr="00DA07E4">
        <w:rPr>
          <w:rFonts w:ascii="Times New Roman" w:hAnsi="Times New Roman" w:cs="Times New Roman"/>
          <w:sz w:val="24"/>
          <w:szCs w:val="24"/>
        </w:rPr>
        <w:t xml:space="preserve">  hodnot</w:t>
      </w:r>
      <w:r>
        <w:rPr>
          <w:rFonts w:ascii="Times New Roman" w:hAnsi="Times New Roman" w:cs="Times New Roman"/>
          <w:sz w:val="24"/>
          <w:szCs w:val="24"/>
        </w:rPr>
        <w:t>a</w:t>
      </w:r>
      <w:r w:rsidRPr="00DA07E4">
        <w:rPr>
          <w:rFonts w:ascii="Times New Roman" w:hAnsi="Times New Roman" w:cs="Times New Roman"/>
          <w:sz w:val="24"/>
          <w:szCs w:val="24"/>
        </w:rPr>
        <w:t xml:space="preserve"> p &lt; 0</w:t>
      </w:r>
      <w:r>
        <w:rPr>
          <w:rFonts w:ascii="Times New Roman" w:hAnsi="Times New Roman" w:cs="Times New Roman"/>
          <w:sz w:val="24"/>
          <w:szCs w:val="24"/>
        </w:rPr>
        <w:t>,</w:t>
      </w:r>
      <w:r w:rsidRPr="00DA07E4">
        <w:rPr>
          <w:rFonts w:ascii="Times New Roman" w:hAnsi="Times New Roman" w:cs="Times New Roman"/>
          <w:sz w:val="24"/>
          <w:szCs w:val="24"/>
        </w:rPr>
        <w:t xml:space="preserve">05 </w:t>
      </w:r>
      <w:r>
        <w:rPr>
          <w:rFonts w:ascii="Times New Roman" w:hAnsi="Times New Roman" w:cs="Times New Roman"/>
          <w:sz w:val="24"/>
          <w:szCs w:val="24"/>
        </w:rPr>
        <w:t xml:space="preserve">bola </w:t>
      </w:r>
      <w:r w:rsidRPr="00DA07E4">
        <w:rPr>
          <w:rFonts w:ascii="Times New Roman" w:hAnsi="Times New Roman" w:cs="Times New Roman"/>
          <w:sz w:val="24"/>
          <w:szCs w:val="24"/>
        </w:rPr>
        <w:t>považovan</w:t>
      </w:r>
      <w:r>
        <w:rPr>
          <w:rFonts w:ascii="Times New Roman" w:hAnsi="Times New Roman" w:cs="Times New Roman"/>
          <w:sz w:val="24"/>
          <w:szCs w:val="24"/>
        </w:rPr>
        <w:t>á</w:t>
      </w:r>
      <w:r w:rsidRPr="00DA07E4">
        <w:rPr>
          <w:rFonts w:ascii="Times New Roman" w:hAnsi="Times New Roman" w:cs="Times New Roman"/>
          <w:sz w:val="24"/>
          <w:szCs w:val="24"/>
        </w:rPr>
        <w:t xml:space="preserve"> za štatisticky signifikantnú.</w:t>
      </w:r>
      <w:r w:rsidR="00B544D3" w:rsidRPr="00DA07E4">
        <w:rPr>
          <w:rFonts w:ascii="Times New Roman" w:hAnsi="Times New Roman" w:cs="Times New Roman"/>
          <w:sz w:val="24"/>
          <w:szCs w:val="24"/>
        </w:rPr>
        <w:br w:type="page"/>
      </w:r>
    </w:p>
    <w:p w14:paraId="7E5CAC3F" w14:textId="250D34D6" w:rsidR="005B27DC" w:rsidRPr="00DA07E4" w:rsidRDefault="005B27DC" w:rsidP="00DA07E4">
      <w:pPr>
        <w:pStyle w:val="Odstavecseseznamem"/>
        <w:numPr>
          <w:ilvl w:val="0"/>
          <w:numId w:val="4"/>
        </w:numPr>
        <w:spacing w:after="0" w:line="360" w:lineRule="auto"/>
        <w:ind w:left="426" w:hanging="426"/>
        <w:jc w:val="both"/>
        <w:rPr>
          <w:rFonts w:ascii="Times New Roman" w:hAnsi="Times New Roman" w:cs="Times New Roman"/>
          <w:b/>
          <w:sz w:val="24"/>
          <w:szCs w:val="24"/>
        </w:rPr>
      </w:pPr>
      <w:bookmarkStart w:id="20" w:name="_Hlk68529502"/>
      <w:r w:rsidRPr="00DA07E4">
        <w:rPr>
          <w:rFonts w:ascii="Times New Roman" w:hAnsi="Times New Roman" w:cs="Times New Roman"/>
          <w:b/>
          <w:sz w:val="24"/>
          <w:szCs w:val="24"/>
        </w:rPr>
        <w:lastRenderedPageBreak/>
        <w:t>VÝSLEDKY</w:t>
      </w:r>
    </w:p>
    <w:p w14:paraId="0C7C78F4" w14:textId="0243B847" w:rsidR="002B5D5E" w:rsidRPr="006B1858" w:rsidRDefault="002B5D5E" w:rsidP="006B1858">
      <w:pPr>
        <w:spacing w:after="0" w:line="360" w:lineRule="auto"/>
        <w:jc w:val="both"/>
        <w:rPr>
          <w:rFonts w:ascii="Times New Roman" w:hAnsi="Times New Roman" w:cs="Times New Roman"/>
          <w:color w:val="000000"/>
          <w:sz w:val="28"/>
          <w:szCs w:val="24"/>
          <w:lang w:val="en-GB"/>
        </w:rPr>
      </w:pPr>
    </w:p>
    <w:p w14:paraId="7B012C45" w14:textId="2C232681" w:rsidR="006B1858" w:rsidRPr="006B1858" w:rsidRDefault="006B1858" w:rsidP="006B1858">
      <w:pPr>
        <w:spacing w:after="0" w:line="360" w:lineRule="auto"/>
        <w:jc w:val="both"/>
        <w:rPr>
          <w:rFonts w:ascii="Times New Roman" w:hAnsi="Times New Roman" w:cs="Times New Roman"/>
          <w:bCs/>
          <w:sz w:val="24"/>
        </w:rPr>
      </w:pPr>
      <w:r w:rsidRPr="006B1858">
        <w:rPr>
          <w:rFonts w:ascii="Times New Roman" w:hAnsi="Times New Roman" w:cs="Times New Roman"/>
          <w:b/>
          <w:bCs/>
          <w:spacing w:val="2"/>
          <w:sz w:val="24"/>
          <w:lang w:val="en-GB"/>
        </w:rPr>
        <w:t>Cieľ č. 1:</w:t>
      </w:r>
      <w:r w:rsidRPr="006B1858">
        <w:rPr>
          <w:rFonts w:ascii="Times New Roman" w:hAnsi="Times New Roman" w:cs="Times New Roman"/>
          <w:spacing w:val="2"/>
          <w:sz w:val="24"/>
          <w:lang w:val="en-GB"/>
        </w:rPr>
        <w:t xml:space="preserve"> </w:t>
      </w:r>
      <w:r w:rsidRPr="006B1858">
        <w:rPr>
          <w:rFonts w:ascii="Times New Roman" w:hAnsi="Times New Roman" w:cs="Times New Roman"/>
          <w:bCs/>
          <w:sz w:val="24"/>
        </w:rPr>
        <w:t>Validovať do slovenského jazyka dotazník špecifický pre urolitiázu WISQOL (Wisconsin Stone Quality of Life Questionnaire) a overiť jeho použitie v klinickej praxi</w:t>
      </w:r>
    </w:p>
    <w:p w14:paraId="5B88E014" w14:textId="77777777" w:rsidR="006B1858" w:rsidRPr="006B1858" w:rsidRDefault="006B1858" w:rsidP="006B1858">
      <w:pPr>
        <w:spacing w:after="0" w:line="360" w:lineRule="auto"/>
        <w:jc w:val="both"/>
        <w:rPr>
          <w:rFonts w:ascii="Times New Roman" w:hAnsi="Times New Roman" w:cs="Times New Roman"/>
          <w:color w:val="000000"/>
          <w:sz w:val="28"/>
          <w:szCs w:val="24"/>
          <w:lang w:val="en-GB"/>
        </w:rPr>
      </w:pPr>
    </w:p>
    <w:bookmarkEnd w:id="20"/>
    <w:p w14:paraId="57861E44" w14:textId="0F581406" w:rsidR="006B1858" w:rsidRPr="001D1F6D" w:rsidRDefault="006B1858" w:rsidP="006B1858">
      <w:pPr>
        <w:spacing w:after="0" w:line="360" w:lineRule="auto"/>
        <w:ind w:firstLine="708"/>
        <w:jc w:val="both"/>
        <w:rPr>
          <w:rFonts w:ascii="Times New Roman" w:hAnsi="Times New Roman" w:cs="Times New Roman"/>
          <w:sz w:val="24"/>
          <w:szCs w:val="24"/>
          <w:lang w:val="en-GB"/>
        </w:rPr>
      </w:pPr>
      <w:r w:rsidRPr="00DA07E4">
        <w:rPr>
          <w:rFonts w:ascii="Times New Roman" w:hAnsi="Times New Roman" w:cs="Times New Roman"/>
          <w:color w:val="000000"/>
          <w:sz w:val="24"/>
          <w:szCs w:val="24"/>
          <w:lang w:val="en-GB"/>
        </w:rPr>
        <w:t xml:space="preserve">Spomedzi 80 pacientov zaradených do validačného ramena štúdie, </w:t>
      </w:r>
      <w:r w:rsidRPr="00DA07E4">
        <w:rPr>
          <w:rFonts w:ascii="Times New Roman" w:hAnsi="Times New Roman" w:cs="Times New Roman"/>
          <w:sz w:val="24"/>
          <w:szCs w:val="24"/>
          <w:lang w:val="en-GB"/>
        </w:rPr>
        <w:t>52 (65</w:t>
      </w:r>
      <w:r>
        <w:rPr>
          <w:rFonts w:ascii="Times New Roman" w:hAnsi="Times New Roman" w:cs="Times New Roman"/>
          <w:sz w:val="24"/>
          <w:szCs w:val="24"/>
          <w:lang w:val="en-GB"/>
        </w:rPr>
        <w:t xml:space="preserve"> </w:t>
      </w:r>
      <w:r w:rsidRPr="00DA07E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DA07E4">
        <w:rPr>
          <w:rFonts w:ascii="Times New Roman" w:hAnsi="Times New Roman" w:cs="Times New Roman"/>
          <w:sz w:val="24"/>
          <w:szCs w:val="24"/>
          <w:lang w:val="en-GB"/>
        </w:rPr>
        <w:t xml:space="preserve">úspešne vyplnilo test aj retest </w:t>
      </w:r>
      <w:r w:rsidRPr="001D1F6D">
        <w:rPr>
          <w:rFonts w:ascii="Times New Roman" w:hAnsi="Times New Roman" w:cs="Times New Roman"/>
          <w:sz w:val="24"/>
          <w:szCs w:val="24"/>
          <w:lang w:val="en-GB"/>
        </w:rPr>
        <w:t xml:space="preserve">dotazníka WISQOL v rámci intervalu dvoch týždňov. Vekový medián bol 59,0 rokov (IR 50,3 – 66,8). Z celkového počtu bolo 27 žien a 25 mužov. V skupine 45 zdravých respondentov </w:t>
      </w:r>
      <w:r w:rsidRPr="001D1F6D">
        <w:rPr>
          <w:rFonts w:ascii="Times New Roman" w:hAnsi="Times New Roman" w:cs="Times New Roman"/>
          <w:sz w:val="24"/>
          <w:szCs w:val="24"/>
        </w:rPr>
        <w:t>vyplnilo dotazník 34 (75,5 %). Vekový medián bol 63,5 rokov (IR 55,8 – 71,0). V tejto skupine bolo 10 žien a 24 mužov.</w:t>
      </w:r>
    </w:p>
    <w:p w14:paraId="4F43FC01" w14:textId="77777777" w:rsidR="006B1858" w:rsidRPr="00F72835" w:rsidRDefault="006B1858" w:rsidP="006B1858">
      <w:pPr>
        <w:spacing w:after="0" w:line="360" w:lineRule="auto"/>
        <w:ind w:firstLine="708"/>
        <w:jc w:val="both"/>
        <w:rPr>
          <w:rFonts w:ascii="Times New Roman" w:hAnsi="Times New Roman" w:cs="Times New Roman"/>
          <w:sz w:val="24"/>
          <w:szCs w:val="24"/>
        </w:rPr>
      </w:pPr>
      <w:r w:rsidRPr="008C766E">
        <w:rPr>
          <w:rFonts w:ascii="Times New Roman" w:hAnsi="Times New Roman" w:cs="Times New Roman"/>
          <w:sz w:val="24"/>
          <w:szCs w:val="24"/>
        </w:rPr>
        <w:t>Hodnoty Cronbachovej alfy vyjadrujúce vnútornú konzistenciu dotazníka boli štatisticky signifikantné a rovnako aj výsledky spoľahlivosti testu-retestu (Pearsonov koeficient) sú uvedené v</w:t>
      </w:r>
      <w:r>
        <w:rPr>
          <w:rFonts w:ascii="Times New Roman" w:hAnsi="Times New Roman" w:cs="Times New Roman"/>
          <w:sz w:val="24"/>
          <w:szCs w:val="24"/>
        </w:rPr>
        <w:t> </w:t>
      </w:r>
      <w:r w:rsidRPr="00F72835">
        <w:rPr>
          <w:rFonts w:ascii="Times New Roman" w:hAnsi="Times New Roman" w:cs="Times New Roman"/>
          <w:sz w:val="24"/>
          <w:szCs w:val="24"/>
        </w:rPr>
        <w:t xml:space="preserve">tabuľke č. 6. Cronbachova alfa dosiahla hodnotu 0,94, čo zodpovedá vysokej vnútornej konzistencii dotazníka. Pearsonov koeficient bol vo všetkých doménach aj pri celkovom skóre nad 0,76, čo predstavuje vysokú spoľahlivosť dotazníka. </w:t>
      </w:r>
    </w:p>
    <w:p w14:paraId="7E27A261" w14:textId="77777777" w:rsidR="006B1858" w:rsidRPr="00F72835" w:rsidRDefault="006B1858" w:rsidP="006B1858">
      <w:pPr>
        <w:spacing w:after="0" w:line="360" w:lineRule="auto"/>
        <w:rPr>
          <w:rFonts w:ascii="Times New Roman" w:hAnsi="Times New Roman" w:cs="Times New Roman"/>
          <w:b/>
          <w:sz w:val="24"/>
          <w:szCs w:val="24"/>
        </w:rPr>
      </w:pPr>
    </w:p>
    <w:p w14:paraId="518D5248" w14:textId="77777777" w:rsidR="006B1858" w:rsidRPr="008C766E" w:rsidRDefault="006B1858" w:rsidP="006B1858">
      <w:pPr>
        <w:spacing w:after="0" w:line="360" w:lineRule="auto"/>
        <w:jc w:val="both"/>
        <w:rPr>
          <w:rFonts w:ascii="Times New Roman" w:hAnsi="Times New Roman" w:cs="Times New Roman"/>
          <w:sz w:val="24"/>
          <w:szCs w:val="24"/>
        </w:rPr>
      </w:pPr>
      <w:bookmarkStart w:id="21" w:name="_Hlk68636452"/>
      <w:r w:rsidRPr="00F72835">
        <w:rPr>
          <w:rFonts w:ascii="Times New Roman" w:hAnsi="Times New Roman" w:cs="Times New Roman"/>
          <w:b/>
          <w:sz w:val="24"/>
          <w:szCs w:val="24"/>
        </w:rPr>
        <w:t>Tabuľka 6</w:t>
      </w:r>
      <w:r w:rsidRPr="00F72835">
        <w:rPr>
          <w:rFonts w:ascii="Times New Roman" w:hAnsi="Times New Roman" w:cs="Times New Roman"/>
          <w:sz w:val="24"/>
          <w:szCs w:val="24"/>
        </w:rPr>
        <w:t xml:space="preserve"> </w:t>
      </w:r>
      <w:bookmarkStart w:id="22" w:name="_Hlk68546903"/>
      <w:r w:rsidRPr="00F72835">
        <w:rPr>
          <w:rFonts w:ascii="Times New Roman" w:hAnsi="Times New Roman" w:cs="Times New Roman"/>
          <w:sz w:val="24"/>
          <w:szCs w:val="24"/>
        </w:rPr>
        <w:t>Hodnoty vnútornej konziste</w:t>
      </w:r>
      <w:r>
        <w:rPr>
          <w:rFonts w:ascii="Times New Roman" w:hAnsi="Times New Roman" w:cs="Times New Roman"/>
          <w:sz w:val="24"/>
          <w:szCs w:val="24"/>
        </w:rPr>
        <w:t>ncie a spoľahlivosti dotazníka WISQOL podľa domén</w:t>
      </w:r>
      <w:bookmarkEnd w:id="22"/>
    </w:p>
    <w:tbl>
      <w:tblPr>
        <w:tblStyle w:val="Mkatabulky"/>
        <w:tblW w:w="0" w:type="auto"/>
        <w:tblLook w:val="04A0" w:firstRow="1" w:lastRow="0" w:firstColumn="1" w:lastColumn="0" w:noHBand="0" w:noVBand="1"/>
      </w:tblPr>
      <w:tblGrid>
        <w:gridCol w:w="2930"/>
        <w:gridCol w:w="2933"/>
        <w:gridCol w:w="2914"/>
      </w:tblGrid>
      <w:tr w:rsidR="006B1858" w:rsidRPr="008C766E" w14:paraId="6E19D39D" w14:textId="77777777" w:rsidTr="006B1858">
        <w:tc>
          <w:tcPr>
            <w:tcW w:w="3020" w:type="dxa"/>
            <w:shd w:val="clear" w:color="auto" w:fill="D9D9D9" w:themeFill="background1" w:themeFillShade="D9"/>
          </w:tcPr>
          <w:bookmarkEnd w:id="21"/>
          <w:p w14:paraId="359A757D"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Domény dotazníka</w:t>
            </w:r>
          </w:p>
          <w:p w14:paraId="019A1461" w14:textId="77777777" w:rsidR="006B1858" w:rsidRPr="00542AB6" w:rsidRDefault="006B1858" w:rsidP="006B1858">
            <w:pPr>
              <w:spacing w:line="360" w:lineRule="auto"/>
              <w:rPr>
                <w:rFonts w:ascii="Times New Roman" w:hAnsi="Times New Roman" w:cs="Times New Roman"/>
                <w:b/>
                <w:sz w:val="24"/>
                <w:szCs w:val="24"/>
              </w:rPr>
            </w:pPr>
          </w:p>
        </w:tc>
        <w:tc>
          <w:tcPr>
            <w:tcW w:w="3021" w:type="dxa"/>
            <w:shd w:val="clear" w:color="auto" w:fill="D9D9D9" w:themeFill="background1" w:themeFillShade="D9"/>
          </w:tcPr>
          <w:p w14:paraId="0F0C8A29" w14:textId="77777777" w:rsidR="006B1858"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 xml:space="preserve">Cronbachova </w:t>
            </w:r>
          </w:p>
          <w:p w14:paraId="6F1CEDDB"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alfa</w:t>
            </w:r>
          </w:p>
        </w:tc>
        <w:tc>
          <w:tcPr>
            <w:tcW w:w="3021" w:type="dxa"/>
            <w:shd w:val="clear" w:color="auto" w:fill="D9D9D9" w:themeFill="background1" w:themeFillShade="D9"/>
          </w:tcPr>
          <w:p w14:paraId="43DDE148" w14:textId="77777777" w:rsidR="006B1858"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 xml:space="preserve">Pearsonov </w:t>
            </w:r>
          </w:p>
          <w:p w14:paraId="32186CFC"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koeficient</w:t>
            </w:r>
          </w:p>
        </w:tc>
      </w:tr>
      <w:tr w:rsidR="006B1858" w:rsidRPr="008C766E" w14:paraId="560983F4" w14:textId="77777777" w:rsidTr="006B1858">
        <w:tc>
          <w:tcPr>
            <w:tcW w:w="3020" w:type="dxa"/>
            <w:shd w:val="clear" w:color="auto" w:fill="D9D9D9" w:themeFill="background1" w:themeFillShade="D9"/>
          </w:tcPr>
          <w:p w14:paraId="6FD82698"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D1 Sociálny dopad</w:t>
            </w:r>
          </w:p>
          <w:p w14:paraId="524D7919" w14:textId="77777777" w:rsidR="006B1858" w:rsidRPr="00542AB6" w:rsidRDefault="006B1858" w:rsidP="006B1858">
            <w:pPr>
              <w:spacing w:line="360" w:lineRule="auto"/>
              <w:rPr>
                <w:rFonts w:ascii="Times New Roman" w:hAnsi="Times New Roman" w:cs="Times New Roman"/>
                <w:b/>
                <w:sz w:val="24"/>
                <w:szCs w:val="24"/>
              </w:rPr>
            </w:pPr>
          </w:p>
        </w:tc>
        <w:tc>
          <w:tcPr>
            <w:tcW w:w="3021" w:type="dxa"/>
            <w:vAlign w:val="center"/>
          </w:tcPr>
          <w:p w14:paraId="012B92DF"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0,92*</w:t>
            </w:r>
          </w:p>
        </w:tc>
        <w:tc>
          <w:tcPr>
            <w:tcW w:w="3021" w:type="dxa"/>
            <w:vAlign w:val="center"/>
          </w:tcPr>
          <w:p w14:paraId="7FAE1FDE"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0,93*</w:t>
            </w:r>
          </w:p>
        </w:tc>
      </w:tr>
      <w:tr w:rsidR="006B1858" w:rsidRPr="008C766E" w14:paraId="02BBA0E3" w14:textId="77777777" w:rsidTr="006B1858">
        <w:tc>
          <w:tcPr>
            <w:tcW w:w="3020" w:type="dxa"/>
            <w:shd w:val="clear" w:color="auto" w:fill="D9D9D9" w:themeFill="background1" w:themeFillShade="D9"/>
          </w:tcPr>
          <w:p w14:paraId="46181A35"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D2 Emocionálny dopad</w:t>
            </w:r>
          </w:p>
          <w:p w14:paraId="25B232AE" w14:textId="77777777" w:rsidR="006B1858" w:rsidRPr="00542AB6" w:rsidRDefault="006B1858" w:rsidP="006B1858">
            <w:pPr>
              <w:spacing w:line="360" w:lineRule="auto"/>
              <w:rPr>
                <w:rFonts w:ascii="Times New Roman" w:hAnsi="Times New Roman" w:cs="Times New Roman"/>
                <w:b/>
                <w:sz w:val="24"/>
                <w:szCs w:val="24"/>
              </w:rPr>
            </w:pPr>
          </w:p>
        </w:tc>
        <w:tc>
          <w:tcPr>
            <w:tcW w:w="3021" w:type="dxa"/>
            <w:vAlign w:val="center"/>
          </w:tcPr>
          <w:p w14:paraId="404F055E"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0,92*</w:t>
            </w:r>
          </w:p>
        </w:tc>
        <w:tc>
          <w:tcPr>
            <w:tcW w:w="3021" w:type="dxa"/>
            <w:vAlign w:val="center"/>
          </w:tcPr>
          <w:p w14:paraId="328DBDEB"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0,76*</w:t>
            </w:r>
          </w:p>
        </w:tc>
      </w:tr>
      <w:tr w:rsidR="006B1858" w:rsidRPr="008C766E" w14:paraId="18592C70" w14:textId="77777777" w:rsidTr="006B1858">
        <w:tc>
          <w:tcPr>
            <w:tcW w:w="3020" w:type="dxa"/>
            <w:shd w:val="clear" w:color="auto" w:fill="D9D9D9" w:themeFill="background1" w:themeFillShade="D9"/>
          </w:tcPr>
          <w:p w14:paraId="7317E700" w14:textId="77777777" w:rsidR="006B1858" w:rsidRPr="00542AB6"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D3 Symptómy špecifické pre ochorenie urolitiázou</w:t>
            </w:r>
          </w:p>
        </w:tc>
        <w:tc>
          <w:tcPr>
            <w:tcW w:w="3021" w:type="dxa"/>
            <w:vAlign w:val="center"/>
          </w:tcPr>
          <w:p w14:paraId="7705D03A"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0,82*</w:t>
            </w:r>
          </w:p>
        </w:tc>
        <w:tc>
          <w:tcPr>
            <w:tcW w:w="3021" w:type="dxa"/>
            <w:vAlign w:val="center"/>
          </w:tcPr>
          <w:p w14:paraId="35124120"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0,83*</w:t>
            </w:r>
          </w:p>
        </w:tc>
      </w:tr>
      <w:tr w:rsidR="006B1858" w:rsidRPr="008C766E" w14:paraId="333F0AAE" w14:textId="77777777" w:rsidTr="006B1858">
        <w:tc>
          <w:tcPr>
            <w:tcW w:w="3020" w:type="dxa"/>
            <w:shd w:val="clear" w:color="auto" w:fill="D9D9D9" w:themeFill="background1" w:themeFillShade="D9"/>
          </w:tcPr>
          <w:p w14:paraId="300A86ED"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D4 Vplyv na vitalitu</w:t>
            </w:r>
          </w:p>
          <w:p w14:paraId="1EE6FB74" w14:textId="77777777" w:rsidR="006B1858" w:rsidRPr="00542AB6" w:rsidRDefault="006B1858" w:rsidP="006B1858">
            <w:pPr>
              <w:spacing w:line="360" w:lineRule="auto"/>
              <w:rPr>
                <w:rFonts w:ascii="Times New Roman" w:hAnsi="Times New Roman" w:cs="Times New Roman"/>
                <w:b/>
                <w:sz w:val="24"/>
                <w:szCs w:val="24"/>
              </w:rPr>
            </w:pPr>
          </w:p>
        </w:tc>
        <w:tc>
          <w:tcPr>
            <w:tcW w:w="3021" w:type="dxa"/>
            <w:vAlign w:val="center"/>
          </w:tcPr>
          <w:p w14:paraId="1E496450"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0,89*</w:t>
            </w:r>
          </w:p>
        </w:tc>
        <w:tc>
          <w:tcPr>
            <w:tcW w:w="3021" w:type="dxa"/>
            <w:vAlign w:val="center"/>
          </w:tcPr>
          <w:p w14:paraId="009A1C5F"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0,89*</w:t>
            </w:r>
          </w:p>
        </w:tc>
      </w:tr>
      <w:tr w:rsidR="006B1858" w:rsidRPr="008C766E" w14:paraId="504CB1C5" w14:textId="77777777" w:rsidTr="006B1858">
        <w:tc>
          <w:tcPr>
            <w:tcW w:w="3020" w:type="dxa"/>
            <w:shd w:val="clear" w:color="auto" w:fill="D9D9D9" w:themeFill="background1" w:themeFillShade="D9"/>
          </w:tcPr>
          <w:p w14:paraId="14898876"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Celkové skóre</w:t>
            </w:r>
          </w:p>
          <w:p w14:paraId="7B44CE46" w14:textId="77777777" w:rsidR="006B1858" w:rsidRPr="00542AB6" w:rsidRDefault="006B1858" w:rsidP="006B1858">
            <w:pPr>
              <w:spacing w:line="360" w:lineRule="auto"/>
              <w:rPr>
                <w:rFonts w:ascii="Times New Roman" w:hAnsi="Times New Roman" w:cs="Times New Roman"/>
                <w:b/>
                <w:sz w:val="24"/>
                <w:szCs w:val="24"/>
              </w:rPr>
            </w:pPr>
          </w:p>
        </w:tc>
        <w:tc>
          <w:tcPr>
            <w:tcW w:w="3021" w:type="dxa"/>
            <w:vAlign w:val="center"/>
          </w:tcPr>
          <w:p w14:paraId="19AA4CDB"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0,94*</w:t>
            </w:r>
          </w:p>
        </w:tc>
        <w:tc>
          <w:tcPr>
            <w:tcW w:w="3021" w:type="dxa"/>
            <w:vAlign w:val="center"/>
          </w:tcPr>
          <w:p w14:paraId="35531B57"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0,91*</w:t>
            </w:r>
          </w:p>
        </w:tc>
      </w:tr>
    </w:tbl>
    <w:p w14:paraId="294CB240" w14:textId="77777777" w:rsidR="006B1858" w:rsidRPr="008C766E" w:rsidRDefault="006B1858" w:rsidP="006B1858">
      <w:pPr>
        <w:spacing w:after="0" w:line="360" w:lineRule="auto"/>
        <w:rPr>
          <w:rFonts w:ascii="Times New Roman" w:hAnsi="Times New Roman" w:cs="Times New Roman"/>
          <w:sz w:val="24"/>
          <w:szCs w:val="24"/>
        </w:rPr>
      </w:pPr>
      <w:r w:rsidRPr="008C766E">
        <w:rPr>
          <w:rFonts w:ascii="Times New Roman" w:hAnsi="Times New Roman" w:cs="Times New Roman"/>
          <w:sz w:val="24"/>
          <w:szCs w:val="24"/>
        </w:rPr>
        <w:t>*p&lt;0,05</w:t>
      </w:r>
    </w:p>
    <w:p w14:paraId="7E5F195D" w14:textId="77777777" w:rsidR="006B1858" w:rsidRDefault="006B1858" w:rsidP="006B1858">
      <w:pPr>
        <w:spacing w:after="0" w:line="360" w:lineRule="auto"/>
        <w:rPr>
          <w:rFonts w:ascii="Times New Roman" w:hAnsi="Times New Roman" w:cs="Times New Roman"/>
          <w:sz w:val="24"/>
          <w:szCs w:val="24"/>
        </w:rPr>
      </w:pPr>
    </w:p>
    <w:p w14:paraId="215CF601" w14:textId="77777777" w:rsidR="006B1858" w:rsidRPr="00F72835" w:rsidRDefault="006B1858" w:rsidP="006B1858">
      <w:pPr>
        <w:spacing w:after="0" w:line="360" w:lineRule="auto"/>
        <w:ind w:firstLine="708"/>
        <w:jc w:val="both"/>
        <w:rPr>
          <w:rFonts w:ascii="Times New Roman" w:hAnsi="Times New Roman" w:cs="Times New Roman"/>
          <w:sz w:val="24"/>
          <w:szCs w:val="24"/>
        </w:rPr>
      </w:pPr>
      <w:r w:rsidRPr="008C766E">
        <w:rPr>
          <w:rFonts w:ascii="Times New Roman" w:hAnsi="Times New Roman" w:cs="Times New Roman"/>
          <w:sz w:val="24"/>
          <w:szCs w:val="24"/>
        </w:rPr>
        <w:lastRenderedPageBreak/>
        <w:t>V</w:t>
      </w:r>
      <w:r>
        <w:rPr>
          <w:rFonts w:ascii="Times New Roman" w:hAnsi="Times New Roman" w:cs="Times New Roman"/>
          <w:sz w:val="24"/>
          <w:szCs w:val="24"/>
        </w:rPr>
        <w:t> </w:t>
      </w:r>
      <w:r w:rsidRPr="00F72835">
        <w:rPr>
          <w:rFonts w:ascii="Times New Roman" w:hAnsi="Times New Roman" w:cs="Times New Roman"/>
          <w:sz w:val="24"/>
          <w:szCs w:val="24"/>
        </w:rPr>
        <w:t>tabuľke č. 7 je porovnanie skóre jednotlivých domén dotazníka a celkového skóre medzi oboma sledovanými skupinami. Pacienti s urolitiázou dosiahli celkové skóre 87,73 ± 20,73, rozdiely boli štatisticky významné (p&lt; 0,0001).</w:t>
      </w:r>
      <w:r>
        <w:rPr>
          <w:rFonts w:ascii="Times New Roman" w:hAnsi="Times New Roman" w:cs="Times New Roman"/>
          <w:sz w:val="24"/>
          <w:szCs w:val="24"/>
        </w:rPr>
        <w:t xml:space="preserve"> </w:t>
      </w:r>
      <w:r w:rsidRPr="00F72835">
        <w:rPr>
          <w:rStyle w:val="fontstyle31"/>
          <w:rFonts w:ascii="Times New Roman" w:hAnsi="Times New Roman" w:cs="Times New Roman"/>
          <w:sz w:val="24"/>
          <w:szCs w:val="24"/>
        </w:rPr>
        <w:t xml:space="preserve">Pri porovnaní pacientov liečených s urolitiázou a pacientov bez ochorenia sa preukázala diskriminačná platnosť nástroja WISQOL. Pri väčšine otázok a pri celkovom skóre dosiahli pacienti s urolitiázou nižšie skóre odpovedajúce horšej kvalite života </w:t>
      </w:r>
      <w:r>
        <w:rPr>
          <w:rStyle w:val="fontstyle31"/>
          <w:rFonts w:ascii="Times New Roman" w:hAnsi="Times New Roman" w:cs="Times New Roman"/>
          <w:sz w:val="24"/>
          <w:szCs w:val="24"/>
        </w:rPr>
        <w:t>(</w:t>
      </w:r>
      <w:r w:rsidRPr="00F72835">
        <w:rPr>
          <w:rStyle w:val="fontstyle31"/>
          <w:rFonts w:ascii="Times New Roman" w:hAnsi="Times New Roman" w:cs="Times New Roman"/>
          <w:sz w:val="24"/>
          <w:szCs w:val="24"/>
        </w:rPr>
        <w:t>p &lt;0,0001</w:t>
      </w:r>
      <w:r>
        <w:rPr>
          <w:rStyle w:val="fontstyle31"/>
          <w:rFonts w:ascii="Times New Roman" w:hAnsi="Times New Roman" w:cs="Times New Roman"/>
          <w:sz w:val="24"/>
          <w:szCs w:val="24"/>
        </w:rPr>
        <w:t>)</w:t>
      </w:r>
      <w:r w:rsidRPr="00F72835">
        <w:rPr>
          <w:rStyle w:val="fontstyle31"/>
          <w:rFonts w:ascii="Times New Roman" w:hAnsi="Times New Roman" w:cs="Times New Roman"/>
          <w:sz w:val="24"/>
          <w:szCs w:val="24"/>
        </w:rPr>
        <w:t xml:space="preserve">. </w:t>
      </w:r>
    </w:p>
    <w:p w14:paraId="06564987" w14:textId="77777777" w:rsidR="006B1858" w:rsidRPr="00F72835" w:rsidRDefault="006B1858" w:rsidP="006B1858">
      <w:pPr>
        <w:spacing w:after="0" w:line="360" w:lineRule="auto"/>
        <w:jc w:val="both"/>
        <w:rPr>
          <w:rFonts w:ascii="Times New Roman" w:hAnsi="Times New Roman" w:cs="Times New Roman"/>
          <w:b/>
          <w:color w:val="FF0000"/>
          <w:sz w:val="24"/>
          <w:szCs w:val="24"/>
        </w:rPr>
      </w:pPr>
    </w:p>
    <w:p w14:paraId="374F6642" w14:textId="77777777" w:rsidR="006B1858" w:rsidRPr="008C766E" w:rsidRDefault="006B1858" w:rsidP="006B1858">
      <w:pPr>
        <w:spacing w:after="0" w:line="360" w:lineRule="auto"/>
        <w:jc w:val="both"/>
        <w:rPr>
          <w:rFonts w:ascii="Times New Roman" w:hAnsi="Times New Roman" w:cs="Times New Roman"/>
          <w:sz w:val="24"/>
          <w:szCs w:val="24"/>
        </w:rPr>
      </w:pPr>
      <w:bookmarkStart w:id="23" w:name="_Hlk68636464"/>
      <w:r w:rsidRPr="00F72835">
        <w:rPr>
          <w:rFonts w:ascii="Times New Roman" w:hAnsi="Times New Roman" w:cs="Times New Roman"/>
          <w:b/>
          <w:sz w:val="24"/>
          <w:szCs w:val="24"/>
        </w:rPr>
        <w:t>Tabuľka 7</w:t>
      </w:r>
      <w:r w:rsidRPr="00F72835">
        <w:rPr>
          <w:rFonts w:ascii="Times New Roman" w:hAnsi="Times New Roman" w:cs="Times New Roman"/>
          <w:sz w:val="24"/>
          <w:szCs w:val="24"/>
        </w:rPr>
        <w:t xml:space="preserve"> </w:t>
      </w:r>
      <w:bookmarkStart w:id="24" w:name="_Hlk68546942"/>
      <w:r w:rsidRPr="00F72835">
        <w:rPr>
          <w:rFonts w:ascii="Times New Roman" w:hAnsi="Times New Roman" w:cs="Times New Roman"/>
          <w:sz w:val="24"/>
          <w:szCs w:val="24"/>
        </w:rPr>
        <w:t>Porovnanie skór</w:t>
      </w:r>
      <w:r>
        <w:rPr>
          <w:rFonts w:ascii="Times New Roman" w:hAnsi="Times New Roman" w:cs="Times New Roman"/>
          <w:sz w:val="24"/>
          <w:szCs w:val="24"/>
        </w:rPr>
        <w:t>e medzi sledovanými skupinami podľa domén WISQOL dotazníka</w:t>
      </w:r>
      <w:bookmarkEnd w:id="23"/>
      <w:r>
        <w:rPr>
          <w:rFonts w:ascii="Times New Roman" w:hAnsi="Times New Roman" w:cs="Times New Roman"/>
          <w:sz w:val="24"/>
          <w:szCs w:val="24"/>
        </w:rPr>
        <w:t xml:space="preserve"> </w:t>
      </w:r>
      <w:bookmarkEnd w:id="24"/>
    </w:p>
    <w:tbl>
      <w:tblPr>
        <w:tblStyle w:val="Mkatabulky"/>
        <w:tblW w:w="8406" w:type="dxa"/>
        <w:jc w:val="center"/>
        <w:tblLook w:val="04A0" w:firstRow="1" w:lastRow="0" w:firstColumn="1" w:lastColumn="0" w:noHBand="0" w:noVBand="1"/>
      </w:tblPr>
      <w:tblGrid>
        <w:gridCol w:w="3097"/>
        <w:gridCol w:w="1883"/>
        <w:gridCol w:w="1957"/>
        <w:gridCol w:w="1469"/>
      </w:tblGrid>
      <w:tr w:rsidR="006B1858" w:rsidRPr="008C766E" w14:paraId="11659761" w14:textId="77777777" w:rsidTr="008113E9">
        <w:trPr>
          <w:trHeight w:val="1276"/>
          <w:jc w:val="center"/>
        </w:trPr>
        <w:tc>
          <w:tcPr>
            <w:tcW w:w="3097" w:type="dxa"/>
            <w:vMerge w:val="restart"/>
            <w:shd w:val="clear" w:color="auto" w:fill="D9D9D9" w:themeFill="background1" w:themeFillShade="D9"/>
            <w:vAlign w:val="center"/>
          </w:tcPr>
          <w:p w14:paraId="7C12BDE0" w14:textId="77777777" w:rsidR="006B1858" w:rsidRPr="00542AB6"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Domény dotazníka</w:t>
            </w:r>
          </w:p>
        </w:tc>
        <w:tc>
          <w:tcPr>
            <w:tcW w:w="1883" w:type="dxa"/>
            <w:shd w:val="clear" w:color="auto" w:fill="D9D9D9" w:themeFill="background1" w:themeFillShade="D9"/>
          </w:tcPr>
          <w:p w14:paraId="760B3AA6" w14:textId="77777777" w:rsidR="006B1858"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 xml:space="preserve">Pacienti </w:t>
            </w:r>
          </w:p>
          <w:p w14:paraId="27D5F14F"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s urolitiázou</w:t>
            </w:r>
          </w:p>
          <w:p w14:paraId="5597390B"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(N=52)</w:t>
            </w:r>
          </w:p>
        </w:tc>
        <w:tc>
          <w:tcPr>
            <w:tcW w:w="1957" w:type="dxa"/>
            <w:shd w:val="clear" w:color="auto" w:fill="D9D9D9" w:themeFill="background1" w:themeFillShade="D9"/>
          </w:tcPr>
          <w:p w14:paraId="25743091" w14:textId="77777777" w:rsidR="006B1858"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 xml:space="preserve">Pacienti </w:t>
            </w:r>
          </w:p>
          <w:p w14:paraId="7577EEC8"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bez urolitiázy</w:t>
            </w:r>
          </w:p>
          <w:p w14:paraId="15107322"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(N=32)</w:t>
            </w:r>
          </w:p>
        </w:tc>
        <w:tc>
          <w:tcPr>
            <w:tcW w:w="1469" w:type="dxa"/>
            <w:vMerge w:val="restart"/>
            <w:shd w:val="clear" w:color="auto" w:fill="D9D9D9" w:themeFill="background1" w:themeFillShade="D9"/>
            <w:vAlign w:val="center"/>
          </w:tcPr>
          <w:p w14:paraId="331D9839"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hodnota p*</w:t>
            </w:r>
          </w:p>
        </w:tc>
      </w:tr>
      <w:tr w:rsidR="006B1858" w:rsidRPr="008C766E" w14:paraId="08B47649" w14:textId="77777777" w:rsidTr="008113E9">
        <w:trPr>
          <w:trHeight w:val="435"/>
          <w:jc w:val="center"/>
        </w:trPr>
        <w:tc>
          <w:tcPr>
            <w:tcW w:w="3097" w:type="dxa"/>
            <w:vMerge/>
            <w:shd w:val="clear" w:color="auto" w:fill="D9D9D9" w:themeFill="background1" w:themeFillShade="D9"/>
          </w:tcPr>
          <w:p w14:paraId="016D2175" w14:textId="77777777" w:rsidR="006B1858" w:rsidRPr="00542AB6" w:rsidRDefault="006B1858" w:rsidP="006B1858">
            <w:pPr>
              <w:spacing w:line="360" w:lineRule="auto"/>
              <w:rPr>
                <w:rFonts w:ascii="Times New Roman" w:hAnsi="Times New Roman" w:cs="Times New Roman"/>
                <w:b/>
                <w:sz w:val="24"/>
                <w:szCs w:val="24"/>
              </w:rPr>
            </w:pPr>
          </w:p>
        </w:tc>
        <w:tc>
          <w:tcPr>
            <w:tcW w:w="1883" w:type="dxa"/>
            <w:shd w:val="clear" w:color="auto" w:fill="D9D9D9" w:themeFill="background1" w:themeFillShade="D9"/>
          </w:tcPr>
          <w:p w14:paraId="52A94857"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priemer ± SD</w:t>
            </w:r>
          </w:p>
        </w:tc>
        <w:tc>
          <w:tcPr>
            <w:tcW w:w="1957" w:type="dxa"/>
            <w:shd w:val="clear" w:color="auto" w:fill="D9D9D9" w:themeFill="background1" w:themeFillShade="D9"/>
          </w:tcPr>
          <w:p w14:paraId="43490C58" w14:textId="77777777" w:rsidR="006B1858" w:rsidRPr="00542AB6" w:rsidRDefault="006B1858" w:rsidP="006B1858">
            <w:pPr>
              <w:spacing w:line="360" w:lineRule="auto"/>
              <w:jc w:val="center"/>
              <w:rPr>
                <w:rFonts w:ascii="Times New Roman" w:hAnsi="Times New Roman" w:cs="Times New Roman"/>
                <w:b/>
                <w:sz w:val="24"/>
                <w:szCs w:val="24"/>
              </w:rPr>
            </w:pPr>
            <w:r w:rsidRPr="00542AB6">
              <w:rPr>
                <w:rFonts w:ascii="Times New Roman" w:hAnsi="Times New Roman" w:cs="Times New Roman"/>
                <w:b/>
                <w:sz w:val="24"/>
                <w:szCs w:val="24"/>
              </w:rPr>
              <w:t>priemer ± SD</w:t>
            </w:r>
          </w:p>
        </w:tc>
        <w:tc>
          <w:tcPr>
            <w:tcW w:w="1469" w:type="dxa"/>
            <w:vMerge/>
          </w:tcPr>
          <w:p w14:paraId="646B6FFF" w14:textId="77777777" w:rsidR="006B1858" w:rsidRPr="008C766E" w:rsidRDefault="006B1858" w:rsidP="006B1858">
            <w:pPr>
              <w:spacing w:line="360" w:lineRule="auto"/>
              <w:rPr>
                <w:rFonts w:ascii="Times New Roman" w:hAnsi="Times New Roman" w:cs="Times New Roman"/>
                <w:sz w:val="24"/>
                <w:szCs w:val="24"/>
              </w:rPr>
            </w:pPr>
          </w:p>
        </w:tc>
      </w:tr>
      <w:tr w:rsidR="006B1858" w:rsidRPr="008C766E" w14:paraId="29FE4601" w14:textId="77777777" w:rsidTr="008113E9">
        <w:trPr>
          <w:trHeight w:val="842"/>
          <w:jc w:val="center"/>
        </w:trPr>
        <w:tc>
          <w:tcPr>
            <w:tcW w:w="3097" w:type="dxa"/>
            <w:shd w:val="clear" w:color="auto" w:fill="D9D9D9" w:themeFill="background1" w:themeFillShade="D9"/>
          </w:tcPr>
          <w:p w14:paraId="0E2A9089"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D1 Sociálny dopad</w:t>
            </w:r>
          </w:p>
          <w:p w14:paraId="11F78C39" w14:textId="77777777" w:rsidR="006B1858" w:rsidRPr="00542AB6" w:rsidRDefault="006B1858" w:rsidP="006B1858">
            <w:pPr>
              <w:spacing w:line="360" w:lineRule="auto"/>
              <w:rPr>
                <w:rFonts w:ascii="Times New Roman" w:hAnsi="Times New Roman" w:cs="Times New Roman"/>
                <w:b/>
                <w:sz w:val="24"/>
                <w:szCs w:val="24"/>
              </w:rPr>
            </w:pPr>
          </w:p>
        </w:tc>
        <w:tc>
          <w:tcPr>
            <w:tcW w:w="1883" w:type="dxa"/>
            <w:vAlign w:val="center"/>
          </w:tcPr>
          <w:p w14:paraId="60CB1FE0"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24,75 </w:t>
            </w:r>
            <w:r>
              <w:rPr>
                <w:rFonts w:ascii="Times New Roman" w:hAnsi="Times New Roman" w:cs="Times New Roman"/>
                <w:sz w:val="24"/>
                <w:szCs w:val="24"/>
              </w:rPr>
              <w:t xml:space="preserve">± </w:t>
            </w:r>
            <w:r w:rsidRPr="008C766E">
              <w:rPr>
                <w:rFonts w:ascii="Times New Roman" w:hAnsi="Times New Roman" w:cs="Times New Roman"/>
                <w:sz w:val="24"/>
                <w:szCs w:val="24"/>
              </w:rPr>
              <w:t>8,46</w:t>
            </w:r>
          </w:p>
        </w:tc>
        <w:tc>
          <w:tcPr>
            <w:tcW w:w="1957" w:type="dxa"/>
            <w:vAlign w:val="center"/>
          </w:tcPr>
          <w:p w14:paraId="6B92C4EA"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38,50 </w:t>
            </w:r>
            <w:r>
              <w:rPr>
                <w:rFonts w:ascii="Times New Roman" w:hAnsi="Times New Roman" w:cs="Times New Roman"/>
                <w:sz w:val="24"/>
                <w:szCs w:val="24"/>
              </w:rPr>
              <w:t>±</w:t>
            </w:r>
            <w:r w:rsidRPr="008C766E">
              <w:rPr>
                <w:rFonts w:ascii="Times New Roman" w:hAnsi="Times New Roman" w:cs="Times New Roman"/>
                <w:sz w:val="24"/>
                <w:szCs w:val="24"/>
              </w:rPr>
              <w:t xml:space="preserve"> 3,00</w:t>
            </w:r>
          </w:p>
        </w:tc>
        <w:tc>
          <w:tcPr>
            <w:tcW w:w="1469" w:type="dxa"/>
            <w:vAlign w:val="center"/>
          </w:tcPr>
          <w:p w14:paraId="78993E77"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&lt; 0,0001</w:t>
            </w:r>
          </w:p>
        </w:tc>
      </w:tr>
      <w:tr w:rsidR="006B1858" w:rsidRPr="008C766E" w14:paraId="2BD6BCD2" w14:textId="77777777" w:rsidTr="008113E9">
        <w:trPr>
          <w:trHeight w:val="851"/>
          <w:jc w:val="center"/>
        </w:trPr>
        <w:tc>
          <w:tcPr>
            <w:tcW w:w="3097" w:type="dxa"/>
            <w:shd w:val="clear" w:color="auto" w:fill="D9D9D9" w:themeFill="background1" w:themeFillShade="D9"/>
          </w:tcPr>
          <w:p w14:paraId="1AD06810"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D2 Emocionálny dopad</w:t>
            </w:r>
          </w:p>
          <w:p w14:paraId="4834DD2B" w14:textId="77777777" w:rsidR="006B1858" w:rsidRPr="00542AB6" w:rsidRDefault="006B1858" w:rsidP="006B1858">
            <w:pPr>
              <w:spacing w:line="360" w:lineRule="auto"/>
              <w:rPr>
                <w:rFonts w:ascii="Times New Roman" w:hAnsi="Times New Roman" w:cs="Times New Roman"/>
                <w:b/>
                <w:sz w:val="24"/>
                <w:szCs w:val="24"/>
              </w:rPr>
            </w:pPr>
          </w:p>
        </w:tc>
        <w:tc>
          <w:tcPr>
            <w:tcW w:w="1883" w:type="dxa"/>
            <w:vAlign w:val="center"/>
          </w:tcPr>
          <w:p w14:paraId="2F158CAB"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22,31 </w:t>
            </w:r>
            <w:r>
              <w:rPr>
                <w:rFonts w:ascii="Times New Roman" w:hAnsi="Times New Roman" w:cs="Times New Roman"/>
                <w:sz w:val="24"/>
                <w:szCs w:val="24"/>
              </w:rPr>
              <w:t xml:space="preserve">± </w:t>
            </w:r>
            <w:r w:rsidRPr="008C766E">
              <w:rPr>
                <w:rFonts w:ascii="Times New Roman" w:hAnsi="Times New Roman" w:cs="Times New Roman"/>
                <w:sz w:val="24"/>
                <w:szCs w:val="24"/>
              </w:rPr>
              <w:t>6,13</w:t>
            </w:r>
          </w:p>
        </w:tc>
        <w:tc>
          <w:tcPr>
            <w:tcW w:w="1957" w:type="dxa"/>
            <w:vAlign w:val="center"/>
          </w:tcPr>
          <w:p w14:paraId="68C251FD"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33,09 </w:t>
            </w:r>
            <w:r>
              <w:rPr>
                <w:rFonts w:ascii="Times New Roman" w:hAnsi="Times New Roman" w:cs="Times New Roman"/>
                <w:sz w:val="24"/>
                <w:szCs w:val="24"/>
              </w:rPr>
              <w:t>±</w:t>
            </w:r>
            <w:r w:rsidRPr="008C766E">
              <w:rPr>
                <w:rFonts w:ascii="Times New Roman" w:hAnsi="Times New Roman" w:cs="Times New Roman"/>
                <w:sz w:val="24"/>
                <w:szCs w:val="24"/>
              </w:rPr>
              <w:t xml:space="preserve"> 3,92</w:t>
            </w:r>
          </w:p>
        </w:tc>
        <w:tc>
          <w:tcPr>
            <w:tcW w:w="1469" w:type="dxa"/>
            <w:vAlign w:val="center"/>
          </w:tcPr>
          <w:p w14:paraId="01D036E6"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&lt; 0,0001</w:t>
            </w:r>
          </w:p>
        </w:tc>
      </w:tr>
      <w:tr w:rsidR="006B1858" w:rsidRPr="008C766E" w14:paraId="35AD85FC" w14:textId="77777777" w:rsidTr="008113E9">
        <w:trPr>
          <w:trHeight w:val="851"/>
          <w:jc w:val="center"/>
        </w:trPr>
        <w:tc>
          <w:tcPr>
            <w:tcW w:w="3097" w:type="dxa"/>
            <w:shd w:val="clear" w:color="auto" w:fill="D9D9D9" w:themeFill="background1" w:themeFillShade="D9"/>
          </w:tcPr>
          <w:p w14:paraId="68167EA9" w14:textId="77777777" w:rsidR="006B1858" w:rsidRPr="00542AB6"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D3 Symptómy špecifické pre ochorenie urolitiázou</w:t>
            </w:r>
          </w:p>
        </w:tc>
        <w:tc>
          <w:tcPr>
            <w:tcW w:w="1883" w:type="dxa"/>
            <w:vAlign w:val="center"/>
          </w:tcPr>
          <w:p w14:paraId="4205F6FB"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24,29 </w:t>
            </w:r>
            <w:r>
              <w:rPr>
                <w:rFonts w:ascii="Times New Roman" w:hAnsi="Times New Roman" w:cs="Times New Roman"/>
                <w:sz w:val="24"/>
                <w:szCs w:val="24"/>
              </w:rPr>
              <w:t>±</w:t>
            </w:r>
            <w:r w:rsidRPr="008C766E">
              <w:rPr>
                <w:rFonts w:ascii="Times New Roman" w:hAnsi="Times New Roman" w:cs="Times New Roman"/>
                <w:sz w:val="24"/>
                <w:szCs w:val="24"/>
              </w:rPr>
              <w:t xml:space="preserve"> 6,16</w:t>
            </w:r>
          </w:p>
        </w:tc>
        <w:tc>
          <w:tcPr>
            <w:tcW w:w="1957" w:type="dxa"/>
            <w:vAlign w:val="center"/>
          </w:tcPr>
          <w:p w14:paraId="79E0D000"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37,69 </w:t>
            </w:r>
            <w:r>
              <w:rPr>
                <w:rFonts w:ascii="Times New Roman" w:hAnsi="Times New Roman" w:cs="Times New Roman"/>
                <w:sz w:val="24"/>
                <w:szCs w:val="24"/>
              </w:rPr>
              <w:t>±</w:t>
            </w:r>
            <w:r w:rsidRPr="008C766E">
              <w:rPr>
                <w:rFonts w:ascii="Times New Roman" w:hAnsi="Times New Roman" w:cs="Times New Roman"/>
                <w:sz w:val="24"/>
                <w:szCs w:val="24"/>
              </w:rPr>
              <w:t xml:space="preserve"> 3,62</w:t>
            </w:r>
          </w:p>
        </w:tc>
        <w:tc>
          <w:tcPr>
            <w:tcW w:w="1469" w:type="dxa"/>
            <w:vAlign w:val="center"/>
          </w:tcPr>
          <w:p w14:paraId="40988184"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&lt; 0,0001</w:t>
            </w:r>
          </w:p>
        </w:tc>
      </w:tr>
      <w:tr w:rsidR="006B1858" w:rsidRPr="008C766E" w14:paraId="2C0868E6" w14:textId="77777777" w:rsidTr="008113E9">
        <w:trPr>
          <w:trHeight w:val="851"/>
          <w:jc w:val="center"/>
        </w:trPr>
        <w:tc>
          <w:tcPr>
            <w:tcW w:w="3097" w:type="dxa"/>
            <w:shd w:val="clear" w:color="auto" w:fill="D9D9D9" w:themeFill="background1" w:themeFillShade="D9"/>
          </w:tcPr>
          <w:p w14:paraId="5CF9F700"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D4 Vplyv na vitalitu</w:t>
            </w:r>
          </w:p>
          <w:p w14:paraId="7C85AEC3" w14:textId="77777777" w:rsidR="006B1858" w:rsidRPr="00542AB6" w:rsidRDefault="006B1858" w:rsidP="006B1858">
            <w:pPr>
              <w:spacing w:line="360" w:lineRule="auto"/>
              <w:rPr>
                <w:rFonts w:ascii="Times New Roman" w:hAnsi="Times New Roman" w:cs="Times New Roman"/>
                <w:b/>
                <w:sz w:val="24"/>
                <w:szCs w:val="24"/>
              </w:rPr>
            </w:pPr>
          </w:p>
        </w:tc>
        <w:tc>
          <w:tcPr>
            <w:tcW w:w="1883" w:type="dxa"/>
            <w:vAlign w:val="center"/>
          </w:tcPr>
          <w:p w14:paraId="2F8E6108"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8,38 </w:t>
            </w:r>
            <w:r>
              <w:rPr>
                <w:rFonts w:ascii="Times New Roman" w:hAnsi="Times New Roman" w:cs="Times New Roman"/>
                <w:sz w:val="24"/>
                <w:szCs w:val="24"/>
              </w:rPr>
              <w:t xml:space="preserve">± </w:t>
            </w:r>
            <w:r w:rsidRPr="008C766E">
              <w:rPr>
                <w:rFonts w:ascii="Times New Roman" w:hAnsi="Times New Roman" w:cs="Times New Roman"/>
                <w:sz w:val="24"/>
                <w:szCs w:val="24"/>
              </w:rPr>
              <w:t>3,37</w:t>
            </w:r>
          </w:p>
        </w:tc>
        <w:tc>
          <w:tcPr>
            <w:tcW w:w="1957" w:type="dxa"/>
            <w:vAlign w:val="center"/>
          </w:tcPr>
          <w:p w14:paraId="042D42DB"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11,53 </w:t>
            </w:r>
            <w:r>
              <w:rPr>
                <w:rFonts w:ascii="Times New Roman" w:hAnsi="Times New Roman" w:cs="Times New Roman"/>
                <w:sz w:val="24"/>
                <w:szCs w:val="24"/>
              </w:rPr>
              <w:t>±</w:t>
            </w:r>
            <w:r w:rsidRPr="008C766E">
              <w:rPr>
                <w:rFonts w:ascii="Times New Roman" w:hAnsi="Times New Roman" w:cs="Times New Roman"/>
                <w:sz w:val="24"/>
                <w:szCs w:val="24"/>
              </w:rPr>
              <w:t xml:space="preserve"> 3,04</w:t>
            </w:r>
          </w:p>
        </w:tc>
        <w:tc>
          <w:tcPr>
            <w:tcW w:w="1469" w:type="dxa"/>
            <w:vAlign w:val="center"/>
          </w:tcPr>
          <w:p w14:paraId="576A81F5"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&lt; 0,0001</w:t>
            </w:r>
          </w:p>
        </w:tc>
      </w:tr>
      <w:tr w:rsidR="006B1858" w:rsidRPr="008C766E" w14:paraId="47C3B825" w14:textId="77777777" w:rsidTr="008113E9">
        <w:trPr>
          <w:trHeight w:val="851"/>
          <w:jc w:val="center"/>
        </w:trPr>
        <w:tc>
          <w:tcPr>
            <w:tcW w:w="3097" w:type="dxa"/>
            <w:shd w:val="clear" w:color="auto" w:fill="D9D9D9" w:themeFill="background1" w:themeFillShade="D9"/>
          </w:tcPr>
          <w:p w14:paraId="59AD11AD" w14:textId="77777777" w:rsidR="006B1858" w:rsidRDefault="006B1858" w:rsidP="006B1858">
            <w:pPr>
              <w:spacing w:line="360" w:lineRule="auto"/>
              <w:rPr>
                <w:rFonts w:ascii="Times New Roman" w:hAnsi="Times New Roman" w:cs="Times New Roman"/>
                <w:b/>
                <w:sz w:val="24"/>
                <w:szCs w:val="24"/>
              </w:rPr>
            </w:pPr>
            <w:r w:rsidRPr="00542AB6">
              <w:rPr>
                <w:rFonts w:ascii="Times New Roman" w:hAnsi="Times New Roman" w:cs="Times New Roman"/>
                <w:b/>
                <w:sz w:val="24"/>
                <w:szCs w:val="24"/>
              </w:rPr>
              <w:t>Celkové skóre</w:t>
            </w:r>
          </w:p>
          <w:p w14:paraId="5F8BF6AF" w14:textId="77777777" w:rsidR="006B1858" w:rsidRPr="00542AB6" w:rsidRDefault="006B1858" w:rsidP="006B1858">
            <w:pPr>
              <w:spacing w:line="360" w:lineRule="auto"/>
              <w:rPr>
                <w:rFonts w:ascii="Times New Roman" w:hAnsi="Times New Roman" w:cs="Times New Roman"/>
                <w:b/>
                <w:sz w:val="24"/>
                <w:szCs w:val="24"/>
              </w:rPr>
            </w:pPr>
          </w:p>
        </w:tc>
        <w:tc>
          <w:tcPr>
            <w:tcW w:w="1883" w:type="dxa"/>
            <w:vAlign w:val="center"/>
          </w:tcPr>
          <w:p w14:paraId="17837370"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87,73 </w:t>
            </w:r>
            <w:r>
              <w:rPr>
                <w:rFonts w:ascii="Times New Roman" w:hAnsi="Times New Roman" w:cs="Times New Roman"/>
                <w:sz w:val="24"/>
                <w:szCs w:val="24"/>
              </w:rPr>
              <w:t xml:space="preserve">± </w:t>
            </w:r>
            <w:r w:rsidRPr="008C766E">
              <w:rPr>
                <w:rFonts w:ascii="Times New Roman" w:hAnsi="Times New Roman" w:cs="Times New Roman"/>
                <w:sz w:val="24"/>
                <w:szCs w:val="24"/>
              </w:rPr>
              <w:t>20,73</w:t>
            </w:r>
          </w:p>
        </w:tc>
        <w:tc>
          <w:tcPr>
            <w:tcW w:w="1957" w:type="dxa"/>
            <w:vAlign w:val="center"/>
          </w:tcPr>
          <w:p w14:paraId="28F05DB1"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 xml:space="preserve">130,72 </w:t>
            </w:r>
            <w:r>
              <w:rPr>
                <w:rFonts w:ascii="Times New Roman" w:hAnsi="Times New Roman" w:cs="Times New Roman"/>
                <w:sz w:val="24"/>
                <w:szCs w:val="24"/>
              </w:rPr>
              <w:t>±</w:t>
            </w:r>
            <w:r w:rsidRPr="008C766E">
              <w:rPr>
                <w:rFonts w:ascii="Times New Roman" w:hAnsi="Times New Roman" w:cs="Times New Roman"/>
                <w:sz w:val="24"/>
                <w:szCs w:val="24"/>
              </w:rPr>
              <w:t xml:space="preserve"> </w:t>
            </w:r>
            <w:r>
              <w:rPr>
                <w:rFonts w:ascii="Times New Roman" w:hAnsi="Times New Roman" w:cs="Times New Roman"/>
                <w:sz w:val="24"/>
                <w:szCs w:val="24"/>
              </w:rPr>
              <w:t>1</w:t>
            </w:r>
            <w:r w:rsidRPr="008C766E">
              <w:rPr>
                <w:rFonts w:ascii="Times New Roman" w:hAnsi="Times New Roman" w:cs="Times New Roman"/>
                <w:sz w:val="24"/>
                <w:szCs w:val="24"/>
              </w:rPr>
              <w:t>0,38</w:t>
            </w:r>
          </w:p>
        </w:tc>
        <w:tc>
          <w:tcPr>
            <w:tcW w:w="1469" w:type="dxa"/>
            <w:vAlign w:val="center"/>
          </w:tcPr>
          <w:p w14:paraId="28470626" w14:textId="77777777" w:rsidR="006B1858" w:rsidRPr="008C766E" w:rsidRDefault="006B1858" w:rsidP="006B1858">
            <w:pPr>
              <w:spacing w:line="360" w:lineRule="auto"/>
              <w:jc w:val="center"/>
              <w:rPr>
                <w:rFonts w:ascii="Times New Roman" w:hAnsi="Times New Roman" w:cs="Times New Roman"/>
                <w:sz w:val="24"/>
                <w:szCs w:val="24"/>
              </w:rPr>
            </w:pPr>
            <w:r w:rsidRPr="008C766E">
              <w:rPr>
                <w:rFonts w:ascii="Times New Roman" w:hAnsi="Times New Roman" w:cs="Times New Roman"/>
                <w:sz w:val="24"/>
                <w:szCs w:val="24"/>
              </w:rPr>
              <w:t>&lt; 0,0001</w:t>
            </w:r>
          </w:p>
        </w:tc>
      </w:tr>
    </w:tbl>
    <w:p w14:paraId="4C2ADA9C" w14:textId="5054BE86" w:rsidR="006B1858" w:rsidRPr="008C766E" w:rsidRDefault="006B1858" w:rsidP="006B1858">
      <w:pPr>
        <w:spacing w:after="0" w:line="360" w:lineRule="auto"/>
        <w:rPr>
          <w:rFonts w:ascii="Times New Roman" w:hAnsi="Times New Roman" w:cs="Times New Roman"/>
          <w:sz w:val="24"/>
          <w:szCs w:val="24"/>
        </w:rPr>
      </w:pPr>
      <w:r w:rsidRPr="008C766E">
        <w:rPr>
          <w:rFonts w:ascii="Times New Roman" w:hAnsi="Times New Roman" w:cs="Times New Roman"/>
          <w:sz w:val="24"/>
          <w:szCs w:val="24"/>
        </w:rPr>
        <w:t>*</w:t>
      </w:r>
      <w:r w:rsidRPr="008C766E">
        <w:rPr>
          <w:rStyle w:val="fontstyle21"/>
          <w:rFonts w:ascii="Times New Roman" w:hAnsi="Times New Roman" w:cs="Times New Roman"/>
          <w:sz w:val="24"/>
          <w:szCs w:val="24"/>
        </w:rPr>
        <w:t xml:space="preserve"> Mann-Whitney U-test</w:t>
      </w:r>
      <w:r>
        <w:rPr>
          <w:rStyle w:val="fontstyle21"/>
          <w:rFonts w:ascii="Times New Roman" w:hAnsi="Times New Roman" w:cs="Times New Roman"/>
          <w:sz w:val="24"/>
          <w:szCs w:val="24"/>
        </w:rPr>
        <w:tab/>
        <w:t>SD – smerodajná odchýlka</w:t>
      </w:r>
    </w:p>
    <w:p w14:paraId="51C9FCD5" w14:textId="77777777" w:rsidR="006B1858" w:rsidRDefault="006B1858" w:rsidP="00DA07E4">
      <w:pPr>
        <w:spacing w:after="0" w:line="360" w:lineRule="auto"/>
        <w:jc w:val="both"/>
        <w:rPr>
          <w:rFonts w:ascii="Times New Roman" w:hAnsi="Times New Roman" w:cs="Times New Roman"/>
          <w:sz w:val="24"/>
          <w:szCs w:val="24"/>
        </w:rPr>
      </w:pPr>
    </w:p>
    <w:p w14:paraId="2F707CE4" w14:textId="11D892E3" w:rsidR="006B1858" w:rsidRDefault="006B1858" w:rsidP="006B1858">
      <w:pPr>
        <w:spacing w:after="0" w:line="360" w:lineRule="auto"/>
        <w:jc w:val="both"/>
        <w:rPr>
          <w:rFonts w:ascii="Times New Roman" w:hAnsi="Times New Roman" w:cs="Times New Roman"/>
          <w:bCs/>
          <w:sz w:val="24"/>
          <w:szCs w:val="24"/>
        </w:rPr>
      </w:pPr>
      <w:r w:rsidRPr="00DA07E4">
        <w:rPr>
          <w:rFonts w:ascii="Times New Roman" w:hAnsi="Times New Roman" w:cs="Times New Roman"/>
          <w:b/>
          <w:sz w:val="24"/>
          <w:szCs w:val="24"/>
        </w:rPr>
        <w:t>Cieľ č.</w:t>
      </w:r>
      <w:r>
        <w:rPr>
          <w:rFonts w:ascii="Times New Roman" w:hAnsi="Times New Roman" w:cs="Times New Roman"/>
          <w:b/>
          <w:sz w:val="24"/>
          <w:szCs w:val="24"/>
        </w:rPr>
        <w:t xml:space="preserve"> </w:t>
      </w:r>
      <w:r w:rsidRPr="00DA07E4">
        <w:rPr>
          <w:rFonts w:ascii="Times New Roman" w:hAnsi="Times New Roman" w:cs="Times New Roman"/>
          <w:b/>
          <w:sz w:val="24"/>
          <w:szCs w:val="24"/>
        </w:rPr>
        <w:t>2:</w:t>
      </w:r>
      <w:r w:rsidRPr="00DA07E4">
        <w:rPr>
          <w:rFonts w:ascii="Times New Roman" w:hAnsi="Times New Roman" w:cs="Times New Roman"/>
          <w:bCs/>
          <w:sz w:val="24"/>
          <w:szCs w:val="24"/>
        </w:rPr>
        <w:t xml:space="preserve"> Porovnať </w:t>
      </w:r>
      <w:r>
        <w:rPr>
          <w:rFonts w:ascii="Times New Roman" w:hAnsi="Times New Roman" w:cs="Times New Roman"/>
          <w:bCs/>
          <w:sz w:val="24"/>
          <w:szCs w:val="24"/>
        </w:rPr>
        <w:t>prostredníctvom</w:t>
      </w:r>
      <w:r w:rsidRPr="00DA07E4">
        <w:rPr>
          <w:rFonts w:ascii="Times New Roman" w:hAnsi="Times New Roman" w:cs="Times New Roman"/>
          <w:bCs/>
          <w:sz w:val="24"/>
          <w:szCs w:val="24"/>
        </w:rPr>
        <w:t xml:space="preserve"> dotazníka WISQOL skóre HRQOL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r w:rsidRPr="00DA07E4">
        <w:rPr>
          <w:rFonts w:ascii="Times New Roman" w:hAnsi="Times New Roman" w:cs="Times New Roman"/>
          <w:bCs/>
          <w:sz w:val="24"/>
          <w:szCs w:val="24"/>
        </w:rPr>
        <w:t xml:space="preserve"> </w:t>
      </w:r>
    </w:p>
    <w:p w14:paraId="09740309" w14:textId="63D81301" w:rsidR="006B1858" w:rsidRDefault="006B1858" w:rsidP="006B1858">
      <w:pPr>
        <w:spacing w:after="0" w:line="360" w:lineRule="auto"/>
        <w:jc w:val="both"/>
        <w:rPr>
          <w:rFonts w:ascii="Times New Roman" w:hAnsi="Times New Roman" w:cs="Times New Roman"/>
          <w:bCs/>
          <w:sz w:val="24"/>
          <w:szCs w:val="24"/>
        </w:rPr>
      </w:pPr>
    </w:p>
    <w:p w14:paraId="74B2251A" w14:textId="77777777" w:rsidR="006B1858" w:rsidRPr="00DA07E4" w:rsidRDefault="006B1858" w:rsidP="006B1858">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Základná charakteristika skupín pred intervenciou</w:t>
      </w:r>
    </w:p>
    <w:p w14:paraId="714654B2" w14:textId="77777777" w:rsidR="006B1858" w:rsidRPr="00F72835"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Spomedzi 78 pacientov zaradených do štúdie splnilo podmienky 66 (84</w:t>
      </w:r>
      <w:r>
        <w:rPr>
          <w:rFonts w:ascii="Times New Roman" w:hAnsi="Times New Roman" w:cs="Times New Roman"/>
          <w:sz w:val="24"/>
          <w:szCs w:val="24"/>
        </w:rPr>
        <w:t>,</w:t>
      </w:r>
      <w:r w:rsidRPr="00DA07E4">
        <w:rPr>
          <w:rFonts w:ascii="Times New Roman" w:hAnsi="Times New Roman" w:cs="Times New Roman"/>
          <w:sz w:val="24"/>
          <w:szCs w:val="24"/>
        </w:rPr>
        <w:t>6</w:t>
      </w:r>
      <w:r>
        <w:rPr>
          <w:rFonts w:ascii="Times New Roman" w:hAnsi="Times New Roman" w:cs="Times New Roman"/>
          <w:sz w:val="24"/>
          <w:szCs w:val="24"/>
        </w:rPr>
        <w:t xml:space="preserve"> </w:t>
      </w:r>
      <w:r w:rsidRPr="00DA07E4">
        <w:rPr>
          <w:rFonts w:ascii="Times New Roman" w:hAnsi="Times New Roman" w:cs="Times New Roman"/>
          <w:sz w:val="24"/>
          <w:szCs w:val="24"/>
        </w:rPr>
        <w:t>%). Zvyšní pacienti odmietli pokračovať v štúdií, neprišli na kontrolu alebo nesprávne vyplnili dotazník WISQOL. Medzi skupinou RIRS</w:t>
      </w:r>
      <w:r>
        <w:rPr>
          <w:rFonts w:ascii="Times New Roman" w:hAnsi="Times New Roman" w:cs="Times New Roman"/>
          <w:sz w:val="24"/>
          <w:szCs w:val="24"/>
        </w:rPr>
        <w:t xml:space="preserve"> (n=34)</w:t>
      </w:r>
      <w:r w:rsidRPr="00DA07E4">
        <w:rPr>
          <w:rFonts w:ascii="Times New Roman" w:hAnsi="Times New Roman" w:cs="Times New Roman"/>
          <w:sz w:val="24"/>
          <w:szCs w:val="24"/>
        </w:rPr>
        <w:t xml:space="preserve"> a skupinou ESWL</w:t>
      </w:r>
      <w:r>
        <w:rPr>
          <w:rFonts w:ascii="Times New Roman" w:hAnsi="Times New Roman" w:cs="Times New Roman"/>
          <w:sz w:val="24"/>
          <w:szCs w:val="24"/>
        </w:rPr>
        <w:t xml:space="preserve"> (n=32)</w:t>
      </w:r>
      <w:r w:rsidRPr="00DA07E4">
        <w:rPr>
          <w:rFonts w:ascii="Times New Roman" w:hAnsi="Times New Roman" w:cs="Times New Roman"/>
          <w:sz w:val="24"/>
          <w:szCs w:val="24"/>
        </w:rPr>
        <w:t xml:space="preserve"> nebol pred intervenciou (prvým zákrokom) žiadny štatisticky signifikantný rozdiel. Pohlavie a vek pacientov a </w:t>
      </w:r>
      <w:r w:rsidRPr="00DA07E4">
        <w:rPr>
          <w:rFonts w:ascii="Times New Roman" w:hAnsi="Times New Roman" w:cs="Times New Roman"/>
          <w:sz w:val="24"/>
          <w:szCs w:val="24"/>
        </w:rPr>
        <w:lastRenderedPageBreak/>
        <w:t xml:space="preserve">veľkosť ich konkrementov sú uvedené v </w:t>
      </w:r>
      <w:r w:rsidRPr="00F72835">
        <w:rPr>
          <w:rFonts w:ascii="Times New Roman" w:hAnsi="Times New Roman" w:cs="Times New Roman"/>
          <w:sz w:val="24"/>
          <w:szCs w:val="24"/>
        </w:rPr>
        <w:t>tabuľke 8. Zaznamenaný bol aj počet pacientov, u ktorých bola vykonaná intubácia močovodu stentom pred zákrokom odstraňujúcim konkrement. Intrarenálny stent bol zavedený u 46,9 % pacientov v ESWL skupine a 73,5 % pacientov v RIRS skupine so štatisticky signifikantným rozdielom pri hodnote p &lt; 0,05.</w:t>
      </w:r>
    </w:p>
    <w:p w14:paraId="322C336A" w14:textId="77777777" w:rsidR="006B1858" w:rsidRPr="00F72835" w:rsidRDefault="006B1858" w:rsidP="006B1858">
      <w:pPr>
        <w:spacing w:after="0" w:line="360" w:lineRule="auto"/>
        <w:ind w:firstLine="708"/>
        <w:jc w:val="both"/>
        <w:rPr>
          <w:rFonts w:ascii="Times New Roman" w:hAnsi="Times New Roman" w:cs="Times New Roman"/>
          <w:sz w:val="24"/>
          <w:szCs w:val="24"/>
        </w:rPr>
      </w:pPr>
    </w:p>
    <w:p w14:paraId="64BD41FF" w14:textId="77777777" w:rsidR="006B1858" w:rsidRPr="00DA07E4" w:rsidRDefault="006B1858" w:rsidP="006B1858">
      <w:pPr>
        <w:spacing w:after="0" w:line="360" w:lineRule="auto"/>
        <w:jc w:val="both"/>
        <w:rPr>
          <w:rFonts w:ascii="Times New Roman" w:hAnsi="Times New Roman" w:cs="Times New Roman"/>
          <w:sz w:val="24"/>
          <w:szCs w:val="24"/>
        </w:rPr>
      </w:pPr>
      <w:bookmarkStart w:id="25" w:name="_Hlk68636573"/>
      <w:r w:rsidRPr="00F72835">
        <w:rPr>
          <w:rFonts w:ascii="Times New Roman" w:hAnsi="Times New Roman" w:cs="Times New Roman"/>
          <w:b/>
          <w:sz w:val="24"/>
          <w:szCs w:val="24"/>
        </w:rPr>
        <w:t>Tabuľka 8</w:t>
      </w:r>
      <w:r w:rsidRPr="00F72835">
        <w:rPr>
          <w:rFonts w:ascii="Times New Roman" w:hAnsi="Times New Roman" w:cs="Times New Roman"/>
          <w:sz w:val="24"/>
          <w:szCs w:val="24"/>
        </w:rPr>
        <w:t xml:space="preserve"> Demog</w:t>
      </w:r>
      <w:r w:rsidRPr="00DA07E4">
        <w:rPr>
          <w:rFonts w:ascii="Times New Roman" w:hAnsi="Times New Roman" w:cs="Times New Roman"/>
          <w:sz w:val="24"/>
          <w:szCs w:val="24"/>
        </w:rPr>
        <w:t>rafia – porovnanie podľa skupín</w:t>
      </w:r>
    </w:p>
    <w:bookmarkEnd w:id="25"/>
    <w:tbl>
      <w:tblPr>
        <w:tblStyle w:val="Mkatabulky"/>
        <w:tblW w:w="8493" w:type="dxa"/>
        <w:jc w:val="center"/>
        <w:tblLook w:val="04A0" w:firstRow="1" w:lastRow="0" w:firstColumn="1" w:lastColumn="0" w:noHBand="0" w:noVBand="1"/>
      </w:tblPr>
      <w:tblGrid>
        <w:gridCol w:w="2386"/>
        <w:gridCol w:w="1584"/>
        <w:gridCol w:w="1566"/>
        <w:gridCol w:w="1405"/>
        <w:gridCol w:w="1552"/>
      </w:tblGrid>
      <w:tr w:rsidR="008119E1" w:rsidRPr="00DA07E4" w14:paraId="744E0F08" w14:textId="43A20CC1" w:rsidTr="008119E1">
        <w:trPr>
          <w:trHeight w:val="838"/>
          <w:jc w:val="center"/>
        </w:trPr>
        <w:tc>
          <w:tcPr>
            <w:tcW w:w="2386" w:type="dxa"/>
            <w:shd w:val="clear" w:color="auto" w:fill="D9D9D9" w:themeFill="background1" w:themeFillShade="D9"/>
            <w:vAlign w:val="center"/>
          </w:tcPr>
          <w:p w14:paraId="4B99C155" w14:textId="77777777" w:rsidR="008119E1" w:rsidRPr="00DA07E4" w:rsidRDefault="008119E1" w:rsidP="006B1858">
            <w:pPr>
              <w:spacing w:line="360" w:lineRule="auto"/>
              <w:jc w:val="both"/>
              <w:rPr>
                <w:rFonts w:ascii="Times New Roman" w:hAnsi="Times New Roman" w:cs="Times New Roman"/>
                <w:b/>
                <w:sz w:val="24"/>
                <w:szCs w:val="24"/>
              </w:rPr>
            </w:pPr>
          </w:p>
        </w:tc>
        <w:tc>
          <w:tcPr>
            <w:tcW w:w="1584" w:type="dxa"/>
            <w:shd w:val="clear" w:color="auto" w:fill="D9D9D9" w:themeFill="background1" w:themeFillShade="D9"/>
            <w:vAlign w:val="center"/>
          </w:tcPr>
          <w:p w14:paraId="649AB0B8"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1D7A70B1"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medián (</w:t>
            </w:r>
            <w:r>
              <w:rPr>
                <w:rFonts w:ascii="Times New Roman" w:hAnsi="Times New Roman" w:cs="Times New Roman"/>
                <w:b/>
                <w:sz w:val="24"/>
                <w:szCs w:val="24"/>
              </w:rPr>
              <w:t>IR</w:t>
            </w:r>
            <w:r w:rsidRPr="00DA07E4">
              <w:rPr>
                <w:rFonts w:ascii="Times New Roman" w:hAnsi="Times New Roman" w:cs="Times New Roman"/>
                <w:b/>
                <w:sz w:val="24"/>
                <w:szCs w:val="24"/>
              </w:rPr>
              <w:t>)</w:t>
            </w:r>
          </w:p>
        </w:tc>
        <w:tc>
          <w:tcPr>
            <w:tcW w:w="1566" w:type="dxa"/>
            <w:shd w:val="clear" w:color="auto" w:fill="D9D9D9" w:themeFill="background1" w:themeFillShade="D9"/>
            <w:vAlign w:val="center"/>
          </w:tcPr>
          <w:p w14:paraId="7D41F4B6"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6655F615"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medián (</w:t>
            </w:r>
            <w:r>
              <w:rPr>
                <w:rFonts w:ascii="Times New Roman" w:hAnsi="Times New Roman" w:cs="Times New Roman"/>
                <w:b/>
                <w:sz w:val="24"/>
                <w:szCs w:val="24"/>
              </w:rPr>
              <w:t>IR</w:t>
            </w:r>
            <w:r w:rsidRPr="00DA07E4">
              <w:rPr>
                <w:rFonts w:ascii="Times New Roman" w:hAnsi="Times New Roman" w:cs="Times New Roman"/>
                <w:b/>
                <w:sz w:val="24"/>
                <w:szCs w:val="24"/>
              </w:rPr>
              <w:t>)</w:t>
            </w:r>
          </w:p>
        </w:tc>
        <w:tc>
          <w:tcPr>
            <w:tcW w:w="1405" w:type="dxa"/>
            <w:shd w:val="clear" w:color="auto" w:fill="D9D9D9" w:themeFill="background1" w:themeFillShade="D9"/>
            <w:vAlign w:val="center"/>
          </w:tcPr>
          <w:p w14:paraId="0ACE6929"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w:t>
            </w:r>
          </w:p>
          <w:p w14:paraId="2BA50218" w14:textId="77777777" w:rsidR="008119E1" w:rsidRPr="00DA07E4" w:rsidRDefault="008119E1"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p*</w:t>
            </w:r>
          </w:p>
        </w:tc>
        <w:tc>
          <w:tcPr>
            <w:tcW w:w="1552" w:type="dxa"/>
            <w:shd w:val="clear" w:color="auto" w:fill="D9D9D9" w:themeFill="background1" w:themeFillShade="D9"/>
            <w:vAlign w:val="center"/>
          </w:tcPr>
          <w:p w14:paraId="4840A0D4" w14:textId="1BBE7FFB" w:rsidR="008119E1" w:rsidRDefault="008119E1" w:rsidP="006B185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3AD0118B" w14:textId="37A95F20" w:rsidR="008119E1" w:rsidRPr="008119E1" w:rsidRDefault="008119E1" w:rsidP="006B1858">
            <w:pPr>
              <w:spacing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8119E1" w:rsidRPr="00DA07E4" w14:paraId="3B51258F" w14:textId="5B3DDBA2" w:rsidTr="008119E1">
        <w:trPr>
          <w:trHeight w:val="838"/>
          <w:jc w:val="center"/>
        </w:trPr>
        <w:tc>
          <w:tcPr>
            <w:tcW w:w="2386" w:type="dxa"/>
            <w:shd w:val="clear" w:color="auto" w:fill="D9D9D9" w:themeFill="background1" w:themeFillShade="D9"/>
            <w:vAlign w:val="center"/>
          </w:tcPr>
          <w:p w14:paraId="2F6D233B" w14:textId="65EEC3B5"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vek (roky)</w:t>
            </w:r>
          </w:p>
        </w:tc>
        <w:tc>
          <w:tcPr>
            <w:tcW w:w="1584" w:type="dxa"/>
            <w:vAlign w:val="center"/>
          </w:tcPr>
          <w:p w14:paraId="5766F815" w14:textId="77777777" w:rsidR="008119E1"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 xml:space="preserve">57,5 </w:t>
            </w:r>
          </w:p>
          <w:p w14:paraId="08ED6295" w14:textId="7359CEFF"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(45,0 – 67,0)</w:t>
            </w:r>
          </w:p>
        </w:tc>
        <w:tc>
          <w:tcPr>
            <w:tcW w:w="1566" w:type="dxa"/>
            <w:vAlign w:val="center"/>
          </w:tcPr>
          <w:p w14:paraId="7A8FE27E" w14:textId="77777777" w:rsidR="008119E1"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 xml:space="preserve">60,0 </w:t>
            </w:r>
          </w:p>
          <w:p w14:paraId="15EBA0EF" w14:textId="01677F6B"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(51,5 – 67,5)</w:t>
            </w:r>
          </w:p>
        </w:tc>
        <w:tc>
          <w:tcPr>
            <w:tcW w:w="1405" w:type="dxa"/>
            <w:vAlign w:val="center"/>
          </w:tcPr>
          <w:p w14:paraId="0B89AA26"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0,562</w:t>
            </w:r>
          </w:p>
        </w:tc>
        <w:tc>
          <w:tcPr>
            <w:tcW w:w="1552" w:type="dxa"/>
            <w:vAlign w:val="center"/>
          </w:tcPr>
          <w:p w14:paraId="6F1FC365" w14:textId="113A4C03" w:rsidR="008119E1" w:rsidRPr="00DA07E4" w:rsidRDefault="008119E1"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tc>
      </w:tr>
      <w:tr w:rsidR="008119E1" w:rsidRPr="00DA07E4" w14:paraId="2D409DB0" w14:textId="3097E8F6" w:rsidTr="00413176">
        <w:trPr>
          <w:trHeight w:val="829"/>
          <w:jc w:val="center"/>
        </w:trPr>
        <w:tc>
          <w:tcPr>
            <w:tcW w:w="8493" w:type="dxa"/>
            <w:gridSpan w:val="5"/>
            <w:shd w:val="clear" w:color="auto" w:fill="D9D9D9" w:themeFill="background1" w:themeFillShade="D9"/>
            <w:vAlign w:val="center"/>
          </w:tcPr>
          <w:p w14:paraId="4ED0F52A" w14:textId="108BF7EB" w:rsidR="008119E1" w:rsidRPr="006B1858" w:rsidRDefault="008119E1" w:rsidP="006B1858">
            <w:pPr>
              <w:spacing w:line="360" w:lineRule="auto"/>
              <w:rPr>
                <w:rFonts w:ascii="Times New Roman" w:hAnsi="Times New Roman" w:cs="Times New Roman"/>
                <w:b/>
                <w:sz w:val="24"/>
                <w:szCs w:val="24"/>
              </w:rPr>
            </w:pPr>
            <w:r w:rsidRPr="006B1858">
              <w:rPr>
                <w:rFonts w:ascii="Times New Roman" w:hAnsi="Times New Roman" w:cs="Times New Roman"/>
                <w:b/>
                <w:sz w:val="24"/>
                <w:szCs w:val="24"/>
              </w:rPr>
              <w:t>pohlavie N (%)</w:t>
            </w:r>
          </w:p>
        </w:tc>
      </w:tr>
      <w:tr w:rsidR="008119E1" w:rsidRPr="00DA07E4" w14:paraId="20351ABA" w14:textId="415A3741" w:rsidTr="008119E1">
        <w:trPr>
          <w:trHeight w:val="829"/>
          <w:jc w:val="center"/>
        </w:trPr>
        <w:tc>
          <w:tcPr>
            <w:tcW w:w="2386" w:type="dxa"/>
            <w:shd w:val="clear" w:color="auto" w:fill="D9D9D9" w:themeFill="background1" w:themeFillShade="D9"/>
            <w:vAlign w:val="center"/>
          </w:tcPr>
          <w:p w14:paraId="20F108EC" w14:textId="37CD1230"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m</w:t>
            </w:r>
            <w:r w:rsidRPr="00DA07E4">
              <w:rPr>
                <w:rFonts w:ascii="Times New Roman" w:hAnsi="Times New Roman" w:cs="Times New Roman"/>
                <w:b/>
                <w:sz w:val="24"/>
                <w:szCs w:val="24"/>
              </w:rPr>
              <w:t>uži</w:t>
            </w:r>
          </w:p>
        </w:tc>
        <w:tc>
          <w:tcPr>
            <w:tcW w:w="1584" w:type="dxa"/>
            <w:vAlign w:val="center"/>
          </w:tcPr>
          <w:p w14:paraId="59F00B57"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17 (50,0)</w:t>
            </w:r>
          </w:p>
        </w:tc>
        <w:tc>
          <w:tcPr>
            <w:tcW w:w="1566" w:type="dxa"/>
            <w:vAlign w:val="center"/>
          </w:tcPr>
          <w:p w14:paraId="68EFFEFD"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23 (71,9)</w:t>
            </w:r>
          </w:p>
        </w:tc>
        <w:tc>
          <w:tcPr>
            <w:tcW w:w="1405" w:type="dxa"/>
            <w:vMerge w:val="restart"/>
            <w:vAlign w:val="center"/>
          </w:tcPr>
          <w:p w14:paraId="5A162FD0" w14:textId="77777777" w:rsidR="008119E1" w:rsidRPr="00DA07E4" w:rsidRDefault="008119E1" w:rsidP="006B1858">
            <w:pPr>
              <w:spacing w:line="360" w:lineRule="auto"/>
              <w:jc w:val="center"/>
              <w:rPr>
                <w:rFonts w:ascii="Times New Roman" w:hAnsi="Times New Roman" w:cs="Times New Roman"/>
                <w:sz w:val="24"/>
                <w:szCs w:val="24"/>
                <w:vertAlign w:val="superscript"/>
              </w:rPr>
            </w:pPr>
            <w:r w:rsidRPr="00DA07E4">
              <w:rPr>
                <w:rFonts w:ascii="Times New Roman" w:hAnsi="Times New Roman" w:cs="Times New Roman"/>
                <w:sz w:val="24"/>
                <w:szCs w:val="24"/>
              </w:rPr>
              <w:t>0,083*</w:t>
            </w:r>
          </w:p>
        </w:tc>
        <w:tc>
          <w:tcPr>
            <w:tcW w:w="1552" w:type="dxa"/>
            <w:vMerge w:val="restart"/>
            <w:vAlign w:val="center"/>
          </w:tcPr>
          <w:p w14:paraId="3D06A124" w14:textId="103A3052" w:rsidR="008119E1" w:rsidRPr="00DA07E4" w:rsidRDefault="008119E1"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0,050</w:t>
            </w:r>
          </w:p>
        </w:tc>
      </w:tr>
      <w:tr w:rsidR="008119E1" w:rsidRPr="00DA07E4" w14:paraId="1DDC5F2B" w14:textId="4260A477" w:rsidTr="008119E1">
        <w:trPr>
          <w:trHeight w:val="838"/>
          <w:jc w:val="center"/>
        </w:trPr>
        <w:tc>
          <w:tcPr>
            <w:tcW w:w="2386" w:type="dxa"/>
            <w:shd w:val="clear" w:color="auto" w:fill="D9D9D9" w:themeFill="background1" w:themeFillShade="D9"/>
            <w:vAlign w:val="center"/>
          </w:tcPr>
          <w:p w14:paraId="64E8935B" w14:textId="0CB69458"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ž</w:t>
            </w:r>
            <w:r w:rsidRPr="00DA07E4">
              <w:rPr>
                <w:rFonts w:ascii="Times New Roman" w:hAnsi="Times New Roman" w:cs="Times New Roman"/>
                <w:b/>
                <w:sz w:val="24"/>
                <w:szCs w:val="24"/>
              </w:rPr>
              <w:t>eny</w:t>
            </w:r>
            <w:r>
              <w:rPr>
                <w:rFonts w:ascii="Times New Roman" w:hAnsi="Times New Roman" w:cs="Times New Roman"/>
                <w:b/>
                <w:sz w:val="24"/>
                <w:szCs w:val="24"/>
              </w:rPr>
              <w:t xml:space="preserve"> </w:t>
            </w:r>
          </w:p>
        </w:tc>
        <w:tc>
          <w:tcPr>
            <w:tcW w:w="1584" w:type="dxa"/>
            <w:vAlign w:val="center"/>
          </w:tcPr>
          <w:p w14:paraId="4969E3E6"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17 (50,0)</w:t>
            </w:r>
          </w:p>
        </w:tc>
        <w:tc>
          <w:tcPr>
            <w:tcW w:w="1566" w:type="dxa"/>
            <w:vAlign w:val="center"/>
          </w:tcPr>
          <w:p w14:paraId="7E58C039"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9 (28,1)</w:t>
            </w:r>
          </w:p>
        </w:tc>
        <w:tc>
          <w:tcPr>
            <w:tcW w:w="1405" w:type="dxa"/>
            <w:vMerge/>
            <w:vAlign w:val="center"/>
          </w:tcPr>
          <w:p w14:paraId="2DD34A76" w14:textId="77777777" w:rsidR="008119E1" w:rsidRPr="00DA07E4" w:rsidRDefault="008119E1" w:rsidP="006B1858">
            <w:pPr>
              <w:spacing w:line="360" w:lineRule="auto"/>
              <w:jc w:val="center"/>
              <w:rPr>
                <w:rFonts w:ascii="Times New Roman" w:hAnsi="Times New Roman" w:cs="Times New Roman"/>
                <w:sz w:val="24"/>
                <w:szCs w:val="24"/>
              </w:rPr>
            </w:pPr>
          </w:p>
        </w:tc>
        <w:tc>
          <w:tcPr>
            <w:tcW w:w="1552" w:type="dxa"/>
            <w:vMerge/>
            <w:vAlign w:val="center"/>
          </w:tcPr>
          <w:p w14:paraId="10924086" w14:textId="77777777" w:rsidR="008119E1" w:rsidRPr="00DA07E4" w:rsidRDefault="008119E1" w:rsidP="006B1858">
            <w:pPr>
              <w:spacing w:line="360" w:lineRule="auto"/>
              <w:jc w:val="center"/>
              <w:rPr>
                <w:rFonts w:ascii="Times New Roman" w:hAnsi="Times New Roman" w:cs="Times New Roman"/>
                <w:sz w:val="24"/>
                <w:szCs w:val="24"/>
              </w:rPr>
            </w:pPr>
          </w:p>
        </w:tc>
      </w:tr>
      <w:tr w:rsidR="008119E1" w:rsidRPr="00DA07E4" w14:paraId="4F496AFB" w14:textId="55C21F9B" w:rsidTr="008119E1">
        <w:trPr>
          <w:trHeight w:val="838"/>
          <w:jc w:val="center"/>
        </w:trPr>
        <w:tc>
          <w:tcPr>
            <w:tcW w:w="2386" w:type="dxa"/>
            <w:shd w:val="clear" w:color="auto" w:fill="D9D9D9" w:themeFill="background1" w:themeFillShade="D9"/>
            <w:vAlign w:val="center"/>
          </w:tcPr>
          <w:p w14:paraId="51E5617D" w14:textId="77777777" w:rsidR="008119E1"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 xml:space="preserve">konkrement </w:t>
            </w:r>
          </w:p>
          <w:p w14:paraId="2A3BC758" w14:textId="50406812"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priemer (mm)</w:t>
            </w:r>
          </w:p>
        </w:tc>
        <w:tc>
          <w:tcPr>
            <w:tcW w:w="1584" w:type="dxa"/>
            <w:vAlign w:val="center"/>
          </w:tcPr>
          <w:p w14:paraId="7F7688B5" w14:textId="77777777" w:rsidR="008119E1"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 xml:space="preserve">9,0 </w:t>
            </w:r>
          </w:p>
          <w:p w14:paraId="525B42D3" w14:textId="244829C1"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(7,0 – 14,0)</w:t>
            </w:r>
          </w:p>
        </w:tc>
        <w:tc>
          <w:tcPr>
            <w:tcW w:w="1566" w:type="dxa"/>
            <w:vAlign w:val="center"/>
          </w:tcPr>
          <w:p w14:paraId="40A409B3" w14:textId="77777777" w:rsidR="008119E1"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 xml:space="preserve">9,0 </w:t>
            </w:r>
          </w:p>
          <w:p w14:paraId="121F79EA" w14:textId="7CF0E592"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(8,0 – 10,0)</w:t>
            </w:r>
          </w:p>
        </w:tc>
        <w:tc>
          <w:tcPr>
            <w:tcW w:w="1405" w:type="dxa"/>
            <w:vAlign w:val="center"/>
          </w:tcPr>
          <w:p w14:paraId="5C94B0A4"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0,412</w:t>
            </w:r>
          </w:p>
        </w:tc>
        <w:tc>
          <w:tcPr>
            <w:tcW w:w="1552" w:type="dxa"/>
            <w:vAlign w:val="center"/>
          </w:tcPr>
          <w:p w14:paraId="13436FBA" w14:textId="237B827B" w:rsidR="008119E1" w:rsidRPr="00DA07E4" w:rsidRDefault="008119E1"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0,022</w:t>
            </w:r>
          </w:p>
        </w:tc>
      </w:tr>
      <w:tr w:rsidR="008119E1" w:rsidRPr="00DA07E4" w14:paraId="5B991016" w14:textId="1D21F40F" w:rsidTr="008119E1">
        <w:trPr>
          <w:trHeight w:val="838"/>
          <w:jc w:val="center"/>
        </w:trPr>
        <w:tc>
          <w:tcPr>
            <w:tcW w:w="2386" w:type="dxa"/>
            <w:shd w:val="clear" w:color="auto" w:fill="D9D9D9" w:themeFill="background1" w:themeFillShade="D9"/>
            <w:vAlign w:val="center"/>
          </w:tcPr>
          <w:p w14:paraId="4E99EC22" w14:textId="77777777"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 xml:space="preserve">stent pred intervenciou </w:t>
            </w:r>
          </w:p>
          <w:p w14:paraId="0204C31A" w14:textId="77777777"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N (%)</w:t>
            </w:r>
          </w:p>
        </w:tc>
        <w:tc>
          <w:tcPr>
            <w:tcW w:w="1584" w:type="dxa"/>
            <w:vAlign w:val="center"/>
          </w:tcPr>
          <w:p w14:paraId="0BBD5B65"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25 (73,5)</w:t>
            </w:r>
          </w:p>
        </w:tc>
        <w:tc>
          <w:tcPr>
            <w:tcW w:w="1566" w:type="dxa"/>
            <w:vAlign w:val="center"/>
          </w:tcPr>
          <w:p w14:paraId="7A67E5D7"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15 (46,9)</w:t>
            </w:r>
          </w:p>
        </w:tc>
        <w:tc>
          <w:tcPr>
            <w:tcW w:w="1405" w:type="dxa"/>
            <w:vAlign w:val="center"/>
          </w:tcPr>
          <w:p w14:paraId="7EE96A1E" w14:textId="77777777" w:rsidR="008119E1" w:rsidRPr="00DA07E4" w:rsidRDefault="008119E1" w:rsidP="006B1858">
            <w:pPr>
              <w:spacing w:line="360" w:lineRule="auto"/>
              <w:jc w:val="center"/>
              <w:rPr>
                <w:rFonts w:ascii="Times New Roman" w:hAnsi="Times New Roman" w:cs="Times New Roman"/>
                <w:sz w:val="24"/>
                <w:szCs w:val="24"/>
                <w:vertAlign w:val="superscript"/>
              </w:rPr>
            </w:pPr>
            <w:r w:rsidRPr="00DA07E4">
              <w:rPr>
                <w:rFonts w:ascii="Times New Roman" w:hAnsi="Times New Roman" w:cs="Times New Roman"/>
                <w:sz w:val="24"/>
                <w:szCs w:val="24"/>
              </w:rPr>
              <w:t>0,043*</w:t>
            </w:r>
          </w:p>
        </w:tc>
        <w:tc>
          <w:tcPr>
            <w:tcW w:w="1552" w:type="dxa"/>
            <w:vAlign w:val="center"/>
          </w:tcPr>
          <w:p w14:paraId="3A9CB3D9" w14:textId="5E874DBE" w:rsidR="008119E1" w:rsidRPr="00DA07E4" w:rsidRDefault="008119E1"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0,074</w:t>
            </w:r>
          </w:p>
        </w:tc>
      </w:tr>
      <w:tr w:rsidR="008119E1" w:rsidRPr="00DA07E4" w14:paraId="29C7A596" w14:textId="28AC61DA" w:rsidTr="008119E1">
        <w:trPr>
          <w:trHeight w:val="838"/>
          <w:jc w:val="center"/>
        </w:trPr>
        <w:tc>
          <w:tcPr>
            <w:tcW w:w="2386" w:type="dxa"/>
            <w:shd w:val="clear" w:color="auto" w:fill="D9D9D9" w:themeFill="background1" w:themeFillShade="D9"/>
            <w:vAlign w:val="center"/>
          </w:tcPr>
          <w:p w14:paraId="1A0AFA54" w14:textId="77777777"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stent po intervencii</w:t>
            </w:r>
          </w:p>
          <w:p w14:paraId="3232364B" w14:textId="77777777" w:rsidR="008119E1" w:rsidRPr="00DA07E4" w:rsidRDefault="008119E1" w:rsidP="006B1858">
            <w:pPr>
              <w:spacing w:line="360" w:lineRule="auto"/>
              <w:rPr>
                <w:rFonts w:ascii="Times New Roman" w:hAnsi="Times New Roman" w:cs="Times New Roman"/>
                <w:b/>
                <w:sz w:val="24"/>
                <w:szCs w:val="24"/>
              </w:rPr>
            </w:pPr>
            <w:r w:rsidRPr="00DA07E4">
              <w:rPr>
                <w:rFonts w:ascii="Times New Roman" w:hAnsi="Times New Roman" w:cs="Times New Roman"/>
                <w:b/>
                <w:sz w:val="24"/>
                <w:szCs w:val="24"/>
              </w:rPr>
              <w:t xml:space="preserve"> N (%)</w:t>
            </w:r>
          </w:p>
        </w:tc>
        <w:tc>
          <w:tcPr>
            <w:tcW w:w="1584" w:type="dxa"/>
            <w:vAlign w:val="center"/>
          </w:tcPr>
          <w:p w14:paraId="4B59A38D"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23 (67,6)</w:t>
            </w:r>
          </w:p>
        </w:tc>
        <w:tc>
          <w:tcPr>
            <w:tcW w:w="1566" w:type="dxa"/>
            <w:vAlign w:val="center"/>
          </w:tcPr>
          <w:p w14:paraId="48E43CED" w14:textId="77777777" w:rsidR="008119E1" w:rsidRPr="00DA07E4" w:rsidRDefault="008119E1"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16 (50,0)</w:t>
            </w:r>
          </w:p>
        </w:tc>
        <w:tc>
          <w:tcPr>
            <w:tcW w:w="1405" w:type="dxa"/>
            <w:vAlign w:val="center"/>
          </w:tcPr>
          <w:p w14:paraId="77022EBB" w14:textId="77777777" w:rsidR="008119E1" w:rsidRPr="00DA07E4" w:rsidRDefault="008119E1" w:rsidP="006B1858">
            <w:pPr>
              <w:spacing w:line="360" w:lineRule="auto"/>
              <w:jc w:val="center"/>
              <w:rPr>
                <w:rFonts w:ascii="Times New Roman" w:hAnsi="Times New Roman" w:cs="Times New Roman"/>
                <w:sz w:val="24"/>
                <w:szCs w:val="24"/>
                <w:vertAlign w:val="superscript"/>
              </w:rPr>
            </w:pPr>
            <w:r w:rsidRPr="00DA07E4">
              <w:rPr>
                <w:rFonts w:ascii="Times New Roman" w:hAnsi="Times New Roman" w:cs="Times New Roman"/>
                <w:sz w:val="24"/>
                <w:szCs w:val="24"/>
              </w:rPr>
              <w:t>0,211*</w:t>
            </w:r>
          </w:p>
        </w:tc>
        <w:tc>
          <w:tcPr>
            <w:tcW w:w="1552" w:type="dxa"/>
            <w:vAlign w:val="center"/>
          </w:tcPr>
          <w:p w14:paraId="7832AFC0" w14:textId="38EBD8D9" w:rsidR="008119E1" w:rsidRPr="00DA07E4" w:rsidRDefault="008119E1"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r>
    </w:tbl>
    <w:p w14:paraId="7DE55A01" w14:textId="0E9F932A" w:rsidR="006B1858" w:rsidRPr="00DA07E4" w:rsidRDefault="006B1858" w:rsidP="006B1858">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sidRPr="00DA07E4">
        <w:rPr>
          <w:rFonts w:ascii="Times New Roman" w:hAnsi="Times New Roman" w:cs="Times New Roman"/>
          <w:sz w:val="24"/>
          <w:szCs w:val="24"/>
        </w:rPr>
        <w:t>Fisherov chí kvadrátový test</w:t>
      </w:r>
      <w:r>
        <w:rPr>
          <w:rFonts w:ascii="Times New Roman" w:hAnsi="Times New Roman" w:cs="Times New Roman"/>
          <w:sz w:val="24"/>
          <w:szCs w:val="24"/>
        </w:rPr>
        <w:tab/>
      </w:r>
      <w:r w:rsidR="008119E1">
        <w:rPr>
          <w:rFonts w:ascii="Times New Roman" w:hAnsi="Times New Roman" w:cs="Times New Roman"/>
          <w:sz w:val="24"/>
          <w:szCs w:val="24"/>
        </w:rPr>
        <w:tab/>
      </w:r>
      <w:r w:rsidR="008119E1">
        <w:rPr>
          <w:rFonts w:ascii="Times New Roman" w:hAnsi="Times New Roman" w:cs="Times New Roman"/>
          <w:sz w:val="24"/>
          <w:szCs w:val="24"/>
        </w:rPr>
        <w:tab/>
      </w:r>
      <w:r>
        <w:rPr>
          <w:rFonts w:ascii="Times New Roman" w:hAnsi="Times New Roman" w:cs="Times New Roman"/>
          <w:sz w:val="24"/>
          <w:szCs w:val="24"/>
        </w:rPr>
        <w:t>IR – 25. až 75. percentil</w:t>
      </w:r>
    </w:p>
    <w:p w14:paraId="62BAC72E" w14:textId="38C05D21" w:rsidR="006B1858" w:rsidRPr="00B5536E" w:rsidRDefault="008119E1" w:rsidP="006B1858">
      <w:pPr>
        <w:spacing w:after="0" w:line="360" w:lineRule="auto"/>
        <w:jc w:val="both"/>
        <w:rPr>
          <w:rFonts w:ascii="Times New Roman" w:hAnsi="Times New Roman" w:cs="Times New Roman"/>
          <w:sz w:val="20"/>
        </w:rPr>
      </w:pPr>
      <w:r w:rsidRPr="00B5536E">
        <w:rPr>
          <w:rFonts w:ascii="Times New Roman" w:hAnsi="Times New Roman" w:cs="Times New Roman"/>
          <w:sz w:val="20"/>
          <w:vertAlign w:val="superscript"/>
        </w:rPr>
        <w:t>a </w:t>
      </w:r>
      <w:r w:rsidR="008B0BB4">
        <w:rPr>
          <w:rFonts w:ascii="Times New Roman" w:hAnsi="Times New Roman" w:cs="Times New Roman"/>
          <w:sz w:val="20"/>
        </w:rPr>
        <w:t>parameter</w:t>
      </w:r>
      <w:r w:rsidRPr="00B5536E">
        <w:rPr>
          <w:rFonts w:ascii="Times New Roman" w:hAnsi="Times New Roman" w:cs="Times New Roman"/>
          <w:sz w:val="20"/>
        </w:rPr>
        <w:t xml:space="preserve"> „effect size“ bol vypočítaný na základe indexu h</w:t>
      </w:r>
      <w:r w:rsidRPr="00B5536E">
        <w:rPr>
          <w:rFonts w:ascii="Times New Roman" w:hAnsi="Times New Roman" w:cs="Times New Roman"/>
          <w:sz w:val="20"/>
          <w:vertAlign w:val="superscript"/>
        </w:rPr>
        <w:t>2</w:t>
      </w:r>
      <w:r w:rsidRPr="00B5536E">
        <w:rPr>
          <w:rFonts w:ascii="Times New Roman" w:hAnsi="Times New Roman" w:cs="Times New Roman"/>
          <w:sz w:val="20"/>
        </w:rPr>
        <w:t>. Podľa Cohena malé, stredné a veľké „effect size“ (h</w:t>
      </w:r>
      <w:r w:rsidRPr="009E7FA9">
        <w:rPr>
          <w:rFonts w:ascii="Times New Roman" w:hAnsi="Times New Roman" w:cs="Times New Roman"/>
          <w:sz w:val="20"/>
          <w:vertAlign w:val="superscript"/>
        </w:rPr>
        <w:t>2</w:t>
      </w:r>
      <w:r w:rsidRPr="00B5536E">
        <w:rPr>
          <w:rFonts w:ascii="Times New Roman" w:hAnsi="Times New Roman" w:cs="Times New Roman"/>
          <w:sz w:val="20"/>
        </w:rPr>
        <w:t>) sú klasifikované: 0,00 až 0,003 bez účinku; 0,010 až 0,039 malý; 0,060 až 0,110 stredný; 0,140 až 0,200 veľký účinok</w:t>
      </w:r>
    </w:p>
    <w:p w14:paraId="5DEEE713" w14:textId="77777777" w:rsidR="00B5536E" w:rsidRDefault="00B5536E" w:rsidP="006B1858">
      <w:pPr>
        <w:spacing w:after="0" w:line="360" w:lineRule="auto"/>
        <w:jc w:val="both"/>
        <w:rPr>
          <w:rFonts w:ascii="Times New Roman" w:hAnsi="Times New Roman" w:cs="Times New Roman"/>
          <w:b/>
          <w:sz w:val="24"/>
          <w:szCs w:val="24"/>
        </w:rPr>
      </w:pPr>
    </w:p>
    <w:p w14:paraId="3278226D" w14:textId="77777777" w:rsidR="006B1858" w:rsidRPr="00DA07E4" w:rsidRDefault="006B1858" w:rsidP="006B1858">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Porovnanie skupín po intervencii</w:t>
      </w:r>
    </w:p>
    <w:p w14:paraId="79A57947" w14:textId="77777777" w:rsidR="006B1858" w:rsidRPr="00DA07E4"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V skupine ESWL 59</w:t>
      </w:r>
      <w:r>
        <w:rPr>
          <w:rFonts w:ascii="Times New Roman" w:hAnsi="Times New Roman" w:cs="Times New Roman"/>
          <w:sz w:val="24"/>
          <w:szCs w:val="24"/>
        </w:rPr>
        <w:t>,</w:t>
      </w:r>
      <w:r w:rsidRPr="00DA07E4">
        <w:rPr>
          <w:rFonts w:ascii="Times New Roman" w:hAnsi="Times New Roman" w:cs="Times New Roman"/>
          <w:sz w:val="24"/>
          <w:szCs w:val="24"/>
        </w:rPr>
        <w:t xml:space="preserve">4 % pacientov dosiahlo stav SFR už po prvom zákroku. Necelá tretina pacientov </w:t>
      </w:r>
      <w:r>
        <w:rPr>
          <w:rFonts w:ascii="Times New Roman" w:hAnsi="Times New Roman" w:cs="Times New Roman"/>
          <w:sz w:val="24"/>
          <w:szCs w:val="24"/>
        </w:rPr>
        <w:t>(</w:t>
      </w:r>
      <w:r w:rsidRPr="00DA07E4">
        <w:rPr>
          <w:rFonts w:ascii="Times New Roman" w:hAnsi="Times New Roman" w:cs="Times New Roman"/>
          <w:sz w:val="24"/>
          <w:szCs w:val="24"/>
        </w:rPr>
        <w:t>31</w:t>
      </w:r>
      <w:r>
        <w:rPr>
          <w:rFonts w:ascii="Times New Roman" w:hAnsi="Times New Roman" w:cs="Times New Roman"/>
          <w:sz w:val="24"/>
          <w:szCs w:val="24"/>
        </w:rPr>
        <w:t>,</w:t>
      </w:r>
      <w:r w:rsidRPr="00DA07E4">
        <w:rPr>
          <w:rFonts w:ascii="Times New Roman" w:hAnsi="Times New Roman" w:cs="Times New Roman"/>
          <w:sz w:val="24"/>
          <w:szCs w:val="24"/>
        </w:rPr>
        <w:t>3 %</w:t>
      </w:r>
      <w:r>
        <w:rPr>
          <w:rFonts w:ascii="Times New Roman" w:hAnsi="Times New Roman" w:cs="Times New Roman"/>
          <w:sz w:val="24"/>
          <w:szCs w:val="24"/>
        </w:rPr>
        <w:t>)</w:t>
      </w:r>
      <w:r w:rsidRPr="00DA07E4">
        <w:rPr>
          <w:rFonts w:ascii="Times New Roman" w:hAnsi="Times New Roman" w:cs="Times New Roman"/>
          <w:sz w:val="24"/>
          <w:szCs w:val="24"/>
        </w:rPr>
        <w:t xml:space="preserve"> potrebovala na dosiahnutie SFR </w:t>
      </w:r>
      <w:r>
        <w:rPr>
          <w:rFonts w:ascii="Times New Roman" w:hAnsi="Times New Roman" w:cs="Times New Roman"/>
          <w:sz w:val="24"/>
          <w:szCs w:val="24"/>
        </w:rPr>
        <w:t>dva</w:t>
      </w:r>
      <w:r w:rsidRPr="00DA07E4">
        <w:rPr>
          <w:rFonts w:ascii="Times New Roman" w:hAnsi="Times New Roman" w:cs="Times New Roman"/>
          <w:sz w:val="24"/>
          <w:szCs w:val="24"/>
        </w:rPr>
        <w:t xml:space="preserve"> zákroky ESWL. Zvyšok pacientov </w:t>
      </w:r>
      <w:r>
        <w:rPr>
          <w:rFonts w:ascii="Times New Roman" w:hAnsi="Times New Roman" w:cs="Times New Roman"/>
          <w:sz w:val="24"/>
          <w:szCs w:val="24"/>
        </w:rPr>
        <w:t>(</w:t>
      </w:r>
      <w:r w:rsidRPr="00DA07E4">
        <w:rPr>
          <w:rFonts w:ascii="Times New Roman" w:hAnsi="Times New Roman" w:cs="Times New Roman"/>
          <w:sz w:val="24"/>
          <w:szCs w:val="24"/>
        </w:rPr>
        <w:t>9</w:t>
      </w:r>
      <w:r>
        <w:rPr>
          <w:rFonts w:ascii="Times New Roman" w:hAnsi="Times New Roman" w:cs="Times New Roman"/>
          <w:sz w:val="24"/>
          <w:szCs w:val="24"/>
        </w:rPr>
        <w:t>,</w:t>
      </w:r>
      <w:r w:rsidRPr="00DA07E4">
        <w:rPr>
          <w:rFonts w:ascii="Times New Roman" w:hAnsi="Times New Roman" w:cs="Times New Roman"/>
          <w:sz w:val="24"/>
          <w:szCs w:val="24"/>
        </w:rPr>
        <w:t>4 %</w:t>
      </w:r>
      <w:r>
        <w:rPr>
          <w:rFonts w:ascii="Times New Roman" w:hAnsi="Times New Roman" w:cs="Times New Roman"/>
          <w:sz w:val="24"/>
          <w:szCs w:val="24"/>
        </w:rPr>
        <w:t>)</w:t>
      </w:r>
      <w:r w:rsidRPr="00DA07E4">
        <w:rPr>
          <w:rFonts w:ascii="Times New Roman" w:hAnsi="Times New Roman" w:cs="Times New Roman"/>
          <w:sz w:val="24"/>
          <w:szCs w:val="24"/>
        </w:rPr>
        <w:t xml:space="preserve"> potreboval tri a viac zákrokov ESWL na dosiahnutie SFR s úlomkami veľkosti menej ako 1 mm. V skupine RIRS 20</w:t>
      </w:r>
      <w:r>
        <w:rPr>
          <w:rFonts w:ascii="Times New Roman" w:hAnsi="Times New Roman" w:cs="Times New Roman"/>
          <w:sz w:val="24"/>
          <w:szCs w:val="24"/>
        </w:rPr>
        <w:t>,</w:t>
      </w:r>
      <w:r w:rsidRPr="00DA07E4">
        <w:rPr>
          <w:rFonts w:ascii="Times New Roman" w:hAnsi="Times New Roman" w:cs="Times New Roman"/>
          <w:sz w:val="24"/>
          <w:szCs w:val="24"/>
        </w:rPr>
        <w:t xml:space="preserve">6 % pacientov potrebovalo </w:t>
      </w:r>
      <w:r>
        <w:rPr>
          <w:rFonts w:ascii="Times New Roman" w:hAnsi="Times New Roman" w:cs="Times New Roman"/>
          <w:sz w:val="24"/>
          <w:szCs w:val="24"/>
        </w:rPr>
        <w:t>dva</w:t>
      </w:r>
      <w:r w:rsidRPr="00DA07E4">
        <w:rPr>
          <w:rFonts w:ascii="Times New Roman" w:hAnsi="Times New Roman" w:cs="Times New Roman"/>
          <w:sz w:val="24"/>
          <w:szCs w:val="24"/>
        </w:rPr>
        <w:t xml:space="preserve"> zákroky na </w:t>
      </w:r>
      <w:r w:rsidRPr="00DA07E4">
        <w:rPr>
          <w:rFonts w:ascii="Times New Roman" w:hAnsi="Times New Roman" w:cs="Times New Roman"/>
          <w:sz w:val="24"/>
          <w:szCs w:val="24"/>
        </w:rPr>
        <w:lastRenderedPageBreak/>
        <w:t>dosiahnutie požadovaného stavu SFR. Zvyšok pacientov (79</w:t>
      </w:r>
      <w:r>
        <w:rPr>
          <w:rFonts w:ascii="Times New Roman" w:hAnsi="Times New Roman" w:cs="Times New Roman"/>
          <w:sz w:val="24"/>
          <w:szCs w:val="24"/>
        </w:rPr>
        <w:t>,</w:t>
      </w:r>
      <w:r w:rsidRPr="00DA07E4">
        <w:rPr>
          <w:rFonts w:ascii="Times New Roman" w:hAnsi="Times New Roman" w:cs="Times New Roman"/>
          <w:sz w:val="24"/>
          <w:szCs w:val="24"/>
        </w:rPr>
        <w:t xml:space="preserve">4%) absolvoval iba jeden operačný zákrok RIRS s dosiahnutím SFR. Medzi skupinami nebol štatisticky signifikantný rozdiel, čo sa týka počtu zákrokov </w:t>
      </w:r>
      <w:r>
        <w:rPr>
          <w:rFonts w:ascii="Times New Roman" w:hAnsi="Times New Roman" w:cs="Times New Roman"/>
          <w:sz w:val="24"/>
          <w:szCs w:val="24"/>
        </w:rPr>
        <w:t>pottrebných</w:t>
      </w:r>
      <w:r w:rsidRPr="00DA07E4">
        <w:rPr>
          <w:rFonts w:ascii="Times New Roman" w:hAnsi="Times New Roman" w:cs="Times New Roman"/>
          <w:sz w:val="24"/>
          <w:szCs w:val="24"/>
        </w:rPr>
        <w:t xml:space="preserve"> na dosiahnutie SFR.</w:t>
      </w:r>
    </w:p>
    <w:p w14:paraId="5C2A96AC" w14:textId="77777777" w:rsidR="006B1858"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V skupine ESWL 50</w:t>
      </w:r>
      <w:r>
        <w:rPr>
          <w:rFonts w:ascii="Times New Roman" w:hAnsi="Times New Roman" w:cs="Times New Roman"/>
          <w:sz w:val="24"/>
          <w:szCs w:val="24"/>
        </w:rPr>
        <w:t>,0</w:t>
      </w:r>
      <w:r w:rsidRPr="00DA07E4">
        <w:rPr>
          <w:rFonts w:ascii="Times New Roman" w:hAnsi="Times New Roman" w:cs="Times New Roman"/>
          <w:sz w:val="24"/>
          <w:szCs w:val="24"/>
        </w:rPr>
        <w:t xml:space="preserve"> % pacientov ukončilo hospitalizáciu s ponechaným intrarenálnym stentom. V skupine RIRS 67</w:t>
      </w:r>
      <w:r>
        <w:rPr>
          <w:rFonts w:ascii="Times New Roman" w:hAnsi="Times New Roman" w:cs="Times New Roman"/>
          <w:sz w:val="24"/>
          <w:szCs w:val="24"/>
        </w:rPr>
        <w:t>,</w:t>
      </w:r>
      <w:r w:rsidRPr="00DA07E4">
        <w:rPr>
          <w:rFonts w:ascii="Times New Roman" w:hAnsi="Times New Roman" w:cs="Times New Roman"/>
          <w:sz w:val="24"/>
          <w:szCs w:val="24"/>
        </w:rPr>
        <w:t>6 % pacientov bolo demitovaných s ponechaným intrarenálnym stentom. Medzi skupinami nebol v tomto prípade štatisticky signifikantný rozdiel.</w:t>
      </w:r>
    </w:p>
    <w:p w14:paraId="68E32451" w14:textId="77777777" w:rsidR="006B1858" w:rsidRPr="00F72835"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 </w:t>
      </w:r>
      <w:r>
        <w:rPr>
          <w:rFonts w:ascii="Times New Roman" w:hAnsi="Times New Roman" w:cs="Times New Roman"/>
          <w:sz w:val="24"/>
          <w:szCs w:val="24"/>
        </w:rPr>
        <w:t>V</w:t>
      </w:r>
      <w:r w:rsidRPr="00DA07E4">
        <w:rPr>
          <w:rFonts w:ascii="Times New Roman" w:hAnsi="Times New Roman" w:cs="Times New Roman"/>
          <w:sz w:val="24"/>
          <w:szCs w:val="24"/>
        </w:rPr>
        <w:t xml:space="preserve"> skupine RIRS neboli zaznamenané žiadne</w:t>
      </w:r>
      <w:r>
        <w:rPr>
          <w:rFonts w:ascii="Times New Roman" w:hAnsi="Times New Roman" w:cs="Times New Roman"/>
          <w:sz w:val="24"/>
          <w:szCs w:val="24"/>
        </w:rPr>
        <w:t xml:space="preserve"> pooperačné komplikácie</w:t>
      </w:r>
      <w:r w:rsidRPr="00DA07E4">
        <w:rPr>
          <w:rFonts w:ascii="Times New Roman" w:hAnsi="Times New Roman" w:cs="Times New Roman"/>
          <w:sz w:val="24"/>
          <w:szCs w:val="24"/>
        </w:rPr>
        <w:t xml:space="preserve">. V skupine ESWL jeden </w:t>
      </w:r>
      <w:r w:rsidRPr="00F72835">
        <w:rPr>
          <w:rFonts w:ascii="Times New Roman" w:hAnsi="Times New Roman" w:cs="Times New Roman"/>
          <w:sz w:val="24"/>
          <w:szCs w:val="24"/>
        </w:rPr>
        <w:t xml:space="preserve">pacient </w:t>
      </w:r>
      <w:r>
        <w:rPr>
          <w:rFonts w:ascii="Times New Roman" w:hAnsi="Times New Roman" w:cs="Times New Roman"/>
          <w:sz w:val="24"/>
          <w:szCs w:val="24"/>
        </w:rPr>
        <w:t>mal</w:t>
      </w:r>
      <w:r w:rsidRPr="00F72835">
        <w:rPr>
          <w:rFonts w:ascii="Times New Roman" w:hAnsi="Times New Roman" w:cs="Times New Roman"/>
          <w:sz w:val="24"/>
          <w:szCs w:val="24"/>
        </w:rPr>
        <w:t xml:space="preserve"> pooperačný hematóm obličky, ktorý bol riešený konzervatívne. Jeden pacient po ESWL bol liečený pre nozokomiálnu neobštrukčnú pyelonefritídu (tabuľka č. 9).</w:t>
      </w:r>
    </w:p>
    <w:p w14:paraId="6CF51D7A" w14:textId="77777777" w:rsidR="006B1858" w:rsidRPr="00F72835" w:rsidRDefault="006B1858" w:rsidP="006B1858">
      <w:pPr>
        <w:spacing w:after="0" w:line="360" w:lineRule="auto"/>
        <w:ind w:firstLine="708"/>
        <w:jc w:val="both"/>
        <w:rPr>
          <w:rFonts w:ascii="Times New Roman" w:hAnsi="Times New Roman" w:cs="Times New Roman"/>
          <w:sz w:val="24"/>
          <w:szCs w:val="24"/>
        </w:rPr>
      </w:pPr>
    </w:p>
    <w:p w14:paraId="1278BA4C" w14:textId="77777777" w:rsidR="006B1858" w:rsidRPr="00DA07E4" w:rsidRDefault="006B1858" w:rsidP="006B1858">
      <w:pPr>
        <w:spacing w:after="0" w:line="360" w:lineRule="auto"/>
        <w:jc w:val="both"/>
        <w:rPr>
          <w:rFonts w:ascii="Times New Roman" w:hAnsi="Times New Roman" w:cs="Times New Roman"/>
          <w:sz w:val="24"/>
          <w:szCs w:val="24"/>
        </w:rPr>
      </w:pPr>
      <w:bookmarkStart w:id="26" w:name="_Hlk68636679"/>
      <w:r w:rsidRPr="00F72835">
        <w:rPr>
          <w:rFonts w:ascii="Times New Roman" w:hAnsi="Times New Roman" w:cs="Times New Roman"/>
          <w:b/>
          <w:sz w:val="24"/>
          <w:szCs w:val="24"/>
        </w:rPr>
        <w:t>Tabuľka 9</w:t>
      </w:r>
      <w:r w:rsidRPr="00F72835">
        <w:rPr>
          <w:rFonts w:ascii="Times New Roman" w:hAnsi="Times New Roman" w:cs="Times New Roman"/>
          <w:sz w:val="24"/>
          <w:szCs w:val="24"/>
        </w:rPr>
        <w:t xml:space="preserve"> Porovnanie skupín</w:t>
      </w:r>
      <w:r w:rsidRPr="00DA07E4">
        <w:rPr>
          <w:rFonts w:ascii="Times New Roman" w:hAnsi="Times New Roman" w:cs="Times New Roman"/>
          <w:sz w:val="24"/>
          <w:szCs w:val="24"/>
        </w:rPr>
        <w:t xml:space="preserve"> po intervencii</w:t>
      </w:r>
    </w:p>
    <w:bookmarkEnd w:id="26"/>
    <w:tbl>
      <w:tblPr>
        <w:tblStyle w:val="Mkatabulky"/>
        <w:tblW w:w="8493" w:type="dxa"/>
        <w:tblLook w:val="04A0" w:firstRow="1" w:lastRow="0" w:firstColumn="1" w:lastColumn="0" w:noHBand="0" w:noVBand="1"/>
      </w:tblPr>
      <w:tblGrid>
        <w:gridCol w:w="1509"/>
        <w:gridCol w:w="1652"/>
        <w:gridCol w:w="1766"/>
        <w:gridCol w:w="1799"/>
        <w:gridCol w:w="1757"/>
        <w:gridCol w:w="10"/>
      </w:tblGrid>
      <w:tr w:rsidR="00B5536E" w:rsidRPr="00DA07E4" w14:paraId="672DCBA2" w14:textId="40FC00BA" w:rsidTr="00B5536E">
        <w:trPr>
          <w:gridAfter w:val="1"/>
          <w:wAfter w:w="10" w:type="dxa"/>
          <w:trHeight w:val="830"/>
        </w:trPr>
        <w:tc>
          <w:tcPr>
            <w:tcW w:w="1509" w:type="dxa"/>
            <w:shd w:val="clear" w:color="auto" w:fill="D9D9D9" w:themeFill="background1" w:themeFillShade="D9"/>
            <w:vAlign w:val="center"/>
          </w:tcPr>
          <w:p w14:paraId="3C8FBB85" w14:textId="77777777" w:rsidR="00B5536E" w:rsidRPr="00DA07E4" w:rsidRDefault="00B5536E" w:rsidP="006B1858">
            <w:pPr>
              <w:spacing w:line="360" w:lineRule="auto"/>
              <w:jc w:val="both"/>
              <w:rPr>
                <w:rFonts w:ascii="Times New Roman" w:hAnsi="Times New Roman" w:cs="Times New Roman"/>
                <w:b/>
                <w:sz w:val="24"/>
                <w:szCs w:val="24"/>
              </w:rPr>
            </w:pPr>
          </w:p>
        </w:tc>
        <w:tc>
          <w:tcPr>
            <w:tcW w:w="1652" w:type="dxa"/>
            <w:shd w:val="clear" w:color="auto" w:fill="D9D9D9" w:themeFill="background1" w:themeFillShade="D9"/>
            <w:vAlign w:val="center"/>
          </w:tcPr>
          <w:p w14:paraId="7119A2D9"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7F894E3F"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N (%)</w:t>
            </w:r>
          </w:p>
        </w:tc>
        <w:tc>
          <w:tcPr>
            <w:tcW w:w="1766" w:type="dxa"/>
            <w:shd w:val="clear" w:color="auto" w:fill="D9D9D9" w:themeFill="background1" w:themeFillShade="D9"/>
            <w:vAlign w:val="center"/>
          </w:tcPr>
          <w:p w14:paraId="518BCAFC"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7AF70860"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N (%)</w:t>
            </w:r>
          </w:p>
        </w:tc>
        <w:tc>
          <w:tcPr>
            <w:tcW w:w="1799" w:type="dxa"/>
            <w:shd w:val="clear" w:color="auto" w:fill="D9D9D9" w:themeFill="background1" w:themeFillShade="D9"/>
            <w:vAlign w:val="center"/>
          </w:tcPr>
          <w:p w14:paraId="72093B1D"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 p*</w:t>
            </w:r>
          </w:p>
        </w:tc>
        <w:tc>
          <w:tcPr>
            <w:tcW w:w="1757" w:type="dxa"/>
            <w:shd w:val="clear" w:color="auto" w:fill="D9D9D9" w:themeFill="background1" w:themeFillShade="D9"/>
          </w:tcPr>
          <w:p w14:paraId="1B80432A" w14:textId="77777777" w:rsidR="00B5536E"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1EB4B2BE" w14:textId="229D6971" w:rsidR="00B5536E" w:rsidRPr="00DA07E4"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B5536E" w:rsidRPr="00DA07E4" w14:paraId="42904B74" w14:textId="77777777" w:rsidTr="008E47DC">
        <w:trPr>
          <w:trHeight w:val="562"/>
        </w:trPr>
        <w:tc>
          <w:tcPr>
            <w:tcW w:w="8493" w:type="dxa"/>
            <w:gridSpan w:val="6"/>
            <w:shd w:val="clear" w:color="auto" w:fill="D9D9D9" w:themeFill="background1" w:themeFillShade="D9"/>
          </w:tcPr>
          <w:p w14:paraId="62E9E8AE" w14:textId="1539EE54" w:rsidR="00B5536E" w:rsidRPr="00DA07E4" w:rsidRDefault="00B5536E" w:rsidP="006B1858">
            <w:pPr>
              <w:spacing w:line="360" w:lineRule="auto"/>
              <w:jc w:val="both"/>
              <w:rPr>
                <w:rFonts w:ascii="Times New Roman" w:hAnsi="Times New Roman" w:cs="Times New Roman"/>
                <w:sz w:val="24"/>
                <w:szCs w:val="24"/>
              </w:rPr>
            </w:pPr>
            <w:r w:rsidRPr="00DA07E4">
              <w:rPr>
                <w:rFonts w:ascii="Times New Roman" w:hAnsi="Times New Roman" w:cs="Times New Roman"/>
                <w:b/>
                <w:sz w:val="24"/>
                <w:szCs w:val="24"/>
              </w:rPr>
              <w:t>počet zákrokov</w:t>
            </w:r>
          </w:p>
        </w:tc>
      </w:tr>
      <w:tr w:rsidR="00B5536E" w:rsidRPr="00DA07E4" w14:paraId="4F18C337" w14:textId="3892009B" w:rsidTr="00B5536E">
        <w:trPr>
          <w:gridAfter w:val="1"/>
          <w:wAfter w:w="10" w:type="dxa"/>
          <w:trHeight w:val="414"/>
        </w:trPr>
        <w:tc>
          <w:tcPr>
            <w:tcW w:w="1509" w:type="dxa"/>
            <w:shd w:val="clear" w:color="auto" w:fill="D9D9D9" w:themeFill="background1" w:themeFillShade="D9"/>
            <w:vAlign w:val="center"/>
          </w:tcPr>
          <w:p w14:paraId="34AB7EBA"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1</w:t>
            </w:r>
          </w:p>
        </w:tc>
        <w:tc>
          <w:tcPr>
            <w:tcW w:w="1652" w:type="dxa"/>
            <w:vAlign w:val="center"/>
          </w:tcPr>
          <w:p w14:paraId="32297A64"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27 (79,4)</w:t>
            </w:r>
          </w:p>
        </w:tc>
        <w:tc>
          <w:tcPr>
            <w:tcW w:w="1766" w:type="dxa"/>
            <w:vAlign w:val="center"/>
          </w:tcPr>
          <w:p w14:paraId="7C49197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19 (59,4)</w:t>
            </w:r>
          </w:p>
        </w:tc>
        <w:tc>
          <w:tcPr>
            <w:tcW w:w="1799" w:type="dxa"/>
            <w:vMerge w:val="restart"/>
            <w:vAlign w:val="center"/>
          </w:tcPr>
          <w:p w14:paraId="1B6364A5"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0,109</w:t>
            </w:r>
          </w:p>
        </w:tc>
        <w:tc>
          <w:tcPr>
            <w:tcW w:w="1757" w:type="dxa"/>
            <w:vMerge w:val="restart"/>
            <w:vAlign w:val="center"/>
          </w:tcPr>
          <w:p w14:paraId="542E0C94" w14:textId="27EC164C" w:rsidR="00B5536E" w:rsidRPr="00DA07E4"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0,069</w:t>
            </w:r>
          </w:p>
        </w:tc>
      </w:tr>
      <w:tr w:rsidR="00B5536E" w:rsidRPr="00DA07E4" w14:paraId="30A1DEE5" w14:textId="05A5748B" w:rsidTr="00B5536E">
        <w:trPr>
          <w:gridAfter w:val="1"/>
          <w:wAfter w:w="10" w:type="dxa"/>
          <w:trHeight w:val="414"/>
        </w:trPr>
        <w:tc>
          <w:tcPr>
            <w:tcW w:w="1509" w:type="dxa"/>
            <w:shd w:val="clear" w:color="auto" w:fill="D9D9D9" w:themeFill="background1" w:themeFillShade="D9"/>
            <w:vAlign w:val="center"/>
          </w:tcPr>
          <w:p w14:paraId="0405F471"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2</w:t>
            </w:r>
          </w:p>
        </w:tc>
        <w:tc>
          <w:tcPr>
            <w:tcW w:w="1652" w:type="dxa"/>
            <w:vAlign w:val="center"/>
          </w:tcPr>
          <w:p w14:paraId="737F5642"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7 (20,6)</w:t>
            </w:r>
          </w:p>
        </w:tc>
        <w:tc>
          <w:tcPr>
            <w:tcW w:w="1766" w:type="dxa"/>
            <w:vAlign w:val="center"/>
          </w:tcPr>
          <w:p w14:paraId="771D1F8E"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10 (31,3)</w:t>
            </w:r>
          </w:p>
        </w:tc>
        <w:tc>
          <w:tcPr>
            <w:tcW w:w="1799" w:type="dxa"/>
            <w:vMerge/>
            <w:vAlign w:val="center"/>
          </w:tcPr>
          <w:p w14:paraId="335074E9" w14:textId="77777777" w:rsidR="00B5536E" w:rsidRPr="00DA07E4" w:rsidRDefault="00B5536E" w:rsidP="006B1858">
            <w:pPr>
              <w:spacing w:line="360" w:lineRule="auto"/>
              <w:jc w:val="center"/>
              <w:rPr>
                <w:rFonts w:ascii="Times New Roman" w:hAnsi="Times New Roman" w:cs="Times New Roman"/>
                <w:sz w:val="24"/>
                <w:szCs w:val="24"/>
              </w:rPr>
            </w:pPr>
          </w:p>
        </w:tc>
        <w:tc>
          <w:tcPr>
            <w:tcW w:w="1757" w:type="dxa"/>
            <w:vMerge/>
            <w:vAlign w:val="center"/>
          </w:tcPr>
          <w:p w14:paraId="3774A5C1" w14:textId="77777777" w:rsidR="00B5536E" w:rsidRPr="00DA07E4" w:rsidRDefault="00B5536E" w:rsidP="006B1858">
            <w:pPr>
              <w:spacing w:line="360" w:lineRule="auto"/>
              <w:jc w:val="center"/>
              <w:rPr>
                <w:rFonts w:ascii="Times New Roman" w:hAnsi="Times New Roman" w:cs="Times New Roman"/>
                <w:sz w:val="24"/>
                <w:szCs w:val="24"/>
              </w:rPr>
            </w:pPr>
          </w:p>
        </w:tc>
      </w:tr>
      <w:tr w:rsidR="00B5536E" w:rsidRPr="00DA07E4" w14:paraId="1721CBC8" w14:textId="1107ABDE" w:rsidTr="00B5536E">
        <w:trPr>
          <w:gridAfter w:val="1"/>
          <w:wAfter w:w="10" w:type="dxa"/>
          <w:trHeight w:val="405"/>
        </w:trPr>
        <w:tc>
          <w:tcPr>
            <w:tcW w:w="1509" w:type="dxa"/>
            <w:shd w:val="clear" w:color="auto" w:fill="D9D9D9" w:themeFill="background1" w:themeFillShade="D9"/>
            <w:vAlign w:val="center"/>
          </w:tcPr>
          <w:p w14:paraId="4CF0BF46"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3 a viac</w:t>
            </w:r>
          </w:p>
        </w:tc>
        <w:tc>
          <w:tcPr>
            <w:tcW w:w="1652" w:type="dxa"/>
            <w:vAlign w:val="center"/>
          </w:tcPr>
          <w:p w14:paraId="4AE6B03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 (0,0)</w:t>
            </w:r>
          </w:p>
        </w:tc>
        <w:tc>
          <w:tcPr>
            <w:tcW w:w="1766" w:type="dxa"/>
            <w:vAlign w:val="center"/>
          </w:tcPr>
          <w:p w14:paraId="0F038C12"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3 (9,4)</w:t>
            </w:r>
          </w:p>
        </w:tc>
        <w:tc>
          <w:tcPr>
            <w:tcW w:w="1799" w:type="dxa"/>
            <w:vMerge/>
            <w:vAlign w:val="center"/>
          </w:tcPr>
          <w:p w14:paraId="162150B4" w14:textId="77777777" w:rsidR="00B5536E" w:rsidRPr="00DA07E4" w:rsidRDefault="00B5536E" w:rsidP="006B1858">
            <w:pPr>
              <w:spacing w:line="360" w:lineRule="auto"/>
              <w:jc w:val="center"/>
              <w:rPr>
                <w:rFonts w:ascii="Times New Roman" w:hAnsi="Times New Roman" w:cs="Times New Roman"/>
                <w:sz w:val="24"/>
                <w:szCs w:val="24"/>
              </w:rPr>
            </w:pPr>
          </w:p>
        </w:tc>
        <w:tc>
          <w:tcPr>
            <w:tcW w:w="1757" w:type="dxa"/>
            <w:vMerge/>
            <w:vAlign w:val="center"/>
          </w:tcPr>
          <w:p w14:paraId="6E591373" w14:textId="77777777" w:rsidR="00B5536E" w:rsidRPr="00DA07E4" w:rsidRDefault="00B5536E" w:rsidP="006B1858">
            <w:pPr>
              <w:spacing w:line="360" w:lineRule="auto"/>
              <w:jc w:val="center"/>
              <w:rPr>
                <w:rFonts w:ascii="Times New Roman" w:hAnsi="Times New Roman" w:cs="Times New Roman"/>
                <w:sz w:val="24"/>
                <w:szCs w:val="24"/>
              </w:rPr>
            </w:pPr>
          </w:p>
        </w:tc>
      </w:tr>
      <w:tr w:rsidR="00B5536E" w:rsidRPr="00DA07E4" w14:paraId="60200D6B" w14:textId="77777777" w:rsidTr="00B5536E">
        <w:trPr>
          <w:trHeight w:val="561"/>
        </w:trPr>
        <w:tc>
          <w:tcPr>
            <w:tcW w:w="8493" w:type="dxa"/>
            <w:gridSpan w:val="6"/>
            <w:shd w:val="clear" w:color="auto" w:fill="D9D9D9" w:themeFill="background1" w:themeFillShade="D9"/>
            <w:vAlign w:val="center"/>
          </w:tcPr>
          <w:p w14:paraId="06936897" w14:textId="6A4C1EA2" w:rsidR="00B5536E" w:rsidRPr="00DA07E4" w:rsidRDefault="00B5536E" w:rsidP="006B1858">
            <w:pPr>
              <w:spacing w:line="360" w:lineRule="auto"/>
              <w:rPr>
                <w:rFonts w:ascii="Times New Roman" w:hAnsi="Times New Roman" w:cs="Times New Roman"/>
                <w:sz w:val="24"/>
                <w:szCs w:val="24"/>
                <w:vertAlign w:val="superscript"/>
              </w:rPr>
            </w:pPr>
            <w:r w:rsidRPr="00DA07E4">
              <w:rPr>
                <w:rFonts w:ascii="Times New Roman" w:hAnsi="Times New Roman" w:cs="Times New Roman"/>
                <w:b/>
                <w:sz w:val="24"/>
                <w:szCs w:val="24"/>
              </w:rPr>
              <w:t>ponechaný stent</w:t>
            </w:r>
          </w:p>
        </w:tc>
      </w:tr>
      <w:tr w:rsidR="00B5536E" w:rsidRPr="00DA07E4" w14:paraId="7F2C9950" w14:textId="05C3352A" w:rsidTr="00B5536E">
        <w:trPr>
          <w:gridAfter w:val="1"/>
          <w:wAfter w:w="10" w:type="dxa"/>
          <w:trHeight w:val="414"/>
        </w:trPr>
        <w:tc>
          <w:tcPr>
            <w:tcW w:w="1509" w:type="dxa"/>
            <w:shd w:val="clear" w:color="auto" w:fill="D9D9D9" w:themeFill="background1" w:themeFillShade="D9"/>
            <w:vAlign w:val="center"/>
          </w:tcPr>
          <w:p w14:paraId="48AFB449"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áno</w:t>
            </w:r>
          </w:p>
        </w:tc>
        <w:tc>
          <w:tcPr>
            <w:tcW w:w="1652" w:type="dxa"/>
            <w:vAlign w:val="center"/>
          </w:tcPr>
          <w:p w14:paraId="17A43C5F"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23 (67,6)</w:t>
            </w:r>
          </w:p>
        </w:tc>
        <w:tc>
          <w:tcPr>
            <w:tcW w:w="1766" w:type="dxa"/>
            <w:vAlign w:val="center"/>
          </w:tcPr>
          <w:p w14:paraId="12ACD8E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16 (50,0)</w:t>
            </w:r>
          </w:p>
        </w:tc>
        <w:tc>
          <w:tcPr>
            <w:tcW w:w="1799" w:type="dxa"/>
            <w:vMerge w:val="restart"/>
            <w:vAlign w:val="center"/>
          </w:tcPr>
          <w:p w14:paraId="0C0A38A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0,211</w:t>
            </w:r>
          </w:p>
        </w:tc>
        <w:tc>
          <w:tcPr>
            <w:tcW w:w="1757" w:type="dxa"/>
            <w:vMerge w:val="restart"/>
            <w:vAlign w:val="center"/>
          </w:tcPr>
          <w:p w14:paraId="2CDB40A2" w14:textId="68A812A1" w:rsidR="00B5536E" w:rsidRPr="00DA07E4"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r>
      <w:tr w:rsidR="00B5536E" w:rsidRPr="00DA07E4" w14:paraId="562072C6" w14:textId="724B5F6A" w:rsidTr="00B5536E">
        <w:trPr>
          <w:gridAfter w:val="1"/>
          <w:wAfter w:w="10" w:type="dxa"/>
          <w:trHeight w:val="414"/>
        </w:trPr>
        <w:tc>
          <w:tcPr>
            <w:tcW w:w="1509" w:type="dxa"/>
            <w:shd w:val="clear" w:color="auto" w:fill="D9D9D9" w:themeFill="background1" w:themeFillShade="D9"/>
            <w:vAlign w:val="center"/>
          </w:tcPr>
          <w:p w14:paraId="6D027DCF"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nie</w:t>
            </w:r>
          </w:p>
        </w:tc>
        <w:tc>
          <w:tcPr>
            <w:tcW w:w="1652" w:type="dxa"/>
            <w:vAlign w:val="center"/>
          </w:tcPr>
          <w:p w14:paraId="13A14FD5"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11 (32,4)</w:t>
            </w:r>
          </w:p>
        </w:tc>
        <w:tc>
          <w:tcPr>
            <w:tcW w:w="1766" w:type="dxa"/>
            <w:vAlign w:val="center"/>
          </w:tcPr>
          <w:p w14:paraId="2E806BEE"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16 (50,0)</w:t>
            </w:r>
          </w:p>
        </w:tc>
        <w:tc>
          <w:tcPr>
            <w:tcW w:w="1799" w:type="dxa"/>
            <w:vMerge/>
            <w:vAlign w:val="center"/>
          </w:tcPr>
          <w:p w14:paraId="0FB9633A" w14:textId="77777777" w:rsidR="00B5536E" w:rsidRPr="00DA07E4" w:rsidRDefault="00B5536E" w:rsidP="006B1858">
            <w:pPr>
              <w:spacing w:line="360" w:lineRule="auto"/>
              <w:jc w:val="center"/>
              <w:rPr>
                <w:rFonts w:ascii="Times New Roman" w:hAnsi="Times New Roman" w:cs="Times New Roman"/>
                <w:sz w:val="24"/>
                <w:szCs w:val="24"/>
              </w:rPr>
            </w:pPr>
          </w:p>
        </w:tc>
        <w:tc>
          <w:tcPr>
            <w:tcW w:w="1757" w:type="dxa"/>
            <w:vMerge/>
            <w:vAlign w:val="center"/>
          </w:tcPr>
          <w:p w14:paraId="50985A2C" w14:textId="77777777" w:rsidR="00B5536E" w:rsidRPr="00DA07E4" w:rsidRDefault="00B5536E" w:rsidP="006B1858">
            <w:pPr>
              <w:spacing w:line="360" w:lineRule="auto"/>
              <w:jc w:val="center"/>
              <w:rPr>
                <w:rFonts w:ascii="Times New Roman" w:hAnsi="Times New Roman" w:cs="Times New Roman"/>
                <w:sz w:val="24"/>
                <w:szCs w:val="24"/>
              </w:rPr>
            </w:pPr>
          </w:p>
        </w:tc>
      </w:tr>
      <w:tr w:rsidR="00B5536E" w:rsidRPr="00DA07E4" w14:paraId="6B8B03E6" w14:textId="77777777" w:rsidTr="00B5536E">
        <w:trPr>
          <w:trHeight w:val="566"/>
        </w:trPr>
        <w:tc>
          <w:tcPr>
            <w:tcW w:w="8493" w:type="dxa"/>
            <w:gridSpan w:val="6"/>
            <w:shd w:val="clear" w:color="auto" w:fill="D9D9D9" w:themeFill="background1" w:themeFillShade="D9"/>
            <w:vAlign w:val="center"/>
          </w:tcPr>
          <w:p w14:paraId="35DFF371" w14:textId="7FC81CC7" w:rsidR="00B5536E" w:rsidRPr="00DA07E4" w:rsidRDefault="00B5536E" w:rsidP="006B1858">
            <w:pPr>
              <w:spacing w:line="360" w:lineRule="auto"/>
              <w:rPr>
                <w:rFonts w:ascii="Times New Roman" w:hAnsi="Times New Roman" w:cs="Times New Roman"/>
                <w:sz w:val="24"/>
                <w:szCs w:val="24"/>
              </w:rPr>
            </w:pPr>
            <w:r w:rsidRPr="00DA07E4">
              <w:rPr>
                <w:rFonts w:ascii="Times New Roman" w:hAnsi="Times New Roman" w:cs="Times New Roman"/>
                <w:b/>
                <w:sz w:val="24"/>
                <w:szCs w:val="24"/>
              </w:rPr>
              <w:t>pooperačné komplikácie</w:t>
            </w:r>
          </w:p>
        </w:tc>
      </w:tr>
      <w:tr w:rsidR="00B5536E" w:rsidRPr="00DA07E4" w14:paraId="046BEA76" w14:textId="47FD92D2" w:rsidTr="00B5536E">
        <w:trPr>
          <w:gridAfter w:val="1"/>
          <w:wAfter w:w="10" w:type="dxa"/>
          <w:trHeight w:val="414"/>
        </w:trPr>
        <w:tc>
          <w:tcPr>
            <w:tcW w:w="1509" w:type="dxa"/>
            <w:shd w:val="clear" w:color="auto" w:fill="D9D9D9" w:themeFill="background1" w:themeFillShade="D9"/>
            <w:vAlign w:val="center"/>
          </w:tcPr>
          <w:p w14:paraId="4F218431"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áno</w:t>
            </w:r>
          </w:p>
        </w:tc>
        <w:tc>
          <w:tcPr>
            <w:tcW w:w="1652" w:type="dxa"/>
            <w:vAlign w:val="center"/>
          </w:tcPr>
          <w:p w14:paraId="53D92C88"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 (0,0)</w:t>
            </w:r>
          </w:p>
        </w:tc>
        <w:tc>
          <w:tcPr>
            <w:tcW w:w="1766" w:type="dxa"/>
            <w:vAlign w:val="center"/>
          </w:tcPr>
          <w:p w14:paraId="4D8E4A5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2 (6,2)</w:t>
            </w:r>
          </w:p>
        </w:tc>
        <w:tc>
          <w:tcPr>
            <w:tcW w:w="1799" w:type="dxa"/>
            <w:vMerge w:val="restart"/>
            <w:vAlign w:val="center"/>
          </w:tcPr>
          <w:p w14:paraId="66C73C94"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0,231</w:t>
            </w:r>
          </w:p>
        </w:tc>
        <w:tc>
          <w:tcPr>
            <w:tcW w:w="1757" w:type="dxa"/>
            <w:vMerge w:val="restart"/>
            <w:vAlign w:val="center"/>
          </w:tcPr>
          <w:p w14:paraId="65F653A9" w14:textId="77777777" w:rsidR="00B5536E" w:rsidRPr="00DA07E4" w:rsidRDefault="00B5536E" w:rsidP="006B1858">
            <w:pPr>
              <w:spacing w:line="360" w:lineRule="auto"/>
              <w:jc w:val="center"/>
              <w:rPr>
                <w:rFonts w:ascii="Times New Roman" w:hAnsi="Times New Roman" w:cs="Times New Roman"/>
                <w:sz w:val="24"/>
                <w:szCs w:val="24"/>
              </w:rPr>
            </w:pPr>
          </w:p>
        </w:tc>
      </w:tr>
      <w:tr w:rsidR="00B5536E" w:rsidRPr="00DA07E4" w14:paraId="14C465F8" w14:textId="35F45E46" w:rsidTr="00B5536E">
        <w:trPr>
          <w:gridAfter w:val="1"/>
          <w:wAfter w:w="10" w:type="dxa"/>
          <w:trHeight w:val="414"/>
        </w:trPr>
        <w:tc>
          <w:tcPr>
            <w:tcW w:w="1509" w:type="dxa"/>
            <w:shd w:val="clear" w:color="auto" w:fill="D9D9D9" w:themeFill="background1" w:themeFillShade="D9"/>
            <w:vAlign w:val="center"/>
          </w:tcPr>
          <w:p w14:paraId="3B0E6B89"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07E4">
              <w:rPr>
                <w:rFonts w:ascii="Times New Roman" w:hAnsi="Times New Roman" w:cs="Times New Roman"/>
                <w:b/>
                <w:sz w:val="24"/>
                <w:szCs w:val="24"/>
              </w:rPr>
              <w:t xml:space="preserve"> nie</w:t>
            </w:r>
          </w:p>
        </w:tc>
        <w:tc>
          <w:tcPr>
            <w:tcW w:w="1652" w:type="dxa"/>
            <w:vAlign w:val="center"/>
          </w:tcPr>
          <w:p w14:paraId="3340493A"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34 (100,0)</w:t>
            </w:r>
          </w:p>
        </w:tc>
        <w:tc>
          <w:tcPr>
            <w:tcW w:w="1766" w:type="dxa"/>
            <w:vAlign w:val="center"/>
          </w:tcPr>
          <w:p w14:paraId="44460379" w14:textId="77777777" w:rsidR="00B5536E" w:rsidRPr="00DA07E4" w:rsidRDefault="00B5536E" w:rsidP="006B1858">
            <w:pPr>
              <w:spacing w:line="360" w:lineRule="auto"/>
              <w:jc w:val="center"/>
              <w:rPr>
                <w:rFonts w:ascii="Times New Roman" w:hAnsi="Times New Roman" w:cs="Times New Roman"/>
                <w:sz w:val="24"/>
                <w:szCs w:val="24"/>
              </w:rPr>
            </w:pPr>
            <w:r w:rsidRPr="00DA07E4">
              <w:rPr>
                <w:rFonts w:ascii="Times New Roman" w:hAnsi="Times New Roman" w:cs="Times New Roman"/>
                <w:sz w:val="24"/>
                <w:szCs w:val="24"/>
              </w:rPr>
              <w:t>30 (93,8)</w:t>
            </w:r>
          </w:p>
        </w:tc>
        <w:tc>
          <w:tcPr>
            <w:tcW w:w="1799" w:type="dxa"/>
            <w:vMerge/>
            <w:vAlign w:val="center"/>
          </w:tcPr>
          <w:p w14:paraId="4D0004C9" w14:textId="77777777" w:rsidR="00B5536E" w:rsidRPr="00DA07E4" w:rsidRDefault="00B5536E" w:rsidP="006B1858">
            <w:pPr>
              <w:spacing w:line="360" w:lineRule="auto"/>
              <w:jc w:val="both"/>
              <w:rPr>
                <w:rFonts w:ascii="Times New Roman" w:hAnsi="Times New Roman" w:cs="Times New Roman"/>
                <w:sz w:val="24"/>
                <w:szCs w:val="24"/>
              </w:rPr>
            </w:pPr>
          </w:p>
        </w:tc>
        <w:tc>
          <w:tcPr>
            <w:tcW w:w="1757" w:type="dxa"/>
            <w:vMerge/>
          </w:tcPr>
          <w:p w14:paraId="7AD18223" w14:textId="77777777" w:rsidR="00B5536E" w:rsidRPr="00DA07E4" w:rsidRDefault="00B5536E" w:rsidP="006B1858">
            <w:pPr>
              <w:spacing w:line="360" w:lineRule="auto"/>
              <w:jc w:val="both"/>
              <w:rPr>
                <w:rFonts w:ascii="Times New Roman" w:hAnsi="Times New Roman" w:cs="Times New Roman"/>
                <w:sz w:val="24"/>
                <w:szCs w:val="24"/>
              </w:rPr>
            </w:pPr>
          </w:p>
        </w:tc>
      </w:tr>
    </w:tbl>
    <w:p w14:paraId="4D88917E" w14:textId="77777777" w:rsidR="006B1858" w:rsidRPr="00DA07E4" w:rsidRDefault="006B1858" w:rsidP="006B1858">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sidRPr="00DA07E4">
        <w:rPr>
          <w:rFonts w:ascii="Times New Roman" w:hAnsi="Times New Roman" w:cs="Times New Roman"/>
          <w:sz w:val="24"/>
          <w:szCs w:val="24"/>
        </w:rPr>
        <w:t>Fisherov chí kvadrátový test</w:t>
      </w:r>
    </w:p>
    <w:p w14:paraId="0B4263AC" w14:textId="24FE97AE" w:rsidR="006B1858" w:rsidRPr="00B5536E" w:rsidRDefault="00B5536E" w:rsidP="006B1858">
      <w:pPr>
        <w:spacing w:after="0" w:line="360" w:lineRule="auto"/>
        <w:jc w:val="both"/>
        <w:rPr>
          <w:rFonts w:ascii="Times New Roman" w:hAnsi="Times New Roman" w:cs="Times New Roman"/>
          <w:sz w:val="20"/>
        </w:rPr>
      </w:pPr>
      <w:r w:rsidRPr="00B5536E">
        <w:rPr>
          <w:rFonts w:ascii="Times New Roman" w:hAnsi="Times New Roman" w:cs="Times New Roman"/>
          <w:sz w:val="20"/>
          <w:vertAlign w:val="superscript"/>
        </w:rPr>
        <w:t>a </w:t>
      </w:r>
      <w:r w:rsidRPr="00B5536E">
        <w:rPr>
          <w:rFonts w:ascii="Times New Roman" w:hAnsi="Times New Roman" w:cs="Times New Roman"/>
          <w:sz w:val="20"/>
        </w:rPr>
        <w:t>Parameter „effect size“ bol vypočítaný na základe indexu h</w:t>
      </w:r>
      <w:r w:rsidRPr="00B5536E">
        <w:rPr>
          <w:rFonts w:ascii="Times New Roman" w:hAnsi="Times New Roman" w:cs="Times New Roman"/>
          <w:sz w:val="20"/>
          <w:vertAlign w:val="superscript"/>
        </w:rPr>
        <w:t>2</w:t>
      </w:r>
      <w:r w:rsidRPr="00B5536E">
        <w:rPr>
          <w:rFonts w:ascii="Times New Roman" w:hAnsi="Times New Roman" w:cs="Times New Roman"/>
          <w:sz w:val="20"/>
        </w:rPr>
        <w:t>. Podľa Cohena malé, stredné a veľké „effect size“ (h</w:t>
      </w:r>
      <w:r w:rsidRPr="009E7FA9">
        <w:rPr>
          <w:rFonts w:ascii="Times New Roman" w:hAnsi="Times New Roman" w:cs="Times New Roman"/>
          <w:sz w:val="20"/>
          <w:vertAlign w:val="superscript"/>
        </w:rPr>
        <w:t>2</w:t>
      </w:r>
      <w:r w:rsidRPr="00B5536E">
        <w:rPr>
          <w:rFonts w:ascii="Times New Roman" w:hAnsi="Times New Roman" w:cs="Times New Roman"/>
          <w:sz w:val="20"/>
        </w:rPr>
        <w:t>) sú klasifikované: 0,00 až 0,003 bez účinku; 0,010 až 0,039 malý; 0,060 až 0,110 stredný; 0,140 až 0,200 veľký účinok</w:t>
      </w:r>
    </w:p>
    <w:p w14:paraId="560DA49C" w14:textId="5E1E0AEC" w:rsidR="00B5536E" w:rsidRDefault="00B5536E" w:rsidP="006B1858">
      <w:pPr>
        <w:spacing w:after="0" w:line="360" w:lineRule="auto"/>
        <w:jc w:val="both"/>
        <w:rPr>
          <w:rFonts w:ascii="Times New Roman" w:hAnsi="Times New Roman" w:cs="Times New Roman"/>
          <w:sz w:val="24"/>
          <w:szCs w:val="24"/>
        </w:rPr>
      </w:pPr>
    </w:p>
    <w:p w14:paraId="4195DD52" w14:textId="2F487C09" w:rsidR="009E7FA9" w:rsidRDefault="009E7FA9" w:rsidP="006B1858">
      <w:pPr>
        <w:spacing w:after="0" w:line="360" w:lineRule="auto"/>
        <w:jc w:val="both"/>
        <w:rPr>
          <w:rFonts w:ascii="Times New Roman" w:hAnsi="Times New Roman" w:cs="Times New Roman"/>
          <w:sz w:val="24"/>
          <w:szCs w:val="24"/>
        </w:rPr>
      </w:pPr>
    </w:p>
    <w:p w14:paraId="0ACB41BC" w14:textId="77777777" w:rsidR="00390864" w:rsidRDefault="00390864" w:rsidP="006B1858">
      <w:pPr>
        <w:spacing w:after="0" w:line="360" w:lineRule="auto"/>
        <w:jc w:val="both"/>
        <w:rPr>
          <w:rFonts w:ascii="Times New Roman" w:hAnsi="Times New Roman" w:cs="Times New Roman"/>
          <w:sz w:val="24"/>
          <w:szCs w:val="24"/>
        </w:rPr>
      </w:pPr>
    </w:p>
    <w:p w14:paraId="338B96D3" w14:textId="77777777" w:rsidR="009E7FA9" w:rsidRPr="00DA07E4" w:rsidRDefault="009E7FA9" w:rsidP="006B1858">
      <w:pPr>
        <w:spacing w:after="0" w:line="360" w:lineRule="auto"/>
        <w:jc w:val="both"/>
        <w:rPr>
          <w:rFonts w:ascii="Times New Roman" w:hAnsi="Times New Roman" w:cs="Times New Roman"/>
          <w:sz w:val="24"/>
          <w:szCs w:val="24"/>
        </w:rPr>
      </w:pPr>
    </w:p>
    <w:p w14:paraId="0CF6693F" w14:textId="77777777" w:rsidR="006B1858" w:rsidRPr="00DA07E4" w:rsidRDefault="006B1858" w:rsidP="006B1858">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lastRenderedPageBreak/>
        <w:t xml:space="preserve">Porovnanie kvality života </w:t>
      </w:r>
      <w:r>
        <w:rPr>
          <w:rFonts w:ascii="Times New Roman" w:hAnsi="Times New Roman" w:cs="Times New Roman"/>
          <w:b/>
          <w:sz w:val="24"/>
          <w:szCs w:val="24"/>
        </w:rPr>
        <w:t>podľa WISQOL dotazníka</w:t>
      </w:r>
    </w:p>
    <w:p w14:paraId="64304C5C" w14:textId="12DFA812" w:rsidR="006B1858"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Medián celkového skóre z WISQOL dotazníka pred intervenciou bol 45,5 pre skupinu RIRS a 33,9 pre skupinu ESWL</w:t>
      </w:r>
      <w:r>
        <w:rPr>
          <w:rFonts w:ascii="Times New Roman" w:hAnsi="Times New Roman" w:cs="Times New Roman"/>
          <w:sz w:val="24"/>
          <w:szCs w:val="24"/>
        </w:rPr>
        <w:t xml:space="preserve"> (tab. č. 10)</w:t>
      </w:r>
      <w:r w:rsidRPr="00DA07E4">
        <w:rPr>
          <w:rFonts w:ascii="Times New Roman" w:hAnsi="Times New Roman" w:cs="Times New Roman"/>
          <w:sz w:val="24"/>
          <w:szCs w:val="24"/>
        </w:rPr>
        <w:t>. Rozdiel vo vstupnom skóre medzi skupinami nebol štatisticky signifikantný. Uvedené nízke hodnoty skóre znamenajú zhoršenú kvalitu života pacientov, ktorí trpeli urolitiázou.</w:t>
      </w:r>
    </w:p>
    <w:p w14:paraId="293F7E80" w14:textId="77777777" w:rsidR="00B5536E" w:rsidRDefault="00B5536E" w:rsidP="006B1858">
      <w:pPr>
        <w:spacing w:after="0" w:line="360" w:lineRule="auto"/>
        <w:ind w:firstLine="708"/>
        <w:jc w:val="both"/>
        <w:rPr>
          <w:rFonts w:ascii="Times New Roman" w:hAnsi="Times New Roman" w:cs="Times New Roman"/>
          <w:sz w:val="24"/>
          <w:szCs w:val="24"/>
        </w:rPr>
      </w:pPr>
    </w:p>
    <w:p w14:paraId="6E4B5B84" w14:textId="77777777" w:rsidR="006B1858" w:rsidRDefault="006B1858" w:rsidP="006B1858">
      <w:pPr>
        <w:spacing w:after="0" w:line="360" w:lineRule="auto"/>
        <w:jc w:val="both"/>
        <w:rPr>
          <w:rFonts w:ascii="Times New Roman" w:hAnsi="Times New Roman" w:cs="Times New Roman"/>
          <w:b/>
          <w:sz w:val="24"/>
          <w:szCs w:val="24"/>
        </w:rPr>
      </w:pPr>
      <w:bookmarkStart w:id="27" w:name="_Hlk68636826"/>
      <w:r w:rsidRPr="00252615">
        <w:rPr>
          <w:rFonts w:ascii="Times New Roman" w:hAnsi="Times New Roman" w:cs="Times New Roman"/>
          <w:b/>
          <w:sz w:val="24"/>
          <w:szCs w:val="24"/>
        </w:rPr>
        <w:t>Tabuľka</w:t>
      </w:r>
      <w:r>
        <w:rPr>
          <w:rFonts w:ascii="Times New Roman" w:hAnsi="Times New Roman" w:cs="Times New Roman"/>
          <w:b/>
          <w:sz w:val="24"/>
          <w:szCs w:val="24"/>
        </w:rPr>
        <w:t xml:space="preserve"> </w:t>
      </w:r>
      <w:r w:rsidRPr="00D135D4">
        <w:rPr>
          <w:rFonts w:ascii="Times New Roman" w:hAnsi="Times New Roman" w:cs="Times New Roman"/>
          <w:b/>
          <w:sz w:val="24"/>
          <w:szCs w:val="24"/>
        </w:rPr>
        <w:t xml:space="preserve">10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WISQOL p</w:t>
      </w:r>
      <w:r>
        <w:rPr>
          <w:rFonts w:ascii="Times New Roman" w:hAnsi="Times New Roman" w:cs="Times New Roman"/>
          <w:sz w:val="24"/>
          <w:szCs w:val="24"/>
        </w:rPr>
        <w:t>red</w:t>
      </w:r>
      <w:r w:rsidRPr="00DA07E4">
        <w:rPr>
          <w:rFonts w:ascii="Times New Roman" w:hAnsi="Times New Roman" w:cs="Times New Roman"/>
          <w:sz w:val="24"/>
          <w:szCs w:val="24"/>
        </w:rPr>
        <w:t xml:space="preserve"> intervenci</w:t>
      </w:r>
      <w:r>
        <w:rPr>
          <w:rFonts w:ascii="Times New Roman" w:hAnsi="Times New Roman" w:cs="Times New Roman"/>
          <w:sz w:val="24"/>
          <w:szCs w:val="24"/>
        </w:rPr>
        <w:t>ou</w:t>
      </w:r>
    </w:p>
    <w:tbl>
      <w:tblPr>
        <w:tblStyle w:val="Mkatabulky"/>
        <w:tblW w:w="8493" w:type="dxa"/>
        <w:tblLook w:val="04A0" w:firstRow="1" w:lastRow="0" w:firstColumn="1" w:lastColumn="0" w:noHBand="0" w:noVBand="1"/>
      </w:tblPr>
      <w:tblGrid>
        <w:gridCol w:w="1865"/>
        <w:gridCol w:w="1631"/>
        <w:gridCol w:w="1742"/>
        <w:gridCol w:w="1662"/>
        <w:gridCol w:w="1593"/>
      </w:tblGrid>
      <w:tr w:rsidR="00B5536E" w:rsidRPr="00DA07E4" w14:paraId="47F0F282" w14:textId="24793E20" w:rsidTr="00B5536E">
        <w:trPr>
          <w:trHeight w:val="855"/>
        </w:trPr>
        <w:tc>
          <w:tcPr>
            <w:tcW w:w="1865" w:type="dxa"/>
            <w:shd w:val="clear" w:color="auto" w:fill="D9D9D9" w:themeFill="background1" w:themeFillShade="D9"/>
            <w:vAlign w:val="center"/>
          </w:tcPr>
          <w:bookmarkEnd w:id="27"/>
          <w:p w14:paraId="5C02DA87" w14:textId="488FE268"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WISQOL skóre</w:t>
            </w:r>
          </w:p>
        </w:tc>
        <w:tc>
          <w:tcPr>
            <w:tcW w:w="1631" w:type="dxa"/>
            <w:shd w:val="clear" w:color="auto" w:fill="D9D9D9" w:themeFill="background1" w:themeFillShade="D9"/>
            <w:vAlign w:val="center"/>
          </w:tcPr>
          <w:p w14:paraId="74864561"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5E20A05C" w14:textId="2A376628"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742" w:type="dxa"/>
            <w:shd w:val="clear" w:color="auto" w:fill="D9D9D9" w:themeFill="background1" w:themeFillShade="D9"/>
            <w:vAlign w:val="center"/>
          </w:tcPr>
          <w:p w14:paraId="24B4C8A8"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4682A9B3" w14:textId="01B5797E"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662" w:type="dxa"/>
            <w:shd w:val="clear" w:color="auto" w:fill="D9D9D9" w:themeFill="background1" w:themeFillShade="D9"/>
            <w:vAlign w:val="center"/>
          </w:tcPr>
          <w:p w14:paraId="1DB51B9C"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 p*</w:t>
            </w:r>
          </w:p>
        </w:tc>
        <w:tc>
          <w:tcPr>
            <w:tcW w:w="1593" w:type="dxa"/>
            <w:shd w:val="clear" w:color="auto" w:fill="D9D9D9" w:themeFill="background1" w:themeFillShade="D9"/>
            <w:vAlign w:val="center"/>
          </w:tcPr>
          <w:p w14:paraId="48DF5222" w14:textId="77777777" w:rsidR="00B5536E"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5A51289E" w14:textId="3A5EB1A0" w:rsidR="00B5536E" w:rsidRPr="00DA07E4"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B5536E" w:rsidRPr="00DA07E4" w14:paraId="53EE74E2" w14:textId="76900AD0" w:rsidTr="00B5536E">
        <w:trPr>
          <w:trHeight w:val="697"/>
        </w:trPr>
        <w:tc>
          <w:tcPr>
            <w:tcW w:w="1865" w:type="dxa"/>
            <w:shd w:val="clear" w:color="auto" w:fill="D9D9D9" w:themeFill="background1" w:themeFillShade="D9"/>
            <w:vAlign w:val="center"/>
          </w:tcPr>
          <w:p w14:paraId="13C594EA"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D1 skóre</w:t>
            </w:r>
          </w:p>
        </w:tc>
        <w:tc>
          <w:tcPr>
            <w:tcW w:w="1631" w:type="dxa"/>
            <w:vAlign w:val="center"/>
          </w:tcPr>
          <w:p w14:paraId="1DEE8CDF"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34,4</w:t>
            </w:r>
          </w:p>
          <w:p w14:paraId="639EF72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(18,0 – 53,9)</w:t>
            </w:r>
          </w:p>
        </w:tc>
        <w:tc>
          <w:tcPr>
            <w:tcW w:w="1742" w:type="dxa"/>
            <w:vAlign w:val="center"/>
          </w:tcPr>
          <w:p w14:paraId="647C74D6"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26,6</w:t>
            </w:r>
          </w:p>
          <w:p w14:paraId="159B19D9"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(25,0 – 50,0)</w:t>
            </w:r>
          </w:p>
        </w:tc>
        <w:tc>
          <w:tcPr>
            <w:tcW w:w="1662" w:type="dxa"/>
            <w:vAlign w:val="center"/>
          </w:tcPr>
          <w:p w14:paraId="7A3B6714"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0,954</w:t>
            </w:r>
          </w:p>
        </w:tc>
        <w:tc>
          <w:tcPr>
            <w:tcW w:w="1593" w:type="dxa"/>
            <w:vAlign w:val="center"/>
          </w:tcPr>
          <w:p w14:paraId="0EFBD077" w14:textId="733F508F" w:rsidR="00B5536E" w:rsidRPr="00645321"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B5536E" w:rsidRPr="00DA07E4" w14:paraId="084AE47B" w14:textId="6D79254B" w:rsidTr="00B5536E">
        <w:trPr>
          <w:trHeight w:val="722"/>
        </w:trPr>
        <w:tc>
          <w:tcPr>
            <w:tcW w:w="1865" w:type="dxa"/>
            <w:shd w:val="clear" w:color="auto" w:fill="D9D9D9" w:themeFill="background1" w:themeFillShade="D9"/>
            <w:vAlign w:val="center"/>
          </w:tcPr>
          <w:p w14:paraId="7E06DD70"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D2 skóre</w:t>
            </w:r>
          </w:p>
        </w:tc>
        <w:tc>
          <w:tcPr>
            <w:tcW w:w="1631" w:type="dxa"/>
            <w:vAlign w:val="center"/>
          </w:tcPr>
          <w:p w14:paraId="6869FBA2"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33,9</w:t>
            </w:r>
          </w:p>
          <w:p w14:paraId="44E7700F"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(21,4 – 42,9)</w:t>
            </w:r>
          </w:p>
        </w:tc>
        <w:tc>
          <w:tcPr>
            <w:tcW w:w="1742" w:type="dxa"/>
            <w:vAlign w:val="center"/>
          </w:tcPr>
          <w:p w14:paraId="7DC2D31A"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32,1</w:t>
            </w:r>
          </w:p>
          <w:p w14:paraId="36297C9D"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(25,9 – 53,6)</w:t>
            </w:r>
          </w:p>
        </w:tc>
        <w:tc>
          <w:tcPr>
            <w:tcW w:w="1662" w:type="dxa"/>
            <w:vAlign w:val="center"/>
          </w:tcPr>
          <w:p w14:paraId="709E69B9"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0,328</w:t>
            </w:r>
          </w:p>
        </w:tc>
        <w:tc>
          <w:tcPr>
            <w:tcW w:w="1593" w:type="dxa"/>
            <w:vAlign w:val="center"/>
          </w:tcPr>
          <w:p w14:paraId="5B9893B3" w14:textId="70DE1FB6" w:rsidR="00B5536E" w:rsidRPr="00645321"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tc>
      </w:tr>
      <w:tr w:rsidR="00B5536E" w:rsidRPr="00DA07E4" w14:paraId="5041D310" w14:textId="076711C6" w:rsidTr="00B5536E">
        <w:trPr>
          <w:trHeight w:val="734"/>
        </w:trPr>
        <w:tc>
          <w:tcPr>
            <w:tcW w:w="1865" w:type="dxa"/>
            <w:shd w:val="clear" w:color="auto" w:fill="D9D9D9" w:themeFill="background1" w:themeFillShade="D9"/>
            <w:vAlign w:val="center"/>
          </w:tcPr>
          <w:p w14:paraId="3C2C0957"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D3 skóre</w:t>
            </w:r>
          </w:p>
        </w:tc>
        <w:tc>
          <w:tcPr>
            <w:tcW w:w="1631" w:type="dxa"/>
            <w:vAlign w:val="center"/>
          </w:tcPr>
          <w:p w14:paraId="006F337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50,0</w:t>
            </w:r>
          </w:p>
          <w:p w14:paraId="4515FC13"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(34,4 – 66,4)</w:t>
            </w:r>
          </w:p>
        </w:tc>
        <w:tc>
          <w:tcPr>
            <w:tcW w:w="1742" w:type="dxa"/>
            <w:vAlign w:val="center"/>
          </w:tcPr>
          <w:p w14:paraId="7774464F"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35,9</w:t>
            </w:r>
          </w:p>
          <w:p w14:paraId="42BA2F19"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(25,8 – 56,3)</w:t>
            </w:r>
          </w:p>
        </w:tc>
        <w:tc>
          <w:tcPr>
            <w:tcW w:w="1662" w:type="dxa"/>
            <w:vAlign w:val="center"/>
          </w:tcPr>
          <w:p w14:paraId="7BADA93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0,090</w:t>
            </w:r>
          </w:p>
        </w:tc>
        <w:tc>
          <w:tcPr>
            <w:tcW w:w="1593" w:type="dxa"/>
            <w:vAlign w:val="center"/>
          </w:tcPr>
          <w:p w14:paraId="182180F2" w14:textId="0725ECA3" w:rsidR="00B5536E" w:rsidRPr="00645321"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0,044</w:t>
            </w:r>
          </w:p>
        </w:tc>
      </w:tr>
      <w:tr w:rsidR="00B5536E" w:rsidRPr="00DA07E4" w14:paraId="21783396" w14:textId="585C773D" w:rsidTr="00B5536E">
        <w:trPr>
          <w:trHeight w:val="732"/>
        </w:trPr>
        <w:tc>
          <w:tcPr>
            <w:tcW w:w="1865" w:type="dxa"/>
            <w:shd w:val="clear" w:color="auto" w:fill="D9D9D9" w:themeFill="background1" w:themeFillShade="D9"/>
            <w:vAlign w:val="center"/>
          </w:tcPr>
          <w:p w14:paraId="084AE143"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D4 skóre</w:t>
            </w:r>
          </w:p>
        </w:tc>
        <w:tc>
          <w:tcPr>
            <w:tcW w:w="1631" w:type="dxa"/>
            <w:vAlign w:val="center"/>
          </w:tcPr>
          <w:p w14:paraId="3BB06FA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50,0</w:t>
            </w:r>
          </w:p>
          <w:p w14:paraId="7AB828DD"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(25,0 – 75,0)</w:t>
            </w:r>
          </w:p>
        </w:tc>
        <w:tc>
          <w:tcPr>
            <w:tcW w:w="1742" w:type="dxa"/>
            <w:vAlign w:val="center"/>
          </w:tcPr>
          <w:p w14:paraId="0604A644"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29,2</w:t>
            </w:r>
          </w:p>
          <w:p w14:paraId="7B6B3B7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(25,0 – 50,0)</w:t>
            </w:r>
          </w:p>
        </w:tc>
        <w:tc>
          <w:tcPr>
            <w:tcW w:w="1662" w:type="dxa"/>
            <w:vAlign w:val="center"/>
          </w:tcPr>
          <w:p w14:paraId="5BD5505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0,180</w:t>
            </w:r>
          </w:p>
        </w:tc>
        <w:tc>
          <w:tcPr>
            <w:tcW w:w="1593" w:type="dxa"/>
            <w:vAlign w:val="center"/>
          </w:tcPr>
          <w:p w14:paraId="6E574942" w14:textId="15D374A4" w:rsidR="00B5536E" w:rsidRPr="00645321"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tc>
      </w:tr>
      <w:tr w:rsidR="00B5536E" w:rsidRPr="00DA07E4" w14:paraId="14518A03" w14:textId="25A24A9C" w:rsidTr="00B5536E">
        <w:trPr>
          <w:trHeight w:val="850"/>
        </w:trPr>
        <w:tc>
          <w:tcPr>
            <w:tcW w:w="1865" w:type="dxa"/>
            <w:shd w:val="clear" w:color="auto" w:fill="D9D9D9" w:themeFill="background1" w:themeFillShade="D9"/>
            <w:vAlign w:val="center"/>
          </w:tcPr>
          <w:p w14:paraId="1B5FBF63"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Celkové skóre</w:t>
            </w:r>
          </w:p>
        </w:tc>
        <w:tc>
          <w:tcPr>
            <w:tcW w:w="1631" w:type="dxa"/>
            <w:vAlign w:val="center"/>
          </w:tcPr>
          <w:p w14:paraId="433DEDCA"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45,5</w:t>
            </w:r>
          </w:p>
          <w:p w14:paraId="39D83A65"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(30,4 – 56,5)</w:t>
            </w:r>
          </w:p>
        </w:tc>
        <w:tc>
          <w:tcPr>
            <w:tcW w:w="1742" w:type="dxa"/>
            <w:vAlign w:val="center"/>
          </w:tcPr>
          <w:p w14:paraId="374510A1"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33,9</w:t>
            </w:r>
          </w:p>
          <w:p w14:paraId="6F9BC574"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(27,7 – 50,7)</w:t>
            </w:r>
          </w:p>
        </w:tc>
        <w:tc>
          <w:tcPr>
            <w:tcW w:w="1662" w:type="dxa"/>
            <w:vAlign w:val="center"/>
          </w:tcPr>
          <w:p w14:paraId="45F2F29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0,284</w:t>
            </w:r>
          </w:p>
        </w:tc>
        <w:tc>
          <w:tcPr>
            <w:tcW w:w="1593" w:type="dxa"/>
            <w:vAlign w:val="center"/>
          </w:tcPr>
          <w:p w14:paraId="5E151039" w14:textId="71EAFED3" w:rsidR="00B5536E" w:rsidRPr="00645321"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0,004</w:t>
            </w:r>
          </w:p>
        </w:tc>
      </w:tr>
    </w:tbl>
    <w:p w14:paraId="034BD060" w14:textId="6A3EECA6" w:rsidR="006B1858" w:rsidRDefault="006B1858" w:rsidP="006B1858">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Pr>
          <w:rFonts w:ascii="Times New Roman" w:hAnsi="Times New Roman" w:cs="Times New Roman"/>
          <w:sz w:val="24"/>
          <w:szCs w:val="24"/>
        </w:rPr>
        <w:t>Mann-Whitney U</w:t>
      </w:r>
      <w:r w:rsidR="00B5536E">
        <w:rPr>
          <w:rFonts w:ascii="Times New Roman" w:hAnsi="Times New Roman" w:cs="Times New Roman"/>
          <w:sz w:val="24"/>
          <w:szCs w:val="24"/>
        </w:rPr>
        <w:t> </w:t>
      </w:r>
      <w:r>
        <w:rPr>
          <w:rFonts w:ascii="Times New Roman" w:hAnsi="Times New Roman" w:cs="Times New Roman"/>
          <w:sz w:val="24"/>
          <w:szCs w:val="24"/>
        </w:rPr>
        <w:t>test</w:t>
      </w:r>
      <w:r w:rsidR="00B5536E">
        <w:rPr>
          <w:rFonts w:ascii="Times New Roman" w:hAnsi="Times New Roman" w:cs="Times New Roman"/>
          <w:sz w:val="24"/>
          <w:szCs w:val="24"/>
        </w:rPr>
        <w:tab/>
      </w:r>
      <w:r w:rsidR="00B5536E">
        <w:rPr>
          <w:rFonts w:ascii="Times New Roman" w:hAnsi="Times New Roman" w:cs="Times New Roman"/>
          <w:sz w:val="24"/>
          <w:szCs w:val="24"/>
        </w:rPr>
        <w:tab/>
      </w:r>
      <w:r w:rsidR="00085EF2">
        <w:rPr>
          <w:rFonts w:ascii="Times New Roman" w:hAnsi="Times New Roman" w:cs="Times New Roman"/>
          <w:sz w:val="24"/>
          <w:szCs w:val="24"/>
        </w:rPr>
        <w:t>IR – 25. až 75. percentil</w:t>
      </w:r>
    </w:p>
    <w:p w14:paraId="0B09971E" w14:textId="09F70237" w:rsidR="00B5536E" w:rsidRPr="00B5536E" w:rsidRDefault="00B5536E" w:rsidP="006B1858">
      <w:pPr>
        <w:spacing w:after="0" w:line="360" w:lineRule="auto"/>
        <w:jc w:val="both"/>
        <w:rPr>
          <w:rFonts w:ascii="Times New Roman" w:hAnsi="Times New Roman" w:cs="Times New Roman"/>
          <w:sz w:val="20"/>
          <w:szCs w:val="24"/>
        </w:rPr>
      </w:pPr>
      <w:r w:rsidRPr="00B5536E">
        <w:rPr>
          <w:rFonts w:ascii="Times New Roman" w:hAnsi="Times New Roman" w:cs="Times New Roman"/>
          <w:sz w:val="20"/>
          <w:vertAlign w:val="superscript"/>
        </w:rPr>
        <w:t>a </w:t>
      </w:r>
      <w:r w:rsidRPr="00B5536E">
        <w:rPr>
          <w:rFonts w:ascii="Times New Roman" w:hAnsi="Times New Roman" w:cs="Times New Roman"/>
          <w:sz w:val="20"/>
        </w:rPr>
        <w:t>Parameter „effect size“ bol vypočítaný na základe indexu h</w:t>
      </w:r>
      <w:r w:rsidRPr="00B5536E">
        <w:rPr>
          <w:rFonts w:ascii="Times New Roman" w:hAnsi="Times New Roman" w:cs="Times New Roman"/>
          <w:sz w:val="20"/>
          <w:vertAlign w:val="superscript"/>
        </w:rPr>
        <w:t>2</w:t>
      </w:r>
      <w:r w:rsidRPr="00B5536E">
        <w:rPr>
          <w:rFonts w:ascii="Times New Roman" w:hAnsi="Times New Roman" w:cs="Times New Roman"/>
          <w:sz w:val="20"/>
        </w:rPr>
        <w:t>. Podľa Cohena malé, stredné a veľké „effect size“ (h</w:t>
      </w:r>
      <w:r w:rsidRPr="009E7FA9">
        <w:rPr>
          <w:rFonts w:ascii="Times New Roman" w:hAnsi="Times New Roman" w:cs="Times New Roman"/>
          <w:sz w:val="20"/>
          <w:vertAlign w:val="superscript"/>
        </w:rPr>
        <w:t>2</w:t>
      </w:r>
      <w:r w:rsidRPr="00B5536E">
        <w:rPr>
          <w:rFonts w:ascii="Times New Roman" w:hAnsi="Times New Roman" w:cs="Times New Roman"/>
          <w:sz w:val="20"/>
        </w:rPr>
        <w:t>) sú klasifikované: 0,00 až 0,003 bez účinku; 0,010 až 0,039 malý; 0,060 až 0,110 stredný; 0,140 až 0,200 veľký účinok</w:t>
      </w:r>
    </w:p>
    <w:p w14:paraId="37D2E1CD" w14:textId="77777777" w:rsidR="006B1858" w:rsidRPr="00252615" w:rsidRDefault="006B1858" w:rsidP="006B1858">
      <w:pPr>
        <w:spacing w:after="0" w:line="360" w:lineRule="auto"/>
        <w:jc w:val="both"/>
        <w:rPr>
          <w:rFonts w:ascii="Times New Roman" w:hAnsi="Times New Roman" w:cs="Times New Roman"/>
          <w:b/>
          <w:sz w:val="24"/>
          <w:szCs w:val="24"/>
        </w:rPr>
      </w:pPr>
    </w:p>
    <w:p w14:paraId="302D5322" w14:textId="0D25FD9D" w:rsidR="006B1858" w:rsidRDefault="006B1858" w:rsidP="006B1858">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Po intervencii došlo k nárastu skóre v oboch skupinách (</w:t>
      </w:r>
      <w:r w:rsidRPr="00D135D4">
        <w:rPr>
          <w:rFonts w:ascii="Times New Roman" w:hAnsi="Times New Roman" w:cs="Times New Roman"/>
          <w:sz w:val="24"/>
          <w:szCs w:val="24"/>
        </w:rPr>
        <w:t>tabuľka č. 11 a 12).</w:t>
      </w:r>
      <w:r w:rsidRPr="00DA07E4">
        <w:rPr>
          <w:rFonts w:ascii="Times New Roman" w:hAnsi="Times New Roman" w:cs="Times New Roman"/>
          <w:sz w:val="24"/>
          <w:szCs w:val="24"/>
        </w:rPr>
        <w:t xml:space="preserve"> V</w:t>
      </w:r>
      <w:r w:rsidR="00085EF2">
        <w:rPr>
          <w:rFonts w:ascii="Times New Roman" w:hAnsi="Times New Roman" w:cs="Times New Roman"/>
          <w:sz w:val="24"/>
          <w:szCs w:val="24"/>
        </w:rPr>
        <w:t> </w:t>
      </w:r>
      <w:r w:rsidRPr="00DA07E4">
        <w:rPr>
          <w:rFonts w:ascii="Times New Roman" w:hAnsi="Times New Roman" w:cs="Times New Roman"/>
          <w:sz w:val="24"/>
          <w:szCs w:val="24"/>
        </w:rPr>
        <w:t>skupine</w:t>
      </w:r>
      <w:r w:rsidR="00085EF2">
        <w:rPr>
          <w:rFonts w:ascii="Times New Roman" w:hAnsi="Times New Roman" w:cs="Times New Roman"/>
          <w:sz w:val="24"/>
          <w:szCs w:val="24"/>
        </w:rPr>
        <w:t xml:space="preserve"> </w:t>
      </w:r>
      <w:r w:rsidRPr="00DA07E4">
        <w:rPr>
          <w:rFonts w:ascii="Times New Roman" w:hAnsi="Times New Roman" w:cs="Times New Roman"/>
          <w:sz w:val="24"/>
          <w:szCs w:val="24"/>
        </w:rPr>
        <w:t>ESWL bol medián nového celkového skóre 87,1. V skupine RIRS bol medián skóre 95,5, rozdiel medzi celkovým skóre medzi ESWL a RIRS skupinou bol štatisticky signifikantný. Dotazník WISQOL odhalil štatisticky signifikantný rozdiel medzi skupinami – pacienti zo skupiny RIRS jednoznačne benefitovali z liečby oproti skupine ESWL vo všetkých doménach dotazníka.</w:t>
      </w:r>
    </w:p>
    <w:p w14:paraId="057F252A" w14:textId="79C1676A" w:rsidR="009E7FA9" w:rsidRDefault="009E7FA9" w:rsidP="006B1858">
      <w:pPr>
        <w:spacing w:after="0" w:line="360" w:lineRule="auto"/>
        <w:ind w:firstLine="708"/>
        <w:jc w:val="both"/>
        <w:rPr>
          <w:rFonts w:ascii="Times New Roman" w:hAnsi="Times New Roman" w:cs="Times New Roman"/>
          <w:sz w:val="24"/>
          <w:szCs w:val="24"/>
        </w:rPr>
      </w:pPr>
    </w:p>
    <w:p w14:paraId="0BA93F54" w14:textId="5F3E3343" w:rsidR="009E7FA9" w:rsidRDefault="009E7FA9" w:rsidP="006B1858">
      <w:pPr>
        <w:spacing w:after="0" w:line="360" w:lineRule="auto"/>
        <w:ind w:firstLine="708"/>
        <w:jc w:val="both"/>
        <w:rPr>
          <w:rFonts w:ascii="Times New Roman" w:hAnsi="Times New Roman" w:cs="Times New Roman"/>
          <w:sz w:val="24"/>
          <w:szCs w:val="24"/>
        </w:rPr>
      </w:pPr>
    </w:p>
    <w:p w14:paraId="70418361" w14:textId="4B6654DD" w:rsidR="009E7FA9" w:rsidRDefault="009E7FA9" w:rsidP="006B1858">
      <w:pPr>
        <w:spacing w:after="0" w:line="360" w:lineRule="auto"/>
        <w:ind w:firstLine="708"/>
        <w:jc w:val="both"/>
        <w:rPr>
          <w:rFonts w:ascii="Times New Roman" w:hAnsi="Times New Roman" w:cs="Times New Roman"/>
          <w:sz w:val="24"/>
          <w:szCs w:val="24"/>
        </w:rPr>
      </w:pPr>
    </w:p>
    <w:p w14:paraId="2FD27755" w14:textId="77777777" w:rsidR="009E7FA9" w:rsidRPr="00DA07E4" w:rsidRDefault="009E7FA9" w:rsidP="006B1858">
      <w:pPr>
        <w:spacing w:after="0" w:line="360" w:lineRule="auto"/>
        <w:ind w:firstLine="708"/>
        <w:jc w:val="both"/>
        <w:rPr>
          <w:rFonts w:ascii="Times New Roman" w:hAnsi="Times New Roman" w:cs="Times New Roman"/>
          <w:sz w:val="24"/>
          <w:szCs w:val="24"/>
        </w:rPr>
      </w:pPr>
    </w:p>
    <w:p w14:paraId="7827D86C" w14:textId="2C009B69" w:rsidR="00085EF2" w:rsidRDefault="006B1858" w:rsidP="006B1858">
      <w:pPr>
        <w:spacing w:after="0" w:line="360" w:lineRule="auto"/>
        <w:jc w:val="both"/>
        <w:rPr>
          <w:rFonts w:ascii="Times New Roman" w:hAnsi="Times New Roman" w:cs="Times New Roman"/>
          <w:b/>
          <w:sz w:val="24"/>
          <w:szCs w:val="24"/>
        </w:rPr>
      </w:pPr>
      <w:bookmarkStart w:id="28" w:name="_Hlk68637078"/>
      <w:r w:rsidRPr="00252615">
        <w:rPr>
          <w:rFonts w:ascii="Times New Roman" w:hAnsi="Times New Roman" w:cs="Times New Roman"/>
          <w:b/>
          <w:sz w:val="24"/>
          <w:szCs w:val="24"/>
        </w:rPr>
        <w:lastRenderedPageBreak/>
        <w:t>Tabuľka</w:t>
      </w:r>
      <w:r>
        <w:rPr>
          <w:rFonts w:ascii="Times New Roman" w:hAnsi="Times New Roman" w:cs="Times New Roman"/>
          <w:b/>
          <w:sz w:val="24"/>
          <w:szCs w:val="24"/>
        </w:rPr>
        <w:t xml:space="preserve"> </w:t>
      </w:r>
      <w:r w:rsidRPr="00D135D4">
        <w:rPr>
          <w:rFonts w:ascii="Times New Roman" w:hAnsi="Times New Roman" w:cs="Times New Roman"/>
          <w:b/>
          <w:sz w:val="24"/>
          <w:szCs w:val="24"/>
        </w:rPr>
        <w:t xml:space="preserve">11 </w:t>
      </w:r>
      <w:bookmarkStart w:id="29" w:name="_Hlk68547245"/>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WISQOL v 24. týždni po intervencii </w:t>
      </w:r>
      <w:bookmarkEnd w:id="28"/>
      <w:bookmarkEnd w:id="29"/>
    </w:p>
    <w:tbl>
      <w:tblPr>
        <w:tblStyle w:val="Mkatabulky"/>
        <w:tblW w:w="8493" w:type="dxa"/>
        <w:tblLook w:val="04A0" w:firstRow="1" w:lastRow="0" w:firstColumn="1" w:lastColumn="0" w:noHBand="0" w:noVBand="1"/>
      </w:tblPr>
      <w:tblGrid>
        <w:gridCol w:w="2033"/>
        <w:gridCol w:w="1780"/>
        <w:gridCol w:w="1774"/>
        <w:gridCol w:w="1471"/>
        <w:gridCol w:w="1435"/>
      </w:tblGrid>
      <w:tr w:rsidR="00B5536E" w:rsidRPr="00DA07E4" w14:paraId="01D0F9BA" w14:textId="58A0E5D2" w:rsidTr="00B5536E">
        <w:trPr>
          <w:trHeight w:val="1003"/>
        </w:trPr>
        <w:tc>
          <w:tcPr>
            <w:tcW w:w="2033" w:type="dxa"/>
            <w:shd w:val="clear" w:color="auto" w:fill="D9D9D9" w:themeFill="background1" w:themeFillShade="D9"/>
            <w:vAlign w:val="center"/>
          </w:tcPr>
          <w:p w14:paraId="742A4280" w14:textId="6DB9D54E"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WISQOL skóre</w:t>
            </w:r>
          </w:p>
        </w:tc>
        <w:tc>
          <w:tcPr>
            <w:tcW w:w="1780" w:type="dxa"/>
            <w:shd w:val="clear" w:color="auto" w:fill="D9D9D9" w:themeFill="background1" w:themeFillShade="D9"/>
            <w:vAlign w:val="center"/>
          </w:tcPr>
          <w:p w14:paraId="144626D5"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624C7672" w14:textId="6118167D"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774" w:type="dxa"/>
            <w:shd w:val="clear" w:color="auto" w:fill="D9D9D9" w:themeFill="background1" w:themeFillShade="D9"/>
            <w:vAlign w:val="center"/>
          </w:tcPr>
          <w:p w14:paraId="2A68CEAE"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11CDA5D5" w14:textId="6172B94A"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471" w:type="dxa"/>
            <w:shd w:val="clear" w:color="auto" w:fill="D9D9D9" w:themeFill="background1" w:themeFillShade="D9"/>
            <w:vAlign w:val="center"/>
          </w:tcPr>
          <w:p w14:paraId="195F8DD6" w14:textId="77777777" w:rsidR="00B5536E" w:rsidRPr="00DA07E4" w:rsidRDefault="00B5536E" w:rsidP="006B1858">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 p*</w:t>
            </w:r>
          </w:p>
        </w:tc>
        <w:tc>
          <w:tcPr>
            <w:tcW w:w="1435" w:type="dxa"/>
            <w:shd w:val="clear" w:color="auto" w:fill="D9D9D9" w:themeFill="background1" w:themeFillShade="D9"/>
            <w:vAlign w:val="center"/>
          </w:tcPr>
          <w:p w14:paraId="35820004" w14:textId="77777777" w:rsidR="00B5536E"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2F9D7F9C" w14:textId="574770F8" w:rsidR="00B5536E" w:rsidRPr="00DA07E4" w:rsidRDefault="00B5536E" w:rsidP="00B55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B5536E" w:rsidRPr="00DA07E4" w14:paraId="31487BE5" w14:textId="483540BD" w:rsidTr="00B5536E">
        <w:trPr>
          <w:trHeight w:val="849"/>
        </w:trPr>
        <w:tc>
          <w:tcPr>
            <w:tcW w:w="2033" w:type="dxa"/>
            <w:shd w:val="clear" w:color="auto" w:fill="D9D9D9" w:themeFill="background1" w:themeFillShade="D9"/>
            <w:vAlign w:val="center"/>
          </w:tcPr>
          <w:p w14:paraId="08233D89"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D1 skóre</w:t>
            </w:r>
          </w:p>
        </w:tc>
        <w:tc>
          <w:tcPr>
            <w:tcW w:w="1780" w:type="dxa"/>
            <w:vAlign w:val="center"/>
          </w:tcPr>
          <w:p w14:paraId="4AFC60A6"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w:t>
            </w:r>
          </w:p>
          <w:p w14:paraId="4F149CC4"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 – 100,0)</w:t>
            </w:r>
          </w:p>
        </w:tc>
        <w:tc>
          <w:tcPr>
            <w:tcW w:w="1774" w:type="dxa"/>
            <w:vAlign w:val="center"/>
          </w:tcPr>
          <w:p w14:paraId="64CEEA96"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w:t>
            </w:r>
          </w:p>
          <w:p w14:paraId="710A5F1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(53,1 – 100,0)</w:t>
            </w:r>
          </w:p>
        </w:tc>
        <w:tc>
          <w:tcPr>
            <w:tcW w:w="1471" w:type="dxa"/>
            <w:vAlign w:val="center"/>
          </w:tcPr>
          <w:p w14:paraId="35EF1D6C" w14:textId="77777777" w:rsidR="00B5536E" w:rsidRPr="004B08F6" w:rsidRDefault="00B5536E" w:rsidP="006B1858">
            <w:pPr>
              <w:spacing w:line="360" w:lineRule="auto"/>
              <w:jc w:val="center"/>
              <w:rPr>
                <w:rFonts w:ascii="Times New Roman" w:hAnsi="Times New Roman" w:cs="Times New Roman"/>
                <w:sz w:val="24"/>
                <w:szCs w:val="24"/>
              </w:rPr>
            </w:pPr>
            <w:r w:rsidRPr="004B08F6">
              <w:rPr>
                <w:rFonts w:ascii="Times New Roman" w:hAnsi="Times New Roman" w:cs="Times New Roman"/>
                <w:sz w:val="24"/>
                <w:szCs w:val="24"/>
              </w:rPr>
              <w:t>0,001</w:t>
            </w:r>
          </w:p>
        </w:tc>
        <w:tc>
          <w:tcPr>
            <w:tcW w:w="1435" w:type="dxa"/>
            <w:vAlign w:val="center"/>
          </w:tcPr>
          <w:p w14:paraId="3E016DEC" w14:textId="23517F20" w:rsidR="00B5536E" w:rsidRPr="004B08F6"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0,159</w:t>
            </w:r>
          </w:p>
        </w:tc>
      </w:tr>
      <w:tr w:rsidR="00B5536E" w:rsidRPr="00DA07E4" w14:paraId="02A15E7E" w14:textId="57E2D9B7" w:rsidTr="00B5536E">
        <w:trPr>
          <w:trHeight w:val="834"/>
        </w:trPr>
        <w:tc>
          <w:tcPr>
            <w:tcW w:w="2033" w:type="dxa"/>
            <w:shd w:val="clear" w:color="auto" w:fill="D9D9D9" w:themeFill="background1" w:themeFillShade="D9"/>
            <w:vAlign w:val="center"/>
          </w:tcPr>
          <w:p w14:paraId="44C5DADB"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D2 skóre</w:t>
            </w:r>
          </w:p>
        </w:tc>
        <w:tc>
          <w:tcPr>
            <w:tcW w:w="1780" w:type="dxa"/>
            <w:vAlign w:val="center"/>
          </w:tcPr>
          <w:p w14:paraId="7569D52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85,7</w:t>
            </w:r>
          </w:p>
          <w:p w14:paraId="782331F3"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(75,0 – 92,9)</w:t>
            </w:r>
          </w:p>
        </w:tc>
        <w:tc>
          <w:tcPr>
            <w:tcW w:w="1774" w:type="dxa"/>
            <w:vAlign w:val="center"/>
          </w:tcPr>
          <w:p w14:paraId="79402FFC"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78,6</w:t>
            </w:r>
          </w:p>
          <w:p w14:paraId="2E7DC85D"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(37,5 – 85,7)</w:t>
            </w:r>
          </w:p>
        </w:tc>
        <w:tc>
          <w:tcPr>
            <w:tcW w:w="1471" w:type="dxa"/>
            <w:vAlign w:val="center"/>
          </w:tcPr>
          <w:p w14:paraId="2A7C6E54" w14:textId="77777777" w:rsidR="00B5536E" w:rsidRPr="004B08F6" w:rsidRDefault="00B5536E" w:rsidP="006B1858">
            <w:pPr>
              <w:spacing w:line="360" w:lineRule="auto"/>
              <w:jc w:val="center"/>
              <w:rPr>
                <w:rFonts w:ascii="Times New Roman" w:hAnsi="Times New Roman" w:cs="Times New Roman"/>
                <w:sz w:val="24"/>
                <w:szCs w:val="24"/>
              </w:rPr>
            </w:pPr>
            <w:r w:rsidRPr="004B08F6">
              <w:rPr>
                <w:rFonts w:ascii="Times New Roman" w:hAnsi="Times New Roman" w:cs="Times New Roman"/>
                <w:sz w:val="24"/>
                <w:szCs w:val="24"/>
              </w:rPr>
              <w:t>0,004</w:t>
            </w:r>
          </w:p>
        </w:tc>
        <w:tc>
          <w:tcPr>
            <w:tcW w:w="1435" w:type="dxa"/>
            <w:vAlign w:val="center"/>
          </w:tcPr>
          <w:p w14:paraId="34C7194C" w14:textId="59F20FB6" w:rsidR="00B5536E" w:rsidRPr="004B08F6"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0,150</w:t>
            </w:r>
          </w:p>
        </w:tc>
      </w:tr>
      <w:tr w:rsidR="00B5536E" w:rsidRPr="00DA07E4" w14:paraId="7E3FFFA2" w14:textId="55224DF4" w:rsidTr="00B5536E">
        <w:trPr>
          <w:trHeight w:val="835"/>
        </w:trPr>
        <w:tc>
          <w:tcPr>
            <w:tcW w:w="2033" w:type="dxa"/>
            <w:shd w:val="clear" w:color="auto" w:fill="D9D9D9" w:themeFill="background1" w:themeFillShade="D9"/>
            <w:vAlign w:val="center"/>
          </w:tcPr>
          <w:p w14:paraId="03B2B050"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D3 skóre</w:t>
            </w:r>
          </w:p>
        </w:tc>
        <w:tc>
          <w:tcPr>
            <w:tcW w:w="1780" w:type="dxa"/>
            <w:vAlign w:val="center"/>
          </w:tcPr>
          <w:p w14:paraId="7922AACD"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w:t>
            </w:r>
          </w:p>
          <w:p w14:paraId="41FF8515"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(97,5 – 100,0)</w:t>
            </w:r>
          </w:p>
        </w:tc>
        <w:tc>
          <w:tcPr>
            <w:tcW w:w="1774" w:type="dxa"/>
            <w:vAlign w:val="center"/>
          </w:tcPr>
          <w:p w14:paraId="02A142AF"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93,8</w:t>
            </w:r>
          </w:p>
          <w:p w14:paraId="7F87F50F"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(61,7 – 100,0)</w:t>
            </w:r>
          </w:p>
        </w:tc>
        <w:tc>
          <w:tcPr>
            <w:tcW w:w="1471" w:type="dxa"/>
            <w:vAlign w:val="center"/>
          </w:tcPr>
          <w:p w14:paraId="1DD13737" w14:textId="77777777" w:rsidR="00B5536E" w:rsidRPr="004B08F6" w:rsidRDefault="00B5536E" w:rsidP="006B1858">
            <w:pPr>
              <w:spacing w:line="360" w:lineRule="auto"/>
              <w:jc w:val="center"/>
              <w:rPr>
                <w:rFonts w:ascii="Times New Roman" w:hAnsi="Times New Roman" w:cs="Times New Roman"/>
                <w:sz w:val="24"/>
                <w:szCs w:val="24"/>
              </w:rPr>
            </w:pPr>
            <w:r w:rsidRPr="004B08F6">
              <w:rPr>
                <w:rFonts w:ascii="Times New Roman" w:hAnsi="Times New Roman" w:cs="Times New Roman"/>
                <w:sz w:val="24"/>
                <w:szCs w:val="24"/>
              </w:rPr>
              <w:t>0,018</w:t>
            </w:r>
          </w:p>
        </w:tc>
        <w:tc>
          <w:tcPr>
            <w:tcW w:w="1435" w:type="dxa"/>
            <w:vAlign w:val="center"/>
          </w:tcPr>
          <w:p w14:paraId="20155F36" w14:textId="4C35D7D5" w:rsidR="00B5536E" w:rsidRPr="004B08F6"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0,117</w:t>
            </w:r>
          </w:p>
        </w:tc>
      </w:tr>
      <w:tr w:rsidR="00B5536E" w:rsidRPr="00DA07E4" w14:paraId="6A4DCB6E" w14:textId="6EF25EB9" w:rsidTr="00B5536E">
        <w:trPr>
          <w:trHeight w:val="833"/>
        </w:trPr>
        <w:tc>
          <w:tcPr>
            <w:tcW w:w="2033" w:type="dxa"/>
            <w:shd w:val="clear" w:color="auto" w:fill="D9D9D9" w:themeFill="background1" w:themeFillShade="D9"/>
            <w:vAlign w:val="center"/>
          </w:tcPr>
          <w:p w14:paraId="783EF511" w14:textId="77777777" w:rsidR="00B5536E" w:rsidRPr="00DA07E4" w:rsidRDefault="00B5536E" w:rsidP="006B185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A07E4">
              <w:rPr>
                <w:rFonts w:ascii="Times New Roman" w:hAnsi="Times New Roman" w:cs="Times New Roman"/>
                <w:b/>
                <w:sz w:val="24"/>
                <w:szCs w:val="24"/>
              </w:rPr>
              <w:t>D4 skóre</w:t>
            </w:r>
          </w:p>
        </w:tc>
        <w:tc>
          <w:tcPr>
            <w:tcW w:w="1780" w:type="dxa"/>
            <w:vAlign w:val="center"/>
          </w:tcPr>
          <w:p w14:paraId="224C79E6"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w:t>
            </w:r>
          </w:p>
          <w:p w14:paraId="6AED359C"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 – 100,0)</w:t>
            </w:r>
          </w:p>
        </w:tc>
        <w:tc>
          <w:tcPr>
            <w:tcW w:w="1774" w:type="dxa"/>
            <w:vAlign w:val="center"/>
          </w:tcPr>
          <w:p w14:paraId="292E7F55"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100,0</w:t>
            </w:r>
          </w:p>
          <w:p w14:paraId="77D7BBD0"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(50,0 – 100,0)</w:t>
            </w:r>
          </w:p>
        </w:tc>
        <w:tc>
          <w:tcPr>
            <w:tcW w:w="1471" w:type="dxa"/>
            <w:vAlign w:val="center"/>
          </w:tcPr>
          <w:p w14:paraId="2A4D15E5" w14:textId="77777777" w:rsidR="00B5536E" w:rsidRPr="004B08F6" w:rsidRDefault="00B5536E" w:rsidP="006B1858">
            <w:pPr>
              <w:spacing w:line="360" w:lineRule="auto"/>
              <w:jc w:val="center"/>
              <w:rPr>
                <w:rFonts w:ascii="Times New Roman" w:hAnsi="Times New Roman" w:cs="Times New Roman"/>
                <w:sz w:val="24"/>
                <w:szCs w:val="24"/>
              </w:rPr>
            </w:pPr>
            <w:r w:rsidRPr="004B08F6">
              <w:rPr>
                <w:rFonts w:ascii="Times New Roman" w:hAnsi="Times New Roman" w:cs="Times New Roman"/>
                <w:sz w:val="24"/>
                <w:szCs w:val="24"/>
              </w:rPr>
              <w:t>0,001</w:t>
            </w:r>
          </w:p>
        </w:tc>
        <w:tc>
          <w:tcPr>
            <w:tcW w:w="1435" w:type="dxa"/>
            <w:vAlign w:val="center"/>
          </w:tcPr>
          <w:p w14:paraId="6328E3AE" w14:textId="2DDCA817" w:rsidR="00B5536E" w:rsidRPr="004B08F6"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0,166</w:t>
            </w:r>
          </w:p>
        </w:tc>
      </w:tr>
      <w:tr w:rsidR="00B5536E" w:rsidRPr="00DA07E4" w14:paraId="07CAFAAE" w14:textId="32B36972" w:rsidTr="00B5536E">
        <w:trPr>
          <w:trHeight w:val="840"/>
        </w:trPr>
        <w:tc>
          <w:tcPr>
            <w:tcW w:w="2033" w:type="dxa"/>
            <w:shd w:val="clear" w:color="auto" w:fill="D9D9D9" w:themeFill="background1" w:themeFillShade="D9"/>
            <w:vAlign w:val="center"/>
          </w:tcPr>
          <w:p w14:paraId="4582219D" w14:textId="77777777" w:rsidR="00B5536E" w:rsidRPr="00DA07E4" w:rsidRDefault="00B5536E" w:rsidP="006B1858">
            <w:pPr>
              <w:spacing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Celkové skóre</w:t>
            </w:r>
          </w:p>
        </w:tc>
        <w:tc>
          <w:tcPr>
            <w:tcW w:w="1780" w:type="dxa"/>
            <w:vAlign w:val="center"/>
          </w:tcPr>
          <w:p w14:paraId="2C50580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95,5</w:t>
            </w:r>
          </w:p>
          <w:p w14:paraId="214DF623"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(90,2 – 97,3)</w:t>
            </w:r>
          </w:p>
        </w:tc>
        <w:tc>
          <w:tcPr>
            <w:tcW w:w="1774" w:type="dxa"/>
            <w:vAlign w:val="center"/>
          </w:tcPr>
          <w:p w14:paraId="46E85E47"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87,1</w:t>
            </w:r>
          </w:p>
          <w:p w14:paraId="5B75A128" w14:textId="77777777" w:rsidR="00B5536E" w:rsidRPr="00645321" w:rsidRDefault="00B5536E" w:rsidP="006B1858">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(52,9 – 94,6)</w:t>
            </w:r>
          </w:p>
        </w:tc>
        <w:tc>
          <w:tcPr>
            <w:tcW w:w="1471" w:type="dxa"/>
            <w:vAlign w:val="center"/>
          </w:tcPr>
          <w:p w14:paraId="4AB473CA" w14:textId="77777777" w:rsidR="00B5536E" w:rsidRPr="004B08F6" w:rsidRDefault="00B5536E" w:rsidP="006B1858">
            <w:pPr>
              <w:spacing w:line="360" w:lineRule="auto"/>
              <w:jc w:val="center"/>
              <w:rPr>
                <w:rFonts w:ascii="Times New Roman" w:hAnsi="Times New Roman" w:cs="Times New Roman"/>
                <w:sz w:val="24"/>
                <w:szCs w:val="24"/>
              </w:rPr>
            </w:pPr>
            <w:r w:rsidRPr="004B08F6">
              <w:rPr>
                <w:rFonts w:ascii="Times New Roman" w:hAnsi="Times New Roman" w:cs="Times New Roman"/>
                <w:sz w:val="24"/>
                <w:szCs w:val="24"/>
              </w:rPr>
              <w:t>&lt;0,001</w:t>
            </w:r>
          </w:p>
        </w:tc>
        <w:tc>
          <w:tcPr>
            <w:tcW w:w="1435" w:type="dxa"/>
            <w:vAlign w:val="center"/>
          </w:tcPr>
          <w:p w14:paraId="27E10F16" w14:textId="2E2A0F9C" w:rsidR="00B5536E" w:rsidRPr="004B08F6" w:rsidRDefault="00B5536E" w:rsidP="006B1858">
            <w:pPr>
              <w:spacing w:line="360" w:lineRule="auto"/>
              <w:jc w:val="center"/>
              <w:rPr>
                <w:rFonts w:ascii="Times New Roman" w:hAnsi="Times New Roman" w:cs="Times New Roman"/>
                <w:sz w:val="24"/>
                <w:szCs w:val="24"/>
              </w:rPr>
            </w:pPr>
            <w:r>
              <w:rPr>
                <w:rFonts w:ascii="Times New Roman" w:hAnsi="Times New Roman" w:cs="Times New Roman"/>
                <w:sz w:val="24"/>
                <w:szCs w:val="24"/>
              </w:rPr>
              <w:t>0,178</w:t>
            </w:r>
          </w:p>
        </w:tc>
      </w:tr>
    </w:tbl>
    <w:p w14:paraId="218756B3" w14:textId="08B7770D" w:rsidR="006B1858" w:rsidRDefault="006B1858" w:rsidP="006B1858">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Pr>
          <w:rFonts w:ascii="Times New Roman" w:hAnsi="Times New Roman" w:cs="Times New Roman"/>
          <w:sz w:val="24"/>
          <w:szCs w:val="24"/>
        </w:rPr>
        <w:t>Mann-Whitney U</w:t>
      </w:r>
      <w:r w:rsidR="00085EF2">
        <w:rPr>
          <w:rFonts w:ascii="Times New Roman" w:hAnsi="Times New Roman" w:cs="Times New Roman"/>
          <w:sz w:val="24"/>
          <w:szCs w:val="24"/>
        </w:rPr>
        <w:t> </w:t>
      </w:r>
      <w:r>
        <w:rPr>
          <w:rFonts w:ascii="Times New Roman" w:hAnsi="Times New Roman" w:cs="Times New Roman"/>
          <w:sz w:val="24"/>
          <w:szCs w:val="24"/>
        </w:rPr>
        <w:t>test</w:t>
      </w:r>
      <w:r w:rsidR="00085EF2">
        <w:rPr>
          <w:rFonts w:ascii="Times New Roman" w:hAnsi="Times New Roman" w:cs="Times New Roman"/>
          <w:sz w:val="24"/>
          <w:szCs w:val="24"/>
        </w:rPr>
        <w:tab/>
      </w:r>
      <w:r w:rsidR="00B5536E">
        <w:rPr>
          <w:rFonts w:ascii="Times New Roman" w:hAnsi="Times New Roman" w:cs="Times New Roman"/>
          <w:sz w:val="24"/>
          <w:szCs w:val="24"/>
        </w:rPr>
        <w:tab/>
      </w:r>
      <w:r w:rsidR="00085EF2">
        <w:rPr>
          <w:rFonts w:ascii="Times New Roman" w:hAnsi="Times New Roman" w:cs="Times New Roman"/>
          <w:sz w:val="24"/>
          <w:szCs w:val="24"/>
        </w:rPr>
        <w:t>IR – 25. až 75. percentil</w:t>
      </w:r>
    </w:p>
    <w:p w14:paraId="015EF3DC" w14:textId="32BDF300" w:rsidR="00B5536E" w:rsidRPr="00B5536E" w:rsidRDefault="00B5536E" w:rsidP="006B1858">
      <w:pPr>
        <w:spacing w:after="0" w:line="360" w:lineRule="auto"/>
        <w:jc w:val="both"/>
        <w:rPr>
          <w:rFonts w:ascii="Times New Roman" w:hAnsi="Times New Roman" w:cs="Times New Roman"/>
          <w:sz w:val="20"/>
          <w:szCs w:val="24"/>
        </w:rPr>
      </w:pPr>
      <w:r w:rsidRPr="00B5536E">
        <w:rPr>
          <w:rFonts w:ascii="Times New Roman" w:hAnsi="Times New Roman" w:cs="Times New Roman"/>
          <w:sz w:val="20"/>
          <w:vertAlign w:val="superscript"/>
        </w:rPr>
        <w:t>a </w:t>
      </w:r>
      <w:r w:rsidRPr="00B5536E">
        <w:rPr>
          <w:rFonts w:ascii="Times New Roman" w:hAnsi="Times New Roman" w:cs="Times New Roman"/>
          <w:sz w:val="20"/>
        </w:rPr>
        <w:t>Parameter „effect size“ bol vypočítaný na základe indexu h</w:t>
      </w:r>
      <w:r w:rsidRPr="00B5536E">
        <w:rPr>
          <w:rFonts w:ascii="Times New Roman" w:hAnsi="Times New Roman" w:cs="Times New Roman"/>
          <w:sz w:val="20"/>
          <w:vertAlign w:val="superscript"/>
        </w:rPr>
        <w:t>2</w:t>
      </w:r>
      <w:r w:rsidRPr="00B5536E">
        <w:rPr>
          <w:rFonts w:ascii="Times New Roman" w:hAnsi="Times New Roman" w:cs="Times New Roman"/>
          <w:sz w:val="20"/>
        </w:rPr>
        <w:t>. Podľa Cohena malé, stredné a veľké „effect size“ (h</w:t>
      </w:r>
      <w:r w:rsidRPr="009E7FA9">
        <w:rPr>
          <w:rFonts w:ascii="Times New Roman" w:hAnsi="Times New Roman" w:cs="Times New Roman"/>
          <w:sz w:val="20"/>
          <w:vertAlign w:val="superscript"/>
        </w:rPr>
        <w:t>2</w:t>
      </w:r>
      <w:r w:rsidRPr="00B5536E">
        <w:rPr>
          <w:rFonts w:ascii="Times New Roman" w:hAnsi="Times New Roman" w:cs="Times New Roman"/>
          <w:sz w:val="20"/>
        </w:rPr>
        <w:t>) sú klasifikované: 0,00 až 0,003 bez účinku; 0,010 až 0,039 malý; 0,060 až 0,110 stredný; 0,140 až 0,200 veľký účinok</w:t>
      </w:r>
    </w:p>
    <w:p w14:paraId="77B0257D" w14:textId="72829E2F" w:rsidR="006B1858" w:rsidRDefault="006B1858" w:rsidP="006B1858">
      <w:pPr>
        <w:spacing w:after="0" w:line="360" w:lineRule="auto"/>
        <w:jc w:val="both"/>
        <w:rPr>
          <w:rFonts w:ascii="Times New Roman" w:hAnsi="Times New Roman" w:cs="Times New Roman"/>
          <w:sz w:val="24"/>
          <w:szCs w:val="24"/>
        </w:rPr>
      </w:pPr>
    </w:p>
    <w:p w14:paraId="17FB581A" w14:textId="206FADFF" w:rsidR="008E47DC" w:rsidRDefault="008E47DC" w:rsidP="006B1858">
      <w:pPr>
        <w:spacing w:after="0" w:line="360" w:lineRule="auto"/>
        <w:jc w:val="both"/>
        <w:rPr>
          <w:rFonts w:ascii="Times New Roman" w:hAnsi="Times New Roman" w:cs="Times New Roman"/>
          <w:sz w:val="24"/>
          <w:szCs w:val="24"/>
        </w:rPr>
      </w:pPr>
    </w:p>
    <w:p w14:paraId="7772CD3A" w14:textId="3E01DE69" w:rsidR="008E47DC" w:rsidRDefault="008E47DC" w:rsidP="006B1858">
      <w:pPr>
        <w:spacing w:after="0" w:line="360" w:lineRule="auto"/>
        <w:jc w:val="both"/>
        <w:rPr>
          <w:rFonts w:ascii="Times New Roman" w:hAnsi="Times New Roman" w:cs="Times New Roman"/>
          <w:sz w:val="24"/>
          <w:szCs w:val="24"/>
        </w:rPr>
      </w:pPr>
    </w:p>
    <w:p w14:paraId="68BE4114" w14:textId="21BA9550" w:rsidR="008E47DC" w:rsidRDefault="008E47DC" w:rsidP="006B1858">
      <w:pPr>
        <w:spacing w:after="0" w:line="360" w:lineRule="auto"/>
        <w:jc w:val="both"/>
        <w:rPr>
          <w:rFonts w:ascii="Times New Roman" w:hAnsi="Times New Roman" w:cs="Times New Roman"/>
          <w:sz w:val="24"/>
          <w:szCs w:val="24"/>
        </w:rPr>
      </w:pPr>
    </w:p>
    <w:p w14:paraId="0DFEE087" w14:textId="7037CBD9" w:rsidR="008E47DC" w:rsidRDefault="008E47DC" w:rsidP="006B1858">
      <w:pPr>
        <w:spacing w:after="0" w:line="360" w:lineRule="auto"/>
        <w:jc w:val="both"/>
        <w:rPr>
          <w:rFonts w:ascii="Times New Roman" w:hAnsi="Times New Roman" w:cs="Times New Roman"/>
          <w:sz w:val="24"/>
          <w:szCs w:val="24"/>
        </w:rPr>
      </w:pPr>
    </w:p>
    <w:p w14:paraId="2794282A" w14:textId="14067664" w:rsidR="008E47DC" w:rsidRDefault="008E47DC" w:rsidP="006B1858">
      <w:pPr>
        <w:spacing w:after="0" w:line="360" w:lineRule="auto"/>
        <w:jc w:val="both"/>
        <w:rPr>
          <w:rFonts w:ascii="Times New Roman" w:hAnsi="Times New Roman" w:cs="Times New Roman"/>
          <w:sz w:val="24"/>
          <w:szCs w:val="24"/>
        </w:rPr>
      </w:pPr>
    </w:p>
    <w:p w14:paraId="56F893B9" w14:textId="4527B0A4" w:rsidR="008E47DC" w:rsidRDefault="008E47DC" w:rsidP="006B1858">
      <w:pPr>
        <w:spacing w:after="0" w:line="360" w:lineRule="auto"/>
        <w:jc w:val="both"/>
        <w:rPr>
          <w:rFonts w:ascii="Times New Roman" w:hAnsi="Times New Roman" w:cs="Times New Roman"/>
          <w:sz w:val="24"/>
          <w:szCs w:val="24"/>
        </w:rPr>
      </w:pPr>
    </w:p>
    <w:p w14:paraId="1EB06C1B" w14:textId="42390E82" w:rsidR="008E47DC" w:rsidRDefault="008E47DC" w:rsidP="006B1858">
      <w:pPr>
        <w:spacing w:after="0" w:line="360" w:lineRule="auto"/>
        <w:jc w:val="both"/>
        <w:rPr>
          <w:rFonts w:ascii="Times New Roman" w:hAnsi="Times New Roman" w:cs="Times New Roman"/>
          <w:sz w:val="24"/>
          <w:szCs w:val="24"/>
        </w:rPr>
      </w:pPr>
    </w:p>
    <w:p w14:paraId="21EE6440" w14:textId="225D187C" w:rsidR="008E47DC" w:rsidRDefault="008E47DC" w:rsidP="006B1858">
      <w:pPr>
        <w:spacing w:after="0" w:line="360" w:lineRule="auto"/>
        <w:jc w:val="both"/>
        <w:rPr>
          <w:rFonts w:ascii="Times New Roman" w:hAnsi="Times New Roman" w:cs="Times New Roman"/>
          <w:sz w:val="24"/>
          <w:szCs w:val="24"/>
        </w:rPr>
      </w:pPr>
    </w:p>
    <w:p w14:paraId="68810000" w14:textId="06E7B93C" w:rsidR="008E47DC" w:rsidRDefault="008E47DC" w:rsidP="006B1858">
      <w:pPr>
        <w:spacing w:after="0" w:line="360" w:lineRule="auto"/>
        <w:jc w:val="both"/>
        <w:rPr>
          <w:rFonts w:ascii="Times New Roman" w:hAnsi="Times New Roman" w:cs="Times New Roman"/>
          <w:sz w:val="24"/>
          <w:szCs w:val="24"/>
        </w:rPr>
      </w:pPr>
    </w:p>
    <w:p w14:paraId="02B9F0C4" w14:textId="01235E5D" w:rsidR="008E47DC" w:rsidRDefault="008E47DC" w:rsidP="006B1858">
      <w:pPr>
        <w:spacing w:after="0" w:line="360" w:lineRule="auto"/>
        <w:jc w:val="both"/>
        <w:rPr>
          <w:rFonts w:ascii="Times New Roman" w:hAnsi="Times New Roman" w:cs="Times New Roman"/>
          <w:sz w:val="24"/>
          <w:szCs w:val="24"/>
        </w:rPr>
      </w:pPr>
    </w:p>
    <w:p w14:paraId="44E7B7CD" w14:textId="4B6C4EE0" w:rsidR="008E47DC" w:rsidRDefault="008E47DC" w:rsidP="006B1858">
      <w:pPr>
        <w:spacing w:after="0" w:line="360" w:lineRule="auto"/>
        <w:jc w:val="both"/>
        <w:rPr>
          <w:rFonts w:ascii="Times New Roman" w:hAnsi="Times New Roman" w:cs="Times New Roman"/>
          <w:sz w:val="24"/>
          <w:szCs w:val="24"/>
        </w:rPr>
      </w:pPr>
    </w:p>
    <w:p w14:paraId="151AD7B2" w14:textId="5868F681" w:rsidR="008E47DC" w:rsidRDefault="008E47DC" w:rsidP="006B1858">
      <w:pPr>
        <w:spacing w:after="0" w:line="360" w:lineRule="auto"/>
        <w:jc w:val="both"/>
        <w:rPr>
          <w:rFonts w:ascii="Times New Roman" w:hAnsi="Times New Roman" w:cs="Times New Roman"/>
          <w:sz w:val="24"/>
          <w:szCs w:val="24"/>
        </w:rPr>
      </w:pPr>
    </w:p>
    <w:p w14:paraId="4DC5904C" w14:textId="37A0A4D9" w:rsidR="008E47DC" w:rsidRDefault="008E47DC" w:rsidP="006B1858">
      <w:pPr>
        <w:spacing w:after="0" w:line="360" w:lineRule="auto"/>
        <w:jc w:val="both"/>
        <w:rPr>
          <w:rFonts w:ascii="Times New Roman" w:hAnsi="Times New Roman" w:cs="Times New Roman"/>
          <w:sz w:val="24"/>
          <w:szCs w:val="24"/>
        </w:rPr>
      </w:pPr>
    </w:p>
    <w:p w14:paraId="28E0FB5D" w14:textId="77777777" w:rsidR="008E47DC" w:rsidRPr="00DA07E4" w:rsidRDefault="008E47DC" w:rsidP="006B1858">
      <w:pPr>
        <w:spacing w:after="0" w:line="360" w:lineRule="auto"/>
        <w:jc w:val="both"/>
        <w:rPr>
          <w:rFonts w:ascii="Times New Roman" w:hAnsi="Times New Roman" w:cs="Times New Roman"/>
          <w:sz w:val="24"/>
          <w:szCs w:val="24"/>
        </w:rPr>
      </w:pPr>
    </w:p>
    <w:p w14:paraId="1D9F48B8" w14:textId="77777777" w:rsidR="00470C8A" w:rsidRDefault="00470C8A" w:rsidP="006B1858">
      <w:pPr>
        <w:spacing w:after="0" w:line="360" w:lineRule="auto"/>
        <w:jc w:val="both"/>
        <w:rPr>
          <w:rFonts w:ascii="Times New Roman" w:hAnsi="Times New Roman" w:cs="Times New Roman"/>
          <w:b/>
          <w:sz w:val="24"/>
          <w:szCs w:val="24"/>
        </w:rPr>
      </w:pPr>
      <w:bookmarkStart w:id="30" w:name="_Hlk68637374"/>
    </w:p>
    <w:p w14:paraId="2D9321EC" w14:textId="444293BB" w:rsidR="000407A4" w:rsidRDefault="000407A4" w:rsidP="000407A4">
      <w:pPr>
        <w:spacing w:after="0" w:line="360" w:lineRule="auto"/>
        <w:jc w:val="both"/>
        <w:rPr>
          <w:rFonts w:ascii="Times New Roman" w:hAnsi="Times New Roman" w:cs="Times New Roman"/>
          <w:sz w:val="24"/>
          <w:szCs w:val="24"/>
        </w:rPr>
      </w:pPr>
      <w:r w:rsidRPr="00D135D4">
        <w:rPr>
          <w:rFonts w:ascii="Times New Roman" w:hAnsi="Times New Roman" w:cs="Times New Roman"/>
          <w:b/>
          <w:sz w:val="24"/>
          <w:szCs w:val="24"/>
        </w:rPr>
        <w:lastRenderedPageBreak/>
        <w:t>Tabuľka 12</w:t>
      </w:r>
      <w:r w:rsidRPr="00D135D4">
        <w:rPr>
          <w:rFonts w:ascii="Times New Roman" w:hAnsi="Times New Roman" w:cs="Times New Roman"/>
          <w:sz w:val="24"/>
          <w:szCs w:val="24"/>
        </w:rPr>
        <w:t xml:space="preserve"> Porovnanie</w:t>
      </w:r>
      <w:r w:rsidRPr="00DA07E4">
        <w:rPr>
          <w:rFonts w:ascii="Times New Roman" w:hAnsi="Times New Roman" w:cs="Times New Roman"/>
          <w:sz w:val="24"/>
          <w:szCs w:val="24"/>
        </w:rPr>
        <w:t xml:space="preserve"> </w:t>
      </w:r>
      <w:r>
        <w:rPr>
          <w:rFonts w:ascii="Times New Roman" w:hAnsi="Times New Roman" w:cs="Times New Roman"/>
          <w:sz w:val="24"/>
          <w:szCs w:val="24"/>
        </w:rPr>
        <w:t>v skupinách RIRS a ESWL podľa</w:t>
      </w:r>
      <w:r w:rsidRPr="00DA07E4">
        <w:rPr>
          <w:rFonts w:ascii="Times New Roman" w:hAnsi="Times New Roman" w:cs="Times New Roman"/>
          <w:sz w:val="24"/>
          <w:szCs w:val="24"/>
        </w:rPr>
        <w:t xml:space="preserve"> WISQOL pred </w:t>
      </w:r>
      <w:r>
        <w:rPr>
          <w:rFonts w:ascii="Times New Roman" w:hAnsi="Times New Roman" w:cs="Times New Roman"/>
          <w:sz w:val="24"/>
          <w:szCs w:val="24"/>
        </w:rPr>
        <w:t xml:space="preserve">intervenciou </w:t>
      </w:r>
    </w:p>
    <w:p w14:paraId="00893208" w14:textId="77777777" w:rsidR="000407A4" w:rsidRDefault="000407A4" w:rsidP="000407A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 xml:space="preserve">a v 24. týždni po intervencii </w:t>
      </w:r>
    </w:p>
    <w:tbl>
      <w:tblPr>
        <w:tblStyle w:val="Mkatabulky"/>
        <w:tblW w:w="8584" w:type="dxa"/>
        <w:tblLayout w:type="fixed"/>
        <w:tblLook w:val="04A0" w:firstRow="1" w:lastRow="0" w:firstColumn="1" w:lastColumn="0" w:noHBand="0" w:noVBand="1"/>
      </w:tblPr>
      <w:tblGrid>
        <w:gridCol w:w="996"/>
        <w:gridCol w:w="996"/>
        <w:gridCol w:w="616"/>
        <w:gridCol w:w="996"/>
        <w:gridCol w:w="996"/>
        <w:gridCol w:w="996"/>
        <w:gridCol w:w="996"/>
        <w:gridCol w:w="996"/>
        <w:gridCol w:w="996"/>
      </w:tblGrid>
      <w:tr w:rsidR="00454B9D" w14:paraId="147EDFC2" w14:textId="674AA9B5" w:rsidTr="00454B9D">
        <w:trPr>
          <w:cantSplit/>
          <w:trHeight w:val="1144"/>
        </w:trPr>
        <w:tc>
          <w:tcPr>
            <w:tcW w:w="996" w:type="dxa"/>
            <w:vMerge w:val="restart"/>
            <w:shd w:val="clear" w:color="auto" w:fill="D9D9D9" w:themeFill="background1" w:themeFillShade="D9"/>
            <w:textDirection w:val="btLr"/>
            <w:vAlign w:val="center"/>
          </w:tcPr>
          <w:p w14:paraId="2A510179"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ESWL (N = 32)</w:t>
            </w:r>
          </w:p>
        </w:tc>
        <w:tc>
          <w:tcPr>
            <w:tcW w:w="996" w:type="dxa"/>
            <w:shd w:val="clear" w:color="auto" w:fill="D9D9D9" w:themeFill="background1" w:themeFillShade="D9"/>
            <w:textDirection w:val="btLr"/>
            <w:vAlign w:val="center"/>
          </w:tcPr>
          <w:p w14:paraId="00B24B04"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 xml:space="preserve">Eta </w:t>
            </w:r>
          </w:p>
          <w:p w14:paraId="52F47F14" w14:textId="77777777" w:rsidR="00454B9D" w:rsidRPr="00D25DD3" w:rsidRDefault="00454B9D" w:rsidP="000407A4">
            <w:pPr>
              <w:spacing w:line="360" w:lineRule="auto"/>
              <w:ind w:left="113" w:right="113"/>
              <w:jc w:val="center"/>
              <w:rPr>
                <w:rFonts w:ascii="Times New Roman" w:hAnsi="Times New Roman" w:cs="Times New Roman"/>
                <w:b/>
                <w:vertAlign w:val="superscript"/>
              </w:rPr>
            </w:pPr>
            <w:r w:rsidRPr="00D25DD3">
              <w:rPr>
                <w:rFonts w:ascii="Times New Roman" w:hAnsi="Times New Roman" w:cs="Times New Roman"/>
                <w:b/>
              </w:rPr>
              <w:t>squared</w:t>
            </w:r>
            <w:r w:rsidRPr="00D25DD3">
              <w:rPr>
                <w:rFonts w:ascii="Times New Roman" w:hAnsi="Times New Roman" w:cs="Times New Roman"/>
                <w:b/>
                <w:vertAlign w:val="superscript"/>
              </w:rPr>
              <w:t>a</w:t>
            </w:r>
          </w:p>
        </w:tc>
        <w:tc>
          <w:tcPr>
            <w:tcW w:w="616" w:type="dxa"/>
            <w:shd w:val="clear" w:color="auto" w:fill="D9D9D9" w:themeFill="background1" w:themeFillShade="D9"/>
            <w:textDirection w:val="btLr"/>
            <w:vAlign w:val="center"/>
          </w:tcPr>
          <w:p w14:paraId="08BC0151"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2F8B3BFF"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0,393</w:t>
            </w:r>
          </w:p>
        </w:tc>
        <w:tc>
          <w:tcPr>
            <w:tcW w:w="996" w:type="dxa"/>
            <w:shd w:val="clear" w:color="auto" w:fill="auto"/>
            <w:textDirection w:val="btLr"/>
            <w:vAlign w:val="center"/>
          </w:tcPr>
          <w:p w14:paraId="0B8968A0"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0,200</w:t>
            </w:r>
          </w:p>
        </w:tc>
        <w:tc>
          <w:tcPr>
            <w:tcW w:w="996" w:type="dxa"/>
            <w:shd w:val="clear" w:color="auto" w:fill="auto"/>
            <w:textDirection w:val="btLr"/>
            <w:vAlign w:val="center"/>
          </w:tcPr>
          <w:p w14:paraId="317F8470"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0,475</w:t>
            </w:r>
          </w:p>
        </w:tc>
        <w:tc>
          <w:tcPr>
            <w:tcW w:w="996" w:type="dxa"/>
            <w:shd w:val="clear" w:color="auto" w:fill="auto"/>
            <w:textDirection w:val="btLr"/>
            <w:vAlign w:val="center"/>
          </w:tcPr>
          <w:p w14:paraId="04088D04"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0,464</w:t>
            </w:r>
          </w:p>
        </w:tc>
        <w:tc>
          <w:tcPr>
            <w:tcW w:w="996" w:type="dxa"/>
            <w:tcBorders>
              <w:right w:val="single" w:sz="4" w:space="0" w:color="auto"/>
            </w:tcBorders>
            <w:shd w:val="clear" w:color="auto" w:fill="auto"/>
            <w:textDirection w:val="btLr"/>
            <w:vAlign w:val="center"/>
          </w:tcPr>
          <w:p w14:paraId="57167B2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0,404</w:t>
            </w:r>
          </w:p>
        </w:tc>
        <w:tc>
          <w:tcPr>
            <w:tcW w:w="996" w:type="dxa"/>
            <w:vMerge w:val="restart"/>
            <w:tcBorders>
              <w:top w:val="nil"/>
              <w:left w:val="single" w:sz="4" w:space="0" w:color="auto"/>
              <w:bottom w:val="nil"/>
              <w:right w:val="nil"/>
            </w:tcBorders>
            <w:textDirection w:val="btLr"/>
          </w:tcPr>
          <w:p w14:paraId="2CC68B13" w14:textId="77777777" w:rsidR="00454B9D" w:rsidRPr="00D25DD3" w:rsidRDefault="00454B9D" w:rsidP="00454B9D">
            <w:pPr>
              <w:jc w:val="both"/>
              <w:rPr>
                <w:rFonts w:ascii="Times New Roman" w:hAnsi="Times New Roman" w:cs="Times New Roman"/>
                <w:sz w:val="20"/>
                <w:szCs w:val="24"/>
              </w:rPr>
            </w:pPr>
            <w:r w:rsidRPr="00D25DD3">
              <w:rPr>
                <w:rFonts w:ascii="Times New Roman" w:hAnsi="Times New Roman" w:cs="Times New Roman"/>
                <w:sz w:val="20"/>
                <w:szCs w:val="24"/>
              </w:rPr>
              <w:t>*Wilcoxonov test</w:t>
            </w:r>
            <w:r w:rsidRPr="00D25DD3">
              <w:rPr>
                <w:rFonts w:ascii="Times New Roman" w:hAnsi="Times New Roman" w:cs="Times New Roman"/>
                <w:sz w:val="20"/>
                <w:szCs w:val="24"/>
              </w:rPr>
              <w:tab/>
            </w:r>
            <w:r w:rsidRPr="00D25DD3">
              <w:rPr>
                <w:rFonts w:ascii="Times New Roman" w:hAnsi="Times New Roman" w:cs="Times New Roman"/>
                <w:sz w:val="20"/>
                <w:szCs w:val="24"/>
              </w:rPr>
              <w:tab/>
            </w:r>
            <w:r w:rsidRPr="00D25DD3">
              <w:rPr>
                <w:rFonts w:ascii="Times New Roman" w:hAnsi="Times New Roman" w:cs="Times New Roman"/>
                <w:sz w:val="20"/>
                <w:szCs w:val="24"/>
              </w:rPr>
              <w:tab/>
              <w:t>IR – 25. až 75. percentil</w:t>
            </w:r>
          </w:p>
          <w:p w14:paraId="57D229CC" w14:textId="77777777" w:rsidR="00454B9D" w:rsidRDefault="00454B9D" w:rsidP="00454B9D">
            <w:pPr>
              <w:jc w:val="both"/>
            </w:pPr>
            <w:r w:rsidRPr="00470C8A">
              <w:rPr>
                <w:rFonts w:ascii="Times New Roman" w:hAnsi="Times New Roman" w:cs="Times New Roman"/>
                <w:vertAlign w:val="superscript"/>
              </w:rPr>
              <w:t>a </w:t>
            </w:r>
            <w:r w:rsidRPr="00470C8A">
              <w:rPr>
                <w:rFonts w:ascii="Times New Roman" w:hAnsi="Times New Roman" w:cs="Times New Roman"/>
              </w:rPr>
              <w:t>Parameter „effect size“ bol vypočítaný na základe indexu h</w:t>
            </w:r>
            <w:r w:rsidRPr="00470C8A">
              <w:rPr>
                <w:rFonts w:ascii="Times New Roman" w:hAnsi="Times New Roman" w:cs="Times New Roman"/>
                <w:vertAlign w:val="superscript"/>
              </w:rPr>
              <w:t>2</w:t>
            </w:r>
            <w:r w:rsidRPr="00470C8A">
              <w:rPr>
                <w:rFonts w:ascii="Times New Roman" w:hAnsi="Times New Roman" w:cs="Times New Roman"/>
              </w:rPr>
              <w:t>. Podľa Cohena malé, stredné a veľké „effect size“ (h</w:t>
            </w:r>
            <w:r w:rsidRPr="00470C8A">
              <w:rPr>
                <w:rFonts w:ascii="Times New Roman" w:hAnsi="Times New Roman" w:cs="Times New Roman"/>
                <w:vertAlign w:val="superscript"/>
              </w:rPr>
              <w:t>2</w:t>
            </w:r>
            <w:r w:rsidRPr="00470C8A">
              <w:rPr>
                <w:rFonts w:ascii="Times New Roman" w:hAnsi="Times New Roman" w:cs="Times New Roman"/>
              </w:rPr>
              <w:t>) sú klasifikované: 0,00 až 0,003 bez účinku; 0,010 až 0,039 malý; 0,060 až 0,110 stredný; 0,140 až 0,200 veľký účinok</w:t>
            </w:r>
          </w:p>
          <w:p w14:paraId="365D7FB6" w14:textId="77777777" w:rsidR="00454B9D" w:rsidRPr="00D25DD3" w:rsidRDefault="00454B9D" w:rsidP="00454B9D">
            <w:pPr>
              <w:spacing w:line="360" w:lineRule="auto"/>
              <w:ind w:left="113" w:right="113"/>
              <w:rPr>
                <w:rFonts w:ascii="Times New Roman" w:hAnsi="Times New Roman" w:cs="Times New Roman"/>
              </w:rPr>
            </w:pPr>
          </w:p>
        </w:tc>
      </w:tr>
      <w:tr w:rsidR="00454B9D" w14:paraId="10283B11" w14:textId="3BF945BB" w:rsidTr="00454B9D">
        <w:trPr>
          <w:cantSplit/>
          <w:trHeight w:val="1131"/>
        </w:trPr>
        <w:tc>
          <w:tcPr>
            <w:tcW w:w="996" w:type="dxa"/>
            <w:vMerge/>
            <w:shd w:val="clear" w:color="auto" w:fill="D9D9D9" w:themeFill="background1" w:themeFillShade="D9"/>
            <w:textDirection w:val="btLr"/>
            <w:vAlign w:val="center"/>
          </w:tcPr>
          <w:p w14:paraId="625ADA7C"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527CAC0D"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hodnota</w:t>
            </w:r>
          </w:p>
          <w:p w14:paraId="13E142DF"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w:t>
            </w:r>
          </w:p>
        </w:tc>
        <w:tc>
          <w:tcPr>
            <w:tcW w:w="616" w:type="dxa"/>
            <w:shd w:val="clear" w:color="auto" w:fill="D9D9D9" w:themeFill="background1" w:themeFillShade="D9"/>
            <w:textDirection w:val="btLr"/>
            <w:vAlign w:val="center"/>
          </w:tcPr>
          <w:p w14:paraId="43CF17D0"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7AD1663E"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4E4C5700"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61B28C37"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19BA056E"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tcBorders>
              <w:bottom w:val="single" w:sz="4" w:space="0" w:color="auto"/>
              <w:right w:val="single" w:sz="4" w:space="0" w:color="auto"/>
            </w:tcBorders>
            <w:shd w:val="clear" w:color="auto" w:fill="auto"/>
            <w:textDirection w:val="btLr"/>
            <w:vAlign w:val="center"/>
          </w:tcPr>
          <w:p w14:paraId="106F129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vMerge/>
            <w:tcBorders>
              <w:top w:val="nil"/>
              <w:left w:val="single" w:sz="4" w:space="0" w:color="auto"/>
              <w:bottom w:val="nil"/>
              <w:right w:val="nil"/>
            </w:tcBorders>
            <w:textDirection w:val="btLr"/>
          </w:tcPr>
          <w:p w14:paraId="64F4DDE4" w14:textId="77777777" w:rsidR="00454B9D" w:rsidRPr="00D25DD3" w:rsidRDefault="00454B9D" w:rsidP="000407A4">
            <w:pPr>
              <w:spacing w:line="360" w:lineRule="auto"/>
              <w:ind w:left="113" w:right="113"/>
              <w:jc w:val="center"/>
              <w:rPr>
                <w:rFonts w:ascii="Times New Roman" w:hAnsi="Times New Roman" w:cs="Times New Roman"/>
              </w:rPr>
            </w:pPr>
          </w:p>
        </w:tc>
      </w:tr>
      <w:tr w:rsidR="00454B9D" w14:paraId="66C97F83" w14:textId="20F14E32" w:rsidTr="00454B9D">
        <w:trPr>
          <w:cantSplit/>
          <w:trHeight w:val="1403"/>
        </w:trPr>
        <w:tc>
          <w:tcPr>
            <w:tcW w:w="996" w:type="dxa"/>
            <w:vMerge/>
            <w:shd w:val="clear" w:color="auto" w:fill="D9D9D9" w:themeFill="background1" w:themeFillShade="D9"/>
            <w:textDirection w:val="btLr"/>
            <w:vAlign w:val="center"/>
          </w:tcPr>
          <w:p w14:paraId="726EAE59"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1B238EDC"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po</w:t>
            </w:r>
          </w:p>
        </w:tc>
        <w:tc>
          <w:tcPr>
            <w:tcW w:w="616" w:type="dxa"/>
            <w:vMerge w:val="restart"/>
            <w:shd w:val="clear" w:color="auto" w:fill="D9D9D9" w:themeFill="background1" w:themeFillShade="D9"/>
            <w:textDirection w:val="btLr"/>
            <w:vAlign w:val="center"/>
          </w:tcPr>
          <w:p w14:paraId="3E2C5195"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medián (IR)</w:t>
            </w:r>
          </w:p>
        </w:tc>
        <w:tc>
          <w:tcPr>
            <w:tcW w:w="996" w:type="dxa"/>
            <w:shd w:val="clear" w:color="auto" w:fill="auto"/>
            <w:textDirection w:val="btLr"/>
            <w:vAlign w:val="center"/>
          </w:tcPr>
          <w:p w14:paraId="45429BCB"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100,0</w:t>
            </w:r>
          </w:p>
          <w:p w14:paraId="275F8C58"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(53,1-100,0)</w:t>
            </w:r>
          </w:p>
        </w:tc>
        <w:tc>
          <w:tcPr>
            <w:tcW w:w="996" w:type="dxa"/>
            <w:shd w:val="clear" w:color="auto" w:fill="auto"/>
            <w:textDirection w:val="btLr"/>
            <w:vAlign w:val="center"/>
          </w:tcPr>
          <w:p w14:paraId="1797DE65"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78,6</w:t>
            </w:r>
          </w:p>
          <w:p w14:paraId="383B74AD"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(37,5-85,7)</w:t>
            </w:r>
          </w:p>
        </w:tc>
        <w:tc>
          <w:tcPr>
            <w:tcW w:w="996" w:type="dxa"/>
            <w:shd w:val="clear" w:color="auto" w:fill="auto"/>
            <w:textDirection w:val="btLr"/>
            <w:vAlign w:val="center"/>
          </w:tcPr>
          <w:p w14:paraId="5BF7DC39"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93,8</w:t>
            </w:r>
          </w:p>
          <w:p w14:paraId="4EC86C92"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(61,7-100,0)</w:t>
            </w:r>
          </w:p>
        </w:tc>
        <w:tc>
          <w:tcPr>
            <w:tcW w:w="996" w:type="dxa"/>
            <w:shd w:val="clear" w:color="auto" w:fill="auto"/>
            <w:textDirection w:val="btLr"/>
            <w:vAlign w:val="center"/>
          </w:tcPr>
          <w:p w14:paraId="79F9EC29"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100,0</w:t>
            </w:r>
          </w:p>
          <w:p w14:paraId="03E5D9E8"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(50,0-100,0)</w:t>
            </w:r>
          </w:p>
        </w:tc>
        <w:tc>
          <w:tcPr>
            <w:tcW w:w="996" w:type="dxa"/>
            <w:tcBorders>
              <w:right w:val="single" w:sz="4" w:space="0" w:color="auto"/>
            </w:tcBorders>
            <w:shd w:val="clear" w:color="auto" w:fill="auto"/>
            <w:textDirection w:val="btLr"/>
            <w:vAlign w:val="center"/>
          </w:tcPr>
          <w:p w14:paraId="23E55A3F"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87,1</w:t>
            </w:r>
          </w:p>
          <w:p w14:paraId="30C3E8DF"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(52,9-94,6)</w:t>
            </w:r>
          </w:p>
        </w:tc>
        <w:tc>
          <w:tcPr>
            <w:tcW w:w="996" w:type="dxa"/>
            <w:vMerge/>
            <w:tcBorders>
              <w:top w:val="nil"/>
              <w:left w:val="single" w:sz="4" w:space="0" w:color="auto"/>
              <w:bottom w:val="nil"/>
              <w:right w:val="nil"/>
            </w:tcBorders>
            <w:textDirection w:val="btLr"/>
          </w:tcPr>
          <w:p w14:paraId="645189E3" w14:textId="77777777" w:rsidR="00454B9D" w:rsidRDefault="00454B9D" w:rsidP="000407A4">
            <w:pPr>
              <w:spacing w:line="360" w:lineRule="auto"/>
              <w:ind w:left="113" w:right="113"/>
              <w:jc w:val="center"/>
              <w:rPr>
                <w:rFonts w:ascii="Times New Roman" w:hAnsi="Times New Roman" w:cs="Times New Roman"/>
              </w:rPr>
            </w:pPr>
          </w:p>
        </w:tc>
      </w:tr>
      <w:tr w:rsidR="00454B9D" w14:paraId="69E7E202" w14:textId="2723AC5F" w:rsidTr="00454B9D">
        <w:trPr>
          <w:cantSplit/>
          <w:trHeight w:val="1267"/>
        </w:trPr>
        <w:tc>
          <w:tcPr>
            <w:tcW w:w="996" w:type="dxa"/>
            <w:vMerge/>
            <w:shd w:val="clear" w:color="auto" w:fill="D9D9D9" w:themeFill="background1" w:themeFillShade="D9"/>
            <w:textDirection w:val="btLr"/>
            <w:vAlign w:val="center"/>
          </w:tcPr>
          <w:p w14:paraId="5B2DAFE3"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02C17581"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pred</w:t>
            </w:r>
          </w:p>
        </w:tc>
        <w:tc>
          <w:tcPr>
            <w:tcW w:w="616" w:type="dxa"/>
            <w:vMerge/>
            <w:shd w:val="clear" w:color="auto" w:fill="D9D9D9" w:themeFill="background1" w:themeFillShade="D9"/>
            <w:textDirection w:val="btLr"/>
            <w:vAlign w:val="center"/>
          </w:tcPr>
          <w:p w14:paraId="52C587C4"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7EF642FE"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26,6</w:t>
            </w:r>
          </w:p>
          <w:p w14:paraId="4875047B"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(25,0-50,0)</w:t>
            </w:r>
          </w:p>
        </w:tc>
        <w:tc>
          <w:tcPr>
            <w:tcW w:w="996" w:type="dxa"/>
            <w:shd w:val="clear" w:color="auto" w:fill="auto"/>
            <w:textDirection w:val="btLr"/>
            <w:vAlign w:val="center"/>
          </w:tcPr>
          <w:p w14:paraId="4C39C66A"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32,1</w:t>
            </w:r>
          </w:p>
          <w:p w14:paraId="5F7DA147"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(25,9-53,6)</w:t>
            </w:r>
          </w:p>
        </w:tc>
        <w:tc>
          <w:tcPr>
            <w:tcW w:w="996" w:type="dxa"/>
            <w:shd w:val="clear" w:color="auto" w:fill="auto"/>
            <w:textDirection w:val="btLr"/>
            <w:vAlign w:val="center"/>
          </w:tcPr>
          <w:p w14:paraId="71A119A6"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35,9</w:t>
            </w:r>
          </w:p>
          <w:p w14:paraId="4C61F4FB"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(25,8-56,3)</w:t>
            </w:r>
          </w:p>
        </w:tc>
        <w:tc>
          <w:tcPr>
            <w:tcW w:w="996" w:type="dxa"/>
            <w:shd w:val="clear" w:color="auto" w:fill="auto"/>
            <w:textDirection w:val="btLr"/>
            <w:vAlign w:val="center"/>
          </w:tcPr>
          <w:p w14:paraId="65002ECD"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29,2</w:t>
            </w:r>
          </w:p>
          <w:p w14:paraId="531064B5"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(25,0-50,0)</w:t>
            </w:r>
          </w:p>
        </w:tc>
        <w:tc>
          <w:tcPr>
            <w:tcW w:w="996" w:type="dxa"/>
            <w:tcBorders>
              <w:bottom w:val="single" w:sz="4" w:space="0" w:color="auto"/>
              <w:right w:val="single" w:sz="4" w:space="0" w:color="auto"/>
            </w:tcBorders>
            <w:shd w:val="clear" w:color="auto" w:fill="auto"/>
            <w:textDirection w:val="btLr"/>
            <w:vAlign w:val="center"/>
          </w:tcPr>
          <w:p w14:paraId="36F465B9" w14:textId="77777777" w:rsidR="00454B9D"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33,9</w:t>
            </w:r>
          </w:p>
          <w:p w14:paraId="58EF283F" w14:textId="77777777" w:rsidR="00454B9D" w:rsidRPr="00D25DD3" w:rsidRDefault="00454B9D" w:rsidP="000407A4">
            <w:pPr>
              <w:spacing w:line="360" w:lineRule="auto"/>
              <w:ind w:left="113" w:right="113"/>
              <w:jc w:val="center"/>
              <w:rPr>
                <w:rFonts w:ascii="Times New Roman" w:hAnsi="Times New Roman" w:cs="Times New Roman"/>
              </w:rPr>
            </w:pPr>
            <w:r>
              <w:rPr>
                <w:rFonts w:ascii="Times New Roman" w:hAnsi="Times New Roman" w:cs="Times New Roman"/>
              </w:rPr>
              <w:t>(27,7-50,7)</w:t>
            </w:r>
          </w:p>
        </w:tc>
        <w:tc>
          <w:tcPr>
            <w:tcW w:w="996" w:type="dxa"/>
            <w:vMerge/>
            <w:tcBorders>
              <w:top w:val="nil"/>
              <w:left w:val="single" w:sz="4" w:space="0" w:color="auto"/>
              <w:bottom w:val="nil"/>
              <w:right w:val="nil"/>
            </w:tcBorders>
            <w:textDirection w:val="btLr"/>
          </w:tcPr>
          <w:p w14:paraId="1E98895D" w14:textId="77777777" w:rsidR="00454B9D" w:rsidRDefault="00454B9D" w:rsidP="000407A4">
            <w:pPr>
              <w:spacing w:line="360" w:lineRule="auto"/>
              <w:ind w:left="113" w:right="113"/>
              <w:jc w:val="center"/>
              <w:rPr>
                <w:rFonts w:ascii="Times New Roman" w:hAnsi="Times New Roman" w:cs="Times New Roman"/>
              </w:rPr>
            </w:pPr>
          </w:p>
        </w:tc>
      </w:tr>
      <w:tr w:rsidR="00454B9D" w14:paraId="7629E14C" w14:textId="5CDA67E3" w:rsidTr="00454B9D">
        <w:trPr>
          <w:cantSplit/>
          <w:trHeight w:val="1129"/>
        </w:trPr>
        <w:tc>
          <w:tcPr>
            <w:tcW w:w="996" w:type="dxa"/>
            <w:vMerge w:val="restart"/>
            <w:shd w:val="clear" w:color="auto" w:fill="D9D9D9" w:themeFill="background1" w:themeFillShade="D9"/>
            <w:textDirection w:val="btLr"/>
            <w:vAlign w:val="center"/>
          </w:tcPr>
          <w:p w14:paraId="7FD660DB"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RIRS (N = 34)</w:t>
            </w:r>
          </w:p>
        </w:tc>
        <w:tc>
          <w:tcPr>
            <w:tcW w:w="996" w:type="dxa"/>
            <w:shd w:val="clear" w:color="auto" w:fill="D9D9D9" w:themeFill="background1" w:themeFillShade="D9"/>
            <w:textDirection w:val="btLr"/>
            <w:vAlign w:val="center"/>
          </w:tcPr>
          <w:p w14:paraId="5E4EB49B"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 xml:space="preserve">Eta </w:t>
            </w:r>
          </w:p>
          <w:p w14:paraId="0C7392AD" w14:textId="77777777" w:rsidR="00454B9D" w:rsidRPr="00D25DD3" w:rsidRDefault="00454B9D" w:rsidP="000407A4">
            <w:pPr>
              <w:spacing w:line="360" w:lineRule="auto"/>
              <w:ind w:left="113" w:right="113"/>
              <w:jc w:val="center"/>
              <w:rPr>
                <w:rFonts w:ascii="Times New Roman" w:hAnsi="Times New Roman" w:cs="Times New Roman"/>
                <w:b/>
                <w:vertAlign w:val="superscript"/>
              </w:rPr>
            </w:pPr>
            <w:r w:rsidRPr="00D25DD3">
              <w:rPr>
                <w:rFonts w:ascii="Times New Roman" w:hAnsi="Times New Roman" w:cs="Times New Roman"/>
                <w:b/>
              </w:rPr>
              <w:t>squared</w:t>
            </w:r>
            <w:r w:rsidRPr="00D25DD3">
              <w:rPr>
                <w:rFonts w:ascii="Times New Roman" w:hAnsi="Times New Roman" w:cs="Times New Roman"/>
                <w:b/>
                <w:vertAlign w:val="superscript"/>
              </w:rPr>
              <w:t>a</w:t>
            </w:r>
          </w:p>
        </w:tc>
        <w:tc>
          <w:tcPr>
            <w:tcW w:w="616" w:type="dxa"/>
            <w:shd w:val="clear" w:color="auto" w:fill="D9D9D9" w:themeFill="background1" w:themeFillShade="D9"/>
            <w:textDirection w:val="btLr"/>
            <w:vAlign w:val="center"/>
          </w:tcPr>
          <w:p w14:paraId="48CEADB2"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3BEA5E01"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0,737</w:t>
            </w:r>
          </w:p>
        </w:tc>
        <w:tc>
          <w:tcPr>
            <w:tcW w:w="996" w:type="dxa"/>
            <w:shd w:val="clear" w:color="auto" w:fill="auto"/>
            <w:textDirection w:val="btLr"/>
            <w:vAlign w:val="center"/>
          </w:tcPr>
          <w:p w14:paraId="29252C20"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0,669</w:t>
            </w:r>
          </w:p>
        </w:tc>
        <w:tc>
          <w:tcPr>
            <w:tcW w:w="996" w:type="dxa"/>
            <w:shd w:val="clear" w:color="auto" w:fill="auto"/>
            <w:textDirection w:val="btLr"/>
            <w:vAlign w:val="center"/>
          </w:tcPr>
          <w:p w14:paraId="121A8059"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0,669</w:t>
            </w:r>
          </w:p>
        </w:tc>
        <w:tc>
          <w:tcPr>
            <w:tcW w:w="996" w:type="dxa"/>
            <w:shd w:val="clear" w:color="auto" w:fill="auto"/>
            <w:textDirection w:val="btLr"/>
            <w:vAlign w:val="center"/>
          </w:tcPr>
          <w:p w14:paraId="1DBA9D11"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0,584</w:t>
            </w:r>
          </w:p>
        </w:tc>
        <w:tc>
          <w:tcPr>
            <w:tcW w:w="996" w:type="dxa"/>
            <w:tcBorders>
              <w:right w:val="single" w:sz="4" w:space="0" w:color="auto"/>
            </w:tcBorders>
            <w:shd w:val="clear" w:color="auto" w:fill="auto"/>
            <w:textDirection w:val="btLr"/>
            <w:vAlign w:val="center"/>
          </w:tcPr>
          <w:p w14:paraId="1B285AA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0,751</w:t>
            </w:r>
          </w:p>
        </w:tc>
        <w:tc>
          <w:tcPr>
            <w:tcW w:w="996" w:type="dxa"/>
            <w:vMerge/>
            <w:tcBorders>
              <w:top w:val="nil"/>
              <w:left w:val="single" w:sz="4" w:space="0" w:color="auto"/>
              <w:bottom w:val="nil"/>
              <w:right w:val="nil"/>
            </w:tcBorders>
            <w:textDirection w:val="btLr"/>
          </w:tcPr>
          <w:p w14:paraId="41D044A9" w14:textId="77777777" w:rsidR="00454B9D" w:rsidRPr="00D25DD3" w:rsidRDefault="00454B9D" w:rsidP="000407A4">
            <w:pPr>
              <w:spacing w:line="360" w:lineRule="auto"/>
              <w:ind w:left="113" w:right="113"/>
              <w:jc w:val="center"/>
              <w:rPr>
                <w:rFonts w:ascii="Times New Roman" w:hAnsi="Times New Roman" w:cs="Times New Roman"/>
              </w:rPr>
            </w:pPr>
          </w:p>
        </w:tc>
      </w:tr>
      <w:tr w:rsidR="00454B9D" w14:paraId="1B5A6A6F" w14:textId="6DE6CF06" w:rsidTr="00454B9D">
        <w:trPr>
          <w:cantSplit/>
          <w:trHeight w:val="1094"/>
        </w:trPr>
        <w:tc>
          <w:tcPr>
            <w:tcW w:w="996" w:type="dxa"/>
            <w:vMerge/>
            <w:shd w:val="clear" w:color="auto" w:fill="D9D9D9" w:themeFill="background1" w:themeFillShade="D9"/>
            <w:textDirection w:val="btLr"/>
            <w:vAlign w:val="center"/>
          </w:tcPr>
          <w:p w14:paraId="3FB528C1"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23E94F9A"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hodnota</w:t>
            </w:r>
          </w:p>
          <w:p w14:paraId="489F9878"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w:t>
            </w:r>
          </w:p>
        </w:tc>
        <w:tc>
          <w:tcPr>
            <w:tcW w:w="616" w:type="dxa"/>
            <w:shd w:val="clear" w:color="auto" w:fill="D9D9D9" w:themeFill="background1" w:themeFillShade="D9"/>
            <w:textDirection w:val="btLr"/>
            <w:vAlign w:val="center"/>
          </w:tcPr>
          <w:p w14:paraId="2DA8FF0C"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474D45D4"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7A7CA104"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1A3A0FD7"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shd w:val="clear" w:color="auto" w:fill="auto"/>
            <w:textDirection w:val="btLr"/>
            <w:vAlign w:val="center"/>
          </w:tcPr>
          <w:p w14:paraId="407E6879"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tcBorders>
              <w:bottom w:val="single" w:sz="4" w:space="0" w:color="auto"/>
              <w:right w:val="single" w:sz="4" w:space="0" w:color="auto"/>
            </w:tcBorders>
            <w:shd w:val="clear" w:color="auto" w:fill="auto"/>
            <w:textDirection w:val="btLr"/>
            <w:vAlign w:val="center"/>
          </w:tcPr>
          <w:p w14:paraId="4C7ABABB"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&lt;0,001</w:t>
            </w:r>
          </w:p>
        </w:tc>
        <w:tc>
          <w:tcPr>
            <w:tcW w:w="996" w:type="dxa"/>
            <w:vMerge/>
            <w:tcBorders>
              <w:top w:val="nil"/>
              <w:left w:val="single" w:sz="4" w:space="0" w:color="auto"/>
              <w:bottom w:val="nil"/>
              <w:right w:val="nil"/>
            </w:tcBorders>
            <w:textDirection w:val="btLr"/>
          </w:tcPr>
          <w:p w14:paraId="4AA10BE5" w14:textId="77777777" w:rsidR="00454B9D" w:rsidRPr="00D25DD3" w:rsidRDefault="00454B9D" w:rsidP="000407A4">
            <w:pPr>
              <w:spacing w:line="360" w:lineRule="auto"/>
              <w:ind w:left="113" w:right="113"/>
              <w:jc w:val="center"/>
              <w:rPr>
                <w:rFonts w:ascii="Times New Roman" w:hAnsi="Times New Roman" w:cs="Times New Roman"/>
              </w:rPr>
            </w:pPr>
          </w:p>
        </w:tc>
      </w:tr>
      <w:tr w:rsidR="00454B9D" w14:paraId="7F34DF00" w14:textId="1F522DA1" w:rsidTr="00454B9D">
        <w:trPr>
          <w:cantSplit/>
          <w:trHeight w:val="1573"/>
        </w:trPr>
        <w:tc>
          <w:tcPr>
            <w:tcW w:w="996" w:type="dxa"/>
            <w:vMerge/>
            <w:shd w:val="clear" w:color="auto" w:fill="D9D9D9" w:themeFill="background1" w:themeFillShade="D9"/>
            <w:textDirection w:val="btLr"/>
            <w:vAlign w:val="center"/>
          </w:tcPr>
          <w:p w14:paraId="76B1D746"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1F9C860D"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po</w:t>
            </w:r>
          </w:p>
        </w:tc>
        <w:tc>
          <w:tcPr>
            <w:tcW w:w="616" w:type="dxa"/>
            <w:vMerge w:val="restart"/>
            <w:shd w:val="clear" w:color="auto" w:fill="D9D9D9" w:themeFill="background1" w:themeFillShade="D9"/>
            <w:textDirection w:val="btLr"/>
            <w:vAlign w:val="center"/>
          </w:tcPr>
          <w:p w14:paraId="52CF70AC"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medián (IR)</w:t>
            </w:r>
          </w:p>
        </w:tc>
        <w:tc>
          <w:tcPr>
            <w:tcW w:w="996" w:type="dxa"/>
            <w:shd w:val="clear" w:color="auto" w:fill="auto"/>
            <w:textDirection w:val="btLr"/>
            <w:vAlign w:val="center"/>
          </w:tcPr>
          <w:p w14:paraId="7B22490D"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100,0</w:t>
            </w:r>
          </w:p>
          <w:p w14:paraId="6D597E5E"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(100,0-100,0)</w:t>
            </w:r>
          </w:p>
        </w:tc>
        <w:tc>
          <w:tcPr>
            <w:tcW w:w="996" w:type="dxa"/>
            <w:shd w:val="clear" w:color="auto" w:fill="auto"/>
            <w:textDirection w:val="btLr"/>
            <w:vAlign w:val="center"/>
          </w:tcPr>
          <w:p w14:paraId="1D51C5BA"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85,7</w:t>
            </w:r>
          </w:p>
          <w:p w14:paraId="651B217F"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(75,0-92,9)</w:t>
            </w:r>
          </w:p>
        </w:tc>
        <w:tc>
          <w:tcPr>
            <w:tcW w:w="996" w:type="dxa"/>
            <w:shd w:val="clear" w:color="auto" w:fill="auto"/>
            <w:textDirection w:val="btLr"/>
            <w:vAlign w:val="center"/>
          </w:tcPr>
          <w:p w14:paraId="5CE0F66D"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100.0</w:t>
            </w:r>
          </w:p>
          <w:p w14:paraId="3D5AA60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(97,5-100,0)</w:t>
            </w:r>
          </w:p>
        </w:tc>
        <w:tc>
          <w:tcPr>
            <w:tcW w:w="996" w:type="dxa"/>
            <w:shd w:val="clear" w:color="auto" w:fill="auto"/>
            <w:textDirection w:val="btLr"/>
            <w:vAlign w:val="center"/>
          </w:tcPr>
          <w:p w14:paraId="599FA8F0"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100,0</w:t>
            </w:r>
          </w:p>
          <w:p w14:paraId="5D20F5F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(100,0-100,0)</w:t>
            </w:r>
          </w:p>
        </w:tc>
        <w:tc>
          <w:tcPr>
            <w:tcW w:w="996" w:type="dxa"/>
            <w:tcBorders>
              <w:bottom w:val="single" w:sz="4" w:space="0" w:color="auto"/>
              <w:right w:val="single" w:sz="4" w:space="0" w:color="auto"/>
            </w:tcBorders>
            <w:shd w:val="clear" w:color="auto" w:fill="auto"/>
            <w:textDirection w:val="btLr"/>
            <w:vAlign w:val="center"/>
          </w:tcPr>
          <w:p w14:paraId="5488414B" w14:textId="77777777" w:rsidR="00454B9D" w:rsidRPr="00D25DD3" w:rsidRDefault="00454B9D" w:rsidP="000407A4">
            <w:pPr>
              <w:spacing w:line="360" w:lineRule="auto"/>
              <w:jc w:val="center"/>
              <w:rPr>
                <w:rFonts w:ascii="Times New Roman" w:hAnsi="Times New Roman" w:cs="Times New Roman"/>
              </w:rPr>
            </w:pPr>
            <w:r w:rsidRPr="00D25DD3">
              <w:rPr>
                <w:rFonts w:ascii="Times New Roman" w:hAnsi="Times New Roman" w:cs="Times New Roman"/>
              </w:rPr>
              <w:t>95,5</w:t>
            </w:r>
          </w:p>
          <w:p w14:paraId="0A3DC82B"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(90,2-97,3)</w:t>
            </w:r>
          </w:p>
        </w:tc>
        <w:tc>
          <w:tcPr>
            <w:tcW w:w="996" w:type="dxa"/>
            <w:vMerge/>
            <w:tcBorders>
              <w:top w:val="nil"/>
              <w:left w:val="single" w:sz="4" w:space="0" w:color="auto"/>
              <w:bottom w:val="nil"/>
              <w:right w:val="nil"/>
            </w:tcBorders>
            <w:textDirection w:val="btLr"/>
          </w:tcPr>
          <w:p w14:paraId="2EAD405F" w14:textId="77777777" w:rsidR="00454B9D" w:rsidRPr="00D25DD3" w:rsidRDefault="00454B9D" w:rsidP="000407A4">
            <w:pPr>
              <w:spacing w:line="360" w:lineRule="auto"/>
              <w:jc w:val="center"/>
              <w:rPr>
                <w:rFonts w:ascii="Times New Roman" w:hAnsi="Times New Roman" w:cs="Times New Roman"/>
              </w:rPr>
            </w:pPr>
          </w:p>
        </w:tc>
      </w:tr>
      <w:tr w:rsidR="00454B9D" w14:paraId="475B3D20" w14:textId="478B4FE8" w:rsidTr="00454B9D">
        <w:trPr>
          <w:cantSplit/>
          <w:trHeight w:val="1345"/>
        </w:trPr>
        <w:tc>
          <w:tcPr>
            <w:tcW w:w="996" w:type="dxa"/>
            <w:vMerge/>
            <w:shd w:val="clear" w:color="auto" w:fill="auto"/>
            <w:textDirection w:val="btLr"/>
            <w:vAlign w:val="center"/>
          </w:tcPr>
          <w:p w14:paraId="2A5C0AD9" w14:textId="77777777" w:rsidR="00454B9D" w:rsidRPr="00D25DD3" w:rsidRDefault="00454B9D" w:rsidP="000407A4">
            <w:pPr>
              <w:spacing w:line="360" w:lineRule="auto"/>
              <w:ind w:left="113" w:right="113"/>
              <w:jc w:val="center"/>
              <w:rPr>
                <w:rFonts w:ascii="Times New Roman" w:hAnsi="Times New Roman" w:cs="Times New Roman"/>
              </w:rPr>
            </w:pPr>
          </w:p>
        </w:tc>
        <w:tc>
          <w:tcPr>
            <w:tcW w:w="996" w:type="dxa"/>
            <w:shd w:val="clear" w:color="auto" w:fill="D9D9D9" w:themeFill="background1" w:themeFillShade="D9"/>
            <w:textDirection w:val="btLr"/>
            <w:vAlign w:val="center"/>
          </w:tcPr>
          <w:p w14:paraId="2818E673" w14:textId="77777777" w:rsidR="00454B9D" w:rsidRPr="00D25DD3" w:rsidRDefault="00454B9D" w:rsidP="000407A4">
            <w:pPr>
              <w:spacing w:line="360" w:lineRule="auto"/>
              <w:ind w:left="113" w:right="113"/>
              <w:jc w:val="center"/>
              <w:rPr>
                <w:rFonts w:ascii="Times New Roman" w:hAnsi="Times New Roman" w:cs="Times New Roman"/>
                <w:b/>
              </w:rPr>
            </w:pPr>
            <w:r w:rsidRPr="00D25DD3">
              <w:rPr>
                <w:rFonts w:ascii="Times New Roman" w:hAnsi="Times New Roman" w:cs="Times New Roman"/>
                <w:b/>
              </w:rPr>
              <w:t>pred</w:t>
            </w:r>
          </w:p>
        </w:tc>
        <w:tc>
          <w:tcPr>
            <w:tcW w:w="616" w:type="dxa"/>
            <w:vMerge/>
            <w:shd w:val="clear" w:color="auto" w:fill="auto"/>
            <w:textDirection w:val="btLr"/>
            <w:vAlign w:val="center"/>
          </w:tcPr>
          <w:p w14:paraId="5E4D856B" w14:textId="77777777" w:rsidR="00454B9D" w:rsidRPr="00D25DD3" w:rsidRDefault="00454B9D" w:rsidP="000407A4">
            <w:pPr>
              <w:spacing w:line="360" w:lineRule="auto"/>
              <w:ind w:left="113" w:right="113"/>
              <w:jc w:val="center"/>
              <w:rPr>
                <w:rFonts w:ascii="Times New Roman" w:hAnsi="Times New Roman" w:cs="Times New Roman"/>
                <w:b/>
              </w:rPr>
            </w:pPr>
          </w:p>
        </w:tc>
        <w:tc>
          <w:tcPr>
            <w:tcW w:w="996" w:type="dxa"/>
            <w:shd w:val="clear" w:color="auto" w:fill="auto"/>
            <w:textDirection w:val="btLr"/>
            <w:vAlign w:val="center"/>
          </w:tcPr>
          <w:p w14:paraId="5F044A30"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34,4</w:t>
            </w:r>
          </w:p>
          <w:p w14:paraId="429EF7FE"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(18,0-53,9)</w:t>
            </w:r>
          </w:p>
        </w:tc>
        <w:tc>
          <w:tcPr>
            <w:tcW w:w="996" w:type="dxa"/>
            <w:shd w:val="clear" w:color="auto" w:fill="auto"/>
            <w:textDirection w:val="btLr"/>
            <w:vAlign w:val="center"/>
          </w:tcPr>
          <w:p w14:paraId="679C9BF8"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33,9</w:t>
            </w:r>
          </w:p>
          <w:p w14:paraId="7E186AFB"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(21,4-42,9)</w:t>
            </w:r>
          </w:p>
        </w:tc>
        <w:tc>
          <w:tcPr>
            <w:tcW w:w="996" w:type="dxa"/>
            <w:shd w:val="clear" w:color="auto" w:fill="auto"/>
            <w:textDirection w:val="btLr"/>
            <w:vAlign w:val="center"/>
          </w:tcPr>
          <w:p w14:paraId="09CD22FC"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50,0</w:t>
            </w:r>
          </w:p>
          <w:p w14:paraId="1DC3E482"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(34,4-66,4)</w:t>
            </w:r>
          </w:p>
        </w:tc>
        <w:tc>
          <w:tcPr>
            <w:tcW w:w="996" w:type="dxa"/>
            <w:shd w:val="clear" w:color="auto" w:fill="auto"/>
            <w:textDirection w:val="btLr"/>
            <w:vAlign w:val="center"/>
          </w:tcPr>
          <w:p w14:paraId="7F220339"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50,0</w:t>
            </w:r>
          </w:p>
          <w:p w14:paraId="56E2A428"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(25,0-75,0)</w:t>
            </w:r>
          </w:p>
        </w:tc>
        <w:tc>
          <w:tcPr>
            <w:tcW w:w="996" w:type="dxa"/>
            <w:tcBorders>
              <w:right w:val="single" w:sz="4" w:space="0" w:color="auto"/>
            </w:tcBorders>
            <w:shd w:val="clear" w:color="auto" w:fill="auto"/>
            <w:textDirection w:val="btLr"/>
            <w:vAlign w:val="center"/>
          </w:tcPr>
          <w:p w14:paraId="4FC07583"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45,5</w:t>
            </w:r>
          </w:p>
          <w:p w14:paraId="2568FA68" w14:textId="77777777" w:rsidR="00454B9D" w:rsidRPr="00D25DD3" w:rsidRDefault="00454B9D" w:rsidP="000407A4">
            <w:pPr>
              <w:spacing w:line="360" w:lineRule="auto"/>
              <w:ind w:left="113" w:right="113"/>
              <w:jc w:val="center"/>
              <w:rPr>
                <w:rFonts w:ascii="Times New Roman" w:hAnsi="Times New Roman" w:cs="Times New Roman"/>
              </w:rPr>
            </w:pPr>
            <w:r w:rsidRPr="00D25DD3">
              <w:rPr>
                <w:rFonts w:ascii="Times New Roman" w:hAnsi="Times New Roman" w:cs="Times New Roman"/>
              </w:rPr>
              <w:t>(30,4-56,5)</w:t>
            </w:r>
          </w:p>
        </w:tc>
        <w:tc>
          <w:tcPr>
            <w:tcW w:w="996" w:type="dxa"/>
            <w:vMerge/>
            <w:tcBorders>
              <w:top w:val="nil"/>
              <w:left w:val="single" w:sz="4" w:space="0" w:color="auto"/>
              <w:bottom w:val="nil"/>
              <w:right w:val="nil"/>
            </w:tcBorders>
            <w:textDirection w:val="btLr"/>
          </w:tcPr>
          <w:p w14:paraId="4685577D" w14:textId="77777777" w:rsidR="00454B9D" w:rsidRPr="00D25DD3" w:rsidRDefault="00454B9D" w:rsidP="000407A4">
            <w:pPr>
              <w:spacing w:line="360" w:lineRule="auto"/>
              <w:ind w:left="113" w:right="113"/>
              <w:jc w:val="center"/>
              <w:rPr>
                <w:rFonts w:ascii="Times New Roman" w:hAnsi="Times New Roman" w:cs="Times New Roman"/>
              </w:rPr>
            </w:pPr>
          </w:p>
        </w:tc>
      </w:tr>
      <w:tr w:rsidR="00454B9D" w14:paraId="0C85D8E2" w14:textId="047A38F2" w:rsidTr="00454B9D">
        <w:trPr>
          <w:cantSplit/>
          <w:trHeight w:val="1622"/>
        </w:trPr>
        <w:tc>
          <w:tcPr>
            <w:tcW w:w="2608" w:type="dxa"/>
            <w:gridSpan w:val="3"/>
            <w:shd w:val="clear" w:color="auto" w:fill="D9D9D9" w:themeFill="background1" w:themeFillShade="D9"/>
            <w:textDirection w:val="btLr"/>
            <w:vAlign w:val="center"/>
          </w:tcPr>
          <w:p w14:paraId="1244CA32"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WISQOL skóre</w:t>
            </w:r>
          </w:p>
        </w:tc>
        <w:tc>
          <w:tcPr>
            <w:tcW w:w="996" w:type="dxa"/>
            <w:shd w:val="clear" w:color="auto" w:fill="D9D9D9" w:themeFill="background1" w:themeFillShade="D9"/>
            <w:textDirection w:val="btLr"/>
            <w:vAlign w:val="center"/>
          </w:tcPr>
          <w:p w14:paraId="740DA445"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D1 skóre</w:t>
            </w:r>
          </w:p>
        </w:tc>
        <w:tc>
          <w:tcPr>
            <w:tcW w:w="996" w:type="dxa"/>
            <w:shd w:val="clear" w:color="auto" w:fill="D9D9D9" w:themeFill="background1" w:themeFillShade="D9"/>
            <w:textDirection w:val="btLr"/>
            <w:vAlign w:val="center"/>
          </w:tcPr>
          <w:p w14:paraId="4A63EF8A"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D2 skóre</w:t>
            </w:r>
          </w:p>
        </w:tc>
        <w:tc>
          <w:tcPr>
            <w:tcW w:w="996" w:type="dxa"/>
            <w:shd w:val="clear" w:color="auto" w:fill="D9D9D9" w:themeFill="background1" w:themeFillShade="D9"/>
            <w:textDirection w:val="btLr"/>
            <w:vAlign w:val="center"/>
          </w:tcPr>
          <w:p w14:paraId="76E9605D"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D3 skóre</w:t>
            </w:r>
          </w:p>
        </w:tc>
        <w:tc>
          <w:tcPr>
            <w:tcW w:w="996" w:type="dxa"/>
            <w:shd w:val="clear" w:color="auto" w:fill="D9D9D9" w:themeFill="background1" w:themeFillShade="D9"/>
            <w:textDirection w:val="btLr"/>
            <w:vAlign w:val="center"/>
          </w:tcPr>
          <w:p w14:paraId="7222CAD1"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D4 skóre</w:t>
            </w:r>
          </w:p>
        </w:tc>
        <w:tc>
          <w:tcPr>
            <w:tcW w:w="996" w:type="dxa"/>
            <w:tcBorders>
              <w:right w:val="single" w:sz="4" w:space="0" w:color="auto"/>
            </w:tcBorders>
            <w:shd w:val="clear" w:color="auto" w:fill="D9D9D9" w:themeFill="background1" w:themeFillShade="D9"/>
            <w:textDirection w:val="btLr"/>
            <w:vAlign w:val="center"/>
          </w:tcPr>
          <w:p w14:paraId="3BCB97A8" w14:textId="77777777" w:rsidR="00454B9D" w:rsidRPr="00D25DD3" w:rsidRDefault="00454B9D" w:rsidP="000407A4">
            <w:pPr>
              <w:spacing w:line="360" w:lineRule="auto"/>
              <w:ind w:left="113" w:right="113"/>
              <w:rPr>
                <w:rFonts w:ascii="Times New Roman" w:hAnsi="Times New Roman" w:cs="Times New Roman"/>
                <w:b/>
              </w:rPr>
            </w:pPr>
            <w:r w:rsidRPr="00D25DD3">
              <w:rPr>
                <w:rFonts w:ascii="Times New Roman" w:hAnsi="Times New Roman" w:cs="Times New Roman"/>
                <w:b/>
              </w:rPr>
              <w:t>Celkové skóre</w:t>
            </w:r>
          </w:p>
        </w:tc>
        <w:tc>
          <w:tcPr>
            <w:tcW w:w="996" w:type="dxa"/>
            <w:vMerge/>
            <w:tcBorders>
              <w:top w:val="nil"/>
              <w:left w:val="single" w:sz="4" w:space="0" w:color="auto"/>
              <w:bottom w:val="nil"/>
              <w:right w:val="nil"/>
            </w:tcBorders>
            <w:shd w:val="clear" w:color="auto" w:fill="D9D9D9" w:themeFill="background1" w:themeFillShade="D9"/>
            <w:textDirection w:val="btLr"/>
          </w:tcPr>
          <w:p w14:paraId="5FE749EB" w14:textId="77777777" w:rsidR="00454B9D" w:rsidRPr="00D25DD3" w:rsidRDefault="00454B9D" w:rsidP="000407A4">
            <w:pPr>
              <w:spacing w:line="360" w:lineRule="auto"/>
              <w:ind w:left="113" w:right="113"/>
              <w:rPr>
                <w:rFonts w:ascii="Times New Roman" w:hAnsi="Times New Roman" w:cs="Times New Roman"/>
                <w:b/>
              </w:rPr>
            </w:pPr>
          </w:p>
        </w:tc>
      </w:tr>
    </w:tbl>
    <w:p w14:paraId="50E2B36D" w14:textId="069E311E" w:rsidR="000407A4" w:rsidRDefault="000407A4" w:rsidP="006B1858">
      <w:pPr>
        <w:spacing w:after="0" w:line="360" w:lineRule="auto"/>
        <w:jc w:val="both"/>
        <w:rPr>
          <w:rFonts w:ascii="Times New Roman" w:hAnsi="Times New Roman" w:cs="Times New Roman"/>
          <w:b/>
          <w:sz w:val="24"/>
          <w:szCs w:val="24"/>
        </w:rPr>
      </w:pPr>
    </w:p>
    <w:p w14:paraId="7DCF122D" w14:textId="3AB0BB3E" w:rsidR="00454B9D" w:rsidRDefault="00454B9D" w:rsidP="006B1858">
      <w:pPr>
        <w:spacing w:after="0" w:line="360" w:lineRule="auto"/>
        <w:jc w:val="both"/>
        <w:rPr>
          <w:rFonts w:ascii="Times New Roman" w:hAnsi="Times New Roman" w:cs="Times New Roman"/>
          <w:b/>
          <w:sz w:val="24"/>
          <w:szCs w:val="24"/>
        </w:rPr>
      </w:pPr>
    </w:p>
    <w:p w14:paraId="290BFF95" w14:textId="77777777" w:rsidR="00454B9D" w:rsidRDefault="00454B9D" w:rsidP="006B1858">
      <w:pPr>
        <w:spacing w:after="0" w:line="360" w:lineRule="auto"/>
        <w:jc w:val="both"/>
        <w:rPr>
          <w:rFonts w:ascii="Times New Roman" w:hAnsi="Times New Roman" w:cs="Times New Roman"/>
          <w:b/>
          <w:sz w:val="24"/>
          <w:szCs w:val="24"/>
        </w:rPr>
      </w:pPr>
    </w:p>
    <w:p w14:paraId="7334B01D" w14:textId="1A47D5D3" w:rsidR="00454B9D" w:rsidRDefault="00454B9D" w:rsidP="006B1858">
      <w:pPr>
        <w:spacing w:after="0" w:line="360" w:lineRule="auto"/>
        <w:jc w:val="both"/>
        <w:rPr>
          <w:rFonts w:ascii="Times New Roman" w:hAnsi="Times New Roman" w:cs="Times New Roman"/>
          <w:b/>
          <w:sz w:val="24"/>
          <w:szCs w:val="24"/>
        </w:rPr>
        <w:sectPr w:rsidR="00454B9D" w:rsidSect="000B363A">
          <w:footerReference w:type="default" r:id="rId38"/>
          <w:footerReference w:type="first" r:id="rId39"/>
          <w:pgSz w:w="11906" w:h="16838"/>
          <w:pgMar w:top="1418" w:right="1418" w:bottom="1418" w:left="1701" w:header="709" w:footer="709" w:gutter="0"/>
          <w:pgNumType w:start="0"/>
          <w:cols w:space="708"/>
          <w:titlePg/>
          <w:docGrid w:linePitch="360"/>
        </w:sectPr>
      </w:pPr>
    </w:p>
    <w:bookmarkEnd w:id="30"/>
    <w:p w14:paraId="06045784" w14:textId="0D81C381" w:rsidR="00F72835" w:rsidRPr="004A7F0B" w:rsidRDefault="006B1858" w:rsidP="006B1858">
      <w:pPr>
        <w:spacing w:after="0" w:line="360" w:lineRule="auto"/>
        <w:jc w:val="both"/>
        <w:rPr>
          <w:rFonts w:ascii="Times New Roman" w:hAnsi="Times New Roman" w:cs="Times New Roman"/>
          <w:sz w:val="24"/>
        </w:rPr>
      </w:pPr>
      <w:r w:rsidRPr="00DA07E4">
        <w:rPr>
          <w:rFonts w:ascii="Times New Roman" w:hAnsi="Times New Roman" w:cs="Times New Roman"/>
          <w:b/>
          <w:sz w:val="24"/>
          <w:szCs w:val="24"/>
        </w:rPr>
        <w:lastRenderedPageBreak/>
        <w:t xml:space="preserve">Cieľ č. </w:t>
      </w:r>
      <w:r>
        <w:rPr>
          <w:rFonts w:ascii="Times New Roman" w:hAnsi="Times New Roman" w:cs="Times New Roman"/>
          <w:b/>
          <w:sz w:val="24"/>
          <w:szCs w:val="24"/>
        </w:rPr>
        <w:t>3</w:t>
      </w:r>
      <w:r w:rsidRPr="00DA07E4">
        <w:rPr>
          <w:rFonts w:ascii="Times New Roman" w:hAnsi="Times New Roman" w:cs="Times New Roman"/>
          <w:b/>
          <w:sz w:val="24"/>
          <w:szCs w:val="24"/>
        </w:rPr>
        <w:t>:</w:t>
      </w:r>
      <w:r>
        <w:rPr>
          <w:rFonts w:ascii="Times New Roman" w:hAnsi="Times New Roman" w:cs="Times New Roman"/>
          <w:b/>
          <w:sz w:val="24"/>
          <w:szCs w:val="24"/>
        </w:rPr>
        <w:t xml:space="preserve"> </w:t>
      </w:r>
      <w:r w:rsidRPr="00DA07E4">
        <w:rPr>
          <w:rFonts w:ascii="Times New Roman" w:hAnsi="Times New Roman" w:cs="Times New Roman"/>
          <w:bCs/>
          <w:sz w:val="24"/>
          <w:szCs w:val="24"/>
        </w:rPr>
        <w:t xml:space="preserve">Porovnať </w:t>
      </w:r>
      <w:r>
        <w:rPr>
          <w:rFonts w:ascii="Times New Roman" w:hAnsi="Times New Roman" w:cs="Times New Roman"/>
          <w:bCs/>
          <w:sz w:val="24"/>
          <w:szCs w:val="24"/>
        </w:rPr>
        <w:t xml:space="preserve">zmenu </w:t>
      </w:r>
      <w:r w:rsidRPr="00DA07E4">
        <w:rPr>
          <w:rFonts w:ascii="Times New Roman" w:hAnsi="Times New Roman" w:cs="Times New Roman"/>
          <w:bCs/>
          <w:sz w:val="24"/>
          <w:szCs w:val="24"/>
        </w:rPr>
        <w:t>dosiahnutých QALYs (quality-adjusted life-years) u pacientov s</w:t>
      </w:r>
      <w:r>
        <w:rPr>
          <w:rFonts w:ascii="Times New Roman" w:hAnsi="Times New Roman" w:cs="Times New Roman"/>
          <w:bCs/>
          <w:sz w:val="24"/>
          <w:szCs w:val="24"/>
        </w:rPr>
        <w:t> </w:t>
      </w:r>
      <w:r w:rsidRPr="00DA07E4">
        <w:rPr>
          <w:rFonts w:ascii="Times New Roman" w:hAnsi="Times New Roman" w:cs="Times New Roman"/>
          <w:bCs/>
          <w:sz w:val="24"/>
          <w:szCs w:val="24"/>
        </w:rPr>
        <w:t>nefrolitiázou</w:t>
      </w:r>
      <w:r>
        <w:rPr>
          <w:rFonts w:ascii="Times New Roman" w:hAnsi="Times New Roman" w:cs="Times New Roman"/>
          <w:bCs/>
          <w:sz w:val="24"/>
          <w:szCs w:val="24"/>
        </w:rPr>
        <w:t xml:space="preserve"> v závislosti od typu intervencie (</w:t>
      </w:r>
      <w:r w:rsidRPr="00DA07E4">
        <w:rPr>
          <w:rFonts w:ascii="Times New Roman" w:hAnsi="Times New Roman" w:cs="Times New Roman"/>
          <w:bCs/>
          <w:sz w:val="24"/>
          <w:szCs w:val="24"/>
        </w:rPr>
        <w:t xml:space="preserve">ESWL alebo </w:t>
      </w:r>
      <w:r w:rsidR="00E26032">
        <w:rPr>
          <w:rFonts w:ascii="Times New Roman" w:hAnsi="Times New Roman" w:cs="Times New Roman"/>
          <w:bCs/>
          <w:sz w:val="24"/>
          <w:szCs w:val="24"/>
        </w:rPr>
        <w:t>RI</w:t>
      </w:r>
      <w:r w:rsidRPr="00DA07E4">
        <w:rPr>
          <w:rFonts w:ascii="Times New Roman" w:hAnsi="Times New Roman" w:cs="Times New Roman"/>
          <w:bCs/>
          <w:sz w:val="24"/>
          <w:szCs w:val="24"/>
        </w:rPr>
        <w:t>RS</w:t>
      </w:r>
      <w:r>
        <w:rPr>
          <w:rFonts w:ascii="Times New Roman" w:hAnsi="Times New Roman" w:cs="Times New Roman"/>
          <w:bCs/>
          <w:sz w:val="24"/>
          <w:szCs w:val="24"/>
        </w:rPr>
        <w:t>)</w:t>
      </w:r>
      <w:r w:rsidR="00F72835">
        <w:rPr>
          <w:rFonts w:ascii="Times New Roman" w:hAnsi="Times New Roman" w:cs="Times New Roman"/>
          <w:sz w:val="24"/>
          <w:szCs w:val="24"/>
        </w:rPr>
        <w:tab/>
      </w:r>
    </w:p>
    <w:p w14:paraId="6F9B7A36" w14:textId="77777777" w:rsidR="008E47DC" w:rsidRDefault="008E47DC" w:rsidP="00DA07E4">
      <w:pPr>
        <w:spacing w:after="0" w:line="360" w:lineRule="auto"/>
        <w:jc w:val="both"/>
        <w:rPr>
          <w:rFonts w:ascii="Times New Roman" w:hAnsi="Times New Roman" w:cs="Times New Roman"/>
          <w:sz w:val="24"/>
          <w:szCs w:val="24"/>
        </w:rPr>
      </w:pPr>
    </w:p>
    <w:p w14:paraId="079D1F39" w14:textId="77777777" w:rsidR="006B1858" w:rsidRPr="008D5EF8" w:rsidRDefault="006B1858" w:rsidP="006B1858">
      <w:pPr>
        <w:spacing w:after="0" w:line="360" w:lineRule="auto"/>
        <w:ind w:firstLine="708"/>
        <w:jc w:val="both"/>
        <w:rPr>
          <w:rFonts w:ascii="Times New Roman" w:hAnsi="Times New Roman" w:cs="Times New Roman"/>
          <w:color w:val="000000" w:themeColor="text1"/>
          <w:sz w:val="24"/>
          <w:szCs w:val="24"/>
        </w:rPr>
      </w:pPr>
      <w:r w:rsidRPr="008D5EF8">
        <w:rPr>
          <w:rFonts w:ascii="Times New Roman" w:hAnsi="Times New Roman" w:cs="Times New Roman"/>
          <w:color w:val="000000" w:themeColor="text1"/>
          <w:sz w:val="24"/>
          <w:szCs w:val="24"/>
        </w:rPr>
        <w:t xml:space="preserve">Medián QALYs pred intervenciou bol 10,216 pre skupinu RIRS a 7,595 pre skupinu ESWL (tab. č. 13). Rozdiel vo vstupnom QALYs medzi skupinami nebol štatisticky signifikantný. Po intervencii došlo k nárastu QALYs v oboch skupinách (tabuľka č. 14 a 15). V skupine RIRS bol medián dosiahnutého QALYs 19,727 a v skupine ESWL 15,780. Tieto rozdiely boli štatisticky signifikantné. </w:t>
      </w:r>
      <w:r w:rsidRPr="008D5EF8">
        <w:rPr>
          <w:rFonts w:ascii="Times New Roman" w:hAnsi="Times New Roman" w:cs="Times New Roman"/>
          <w:color w:val="000000" w:themeColor="text1"/>
          <w:sz w:val="24"/>
        </w:rPr>
        <w:t>Pacienti v skupine RIRS dosiahli väčšie zvýšenie QALY ako v skupine ESWL (9,511 oproti 8,185 QALY).</w:t>
      </w:r>
    </w:p>
    <w:p w14:paraId="271BB4C7" w14:textId="77777777" w:rsidR="00470C8A" w:rsidRDefault="00470C8A" w:rsidP="00085EF2">
      <w:pPr>
        <w:spacing w:after="0" w:line="360" w:lineRule="auto"/>
        <w:jc w:val="both"/>
        <w:rPr>
          <w:rFonts w:ascii="Times New Roman" w:hAnsi="Times New Roman" w:cs="Times New Roman"/>
          <w:b/>
          <w:sz w:val="24"/>
          <w:szCs w:val="24"/>
        </w:rPr>
      </w:pPr>
      <w:bookmarkStart w:id="31" w:name="_Hlk68637468"/>
    </w:p>
    <w:p w14:paraId="0E74B2AC" w14:textId="5B109B1E" w:rsidR="00085EF2" w:rsidRDefault="00085EF2" w:rsidP="00085EF2">
      <w:pPr>
        <w:spacing w:after="0" w:line="360" w:lineRule="auto"/>
        <w:jc w:val="both"/>
        <w:rPr>
          <w:rFonts w:ascii="Times New Roman" w:hAnsi="Times New Roman" w:cs="Times New Roman"/>
          <w:b/>
          <w:sz w:val="24"/>
          <w:szCs w:val="24"/>
        </w:rPr>
      </w:pPr>
      <w:r w:rsidRPr="00252615">
        <w:rPr>
          <w:rFonts w:ascii="Times New Roman" w:hAnsi="Times New Roman" w:cs="Times New Roman"/>
          <w:b/>
          <w:sz w:val="24"/>
          <w:szCs w:val="24"/>
        </w:rPr>
        <w:t>Tabuľka</w:t>
      </w:r>
      <w:r>
        <w:rPr>
          <w:rFonts w:ascii="Times New Roman" w:hAnsi="Times New Roman" w:cs="Times New Roman"/>
          <w:b/>
          <w:sz w:val="24"/>
          <w:szCs w:val="24"/>
        </w:rPr>
        <w:t xml:space="preserve"> </w:t>
      </w:r>
      <w:r w:rsidRPr="00D135D4">
        <w:rPr>
          <w:rFonts w:ascii="Times New Roman" w:hAnsi="Times New Roman" w:cs="Times New Roman"/>
          <w:b/>
          <w:sz w:val="24"/>
          <w:szCs w:val="24"/>
        </w:rPr>
        <w:t>1</w:t>
      </w:r>
      <w:r>
        <w:rPr>
          <w:rFonts w:ascii="Times New Roman" w:hAnsi="Times New Roman" w:cs="Times New Roman"/>
          <w:b/>
          <w:sz w:val="24"/>
          <w:szCs w:val="24"/>
        </w:rPr>
        <w:t>3</w:t>
      </w:r>
      <w:r w:rsidRPr="00D135D4">
        <w:rPr>
          <w:rFonts w:ascii="Times New Roman" w:hAnsi="Times New Roman" w:cs="Times New Roman"/>
          <w:b/>
          <w:sz w:val="24"/>
          <w:szCs w:val="24"/>
        </w:rPr>
        <w:t xml:space="preserve">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t>
      </w:r>
      <w:r>
        <w:rPr>
          <w:rFonts w:ascii="Times New Roman" w:hAnsi="Times New Roman" w:cs="Times New Roman"/>
          <w:sz w:val="24"/>
          <w:szCs w:val="24"/>
        </w:rPr>
        <w:t>QALYs</w:t>
      </w:r>
      <w:r w:rsidRPr="00DA07E4">
        <w:rPr>
          <w:rFonts w:ascii="Times New Roman" w:hAnsi="Times New Roman" w:cs="Times New Roman"/>
          <w:sz w:val="24"/>
          <w:szCs w:val="24"/>
        </w:rPr>
        <w:t xml:space="preserve"> p</w:t>
      </w:r>
      <w:r>
        <w:rPr>
          <w:rFonts w:ascii="Times New Roman" w:hAnsi="Times New Roman" w:cs="Times New Roman"/>
          <w:sz w:val="24"/>
          <w:szCs w:val="24"/>
        </w:rPr>
        <w:t>red</w:t>
      </w:r>
      <w:r w:rsidRPr="00DA07E4">
        <w:rPr>
          <w:rFonts w:ascii="Times New Roman" w:hAnsi="Times New Roman" w:cs="Times New Roman"/>
          <w:sz w:val="24"/>
          <w:szCs w:val="24"/>
        </w:rPr>
        <w:t xml:space="preserve"> intervenci</w:t>
      </w:r>
      <w:r>
        <w:rPr>
          <w:rFonts w:ascii="Times New Roman" w:hAnsi="Times New Roman" w:cs="Times New Roman"/>
          <w:sz w:val="24"/>
          <w:szCs w:val="24"/>
        </w:rPr>
        <w:t>ou</w:t>
      </w:r>
    </w:p>
    <w:tbl>
      <w:tblPr>
        <w:tblStyle w:val="Mkatabulky"/>
        <w:tblW w:w="8493" w:type="dxa"/>
        <w:tblLook w:val="04A0" w:firstRow="1" w:lastRow="0" w:firstColumn="1" w:lastColumn="0" w:noHBand="0" w:noVBand="1"/>
      </w:tblPr>
      <w:tblGrid>
        <w:gridCol w:w="1868"/>
        <w:gridCol w:w="1876"/>
        <w:gridCol w:w="1876"/>
        <w:gridCol w:w="1463"/>
        <w:gridCol w:w="1410"/>
      </w:tblGrid>
      <w:tr w:rsidR="009E7FA9" w:rsidRPr="00DA07E4" w14:paraId="20774933" w14:textId="66800D57" w:rsidTr="009E7FA9">
        <w:trPr>
          <w:trHeight w:val="1266"/>
        </w:trPr>
        <w:tc>
          <w:tcPr>
            <w:tcW w:w="1868" w:type="dxa"/>
            <w:shd w:val="clear" w:color="auto" w:fill="D9D9D9" w:themeFill="background1" w:themeFillShade="D9"/>
            <w:vAlign w:val="center"/>
          </w:tcPr>
          <w:bookmarkEnd w:id="31"/>
          <w:p w14:paraId="6DBDEC9E" w14:textId="6786F04C"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QALYs</w:t>
            </w:r>
          </w:p>
        </w:tc>
        <w:tc>
          <w:tcPr>
            <w:tcW w:w="1876" w:type="dxa"/>
            <w:shd w:val="clear" w:color="auto" w:fill="D9D9D9" w:themeFill="background1" w:themeFillShade="D9"/>
            <w:vAlign w:val="center"/>
          </w:tcPr>
          <w:p w14:paraId="2A2B48DC"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5996E348" w14:textId="7E304550"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876" w:type="dxa"/>
            <w:shd w:val="clear" w:color="auto" w:fill="D9D9D9" w:themeFill="background1" w:themeFillShade="D9"/>
            <w:vAlign w:val="center"/>
          </w:tcPr>
          <w:p w14:paraId="0C9A2650"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10BC86C9" w14:textId="459FAA42"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463" w:type="dxa"/>
            <w:shd w:val="clear" w:color="auto" w:fill="D9D9D9" w:themeFill="background1" w:themeFillShade="D9"/>
            <w:vAlign w:val="center"/>
          </w:tcPr>
          <w:p w14:paraId="2B8B7795"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 p*</w:t>
            </w:r>
          </w:p>
        </w:tc>
        <w:tc>
          <w:tcPr>
            <w:tcW w:w="1410" w:type="dxa"/>
            <w:shd w:val="clear" w:color="auto" w:fill="D9D9D9" w:themeFill="background1" w:themeFillShade="D9"/>
            <w:vAlign w:val="center"/>
          </w:tcPr>
          <w:p w14:paraId="74D50D64" w14:textId="77777777" w:rsidR="009E7FA9" w:rsidRDefault="009E7FA9" w:rsidP="009E7F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598CB146" w14:textId="2C6FBB9A" w:rsidR="009E7FA9" w:rsidRPr="00DA07E4" w:rsidRDefault="009E7FA9" w:rsidP="009E7F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9E7FA9" w:rsidRPr="00DA07E4" w14:paraId="10345894" w14:textId="0579AF23" w:rsidTr="009E7FA9">
        <w:trPr>
          <w:trHeight w:val="844"/>
        </w:trPr>
        <w:tc>
          <w:tcPr>
            <w:tcW w:w="1868" w:type="dxa"/>
            <w:shd w:val="clear" w:color="auto" w:fill="D9D9D9" w:themeFill="background1" w:themeFillShade="D9"/>
            <w:vAlign w:val="center"/>
          </w:tcPr>
          <w:p w14:paraId="644BBA82"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168 dní</w:t>
            </w:r>
          </w:p>
        </w:tc>
        <w:tc>
          <w:tcPr>
            <w:tcW w:w="1876" w:type="dxa"/>
            <w:vAlign w:val="center"/>
          </w:tcPr>
          <w:p w14:paraId="483EEBA3"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0,210</w:t>
            </w:r>
          </w:p>
          <w:p w14:paraId="30E2A0F6"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(0,140 – 0,260)</w:t>
            </w:r>
          </w:p>
        </w:tc>
        <w:tc>
          <w:tcPr>
            <w:tcW w:w="1876" w:type="dxa"/>
            <w:vAlign w:val="center"/>
          </w:tcPr>
          <w:p w14:paraId="0145C18E"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0,156</w:t>
            </w:r>
          </w:p>
          <w:p w14:paraId="6C1F234C"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(0,127 – 0,233)</w:t>
            </w:r>
          </w:p>
        </w:tc>
        <w:tc>
          <w:tcPr>
            <w:tcW w:w="1463" w:type="dxa"/>
            <w:vAlign w:val="center"/>
          </w:tcPr>
          <w:p w14:paraId="019A1C17"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0,284</w:t>
            </w:r>
          </w:p>
        </w:tc>
        <w:tc>
          <w:tcPr>
            <w:tcW w:w="1410" w:type="dxa"/>
            <w:vAlign w:val="center"/>
          </w:tcPr>
          <w:p w14:paraId="284089FD" w14:textId="7B943011" w:rsidR="009E7FA9" w:rsidRPr="00645321"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0,004</w:t>
            </w:r>
          </w:p>
        </w:tc>
      </w:tr>
      <w:tr w:rsidR="009E7FA9" w:rsidRPr="00DA07E4" w14:paraId="2B1FF3C8" w14:textId="4EFA7232" w:rsidTr="009E7FA9">
        <w:trPr>
          <w:trHeight w:val="844"/>
        </w:trPr>
        <w:tc>
          <w:tcPr>
            <w:tcW w:w="1868" w:type="dxa"/>
            <w:shd w:val="clear" w:color="auto" w:fill="D9D9D9" w:themeFill="background1" w:themeFillShade="D9"/>
            <w:vAlign w:val="center"/>
          </w:tcPr>
          <w:p w14:paraId="4336DE6A"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1 roka</w:t>
            </w:r>
          </w:p>
        </w:tc>
        <w:tc>
          <w:tcPr>
            <w:tcW w:w="1876" w:type="dxa"/>
            <w:vAlign w:val="center"/>
          </w:tcPr>
          <w:p w14:paraId="2AFF53C6"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0,455</w:t>
            </w:r>
          </w:p>
          <w:p w14:paraId="203DAB33"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(0,304 – 0,565)</w:t>
            </w:r>
          </w:p>
        </w:tc>
        <w:tc>
          <w:tcPr>
            <w:tcW w:w="1876" w:type="dxa"/>
            <w:vAlign w:val="center"/>
          </w:tcPr>
          <w:p w14:paraId="78DD75F3"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0,339</w:t>
            </w:r>
          </w:p>
          <w:p w14:paraId="6302F4D8"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(0,277 – 0,507)</w:t>
            </w:r>
          </w:p>
        </w:tc>
        <w:tc>
          <w:tcPr>
            <w:tcW w:w="1463" w:type="dxa"/>
            <w:vAlign w:val="center"/>
          </w:tcPr>
          <w:p w14:paraId="0377EF32"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0,284</w:t>
            </w:r>
          </w:p>
        </w:tc>
        <w:tc>
          <w:tcPr>
            <w:tcW w:w="1410" w:type="dxa"/>
            <w:vAlign w:val="center"/>
          </w:tcPr>
          <w:p w14:paraId="78FBC659" w14:textId="58F4A727" w:rsidR="009E7FA9" w:rsidRPr="00645321"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0,004</w:t>
            </w:r>
          </w:p>
        </w:tc>
      </w:tr>
      <w:tr w:rsidR="009E7FA9" w:rsidRPr="00DA07E4" w14:paraId="62382F29" w14:textId="6DF52A88" w:rsidTr="009E7FA9">
        <w:trPr>
          <w:trHeight w:val="844"/>
        </w:trPr>
        <w:tc>
          <w:tcPr>
            <w:tcW w:w="1868" w:type="dxa"/>
            <w:shd w:val="clear" w:color="auto" w:fill="D9D9D9" w:themeFill="background1" w:themeFillShade="D9"/>
            <w:vAlign w:val="center"/>
          </w:tcPr>
          <w:p w14:paraId="03D8165A"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SDŽ</w:t>
            </w:r>
          </w:p>
        </w:tc>
        <w:tc>
          <w:tcPr>
            <w:tcW w:w="1876" w:type="dxa"/>
            <w:vAlign w:val="center"/>
          </w:tcPr>
          <w:p w14:paraId="13DE343E"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10,216</w:t>
            </w:r>
          </w:p>
          <w:p w14:paraId="4E86F52E"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(5,620 – 14,786)</w:t>
            </w:r>
          </w:p>
        </w:tc>
        <w:tc>
          <w:tcPr>
            <w:tcW w:w="1876" w:type="dxa"/>
            <w:vAlign w:val="center"/>
          </w:tcPr>
          <w:p w14:paraId="2A78CA91"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7,595</w:t>
            </w:r>
          </w:p>
          <w:p w14:paraId="76FFE2E1"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(3,794 – 13,174)</w:t>
            </w:r>
          </w:p>
        </w:tc>
        <w:tc>
          <w:tcPr>
            <w:tcW w:w="1463" w:type="dxa"/>
            <w:vAlign w:val="center"/>
          </w:tcPr>
          <w:p w14:paraId="51AFD982"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0,317</w:t>
            </w:r>
          </w:p>
        </w:tc>
        <w:tc>
          <w:tcPr>
            <w:tcW w:w="1410" w:type="dxa"/>
            <w:vAlign w:val="center"/>
          </w:tcPr>
          <w:p w14:paraId="716D9A51" w14:textId="78F5660C" w:rsidR="009E7FA9" w:rsidRPr="00645321"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tc>
      </w:tr>
    </w:tbl>
    <w:p w14:paraId="6D5F41C9" w14:textId="67730F09" w:rsidR="00085EF2" w:rsidRPr="00DA07E4" w:rsidRDefault="00085EF2" w:rsidP="00085EF2">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Pr>
          <w:rFonts w:ascii="Times New Roman" w:hAnsi="Times New Roman" w:cs="Times New Roman"/>
          <w:sz w:val="24"/>
          <w:szCs w:val="24"/>
        </w:rPr>
        <w:t>Mann-Whitney U test</w:t>
      </w:r>
      <w:r>
        <w:rPr>
          <w:rFonts w:ascii="Times New Roman" w:hAnsi="Times New Roman" w:cs="Times New Roman"/>
          <w:sz w:val="24"/>
          <w:szCs w:val="24"/>
        </w:rPr>
        <w:tab/>
        <w:t>IR – 25. až 75. percentil</w:t>
      </w:r>
      <w:r>
        <w:rPr>
          <w:rFonts w:ascii="Times New Roman" w:hAnsi="Times New Roman" w:cs="Times New Roman"/>
          <w:sz w:val="24"/>
          <w:szCs w:val="24"/>
        </w:rPr>
        <w:tab/>
        <w:t>SDŽ = stredná dĺžka života</w:t>
      </w:r>
    </w:p>
    <w:p w14:paraId="4040C23E" w14:textId="77777777" w:rsidR="00470C8A" w:rsidRDefault="00470C8A" w:rsidP="00085EF2">
      <w:pPr>
        <w:spacing w:after="0" w:line="360" w:lineRule="auto"/>
        <w:jc w:val="both"/>
        <w:rPr>
          <w:rFonts w:ascii="Times New Roman" w:hAnsi="Times New Roman" w:cs="Times New Roman"/>
          <w:b/>
          <w:sz w:val="24"/>
          <w:szCs w:val="24"/>
        </w:rPr>
      </w:pPr>
      <w:bookmarkStart w:id="32" w:name="_Hlk68637477"/>
    </w:p>
    <w:p w14:paraId="3DDA8D13" w14:textId="77777777" w:rsidR="00470C8A" w:rsidRDefault="00470C8A" w:rsidP="00085EF2">
      <w:pPr>
        <w:spacing w:after="0" w:line="360" w:lineRule="auto"/>
        <w:jc w:val="both"/>
        <w:rPr>
          <w:rFonts w:ascii="Times New Roman" w:hAnsi="Times New Roman" w:cs="Times New Roman"/>
          <w:b/>
          <w:sz w:val="24"/>
          <w:szCs w:val="24"/>
        </w:rPr>
      </w:pPr>
    </w:p>
    <w:p w14:paraId="6267E4C7" w14:textId="77777777" w:rsidR="00470C8A" w:rsidRDefault="00470C8A" w:rsidP="00085EF2">
      <w:pPr>
        <w:spacing w:after="0" w:line="360" w:lineRule="auto"/>
        <w:jc w:val="both"/>
        <w:rPr>
          <w:rFonts w:ascii="Times New Roman" w:hAnsi="Times New Roman" w:cs="Times New Roman"/>
          <w:b/>
          <w:sz w:val="24"/>
          <w:szCs w:val="24"/>
        </w:rPr>
      </w:pPr>
    </w:p>
    <w:p w14:paraId="67362E04" w14:textId="77777777" w:rsidR="00470C8A" w:rsidRDefault="00470C8A" w:rsidP="00085EF2">
      <w:pPr>
        <w:spacing w:after="0" w:line="360" w:lineRule="auto"/>
        <w:jc w:val="both"/>
        <w:rPr>
          <w:rFonts w:ascii="Times New Roman" w:hAnsi="Times New Roman" w:cs="Times New Roman"/>
          <w:b/>
          <w:sz w:val="24"/>
          <w:szCs w:val="24"/>
        </w:rPr>
      </w:pPr>
    </w:p>
    <w:p w14:paraId="4A61AA59" w14:textId="77777777" w:rsidR="00470C8A" w:rsidRDefault="00470C8A" w:rsidP="00085EF2">
      <w:pPr>
        <w:spacing w:after="0" w:line="360" w:lineRule="auto"/>
        <w:jc w:val="both"/>
        <w:rPr>
          <w:rFonts w:ascii="Times New Roman" w:hAnsi="Times New Roman" w:cs="Times New Roman"/>
          <w:b/>
          <w:sz w:val="24"/>
          <w:szCs w:val="24"/>
        </w:rPr>
      </w:pPr>
    </w:p>
    <w:p w14:paraId="2E20D112" w14:textId="77777777" w:rsidR="00470C8A" w:rsidRDefault="00470C8A" w:rsidP="00085EF2">
      <w:pPr>
        <w:spacing w:after="0" w:line="360" w:lineRule="auto"/>
        <w:jc w:val="both"/>
        <w:rPr>
          <w:rFonts w:ascii="Times New Roman" w:hAnsi="Times New Roman" w:cs="Times New Roman"/>
          <w:b/>
          <w:sz w:val="24"/>
          <w:szCs w:val="24"/>
        </w:rPr>
      </w:pPr>
    </w:p>
    <w:p w14:paraId="1EAE9A84" w14:textId="26DBEB86" w:rsidR="00470C8A" w:rsidRDefault="00470C8A" w:rsidP="00085EF2">
      <w:pPr>
        <w:spacing w:after="0" w:line="360" w:lineRule="auto"/>
        <w:jc w:val="both"/>
        <w:rPr>
          <w:rFonts w:ascii="Times New Roman" w:hAnsi="Times New Roman" w:cs="Times New Roman"/>
          <w:b/>
          <w:sz w:val="24"/>
          <w:szCs w:val="24"/>
        </w:rPr>
      </w:pPr>
    </w:p>
    <w:p w14:paraId="5DE74653" w14:textId="77777777" w:rsidR="005F4221" w:rsidRDefault="005F4221" w:rsidP="00085EF2">
      <w:pPr>
        <w:spacing w:after="0" w:line="360" w:lineRule="auto"/>
        <w:jc w:val="both"/>
        <w:rPr>
          <w:rFonts w:ascii="Times New Roman" w:hAnsi="Times New Roman" w:cs="Times New Roman"/>
          <w:b/>
          <w:sz w:val="24"/>
          <w:szCs w:val="24"/>
        </w:rPr>
      </w:pPr>
    </w:p>
    <w:p w14:paraId="3189B1DE" w14:textId="77777777" w:rsidR="00470C8A" w:rsidRDefault="00470C8A" w:rsidP="00085EF2">
      <w:pPr>
        <w:spacing w:after="0" w:line="360" w:lineRule="auto"/>
        <w:jc w:val="both"/>
        <w:rPr>
          <w:rFonts w:ascii="Times New Roman" w:hAnsi="Times New Roman" w:cs="Times New Roman"/>
          <w:b/>
          <w:sz w:val="24"/>
          <w:szCs w:val="24"/>
        </w:rPr>
      </w:pPr>
    </w:p>
    <w:p w14:paraId="7009217A" w14:textId="77777777" w:rsidR="00470C8A" w:rsidRDefault="00470C8A" w:rsidP="00085EF2">
      <w:pPr>
        <w:spacing w:after="0" w:line="360" w:lineRule="auto"/>
        <w:jc w:val="both"/>
        <w:rPr>
          <w:rFonts w:ascii="Times New Roman" w:hAnsi="Times New Roman" w:cs="Times New Roman"/>
          <w:b/>
          <w:sz w:val="24"/>
          <w:szCs w:val="24"/>
        </w:rPr>
      </w:pPr>
    </w:p>
    <w:p w14:paraId="68FEADBE" w14:textId="2794A95D" w:rsidR="00470C8A" w:rsidRDefault="00470C8A" w:rsidP="00085EF2">
      <w:pPr>
        <w:spacing w:after="0" w:line="360" w:lineRule="auto"/>
        <w:jc w:val="both"/>
        <w:rPr>
          <w:rFonts w:ascii="Times New Roman" w:hAnsi="Times New Roman" w:cs="Times New Roman"/>
          <w:b/>
          <w:sz w:val="24"/>
          <w:szCs w:val="24"/>
        </w:rPr>
      </w:pPr>
    </w:p>
    <w:p w14:paraId="3579E6BF" w14:textId="0D5C36E1" w:rsidR="00085EF2" w:rsidRDefault="00085EF2" w:rsidP="00085EF2">
      <w:pPr>
        <w:spacing w:after="0" w:line="360" w:lineRule="auto"/>
        <w:jc w:val="both"/>
        <w:rPr>
          <w:rFonts w:ascii="Times New Roman" w:hAnsi="Times New Roman" w:cs="Times New Roman"/>
          <w:b/>
          <w:sz w:val="24"/>
          <w:szCs w:val="24"/>
        </w:rPr>
      </w:pPr>
      <w:r w:rsidRPr="00252615">
        <w:rPr>
          <w:rFonts w:ascii="Times New Roman" w:hAnsi="Times New Roman" w:cs="Times New Roman"/>
          <w:b/>
          <w:sz w:val="24"/>
          <w:szCs w:val="24"/>
        </w:rPr>
        <w:lastRenderedPageBreak/>
        <w:t>Tabuľka</w:t>
      </w:r>
      <w:r>
        <w:rPr>
          <w:rFonts w:ascii="Times New Roman" w:hAnsi="Times New Roman" w:cs="Times New Roman"/>
          <w:b/>
          <w:sz w:val="24"/>
          <w:szCs w:val="24"/>
        </w:rPr>
        <w:t xml:space="preserve"> </w:t>
      </w:r>
      <w:r w:rsidRPr="00D135D4">
        <w:rPr>
          <w:rFonts w:ascii="Times New Roman" w:hAnsi="Times New Roman" w:cs="Times New Roman"/>
          <w:b/>
          <w:sz w:val="24"/>
          <w:szCs w:val="24"/>
        </w:rPr>
        <w:t>1</w:t>
      </w:r>
      <w:r>
        <w:rPr>
          <w:rFonts w:ascii="Times New Roman" w:hAnsi="Times New Roman" w:cs="Times New Roman"/>
          <w:b/>
          <w:sz w:val="24"/>
          <w:szCs w:val="24"/>
        </w:rPr>
        <w:t>4</w:t>
      </w:r>
      <w:r w:rsidRPr="00D135D4">
        <w:rPr>
          <w:rFonts w:ascii="Times New Roman" w:hAnsi="Times New Roman" w:cs="Times New Roman"/>
          <w:b/>
          <w:sz w:val="24"/>
          <w:szCs w:val="24"/>
        </w:rPr>
        <w:t xml:space="preserve">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t>
      </w:r>
      <w:r>
        <w:rPr>
          <w:rFonts w:ascii="Times New Roman" w:hAnsi="Times New Roman" w:cs="Times New Roman"/>
          <w:sz w:val="24"/>
          <w:szCs w:val="24"/>
        </w:rPr>
        <w:t>QALYs</w:t>
      </w:r>
      <w:r w:rsidRPr="00DA07E4">
        <w:rPr>
          <w:rFonts w:ascii="Times New Roman" w:hAnsi="Times New Roman" w:cs="Times New Roman"/>
          <w:sz w:val="24"/>
          <w:szCs w:val="24"/>
        </w:rPr>
        <w:t xml:space="preserve"> v 24. týždni po intervencii </w:t>
      </w:r>
    </w:p>
    <w:tbl>
      <w:tblPr>
        <w:tblStyle w:val="Mkatabulky"/>
        <w:tblW w:w="8493" w:type="dxa"/>
        <w:tblLook w:val="04A0" w:firstRow="1" w:lastRow="0" w:firstColumn="1" w:lastColumn="0" w:noHBand="0" w:noVBand="1"/>
      </w:tblPr>
      <w:tblGrid>
        <w:gridCol w:w="1913"/>
        <w:gridCol w:w="1943"/>
        <w:gridCol w:w="1835"/>
        <w:gridCol w:w="1445"/>
        <w:gridCol w:w="1357"/>
      </w:tblGrid>
      <w:tr w:rsidR="009E7FA9" w:rsidRPr="00DA07E4" w14:paraId="7CF2A6B0" w14:textId="3EDE513B" w:rsidTr="009E7FA9">
        <w:trPr>
          <w:trHeight w:val="1228"/>
        </w:trPr>
        <w:tc>
          <w:tcPr>
            <w:tcW w:w="1913" w:type="dxa"/>
            <w:shd w:val="clear" w:color="auto" w:fill="D9D9D9" w:themeFill="background1" w:themeFillShade="D9"/>
            <w:vAlign w:val="center"/>
          </w:tcPr>
          <w:bookmarkEnd w:id="32"/>
          <w:p w14:paraId="2095ECDA" w14:textId="44CEE639" w:rsidR="009E7FA9" w:rsidRPr="00085EF2" w:rsidRDefault="009E7FA9" w:rsidP="00966F7B">
            <w:pPr>
              <w:spacing w:line="360" w:lineRule="auto"/>
              <w:jc w:val="both"/>
              <w:rPr>
                <w:rFonts w:ascii="Times New Roman" w:hAnsi="Times New Roman" w:cs="Times New Roman"/>
                <w:b/>
                <w:sz w:val="24"/>
                <w:szCs w:val="24"/>
              </w:rPr>
            </w:pPr>
            <w:r w:rsidRPr="00085EF2">
              <w:rPr>
                <w:rFonts w:ascii="Times New Roman" w:hAnsi="Times New Roman" w:cs="Times New Roman"/>
                <w:b/>
                <w:sz w:val="24"/>
                <w:szCs w:val="24"/>
              </w:rPr>
              <w:t>QALYs</w:t>
            </w:r>
          </w:p>
        </w:tc>
        <w:tc>
          <w:tcPr>
            <w:tcW w:w="1943" w:type="dxa"/>
            <w:shd w:val="clear" w:color="auto" w:fill="D9D9D9" w:themeFill="background1" w:themeFillShade="D9"/>
            <w:vAlign w:val="center"/>
          </w:tcPr>
          <w:p w14:paraId="32AC3B44"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RIRS (N=34)</w:t>
            </w:r>
          </w:p>
          <w:p w14:paraId="146A71E7" w14:textId="1B48AF51"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835" w:type="dxa"/>
            <w:shd w:val="clear" w:color="auto" w:fill="D9D9D9" w:themeFill="background1" w:themeFillShade="D9"/>
            <w:vAlign w:val="center"/>
          </w:tcPr>
          <w:p w14:paraId="52A0685C"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ESWL (N=32)</w:t>
            </w:r>
          </w:p>
          <w:p w14:paraId="6ED06929" w14:textId="09FDD76D"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 xml:space="preserve">medián </w:t>
            </w:r>
            <w:r w:rsidRPr="00DA07E4">
              <w:rPr>
                <w:rStyle w:val="fontstyle01"/>
                <w:rFonts w:ascii="Times New Roman" w:hAnsi="Times New Roman" w:cs="Times New Roman"/>
                <w:b/>
                <w:color w:val="auto"/>
                <w:sz w:val="24"/>
                <w:szCs w:val="24"/>
              </w:rPr>
              <w:t>(</w:t>
            </w:r>
            <w:r>
              <w:rPr>
                <w:rStyle w:val="fontstyle01"/>
                <w:rFonts w:ascii="Times New Roman" w:hAnsi="Times New Roman" w:cs="Times New Roman"/>
                <w:b/>
                <w:color w:val="auto"/>
                <w:sz w:val="24"/>
                <w:szCs w:val="24"/>
              </w:rPr>
              <w:t>IR</w:t>
            </w:r>
            <w:r w:rsidRPr="00DA07E4">
              <w:rPr>
                <w:rStyle w:val="fontstyle01"/>
                <w:rFonts w:ascii="Times New Roman" w:hAnsi="Times New Roman" w:cs="Times New Roman"/>
                <w:b/>
                <w:color w:val="auto"/>
                <w:sz w:val="24"/>
                <w:szCs w:val="24"/>
              </w:rPr>
              <w:t>)</w:t>
            </w:r>
          </w:p>
        </w:tc>
        <w:tc>
          <w:tcPr>
            <w:tcW w:w="1445" w:type="dxa"/>
            <w:shd w:val="clear" w:color="auto" w:fill="D9D9D9" w:themeFill="background1" w:themeFillShade="D9"/>
            <w:vAlign w:val="center"/>
          </w:tcPr>
          <w:p w14:paraId="4C5F3EA2" w14:textId="77777777" w:rsidR="009E7FA9" w:rsidRPr="00DA07E4" w:rsidRDefault="009E7FA9" w:rsidP="00966F7B">
            <w:pPr>
              <w:spacing w:line="360" w:lineRule="auto"/>
              <w:jc w:val="center"/>
              <w:rPr>
                <w:rFonts w:ascii="Times New Roman" w:hAnsi="Times New Roman" w:cs="Times New Roman"/>
                <w:b/>
                <w:sz w:val="24"/>
                <w:szCs w:val="24"/>
              </w:rPr>
            </w:pPr>
            <w:r w:rsidRPr="00DA07E4">
              <w:rPr>
                <w:rFonts w:ascii="Times New Roman" w:hAnsi="Times New Roman" w:cs="Times New Roman"/>
                <w:b/>
                <w:sz w:val="24"/>
                <w:szCs w:val="24"/>
              </w:rPr>
              <w:t>hodnota p*</w:t>
            </w:r>
          </w:p>
        </w:tc>
        <w:tc>
          <w:tcPr>
            <w:tcW w:w="1357" w:type="dxa"/>
            <w:shd w:val="clear" w:color="auto" w:fill="D9D9D9" w:themeFill="background1" w:themeFillShade="D9"/>
            <w:vAlign w:val="center"/>
          </w:tcPr>
          <w:p w14:paraId="50B5561F" w14:textId="77777777" w:rsidR="009E7FA9" w:rsidRDefault="009E7FA9" w:rsidP="009E7F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Eta </w:t>
            </w:r>
          </w:p>
          <w:p w14:paraId="71DF2AEF" w14:textId="57B5CF62" w:rsidR="009E7FA9" w:rsidRPr="00DA07E4" w:rsidRDefault="009E7FA9" w:rsidP="009E7F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squared</w:t>
            </w:r>
            <w:r>
              <w:rPr>
                <w:rFonts w:ascii="Times New Roman" w:hAnsi="Times New Roman" w:cs="Times New Roman"/>
                <w:b/>
                <w:sz w:val="24"/>
                <w:szCs w:val="24"/>
                <w:vertAlign w:val="superscript"/>
              </w:rPr>
              <w:t>a</w:t>
            </w:r>
          </w:p>
        </w:tc>
      </w:tr>
      <w:tr w:rsidR="009E7FA9" w:rsidRPr="00DA07E4" w14:paraId="7B7BD0B3" w14:textId="197EFF40" w:rsidTr="009E7FA9">
        <w:trPr>
          <w:trHeight w:val="818"/>
        </w:trPr>
        <w:tc>
          <w:tcPr>
            <w:tcW w:w="1913" w:type="dxa"/>
            <w:shd w:val="clear" w:color="auto" w:fill="D9D9D9" w:themeFill="background1" w:themeFillShade="D9"/>
            <w:vAlign w:val="center"/>
          </w:tcPr>
          <w:p w14:paraId="79CF809A"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168 dní</w:t>
            </w:r>
          </w:p>
        </w:tc>
        <w:tc>
          <w:tcPr>
            <w:tcW w:w="1943" w:type="dxa"/>
            <w:vAlign w:val="center"/>
          </w:tcPr>
          <w:p w14:paraId="28857CFF"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0,440</w:t>
            </w:r>
          </w:p>
          <w:p w14:paraId="24190F97"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(0,415 – 0,448)</w:t>
            </w:r>
          </w:p>
        </w:tc>
        <w:tc>
          <w:tcPr>
            <w:tcW w:w="1835" w:type="dxa"/>
            <w:vAlign w:val="center"/>
          </w:tcPr>
          <w:p w14:paraId="7077DC3C"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0,400</w:t>
            </w:r>
          </w:p>
          <w:p w14:paraId="4148D578"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(0,243 – 0,435)</w:t>
            </w:r>
          </w:p>
        </w:tc>
        <w:tc>
          <w:tcPr>
            <w:tcW w:w="1445" w:type="dxa"/>
            <w:vAlign w:val="center"/>
          </w:tcPr>
          <w:p w14:paraId="2232372F" w14:textId="77777777" w:rsidR="009E7FA9" w:rsidRPr="00A16A78" w:rsidRDefault="009E7FA9" w:rsidP="00966F7B">
            <w:pPr>
              <w:spacing w:line="360" w:lineRule="auto"/>
              <w:jc w:val="center"/>
              <w:rPr>
                <w:rFonts w:ascii="Times New Roman" w:hAnsi="Times New Roman" w:cs="Times New Roman"/>
                <w:sz w:val="24"/>
                <w:szCs w:val="24"/>
              </w:rPr>
            </w:pPr>
            <w:r w:rsidRPr="00A16A78">
              <w:rPr>
                <w:rFonts w:ascii="Times New Roman" w:hAnsi="Times New Roman" w:cs="Times New Roman"/>
                <w:sz w:val="24"/>
                <w:szCs w:val="24"/>
              </w:rPr>
              <w:t>&lt;0,001</w:t>
            </w:r>
          </w:p>
        </w:tc>
        <w:tc>
          <w:tcPr>
            <w:tcW w:w="1357" w:type="dxa"/>
            <w:vAlign w:val="center"/>
          </w:tcPr>
          <w:p w14:paraId="3812E76F" w14:textId="21EE3899" w:rsidR="009E7FA9" w:rsidRPr="00A16A78"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0,178</w:t>
            </w:r>
          </w:p>
        </w:tc>
      </w:tr>
      <w:tr w:rsidR="009E7FA9" w:rsidRPr="00DA07E4" w14:paraId="5C09EF6A" w14:textId="4845551B" w:rsidTr="009E7FA9">
        <w:trPr>
          <w:trHeight w:val="818"/>
        </w:trPr>
        <w:tc>
          <w:tcPr>
            <w:tcW w:w="1913" w:type="dxa"/>
            <w:shd w:val="clear" w:color="auto" w:fill="D9D9D9" w:themeFill="background1" w:themeFillShade="D9"/>
            <w:vAlign w:val="center"/>
          </w:tcPr>
          <w:p w14:paraId="58025FEF"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1 roka</w:t>
            </w:r>
          </w:p>
        </w:tc>
        <w:tc>
          <w:tcPr>
            <w:tcW w:w="1943" w:type="dxa"/>
            <w:vAlign w:val="center"/>
          </w:tcPr>
          <w:p w14:paraId="6E2725DE"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0,955</w:t>
            </w:r>
          </w:p>
          <w:p w14:paraId="6EE4B1E1"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(0,902 – 0,973)</w:t>
            </w:r>
          </w:p>
        </w:tc>
        <w:tc>
          <w:tcPr>
            <w:tcW w:w="1835" w:type="dxa"/>
            <w:vAlign w:val="center"/>
          </w:tcPr>
          <w:p w14:paraId="5688E4DF"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0,871</w:t>
            </w:r>
          </w:p>
          <w:p w14:paraId="5CC11AA6"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(0,529 – 0,946)</w:t>
            </w:r>
          </w:p>
        </w:tc>
        <w:tc>
          <w:tcPr>
            <w:tcW w:w="1445" w:type="dxa"/>
            <w:vAlign w:val="center"/>
          </w:tcPr>
          <w:p w14:paraId="772831C3" w14:textId="77777777" w:rsidR="009E7FA9" w:rsidRPr="00A16A78" w:rsidRDefault="009E7FA9" w:rsidP="00966F7B">
            <w:pPr>
              <w:spacing w:line="360" w:lineRule="auto"/>
              <w:jc w:val="center"/>
              <w:rPr>
                <w:rFonts w:ascii="Times New Roman" w:hAnsi="Times New Roman" w:cs="Times New Roman"/>
                <w:sz w:val="24"/>
                <w:szCs w:val="24"/>
              </w:rPr>
            </w:pPr>
            <w:r w:rsidRPr="00A16A78">
              <w:rPr>
                <w:rFonts w:ascii="Times New Roman" w:hAnsi="Times New Roman" w:cs="Times New Roman"/>
                <w:sz w:val="24"/>
                <w:szCs w:val="24"/>
              </w:rPr>
              <w:t>&lt;0,001</w:t>
            </w:r>
          </w:p>
        </w:tc>
        <w:tc>
          <w:tcPr>
            <w:tcW w:w="1357" w:type="dxa"/>
            <w:vAlign w:val="center"/>
          </w:tcPr>
          <w:p w14:paraId="26DEC719" w14:textId="08DFF63B" w:rsidR="009E7FA9" w:rsidRPr="00A16A78"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0,178</w:t>
            </w:r>
          </w:p>
        </w:tc>
      </w:tr>
      <w:tr w:rsidR="009E7FA9" w:rsidRPr="00DA07E4" w14:paraId="37DEB9DB" w14:textId="4B88DF33" w:rsidTr="009E7FA9">
        <w:trPr>
          <w:trHeight w:val="818"/>
        </w:trPr>
        <w:tc>
          <w:tcPr>
            <w:tcW w:w="1913" w:type="dxa"/>
            <w:shd w:val="clear" w:color="auto" w:fill="D9D9D9" w:themeFill="background1" w:themeFillShade="D9"/>
            <w:vAlign w:val="center"/>
          </w:tcPr>
          <w:p w14:paraId="04328CCE" w14:textId="77777777" w:rsidR="009E7FA9" w:rsidRPr="00DA07E4" w:rsidRDefault="009E7FA9" w:rsidP="00966F7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počas SDŽ</w:t>
            </w:r>
          </w:p>
        </w:tc>
        <w:tc>
          <w:tcPr>
            <w:tcW w:w="1943" w:type="dxa"/>
            <w:vAlign w:val="center"/>
          </w:tcPr>
          <w:p w14:paraId="22505F67"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19,727</w:t>
            </w:r>
          </w:p>
          <w:p w14:paraId="0068BE79"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(15,223 – 28,816)</w:t>
            </w:r>
          </w:p>
        </w:tc>
        <w:tc>
          <w:tcPr>
            <w:tcW w:w="1835" w:type="dxa"/>
            <w:vAlign w:val="center"/>
          </w:tcPr>
          <w:p w14:paraId="4D5FE972"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15,780</w:t>
            </w:r>
          </w:p>
          <w:p w14:paraId="738B8AD0" w14:textId="77777777" w:rsidR="009E7FA9" w:rsidRPr="00645321" w:rsidRDefault="009E7FA9" w:rsidP="00966F7B">
            <w:pPr>
              <w:spacing w:line="360" w:lineRule="auto"/>
              <w:jc w:val="center"/>
              <w:rPr>
                <w:rFonts w:ascii="Times New Roman" w:hAnsi="Times New Roman" w:cs="Times New Roman"/>
                <w:sz w:val="24"/>
                <w:szCs w:val="24"/>
              </w:rPr>
            </w:pPr>
            <w:r w:rsidRPr="00645321">
              <w:rPr>
                <w:rFonts w:ascii="Times New Roman" w:hAnsi="Times New Roman" w:cs="Times New Roman"/>
                <w:sz w:val="24"/>
                <w:szCs w:val="24"/>
              </w:rPr>
              <w:t>(9,797 – 21,774)</w:t>
            </w:r>
          </w:p>
        </w:tc>
        <w:tc>
          <w:tcPr>
            <w:tcW w:w="1445" w:type="dxa"/>
            <w:vAlign w:val="center"/>
          </w:tcPr>
          <w:p w14:paraId="4B5931F7" w14:textId="77777777" w:rsidR="009E7FA9" w:rsidRPr="00DA07E4"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0,029</w:t>
            </w:r>
          </w:p>
        </w:tc>
        <w:tc>
          <w:tcPr>
            <w:tcW w:w="1357" w:type="dxa"/>
            <w:vAlign w:val="center"/>
          </w:tcPr>
          <w:p w14:paraId="5CE78E8D" w14:textId="78CFA593" w:rsidR="009E7FA9" w:rsidRDefault="009E7FA9" w:rsidP="00966F7B">
            <w:pPr>
              <w:spacing w:line="360" w:lineRule="auto"/>
              <w:jc w:val="center"/>
              <w:rPr>
                <w:rFonts w:ascii="Times New Roman" w:hAnsi="Times New Roman" w:cs="Times New Roman"/>
                <w:sz w:val="24"/>
                <w:szCs w:val="24"/>
              </w:rPr>
            </w:pPr>
            <w:r>
              <w:rPr>
                <w:rFonts w:ascii="Times New Roman" w:hAnsi="Times New Roman" w:cs="Times New Roman"/>
                <w:sz w:val="24"/>
                <w:szCs w:val="24"/>
              </w:rPr>
              <w:t>0,075</w:t>
            </w:r>
          </w:p>
        </w:tc>
      </w:tr>
    </w:tbl>
    <w:p w14:paraId="2D0912C7" w14:textId="4C594CD4" w:rsidR="00575230" w:rsidRPr="00DA07E4" w:rsidRDefault="00085EF2" w:rsidP="00085EF2">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vertAlign w:val="superscript"/>
        </w:rPr>
        <w:t>*</w:t>
      </w:r>
      <w:r>
        <w:rPr>
          <w:rFonts w:ascii="Times New Roman" w:hAnsi="Times New Roman" w:cs="Times New Roman"/>
          <w:sz w:val="24"/>
          <w:szCs w:val="24"/>
        </w:rPr>
        <w:t>Mann-Whitney U test</w:t>
      </w:r>
      <w:r>
        <w:rPr>
          <w:rFonts w:ascii="Times New Roman" w:hAnsi="Times New Roman" w:cs="Times New Roman"/>
          <w:sz w:val="24"/>
          <w:szCs w:val="24"/>
        </w:rPr>
        <w:tab/>
        <w:t>IR – 25. až 75. percentil</w:t>
      </w:r>
      <w:r w:rsidR="008113E9">
        <w:rPr>
          <w:rFonts w:ascii="Times New Roman" w:hAnsi="Times New Roman" w:cs="Times New Roman"/>
          <w:sz w:val="24"/>
          <w:szCs w:val="24"/>
        </w:rPr>
        <w:tab/>
      </w:r>
      <w:r>
        <w:rPr>
          <w:rFonts w:ascii="Times New Roman" w:hAnsi="Times New Roman" w:cs="Times New Roman"/>
          <w:sz w:val="24"/>
          <w:szCs w:val="24"/>
        </w:rPr>
        <w:t>SDŽ = stredná dĺžka života</w:t>
      </w:r>
    </w:p>
    <w:p w14:paraId="4837AFDD" w14:textId="67A67BA7" w:rsidR="009E7FA9" w:rsidRDefault="009E7FA9" w:rsidP="00DA07E4">
      <w:pPr>
        <w:spacing w:after="0" w:line="360" w:lineRule="auto"/>
        <w:jc w:val="both"/>
        <w:rPr>
          <w:rFonts w:ascii="Times New Roman" w:hAnsi="Times New Roman" w:cs="Times New Roman"/>
          <w:sz w:val="24"/>
          <w:szCs w:val="24"/>
        </w:rPr>
      </w:pPr>
    </w:p>
    <w:p w14:paraId="78E29785" w14:textId="27DBD210" w:rsidR="005F4221" w:rsidRDefault="005F4221" w:rsidP="00DA07E4">
      <w:pPr>
        <w:spacing w:after="0" w:line="360" w:lineRule="auto"/>
        <w:jc w:val="both"/>
        <w:rPr>
          <w:rFonts w:ascii="Times New Roman" w:hAnsi="Times New Roman" w:cs="Times New Roman"/>
          <w:sz w:val="24"/>
          <w:szCs w:val="24"/>
        </w:rPr>
      </w:pPr>
    </w:p>
    <w:p w14:paraId="37167652" w14:textId="580904CA" w:rsidR="005F4221" w:rsidRDefault="005F4221" w:rsidP="00DA07E4">
      <w:pPr>
        <w:spacing w:after="0" w:line="360" w:lineRule="auto"/>
        <w:jc w:val="both"/>
        <w:rPr>
          <w:rFonts w:ascii="Times New Roman" w:hAnsi="Times New Roman" w:cs="Times New Roman"/>
          <w:sz w:val="24"/>
          <w:szCs w:val="24"/>
        </w:rPr>
      </w:pPr>
    </w:p>
    <w:p w14:paraId="6D0991A5" w14:textId="73FDEFF0" w:rsidR="005F4221" w:rsidRDefault="005F4221" w:rsidP="00DA07E4">
      <w:pPr>
        <w:spacing w:after="0" w:line="360" w:lineRule="auto"/>
        <w:jc w:val="both"/>
        <w:rPr>
          <w:rFonts w:ascii="Times New Roman" w:hAnsi="Times New Roman" w:cs="Times New Roman"/>
          <w:sz w:val="24"/>
          <w:szCs w:val="24"/>
        </w:rPr>
      </w:pPr>
    </w:p>
    <w:p w14:paraId="6FEACCEF" w14:textId="01D4CDFA" w:rsidR="005F4221" w:rsidRDefault="005F4221" w:rsidP="00DA07E4">
      <w:pPr>
        <w:spacing w:after="0" w:line="360" w:lineRule="auto"/>
        <w:jc w:val="both"/>
        <w:rPr>
          <w:rFonts w:ascii="Times New Roman" w:hAnsi="Times New Roman" w:cs="Times New Roman"/>
          <w:sz w:val="24"/>
          <w:szCs w:val="24"/>
        </w:rPr>
      </w:pPr>
    </w:p>
    <w:p w14:paraId="5BEEAB89" w14:textId="6FDEB41A" w:rsidR="005F4221" w:rsidRDefault="005F4221" w:rsidP="00DA07E4">
      <w:pPr>
        <w:spacing w:after="0" w:line="360" w:lineRule="auto"/>
        <w:jc w:val="both"/>
        <w:rPr>
          <w:rFonts w:ascii="Times New Roman" w:hAnsi="Times New Roman" w:cs="Times New Roman"/>
          <w:sz w:val="24"/>
          <w:szCs w:val="24"/>
        </w:rPr>
      </w:pPr>
    </w:p>
    <w:p w14:paraId="4DB0326B" w14:textId="4F45DE35" w:rsidR="005F4221" w:rsidRDefault="005F4221" w:rsidP="00DA07E4">
      <w:pPr>
        <w:spacing w:after="0" w:line="360" w:lineRule="auto"/>
        <w:jc w:val="both"/>
        <w:rPr>
          <w:rFonts w:ascii="Times New Roman" w:hAnsi="Times New Roman" w:cs="Times New Roman"/>
          <w:sz w:val="24"/>
          <w:szCs w:val="24"/>
        </w:rPr>
      </w:pPr>
    </w:p>
    <w:p w14:paraId="466A6C39" w14:textId="4D4D4B4E" w:rsidR="005F4221" w:rsidRDefault="005F4221" w:rsidP="00DA07E4">
      <w:pPr>
        <w:spacing w:after="0" w:line="360" w:lineRule="auto"/>
        <w:jc w:val="both"/>
        <w:rPr>
          <w:rFonts w:ascii="Times New Roman" w:hAnsi="Times New Roman" w:cs="Times New Roman"/>
          <w:sz w:val="24"/>
          <w:szCs w:val="24"/>
        </w:rPr>
      </w:pPr>
    </w:p>
    <w:p w14:paraId="294EC98D" w14:textId="0A9E8E33" w:rsidR="005F4221" w:rsidRDefault="005F4221" w:rsidP="00DA07E4">
      <w:pPr>
        <w:spacing w:after="0" w:line="360" w:lineRule="auto"/>
        <w:jc w:val="both"/>
        <w:rPr>
          <w:rFonts w:ascii="Times New Roman" w:hAnsi="Times New Roman" w:cs="Times New Roman"/>
          <w:sz w:val="24"/>
          <w:szCs w:val="24"/>
        </w:rPr>
      </w:pPr>
    </w:p>
    <w:p w14:paraId="7FC1FE69" w14:textId="072394A6" w:rsidR="005F4221" w:rsidRDefault="005F4221" w:rsidP="00DA07E4">
      <w:pPr>
        <w:spacing w:after="0" w:line="360" w:lineRule="auto"/>
        <w:jc w:val="both"/>
        <w:rPr>
          <w:rFonts w:ascii="Times New Roman" w:hAnsi="Times New Roman" w:cs="Times New Roman"/>
          <w:sz w:val="24"/>
          <w:szCs w:val="24"/>
        </w:rPr>
      </w:pPr>
    </w:p>
    <w:p w14:paraId="7B0A4F89" w14:textId="34655974" w:rsidR="005F4221" w:rsidRDefault="005F4221" w:rsidP="00DA07E4">
      <w:pPr>
        <w:spacing w:after="0" w:line="360" w:lineRule="auto"/>
        <w:jc w:val="both"/>
        <w:rPr>
          <w:rFonts w:ascii="Times New Roman" w:hAnsi="Times New Roman" w:cs="Times New Roman"/>
          <w:sz w:val="24"/>
          <w:szCs w:val="24"/>
        </w:rPr>
      </w:pPr>
    </w:p>
    <w:p w14:paraId="2F2589CA" w14:textId="6970C271" w:rsidR="005F4221" w:rsidRDefault="005F4221" w:rsidP="00DA07E4">
      <w:pPr>
        <w:spacing w:after="0" w:line="360" w:lineRule="auto"/>
        <w:jc w:val="both"/>
        <w:rPr>
          <w:rFonts w:ascii="Times New Roman" w:hAnsi="Times New Roman" w:cs="Times New Roman"/>
          <w:sz w:val="24"/>
          <w:szCs w:val="24"/>
        </w:rPr>
      </w:pPr>
    </w:p>
    <w:p w14:paraId="25E0582C" w14:textId="4B838B83" w:rsidR="005F4221" w:rsidRDefault="005F4221" w:rsidP="00DA07E4">
      <w:pPr>
        <w:spacing w:after="0" w:line="360" w:lineRule="auto"/>
        <w:jc w:val="both"/>
        <w:rPr>
          <w:rFonts w:ascii="Times New Roman" w:hAnsi="Times New Roman" w:cs="Times New Roman"/>
          <w:sz w:val="24"/>
          <w:szCs w:val="24"/>
        </w:rPr>
      </w:pPr>
    </w:p>
    <w:p w14:paraId="108BFC61" w14:textId="7A02607B" w:rsidR="005F4221" w:rsidRDefault="005F4221" w:rsidP="00DA07E4">
      <w:pPr>
        <w:spacing w:after="0" w:line="360" w:lineRule="auto"/>
        <w:jc w:val="both"/>
        <w:rPr>
          <w:rFonts w:ascii="Times New Roman" w:hAnsi="Times New Roman" w:cs="Times New Roman"/>
          <w:sz w:val="24"/>
          <w:szCs w:val="24"/>
        </w:rPr>
      </w:pPr>
    </w:p>
    <w:p w14:paraId="483C40F3" w14:textId="34BDEBEE" w:rsidR="005F4221" w:rsidRDefault="005F4221" w:rsidP="00DA07E4">
      <w:pPr>
        <w:spacing w:after="0" w:line="360" w:lineRule="auto"/>
        <w:jc w:val="both"/>
        <w:rPr>
          <w:rFonts w:ascii="Times New Roman" w:hAnsi="Times New Roman" w:cs="Times New Roman"/>
          <w:sz w:val="24"/>
          <w:szCs w:val="24"/>
        </w:rPr>
      </w:pPr>
    </w:p>
    <w:p w14:paraId="7510D297" w14:textId="2278F75C" w:rsidR="005F4221" w:rsidRDefault="005F4221" w:rsidP="00DA07E4">
      <w:pPr>
        <w:spacing w:after="0" w:line="360" w:lineRule="auto"/>
        <w:jc w:val="both"/>
        <w:rPr>
          <w:rFonts w:ascii="Times New Roman" w:hAnsi="Times New Roman" w:cs="Times New Roman"/>
          <w:sz w:val="24"/>
          <w:szCs w:val="24"/>
        </w:rPr>
      </w:pPr>
    </w:p>
    <w:p w14:paraId="15B63FB1" w14:textId="15F9CB35" w:rsidR="005F4221" w:rsidRDefault="005F4221" w:rsidP="00DA07E4">
      <w:pPr>
        <w:spacing w:after="0" w:line="360" w:lineRule="auto"/>
        <w:jc w:val="both"/>
        <w:rPr>
          <w:rFonts w:ascii="Times New Roman" w:hAnsi="Times New Roman" w:cs="Times New Roman"/>
          <w:sz w:val="24"/>
          <w:szCs w:val="24"/>
        </w:rPr>
      </w:pPr>
    </w:p>
    <w:p w14:paraId="2AF56DC6" w14:textId="7B0F6867" w:rsidR="005F4221" w:rsidRDefault="005F4221" w:rsidP="00DA07E4">
      <w:pPr>
        <w:spacing w:after="0" w:line="360" w:lineRule="auto"/>
        <w:jc w:val="both"/>
        <w:rPr>
          <w:rFonts w:ascii="Times New Roman" w:hAnsi="Times New Roman" w:cs="Times New Roman"/>
          <w:sz w:val="24"/>
          <w:szCs w:val="24"/>
        </w:rPr>
      </w:pPr>
    </w:p>
    <w:p w14:paraId="19254077" w14:textId="77777777" w:rsidR="005F4221" w:rsidRDefault="005F4221" w:rsidP="00DA07E4">
      <w:pPr>
        <w:spacing w:after="0" w:line="360" w:lineRule="auto"/>
        <w:jc w:val="both"/>
        <w:rPr>
          <w:rFonts w:ascii="Times New Roman" w:hAnsi="Times New Roman" w:cs="Times New Roman"/>
          <w:sz w:val="24"/>
          <w:szCs w:val="24"/>
        </w:rPr>
      </w:pPr>
    </w:p>
    <w:p w14:paraId="7FD54A33" w14:textId="0705BE1F" w:rsidR="005F4221" w:rsidRDefault="005F4221" w:rsidP="00DA07E4">
      <w:pPr>
        <w:spacing w:after="0" w:line="360" w:lineRule="auto"/>
        <w:jc w:val="both"/>
        <w:rPr>
          <w:rFonts w:ascii="Times New Roman" w:hAnsi="Times New Roman" w:cs="Times New Roman"/>
          <w:sz w:val="24"/>
          <w:szCs w:val="24"/>
        </w:rPr>
      </w:pPr>
    </w:p>
    <w:p w14:paraId="025B66D5" w14:textId="42C7DF14" w:rsidR="005F4221" w:rsidRDefault="005F4221" w:rsidP="00DA07E4">
      <w:pPr>
        <w:spacing w:after="0" w:line="360" w:lineRule="auto"/>
        <w:jc w:val="both"/>
        <w:rPr>
          <w:rFonts w:ascii="Times New Roman" w:hAnsi="Times New Roman" w:cs="Times New Roman"/>
          <w:sz w:val="24"/>
          <w:szCs w:val="24"/>
        </w:rPr>
      </w:pPr>
    </w:p>
    <w:p w14:paraId="08C5E998" w14:textId="276D9929" w:rsidR="005F4221" w:rsidRDefault="005F4221" w:rsidP="00DA07E4">
      <w:pPr>
        <w:spacing w:after="0" w:line="360" w:lineRule="auto"/>
        <w:jc w:val="both"/>
        <w:rPr>
          <w:rFonts w:ascii="Times New Roman" w:hAnsi="Times New Roman" w:cs="Times New Roman"/>
          <w:sz w:val="24"/>
          <w:szCs w:val="24"/>
        </w:rPr>
      </w:pPr>
    </w:p>
    <w:p w14:paraId="329992B0" w14:textId="2E38215D" w:rsidR="005F4221" w:rsidRDefault="005F4221" w:rsidP="00DA07E4">
      <w:pPr>
        <w:spacing w:after="0" w:line="360" w:lineRule="auto"/>
        <w:jc w:val="both"/>
        <w:rPr>
          <w:rFonts w:ascii="Times New Roman" w:hAnsi="Times New Roman" w:cs="Times New Roman"/>
          <w:sz w:val="24"/>
          <w:szCs w:val="24"/>
        </w:rPr>
      </w:pPr>
    </w:p>
    <w:p w14:paraId="639EFCF1" w14:textId="416171B6" w:rsidR="005F4221" w:rsidRDefault="005F4221" w:rsidP="005F4221">
      <w:pPr>
        <w:spacing w:after="0" w:line="360" w:lineRule="auto"/>
        <w:jc w:val="both"/>
        <w:rPr>
          <w:rFonts w:ascii="Times New Roman" w:hAnsi="Times New Roman" w:cs="Times New Roman"/>
          <w:sz w:val="24"/>
          <w:szCs w:val="24"/>
        </w:rPr>
      </w:pPr>
      <w:r w:rsidRPr="00D135D4">
        <w:rPr>
          <w:rFonts w:ascii="Times New Roman" w:hAnsi="Times New Roman" w:cs="Times New Roman"/>
          <w:b/>
          <w:sz w:val="24"/>
          <w:szCs w:val="24"/>
        </w:rPr>
        <w:lastRenderedPageBreak/>
        <w:t>Tabuľka 1</w:t>
      </w:r>
      <w:bookmarkStart w:id="33" w:name="_Hlk68547322"/>
      <w:r>
        <w:rPr>
          <w:rFonts w:ascii="Times New Roman" w:hAnsi="Times New Roman" w:cs="Times New Roman"/>
          <w:b/>
          <w:sz w:val="24"/>
          <w:szCs w:val="24"/>
        </w:rPr>
        <w:t xml:space="preserve">5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v skupinách RIRS a ESWL podľa</w:t>
      </w:r>
      <w:r w:rsidRPr="00DA07E4">
        <w:rPr>
          <w:rFonts w:ascii="Times New Roman" w:hAnsi="Times New Roman" w:cs="Times New Roman"/>
          <w:sz w:val="24"/>
          <w:szCs w:val="24"/>
        </w:rPr>
        <w:t xml:space="preserve"> Q</w:t>
      </w:r>
      <w:r>
        <w:rPr>
          <w:rFonts w:ascii="Times New Roman" w:hAnsi="Times New Roman" w:cs="Times New Roman"/>
          <w:sz w:val="24"/>
          <w:szCs w:val="24"/>
        </w:rPr>
        <w:t>A</w:t>
      </w:r>
      <w:r w:rsidRPr="00DA07E4">
        <w:rPr>
          <w:rFonts w:ascii="Times New Roman" w:hAnsi="Times New Roman" w:cs="Times New Roman"/>
          <w:sz w:val="24"/>
          <w:szCs w:val="24"/>
        </w:rPr>
        <w:t>L</w:t>
      </w:r>
      <w:r>
        <w:rPr>
          <w:rFonts w:ascii="Times New Roman" w:hAnsi="Times New Roman" w:cs="Times New Roman"/>
          <w:sz w:val="24"/>
          <w:szCs w:val="24"/>
        </w:rPr>
        <w:t>Ys</w:t>
      </w:r>
      <w:r w:rsidRPr="00DA07E4">
        <w:rPr>
          <w:rFonts w:ascii="Times New Roman" w:hAnsi="Times New Roman" w:cs="Times New Roman"/>
          <w:sz w:val="24"/>
          <w:szCs w:val="24"/>
        </w:rPr>
        <w:t xml:space="preserve"> pred </w:t>
      </w:r>
      <w:r>
        <w:rPr>
          <w:rFonts w:ascii="Times New Roman" w:hAnsi="Times New Roman" w:cs="Times New Roman"/>
          <w:sz w:val="24"/>
          <w:szCs w:val="24"/>
        </w:rPr>
        <w:t xml:space="preserve">intervenciou </w:t>
      </w:r>
    </w:p>
    <w:p w14:paraId="655A8BB4" w14:textId="77777777" w:rsidR="005F4221" w:rsidRDefault="005F4221" w:rsidP="005F4221">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t xml:space="preserve">a v 24. týždni po intervencii </w:t>
      </w:r>
      <w:bookmarkEnd w:id="33"/>
    </w:p>
    <w:tbl>
      <w:tblPr>
        <w:tblStyle w:val="Mkatabulky"/>
        <w:tblW w:w="8444" w:type="dxa"/>
        <w:tblLook w:val="04A0" w:firstRow="1" w:lastRow="0" w:firstColumn="1" w:lastColumn="0" w:noHBand="0" w:noVBand="1"/>
      </w:tblPr>
      <w:tblGrid>
        <w:gridCol w:w="1091"/>
        <w:gridCol w:w="1091"/>
        <w:gridCol w:w="1091"/>
        <w:gridCol w:w="1091"/>
        <w:gridCol w:w="1091"/>
        <w:gridCol w:w="1091"/>
        <w:gridCol w:w="253"/>
        <w:gridCol w:w="1645"/>
      </w:tblGrid>
      <w:tr w:rsidR="005F4221" w14:paraId="2629CF9C" w14:textId="77777777" w:rsidTr="0034449D">
        <w:trPr>
          <w:cantSplit/>
          <w:trHeight w:val="1144"/>
        </w:trPr>
        <w:tc>
          <w:tcPr>
            <w:tcW w:w="1091" w:type="dxa"/>
            <w:vMerge w:val="restart"/>
            <w:shd w:val="clear" w:color="auto" w:fill="D9D9D9" w:themeFill="background1" w:themeFillShade="D9"/>
            <w:textDirection w:val="btLr"/>
            <w:vAlign w:val="center"/>
          </w:tcPr>
          <w:p w14:paraId="5DAE76A5"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ESWL (N = 32)</w:t>
            </w:r>
          </w:p>
        </w:tc>
        <w:tc>
          <w:tcPr>
            <w:tcW w:w="1091" w:type="dxa"/>
            <w:shd w:val="clear" w:color="auto" w:fill="D9D9D9" w:themeFill="background1" w:themeFillShade="D9"/>
            <w:textDirection w:val="btLr"/>
            <w:vAlign w:val="center"/>
          </w:tcPr>
          <w:p w14:paraId="090A7442"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 xml:space="preserve">Eta </w:t>
            </w:r>
          </w:p>
          <w:p w14:paraId="711AB30F" w14:textId="77777777" w:rsidR="005F4221" w:rsidRPr="00D25DD3" w:rsidRDefault="005F4221" w:rsidP="0034449D">
            <w:pPr>
              <w:spacing w:line="360" w:lineRule="auto"/>
              <w:ind w:left="113" w:right="113"/>
              <w:jc w:val="center"/>
              <w:rPr>
                <w:rFonts w:ascii="Times New Roman" w:hAnsi="Times New Roman" w:cs="Times New Roman"/>
                <w:b/>
                <w:vertAlign w:val="superscript"/>
              </w:rPr>
            </w:pPr>
            <w:r w:rsidRPr="00D25DD3">
              <w:rPr>
                <w:rFonts w:ascii="Times New Roman" w:hAnsi="Times New Roman" w:cs="Times New Roman"/>
                <w:b/>
              </w:rPr>
              <w:t>squared</w:t>
            </w:r>
            <w:r w:rsidRPr="00D25DD3">
              <w:rPr>
                <w:rFonts w:ascii="Times New Roman" w:hAnsi="Times New Roman" w:cs="Times New Roman"/>
                <w:b/>
                <w:vertAlign w:val="superscript"/>
              </w:rPr>
              <w:t>a</w:t>
            </w:r>
          </w:p>
        </w:tc>
        <w:tc>
          <w:tcPr>
            <w:tcW w:w="1091" w:type="dxa"/>
            <w:shd w:val="clear" w:color="auto" w:fill="D9D9D9" w:themeFill="background1" w:themeFillShade="D9"/>
            <w:textDirection w:val="btLr"/>
            <w:vAlign w:val="center"/>
          </w:tcPr>
          <w:p w14:paraId="2854314C"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40F40B59"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0,404</w:t>
            </w:r>
          </w:p>
        </w:tc>
        <w:tc>
          <w:tcPr>
            <w:tcW w:w="1091" w:type="dxa"/>
            <w:shd w:val="clear" w:color="auto" w:fill="auto"/>
            <w:textDirection w:val="btLr"/>
            <w:vAlign w:val="center"/>
          </w:tcPr>
          <w:p w14:paraId="6D642DE5"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0,404</w:t>
            </w:r>
          </w:p>
        </w:tc>
        <w:tc>
          <w:tcPr>
            <w:tcW w:w="1091" w:type="dxa"/>
            <w:tcBorders>
              <w:right w:val="single" w:sz="4" w:space="0" w:color="auto"/>
            </w:tcBorders>
            <w:shd w:val="clear" w:color="auto" w:fill="auto"/>
            <w:textDirection w:val="btLr"/>
            <w:vAlign w:val="center"/>
          </w:tcPr>
          <w:p w14:paraId="37419EDB"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0,182</w:t>
            </w:r>
          </w:p>
        </w:tc>
        <w:tc>
          <w:tcPr>
            <w:tcW w:w="253" w:type="dxa"/>
            <w:tcBorders>
              <w:top w:val="nil"/>
              <w:left w:val="single" w:sz="4" w:space="0" w:color="auto"/>
              <w:bottom w:val="nil"/>
              <w:right w:val="nil"/>
            </w:tcBorders>
            <w:textDirection w:val="btLr"/>
          </w:tcPr>
          <w:p w14:paraId="6B780A5A" w14:textId="77777777" w:rsidR="005F4221" w:rsidRPr="00D25DD3" w:rsidRDefault="005F4221" w:rsidP="0034449D">
            <w:pPr>
              <w:spacing w:line="360" w:lineRule="auto"/>
              <w:ind w:left="113" w:right="113"/>
              <w:jc w:val="center"/>
              <w:rPr>
                <w:rFonts w:ascii="Times New Roman" w:hAnsi="Times New Roman" w:cs="Times New Roman"/>
              </w:rPr>
            </w:pPr>
          </w:p>
        </w:tc>
        <w:tc>
          <w:tcPr>
            <w:tcW w:w="1645" w:type="dxa"/>
            <w:vMerge w:val="restart"/>
            <w:tcBorders>
              <w:top w:val="nil"/>
              <w:left w:val="nil"/>
              <w:bottom w:val="nil"/>
              <w:right w:val="nil"/>
            </w:tcBorders>
            <w:textDirection w:val="btLr"/>
          </w:tcPr>
          <w:p w14:paraId="773213E1" w14:textId="77777777" w:rsidR="005F4221" w:rsidRPr="00D25DD3" w:rsidRDefault="005F4221" w:rsidP="0034449D">
            <w:pPr>
              <w:spacing w:line="360" w:lineRule="auto"/>
              <w:jc w:val="both"/>
              <w:rPr>
                <w:rFonts w:ascii="Times New Roman" w:hAnsi="Times New Roman" w:cs="Times New Roman"/>
                <w:sz w:val="20"/>
                <w:szCs w:val="24"/>
              </w:rPr>
            </w:pPr>
            <w:r w:rsidRPr="00D25DD3">
              <w:rPr>
                <w:rFonts w:ascii="Times New Roman" w:hAnsi="Times New Roman" w:cs="Times New Roman"/>
                <w:sz w:val="20"/>
                <w:szCs w:val="24"/>
              </w:rPr>
              <w:t>*Wilcoxonov test</w:t>
            </w:r>
            <w:r w:rsidRPr="00D25DD3">
              <w:rPr>
                <w:rFonts w:ascii="Times New Roman" w:hAnsi="Times New Roman" w:cs="Times New Roman"/>
                <w:sz w:val="20"/>
                <w:szCs w:val="24"/>
              </w:rPr>
              <w:tab/>
            </w:r>
            <w:r w:rsidRPr="00D25DD3">
              <w:rPr>
                <w:rFonts w:ascii="Times New Roman" w:hAnsi="Times New Roman" w:cs="Times New Roman"/>
                <w:sz w:val="20"/>
                <w:szCs w:val="24"/>
              </w:rPr>
              <w:tab/>
              <w:t>IR – 25. až 75. percentil</w:t>
            </w:r>
            <w:r>
              <w:rPr>
                <w:rFonts w:ascii="Times New Roman" w:hAnsi="Times New Roman" w:cs="Times New Roman"/>
                <w:sz w:val="20"/>
                <w:szCs w:val="24"/>
              </w:rPr>
              <w:tab/>
            </w:r>
            <w:r>
              <w:rPr>
                <w:rFonts w:ascii="Times New Roman" w:hAnsi="Times New Roman" w:cs="Times New Roman"/>
                <w:sz w:val="20"/>
                <w:szCs w:val="24"/>
              </w:rPr>
              <w:tab/>
              <w:t>SDŽ = stredná dĺžka života</w:t>
            </w:r>
          </w:p>
          <w:p w14:paraId="5731A23D" w14:textId="77777777" w:rsidR="005F4221" w:rsidRPr="00D25DD3" w:rsidRDefault="005F4221" w:rsidP="0034449D">
            <w:pPr>
              <w:spacing w:line="360" w:lineRule="auto"/>
              <w:jc w:val="both"/>
              <w:rPr>
                <w:rFonts w:ascii="Times New Roman" w:hAnsi="Times New Roman" w:cs="Times New Roman"/>
              </w:rPr>
            </w:pPr>
            <w:r w:rsidRPr="00470C8A">
              <w:rPr>
                <w:rFonts w:ascii="Times New Roman" w:hAnsi="Times New Roman" w:cs="Times New Roman"/>
                <w:vertAlign w:val="superscript"/>
              </w:rPr>
              <w:t>a </w:t>
            </w:r>
            <w:r w:rsidRPr="00470C8A">
              <w:rPr>
                <w:rFonts w:ascii="Times New Roman" w:hAnsi="Times New Roman" w:cs="Times New Roman"/>
              </w:rPr>
              <w:t>Parameter „effect size“ bol vypočítaný na základe indexu h</w:t>
            </w:r>
            <w:r w:rsidRPr="00470C8A">
              <w:rPr>
                <w:rFonts w:ascii="Times New Roman" w:hAnsi="Times New Roman" w:cs="Times New Roman"/>
                <w:vertAlign w:val="superscript"/>
              </w:rPr>
              <w:t>2</w:t>
            </w:r>
            <w:r w:rsidRPr="00470C8A">
              <w:rPr>
                <w:rFonts w:ascii="Times New Roman" w:hAnsi="Times New Roman" w:cs="Times New Roman"/>
              </w:rPr>
              <w:t>. Podľa Cohena malé, stredné a veľké „effect size“ (h</w:t>
            </w:r>
            <w:r w:rsidRPr="00470C8A">
              <w:rPr>
                <w:rFonts w:ascii="Times New Roman" w:hAnsi="Times New Roman" w:cs="Times New Roman"/>
                <w:vertAlign w:val="superscript"/>
              </w:rPr>
              <w:t>2</w:t>
            </w:r>
            <w:r w:rsidRPr="00470C8A">
              <w:rPr>
                <w:rFonts w:ascii="Times New Roman" w:hAnsi="Times New Roman" w:cs="Times New Roman"/>
              </w:rPr>
              <w:t>) sú klasifikované: 0,00 až 0,003 bez účinku; 0,010 až 0,039 malý; 0,060 až 0,110 stredný; 0,140 až 0,200 veľký účinok</w:t>
            </w:r>
          </w:p>
        </w:tc>
      </w:tr>
      <w:tr w:rsidR="005F4221" w14:paraId="555DF226" w14:textId="77777777" w:rsidTr="0034449D">
        <w:trPr>
          <w:cantSplit/>
          <w:trHeight w:val="1131"/>
        </w:trPr>
        <w:tc>
          <w:tcPr>
            <w:tcW w:w="1091" w:type="dxa"/>
            <w:vMerge/>
            <w:shd w:val="clear" w:color="auto" w:fill="D9D9D9" w:themeFill="background1" w:themeFillShade="D9"/>
            <w:textDirection w:val="btLr"/>
            <w:vAlign w:val="center"/>
          </w:tcPr>
          <w:p w14:paraId="2D0E5828"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1A58D11F"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hodnota</w:t>
            </w:r>
          </w:p>
          <w:p w14:paraId="5C5B5CE4"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w:t>
            </w:r>
          </w:p>
        </w:tc>
        <w:tc>
          <w:tcPr>
            <w:tcW w:w="1091" w:type="dxa"/>
            <w:shd w:val="clear" w:color="auto" w:fill="D9D9D9" w:themeFill="background1" w:themeFillShade="D9"/>
            <w:textDirection w:val="btLr"/>
            <w:vAlign w:val="center"/>
          </w:tcPr>
          <w:p w14:paraId="38076D5F"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0FFBA77D"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1091" w:type="dxa"/>
            <w:shd w:val="clear" w:color="auto" w:fill="auto"/>
            <w:textDirection w:val="btLr"/>
            <w:vAlign w:val="center"/>
          </w:tcPr>
          <w:p w14:paraId="44550EF2"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1091" w:type="dxa"/>
            <w:tcBorders>
              <w:right w:val="single" w:sz="4" w:space="0" w:color="auto"/>
            </w:tcBorders>
            <w:shd w:val="clear" w:color="auto" w:fill="auto"/>
            <w:textDirection w:val="btLr"/>
            <w:vAlign w:val="center"/>
          </w:tcPr>
          <w:p w14:paraId="0E2B3E06"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253" w:type="dxa"/>
            <w:tcBorders>
              <w:top w:val="nil"/>
              <w:left w:val="single" w:sz="4" w:space="0" w:color="auto"/>
              <w:bottom w:val="nil"/>
              <w:right w:val="nil"/>
            </w:tcBorders>
            <w:textDirection w:val="btLr"/>
          </w:tcPr>
          <w:p w14:paraId="2BF71312" w14:textId="77777777" w:rsidR="005F4221" w:rsidRPr="00D25DD3"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40A3576E" w14:textId="77777777" w:rsidR="005F4221" w:rsidRPr="00D25DD3" w:rsidRDefault="005F4221" w:rsidP="0034449D">
            <w:pPr>
              <w:spacing w:line="360" w:lineRule="auto"/>
              <w:ind w:left="113" w:right="113"/>
              <w:jc w:val="center"/>
              <w:rPr>
                <w:rFonts w:ascii="Times New Roman" w:hAnsi="Times New Roman" w:cs="Times New Roman"/>
              </w:rPr>
            </w:pPr>
          </w:p>
        </w:tc>
      </w:tr>
      <w:tr w:rsidR="005F4221" w14:paraId="4F7CE823" w14:textId="77777777" w:rsidTr="005F4221">
        <w:trPr>
          <w:cantSplit/>
          <w:trHeight w:val="1550"/>
        </w:trPr>
        <w:tc>
          <w:tcPr>
            <w:tcW w:w="1091" w:type="dxa"/>
            <w:vMerge/>
            <w:shd w:val="clear" w:color="auto" w:fill="D9D9D9" w:themeFill="background1" w:themeFillShade="D9"/>
            <w:textDirection w:val="btLr"/>
            <w:vAlign w:val="center"/>
          </w:tcPr>
          <w:p w14:paraId="101F77D2"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224468DD"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po</w:t>
            </w:r>
          </w:p>
        </w:tc>
        <w:tc>
          <w:tcPr>
            <w:tcW w:w="1091" w:type="dxa"/>
            <w:vMerge w:val="restart"/>
            <w:shd w:val="clear" w:color="auto" w:fill="D9D9D9" w:themeFill="background1" w:themeFillShade="D9"/>
            <w:textDirection w:val="btLr"/>
            <w:vAlign w:val="center"/>
          </w:tcPr>
          <w:p w14:paraId="3577BB41"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medián (IR)</w:t>
            </w:r>
          </w:p>
        </w:tc>
        <w:tc>
          <w:tcPr>
            <w:tcW w:w="1091" w:type="dxa"/>
            <w:shd w:val="clear" w:color="auto" w:fill="auto"/>
            <w:textDirection w:val="btLr"/>
            <w:vAlign w:val="center"/>
          </w:tcPr>
          <w:p w14:paraId="4D5785B4"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0</w:t>
            </w:r>
            <w:r w:rsidRPr="003B394E">
              <w:rPr>
                <w:rFonts w:ascii="Times New Roman" w:hAnsi="Times New Roman" w:cs="Times New Roman"/>
                <w:szCs w:val="24"/>
                <w:lang w:val="en-GB"/>
              </w:rPr>
              <w:t>,</w:t>
            </w:r>
            <w:r w:rsidRPr="003B394E">
              <w:rPr>
                <w:rFonts w:ascii="Times New Roman" w:hAnsi="Times New Roman" w:cs="Times New Roman"/>
                <w:szCs w:val="24"/>
              </w:rPr>
              <w:t xml:space="preserve">400 </w:t>
            </w:r>
          </w:p>
          <w:p w14:paraId="31B1231B"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(0</w:t>
            </w:r>
            <w:r w:rsidRPr="003B394E">
              <w:rPr>
                <w:rFonts w:ascii="Times New Roman" w:hAnsi="Times New Roman" w:cs="Times New Roman"/>
                <w:szCs w:val="24"/>
                <w:lang w:val="en-GB"/>
              </w:rPr>
              <w:t>,</w:t>
            </w:r>
            <w:r w:rsidRPr="003B394E">
              <w:rPr>
                <w:rFonts w:ascii="Times New Roman" w:hAnsi="Times New Roman" w:cs="Times New Roman"/>
                <w:szCs w:val="24"/>
              </w:rPr>
              <w:t>243-0</w:t>
            </w:r>
            <w:r w:rsidRPr="003B394E">
              <w:rPr>
                <w:rFonts w:ascii="Times New Roman" w:hAnsi="Times New Roman" w:cs="Times New Roman"/>
                <w:szCs w:val="24"/>
                <w:lang w:val="en-GB"/>
              </w:rPr>
              <w:t>,</w:t>
            </w:r>
            <w:r w:rsidRPr="003B394E">
              <w:rPr>
                <w:rFonts w:ascii="Times New Roman" w:hAnsi="Times New Roman" w:cs="Times New Roman"/>
                <w:szCs w:val="24"/>
              </w:rPr>
              <w:t>435)</w:t>
            </w:r>
          </w:p>
        </w:tc>
        <w:tc>
          <w:tcPr>
            <w:tcW w:w="1091" w:type="dxa"/>
            <w:shd w:val="clear" w:color="auto" w:fill="auto"/>
            <w:textDirection w:val="btLr"/>
            <w:vAlign w:val="center"/>
          </w:tcPr>
          <w:p w14:paraId="739C9F0B"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0</w:t>
            </w:r>
            <w:r w:rsidRPr="003B394E">
              <w:rPr>
                <w:rFonts w:ascii="Times New Roman" w:hAnsi="Times New Roman" w:cs="Times New Roman"/>
                <w:szCs w:val="24"/>
                <w:lang w:val="en-GB"/>
              </w:rPr>
              <w:t>,</w:t>
            </w:r>
            <w:r w:rsidRPr="003B394E">
              <w:rPr>
                <w:rFonts w:ascii="Times New Roman" w:hAnsi="Times New Roman" w:cs="Times New Roman"/>
                <w:szCs w:val="24"/>
              </w:rPr>
              <w:t xml:space="preserve">871 </w:t>
            </w:r>
          </w:p>
          <w:p w14:paraId="5A8E59D6"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(0</w:t>
            </w:r>
            <w:r w:rsidRPr="003B394E">
              <w:rPr>
                <w:rFonts w:ascii="Times New Roman" w:hAnsi="Times New Roman" w:cs="Times New Roman"/>
                <w:szCs w:val="24"/>
                <w:lang w:val="en-GB"/>
              </w:rPr>
              <w:t>,</w:t>
            </w:r>
            <w:r w:rsidRPr="003B394E">
              <w:rPr>
                <w:rFonts w:ascii="Times New Roman" w:hAnsi="Times New Roman" w:cs="Times New Roman"/>
                <w:szCs w:val="24"/>
              </w:rPr>
              <w:t>529-0,946)</w:t>
            </w:r>
          </w:p>
        </w:tc>
        <w:tc>
          <w:tcPr>
            <w:tcW w:w="1091" w:type="dxa"/>
            <w:tcBorders>
              <w:bottom w:val="single" w:sz="4" w:space="0" w:color="auto"/>
              <w:right w:val="single" w:sz="4" w:space="0" w:color="auto"/>
            </w:tcBorders>
            <w:shd w:val="clear" w:color="auto" w:fill="auto"/>
            <w:textDirection w:val="btLr"/>
            <w:vAlign w:val="center"/>
          </w:tcPr>
          <w:p w14:paraId="221955DD"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15</w:t>
            </w:r>
            <w:r w:rsidRPr="003B394E">
              <w:rPr>
                <w:rFonts w:ascii="Times New Roman" w:hAnsi="Times New Roman" w:cs="Times New Roman"/>
                <w:szCs w:val="24"/>
                <w:lang w:val="en-GB"/>
              </w:rPr>
              <w:t>,</w:t>
            </w:r>
            <w:r w:rsidRPr="003B394E">
              <w:rPr>
                <w:rFonts w:ascii="Times New Roman" w:hAnsi="Times New Roman" w:cs="Times New Roman"/>
                <w:szCs w:val="24"/>
              </w:rPr>
              <w:t xml:space="preserve">780 </w:t>
            </w:r>
          </w:p>
          <w:p w14:paraId="40FFC113"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(9</w:t>
            </w:r>
            <w:r w:rsidRPr="003B394E">
              <w:rPr>
                <w:rFonts w:ascii="Times New Roman" w:hAnsi="Times New Roman" w:cs="Times New Roman"/>
                <w:szCs w:val="24"/>
                <w:lang w:val="en-GB"/>
              </w:rPr>
              <w:t>,</w:t>
            </w:r>
            <w:r w:rsidRPr="003B394E">
              <w:rPr>
                <w:rFonts w:ascii="Times New Roman" w:hAnsi="Times New Roman" w:cs="Times New Roman"/>
                <w:szCs w:val="24"/>
              </w:rPr>
              <w:t>797-21</w:t>
            </w:r>
            <w:r w:rsidRPr="003B394E">
              <w:rPr>
                <w:rFonts w:ascii="Times New Roman" w:hAnsi="Times New Roman" w:cs="Times New Roman"/>
                <w:szCs w:val="24"/>
                <w:lang w:val="en-GB"/>
              </w:rPr>
              <w:t>,</w:t>
            </w:r>
            <w:r w:rsidRPr="003B394E">
              <w:rPr>
                <w:rFonts w:ascii="Times New Roman" w:hAnsi="Times New Roman" w:cs="Times New Roman"/>
                <w:szCs w:val="24"/>
              </w:rPr>
              <w:t>774)</w:t>
            </w:r>
          </w:p>
        </w:tc>
        <w:tc>
          <w:tcPr>
            <w:tcW w:w="253" w:type="dxa"/>
            <w:tcBorders>
              <w:top w:val="nil"/>
              <w:left w:val="single" w:sz="4" w:space="0" w:color="auto"/>
              <w:bottom w:val="nil"/>
              <w:right w:val="nil"/>
            </w:tcBorders>
            <w:textDirection w:val="btLr"/>
          </w:tcPr>
          <w:p w14:paraId="2E9EBBD0" w14:textId="77777777" w:rsidR="005F4221"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1A97E019" w14:textId="77777777" w:rsidR="005F4221" w:rsidRDefault="005F4221" w:rsidP="0034449D">
            <w:pPr>
              <w:spacing w:line="360" w:lineRule="auto"/>
              <w:ind w:left="113" w:right="113"/>
              <w:jc w:val="center"/>
              <w:rPr>
                <w:rFonts w:ascii="Times New Roman" w:hAnsi="Times New Roman" w:cs="Times New Roman"/>
              </w:rPr>
            </w:pPr>
          </w:p>
        </w:tc>
      </w:tr>
      <w:tr w:rsidR="005F4221" w14:paraId="7F9AA7F5" w14:textId="77777777" w:rsidTr="0034449D">
        <w:trPr>
          <w:cantSplit/>
          <w:trHeight w:val="1551"/>
        </w:trPr>
        <w:tc>
          <w:tcPr>
            <w:tcW w:w="1091" w:type="dxa"/>
            <w:vMerge/>
            <w:shd w:val="clear" w:color="auto" w:fill="D9D9D9" w:themeFill="background1" w:themeFillShade="D9"/>
            <w:textDirection w:val="btLr"/>
            <w:vAlign w:val="center"/>
          </w:tcPr>
          <w:p w14:paraId="05E26461"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593192A9"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pred</w:t>
            </w:r>
          </w:p>
        </w:tc>
        <w:tc>
          <w:tcPr>
            <w:tcW w:w="1091" w:type="dxa"/>
            <w:vMerge/>
            <w:shd w:val="clear" w:color="auto" w:fill="D9D9D9" w:themeFill="background1" w:themeFillShade="D9"/>
            <w:textDirection w:val="btLr"/>
            <w:vAlign w:val="center"/>
          </w:tcPr>
          <w:p w14:paraId="5DD44ACA"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344608B7" w14:textId="77777777" w:rsidR="005F4221" w:rsidRPr="003B394E" w:rsidRDefault="005F4221" w:rsidP="0034449D">
            <w:pPr>
              <w:spacing w:line="360" w:lineRule="auto"/>
              <w:jc w:val="center"/>
              <w:rPr>
                <w:rFonts w:ascii="Times New Roman" w:hAnsi="Times New Roman" w:cs="Times New Roman"/>
                <w:szCs w:val="24"/>
                <w:lang w:val="en-GB"/>
              </w:rPr>
            </w:pPr>
            <w:r w:rsidRPr="003B394E">
              <w:rPr>
                <w:rFonts w:ascii="Times New Roman" w:hAnsi="Times New Roman" w:cs="Times New Roman"/>
                <w:szCs w:val="24"/>
                <w:lang w:val="en-GB"/>
              </w:rPr>
              <w:t xml:space="preserve">0,156 </w:t>
            </w:r>
          </w:p>
          <w:p w14:paraId="7DC92C71"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lang w:val="en-GB"/>
              </w:rPr>
              <w:t>(0,127-0,233)</w:t>
            </w:r>
          </w:p>
        </w:tc>
        <w:tc>
          <w:tcPr>
            <w:tcW w:w="1091" w:type="dxa"/>
            <w:shd w:val="clear" w:color="auto" w:fill="auto"/>
            <w:textDirection w:val="btLr"/>
            <w:vAlign w:val="center"/>
          </w:tcPr>
          <w:p w14:paraId="29BAF4B2" w14:textId="77777777" w:rsidR="005F4221" w:rsidRPr="003B394E" w:rsidRDefault="005F4221" w:rsidP="0034449D">
            <w:pPr>
              <w:spacing w:line="360" w:lineRule="auto"/>
              <w:jc w:val="center"/>
              <w:rPr>
                <w:rFonts w:ascii="Times New Roman" w:hAnsi="Times New Roman" w:cs="Times New Roman"/>
                <w:szCs w:val="24"/>
                <w:lang w:val="en-GB"/>
              </w:rPr>
            </w:pPr>
            <w:r w:rsidRPr="003B394E">
              <w:rPr>
                <w:rFonts w:ascii="Times New Roman" w:hAnsi="Times New Roman" w:cs="Times New Roman"/>
                <w:szCs w:val="24"/>
                <w:lang w:val="en-GB"/>
              </w:rPr>
              <w:t xml:space="preserve">0,339 </w:t>
            </w:r>
          </w:p>
          <w:p w14:paraId="044A1E12"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lang w:val="en-GB"/>
              </w:rPr>
              <w:t>(0,277- 0507)</w:t>
            </w:r>
          </w:p>
        </w:tc>
        <w:tc>
          <w:tcPr>
            <w:tcW w:w="1091" w:type="dxa"/>
            <w:tcBorders>
              <w:right w:val="single" w:sz="4" w:space="0" w:color="auto"/>
            </w:tcBorders>
            <w:shd w:val="clear" w:color="auto" w:fill="auto"/>
            <w:textDirection w:val="btLr"/>
            <w:vAlign w:val="center"/>
          </w:tcPr>
          <w:p w14:paraId="2A703E01" w14:textId="77777777" w:rsidR="005F4221" w:rsidRPr="003B394E" w:rsidRDefault="005F4221" w:rsidP="0034449D">
            <w:pPr>
              <w:spacing w:line="360" w:lineRule="auto"/>
              <w:jc w:val="center"/>
              <w:rPr>
                <w:rFonts w:ascii="Times New Roman" w:hAnsi="Times New Roman" w:cs="Times New Roman"/>
                <w:szCs w:val="24"/>
                <w:lang w:val="en-GB"/>
              </w:rPr>
            </w:pPr>
            <w:r w:rsidRPr="003B394E">
              <w:rPr>
                <w:rFonts w:ascii="Times New Roman" w:hAnsi="Times New Roman" w:cs="Times New Roman"/>
                <w:szCs w:val="24"/>
                <w:lang w:val="en-GB"/>
              </w:rPr>
              <w:t xml:space="preserve">7,595 </w:t>
            </w:r>
          </w:p>
          <w:p w14:paraId="2F077F4F"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lang w:val="en-GB"/>
              </w:rPr>
              <w:t>(3,794-13,174)</w:t>
            </w:r>
          </w:p>
        </w:tc>
        <w:tc>
          <w:tcPr>
            <w:tcW w:w="253" w:type="dxa"/>
            <w:tcBorders>
              <w:top w:val="nil"/>
              <w:left w:val="single" w:sz="4" w:space="0" w:color="auto"/>
              <w:bottom w:val="nil"/>
              <w:right w:val="nil"/>
            </w:tcBorders>
            <w:textDirection w:val="btLr"/>
          </w:tcPr>
          <w:p w14:paraId="4DABD676" w14:textId="77777777" w:rsidR="005F4221"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544F41C3" w14:textId="77777777" w:rsidR="005F4221" w:rsidRDefault="005F4221" w:rsidP="0034449D">
            <w:pPr>
              <w:spacing w:line="360" w:lineRule="auto"/>
              <w:ind w:left="113" w:right="113"/>
              <w:jc w:val="center"/>
              <w:rPr>
                <w:rFonts w:ascii="Times New Roman" w:hAnsi="Times New Roman" w:cs="Times New Roman"/>
              </w:rPr>
            </w:pPr>
          </w:p>
        </w:tc>
      </w:tr>
      <w:tr w:rsidR="005F4221" w14:paraId="56EB464A" w14:textId="77777777" w:rsidTr="0034449D">
        <w:trPr>
          <w:cantSplit/>
          <w:trHeight w:val="1129"/>
        </w:trPr>
        <w:tc>
          <w:tcPr>
            <w:tcW w:w="1091" w:type="dxa"/>
            <w:vMerge w:val="restart"/>
            <w:shd w:val="clear" w:color="auto" w:fill="D9D9D9" w:themeFill="background1" w:themeFillShade="D9"/>
            <w:textDirection w:val="btLr"/>
            <w:vAlign w:val="center"/>
          </w:tcPr>
          <w:p w14:paraId="6B2A6533"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RIRS (N = 34)</w:t>
            </w:r>
          </w:p>
        </w:tc>
        <w:tc>
          <w:tcPr>
            <w:tcW w:w="1091" w:type="dxa"/>
            <w:shd w:val="clear" w:color="auto" w:fill="D9D9D9" w:themeFill="background1" w:themeFillShade="D9"/>
            <w:textDirection w:val="btLr"/>
            <w:vAlign w:val="center"/>
          </w:tcPr>
          <w:p w14:paraId="547957D4"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 xml:space="preserve">Eta </w:t>
            </w:r>
          </w:p>
          <w:p w14:paraId="4E2B350F" w14:textId="77777777" w:rsidR="005F4221" w:rsidRPr="00D25DD3" w:rsidRDefault="005F4221" w:rsidP="0034449D">
            <w:pPr>
              <w:spacing w:line="360" w:lineRule="auto"/>
              <w:ind w:left="113" w:right="113"/>
              <w:jc w:val="center"/>
              <w:rPr>
                <w:rFonts w:ascii="Times New Roman" w:hAnsi="Times New Roman" w:cs="Times New Roman"/>
                <w:b/>
                <w:vertAlign w:val="superscript"/>
              </w:rPr>
            </w:pPr>
            <w:r w:rsidRPr="00D25DD3">
              <w:rPr>
                <w:rFonts w:ascii="Times New Roman" w:hAnsi="Times New Roman" w:cs="Times New Roman"/>
                <w:b/>
              </w:rPr>
              <w:t>squared</w:t>
            </w:r>
            <w:r w:rsidRPr="00D25DD3">
              <w:rPr>
                <w:rFonts w:ascii="Times New Roman" w:hAnsi="Times New Roman" w:cs="Times New Roman"/>
                <w:b/>
                <w:vertAlign w:val="superscript"/>
              </w:rPr>
              <w:t>a</w:t>
            </w:r>
          </w:p>
        </w:tc>
        <w:tc>
          <w:tcPr>
            <w:tcW w:w="1091" w:type="dxa"/>
            <w:shd w:val="clear" w:color="auto" w:fill="D9D9D9" w:themeFill="background1" w:themeFillShade="D9"/>
            <w:textDirection w:val="btLr"/>
            <w:vAlign w:val="center"/>
          </w:tcPr>
          <w:p w14:paraId="6A9F6081"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7F462FD1"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0,751</w:t>
            </w:r>
          </w:p>
        </w:tc>
        <w:tc>
          <w:tcPr>
            <w:tcW w:w="1091" w:type="dxa"/>
            <w:shd w:val="clear" w:color="auto" w:fill="auto"/>
            <w:textDirection w:val="btLr"/>
            <w:vAlign w:val="center"/>
          </w:tcPr>
          <w:p w14:paraId="42A567E7"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0,751</w:t>
            </w:r>
          </w:p>
        </w:tc>
        <w:tc>
          <w:tcPr>
            <w:tcW w:w="1091" w:type="dxa"/>
            <w:tcBorders>
              <w:bottom w:val="single" w:sz="4" w:space="0" w:color="auto"/>
              <w:right w:val="single" w:sz="4" w:space="0" w:color="auto"/>
            </w:tcBorders>
            <w:shd w:val="clear" w:color="auto" w:fill="auto"/>
            <w:textDirection w:val="btLr"/>
            <w:vAlign w:val="center"/>
          </w:tcPr>
          <w:p w14:paraId="5E8FCFE0"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0,300</w:t>
            </w:r>
          </w:p>
        </w:tc>
        <w:tc>
          <w:tcPr>
            <w:tcW w:w="253" w:type="dxa"/>
            <w:tcBorders>
              <w:top w:val="nil"/>
              <w:left w:val="single" w:sz="4" w:space="0" w:color="auto"/>
              <w:bottom w:val="nil"/>
              <w:right w:val="nil"/>
            </w:tcBorders>
            <w:textDirection w:val="btLr"/>
          </w:tcPr>
          <w:p w14:paraId="4E269EBD" w14:textId="77777777" w:rsidR="005F4221" w:rsidRPr="00D25DD3"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3AA494BF" w14:textId="77777777" w:rsidR="005F4221" w:rsidRPr="00D25DD3" w:rsidRDefault="005F4221" w:rsidP="0034449D">
            <w:pPr>
              <w:spacing w:line="360" w:lineRule="auto"/>
              <w:ind w:left="113" w:right="113"/>
              <w:jc w:val="center"/>
              <w:rPr>
                <w:rFonts w:ascii="Times New Roman" w:hAnsi="Times New Roman" w:cs="Times New Roman"/>
              </w:rPr>
            </w:pPr>
          </w:p>
        </w:tc>
      </w:tr>
      <w:tr w:rsidR="005F4221" w14:paraId="143BD122" w14:textId="77777777" w:rsidTr="0034449D">
        <w:trPr>
          <w:cantSplit/>
          <w:trHeight w:val="1094"/>
        </w:trPr>
        <w:tc>
          <w:tcPr>
            <w:tcW w:w="1091" w:type="dxa"/>
            <w:vMerge/>
            <w:shd w:val="clear" w:color="auto" w:fill="D9D9D9" w:themeFill="background1" w:themeFillShade="D9"/>
            <w:textDirection w:val="btLr"/>
            <w:vAlign w:val="center"/>
          </w:tcPr>
          <w:p w14:paraId="1AF47C19"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30497E2F"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hodnota</w:t>
            </w:r>
          </w:p>
          <w:p w14:paraId="0E7AA645"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w:t>
            </w:r>
          </w:p>
        </w:tc>
        <w:tc>
          <w:tcPr>
            <w:tcW w:w="1091" w:type="dxa"/>
            <w:shd w:val="clear" w:color="auto" w:fill="D9D9D9" w:themeFill="background1" w:themeFillShade="D9"/>
            <w:textDirection w:val="btLr"/>
            <w:vAlign w:val="center"/>
          </w:tcPr>
          <w:p w14:paraId="12496CB3"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25DBDB62"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1091" w:type="dxa"/>
            <w:shd w:val="clear" w:color="auto" w:fill="auto"/>
            <w:textDirection w:val="btLr"/>
            <w:vAlign w:val="center"/>
          </w:tcPr>
          <w:p w14:paraId="7E7BF598"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1091" w:type="dxa"/>
            <w:tcBorders>
              <w:right w:val="single" w:sz="4" w:space="0" w:color="auto"/>
            </w:tcBorders>
            <w:shd w:val="clear" w:color="auto" w:fill="auto"/>
            <w:textDirection w:val="btLr"/>
            <w:vAlign w:val="center"/>
          </w:tcPr>
          <w:p w14:paraId="7489D4DB"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&lt;0,001</w:t>
            </w:r>
          </w:p>
        </w:tc>
        <w:tc>
          <w:tcPr>
            <w:tcW w:w="253" w:type="dxa"/>
            <w:tcBorders>
              <w:top w:val="nil"/>
              <w:left w:val="single" w:sz="4" w:space="0" w:color="auto"/>
              <w:bottom w:val="nil"/>
              <w:right w:val="nil"/>
            </w:tcBorders>
            <w:textDirection w:val="btLr"/>
          </w:tcPr>
          <w:p w14:paraId="66B7D383" w14:textId="77777777" w:rsidR="005F4221" w:rsidRPr="00D25DD3"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353A2F78" w14:textId="77777777" w:rsidR="005F4221" w:rsidRPr="00D25DD3" w:rsidRDefault="005F4221" w:rsidP="0034449D">
            <w:pPr>
              <w:spacing w:line="360" w:lineRule="auto"/>
              <w:ind w:left="113" w:right="113"/>
              <w:jc w:val="center"/>
              <w:rPr>
                <w:rFonts w:ascii="Times New Roman" w:hAnsi="Times New Roman" w:cs="Times New Roman"/>
              </w:rPr>
            </w:pPr>
          </w:p>
        </w:tc>
      </w:tr>
      <w:tr w:rsidR="005F4221" w14:paraId="72947C76" w14:textId="77777777" w:rsidTr="0034449D">
        <w:trPr>
          <w:cantSplit/>
          <w:trHeight w:val="1714"/>
        </w:trPr>
        <w:tc>
          <w:tcPr>
            <w:tcW w:w="1091" w:type="dxa"/>
            <w:vMerge/>
            <w:shd w:val="clear" w:color="auto" w:fill="D9D9D9" w:themeFill="background1" w:themeFillShade="D9"/>
            <w:textDirection w:val="btLr"/>
            <w:vAlign w:val="center"/>
          </w:tcPr>
          <w:p w14:paraId="55D2C437"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11BE5B08"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po</w:t>
            </w:r>
          </w:p>
        </w:tc>
        <w:tc>
          <w:tcPr>
            <w:tcW w:w="1091" w:type="dxa"/>
            <w:vMerge w:val="restart"/>
            <w:shd w:val="clear" w:color="auto" w:fill="D9D9D9" w:themeFill="background1" w:themeFillShade="D9"/>
            <w:textDirection w:val="btLr"/>
            <w:vAlign w:val="center"/>
          </w:tcPr>
          <w:p w14:paraId="4EB70EB5"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medián (IR)</w:t>
            </w:r>
          </w:p>
        </w:tc>
        <w:tc>
          <w:tcPr>
            <w:tcW w:w="1091" w:type="dxa"/>
            <w:shd w:val="clear" w:color="auto" w:fill="auto"/>
            <w:textDirection w:val="btLr"/>
            <w:vAlign w:val="center"/>
          </w:tcPr>
          <w:p w14:paraId="5FBC168F"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 xml:space="preserve">0,440 </w:t>
            </w:r>
          </w:p>
          <w:p w14:paraId="4DBA5FDD"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(0,415-0,448)</w:t>
            </w:r>
          </w:p>
        </w:tc>
        <w:tc>
          <w:tcPr>
            <w:tcW w:w="1091" w:type="dxa"/>
            <w:shd w:val="clear" w:color="auto" w:fill="auto"/>
            <w:textDirection w:val="btLr"/>
            <w:vAlign w:val="center"/>
          </w:tcPr>
          <w:p w14:paraId="01FC7B0E"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0,955</w:t>
            </w:r>
          </w:p>
          <w:p w14:paraId="4E096C6D"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(0,902-0,973)</w:t>
            </w:r>
          </w:p>
        </w:tc>
        <w:tc>
          <w:tcPr>
            <w:tcW w:w="1091" w:type="dxa"/>
            <w:tcBorders>
              <w:bottom w:val="single" w:sz="4" w:space="0" w:color="auto"/>
              <w:right w:val="single" w:sz="4" w:space="0" w:color="auto"/>
            </w:tcBorders>
            <w:shd w:val="clear" w:color="auto" w:fill="auto"/>
            <w:textDirection w:val="btLr"/>
            <w:vAlign w:val="center"/>
          </w:tcPr>
          <w:p w14:paraId="5A916F1C" w14:textId="77777777" w:rsidR="005F4221" w:rsidRPr="003B394E" w:rsidRDefault="005F4221" w:rsidP="0034449D">
            <w:pPr>
              <w:spacing w:line="360" w:lineRule="auto"/>
              <w:jc w:val="center"/>
              <w:rPr>
                <w:rFonts w:ascii="Times New Roman" w:hAnsi="Times New Roman" w:cs="Times New Roman"/>
                <w:szCs w:val="24"/>
              </w:rPr>
            </w:pPr>
            <w:r w:rsidRPr="003B394E">
              <w:rPr>
                <w:rFonts w:ascii="Times New Roman" w:hAnsi="Times New Roman" w:cs="Times New Roman"/>
                <w:szCs w:val="24"/>
              </w:rPr>
              <w:t>19,727</w:t>
            </w:r>
          </w:p>
          <w:p w14:paraId="18606A07"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szCs w:val="24"/>
              </w:rPr>
              <w:t>(15,223–28,816)</w:t>
            </w:r>
          </w:p>
        </w:tc>
        <w:tc>
          <w:tcPr>
            <w:tcW w:w="253" w:type="dxa"/>
            <w:tcBorders>
              <w:top w:val="nil"/>
              <w:left w:val="single" w:sz="4" w:space="0" w:color="auto"/>
              <w:bottom w:val="nil"/>
              <w:right w:val="nil"/>
            </w:tcBorders>
            <w:textDirection w:val="btLr"/>
          </w:tcPr>
          <w:p w14:paraId="45D054C0" w14:textId="77777777" w:rsidR="005F4221" w:rsidRPr="00D25DD3" w:rsidRDefault="005F4221" w:rsidP="0034449D">
            <w:pPr>
              <w:spacing w:line="360" w:lineRule="auto"/>
              <w:jc w:val="center"/>
              <w:rPr>
                <w:rFonts w:ascii="Times New Roman" w:hAnsi="Times New Roman" w:cs="Times New Roman"/>
              </w:rPr>
            </w:pPr>
          </w:p>
        </w:tc>
        <w:tc>
          <w:tcPr>
            <w:tcW w:w="1645" w:type="dxa"/>
            <w:vMerge/>
            <w:tcBorders>
              <w:top w:val="nil"/>
              <w:left w:val="nil"/>
              <w:bottom w:val="nil"/>
              <w:right w:val="nil"/>
            </w:tcBorders>
            <w:textDirection w:val="btLr"/>
          </w:tcPr>
          <w:p w14:paraId="64502B28" w14:textId="77777777" w:rsidR="005F4221" w:rsidRPr="00D25DD3" w:rsidRDefault="005F4221" w:rsidP="0034449D">
            <w:pPr>
              <w:spacing w:line="360" w:lineRule="auto"/>
              <w:jc w:val="center"/>
              <w:rPr>
                <w:rFonts w:ascii="Times New Roman" w:hAnsi="Times New Roman" w:cs="Times New Roman"/>
              </w:rPr>
            </w:pPr>
          </w:p>
        </w:tc>
      </w:tr>
      <w:tr w:rsidR="005F4221" w14:paraId="11AB7CF9" w14:textId="77777777" w:rsidTr="0034449D">
        <w:trPr>
          <w:cantSplit/>
          <w:trHeight w:val="1553"/>
        </w:trPr>
        <w:tc>
          <w:tcPr>
            <w:tcW w:w="1091" w:type="dxa"/>
            <w:vMerge/>
            <w:shd w:val="clear" w:color="auto" w:fill="auto"/>
            <w:textDirection w:val="btLr"/>
            <w:vAlign w:val="center"/>
          </w:tcPr>
          <w:p w14:paraId="4577C064" w14:textId="77777777" w:rsidR="005F4221" w:rsidRPr="00D25DD3" w:rsidRDefault="005F4221" w:rsidP="0034449D">
            <w:pPr>
              <w:spacing w:line="360" w:lineRule="auto"/>
              <w:ind w:left="113" w:right="113"/>
              <w:jc w:val="center"/>
              <w:rPr>
                <w:rFonts w:ascii="Times New Roman" w:hAnsi="Times New Roman" w:cs="Times New Roman"/>
              </w:rPr>
            </w:pPr>
          </w:p>
        </w:tc>
        <w:tc>
          <w:tcPr>
            <w:tcW w:w="1091" w:type="dxa"/>
            <w:shd w:val="clear" w:color="auto" w:fill="D9D9D9" w:themeFill="background1" w:themeFillShade="D9"/>
            <w:textDirection w:val="btLr"/>
            <w:vAlign w:val="center"/>
          </w:tcPr>
          <w:p w14:paraId="1E1C8A2E" w14:textId="77777777" w:rsidR="005F4221" w:rsidRPr="00D25DD3" w:rsidRDefault="005F4221" w:rsidP="0034449D">
            <w:pPr>
              <w:spacing w:line="360" w:lineRule="auto"/>
              <w:ind w:left="113" w:right="113"/>
              <w:jc w:val="center"/>
              <w:rPr>
                <w:rFonts w:ascii="Times New Roman" w:hAnsi="Times New Roman" w:cs="Times New Roman"/>
                <w:b/>
              </w:rPr>
            </w:pPr>
            <w:r w:rsidRPr="00D25DD3">
              <w:rPr>
                <w:rFonts w:ascii="Times New Roman" w:hAnsi="Times New Roman" w:cs="Times New Roman"/>
                <w:b/>
              </w:rPr>
              <w:t>pred</w:t>
            </w:r>
          </w:p>
        </w:tc>
        <w:tc>
          <w:tcPr>
            <w:tcW w:w="1091" w:type="dxa"/>
            <w:vMerge/>
            <w:shd w:val="clear" w:color="auto" w:fill="auto"/>
            <w:textDirection w:val="btLr"/>
            <w:vAlign w:val="center"/>
          </w:tcPr>
          <w:p w14:paraId="47EDD5FC" w14:textId="77777777" w:rsidR="005F4221" w:rsidRPr="00D25DD3" w:rsidRDefault="005F4221" w:rsidP="0034449D">
            <w:pPr>
              <w:spacing w:line="360" w:lineRule="auto"/>
              <w:ind w:left="113" w:right="113"/>
              <w:jc w:val="center"/>
              <w:rPr>
                <w:rFonts w:ascii="Times New Roman" w:hAnsi="Times New Roman" w:cs="Times New Roman"/>
                <w:b/>
              </w:rPr>
            </w:pPr>
          </w:p>
        </w:tc>
        <w:tc>
          <w:tcPr>
            <w:tcW w:w="1091" w:type="dxa"/>
            <w:shd w:val="clear" w:color="auto" w:fill="auto"/>
            <w:textDirection w:val="btLr"/>
            <w:vAlign w:val="center"/>
          </w:tcPr>
          <w:p w14:paraId="0A370522"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0,210</w:t>
            </w:r>
          </w:p>
          <w:p w14:paraId="7BCCA1FE"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(0,140-0,260)</w:t>
            </w:r>
          </w:p>
        </w:tc>
        <w:tc>
          <w:tcPr>
            <w:tcW w:w="1091" w:type="dxa"/>
            <w:shd w:val="clear" w:color="auto" w:fill="auto"/>
            <w:textDirection w:val="btLr"/>
            <w:vAlign w:val="center"/>
          </w:tcPr>
          <w:p w14:paraId="746F99C3"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0,455</w:t>
            </w:r>
          </w:p>
          <w:p w14:paraId="786ABDDB"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(0,304-0,565)</w:t>
            </w:r>
          </w:p>
        </w:tc>
        <w:tc>
          <w:tcPr>
            <w:tcW w:w="1091" w:type="dxa"/>
            <w:tcBorders>
              <w:right w:val="single" w:sz="4" w:space="0" w:color="auto"/>
            </w:tcBorders>
            <w:shd w:val="clear" w:color="auto" w:fill="auto"/>
            <w:textDirection w:val="btLr"/>
            <w:vAlign w:val="center"/>
          </w:tcPr>
          <w:p w14:paraId="320269AE"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10,216</w:t>
            </w:r>
          </w:p>
          <w:p w14:paraId="219CFA13" w14:textId="77777777" w:rsidR="005F4221" w:rsidRPr="003B394E" w:rsidRDefault="005F4221" w:rsidP="0034449D">
            <w:pPr>
              <w:spacing w:line="360" w:lineRule="auto"/>
              <w:ind w:left="113" w:right="113"/>
              <w:jc w:val="center"/>
              <w:rPr>
                <w:rFonts w:ascii="Times New Roman" w:hAnsi="Times New Roman" w:cs="Times New Roman"/>
              </w:rPr>
            </w:pPr>
            <w:r w:rsidRPr="003B394E">
              <w:rPr>
                <w:rFonts w:ascii="Times New Roman" w:hAnsi="Times New Roman" w:cs="Times New Roman"/>
              </w:rPr>
              <w:t>(5,620-14,786)</w:t>
            </w:r>
          </w:p>
        </w:tc>
        <w:tc>
          <w:tcPr>
            <w:tcW w:w="253" w:type="dxa"/>
            <w:tcBorders>
              <w:top w:val="nil"/>
              <w:left w:val="single" w:sz="4" w:space="0" w:color="auto"/>
              <w:bottom w:val="nil"/>
              <w:right w:val="nil"/>
            </w:tcBorders>
            <w:textDirection w:val="btLr"/>
          </w:tcPr>
          <w:p w14:paraId="1E3277C8" w14:textId="77777777" w:rsidR="005F4221" w:rsidRPr="00D25DD3" w:rsidRDefault="005F4221" w:rsidP="0034449D">
            <w:pPr>
              <w:spacing w:line="360" w:lineRule="auto"/>
              <w:ind w:left="113" w:right="113"/>
              <w:jc w:val="center"/>
              <w:rPr>
                <w:rFonts w:ascii="Times New Roman" w:hAnsi="Times New Roman" w:cs="Times New Roman"/>
              </w:rPr>
            </w:pPr>
          </w:p>
        </w:tc>
        <w:tc>
          <w:tcPr>
            <w:tcW w:w="1645" w:type="dxa"/>
            <w:vMerge/>
            <w:tcBorders>
              <w:top w:val="nil"/>
              <w:left w:val="nil"/>
              <w:bottom w:val="nil"/>
              <w:right w:val="nil"/>
            </w:tcBorders>
            <w:textDirection w:val="btLr"/>
          </w:tcPr>
          <w:p w14:paraId="1129F512" w14:textId="77777777" w:rsidR="005F4221" w:rsidRPr="00D25DD3" w:rsidRDefault="005F4221" w:rsidP="0034449D">
            <w:pPr>
              <w:spacing w:line="360" w:lineRule="auto"/>
              <w:ind w:left="113" w:right="113"/>
              <w:jc w:val="center"/>
              <w:rPr>
                <w:rFonts w:ascii="Times New Roman" w:hAnsi="Times New Roman" w:cs="Times New Roman"/>
              </w:rPr>
            </w:pPr>
          </w:p>
        </w:tc>
      </w:tr>
      <w:tr w:rsidR="005F4221" w14:paraId="2A8949B9" w14:textId="77777777" w:rsidTr="005F4221">
        <w:trPr>
          <w:cantSplit/>
          <w:trHeight w:val="1263"/>
        </w:trPr>
        <w:tc>
          <w:tcPr>
            <w:tcW w:w="3273" w:type="dxa"/>
            <w:gridSpan w:val="3"/>
            <w:shd w:val="clear" w:color="auto" w:fill="D9D9D9" w:themeFill="background1" w:themeFillShade="D9"/>
            <w:textDirection w:val="btLr"/>
            <w:vAlign w:val="center"/>
          </w:tcPr>
          <w:p w14:paraId="7AE6103B" w14:textId="77777777" w:rsidR="005F4221" w:rsidRPr="00D25DD3" w:rsidRDefault="005F4221" w:rsidP="0034449D">
            <w:pPr>
              <w:spacing w:line="360" w:lineRule="auto"/>
              <w:ind w:left="113" w:right="113"/>
              <w:rPr>
                <w:rFonts w:ascii="Times New Roman" w:hAnsi="Times New Roman" w:cs="Times New Roman"/>
                <w:b/>
              </w:rPr>
            </w:pPr>
            <w:r>
              <w:rPr>
                <w:rFonts w:ascii="Times New Roman" w:hAnsi="Times New Roman" w:cs="Times New Roman"/>
                <w:b/>
              </w:rPr>
              <w:t>QALYs</w:t>
            </w:r>
          </w:p>
        </w:tc>
        <w:tc>
          <w:tcPr>
            <w:tcW w:w="1091" w:type="dxa"/>
            <w:shd w:val="clear" w:color="auto" w:fill="D9D9D9" w:themeFill="background1" w:themeFillShade="D9"/>
            <w:textDirection w:val="btLr"/>
            <w:vAlign w:val="center"/>
          </w:tcPr>
          <w:p w14:paraId="57527715" w14:textId="636BC0EA" w:rsidR="005F4221" w:rsidRDefault="005F4221" w:rsidP="0034449D">
            <w:pPr>
              <w:spacing w:line="360" w:lineRule="auto"/>
              <w:ind w:left="113" w:right="113"/>
              <w:rPr>
                <w:rFonts w:ascii="Times New Roman" w:hAnsi="Times New Roman" w:cs="Times New Roman"/>
                <w:b/>
              </w:rPr>
            </w:pPr>
            <w:r>
              <w:rPr>
                <w:rFonts w:ascii="Times New Roman" w:hAnsi="Times New Roman" w:cs="Times New Roman"/>
                <w:b/>
              </w:rPr>
              <w:t>počas</w:t>
            </w:r>
          </w:p>
          <w:p w14:paraId="670994FA" w14:textId="744A724C" w:rsidR="005F4221" w:rsidRPr="00D25DD3" w:rsidRDefault="005F4221" w:rsidP="0034449D">
            <w:pPr>
              <w:spacing w:line="360" w:lineRule="auto"/>
              <w:ind w:left="113" w:right="113"/>
              <w:rPr>
                <w:rFonts w:ascii="Times New Roman" w:hAnsi="Times New Roman" w:cs="Times New Roman"/>
                <w:b/>
              </w:rPr>
            </w:pPr>
            <w:r>
              <w:rPr>
                <w:rFonts w:ascii="Times New Roman" w:hAnsi="Times New Roman" w:cs="Times New Roman"/>
                <w:b/>
              </w:rPr>
              <w:t>168 dní</w:t>
            </w:r>
          </w:p>
        </w:tc>
        <w:tc>
          <w:tcPr>
            <w:tcW w:w="1091" w:type="dxa"/>
            <w:shd w:val="clear" w:color="auto" w:fill="D9D9D9" w:themeFill="background1" w:themeFillShade="D9"/>
            <w:textDirection w:val="btLr"/>
            <w:vAlign w:val="center"/>
          </w:tcPr>
          <w:p w14:paraId="4C2BB1A6" w14:textId="748B79EC" w:rsidR="005F4221" w:rsidRDefault="005F4221" w:rsidP="0034449D">
            <w:pPr>
              <w:spacing w:line="360" w:lineRule="auto"/>
              <w:ind w:left="113" w:right="113"/>
              <w:rPr>
                <w:rFonts w:ascii="Times New Roman" w:hAnsi="Times New Roman" w:cs="Times New Roman"/>
                <w:b/>
              </w:rPr>
            </w:pPr>
            <w:r>
              <w:rPr>
                <w:rFonts w:ascii="Times New Roman" w:hAnsi="Times New Roman" w:cs="Times New Roman"/>
                <w:b/>
              </w:rPr>
              <w:t>počas</w:t>
            </w:r>
          </w:p>
          <w:p w14:paraId="75A52A3C" w14:textId="0E902D6F" w:rsidR="005F4221" w:rsidRPr="00D25DD3" w:rsidRDefault="005F4221" w:rsidP="0034449D">
            <w:pPr>
              <w:spacing w:line="360" w:lineRule="auto"/>
              <w:ind w:left="113" w:right="113"/>
              <w:rPr>
                <w:rFonts w:ascii="Times New Roman" w:hAnsi="Times New Roman" w:cs="Times New Roman"/>
                <w:b/>
              </w:rPr>
            </w:pPr>
            <w:r>
              <w:rPr>
                <w:rFonts w:ascii="Times New Roman" w:hAnsi="Times New Roman" w:cs="Times New Roman"/>
                <w:b/>
              </w:rPr>
              <w:t xml:space="preserve"> 1 roka</w:t>
            </w:r>
          </w:p>
        </w:tc>
        <w:tc>
          <w:tcPr>
            <w:tcW w:w="1091" w:type="dxa"/>
            <w:tcBorders>
              <w:right w:val="single" w:sz="4" w:space="0" w:color="auto"/>
            </w:tcBorders>
            <w:shd w:val="clear" w:color="auto" w:fill="D9D9D9" w:themeFill="background1" w:themeFillShade="D9"/>
            <w:textDirection w:val="btLr"/>
            <w:vAlign w:val="center"/>
          </w:tcPr>
          <w:p w14:paraId="6B61A7C1" w14:textId="77777777" w:rsidR="005F4221" w:rsidRDefault="005F4221" w:rsidP="0034449D">
            <w:pPr>
              <w:spacing w:line="360" w:lineRule="auto"/>
              <w:ind w:left="113" w:right="113"/>
              <w:rPr>
                <w:rFonts w:ascii="Times New Roman" w:hAnsi="Times New Roman" w:cs="Times New Roman"/>
                <w:b/>
              </w:rPr>
            </w:pPr>
            <w:r>
              <w:rPr>
                <w:rFonts w:ascii="Times New Roman" w:hAnsi="Times New Roman" w:cs="Times New Roman"/>
                <w:b/>
              </w:rPr>
              <w:t xml:space="preserve">počas </w:t>
            </w:r>
          </w:p>
          <w:p w14:paraId="5C5243D2" w14:textId="25D15975" w:rsidR="005F4221" w:rsidRPr="00D25DD3" w:rsidRDefault="005F4221" w:rsidP="0034449D">
            <w:pPr>
              <w:spacing w:line="360" w:lineRule="auto"/>
              <w:ind w:left="113" w:right="113"/>
              <w:rPr>
                <w:rFonts w:ascii="Times New Roman" w:hAnsi="Times New Roman" w:cs="Times New Roman"/>
                <w:b/>
              </w:rPr>
            </w:pPr>
            <w:r>
              <w:rPr>
                <w:rFonts w:ascii="Times New Roman" w:hAnsi="Times New Roman" w:cs="Times New Roman"/>
                <w:b/>
              </w:rPr>
              <w:t>SDŽ</w:t>
            </w:r>
          </w:p>
        </w:tc>
        <w:tc>
          <w:tcPr>
            <w:tcW w:w="253" w:type="dxa"/>
            <w:tcBorders>
              <w:top w:val="nil"/>
              <w:left w:val="single" w:sz="4" w:space="0" w:color="auto"/>
              <w:bottom w:val="nil"/>
              <w:right w:val="nil"/>
            </w:tcBorders>
            <w:shd w:val="clear" w:color="auto" w:fill="auto"/>
            <w:textDirection w:val="btLr"/>
          </w:tcPr>
          <w:p w14:paraId="5B00AB3A" w14:textId="77777777" w:rsidR="005F4221" w:rsidRDefault="005F4221" w:rsidP="0034449D">
            <w:pPr>
              <w:spacing w:line="360" w:lineRule="auto"/>
              <w:ind w:left="113" w:right="113"/>
              <w:rPr>
                <w:rFonts w:ascii="Times New Roman" w:hAnsi="Times New Roman" w:cs="Times New Roman"/>
                <w:b/>
              </w:rPr>
            </w:pPr>
          </w:p>
        </w:tc>
        <w:tc>
          <w:tcPr>
            <w:tcW w:w="1645" w:type="dxa"/>
            <w:vMerge/>
            <w:tcBorders>
              <w:top w:val="nil"/>
              <w:left w:val="nil"/>
              <w:bottom w:val="nil"/>
              <w:right w:val="nil"/>
            </w:tcBorders>
            <w:shd w:val="clear" w:color="auto" w:fill="D9D9D9" w:themeFill="background1" w:themeFillShade="D9"/>
            <w:textDirection w:val="btLr"/>
          </w:tcPr>
          <w:p w14:paraId="43B5A50A" w14:textId="77777777" w:rsidR="005F4221" w:rsidRDefault="005F4221" w:rsidP="0034449D">
            <w:pPr>
              <w:spacing w:line="360" w:lineRule="auto"/>
              <w:ind w:left="113" w:right="113"/>
              <w:rPr>
                <w:rFonts w:ascii="Times New Roman" w:hAnsi="Times New Roman" w:cs="Times New Roman"/>
                <w:b/>
              </w:rPr>
            </w:pPr>
          </w:p>
        </w:tc>
      </w:tr>
    </w:tbl>
    <w:p w14:paraId="10FEFC11" w14:textId="77777777" w:rsidR="00470C8A" w:rsidRDefault="00470C8A" w:rsidP="00DA07E4">
      <w:pPr>
        <w:spacing w:after="0" w:line="360" w:lineRule="auto"/>
        <w:jc w:val="both"/>
        <w:rPr>
          <w:rFonts w:ascii="Times New Roman" w:hAnsi="Times New Roman" w:cs="Times New Roman"/>
          <w:sz w:val="24"/>
          <w:szCs w:val="24"/>
        </w:rPr>
      </w:pPr>
    </w:p>
    <w:p w14:paraId="5193FCF5" w14:textId="77777777" w:rsidR="003B394E" w:rsidRDefault="003B394E" w:rsidP="00DA07E4">
      <w:pPr>
        <w:spacing w:after="0" w:line="360" w:lineRule="auto"/>
        <w:jc w:val="both"/>
        <w:rPr>
          <w:rFonts w:ascii="Times New Roman" w:hAnsi="Times New Roman" w:cs="Times New Roman"/>
          <w:sz w:val="24"/>
          <w:szCs w:val="24"/>
        </w:rPr>
      </w:pPr>
    </w:p>
    <w:p w14:paraId="6BD547D9" w14:textId="2118DAF0" w:rsidR="003B394E" w:rsidRDefault="003B394E" w:rsidP="00DA07E4">
      <w:pPr>
        <w:spacing w:after="0" w:line="360" w:lineRule="auto"/>
        <w:jc w:val="both"/>
        <w:rPr>
          <w:rFonts w:ascii="Times New Roman" w:hAnsi="Times New Roman" w:cs="Times New Roman"/>
          <w:sz w:val="24"/>
          <w:szCs w:val="24"/>
        </w:rPr>
        <w:sectPr w:rsidR="003B394E" w:rsidSect="005F4221">
          <w:footerReference w:type="default" r:id="rId40"/>
          <w:pgSz w:w="11906" w:h="16838"/>
          <w:pgMar w:top="1418" w:right="1701" w:bottom="1418" w:left="1701" w:header="709" w:footer="709" w:gutter="0"/>
          <w:cols w:space="708"/>
          <w:titlePg/>
          <w:docGrid w:linePitch="360"/>
        </w:sectPr>
      </w:pPr>
    </w:p>
    <w:p w14:paraId="207420AA" w14:textId="2FBEE4A9" w:rsidR="005B27DC" w:rsidRPr="005F4221" w:rsidRDefault="005B27DC" w:rsidP="00390864">
      <w:pPr>
        <w:pStyle w:val="Odstavecseseznamem"/>
        <w:numPr>
          <w:ilvl w:val="0"/>
          <w:numId w:val="4"/>
        </w:numPr>
        <w:spacing w:after="0" w:line="360" w:lineRule="auto"/>
        <w:ind w:left="426" w:hanging="426"/>
        <w:jc w:val="both"/>
        <w:rPr>
          <w:rFonts w:ascii="Times New Roman" w:hAnsi="Times New Roman" w:cs="Times New Roman"/>
          <w:b/>
          <w:sz w:val="24"/>
          <w:szCs w:val="24"/>
        </w:rPr>
      </w:pPr>
      <w:r w:rsidRPr="005F4221">
        <w:rPr>
          <w:rFonts w:ascii="Times New Roman" w:hAnsi="Times New Roman" w:cs="Times New Roman"/>
          <w:b/>
          <w:sz w:val="24"/>
          <w:szCs w:val="24"/>
        </w:rPr>
        <w:lastRenderedPageBreak/>
        <w:t>DISKUSIA</w:t>
      </w:r>
    </w:p>
    <w:p w14:paraId="024C1B79" w14:textId="77777777" w:rsidR="00B544D3" w:rsidRPr="00DA07E4" w:rsidRDefault="00B544D3" w:rsidP="00DA07E4">
      <w:pPr>
        <w:spacing w:after="0" w:line="360" w:lineRule="auto"/>
        <w:jc w:val="both"/>
        <w:rPr>
          <w:rFonts w:ascii="Times New Roman" w:hAnsi="Times New Roman" w:cs="Times New Roman"/>
          <w:sz w:val="24"/>
          <w:szCs w:val="24"/>
        </w:rPr>
      </w:pPr>
    </w:p>
    <w:p w14:paraId="6C5617ED" w14:textId="54274429" w:rsidR="00CA4C55" w:rsidRPr="00B54AB8" w:rsidRDefault="00F37012"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Odborná verejnosť stále diskutuje, či je vhodnejšie u vybraných pacientov zvoliť ako metódu prvej voľby </w:t>
      </w:r>
      <w:r w:rsidR="0020041D" w:rsidRPr="00DA07E4">
        <w:rPr>
          <w:rFonts w:ascii="Times New Roman" w:hAnsi="Times New Roman" w:cs="Times New Roman"/>
          <w:sz w:val="24"/>
          <w:szCs w:val="24"/>
        </w:rPr>
        <w:t>RIRS</w:t>
      </w:r>
      <w:r w:rsidRPr="00DA07E4">
        <w:rPr>
          <w:rFonts w:ascii="Times New Roman" w:hAnsi="Times New Roman" w:cs="Times New Roman"/>
          <w:sz w:val="24"/>
          <w:szCs w:val="24"/>
        </w:rPr>
        <w:t xml:space="preserve"> alebo ESWL</w:t>
      </w:r>
      <w:r w:rsidR="00530EC7" w:rsidRPr="00DA07E4">
        <w:rPr>
          <w:rFonts w:ascii="Times New Roman" w:hAnsi="Times New Roman" w:cs="Times New Roman"/>
          <w:sz w:val="24"/>
          <w:szCs w:val="24"/>
        </w:rPr>
        <w:t>.</w:t>
      </w:r>
      <w:r w:rsidRPr="00DA07E4">
        <w:rPr>
          <w:rFonts w:ascii="Times New Roman" w:hAnsi="Times New Roman" w:cs="Times New Roman"/>
          <w:sz w:val="24"/>
          <w:szCs w:val="24"/>
        </w:rPr>
        <w:t xml:space="preserve"> Väčší technologický pokrok bol recentne dosiahnutý v ureteroskopickom inštrumentáriu. Neustále sa zlepšujú parametre laseru, na trh bol uvedený aj inovatívny thuliový laser. Okrem toho sa bežnou </w:t>
      </w:r>
      <w:r w:rsidR="00530EC7" w:rsidRPr="00DA07E4">
        <w:rPr>
          <w:rFonts w:ascii="Times New Roman" w:hAnsi="Times New Roman" w:cs="Times New Roman"/>
          <w:sz w:val="24"/>
          <w:szCs w:val="24"/>
        </w:rPr>
        <w:t xml:space="preserve">praxou stalo použitie jednorázových flexibilných ureterorenoskopov. Na </w:t>
      </w:r>
      <w:r w:rsidR="00530EC7" w:rsidRPr="001D1F6D">
        <w:rPr>
          <w:rFonts w:ascii="Times New Roman" w:hAnsi="Times New Roman" w:cs="Times New Roman"/>
          <w:sz w:val="24"/>
          <w:szCs w:val="24"/>
        </w:rPr>
        <w:t>druhej strane, prístroje cieliace rázovú vlnu počas ESWL sú efektívnejšie</w:t>
      </w:r>
      <w:r w:rsidR="00CA4C55" w:rsidRPr="001D1F6D">
        <w:rPr>
          <w:rFonts w:ascii="Times New Roman" w:hAnsi="Times New Roman" w:cs="Times New Roman"/>
          <w:sz w:val="24"/>
          <w:szCs w:val="24"/>
        </w:rPr>
        <w:t xml:space="preserve"> a je možné očakávať benefit ESWL pri stúpajúcej antibiotickej rezistencii nielen pri nozokomiálnych nákazách</w:t>
      </w:r>
      <w:r w:rsidR="00B54AB8" w:rsidRPr="001D1F6D">
        <w:rPr>
          <w:rFonts w:ascii="Times New Roman" w:hAnsi="Times New Roman" w:cs="Times New Roman"/>
          <w:sz w:val="24"/>
          <w:szCs w:val="24"/>
        </w:rPr>
        <w:t xml:space="preserve"> (</w:t>
      </w:r>
      <w:r w:rsidR="00B54AB8" w:rsidRPr="001D1F6D">
        <w:rPr>
          <w:rFonts w:ascii="Times New Roman" w:hAnsi="Times New Roman" w:cs="Times New Roman"/>
          <w:color w:val="000000" w:themeColor="text1"/>
          <w:sz w:val="24"/>
          <w:szCs w:val="24"/>
        </w:rPr>
        <w:t>Türk et al., 2016; Assimos et al., 2016)</w:t>
      </w:r>
      <w:r w:rsidR="00530EC7" w:rsidRPr="001D1F6D">
        <w:rPr>
          <w:rFonts w:ascii="Times New Roman" w:hAnsi="Times New Roman" w:cs="Times New Roman"/>
          <w:sz w:val="24"/>
          <w:szCs w:val="24"/>
        </w:rPr>
        <w:t>.</w:t>
      </w:r>
    </w:p>
    <w:p w14:paraId="532521C9" w14:textId="528E0884" w:rsidR="00FA5848" w:rsidRPr="00DA07E4" w:rsidRDefault="00FA5848" w:rsidP="00DA07E4">
      <w:pPr>
        <w:autoSpaceDE w:val="0"/>
        <w:autoSpaceDN w:val="0"/>
        <w:adjustRightInd w:val="0"/>
        <w:spacing w:after="0" w:line="360" w:lineRule="auto"/>
        <w:ind w:firstLine="708"/>
        <w:jc w:val="both"/>
        <w:rPr>
          <w:rFonts w:ascii="Times New Roman" w:hAnsi="Times New Roman" w:cs="Times New Roman"/>
          <w:sz w:val="24"/>
          <w:szCs w:val="24"/>
        </w:rPr>
      </w:pPr>
    </w:p>
    <w:p w14:paraId="2DE98A65" w14:textId="7ED89C89" w:rsidR="00FA5848" w:rsidRPr="00DA07E4" w:rsidRDefault="00FA5848"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shd w:val="clear" w:color="auto" w:fill="FFFFFF"/>
        </w:rPr>
        <w:t>Pri zákrokoch URS veľkú úlohu zohráva zvolená operačná technika – dusting, fragmentácia a basketing. Štúdia zameraná na URS z roku 2019 ukázala, že pri dustingu bol signifikantne kratší operačný čas, kdežto fragmentácia dosiahla signifikantne lepšiu SFR (El-Nahas et al., 2019). Obe techniky vykázali porovnateľnú bezpečnosť. Ďalšia štúdia uzavrela, že basketing aj dusting môžu poskytnúť excelentné výsledky pre pacientov, ak zákrok vykonáva skúsený operatér (</w:t>
      </w:r>
      <w:r w:rsidRPr="001B0F72">
        <w:rPr>
          <w:rFonts w:ascii="Times New Roman" w:hAnsi="Times New Roman" w:cs="Times New Roman"/>
          <w:sz w:val="24"/>
          <w:szCs w:val="24"/>
          <w:shd w:val="clear" w:color="auto" w:fill="FFFFFF"/>
        </w:rPr>
        <w:t>Santiago et al.</w:t>
      </w:r>
      <w:r w:rsidR="001B0F72" w:rsidRPr="001B0F72">
        <w:rPr>
          <w:rFonts w:ascii="Times New Roman" w:hAnsi="Times New Roman" w:cs="Times New Roman"/>
          <w:sz w:val="24"/>
          <w:szCs w:val="24"/>
          <w:shd w:val="clear" w:color="auto" w:fill="FFFFFF"/>
        </w:rPr>
        <w:t xml:space="preserve"> </w:t>
      </w:r>
      <w:r w:rsidRPr="001B0F72">
        <w:rPr>
          <w:rFonts w:ascii="Times New Roman" w:hAnsi="Times New Roman" w:cs="Times New Roman"/>
          <w:sz w:val="24"/>
          <w:szCs w:val="24"/>
          <w:shd w:val="clear" w:color="auto" w:fill="FFFFFF"/>
        </w:rPr>
        <w:t>2017</w:t>
      </w:r>
      <w:r w:rsidRPr="00DA07E4">
        <w:rPr>
          <w:rFonts w:ascii="Times New Roman" w:hAnsi="Times New Roman" w:cs="Times New Roman"/>
          <w:sz w:val="24"/>
          <w:szCs w:val="24"/>
          <w:shd w:val="clear" w:color="auto" w:fill="FFFFFF"/>
        </w:rPr>
        <w:t>).</w:t>
      </w:r>
    </w:p>
    <w:p w14:paraId="3414C55D" w14:textId="77777777" w:rsidR="00A336A3" w:rsidRPr="00DA07E4" w:rsidRDefault="00A336A3"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37D87606" w14:textId="34FA1A04" w:rsidR="00CA4C55" w:rsidRPr="00DA07E4" w:rsidRDefault="00CA4C55"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Zákrok ESWL je</w:t>
      </w:r>
      <w:r w:rsidR="004A7921" w:rsidRPr="00DA07E4">
        <w:rPr>
          <w:rFonts w:ascii="Times New Roman" w:eastAsia="Times New Roman" w:hAnsi="Times New Roman" w:cs="Times New Roman"/>
          <w:sz w:val="24"/>
          <w:szCs w:val="24"/>
          <w:lang w:eastAsia="sk-SK"/>
        </w:rPr>
        <w:t>, na druhú stranu,</w:t>
      </w:r>
      <w:r w:rsidRPr="00DA07E4">
        <w:rPr>
          <w:rFonts w:ascii="Times New Roman" w:eastAsia="Times New Roman" w:hAnsi="Times New Roman" w:cs="Times New Roman"/>
          <w:sz w:val="24"/>
          <w:szCs w:val="24"/>
          <w:lang w:eastAsia="sk-SK"/>
        </w:rPr>
        <w:t xml:space="preserve"> považovaný za málo invazívny</w:t>
      </w:r>
      <w:r w:rsidR="004A7921" w:rsidRPr="00DA07E4">
        <w:rPr>
          <w:rFonts w:ascii="Times New Roman" w:eastAsia="Times New Roman" w:hAnsi="Times New Roman" w:cs="Times New Roman"/>
          <w:sz w:val="24"/>
          <w:szCs w:val="24"/>
          <w:lang w:eastAsia="sk-SK"/>
        </w:rPr>
        <w:t>. Zákrok je realizovaný</w:t>
      </w:r>
      <w:r w:rsidRPr="00DA07E4">
        <w:rPr>
          <w:rFonts w:ascii="Times New Roman" w:eastAsia="Times New Roman" w:hAnsi="Times New Roman" w:cs="Times New Roman"/>
          <w:sz w:val="24"/>
          <w:szCs w:val="24"/>
          <w:lang w:eastAsia="sk-SK"/>
        </w:rPr>
        <w:t xml:space="preserve"> bez nutnosti </w:t>
      </w:r>
      <w:r w:rsidR="004A7921" w:rsidRPr="00DA07E4">
        <w:rPr>
          <w:rFonts w:ascii="Times New Roman" w:eastAsia="Times New Roman" w:hAnsi="Times New Roman" w:cs="Times New Roman"/>
          <w:sz w:val="24"/>
          <w:szCs w:val="24"/>
          <w:lang w:eastAsia="sk-SK"/>
        </w:rPr>
        <w:t>celkovej</w:t>
      </w:r>
      <w:r w:rsidRPr="00DA07E4">
        <w:rPr>
          <w:rFonts w:ascii="Times New Roman" w:eastAsia="Times New Roman" w:hAnsi="Times New Roman" w:cs="Times New Roman"/>
          <w:sz w:val="24"/>
          <w:szCs w:val="24"/>
          <w:lang w:eastAsia="sk-SK"/>
        </w:rPr>
        <w:t xml:space="preserve"> anestézie, s minimálnymi komplikáciami. </w:t>
      </w:r>
      <w:r w:rsidR="004A7921" w:rsidRPr="00DA07E4">
        <w:rPr>
          <w:rFonts w:ascii="Times New Roman" w:eastAsia="Times New Roman" w:hAnsi="Times New Roman" w:cs="Times New Roman"/>
          <w:sz w:val="24"/>
          <w:szCs w:val="24"/>
          <w:lang w:eastAsia="sk-SK"/>
        </w:rPr>
        <w:t>V</w:t>
      </w:r>
      <w:r w:rsidRPr="00DA07E4">
        <w:rPr>
          <w:rFonts w:ascii="Times New Roman" w:eastAsia="Times New Roman" w:hAnsi="Times New Roman" w:cs="Times New Roman"/>
          <w:sz w:val="24"/>
          <w:szCs w:val="24"/>
          <w:lang w:eastAsia="sk-SK"/>
        </w:rPr>
        <w:t xml:space="preserve">ýzvou </w:t>
      </w:r>
      <w:r w:rsidR="004A7921" w:rsidRPr="00DA07E4">
        <w:rPr>
          <w:rFonts w:ascii="Times New Roman" w:eastAsia="Times New Roman" w:hAnsi="Times New Roman" w:cs="Times New Roman"/>
          <w:sz w:val="24"/>
          <w:szCs w:val="24"/>
          <w:lang w:eastAsia="sk-SK"/>
        </w:rPr>
        <w:t>pre ESWL môžu byť</w:t>
      </w:r>
      <w:r w:rsidRPr="00DA07E4">
        <w:rPr>
          <w:rFonts w:ascii="Times New Roman" w:eastAsia="Times New Roman" w:hAnsi="Times New Roman" w:cs="Times New Roman"/>
          <w:sz w:val="24"/>
          <w:szCs w:val="24"/>
          <w:lang w:eastAsia="sk-SK"/>
        </w:rPr>
        <w:t xml:space="preserve"> </w:t>
      </w:r>
      <w:r w:rsidR="004A7921" w:rsidRPr="00DA07E4">
        <w:rPr>
          <w:rFonts w:ascii="Times New Roman" w:eastAsia="Times New Roman" w:hAnsi="Times New Roman" w:cs="Times New Roman"/>
          <w:sz w:val="24"/>
          <w:szCs w:val="24"/>
          <w:lang w:eastAsia="sk-SK"/>
        </w:rPr>
        <w:t xml:space="preserve">ale </w:t>
      </w:r>
      <w:r w:rsidRPr="00DA07E4">
        <w:rPr>
          <w:rFonts w:ascii="Times New Roman" w:eastAsia="Times New Roman" w:hAnsi="Times New Roman" w:cs="Times New Roman"/>
          <w:sz w:val="24"/>
          <w:szCs w:val="24"/>
          <w:lang w:eastAsia="sk-SK"/>
        </w:rPr>
        <w:t xml:space="preserve">príliš malé aj príliš veľké konkrementy, rovnako aj RTG nekontrastné alebo veľmi tvrdé konkrementy. Všeobecne sa </w:t>
      </w:r>
      <w:r w:rsidR="004A7921" w:rsidRPr="00DA07E4">
        <w:rPr>
          <w:rFonts w:ascii="Times New Roman" w:eastAsia="Times New Roman" w:hAnsi="Times New Roman" w:cs="Times New Roman"/>
          <w:sz w:val="24"/>
          <w:szCs w:val="24"/>
          <w:lang w:eastAsia="sk-SK"/>
        </w:rPr>
        <w:t xml:space="preserve">tiež </w:t>
      </w:r>
      <w:r w:rsidRPr="00DA07E4">
        <w:rPr>
          <w:rFonts w:ascii="Times New Roman" w:eastAsia="Times New Roman" w:hAnsi="Times New Roman" w:cs="Times New Roman"/>
          <w:sz w:val="24"/>
          <w:szCs w:val="24"/>
          <w:lang w:eastAsia="sk-SK"/>
        </w:rPr>
        <w:t xml:space="preserve">dá povedať, že ESWL vyžaduje od pacienta aktívnejší prístup než URS. Pacient počas ESWL musí spolupracovať pri zameriavaní konkrementu aj počas výkonu (umiestnenie na operačnom stole, poloha v ľahu počas celého zákroku bez prudších pohybov a veľkých dychových exkurzov atď.). V postoperačnom období dochádza k veľkému odchodu fragmentov, čo tiež vyžaduje aktívny prístup pacienta. Navyše, ak ku dezintegrácii nedôjde hneď po prvom zákroku (u </w:t>
      </w:r>
      <w:r w:rsidRPr="001D1F6D">
        <w:rPr>
          <w:rFonts w:ascii="Times New Roman" w:eastAsia="Times New Roman" w:hAnsi="Times New Roman" w:cs="Times New Roman"/>
          <w:sz w:val="24"/>
          <w:szCs w:val="24"/>
          <w:lang w:eastAsia="sk-SK"/>
        </w:rPr>
        <w:t>tvrdších konkrementov je to bežné), potom pacient musí celú procedúru absolvovať znova a s odstupom času (niektoré pracoviská kvôli financovaniu poisťovňami druhý zákrok ESWL robia len počas novej hospitalizácie). Pre mnohých, najmä ekonomicky aktívnych pacientov, toto môže predstavovať veľký limit</w:t>
      </w:r>
      <w:r w:rsidR="00B54AB8" w:rsidRPr="001D1F6D">
        <w:rPr>
          <w:rFonts w:ascii="Times New Roman" w:eastAsia="Times New Roman" w:hAnsi="Times New Roman" w:cs="Times New Roman"/>
          <w:sz w:val="24"/>
          <w:szCs w:val="24"/>
          <w:lang w:eastAsia="sk-SK"/>
        </w:rPr>
        <w:t xml:space="preserve"> </w:t>
      </w:r>
      <w:r w:rsidR="00B54AB8" w:rsidRPr="001D1F6D">
        <w:rPr>
          <w:rFonts w:ascii="Times New Roman" w:hAnsi="Times New Roman" w:cs="Times New Roman"/>
          <w:sz w:val="24"/>
          <w:szCs w:val="24"/>
        </w:rPr>
        <w:t>(Türk et al., 2016; Assimos et al., 2016)</w:t>
      </w:r>
      <w:r w:rsidRPr="001D1F6D">
        <w:rPr>
          <w:rFonts w:ascii="Times New Roman" w:eastAsia="Times New Roman" w:hAnsi="Times New Roman" w:cs="Times New Roman"/>
          <w:sz w:val="24"/>
          <w:szCs w:val="24"/>
          <w:lang w:eastAsia="sk-SK"/>
        </w:rPr>
        <w:t>.</w:t>
      </w:r>
    </w:p>
    <w:p w14:paraId="06348539" w14:textId="3D22418B" w:rsidR="00CA4C55" w:rsidRPr="00DA07E4" w:rsidRDefault="00CA4C55"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r w:rsidRPr="00DA07E4">
        <w:rPr>
          <w:rFonts w:ascii="Times New Roman" w:eastAsia="Times New Roman" w:hAnsi="Times New Roman" w:cs="Times New Roman"/>
          <w:sz w:val="24"/>
          <w:szCs w:val="24"/>
          <w:lang w:eastAsia="sk-SK"/>
        </w:rPr>
        <w:t xml:space="preserve">Oproti tomu URS/RIRS je zákrok, kedy pacient v anestézii nevníma stresujúce prostredie zákrokovej sály. Samozrejme, môže trpieť nežiaducimi účinkami anestézie. </w:t>
      </w:r>
      <w:r w:rsidR="00600371" w:rsidRPr="00DA07E4">
        <w:rPr>
          <w:rFonts w:ascii="Times New Roman" w:eastAsia="Times New Roman" w:hAnsi="Times New Roman" w:cs="Times New Roman"/>
          <w:sz w:val="24"/>
          <w:szCs w:val="24"/>
          <w:lang w:eastAsia="sk-SK"/>
        </w:rPr>
        <w:lastRenderedPageBreak/>
        <w:t>Z</w:t>
      </w:r>
      <w:r w:rsidRPr="00DA07E4">
        <w:rPr>
          <w:rFonts w:ascii="Times New Roman" w:eastAsia="Times New Roman" w:hAnsi="Times New Roman" w:cs="Times New Roman"/>
          <w:sz w:val="24"/>
          <w:szCs w:val="24"/>
          <w:lang w:eastAsia="sk-SK"/>
        </w:rPr>
        <w:t xml:space="preserve">aujímavá štúdia (Ghosh et al., 2017) </w:t>
      </w:r>
      <w:r w:rsidR="00600371" w:rsidRPr="00DA07E4">
        <w:rPr>
          <w:rFonts w:ascii="Times New Roman" w:eastAsia="Times New Roman" w:hAnsi="Times New Roman" w:cs="Times New Roman"/>
          <w:sz w:val="24"/>
          <w:szCs w:val="24"/>
          <w:lang w:eastAsia="sk-SK"/>
        </w:rPr>
        <w:t>sledovala zákrok URS</w:t>
      </w:r>
      <w:r w:rsidRPr="00DA07E4">
        <w:rPr>
          <w:rFonts w:ascii="Times New Roman" w:eastAsia="Times New Roman" w:hAnsi="Times New Roman" w:cs="Times New Roman"/>
          <w:sz w:val="24"/>
          <w:szCs w:val="24"/>
          <w:lang w:eastAsia="sk-SK"/>
        </w:rPr>
        <w:t xml:space="preserve"> realizovan</w:t>
      </w:r>
      <w:r w:rsidR="00600371" w:rsidRPr="00DA07E4">
        <w:rPr>
          <w:rFonts w:ascii="Times New Roman" w:eastAsia="Times New Roman" w:hAnsi="Times New Roman" w:cs="Times New Roman"/>
          <w:sz w:val="24"/>
          <w:szCs w:val="24"/>
          <w:lang w:eastAsia="sk-SK"/>
        </w:rPr>
        <w:t>ý</w:t>
      </w:r>
      <w:r w:rsidRPr="00DA07E4">
        <w:rPr>
          <w:rFonts w:ascii="Times New Roman" w:eastAsia="Times New Roman" w:hAnsi="Times New Roman" w:cs="Times New Roman"/>
          <w:sz w:val="24"/>
          <w:szCs w:val="24"/>
          <w:lang w:eastAsia="sk-SK"/>
        </w:rPr>
        <w:t xml:space="preserve"> ako jednodňov</w:t>
      </w:r>
      <w:r w:rsidR="00600371" w:rsidRPr="00DA07E4">
        <w:rPr>
          <w:rFonts w:ascii="Times New Roman" w:eastAsia="Times New Roman" w:hAnsi="Times New Roman" w:cs="Times New Roman"/>
          <w:sz w:val="24"/>
          <w:szCs w:val="24"/>
          <w:lang w:eastAsia="sk-SK"/>
        </w:rPr>
        <w:t>ú</w:t>
      </w:r>
      <w:r w:rsidRPr="00DA07E4">
        <w:rPr>
          <w:rFonts w:ascii="Times New Roman" w:eastAsia="Times New Roman" w:hAnsi="Times New Roman" w:cs="Times New Roman"/>
          <w:sz w:val="24"/>
          <w:szCs w:val="24"/>
          <w:lang w:eastAsia="sk-SK"/>
        </w:rPr>
        <w:t xml:space="preserve"> chirurgi</w:t>
      </w:r>
      <w:r w:rsidR="00600371" w:rsidRPr="00DA07E4">
        <w:rPr>
          <w:rFonts w:ascii="Times New Roman" w:eastAsia="Times New Roman" w:hAnsi="Times New Roman" w:cs="Times New Roman"/>
          <w:sz w:val="24"/>
          <w:szCs w:val="24"/>
          <w:lang w:eastAsia="sk-SK"/>
        </w:rPr>
        <w:t>u</w:t>
      </w:r>
      <w:r w:rsidRPr="00DA07E4">
        <w:rPr>
          <w:rFonts w:ascii="Times New Roman" w:eastAsia="Times New Roman" w:hAnsi="Times New Roman" w:cs="Times New Roman"/>
          <w:sz w:val="24"/>
          <w:szCs w:val="24"/>
          <w:lang w:eastAsia="sk-SK"/>
        </w:rPr>
        <w:t xml:space="preserve"> s veľmi sľubnými výsledkami.</w:t>
      </w:r>
      <w:r w:rsidR="00600371" w:rsidRPr="00DA07E4">
        <w:rPr>
          <w:rFonts w:ascii="Times New Roman" w:eastAsia="Times New Roman" w:hAnsi="Times New Roman" w:cs="Times New Roman"/>
          <w:sz w:val="24"/>
          <w:szCs w:val="24"/>
          <w:lang w:eastAsia="sk-SK"/>
        </w:rPr>
        <w:t xml:space="preserve"> Pacient bol prijatý aj prepustený v deň výkonu.</w:t>
      </w:r>
      <w:r w:rsidRPr="00DA07E4">
        <w:rPr>
          <w:rFonts w:ascii="Times New Roman" w:eastAsia="Times New Roman" w:hAnsi="Times New Roman" w:cs="Times New Roman"/>
          <w:sz w:val="24"/>
          <w:szCs w:val="24"/>
          <w:lang w:eastAsia="sk-SK"/>
        </w:rPr>
        <w:t xml:space="preserve"> Autori odporúčajú zákrok u väčšiny pacientov realizovať práve v takejto podobe.</w:t>
      </w:r>
    </w:p>
    <w:p w14:paraId="171B9EF9" w14:textId="77777777" w:rsidR="00A336A3" w:rsidRPr="00DA07E4" w:rsidRDefault="00A336A3" w:rsidP="00DA07E4">
      <w:pPr>
        <w:shd w:val="clear" w:color="auto" w:fill="FFFFFF"/>
        <w:spacing w:after="0" w:line="360" w:lineRule="auto"/>
        <w:ind w:firstLine="708"/>
        <w:jc w:val="both"/>
        <w:rPr>
          <w:rFonts w:ascii="Times New Roman" w:eastAsia="Times New Roman" w:hAnsi="Times New Roman" w:cs="Times New Roman"/>
          <w:sz w:val="24"/>
          <w:szCs w:val="24"/>
          <w:lang w:eastAsia="sk-SK"/>
        </w:rPr>
      </w:pPr>
    </w:p>
    <w:p w14:paraId="27E7824C" w14:textId="29E37C13" w:rsidR="00CA4C55" w:rsidRPr="00DA07E4" w:rsidRDefault="00CA4C55" w:rsidP="00DA07E4">
      <w:pPr>
        <w:shd w:val="clear" w:color="auto" w:fill="FFFFFF"/>
        <w:spacing w:after="0" w:line="360" w:lineRule="auto"/>
        <w:ind w:firstLine="708"/>
        <w:jc w:val="both"/>
        <w:rPr>
          <w:rFonts w:ascii="Times New Roman" w:hAnsi="Times New Roman" w:cs="Times New Roman"/>
          <w:sz w:val="24"/>
          <w:szCs w:val="24"/>
        </w:rPr>
      </w:pPr>
      <w:r w:rsidRPr="00DA07E4">
        <w:rPr>
          <w:rFonts w:ascii="Times New Roman" w:eastAsia="Times New Roman" w:hAnsi="Times New Roman" w:cs="Times New Roman"/>
          <w:sz w:val="24"/>
          <w:szCs w:val="24"/>
          <w:lang w:eastAsia="sk-SK"/>
        </w:rPr>
        <w:t>Ďalšia zaujímavá štúdia – metaanalýza 12 štúdii od Roberta M. Geraghtyho dokonca vyjadrila záver, že ureteroskopia je cenovo výhodnejšia ako ESWL (Geraghty et al., 2018). SFR boli signifikantne lepšie v prospech URS, miera komplikácii bola nesignifikantne vyššia pre ESWL, rovnako aj nutnosť opakovaného zákroku bola nesignifikantne vyššia pre ESWL. Priemerná celková cena zákroku bola signifikantne nižšia pre URS. Proti tomu hovoria dáta z inej metaanalýzy, kde autori odporučili ESWL ako metódu prvej voľby (Constanti et al., 2020). Síce úspešnosť ESWL pri prvom zákroku bola nižšia v porovnaní s URS, zákrok ESWL by musel byť ešte menej efektívny (ešte horší SFR) a medzi jednotlivými zákrokmi ESWL by museli byť oveľa dlhšie čakacie doby, aby sa dalo hovoriť o celopopulačnej cenovej efektivite URS.</w:t>
      </w:r>
    </w:p>
    <w:p w14:paraId="7D43B77F" w14:textId="77777777" w:rsidR="00A336A3" w:rsidRPr="00DA07E4" w:rsidRDefault="00A336A3" w:rsidP="00DA07E4">
      <w:pPr>
        <w:spacing w:after="0" w:line="360" w:lineRule="auto"/>
        <w:ind w:firstLine="708"/>
        <w:jc w:val="both"/>
        <w:rPr>
          <w:rFonts w:ascii="Times New Roman" w:hAnsi="Times New Roman" w:cs="Times New Roman"/>
          <w:sz w:val="24"/>
          <w:szCs w:val="24"/>
        </w:rPr>
      </w:pPr>
    </w:p>
    <w:p w14:paraId="0A4D5BCE" w14:textId="17997E8B" w:rsidR="003116FB" w:rsidRPr="00DA07E4" w:rsidRDefault="00A336A3"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J</w:t>
      </w:r>
      <w:r w:rsidR="00CA4C55" w:rsidRPr="00DA07E4">
        <w:rPr>
          <w:rFonts w:ascii="Times New Roman" w:hAnsi="Times New Roman" w:cs="Times New Roman"/>
          <w:sz w:val="24"/>
          <w:szCs w:val="24"/>
        </w:rPr>
        <w:t>e ešte</w:t>
      </w:r>
      <w:r w:rsidR="00DF5D48">
        <w:rPr>
          <w:rFonts w:ascii="Times New Roman" w:hAnsi="Times New Roman" w:cs="Times New Roman"/>
          <w:sz w:val="24"/>
          <w:szCs w:val="24"/>
        </w:rPr>
        <w:t xml:space="preserve"> vhodné</w:t>
      </w:r>
      <w:r w:rsidR="00CA4C55" w:rsidRPr="00DA07E4">
        <w:rPr>
          <w:rFonts w:ascii="Times New Roman" w:hAnsi="Times New Roman" w:cs="Times New Roman"/>
          <w:sz w:val="24"/>
          <w:szCs w:val="24"/>
        </w:rPr>
        <w:t xml:space="preserve"> spomenúť štúdiu, ktorá porovnávala ESWL a URS ako akútne zákroky pri symptomatickej renálnej kolike (Sarica et al., 2016). Štúdia okrem iného hodnotila aj kvalitu života pacientov a ukázala lepšie výsledky v prospech URS.</w:t>
      </w:r>
    </w:p>
    <w:p w14:paraId="09BAE948" w14:textId="77777777" w:rsidR="003116FB" w:rsidRPr="00DA07E4" w:rsidRDefault="003116FB" w:rsidP="00DA07E4">
      <w:pPr>
        <w:spacing w:after="0" w:line="360" w:lineRule="auto"/>
        <w:ind w:firstLine="708"/>
        <w:jc w:val="both"/>
        <w:rPr>
          <w:rFonts w:ascii="Times New Roman" w:hAnsi="Times New Roman" w:cs="Times New Roman"/>
          <w:sz w:val="24"/>
          <w:szCs w:val="24"/>
        </w:rPr>
      </w:pPr>
    </w:p>
    <w:p w14:paraId="725440B1" w14:textId="77777777" w:rsidR="00600371" w:rsidRPr="00DA07E4" w:rsidRDefault="003116FB"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Dôležitou súčasťou liečby urolitiázy je </w:t>
      </w:r>
      <w:r w:rsidR="00600371" w:rsidRPr="00DA07E4">
        <w:rPr>
          <w:rFonts w:ascii="Times New Roman" w:hAnsi="Times New Roman" w:cs="Times New Roman"/>
          <w:sz w:val="24"/>
          <w:szCs w:val="24"/>
        </w:rPr>
        <w:t xml:space="preserve">aj </w:t>
      </w:r>
      <w:r w:rsidRPr="00DA07E4">
        <w:rPr>
          <w:rFonts w:ascii="Times New Roman" w:hAnsi="Times New Roman" w:cs="Times New Roman"/>
          <w:sz w:val="24"/>
          <w:szCs w:val="24"/>
        </w:rPr>
        <w:t xml:space="preserve">intubácia močovodu a dotknutej obličky stentom. Stent zavedený pred ESWL zákrokom predchádza vzniku </w:t>
      </w:r>
      <w:r w:rsidRPr="00DA07E4">
        <w:rPr>
          <w:rFonts w:ascii="Times New Roman" w:hAnsi="Times New Roman" w:cs="Times New Roman"/>
          <w:sz w:val="24"/>
          <w:szCs w:val="24"/>
          <w:shd w:val="clear" w:color="auto" w:fill="FFFFFF"/>
        </w:rPr>
        <w:t>Steinstrasse, lenže aj preto je všeobecná predstava o lepšom odchode konkrementov popri stente mylná. Zavedený stent nezlepšuje SFR (Shen et al., 2011). Navyše, pre konkrementy lokalizované v močovode bolo zistené, že stent dokonca znížil SFR o 15 % – 22 % (Sfoungaristos et al., 2012; Pettenati et al., 2013; Kang et al., 2016b</w:t>
      </w:r>
      <w:r w:rsidRPr="00DA07E4">
        <w:rPr>
          <w:rFonts w:ascii="Times New Roman" w:hAnsi="Times New Roman" w:cs="Times New Roman"/>
          <w:sz w:val="24"/>
          <w:szCs w:val="24"/>
        </w:rPr>
        <w:t>)</w:t>
      </w:r>
      <w:r w:rsidRPr="00DA07E4">
        <w:rPr>
          <w:rFonts w:ascii="Times New Roman" w:hAnsi="Times New Roman" w:cs="Times New Roman"/>
          <w:sz w:val="24"/>
          <w:szCs w:val="24"/>
          <w:shd w:val="clear" w:color="auto" w:fill="FFFFFF"/>
        </w:rPr>
        <w:t>. </w:t>
      </w:r>
    </w:p>
    <w:p w14:paraId="0E7B2C8A" w14:textId="77777777" w:rsidR="00600371" w:rsidRPr="00DA07E4" w:rsidRDefault="00600371" w:rsidP="00DA07E4">
      <w:pPr>
        <w:spacing w:after="0" w:line="360" w:lineRule="auto"/>
        <w:ind w:firstLine="708"/>
        <w:jc w:val="both"/>
        <w:rPr>
          <w:rFonts w:ascii="Times New Roman" w:hAnsi="Times New Roman" w:cs="Times New Roman"/>
          <w:sz w:val="24"/>
          <w:szCs w:val="24"/>
        </w:rPr>
      </w:pPr>
    </w:p>
    <w:p w14:paraId="5BB7A6F4" w14:textId="1774CCB3" w:rsidR="00600371" w:rsidRPr="00DF5D48" w:rsidRDefault="00600371" w:rsidP="00DA07E4">
      <w:pPr>
        <w:spacing w:after="0" w:line="360" w:lineRule="auto"/>
        <w:ind w:firstLine="708"/>
        <w:jc w:val="both"/>
        <w:rPr>
          <w:rFonts w:ascii="Times New Roman" w:hAnsi="Times New Roman" w:cs="Times New Roman"/>
          <w:sz w:val="24"/>
          <w:szCs w:val="24"/>
          <w:shd w:val="clear" w:color="auto" w:fill="FFFFFF"/>
        </w:rPr>
      </w:pPr>
      <w:r w:rsidRPr="00DA07E4">
        <w:rPr>
          <w:rFonts w:ascii="Times New Roman" w:hAnsi="Times New Roman" w:cs="Times New Roman"/>
          <w:sz w:val="24"/>
          <w:szCs w:val="24"/>
          <w:shd w:val="clear" w:color="auto" w:fill="FFFFFF"/>
        </w:rPr>
        <w:t xml:space="preserve">Retrospektívna štúdia z roku 2013 hodnotila na 550 výkonoch URS vplyv intubácie močovodu stentom pred zákrokom na výsledný SFR (Lumma et al., 2013). Pacienti s konkrementom v proximálnom močovode alebo dutom systéme, ktorí mali zavedený stent pred zákrokom, dosiahli lepší SFR v porovnaní s neprestentovanou skupinou. Rovnako aj miera komplikácii bola u prestentovaných pacientov nižšia. Prekvapivo opačné výsledky vyšli pri distálne lokalizovanej ureterolitiáze, čo ale nie je predmetom tejto práce. Iná štúdia </w:t>
      </w:r>
      <w:r w:rsidRPr="00994E0F">
        <w:rPr>
          <w:rFonts w:ascii="Times New Roman" w:hAnsi="Times New Roman" w:cs="Times New Roman"/>
          <w:sz w:val="24"/>
          <w:szCs w:val="24"/>
          <w:shd w:val="clear" w:color="auto" w:fill="FFFFFF"/>
        </w:rPr>
        <w:t xml:space="preserve">(Dessyn et al., 2016) </w:t>
      </w:r>
      <w:r w:rsidRPr="00DA07E4">
        <w:rPr>
          <w:rFonts w:ascii="Times New Roman" w:hAnsi="Times New Roman" w:cs="Times New Roman"/>
          <w:sz w:val="24"/>
          <w:szCs w:val="24"/>
          <w:shd w:val="clear" w:color="auto" w:fill="FFFFFF"/>
        </w:rPr>
        <w:t xml:space="preserve">analyzovala </w:t>
      </w:r>
      <w:r w:rsidRPr="00DA07E4">
        <w:rPr>
          <w:rFonts w:ascii="Times New Roman" w:hAnsi="Times New Roman" w:cs="Times New Roman"/>
          <w:sz w:val="24"/>
          <w:szCs w:val="24"/>
          <w:shd w:val="clear" w:color="auto" w:fill="FFFFFF"/>
          <w:lang w:val="en-US"/>
        </w:rPr>
        <w:t xml:space="preserve">497 </w:t>
      </w:r>
      <w:r w:rsidRPr="00DA07E4">
        <w:rPr>
          <w:rFonts w:ascii="Times New Roman" w:hAnsi="Times New Roman" w:cs="Times New Roman"/>
          <w:sz w:val="24"/>
          <w:szCs w:val="24"/>
          <w:shd w:val="clear" w:color="auto" w:fill="FFFFFF"/>
        </w:rPr>
        <w:t>zákrokov URS (</w:t>
      </w:r>
      <w:r w:rsidRPr="00DA07E4">
        <w:rPr>
          <w:rFonts w:ascii="Times New Roman" w:hAnsi="Times New Roman" w:cs="Times New Roman"/>
          <w:sz w:val="24"/>
          <w:szCs w:val="24"/>
          <w:shd w:val="clear" w:color="auto" w:fill="FFFFFF"/>
          <w:lang w:val="en-US"/>
        </w:rPr>
        <w:t>316 so stentom, 181 bez</w:t>
      </w:r>
      <w:r w:rsidRPr="00DA07E4">
        <w:rPr>
          <w:rFonts w:ascii="Times New Roman" w:hAnsi="Times New Roman" w:cs="Times New Roman"/>
          <w:sz w:val="24"/>
          <w:szCs w:val="24"/>
          <w:shd w:val="clear" w:color="auto" w:fill="FFFFFF"/>
        </w:rPr>
        <w:t xml:space="preserve">). Závery ukázali </w:t>
      </w:r>
      <w:r w:rsidRPr="00DA07E4">
        <w:rPr>
          <w:rFonts w:ascii="Times New Roman" w:hAnsi="Times New Roman" w:cs="Times New Roman"/>
          <w:sz w:val="24"/>
          <w:szCs w:val="24"/>
          <w:shd w:val="clear" w:color="auto" w:fill="FFFFFF"/>
          <w:lang w:val="en-US"/>
        </w:rPr>
        <w:t xml:space="preserve">vyšší SFR v skupine pacientov so stentom </w:t>
      </w:r>
      <w:r w:rsidR="008B2CDB" w:rsidRPr="00DA07E4">
        <w:rPr>
          <w:rFonts w:ascii="Times New Roman" w:hAnsi="Times New Roman" w:cs="Times New Roman"/>
          <w:sz w:val="24"/>
          <w:szCs w:val="24"/>
          <w:shd w:val="clear" w:color="auto" w:fill="FFFFFF"/>
          <w:lang w:val="en-US"/>
        </w:rPr>
        <w:lastRenderedPageBreak/>
        <w:t xml:space="preserve">najmä </w:t>
      </w:r>
      <w:r w:rsidRPr="00DA07E4">
        <w:rPr>
          <w:rFonts w:ascii="Times New Roman" w:hAnsi="Times New Roman" w:cs="Times New Roman"/>
          <w:sz w:val="24"/>
          <w:szCs w:val="24"/>
          <w:shd w:val="clear" w:color="auto" w:fill="FFFFFF"/>
          <w:lang w:val="en-US"/>
        </w:rPr>
        <w:t xml:space="preserve">u konkrementov lokalizovaných v močovode a </w:t>
      </w:r>
      <w:r w:rsidRPr="00DF5D48">
        <w:rPr>
          <w:rFonts w:ascii="Times New Roman" w:hAnsi="Times New Roman" w:cs="Times New Roman"/>
          <w:sz w:val="24"/>
          <w:szCs w:val="24"/>
          <w:shd w:val="clear" w:color="auto" w:fill="FFFFFF"/>
          <w:lang w:val="en-US"/>
        </w:rPr>
        <w:t>mieru komplikácii rovnakú v oboch skupinách pacientov. Ako najdôležitejšie parametre korelujúce s neuspokojivým SFR štúdia uviedla veľkosť a počet konkrementov</w:t>
      </w:r>
      <w:r w:rsidR="008B2CDB" w:rsidRPr="00DF5D48">
        <w:rPr>
          <w:rFonts w:ascii="Times New Roman" w:hAnsi="Times New Roman" w:cs="Times New Roman"/>
          <w:sz w:val="24"/>
          <w:szCs w:val="24"/>
          <w:shd w:val="clear" w:color="auto" w:fill="FFFFFF"/>
          <w:lang w:val="en-US"/>
        </w:rPr>
        <w:t>, nie prítomnosť stentu pred zákrokom</w:t>
      </w:r>
      <w:r w:rsidRPr="00DF5D48">
        <w:rPr>
          <w:rFonts w:ascii="Times New Roman" w:hAnsi="Times New Roman" w:cs="Times New Roman"/>
          <w:sz w:val="24"/>
          <w:szCs w:val="24"/>
          <w:shd w:val="clear" w:color="auto" w:fill="FFFFFF"/>
          <w:lang w:val="en-US"/>
        </w:rPr>
        <w:t>.</w:t>
      </w:r>
      <w:r w:rsidR="008B2CDB" w:rsidRPr="00DF5D48">
        <w:rPr>
          <w:rFonts w:ascii="Times New Roman" w:hAnsi="Times New Roman" w:cs="Times New Roman"/>
          <w:sz w:val="24"/>
          <w:szCs w:val="24"/>
          <w:shd w:val="clear" w:color="auto" w:fill="FFFFFF"/>
          <w:lang w:val="en-US"/>
        </w:rPr>
        <w:t xml:space="preserve"> </w:t>
      </w:r>
      <w:r w:rsidRPr="00DF5D48">
        <w:rPr>
          <w:rFonts w:ascii="Times New Roman" w:hAnsi="Times New Roman" w:cs="Times New Roman"/>
          <w:sz w:val="24"/>
          <w:szCs w:val="24"/>
          <w:shd w:val="clear" w:color="auto" w:fill="FFFFFF"/>
        </w:rPr>
        <w:t xml:space="preserve">Čo sa týka ponechania stentu po realizovanom URS, </w:t>
      </w:r>
      <w:r w:rsidR="008B2CDB" w:rsidRPr="00DF5D48">
        <w:rPr>
          <w:rFonts w:ascii="Times New Roman" w:hAnsi="Times New Roman" w:cs="Times New Roman"/>
          <w:sz w:val="24"/>
          <w:szCs w:val="24"/>
          <w:shd w:val="clear" w:color="auto" w:fill="FFFFFF"/>
        </w:rPr>
        <w:t xml:space="preserve">svetový </w:t>
      </w:r>
      <w:r w:rsidRPr="00DF5D48">
        <w:rPr>
          <w:rFonts w:ascii="Times New Roman" w:hAnsi="Times New Roman" w:cs="Times New Roman"/>
          <w:sz w:val="24"/>
          <w:szCs w:val="24"/>
          <w:shd w:val="clear" w:color="auto" w:fill="FFFFFF"/>
        </w:rPr>
        <w:t>trend smeruje k stavu bez stentingu, hlavne u nekomplikovaných zákrokov</w:t>
      </w:r>
      <w:r w:rsidR="00B54AB8" w:rsidRPr="00DF5D48">
        <w:rPr>
          <w:rFonts w:ascii="Times New Roman" w:hAnsi="Times New Roman" w:cs="Times New Roman"/>
          <w:sz w:val="24"/>
          <w:szCs w:val="24"/>
          <w:shd w:val="clear" w:color="auto" w:fill="FFFFFF"/>
        </w:rPr>
        <w:t xml:space="preserve"> </w:t>
      </w:r>
      <w:r w:rsidR="00B54AB8" w:rsidRPr="00DF5D48">
        <w:rPr>
          <w:rFonts w:ascii="Times New Roman" w:hAnsi="Times New Roman" w:cs="Times New Roman"/>
          <w:sz w:val="24"/>
          <w:szCs w:val="24"/>
        </w:rPr>
        <w:t>(</w:t>
      </w:r>
      <w:r w:rsidR="00B54AB8" w:rsidRPr="00DF5D48">
        <w:rPr>
          <w:rFonts w:ascii="Times New Roman" w:hAnsi="Times New Roman" w:cs="Times New Roman"/>
          <w:color w:val="000000" w:themeColor="text1"/>
          <w:sz w:val="24"/>
          <w:szCs w:val="24"/>
        </w:rPr>
        <w:t>Türk et al., 2016; Assimos et al., 2016)</w:t>
      </w:r>
      <w:r w:rsidRPr="00DF5D48">
        <w:rPr>
          <w:rFonts w:ascii="Times New Roman" w:hAnsi="Times New Roman" w:cs="Times New Roman"/>
          <w:sz w:val="24"/>
          <w:szCs w:val="24"/>
          <w:shd w:val="clear" w:color="auto" w:fill="FFFFFF"/>
        </w:rPr>
        <w:t>.</w:t>
      </w:r>
    </w:p>
    <w:p w14:paraId="48DDE6B2" w14:textId="77777777" w:rsidR="00600371" w:rsidRPr="00DF5D48" w:rsidRDefault="00600371" w:rsidP="00DA07E4">
      <w:pPr>
        <w:autoSpaceDE w:val="0"/>
        <w:autoSpaceDN w:val="0"/>
        <w:adjustRightInd w:val="0"/>
        <w:spacing w:after="0" w:line="360" w:lineRule="auto"/>
        <w:ind w:firstLine="708"/>
        <w:jc w:val="both"/>
        <w:rPr>
          <w:rFonts w:ascii="Times New Roman" w:hAnsi="Times New Roman" w:cs="Times New Roman"/>
          <w:sz w:val="24"/>
          <w:szCs w:val="24"/>
        </w:rPr>
      </w:pPr>
    </w:p>
    <w:p w14:paraId="7961FD02" w14:textId="6E84469A" w:rsidR="00A336A3" w:rsidRPr="00DA07E4" w:rsidRDefault="00A336A3" w:rsidP="00DA07E4">
      <w:pPr>
        <w:autoSpaceDE w:val="0"/>
        <w:autoSpaceDN w:val="0"/>
        <w:adjustRightInd w:val="0"/>
        <w:spacing w:after="0" w:line="360" w:lineRule="auto"/>
        <w:ind w:firstLine="708"/>
        <w:jc w:val="both"/>
        <w:rPr>
          <w:rFonts w:ascii="Times New Roman" w:hAnsi="Times New Roman" w:cs="Times New Roman"/>
          <w:sz w:val="24"/>
          <w:szCs w:val="24"/>
        </w:rPr>
      </w:pPr>
      <w:r w:rsidRPr="00DF5D48">
        <w:rPr>
          <w:rFonts w:ascii="Times New Roman" w:hAnsi="Times New Roman" w:cs="Times New Roman"/>
          <w:sz w:val="24"/>
          <w:szCs w:val="24"/>
        </w:rPr>
        <w:t>Napriek stúpajúcej incidencii urolitiázy celosvetovo doteraz kvalita života u pacientov s močovými konkrementami bola testovaná hlavne použitím všeobecných</w:t>
      </w:r>
      <w:r w:rsidRPr="00DA07E4">
        <w:rPr>
          <w:rFonts w:ascii="Times New Roman" w:hAnsi="Times New Roman" w:cs="Times New Roman"/>
          <w:sz w:val="24"/>
          <w:szCs w:val="24"/>
        </w:rPr>
        <w:t xml:space="preserve"> dotazníkov (Angell et </w:t>
      </w:r>
      <w:r w:rsidR="00994E0F">
        <w:rPr>
          <w:rFonts w:ascii="Times New Roman" w:hAnsi="Times New Roman" w:cs="Times New Roman"/>
          <w:sz w:val="24"/>
          <w:szCs w:val="24"/>
        </w:rPr>
        <w:t>al.</w:t>
      </w:r>
      <w:r w:rsidRPr="00DA07E4">
        <w:rPr>
          <w:rFonts w:ascii="Times New Roman" w:hAnsi="Times New Roman" w:cs="Times New Roman"/>
          <w:sz w:val="24"/>
          <w:szCs w:val="24"/>
        </w:rPr>
        <w:t xml:space="preserve">, 2012). </w:t>
      </w:r>
      <w:r w:rsidR="005D6F1F" w:rsidRPr="00DA07E4">
        <w:rPr>
          <w:rFonts w:ascii="Times New Roman" w:hAnsi="Times New Roman" w:cs="Times New Roman"/>
          <w:sz w:val="24"/>
          <w:szCs w:val="24"/>
          <w:shd w:val="clear" w:color="auto" w:fill="FFFFFF"/>
        </w:rPr>
        <w:t xml:space="preserve">Urolitiáza je ochorenie, ktoré sprevádzajú komplikácie akútne aj chronické. Pri akútnom záchvate obličkovej koliky je okrem veľmi silnej bolesti a hematúrie spravidla prítomná vegetatívna symptomatika (studený pot, nauzea, vomitus). Tieto príznaky môžu sprevádzať aj drobné urolity, ktoré sú ponechané na konzervatívny postup – spontánne vymočenie. Pre pacienta to znamená okrem iného nemožnosť pracovného nasadenia a sociálny dyskomfort. Podobne je to pri chronických komplikáciách, ktoré sprevádzajú ochorenie močovými konkrementami. Či už je to odchod úlomkov, dráždenie zavedeným stentom, intermitentné mierne lumbalgie pri inak kľudovej nefrolitiáze alebo psychologický strach z recidívy ťažkostí – urolitiáza má zásadný vplyv na kvalitu života pacientov. Vo viacerých štúdiách bolo dokázané, že pacienti s močovými konkrementmi vykazovali zhoršené skóre kvality života oproti zdravej populácii (Kartha et al., 2013). </w:t>
      </w:r>
      <w:r w:rsidRPr="00DA07E4">
        <w:rPr>
          <w:rFonts w:ascii="Times New Roman" w:hAnsi="Times New Roman" w:cs="Times New Roman"/>
          <w:sz w:val="24"/>
          <w:szCs w:val="24"/>
        </w:rPr>
        <w:t xml:space="preserve">Preto bola veľká potreba dotazníka, ktorý by tieto problémy zohľadnil komplexne. Penniston a kol. dotazník WISQOL úspešne zaviedli do praxe a preukázali jeho veľký význam (Penniston </w:t>
      </w:r>
      <w:r w:rsidR="00994E0F">
        <w:rPr>
          <w:rFonts w:ascii="Times New Roman" w:hAnsi="Times New Roman" w:cs="Times New Roman"/>
          <w:sz w:val="24"/>
          <w:szCs w:val="24"/>
        </w:rPr>
        <w:t>et</w:t>
      </w:r>
      <w:r w:rsidRPr="00DA07E4">
        <w:rPr>
          <w:rFonts w:ascii="Times New Roman" w:hAnsi="Times New Roman" w:cs="Times New Roman"/>
          <w:sz w:val="24"/>
          <w:szCs w:val="24"/>
        </w:rPr>
        <w:t xml:space="preserve"> Nakada, 2017). Preto sme sa rozhodli dotazník validovať do slovenčiny a použiť v našej štúdii. Žiadna práca doteraz neporovnala ESWL a RIRS s použitím ochorenie-špecifického dotazníka</w:t>
      </w:r>
      <w:r w:rsidR="00A3085C">
        <w:rPr>
          <w:rFonts w:ascii="Times New Roman" w:hAnsi="Times New Roman" w:cs="Times New Roman"/>
          <w:sz w:val="24"/>
          <w:szCs w:val="24"/>
        </w:rPr>
        <w:t xml:space="preserve"> (</w:t>
      </w:r>
      <w:r w:rsidR="00A3085C" w:rsidRPr="00A3085C">
        <w:rPr>
          <w:rFonts w:ascii="Times New Roman" w:eastAsia="Times New Roman" w:hAnsi="Times New Roman" w:cs="Times New Roman"/>
          <w:sz w:val="24"/>
          <w:szCs w:val="24"/>
          <w:lang w:val="en-GB" w:eastAsia="sk-SK"/>
        </w:rPr>
        <w:t>New</w:t>
      </w:r>
      <w:r w:rsidR="00A3085C">
        <w:rPr>
          <w:rFonts w:ascii="Times New Roman" w:eastAsia="Times New Roman" w:hAnsi="Times New Roman" w:cs="Times New Roman"/>
          <w:sz w:val="24"/>
          <w:szCs w:val="24"/>
          <w:lang w:val="en-GB" w:eastAsia="sk-SK"/>
        </w:rPr>
        <w:t xml:space="preserve"> et </w:t>
      </w:r>
      <w:r w:rsidR="00A3085C" w:rsidRPr="00A3085C">
        <w:rPr>
          <w:rFonts w:ascii="Times New Roman" w:eastAsia="Times New Roman" w:hAnsi="Times New Roman" w:cs="Times New Roman"/>
          <w:sz w:val="24"/>
          <w:szCs w:val="24"/>
          <w:lang w:val="en-GB" w:eastAsia="sk-SK"/>
        </w:rPr>
        <w:t>Somani</w:t>
      </w:r>
      <w:r w:rsidR="00A3085C">
        <w:rPr>
          <w:rFonts w:ascii="Times New Roman" w:eastAsia="Times New Roman" w:hAnsi="Times New Roman" w:cs="Times New Roman"/>
          <w:sz w:val="24"/>
          <w:szCs w:val="24"/>
          <w:lang w:val="en-GB" w:eastAsia="sk-SK"/>
        </w:rPr>
        <w:t>, 2016)</w:t>
      </w:r>
      <w:r w:rsidRPr="00DA07E4">
        <w:rPr>
          <w:rFonts w:ascii="Times New Roman" w:hAnsi="Times New Roman" w:cs="Times New Roman"/>
          <w:sz w:val="24"/>
          <w:szCs w:val="24"/>
        </w:rPr>
        <w:t>. Rozhodli sme sa preto porovnať ESWL a RIRS pomocou dotazníka WISQOL.</w:t>
      </w:r>
    </w:p>
    <w:p w14:paraId="069474EA" w14:textId="77777777" w:rsidR="00A336A3" w:rsidRPr="00DA07E4" w:rsidRDefault="00A336A3" w:rsidP="00DA07E4">
      <w:pPr>
        <w:spacing w:after="0" w:line="360" w:lineRule="auto"/>
        <w:ind w:firstLine="708"/>
        <w:jc w:val="both"/>
        <w:rPr>
          <w:rFonts w:ascii="Times New Roman" w:hAnsi="Times New Roman" w:cs="Times New Roman"/>
          <w:sz w:val="24"/>
          <w:szCs w:val="24"/>
        </w:rPr>
      </w:pPr>
    </w:p>
    <w:p w14:paraId="0855E3D7" w14:textId="3667993D" w:rsidR="00A336A3" w:rsidRPr="00DA07E4" w:rsidRDefault="00A336A3"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Psychometrické testovanie HRQOL je na Slovensku stále v začiatkoch, ako pre pacientov, tak aj pre zdravotníkov. Predpokladali sme, že pacienti nebudú rozumieť požiadavke opakovane vyplniť ten istý dotazník s rôznym odstupom času. Preto sme najskôr na jednej skupine pacientov dotazník validovali a samotný výskum prebiehal na druhej vzorke pacientov</w:t>
      </w:r>
      <w:r w:rsidR="003B4C1C">
        <w:rPr>
          <w:rFonts w:ascii="Times New Roman" w:hAnsi="Times New Roman" w:cs="Times New Roman"/>
          <w:sz w:val="24"/>
          <w:szCs w:val="24"/>
        </w:rPr>
        <w:t xml:space="preserve"> (Švihra jr. et al., 2020)</w:t>
      </w:r>
      <w:r w:rsidRPr="00DA07E4">
        <w:rPr>
          <w:rFonts w:ascii="Times New Roman" w:hAnsi="Times New Roman" w:cs="Times New Roman"/>
          <w:sz w:val="24"/>
          <w:szCs w:val="24"/>
        </w:rPr>
        <w:t>. Nakoniec bola strata pacientov nižšia oproti predpokladu.</w:t>
      </w:r>
    </w:p>
    <w:p w14:paraId="59A4B269" w14:textId="77777777" w:rsidR="00A336A3" w:rsidRPr="00DA07E4" w:rsidRDefault="00A336A3" w:rsidP="00DA07E4">
      <w:pPr>
        <w:autoSpaceDE w:val="0"/>
        <w:autoSpaceDN w:val="0"/>
        <w:adjustRightInd w:val="0"/>
        <w:spacing w:after="0" w:line="360" w:lineRule="auto"/>
        <w:ind w:firstLine="708"/>
        <w:jc w:val="both"/>
        <w:rPr>
          <w:rFonts w:ascii="Times New Roman" w:hAnsi="Times New Roman" w:cs="Times New Roman"/>
          <w:sz w:val="24"/>
          <w:szCs w:val="24"/>
        </w:rPr>
      </w:pPr>
    </w:p>
    <w:p w14:paraId="761EB00E" w14:textId="62E48118" w:rsidR="004852CA" w:rsidRPr="00DA07E4" w:rsidRDefault="000F1242"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lastRenderedPageBreak/>
        <w:t xml:space="preserve">V našej štúdii nás prekvapilo, že </w:t>
      </w:r>
      <w:r w:rsidR="005E2ED5" w:rsidRPr="00DA07E4">
        <w:rPr>
          <w:rFonts w:ascii="Times New Roman" w:hAnsi="Times New Roman" w:cs="Times New Roman"/>
          <w:sz w:val="24"/>
          <w:szCs w:val="24"/>
        </w:rPr>
        <w:t xml:space="preserve">počet výkonov potrebný na dosiahnutie SFR neukázal štatisticky signifikantný rozdiel medzi skupinami </w:t>
      </w:r>
      <w:r w:rsidR="0020041D" w:rsidRPr="00DA07E4">
        <w:rPr>
          <w:rFonts w:ascii="Times New Roman" w:hAnsi="Times New Roman" w:cs="Times New Roman"/>
          <w:sz w:val="24"/>
          <w:szCs w:val="24"/>
        </w:rPr>
        <w:t>RIRS</w:t>
      </w:r>
      <w:r w:rsidRPr="00DA07E4">
        <w:rPr>
          <w:rFonts w:ascii="Times New Roman" w:hAnsi="Times New Roman" w:cs="Times New Roman"/>
          <w:sz w:val="24"/>
          <w:szCs w:val="24"/>
        </w:rPr>
        <w:t xml:space="preserve"> a ESWL</w:t>
      </w:r>
      <w:r w:rsidR="0084364F" w:rsidRPr="00DA07E4">
        <w:rPr>
          <w:rFonts w:ascii="Times New Roman" w:hAnsi="Times New Roman" w:cs="Times New Roman"/>
          <w:sz w:val="24"/>
          <w:szCs w:val="24"/>
        </w:rPr>
        <w:t xml:space="preserve">. </w:t>
      </w:r>
      <w:r w:rsidR="005E2ED5" w:rsidRPr="00DA07E4">
        <w:rPr>
          <w:rFonts w:ascii="Times New Roman" w:hAnsi="Times New Roman" w:cs="Times New Roman"/>
          <w:sz w:val="24"/>
          <w:szCs w:val="24"/>
        </w:rPr>
        <w:t>Čakali sme, že ESWL skupina bude vyžadovať viac zákrokov u jednotlivých pacientov. Vysoká úspešnosť ESWL mohla byť spôsobená vplyvom dobrej indikácie a úplne nového litotryptora, ktorý bol pri ESWL použitý.</w:t>
      </w:r>
      <w:r w:rsidR="004852CA" w:rsidRPr="00DA07E4">
        <w:rPr>
          <w:rFonts w:ascii="Times New Roman" w:hAnsi="Times New Roman" w:cs="Times New Roman"/>
          <w:sz w:val="24"/>
          <w:szCs w:val="24"/>
        </w:rPr>
        <w:t xml:space="preserve"> </w:t>
      </w:r>
      <w:r w:rsidR="005E2ED5" w:rsidRPr="00DA07E4">
        <w:rPr>
          <w:rFonts w:ascii="Times New Roman" w:hAnsi="Times New Roman" w:cs="Times New Roman"/>
          <w:sz w:val="24"/>
          <w:szCs w:val="24"/>
        </w:rPr>
        <w:t>Miera komplikácií bola tiež nízka, iba u dvoch pacientov v ESWL skupine sme zaznamenali mierne až mierne závažné komplikácie</w:t>
      </w:r>
      <w:r w:rsidR="008113E9">
        <w:rPr>
          <w:rFonts w:ascii="Times New Roman" w:hAnsi="Times New Roman" w:cs="Times New Roman"/>
          <w:sz w:val="24"/>
          <w:szCs w:val="24"/>
        </w:rPr>
        <w:t xml:space="preserve"> (Svihra jr. et al., 2021)</w:t>
      </w:r>
      <w:r w:rsidR="005E2ED5" w:rsidRPr="00DA07E4">
        <w:rPr>
          <w:rFonts w:ascii="Times New Roman" w:hAnsi="Times New Roman" w:cs="Times New Roman"/>
          <w:sz w:val="24"/>
          <w:szCs w:val="24"/>
        </w:rPr>
        <w:t>.</w:t>
      </w:r>
    </w:p>
    <w:p w14:paraId="00DD01A6" w14:textId="77777777" w:rsidR="00AF27FF" w:rsidRPr="00DA07E4" w:rsidRDefault="00AF27FF" w:rsidP="00DA07E4">
      <w:pPr>
        <w:autoSpaceDE w:val="0"/>
        <w:autoSpaceDN w:val="0"/>
        <w:adjustRightInd w:val="0"/>
        <w:spacing w:after="0" w:line="360" w:lineRule="auto"/>
        <w:ind w:firstLine="708"/>
        <w:jc w:val="both"/>
        <w:rPr>
          <w:rFonts w:ascii="Times New Roman" w:hAnsi="Times New Roman" w:cs="Times New Roman"/>
          <w:sz w:val="24"/>
          <w:szCs w:val="24"/>
        </w:rPr>
      </w:pPr>
    </w:p>
    <w:p w14:paraId="2455BE44" w14:textId="563BC852" w:rsidR="00AF27FF" w:rsidRPr="00DA07E4" w:rsidRDefault="004852CA"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Počet pacientov, ktorý pred zákrokom mali umiestnený stent do obličky, bol relatívne vysoký. Vychádza to z bežnej rutiny na našom pracovisku – veľká vyťaženosť operačnej sály. </w:t>
      </w:r>
      <w:r w:rsidR="0084364F" w:rsidRPr="00DA07E4">
        <w:rPr>
          <w:rFonts w:ascii="Times New Roman" w:hAnsi="Times New Roman" w:cs="Times New Roman"/>
          <w:sz w:val="24"/>
          <w:szCs w:val="24"/>
        </w:rPr>
        <w:t xml:space="preserve">Pre-stenting </w:t>
      </w:r>
      <w:r w:rsidRPr="00DA07E4">
        <w:rPr>
          <w:rFonts w:ascii="Times New Roman" w:hAnsi="Times New Roman" w:cs="Times New Roman"/>
          <w:sz w:val="24"/>
          <w:szCs w:val="24"/>
        </w:rPr>
        <w:t xml:space="preserve">pred ESWL podstúpilo </w:t>
      </w:r>
      <w:r w:rsidR="0084364F" w:rsidRPr="00DA07E4">
        <w:rPr>
          <w:rFonts w:ascii="Times New Roman" w:hAnsi="Times New Roman" w:cs="Times New Roman"/>
          <w:sz w:val="24"/>
          <w:szCs w:val="24"/>
        </w:rPr>
        <w:t>50</w:t>
      </w:r>
      <w:r w:rsidR="00994E0F">
        <w:rPr>
          <w:rFonts w:ascii="Times New Roman" w:hAnsi="Times New Roman" w:cs="Times New Roman"/>
          <w:sz w:val="24"/>
          <w:szCs w:val="24"/>
        </w:rPr>
        <w:t xml:space="preserve"> </w:t>
      </w:r>
      <w:r w:rsidR="0084364F" w:rsidRPr="00DA07E4">
        <w:rPr>
          <w:rFonts w:ascii="Times New Roman" w:hAnsi="Times New Roman" w:cs="Times New Roman"/>
          <w:sz w:val="24"/>
          <w:szCs w:val="24"/>
        </w:rPr>
        <w:t xml:space="preserve">% </w:t>
      </w:r>
      <w:r w:rsidRPr="00DA07E4">
        <w:rPr>
          <w:rFonts w:ascii="Times New Roman" w:hAnsi="Times New Roman" w:cs="Times New Roman"/>
          <w:sz w:val="24"/>
          <w:szCs w:val="24"/>
        </w:rPr>
        <w:t xml:space="preserve">pacientov. </w:t>
      </w:r>
      <w:r w:rsidR="00DF5D48">
        <w:rPr>
          <w:rFonts w:ascii="Times New Roman" w:hAnsi="Times New Roman" w:cs="Times New Roman"/>
          <w:sz w:val="24"/>
          <w:szCs w:val="24"/>
        </w:rPr>
        <w:t>Je to pomerne veľa</w:t>
      </w:r>
      <w:r w:rsidRPr="00DA07E4">
        <w:rPr>
          <w:rFonts w:ascii="Times New Roman" w:hAnsi="Times New Roman" w:cs="Times New Roman"/>
          <w:sz w:val="24"/>
          <w:szCs w:val="24"/>
        </w:rPr>
        <w:t>, keďže štúdie hovoria o malom až žiadnom vplyve stentu na SFR u</w:t>
      </w:r>
      <w:r w:rsidR="005A093B" w:rsidRPr="00DA07E4">
        <w:rPr>
          <w:rFonts w:ascii="Times New Roman" w:hAnsi="Times New Roman" w:cs="Times New Roman"/>
          <w:sz w:val="24"/>
          <w:szCs w:val="24"/>
        </w:rPr>
        <w:t> </w:t>
      </w:r>
      <w:r w:rsidRPr="00DA07E4">
        <w:rPr>
          <w:rFonts w:ascii="Times New Roman" w:hAnsi="Times New Roman" w:cs="Times New Roman"/>
          <w:sz w:val="24"/>
          <w:szCs w:val="24"/>
        </w:rPr>
        <w:t>ESWL</w:t>
      </w:r>
      <w:r w:rsidR="005A093B" w:rsidRPr="00DA07E4">
        <w:rPr>
          <w:rFonts w:ascii="Times New Roman" w:hAnsi="Times New Roman" w:cs="Times New Roman"/>
          <w:sz w:val="24"/>
          <w:szCs w:val="24"/>
        </w:rPr>
        <w:t xml:space="preserve"> (Shen et al., 2011)</w:t>
      </w:r>
      <w:r w:rsidR="0084364F" w:rsidRPr="00DA07E4">
        <w:rPr>
          <w:rFonts w:ascii="Times New Roman" w:hAnsi="Times New Roman" w:cs="Times New Roman"/>
          <w:sz w:val="24"/>
          <w:szCs w:val="24"/>
        </w:rPr>
        <w:t xml:space="preserve">. </w:t>
      </w:r>
      <w:r w:rsidRPr="00DA07E4">
        <w:rPr>
          <w:rFonts w:ascii="Times New Roman" w:hAnsi="Times New Roman" w:cs="Times New Roman"/>
          <w:sz w:val="24"/>
          <w:szCs w:val="24"/>
        </w:rPr>
        <w:t xml:space="preserve">Výsledky liečby ale nakoniec boli výborné aj v ESWL skupine. </w:t>
      </w:r>
      <w:r w:rsidR="0020041D" w:rsidRPr="00DA07E4">
        <w:rPr>
          <w:rFonts w:ascii="Times New Roman" w:hAnsi="Times New Roman" w:cs="Times New Roman"/>
          <w:sz w:val="24"/>
          <w:szCs w:val="24"/>
        </w:rPr>
        <w:t>RIRS</w:t>
      </w:r>
      <w:r w:rsidRPr="00DA07E4">
        <w:rPr>
          <w:rFonts w:ascii="Times New Roman" w:hAnsi="Times New Roman" w:cs="Times New Roman"/>
          <w:sz w:val="24"/>
          <w:szCs w:val="24"/>
        </w:rPr>
        <w:t xml:space="preserve"> skupina mala stent pred výkonom umiestnený ešte vo viac prípadoch</w:t>
      </w:r>
      <w:r w:rsidR="00BF6FFF" w:rsidRPr="00DA07E4">
        <w:rPr>
          <w:rFonts w:ascii="Times New Roman" w:hAnsi="Times New Roman" w:cs="Times New Roman"/>
          <w:sz w:val="24"/>
          <w:szCs w:val="24"/>
        </w:rPr>
        <w:t xml:space="preserve"> v porovnaní s ESWL, rozdiel bol dokonca štatisticky signifikantný</w:t>
      </w:r>
      <w:r w:rsidR="003B4C1C">
        <w:rPr>
          <w:rFonts w:ascii="Times New Roman" w:hAnsi="Times New Roman" w:cs="Times New Roman"/>
          <w:sz w:val="24"/>
          <w:szCs w:val="24"/>
        </w:rPr>
        <w:t xml:space="preserve"> (Svihra jr. et al., 2021)</w:t>
      </w:r>
      <w:r w:rsidR="00BF6FFF" w:rsidRPr="00DA07E4">
        <w:rPr>
          <w:rFonts w:ascii="Times New Roman" w:hAnsi="Times New Roman" w:cs="Times New Roman"/>
          <w:sz w:val="24"/>
          <w:szCs w:val="24"/>
        </w:rPr>
        <w:t>. Dobudúcna vidíme mieru prestentovania ako výzvu na zlepšenie.</w:t>
      </w:r>
    </w:p>
    <w:p w14:paraId="6CEF824A" w14:textId="77777777" w:rsidR="00A336A3" w:rsidRPr="00DA07E4" w:rsidRDefault="00A336A3" w:rsidP="00DA07E4">
      <w:pPr>
        <w:spacing w:after="0" w:line="360" w:lineRule="auto"/>
        <w:ind w:firstLine="708"/>
        <w:jc w:val="both"/>
        <w:rPr>
          <w:rFonts w:ascii="Times New Roman" w:hAnsi="Times New Roman" w:cs="Times New Roman"/>
          <w:sz w:val="24"/>
          <w:szCs w:val="24"/>
        </w:rPr>
      </w:pPr>
    </w:p>
    <w:p w14:paraId="27A1254C" w14:textId="3221AF25" w:rsidR="0084364F" w:rsidRPr="00DA07E4" w:rsidRDefault="00BF6FFF"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Ďalším krokom štúdie bolo porovnanie výsledkov WISQOL skóre pred a po liečbe a medzi skupinami. Signifikantne lepšie výsledky pre </w:t>
      </w:r>
      <w:r w:rsidR="0020041D" w:rsidRPr="00DA07E4">
        <w:rPr>
          <w:rFonts w:ascii="Times New Roman" w:hAnsi="Times New Roman" w:cs="Times New Roman"/>
          <w:sz w:val="24"/>
          <w:szCs w:val="24"/>
        </w:rPr>
        <w:t>RIRS</w:t>
      </w:r>
      <w:r w:rsidRPr="00DA07E4">
        <w:rPr>
          <w:rFonts w:ascii="Times New Roman" w:hAnsi="Times New Roman" w:cs="Times New Roman"/>
          <w:sz w:val="24"/>
          <w:szCs w:val="24"/>
        </w:rPr>
        <w:t xml:space="preserve"> skupinu nás prekvapili</w:t>
      </w:r>
      <w:r w:rsidR="0084364F" w:rsidRPr="00DA07E4">
        <w:rPr>
          <w:rFonts w:ascii="Times New Roman" w:hAnsi="Times New Roman" w:cs="Times New Roman"/>
          <w:sz w:val="24"/>
          <w:szCs w:val="24"/>
        </w:rPr>
        <w:t xml:space="preserve">. </w:t>
      </w:r>
      <w:r w:rsidR="0020041D" w:rsidRPr="00DA07E4">
        <w:rPr>
          <w:rFonts w:ascii="Times New Roman" w:hAnsi="Times New Roman" w:cs="Times New Roman"/>
          <w:sz w:val="24"/>
          <w:szCs w:val="24"/>
        </w:rPr>
        <w:t xml:space="preserve">Keď sme sa ústne pýtali pacientov, niektorí z ESWL skupiny by už zákrok absolvovať nechceli. </w:t>
      </w:r>
      <w:r w:rsidR="00A336A3" w:rsidRPr="00DA07E4">
        <w:rPr>
          <w:rFonts w:ascii="Times New Roman" w:hAnsi="Times New Roman" w:cs="Times New Roman"/>
          <w:sz w:val="24"/>
          <w:szCs w:val="24"/>
        </w:rPr>
        <w:t>Oproti tomu</w:t>
      </w:r>
      <w:r w:rsidR="0020041D" w:rsidRPr="00DA07E4">
        <w:rPr>
          <w:rFonts w:ascii="Times New Roman" w:hAnsi="Times New Roman" w:cs="Times New Roman"/>
          <w:sz w:val="24"/>
          <w:szCs w:val="24"/>
        </w:rPr>
        <w:t xml:space="preserve"> veľa pacientov v RIRS skupine bolo so zákrokom spokojných</w:t>
      </w:r>
      <w:r w:rsidR="003B4C1C">
        <w:rPr>
          <w:rFonts w:ascii="Times New Roman" w:hAnsi="Times New Roman" w:cs="Times New Roman"/>
          <w:sz w:val="24"/>
          <w:szCs w:val="24"/>
        </w:rPr>
        <w:t xml:space="preserve"> (Svihra jr. et al., 2021)</w:t>
      </w:r>
      <w:r w:rsidR="0020041D" w:rsidRPr="00DA07E4">
        <w:rPr>
          <w:rFonts w:ascii="Times New Roman" w:hAnsi="Times New Roman" w:cs="Times New Roman"/>
          <w:sz w:val="24"/>
          <w:szCs w:val="24"/>
        </w:rPr>
        <w:t>. Dôležité je podotknúť, že napriek použitiu jednorázových flexibilných ureterorenoskopov a drahého moderného litotriptora, pacienti ani v jednom prípade nič nedoplácali</w:t>
      </w:r>
      <w:r w:rsidR="00A336A3" w:rsidRPr="00DA07E4">
        <w:rPr>
          <w:rFonts w:ascii="Times New Roman" w:hAnsi="Times New Roman" w:cs="Times New Roman"/>
          <w:sz w:val="24"/>
          <w:szCs w:val="24"/>
        </w:rPr>
        <w:t>, výkony boli plne hradené zo všeobecného zdravotného poistenia</w:t>
      </w:r>
      <w:r w:rsidR="0020041D" w:rsidRPr="00DA07E4">
        <w:rPr>
          <w:rFonts w:ascii="Times New Roman" w:hAnsi="Times New Roman" w:cs="Times New Roman"/>
          <w:sz w:val="24"/>
          <w:szCs w:val="24"/>
        </w:rPr>
        <w:t>.</w:t>
      </w:r>
    </w:p>
    <w:p w14:paraId="4FE10BF9" w14:textId="6993FF32" w:rsidR="00193DAC" w:rsidRPr="00DA07E4" w:rsidRDefault="00193DAC" w:rsidP="00DA07E4">
      <w:pPr>
        <w:spacing w:after="0" w:line="360" w:lineRule="auto"/>
        <w:jc w:val="both"/>
        <w:rPr>
          <w:rFonts w:ascii="Times New Roman" w:hAnsi="Times New Roman" w:cs="Times New Roman"/>
          <w:sz w:val="24"/>
          <w:szCs w:val="24"/>
        </w:rPr>
      </w:pPr>
    </w:p>
    <w:p w14:paraId="2983AD3F" w14:textId="21672855" w:rsidR="00916AC0" w:rsidRDefault="00916AC0" w:rsidP="00916AC0">
      <w:pPr>
        <w:spacing w:after="0" w:line="360" w:lineRule="auto"/>
        <w:jc w:val="both"/>
        <w:rPr>
          <w:rFonts w:ascii="Times New Roman" w:hAnsi="Times New Roman" w:cs="Times New Roman"/>
          <w:sz w:val="24"/>
          <w:szCs w:val="24"/>
          <w:lang w:val="en-GB"/>
        </w:rPr>
      </w:pPr>
    </w:p>
    <w:p w14:paraId="3238EBA5" w14:textId="77777777" w:rsidR="00916AC0" w:rsidRDefault="00916AC0">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9BD40D3" w14:textId="1F26589D" w:rsidR="003B3BCF" w:rsidRPr="00DA07E4" w:rsidRDefault="003B3BCF" w:rsidP="00DA07E4">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lastRenderedPageBreak/>
        <w:t>ZÁVER</w:t>
      </w:r>
    </w:p>
    <w:p w14:paraId="2621E48A" w14:textId="77777777" w:rsidR="00B544D3" w:rsidRPr="00DA07E4" w:rsidRDefault="00B544D3" w:rsidP="00DA07E4">
      <w:pPr>
        <w:spacing w:after="0" w:line="360" w:lineRule="auto"/>
        <w:jc w:val="both"/>
        <w:rPr>
          <w:rFonts w:ascii="Times New Roman" w:hAnsi="Times New Roman" w:cs="Times New Roman"/>
          <w:sz w:val="24"/>
          <w:szCs w:val="24"/>
          <w:shd w:val="clear" w:color="auto" w:fill="FFFFFF"/>
        </w:rPr>
      </w:pPr>
    </w:p>
    <w:p w14:paraId="7471F7B8" w14:textId="749242DC" w:rsidR="00AF27FF" w:rsidRPr="00DA07E4" w:rsidRDefault="00BE5170" w:rsidP="00DA07E4">
      <w:pPr>
        <w:spacing w:after="0" w:line="360" w:lineRule="auto"/>
        <w:ind w:firstLine="708"/>
        <w:jc w:val="both"/>
        <w:rPr>
          <w:rStyle w:val="A1"/>
          <w:rFonts w:ascii="Times New Roman" w:hAnsi="Times New Roman" w:cs="Times New Roman"/>
          <w:color w:val="auto"/>
          <w:sz w:val="24"/>
          <w:szCs w:val="24"/>
        </w:rPr>
      </w:pPr>
      <w:r w:rsidRPr="00DA07E4">
        <w:rPr>
          <w:rFonts w:ascii="Times New Roman" w:hAnsi="Times New Roman" w:cs="Times New Roman"/>
          <w:sz w:val="24"/>
          <w:szCs w:val="24"/>
          <w:shd w:val="clear" w:color="auto" w:fill="FFFFFF"/>
        </w:rPr>
        <w:t xml:space="preserve">Urolitiáza je komplexné ochorenie, ktoré kvôli tendencii k recidíve, vplyvu životného štýlu a výraznému zásahu do každodenného života pacienta vyžaduje spoluprácu viacerých špecialistov. </w:t>
      </w:r>
      <w:r w:rsidRPr="00DA07E4">
        <w:rPr>
          <w:rStyle w:val="A1"/>
          <w:rFonts w:ascii="Times New Roman" w:hAnsi="Times New Roman" w:cs="Times New Roman"/>
          <w:color w:val="auto"/>
          <w:sz w:val="24"/>
          <w:szCs w:val="24"/>
        </w:rPr>
        <w:t>Všetky tieto aspekty je potrebné zohľadniť aj pri indikovaní operačnej liečby urolitiázy.</w:t>
      </w:r>
    </w:p>
    <w:p w14:paraId="596E9C59" w14:textId="2A1BF220" w:rsidR="002B5D5E" w:rsidRPr="00DA07E4" w:rsidRDefault="00E35C91"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Style w:val="A1"/>
          <w:rFonts w:ascii="Times New Roman" w:hAnsi="Times New Roman" w:cs="Times New Roman"/>
          <w:color w:val="auto"/>
          <w:sz w:val="24"/>
          <w:szCs w:val="24"/>
        </w:rPr>
        <w:t xml:space="preserve">V práci </w:t>
      </w:r>
      <w:r w:rsidR="002B5D5E" w:rsidRPr="00DA07E4">
        <w:rPr>
          <w:rStyle w:val="A1"/>
          <w:rFonts w:ascii="Times New Roman" w:hAnsi="Times New Roman" w:cs="Times New Roman"/>
          <w:color w:val="auto"/>
          <w:sz w:val="24"/>
          <w:szCs w:val="24"/>
        </w:rPr>
        <w:t>bol</w:t>
      </w:r>
      <w:r w:rsidRPr="00DA07E4">
        <w:rPr>
          <w:rStyle w:val="A1"/>
          <w:rFonts w:ascii="Times New Roman" w:hAnsi="Times New Roman" w:cs="Times New Roman"/>
          <w:color w:val="auto"/>
          <w:sz w:val="24"/>
          <w:szCs w:val="24"/>
        </w:rPr>
        <w:t xml:space="preserve"> predstav</w:t>
      </w:r>
      <w:r w:rsidR="002B5D5E" w:rsidRPr="00DA07E4">
        <w:rPr>
          <w:rStyle w:val="A1"/>
          <w:rFonts w:ascii="Times New Roman" w:hAnsi="Times New Roman" w:cs="Times New Roman"/>
          <w:color w:val="auto"/>
          <w:sz w:val="24"/>
          <w:szCs w:val="24"/>
        </w:rPr>
        <w:t>ený</w:t>
      </w:r>
      <w:r w:rsidRPr="00DA07E4">
        <w:rPr>
          <w:rStyle w:val="A1"/>
          <w:rFonts w:ascii="Times New Roman" w:hAnsi="Times New Roman" w:cs="Times New Roman"/>
          <w:color w:val="auto"/>
          <w:sz w:val="24"/>
          <w:szCs w:val="24"/>
        </w:rPr>
        <w:t xml:space="preserve"> výskum kvality života pacientov, ktorí podstúpili dve rôzne operačné metódy riešenia proximálnej urolitiázy (ESWL a</w:t>
      </w:r>
      <w:r w:rsidR="00952A53" w:rsidRPr="00DA07E4">
        <w:rPr>
          <w:rStyle w:val="A1"/>
          <w:rFonts w:ascii="Times New Roman" w:hAnsi="Times New Roman" w:cs="Times New Roman"/>
          <w:color w:val="auto"/>
          <w:sz w:val="24"/>
          <w:szCs w:val="24"/>
        </w:rPr>
        <w:t xml:space="preserve"> </w:t>
      </w:r>
      <w:r w:rsidRPr="00DA07E4">
        <w:rPr>
          <w:rStyle w:val="A1"/>
          <w:rFonts w:ascii="Times New Roman" w:hAnsi="Times New Roman" w:cs="Times New Roman"/>
          <w:color w:val="auto"/>
          <w:sz w:val="24"/>
          <w:szCs w:val="24"/>
        </w:rPr>
        <w:t>RIRS). Pri takomto porovnaní bol po prvý raz použitý dotazník špecifický na ochorenie urolitiázou – WISQOL.</w:t>
      </w:r>
    </w:p>
    <w:p w14:paraId="3C6D3E16" w14:textId="0D248760" w:rsidR="002B5D5E" w:rsidRPr="00DA07E4" w:rsidRDefault="002B5D5E"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b/>
          <w:bCs/>
          <w:sz w:val="24"/>
          <w:szCs w:val="24"/>
        </w:rPr>
        <w:t>V prvej časti štúdie</w:t>
      </w:r>
      <w:r w:rsidRPr="00DA07E4">
        <w:rPr>
          <w:rFonts w:ascii="Times New Roman" w:hAnsi="Times New Roman" w:cs="Times New Roman"/>
          <w:sz w:val="24"/>
          <w:szCs w:val="24"/>
        </w:rPr>
        <w:t xml:space="preserve"> bol podľa štandardizovaného procesu dotazník WISQOL úspešne validovaný do slovenského jazyka. Dotazník sa ukázal ako spoľahlivý nástroj, ktorý je prísne špecifický pre ochorenie urolitiázou. Bolo overené jeho použitie v bežnej klinickej praxi.</w:t>
      </w:r>
    </w:p>
    <w:p w14:paraId="68A4071B" w14:textId="7DC10B28" w:rsidR="002B5D5E" w:rsidRPr="00DA07E4" w:rsidRDefault="002B5D5E"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b/>
          <w:bCs/>
          <w:sz w:val="24"/>
          <w:szCs w:val="24"/>
        </w:rPr>
        <w:t xml:space="preserve">V druhej </w:t>
      </w:r>
      <w:r w:rsidR="003B4C1C">
        <w:rPr>
          <w:rFonts w:ascii="Times New Roman" w:hAnsi="Times New Roman" w:cs="Times New Roman"/>
          <w:b/>
          <w:bCs/>
          <w:sz w:val="24"/>
          <w:szCs w:val="24"/>
        </w:rPr>
        <w:t xml:space="preserve">a tretej </w:t>
      </w:r>
      <w:r w:rsidRPr="00DA07E4">
        <w:rPr>
          <w:rFonts w:ascii="Times New Roman" w:hAnsi="Times New Roman" w:cs="Times New Roman"/>
          <w:b/>
          <w:bCs/>
          <w:sz w:val="24"/>
          <w:szCs w:val="24"/>
        </w:rPr>
        <w:t>časti štúdie</w:t>
      </w:r>
      <w:r w:rsidRPr="00DA07E4">
        <w:rPr>
          <w:rFonts w:ascii="Times New Roman" w:hAnsi="Times New Roman" w:cs="Times New Roman"/>
          <w:sz w:val="24"/>
          <w:szCs w:val="24"/>
        </w:rPr>
        <w:t xml:space="preserve"> výskum</w:t>
      </w:r>
      <w:r w:rsidRPr="00DA07E4">
        <w:rPr>
          <w:rStyle w:val="A1"/>
          <w:rFonts w:ascii="Times New Roman" w:hAnsi="Times New Roman" w:cs="Times New Roman"/>
          <w:color w:val="auto"/>
          <w:sz w:val="24"/>
          <w:szCs w:val="24"/>
        </w:rPr>
        <w:t xml:space="preserve"> ukázal, že obe operačné metódy dosiahli podobnú úspešnosť pri odstránení konkrementov (vysoký SFR pri nízkom počte reoperácií a komplikácií). Hoci úspešnosť bola podobná, prekvapivé boli výsledky kvality života. Pacienti, ktorí podstúpili RIRS, dosiahli signifikantne lepšie skóre odpovedajúce lepšej kvalite života.</w:t>
      </w:r>
    </w:p>
    <w:p w14:paraId="6E4F558F" w14:textId="7147BF17" w:rsidR="002B5D5E" w:rsidRPr="00DA07E4" w:rsidRDefault="002B5D5E" w:rsidP="00DA07E4">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Vyššie skóre v dotazníku WISQOL odpovedá lepšej kvalite života. Pred zákrokom (ESWL alebo </w:t>
      </w:r>
      <w:r w:rsidR="003B4C1C">
        <w:rPr>
          <w:rFonts w:ascii="Times New Roman" w:hAnsi="Times New Roman" w:cs="Times New Roman"/>
          <w:sz w:val="24"/>
          <w:szCs w:val="24"/>
        </w:rPr>
        <w:t>RI</w:t>
      </w:r>
      <w:r w:rsidRPr="00DA07E4">
        <w:rPr>
          <w:rFonts w:ascii="Times New Roman" w:hAnsi="Times New Roman" w:cs="Times New Roman"/>
          <w:sz w:val="24"/>
          <w:szCs w:val="24"/>
        </w:rPr>
        <w:t>RS) bolo celkové WISQOL skóre medzi skupinami bez štatisticky signifikantného rozdielu. V 24. týždni po zákroku k zlepšeniu skóre došlo ako v </w:t>
      </w:r>
      <w:r w:rsidR="003B4C1C">
        <w:rPr>
          <w:rFonts w:ascii="Times New Roman" w:hAnsi="Times New Roman" w:cs="Times New Roman"/>
          <w:sz w:val="24"/>
          <w:szCs w:val="24"/>
        </w:rPr>
        <w:t>RI</w:t>
      </w:r>
      <w:r w:rsidRPr="00DA07E4">
        <w:rPr>
          <w:rFonts w:ascii="Times New Roman" w:hAnsi="Times New Roman" w:cs="Times New Roman"/>
          <w:sz w:val="24"/>
          <w:szCs w:val="24"/>
        </w:rPr>
        <w:t>RS, tak aj v ESWL skupine. Medián dosiahnutého WISQOL skóre bol ale 95</w:t>
      </w:r>
      <w:r w:rsidR="00994E0F">
        <w:rPr>
          <w:rFonts w:ascii="Times New Roman" w:hAnsi="Times New Roman" w:cs="Times New Roman"/>
          <w:sz w:val="24"/>
          <w:szCs w:val="24"/>
        </w:rPr>
        <w:t>,</w:t>
      </w:r>
      <w:r w:rsidRPr="00DA07E4">
        <w:rPr>
          <w:rFonts w:ascii="Times New Roman" w:hAnsi="Times New Roman" w:cs="Times New Roman"/>
          <w:sz w:val="24"/>
          <w:szCs w:val="24"/>
        </w:rPr>
        <w:t xml:space="preserve">5 pre </w:t>
      </w:r>
      <w:r w:rsidR="00E26032">
        <w:rPr>
          <w:rFonts w:ascii="Times New Roman" w:hAnsi="Times New Roman" w:cs="Times New Roman"/>
          <w:sz w:val="24"/>
          <w:szCs w:val="24"/>
        </w:rPr>
        <w:t>RI</w:t>
      </w:r>
      <w:r w:rsidRPr="00DA07E4">
        <w:rPr>
          <w:rFonts w:ascii="Times New Roman" w:hAnsi="Times New Roman" w:cs="Times New Roman"/>
          <w:sz w:val="24"/>
          <w:szCs w:val="24"/>
        </w:rPr>
        <w:t>RS voči signifikantne nižšiemu skóre 87</w:t>
      </w:r>
      <w:r w:rsidR="00994E0F">
        <w:rPr>
          <w:rFonts w:ascii="Times New Roman" w:hAnsi="Times New Roman" w:cs="Times New Roman"/>
          <w:sz w:val="24"/>
          <w:szCs w:val="24"/>
        </w:rPr>
        <w:t>,</w:t>
      </w:r>
      <w:r w:rsidRPr="00DA07E4">
        <w:rPr>
          <w:rFonts w:ascii="Times New Roman" w:hAnsi="Times New Roman" w:cs="Times New Roman"/>
          <w:sz w:val="24"/>
          <w:szCs w:val="24"/>
        </w:rPr>
        <w:t>1 pre ESWL skupinu.</w:t>
      </w:r>
    </w:p>
    <w:p w14:paraId="4923A0B4" w14:textId="49277DFA" w:rsidR="00AF27FF" w:rsidRPr="00DA07E4" w:rsidRDefault="002B5D5E" w:rsidP="00DA07E4">
      <w:pPr>
        <w:spacing w:after="0" w:line="360" w:lineRule="auto"/>
        <w:ind w:firstLine="708"/>
        <w:jc w:val="both"/>
        <w:rPr>
          <w:rStyle w:val="A1"/>
          <w:rFonts w:ascii="Times New Roman" w:hAnsi="Times New Roman" w:cs="Times New Roman"/>
          <w:color w:val="auto"/>
          <w:sz w:val="24"/>
          <w:szCs w:val="24"/>
        </w:rPr>
      </w:pPr>
      <w:r w:rsidRPr="00DA07E4">
        <w:rPr>
          <w:rFonts w:ascii="Times New Roman" w:hAnsi="Times New Roman" w:cs="Times New Roman"/>
          <w:sz w:val="24"/>
          <w:szCs w:val="24"/>
        </w:rPr>
        <w:t xml:space="preserve">Pacienti zo skupiny </w:t>
      </w:r>
      <w:r w:rsidR="003B4C1C">
        <w:rPr>
          <w:rFonts w:ascii="Times New Roman" w:hAnsi="Times New Roman" w:cs="Times New Roman"/>
          <w:sz w:val="24"/>
          <w:szCs w:val="24"/>
        </w:rPr>
        <w:t>RI</w:t>
      </w:r>
      <w:r w:rsidRPr="00DA07E4">
        <w:rPr>
          <w:rFonts w:ascii="Times New Roman" w:hAnsi="Times New Roman" w:cs="Times New Roman"/>
          <w:sz w:val="24"/>
          <w:szCs w:val="24"/>
        </w:rPr>
        <w:t xml:space="preserve">RS </w:t>
      </w:r>
      <w:r w:rsidRPr="00DA07E4">
        <w:rPr>
          <w:rFonts w:ascii="Times New Roman" w:hAnsi="Times New Roman" w:cs="Times New Roman"/>
          <w:sz w:val="24"/>
          <w:szCs w:val="24"/>
          <w:lang w:val="en-GB"/>
        </w:rPr>
        <w:t>vykázali pravdepodobnosť dosiahnuť 19</w:t>
      </w:r>
      <w:r w:rsidR="00994E0F">
        <w:rPr>
          <w:rFonts w:ascii="Times New Roman" w:hAnsi="Times New Roman" w:cs="Times New Roman"/>
          <w:sz w:val="24"/>
          <w:szCs w:val="24"/>
          <w:lang w:val="en-GB"/>
        </w:rPr>
        <w:t>,</w:t>
      </w:r>
      <w:r w:rsidRPr="00DA07E4">
        <w:rPr>
          <w:rFonts w:ascii="Times New Roman" w:hAnsi="Times New Roman" w:cs="Times New Roman"/>
          <w:sz w:val="24"/>
          <w:szCs w:val="24"/>
          <w:lang w:val="en-GB"/>
        </w:rPr>
        <w:t>727 QALYs počas odhadovanej priemernej dĺžky života, čo bolo štatisticky signifikantne viac ako ESWL skupina.</w:t>
      </w:r>
    </w:p>
    <w:p w14:paraId="5E52B937" w14:textId="11A384A0" w:rsidR="00E35C91" w:rsidRPr="00DA07E4" w:rsidRDefault="0030665F" w:rsidP="00DA07E4">
      <w:pPr>
        <w:autoSpaceDE w:val="0"/>
        <w:autoSpaceDN w:val="0"/>
        <w:adjustRightInd w:val="0"/>
        <w:spacing w:after="0" w:line="360" w:lineRule="auto"/>
        <w:ind w:firstLine="708"/>
        <w:jc w:val="both"/>
        <w:rPr>
          <w:rFonts w:ascii="Times New Roman" w:hAnsi="Times New Roman" w:cs="Times New Roman"/>
          <w:sz w:val="24"/>
          <w:szCs w:val="24"/>
        </w:rPr>
      </w:pPr>
      <w:r w:rsidRPr="00DA07E4">
        <w:rPr>
          <w:rStyle w:val="A1"/>
          <w:rFonts w:ascii="Times New Roman" w:hAnsi="Times New Roman" w:cs="Times New Roman"/>
          <w:color w:val="auto"/>
          <w:sz w:val="24"/>
          <w:szCs w:val="24"/>
        </w:rPr>
        <w:t xml:space="preserve">Indikácia operačnej liečby ušitá na mieru konkrétnemu pacientovi vzhľadom k jeho celkovému fyzickému i sociálnemu zdraviu bude pravdepodobne v budúcnosti kľúčová. Ďalšie kvalitné randomizované štúdie sú potrebné na </w:t>
      </w:r>
      <w:r w:rsidR="00952A53" w:rsidRPr="00DA07E4">
        <w:rPr>
          <w:rStyle w:val="A1"/>
          <w:rFonts w:ascii="Times New Roman" w:hAnsi="Times New Roman" w:cs="Times New Roman"/>
          <w:color w:val="auto"/>
          <w:sz w:val="24"/>
          <w:szCs w:val="24"/>
        </w:rPr>
        <w:t>určenie správneho smeru operačnej liečby urolitiázy.</w:t>
      </w:r>
    </w:p>
    <w:p w14:paraId="737F41CD" w14:textId="740C56CC" w:rsidR="00BE5170" w:rsidRPr="00DA07E4" w:rsidRDefault="00BE5170" w:rsidP="00DA07E4">
      <w:pPr>
        <w:spacing w:after="0" w:line="360" w:lineRule="auto"/>
        <w:jc w:val="both"/>
        <w:rPr>
          <w:rFonts w:ascii="Times New Roman" w:hAnsi="Times New Roman" w:cs="Times New Roman"/>
          <w:sz w:val="24"/>
          <w:szCs w:val="24"/>
        </w:rPr>
      </w:pPr>
    </w:p>
    <w:p w14:paraId="186ABDBB" w14:textId="77777777" w:rsidR="00BE5170" w:rsidRPr="00DA07E4" w:rsidRDefault="00BE5170" w:rsidP="00DA07E4">
      <w:pPr>
        <w:spacing w:after="0" w:line="360" w:lineRule="auto"/>
        <w:jc w:val="both"/>
        <w:rPr>
          <w:rFonts w:ascii="Times New Roman" w:hAnsi="Times New Roman" w:cs="Times New Roman"/>
          <w:sz w:val="24"/>
          <w:szCs w:val="24"/>
        </w:rPr>
      </w:pPr>
    </w:p>
    <w:p w14:paraId="7CE2501B" w14:textId="77777777" w:rsidR="00B544D3" w:rsidRPr="00DA07E4" w:rsidRDefault="00B544D3" w:rsidP="00DA07E4">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br w:type="page"/>
      </w:r>
    </w:p>
    <w:p w14:paraId="6F872850" w14:textId="4C7C187D" w:rsidR="00AC44AA" w:rsidRPr="00DA07E4" w:rsidRDefault="00AC44AA" w:rsidP="00DA07E4">
      <w:pPr>
        <w:spacing w:after="0" w:line="360" w:lineRule="auto"/>
        <w:jc w:val="both"/>
        <w:rPr>
          <w:rFonts w:ascii="Times New Roman" w:hAnsi="Times New Roman" w:cs="Times New Roman"/>
          <w:b/>
          <w:caps/>
          <w:sz w:val="24"/>
          <w:szCs w:val="24"/>
        </w:rPr>
      </w:pPr>
      <w:bookmarkStart w:id="34" w:name="_Hlk68639065"/>
      <w:r w:rsidRPr="00DA07E4">
        <w:rPr>
          <w:rFonts w:ascii="Times New Roman" w:hAnsi="Times New Roman" w:cs="Times New Roman"/>
          <w:b/>
          <w:caps/>
          <w:sz w:val="24"/>
          <w:szCs w:val="24"/>
        </w:rPr>
        <w:lastRenderedPageBreak/>
        <w:t xml:space="preserve">Zoznam obrázkov a tabuliek </w:t>
      </w:r>
    </w:p>
    <w:p w14:paraId="4FC4538B" w14:textId="59630CB5" w:rsidR="00944BB7" w:rsidRDefault="00944BB7" w:rsidP="00DA07E4">
      <w:pPr>
        <w:spacing w:after="0" w:line="360" w:lineRule="auto"/>
        <w:jc w:val="both"/>
        <w:rPr>
          <w:rFonts w:ascii="Times New Roman" w:hAnsi="Times New Roman" w:cs="Times New Roman"/>
          <w:b/>
          <w:sz w:val="24"/>
          <w:szCs w:val="24"/>
        </w:rPr>
      </w:pPr>
    </w:p>
    <w:p w14:paraId="47EB572B" w14:textId="77777777" w:rsidR="006F01A5" w:rsidRPr="00DA07E4" w:rsidRDefault="006F01A5" w:rsidP="00DA07E4">
      <w:pPr>
        <w:spacing w:after="0" w:line="360" w:lineRule="auto"/>
        <w:jc w:val="both"/>
        <w:rPr>
          <w:rFonts w:ascii="Times New Roman" w:hAnsi="Times New Roman" w:cs="Times New Roman"/>
          <w:b/>
          <w:sz w:val="24"/>
          <w:szCs w:val="24"/>
        </w:rPr>
      </w:pPr>
    </w:p>
    <w:p w14:paraId="2F228AD0" w14:textId="63CB2CBE" w:rsidR="00AC44AA" w:rsidRPr="00DA07E4" w:rsidRDefault="00AC44AA" w:rsidP="003B4C1C">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Obr. 1</w:t>
      </w:r>
      <w:r w:rsidR="00466575" w:rsidRPr="00DA07E4">
        <w:rPr>
          <w:rFonts w:ascii="Times New Roman" w:hAnsi="Times New Roman" w:cs="Times New Roman"/>
          <w:b/>
          <w:sz w:val="24"/>
          <w:szCs w:val="24"/>
        </w:rPr>
        <w:t xml:space="preserve"> </w:t>
      </w:r>
      <w:r w:rsidR="00466575" w:rsidRPr="00DA07E4">
        <w:rPr>
          <w:rFonts w:ascii="Times New Roman" w:hAnsi="Times New Roman" w:cs="Times New Roman"/>
          <w:sz w:val="24"/>
          <w:szCs w:val="24"/>
        </w:rPr>
        <w:t>Konkrement deväťročného chlapca (</w:t>
      </w:r>
      <w:r w:rsidR="003B4C1C">
        <w:rPr>
          <w:rFonts w:ascii="Times New Roman" w:hAnsi="Times New Roman" w:cs="Times New Roman"/>
          <w:sz w:val="24"/>
          <w:szCs w:val="24"/>
        </w:rPr>
        <w:t>p</w:t>
      </w:r>
      <w:r w:rsidR="00944BB7" w:rsidRPr="00DA07E4">
        <w:rPr>
          <w:rFonts w:ascii="Times New Roman" w:hAnsi="Times New Roman" w:cs="Times New Roman"/>
          <w:sz w:val="24"/>
          <w:szCs w:val="24"/>
        </w:rPr>
        <w:t>odľa</w:t>
      </w:r>
      <w:r w:rsidR="00466575" w:rsidRPr="00DA07E4">
        <w:rPr>
          <w:rFonts w:ascii="Times New Roman" w:hAnsi="Times New Roman" w:cs="Times New Roman"/>
          <w:sz w:val="24"/>
          <w:szCs w:val="24"/>
        </w:rPr>
        <w:t xml:space="preserve">: Cloutier et al., 2015) </w:t>
      </w:r>
      <w:r w:rsidR="00944BB7" w:rsidRPr="00DA07E4">
        <w:rPr>
          <w:rFonts w:ascii="Times New Roman" w:hAnsi="Times New Roman" w:cs="Times New Roman"/>
          <w:sz w:val="24"/>
          <w:szCs w:val="24"/>
        </w:rPr>
        <w:tab/>
      </w:r>
      <w:r w:rsidR="003B4C1C">
        <w:rPr>
          <w:rFonts w:ascii="Times New Roman" w:hAnsi="Times New Roman" w:cs="Times New Roman"/>
          <w:sz w:val="24"/>
          <w:szCs w:val="24"/>
        </w:rPr>
        <w:tab/>
      </w:r>
      <w:r w:rsidR="00466575" w:rsidRPr="00DA07E4">
        <w:rPr>
          <w:rFonts w:ascii="Times New Roman" w:hAnsi="Times New Roman" w:cs="Times New Roman"/>
          <w:sz w:val="24"/>
          <w:szCs w:val="24"/>
        </w:rPr>
        <w:t>1</w:t>
      </w:r>
      <w:r w:rsidR="004B5F23">
        <w:rPr>
          <w:rFonts w:ascii="Times New Roman" w:hAnsi="Times New Roman" w:cs="Times New Roman"/>
          <w:sz w:val="24"/>
          <w:szCs w:val="24"/>
        </w:rPr>
        <w:t>3</w:t>
      </w:r>
    </w:p>
    <w:p w14:paraId="389558DF" w14:textId="694A897E" w:rsidR="00944BB7" w:rsidRPr="00DA07E4" w:rsidRDefault="00AC44AA" w:rsidP="003B4C1C">
      <w:pPr>
        <w:spacing w:after="0" w:line="360" w:lineRule="auto"/>
        <w:ind w:left="709" w:hanging="709"/>
        <w:jc w:val="both"/>
        <w:rPr>
          <w:rFonts w:ascii="Times New Roman" w:hAnsi="Times New Roman" w:cs="Times New Roman"/>
          <w:sz w:val="24"/>
          <w:szCs w:val="24"/>
        </w:rPr>
      </w:pPr>
      <w:r w:rsidRPr="00DA07E4">
        <w:rPr>
          <w:rFonts w:ascii="Times New Roman" w:hAnsi="Times New Roman" w:cs="Times New Roman"/>
          <w:b/>
          <w:sz w:val="24"/>
          <w:szCs w:val="24"/>
        </w:rPr>
        <w:t>Obr. 2</w:t>
      </w:r>
      <w:r w:rsidR="00466575"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 xml:space="preserve">Kalciumoxalátmonohydrá subtyp Ia (podľa: </w:t>
      </w:r>
      <w:r w:rsidR="00944BB7" w:rsidRPr="00DA07E4">
        <w:rPr>
          <w:rFonts w:ascii="Times New Roman" w:hAnsi="Times New Roman" w:cs="Times New Roman"/>
          <w:sz w:val="24"/>
          <w:szCs w:val="24"/>
          <w:shd w:val="clear" w:color="auto" w:fill="FFFFFF"/>
        </w:rPr>
        <w:t>Cloutier et al.</w:t>
      </w:r>
      <w:r w:rsidR="00944BB7" w:rsidRPr="00DA07E4">
        <w:rPr>
          <w:rFonts w:ascii="Times New Roman" w:hAnsi="Times New Roman" w:cs="Times New Roman"/>
          <w:sz w:val="24"/>
          <w:szCs w:val="24"/>
        </w:rPr>
        <w:t>, 2015)</w:t>
      </w:r>
      <w:r w:rsidR="00944BB7" w:rsidRPr="00DA07E4">
        <w:rPr>
          <w:rFonts w:ascii="Times New Roman" w:hAnsi="Times New Roman" w:cs="Times New Roman"/>
          <w:sz w:val="24"/>
          <w:szCs w:val="24"/>
        </w:rPr>
        <w:tab/>
      </w:r>
      <w:r w:rsidR="00944BB7" w:rsidRPr="00DA07E4">
        <w:rPr>
          <w:rFonts w:ascii="Times New Roman" w:hAnsi="Times New Roman" w:cs="Times New Roman"/>
          <w:sz w:val="24"/>
          <w:szCs w:val="24"/>
        </w:rPr>
        <w:tab/>
      </w:r>
      <w:r w:rsidR="004B5F23">
        <w:rPr>
          <w:rFonts w:ascii="Times New Roman" w:hAnsi="Times New Roman" w:cs="Times New Roman"/>
          <w:sz w:val="24"/>
          <w:szCs w:val="24"/>
        </w:rPr>
        <w:t>20</w:t>
      </w:r>
      <w:r w:rsidR="00944BB7" w:rsidRPr="00DA07E4">
        <w:rPr>
          <w:rFonts w:ascii="Times New Roman" w:hAnsi="Times New Roman" w:cs="Times New Roman"/>
          <w:sz w:val="24"/>
          <w:szCs w:val="24"/>
        </w:rPr>
        <w:t xml:space="preserve"> </w:t>
      </w:r>
    </w:p>
    <w:p w14:paraId="766BDF0B" w14:textId="163A371D" w:rsidR="00AC44AA" w:rsidRPr="00DA07E4" w:rsidRDefault="00AC44AA" w:rsidP="003B4C1C">
      <w:pPr>
        <w:spacing w:after="0" w:line="360" w:lineRule="auto"/>
        <w:ind w:left="709" w:hanging="709"/>
        <w:jc w:val="both"/>
        <w:rPr>
          <w:rFonts w:ascii="Times New Roman" w:hAnsi="Times New Roman" w:cs="Times New Roman"/>
          <w:b/>
          <w:sz w:val="24"/>
          <w:szCs w:val="24"/>
        </w:rPr>
      </w:pPr>
      <w:r w:rsidRPr="00DA07E4">
        <w:rPr>
          <w:rFonts w:ascii="Times New Roman" w:hAnsi="Times New Roman" w:cs="Times New Roman"/>
          <w:b/>
          <w:sz w:val="24"/>
          <w:szCs w:val="24"/>
        </w:rPr>
        <w:t>Obr. 3</w:t>
      </w:r>
      <w:r w:rsidR="00944BB7"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 xml:space="preserve">Kalciumoxalátmonohydrát </w:t>
      </w:r>
      <w:r w:rsidR="00944BB7" w:rsidRPr="00DA07E4">
        <w:rPr>
          <w:rFonts w:ascii="Times New Roman" w:hAnsi="Times New Roman" w:cs="Times New Roman"/>
          <w:bCs/>
          <w:sz w:val="24"/>
          <w:szCs w:val="24"/>
        </w:rPr>
        <w:t xml:space="preserve">subtyp Ib (podľa: </w:t>
      </w:r>
      <w:r w:rsidR="00944BB7" w:rsidRPr="00DA07E4">
        <w:rPr>
          <w:rFonts w:ascii="Times New Roman" w:hAnsi="Times New Roman" w:cs="Times New Roman"/>
          <w:bCs/>
          <w:sz w:val="24"/>
          <w:szCs w:val="24"/>
          <w:shd w:val="clear" w:color="auto" w:fill="FFFFFF"/>
        </w:rPr>
        <w:t>Cloutier et al.</w:t>
      </w:r>
      <w:r w:rsidR="00944BB7" w:rsidRPr="00DA07E4">
        <w:rPr>
          <w:rFonts w:ascii="Times New Roman" w:hAnsi="Times New Roman" w:cs="Times New Roman"/>
          <w:bCs/>
          <w:sz w:val="24"/>
          <w:szCs w:val="24"/>
        </w:rPr>
        <w:t>, 2015)</w:t>
      </w:r>
      <w:r w:rsidR="00944BB7" w:rsidRPr="00DA07E4">
        <w:rPr>
          <w:rFonts w:ascii="Times New Roman" w:hAnsi="Times New Roman" w:cs="Times New Roman"/>
          <w:bCs/>
          <w:sz w:val="24"/>
          <w:szCs w:val="24"/>
        </w:rPr>
        <w:tab/>
        <w:t>2</w:t>
      </w:r>
      <w:r w:rsidR="004B5F23">
        <w:rPr>
          <w:rFonts w:ascii="Times New Roman" w:hAnsi="Times New Roman" w:cs="Times New Roman"/>
          <w:bCs/>
          <w:sz w:val="24"/>
          <w:szCs w:val="24"/>
        </w:rPr>
        <w:t>1</w:t>
      </w:r>
    </w:p>
    <w:p w14:paraId="23588ED3" w14:textId="6EEF546A" w:rsidR="00AC44AA" w:rsidRPr="00DA07E4" w:rsidRDefault="00AC44AA" w:rsidP="003B4C1C">
      <w:pPr>
        <w:spacing w:after="0" w:line="360" w:lineRule="auto"/>
        <w:ind w:left="709" w:hanging="709"/>
        <w:jc w:val="both"/>
        <w:rPr>
          <w:rFonts w:ascii="Times New Roman" w:hAnsi="Times New Roman" w:cs="Times New Roman"/>
          <w:b/>
          <w:sz w:val="24"/>
          <w:szCs w:val="24"/>
        </w:rPr>
      </w:pPr>
      <w:r w:rsidRPr="00DA07E4">
        <w:rPr>
          <w:rFonts w:ascii="Times New Roman" w:hAnsi="Times New Roman" w:cs="Times New Roman"/>
          <w:b/>
          <w:sz w:val="24"/>
          <w:szCs w:val="24"/>
        </w:rPr>
        <w:t>Obr. 4</w:t>
      </w:r>
      <w:r w:rsidR="00944BB7"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Kalciumoxalátmonohydrát</w:t>
      </w:r>
      <w:r w:rsidR="00944BB7" w:rsidRPr="00DA07E4">
        <w:rPr>
          <w:rFonts w:ascii="Times New Roman" w:hAnsi="Times New Roman" w:cs="Times New Roman"/>
          <w:bCs/>
          <w:sz w:val="24"/>
          <w:szCs w:val="24"/>
        </w:rPr>
        <w:t xml:space="preserve"> subtyp Ic </w:t>
      </w:r>
      <w:r w:rsidR="00944BB7" w:rsidRPr="00DA07E4">
        <w:rPr>
          <w:rFonts w:ascii="Times New Roman" w:hAnsi="Times New Roman" w:cs="Times New Roman"/>
          <w:sz w:val="24"/>
          <w:szCs w:val="24"/>
        </w:rPr>
        <w:t xml:space="preserve">(podľa: </w:t>
      </w:r>
      <w:r w:rsidR="00944BB7" w:rsidRPr="00DA07E4">
        <w:rPr>
          <w:rFonts w:ascii="Times New Roman" w:hAnsi="Times New Roman" w:cs="Times New Roman"/>
          <w:sz w:val="24"/>
          <w:szCs w:val="24"/>
          <w:shd w:val="clear" w:color="auto" w:fill="FFFFFF"/>
        </w:rPr>
        <w:t>Cloutier et al.</w:t>
      </w:r>
      <w:r w:rsidR="00944BB7" w:rsidRPr="00DA07E4">
        <w:rPr>
          <w:rFonts w:ascii="Times New Roman" w:hAnsi="Times New Roman" w:cs="Times New Roman"/>
          <w:sz w:val="24"/>
          <w:szCs w:val="24"/>
        </w:rPr>
        <w:t>, 2015)</w:t>
      </w:r>
      <w:r w:rsidR="00944BB7" w:rsidRPr="00DA07E4">
        <w:rPr>
          <w:rFonts w:ascii="Times New Roman" w:hAnsi="Times New Roman" w:cs="Times New Roman"/>
          <w:sz w:val="24"/>
          <w:szCs w:val="24"/>
        </w:rPr>
        <w:tab/>
      </w:r>
      <w:r w:rsidR="00944BB7" w:rsidRPr="00DA07E4">
        <w:rPr>
          <w:rFonts w:ascii="Times New Roman" w:hAnsi="Times New Roman" w:cs="Times New Roman"/>
          <w:sz w:val="24"/>
          <w:szCs w:val="24"/>
        </w:rPr>
        <w:tab/>
        <w:t>2</w:t>
      </w:r>
      <w:r w:rsidR="004B5F23">
        <w:rPr>
          <w:rFonts w:ascii="Times New Roman" w:hAnsi="Times New Roman" w:cs="Times New Roman"/>
          <w:sz w:val="24"/>
          <w:szCs w:val="24"/>
        </w:rPr>
        <w:t>2</w:t>
      </w:r>
    </w:p>
    <w:p w14:paraId="176C08CD" w14:textId="616823AF" w:rsidR="00AC44AA" w:rsidRPr="00DA07E4" w:rsidRDefault="00AC44AA" w:rsidP="003B4C1C">
      <w:pPr>
        <w:spacing w:after="0" w:line="360" w:lineRule="auto"/>
        <w:ind w:left="709" w:hanging="709"/>
        <w:jc w:val="both"/>
        <w:rPr>
          <w:rFonts w:ascii="Times New Roman" w:hAnsi="Times New Roman" w:cs="Times New Roman"/>
          <w:b/>
          <w:sz w:val="24"/>
          <w:szCs w:val="24"/>
        </w:rPr>
      </w:pPr>
      <w:r w:rsidRPr="00DA07E4">
        <w:rPr>
          <w:rFonts w:ascii="Times New Roman" w:hAnsi="Times New Roman" w:cs="Times New Roman"/>
          <w:b/>
          <w:sz w:val="24"/>
          <w:szCs w:val="24"/>
        </w:rPr>
        <w:t>Obr. 5</w:t>
      </w:r>
      <w:r w:rsidR="00944BB7"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 xml:space="preserve">Kalciumoxalátmonohydrát </w:t>
      </w:r>
      <w:r w:rsidR="00944BB7" w:rsidRPr="00DA07E4">
        <w:rPr>
          <w:rFonts w:ascii="Times New Roman" w:hAnsi="Times New Roman" w:cs="Times New Roman"/>
          <w:bCs/>
          <w:sz w:val="24"/>
          <w:szCs w:val="24"/>
        </w:rPr>
        <w:t xml:space="preserve">subtyp Ie (podľa: </w:t>
      </w:r>
      <w:r w:rsidR="00944BB7" w:rsidRPr="00DA07E4">
        <w:rPr>
          <w:rFonts w:ascii="Times New Roman" w:hAnsi="Times New Roman" w:cs="Times New Roman"/>
          <w:bCs/>
          <w:sz w:val="24"/>
          <w:szCs w:val="24"/>
          <w:shd w:val="clear" w:color="auto" w:fill="FFFFFF"/>
        </w:rPr>
        <w:t>Cloutier et al.</w:t>
      </w:r>
      <w:r w:rsidR="00944BB7" w:rsidRPr="00DA07E4">
        <w:rPr>
          <w:rFonts w:ascii="Times New Roman" w:hAnsi="Times New Roman" w:cs="Times New Roman"/>
          <w:bCs/>
          <w:sz w:val="24"/>
          <w:szCs w:val="24"/>
        </w:rPr>
        <w:t>, 2015)</w:t>
      </w:r>
      <w:r w:rsidR="00944BB7" w:rsidRPr="00DA07E4">
        <w:rPr>
          <w:rFonts w:ascii="Times New Roman" w:hAnsi="Times New Roman" w:cs="Times New Roman"/>
          <w:bCs/>
          <w:sz w:val="24"/>
          <w:szCs w:val="24"/>
        </w:rPr>
        <w:tab/>
      </w:r>
      <w:r w:rsidR="00944BB7" w:rsidRPr="00DA07E4">
        <w:rPr>
          <w:rFonts w:ascii="Times New Roman" w:hAnsi="Times New Roman" w:cs="Times New Roman"/>
          <w:bCs/>
          <w:sz w:val="24"/>
          <w:szCs w:val="24"/>
        </w:rPr>
        <w:tab/>
        <w:t>2</w:t>
      </w:r>
      <w:r w:rsidR="00153945">
        <w:rPr>
          <w:rFonts w:ascii="Times New Roman" w:hAnsi="Times New Roman" w:cs="Times New Roman"/>
          <w:bCs/>
          <w:sz w:val="24"/>
          <w:szCs w:val="24"/>
        </w:rPr>
        <w:t>3</w:t>
      </w:r>
    </w:p>
    <w:p w14:paraId="269A5347" w14:textId="294787EA" w:rsidR="00AC44AA" w:rsidRPr="00DA07E4" w:rsidRDefault="00AC44AA" w:rsidP="003B4C1C">
      <w:pPr>
        <w:spacing w:after="0" w:line="360" w:lineRule="auto"/>
        <w:ind w:left="709" w:hanging="709"/>
        <w:jc w:val="both"/>
        <w:rPr>
          <w:rFonts w:ascii="Times New Roman" w:hAnsi="Times New Roman" w:cs="Times New Roman"/>
          <w:b/>
          <w:sz w:val="24"/>
          <w:szCs w:val="24"/>
        </w:rPr>
      </w:pPr>
      <w:r w:rsidRPr="00DA07E4">
        <w:rPr>
          <w:rFonts w:ascii="Times New Roman" w:hAnsi="Times New Roman" w:cs="Times New Roman"/>
          <w:b/>
          <w:sz w:val="24"/>
          <w:szCs w:val="24"/>
        </w:rPr>
        <w:t>Obr. 6</w:t>
      </w:r>
      <w:r w:rsidR="00944BB7"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 xml:space="preserve">Kalciumoxalátdihydrát konkrement subtyp IIa (podľa: </w:t>
      </w:r>
      <w:r w:rsidR="00944BB7" w:rsidRPr="00DA07E4">
        <w:rPr>
          <w:rFonts w:ascii="Times New Roman" w:hAnsi="Times New Roman" w:cs="Times New Roman"/>
          <w:sz w:val="24"/>
          <w:szCs w:val="24"/>
          <w:shd w:val="clear" w:color="auto" w:fill="FFFFFF"/>
        </w:rPr>
        <w:t>Cloutier et al.</w:t>
      </w:r>
      <w:r w:rsidR="00944BB7" w:rsidRPr="00DA07E4">
        <w:rPr>
          <w:rFonts w:ascii="Times New Roman" w:hAnsi="Times New Roman" w:cs="Times New Roman"/>
          <w:sz w:val="24"/>
          <w:szCs w:val="24"/>
        </w:rPr>
        <w:t>, 2015)</w:t>
      </w:r>
      <w:r w:rsidR="00944BB7"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28636C" w:rsidRPr="00DA07E4">
        <w:rPr>
          <w:rFonts w:ascii="Times New Roman" w:hAnsi="Times New Roman" w:cs="Times New Roman"/>
          <w:sz w:val="24"/>
          <w:szCs w:val="24"/>
        </w:rPr>
        <w:tab/>
      </w:r>
      <w:r w:rsidR="00944BB7" w:rsidRPr="00DA07E4">
        <w:rPr>
          <w:rFonts w:ascii="Times New Roman" w:hAnsi="Times New Roman" w:cs="Times New Roman"/>
          <w:sz w:val="24"/>
          <w:szCs w:val="24"/>
        </w:rPr>
        <w:t>2</w:t>
      </w:r>
      <w:r w:rsidR="004B5F23">
        <w:rPr>
          <w:rFonts w:ascii="Times New Roman" w:hAnsi="Times New Roman" w:cs="Times New Roman"/>
          <w:sz w:val="24"/>
          <w:szCs w:val="24"/>
        </w:rPr>
        <w:t>4</w:t>
      </w:r>
    </w:p>
    <w:p w14:paraId="0979841E" w14:textId="054883FF" w:rsidR="00AC44AA" w:rsidRPr="00DA07E4" w:rsidRDefault="00AC44AA" w:rsidP="003B4C1C">
      <w:pPr>
        <w:spacing w:after="0" w:line="360" w:lineRule="auto"/>
        <w:ind w:left="709" w:hanging="709"/>
        <w:jc w:val="both"/>
        <w:rPr>
          <w:rFonts w:ascii="Times New Roman" w:hAnsi="Times New Roman" w:cs="Times New Roman"/>
          <w:b/>
          <w:sz w:val="24"/>
          <w:szCs w:val="24"/>
        </w:rPr>
      </w:pPr>
      <w:r w:rsidRPr="00DA07E4">
        <w:rPr>
          <w:rFonts w:ascii="Times New Roman" w:hAnsi="Times New Roman" w:cs="Times New Roman"/>
          <w:b/>
          <w:sz w:val="24"/>
          <w:szCs w:val="24"/>
        </w:rPr>
        <w:t>Obr. 7</w:t>
      </w:r>
      <w:r w:rsidR="00944BB7" w:rsidRPr="00DA07E4">
        <w:rPr>
          <w:rFonts w:ascii="Times New Roman" w:hAnsi="Times New Roman" w:cs="Times New Roman"/>
          <w:b/>
          <w:sz w:val="24"/>
          <w:szCs w:val="24"/>
        </w:rPr>
        <w:t xml:space="preserve"> </w:t>
      </w:r>
      <w:r w:rsidR="00944BB7" w:rsidRPr="00DA07E4">
        <w:rPr>
          <w:rFonts w:ascii="Times New Roman" w:hAnsi="Times New Roman" w:cs="Times New Roman"/>
          <w:sz w:val="24"/>
          <w:szCs w:val="24"/>
        </w:rPr>
        <w:t xml:space="preserve">Konkrement z kyseliny močovej subtp IIIa (podľa: </w:t>
      </w:r>
      <w:r w:rsidR="00944BB7" w:rsidRPr="00DA07E4">
        <w:rPr>
          <w:rFonts w:ascii="Times New Roman" w:hAnsi="Times New Roman" w:cs="Times New Roman"/>
          <w:sz w:val="24"/>
          <w:szCs w:val="24"/>
          <w:shd w:val="clear" w:color="auto" w:fill="FFFFFF"/>
        </w:rPr>
        <w:t>Cloutier et al.</w:t>
      </w:r>
      <w:r w:rsidR="00944BB7" w:rsidRPr="00DA07E4">
        <w:rPr>
          <w:rFonts w:ascii="Times New Roman" w:hAnsi="Times New Roman" w:cs="Times New Roman"/>
          <w:sz w:val="24"/>
          <w:szCs w:val="24"/>
        </w:rPr>
        <w:t>, 2015)</w:t>
      </w:r>
      <w:r w:rsidR="00944BB7" w:rsidRPr="00DA07E4">
        <w:rPr>
          <w:rFonts w:ascii="Times New Roman" w:hAnsi="Times New Roman" w:cs="Times New Roman"/>
          <w:sz w:val="24"/>
          <w:szCs w:val="24"/>
        </w:rPr>
        <w:tab/>
        <w:t>2</w:t>
      </w:r>
      <w:r w:rsidR="004B5F23">
        <w:rPr>
          <w:rFonts w:ascii="Times New Roman" w:hAnsi="Times New Roman" w:cs="Times New Roman"/>
          <w:sz w:val="24"/>
          <w:szCs w:val="24"/>
        </w:rPr>
        <w:t>6</w:t>
      </w:r>
    </w:p>
    <w:p w14:paraId="15CE24A7" w14:textId="1CD2ADD2" w:rsidR="00AC44AA" w:rsidRDefault="00AC44AA" w:rsidP="003B4C1C">
      <w:pPr>
        <w:spacing w:after="0" w:line="360" w:lineRule="auto"/>
        <w:ind w:left="709" w:hanging="709"/>
        <w:jc w:val="both"/>
        <w:rPr>
          <w:rFonts w:ascii="Times New Roman" w:hAnsi="Times New Roman" w:cs="Times New Roman"/>
          <w:sz w:val="24"/>
          <w:szCs w:val="24"/>
        </w:rPr>
      </w:pPr>
      <w:r w:rsidRPr="00DA07E4">
        <w:rPr>
          <w:rFonts w:ascii="Times New Roman" w:hAnsi="Times New Roman" w:cs="Times New Roman"/>
          <w:b/>
          <w:sz w:val="24"/>
          <w:szCs w:val="24"/>
        </w:rPr>
        <w:t>Obr. 8</w:t>
      </w:r>
      <w:r w:rsidR="0028636C" w:rsidRPr="00DA07E4">
        <w:rPr>
          <w:rFonts w:ascii="Times New Roman" w:hAnsi="Times New Roman" w:cs="Times New Roman"/>
          <w:b/>
          <w:sz w:val="24"/>
          <w:szCs w:val="24"/>
        </w:rPr>
        <w:t xml:space="preserve"> </w:t>
      </w:r>
      <w:r w:rsidR="0028636C" w:rsidRPr="00DA07E4">
        <w:rPr>
          <w:rFonts w:ascii="Times New Roman" w:hAnsi="Times New Roman" w:cs="Times New Roman"/>
          <w:bCs/>
          <w:sz w:val="24"/>
          <w:szCs w:val="24"/>
        </w:rPr>
        <w:t>Konkrement z kyseliny močovej subtyp IIIb</w:t>
      </w:r>
      <w:r w:rsidR="0028636C" w:rsidRPr="00DA07E4">
        <w:rPr>
          <w:rFonts w:ascii="Times New Roman" w:hAnsi="Times New Roman" w:cs="Times New Roman"/>
          <w:sz w:val="24"/>
          <w:szCs w:val="24"/>
        </w:rPr>
        <w:t xml:space="preserve"> (podľa: </w:t>
      </w:r>
      <w:r w:rsidR="0028636C" w:rsidRPr="00DA07E4">
        <w:rPr>
          <w:rFonts w:ascii="Times New Roman" w:hAnsi="Times New Roman" w:cs="Times New Roman"/>
          <w:sz w:val="24"/>
          <w:szCs w:val="24"/>
          <w:shd w:val="clear" w:color="auto" w:fill="FFFFFF"/>
        </w:rPr>
        <w:t>Cloutier et al.</w:t>
      </w:r>
      <w:r w:rsidR="0028636C" w:rsidRPr="00DA07E4">
        <w:rPr>
          <w:rFonts w:ascii="Times New Roman" w:hAnsi="Times New Roman" w:cs="Times New Roman"/>
          <w:sz w:val="24"/>
          <w:szCs w:val="24"/>
        </w:rPr>
        <w:t>, 2015)</w:t>
      </w:r>
      <w:r w:rsidR="006F01A5">
        <w:rPr>
          <w:rFonts w:ascii="Times New Roman" w:hAnsi="Times New Roman" w:cs="Times New Roman"/>
          <w:sz w:val="24"/>
          <w:szCs w:val="24"/>
        </w:rPr>
        <w:t xml:space="preserve"> </w:t>
      </w:r>
      <w:r w:rsidR="0028636C" w:rsidRPr="00DA07E4">
        <w:rPr>
          <w:rFonts w:ascii="Times New Roman" w:hAnsi="Times New Roman" w:cs="Times New Roman"/>
          <w:sz w:val="24"/>
          <w:szCs w:val="24"/>
        </w:rPr>
        <w:t>2</w:t>
      </w:r>
      <w:r w:rsidR="004B5F23">
        <w:rPr>
          <w:rFonts w:ascii="Times New Roman" w:hAnsi="Times New Roman" w:cs="Times New Roman"/>
          <w:sz w:val="24"/>
          <w:szCs w:val="24"/>
        </w:rPr>
        <w:t>7</w:t>
      </w:r>
    </w:p>
    <w:p w14:paraId="0D73124F" w14:textId="42B6052D" w:rsidR="00D135D4" w:rsidRPr="00D135D4" w:rsidRDefault="00D135D4" w:rsidP="003B4C1C">
      <w:pPr>
        <w:spacing w:after="0"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t>Obr. 9</w:t>
      </w:r>
      <w:r>
        <w:rPr>
          <w:rFonts w:ascii="Times New Roman" w:hAnsi="Times New Roman" w:cs="Times New Roman"/>
          <w:sz w:val="24"/>
          <w:szCs w:val="24"/>
        </w:rPr>
        <w:t xml:space="preserve"> Schém</w:t>
      </w:r>
      <w:r w:rsidR="003B4C1C">
        <w:rPr>
          <w:rFonts w:ascii="Times New Roman" w:hAnsi="Times New Roman" w:cs="Times New Roman"/>
          <w:sz w:val="24"/>
          <w:szCs w:val="24"/>
        </w:rPr>
        <w:t>a prekladu dotazníka</w:t>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4B5F23">
        <w:rPr>
          <w:rFonts w:ascii="Times New Roman" w:hAnsi="Times New Roman" w:cs="Times New Roman"/>
          <w:sz w:val="24"/>
          <w:szCs w:val="24"/>
        </w:rPr>
        <w:t>46</w:t>
      </w:r>
      <w:r w:rsidR="003B4C1C">
        <w:rPr>
          <w:rFonts w:ascii="Times New Roman" w:hAnsi="Times New Roman" w:cs="Times New Roman"/>
          <w:sz w:val="24"/>
          <w:szCs w:val="24"/>
        </w:rPr>
        <w:tab/>
      </w:r>
    </w:p>
    <w:p w14:paraId="5BA370C3" w14:textId="22561F3E" w:rsidR="00D135D4" w:rsidRDefault="00D135D4" w:rsidP="003B4C1C">
      <w:pPr>
        <w:spacing w:after="0"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t xml:space="preserve">Obr. 10 </w:t>
      </w:r>
      <w:r w:rsidR="003B4C1C">
        <w:rPr>
          <w:rFonts w:ascii="Times New Roman" w:hAnsi="Times New Roman" w:cs="Times New Roman"/>
          <w:sz w:val="24"/>
          <w:szCs w:val="24"/>
        </w:rPr>
        <w:t>Diagram zaraďovania účastníkov klinickej štúdie</w:t>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3B4C1C">
        <w:rPr>
          <w:rFonts w:ascii="Times New Roman" w:hAnsi="Times New Roman" w:cs="Times New Roman"/>
          <w:sz w:val="24"/>
          <w:szCs w:val="24"/>
        </w:rPr>
        <w:tab/>
      </w:r>
      <w:r w:rsidR="004B5F23">
        <w:rPr>
          <w:rFonts w:ascii="Times New Roman" w:hAnsi="Times New Roman" w:cs="Times New Roman"/>
          <w:sz w:val="24"/>
          <w:szCs w:val="24"/>
        </w:rPr>
        <w:t>47</w:t>
      </w:r>
      <w:r w:rsidR="003B4C1C">
        <w:rPr>
          <w:rFonts w:ascii="Times New Roman" w:hAnsi="Times New Roman" w:cs="Times New Roman"/>
          <w:sz w:val="24"/>
          <w:szCs w:val="24"/>
        </w:rPr>
        <w:t xml:space="preserve"> </w:t>
      </w:r>
    </w:p>
    <w:p w14:paraId="4BC50388" w14:textId="77777777" w:rsidR="003B4C1C" w:rsidRPr="00DA07E4" w:rsidRDefault="003B4C1C" w:rsidP="003B4C1C">
      <w:pPr>
        <w:spacing w:after="0" w:line="360" w:lineRule="auto"/>
        <w:ind w:left="709" w:hanging="709"/>
        <w:jc w:val="both"/>
        <w:rPr>
          <w:rFonts w:ascii="Times New Roman" w:hAnsi="Times New Roman" w:cs="Times New Roman"/>
          <w:b/>
          <w:sz w:val="24"/>
          <w:szCs w:val="24"/>
        </w:rPr>
      </w:pPr>
    </w:p>
    <w:p w14:paraId="2060E586" w14:textId="71D70537" w:rsidR="00AC44AA" w:rsidRPr="00DA07E4" w:rsidRDefault="00AC44AA" w:rsidP="003B4C1C">
      <w:pPr>
        <w:spacing w:after="0" w:line="360" w:lineRule="auto"/>
        <w:jc w:val="both"/>
        <w:rPr>
          <w:rFonts w:ascii="Times New Roman" w:hAnsi="Times New Roman" w:cs="Times New Roman"/>
          <w:b/>
          <w:sz w:val="24"/>
          <w:szCs w:val="24"/>
        </w:rPr>
      </w:pPr>
    </w:p>
    <w:p w14:paraId="61A42149" w14:textId="55C1364F" w:rsidR="00E43A8D" w:rsidRDefault="00D135D4" w:rsidP="003B4C1C">
      <w:pPr>
        <w:spacing w:after="0" w:line="360" w:lineRule="auto"/>
        <w:ind w:left="709" w:hanging="709"/>
        <w:jc w:val="both"/>
        <w:rPr>
          <w:rFonts w:ascii="Times New Roman" w:hAnsi="Times New Roman" w:cs="Times New Roman"/>
          <w:sz w:val="24"/>
          <w:szCs w:val="24"/>
        </w:rPr>
      </w:pPr>
      <w:bookmarkStart w:id="35" w:name="_Hlk68546868"/>
      <w:r w:rsidRPr="00DA07E4">
        <w:rPr>
          <w:rFonts w:ascii="Times New Roman" w:hAnsi="Times New Roman" w:cs="Times New Roman"/>
          <w:b/>
          <w:sz w:val="24"/>
          <w:szCs w:val="24"/>
        </w:rPr>
        <w:t>Tab</w:t>
      </w:r>
      <w:r w:rsidR="00E43A8D">
        <w:rPr>
          <w:rFonts w:ascii="Times New Roman" w:hAnsi="Times New Roman" w:cs="Times New Roman"/>
          <w:b/>
          <w:sz w:val="24"/>
          <w:szCs w:val="24"/>
        </w:rPr>
        <w:t>.</w:t>
      </w:r>
      <w:r w:rsidRPr="00DA07E4">
        <w:rPr>
          <w:rFonts w:ascii="Times New Roman" w:hAnsi="Times New Roman" w:cs="Times New Roman"/>
          <w:b/>
          <w:sz w:val="24"/>
          <w:szCs w:val="24"/>
        </w:rPr>
        <w:t xml:space="preserve"> 1 </w:t>
      </w:r>
      <w:r w:rsidRPr="00DA07E4">
        <w:rPr>
          <w:rFonts w:ascii="Times New Roman" w:hAnsi="Times New Roman" w:cs="Times New Roman"/>
          <w:sz w:val="24"/>
          <w:szCs w:val="24"/>
        </w:rPr>
        <w:t xml:space="preserve">Rozdelenie potravín do 4 skupín podľa obsahu oxalátov (podľa: D´Alessandro </w:t>
      </w:r>
    </w:p>
    <w:p w14:paraId="166BB077" w14:textId="1B1722F0" w:rsidR="00D135D4" w:rsidRPr="00DA07E4" w:rsidRDefault="00D135D4" w:rsidP="00E43A8D">
      <w:pPr>
        <w:spacing w:after="0" w:line="360" w:lineRule="auto"/>
        <w:ind w:left="709" w:hanging="142"/>
        <w:jc w:val="both"/>
        <w:rPr>
          <w:rFonts w:ascii="Times New Roman" w:hAnsi="Times New Roman" w:cs="Times New Roman"/>
          <w:b/>
          <w:sz w:val="24"/>
          <w:szCs w:val="24"/>
        </w:rPr>
      </w:pPr>
      <w:r w:rsidRPr="00DA07E4">
        <w:rPr>
          <w:rFonts w:ascii="Times New Roman" w:hAnsi="Times New Roman" w:cs="Times New Roman"/>
          <w:sz w:val="24"/>
          <w:szCs w:val="24"/>
        </w:rPr>
        <w:t>et al., 2019)</w:t>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t>1</w:t>
      </w:r>
      <w:r w:rsidR="004B5F23">
        <w:rPr>
          <w:rFonts w:ascii="Times New Roman" w:hAnsi="Times New Roman" w:cs="Times New Roman"/>
          <w:sz w:val="24"/>
          <w:szCs w:val="24"/>
        </w:rPr>
        <w:t>4</w:t>
      </w:r>
    </w:p>
    <w:p w14:paraId="3C5D8106" w14:textId="27363222" w:rsidR="00D135D4" w:rsidRPr="00DA07E4" w:rsidRDefault="00D135D4" w:rsidP="003B4C1C">
      <w:pPr>
        <w:spacing w:after="0" w:line="360" w:lineRule="auto"/>
        <w:ind w:left="567" w:hanging="567"/>
        <w:jc w:val="both"/>
        <w:rPr>
          <w:rFonts w:ascii="Times New Roman" w:hAnsi="Times New Roman" w:cs="Times New Roman"/>
          <w:b/>
          <w:sz w:val="24"/>
          <w:szCs w:val="24"/>
        </w:rPr>
      </w:pPr>
      <w:r w:rsidRPr="00DA07E4">
        <w:rPr>
          <w:rFonts w:ascii="Times New Roman" w:hAnsi="Times New Roman" w:cs="Times New Roman"/>
          <w:b/>
          <w:sz w:val="24"/>
          <w:szCs w:val="24"/>
        </w:rPr>
        <w:t xml:space="preserve">Tab. 2 </w:t>
      </w:r>
      <w:r w:rsidRPr="00DA07E4">
        <w:rPr>
          <w:rFonts w:ascii="Times New Roman" w:hAnsi="Times New Roman" w:cs="Times New Roman"/>
          <w:bCs/>
          <w:sz w:val="24"/>
          <w:szCs w:val="24"/>
        </w:rPr>
        <w:t>Rozdelenie potravín</w:t>
      </w:r>
      <w:r w:rsidRPr="00DA07E4">
        <w:rPr>
          <w:rFonts w:ascii="Times New Roman" w:hAnsi="Times New Roman" w:cs="Times New Roman"/>
          <w:sz w:val="24"/>
          <w:szCs w:val="24"/>
        </w:rPr>
        <w:t xml:space="preserve"> do troch skupín podľa obsahu purínov na 100 g jedlej časti (podľa: D´Alessandro et al., 2019)</w:t>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t>1</w:t>
      </w:r>
      <w:r w:rsidR="004B5F23">
        <w:rPr>
          <w:rFonts w:ascii="Times New Roman" w:hAnsi="Times New Roman" w:cs="Times New Roman"/>
          <w:sz w:val="24"/>
          <w:szCs w:val="24"/>
        </w:rPr>
        <w:t>5</w:t>
      </w:r>
    </w:p>
    <w:p w14:paraId="2E287E1C" w14:textId="77777777" w:rsidR="00E43A8D" w:rsidRDefault="00D135D4" w:rsidP="003B4C1C">
      <w:pPr>
        <w:tabs>
          <w:tab w:val="left" w:pos="709"/>
        </w:tabs>
        <w:spacing w:after="0" w:line="360" w:lineRule="auto"/>
        <w:ind w:left="567" w:hanging="567"/>
        <w:jc w:val="both"/>
        <w:rPr>
          <w:rFonts w:ascii="Times New Roman" w:eastAsia="Times New Roman" w:hAnsi="Times New Roman" w:cs="Times New Roman"/>
          <w:sz w:val="24"/>
          <w:szCs w:val="24"/>
          <w:lang w:eastAsia="sk-SK"/>
        </w:rPr>
      </w:pPr>
      <w:r w:rsidRPr="00DA07E4">
        <w:rPr>
          <w:rFonts w:ascii="Times New Roman" w:hAnsi="Times New Roman" w:cs="Times New Roman"/>
          <w:b/>
          <w:sz w:val="24"/>
          <w:szCs w:val="24"/>
        </w:rPr>
        <w:t xml:space="preserve">Tab. 3 </w:t>
      </w:r>
      <w:r w:rsidRPr="00DA07E4">
        <w:rPr>
          <w:rFonts w:ascii="Times New Roman" w:eastAsia="Times New Roman" w:hAnsi="Times New Roman" w:cs="Times New Roman"/>
          <w:sz w:val="24"/>
          <w:szCs w:val="24"/>
          <w:lang w:eastAsia="sk-SK"/>
        </w:rPr>
        <w:t xml:space="preserve">Prehľad študovaných prvkov diéty a súčasný vedecký pohľad na ich vplyv </w:t>
      </w:r>
    </w:p>
    <w:p w14:paraId="6A2B9B11" w14:textId="627AC652" w:rsidR="00D135D4" w:rsidRPr="00DA07E4" w:rsidRDefault="00E43A8D" w:rsidP="003B4C1C">
      <w:pPr>
        <w:tabs>
          <w:tab w:val="left" w:pos="709"/>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b/>
      </w:r>
      <w:r w:rsidR="00D135D4" w:rsidRPr="00DA07E4">
        <w:rPr>
          <w:rFonts w:ascii="Times New Roman" w:eastAsia="Times New Roman" w:hAnsi="Times New Roman" w:cs="Times New Roman"/>
          <w:sz w:val="24"/>
          <w:szCs w:val="24"/>
          <w:lang w:eastAsia="sk-SK"/>
        </w:rPr>
        <w:t xml:space="preserve">na tvorbu urolitiázy (podľa: </w:t>
      </w:r>
      <w:r w:rsidR="00D135D4" w:rsidRPr="003B4C1C">
        <w:rPr>
          <w:rFonts w:ascii="Times New Roman" w:hAnsi="Times New Roman" w:cs="Times New Roman"/>
          <w:sz w:val="24"/>
          <w:szCs w:val="24"/>
          <w:shd w:val="clear" w:color="auto" w:fill="FFFFFF"/>
        </w:rPr>
        <w:t>Agarwal et al., 2011</w:t>
      </w:r>
      <w:r w:rsidR="00D135D4" w:rsidRPr="00DA07E4">
        <w:rPr>
          <w:rFonts w:ascii="Times New Roman" w:eastAsia="Times New Roman" w:hAnsi="Times New Roman" w:cs="Times New Roman"/>
          <w:sz w:val="24"/>
          <w:szCs w:val="24"/>
          <w:lang w:eastAsia="sk-SK"/>
        </w:rPr>
        <w:t>)</w:t>
      </w:r>
      <w:r w:rsidR="005232A4">
        <w:rPr>
          <w:rFonts w:ascii="Times New Roman" w:eastAsia="Times New Roman" w:hAnsi="Times New Roman" w:cs="Times New Roman"/>
          <w:sz w:val="24"/>
          <w:szCs w:val="24"/>
          <w:lang w:eastAsia="sk-SK"/>
        </w:rPr>
        <w:t xml:space="preserve"> </w:t>
      </w:r>
      <w:r w:rsidR="00D135D4" w:rsidRPr="00DA07E4">
        <w:rPr>
          <w:rFonts w:ascii="Times New Roman" w:eastAsia="Times New Roman" w:hAnsi="Times New Roman" w:cs="Times New Roman"/>
          <w:sz w:val="24"/>
          <w:szCs w:val="24"/>
          <w:lang w:eastAsia="sk-SK"/>
        </w:rPr>
        <w:tab/>
      </w:r>
      <w:r w:rsidR="00D135D4" w:rsidRPr="00DA07E4">
        <w:rPr>
          <w:rFonts w:ascii="Times New Roman" w:eastAsia="Times New Roman" w:hAnsi="Times New Roman" w:cs="Times New Roman"/>
          <w:sz w:val="24"/>
          <w:szCs w:val="24"/>
          <w:lang w:eastAsia="sk-SK"/>
        </w:rPr>
        <w:tab/>
      </w:r>
      <w:r w:rsidR="00D135D4" w:rsidRPr="00DA07E4">
        <w:rPr>
          <w:rFonts w:ascii="Times New Roman" w:eastAsia="Times New Roman" w:hAnsi="Times New Roman" w:cs="Times New Roman"/>
          <w:sz w:val="24"/>
          <w:szCs w:val="24"/>
          <w:lang w:eastAsia="sk-SK"/>
        </w:rPr>
        <w:tab/>
      </w:r>
      <w:r w:rsidR="00D135D4" w:rsidRPr="00DA07E4">
        <w:rPr>
          <w:rFonts w:ascii="Times New Roman" w:eastAsia="Times New Roman" w:hAnsi="Times New Roman" w:cs="Times New Roman"/>
          <w:sz w:val="24"/>
          <w:szCs w:val="24"/>
          <w:lang w:eastAsia="sk-SK"/>
        </w:rPr>
        <w:tab/>
        <w:t>1</w:t>
      </w:r>
      <w:r w:rsidR="004B5F23">
        <w:rPr>
          <w:rFonts w:ascii="Times New Roman" w:eastAsia="Times New Roman" w:hAnsi="Times New Roman" w:cs="Times New Roman"/>
          <w:sz w:val="24"/>
          <w:szCs w:val="24"/>
          <w:lang w:eastAsia="sk-SK"/>
        </w:rPr>
        <w:t>7</w:t>
      </w:r>
    </w:p>
    <w:p w14:paraId="25E8DDDA" w14:textId="6DE56A6B" w:rsidR="00D135D4" w:rsidRPr="00DA07E4" w:rsidRDefault="00D135D4" w:rsidP="003B4C1C">
      <w:pPr>
        <w:tabs>
          <w:tab w:val="left" w:pos="284"/>
        </w:tabs>
        <w:spacing w:after="0" w:line="360" w:lineRule="auto"/>
        <w:ind w:left="567" w:hanging="567"/>
        <w:jc w:val="both"/>
        <w:rPr>
          <w:rFonts w:ascii="Times New Roman" w:hAnsi="Times New Roman" w:cs="Times New Roman"/>
          <w:b/>
          <w:sz w:val="24"/>
          <w:szCs w:val="24"/>
        </w:rPr>
      </w:pPr>
      <w:r w:rsidRPr="00DA07E4">
        <w:rPr>
          <w:rFonts w:ascii="Times New Roman" w:hAnsi="Times New Roman" w:cs="Times New Roman"/>
          <w:b/>
          <w:sz w:val="24"/>
          <w:szCs w:val="24"/>
        </w:rPr>
        <w:t xml:space="preserve">Tab. 4 </w:t>
      </w:r>
      <w:r w:rsidRPr="00DA07E4">
        <w:rPr>
          <w:rFonts w:ascii="Times New Roman" w:hAnsi="Times New Roman" w:cs="Times New Roman"/>
          <w:sz w:val="24"/>
          <w:szCs w:val="24"/>
        </w:rPr>
        <w:t xml:space="preserve">Prehľad najčastejších vzťahov medzi typom, hlavnou zložkou konkrementu a etiológiou jeho vzniku (upravené podľa </w:t>
      </w:r>
      <w:r w:rsidRPr="00DA07E4">
        <w:rPr>
          <w:rFonts w:ascii="Times New Roman" w:hAnsi="Times New Roman" w:cs="Times New Roman"/>
          <w:sz w:val="24"/>
          <w:szCs w:val="24"/>
          <w:shd w:val="clear" w:color="auto" w:fill="FFFFFF"/>
        </w:rPr>
        <w:t>Cloutier et al.</w:t>
      </w:r>
      <w:r w:rsidRPr="00DA07E4">
        <w:rPr>
          <w:rFonts w:ascii="Times New Roman" w:hAnsi="Times New Roman" w:cs="Times New Roman"/>
          <w:sz w:val="24"/>
          <w:szCs w:val="24"/>
        </w:rPr>
        <w:t>, 2015)</w:t>
      </w:r>
      <w:r w:rsidRPr="00DA07E4">
        <w:rPr>
          <w:rFonts w:ascii="Times New Roman" w:hAnsi="Times New Roman" w:cs="Times New Roman"/>
          <w:sz w:val="24"/>
          <w:szCs w:val="24"/>
        </w:rPr>
        <w:tab/>
      </w:r>
      <w:r w:rsidRPr="00DA07E4">
        <w:rPr>
          <w:rFonts w:ascii="Times New Roman" w:hAnsi="Times New Roman" w:cs="Times New Roman"/>
          <w:sz w:val="24"/>
          <w:szCs w:val="24"/>
        </w:rPr>
        <w:tab/>
        <w:t>2</w:t>
      </w:r>
      <w:r w:rsidR="004B5F23">
        <w:rPr>
          <w:rFonts w:ascii="Times New Roman" w:hAnsi="Times New Roman" w:cs="Times New Roman"/>
          <w:sz w:val="24"/>
          <w:szCs w:val="24"/>
        </w:rPr>
        <w:t>8</w:t>
      </w:r>
    </w:p>
    <w:p w14:paraId="7193C5A4" w14:textId="570C2FCA" w:rsidR="00D135D4" w:rsidRPr="00DA07E4" w:rsidRDefault="00D135D4" w:rsidP="003B4C1C">
      <w:pPr>
        <w:spacing w:after="0" w:line="360" w:lineRule="auto"/>
        <w:ind w:left="567" w:hanging="567"/>
        <w:jc w:val="both"/>
        <w:rPr>
          <w:rFonts w:ascii="Times New Roman" w:hAnsi="Times New Roman" w:cs="Times New Roman"/>
          <w:sz w:val="24"/>
          <w:szCs w:val="24"/>
        </w:rPr>
      </w:pPr>
      <w:r w:rsidRPr="00DA07E4">
        <w:rPr>
          <w:rFonts w:ascii="Times New Roman" w:hAnsi="Times New Roman" w:cs="Times New Roman"/>
          <w:b/>
          <w:sz w:val="24"/>
          <w:szCs w:val="24"/>
        </w:rPr>
        <w:t xml:space="preserve">Tab. 5 </w:t>
      </w:r>
      <w:r w:rsidR="003B4C1C">
        <w:rPr>
          <w:rFonts w:ascii="Times New Roman" w:hAnsi="Times New Roman" w:cs="Times New Roman"/>
          <w:sz w:val="24"/>
          <w:szCs w:val="24"/>
        </w:rPr>
        <w:t>Najčastejšie kombinácie</w:t>
      </w:r>
      <w:r w:rsidRPr="00DA07E4">
        <w:rPr>
          <w:rFonts w:ascii="Times New Roman" w:hAnsi="Times New Roman" w:cs="Times New Roman"/>
          <w:sz w:val="24"/>
          <w:szCs w:val="24"/>
        </w:rPr>
        <w:t xml:space="preserve"> konkrementov a etiológia ich vzniku (upravené podľa </w:t>
      </w:r>
      <w:r w:rsidRPr="00DA07E4">
        <w:rPr>
          <w:rFonts w:ascii="Times New Roman" w:hAnsi="Times New Roman" w:cs="Times New Roman"/>
          <w:sz w:val="24"/>
          <w:szCs w:val="24"/>
          <w:shd w:val="clear" w:color="auto" w:fill="FFFFFF"/>
        </w:rPr>
        <w:t>Cloutier et al.</w:t>
      </w:r>
      <w:r w:rsidRPr="00DA07E4">
        <w:rPr>
          <w:rFonts w:ascii="Times New Roman" w:hAnsi="Times New Roman" w:cs="Times New Roman"/>
          <w:sz w:val="24"/>
          <w:szCs w:val="24"/>
        </w:rPr>
        <w:t>, 2015)</w:t>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Pr="00DA07E4">
        <w:rPr>
          <w:rStyle w:val="A1"/>
          <w:rFonts w:ascii="Times New Roman" w:hAnsi="Times New Roman" w:cs="Times New Roman"/>
          <w:color w:val="auto"/>
          <w:sz w:val="24"/>
          <w:szCs w:val="24"/>
        </w:rPr>
        <w:tab/>
      </w:r>
      <w:r w:rsidR="004B5F23">
        <w:rPr>
          <w:rStyle w:val="A1"/>
          <w:rFonts w:ascii="Times New Roman" w:hAnsi="Times New Roman" w:cs="Times New Roman"/>
          <w:color w:val="auto"/>
          <w:sz w:val="24"/>
          <w:szCs w:val="24"/>
        </w:rPr>
        <w:t>30</w:t>
      </w:r>
    </w:p>
    <w:p w14:paraId="4D120F6D" w14:textId="3088C173" w:rsidR="00D135D4" w:rsidRPr="00DA07E4" w:rsidRDefault="00D135D4" w:rsidP="003B4C1C">
      <w:pPr>
        <w:spacing w:after="0" w:line="360" w:lineRule="auto"/>
        <w:jc w:val="both"/>
        <w:rPr>
          <w:rFonts w:ascii="Times New Roman" w:hAnsi="Times New Roman" w:cs="Times New Roman"/>
          <w:b/>
          <w:sz w:val="24"/>
          <w:szCs w:val="24"/>
        </w:rPr>
      </w:pPr>
      <w:r w:rsidRPr="00DA07E4">
        <w:rPr>
          <w:rFonts w:ascii="Times New Roman" w:hAnsi="Times New Roman" w:cs="Times New Roman"/>
          <w:b/>
          <w:sz w:val="24"/>
          <w:szCs w:val="24"/>
        </w:rPr>
        <w:t xml:space="preserve">Tab. 6 </w:t>
      </w:r>
      <w:r w:rsidRPr="00F72835">
        <w:rPr>
          <w:rFonts w:ascii="Times New Roman" w:hAnsi="Times New Roman" w:cs="Times New Roman"/>
          <w:sz w:val="24"/>
          <w:szCs w:val="24"/>
        </w:rPr>
        <w:t>Hodnoty vnútornej konziste</w:t>
      </w:r>
      <w:r>
        <w:rPr>
          <w:rFonts w:ascii="Times New Roman" w:hAnsi="Times New Roman" w:cs="Times New Roman"/>
          <w:sz w:val="24"/>
          <w:szCs w:val="24"/>
        </w:rPr>
        <w:t xml:space="preserve">ncie a spoľahlivosti dotazníka WISQOL podľa domén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004B5F23">
        <w:rPr>
          <w:rFonts w:ascii="Times New Roman" w:hAnsi="Times New Roman" w:cs="Times New Roman"/>
          <w:sz w:val="24"/>
          <w:szCs w:val="24"/>
        </w:rPr>
        <w:t>50</w:t>
      </w:r>
    </w:p>
    <w:p w14:paraId="5314F2CE" w14:textId="2703B7F1" w:rsidR="00D135D4" w:rsidRDefault="00D135D4" w:rsidP="003B4C1C">
      <w:pPr>
        <w:spacing w:after="0" w:line="360" w:lineRule="auto"/>
        <w:ind w:left="567" w:hanging="567"/>
        <w:jc w:val="both"/>
        <w:rPr>
          <w:rFonts w:ascii="Times New Roman" w:hAnsi="Times New Roman" w:cs="Times New Roman"/>
          <w:sz w:val="24"/>
          <w:szCs w:val="24"/>
        </w:rPr>
      </w:pPr>
      <w:r w:rsidRPr="00DA07E4">
        <w:rPr>
          <w:rFonts w:ascii="Times New Roman" w:hAnsi="Times New Roman" w:cs="Times New Roman"/>
          <w:b/>
          <w:sz w:val="24"/>
          <w:szCs w:val="24"/>
        </w:rPr>
        <w:t xml:space="preserve">Tab. 7 </w:t>
      </w:r>
      <w:r w:rsidRPr="00F72835">
        <w:rPr>
          <w:rFonts w:ascii="Times New Roman" w:hAnsi="Times New Roman" w:cs="Times New Roman"/>
          <w:sz w:val="24"/>
          <w:szCs w:val="24"/>
        </w:rPr>
        <w:t>Porovnanie skór</w:t>
      </w:r>
      <w:r>
        <w:rPr>
          <w:rFonts w:ascii="Times New Roman" w:hAnsi="Times New Roman" w:cs="Times New Roman"/>
          <w:sz w:val="24"/>
          <w:szCs w:val="24"/>
        </w:rPr>
        <w:t xml:space="preserve">e medzi sledovanými skupinami podľa domén WISQOL dotazníka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5F23">
        <w:rPr>
          <w:rFonts w:ascii="Times New Roman" w:hAnsi="Times New Roman" w:cs="Times New Roman"/>
          <w:sz w:val="24"/>
          <w:szCs w:val="24"/>
        </w:rPr>
        <w:t>51</w:t>
      </w:r>
    </w:p>
    <w:p w14:paraId="65B3BD7F" w14:textId="26EED686" w:rsidR="00D135D4" w:rsidRDefault="00D135D4" w:rsidP="003B4C1C">
      <w:pPr>
        <w:spacing w:after="0" w:line="360" w:lineRule="auto"/>
        <w:jc w:val="both"/>
        <w:rPr>
          <w:rFonts w:ascii="Times New Roman" w:hAnsi="Times New Roman" w:cs="Times New Roman"/>
          <w:sz w:val="24"/>
          <w:szCs w:val="24"/>
        </w:rPr>
      </w:pPr>
      <w:r w:rsidRPr="00807B62">
        <w:rPr>
          <w:rFonts w:ascii="Times New Roman" w:hAnsi="Times New Roman" w:cs="Times New Roman"/>
          <w:b/>
          <w:sz w:val="24"/>
          <w:szCs w:val="24"/>
        </w:rPr>
        <w:t>Tab. 8</w:t>
      </w:r>
      <w:r>
        <w:rPr>
          <w:rFonts w:ascii="Times New Roman" w:hAnsi="Times New Roman" w:cs="Times New Roman"/>
          <w:sz w:val="24"/>
          <w:szCs w:val="24"/>
        </w:rPr>
        <w:t xml:space="preserve"> </w:t>
      </w:r>
      <w:r w:rsidRPr="00DA07E4">
        <w:rPr>
          <w:rFonts w:ascii="Times New Roman" w:hAnsi="Times New Roman" w:cs="Times New Roman"/>
          <w:sz w:val="24"/>
          <w:szCs w:val="24"/>
        </w:rPr>
        <w:t xml:space="preserve">Demografia – porovnanie podľa skupín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4B5F23">
        <w:rPr>
          <w:rFonts w:ascii="Times New Roman" w:hAnsi="Times New Roman" w:cs="Times New Roman"/>
          <w:sz w:val="24"/>
          <w:szCs w:val="24"/>
        </w:rPr>
        <w:t>2</w:t>
      </w:r>
    </w:p>
    <w:p w14:paraId="3B79AA39" w14:textId="6523A7B3" w:rsidR="00D135D4" w:rsidRPr="00DA07E4" w:rsidRDefault="00D135D4" w:rsidP="003B4C1C">
      <w:pPr>
        <w:spacing w:after="0" w:line="360" w:lineRule="auto"/>
        <w:jc w:val="both"/>
        <w:rPr>
          <w:rFonts w:ascii="Times New Roman" w:hAnsi="Times New Roman" w:cs="Times New Roman"/>
          <w:b/>
          <w:sz w:val="24"/>
          <w:szCs w:val="24"/>
        </w:rPr>
      </w:pPr>
      <w:r w:rsidRPr="00807B62">
        <w:rPr>
          <w:rFonts w:ascii="Times New Roman" w:hAnsi="Times New Roman" w:cs="Times New Roman"/>
          <w:b/>
          <w:sz w:val="24"/>
          <w:szCs w:val="24"/>
        </w:rPr>
        <w:t>Tab. 9</w:t>
      </w:r>
      <w:r>
        <w:rPr>
          <w:rFonts w:ascii="Times New Roman" w:hAnsi="Times New Roman" w:cs="Times New Roman"/>
          <w:sz w:val="24"/>
          <w:szCs w:val="24"/>
        </w:rPr>
        <w:t xml:space="preserve"> </w:t>
      </w:r>
      <w:r w:rsidRPr="00DA07E4">
        <w:rPr>
          <w:rFonts w:ascii="Times New Roman" w:hAnsi="Times New Roman" w:cs="Times New Roman"/>
          <w:sz w:val="24"/>
          <w:szCs w:val="24"/>
        </w:rPr>
        <w:t>Porovnanie skupín po intervencii</w:t>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sidRPr="00DA07E4">
        <w:rPr>
          <w:rFonts w:ascii="Times New Roman" w:hAnsi="Times New Roman" w:cs="Times New Roman"/>
          <w:sz w:val="24"/>
          <w:szCs w:val="24"/>
        </w:rPr>
        <w:tab/>
      </w:r>
      <w:r>
        <w:rPr>
          <w:rFonts w:ascii="Times New Roman" w:hAnsi="Times New Roman" w:cs="Times New Roman"/>
          <w:sz w:val="24"/>
          <w:szCs w:val="24"/>
        </w:rPr>
        <w:t>5</w:t>
      </w:r>
      <w:r w:rsidR="004B5F23">
        <w:rPr>
          <w:rFonts w:ascii="Times New Roman" w:hAnsi="Times New Roman" w:cs="Times New Roman"/>
          <w:sz w:val="24"/>
          <w:szCs w:val="24"/>
        </w:rPr>
        <w:t>3</w:t>
      </w:r>
    </w:p>
    <w:p w14:paraId="572E6C55" w14:textId="3059EC0D" w:rsidR="003B4C1C" w:rsidRDefault="003B4C1C" w:rsidP="003B4C1C">
      <w:pPr>
        <w:spacing w:after="0" w:line="360" w:lineRule="auto"/>
        <w:jc w:val="both"/>
        <w:rPr>
          <w:rFonts w:ascii="Times New Roman" w:hAnsi="Times New Roman" w:cs="Times New Roman"/>
          <w:b/>
          <w:sz w:val="24"/>
          <w:szCs w:val="24"/>
        </w:rPr>
      </w:pPr>
      <w:r w:rsidRPr="00252615">
        <w:rPr>
          <w:rFonts w:ascii="Times New Roman" w:hAnsi="Times New Roman" w:cs="Times New Roman"/>
          <w:b/>
          <w:sz w:val="24"/>
          <w:szCs w:val="24"/>
        </w:rPr>
        <w:t>Tab</w:t>
      </w:r>
      <w:r w:rsidR="00E43A8D">
        <w:rPr>
          <w:rFonts w:ascii="Times New Roman" w:hAnsi="Times New Roman" w:cs="Times New Roman"/>
          <w:b/>
          <w:sz w:val="24"/>
          <w:szCs w:val="24"/>
        </w:rPr>
        <w:t>.</w:t>
      </w:r>
      <w:r>
        <w:rPr>
          <w:rFonts w:ascii="Times New Roman" w:hAnsi="Times New Roman" w:cs="Times New Roman"/>
          <w:b/>
          <w:sz w:val="24"/>
          <w:szCs w:val="24"/>
        </w:rPr>
        <w:t xml:space="preserve"> </w:t>
      </w:r>
      <w:r w:rsidRPr="00D135D4">
        <w:rPr>
          <w:rFonts w:ascii="Times New Roman" w:hAnsi="Times New Roman" w:cs="Times New Roman"/>
          <w:b/>
          <w:sz w:val="24"/>
          <w:szCs w:val="24"/>
        </w:rPr>
        <w:t xml:space="preserve">10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WISQOL p</w:t>
      </w:r>
      <w:r>
        <w:rPr>
          <w:rFonts w:ascii="Times New Roman" w:hAnsi="Times New Roman" w:cs="Times New Roman"/>
          <w:sz w:val="24"/>
          <w:szCs w:val="24"/>
        </w:rPr>
        <w:t>red</w:t>
      </w:r>
      <w:r w:rsidRPr="00DA07E4">
        <w:rPr>
          <w:rFonts w:ascii="Times New Roman" w:hAnsi="Times New Roman" w:cs="Times New Roman"/>
          <w:sz w:val="24"/>
          <w:szCs w:val="24"/>
        </w:rPr>
        <w:t xml:space="preserve"> intervenci</w:t>
      </w:r>
      <w:r>
        <w:rPr>
          <w:rFonts w:ascii="Times New Roman" w:hAnsi="Times New Roman" w:cs="Times New Roman"/>
          <w:sz w:val="24"/>
          <w:szCs w:val="24"/>
        </w:rPr>
        <w:t>ou</w:t>
      </w:r>
      <w:r>
        <w:rPr>
          <w:rFonts w:ascii="Times New Roman" w:hAnsi="Times New Roman" w:cs="Times New Roman"/>
          <w:sz w:val="24"/>
          <w:szCs w:val="24"/>
        </w:rPr>
        <w:tab/>
      </w:r>
      <w:r>
        <w:rPr>
          <w:rFonts w:ascii="Times New Roman" w:hAnsi="Times New Roman" w:cs="Times New Roman"/>
          <w:sz w:val="24"/>
          <w:szCs w:val="24"/>
        </w:rPr>
        <w:tab/>
      </w:r>
      <w:r w:rsidR="00E43A8D">
        <w:rPr>
          <w:rFonts w:ascii="Times New Roman" w:hAnsi="Times New Roman" w:cs="Times New Roman"/>
          <w:sz w:val="24"/>
          <w:szCs w:val="24"/>
        </w:rPr>
        <w:tab/>
      </w:r>
      <w:r w:rsidR="004B5F23">
        <w:rPr>
          <w:rFonts w:ascii="Times New Roman" w:hAnsi="Times New Roman" w:cs="Times New Roman"/>
          <w:sz w:val="24"/>
          <w:szCs w:val="24"/>
        </w:rPr>
        <w:t>54</w:t>
      </w:r>
    </w:p>
    <w:p w14:paraId="2AFECE26" w14:textId="3F2E1102" w:rsidR="003B4C1C" w:rsidRDefault="003B4C1C" w:rsidP="003B4C1C">
      <w:pPr>
        <w:spacing w:after="0" w:line="360" w:lineRule="auto"/>
        <w:rPr>
          <w:rFonts w:ascii="Times New Roman" w:hAnsi="Times New Roman" w:cs="Times New Roman"/>
          <w:sz w:val="24"/>
          <w:szCs w:val="24"/>
        </w:rPr>
      </w:pPr>
      <w:r w:rsidRPr="00252615">
        <w:rPr>
          <w:rFonts w:ascii="Times New Roman" w:hAnsi="Times New Roman" w:cs="Times New Roman"/>
          <w:b/>
          <w:sz w:val="24"/>
          <w:szCs w:val="24"/>
        </w:rPr>
        <w:t>Tab</w:t>
      </w:r>
      <w:r w:rsidR="00E43A8D">
        <w:rPr>
          <w:rFonts w:ascii="Times New Roman" w:hAnsi="Times New Roman" w:cs="Times New Roman"/>
          <w:b/>
          <w:sz w:val="24"/>
          <w:szCs w:val="24"/>
        </w:rPr>
        <w:t>.</w:t>
      </w:r>
      <w:r>
        <w:rPr>
          <w:rFonts w:ascii="Times New Roman" w:hAnsi="Times New Roman" w:cs="Times New Roman"/>
          <w:b/>
          <w:sz w:val="24"/>
          <w:szCs w:val="24"/>
        </w:rPr>
        <w:t xml:space="preserve"> </w:t>
      </w:r>
      <w:r w:rsidRPr="00D135D4">
        <w:rPr>
          <w:rFonts w:ascii="Times New Roman" w:hAnsi="Times New Roman" w:cs="Times New Roman"/>
          <w:b/>
          <w:sz w:val="24"/>
          <w:szCs w:val="24"/>
        </w:rPr>
        <w:t xml:space="preserve">11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WISQOL v 24. týždni po intervencii</w:t>
      </w:r>
      <w:r>
        <w:rPr>
          <w:rFonts w:ascii="Times New Roman" w:hAnsi="Times New Roman" w:cs="Times New Roman"/>
          <w:sz w:val="24"/>
          <w:szCs w:val="24"/>
        </w:rPr>
        <w:tab/>
      </w:r>
      <w:r w:rsidR="00E43A8D">
        <w:rPr>
          <w:rFonts w:ascii="Times New Roman" w:hAnsi="Times New Roman" w:cs="Times New Roman"/>
          <w:sz w:val="24"/>
          <w:szCs w:val="24"/>
        </w:rPr>
        <w:tab/>
      </w:r>
      <w:r w:rsidR="004B5F23">
        <w:rPr>
          <w:rFonts w:ascii="Times New Roman" w:hAnsi="Times New Roman" w:cs="Times New Roman"/>
          <w:sz w:val="24"/>
          <w:szCs w:val="24"/>
        </w:rPr>
        <w:t>5</w:t>
      </w:r>
      <w:r w:rsidR="00153945">
        <w:rPr>
          <w:rFonts w:ascii="Times New Roman" w:hAnsi="Times New Roman" w:cs="Times New Roman"/>
          <w:sz w:val="24"/>
          <w:szCs w:val="24"/>
        </w:rPr>
        <w:t>5</w:t>
      </w:r>
    </w:p>
    <w:p w14:paraId="51617134" w14:textId="77777777" w:rsidR="00E43A8D" w:rsidRDefault="003B4C1C" w:rsidP="003B4C1C">
      <w:pPr>
        <w:spacing w:after="0" w:line="360" w:lineRule="auto"/>
        <w:jc w:val="both"/>
        <w:rPr>
          <w:rFonts w:ascii="Times New Roman" w:hAnsi="Times New Roman" w:cs="Times New Roman"/>
          <w:sz w:val="24"/>
          <w:szCs w:val="24"/>
        </w:rPr>
      </w:pPr>
      <w:r w:rsidRPr="00D135D4">
        <w:rPr>
          <w:rFonts w:ascii="Times New Roman" w:hAnsi="Times New Roman" w:cs="Times New Roman"/>
          <w:b/>
          <w:sz w:val="24"/>
          <w:szCs w:val="24"/>
        </w:rPr>
        <w:lastRenderedPageBreak/>
        <w:t>Tab</w:t>
      </w:r>
      <w:r w:rsidR="00E43A8D">
        <w:rPr>
          <w:rFonts w:ascii="Times New Roman" w:hAnsi="Times New Roman" w:cs="Times New Roman"/>
          <w:b/>
          <w:sz w:val="24"/>
          <w:szCs w:val="24"/>
        </w:rPr>
        <w:t>.</w:t>
      </w:r>
      <w:r w:rsidRPr="00D135D4">
        <w:rPr>
          <w:rFonts w:ascii="Times New Roman" w:hAnsi="Times New Roman" w:cs="Times New Roman"/>
          <w:b/>
          <w:sz w:val="24"/>
          <w:szCs w:val="24"/>
        </w:rPr>
        <w:t xml:space="preserve"> 12</w:t>
      </w:r>
      <w:r w:rsidRPr="00D135D4">
        <w:rPr>
          <w:rFonts w:ascii="Times New Roman" w:hAnsi="Times New Roman" w:cs="Times New Roman"/>
          <w:sz w:val="24"/>
          <w:szCs w:val="24"/>
        </w:rPr>
        <w:t xml:space="preserve"> Porovnanie</w:t>
      </w:r>
      <w:r w:rsidRPr="00DA07E4">
        <w:rPr>
          <w:rFonts w:ascii="Times New Roman" w:hAnsi="Times New Roman" w:cs="Times New Roman"/>
          <w:sz w:val="24"/>
          <w:szCs w:val="24"/>
        </w:rPr>
        <w:t xml:space="preserve"> </w:t>
      </w:r>
      <w:r>
        <w:rPr>
          <w:rFonts w:ascii="Times New Roman" w:hAnsi="Times New Roman" w:cs="Times New Roman"/>
          <w:sz w:val="24"/>
          <w:szCs w:val="24"/>
        </w:rPr>
        <w:t>v skupinách RIRS a ESWL podľa</w:t>
      </w:r>
      <w:r w:rsidRPr="00DA07E4">
        <w:rPr>
          <w:rFonts w:ascii="Times New Roman" w:hAnsi="Times New Roman" w:cs="Times New Roman"/>
          <w:sz w:val="24"/>
          <w:szCs w:val="24"/>
        </w:rPr>
        <w:t xml:space="preserve"> WISQOL pred </w:t>
      </w:r>
      <w:r>
        <w:rPr>
          <w:rFonts w:ascii="Times New Roman" w:hAnsi="Times New Roman" w:cs="Times New Roman"/>
          <w:sz w:val="24"/>
          <w:szCs w:val="24"/>
        </w:rPr>
        <w:t xml:space="preserve">intervenciou </w:t>
      </w:r>
    </w:p>
    <w:p w14:paraId="0C375668" w14:textId="2D854786" w:rsidR="003B4C1C" w:rsidRPr="00DA07E4" w:rsidRDefault="003B4C1C" w:rsidP="00E43A8D">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a v 24. týždni po intervencii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5F23">
        <w:rPr>
          <w:rFonts w:ascii="Times New Roman" w:hAnsi="Times New Roman" w:cs="Times New Roman"/>
          <w:sz w:val="24"/>
          <w:szCs w:val="24"/>
        </w:rPr>
        <w:t>5</w:t>
      </w:r>
      <w:r w:rsidR="00153945">
        <w:rPr>
          <w:rFonts w:ascii="Times New Roman" w:hAnsi="Times New Roman" w:cs="Times New Roman"/>
          <w:sz w:val="24"/>
          <w:szCs w:val="24"/>
        </w:rPr>
        <w:t>6</w:t>
      </w:r>
    </w:p>
    <w:p w14:paraId="41FA9C03" w14:textId="740545CC" w:rsidR="003B4C1C" w:rsidRDefault="003B4C1C" w:rsidP="003B4C1C">
      <w:pPr>
        <w:spacing w:after="0" w:line="360" w:lineRule="auto"/>
        <w:jc w:val="both"/>
        <w:rPr>
          <w:rFonts w:ascii="Times New Roman" w:hAnsi="Times New Roman" w:cs="Times New Roman"/>
          <w:b/>
          <w:sz w:val="24"/>
          <w:szCs w:val="24"/>
        </w:rPr>
      </w:pPr>
      <w:r w:rsidRPr="00252615">
        <w:rPr>
          <w:rFonts w:ascii="Times New Roman" w:hAnsi="Times New Roman" w:cs="Times New Roman"/>
          <w:b/>
          <w:sz w:val="24"/>
          <w:szCs w:val="24"/>
        </w:rPr>
        <w:t>Tab</w:t>
      </w:r>
      <w:r w:rsidR="00E43A8D">
        <w:rPr>
          <w:rFonts w:ascii="Times New Roman" w:hAnsi="Times New Roman" w:cs="Times New Roman"/>
          <w:b/>
          <w:sz w:val="24"/>
          <w:szCs w:val="24"/>
        </w:rPr>
        <w:t>.</w:t>
      </w:r>
      <w:r>
        <w:rPr>
          <w:rFonts w:ascii="Times New Roman" w:hAnsi="Times New Roman" w:cs="Times New Roman"/>
          <w:b/>
          <w:sz w:val="24"/>
          <w:szCs w:val="24"/>
        </w:rPr>
        <w:t xml:space="preserve"> </w:t>
      </w:r>
      <w:r w:rsidRPr="00D135D4">
        <w:rPr>
          <w:rFonts w:ascii="Times New Roman" w:hAnsi="Times New Roman" w:cs="Times New Roman"/>
          <w:b/>
          <w:sz w:val="24"/>
          <w:szCs w:val="24"/>
        </w:rPr>
        <w:t>1</w:t>
      </w:r>
      <w:r>
        <w:rPr>
          <w:rFonts w:ascii="Times New Roman" w:hAnsi="Times New Roman" w:cs="Times New Roman"/>
          <w:b/>
          <w:sz w:val="24"/>
          <w:szCs w:val="24"/>
        </w:rPr>
        <w:t>3</w:t>
      </w:r>
      <w:r w:rsidRPr="00D135D4">
        <w:rPr>
          <w:rFonts w:ascii="Times New Roman" w:hAnsi="Times New Roman" w:cs="Times New Roman"/>
          <w:b/>
          <w:sz w:val="24"/>
          <w:szCs w:val="24"/>
        </w:rPr>
        <w:t xml:space="preserve">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t>
      </w:r>
      <w:r>
        <w:rPr>
          <w:rFonts w:ascii="Times New Roman" w:hAnsi="Times New Roman" w:cs="Times New Roman"/>
          <w:sz w:val="24"/>
          <w:szCs w:val="24"/>
        </w:rPr>
        <w:t>QALYs</w:t>
      </w:r>
      <w:r w:rsidRPr="00DA07E4">
        <w:rPr>
          <w:rFonts w:ascii="Times New Roman" w:hAnsi="Times New Roman" w:cs="Times New Roman"/>
          <w:sz w:val="24"/>
          <w:szCs w:val="24"/>
        </w:rPr>
        <w:t xml:space="preserve"> p</w:t>
      </w:r>
      <w:r>
        <w:rPr>
          <w:rFonts w:ascii="Times New Roman" w:hAnsi="Times New Roman" w:cs="Times New Roman"/>
          <w:sz w:val="24"/>
          <w:szCs w:val="24"/>
        </w:rPr>
        <w:t>red</w:t>
      </w:r>
      <w:r w:rsidRPr="00DA07E4">
        <w:rPr>
          <w:rFonts w:ascii="Times New Roman" w:hAnsi="Times New Roman" w:cs="Times New Roman"/>
          <w:sz w:val="24"/>
          <w:szCs w:val="24"/>
        </w:rPr>
        <w:t xml:space="preserve"> intervenci</w:t>
      </w:r>
      <w:r>
        <w:rPr>
          <w:rFonts w:ascii="Times New Roman" w:hAnsi="Times New Roman" w:cs="Times New Roman"/>
          <w:sz w:val="24"/>
          <w:szCs w:val="24"/>
        </w:rPr>
        <w:t>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5F23">
        <w:rPr>
          <w:rFonts w:ascii="Times New Roman" w:hAnsi="Times New Roman" w:cs="Times New Roman"/>
          <w:sz w:val="24"/>
          <w:szCs w:val="24"/>
        </w:rPr>
        <w:t>5</w:t>
      </w:r>
      <w:r w:rsidR="00153945">
        <w:rPr>
          <w:rFonts w:ascii="Times New Roman" w:hAnsi="Times New Roman" w:cs="Times New Roman"/>
          <w:sz w:val="24"/>
          <w:szCs w:val="24"/>
        </w:rPr>
        <w:t>7</w:t>
      </w:r>
    </w:p>
    <w:p w14:paraId="463FFCD3" w14:textId="686808E9" w:rsidR="003B4C1C" w:rsidRDefault="003B4C1C" w:rsidP="003B4C1C">
      <w:pPr>
        <w:spacing w:after="0" w:line="360" w:lineRule="auto"/>
        <w:jc w:val="both"/>
        <w:rPr>
          <w:rFonts w:ascii="Times New Roman" w:hAnsi="Times New Roman" w:cs="Times New Roman"/>
          <w:b/>
          <w:sz w:val="24"/>
          <w:szCs w:val="24"/>
        </w:rPr>
      </w:pPr>
      <w:r w:rsidRPr="00252615">
        <w:rPr>
          <w:rFonts w:ascii="Times New Roman" w:hAnsi="Times New Roman" w:cs="Times New Roman"/>
          <w:b/>
          <w:sz w:val="24"/>
          <w:szCs w:val="24"/>
        </w:rPr>
        <w:t>Tab</w:t>
      </w:r>
      <w:r w:rsidR="00E43A8D">
        <w:rPr>
          <w:rFonts w:ascii="Times New Roman" w:hAnsi="Times New Roman" w:cs="Times New Roman"/>
          <w:b/>
          <w:sz w:val="24"/>
          <w:szCs w:val="24"/>
        </w:rPr>
        <w:t>.</w:t>
      </w:r>
      <w:r>
        <w:rPr>
          <w:rFonts w:ascii="Times New Roman" w:hAnsi="Times New Roman" w:cs="Times New Roman"/>
          <w:b/>
          <w:sz w:val="24"/>
          <w:szCs w:val="24"/>
        </w:rPr>
        <w:t xml:space="preserve"> </w:t>
      </w:r>
      <w:r w:rsidRPr="00D135D4">
        <w:rPr>
          <w:rFonts w:ascii="Times New Roman" w:hAnsi="Times New Roman" w:cs="Times New Roman"/>
          <w:b/>
          <w:sz w:val="24"/>
          <w:szCs w:val="24"/>
        </w:rPr>
        <w:t>1</w:t>
      </w:r>
      <w:r>
        <w:rPr>
          <w:rFonts w:ascii="Times New Roman" w:hAnsi="Times New Roman" w:cs="Times New Roman"/>
          <w:b/>
          <w:sz w:val="24"/>
          <w:szCs w:val="24"/>
        </w:rPr>
        <w:t>4</w:t>
      </w:r>
      <w:r w:rsidRPr="00D135D4">
        <w:rPr>
          <w:rFonts w:ascii="Times New Roman" w:hAnsi="Times New Roman" w:cs="Times New Roman"/>
          <w:b/>
          <w:sz w:val="24"/>
          <w:szCs w:val="24"/>
        </w:rPr>
        <w:t xml:space="preserve"> </w:t>
      </w:r>
      <w:r w:rsidRPr="00D135D4">
        <w:rPr>
          <w:rFonts w:ascii="Times New Roman" w:hAnsi="Times New Roman" w:cs="Times New Roman"/>
          <w:sz w:val="24"/>
          <w:szCs w:val="24"/>
        </w:rPr>
        <w:t>Porovnanie</w:t>
      </w:r>
      <w:r w:rsidRPr="00DA07E4">
        <w:rPr>
          <w:rFonts w:ascii="Times New Roman" w:hAnsi="Times New Roman" w:cs="Times New Roman"/>
          <w:sz w:val="24"/>
          <w:szCs w:val="24"/>
        </w:rPr>
        <w:t xml:space="preserve"> </w:t>
      </w:r>
      <w:r>
        <w:rPr>
          <w:rFonts w:ascii="Times New Roman" w:hAnsi="Times New Roman" w:cs="Times New Roman"/>
          <w:sz w:val="24"/>
          <w:szCs w:val="24"/>
        </w:rPr>
        <w:t>skupín podľa</w:t>
      </w:r>
      <w:r w:rsidRPr="00DA07E4">
        <w:rPr>
          <w:rFonts w:ascii="Times New Roman" w:hAnsi="Times New Roman" w:cs="Times New Roman"/>
          <w:sz w:val="24"/>
          <w:szCs w:val="24"/>
        </w:rPr>
        <w:t xml:space="preserve"> </w:t>
      </w:r>
      <w:r>
        <w:rPr>
          <w:rFonts w:ascii="Times New Roman" w:hAnsi="Times New Roman" w:cs="Times New Roman"/>
          <w:sz w:val="24"/>
          <w:szCs w:val="24"/>
        </w:rPr>
        <w:t>QALYs</w:t>
      </w:r>
      <w:r w:rsidRPr="00DA07E4">
        <w:rPr>
          <w:rFonts w:ascii="Times New Roman" w:hAnsi="Times New Roman" w:cs="Times New Roman"/>
          <w:sz w:val="24"/>
          <w:szCs w:val="24"/>
        </w:rPr>
        <w:t xml:space="preserve"> v 24. týždni po intervencii </w:t>
      </w:r>
      <w:r>
        <w:rPr>
          <w:rFonts w:ascii="Times New Roman" w:hAnsi="Times New Roman" w:cs="Times New Roman"/>
          <w:sz w:val="24"/>
          <w:szCs w:val="24"/>
        </w:rPr>
        <w:tab/>
      </w:r>
      <w:r w:rsidR="00E43A8D">
        <w:rPr>
          <w:rFonts w:ascii="Times New Roman" w:hAnsi="Times New Roman" w:cs="Times New Roman"/>
          <w:sz w:val="24"/>
          <w:szCs w:val="24"/>
        </w:rPr>
        <w:tab/>
      </w:r>
      <w:r w:rsidR="004B5F23">
        <w:rPr>
          <w:rFonts w:ascii="Times New Roman" w:hAnsi="Times New Roman" w:cs="Times New Roman"/>
          <w:sz w:val="24"/>
          <w:szCs w:val="24"/>
        </w:rPr>
        <w:t>5</w:t>
      </w:r>
      <w:r w:rsidR="00153945">
        <w:rPr>
          <w:rFonts w:ascii="Times New Roman" w:hAnsi="Times New Roman" w:cs="Times New Roman"/>
          <w:sz w:val="24"/>
          <w:szCs w:val="24"/>
        </w:rPr>
        <w:t>8</w:t>
      </w:r>
    </w:p>
    <w:p w14:paraId="2DC4C7E6" w14:textId="1C46F818" w:rsidR="00E43A8D" w:rsidRDefault="003B4C1C" w:rsidP="003B4C1C">
      <w:pPr>
        <w:spacing w:after="0" w:line="360" w:lineRule="auto"/>
        <w:jc w:val="both"/>
        <w:rPr>
          <w:rFonts w:ascii="Times New Roman" w:hAnsi="Times New Roman" w:cs="Times New Roman"/>
          <w:sz w:val="24"/>
          <w:szCs w:val="24"/>
        </w:rPr>
      </w:pPr>
      <w:r w:rsidRPr="00D135D4">
        <w:rPr>
          <w:rFonts w:ascii="Times New Roman" w:hAnsi="Times New Roman" w:cs="Times New Roman"/>
          <w:b/>
          <w:sz w:val="24"/>
          <w:szCs w:val="24"/>
        </w:rPr>
        <w:t>Tab</w:t>
      </w:r>
      <w:r w:rsidR="00E43A8D">
        <w:rPr>
          <w:rFonts w:ascii="Times New Roman" w:hAnsi="Times New Roman" w:cs="Times New Roman"/>
          <w:b/>
          <w:sz w:val="24"/>
          <w:szCs w:val="24"/>
        </w:rPr>
        <w:t>.</w:t>
      </w:r>
      <w:r w:rsidRPr="00D135D4">
        <w:rPr>
          <w:rFonts w:ascii="Times New Roman" w:hAnsi="Times New Roman" w:cs="Times New Roman"/>
          <w:b/>
          <w:sz w:val="24"/>
          <w:szCs w:val="24"/>
        </w:rPr>
        <w:t xml:space="preserve"> 1</w:t>
      </w:r>
      <w:r>
        <w:rPr>
          <w:rFonts w:ascii="Times New Roman" w:hAnsi="Times New Roman" w:cs="Times New Roman"/>
          <w:b/>
          <w:sz w:val="24"/>
          <w:szCs w:val="24"/>
        </w:rPr>
        <w:t>5</w:t>
      </w:r>
      <w:r w:rsidRPr="00D135D4">
        <w:rPr>
          <w:rFonts w:ascii="Times New Roman" w:hAnsi="Times New Roman" w:cs="Times New Roman"/>
          <w:sz w:val="24"/>
          <w:szCs w:val="24"/>
        </w:rPr>
        <w:t xml:space="preserve"> Porovnanie</w:t>
      </w:r>
      <w:r w:rsidRPr="00DA07E4">
        <w:rPr>
          <w:rFonts w:ascii="Times New Roman" w:hAnsi="Times New Roman" w:cs="Times New Roman"/>
          <w:sz w:val="24"/>
          <w:szCs w:val="24"/>
        </w:rPr>
        <w:t xml:space="preserve"> </w:t>
      </w:r>
      <w:r>
        <w:rPr>
          <w:rFonts w:ascii="Times New Roman" w:hAnsi="Times New Roman" w:cs="Times New Roman"/>
          <w:sz w:val="24"/>
          <w:szCs w:val="24"/>
        </w:rPr>
        <w:t>v skupinách RIRS a ESWL podľa</w:t>
      </w:r>
      <w:r w:rsidRPr="00DA07E4">
        <w:rPr>
          <w:rFonts w:ascii="Times New Roman" w:hAnsi="Times New Roman" w:cs="Times New Roman"/>
          <w:sz w:val="24"/>
          <w:szCs w:val="24"/>
        </w:rPr>
        <w:t xml:space="preserve"> </w:t>
      </w:r>
      <w:r>
        <w:rPr>
          <w:rFonts w:ascii="Times New Roman" w:hAnsi="Times New Roman" w:cs="Times New Roman"/>
          <w:sz w:val="24"/>
          <w:szCs w:val="24"/>
        </w:rPr>
        <w:t>QALYs</w:t>
      </w:r>
      <w:r w:rsidRPr="00DA07E4">
        <w:rPr>
          <w:rFonts w:ascii="Times New Roman" w:hAnsi="Times New Roman" w:cs="Times New Roman"/>
          <w:sz w:val="24"/>
          <w:szCs w:val="24"/>
        </w:rPr>
        <w:t xml:space="preserve"> pred </w:t>
      </w:r>
      <w:r>
        <w:rPr>
          <w:rFonts w:ascii="Times New Roman" w:hAnsi="Times New Roman" w:cs="Times New Roman"/>
          <w:sz w:val="24"/>
          <w:szCs w:val="24"/>
        </w:rPr>
        <w:t xml:space="preserve">intervenciou </w:t>
      </w:r>
    </w:p>
    <w:p w14:paraId="1FD30D69" w14:textId="5674D130" w:rsidR="003B4C1C" w:rsidRPr="00DA07E4" w:rsidRDefault="003B4C1C" w:rsidP="00E43A8D">
      <w:pPr>
        <w:spacing w:after="0" w:line="360" w:lineRule="auto"/>
        <w:ind w:firstLine="708"/>
        <w:jc w:val="both"/>
        <w:rPr>
          <w:rFonts w:ascii="Times New Roman" w:hAnsi="Times New Roman" w:cs="Times New Roman"/>
          <w:sz w:val="24"/>
          <w:szCs w:val="24"/>
        </w:rPr>
      </w:pPr>
      <w:r w:rsidRPr="00DA07E4">
        <w:rPr>
          <w:rFonts w:ascii="Times New Roman" w:hAnsi="Times New Roman" w:cs="Times New Roman"/>
          <w:sz w:val="24"/>
          <w:szCs w:val="24"/>
        </w:rPr>
        <w:t xml:space="preserve">a v 24. týždni po intervencii </w:t>
      </w:r>
      <w:r>
        <w:rPr>
          <w:rFonts w:ascii="Times New Roman" w:hAnsi="Times New Roman" w:cs="Times New Roman"/>
          <w:sz w:val="24"/>
          <w:szCs w:val="24"/>
        </w:rPr>
        <w:tab/>
      </w:r>
      <w:r>
        <w:rPr>
          <w:rFonts w:ascii="Times New Roman" w:hAnsi="Times New Roman" w:cs="Times New Roman"/>
          <w:sz w:val="24"/>
          <w:szCs w:val="24"/>
        </w:rPr>
        <w:tab/>
      </w:r>
      <w:bookmarkEnd w:id="34"/>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5F23">
        <w:rPr>
          <w:rFonts w:ascii="Times New Roman" w:hAnsi="Times New Roman" w:cs="Times New Roman"/>
          <w:sz w:val="24"/>
          <w:szCs w:val="24"/>
        </w:rPr>
        <w:t>5</w:t>
      </w:r>
      <w:r w:rsidR="00153945">
        <w:rPr>
          <w:rFonts w:ascii="Times New Roman" w:hAnsi="Times New Roman" w:cs="Times New Roman"/>
          <w:sz w:val="24"/>
          <w:szCs w:val="24"/>
        </w:rPr>
        <w:t>9</w:t>
      </w:r>
    </w:p>
    <w:p w14:paraId="279170EE" w14:textId="57D4B68A" w:rsidR="0028636C" w:rsidRPr="00DA07E4" w:rsidRDefault="0028636C" w:rsidP="003B4C1C">
      <w:pPr>
        <w:spacing w:after="0" w:line="360" w:lineRule="auto"/>
        <w:jc w:val="both"/>
        <w:rPr>
          <w:rFonts w:ascii="Times New Roman" w:hAnsi="Times New Roman" w:cs="Times New Roman"/>
          <w:sz w:val="24"/>
          <w:szCs w:val="24"/>
        </w:rPr>
      </w:pPr>
    </w:p>
    <w:bookmarkEnd w:id="35"/>
    <w:p w14:paraId="0C80A505" w14:textId="77777777" w:rsidR="0028636C" w:rsidRPr="00DA07E4" w:rsidRDefault="0028636C" w:rsidP="003B4C1C">
      <w:pPr>
        <w:spacing w:after="0" w:line="360" w:lineRule="auto"/>
        <w:jc w:val="both"/>
        <w:rPr>
          <w:rFonts w:ascii="Times New Roman" w:hAnsi="Times New Roman" w:cs="Times New Roman"/>
          <w:sz w:val="24"/>
          <w:szCs w:val="24"/>
        </w:rPr>
      </w:pPr>
      <w:r w:rsidRPr="00DA07E4">
        <w:rPr>
          <w:rFonts w:ascii="Times New Roman" w:hAnsi="Times New Roman" w:cs="Times New Roman"/>
          <w:sz w:val="24"/>
          <w:szCs w:val="24"/>
        </w:rPr>
        <w:br w:type="page"/>
      </w:r>
    </w:p>
    <w:p w14:paraId="5D966F31" w14:textId="1007822F" w:rsidR="003B3BCF" w:rsidRPr="00DA07E4" w:rsidRDefault="003B3BCF" w:rsidP="00DA07E4">
      <w:pPr>
        <w:spacing w:after="0" w:line="360" w:lineRule="auto"/>
        <w:jc w:val="both"/>
        <w:rPr>
          <w:rFonts w:ascii="Times New Roman" w:hAnsi="Times New Roman" w:cs="Times New Roman"/>
          <w:b/>
          <w:sz w:val="24"/>
          <w:szCs w:val="24"/>
        </w:rPr>
      </w:pPr>
      <w:bookmarkStart w:id="36" w:name="_Hlk68506375"/>
      <w:r w:rsidRPr="00DA07E4">
        <w:rPr>
          <w:rFonts w:ascii="Times New Roman" w:hAnsi="Times New Roman" w:cs="Times New Roman"/>
          <w:b/>
          <w:sz w:val="24"/>
          <w:szCs w:val="24"/>
        </w:rPr>
        <w:lastRenderedPageBreak/>
        <w:t>LITERATÚRA</w:t>
      </w:r>
    </w:p>
    <w:p w14:paraId="24152B23" w14:textId="77777777" w:rsidR="0052468A" w:rsidRPr="00DA07E4" w:rsidRDefault="0052468A" w:rsidP="00DA07E4">
      <w:pPr>
        <w:spacing w:after="0" w:line="360" w:lineRule="auto"/>
        <w:jc w:val="both"/>
        <w:rPr>
          <w:rFonts w:ascii="Times New Roman" w:hAnsi="Times New Roman" w:cs="Times New Roman"/>
          <w:b/>
          <w:sz w:val="24"/>
          <w:szCs w:val="24"/>
        </w:rPr>
      </w:pPr>
    </w:p>
    <w:p w14:paraId="70A23B10" w14:textId="3E16EE3E" w:rsidR="0052468A" w:rsidRPr="00DF5D48" w:rsidRDefault="0052468A" w:rsidP="00D135D4">
      <w:pPr>
        <w:pStyle w:val="Odstavecseseznamem"/>
        <w:numPr>
          <w:ilvl w:val="0"/>
          <w:numId w:val="19"/>
        </w:numPr>
        <w:shd w:val="clear" w:color="auto" w:fill="FFFFFF"/>
        <w:spacing w:after="0" w:line="336" w:lineRule="auto"/>
        <w:ind w:left="426" w:hanging="426"/>
        <w:jc w:val="both"/>
        <w:rPr>
          <w:rStyle w:val="Hypertextovodkaz"/>
          <w:rFonts w:ascii="Times New Roman" w:hAnsi="Times New Roman" w:cs="Times New Roman"/>
          <w:color w:val="auto"/>
          <w:sz w:val="24"/>
          <w:szCs w:val="24"/>
          <w:u w:val="none"/>
          <w:lang w:val="en-GB"/>
        </w:rPr>
      </w:pPr>
      <w:r w:rsidRPr="00DA07E4">
        <w:rPr>
          <w:rStyle w:val="doi"/>
          <w:rFonts w:ascii="Times New Roman" w:hAnsi="Times New Roman" w:cs="Times New Roman"/>
          <w:sz w:val="24"/>
          <w:szCs w:val="24"/>
          <w:lang w:val="en-GB"/>
        </w:rPr>
        <w:t xml:space="preserve">Agarwal MM. </w:t>
      </w:r>
      <w:r w:rsidRPr="00DA07E4">
        <w:rPr>
          <w:rFonts w:ascii="Times New Roman" w:hAnsi="Times New Roman" w:cs="Times New Roman"/>
          <w:sz w:val="24"/>
          <w:szCs w:val="24"/>
          <w:lang w:val="en-GB"/>
        </w:rPr>
        <w:t xml:space="preserve">Singh SK, Mavuduru R, Mandal AK. Preventive fluid and dietary therapy for urolithiasis: An appraisal of strength, controversies and lacunae of current literature. Indian </w:t>
      </w:r>
      <w:r w:rsidRPr="00BB3A19">
        <w:rPr>
          <w:rFonts w:ascii="Times New Roman" w:hAnsi="Times New Roman" w:cs="Times New Roman"/>
          <w:sz w:val="24"/>
          <w:szCs w:val="24"/>
          <w:lang w:val="en-GB"/>
        </w:rPr>
        <w:t>J Urol</w:t>
      </w:r>
      <w:r w:rsidRPr="00BB3A19">
        <w:rPr>
          <w:rStyle w:val="cit"/>
          <w:rFonts w:ascii="Times New Roman" w:hAnsi="Times New Roman" w:cs="Times New Roman"/>
          <w:sz w:val="24"/>
          <w:szCs w:val="24"/>
          <w:lang w:val="en-GB"/>
        </w:rPr>
        <w:t xml:space="preserve">. 2011; 27(3): 310–319. </w:t>
      </w:r>
      <w:r w:rsidRPr="00DF5D48">
        <w:rPr>
          <w:rStyle w:val="doi"/>
          <w:rFonts w:ascii="Times New Roman" w:hAnsi="Times New Roman" w:cs="Times New Roman"/>
          <w:sz w:val="24"/>
          <w:szCs w:val="24"/>
          <w:lang w:val="en-GB"/>
        </w:rPr>
        <w:t>doi: </w:t>
      </w:r>
      <w:hyperlink r:id="rId41" w:tgtFrame="pmc_ext" w:history="1">
        <w:r w:rsidRPr="00DF5D48">
          <w:rPr>
            <w:rStyle w:val="Hypertextovodkaz"/>
            <w:rFonts w:ascii="Times New Roman" w:hAnsi="Times New Roman" w:cs="Times New Roman"/>
            <w:color w:val="auto"/>
            <w:sz w:val="24"/>
            <w:szCs w:val="24"/>
            <w:u w:val="none"/>
            <w:lang w:val="en-GB"/>
          </w:rPr>
          <w:t>10.4103/0970-1591.85423</w:t>
        </w:r>
      </w:hyperlink>
      <w:r w:rsidR="00BB3A19" w:rsidRPr="00DF5D48">
        <w:rPr>
          <w:rStyle w:val="Hypertextovodkaz"/>
          <w:rFonts w:ascii="Times New Roman" w:hAnsi="Times New Roman" w:cs="Times New Roman"/>
          <w:color w:val="auto"/>
          <w:sz w:val="24"/>
          <w:szCs w:val="24"/>
          <w:u w:val="none"/>
          <w:lang w:val="en-GB"/>
        </w:rPr>
        <w:t>.</w:t>
      </w:r>
    </w:p>
    <w:p w14:paraId="1AC0D218" w14:textId="77777777" w:rsidR="0052468A" w:rsidRPr="00DF5D48" w:rsidRDefault="0052468A" w:rsidP="00D135D4">
      <w:pPr>
        <w:spacing w:after="0" w:line="336" w:lineRule="auto"/>
        <w:ind w:left="426" w:hanging="426"/>
        <w:jc w:val="both"/>
        <w:rPr>
          <w:rFonts w:ascii="Times New Roman" w:hAnsi="Times New Roman" w:cs="Times New Roman"/>
          <w:sz w:val="24"/>
          <w:szCs w:val="24"/>
          <w:lang w:val="en-GB"/>
        </w:rPr>
      </w:pPr>
    </w:p>
    <w:p w14:paraId="040099C8" w14:textId="705F4859" w:rsidR="0036437E" w:rsidRPr="00DF5D48" w:rsidRDefault="0036437E"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Aihara K, Byer KJ, Khan SR. Calcium phosphate-induced renal epithelial injury and stone formation: involvement of reactive oxygen species. Kidney Int</w:t>
      </w:r>
      <w:r w:rsidR="00CC1230" w:rsidRPr="00DF5D48">
        <w:rPr>
          <w:rFonts w:ascii="Times New Roman" w:hAnsi="Times New Roman" w:cs="Times New Roman"/>
          <w:sz w:val="24"/>
          <w:szCs w:val="24"/>
        </w:rPr>
        <w:t>.</w:t>
      </w:r>
      <w:r w:rsidRPr="00DF5D48">
        <w:rPr>
          <w:rFonts w:ascii="Times New Roman" w:hAnsi="Times New Roman" w:cs="Times New Roman"/>
          <w:sz w:val="24"/>
          <w:szCs w:val="24"/>
        </w:rPr>
        <w:t xml:space="preserve"> 2003;</w:t>
      </w:r>
      <w:r w:rsidR="00CC1230" w:rsidRPr="00DF5D48">
        <w:rPr>
          <w:rFonts w:ascii="Times New Roman" w:hAnsi="Times New Roman" w:cs="Times New Roman"/>
          <w:sz w:val="24"/>
          <w:szCs w:val="24"/>
        </w:rPr>
        <w:t xml:space="preserve"> </w:t>
      </w:r>
      <w:r w:rsidRPr="00DF5D48">
        <w:rPr>
          <w:rFonts w:ascii="Times New Roman" w:hAnsi="Times New Roman" w:cs="Times New Roman"/>
          <w:sz w:val="24"/>
          <w:szCs w:val="24"/>
        </w:rPr>
        <w:t>64(4):</w:t>
      </w:r>
      <w:r w:rsidR="00CC1230" w:rsidRPr="00DF5D48">
        <w:rPr>
          <w:rFonts w:ascii="Times New Roman" w:hAnsi="Times New Roman" w:cs="Times New Roman"/>
          <w:sz w:val="24"/>
          <w:szCs w:val="24"/>
        </w:rPr>
        <w:t xml:space="preserve"> </w:t>
      </w:r>
      <w:r w:rsidRPr="00DF5D48">
        <w:rPr>
          <w:rFonts w:ascii="Times New Roman" w:hAnsi="Times New Roman" w:cs="Times New Roman"/>
          <w:sz w:val="24"/>
          <w:szCs w:val="24"/>
        </w:rPr>
        <w:t>1283–1291</w:t>
      </w:r>
      <w:r w:rsidR="00BB3A19" w:rsidRPr="00DF5D48">
        <w:rPr>
          <w:rFonts w:ascii="Times New Roman" w:hAnsi="Times New Roman" w:cs="Times New Roman"/>
          <w:sz w:val="24"/>
          <w:szCs w:val="24"/>
        </w:rPr>
        <w:t>.</w:t>
      </w:r>
      <w:r w:rsidR="00CC1230" w:rsidRPr="00DF5D48">
        <w:rPr>
          <w:rFonts w:ascii="Times New Roman" w:hAnsi="Times New Roman" w:cs="Times New Roman"/>
          <w:sz w:val="24"/>
          <w:szCs w:val="24"/>
        </w:rPr>
        <w:t xml:space="preserve"> </w:t>
      </w:r>
      <w:r w:rsidR="00CC1230" w:rsidRPr="00DF5D48">
        <w:rPr>
          <w:rFonts w:ascii="Times New Roman" w:hAnsi="Times New Roman" w:cs="Times New Roman"/>
          <w:sz w:val="24"/>
          <w:szCs w:val="24"/>
          <w:shd w:val="clear" w:color="auto" w:fill="FFFFFF"/>
        </w:rPr>
        <w:t>doi: 10.1046/j.1523-1755.2003.00226.x.</w:t>
      </w:r>
    </w:p>
    <w:p w14:paraId="261831C6" w14:textId="77777777" w:rsidR="0036437E" w:rsidRPr="00DF5D48" w:rsidRDefault="0036437E" w:rsidP="00D135D4">
      <w:pPr>
        <w:pStyle w:val="Odstavecseseznamem"/>
        <w:spacing w:after="0" w:line="336" w:lineRule="auto"/>
        <w:rPr>
          <w:rFonts w:ascii="Times New Roman" w:hAnsi="Times New Roman" w:cs="Times New Roman"/>
          <w:sz w:val="24"/>
          <w:szCs w:val="24"/>
          <w:lang w:val="en-GB"/>
        </w:rPr>
      </w:pPr>
    </w:p>
    <w:p w14:paraId="7248B12A" w14:textId="302E8712"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lang w:val="en-GB"/>
        </w:rPr>
        <w:t xml:space="preserve">Alsaikhan B, Andonian S. Shock wave lithotripsy in patients requiring anticoagulation or antiplatelet agents. Can Urol Assoc J. 2011; 5(1): 53-57. </w:t>
      </w:r>
      <w:r w:rsidRPr="00DF5D48">
        <w:rPr>
          <w:rFonts w:ascii="Times New Roman" w:hAnsi="Times New Roman" w:cs="Times New Roman"/>
          <w:sz w:val="24"/>
          <w:szCs w:val="24"/>
          <w:shd w:val="clear" w:color="auto" w:fill="FFFFFF"/>
          <w:lang w:val="en-GB"/>
        </w:rPr>
        <w:t>doi: </w:t>
      </w:r>
      <w:hyperlink r:id="rId42" w:tgtFrame="pmc_ext" w:history="1">
        <w:r w:rsidRPr="00DF5D48">
          <w:rPr>
            <w:rStyle w:val="Hypertextovodkaz"/>
            <w:rFonts w:ascii="Times New Roman" w:hAnsi="Times New Roman" w:cs="Times New Roman"/>
            <w:color w:val="auto"/>
            <w:sz w:val="24"/>
            <w:szCs w:val="24"/>
            <w:u w:val="none"/>
            <w:shd w:val="clear" w:color="auto" w:fill="FFFFFF"/>
            <w:lang w:val="en-GB"/>
          </w:rPr>
          <w:t>10.5489/cuaj.09140</w:t>
        </w:r>
      </w:hyperlink>
      <w:r w:rsidRPr="00DF5D48">
        <w:rPr>
          <w:rFonts w:ascii="Times New Roman" w:hAnsi="Times New Roman" w:cs="Times New Roman"/>
          <w:sz w:val="24"/>
          <w:szCs w:val="24"/>
          <w:lang w:val="en-GB"/>
        </w:rPr>
        <w:t xml:space="preserve"> </w:t>
      </w:r>
    </w:p>
    <w:p w14:paraId="69C19F47"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44084CEC" w14:textId="480A16B0"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Style w:val="A2"/>
          <w:rFonts w:ascii="Times New Roman" w:hAnsi="Times New Roman" w:cs="Times New Roman"/>
          <w:color w:val="auto"/>
          <w:sz w:val="24"/>
          <w:szCs w:val="24"/>
          <w:lang w:val="en-GB"/>
        </w:rPr>
        <w:t xml:space="preserve">Angell J, Bryant M, Tu H, Goodman M, Pattaras J, Ogan K. Association of depression and urolithiasis. Urology. 2012; 79(3): 518-525. </w:t>
      </w:r>
      <w:r w:rsidRPr="00DF5D48">
        <w:rPr>
          <w:rFonts w:ascii="Times New Roman" w:hAnsi="Times New Roman" w:cs="Times New Roman"/>
          <w:sz w:val="24"/>
          <w:szCs w:val="24"/>
          <w:shd w:val="clear" w:color="auto" w:fill="FFFFFF"/>
          <w:lang w:val="en-GB"/>
        </w:rPr>
        <w:t>doi: 10.1016/j.urology.2011.10.007.</w:t>
      </w:r>
    </w:p>
    <w:p w14:paraId="0D7BC351"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35913663" w14:textId="38946C5E" w:rsidR="00B54AB8" w:rsidRPr="00DF5D48" w:rsidRDefault="00B54AB8"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rPr>
        <w:t>Assimos, D., Krambeck, A., Miller, N.L., Monga, M., Murad, M.H., Nelson, C.P., Pace, K.T., Pais, V.M., Jr., Pearle, M.S., Preminger, G.M., Razvi, H., Shah, O., Matlaga, B.R. Surgical Management of Stones: American Urological Association/Endourological Society Guideline, PART II. J Urol</w:t>
      </w:r>
      <w:r w:rsidR="0037739A" w:rsidRPr="00DF5D48">
        <w:rPr>
          <w:rFonts w:ascii="Times New Roman" w:hAnsi="Times New Roman" w:cs="Times New Roman"/>
          <w:sz w:val="24"/>
          <w:szCs w:val="24"/>
        </w:rPr>
        <w:t>.</w:t>
      </w:r>
      <w:r w:rsidRPr="00DF5D48">
        <w:rPr>
          <w:rFonts w:ascii="Times New Roman" w:hAnsi="Times New Roman" w:cs="Times New Roman"/>
          <w:sz w:val="24"/>
          <w:szCs w:val="24"/>
        </w:rPr>
        <w:t xml:space="preserve"> 2016;</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196 (4):</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1161-1169</w:t>
      </w:r>
      <w:r w:rsidR="0037739A" w:rsidRPr="00DF5D48">
        <w:rPr>
          <w:rFonts w:ascii="Times New Roman" w:hAnsi="Times New Roman" w:cs="Times New Roman"/>
          <w:sz w:val="24"/>
          <w:szCs w:val="24"/>
        </w:rPr>
        <w:t xml:space="preserve">. </w:t>
      </w:r>
      <w:r w:rsidR="0037739A" w:rsidRPr="00DF5D48">
        <w:rPr>
          <w:rFonts w:ascii="Times New Roman" w:hAnsi="Times New Roman" w:cs="Times New Roman"/>
          <w:sz w:val="24"/>
          <w:szCs w:val="24"/>
          <w:shd w:val="clear" w:color="auto" w:fill="FFFFFF"/>
        </w:rPr>
        <w:t>doi: 10.1016/j.juro.2016.05.091. </w:t>
      </w:r>
    </w:p>
    <w:p w14:paraId="1EE03322" w14:textId="77777777" w:rsidR="00B54AB8" w:rsidRPr="00DF5D48" w:rsidRDefault="00B54AB8" w:rsidP="00D135D4">
      <w:pPr>
        <w:pStyle w:val="Odstavecseseznamem"/>
        <w:spacing w:after="0" w:line="336" w:lineRule="auto"/>
        <w:rPr>
          <w:rFonts w:ascii="Times New Roman" w:eastAsia="Times New Roman" w:hAnsi="Times New Roman" w:cs="Times New Roman"/>
          <w:sz w:val="24"/>
          <w:szCs w:val="24"/>
          <w:lang w:val="en-GB" w:eastAsia="sk-SK"/>
        </w:rPr>
      </w:pPr>
    </w:p>
    <w:p w14:paraId="0A76D4F6" w14:textId="7225F768" w:rsidR="008D1014" w:rsidRPr="00A3085C"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eastAsia="Times New Roman" w:hAnsi="Times New Roman" w:cs="Times New Roman"/>
          <w:sz w:val="24"/>
          <w:szCs w:val="24"/>
          <w:lang w:val="en-GB" w:eastAsia="sk-SK"/>
        </w:rPr>
        <w:t xml:space="preserve">Atalay HA, Ulker V, Canat, L, Murat O, </w:t>
      </w:r>
      <w:r w:rsidRPr="00A3085C">
        <w:rPr>
          <w:rFonts w:ascii="Times New Roman" w:eastAsia="Times New Roman" w:hAnsi="Times New Roman" w:cs="Times New Roman"/>
          <w:sz w:val="24"/>
          <w:szCs w:val="24"/>
          <w:lang w:val="en-GB" w:eastAsia="sk-SK"/>
        </w:rPr>
        <w:t xml:space="preserve">Can O, Penniston KL. </w:t>
      </w:r>
      <w:hyperlink r:id="rId43" w:history="1">
        <w:r w:rsidRPr="00A3085C">
          <w:rPr>
            <w:rFonts w:ascii="Times New Roman" w:eastAsia="Times New Roman" w:hAnsi="Times New Roman" w:cs="Times New Roman"/>
            <w:sz w:val="24"/>
            <w:szCs w:val="24"/>
            <w:shd w:val="clear" w:color="auto" w:fill="FFFFFF"/>
            <w:lang w:val="en-GB" w:eastAsia="sk-SK"/>
          </w:rPr>
          <w:t>Validation of the Turkish version of the Wisconsin stone-quality of life questionnaire.</w:t>
        </w:r>
      </w:hyperlink>
      <w:r w:rsidRPr="00A3085C">
        <w:rPr>
          <w:rFonts w:ascii="Times New Roman" w:eastAsia="Times New Roman" w:hAnsi="Times New Roman" w:cs="Times New Roman"/>
          <w:sz w:val="24"/>
          <w:szCs w:val="24"/>
          <w:lang w:val="en-GB" w:eastAsia="sk-SK"/>
        </w:rPr>
        <w:t xml:space="preserve"> Turk J Urol. 2018; 45(2): 118-123. </w:t>
      </w:r>
      <w:r w:rsidRPr="00A3085C">
        <w:rPr>
          <w:rFonts w:ascii="Times New Roman" w:hAnsi="Times New Roman" w:cs="Times New Roman"/>
          <w:sz w:val="24"/>
          <w:szCs w:val="24"/>
          <w:shd w:val="clear" w:color="auto" w:fill="FFFFFF"/>
          <w:lang w:val="en-GB"/>
        </w:rPr>
        <w:t>doi: 10.5152/tud.2018.35305.</w:t>
      </w:r>
    </w:p>
    <w:p w14:paraId="0BD4A46E" w14:textId="77777777" w:rsidR="008D1014" w:rsidRPr="00A3085C" w:rsidRDefault="008D1014" w:rsidP="00D135D4">
      <w:pPr>
        <w:pStyle w:val="Odstavecseseznamem"/>
        <w:spacing w:after="0" w:line="336" w:lineRule="auto"/>
        <w:rPr>
          <w:rFonts w:ascii="Times New Roman" w:hAnsi="Times New Roman" w:cs="Times New Roman"/>
          <w:sz w:val="24"/>
          <w:szCs w:val="24"/>
        </w:rPr>
      </w:pPr>
    </w:p>
    <w:p w14:paraId="06677A21" w14:textId="1B6AE126" w:rsidR="008D1014" w:rsidRPr="00DF5D48" w:rsidRDefault="008D1014"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A3085C">
        <w:rPr>
          <w:rFonts w:ascii="Times New Roman" w:hAnsi="Times New Roman" w:cs="Times New Roman"/>
          <w:sz w:val="24"/>
          <w:szCs w:val="24"/>
        </w:rPr>
        <w:t>Babayan, RK, Birkett DH, Siroky MB, Krane RJ. Urologic applications of</w:t>
      </w:r>
      <w:r w:rsidRPr="00A3085C">
        <w:rPr>
          <w:rStyle w:val="apple-converted-space"/>
          <w:rFonts w:ascii="Times New Roman" w:hAnsi="Times New Roman" w:cs="Times New Roman"/>
          <w:sz w:val="24"/>
          <w:szCs w:val="24"/>
        </w:rPr>
        <w:t> </w:t>
      </w:r>
      <w:r w:rsidRPr="00A3085C">
        <w:rPr>
          <w:rStyle w:val="scopustermhighlight"/>
          <w:rFonts w:ascii="Times New Roman" w:hAnsi="Times New Roman" w:cs="Times New Roman"/>
          <w:sz w:val="24"/>
          <w:szCs w:val="24"/>
        </w:rPr>
        <w:t>flexible</w:t>
      </w:r>
      <w:r w:rsidRPr="00A3085C">
        <w:rPr>
          <w:rStyle w:val="apple-converted-space"/>
          <w:rFonts w:ascii="Times New Roman" w:hAnsi="Times New Roman" w:cs="Times New Roman"/>
          <w:sz w:val="24"/>
          <w:szCs w:val="24"/>
        </w:rPr>
        <w:t> </w:t>
      </w:r>
      <w:r w:rsidRPr="00A3085C">
        <w:rPr>
          <w:rFonts w:ascii="Times New Roman" w:hAnsi="Times New Roman" w:cs="Times New Roman"/>
          <w:sz w:val="24"/>
          <w:szCs w:val="24"/>
        </w:rPr>
        <w:t>fiberoptic choledochonephroscope. Urology</w:t>
      </w:r>
      <w:r w:rsidR="0037739A" w:rsidRPr="00A3085C">
        <w:rPr>
          <w:rFonts w:ascii="Times New Roman" w:hAnsi="Times New Roman" w:cs="Times New Roman"/>
          <w:sz w:val="24"/>
          <w:szCs w:val="24"/>
        </w:rPr>
        <w:t>.</w:t>
      </w:r>
      <w:r w:rsidRPr="00A3085C">
        <w:rPr>
          <w:rFonts w:ascii="Times New Roman" w:hAnsi="Times New Roman" w:cs="Times New Roman"/>
          <w:sz w:val="24"/>
          <w:szCs w:val="24"/>
        </w:rPr>
        <w:t xml:space="preserve"> 1983;</w:t>
      </w:r>
      <w:r w:rsidRPr="00A3085C">
        <w:rPr>
          <w:rFonts w:ascii="Times New Roman" w:hAnsi="Times New Roman" w:cs="Times New Roman"/>
          <w:sz w:val="24"/>
          <w:szCs w:val="24"/>
          <w:shd w:val="clear" w:color="auto" w:fill="FFFFFF"/>
        </w:rPr>
        <w:t xml:space="preserve"> 21(2):</w:t>
      </w:r>
      <w:r w:rsidR="0037739A" w:rsidRPr="00DF5D48">
        <w:rPr>
          <w:rFonts w:ascii="Times New Roman" w:hAnsi="Times New Roman" w:cs="Times New Roman"/>
          <w:sz w:val="24"/>
          <w:szCs w:val="24"/>
          <w:shd w:val="clear" w:color="auto" w:fill="FFFFFF"/>
        </w:rPr>
        <w:t xml:space="preserve"> </w:t>
      </w:r>
      <w:r w:rsidRPr="00DF5D48">
        <w:rPr>
          <w:rFonts w:ascii="Times New Roman" w:hAnsi="Times New Roman" w:cs="Times New Roman"/>
          <w:sz w:val="24"/>
          <w:szCs w:val="24"/>
          <w:shd w:val="clear" w:color="auto" w:fill="FFFFFF"/>
        </w:rPr>
        <w:t>185-187</w:t>
      </w:r>
      <w:r w:rsidR="0037739A" w:rsidRPr="00DF5D48">
        <w:rPr>
          <w:rFonts w:ascii="Times New Roman" w:hAnsi="Times New Roman" w:cs="Times New Roman"/>
          <w:sz w:val="24"/>
          <w:szCs w:val="24"/>
          <w:shd w:val="clear" w:color="auto" w:fill="FFFFFF"/>
        </w:rPr>
        <w:t>. doi: 10.1016/0090-4295(83)90022-5.</w:t>
      </w:r>
    </w:p>
    <w:p w14:paraId="4AC4F045" w14:textId="77777777" w:rsidR="008D1014" w:rsidRPr="00DF5D48" w:rsidRDefault="008D1014" w:rsidP="00D135D4">
      <w:pPr>
        <w:pStyle w:val="Odstavecseseznamem"/>
        <w:spacing w:after="0" w:line="336" w:lineRule="auto"/>
        <w:rPr>
          <w:rFonts w:ascii="Times New Roman" w:eastAsia="Times New Roman" w:hAnsi="Times New Roman" w:cs="Times New Roman"/>
          <w:sz w:val="24"/>
          <w:szCs w:val="24"/>
          <w:lang w:val="en-GB" w:eastAsia="sk-SK"/>
        </w:rPr>
      </w:pPr>
    </w:p>
    <w:p w14:paraId="515C3978" w14:textId="4E64A700" w:rsidR="0052468A" w:rsidRPr="00DF5D48"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eastAsia="Times New Roman" w:hAnsi="Times New Roman" w:cs="Times New Roman"/>
          <w:sz w:val="24"/>
          <w:szCs w:val="24"/>
          <w:lang w:val="en-GB" w:eastAsia="sk-SK"/>
        </w:rPr>
        <w:t xml:space="preserve">Basulto-Martínez M, Olvera-Posada D, Velueta-Martínez IA, Méndez-Probst C, Flores-Tapia JP, Penniston K, Guerrero-Putz MD, Heinze A. </w:t>
      </w:r>
      <w:hyperlink r:id="rId44" w:history="1">
        <w:r w:rsidRPr="00DF5D48">
          <w:rPr>
            <w:rFonts w:ascii="Times New Roman" w:eastAsia="Times New Roman" w:hAnsi="Times New Roman" w:cs="Times New Roman"/>
            <w:sz w:val="24"/>
            <w:szCs w:val="24"/>
            <w:shd w:val="clear" w:color="auto" w:fill="FFFFFF"/>
            <w:lang w:val="en-GB" w:eastAsia="sk-SK"/>
          </w:rPr>
          <w:t xml:space="preserve">Quality of life in patients with kidney stones: translation and validation of the Spanish Wisconsin </w:t>
        </w:r>
        <w:r w:rsidRPr="00DF5D48">
          <w:rPr>
            <w:rFonts w:ascii="Times New Roman" w:eastAsia="Times New Roman" w:hAnsi="Times New Roman" w:cs="Times New Roman"/>
            <w:sz w:val="24"/>
            <w:szCs w:val="24"/>
            <w:shd w:val="clear" w:color="auto" w:fill="FFFFFF"/>
            <w:lang w:val="en-GB" w:eastAsia="sk-SK"/>
          </w:rPr>
          <w:lastRenderedPageBreak/>
          <w:t>Stone Quality of Life Questionnaire.</w:t>
        </w:r>
      </w:hyperlink>
      <w:r w:rsidRPr="00DF5D48">
        <w:rPr>
          <w:rFonts w:ascii="Times New Roman" w:eastAsia="Times New Roman" w:hAnsi="Times New Roman" w:cs="Times New Roman"/>
          <w:sz w:val="24"/>
          <w:szCs w:val="24"/>
          <w:lang w:val="en-GB" w:eastAsia="sk-SK"/>
        </w:rPr>
        <w:t xml:space="preserve"> Urolithiasis. 2020; 48(5): 419-424. </w:t>
      </w:r>
      <w:r w:rsidRPr="00DF5D48">
        <w:rPr>
          <w:rFonts w:ascii="Times New Roman" w:hAnsi="Times New Roman" w:cs="Times New Roman"/>
          <w:sz w:val="24"/>
          <w:szCs w:val="24"/>
          <w:shd w:val="clear" w:color="auto" w:fill="FFFFFF"/>
          <w:lang w:val="en-GB"/>
        </w:rPr>
        <w:t>doi: 10.1007/s00240-020-01192-9.</w:t>
      </w:r>
    </w:p>
    <w:p w14:paraId="5A159FA3" w14:textId="77777777" w:rsidR="0052468A" w:rsidRPr="00DF5D48" w:rsidRDefault="0052468A" w:rsidP="00D135D4">
      <w:pPr>
        <w:spacing w:after="0" w:line="336" w:lineRule="auto"/>
        <w:ind w:left="426" w:hanging="426"/>
        <w:jc w:val="both"/>
        <w:rPr>
          <w:rFonts w:ascii="Times New Roman" w:eastAsia="Times New Roman" w:hAnsi="Times New Roman" w:cs="Times New Roman"/>
          <w:sz w:val="24"/>
          <w:szCs w:val="24"/>
          <w:lang w:val="en-GB" w:eastAsia="sk-SK"/>
        </w:rPr>
      </w:pPr>
    </w:p>
    <w:p w14:paraId="0A9A1167"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Bergman J, Laviana A. Quality-of-life assessment tools for men with prostate cancer. Nat Rev Urol. 2014; 11(6): 352-359. doi: 10.1038/nrurol.2014.101.</w:t>
      </w:r>
    </w:p>
    <w:p w14:paraId="539A4015"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p>
    <w:p w14:paraId="6474984A" w14:textId="4F77E351"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Borghi L, Meschi T, Amato F, Briganti A, Novarini A, Giannini A. Urinary Volume, Water and Recurrences in Idiopathic Calcium Nephrolithiasis: A 5-year Randomized Prospective Study. </w:t>
      </w:r>
      <w:r w:rsidRPr="00DF5D48">
        <w:rPr>
          <w:rStyle w:val="ref-journal"/>
          <w:rFonts w:ascii="Times New Roman" w:hAnsi="Times New Roman" w:cs="Times New Roman"/>
          <w:sz w:val="24"/>
          <w:szCs w:val="24"/>
          <w:shd w:val="clear" w:color="auto" w:fill="FFFFFF"/>
          <w:lang w:val="en-GB"/>
        </w:rPr>
        <w:t>J Urol. </w:t>
      </w:r>
      <w:r w:rsidRPr="00DF5D48">
        <w:rPr>
          <w:rFonts w:ascii="Times New Roman" w:hAnsi="Times New Roman" w:cs="Times New Roman"/>
          <w:sz w:val="24"/>
          <w:szCs w:val="24"/>
          <w:shd w:val="clear" w:color="auto" w:fill="FFFFFF"/>
          <w:lang w:val="en-GB"/>
        </w:rPr>
        <w:t xml:space="preserve">1996; </w:t>
      </w:r>
      <w:r w:rsidRPr="00DF5D48">
        <w:rPr>
          <w:rStyle w:val="ref-vol"/>
          <w:rFonts w:ascii="Times New Roman" w:hAnsi="Times New Roman" w:cs="Times New Roman"/>
          <w:sz w:val="24"/>
          <w:szCs w:val="24"/>
          <w:shd w:val="clear" w:color="auto" w:fill="FFFFFF"/>
          <w:lang w:val="en-GB"/>
        </w:rPr>
        <w:t>155(3)</w:t>
      </w:r>
      <w:r w:rsidRPr="00DF5D48">
        <w:rPr>
          <w:rFonts w:ascii="Times New Roman" w:hAnsi="Times New Roman" w:cs="Times New Roman"/>
          <w:sz w:val="24"/>
          <w:szCs w:val="24"/>
          <w:shd w:val="clear" w:color="auto" w:fill="FFFFFF"/>
          <w:lang w:val="en-GB"/>
        </w:rPr>
        <w:t>: 839–843. doi: 10.1016/S0022-5347(01)66321-3.</w:t>
      </w:r>
    </w:p>
    <w:p w14:paraId="70C40018" w14:textId="77777777" w:rsidR="005232A4" w:rsidRPr="00DF5D48" w:rsidRDefault="005232A4" w:rsidP="005232A4">
      <w:pPr>
        <w:pStyle w:val="Odstavecseseznamem"/>
        <w:rPr>
          <w:rFonts w:ascii="Times New Roman" w:hAnsi="Times New Roman" w:cs="Times New Roman"/>
          <w:sz w:val="24"/>
          <w:szCs w:val="24"/>
          <w:shd w:val="clear" w:color="auto" w:fill="FFFFFF"/>
          <w:lang w:val="en-GB"/>
        </w:rPr>
      </w:pPr>
    </w:p>
    <w:p w14:paraId="45588A72" w14:textId="4F6853E9" w:rsidR="005232A4" w:rsidRPr="00DF5D48" w:rsidRDefault="005232A4" w:rsidP="005232A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Borghi L, Schianchi T, Meschi T, Guerra A, Allegri F, Maggiore U, Novarini A. Comparison of two diets for the prevention of recurrent stones in idiopathic hypercalciuria. </w:t>
      </w:r>
      <w:r w:rsidRPr="00DF5D48">
        <w:rPr>
          <w:rStyle w:val="ref-journal"/>
          <w:rFonts w:ascii="Times New Roman" w:hAnsi="Times New Roman" w:cs="Times New Roman"/>
          <w:sz w:val="24"/>
          <w:szCs w:val="24"/>
          <w:lang w:val="en-GB"/>
        </w:rPr>
        <w:t>N Engl J Med. </w:t>
      </w:r>
      <w:r w:rsidRPr="00DF5D48">
        <w:rPr>
          <w:rStyle w:val="element-citation"/>
          <w:rFonts w:ascii="Times New Roman" w:hAnsi="Times New Roman" w:cs="Times New Roman"/>
          <w:sz w:val="24"/>
          <w:szCs w:val="24"/>
          <w:lang w:val="en-GB"/>
        </w:rPr>
        <w:t xml:space="preserve">2002; </w:t>
      </w:r>
      <w:r w:rsidRPr="00DF5D48">
        <w:rPr>
          <w:rStyle w:val="ref-vol"/>
          <w:rFonts w:ascii="Times New Roman" w:hAnsi="Times New Roman" w:cs="Times New Roman"/>
          <w:sz w:val="24"/>
          <w:szCs w:val="24"/>
          <w:lang w:val="en-GB"/>
        </w:rPr>
        <w:t>346</w:t>
      </w:r>
      <w:r w:rsidRPr="00DF5D48">
        <w:rPr>
          <w:rStyle w:val="element-citation"/>
          <w:rFonts w:ascii="Times New Roman" w:hAnsi="Times New Roman" w:cs="Times New Roman"/>
          <w:sz w:val="24"/>
          <w:szCs w:val="24"/>
          <w:lang w:val="en-GB"/>
        </w:rPr>
        <w:t>(2): 77–84. doi: 10.1056/NEJMoa010369.</w:t>
      </w:r>
    </w:p>
    <w:p w14:paraId="680328CB"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p>
    <w:p w14:paraId="5C40F2C0" w14:textId="77777777" w:rsidR="0052468A" w:rsidRPr="00DF5D48" w:rsidRDefault="0052468A" w:rsidP="00D135D4">
      <w:pPr>
        <w:pStyle w:val="Odstavecseseznamem"/>
        <w:numPr>
          <w:ilvl w:val="0"/>
          <w:numId w:val="19"/>
        </w:numPr>
        <w:spacing w:after="0" w:line="336" w:lineRule="auto"/>
        <w:ind w:left="426" w:hanging="426"/>
        <w:jc w:val="both"/>
        <w:rPr>
          <w:rStyle w:val="doi"/>
          <w:rFonts w:ascii="Times New Roman" w:hAnsi="Times New Roman" w:cs="Times New Roman"/>
          <w:sz w:val="24"/>
          <w:szCs w:val="24"/>
          <w:lang w:val="en-GB"/>
        </w:rPr>
      </w:pPr>
      <w:r w:rsidRPr="00DF5D48">
        <w:rPr>
          <w:rFonts w:ascii="Times New Roman" w:hAnsi="Times New Roman" w:cs="Times New Roman"/>
          <w:sz w:val="24"/>
          <w:szCs w:val="24"/>
          <w:lang w:val="en-GB"/>
        </w:rPr>
        <w:t xml:space="preserve">Brikowski TH, Lotan Y, Pearle MS. </w:t>
      </w:r>
      <w:hyperlink r:id="rId45" w:history="1">
        <w:r w:rsidRPr="00DF5D48">
          <w:rPr>
            <w:rStyle w:val="Hypertextovodkaz"/>
            <w:rFonts w:ascii="Times New Roman" w:hAnsi="Times New Roman" w:cs="Times New Roman"/>
            <w:color w:val="auto"/>
            <w:sz w:val="24"/>
            <w:szCs w:val="24"/>
            <w:u w:val="none"/>
            <w:lang w:val="en-GB"/>
          </w:rPr>
          <w:t>Climate-related increase in the prevalence of urolithiasis in the United States</w:t>
        </w:r>
      </w:hyperlink>
      <w:r w:rsidRPr="00DF5D48">
        <w:rPr>
          <w:rStyle w:val="Hypertextovodkaz"/>
          <w:rFonts w:ascii="Times New Roman" w:hAnsi="Times New Roman" w:cs="Times New Roman"/>
          <w:color w:val="auto"/>
          <w:sz w:val="24"/>
          <w:szCs w:val="24"/>
          <w:u w:val="none"/>
          <w:lang w:val="en-GB"/>
        </w:rPr>
        <w:t xml:space="preserve">. </w:t>
      </w:r>
      <w:r w:rsidRPr="00DF5D48">
        <w:rPr>
          <w:rFonts w:ascii="Times New Roman" w:hAnsi="Times New Roman" w:cs="Times New Roman"/>
          <w:sz w:val="24"/>
          <w:szCs w:val="24"/>
          <w:lang w:val="en-GB"/>
        </w:rPr>
        <w:t>Proc Natl Acad Sci U S A. </w:t>
      </w:r>
      <w:r w:rsidRPr="00DF5D48">
        <w:rPr>
          <w:rStyle w:val="citation-publication-date"/>
          <w:rFonts w:ascii="Times New Roman" w:hAnsi="Times New Roman" w:cs="Times New Roman"/>
          <w:sz w:val="24"/>
          <w:szCs w:val="24"/>
          <w:lang w:val="en-GB"/>
        </w:rPr>
        <w:t xml:space="preserve">2008; </w:t>
      </w:r>
      <w:r w:rsidRPr="00DF5D48">
        <w:rPr>
          <w:rFonts w:ascii="Times New Roman" w:hAnsi="Times New Roman" w:cs="Times New Roman"/>
          <w:sz w:val="24"/>
          <w:szCs w:val="24"/>
          <w:lang w:val="en-GB"/>
        </w:rPr>
        <w:t>105(28): 9841-9846. </w:t>
      </w:r>
      <w:r w:rsidRPr="00DF5D48">
        <w:rPr>
          <w:rStyle w:val="doi"/>
          <w:rFonts w:ascii="Times New Roman" w:hAnsi="Times New Roman" w:cs="Times New Roman"/>
          <w:sz w:val="24"/>
          <w:szCs w:val="24"/>
          <w:lang w:val="en-GB"/>
        </w:rPr>
        <w:t>doi: 10.1073/pnas.0709652105</w:t>
      </w:r>
    </w:p>
    <w:p w14:paraId="42AD8505" w14:textId="77777777" w:rsidR="0052468A" w:rsidRPr="00DF5D48" w:rsidRDefault="0052468A" w:rsidP="00D135D4">
      <w:pPr>
        <w:spacing w:after="0" w:line="336" w:lineRule="auto"/>
        <w:ind w:left="426" w:hanging="426"/>
        <w:jc w:val="both"/>
        <w:textAlignment w:val="baseline"/>
        <w:rPr>
          <w:rFonts w:ascii="Times New Roman" w:hAnsi="Times New Roman" w:cs="Times New Roman"/>
          <w:sz w:val="24"/>
          <w:szCs w:val="24"/>
          <w:shd w:val="clear" w:color="auto" w:fill="FFFFFF"/>
          <w:lang w:val="en-GB"/>
        </w:rPr>
      </w:pPr>
    </w:p>
    <w:p w14:paraId="15D4DF6B"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bookmarkStart w:id="37" w:name="_Hlk53087756"/>
      <w:r w:rsidRPr="00DF5D48">
        <w:rPr>
          <w:rFonts w:ascii="Times New Roman" w:hAnsi="Times New Roman" w:cs="Times New Roman"/>
          <w:sz w:val="24"/>
          <w:szCs w:val="24"/>
          <w:shd w:val="clear" w:color="auto" w:fill="FFFFFF"/>
          <w:lang w:val="en-GB"/>
        </w:rPr>
        <w:t xml:space="preserve">Brisbane W, Bailey MR, Sorensen MD. </w:t>
      </w:r>
      <w:r w:rsidRPr="00DF5D48">
        <w:rPr>
          <w:rFonts w:ascii="Times New Roman" w:eastAsia="Times New Roman" w:hAnsi="Times New Roman" w:cs="Times New Roman"/>
          <w:bCs/>
          <w:kern w:val="36"/>
          <w:sz w:val="24"/>
          <w:szCs w:val="24"/>
          <w:lang w:val="en-GB" w:eastAsia="sk-SK"/>
        </w:rPr>
        <w:t>An overview of kidney stone imaging techniques.</w:t>
      </w:r>
      <w:r w:rsidRPr="00DF5D48">
        <w:rPr>
          <w:rFonts w:ascii="Times New Roman" w:eastAsia="Times New Roman" w:hAnsi="Times New Roman" w:cs="Times New Roman"/>
          <w:sz w:val="24"/>
          <w:szCs w:val="24"/>
          <w:lang w:val="en-GB" w:eastAsia="sk-SK"/>
        </w:rPr>
        <w:t xml:space="preserve"> Nat Rev Urol. 2016; 13(11): 654-662. doi: 10.1038/nrurol.2016.154. </w:t>
      </w:r>
    </w:p>
    <w:p w14:paraId="228BD41B" w14:textId="77777777" w:rsidR="0052468A" w:rsidRPr="00DF5D48" w:rsidRDefault="0052468A" w:rsidP="00D135D4">
      <w:pPr>
        <w:shd w:val="clear" w:color="auto" w:fill="FFFFFF"/>
        <w:spacing w:after="0" w:line="336" w:lineRule="auto"/>
        <w:ind w:left="426" w:hanging="426"/>
        <w:jc w:val="both"/>
        <w:rPr>
          <w:rFonts w:ascii="Times New Roman" w:eastAsia="Times New Roman" w:hAnsi="Times New Roman" w:cs="Times New Roman"/>
          <w:bCs/>
          <w:kern w:val="36"/>
          <w:sz w:val="24"/>
          <w:szCs w:val="24"/>
          <w:lang w:val="en-GB" w:eastAsia="sk-SK"/>
        </w:rPr>
      </w:pPr>
    </w:p>
    <w:p w14:paraId="6954C72E"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shd w:val="clear" w:color="auto" w:fill="FFFFFF"/>
          <w:lang w:val="en-GB"/>
        </w:rPr>
        <w:t>Cloutier</w:t>
      </w:r>
      <w:bookmarkEnd w:id="37"/>
      <w:r w:rsidRPr="00DF5D48">
        <w:rPr>
          <w:rFonts w:ascii="Times New Roman" w:hAnsi="Times New Roman" w:cs="Times New Roman"/>
          <w:sz w:val="24"/>
          <w:szCs w:val="24"/>
          <w:shd w:val="clear" w:color="auto" w:fill="FFFFFF"/>
          <w:lang w:val="en-GB"/>
        </w:rPr>
        <w:t xml:space="preserve"> J, Villa L, Traxer O, Daudon M. Kidney stone analysis: „Give me yuor stone, I will tell you who you are!“. World J Urol. 2015; 33(2): 157-169. doi: </w:t>
      </w:r>
      <w:hyperlink r:id="rId46" w:tgtFrame="pmc_ext" w:history="1">
        <w:r w:rsidRPr="00DF5D48">
          <w:rPr>
            <w:rStyle w:val="Hypertextovodkaz"/>
            <w:rFonts w:ascii="Times New Roman" w:hAnsi="Times New Roman" w:cs="Times New Roman"/>
            <w:color w:val="auto"/>
            <w:sz w:val="24"/>
            <w:szCs w:val="24"/>
            <w:u w:val="none"/>
            <w:shd w:val="clear" w:color="auto" w:fill="FFFFFF"/>
            <w:lang w:val="en-GB"/>
          </w:rPr>
          <w:t>10.1007/s00345-014-1444-9</w:t>
        </w:r>
      </w:hyperlink>
      <w:r w:rsidRPr="00DF5D48">
        <w:rPr>
          <w:rFonts w:ascii="Times New Roman" w:hAnsi="Times New Roman" w:cs="Times New Roman"/>
          <w:sz w:val="24"/>
          <w:szCs w:val="24"/>
          <w:lang w:val="en-GB"/>
        </w:rPr>
        <w:t xml:space="preserve">. </w:t>
      </w:r>
    </w:p>
    <w:p w14:paraId="746A1277" w14:textId="77777777" w:rsidR="0052468A" w:rsidRPr="00DF5D48" w:rsidRDefault="0052468A" w:rsidP="00D135D4">
      <w:pPr>
        <w:spacing w:after="0" w:line="336" w:lineRule="auto"/>
        <w:ind w:left="426" w:hanging="426"/>
        <w:jc w:val="both"/>
        <w:rPr>
          <w:rFonts w:ascii="Times New Roman" w:hAnsi="Times New Roman" w:cs="Times New Roman"/>
          <w:sz w:val="24"/>
          <w:szCs w:val="24"/>
          <w:lang w:val="en-GB"/>
        </w:rPr>
      </w:pPr>
    </w:p>
    <w:p w14:paraId="24534882"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Cochat P, Hulton SA, Acquaviva C, Danpure ChJ, Daudon M, De Marchi M, Fargue S, Groothoff J, Harambat J, Hoppe B, Jamieson NV, Kemper MJ, Mandrile G, Marangella M, Picca S, Rumsby G, Salido E, Straub M, van Woerden ChS, OxalEurope. Primary hyperoxaluria Type 1: indications for screening and guidance for diagnosis and treatment. </w:t>
      </w:r>
      <w:r w:rsidRPr="00DF5D48">
        <w:rPr>
          <w:rStyle w:val="ref-journal"/>
          <w:rFonts w:ascii="Times New Roman" w:hAnsi="Times New Roman" w:cs="Times New Roman"/>
          <w:sz w:val="24"/>
          <w:szCs w:val="24"/>
          <w:lang w:val="en-GB"/>
        </w:rPr>
        <w:t>Nephrol Dial Transplant. </w:t>
      </w:r>
      <w:r w:rsidRPr="00DF5D48">
        <w:rPr>
          <w:rStyle w:val="element-citation"/>
          <w:rFonts w:ascii="Times New Roman" w:hAnsi="Times New Roman" w:cs="Times New Roman"/>
          <w:sz w:val="24"/>
          <w:szCs w:val="24"/>
          <w:lang w:val="en-GB"/>
        </w:rPr>
        <w:t xml:space="preserve">2012; </w:t>
      </w:r>
      <w:r w:rsidRPr="00DF5D48">
        <w:rPr>
          <w:rStyle w:val="ref-vol"/>
          <w:rFonts w:ascii="Times New Roman" w:hAnsi="Times New Roman" w:cs="Times New Roman"/>
          <w:sz w:val="24"/>
          <w:szCs w:val="24"/>
          <w:lang w:val="en-GB"/>
        </w:rPr>
        <w:t>27(5)</w:t>
      </w:r>
      <w:r w:rsidRPr="00DF5D48">
        <w:rPr>
          <w:rStyle w:val="element-citation"/>
          <w:rFonts w:ascii="Times New Roman" w:hAnsi="Times New Roman" w:cs="Times New Roman"/>
          <w:sz w:val="24"/>
          <w:szCs w:val="24"/>
          <w:lang w:val="en-GB"/>
        </w:rPr>
        <w:t>: 1729–1736. doi: 10.1093/ndt/gfs078.</w:t>
      </w:r>
    </w:p>
    <w:p w14:paraId="2A115EA5" w14:textId="77777777" w:rsidR="0052468A" w:rsidRPr="00DF5D48"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7768BB5A" w14:textId="77777777" w:rsidR="0052468A" w:rsidRPr="00DF5D48"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shd w:val="clear" w:color="auto" w:fill="FFFFFF"/>
          <w:lang w:val="en-GB"/>
        </w:rPr>
      </w:pPr>
      <w:r w:rsidRPr="00DF5D48">
        <w:rPr>
          <w:b w:val="0"/>
          <w:sz w:val="24"/>
          <w:szCs w:val="24"/>
          <w:lang w:val="en-GB"/>
        </w:rPr>
        <w:t xml:space="preserve">Constanti M, Calvert RC, Thomas K, Dickinson A, Carlisle S. Cost analysis of ureteroscopy (URS) vs extracorporeal shockwave lithotripsy (ESWL) in the </w:t>
      </w:r>
      <w:r w:rsidRPr="00DF5D48">
        <w:rPr>
          <w:b w:val="0"/>
          <w:sz w:val="24"/>
          <w:szCs w:val="24"/>
          <w:lang w:val="en-GB"/>
        </w:rPr>
        <w:lastRenderedPageBreak/>
        <w:t xml:space="preserve">management of ureteric stones &lt;10 mm in adults: a UK perspective. BJU Int. 2020; 125(3): 457-466. </w:t>
      </w:r>
      <w:r w:rsidRPr="00DF5D48">
        <w:rPr>
          <w:rStyle w:val="citation-doi"/>
          <w:b w:val="0"/>
          <w:sz w:val="24"/>
          <w:szCs w:val="24"/>
          <w:shd w:val="clear" w:color="auto" w:fill="FFFFFF"/>
          <w:lang w:val="en-GB"/>
        </w:rPr>
        <w:t>doi: 10.1111/bju.14938.</w:t>
      </w:r>
      <w:r w:rsidRPr="00DF5D48">
        <w:rPr>
          <w:b w:val="0"/>
          <w:sz w:val="24"/>
          <w:szCs w:val="24"/>
          <w:shd w:val="clear" w:color="auto" w:fill="FFFFFF"/>
          <w:lang w:val="en-GB"/>
        </w:rPr>
        <w:t> </w:t>
      </w:r>
    </w:p>
    <w:p w14:paraId="07E85C9E" w14:textId="77777777" w:rsidR="0052468A" w:rsidRPr="00DF5D48" w:rsidRDefault="0052468A" w:rsidP="00D135D4">
      <w:p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p>
    <w:p w14:paraId="1A123E38" w14:textId="4A3775BA" w:rsidR="008D1014" w:rsidRPr="00DF5D48" w:rsidRDefault="008D1014"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rPr>
        <w:t xml:space="preserve">Corwin MT, Lee JS, Fananapazir G, </w:t>
      </w:r>
      <w:r w:rsidR="0037739A" w:rsidRPr="00DF5D48">
        <w:rPr>
          <w:rFonts w:ascii="Times New Roman" w:hAnsi="Times New Roman" w:cs="Times New Roman"/>
          <w:sz w:val="24"/>
          <w:szCs w:val="24"/>
        </w:rPr>
        <w:t>Wilson M, Lamba R</w:t>
      </w:r>
      <w:r w:rsidRPr="00DF5D48">
        <w:rPr>
          <w:rFonts w:ascii="Times New Roman" w:hAnsi="Times New Roman" w:cs="Times New Roman"/>
          <w:sz w:val="24"/>
          <w:szCs w:val="24"/>
        </w:rPr>
        <w:t>. Detection of renal stones on portal venous phase CT: comparison of thin axial and coronal maximum-intensity-projection images. AJR Am J Roentgenol</w:t>
      </w:r>
      <w:r w:rsidR="0037739A" w:rsidRPr="00DF5D48">
        <w:rPr>
          <w:rFonts w:ascii="Times New Roman" w:hAnsi="Times New Roman" w:cs="Times New Roman"/>
          <w:sz w:val="24"/>
          <w:szCs w:val="24"/>
        </w:rPr>
        <w:t>.</w:t>
      </w:r>
      <w:r w:rsidRPr="00DF5D48">
        <w:rPr>
          <w:rFonts w:ascii="Times New Roman" w:hAnsi="Times New Roman" w:cs="Times New Roman"/>
          <w:sz w:val="24"/>
          <w:szCs w:val="24"/>
        </w:rPr>
        <w:t xml:space="preserve"> 2016;</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207(6):</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1200–</w:t>
      </w:r>
      <w:r w:rsidR="0037739A" w:rsidRPr="00DF5D48">
        <w:rPr>
          <w:rFonts w:ascii="Times New Roman" w:hAnsi="Times New Roman" w:cs="Times New Roman"/>
          <w:sz w:val="24"/>
          <w:szCs w:val="24"/>
        </w:rPr>
        <w:t>120</w:t>
      </w:r>
      <w:r w:rsidRPr="00DF5D48">
        <w:rPr>
          <w:rFonts w:ascii="Times New Roman" w:hAnsi="Times New Roman" w:cs="Times New Roman"/>
          <w:sz w:val="24"/>
          <w:szCs w:val="24"/>
        </w:rPr>
        <w:t>4.</w:t>
      </w:r>
      <w:r w:rsidR="0037739A" w:rsidRPr="00DF5D48">
        <w:rPr>
          <w:rFonts w:ascii="Times New Roman" w:hAnsi="Times New Roman" w:cs="Times New Roman"/>
          <w:sz w:val="24"/>
          <w:szCs w:val="24"/>
        </w:rPr>
        <w:t xml:space="preserve"> </w:t>
      </w:r>
      <w:r w:rsidR="0037739A" w:rsidRPr="00DF5D48">
        <w:rPr>
          <w:rFonts w:ascii="Times New Roman" w:hAnsi="Times New Roman" w:cs="Times New Roman"/>
          <w:sz w:val="24"/>
          <w:szCs w:val="24"/>
          <w:shd w:val="clear" w:color="auto" w:fill="FFFFFF"/>
        </w:rPr>
        <w:t>doi: 10.2214/AJR.16.16099.</w:t>
      </w:r>
    </w:p>
    <w:p w14:paraId="48E9A816" w14:textId="77777777" w:rsidR="008D1014" w:rsidRPr="00DF5D48" w:rsidRDefault="008D1014" w:rsidP="00D135D4">
      <w:pPr>
        <w:pStyle w:val="Odstavecseseznamem"/>
        <w:spacing w:after="0" w:line="336" w:lineRule="auto"/>
        <w:rPr>
          <w:rFonts w:ascii="Times New Roman" w:hAnsi="Times New Roman" w:cs="Times New Roman"/>
          <w:sz w:val="24"/>
          <w:szCs w:val="24"/>
          <w:shd w:val="clear" w:color="auto" w:fill="FFFFFF"/>
          <w:lang w:val="en-GB"/>
        </w:rPr>
      </w:pPr>
    </w:p>
    <w:p w14:paraId="7835C2AE" w14:textId="5A7D7584"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Cronbach LJ, Meehl PE. Construct validity in psychological tests. Psychol Bull. 1955; 52(4): 281-302. doi: 10.1037/h0040957.</w:t>
      </w:r>
    </w:p>
    <w:p w14:paraId="417A90A3"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p>
    <w:p w14:paraId="160B87C5" w14:textId="77777777" w:rsidR="0052468A" w:rsidRPr="00DF5D48"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bCs w:val="0"/>
          <w:sz w:val="24"/>
          <w:szCs w:val="24"/>
          <w:shd w:val="clear" w:color="auto" w:fill="FFFFFF"/>
          <w:lang w:val="en-GB"/>
        </w:rPr>
      </w:pPr>
      <w:r w:rsidRPr="00DF5D48">
        <w:rPr>
          <w:b w:val="0"/>
          <w:bCs w:val="0"/>
          <w:sz w:val="24"/>
          <w:szCs w:val="24"/>
          <w:shd w:val="clear" w:color="auto" w:fill="FFFFFF"/>
          <w:lang w:val="en-GB"/>
        </w:rPr>
        <w:t>Curhan GC, Willett WC, Rimm EB, Spiegelman D, Stampfer MJ. Prospective study of beverage use and the risk of kidney stones. </w:t>
      </w:r>
      <w:r w:rsidRPr="00DF5D48">
        <w:rPr>
          <w:rStyle w:val="ref-journal"/>
          <w:b w:val="0"/>
          <w:bCs w:val="0"/>
          <w:sz w:val="24"/>
          <w:szCs w:val="24"/>
          <w:shd w:val="clear" w:color="auto" w:fill="FFFFFF"/>
          <w:lang w:val="en-GB"/>
        </w:rPr>
        <w:t>Am J Epidemiol. </w:t>
      </w:r>
      <w:r w:rsidRPr="00DF5D48">
        <w:rPr>
          <w:b w:val="0"/>
          <w:bCs w:val="0"/>
          <w:sz w:val="24"/>
          <w:szCs w:val="24"/>
          <w:shd w:val="clear" w:color="auto" w:fill="FFFFFF"/>
          <w:lang w:val="en-GB"/>
        </w:rPr>
        <w:t xml:space="preserve">1996; </w:t>
      </w:r>
      <w:r w:rsidRPr="00DF5D48">
        <w:rPr>
          <w:rStyle w:val="ref-vol"/>
          <w:b w:val="0"/>
          <w:bCs w:val="0"/>
          <w:sz w:val="24"/>
          <w:szCs w:val="24"/>
          <w:shd w:val="clear" w:color="auto" w:fill="FFFFFF"/>
          <w:lang w:val="en-GB"/>
        </w:rPr>
        <w:t>143(3)</w:t>
      </w:r>
      <w:r w:rsidRPr="00DF5D48">
        <w:rPr>
          <w:b w:val="0"/>
          <w:bCs w:val="0"/>
          <w:sz w:val="24"/>
          <w:szCs w:val="24"/>
          <w:shd w:val="clear" w:color="auto" w:fill="FFFFFF"/>
          <w:lang w:val="en-GB"/>
        </w:rPr>
        <w:t xml:space="preserve">: 240–247. </w:t>
      </w:r>
      <w:r w:rsidRPr="00DF5D48">
        <w:rPr>
          <w:b w:val="0"/>
          <w:sz w:val="24"/>
          <w:szCs w:val="24"/>
          <w:shd w:val="clear" w:color="auto" w:fill="FFFFFF"/>
          <w:lang w:val="en-GB"/>
        </w:rPr>
        <w:t>doi: 10.1093/oxfordjournals.aje.a008734.</w:t>
      </w:r>
    </w:p>
    <w:p w14:paraId="53646024" w14:textId="77777777" w:rsidR="0052468A" w:rsidRPr="00DF5D48" w:rsidRDefault="0052468A" w:rsidP="00D135D4">
      <w:p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p>
    <w:p w14:paraId="5C9341BF" w14:textId="77777777" w:rsidR="005232A4" w:rsidRPr="00DF5D48" w:rsidRDefault="0052468A" w:rsidP="005232A4">
      <w:pPr>
        <w:pStyle w:val="Odstavecseseznamem"/>
        <w:numPr>
          <w:ilvl w:val="0"/>
          <w:numId w:val="19"/>
        </w:numPr>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shd w:val="clear" w:color="auto" w:fill="FFFFFF"/>
          <w:lang w:val="en-GB"/>
        </w:rPr>
        <w:t>Čtvrtlík F, Tudos Z, Sedláčková Z, Král M. Použití zobrazovacích metod u urolitiázy. Urol praxi. 2016; 17(4): 155-158.</w:t>
      </w:r>
    </w:p>
    <w:p w14:paraId="4CC91B2C" w14:textId="12985AA0" w:rsidR="0052468A" w:rsidRPr="00DF5D48" w:rsidRDefault="00425B6A" w:rsidP="005232A4">
      <w:pPr>
        <w:spacing w:after="0" w:line="336" w:lineRule="auto"/>
        <w:ind w:firstLine="426"/>
        <w:jc w:val="both"/>
        <w:rPr>
          <w:rStyle w:val="Hypertextovodkaz"/>
          <w:rFonts w:ascii="Times New Roman" w:hAnsi="Times New Roman" w:cs="Times New Roman"/>
          <w:color w:val="auto"/>
          <w:sz w:val="24"/>
          <w:szCs w:val="24"/>
          <w:u w:val="none"/>
          <w:lang w:val="en-GB"/>
        </w:rPr>
      </w:pPr>
      <w:hyperlink r:id="rId47" w:history="1">
        <w:r w:rsidR="0052468A" w:rsidRPr="00DF5D48">
          <w:rPr>
            <w:rStyle w:val="Hypertextovodkaz"/>
            <w:rFonts w:ascii="Times New Roman" w:hAnsi="Times New Roman" w:cs="Times New Roman"/>
            <w:color w:val="auto"/>
            <w:sz w:val="24"/>
            <w:szCs w:val="24"/>
            <w:u w:val="none"/>
            <w:lang w:val="en-GB"/>
          </w:rPr>
          <w:t>https://www.solen.cz/pdfs/uro/2016/04/02.pdf</w:t>
        </w:r>
      </w:hyperlink>
    </w:p>
    <w:p w14:paraId="5A243582" w14:textId="77777777" w:rsidR="0052468A" w:rsidRPr="00DF5D48" w:rsidRDefault="0052468A" w:rsidP="00D135D4">
      <w:pPr>
        <w:spacing w:after="0" w:line="336" w:lineRule="auto"/>
        <w:ind w:left="426" w:hanging="426"/>
        <w:jc w:val="both"/>
        <w:rPr>
          <w:rStyle w:val="A1"/>
          <w:rFonts w:ascii="Times New Roman" w:hAnsi="Times New Roman" w:cs="Times New Roman"/>
          <w:color w:val="auto"/>
          <w:sz w:val="24"/>
          <w:szCs w:val="24"/>
          <w:lang w:val="en-GB"/>
        </w:rPr>
      </w:pPr>
    </w:p>
    <w:p w14:paraId="3A25A3DA"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Dai M, Zhao A, Liu A, You L, Wang P. Dietary Factors and Risk of Kidney Stone: A Case–Control Study in Southern China. </w:t>
      </w:r>
      <w:r w:rsidRPr="00DF5D48">
        <w:rPr>
          <w:rStyle w:val="ref-journal"/>
          <w:rFonts w:ascii="Times New Roman" w:hAnsi="Times New Roman" w:cs="Times New Roman"/>
          <w:sz w:val="24"/>
          <w:szCs w:val="24"/>
          <w:shd w:val="clear" w:color="auto" w:fill="FFFFFF"/>
          <w:lang w:val="en-GB"/>
        </w:rPr>
        <w:t>J Renal Nutr. </w:t>
      </w:r>
      <w:r w:rsidRPr="00DF5D48">
        <w:rPr>
          <w:rFonts w:ascii="Times New Roman" w:hAnsi="Times New Roman" w:cs="Times New Roman"/>
          <w:sz w:val="24"/>
          <w:szCs w:val="24"/>
          <w:shd w:val="clear" w:color="auto" w:fill="FFFFFF"/>
          <w:lang w:val="en-GB"/>
        </w:rPr>
        <w:t xml:space="preserve">2013; </w:t>
      </w:r>
      <w:r w:rsidRPr="00DF5D48">
        <w:rPr>
          <w:rStyle w:val="ref-vol"/>
          <w:rFonts w:ascii="Times New Roman" w:hAnsi="Times New Roman" w:cs="Times New Roman"/>
          <w:sz w:val="24"/>
          <w:szCs w:val="24"/>
          <w:shd w:val="clear" w:color="auto" w:fill="FFFFFF"/>
          <w:lang w:val="en-GB"/>
        </w:rPr>
        <w:t>23(2)</w:t>
      </w:r>
      <w:r w:rsidRPr="00DF5D48">
        <w:rPr>
          <w:rFonts w:ascii="Times New Roman" w:hAnsi="Times New Roman" w:cs="Times New Roman"/>
          <w:sz w:val="24"/>
          <w:szCs w:val="24"/>
          <w:shd w:val="clear" w:color="auto" w:fill="FFFFFF"/>
          <w:lang w:val="en-GB"/>
        </w:rPr>
        <w:t>: e21–e28. doi: 10.1053/j.jrn.2012.04.003.</w:t>
      </w:r>
    </w:p>
    <w:p w14:paraId="510BC40D" w14:textId="77777777" w:rsidR="0052468A" w:rsidRPr="00DF5D48" w:rsidRDefault="0052468A" w:rsidP="00D135D4">
      <w:pPr>
        <w:spacing w:after="0" w:line="336" w:lineRule="auto"/>
        <w:ind w:left="426" w:hanging="426"/>
        <w:jc w:val="both"/>
        <w:textAlignment w:val="baseline"/>
        <w:rPr>
          <w:rFonts w:ascii="Times New Roman" w:hAnsi="Times New Roman" w:cs="Times New Roman"/>
          <w:sz w:val="24"/>
          <w:szCs w:val="24"/>
          <w:shd w:val="clear" w:color="auto" w:fill="FFFFFF"/>
          <w:lang w:val="en-GB"/>
        </w:rPr>
      </w:pPr>
    </w:p>
    <w:p w14:paraId="4B6D091A" w14:textId="77777777" w:rsidR="0052468A" w:rsidRPr="00DF5D48" w:rsidRDefault="0052468A" w:rsidP="00D135D4">
      <w:pPr>
        <w:pStyle w:val="Odstavecseseznamem"/>
        <w:numPr>
          <w:ilvl w:val="0"/>
          <w:numId w:val="19"/>
        </w:numPr>
        <w:spacing w:after="0" w:line="336" w:lineRule="auto"/>
        <w:ind w:left="426" w:hanging="426"/>
        <w:jc w:val="both"/>
        <w:textAlignment w:val="top"/>
        <w:rPr>
          <w:rFonts w:ascii="Times New Roman" w:eastAsia="Times New Roman" w:hAnsi="Times New Roman" w:cs="Times New Roman"/>
          <w:sz w:val="24"/>
          <w:szCs w:val="24"/>
          <w:lang w:val="en-GB" w:eastAsia="sk-SK"/>
        </w:rPr>
      </w:pPr>
      <w:bookmarkStart w:id="38" w:name="_Hlk53087598"/>
      <w:r w:rsidRPr="00DF5D48">
        <w:rPr>
          <w:rFonts w:ascii="Times New Roman" w:hAnsi="Times New Roman" w:cs="Times New Roman"/>
          <w:sz w:val="24"/>
          <w:szCs w:val="24"/>
          <w:lang w:val="en-GB"/>
        </w:rPr>
        <w:t>D´Alessandro</w:t>
      </w:r>
      <w:bookmarkEnd w:id="38"/>
      <w:r w:rsidRPr="00DF5D48">
        <w:rPr>
          <w:rFonts w:ascii="Times New Roman" w:hAnsi="Times New Roman" w:cs="Times New Roman"/>
          <w:sz w:val="24"/>
          <w:szCs w:val="24"/>
          <w:lang w:val="en-GB"/>
        </w:rPr>
        <w:t xml:space="preserve"> C, Ferraro PM, Cianchi C, Barsotti M, Gambaro G, Cupisti A. </w:t>
      </w:r>
      <w:r w:rsidRPr="00DF5D48">
        <w:rPr>
          <w:rFonts w:ascii="Times New Roman" w:eastAsia="Times New Roman" w:hAnsi="Times New Roman" w:cs="Times New Roman"/>
          <w:kern w:val="36"/>
          <w:sz w:val="24"/>
          <w:szCs w:val="24"/>
          <w:lang w:val="en-GB" w:eastAsia="sk-SK"/>
        </w:rPr>
        <w:t xml:space="preserve">Which Diet for Calcium Stone Patients: A Real-World Approach to Preventive Care. Nutrients. 2019; 11(5): 1182. 16 p. </w:t>
      </w:r>
      <w:r w:rsidRPr="00DF5D48">
        <w:rPr>
          <w:rFonts w:ascii="Times New Roman" w:eastAsia="Times New Roman" w:hAnsi="Times New Roman" w:cs="Times New Roman"/>
          <w:sz w:val="24"/>
          <w:szCs w:val="24"/>
          <w:lang w:val="en-GB" w:eastAsia="sk-SK"/>
        </w:rPr>
        <w:t>doi: </w:t>
      </w:r>
      <w:hyperlink r:id="rId48" w:tgtFrame="pmc_ext" w:history="1">
        <w:r w:rsidRPr="00DF5D48">
          <w:rPr>
            <w:rFonts w:ascii="Times New Roman" w:eastAsia="Times New Roman" w:hAnsi="Times New Roman" w:cs="Times New Roman"/>
            <w:sz w:val="24"/>
            <w:szCs w:val="24"/>
            <w:lang w:val="en-GB" w:eastAsia="sk-SK"/>
          </w:rPr>
          <w:t>10.3390/nu11051182</w:t>
        </w:r>
      </w:hyperlink>
      <w:r w:rsidRPr="00DF5D48">
        <w:rPr>
          <w:rFonts w:ascii="Times New Roman" w:eastAsia="Times New Roman" w:hAnsi="Times New Roman" w:cs="Times New Roman"/>
          <w:sz w:val="24"/>
          <w:szCs w:val="24"/>
          <w:lang w:val="en-GB" w:eastAsia="sk-SK"/>
        </w:rPr>
        <w:t>.</w:t>
      </w:r>
    </w:p>
    <w:p w14:paraId="3103173E" w14:textId="77777777" w:rsidR="0052468A" w:rsidRPr="00DF5D48" w:rsidRDefault="0052468A" w:rsidP="00D135D4">
      <w:pPr>
        <w:spacing w:after="0" w:line="336" w:lineRule="auto"/>
        <w:ind w:left="426" w:hanging="426"/>
        <w:jc w:val="both"/>
        <w:textAlignment w:val="top"/>
        <w:rPr>
          <w:rFonts w:ascii="Times New Roman" w:eastAsia="Times New Roman" w:hAnsi="Times New Roman" w:cs="Times New Roman"/>
          <w:sz w:val="24"/>
          <w:szCs w:val="24"/>
          <w:lang w:val="en-GB" w:eastAsia="sk-SK"/>
        </w:rPr>
      </w:pPr>
    </w:p>
    <w:p w14:paraId="6077EE49" w14:textId="77777777" w:rsidR="008D1014"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Danpure ChJ, Jennings PR, Watts RWE. Enzymological diagnosis of primary hyperoxaluria type 1 by measurement of hepatic alanine: glyoxylate aminotransferase activity. </w:t>
      </w:r>
      <w:r w:rsidRPr="00DF5D48">
        <w:rPr>
          <w:rStyle w:val="ref-journal"/>
          <w:rFonts w:ascii="Times New Roman" w:hAnsi="Times New Roman" w:cs="Times New Roman"/>
          <w:sz w:val="24"/>
          <w:szCs w:val="24"/>
          <w:lang w:val="en-GB"/>
        </w:rPr>
        <w:t>Lancet. </w:t>
      </w:r>
      <w:r w:rsidRPr="00DF5D48">
        <w:rPr>
          <w:rStyle w:val="element-citation"/>
          <w:rFonts w:ascii="Times New Roman" w:hAnsi="Times New Roman" w:cs="Times New Roman"/>
          <w:sz w:val="24"/>
          <w:szCs w:val="24"/>
          <w:lang w:val="en-GB"/>
        </w:rPr>
        <w:t>1987; 329(8528): 289–291. doi: 10.1016/S0140-6736(87)92023-X.</w:t>
      </w:r>
    </w:p>
    <w:p w14:paraId="73FD3F28" w14:textId="77777777" w:rsidR="008D1014" w:rsidRPr="00DF5D48" w:rsidRDefault="008D1014" w:rsidP="00D135D4">
      <w:pPr>
        <w:pStyle w:val="Odstavecseseznamem"/>
        <w:spacing w:after="0" w:line="336" w:lineRule="auto"/>
        <w:rPr>
          <w:rFonts w:ascii="Times New Roman" w:hAnsi="Times New Roman" w:cs="Times New Roman"/>
          <w:sz w:val="24"/>
          <w:szCs w:val="24"/>
        </w:rPr>
      </w:pPr>
    </w:p>
    <w:p w14:paraId="114B9306" w14:textId="480D0DCC" w:rsidR="008D1014" w:rsidRPr="00DF5D48" w:rsidRDefault="008D1014"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Das, S. Transurethral</w:t>
      </w:r>
      <w:r w:rsidRPr="00DF5D48">
        <w:rPr>
          <w:rStyle w:val="apple-converted-space"/>
          <w:rFonts w:ascii="Times New Roman" w:hAnsi="Times New Roman" w:cs="Times New Roman"/>
          <w:sz w:val="24"/>
          <w:szCs w:val="24"/>
        </w:rPr>
        <w:t> </w:t>
      </w:r>
      <w:r w:rsidRPr="00A3085C">
        <w:rPr>
          <w:rStyle w:val="scopustermhighlight"/>
          <w:rFonts w:ascii="Times New Roman" w:hAnsi="Times New Roman" w:cs="Times New Roman"/>
          <w:sz w:val="24"/>
          <w:szCs w:val="24"/>
        </w:rPr>
        <w:t>ureteroscopy</w:t>
      </w:r>
      <w:r w:rsidRPr="00DF5D48">
        <w:rPr>
          <w:rStyle w:val="apple-converted-space"/>
          <w:rFonts w:ascii="Times New Roman" w:hAnsi="Times New Roman" w:cs="Times New Roman"/>
          <w:sz w:val="24"/>
          <w:szCs w:val="24"/>
        </w:rPr>
        <w:t> </w:t>
      </w:r>
      <w:r w:rsidRPr="00DF5D48">
        <w:rPr>
          <w:rFonts w:ascii="Times New Roman" w:hAnsi="Times New Roman" w:cs="Times New Roman"/>
          <w:sz w:val="24"/>
          <w:szCs w:val="24"/>
        </w:rPr>
        <w:t>and</w:t>
      </w:r>
      <w:r w:rsidRPr="00DF5D48">
        <w:rPr>
          <w:rStyle w:val="apple-converted-space"/>
          <w:rFonts w:ascii="Times New Roman" w:hAnsi="Times New Roman" w:cs="Times New Roman"/>
          <w:sz w:val="24"/>
          <w:szCs w:val="24"/>
        </w:rPr>
        <w:t> </w:t>
      </w:r>
      <w:r w:rsidRPr="00A3085C">
        <w:rPr>
          <w:rStyle w:val="scopustermhighlight"/>
          <w:rFonts w:ascii="Times New Roman" w:hAnsi="Times New Roman" w:cs="Times New Roman"/>
          <w:sz w:val="24"/>
          <w:szCs w:val="24"/>
        </w:rPr>
        <w:t>stone</w:t>
      </w:r>
      <w:r w:rsidRPr="00DF5D48">
        <w:rPr>
          <w:rStyle w:val="apple-converted-space"/>
          <w:rFonts w:ascii="Times New Roman" w:hAnsi="Times New Roman" w:cs="Times New Roman"/>
          <w:sz w:val="24"/>
          <w:szCs w:val="24"/>
        </w:rPr>
        <w:t> </w:t>
      </w:r>
      <w:r w:rsidRPr="00DF5D48">
        <w:rPr>
          <w:rFonts w:ascii="Times New Roman" w:hAnsi="Times New Roman" w:cs="Times New Roman"/>
          <w:sz w:val="24"/>
          <w:szCs w:val="24"/>
        </w:rPr>
        <w:t>manipulation under direct vision. J Urol. 1981;</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shd w:val="clear" w:color="auto" w:fill="FFFFFF"/>
        </w:rPr>
        <w:t>125(1):</w:t>
      </w:r>
      <w:r w:rsidR="0037739A" w:rsidRPr="00DF5D48">
        <w:rPr>
          <w:rFonts w:ascii="Times New Roman" w:hAnsi="Times New Roman" w:cs="Times New Roman"/>
          <w:sz w:val="24"/>
          <w:szCs w:val="24"/>
          <w:shd w:val="clear" w:color="auto" w:fill="FFFFFF"/>
        </w:rPr>
        <w:t xml:space="preserve"> </w:t>
      </w:r>
      <w:r w:rsidRPr="00DF5D48">
        <w:rPr>
          <w:rFonts w:ascii="Times New Roman" w:hAnsi="Times New Roman" w:cs="Times New Roman"/>
          <w:sz w:val="24"/>
          <w:szCs w:val="24"/>
          <w:shd w:val="clear" w:color="auto" w:fill="FFFFFF"/>
        </w:rPr>
        <w:t>112-113.</w:t>
      </w:r>
      <w:r w:rsidR="0037739A" w:rsidRPr="00DF5D48">
        <w:rPr>
          <w:rFonts w:ascii="Times New Roman" w:hAnsi="Times New Roman" w:cs="Times New Roman"/>
          <w:sz w:val="24"/>
          <w:szCs w:val="24"/>
          <w:shd w:val="clear" w:color="auto" w:fill="FFFFFF"/>
        </w:rPr>
        <w:t xml:space="preserve"> doi: 10.1016/s0022-5347(17)54921-6.</w:t>
      </w:r>
    </w:p>
    <w:p w14:paraId="1B540B13" w14:textId="77777777" w:rsidR="008D1014" w:rsidRPr="00DF5D48" w:rsidRDefault="008D1014" w:rsidP="00D135D4">
      <w:pPr>
        <w:pStyle w:val="Odstavecseseznamem"/>
        <w:spacing w:after="0" w:line="336" w:lineRule="auto"/>
        <w:rPr>
          <w:rFonts w:ascii="Times New Roman" w:hAnsi="Times New Roman" w:cs="Times New Roman"/>
          <w:sz w:val="24"/>
          <w:szCs w:val="24"/>
          <w:shd w:val="clear" w:color="auto" w:fill="FFFFFF"/>
          <w:lang w:val="en-GB"/>
        </w:rPr>
      </w:pPr>
    </w:p>
    <w:p w14:paraId="5D2B9C53" w14:textId="0BF3568A" w:rsidR="0052468A" w:rsidRPr="00DF5D48" w:rsidRDefault="0052468A" w:rsidP="00D135D4">
      <w:pPr>
        <w:pStyle w:val="Odstavecseseznamem"/>
        <w:numPr>
          <w:ilvl w:val="0"/>
          <w:numId w:val="19"/>
        </w:numPr>
        <w:spacing w:after="0" w:line="336" w:lineRule="auto"/>
        <w:ind w:left="426" w:hanging="426"/>
        <w:jc w:val="both"/>
        <w:textAlignment w:val="baseline"/>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lastRenderedPageBreak/>
        <w:t>Daudon M, Jungers P. Stone Composition and Morphology: A Window on Etiology. In: Talati JJ, Tiselius HG, Albala DM, Ye Z, editors. </w:t>
      </w:r>
      <w:r w:rsidRPr="00DF5D48">
        <w:rPr>
          <w:rStyle w:val="ref-journal"/>
          <w:rFonts w:ascii="Times New Roman" w:hAnsi="Times New Roman" w:cs="Times New Roman"/>
          <w:sz w:val="24"/>
          <w:szCs w:val="24"/>
          <w:shd w:val="clear" w:color="auto" w:fill="FFFFFF"/>
          <w:lang w:val="en-GB"/>
        </w:rPr>
        <w:t>Urolithiasis: Basic Science and Clinical Practice.</w:t>
      </w:r>
      <w:r w:rsidRPr="00DF5D48">
        <w:rPr>
          <w:rFonts w:ascii="Times New Roman" w:hAnsi="Times New Roman" w:cs="Times New Roman"/>
          <w:sz w:val="24"/>
          <w:szCs w:val="24"/>
          <w:shd w:val="clear" w:color="auto" w:fill="FFFFFF"/>
          <w:lang w:val="en-GB"/>
        </w:rPr>
        <w:t xml:space="preserve"> London: Springer, 2012. 982 p. </w:t>
      </w:r>
      <w:r w:rsidRPr="00DF5D48">
        <w:rPr>
          <w:rFonts w:ascii="Times New Roman" w:eastAsia="Times New Roman" w:hAnsi="Times New Roman" w:cs="Times New Roman"/>
          <w:sz w:val="24"/>
          <w:szCs w:val="24"/>
          <w:lang w:val="en-GB" w:eastAsia="sk-SK"/>
        </w:rPr>
        <w:t>ISBN 978-1-4471-4383-3. pp</w:t>
      </w:r>
      <w:r w:rsidRPr="00DF5D48">
        <w:rPr>
          <w:rFonts w:ascii="Times New Roman" w:hAnsi="Times New Roman" w:cs="Times New Roman"/>
          <w:sz w:val="24"/>
          <w:szCs w:val="24"/>
          <w:shd w:val="clear" w:color="auto" w:fill="FFFFFF"/>
          <w:lang w:val="en-GB"/>
        </w:rPr>
        <w:t>. 113–140.</w:t>
      </w:r>
    </w:p>
    <w:p w14:paraId="6D1905A6" w14:textId="77777777" w:rsidR="0052468A" w:rsidRPr="00DF5D48" w:rsidRDefault="0052468A" w:rsidP="00D135D4">
      <w:pPr>
        <w:spacing w:after="0" w:line="336" w:lineRule="auto"/>
        <w:ind w:left="426" w:hanging="426"/>
        <w:jc w:val="both"/>
        <w:rPr>
          <w:rFonts w:ascii="Times New Roman" w:hAnsi="Times New Roman" w:cs="Times New Roman"/>
          <w:sz w:val="24"/>
          <w:szCs w:val="24"/>
          <w:shd w:val="clear" w:color="auto" w:fill="FCFCFC"/>
          <w:lang w:val="en-GB"/>
        </w:rPr>
      </w:pPr>
    </w:p>
    <w:p w14:paraId="73FAA7EA" w14:textId="77777777" w:rsidR="0052468A" w:rsidRPr="00DF5D48" w:rsidRDefault="0052468A" w:rsidP="00D135D4">
      <w:pPr>
        <w:pStyle w:val="Nadpis1"/>
        <w:numPr>
          <w:ilvl w:val="0"/>
          <w:numId w:val="19"/>
        </w:numPr>
        <w:spacing w:before="0" w:beforeAutospacing="0" w:after="0" w:afterAutospacing="0" w:line="336" w:lineRule="auto"/>
        <w:ind w:left="426" w:hanging="426"/>
        <w:jc w:val="both"/>
        <w:rPr>
          <w:rStyle w:val="Hypertextovodkaz"/>
          <w:b w:val="0"/>
          <w:color w:val="auto"/>
          <w:sz w:val="24"/>
          <w:szCs w:val="24"/>
          <w:u w:val="none"/>
          <w:lang w:val="en-GB"/>
        </w:rPr>
      </w:pPr>
      <w:r w:rsidRPr="00DF5D48">
        <w:rPr>
          <w:b w:val="0"/>
          <w:sz w:val="24"/>
          <w:szCs w:val="24"/>
          <w:shd w:val="clear" w:color="auto" w:fill="FFFFFF"/>
          <w:lang w:val="en-GB"/>
        </w:rPr>
        <w:t xml:space="preserve">Daudon M, Dessombz A, Frochot V, Letavernier E, Haymann J-P, Jungers P, Bazin D. </w:t>
      </w:r>
      <w:r w:rsidRPr="00DF5D48">
        <w:rPr>
          <w:rStyle w:val="title-text"/>
          <w:b w:val="0"/>
          <w:sz w:val="24"/>
          <w:szCs w:val="24"/>
          <w:lang w:val="en-GB"/>
        </w:rPr>
        <w:t xml:space="preserve">Comprehensive morpho-constitutional analysis of urinary stones improves etiological diagnosis and therapeutic strategy of nephrolithiasis. C R Chimie. 2016; 19(11-12): 1470-1491. </w:t>
      </w:r>
      <w:hyperlink r:id="rId49" w:history="1">
        <w:r w:rsidRPr="00DF5D48">
          <w:rPr>
            <w:rStyle w:val="Hypertextovodkaz"/>
            <w:b w:val="0"/>
            <w:color w:val="auto"/>
            <w:sz w:val="24"/>
            <w:szCs w:val="24"/>
            <w:u w:val="none"/>
            <w:lang w:val="en-GB"/>
          </w:rPr>
          <w:t>https://doi.org/10.1016/j.crci.2016.05.008</w:t>
        </w:r>
      </w:hyperlink>
      <w:r w:rsidRPr="00DF5D48">
        <w:rPr>
          <w:rStyle w:val="Hypertextovodkaz"/>
          <w:b w:val="0"/>
          <w:color w:val="auto"/>
          <w:sz w:val="24"/>
          <w:szCs w:val="24"/>
          <w:u w:val="none"/>
          <w:lang w:val="en-GB"/>
        </w:rPr>
        <w:t>.</w:t>
      </w:r>
    </w:p>
    <w:p w14:paraId="7208AA86" w14:textId="77777777" w:rsidR="0052468A" w:rsidRPr="00DF5D48" w:rsidRDefault="0052468A" w:rsidP="00D135D4">
      <w:pPr>
        <w:spacing w:after="0" w:line="336" w:lineRule="auto"/>
        <w:ind w:left="426" w:hanging="426"/>
        <w:jc w:val="both"/>
        <w:rPr>
          <w:rFonts w:ascii="Times New Roman" w:hAnsi="Times New Roman" w:cs="Times New Roman"/>
          <w:sz w:val="24"/>
          <w:szCs w:val="24"/>
          <w:shd w:val="clear" w:color="auto" w:fill="FCFCFC"/>
          <w:lang w:val="en-GB"/>
        </w:rPr>
      </w:pPr>
    </w:p>
    <w:p w14:paraId="5182D3E2" w14:textId="55870EB4" w:rsidR="0052468A"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 xml:space="preserve">Davey GK, Spencer EA, Appleby PN, Allen NE, Knox KH, Key TJ. EPIC–Oxford: lifestyle characteristics and nutrient intakes in a cohort of 33 883 meat-eaters and 31 546 </w:t>
      </w:r>
      <w:r w:rsidR="00483EB6" w:rsidRPr="00DF5D48">
        <w:rPr>
          <w:rStyle w:val="element-citation"/>
          <w:rFonts w:ascii="Times New Roman" w:hAnsi="Times New Roman" w:cs="Times New Roman"/>
          <w:sz w:val="24"/>
          <w:szCs w:val="24"/>
          <w:lang w:val="en-GB"/>
        </w:rPr>
        <w:t>non-meat-eaters</w:t>
      </w:r>
      <w:r w:rsidRPr="00DF5D48">
        <w:rPr>
          <w:rStyle w:val="element-citation"/>
          <w:rFonts w:ascii="Times New Roman" w:hAnsi="Times New Roman" w:cs="Times New Roman"/>
          <w:sz w:val="24"/>
          <w:szCs w:val="24"/>
          <w:lang w:val="en-GB"/>
        </w:rPr>
        <w:t xml:space="preserve"> in the UK. </w:t>
      </w:r>
      <w:r w:rsidRPr="00DF5D48">
        <w:rPr>
          <w:rStyle w:val="ref-journal"/>
          <w:rFonts w:ascii="Times New Roman" w:hAnsi="Times New Roman" w:cs="Times New Roman"/>
          <w:sz w:val="24"/>
          <w:szCs w:val="24"/>
          <w:lang w:val="en-GB"/>
        </w:rPr>
        <w:t>Public Health Nutr. </w:t>
      </w:r>
      <w:r w:rsidRPr="00DF5D48">
        <w:rPr>
          <w:rStyle w:val="element-citation"/>
          <w:rFonts w:ascii="Times New Roman" w:hAnsi="Times New Roman" w:cs="Times New Roman"/>
          <w:sz w:val="24"/>
          <w:szCs w:val="24"/>
          <w:lang w:val="en-GB"/>
        </w:rPr>
        <w:t xml:space="preserve">2003; </w:t>
      </w:r>
      <w:r w:rsidRPr="00DF5D48">
        <w:rPr>
          <w:rStyle w:val="ref-vol"/>
          <w:rFonts w:ascii="Times New Roman" w:hAnsi="Times New Roman" w:cs="Times New Roman"/>
          <w:sz w:val="24"/>
          <w:szCs w:val="24"/>
          <w:lang w:val="en-GB"/>
        </w:rPr>
        <w:t>6(3)</w:t>
      </w:r>
      <w:r w:rsidRPr="00DF5D48">
        <w:rPr>
          <w:rStyle w:val="element-citation"/>
          <w:rFonts w:ascii="Times New Roman" w:hAnsi="Times New Roman" w:cs="Times New Roman"/>
          <w:sz w:val="24"/>
          <w:szCs w:val="24"/>
          <w:lang w:val="en-GB"/>
        </w:rPr>
        <w:t>: 259–269. doi: 10.1079/PHN2002430.</w:t>
      </w:r>
    </w:p>
    <w:p w14:paraId="23077306" w14:textId="77777777" w:rsidR="0052468A" w:rsidRPr="00DF5D48" w:rsidRDefault="0052468A" w:rsidP="00D135D4">
      <w:pPr>
        <w:spacing w:after="0" w:line="336" w:lineRule="auto"/>
        <w:ind w:left="426" w:hanging="426"/>
        <w:jc w:val="both"/>
        <w:rPr>
          <w:rFonts w:ascii="Times New Roman" w:eastAsia="Times New Roman" w:hAnsi="Times New Roman" w:cs="Times New Roman"/>
          <w:iCs/>
          <w:sz w:val="24"/>
          <w:szCs w:val="24"/>
          <w:lang w:val="en-GB" w:eastAsia="sk-SK"/>
        </w:rPr>
      </w:pPr>
    </w:p>
    <w:p w14:paraId="27151C00" w14:textId="77777777" w:rsidR="005232A4" w:rsidRPr="00DF5D48" w:rsidRDefault="00994E0F"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Dessyn JF, Balssa L, Chabannes E, Jacquemet B, Bernadini S, Bittard H, Guichard G, Kleinclauss F. Flexible Ureterorenoscopy for Renal and Proximal Ureteral Stone in Patients with Previous Ureteral Stenting: Impact on Stone-Free Rate and Morbidity. J Endourol. 2016; 30(10): 1084-1088.</w:t>
      </w:r>
    </w:p>
    <w:p w14:paraId="4912B572" w14:textId="4B80C00F" w:rsidR="00994E0F" w:rsidRPr="00DF5D48" w:rsidRDefault="00425B6A" w:rsidP="005232A4">
      <w:pPr>
        <w:shd w:val="clear" w:color="auto" w:fill="FFFFFF"/>
        <w:spacing w:after="0" w:line="336" w:lineRule="auto"/>
        <w:ind w:firstLine="426"/>
        <w:jc w:val="both"/>
        <w:rPr>
          <w:rStyle w:val="element-citation"/>
          <w:rFonts w:ascii="Times New Roman" w:hAnsi="Times New Roman" w:cs="Times New Roman"/>
          <w:sz w:val="24"/>
          <w:szCs w:val="24"/>
          <w:lang w:val="en-GB"/>
        </w:rPr>
      </w:pPr>
      <w:hyperlink r:id="rId50" w:history="1">
        <w:r w:rsidR="00994E0F" w:rsidRPr="00DF5D48">
          <w:rPr>
            <w:rStyle w:val="Hypertextovodkaz"/>
            <w:rFonts w:ascii="Times New Roman" w:hAnsi="Times New Roman" w:cs="Times New Roman"/>
            <w:color w:val="auto"/>
            <w:sz w:val="24"/>
            <w:szCs w:val="24"/>
            <w:u w:val="none"/>
            <w:shd w:val="clear" w:color="auto" w:fill="FFFFFF"/>
          </w:rPr>
          <w:t>https://doi.org/10.1089/end.2016.0045</w:t>
        </w:r>
      </w:hyperlink>
      <w:r w:rsidR="00994E0F" w:rsidRPr="00DF5D48">
        <w:rPr>
          <w:rFonts w:ascii="Times New Roman" w:hAnsi="Times New Roman" w:cs="Times New Roman"/>
          <w:sz w:val="24"/>
          <w:szCs w:val="24"/>
        </w:rPr>
        <w:t>.</w:t>
      </w:r>
    </w:p>
    <w:p w14:paraId="6DC7B1D3" w14:textId="77777777" w:rsidR="00994E0F" w:rsidRPr="00DF5D48" w:rsidRDefault="00994E0F" w:rsidP="00D135D4">
      <w:pPr>
        <w:pStyle w:val="Odstavecseseznamem"/>
        <w:spacing w:after="0" w:line="336" w:lineRule="auto"/>
        <w:rPr>
          <w:rStyle w:val="element-citation"/>
          <w:rFonts w:ascii="Times New Roman" w:hAnsi="Times New Roman" w:cs="Times New Roman"/>
          <w:sz w:val="24"/>
          <w:szCs w:val="24"/>
          <w:lang w:val="en-GB"/>
        </w:rPr>
      </w:pPr>
    </w:p>
    <w:p w14:paraId="6FD47290" w14:textId="39B753B2"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Dick WH, Lingeman JE, Preminger GM, Smith LH, Wilson DM, Shirrell WL. Laxative Abuse as a Cause for Ammonium Urate Renal Calculi. </w:t>
      </w:r>
      <w:r w:rsidRPr="00DF5D48">
        <w:rPr>
          <w:rStyle w:val="ref-journal"/>
          <w:rFonts w:ascii="Times New Roman" w:hAnsi="Times New Roman" w:cs="Times New Roman"/>
          <w:sz w:val="24"/>
          <w:szCs w:val="24"/>
          <w:lang w:val="en-GB"/>
        </w:rPr>
        <w:t>J Urol. </w:t>
      </w:r>
      <w:r w:rsidRPr="00DF5D48">
        <w:rPr>
          <w:rStyle w:val="element-citation"/>
          <w:rFonts w:ascii="Times New Roman" w:hAnsi="Times New Roman" w:cs="Times New Roman"/>
          <w:sz w:val="24"/>
          <w:szCs w:val="24"/>
          <w:lang w:val="en-GB"/>
        </w:rPr>
        <w:t xml:space="preserve">1990; </w:t>
      </w:r>
      <w:r w:rsidRPr="00DF5D48">
        <w:rPr>
          <w:rStyle w:val="ref-vol"/>
          <w:rFonts w:ascii="Times New Roman" w:hAnsi="Times New Roman" w:cs="Times New Roman"/>
          <w:sz w:val="24"/>
          <w:szCs w:val="24"/>
          <w:lang w:val="en-GB"/>
        </w:rPr>
        <w:t>143(2)</w:t>
      </w:r>
      <w:r w:rsidRPr="00DF5D48">
        <w:rPr>
          <w:rStyle w:val="element-citation"/>
          <w:rFonts w:ascii="Times New Roman" w:hAnsi="Times New Roman" w:cs="Times New Roman"/>
          <w:sz w:val="24"/>
          <w:szCs w:val="24"/>
          <w:lang w:val="en-GB"/>
        </w:rPr>
        <w:t xml:space="preserve">: 244–247. </w:t>
      </w:r>
      <w:hyperlink r:id="rId51" w:tgtFrame="_blank" w:tooltip="Persistent link using digital object identifier" w:history="1">
        <w:r w:rsidRPr="00DF5D48">
          <w:rPr>
            <w:rStyle w:val="Hypertextovodkaz"/>
            <w:rFonts w:ascii="Times New Roman" w:hAnsi="Times New Roman" w:cs="Times New Roman"/>
            <w:color w:val="auto"/>
            <w:sz w:val="24"/>
            <w:szCs w:val="24"/>
            <w:u w:val="none"/>
            <w:lang w:val="en-GB"/>
          </w:rPr>
          <w:t>https://doi.org/10.1016/S0022-5347(17)39923-8</w:t>
        </w:r>
      </w:hyperlink>
    </w:p>
    <w:p w14:paraId="443BDFCB"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480554B9"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Di Daniele N, Di Renzo L, Noce A, Iacopino L, Ferraro PM, Rizzo M, Sarlo F, Domino E, De Lorenzo A. Effects of Italian Mediterranean organic diet vs. low-protein diet in nephropathic patients according to MTHFR genotypes. </w:t>
      </w:r>
      <w:r w:rsidRPr="00DF5D48">
        <w:rPr>
          <w:rStyle w:val="ref-journal"/>
          <w:rFonts w:ascii="Times New Roman" w:hAnsi="Times New Roman" w:cs="Times New Roman"/>
          <w:sz w:val="24"/>
          <w:szCs w:val="24"/>
          <w:lang w:val="en-GB"/>
        </w:rPr>
        <w:t>J Nephrol. </w:t>
      </w:r>
      <w:r w:rsidRPr="00DF5D48">
        <w:rPr>
          <w:rStyle w:val="element-citation"/>
          <w:rFonts w:ascii="Times New Roman" w:hAnsi="Times New Roman" w:cs="Times New Roman"/>
          <w:sz w:val="24"/>
          <w:szCs w:val="24"/>
          <w:lang w:val="en-GB"/>
        </w:rPr>
        <w:t xml:space="preserve">2014; </w:t>
      </w:r>
      <w:r w:rsidRPr="00DF5D48">
        <w:rPr>
          <w:rStyle w:val="ref-vol"/>
          <w:rFonts w:ascii="Times New Roman" w:hAnsi="Times New Roman" w:cs="Times New Roman"/>
          <w:sz w:val="24"/>
          <w:szCs w:val="24"/>
          <w:lang w:val="en-GB"/>
        </w:rPr>
        <w:t>27(5)</w:t>
      </w:r>
      <w:r w:rsidRPr="00DF5D48">
        <w:rPr>
          <w:rStyle w:val="element-citation"/>
          <w:rFonts w:ascii="Times New Roman" w:hAnsi="Times New Roman" w:cs="Times New Roman"/>
          <w:sz w:val="24"/>
          <w:szCs w:val="24"/>
          <w:lang w:val="en-GB"/>
        </w:rPr>
        <w:t>: 529–536. doi: 10.1007/s40620-014-0067-y.</w:t>
      </w:r>
    </w:p>
    <w:p w14:paraId="0F901F37"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270A4AF0"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Style w:val="element-citation"/>
          <w:rFonts w:ascii="Times New Roman" w:hAnsi="Times New Roman" w:cs="Times New Roman"/>
          <w:sz w:val="24"/>
          <w:szCs w:val="24"/>
          <w:lang w:val="en-GB"/>
        </w:rPr>
        <w:t>Dretler SP. Special article: calculus breakability-fragility and durility. </w:t>
      </w:r>
      <w:r w:rsidRPr="00DF5D48">
        <w:rPr>
          <w:rStyle w:val="ref-journal"/>
          <w:rFonts w:ascii="Times New Roman" w:hAnsi="Times New Roman" w:cs="Times New Roman"/>
          <w:sz w:val="24"/>
          <w:szCs w:val="24"/>
          <w:lang w:val="en-GB"/>
        </w:rPr>
        <w:t>J Endourol. </w:t>
      </w:r>
      <w:r w:rsidRPr="00DF5D48">
        <w:rPr>
          <w:rStyle w:val="element-citation"/>
          <w:rFonts w:ascii="Times New Roman" w:hAnsi="Times New Roman" w:cs="Times New Roman"/>
          <w:sz w:val="24"/>
          <w:szCs w:val="24"/>
          <w:lang w:val="en-GB"/>
        </w:rPr>
        <w:t xml:space="preserve">1994; </w:t>
      </w:r>
      <w:r w:rsidRPr="00DF5D48">
        <w:rPr>
          <w:rStyle w:val="ref-vol"/>
          <w:rFonts w:ascii="Times New Roman" w:hAnsi="Times New Roman" w:cs="Times New Roman"/>
          <w:sz w:val="24"/>
          <w:szCs w:val="24"/>
          <w:lang w:val="en-GB"/>
        </w:rPr>
        <w:t>8(1)</w:t>
      </w:r>
      <w:r w:rsidRPr="00DF5D48">
        <w:rPr>
          <w:rStyle w:val="element-citation"/>
          <w:rFonts w:ascii="Times New Roman" w:hAnsi="Times New Roman" w:cs="Times New Roman"/>
          <w:sz w:val="24"/>
          <w:szCs w:val="24"/>
          <w:lang w:val="en-GB"/>
        </w:rPr>
        <w:t xml:space="preserve">:1–3. </w:t>
      </w:r>
      <w:r w:rsidRPr="00DF5D48">
        <w:rPr>
          <w:rFonts w:ascii="Times New Roman" w:hAnsi="Times New Roman" w:cs="Times New Roman"/>
          <w:sz w:val="24"/>
          <w:szCs w:val="24"/>
          <w:shd w:val="clear" w:color="auto" w:fill="FFFFFF"/>
          <w:lang w:val="en-GB"/>
        </w:rPr>
        <w:t>doi: 10.1089/end.1994.8.1.</w:t>
      </w:r>
    </w:p>
    <w:p w14:paraId="50E99761"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231A06DB" w14:textId="541132A2" w:rsidR="00970F08" w:rsidRPr="00DF5D48" w:rsidRDefault="00970F08"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Edvardsson VO, Indridason OS, Haraldsson G, Kjartansson O, Palsson R. Temporal trends in the incidence of kidney stone disease. Kidney Int. 2013; 83</w:t>
      </w:r>
      <w:r w:rsidR="0037739A" w:rsidRPr="00DF5D48">
        <w:rPr>
          <w:rFonts w:ascii="Times New Roman" w:hAnsi="Times New Roman" w:cs="Times New Roman"/>
          <w:sz w:val="24"/>
          <w:szCs w:val="24"/>
        </w:rPr>
        <w:t>(1)</w:t>
      </w:r>
      <w:r w:rsidRPr="00DF5D48">
        <w:rPr>
          <w:rFonts w:ascii="Times New Roman" w:hAnsi="Times New Roman" w:cs="Times New Roman"/>
          <w:sz w:val="24"/>
          <w:szCs w:val="24"/>
        </w:rPr>
        <w:t>:</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146–52.</w:t>
      </w:r>
      <w:r w:rsidR="0037739A" w:rsidRPr="00DF5D48">
        <w:rPr>
          <w:rFonts w:ascii="Times New Roman" w:hAnsi="Times New Roman" w:cs="Times New Roman"/>
          <w:sz w:val="24"/>
          <w:szCs w:val="24"/>
        </w:rPr>
        <w:t xml:space="preserve"> </w:t>
      </w:r>
      <w:hyperlink r:id="rId52" w:tgtFrame="_blank" w:tooltip="Persistent link using digital object identifier" w:history="1">
        <w:r w:rsidR="0037739A" w:rsidRPr="00DF5D48">
          <w:rPr>
            <w:rStyle w:val="Hypertextovodkaz"/>
            <w:rFonts w:ascii="Times New Roman" w:hAnsi="Times New Roman" w:cs="Times New Roman"/>
            <w:color w:val="auto"/>
            <w:sz w:val="24"/>
            <w:szCs w:val="24"/>
            <w:u w:val="none"/>
          </w:rPr>
          <w:t>https://doi.org/10.1038/ki.2012.320</w:t>
        </w:r>
      </w:hyperlink>
      <w:r w:rsidR="0037739A" w:rsidRPr="00DF5D48">
        <w:rPr>
          <w:rFonts w:ascii="Times New Roman" w:hAnsi="Times New Roman" w:cs="Times New Roman"/>
          <w:sz w:val="24"/>
          <w:szCs w:val="24"/>
        </w:rPr>
        <w:t xml:space="preserve">. </w:t>
      </w:r>
    </w:p>
    <w:p w14:paraId="3885BE0D" w14:textId="77777777" w:rsidR="00970F08" w:rsidRPr="00DF5D48" w:rsidRDefault="00970F08" w:rsidP="00D135D4">
      <w:pPr>
        <w:pStyle w:val="Odstavecseseznamem"/>
        <w:spacing w:after="0" w:line="336" w:lineRule="auto"/>
        <w:rPr>
          <w:rFonts w:ascii="Times New Roman" w:hAnsi="Times New Roman" w:cs="Times New Roman"/>
          <w:sz w:val="24"/>
          <w:szCs w:val="24"/>
          <w:shd w:val="clear" w:color="auto" w:fill="FFFFFF"/>
          <w:lang w:val="en-GB"/>
        </w:rPr>
      </w:pPr>
    </w:p>
    <w:p w14:paraId="2C6134F0" w14:textId="32D05B6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shd w:val="clear" w:color="auto" w:fill="FFFFFF"/>
          <w:lang w:val="en-GB"/>
        </w:rPr>
        <w:t>Elbahnasy AM, Shalhav AL, Hoenig DM, Elashry OM, Smith DS, McDougall EM, Clayman RV. Lower caliceal stone clearance after shock wave lithotripsy or ureteroscopy: the impact of lower pole radiographic anatomy. </w:t>
      </w:r>
      <w:r w:rsidRPr="00DF5D48">
        <w:rPr>
          <w:rStyle w:val="ref-journal"/>
          <w:rFonts w:ascii="Times New Roman" w:hAnsi="Times New Roman" w:cs="Times New Roman"/>
          <w:sz w:val="24"/>
          <w:szCs w:val="24"/>
          <w:shd w:val="clear" w:color="auto" w:fill="FFFFFF"/>
          <w:lang w:val="en-GB"/>
        </w:rPr>
        <w:t>J Urol. </w:t>
      </w:r>
      <w:r w:rsidRPr="00DF5D48">
        <w:rPr>
          <w:rFonts w:ascii="Times New Roman" w:hAnsi="Times New Roman" w:cs="Times New Roman"/>
          <w:sz w:val="24"/>
          <w:szCs w:val="24"/>
          <w:shd w:val="clear" w:color="auto" w:fill="FFFFFF"/>
          <w:lang w:val="en-GB"/>
        </w:rPr>
        <w:t xml:space="preserve">1998; </w:t>
      </w:r>
      <w:r w:rsidRPr="00DF5D48">
        <w:rPr>
          <w:rStyle w:val="ref-vol"/>
          <w:rFonts w:ascii="Times New Roman" w:hAnsi="Times New Roman" w:cs="Times New Roman"/>
          <w:sz w:val="24"/>
          <w:szCs w:val="24"/>
          <w:shd w:val="clear" w:color="auto" w:fill="FFFFFF"/>
          <w:lang w:val="en-GB"/>
        </w:rPr>
        <w:t>159(3)</w:t>
      </w:r>
      <w:r w:rsidRPr="00DF5D48">
        <w:rPr>
          <w:rFonts w:ascii="Times New Roman" w:hAnsi="Times New Roman" w:cs="Times New Roman"/>
          <w:sz w:val="24"/>
          <w:szCs w:val="24"/>
          <w:shd w:val="clear" w:color="auto" w:fill="FFFFFF"/>
          <w:lang w:val="en-GB"/>
        </w:rPr>
        <w:t xml:space="preserve">: 676–682. </w:t>
      </w:r>
      <w:hyperlink r:id="rId53" w:history="1">
        <w:r w:rsidRPr="00DF5D48">
          <w:rPr>
            <w:rStyle w:val="Hypertextovodkaz"/>
            <w:rFonts w:ascii="Times New Roman" w:hAnsi="Times New Roman" w:cs="Times New Roman"/>
            <w:color w:val="auto"/>
            <w:spacing w:val="12"/>
            <w:sz w:val="24"/>
            <w:szCs w:val="24"/>
            <w:u w:val="none"/>
            <w:shd w:val="clear" w:color="auto" w:fill="FFFFFF"/>
            <w:lang w:val="en-GB"/>
          </w:rPr>
          <w:t>https://doi.org/10.1016/S0022-5347(01)63699-1</w:t>
        </w:r>
      </w:hyperlink>
      <w:r w:rsidR="0037739A" w:rsidRPr="00DF5D48">
        <w:rPr>
          <w:rStyle w:val="Hypertextovodkaz"/>
          <w:rFonts w:ascii="Times New Roman" w:hAnsi="Times New Roman" w:cs="Times New Roman"/>
          <w:color w:val="auto"/>
          <w:spacing w:val="12"/>
          <w:sz w:val="24"/>
          <w:szCs w:val="24"/>
          <w:u w:val="none"/>
          <w:shd w:val="clear" w:color="auto" w:fill="FFFFFF"/>
          <w:lang w:val="en-GB"/>
        </w:rPr>
        <w:t>.</w:t>
      </w:r>
    </w:p>
    <w:p w14:paraId="2838A6B8"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206097EB"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BB3A19">
        <w:rPr>
          <w:rFonts w:ascii="Times New Roman" w:hAnsi="Times New Roman" w:cs="Times New Roman"/>
          <w:sz w:val="24"/>
          <w:szCs w:val="24"/>
          <w:lang w:val="en-GB"/>
        </w:rPr>
        <w:t xml:space="preserve">El-Nahas AR, Almousawi S, Alqattan Y, Alqadri IM, Al-Shaiji TF, Al-Terki A. Dusting versus fragmentation for renal stones during flexible ureteroscopy. Arab J Urol. 2019; 17(2): 138-142. </w:t>
      </w:r>
      <w:r w:rsidRPr="00BB3A19">
        <w:rPr>
          <w:rFonts w:ascii="Times New Roman" w:hAnsi="Times New Roman" w:cs="Times New Roman"/>
          <w:sz w:val="24"/>
          <w:szCs w:val="24"/>
          <w:shd w:val="clear" w:color="auto" w:fill="FFFFFF"/>
          <w:lang w:val="en-GB"/>
        </w:rPr>
        <w:t>doi: </w:t>
      </w:r>
      <w:hyperlink r:id="rId54" w:tgtFrame="pmc_ext" w:history="1">
        <w:r w:rsidRPr="00BB3A19">
          <w:rPr>
            <w:rStyle w:val="Hypertextovodkaz"/>
            <w:rFonts w:ascii="Times New Roman" w:hAnsi="Times New Roman" w:cs="Times New Roman"/>
            <w:color w:val="auto"/>
            <w:sz w:val="24"/>
            <w:szCs w:val="24"/>
            <w:u w:val="none"/>
            <w:shd w:val="clear" w:color="auto" w:fill="FFFFFF"/>
            <w:lang w:val="en-GB"/>
          </w:rPr>
          <w:t>10.1080/2090598X.2019.1601002</w:t>
        </w:r>
      </w:hyperlink>
      <w:r w:rsidRPr="00BB3A19">
        <w:rPr>
          <w:rFonts w:ascii="Times New Roman" w:hAnsi="Times New Roman" w:cs="Times New Roman"/>
          <w:sz w:val="24"/>
          <w:szCs w:val="24"/>
          <w:lang w:val="en-GB"/>
        </w:rPr>
        <w:t xml:space="preserve">. </w:t>
      </w:r>
    </w:p>
    <w:p w14:paraId="34B0D941"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7F8B6601" w14:textId="77777777" w:rsidR="0052468A" w:rsidRPr="00BB3A19"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shd w:val="clear" w:color="auto" w:fill="FFFFFF"/>
          <w:lang w:val="en-GB"/>
        </w:rPr>
      </w:pPr>
      <w:r w:rsidRPr="00BB3A19">
        <w:rPr>
          <w:rStyle w:val="element-citation"/>
          <w:b w:val="0"/>
          <w:sz w:val="24"/>
          <w:szCs w:val="24"/>
          <w:lang w:val="en-GB"/>
        </w:rPr>
        <w:t xml:space="preserve">Fankhauser ChD, Mohebbi N, Grogg J, Holenstein A, Zhong Q, Hermanns T, Sulser T, Steurer J, Cedric P. </w:t>
      </w:r>
      <w:r w:rsidRPr="00BB3A19">
        <w:rPr>
          <w:b w:val="0"/>
          <w:sz w:val="24"/>
          <w:szCs w:val="24"/>
          <w:lang w:val="en-GB"/>
        </w:rPr>
        <w:t xml:space="preserve">Prevalence of hypertension and diabetes after exposure to extracorporeal shock-wave lithotripsy in patients with renal calculi: a retrospective non-randomized data analysis. Int Urol Nephrol. 2018; 50(7): 1227-1233. </w:t>
      </w:r>
      <w:r w:rsidRPr="00BB3A19">
        <w:rPr>
          <w:b w:val="0"/>
          <w:sz w:val="24"/>
          <w:szCs w:val="24"/>
          <w:shd w:val="clear" w:color="auto" w:fill="FFFFFF"/>
          <w:lang w:val="en-GB"/>
        </w:rPr>
        <w:t xml:space="preserve">doi: 10.1007/s11255-018-1857-2. </w:t>
      </w:r>
    </w:p>
    <w:p w14:paraId="21D53AF0" w14:textId="77777777" w:rsidR="0052468A" w:rsidRPr="00BB3A19" w:rsidRDefault="0052468A" w:rsidP="00D135D4">
      <w:pPr>
        <w:pStyle w:val="Nadpis1"/>
        <w:shd w:val="clear" w:color="auto" w:fill="FFFFFF"/>
        <w:spacing w:before="0" w:beforeAutospacing="0" w:after="0" w:afterAutospacing="0" w:line="336" w:lineRule="auto"/>
        <w:ind w:left="426" w:hanging="426"/>
        <w:jc w:val="both"/>
        <w:rPr>
          <w:b w:val="0"/>
          <w:sz w:val="24"/>
          <w:szCs w:val="24"/>
          <w:lang w:val="en-GB"/>
        </w:rPr>
      </w:pPr>
    </w:p>
    <w:p w14:paraId="0C42C55C" w14:textId="77777777" w:rsidR="0052468A" w:rsidRPr="00BB3A19"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lang w:val="en-GB"/>
        </w:rPr>
      </w:pPr>
      <w:r w:rsidRPr="00BB3A19">
        <w:rPr>
          <w:b w:val="0"/>
          <w:bCs w:val="0"/>
          <w:sz w:val="24"/>
          <w:szCs w:val="24"/>
          <w:shd w:val="clear" w:color="auto" w:fill="FFFFFF"/>
          <w:lang w:val="en-GB"/>
        </w:rPr>
        <w:t xml:space="preserve">Ferraro PM, Taylor EN, Gambaro G, Curhan GC. Soda and Other Beverages and the Risk of Kidney Stones. Clin J Am Nephrol. 2013; 8(8): 1389-1395. </w:t>
      </w:r>
      <w:r w:rsidRPr="00BB3A19">
        <w:rPr>
          <w:b w:val="0"/>
          <w:sz w:val="24"/>
          <w:szCs w:val="24"/>
          <w:shd w:val="clear" w:color="auto" w:fill="FFFFFF"/>
          <w:lang w:val="en-GB"/>
        </w:rPr>
        <w:t>doi: </w:t>
      </w:r>
      <w:hyperlink r:id="rId55" w:tgtFrame="pmc_ext" w:history="1">
        <w:r w:rsidRPr="00BB3A19">
          <w:rPr>
            <w:rStyle w:val="Hypertextovodkaz"/>
            <w:b w:val="0"/>
            <w:color w:val="auto"/>
            <w:sz w:val="24"/>
            <w:szCs w:val="24"/>
            <w:u w:val="none"/>
            <w:shd w:val="clear" w:color="auto" w:fill="FFFFFF"/>
            <w:lang w:val="en-GB"/>
          </w:rPr>
          <w:t>10.2215/CJN.11661112</w:t>
        </w:r>
      </w:hyperlink>
      <w:r w:rsidRPr="00BB3A19">
        <w:rPr>
          <w:b w:val="0"/>
          <w:sz w:val="24"/>
          <w:szCs w:val="24"/>
          <w:lang w:val="en-GB"/>
        </w:rPr>
        <w:t xml:space="preserve"> </w:t>
      </w:r>
    </w:p>
    <w:p w14:paraId="789A086D" w14:textId="77777777" w:rsidR="0052468A" w:rsidRPr="00BB3A19" w:rsidRDefault="0052468A" w:rsidP="00D135D4">
      <w:pPr>
        <w:pStyle w:val="Nadpis1"/>
        <w:shd w:val="clear" w:color="auto" w:fill="FFFFFF"/>
        <w:spacing w:before="0" w:beforeAutospacing="0" w:after="0" w:afterAutospacing="0" w:line="336" w:lineRule="auto"/>
        <w:ind w:left="426" w:hanging="426"/>
        <w:jc w:val="both"/>
        <w:rPr>
          <w:b w:val="0"/>
          <w:bCs w:val="0"/>
          <w:sz w:val="24"/>
          <w:szCs w:val="24"/>
          <w:shd w:val="clear" w:color="auto" w:fill="FFFFFF"/>
          <w:lang w:val="en-GB"/>
        </w:rPr>
      </w:pPr>
    </w:p>
    <w:p w14:paraId="48422BAB" w14:textId="77777777" w:rsidR="0052468A" w:rsidRPr="00BB3A19"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lang w:val="en-GB"/>
        </w:rPr>
      </w:pPr>
      <w:r w:rsidRPr="00BB3A19">
        <w:rPr>
          <w:b w:val="0"/>
          <w:bCs w:val="0"/>
          <w:sz w:val="24"/>
          <w:szCs w:val="24"/>
          <w:shd w:val="clear" w:color="auto" w:fill="FFFFFF"/>
          <w:lang w:val="en-GB"/>
        </w:rPr>
        <w:t xml:space="preserve">Ferraro PM, Taylor EN, Gambaro G, Curhan GC. Caffeine intake and the risk of kidney stones. Am J Clin Nutr. 2014; 100(6): 1596-1603. </w:t>
      </w:r>
      <w:r w:rsidRPr="00BB3A19">
        <w:rPr>
          <w:b w:val="0"/>
          <w:sz w:val="24"/>
          <w:szCs w:val="24"/>
          <w:shd w:val="clear" w:color="auto" w:fill="FFFFFF"/>
          <w:lang w:val="en-GB"/>
        </w:rPr>
        <w:t>doi: </w:t>
      </w:r>
      <w:hyperlink r:id="rId56" w:tgtFrame="pmc_ext" w:history="1">
        <w:r w:rsidRPr="00BB3A19">
          <w:rPr>
            <w:rStyle w:val="Hypertextovodkaz"/>
            <w:b w:val="0"/>
            <w:color w:val="auto"/>
            <w:sz w:val="24"/>
            <w:szCs w:val="24"/>
            <w:u w:val="none"/>
            <w:shd w:val="clear" w:color="auto" w:fill="FFFFFF"/>
            <w:lang w:val="en-GB"/>
          </w:rPr>
          <w:t>10.3945/ajcn.114.089987</w:t>
        </w:r>
      </w:hyperlink>
      <w:r w:rsidRPr="00BB3A19">
        <w:rPr>
          <w:b w:val="0"/>
          <w:sz w:val="24"/>
          <w:szCs w:val="24"/>
          <w:lang w:val="en-GB"/>
        </w:rPr>
        <w:t xml:space="preserve">. </w:t>
      </w:r>
    </w:p>
    <w:p w14:paraId="2D921285" w14:textId="77777777" w:rsidR="0052468A" w:rsidRPr="00BB3A19" w:rsidRDefault="0052468A" w:rsidP="00D135D4">
      <w:pPr>
        <w:pStyle w:val="Nadpis1"/>
        <w:shd w:val="clear" w:color="auto" w:fill="FFFFFF"/>
        <w:spacing w:before="0" w:beforeAutospacing="0" w:after="0" w:afterAutospacing="0" w:line="336" w:lineRule="auto"/>
        <w:ind w:left="426" w:hanging="426"/>
        <w:jc w:val="both"/>
        <w:rPr>
          <w:b w:val="0"/>
          <w:sz w:val="24"/>
          <w:szCs w:val="24"/>
          <w:lang w:val="en-GB"/>
        </w:rPr>
      </w:pPr>
    </w:p>
    <w:p w14:paraId="57DD3229"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shd w:val="clear" w:color="auto" w:fill="FFFFFF"/>
          <w:lang w:val="en-GB"/>
        </w:rPr>
        <w:t>Finlay WM, Lyons E. Methodical issues in interviewing and using self-report questionnaires with people with mental retardation. Psychol Assess. 2001; 13(3): 319-335. doi: 10.1037//1040-3590.13.3.319.</w:t>
      </w:r>
    </w:p>
    <w:p w14:paraId="5BDA316D"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3B281698" w14:textId="77777777" w:rsidR="008D1014"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shd w:val="clear" w:color="auto" w:fill="FFFFFF"/>
          <w:lang w:val="en-GB"/>
        </w:rPr>
        <w:t>Fossa SD. Quality of life after palliative radiotherapy in patients with hormone-resistant prostate cancer: single institution experience. Br J Urol. 1994; 74(3): 345-351. DOI: </w:t>
      </w:r>
      <w:hyperlink r:id="rId57" w:tgtFrame="_blank" w:history="1">
        <w:r w:rsidRPr="00DF5D48">
          <w:rPr>
            <w:rStyle w:val="Hypertextovodkaz"/>
            <w:rFonts w:ascii="Times New Roman" w:hAnsi="Times New Roman" w:cs="Times New Roman"/>
            <w:color w:val="auto"/>
            <w:sz w:val="24"/>
            <w:szCs w:val="24"/>
            <w:u w:val="none"/>
            <w:bdr w:val="none" w:sz="0" w:space="0" w:color="auto" w:frame="1"/>
            <w:shd w:val="clear" w:color="auto" w:fill="FFFFFF"/>
            <w:lang w:val="en-GB"/>
          </w:rPr>
          <w:t>10.1111/j.1464-410x.1994.tb16625.x</w:t>
        </w:r>
      </w:hyperlink>
      <w:r w:rsidRPr="00DF5D48">
        <w:rPr>
          <w:rFonts w:ascii="Times New Roman" w:hAnsi="Times New Roman" w:cs="Times New Roman"/>
          <w:sz w:val="24"/>
          <w:szCs w:val="24"/>
          <w:lang w:val="en-GB"/>
        </w:rPr>
        <w:t>.</w:t>
      </w:r>
    </w:p>
    <w:p w14:paraId="0BF7A62E" w14:textId="77777777" w:rsidR="008D1014" w:rsidRPr="00DF5D48" w:rsidRDefault="008D1014" w:rsidP="00D135D4">
      <w:pPr>
        <w:pStyle w:val="Odstavecseseznamem"/>
        <w:spacing w:after="0" w:line="336" w:lineRule="auto"/>
        <w:rPr>
          <w:rFonts w:ascii="Times New Roman" w:hAnsi="Times New Roman" w:cs="Times New Roman"/>
          <w:sz w:val="24"/>
          <w:szCs w:val="24"/>
        </w:rPr>
      </w:pPr>
    </w:p>
    <w:p w14:paraId="384E97B7" w14:textId="2F38E8E6" w:rsidR="008D1014" w:rsidRPr="00DF5D48" w:rsidRDefault="008D1014"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Fuchs AM, Fuchs GJ. Retrograde Intrarenal Surgery for Calculus Disease: New Minimally Invasive Treatment Approach. J Endourol. 1990;</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shd w:val="clear" w:color="auto" w:fill="FFFFFF"/>
        </w:rPr>
        <w:t>4(4):</w:t>
      </w:r>
      <w:r w:rsidR="0037739A" w:rsidRPr="00DF5D48">
        <w:rPr>
          <w:rFonts w:ascii="Times New Roman" w:hAnsi="Times New Roman" w:cs="Times New Roman"/>
          <w:sz w:val="24"/>
          <w:szCs w:val="24"/>
          <w:shd w:val="clear" w:color="auto" w:fill="FFFFFF"/>
        </w:rPr>
        <w:t xml:space="preserve"> </w:t>
      </w:r>
      <w:r w:rsidRPr="00DF5D48">
        <w:rPr>
          <w:rFonts w:ascii="Times New Roman" w:hAnsi="Times New Roman" w:cs="Times New Roman"/>
          <w:sz w:val="24"/>
          <w:szCs w:val="24"/>
          <w:shd w:val="clear" w:color="auto" w:fill="FFFFFF"/>
        </w:rPr>
        <w:t>337-345</w:t>
      </w:r>
      <w:r w:rsidR="0037739A" w:rsidRPr="00DF5D48">
        <w:rPr>
          <w:rFonts w:ascii="Times New Roman" w:hAnsi="Times New Roman" w:cs="Times New Roman"/>
          <w:sz w:val="24"/>
          <w:szCs w:val="24"/>
          <w:shd w:val="clear" w:color="auto" w:fill="FFFFFF"/>
        </w:rPr>
        <w:t xml:space="preserve">. </w:t>
      </w:r>
      <w:hyperlink r:id="rId58" w:history="1">
        <w:r w:rsidR="0037739A" w:rsidRPr="00A3085C">
          <w:rPr>
            <w:rStyle w:val="Hypertextovodkaz"/>
            <w:rFonts w:ascii="Times New Roman" w:hAnsi="Times New Roman" w:cs="Times New Roman"/>
            <w:color w:val="auto"/>
            <w:sz w:val="24"/>
            <w:szCs w:val="24"/>
            <w:u w:val="none"/>
          </w:rPr>
          <w:t>http://doi.org/10.1089/end.1990.4.337</w:t>
        </w:r>
      </w:hyperlink>
      <w:r w:rsidR="0037739A" w:rsidRPr="00DF5D48">
        <w:rPr>
          <w:rFonts w:ascii="Times New Roman" w:hAnsi="Times New Roman" w:cs="Times New Roman"/>
          <w:sz w:val="24"/>
          <w:szCs w:val="24"/>
        </w:rPr>
        <w:t>.</w:t>
      </w:r>
    </w:p>
    <w:p w14:paraId="2E220546" w14:textId="77777777" w:rsidR="008D1014" w:rsidRPr="00DF5D48" w:rsidRDefault="008D1014" w:rsidP="00D135D4">
      <w:pPr>
        <w:pStyle w:val="Odstavecseseznamem"/>
        <w:shd w:val="clear" w:color="auto" w:fill="FFFFFF"/>
        <w:spacing w:after="0" w:line="336" w:lineRule="auto"/>
        <w:ind w:left="426"/>
        <w:jc w:val="both"/>
        <w:rPr>
          <w:rStyle w:val="element-citation"/>
          <w:rFonts w:ascii="Times New Roman" w:hAnsi="Times New Roman" w:cs="Times New Roman"/>
          <w:sz w:val="24"/>
          <w:szCs w:val="24"/>
          <w:lang w:val="en-GB"/>
        </w:rPr>
      </w:pPr>
    </w:p>
    <w:p w14:paraId="72CB3ECA" w14:textId="0D2A62EE" w:rsidR="0052468A"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lastRenderedPageBreak/>
        <w:t xml:space="preserve">Ganesamoni R, Singh SK. Epidemiology of stone disease in Northern India. </w:t>
      </w:r>
      <w:r w:rsidRPr="00DF5D48">
        <w:rPr>
          <w:rFonts w:ascii="Times New Roman" w:hAnsi="Times New Roman" w:cs="Times New Roman"/>
          <w:sz w:val="24"/>
          <w:szCs w:val="24"/>
          <w:shd w:val="clear" w:color="auto" w:fill="FFFFFF"/>
          <w:lang w:val="en-GB"/>
        </w:rPr>
        <w:t>In: Talati JJ, Tiselius HG, Albala DM, Ye Z, editors. </w:t>
      </w:r>
      <w:r w:rsidRPr="00DF5D48">
        <w:rPr>
          <w:rStyle w:val="ref-journal"/>
          <w:rFonts w:ascii="Times New Roman" w:hAnsi="Times New Roman" w:cs="Times New Roman"/>
          <w:sz w:val="24"/>
          <w:szCs w:val="24"/>
          <w:shd w:val="clear" w:color="auto" w:fill="FFFFFF"/>
          <w:lang w:val="en-GB"/>
        </w:rPr>
        <w:t>Urolithiasis: Basic Science and Clinical Practice.</w:t>
      </w:r>
      <w:r w:rsidRPr="00DF5D48">
        <w:rPr>
          <w:rFonts w:ascii="Times New Roman" w:hAnsi="Times New Roman" w:cs="Times New Roman"/>
          <w:sz w:val="24"/>
          <w:szCs w:val="24"/>
          <w:shd w:val="clear" w:color="auto" w:fill="FFFFFF"/>
          <w:lang w:val="en-GB"/>
        </w:rPr>
        <w:t xml:space="preserve"> London: Springer, 2012. 982 p. </w:t>
      </w:r>
      <w:r w:rsidRPr="00DF5D48">
        <w:rPr>
          <w:rFonts w:ascii="Times New Roman" w:eastAsia="Times New Roman" w:hAnsi="Times New Roman" w:cs="Times New Roman"/>
          <w:sz w:val="24"/>
          <w:szCs w:val="24"/>
          <w:lang w:val="en-GB" w:eastAsia="sk-SK"/>
        </w:rPr>
        <w:t>ISBN 978-1-4471-4383-3. pp</w:t>
      </w:r>
      <w:r w:rsidRPr="00DF5D48">
        <w:rPr>
          <w:rFonts w:ascii="Times New Roman" w:hAnsi="Times New Roman" w:cs="Times New Roman"/>
          <w:sz w:val="24"/>
          <w:szCs w:val="24"/>
          <w:shd w:val="clear" w:color="auto" w:fill="FFFFFF"/>
          <w:lang w:val="en-GB"/>
        </w:rPr>
        <w:t xml:space="preserve">. </w:t>
      </w:r>
      <w:r w:rsidRPr="00DF5D48">
        <w:rPr>
          <w:rStyle w:val="element-citation"/>
          <w:rFonts w:ascii="Times New Roman" w:hAnsi="Times New Roman" w:cs="Times New Roman"/>
          <w:sz w:val="24"/>
          <w:szCs w:val="24"/>
          <w:lang w:val="en-GB"/>
        </w:rPr>
        <w:t>39–46.</w:t>
      </w:r>
    </w:p>
    <w:p w14:paraId="7A34CAFC"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565C0C46"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eastAsia="Times New Roman" w:hAnsi="Times New Roman" w:cs="Times New Roman"/>
          <w:sz w:val="24"/>
          <w:szCs w:val="24"/>
          <w:lang w:val="en-GB" w:eastAsia="sk-SK"/>
        </w:rPr>
        <w:t xml:space="preserve">Geraghty RM, Jones P, Herrmann TRW, Aboumarzouk O, Somani BK. </w:t>
      </w:r>
      <w:r w:rsidRPr="00DF5D48">
        <w:rPr>
          <w:rFonts w:ascii="Times New Roman" w:hAnsi="Times New Roman" w:cs="Times New Roman"/>
          <w:sz w:val="24"/>
          <w:szCs w:val="24"/>
          <w:lang w:val="en-GB"/>
        </w:rPr>
        <w:t>Ureteroscopy is more cost efective than shock wave lithotripsy for stone treatment: systematic review and meta</w:t>
      </w:r>
      <w:r w:rsidRPr="00DF5D48">
        <w:rPr>
          <w:rFonts w:ascii="Times New Roman" w:hAnsi="Times New Roman" w:cs="Times New Roman"/>
          <w:sz w:val="24"/>
          <w:szCs w:val="24"/>
          <w:lang w:val="en-GB"/>
        </w:rPr>
        <w:noBreakHyphen/>
        <w:t xml:space="preserve">analysis. World J Urol. 2018; 36(11): 1783-1793. </w:t>
      </w:r>
      <w:r w:rsidRPr="00DF5D48">
        <w:rPr>
          <w:rFonts w:ascii="Times New Roman" w:hAnsi="Times New Roman" w:cs="Times New Roman"/>
          <w:sz w:val="24"/>
          <w:szCs w:val="24"/>
          <w:shd w:val="clear" w:color="auto" w:fill="FFFFFF"/>
          <w:lang w:val="en-GB"/>
        </w:rPr>
        <w:t>doi: </w:t>
      </w:r>
      <w:hyperlink r:id="rId59" w:tgtFrame="pmc_ext" w:history="1">
        <w:r w:rsidRPr="00DF5D48">
          <w:rPr>
            <w:rStyle w:val="Hypertextovodkaz"/>
            <w:rFonts w:ascii="Times New Roman" w:hAnsi="Times New Roman" w:cs="Times New Roman"/>
            <w:color w:val="auto"/>
            <w:sz w:val="24"/>
            <w:szCs w:val="24"/>
            <w:u w:val="none"/>
            <w:shd w:val="clear" w:color="auto" w:fill="FFFFFF"/>
            <w:lang w:val="en-GB"/>
          </w:rPr>
          <w:t>10.1007/s00345-018-2320-9</w:t>
        </w:r>
      </w:hyperlink>
      <w:r w:rsidRPr="00DF5D48">
        <w:rPr>
          <w:rFonts w:ascii="Times New Roman" w:hAnsi="Times New Roman" w:cs="Times New Roman"/>
          <w:sz w:val="24"/>
          <w:szCs w:val="24"/>
          <w:lang w:val="en-GB"/>
        </w:rPr>
        <w:t xml:space="preserve">. </w:t>
      </w:r>
    </w:p>
    <w:p w14:paraId="244FB478"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08725CAF" w14:textId="77777777" w:rsidR="0037739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lang w:val="en-GB"/>
        </w:rPr>
        <w:t>Ghosh</w:t>
      </w:r>
      <w:r w:rsidRPr="00DF5D48">
        <w:rPr>
          <w:rStyle w:val="authors-list-item"/>
          <w:rFonts w:ascii="Times New Roman" w:hAnsi="Times New Roman" w:cs="Times New Roman"/>
          <w:sz w:val="24"/>
          <w:szCs w:val="24"/>
          <w:lang w:val="en-GB"/>
        </w:rPr>
        <w:t xml:space="preserve"> A, Oliver R, Way C, White L, Somani BK. </w:t>
      </w:r>
      <w:r w:rsidRPr="00DF5D48">
        <w:rPr>
          <w:rFonts w:ascii="Times New Roman" w:hAnsi="Times New Roman" w:cs="Times New Roman"/>
          <w:sz w:val="24"/>
          <w:szCs w:val="24"/>
          <w:lang w:val="en-GB"/>
        </w:rPr>
        <w:t>Results of Day-Case Ureterorenoscopy (DC-URS) for Stone Disease: Prospective Outcomes Over 4.5 Years</w:t>
      </w:r>
      <w:r w:rsidRPr="00DF5D48">
        <w:rPr>
          <w:rFonts w:ascii="Times New Roman" w:eastAsia="Times New Roman" w:hAnsi="Times New Roman" w:cs="Times New Roman"/>
          <w:sz w:val="24"/>
          <w:szCs w:val="24"/>
          <w:lang w:val="en-GB" w:eastAsia="sk-SK"/>
        </w:rPr>
        <w:t xml:space="preserve">. World J Urol. 2017; 35(11): 1757-1764. </w:t>
      </w:r>
      <w:r w:rsidRPr="00DF5D48">
        <w:rPr>
          <w:rFonts w:ascii="Times New Roman" w:hAnsi="Times New Roman" w:cs="Times New Roman"/>
          <w:sz w:val="24"/>
          <w:szCs w:val="24"/>
          <w:shd w:val="clear" w:color="auto" w:fill="FFFFFF"/>
          <w:lang w:val="en-GB"/>
        </w:rPr>
        <w:t>doi: 10.1007/s00345-017-2061-1.</w:t>
      </w:r>
    </w:p>
    <w:p w14:paraId="265A6125" w14:textId="77777777" w:rsidR="0037739A" w:rsidRPr="00DF5D48" w:rsidRDefault="0037739A" w:rsidP="00D135D4">
      <w:pPr>
        <w:pStyle w:val="Odstavecseseznamem"/>
        <w:spacing w:after="0" w:line="336" w:lineRule="auto"/>
        <w:rPr>
          <w:rFonts w:ascii="Times New Roman" w:hAnsi="Times New Roman" w:cs="Times New Roman"/>
          <w:sz w:val="24"/>
          <w:szCs w:val="24"/>
        </w:rPr>
      </w:pPr>
    </w:p>
    <w:p w14:paraId="6EEAEE2F" w14:textId="2FECCDE0" w:rsidR="008D1014" w:rsidRPr="00DF5D48" w:rsidRDefault="008D1014"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rPr>
        <w:t>Goertz JK, Lotterman S. Can the degree of hydronephrosis on ultrasound predict kidney stone size? Am J Emerg Med</w:t>
      </w:r>
      <w:r w:rsidR="0037739A" w:rsidRPr="00DF5D48">
        <w:rPr>
          <w:rFonts w:ascii="Times New Roman" w:hAnsi="Times New Roman" w:cs="Times New Roman"/>
          <w:sz w:val="24"/>
          <w:szCs w:val="24"/>
        </w:rPr>
        <w:t>.</w:t>
      </w:r>
      <w:r w:rsidRPr="00DF5D48">
        <w:rPr>
          <w:rFonts w:ascii="Times New Roman" w:hAnsi="Times New Roman" w:cs="Times New Roman"/>
          <w:sz w:val="24"/>
          <w:szCs w:val="24"/>
        </w:rPr>
        <w:t xml:space="preserve"> 2010;</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28(7):</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813–</w:t>
      </w:r>
      <w:r w:rsidR="0037739A" w:rsidRPr="00DF5D48">
        <w:rPr>
          <w:rFonts w:ascii="Times New Roman" w:hAnsi="Times New Roman" w:cs="Times New Roman"/>
          <w:sz w:val="24"/>
          <w:szCs w:val="24"/>
        </w:rPr>
        <w:t>81</w:t>
      </w:r>
      <w:r w:rsidRPr="00DF5D48">
        <w:rPr>
          <w:rFonts w:ascii="Times New Roman" w:hAnsi="Times New Roman" w:cs="Times New Roman"/>
          <w:sz w:val="24"/>
          <w:szCs w:val="24"/>
        </w:rPr>
        <w:t>6.</w:t>
      </w:r>
      <w:r w:rsidR="0037739A" w:rsidRPr="00DF5D48">
        <w:rPr>
          <w:rFonts w:ascii="Times New Roman" w:hAnsi="Times New Roman" w:cs="Times New Roman"/>
          <w:sz w:val="24"/>
          <w:szCs w:val="24"/>
        </w:rPr>
        <w:t xml:space="preserve"> </w:t>
      </w:r>
      <w:r w:rsidR="0037739A" w:rsidRPr="00DF5D48">
        <w:rPr>
          <w:rStyle w:val="id-label"/>
          <w:rFonts w:ascii="Times New Roman" w:hAnsi="Times New Roman" w:cs="Times New Roman"/>
          <w:sz w:val="24"/>
          <w:szCs w:val="24"/>
        </w:rPr>
        <w:t>DOI: </w:t>
      </w:r>
      <w:hyperlink r:id="rId60" w:tgtFrame="_blank" w:history="1">
        <w:r w:rsidR="0037739A" w:rsidRPr="00A3085C">
          <w:rPr>
            <w:rStyle w:val="Hypertextovodkaz"/>
            <w:rFonts w:ascii="Times New Roman" w:hAnsi="Times New Roman" w:cs="Times New Roman"/>
            <w:color w:val="auto"/>
            <w:sz w:val="24"/>
            <w:szCs w:val="24"/>
            <w:u w:val="none"/>
          </w:rPr>
          <w:t>10.1016/j.ajem.2009.06.028</w:t>
        </w:r>
      </w:hyperlink>
      <w:r w:rsidR="0037739A" w:rsidRPr="00DF5D48">
        <w:rPr>
          <w:rFonts w:ascii="Times New Roman" w:hAnsi="Times New Roman" w:cs="Times New Roman"/>
          <w:sz w:val="24"/>
          <w:szCs w:val="24"/>
        </w:rPr>
        <w:t>.</w:t>
      </w:r>
    </w:p>
    <w:p w14:paraId="45C07C08" w14:textId="77777777" w:rsidR="008D1014" w:rsidRPr="00DF5D48" w:rsidRDefault="008D1014" w:rsidP="00D135D4">
      <w:pPr>
        <w:pStyle w:val="Odstavecseseznamem"/>
        <w:spacing w:after="0" w:line="336" w:lineRule="auto"/>
        <w:rPr>
          <w:rFonts w:ascii="Times New Roman" w:eastAsia="Times New Roman" w:hAnsi="Times New Roman" w:cs="Times New Roman"/>
          <w:sz w:val="24"/>
          <w:szCs w:val="24"/>
          <w:lang w:val="en-GB" w:eastAsia="sk-SK"/>
        </w:rPr>
      </w:pPr>
    </w:p>
    <w:p w14:paraId="636D81FF" w14:textId="7FCA9FA0" w:rsidR="00B54AB8" w:rsidRPr="00DF5D48" w:rsidRDefault="00B54AB8" w:rsidP="00D135D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sidRPr="00DF5D48">
        <w:rPr>
          <w:rFonts w:ascii="Times New Roman" w:hAnsi="Times New Roman" w:cs="Times New Roman"/>
          <w:sz w:val="24"/>
          <w:szCs w:val="24"/>
        </w:rPr>
        <w:t>Guillemin, F., Bombardier, C., Beaton, D. Cross-cultural adaptation of health-related quality of life measures: Literature review and proposed guidelines. J Clin Epidemiol</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1993;</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46(12):</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rPr>
        <w:t>1417-1432.</w:t>
      </w:r>
      <w:r w:rsidR="0037739A" w:rsidRPr="00DF5D48">
        <w:rPr>
          <w:rFonts w:ascii="Times New Roman" w:hAnsi="Times New Roman" w:cs="Times New Roman"/>
          <w:sz w:val="24"/>
          <w:szCs w:val="24"/>
        </w:rPr>
        <w:t xml:space="preserve"> </w:t>
      </w:r>
      <w:r w:rsidR="0037739A" w:rsidRPr="00DF5D48">
        <w:rPr>
          <w:rFonts w:ascii="Times New Roman" w:hAnsi="Times New Roman" w:cs="Times New Roman"/>
          <w:sz w:val="24"/>
          <w:szCs w:val="24"/>
          <w:shd w:val="clear" w:color="auto" w:fill="FFFFFF"/>
        </w:rPr>
        <w:t>doi: 10.1016/0895-4356(93)90142-n.</w:t>
      </w:r>
    </w:p>
    <w:p w14:paraId="1B5AAE32" w14:textId="77777777" w:rsidR="0037739A" w:rsidRPr="00DF5D48" w:rsidRDefault="0037739A" w:rsidP="00D135D4">
      <w:pPr>
        <w:shd w:val="clear" w:color="auto" w:fill="FFFFFF"/>
        <w:spacing w:after="0" w:line="336" w:lineRule="auto"/>
        <w:jc w:val="both"/>
        <w:rPr>
          <w:rFonts w:ascii="Times New Roman" w:eastAsia="Times New Roman" w:hAnsi="Times New Roman" w:cs="Times New Roman"/>
          <w:sz w:val="24"/>
          <w:szCs w:val="24"/>
          <w:lang w:val="en-GB" w:eastAsia="sk-SK"/>
        </w:rPr>
      </w:pPr>
    </w:p>
    <w:p w14:paraId="026DA732" w14:textId="32861BBD" w:rsidR="0052468A"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eastAsia="Times New Roman" w:hAnsi="Times New Roman" w:cs="Times New Roman"/>
          <w:sz w:val="24"/>
          <w:szCs w:val="24"/>
          <w:lang w:val="en-GB" w:eastAsia="sk-SK"/>
        </w:rPr>
        <w:t xml:space="preserve">Hagovska M, Svihra J, Bukova A, Horbacz A, Drackova D, Luptak J, Svihra J jr. The Relationship between Overweight and Overactive Bladder Symptoms. Obes Facts. 2020; 13(3): 297-306. </w:t>
      </w:r>
      <w:r w:rsidRPr="00DF5D48">
        <w:rPr>
          <w:rFonts w:ascii="Times New Roman" w:hAnsi="Times New Roman" w:cs="Times New Roman"/>
          <w:sz w:val="24"/>
          <w:szCs w:val="24"/>
          <w:shd w:val="clear" w:color="auto" w:fill="FFFFFF"/>
          <w:lang w:val="en-GB"/>
        </w:rPr>
        <w:t>doi: </w:t>
      </w:r>
      <w:hyperlink r:id="rId61" w:tgtFrame="pmc_ext" w:history="1">
        <w:r w:rsidRPr="00DF5D48">
          <w:rPr>
            <w:rStyle w:val="Hypertextovodkaz"/>
            <w:rFonts w:ascii="Times New Roman" w:hAnsi="Times New Roman" w:cs="Times New Roman"/>
            <w:color w:val="auto"/>
            <w:sz w:val="24"/>
            <w:szCs w:val="24"/>
            <w:u w:val="none"/>
            <w:shd w:val="clear" w:color="auto" w:fill="FFFFFF"/>
            <w:lang w:val="en-GB"/>
          </w:rPr>
          <w:t>10.1159/000506486</w:t>
        </w:r>
      </w:hyperlink>
      <w:r w:rsidRPr="00DF5D48">
        <w:rPr>
          <w:rFonts w:ascii="Times New Roman" w:hAnsi="Times New Roman" w:cs="Times New Roman"/>
          <w:sz w:val="24"/>
          <w:szCs w:val="24"/>
          <w:lang w:val="en-GB"/>
        </w:rPr>
        <w:t xml:space="preserve">. </w:t>
      </w:r>
    </w:p>
    <w:p w14:paraId="43B3E2EF" w14:textId="77777777" w:rsidR="0052468A" w:rsidRPr="00DF5D48" w:rsidRDefault="0052468A" w:rsidP="00D135D4">
      <w:p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p>
    <w:p w14:paraId="6715C663" w14:textId="77777777" w:rsidR="0052468A" w:rsidRPr="00DF5D48"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eastAsia="Times New Roman" w:hAnsi="Times New Roman" w:cs="Times New Roman"/>
          <w:iCs/>
          <w:sz w:val="24"/>
          <w:szCs w:val="24"/>
          <w:lang w:val="en-GB" w:eastAsia="sk-SK"/>
        </w:rPr>
        <w:t xml:space="preserve">Heilberg IP, Goldfarb DS. </w:t>
      </w:r>
      <w:r w:rsidRPr="00DF5D48">
        <w:rPr>
          <w:rFonts w:ascii="Times New Roman" w:eastAsia="Times New Roman" w:hAnsi="Times New Roman" w:cs="Times New Roman"/>
          <w:sz w:val="24"/>
          <w:szCs w:val="24"/>
          <w:shd w:val="clear" w:color="auto" w:fill="FFFFFF"/>
          <w:lang w:val="en-GB" w:eastAsia="sk-SK"/>
        </w:rPr>
        <w:t>Optimum nutrition for kidney stone disease.</w:t>
      </w:r>
      <w:r w:rsidRPr="00DF5D48">
        <w:rPr>
          <w:rFonts w:ascii="Times New Roman" w:eastAsia="Times New Roman" w:hAnsi="Times New Roman" w:cs="Times New Roman"/>
          <w:sz w:val="24"/>
          <w:szCs w:val="24"/>
          <w:lang w:val="en-GB" w:eastAsia="sk-SK"/>
        </w:rPr>
        <w:t xml:space="preserve"> </w:t>
      </w:r>
      <w:r w:rsidRPr="00DF5D48">
        <w:rPr>
          <w:rFonts w:ascii="Times New Roman" w:eastAsia="Times New Roman" w:hAnsi="Times New Roman" w:cs="Times New Roman"/>
          <w:iCs/>
          <w:sz w:val="24"/>
          <w:szCs w:val="24"/>
          <w:lang w:val="en-GB" w:eastAsia="sk-SK"/>
        </w:rPr>
        <w:t>Adv Chronic Kidney Dis. 2013; 20(2): 165-174. d</w:t>
      </w:r>
      <w:r w:rsidRPr="00DF5D48">
        <w:rPr>
          <w:rFonts w:ascii="Times New Roman" w:hAnsi="Times New Roman" w:cs="Times New Roman"/>
          <w:sz w:val="24"/>
          <w:szCs w:val="24"/>
          <w:shd w:val="clear" w:color="auto" w:fill="FFFFFF"/>
          <w:lang w:val="en-GB"/>
        </w:rPr>
        <w:t>oi: 10.1053/j.ackd.2012.12.001.</w:t>
      </w:r>
    </w:p>
    <w:p w14:paraId="4968B375"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CFCFC"/>
          <w:lang w:val="en-GB"/>
        </w:rPr>
      </w:pPr>
    </w:p>
    <w:p w14:paraId="50B97422" w14:textId="71066990"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Honey RJDA, Schuler TD, Ghiculete D, Pace KT, Canadian Endourology Group. A Randomized, Double-Blind Trial to Compare Shock Wave Frequencies of 60 and 120 Shocks per Minute for Upper Ureteral Stones. </w:t>
      </w:r>
      <w:r w:rsidRPr="00BB3A19">
        <w:rPr>
          <w:rStyle w:val="ref-journal"/>
          <w:rFonts w:ascii="Times New Roman" w:hAnsi="Times New Roman" w:cs="Times New Roman"/>
          <w:sz w:val="24"/>
          <w:szCs w:val="24"/>
          <w:lang w:val="en-GB"/>
        </w:rPr>
        <w:t>J Urol. </w:t>
      </w:r>
      <w:r w:rsidRPr="00BB3A19">
        <w:rPr>
          <w:rStyle w:val="element-citation"/>
          <w:rFonts w:ascii="Times New Roman" w:hAnsi="Times New Roman" w:cs="Times New Roman"/>
          <w:sz w:val="24"/>
          <w:szCs w:val="24"/>
          <w:lang w:val="en-GB"/>
        </w:rPr>
        <w:t xml:space="preserve">2009; </w:t>
      </w:r>
      <w:r w:rsidRPr="00BB3A19">
        <w:rPr>
          <w:rStyle w:val="ref-vol"/>
          <w:rFonts w:ascii="Times New Roman" w:hAnsi="Times New Roman" w:cs="Times New Roman"/>
          <w:sz w:val="24"/>
          <w:szCs w:val="24"/>
          <w:lang w:val="en-GB"/>
        </w:rPr>
        <w:t>182(4)</w:t>
      </w:r>
      <w:r w:rsidRPr="00BB3A19">
        <w:rPr>
          <w:rStyle w:val="element-citation"/>
          <w:rFonts w:ascii="Times New Roman" w:hAnsi="Times New Roman" w:cs="Times New Roman"/>
          <w:sz w:val="24"/>
          <w:szCs w:val="24"/>
          <w:lang w:val="en-GB"/>
        </w:rPr>
        <w:t xml:space="preserve">: 1418–1423. </w:t>
      </w:r>
      <w:hyperlink r:id="rId62" w:tgtFrame="_blank" w:tooltip="Persistent link using digital object identifier" w:history="1">
        <w:r w:rsidRPr="00BB3A19">
          <w:rPr>
            <w:rStyle w:val="Hypertextovodkaz"/>
            <w:rFonts w:ascii="Times New Roman" w:hAnsi="Times New Roman" w:cs="Times New Roman"/>
            <w:color w:val="auto"/>
            <w:sz w:val="24"/>
            <w:szCs w:val="24"/>
            <w:u w:val="none"/>
            <w:lang w:val="en-GB"/>
          </w:rPr>
          <w:t>https://doi.org/10.1016/j.juro.2009.06.019</w:t>
        </w:r>
      </w:hyperlink>
      <w:r w:rsidR="0037739A">
        <w:rPr>
          <w:rStyle w:val="Hypertextovodkaz"/>
          <w:rFonts w:ascii="Times New Roman" w:hAnsi="Times New Roman" w:cs="Times New Roman"/>
          <w:color w:val="auto"/>
          <w:sz w:val="24"/>
          <w:szCs w:val="24"/>
          <w:u w:val="none"/>
          <w:lang w:val="en-GB"/>
        </w:rPr>
        <w:t>.</w:t>
      </w:r>
    </w:p>
    <w:p w14:paraId="75A91404"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7271CB38"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shd w:val="clear" w:color="auto" w:fill="FFFFFF"/>
          <w:lang w:val="en-GB"/>
        </w:rPr>
        <w:lastRenderedPageBreak/>
        <w:t>Husted JA, Cook RJ, Farewell VT, Gladman DD. Methods for assessing responsiveness: a critical review and recommendations. J Clin Epidemiol. 2000; 53(5): 459-468. doi: 10.1016/s0895-4356(99)00206-1.</w:t>
      </w:r>
    </w:p>
    <w:p w14:paraId="128E2798" w14:textId="77777777" w:rsidR="0052468A" w:rsidRPr="00BB3A19" w:rsidRDefault="0052468A" w:rsidP="00DF5D48">
      <w:pPr>
        <w:spacing w:after="0" w:line="336" w:lineRule="auto"/>
        <w:ind w:left="426" w:hanging="426"/>
        <w:jc w:val="both"/>
        <w:rPr>
          <w:rFonts w:ascii="Times New Roman" w:hAnsi="Times New Roman" w:cs="Times New Roman"/>
          <w:sz w:val="24"/>
          <w:szCs w:val="24"/>
          <w:shd w:val="clear" w:color="auto" w:fill="FFFFFF"/>
          <w:lang w:val="en-GB"/>
        </w:rPr>
      </w:pPr>
    </w:p>
    <w:p w14:paraId="7291BC9F" w14:textId="3AFA194D" w:rsidR="0052468A" w:rsidRPr="00DF5D48" w:rsidRDefault="0052468A" w:rsidP="00DF5D48">
      <w:pPr>
        <w:pStyle w:val="Odstavecseseznamem"/>
        <w:numPr>
          <w:ilvl w:val="0"/>
          <w:numId w:val="19"/>
        </w:numPr>
        <w:spacing w:after="0" w:line="336" w:lineRule="auto"/>
        <w:ind w:left="426" w:hanging="426"/>
        <w:jc w:val="both"/>
        <w:rPr>
          <w:rFonts w:ascii="Times New Roman" w:hAnsi="Times New Roman" w:cs="Times New Roman"/>
          <w:sz w:val="24"/>
          <w:szCs w:val="24"/>
          <w:lang w:val="en-GB"/>
        </w:rPr>
      </w:pPr>
      <w:r w:rsidRPr="00DF5D48">
        <w:rPr>
          <w:rStyle w:val="element-citation"/>
          <w:rFonts w:ascii="Times New Roman" w:hAnsi="Times New Roman" w:cs="Times New Roman"/>
          <w:sz w:val="24"/>
          <w:szCs w:val="24"/>
          <w:shd w:val="clear" w:color="auto" w:fill="FFFFFF"/>
          <w:lang w:val="en-GB"/>
        </w:rPr>
        <w:t>Chang KD, Lee JY, Park SY, Kang DH, Lee HH, Cho KS. Impact of Pretreatment Hydronephrosis on the Success Rate of Shock Wave Lithotripsy in Patients with Ureteral Stone. </w:t>
      </w:r>
      <w:r w:rsidRPr="00DF5D48">
        <w:rPr>
          <w:rStyle w:val="ref-journal"/>
          <w:rFonts w:ascii="Times New Roman" w:hAnsi="Times New Roman" w:cs="Times New Roman"/>
          <w:sz w:val="24"/>
          <w:szCs w:val="24"/>
          <w:shd w:val="clear" w:color="auto" w:fill="FFFFFF"/>
          <w:lang w:val="en-GB"/>
        </w:rPr>
        <w:t>Yonsei Med J. </w:t>
      </w:r>
      <w:r w:rsidRPr="00DF5D48">
        <w:rPr>
          <w:rStyle w:val="element-citation"/>
          <w:rFonts w:ascii="Times New Roman" w:hAnsi="Times New Roman" w:cs="Times New Roman"/>
          <w:sz w:val="24"/>
          <w:szCs w:val="24"/>
          <w:shd w:val="clear" w:color="auto" w:fill="FFFFFF"/>
          <w:lang w:val="en-GB"/>
        </w:rPr>
        <w:t xml:space="preserve">2017; </w:t>
      </w:r>
      <w:r w:rsidRPr="00DF5D48">
        <w:rPr>
          <w:rStyle w:val="ref-vol"/>
          <w:rFonts w:ascii="Times New Roman" w:hAnsi="Times New Roman" w:cs="Times New Roman"/>
          <w:sz w:val="24"/>
          <w:szCs w:val="24"/>
          <w:shd w:val="clear" w:color="auto" w:fill="FFFFFF"/>
          <w:lang w:val="en-GB"/>
        </w:rPr>
        <w:t>58(5)</w:t>
      </w:r>
      <w:r w:rsidRPr="00DF5D48">
        <w:rPr>
          <w:rStyle w:val="element-citation"/>
          <w:rFonts w:ascii="Times New Roman" w:hAnsi="Times New Roman" w:cs="Times New Roman"/>
          <w:sz w:val="24"/>
          <w:szCs w:val="24"/>
          <w:shd w:val="clear" w:color="auto" w:fill="FFFFFF"/>
          <w:lang w:val="en-GB"/>
        </w:rPr>
        <w:t xml:space="preserve">: 1000–1005. </w:t>
      </w:r>
      <w:r w:rsidRPr="00DF5D48">
        <w:rPr>
          <w:rFonts w:ascii="Times New Roman" w:hAnsi="Times New Roman" w:cs="Times New Roman"/>
          <w:sz w:val="24"/>
          <w:szCs w:val="24"/>
          <w:shd w:val="clear" w:color="auto" w:fill="FFFFFF"/>
          <w:lang w:val="en-GB"/>
        </w:rPr>
        <w:t>doi: </w:t>
      </w:r>
      <w:hyperlink r:id="rId63" w:tgtFrame="pmc_ext" w:history="1">
        <w:r w:rsidRPr="00DF5D48">
          <w:rPr>
            <w:rStyle w:val="Hypertextovodkaz"/>
            <w:rFonts w:ascii="Times New Roman" w:hAnsi="Times New Roman" w:cs="Times New Roman"/>
            <w:color w:val="auto"/>
            <w:sz w:val="24"/>
            <w:szCs w:val="24"/>
            <w:u w:val="none"/>
            <w:shd w:val="clear" w:color="auto" w:fill="FFFFFF"/>
            <w:lang w:val="en-GB"/>
          </w:rPr>
          <w:t>10.3349/ymj.2017.58.5.1000</w:t>
        </w:r>
      </w:hyperlink>
      <w:r w:rsidR="00783DDC" w:rsidRPr="00DF5D48">
        <w:rPr>
          <w:rStyle w:val="Hypertextovodkaz"/>
          <w:rFonts w:ascii="Times New Roman" w:hAnsi="Times New Roman" w:cs="Times New Roman"/>
          <w:color w:val="auto"/>
          <w:sz w:val="24"/>
          <w:szCs w:val="24"/>
          <w:u w:val="none"/>
          <w:shd w:val="clear" w:color="auto" w:fill="FFFFFF"/>
          <w:lang w:val="en-GB"/>
        </w:rPr>
        <w:t>.</w:t>
      </w:r>
    </w:p>
    <w:p w14:paraId="5BFE07C3" w14:textId="77777777" w:rsidR="0052468A" w:rsidRPr="00DF5D48" w:rsidRDefault="0052468A" w:rsidP="00DF5D48">
      <w:pPr>
        <w:spacing w:after="0" w:line="336" w:lineRule="auto"/>
        <w:ind w:left="426" w:hanging="426"/>
        <w:jc w:val="both"/>
        <w:rPr>
          <w:rStyle w:val="element-citation"/>
          <w:rFonts w:ascii="Times New Roman" w:hAnsi="Times New Roman" w:cs="Times New Roman"/>
          <w:sz w:val="24"/>
          <w:szCs w:val="24"/>
          <w:shd w:val="clear" w:color="auto" w:fill="FFFFFF"/>
          <w:lang w:val="en-GB"/>
        </w:rPr>
      </w:pPr>
    </w:p>
    <w:p w14:paraId="25C02206" w14:textId="312030BA" w:rsidR="008D1014" w:rsidRPr="00DF5D48" w:rsidRDefault="008D1014" w:rsidP="00DF5D48">
      <w:pPr>
        <w:pStyle w:val="Odstavecseseznamem"/>
        <w:numPr>
          <w:ilvl w:val="0"/>
          <w:numId w:val="19"/>
        </w:numPr>
        <w:spacing w:after="0" w:line="336" w:lineRule="auto"/>
        <w:ind w:left="426" w:hanging="426"/>
        <w:jc w:val="both"/>
        <w:rPr>
          <w:rStyle w:val="element-citation"/>
          <w:rFonts w:ascii="Times New Roman" w:hAnsi="Times New Roman" w:cs="Times New Roman"/>
          <w:sz w:val="24"/>
          <w:szCs w:val="24"/>
          <w:lang w:val="en-GB"/>
        </w:rPr>
      </w:pPr>
      <w:r w:rsidRPr="00DF5D48">
        <w:rPr>
          <w:rFonts w:ascii="Times New Roman" w:hAnsi="Times New Roman" w:cs="Times New Roman"/>
          <w:sz w:val="24"/>
          <w:szCs w:val="24"/>
        </w:rPr>
        <w:t>Chaussy, CH., Brendel, W., Schmiedt, E. Extracorporeally induced destruction of kidney stones by shock waves. The Lancet</w:t>
      </w:r>
      <w:r w:rsidR="0037739A" w:rsidRPr="00DF5D48">
        <w:rPr>
          <w:rFonts w:ascii="Times New Roman" w:hAnsi="Times New Roman" w:cs="Times New Roman"/>
          <w:sz w:val="24"/>
          <w:szCs w:val="24"/>
        </w:rPr>
        <w:t>.</w:t>
      </w:r>
      <w:r w:rsidRPr="00DF5D48">
        <w:rPr>
          <w:rFonts w:ascii="Times New Roman" w:hAnsi="Times New Roman" w:cs="Times New Roman"/>
          <w:sz w:val="24"/>
          <w:szCs w:val="24"/>
        </w:rPr>
        <w:t xml:space="preserve"> 1980;</w:t>
      </w:r>
      <w:r w:rsidR="0037739A" w:rsidRPr="00DF5D48">
        <w:rPr>
          <w:rFonts w:ascii="Times New Roman" w:hAnsi="Times New Roman" w:cs="Times New Roman"/>
          <w:sz w:val="24"/>
          <w:szCs w:val="24"/>
        </w:rPr>
        <w:t xml:space="preserve"> </w:t>
      </w:r>
      <w:r w:rsidRPr="00DF5D48">
        <w:rPr>
          <w:rFonts w:ascii="Times New Roman" w:hAnsi="Times New Roman" w:cs="Times New Roman"/>
          <w:sz w:val="24"/>
          <w:szCs w:val="24"/>
          <w:shd w:val="clear" w:color="auto" w:fill="FFFFFF"/>
        </w:rPr>
        <w:t>316 (8207):1265-1268.</w:t>
      </w:r>
      <w:r w:rsidR="00783DDC" w:rsidRPr="00DF5D48">
        <w:rPr>
          <w:rFonts w:ascii="Times New Roman" w:hAnsi="Times New Roman" w:cs="Times New Roman"/>
          <w:sz w:val="24"/>
          <w:szCs w:val="24"/>
          <w:shd w:val="clear" w:color="auto" w:fill="FFFFFF"/>
        </w:rPr>
        <w:t xml:space="preserve"> doi: 10.1016/s0140-6736(80)92335-1.</w:t>
      </w:r>
    </w:p>
    <w:p w14:paraId="56E600FE" w14:textId="77777777" w:rsidR="008D1014" w:rsidRPr="00DF5D48" w:rsidRDefault="008D1014" w:rsidP="00DF5D48">
      <w:pPr>
        <w:pStyle w:val="Odstavecseseznamem"/>
        <w:spacing w:after="0" w:line="336" w:lineRule="auto"/>
        <w:rPr>
          <w:rStyle w:val="element-citation"/>
          <w:rFonts w:ascii="Times New Roman" w:hAnsi="Times New Roman" w:cs="Times New Roman"/>
          <w:sz w:val="24"/>
          <w:szCs w:val="24"/>
          <w:lang w:val="en-GB"/>
        </w:rPr>
      </w:pPr>
    </w:p>
    <w:p w14:paraId="3B7CA22D" w14:textId="4956E5F1" w:rsidR="0052468A" w:rsidRPr="00BB3A19" w:rsidRDefault="0052468A" w:rsidP="00DF5D48">
      <w:pPr>
        <w:pStyle w:val="Odstavecseseznamem"/>
        <w:numPr>
          <w:ilvl w:val="0"/>
          <w:numId w:val="19"/>
        </w:numPr>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Chauveau P, Aparicio M, Bellizzi V, Campbell K, Hong X, Johansson L, Kolko A, Molina P, Sezer S, Wanner Ch, Ter Wee PM, Teta D, Fouque D, Carrero</w:t>
      </w:r>
      <w:r w:rsidRPr="00BB3A19">
        <w:rPr>
          <w:rStyle w:val="element-citation"/>
          <w:rFonts w:ascii="Times New Roman" w:hAnsi="Times New Roman" w:cs="Times New Roman"/>
          <w:sz w:val="24"/>
          <w:szCs w:val="24"/>
          <w:lang w:val="en-GB"/>
        </w:rPr>
        <w:t xml:space="preserve"> J, ERN ERA-EDTA. Mediterranean diet as the diet of choice for patients with chronic kidney disease. </w:t>
      </w:r>
      <w:r w:rsidRPr="00BB3A19">
        <w:rPr>
          <w:rStyle w:val="ref-journal"/>
          <w:rFonts w:ascii="Times New Roman" w:hAnsi="Times New Roman" w:cs="Times New Roman"/>
          <w:sz w:val="24"/>
          <w:szCs w:val="24"/>
          <w:lang w:val="en-GB"/>
        </w:rPr>
        <w:t>Nephrol Dial Transpl. </w:t>
      </w:r>
      <w:r w:rsidRPr="00BB3A19">
        <w:rPr>
          <w:rStyle w:val="element-citation"/>
          <w:rFonts w:ascii="Times New Roman" w:hAnsi="Times New Roman" w:cs="Times New Roman"/>
          <w:sz w:val="24"/>
          <w:szCs w:val="24"/>
          <w:lang w:val="en-GB"/>
        </w:rPr>
        <w:t xml:space="preserve">2018; </w:t>
      </w:r>
      <w:r w:rsidRPr="00BB3A19">
        <w:rPr>
          <w:rStyle w:val="ref-vol"/>
          <w:rFonts w:ascii="Times New Roman" w:hAnsi="Times New Roman" w:cs="Times New Roman"/>
          <w:sz w:val="24"/>
          <w:szCs w:val="24"/>
          <w:lang w:val="en-GB"/>
        </w:rPr>
        <w:t>33(5)</w:t>
      </w:r>
      <w:r w:rsidRPr="00BB3A19">
        <w:rPr>
          <w:rStyle w:val="element-citation"/>
          <w:rFonts w:ascii="Times New Roman" w:hAnsi="Times New Roman" w:cs="Times New Roman"/>
          <w:sz w:val="24"/>
          <w:szCs w:val="24"/>
          <w:lang w:val="en-GB"/>
        </w:rPr>
        <w:t>: 725–735. doi: 10.1093/ndt/gfx085.</w:t>
      </w:r>
    </w:p>
    <w:p w14:paraId="37666620" w14:textId="77777777" w:rsidR="0052468A" w:rsidRPr="00BB3A19"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6E68A1EE"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lang w:val="en-GB"/>
        </w:rPr>
        <w:t xml:space="preserve">Cheng PM, Moin P, Dunn MD, Boswell WD, Duddalwar VA. What the radiologist needs to know about urolithiasis: part 1-CT findings, reporting, and treatment. AJR Am J Roentgenol. 2012a; 198(6): W540–547. </w:t>
      </w:r>
      <w:r w:rsidRPr="00BB3A19">
        <w:rPr>
          <w:rFonts w:ascii="Times New Roman" w:hAnsi="Times New Roman" w:cs="Times New Roman"/>
          <w:sz w:val="24"/>
          <w:szCs w:val="24"/>
          <w:shd w:val="clear" w:color="auto" w:fill="FFFFFF"/>
          <w:lang w:val="en-GB"/>
        </w:rPr>
        <w:t>doi: 10.2214/AJR.10.7285.</w:t>
      </w:r>
    </w:p>
    <w:p w14:paraId="3F190C2A"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3EF485E5"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lang w:val="en-GB"/>
        </w:rPr>
        <w:t xml:space="preserve">Cheng PM, Moin P, Dunn MD, Boswell WD, Duddalwar VA. What the radiologist needs to know about urolithiasis: part 2-CT findings, reporting, and treatment. AJR Am J Roentgenol. 2012b; 198(6): W548–554. </w:t>
      </w:r>
      <w:r w:rsidRPr="00BB3A19">
        <w:rPr>
          <w:rFonts w:ascii="Times New Roman" w:hAnsi="Times New Roman" w:cs="Times New Roman"/>
          <w:sz w:val="24"/>
          <w:szCs w:val="24"/>
          <w:shd w:val="clear" w:color="auto" w:fill="FFFFFF"/>
          <w:lang w:val="en-GB"/>
        </w:rPr>
        <w:t>doi: 10.2214/AJR.11.8462.</w:t>
      </w:r>
    </w:p>
    <w:p w14:paraId="45C1657A"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569D295B" w14:textId="77777777" w:rsidR="00783DDC" w:rsidRPr="00DF5D48"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CFCFC"/>
          <w:lang w:val="en-GB"/>
        </w:rPr>
      </w:pPr>
      <w:r w:rsidRPr="00BB3A19">
        <w:rPr>
          <w:rFonts w:ascii="Times New Roman" w:hAnsi="Times New Roman" w:cs="Times New Roman"/>
          <w:sz w:val="24"/>
          <w:szCs w:val="24"/>
          <w:shd w:val="clear" w:color="auto" w:fill="FCFCFC"/>
          <w:lang w:val="en-GB"/>
        </w:rPr>
        <w:t xml:space="preserve">Chewcharat, A., </w:t>
      </w:r>
      <w:r w:rsidRPr="00783DDC">
        <w:rPr>
          <w:rFonts w:ascii="Times New Roman" w:hAnsi="Times New Roman" w:cs="Times New Roman"/>
          <w:sz w:val="24"/>
          <w:szCs w:val="24"/>
          <w:shd w:val="clear" w:color="auto" w:fill="FCFCFC"/>
          <w:lang w:val="en-GB"/>
        </w:rPr>
        <w:t>Curhan, G. Trends in the Prevalence of Kidney Stones in the United States from 2007 to 2016. </w:t>
      </w:r>
      <w:r w:rsidRPr="00DF5D48">
        <w:rPr>
          <w:rFonts w:ascii="Times New Roman" w:hAnsi="Times New Roman" w:cs="Times New Roman"/>
          <w:iCs/>
          <w:sz w:val="24"/>
          <w:szCs w:val="24"/>
          <w:shd w:val="clear" w:color="auto" w:fill="FCFCFC"/>
          <w:lang w:val="en-GB"/>
        </w:rPr>
        <w:t>Urolithiasis</w:t>
      </w:r>
      <w:r w:rsidRPr="00DF5D48">
        <w:rPr>
          <w:rFonts w:ascii="Times New Roman" w:hAnsi="Times New Roman" w:cs="Times New Roman"/>
          <w:sz w:val="24"/>
          <w:szCs w:val="24"/>
          <w:shd w:val="clear" w:color="auto" w:fill="FCFCFC"/>
          <w:lang w:val="en-GB"/>
        </w:rPr>
        <w:t xml:space="preserve">. 2020; Published online: 01 September 2020. </w:t>
      </w:r>
      <w:hyperlink r:id="rId64" w:history="1">
        <w:r w:rsidRPr="00DF5D48">
          <w:rPr>
            <w:rStyle w:val="Hypertextovodkaz"/>
            <w:rFonts w:ascii="Times New Roman" w:hAnsi="Times New Roman" w:cs="Times New Roman"/>
            <w:color w:val="auto"/>
            <w:sz w:val="24"/>
            <w:szCs w:val="24"/>
            <w:u w:val="none"/>
            <w:shd w:val="clear" w:color="auto" w:fill="FCFCFC"/>
            <w:lang w:val="en-GB"/>
          </w:rPr>
          <w:t>https://doi.org/10.1007/s00240-020-01210-w</w:t>
        </w:r>
      </w:hyperlink>
      <w:r w:rsidRPr="00DF5D48">
        <w:rPr>
          <w:rFonts w:ascii="Times New Roman" w:hAnsi="Times New Roman" w:cs="Times New Roman"/>
          <w:sz w:val="24"/>
          <w:szCs w:val="24"/>
          <w:shd w:val="clear" w:color="auto" w:fill="FCFCFC"/>
          <w:lang w:val="en-GB"/>
        </w:rPr>
        <w:t>.</w:t>
      </w:r>
    </w:p>
    <w:p w14:paraId="664869FD" w14:textId="77777777" w:rsidR="00783DDC" w:rsidRPr="00DF5D48" w:rsidRDefault="00783DDC" w:rsidP="00D135D4">
      <w:pPr>
        <w:pStyle w:val="Odstavecseseznamem"/>
        <w:spacing w:after="0" w:line="336" w:lineRule="auto"/>
        <w:rPr>
          <w:rFonts w:ascii="Times New Roman" w:hAnsi="Times New Roman" w:cs="Times New Roman"/>
          <w:sz w:val="24"/>
          <w:szCs w:val="24"/>
        </w:rPr>
      </w:pPr>
    </w:p>
    <w:p w14:paraId="11392A2F" w14:textId="5C8439E6" w:rsidR="0036437E" w:rsidRPr="00DF5D48" w:rsidRDefault="0036437E"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CFCFC"/>
          <w:lang w:val="en-GB"/>
        </w:rPr>
      </w:pPr>
      <w:r w:rsidRPr="00DF5D48">
        <w:rPr>
          <w:rFonts w:ascii="Times New Roman" w:hAnsi="Times New Roman" w:cs="Times New Roman"/>
          <w:sz w:val="24"/>
          <w:szCs w:val="24"/>
        </w:rPr>
        <w:t>Indridason OS, Birgisson S, Edvardsson VO, Sigvaldason H, Sigfusson N, Palsson R. Epidemiology of kidney stones in Iceland: a population-based study. Scand J Urol Nephrol</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2006;</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40</w:t>
      </w:r>
      <w:r w:rsidR="00783DDC" w:rsidRPr="00DF5D48">
        <w:rPr>
          <w:rFonts w:ascii="Times New Roman" w:hAnsi="Times New Roman" w:cs="Times New Roman"/>
          <w:sz w:val="24"/>
          <w:szCs w:val="24"/>
        </w:rPr>
        <w:t>(3)</w:t>
      </w:r>
      <w:r w:rsidRPr="00DF5D48">
        <w:rPr>
          <w:rFonts w:ascii="Times New Roman" w:hAnsi="Times New Roman" w:cs="Times New Roman"/>
          <w:sz w:val="24"/>
          <w:szCs w:val="24"/>
        </w:rPr>
        <w:t>:</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215–</w:t>
      </w:r>
      <w:r w:rsidR="00783DDC" w:rsidRPr="00DF5D48">
        <w:rPr>
          <w:rFonts w:ascii="Times New Roman" w:hAnsi="Times New Roman" w:cs="Times New Roman"/>
          <w:sz w:val="24"/>
          <w:szCs w:val="24"/>
        </w:rPr>
        <w:t>2</w:t>
      </w:r>
      <w:r w:rsidRPr="00DF5D48">
        <w:rPr>
          <w:rFonts w:ascii="Times New Roman" w:hAnsi="Times New Roman" w:cs="Times New Roman"/>
          <w:sz w:val="24"/>
          <w:szCs w:val="24"/>
        </w:rPr>
        <w:t>20.</w:t>
      </w:r>
      <w:r w:rsidR="00783DDC" w:rsidRPr="00DF5D48">
        <w:rPr>
          <w:rFonts w:ascii="Times New Roman" w:hAnsi="Times New Roman" w:cs="Times New Roman"/>
          <w:sz w:val="24"/>
          <w:szCs w:val="24"/>
        </w:rPr>
        <w:t xml:space="preserve"> </w:t>
      </w:r>
      <w:hyperlink r:id="rId65" w:history="1">
        <w:r w:rsidR="00783DDC" w:rsidRPr="00DF5D48">
          <w:rPr>
            <w:rStyle w:val="Hypertextovodkaz"/>
            <w:rFonts w:ascii="Times New Roman" w:hAnsi="Times New Roman" w:cs="Times New Roman"/>
            <w:color w:val="auto"/>
            <w:sz w:val="24"/>
            <w:szCs w:val="24"/>
            <w:u w:val="none"/>
          </w:rPr>
          <w:t>doi.org/10.1080/00365590600589898</w:t>
        </w:r>
      </w:hyperlink>
      <w:r w:rsidR="00783DDC" w:rsidRPr="00DF5D48">
        <w:rPr>
          <w:rFonts w:ascii="Times New Roman" w:hAnsi="Times New Roman" w:cs="Times New Roman"/>
          <w:sz w:val="24"/>
          <w:szCs w:val="24"/>
        </w:rPr>
        <w:t>.</w:t>
      </w:r>
    </w:p>
    <w:p w14:paraId="42BABEDE" w14:textId="77777777" w:rsidR="0036437E" w:rsidRPr="00DF5D48" w:rsidRDefault="0036437E" w:rsidP="00D135D4">
      <w:pPr>
        <w:pStyle w:val="Odstavecseseznamem"/>
        <w:autoSpaceDE w:val="0"/>
        <w:autoSpaceDN w:val="0"/>
        <w:adjustRightInd w:val="0"/>
        <w:spacing w:after="0" w:line="336" w:lineRule="auto"/>
        <w:rPr>
          <w:rFonts w:ascii="Times New Roman" w:hAnsi="Times New Roman" w:cs="Times New Roman"/>
          <w:sz w:val="24"/>
          <w:szCs w:val="24"/>
        </w:rPr>
      </w:pPr>
    </w:p>
    <w:p w14:paraId="1FFC25AE" w14:textId="77777777" w:rsidR="008D1014" w:rsidRPr="00DF5D48"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lang w:val="en-GB"/>
        </w:rPr>
        <w:lastRenderedPageBreak/>
        <w:t>Inn</w:t>
      </w:r>
      <w:r w:rsidRPr="00DF5D48">
        <w:rPr>
          <w:rStyle w:val="author-sup-separator"/>
          <w:rFonts w:ascii="Times New Roman" w:hAnsi="Times New Roman" w:cs="Times New Roman"/>
          <w:sz w:val="24"/>
          <w:szCs w:val="24"/>
          <w:vertAlign w:val="superscript"/>
          <w:lang w:val="en-GB"/>
        </w:rPr>
        <w:t xml:space="preserve"> </w:t>
      </w:r>
      <w:r w:rsidRPr="00DF5D48">
        <w:rPr>
          <w:rStyle w:val="comma"/>
          <w:rFonts w:ascii="Times New Roman" w:hAnsi="Times New Roman" w:cs="Times New Roman"/>
          <w:sz w:val="24"/>
          <w:szCs w:val="24"/>
          <w:lang w:val="en-GB"/>
        </w:rPr>
        <w:t>FX, </w:t>
      </w:r>
      <w:r w:rsidRPr="00DF5D48">
        <w:rPr>
          <w:rFonts w:ascii="Times New Roman" w:hAnsi="Times New Roman" w:cs="Times New Roman"/>
          <w:sz w:val="24"/>
          <w:szCs w:val="24"/>
          <w:lang w:val="en-GB"/>
        </w:rPr>
        <w:t>Ahmed</w:t>
      </w:r>
      <w:r w:rsidRPr="00DF5D48">
        <w:rPr>
          <w:rStyle w:val="Hypertextovodkaz"/>
          <w:rFonts w:ascii="Times New Roman" w:hAnsi="Times New Roman" w:cs="Times New Roman"/>
          <w:color w:val="auto"/>
          <w:sz w:val="24"/>
          <w:szCs w:val="24"/>
          <w:u w:val="none"/>
          <w:lang w:val="en-GB"/>
        </w:rPr>
        <w:t xml:space="preserve"> N</w:t>
      </w:r>
      <w:r w:rsidRPr="00DF5D48">
        <w:rPr>
          <w:rStyle w:val="comma"/>
          <w:rFonts w:ascii="Times New Roman" w:hAnsi="Times New Roman" w:cs="Times New Roman"/>
          <w:sz w:val="24"/>
          <w:szCs w:val="24"/>
          <w:lang w:val="en-GB"/>
        </w:rPr>
        <w:t>, </w:t>
      </w:r>
      <w:r w:rsidRPr="00DF5D48">
        <w:rPr>
          <w:rFonts w:ascii="Times New Roman" w:hAnsi="Times New Roman" w:cs="Times New Roman"/>
          <w:sz w:val="24"/>
          <w:szCs w:val="24"/>
          <w:lang w:val="en-GB"/>
        </w:rPr>
        <w:t>Hou</w:t>
      </w:r>
      <w:r w:rsidRPr="00DF5D48">
        <w:rPr>
          <w:rStyle w:val="Hypertextovodkaz"/>
          <w:rFonts w:ascii="Times New Roman" w:hAnsi="Times New Roman" w:cs="Times New Roman"/>
          <w:color w:val="auto"/>
          <w:sz w:val="24"/>
          <w:szCs w:val="24"/>
          <w:u w:val="none"/>
          <w:lang w:val="en-GB"/>
        </w:rPr>
        <w:t xml:space="preserve"> LG</w:t>
      </w:r>
      <w:r w:rsidRPr="00DF5D48">
        <w:rPr>
          <w:rStyle w:val="comma"/>
          <w:rFonts w:ascii="Times New Roman" w:hAnsi="Times New Roman" w:cs="Times New Roman"/>
          <w:sz w:val="24"/>
          <w:szCs w:val="24"/>
          <w:lang w:val="en-GB"/>
        </w:rPr>
        <w:t>, </w:t>
      </w:r>
      <w:r w:rsidRPr="00DF5D48">
        <w:rPr>
          <w:rFonts w:ascii="Times New Roman" w:hAnsi="Times New Roman" w:cs="Times New Roman"/>
          <w:sz w:val="24"/>
          <w:szCs w:val="24"/>
          <w:lang w:val="en-GB"/>
        </w:rPr>
        <w:t>Abidin</w:t>
      </w:r>
      <w:r w:rsidRPr="00DF5D48">
        <w:rPr>
          <w:rStyle w:val="Hypertextovodkaz"/>
          <w:rFonts w:ascii="Times New Roman" w:hAnsi="Times New Roman" w:cs="Times New Roman"/>
          <w:color w:val="auto"/>
          <w:sz w:val="24"/>
          <w:szCs w:val="24"/>
          <w:u w:val="none"/>
          <w:lang w:val="en-GB"/>
        </w:rPr>
        <w:t xml:space="preserve"> ZAZ</w:t>
      </w:r>
      <w:r w:rsidRPr="00DF5D48">
        <w:rPr>
          <w:rStyle w:val="comma"/>
          <w:rFonts w:ascii="Times New Roman" w:hAnsi="Times New Roman" w:cs="Times New Roman"/>
          <w:sz w:val="24"/>
          <w:szCs w:val="24"/>
          <w:lang w:val="en-GB"/>
        </w:rPr>
        <w:t>, </w:t>
      </w:r>
      <w:r w:rsidRPr="00DF5D48">
        <w:rPr>
          <w:rFonts w:ascii="Times New Roman" w:hAnsi="Times New Roman" w:cs="Times New Roman"/>
          <w:sz w:val="24"/>
          <w:szCs w:val="24"/>
          <w:lang w:val="en-GB"/>
        </w:rPr>
        <w:t>Yi</w:t>
      </w:r>
      <w:r w:rsidRPr="00DF5D48">
        <w:rPr>
          <w:rStyle w:val="Hypertextovodkaz"/>
          <w:rFonts w:ascii="Times New Roman" w:hAnsi="Times New Roman" w:cs="Times New Roman"/>
          <w:color w:val="auto"/>
          <w:sz w:val="24"/>
          <w:szCs w:val="24"/>
          <w:u w:val="none"/>
          <w:lang w:val="en-GB"/>
        </w:rPr>
        <w:t xml:space="preserve"> LL</w:t>
      </w:r>
      <w:r w:rsidRPr="00DF5D48">
        <w:rPr>
          <w:rStyle w:val="comma"/>
          <w:rFonts w:ascii="Times New Roman" w:hAnsi="Times New Roman" w:cs="Times New Roman"/>
          <w:sz w:val="24"/>
          <w:szCs w:val="24"/>
          <w:lang w:val="en-GB"/>
        </w:rPr>
        <w:t>, </w:t>
      </w:r>
      <w:r w:rsidRPr="00DF5D48">
        <w:rPr>
          <w:rFonts w:ascii="Times New Roman" w:hAnsi="Times New Roman" w:cs="Times New Roman"/>
          <w:sz w:val="24"/>
          <w:szCs w:val="24"/>
          <w:lang w:val="en-GB"/>
        </w:rPr>
        <w:t>Md Zainuddin</w:t>
      </w:r>
      <w:r w:rsidRPr="00DF5D48">
        <w:rPr>
          <w:rStyle w:val="Hypertextovodkaz"/>
          <w:rFonts w:ascii="Times New Roman" w:hAnsi="Times New Roman" w:cs="Times New Roman"/>
          <w:color w:val="auto"/>
          <w:sz w:val="24"/>
          <w:szCs w:val="24"/>
          <w:u w:val="none"/>
          <w:lang w:val="en-GB"/>
        </w:rPr>
        <w:t xml:space="preserve"> Z</w:t>
      </w:r>
      <w:r w:rsidRPr="00DF5D48">
        <w:rPr>
          <w:rStyle w:val="secondary-date"/>
          <w:rFonts w:ascii="Times New Roman" w:hAnsi="Times New Roman" w:cs="Times New Roman"/>
          <w:sz w:val="24"/>
          <w:szCs w:val="24"/>
          <w:lang w:val="en-GB"/>
        </w:rPr>
        <w:t xml:space="preserve">. </w:t>
      </w:r>
      <w:r w:rsidRPr="00DF5D48">
        <w:rPr>
          <w:rFonts w:ascii="Times New Roman" w:hAnsi="Times New Roman" w:cs="Times New Roman"/>
          <w:sz w:val="24"/>
          <w:szCs w:val="24"/>
          <w:lang w:val="en-GB"/>
        </w:rPr>
        <w:t>Intravesical</w:t>
      </w:r>
      <w:r w:rsidRPr="00783DDC">
        <w:rPr>
          <w:rFonts w:ascii="Times New Roman" w:hAnsi="Times New Roman" w:cs="Times New Roman"/>
          <w:sz w:val="24"/>
          <w:szCs w:val="24"/>
          <w:lang w:val="en-GB"/>
        </w:rPr>
        <w:t xml:space="preserve"> stent position as a predictor of </w:t>
      </w:r>
      <w:r w:rsidRPr="00DF5D48">
        <w:rPr>
          <w:rFonts w:ascii="Times New Roman" w:hAnsi="Times New Roman" w:cs="Times New Roman"/>
          <w:sz w:val="24"/>
          <w:szCs w:val="24"/>
          <w:lang w:val="en-GB"/>
        </w:rPr>
        <w:t xml:space="preserve">quality of life in patients with indwelling ureteral stent. Int Urol Nephrol. </w:t>
      </w:r>
      <w:r w:rsidRPr="00DF5D48">
        <w:rPr>
          <w:rStyle w:val="cit"/>
          <w:rFonts w:ascii="Times New Roman" w:hAnsi="Times New Roman" w:cs="Times New Roman"/>
          <w:sz w:val="24"/>
          <w:szCs w:val="24"/>
          <w:lang w:val="en-GB"/>
        </w:rPr>
        <w:t>2019; 51(11): 1949-1953.</w:t>
      </w:r>
      <w:r w:rsidRPr="00DF5D48">
        <w:rPr>
          <w:rFonts w:ascii="Times New Roman" w:hAnsi="Times New Roman" w:cs="Times New Roman"/>
          <w:sz w:val="24"/>
          <w:szCs w:val="24"/>
          <w:lang w:val="en-GB"/>
        </w:rPr>
        <w:t> </w:t>
      </w:r>
      <w:r w:rsidRPr="00DF5D48">
        <w:rPr>
          <w:rFonts w:ascii="Times New Roman" w:hAnsi="Times New Roman" w:cs="Times New Roman"/>
          <w:sz w:val="24"/>
          <w:szCs w:val="24"/>
          <w:shd w:val="clear" w:color="auto" w:fill="FFFFFF"/>
          <w:lang w:val="en-GB"/>
        </w:rPr>
        <w:t>doi: 10.1007/s11255-019-02262-7.</w:t>
      </w:r>
    </w:p>
    <w:p w14:paraId="193BA8FE" w14:textId="77777777" w:rsidR="008D1014" w:rsidRPr="00DF5D48" w:rsidRDefault="008D1014" w:rsidP="00D135D4">
      <w:pPr>
        <w:pStyle w:val="Odstavecseseznamem"/>
        <w:shd w:val="clear" w:color="auto" w:fill="FFFFFF"/>
        <w:spacing w:after="0" w:line="336" w:lineRule="auto"/>
        <w:ind w:left="426"/>
        <w:jc w:val="both"/>
        <w:rPr>
          <w:rFonts w:ascii="Times New Roman" w:hAnsi="Times New Roman" w:cs="Times New Roman"/>
          <w:sz w:val="24"/>
          <w:szCs w:val="24"/>
          <w:shd w:val="clear" w:color="auto" w:fill="FFFFFF"/>
          <w:lang w:val="en-GB"/>
        </w:rPr>
      </w:pPr>
    </w:p>
    <w:p w14:paraId="4CB095D6" w14:textId="125B304E" w:rsidR="008D1014" w:rsidRPr="00DF5D48" w:rsidRDefault="008D1014"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rPr>
        <w:t>Jiang P, Xie L, Arada R, Patel RM, Landman F, Clayman RV. Qualitative Review of Clinical Guidelines for Medical and Surgical Management of Urolithiasis: Consensus and Controversy 2020. J Urol</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2021;</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shd w:val="clear" w:color="auto" w:fill="FFFFFF"/>
        </w:rPr>
        <w:t>205(4):</w:t>
      </w:r>
      <w:r w:rsidR="00783DDC" w:rsidRPr="00DF5D48">
        <w:rPr>
          <w:rFonts w:ascii="Times New Roman" w:hAnsi="Times New Roman" w:cs="Times New Roman"/>
          <w:sz w:val="24"/>
          <w:szCs w:val="24"/>
          <w:shd w:val="clear" w:color="auto" w:fill="FFFFFF"/>
        </w:rPr>
        <w:t xml:space="preserve"> </w:t>
      </w:r>
      <w:r w:rsidRPr="00DF5D48">
        <w:rPr>
          <w:rFonts w:ascii="Times New Roman" w:hAnsi="Times New Roman" w:cs="Times New Roman"/>
          <w:sz w:val="24"/>
          <w:szCs w:val="24"/>
          <w:shd w:val="clear" w:color="auto" w:fill="FFFFFF"/>
        </w:rPr>
        <w:t>999-1008.</w:t>
      </w:r>
      <w:r w:rsidR="00783DDC" w:rsidRPr="00DF5D48">
        <w:rPr>
          <w:rFonts w:ascii="Times New Roman" w:hAnsi="Times New Roman" w:cs="Times New Roman"/>
          <w:sz w:val="24"/>
          <w:szCs w:val="24"/>
          <w:shd w:val="clear" w:color="auto" w:fill="FFFFFF"/>
        </w:rPr>
        <w:t xml:space="preserve"> doi: 10.1097/JU.0000000000001478.</w:t>
      </w:r>
    </w:p>
    <w:p w14:paraId="2D710D1B" w14:textId="77777777" w:rsidR="008D1014" w:rsidRPr="00DF5D48" w:rsidRDefault="008D1014" w:rsidP="00D135D4">
      <w:pPr>
        <w:pStyle w:val="Odstavecseseznamem"/>
        <w:spacing w:after="0" w:line="336" w:lineRule="auto"/>
        <w:rPr>
          <w:rFonts w:ascii="Times New Roman" w:hAnsi="Times New Roman" w:cs="Times New Roman"/>
          <w:sz w:val="24"/>
          <w:szCs w:val="24"/>
          <w:shd w:val="clear" w:color="auto" w:fill="FFFFFF"/>
          <w:lang w:val="en-GB"/>
        </w:rPr>
      </w:pPr>
    </w:p>
    <w:p w14:paraId="3DC7DD71" w14:textId="321E3A55" w:rsidR="0052468A" w:rsidRPr="00DF5D48" w:rsidRDefault="0052468A"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Juuti M, Heinonen OP. Incidence of urolithiasis and composition of household water in southern Finland. </w:t>
      </w:r>
      <w:r w:rsidRPr="00DF5D48">
        <w:rPr>
          <w:rStyle w:val="ref-journal"/>
          <w:rFonts w:ascii="Times New Roman" w:hAnsi="Times New Roman" w:cs="Times New Roman"/>
          <w:sz w:val="24"/>
          <w:szCs w:val="24"/>
          <w:shd w:val="clear" w:color="auto" w:fill="FFFFFF"/>
          <w:lang w:val="en-GB"/>
        </w:rPr>
        <w:t>Scand J Urol Nephrol. </w:t>
      </w:r>
      <w:r w:rsidRPr="00DF5D48">
        <w:rPr>
          <w:rFonts w:ascii="Times New Roman" w:hAnsi="Times New Roman" w:cs="Times New Roman"/>
          <w:sz w:val="24"/>
          <w:szCs w:val="24"/>
          <w:shd w:val="clear" w:color="auto" w:fill="FFFFFF"/>
          <w:lang w:val="en-GB"/>
        </w:rPr>
        <w:t xml:space="preserve">1980; </w:t>
      </w:r>
      <w:r w:rsidRPr="00DF5D48">
        <w:rPr>
          <w:rStyle w:val="ref-vol"/>
          <w:rFonts w:ascii="Times New Roman" w:hAnsi="Times New Roman" w:cs="Times New Roman"/>
          <w:sz w:val="24"/>
          <w:szCs w:val="24"/>
          <w:shd w:val="clear" w:color="auto" w:fill="FFFFFF"/>
          <w:lang w:val="en-GB"/>
        </w:rPr>
        <w:t>14(2)</w:t>
      </w:r>
      <w:r w:rsidRPr="00DF5D48">
        <w:rPr>
          <w:rFonts w:ascii="Times New Roman" w:hAnsi="Times New Roman" w:cs="Times New Roman"/>
          <w:sz w:val="24"/>
          <w:szCs w:val="24"/>
          <w:shd w:val="clear" w:color="auto" w:fill="FFFFFF"/>
          <w:lang w:val="en-GB"/>
        </w:rPr>
        <w:t>: 181–187. doi: 10.3109/00365598009179558.</w:t>
      </w:r>
    </w:p>
    <w:p w14:paraId="3787206D" w14:textId="77777777" w:rsidR="0052468A" w:rsidRPr="00BB3A19" w:rsidRDefault="0052468A" w:rsidP="00D135D4">
      <w:pPr>
        <w:spacing w:after="0" w:line="336" w:lineRule="auto"/>
        <w:ind w:left="426" w:hanging="426"/>
        <w:jc w:val="both"/>
        <w:rPr>
          <w:rStyle w:val="element-citation"/>
          <w:rFonts w:ascii="Times New Roman" w:hAnsi="Times New Roman" w:cs="Times New Roman"/>
          <w:sz w:val="24"/>
          <w:szCs w:val="24"/>
          <w:shd w:val="clear" w:color="auto" w:fill="FFFFFF"/>
          <w:lang w:val="en-GB"/>
        </w:rPr>
      </w:pPr>
    </w:p>
    <w:p w14:paraId="55F3D069" w14:textId="77777777" w:rsidR="0052468A" w:rsidRPr="00BB3A19" w:rsidRDefault="0052468A"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shd w:val="clear" w:color="auto" w:fill="FFFFFF"/>
          <w:lang w:val="en-GB"/>
        </w:rPr>
      </w:pPr>
      <w:r w:rsidRPr="00BB3A19">
        <w:rPr>
          <w:b w:val="0"/>
          <w:bCs w:val="0"/>
          <w:sz w:val="24"/>
          <w:szCs w:val="24"/>
          <w:shd w:val="clear" w:color="auto" w:fill="FFFFFF"/>
          <w:lang w:val="en-GB"/>
        </w:rPr>
        <w:t>Kang DE, Sur RL, Haleblian GE, Fitzsimons NJ, Borawski KM, Preminger GM. Long-term lemonade based dietary manipulation in patients with hypocitraturic nephrolithiasis. </w:t>
      </w:r>
      <w:r w:rsidRPr="00BB3A19">
        <w:rPr>
          <w:rStyle w:val="ref-journal"/>
          <w:b w:val="0"/>
          <w:bCs w:val="0"/>
          <w:sz w:val="24"/>
          <w:szCs w:val="24"/>
          <w:shd w:val="clear" w:color="auto" w:fill="FFFFFF"/>
          <w:lang w:val="en-GB"/>
        </w:rPr>
        <w:t>J Urol. </w:t>
      </w:r>
      <w:r w:rsidRPr="00BB3A19">
        <w:rPr>
          <w:b w:val="0"/>
          <w:bCs w:val="0"/>
          <w:sz w:val="24"/>
          <w:szCs w:val="24"/>
          <w:shd w:val="clear" w:color="auto" w:fill="FFFFFF"/>
          <w:lang w:val="en-GB"/>
        </w:rPr>
        <w:t xml:space="preserve">2007; </w:t>
      </w:r>
      <w:r w:rsidRPr="00BB3A19">
        <w:rPr>
          <w:rStyle w:val="ref-vol"/>
          <w:b w:val="0"/>
          <w:bCs w:val="0"/>
          <w:sz w:val="24"/>
          <w:szCs w:val="24"/>
          <w:shd w:val="clear" w:color="auto" w:fill="FFFFFF"/>
          <w:lang w:val="en-GB"/>
        </w:rPr>
        <w:t>177(4)</w:t>
      </w:r>
      <w:r w:rsidRPr="00BB3A19">
        <w:rPr>
          <w:b w:val="0"/>
          <w:bCs w:val="0"/>
          <w:sz w:val="24"/>
          <w:szCs w:val="24"/>
          <w:shd w:val="clear" w:color="auto" w:fill="FFFFFF"/>
          <w:lang w:val="en-GB"/>
        </w:rPr>
        <w:t xml:space="preserve">: 1358–1362. </w:t>
      </w:r>
      <w:r w:rsidRPr="00BB3A19">
        <w:rPr>
          <w:b w:val="0"/>
          <w:sz w:val="24"/>
          <w:szCs w:val="24"/>
          <w:shd w:val="clear" w:color="auto" w:fill="FFFFFF"/>
          <w:lang w:val="en-GB"/>
        </w:rPr>
        <w:t>doi: 10.1016/j.juro.2006.11.058.</w:t>
      </w:r>
    </w:p>
    <w:p w14:paraId="058F2BAF" w14:textId="77777777" w:rsidR="0052468A" w:rsidRPr="00BB3A19" w:rsidRDefault="0052468A" w:rsidP="00D135D4">
      <w:pPr>
        <w:spacing w:after="0" w:line="336" w:lineRule="auto"/>
        <w:ind w:left="426" w:hanging="426"/>
        <w:jc w:val="both"/>
        <w:rPr>
          <w:rStyle w:val="element-citation"/>
          <w:rFonts w:ascii="Times New Roman" w:hAnsi="Times New Roman" w:cs="Times New Roman"/>
          <w:sz w:val="24"/>
          <w:szCs w:val="24"/>
          <w:shd w:val="clear" w:color="auto" w:fill="FFFFFF"/>
          <w:lang w:val="en-GB"/>
        </w:rPr>
      </w:pPr>
    </w:p>
    <w:p w14:paraId="608B7C63"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lang w:val="en-GB"/>
        </w:rPr>
        <w:t>Kang DH, Cho KS, Ham WS, Lee H, Kwon JK, Choi YD, Lee JY. Comparison of High, Intermediate, and Low Frequency Shock Wave Lithotripsy for Urinary Tract Stone Disease: Systematic Review and Network Meta-Analysis. </w:t>
      </w:r>
      <w:r w:rsidRPr="00BB3A19">
        <w:rPr>
          <w:rStyle w:val="ref-journal"/>
          <w:rFonts w:ascii="Times New Roman" w:hAnsi="Times New Roman" w:cs="Times New Roman"/>
          <w:sz w:val="24"/>
          <w:szCs w:val="24"/>
          <w:lang w:val="en-GB"/>
        </w:rPr>
        <w:t>PLoS One. </w:t>
      </w:r>
      <w:r w:rsidRPr="00BB3A19">
        <w:rPr>
          <w:rStyle w:val="element-citation"/>
          <w:rFonts w:ascii="Times New Roman" w:hAnsi="Times New Roman" w:cs="Times New Roman"/>
          <w:sz w:val="24"/>
          <w:szCs w:val="24"/>
          <w:lang w:val="en-GB"/>
        </w:rPr>
        <w:t xml:space="preserve">2016a; </w:t>
      </w:r>
      <w:r w:rsidRPr="00BB3A19">
        <w:rPr>
          <w:rStyle w:val="ref-vol"/>
          <w:rFonts w:ascii="Times New Roman" w:hAnsi="Times New Roman" w:cs="Times New Roman"/>
          <w:sz w:val="24"/>
          <w:szCs w:val="24"/>
          <w:lang w:val="en-GB"/>
        </w:rPr>
        <w:t>11(7)</w:t>
      </w:r>
      <w:r w:rsidRPr="00BB3A19">
        <w:rPr>
          <w:rStyle w:val="element-citation"/>
          <w:rFonts w:ascii="Times New Roman" w:hAnsi="Times New Roman" w:cs="Times New Roman"/>
          <w:sz w:val="24"/>
          <w:szCs w:val="24"/>
          <w:lang w:val="en-GB"/>
        </w:rPr>
        <w:t xml:space="preserve">: e0158661. </w:t>
      </w:r>
      <w:r w:rsidRPr="00BB3A19">
        <w:rPr>
          <w:rFonts w:ascii="Times New Roman" w:hAnsi="Times New Roman" w:cs="Times New Roman"/>
          <w:sz w:val="24"/>
          <w:szCs w:val="24"/>
          <w:shd w:val="clear" w:color="auto" w:fill="FFFFFF"/>
          <w:lang w:val="en-GB"/>
        </w:rPr>
        <w:t>doi: 10.1371/journal.pone.0158661.</w:t>
      </w:r>
    </w:p>
    <w:p w14:paraId="622FDB6C" w14:textId="77777777" w:rsidR="0052468A" w:rsidRPr="00BB3A19"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6101A8EE"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lang w:val="en-GB"/>
        </w:rPr>
        <w:t>Kang DH, Cho KS, Ham WS, Chung DY, Kwon JK, Choi YD, Lee JY. Ureteral stenting can be a negative predictor for successful outcome following shock wave lithotripsy in patients with ureteral stones. </w:t>
      </w:r>
      <w:r w:rsidRPr="00BB3A19">
        <w:rPr>
          <w:rStyle w:val="ref-journal"/>
          <w:rFonts w:ascii="Times New Roman" w:hAnsi="Times New Roman" w:cs="Times New Roman"/>
          <w:sz w:val="24"/>
          <w:szCs w:val="24"/>
          <w:lang w:val="en-GB"/>
        </w:rPr>
        <w:t>Investig Clin Urol. </w:t>
      </w:r>
      <w:r w:rsidRPr="00BB3A19">
        <w:rPr>
          <w:rStyle w:val="element-citation"/>
          <w:rFonts w:ascii="Times New Roman" w:hAnsi="Times New Roman" w:cs="Times New Roman"/>
          <w:sz w:val="24"/>
          <w:szCs w:val="24"/>
          <w:lang w:val="en-GB"/>
        </w:rPr>
        <w:t xml:space="preserve">2016b; </w:t>
      </w:r>
      <w:r w:rsidRPr="00BB3A19">
        <w:rPr>
          <w:rStyle w:val="ref-vol"/>
          <w:rFonts w:ascii="Times New Roman" w:hAnsi="Times New Roman" w:cs="Times New Roman"/>
          <w:sz w:val="24"/>
          <w:szCs w:val="24"/>
          <w:lang w:val="en-GB"/>
        </w:rPr>
        <w:t>57</w:t>
      </w:r>
      <w:r w:rsidRPr="00BB3A19">
        <w:rPr>
          <w:rStyle w:val="element-citation"/>
          <w:rFonts w:ascii="Times New Roman" w:hAnsi="Times New Roman" w:cs="Times New Roman"/>
          <w:sz w:val="24"/>
          <w:szCs w:val="24"/>
          <w:lang w:val="en-GB"/>
        </w:rPr>
        <w:t xml:space="preserve">(6): 408–416. </w:t>
      </w:r>
      <w:r w:rsidRPr="00BB3A19">
        <w:rPr>
          <w:rFonts w:ascii="Times New Roman" w:hAnsi="Times New Roman" w:cs="Times New Roman"/>
          <w:sz w:val="24"/>
          <w:szCs w:val="24"/>
          <w:shd w:val="clear" w:color="auto" w:fill="FFFFFF"/>
          <w:lang w:val="en-GB"/>
        </w:rPr>
        <w:t>doi: 10.4111/icu.2016.57.6.408.</w:t>
      </w:r>
    </w:p>
    <w:p w14:paraId="6E6B0C30" w14:textId="77777777" w:rsidR="0052468A" w:rsidRPr="00BB3A19"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1BBF8999" w14:textId="77777777" w:rsidR="0052468A" w:rsidRPr="00BB3A19" w:rsidRDefault="0052468A" w:rsidP="00D135D4">
      <w:pPr>
        <w:pStyle w:val="Odstavecseseznamem"/>
        <w:numPr>
          <w:ilvl w:val="0"/>
          <w:numId w:val="19"/>
        </w:numPr>
        <w:spacing w:after="0" w:line="336" w:lineRule="auto"/>
        <w:ind w:left="426" w:hanging="426"/>
        <w:jc w:val="both"/>
        <w:rPr>
          <w:rStyle w:val="element-citation"/>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shd w:val="clear" w:color="auto" w:fill="FFFFFF"/>
          <w:lang w:val="en-GB"/>
        </w:rPr>
        <w:t>Kartha G, Calle JC, Marchini GS, Monga M. Impact of stone disease: chronic kidney disease and quality of life. </w:t>
      </w:r>
      <w:r w:rsidRPr="00BB3A19">
        <w:rPr>
          <w:rStyle w:val="ref-journal"/>
          <w:rFonts w:ascii="Times New Roman" w:hAnsi="Times New Roman" w:cs="Times New Roman"/>
          <w:sz w:val="24"/>
          <w:szCs w:val="24"/>
          <w:shd w:val="clear" w:color="auto" w:fill="FFFFFF"/>
          <w:lang w:val="en-GB"/>
        </w:rPr>
        <w:t>Urol Clin North Am. </w:t>
      </w:r>
      <w:r w:rsidRPr="00BB3A19">
        <w:rPr>
          <w:rStyle w:val="element-citation"/>
          <w:rFonts w:ascii="Times New Roman" w:hAnsi="Times New Roman" w:cs="Times New Roman"/>
          <w:sz w:val="24"/>
          <w:szCs w:val="24"/>
          <w:shd w:val="clear" w:color="auto" w:fill="FFFFFF"/>
          <w:lang w:val="en-GB"/>
        </w:rPr>
        <w:t xml:space="preserve">2013; </w:t>
      </w:r>
      <w:r w:rsidRPr="00BB3A19">
        <w:rPr>
          <w:rStyle w:val="ref-vol"/>
          <w:rFonts w:ascii="Times New Roman" w:hAnsi="Times New Roman" w:cs="Times New Roman"/>
          <w:sz w:val="24"/>
          <w:szCs w:val="24"/>
          <w:shd w:val="clear" w:color="auto" w:fill="FFFFFF"/>
          <w:lang w:val="en-GB"/>
        </w:rPr>
        <w:t>40(1)</w:t>
      </w:r>
      <w:r w:rsidRPr="00BB3A19">
        <w:rPr>
          <w:rStyle w:val="element-citation"/>
          <w:rFonts w:ascii="Times New Roman" w:hAnsi="Times New Roman" w:cs="Times New Roman"/>
          <w:sz w:val="24"/>
          <w:szCs w:val="24"/>
          <w:shd w:val="clear" w:color="auto" w:fill="FFFFFF"/>
          <w:lang w:val="en-GB"/>
        </w:rPr>
        <w:t xml:space="preserve">: 135–147. doi: 10.1016/j.ucl.2012.09.004. </w:t>
      </w:r>
    </w:p>
    <w:p w14:paraId="1E0E6550" w14:textId="77777777" w:rsidR="0052468A" w:rsidRPr="00BB3A19" w:rsidRDefault="0052468A" w:rsidP="00D135D4">
      <w:pPr>
        <w:spacing w:after="0" w:line="336" w:lineRule="auto"/>
        <w:ind w:left="426" w:hanging="426"/>
        <w:jc w:val="both"/>
        <w:rPr>
          <w:rStyle w:val="element-citation"/>
          <w:rFonts w:ascii="Times New Roman" w:hAnsi="Times New Roman" w:cs="Times New Roman"/>
          <w:sz w:val="24"/>
          <w:szCs w:val="24"/>
          <w:shd w:val="clear" w:color="auto" w:fill="FFFFFF"/>
          <w:lang w:val="en-GB"/>
        </w:rPr>
      </w:pPr>
    </w:p>
    <w:p w14:paraId="2951606B"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Kato Y, Hou K, Saga Y, Yamaguchi S, Yachiku S, Kawakami N. Ammonium acid urate stone due to laxative abuse: a case report. </w:t>
      </w:r>
      <w:r w:rsidRPr="00BB3A19">
        <w:rPr>
          <w:rStyle w:val="ref-journal"/>
          <w:rFonts w:ascii="Times New Roman" w:hAnsi="Times New Roman" w:cs="Times New Roman"/>
          <w:sz w:val="24"/>
          <w:szCs w:val="24"/>
          <w:lang w:val="en-GB"/>
        </w:rPr>
        <w:t xml:space="preserve">Hinyokika Kiyo. Acta Urologica Japonica. </w:t>
      </w:r>
      <w:r w:rsidRPr="00BB3A19">
        <w:rPr>
          <w:rStyle w:val="element-citation"/>
          <w:rFonts w:ascii="Times New Roman" w:hAnsi="Times New Roman" w:cs="Times New Roman"/>
          <w:sz w:val="24"/>
          <w:szCs w:val="24"/>
          <w:lang w:val="en-GB"/>
        </w:rPr>
        <w:t xml:space="preserve">2004; </w:t>
      </w:r>
      <w:r w:rsidRPr="00BB3A19">
        <w:rPr>
          <w:rStyle w:val="ref-vol"/>
          <w:rFonts w:ascii="Times New Roman" w:hAnsi="Times New Roman" w:cs="Times New Roman"/>
          <w:sz w:val="24"/>
          <w:szCs w:val="24"/>
          <w:lang w:val="en-GB"/>
        </w:rPr>
        <w:t>50(11)</w:t>
      </w:r>
      <w:r w:rsidRPr="00BB3A19">
        <w:rPr>
          <w:rStyle w:val="element-citation"/>
          <w:rFonts w:ascii="Times New Roman" w:hAnsi="Times New Roman" w:cs="Times New Roman"/>
          <w:sz w:val="24"/>
          <w:szCs w:val="24"/>
          <w:lang w:val="en-GB"/>
        </w:rPr>
        <w:t xml:space="preserve">: 799–803. </w:t>
      </w:r>
    </w:p>
    <w:p w14:paraId="31EC9EBF" w14:textId="77777777" w:rsidR="0052468A" w:rsidRPr="00BB3A19"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5D92CFDD" w14:textId="77777777" w:rsidR="0052468A" w:rsidRPr="00DF5D48"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lang w:val="en-GB"/>
        </w:rPr>
      </w:pPr>
      <w:r w:rsidRPr="00BB3A19">
        <w:rPr>
          <w:rFonts w:ascii="Times New Roman" w:hAnsi="Times New Roman" w:cs="Times New Roman"/>
          <w:sz w:val="24"/>
          <w:szCs w:val="24"/>
          <w:lang w:val="en-GB"/>
        </w:rPr>
        <w:lastRenderedPageBreak/>
        <w:t xml:space="preserve">Kawaciuk, I. </w:t>
      </w:r>
      <w:r w:rsidRPr="00DF5D48">
        <w:rPr>
          <w:rFonts w:ascii="Times New Roman" w:hAnsi="Times New Roman" w:cs="Times New Roman"/>
          <w:sz w:val="24"/>
          <w:szCs w:val="24"/>
          <w:lang w:val="en-GB"/>
        </w:rPr>
        <w:t xml:space="preserve">Urologie. 1.vyd. Praha: Galen, 2009. 531 p. ISBN 978-80-7262- 627-7. </w:t>
      </w:r>
    </w:p>
    <w:p w14:paraId="643D4041" w14:textId="77777777" w:rsidR="0052468A" w:rsidRPr="00DF5D48"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27DDCD40" w14:textId="77777777" w:rsidR="00783DDC" w:rsidRPr="00DF5D48" w:rsidRDefault="0036437E"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Khan SR. Role of renal epithelial cells in the initiation of calcium oxalate stones. Nephron Exp Nephrol</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2004;</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98(2):</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e55–e60</w:t>
      </w:r>
      <w:r w:rsidR="00783DDC" w:rsidRPr="00DF5D48">
        <w:rPr>
          <w:rFonts w:ascii="Times New Roman" w:hAnsi="Times New Roman" w:cs="Times New Roman"/>
          <w:sz w:val="24"/>
          <w:szCs w:val="24"/>
        </w:rPr>
        <w:t xml:space="preserve">. </w:t>
      </w:r>
      <w:hyperlink r:id="rId66" w:history="1">
        <w:r w:rsidR="00783DDC" w:rsidRPr="00DF5D48">
          <w:rPr>
            <w:rStyle w:val="Hypertextovodkaz"/>
            <w:rFonts w:ascii="Times New Roman" w:hAnsi="Times New Roman" w:cs="Times New Roman"/>
            <w:color w:val="auto"/>
            <w:sz w:val="24"/>
            <w:szCs w:val="24"/>
            <w:bdr w:val="none" w:sz="0" w:space="0" w:color="auto" w:frame="1"/>
            <w:shd w:val="clear" w:color="auto" w:fill="FFFFFF"/>
          </w:rPr>
          <w:t>doi.org/10.1159/000080257</w:t>
        </w:r>
      </w:hyperlink>
      <w:r w:rsidR="00783DDC" w:rsidRPr="00DF5D48">
        <w:rPr>
          <w:rFonts w:ascii="Times New Roman" w:hAnsi="Times New Roman" w:cs="Times New Roman"/>
          <w:sz w:val="24"/>
          <w:szCs w:val="24"/>
        </w:rPr>
        <w:t>.</w:t>
      </w:r>
    </w:p>
    <w:p w14:paraId="0317E9B8" w14:textId="77777777" w:rsidR="00783DDC" w:rsidRPr="00DF5D48" w:rsidRDefault="00783DDC" w:rsidP="00D135D4">
      <w:pPr>
        <w:pStyle w:val="Odstavecseseznamem"/>
        <w:spacing w:after="0" w:line="336" w:lineRule="auto"/>
        <w:rPr>
          <w:rFonts w:ascii="Times New Roman" w:hAnsi="Times New Roman" w:cs="Times New Roman"/>
          <w:sz w:val="24"/>
          <w:szCs w:val="24"/>
        </w:rPr>
      </w:pPr>
    </w:p>
    <w:p w14:paraId="4EEE4585" w14:textId="4814931E" w:rsidR="0036437E" w:rsidRPr="00DF5D48" w:rsidRDefault="0036437E"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Khan SR, Kok DJ. Modulators of urinary stone formation. Front Biosci</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2004;</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9</w:t>
      </w:r>
      <w:r w:rsidR="00783DDC" w:rsidRPr="00DF5D48">
        <w:rPr>
          <w:rFonts w:ascii="Times New Roman" w:hAnsi="Times New Roman" w:cs="Times New Roman"/>
          <w:sz w:val="24"/>
          <w:szCs w:val="24"/>
        </w:rPr>
        <w:t>(1-3)</w:t>
      </w:r>
      <w:r w:rsidRPr="00DF5D48">
        <w:rPr>
          <w:rFonts w:ascii="Times New Roman" w:hAnsi="Times New Roman" w:cs="Times New Roman"/>
          <w:sz w:val="24"/>
          <w:szCs w:val="24"/>
        </w:rPr>
        <w:t>:</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1450–1482</w:t>
      </w:r>
      <w:r w:rsidR="00783DDC" w:rsidRPr="00DF5D48">
        <w:rPr>
          <w:rFonts w:ascii="Times New Roman" w:hAnsi="Times New Roman" w:cs="Times New Roman"/>
          <w:sz w:val="24"/>
          <w:szCs w:val="24"/>
        </w:rPr>
        <w:t>. DOI: </w:t>
      </w:r>
      <w:hyperlink r:id="rId67" w:history="1">
        <w:r w:rsidR="00783DDC" w:rsidRPr="00DF5D48">
          <w:rPr>
            <w:rStyle w:val="Hypertextovodkaz"/>
            <w:rFonts w:ascii="Times New Roman" w:hAnsi="Times New Roman" w:cs="Times New Roman"/>
            <w:color w:val="auto"/>
            <w:sz w:val="24"/>
            <w:szCs w:val="24"/>
            <w:u w:val="none"/>
            <w:bdr w:val="none" w:sz="0" w:space="0" w:color="auto" w:frame="1"/>
          </w:rPr>
          <w:t>10.2741/1347</w:t>
        </w:r>
      </w:hyperlink>
      <w:r w:rsidR="00783DDC" w:rsidRPr="00DF5D48">
        <w:rPr>
          <w:rFonts w:ascii="Times New Roman" w:hAnsi="Times New Roman" w:cs="Times New Roman"/>
          <w:sz w:val="24"/>
          <w:szCs w:val="24"/>
        </w:rPr>
        <w:t>.</w:t>
      </w:r>
    </w:p>
    <w:p w14:paraId="3DC28D50" w14:textId="77777777" w:rsidR="0036437E" w:rsidRPr="00DF5D48" w:rsidRDefault="0036437E" w:rsidP="00D135D4">
      <w:pPr>
        <w:pStyle w:val="Odstavecseseznamem"/>
        <w:spacing w:after="0" w:line="336" w:lineRule="auto"/>
        <w:rPr>
          <w:rStyle w:val="element-citation"/>
          <w:rFonts w:ascii="Times New Roman" w:hAnsi="Times New Roman" w:cs="Times New Roman"/>
          <w:sz w:val="24"/>
          <w:szCs w:val="24"/>
          <w:lang w:val="en-GB"/>
        </w:rPr>
      </w:pPr>
    </w:p>
    <w:p w14:paraId="216BC072" w14:textId="75ABE760" w:rsidR="0036437E" w:rsidRPr="00DF5D48" w:rsidRDefault="0036437E"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Fonts w:ascii="Times New Roman" w:hAnsi="Times New Roman" w:cs="Times New Roman"/>
          <w:sz w:val="24"/>
          <w:szCs w:val="24"/>
        </w:rPr>
        <w:t>Khan SR, Canales BK. A unified theory on the pathogenesis of Randall’s plaques and plugs. Urolithiasis</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2015;</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43(01):</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109–123</w:t>
      </w:r>
      <w:r w:rsidR="00783DDC" w:rsidRPr="00DF5D48">
        <w:rPr>
          <w:rFonts w:ascii="Times New Roman" w:hAnsi="Times New Roman" w:cs="Times New Roman"/>
          <w:sz w:val="24"/>
          <w:szCs w:val="24"/>
        </w:rPr>
        <w:t xml:space="preserve">. </w:t>
      </w:r>
      <w:r w:rsidR="00783DDC" w:rsidRPr="00DF5D48">
        <w:rPr>
          <w:rFonts w:ascii="Times New Roman" w:hAnsi="Times New Roman" w:cs="Times New Roman"/>
          <w:sz w:val="24"/>
          <w:szCs w:val="24"/>
          <w:shd w:val="clear" w:color="auto" w:fill="FFFFFF"/>
        </w:rPr>
        <w:t>doi: 10.1007/s00240-014-0705-9.</w:t>
      </w:r>
    </w:p>
    <w:p w14:paraId="4542956D" w14:textId="77777777" w:rsidR="0036437E" w:rsidRPr="00BB3A19" w:rsidRDefault="0036437E" w:rsidP="00D135D4">
      <w:pPr>
        <w:pStyle w:val="Odstavecseseznamem"/>
        <w:spacing w:after="0" w:line="336" w:lineRule="auto"/>
        <w:rPr>
          <w:rStyle w:val="element-citation"/>
          <w:rFonts w:ascii="Times New Roman" w:hAnsi="Times New Roman" w:cs="Times New Roman"/>
          <w:sz w:val="24"/>
          <w:szCs w:val="24"/>
          <w:lang w:val="en-GB"/>
        </w:rPr>
      </w:pPr>
    </w:p>
    <w:p w14:paraId="1CD6D7D4" w14:textId="2F9874B1"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 xml:space="preserve">Korkes F, Schor N, Pfeferman Heilberg I. Epidemiology of stone disease in South America. </w:t>
      </w:r>
      <w:r w:rsidRPr="00BB3A19">
        <w:rPr>
          <w:rFonts w:ascii="Times New Roman" w:hAnsi="Times New Roman" w:cs="Times New Roman"/>
          <w:sz w:val="24"/>
          <w:szCs w:val="24"/>
          <w:shd w:val="clear" w:color="auto" w:fill="FFFFFF"/>
          <w:lang w:val="en-GB"/>
        </w:rPr>
        <w:t>In: Talati JJ, Tiselius HG, Albala DM, Ye Z, editors. </w:t>
      </w:r>
      <w:r w:rsidRPr="00BB3A19">
        <w:rPr>
          <w:rStyle w:val="ref-journal"/>
          <w:rFonts w:ascii="Times New Roman" w:hAnsi="Times New Roman" w:cs="Times New Roman"/>
          <w:sz w:val="24"/>
          <w:szCs w:val="24"/>
          <w:shd w:val="clear" w:color="auto" w:fill="FFFFFF"/>
          <w:lang w:val="en-GB"/>
        </w:rPr>
        <w:t>Urolithiasis: Basic Science and Clinical Practice.</w:t>
      </w:r>
      <w:r w:rsidRPr="00BB3A19">
        <w:rPr>
          <w:rFonts w:ascii="Times New Roman" w:hAnsi="Times New Roman" w:cs="Times New Roman"/>
          <w:sz w:val="24"/>
          <w:szCs w:val="24"/>
          <w:shd w:val="clear" w:color="auto" w:fill="FFFFFF"/>
          <w:lang w:val="en-GB"/>
        </w:rPr>
        <w:t xml:space="preserve"> London: Springer, 2012. 982 p. </w:t>
      </w:r>
      <w:r w:rsidRPr="00BB3A19">
        <w:rPr>
          <w:rFonts w:ascii="Times New Roman" w:eastAsia="Times New Roman" w:hAnsi="Times New Roman" w:cs="Times New Roman"/>
          <w:sz w:val="24"/>
          <w:szCs w:val="24"/>
          <w:lang w:val="en-GB" w:eastAsia="sk-SK"/>
        </w:rPr>
        <w:t>ISBN 978-1-4471-4383-3. pp</w:t>
      </w:r>
      <w:r w:rsidRPr="00BB3A19">
        <w:rPr>
          <w:rFonts w:ascii="Times New Roman" w:hAnsi="Times New Roman" w:cs="Times New Roman"/>
          <w:sz w:val="24"/>
          <w:szCs w:val="24"/>
          <w:shd w:val="clear" w:color="auto" w:fill="FFFFFF"/>
          <w:lang w:val="en-GB"/>
        </w:rPr>
        <w:t xml:space="preserve">. </w:t>
      </w:r>
      <w:r w:rsidRPr="00BB3A19">
        <w:rPr>
          <w:rStyle w:val="element-citation"/>
          <w:rFonts w:ascii="Times New Roman" w:hAnsi="Times New Roman" w:cs="Times New Roman"/>
          <w:sz w:val="24"/>
          <w:szCs w:val="24"/>
          <w:lang w:val="en-GB"/>
        </w:rPr>
        <w:t>61–66.</w:t>
      </w:r>
    </w:p>
    <w:p w14:paraId="7922AE2A"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42806C68"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Lamberg-Allardt C., Kärkkäinen M., Seppänen R., Biström H. Low serum 25-hydroxyvitamin D concentrations and secondary hyperparathyroidism in middle-aged white strict vegetarians. </w:t>
      </w:r>
      <w:r w:rsidRPr="00BB3A19">
        <w:rPr>
          <w:rStyle w:val="ref-journal"/>
          <w:rFonts w:ascii="Times New Roman" w:hAnsi="Times New Roman" w:cs="Times New Roman"/>
          <w:sz w:val="24"/>
          <w:szCs w:val="24"/>
          <w:lang w:val="en-GB"/>
        </w:rPr>
        <w:t>Am J Clin Nutr. </w:t>
      </w:r>
      <w:r w:rsidRPr="00BB3A19">
        <w:rPr>
          <w:rStyle w:val="element-citation"/>
          <w:rFonts w:ascii="Times New Roman" w:hAnsi="Times New Roman" w:cs="Times New Roman"/>
          <w:sz w:val="24"/>
          <w:szCs w:val="24"/>
          <w:lang w:val="en-GB"/>
        </w:rPr>
        <w:t xml:space="preserve">1993; </w:t>
      </w:r>
      <w:r w:rsidRPr="00BB3A19">
        <w:rPr>
          <w:rStyle w:val="ref-vol"/>
          <w:rFonts w:ascii="Times New Roman" w:hAnsi="Times New Roman" w:cs="Times New Roman"/>
          <w:sz w:val="24"/>
          <w:szCs w:val="24"/>
          <w:lang w:val="en-GB"/>
        </w:rPr>
        <w:t>58(5)</w:t>
      </w:r>
      <w:r w:rsidRPr="00BB3A19">
        <w:rPr>
          <w:rStyle w:val="element-citation"/>
          <w:rFonts w:ascii="Times New Roman" w:hAnsi="Times New Roman" w:cs="Times New Roman"/>
          <w:sz w:val="24"/>
          <w:szCs w:val="24"/>
          <w:lang w:val="en-GB"/>
        </w:rPr>
        <w:t>: 684–689. doi: 10.1093/ajcn/58.5.684.</w:t>
      </w:r>
    </w:p>
    <w:p w14:paraId="53CBA207"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FFFFF"/>
          <w:lang w:val="en-GB"/>
        </w:rPr>
      </w:pPr>
    </w:p>
    <w:p w14:paraId="7837811D" w14:textId="47D358A2" w:rsidR="00994E0F" w:rsidRPr="00BB3A19" w:rsidRDefault="00994E0F"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Fonts w:ascii="Times New Roman" w:eastAsia="Times New Roman" w:hAnsi="Times New Roman" w:cs="Times New Roman"/>
          <w:sz w:val="24"/>
          <w:szCs w:val="24"/>
          <w:lang w:eastAsia="sk-SK"/>
        </w:rPr>
        <w:t>Leibovici D, Cooper A, Lindner A, Ostrowsky R, Kleinmann J, Velikanov S, Cipele H, Goren E, Sieghel YI. Ureteral stents: morbidity and impact on quality of life. Isr Med Assoc J</w:t>
      </w:r>
      <w:r w:rsidRPr="00BB3A19">
        <w:rPr>
          <w:rFonts w:ascii="Times New Roman" w:eastAsia="Times New Roman" w:hAnsi="Times New Roman" w:cs="Times New Roman"/>
          <w:sz w:val="24"/>
          <w:szCs w:val="24"/>
          <w:shd w:val="clear" w:color="auto" w:fill="FFFFFF"/>
          <w:lang w:eastAsia="sk-SK"/>
        </w:rPr>
        <w:t> 2005; 7(8): 491-494.</w:t>
      </w:r>
    </w:p>
    <w:p w14:paraId="04612076" w14:textId="77777777" w:rsidR="00994E0F" w:rsidRPr="00BB3A19" w:rsidRDefault="00994E0F" w:rsidP="00D135D4">
      <w:pPr>
        <w:pStyle w:val="Odstavecseseznamem"/>
        <w:spacing w:after="0" w:line="336" w:lineRule="auto"/>
        <w:rPr>
          <w:rStyle w:val="element-citation"/>
          <w:rFonts w:ascii="Times New Roman" w:hAnsi="Times New Roman" w:cs="Times New Roman"/>
          <w:sz w:val="24"/>
          <w:szCs w:val="24"/>
          <w:lang w:val="en-GB"/>
        </w:rPr>
      </w:pPr>
    </w:p>
    <w:p w14:paraId="235EAF6E" w14:textId="77777777" w:rsidR="00783DDC" w:rsidRPr="00DF5D48"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 xml:space="preserve">Leone A, Fernández-Montero A, de la Fuente-Arrillaga C, Martínez-González MÁ, Bertoli S, Battezzati A, Bes-Rastrollo M. Adherence to the Mediterranean Dietary Pattern and Incidence of Nephrolithiasis in the Seguimiento Universidad de Navarra Follow-up (SUN) </w:t>
      </w:r>
      <w:r w:rsidRPr="00DF5D48">
        <w:rPr>
          <w:rStyle w:val="element-citation"/>
          <w:rFonts w:ascii="Times New Roman" w:hAnsi="Times New Roman" w:cs="Times New Roman"/>
          <w:sz w:val="24"/>
          <w:szCs w:val="24"/>
          <w:lang w:val="en-GB"/>
        </w:rPr>
        <w:t>Cohort. </w:t>
      </w:r>
      <w:r w:rsidRPr="00DF5D48">
        <w:rPr>
          <w:rStyle w:val="ref-journal"/>
          <w:rFonts w:ascii="Times New Roman" w:hAnsi="Times New Roman" w:cs="Times New Roman"/>
          <w:sz w:val="24"/>
          <w:szCs w:val="24"/>
          <w:lang w:val="en-GB"/>
        </w:rPr>
        <w:t>Am J Kidney Dis. </w:t>
      </w:r>
      <w:r w:rsidRPr="00DF5D48">
        <w:rPr>
          <w:rStyle w:val="element-citation"/>
          <w:rFonts w:ascii="Times New Roman" w:hAnsi="Times New Roman" w:cs="Times New Roman"/>
          <w:sz w:val="24"/>
          <w:szCs w:val="24"/>
          <w:lang w:val="en-GB"/>
        </w:rPr>
        <w:t xml:space="preserve">2017; </w:t>
      </w:r>
      <w:r w:rsidRPr="00DF5D48">
        <w:rPr>
          <w:rStyle w:val="ref-vol"/>
          <w:rFonts w:ascii="Times New Roman" w:hAnsi="Times New Roman" w:cs="Times New Roman"/>
          <w:sz w:val="24"/>
          <w:szCs w:val="24"/>
          <w:lang w:val="en-GB"/>
        </w:rPr>
        <w:t>70(6)</w:t>
      </w:r>
      <w:r w:rsidRPr="00DF5D48">
        <w:rPr>
          <w:rStyle w:val="element-citation"/>
          <w:rFonts w:ascii="Times New Roman" w:hAnsi="Times New Roman" w:cs="Times New Roman"/>
          <w:sz w:val="24"/>
          <w:szCs w:val="24"/>
          <w:lang w:val="en-GB"/>
        </w:rPr>
        <w:t>: 778–786. doi: 10.1053/j.ajkd.2017.06.027.</w:t>
      </w:r>
    </w:p>
    <w:p w14:paraId="027CD639" w14:textId="77777777" w:rsidR="00783DDC" w:rsidRPr="00DF5D48" w:rsidRDefault="00783DDC" w:rsidP="00D135D4">
      <w:pPr>
        <w:pStyle w:val="Odstavecseseznamem"/>
        <w:spacing w:after="0" w:line="336" w:lineRule="auto"/>
        <w:rPr>
          <w:rFonts w:ascii="Times New Roman" w:hAnsi="Times New Roman" w:cs="Times New Roman"/>
          <w:sz w:val="24"/>
          <w:szCs w:val="24"/>
        </w:rPr>
      </w:pPr>
    </w:p>
    <w:p w14:paraId="669E0A71" w14:textId="6C5210E2" w:rsidR="0036437E" w:rsidRPr="00DF5D48" w:rsidRDefault="0036437E"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DF5D48">
        <w:rPr>
          <w:rFonts w:ascii="Times New Roman" w:hAnsi="Times New Roman" w:cs="Times New Roman"/>
          <w:sz w:val="24"/>
          <w:szCs w:val="24"/>
        </w:rPr>
        <w:t xml:space="preserve">Levine JA, Neitlich J, Verga M, </w:t>
      </w:r>
      <w:r w:rsidR="00783DDC" w:rsidRPr="00DF5D48">
        <w:rPr>
          <w:rFonts w:ascii="Times New Roman" w:hAnsi="Times New Roman" w:cs="Times New Roman"/>
          <w:sz w:val="24"/>
          <w:szCs w:val="24"/>
        </w:rPr>
        <w:t>Dalrymple N, Smith RC</w:t>
      </w:r>
      <w:r w:rsidRPr="00DF5D48">
        <w:rPr>
          <w:rFonts w:ascii="Times New Roman" w:hAnsi="Times New Roman" w:cs="Times New Roman"/>
          <w:sz w:val="24"/>
          <w:szCs w:val="24"/>
        </w:rPr>
        <w:t>. Ureteral calculi in patients with flank pain: correlation of plain radiography with unenhanced helical CT. Radiology</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1997;</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204(1):</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27–31.</w:t>
      </w:r>
      <w:r w:rsidR="00783DDC" w:rsidRPr="00DF5D48">
        <w:rPr>
          <w:rFonts w:ascii="Times New Roman" w:hAnsi="Times New Roman" w:cs="Times New Roman"/>
          <w:sz w:val="24"/>
          <w:szCs w:val="24"/>
        </w:rPr>
        <w:t xml:space="preserve"> </w:t>
      </w:r>
      <w:r w:rsidR="00783DDC" w:rsidRPr="00DF5D48">
        <w:rPr>
          <w:rStyle w:val="id-label"/>
          <w:rFonts w:ascii="Times New Roman" w:hAnsi="Times New Roman" w:cs="Times New Roman"/>
          <w:sz w:val="24"/>
          <w:szCs w:val="24"/>
        </w:rPr>
        <w:t>DOI: </w:t>
      </w:r>
      <w:hyperlink r:id="rId68" w:tgtFrame="_blank" w:history="1">
        <w:r w:rsidR="00783DDC" w:rsidRPr="00DF5D48">
          <w:rPr>
            <w:rStyle w:val="Hypertextovodkaz"/>
            <w:rFonts w:ascii="Times New Roman" w:hAnsi="Times New Roman" w:cs="Times New Roman"/>
            <w:color w:val="auto"/>
            <w:sz w:val="24"/>
            <w:szCs w:val="24"/>
            <w:u w:val="none"/>
          </w:rPr>
          <w:t>10.1148/radiology.204.1.9205218</w:t>
        </w:r>
      </w:hyperlink>
      <w:r w:rsidR="00783DDC" w:rsidRPr="00DF5D48">
        <w:rPr>
          <w:rFonts w:ascii="Times New Roman" w:hAnsi="Times New Roman" w:cs="Times New Roman"/>
          <w:sz w:val="24"/>
          <w:szCs w:val="24"/>
        </w:rPr>
        <w:t>.</w:t>
      </w:r>
    </w:p>
    <w:p w14:paraId="58038ABC" w14:textId="77777777" w:rsidR="0036437E" w:rsidRPr="00DF5D48" w:rsidRDefault="0036437E" w:rsidP="00D135D4">
      <w:pPr>
        <w:pStyle w:val="Odstavecseseznamem"/>
        <w:spacing w:after="0" w:line="336" w:lineRule="auto"/>
        <w:rPr>
          <w:rFonts w:ascii="Times New Roman" w:hAnsi="Times New Roman" w:cs="Times New Roman"/>
          <w:sz w:val="24"/>
          <w:szCs w:val="24"/>
          <w:shd w:val="clear" w:color="auto" w:fill="FFFFFF"/>
          <w:lang w:val="en-GB"/>
        </w:rPr>
      </w:pPr>
    </w:p>
    <w:p w14:paraId="5920B3C0" w14:textId="27BF07E1" w:rsidR="0052468A" w:rsidRPr="00BB3A19" w:rsidRDefault="0052468A"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lastRenderedPageBreak/>
        <w:t>Littlejohns TJ, Neal NL, Bradbury KE, Heers H, Allen NE, Turney</w:t>
      </w:r>
      <w:r w:rsidRPr="00BB3A19">
        <w:rPr>
          <w:rFonts w:ascii="Times New Roman" w:hAnsi="Times New Roman" w:cs="Times New Roman"/>
          <w:sz w:val="24"/>
          <w:szCs w:val="24"/>
          <w:shd w:val="clear" w:color="auto" w:fill="FFFFFF"/>
          <w:lang w:val="en-GB"/>
        </w:rPr>
        <w:t xml:space="preserve"> BW. Fluid Intake and Dietary Factors and the Risk of Incident Kidney Stones in UK Biobank: A Population-based Prospective Cohort Study. </w:t>
      </w:r>
      <w:r w:rsidRPr="00BB3A19">
        <w:rPr>
          <w:rStyle w:val="ref-journal"/>
          <w:rFonts w:ascii="Times New Roman" w:hAnsi="Times New Roman" w:cs="Times New Roman"/>
          <w:sz w:val="24"/>
          <w:szCs w:val="24"/>
          <w:shd w:val="clear" w:color="auto" w:fill="FFFFFF"/>
          <w:lang w:val="en-GB"/>
        </w:rPr>
        <w:t>Eur Urol Focus. </w:t>
      </w:r>
      <w:r w:rsidRPr="00BB3A19">
        <w:rPr>
          <w:rFonts w:ascii="Times New Roman" w:hAnsi="Times New Roman" w:cs="Times New Roman"/>
          <w:sz w:val="24"/>
          <w:szCs w:val="24"/>
          <w:shd w:val="clear" w:color="auto" w:fill="FFFFFF"/>
          <w:lang w:val="en-GB"/>
        </w:rPr>
        <w:t>2020; 6(4): 752-761. doi: 10.1016/j.euf.2019.05.002.</w:t>
      </w:r>
    </w:p>
    <w:p w14:paraId="569CB547"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FFFFF"/>
          <w:lang w:val="en-GB"/>
        </w:rPr>
      </w:pPr>
    </w:p>
    <w:p w14:paraId="54E33E2E"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BB3A19">
        <w:rPr>
          <w:rFonts w:ascii="Times New Roman" w:hAnsi="Times New Roman" w:cs="Times New Roman"/>
          <w:sz w:val="24"/>
          <w:szCs w:val="24"/>
          <w:lang w:val="en-GB"/>
        </w:rPr>
        <w:t xml:space="preserve">Lumma PP, Schneider P, Strauss A, Plothe KD, Thelen P, Ringert RH, Loertzer H. Impact of ureteral stenting prior to ureterorenoscopy on stone-free rates and complications. World J Urol. 2013; 31(4): 855-859. </w:t>
      </w:r>
      <w:r w:rsidRPr="00BB3A19">
        <w:rPr>
          <w:rFonts w:ascii="Times New Roman" w:hAnsi="Times New Roman" w:cs="Times New Roman"/>
          <w:sz w:val="24"/>
          <w:szCs w:val="24"/>
          <w:shd w:val="clear" w:color="auto" w:fill="FFFFFF"/>
          <w:lang w:val="en-GB"/>
        </w:rPr>
        <w:t>doi: </w:t>
      </w:r>
      <w:hyperlink r:id="rId69" w:tgtFrame="pmc_ext" w:history="1">
        <w:r w:rsidRPr="00BB3A19">
          <w:rPr>
            <w:rStyle w:val="Hypertextovodkaz"/>
            <w:rFonts w:ascii="Times New Roman" w:hAnsi="Times New Roman" w:cs="Times New Roman"/>
            <w:color w:val="auto"/>
            <w:sz w:val="24"/>
            <w:szCs w:val="24"/>
            <w:u w:val="none"/>
            <w:shd w:val="clear" w:color="auto" w:fill="FFFFFF"/>
            <w:lang w:val="en-GB"/>
          </w:rPr>
          <w:t>10.1007/s00345-011-0789-6</w:t>
        </w:r>
      </w:hyperlink>
      <w:r w:rsidRPr="00BB3A19">
        <w:rPr>
          <w:rFonts w:ascii="Times New Roman" w:hAnsi="Times New Roman" w:cs="Times New Roman"/>
          <w:sz w:val="24"/>
          <w:szCs w:val="24"/>
          <w:lang w:val="en-GB"/>
        </w:rPr>
        <w:t>.</w:t>
      </w:r>
    </w:p>
    <w:p w14:paraId="2CD55F4D"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10B5D8BA"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lang w:val="en-GB"/>
        </w:rPr>
        <w:t xml:space="preserve">Masselli G, Weston M, Spencer J. The role of imaging in the diagnosis and management of renal stone disease in pregnancy. Clin Radiol. 2015; 70(12): 1462–1471. </w:t>
      </w:r>
      <w:r w:rsidRPr="00BB3A19">
        <w:rPr>
          <w:rFonts w:ascii="Times New Roman" w:hAnsi="Times New Roman" w:cs="Times New Roman"/>
          <w:sz w:val="24"/>
          <w:szCs w:val="24"/>
          <w:shd w:val="clear" w:color="auto" w:fill="FFFFFF"/>
          <w:lang w:val="en-GB"/>
        </w:rPr>
        <w:t>doi: 10.1016/j.crad.2015.09.002.</w:t>
      </w:r>
    </w:p>
    <w:p w14:paraId="2B48238D"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098892BF" w14:textId="37A465A2"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BB3A19">
        <w:rPr>
          <w:rFonts w:ascii="Times New Roman" w:eastAsia="Times New Roman" w:hAnsi="Times New Roman" w:cs="Times New Roman"/>
          <w:sz w:val="24"/>
          <w:szCs w:val="24"/>
          <w:lang w:val="en-GB" w:eastAsia="sk-SK"/>
        </w:rPr>
        <w:t xml:space="preserve">Mullhaupt G, Engeler DS, Schmidt H-P, Abt D. How do stone attenuation and skin-to-stone distance in computed tomography influence the performance of shock wave lithotripsy in ureteral stone disease? BMC Urol. 2015; 15: 72. </w:t>
      </w:r>
      <w:r w:rsidRPr="00BB3A19">
        <w:rPr>
          <w:rFonts w:ascii="Times New Roman" w:hAnsi="Times New Roman" w:cs="Times New Roman"/>
          <w:sz w:val="24"/>
          <w:szCs w:val="24"/>
          <w:shd w:val="clear" w:color="auto" w:fill="FFFFFF"/>
          <w:lang w:val="en-GB"/>
        </w:rPr>
        <w:t>doi: </w:t>
      </w:r>
      <w:hyperlink r:id="rId70" w:tgtFrame="pmc_ext" w:history="1">
        <w:r w:rsidRPr="00BB3A19">
          <w:rPr>
            <w:rStyle w:val="Hypertextovodkaz"/>
            <w:rFonts w:ascii="Times New Roman" w:hAnsi="Times New Roman" w:cs="Times New Roman"/>
            <w:color w:val="auto"/>
            <w:sz w:val="24"/>
            <w:szCs w:val="24"/>
            <w:u w:val="none"/>
            <w:shd w:val="clear" w:color="auto" w:fill="FFFFFF"/>
            <w:lang w:val="en-GB"/>
          </w:rPr>
          <w:t>10.1186/s12894-015-0069-7</w:t>
        </w:r>
      </w:hyperlink>
      <w:r w:rsidRPr="00BB3A19">
        <w:rPr>
          <w:rFonts w:ascii="Times New Roman" w:hAnsi="Times New Roman" w:cs="Times New Roman"/>
          <w:sz w:val="24"/>
          <w:szCs w:val="24"/>
          <w:lang w:val="en-GB"/>
        </w:rPr>
        <w:t xml:space="preserve">. </w:t>
      </w:r>
    </w:p>
    <w:p w14:paraId="651398F2" w14:textId="77777777" w:rsidR="00AB3982" w:rsidRPr="00BB3A19" w:rsidRDefault="00AB3982" w:rsidP="00D135D4">
      <w:pPr>
        <w:pStyle w:val="Odstavecseseznamem"/>
        <w:spacing w:after="0" w:line="336" w:lineRule="auto"/>
        <w:rPr>
          <w:rFonts w:ascii="Times New Roman" w:hAnsi="Times New Roman" w:cs="Times New Roman"/>
          <w:sz w:val="24"/>
          <w:szCs w:val="24"/>
          <w:lang w:val="en-GB"/>
        </w:rPr>
      </w:pPr>
    </w:p>
    <w:p w14:paraId="38DBD8A9" w14:textId="5351EE18" w:rsidR="00AB3982" w:rsidRPr="00BB3A19" w:rsidRDefault="00AB3982"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BB3A19">
        <w:rPr>
          <w:rFonts w:ascii="Times New Roman" w:eastAsia="Times New Roman" w:hAnsi="Times New Roman" w:cs="Times New Roman"/>
          <w:sz w:val="24"/>
          <w:szCs w:val="24"/>
          <w:lang w:eastAsia="sk-SK"/>
        </w:rPr>
        <w:t>Muniz J,  Hambleton RK. Directions for the translation and adaptation of tests. Papeles del Psicologo 1997; 63-70.</w:t>
      </w:r>
    </w:p>
    <w:p w14:paraId="5772578B" w14:textId="77777777" w:rsidR="0052468A" w:rsidRPr="00BB3A19" w:rsidRDefault="0052468A" w:rsidP="00D135D4">
      <w:pPr>
        <w:shd w:val="clear" w:color="auto" w:fill="FFFFFF"/>
        <w:spacing w:after="0" w:line="336" w:lineRule="auto"/>
        <w:ind w:left="426" w:hanging="426"/>
        <w:jc w:val="both"/>
        <w:rPr>
          <w:rStyle w:val="Hypertextovodkaz"/>
          <w:rFonts w:ascii="Times New Roman" w:hAnsi="Times New Roman" w:cs="Times New Roman"/>
          <w:color w:val="auto"/>
          <w:sz w:val="24"/>
          <w:szCs w:val="24"/>
          <w:u w:val="none"/>
          <w:shd w:val="clear" w:color="auto" w:fill="FFFFFF"/>
          <w:lang w:val="en-GB"/>
        </w:rPr>
      </w:pPr>
    </w:p>
    <w:p w14:paraId="58954523"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Hypertextovodkaz"/>
          <w:rFonts w:ascii="Times New Roman" w:hAnsi="Times New Roman" w:cs="Times New Roman"/>
          <w:color w:val="auto"/>
          <w:sz w:val="24"/>
          <w:szCs w:val="24"/>
          <w:u w:val="none"/>
          <w:bdr w:val="none" w:sz="0" w:space="0" w:color="auto" w:frame="1"/>
          <w:shd w:val="clear" w:color="auto" w:fill="FFFFFF"/>
          <w:lang w:val="en-GB"/>
        </w:rPr>
      </w:pPr>
      <w:r w:rsidRPr="00BB3A19">
        <w:rPr>
          <w:rFonts w:ascii="Times New Roman" w:hAnsi="Times New Roman" w:cs="Times New Roman"/>
          <w:sz w:val="24"/>
          <w:szCs w:val="24"/>
          <w:shd w:val="clear" w:color="auto" w:fill="FFFFFF"/>
          <w:lang w:val="en-GB"/>
        </w:rPr>
        <w:t>Nelson EC, Landgraf JM, Hays RD, Wasson JH, Kirk JW. The functional status of patients. How can it be measured in physicians' offices? Med Care. 1990; 28(12): 1111-1126.</w:t>
      </w:r>
      <w:hyperlink r:id="rId71" w:tgtFrame="_blank" w:history="1"/>
      <w:r w:rsidRPr="00BB3A19">
        <w:rPr>
          <w:rStyle w:val="Hypertextovodkaz"/>
          <w:rFonts w:ascii="Times New Roman" w:hAnsi="Times New Roman" w:cs="Times New Roman"/>
          <w:color w:val="auto"/>
          <w:sz w:val="24"/>
          <w:szCs w:val="24"/>
          <w:u w:val="none"/>
          <w:bdr w:val="none" w:sz="0" w:space="0" w:color="auto" w:frame="1"/>
          <w:shd w:val="clear" w:color="auto" w:fill="FFFFFF"/>
          <w:lang w:val="en-GB"/>
        </w:rPr>
        <w:t xml:space="preserve"> </w:t>
      </w:r>
    </w:p>
    <w:p w14:paraId="718A4127"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7D5D5DB5" w14:textId="77777777" w:rsidR="008D1014"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lang w:val="en-GB"/>
        </w:rPr>
      </w:pPr>
      <w:r w:rsidRPr="00A3085C">
        <w:rPr>
          <w:rFonts w:ascii="Times New Roman" w:eastAsia="Times New Roman" w:hAnsi="Times New Roman" w:cs="Times New Roman"/>
          <w:sz w:val="24"/>
          <w:szCs w:val="24"/>
          <w:lang w:val="en-GB" w:eastAsia="sk-SK"/>
        </w:rPr>
        <w:t>New F, Somani BK. A Complete World Literature Review of Quality of Life (QOL) in Patients with Kidney Stone Disease (KSD). Curr</w:t>
      </w:r>
      <w:r w:rsidRPr="00BB3A19">
        <w:rPr>
          <w:rFonts w:ascii="Times New Roman" w:eastAsia="Times New Roman" w:hAnsi="Times New Roman" w:cs="Times New Roman"/>
          <w:sz w:val="24"/>
          <w:szCs w:val="24"/>
          <w:lang w:val="en-GB" w:eastAsia="sk-SK"/>
        </w:rPr>
        <w:t xml:space="preserve"> Urol Rep. 2016; 17(12): 88.  </w:t>
      </w:r>
      <w:r w:rsidRPr="00BB3A19">
        <w:rPr>
          <w:rFonts w:ascii="Times New Roman" w:hAnsi="Times New Roman" w:cs="Times New Roman"/>
          <w:sz w:val="24"/>
          <w:szCs w:val="24"/>
          <w:shd w:val="clear" w:color="auto" w:fill="FFFFFF"/>
          <w:lang w:val="en-GB"/>
        </w:rPr>
        <w:t>DOI: </w:t>
      </w:r>
      <w:hyperlink r:id="rId72" w:tgtFrame="_blank" w:history="1">
        <w:r w:rsidRPr="00BB3A19">
          <w:rPr>
            <w:rStyle w:val="Hypertextovodkaz"/>
            <w:rFonts w:ascii="Times New Roman" w:hAnsi="Times New Roman" w:cs="Times New Roman"/>
            <w:color w:val="auto"/>
            <w:sz w:val="24"/>
            <w:szCs w:val="24"/>
            <w:u w:val="none"/>
            <w:bdr w:val="none" w:sz="0" w:space="0" w:color="auto" w:frame="1"/>
            <w:shd w:val="clear" w:color="auto" w:fill="FFFFFF"/>
            <w:lang w:val="en-GB"/>
          </w:rPr>
          <w:t>10.1007/s11934-016-0647-6</w:t>
        </w:r>
      </w:hyperlink>
      <w:r w:rsidRPr="00BB3A19">
        <w:rPr>
          <w:rFonts w:ascii="Times New Roman" w:hAnsi="Times New Roman" w:cs="Times New Roman"/>
          <w:sz w:val="24"/>
          <w:szCs w:val="24"/>
          <w:lang w:val="en-GB"/>
        </w:rPr>
        <w:t xml:space="preserve">. </w:t>
      </w:r>
    </w:p>
    <w:p w14:paraId="01E0EA9C" w14:textId="77777777" w:rsidR="008D1014" w:rsidRPr="00DF5D48" w:rsidRDefault="008D1014" w:rsidP="00D135D4">
      <w:pPr>
        <w:pStyle w:val="Odstavecseseznamem"/>
        <w:spacing w:after="0" w:line="336" w:lineRule="auto"/>
        <w:rPr>
          <w:rFonts w:ascii="Times New Roman" w:hAnsi="Times New Roman" w:cs="Times New Roman"/>
          <w:sz w:val="24"/>
          <w:szCs w:val="24"/>
        </w:rPr>
      </w:pPr>
    </w:p>
    <w:p w14:paraId="5D6536FC" w14:textId="2E5E457F" w:rsidR="008D1014" w:rsidRPr="00DF5D48" w:rsidRDefault="008D1014"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Fonts w:ascii="Times New Roman" w:hAnsi="Times New Roman" w:cs="Times New Roman"/>
          <w:sz w:val="24"/>
          <w:szCs w:val="24"/>
        </w:rPr>
        <w:t>Noble VE, Brown DF. Renal ultrasound. Emerg Med Clin North Am</w:t>
      </w:r>
      <w:r w:rsidR="00783DDC" w:rsidRPr="00DF5D48">
        <w:rPr>
          <w:rFonts w:ascii="Times New Roman" w:hAnsi="Times New Roman" w:cs="Times New Roman"/>
          <w:sz w:val="24"/>
          <w:szCs w:val="24"/>
        </w:rPr>
        <w:t>.</w:t>
      </w:r>
      <w:r w:rsidRPr="00DF5D48">
        <w:rPr>
          <w:rFonts w:ascii="Times New Roman" w:hAnsi="Times New Roman" w:cs="Times New Roman"/>
          <w:sz w:val="24"/>
          <w:szCs w:val="24"/>
        </w:rPr>
        <w:t xml:space="preserve"> 2004;</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22(3):</w:t>
      </w:r>
      <w:r w:rsidR="00783DDC" w:rsidRPr="00DF5D48">
        <w:rPr>
          <w:rFonts w:ascii="Times New Roman" w:hAnsi="Times New Roman" w:cs="Times New Roman"/>
          <w:sz w:val="24"/>
          <w:szCs w:val="24"/>
        </w:rPr>
        <w:t xml:space="preserve"> </w:t>
      </w:r>
      <w:r w:rsidRPr="00DF5D48">
        <w:rPr>
          <w:rFonts w:ascii="Times New Roman" w:hAnsi="Times New Roman" w:cs="Times New Roman"/>
          <w:sz w:val="24"/>
          <w:szCs w:val="24"/>
        </w:rPr>
        <w:t>641–</w:t>
      </w:r>
      <w:r w:rsidR="00783DDC" w:rsidRPr="00DF5D48">
        <w:rPr>
          <w:rFonts w:ascii="Times New Roman" w:hAnsi="Times New Roman" w:cs="Times New Roman"/>
          <w:sz w:val="24"/>
          <w:szCs w:val="24"/>
        </w:rPr>
        <w:t>6</w:t>
      </w:r>
      <w:r w:rsidRPr="00DF5D48">
        <w:rPr>
          <w:rFonts w:ascii="Times New Roman" w:hAnsi="Times New Roman" w:cs="Times New Roman"/>
          <w:sz w:val="24"/>
          <w:szCs w:val="24"/>
        </w:rPr>
        <w:t>59.</w:t>
      </w:r>
      <w:r w:rsidR="00783DDC" w:rsidRPr="00DF5D48">
        <w:rPr>
          <w:rFonts w:ascii="Times New Roman" w:hAnsi="Times New Roman" w:cs="Times New Roman"/>
          <w:sz w:val="24"/>
          <w:szCs w:val="24"/>
        </w:rPr>
        <w:t xml:space="preserve"> </w:t>
      </w:r>
      <w:r w:rsidR="00783DDC" w:rsidRPr="00DF5D48">
        <w:rPr>
          <w:rFonts w:ascii="Times New Roman" w:hAnsi="Times New Roman" w:cs="Times New Roman"/>
          <w:sz w:val="24"/>
          <w:szCs w:val="24"/>
          <w:shd w:val="clear" w:color="auto" w:fill="FFFFFF"/>
        </w:rPr>
        <w:t>doi: 10.1016/j.emc.2004.04.014.</w:t>
      </w:r>
    </w:p>
    <w:p w14:paraId="0EFB5204" w14:textId="77777777" w:rsidR="008D1014" w:rsidRPr="00DF5D48" w:rsidRDefault="008D1014" w:rsidP="00D135D4">
      <w:pPr>
        <w:pStyle w:val="Odstavecseseznamem"/>
        <w:spacing w:after="0" w:line="336" w:lineRule="auto"/>
        <w:rPr>
          <w:rStyle w:val="element-citation"/>
          <w:rFonts w:ascii="Times New Roman" w:hAnsi="Times New Roman" w:cs="Times New Roman"/>
          <w:sz w:val="24"/>
          <w:szCs w:val="24"/>
          <w:lang w:val="en-GB"/>
        </w:rPr>
      </w:pPr>
    </w:p>
    <w:p w14:paraId="754A8B1D" w14:textId="17D4E516"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DF5D48">
        <w:rPr>
          <w:rStyle w:val="element-citation"/>
          <w:rFonts w:ascii="Times New Roman" w:hAnsi="Times New Roman" w:cs="Times New Roman"/>
          <w:sz w:val="24"/>
          <w:szCs w:val="24"/>
          <w:lang w:val="en-GB"/>
        </w:rPr>
        <w:t xml:space="preserve">Osther PJS. Epidemiology of kidney stones in the European Union. </w:t>
      </w:r>
      <w:r w:rsidRPr="00DF5D48">
        <w:rPr>
          <w:rFonts w:ascii="Times New Roman" w:hAnsi="Times New Roman" w:cs="Times New Roman"/>
          <w:sz w:val="24"/>
          <w:szCs w:val="24"/>
          <w:shd w:val="clear" w:color="auto" w:fill="FFFFFF"/>
          <w:lang w:val="en-GB"/>
        </w:rPr>
        <w:t>In: Talati JJ, Tiselius HG, Albala DM, Ye Z, editors. </w:t>
      </w:r>
      <w:r w:rsidRPr="00DF5D48">
        <w:rPr>
          <w:rStyle w:val="ref-journal"/>
          <w:rFonts w:ascii="Times New Roman" w:hAnsi="Times New Roman" w:cs="Times New Roman"/>
          <w:sz w:val="24"/>
          <w:szCs w:val="24"/>
          <w:shd w:val="clear" w:color="auto" w:fill="FFFFFF"/>
          <w:lang w:val="en-GB"/>
        </w:rPr>
        <w:t>Urolithiasis: Basic Science and Clinical Practice.</w:t>
      </w:r>
      <w:r w:rsidRPr="00DF5D48">
        <w:rPr>
          <w:rFonts w:ascii="Times New Roman" w:hAnsi="Times New Roman" w:cs="Times New Roman"/>
          <w:sz w:val="24"/>
          <w:szCs w:val="24"/>
          <w:shd w:val="clear" w:color="auto" w:fill="FFFFFF"/>
          <w:lang w:val="en-GB"/>
        </w:rPr>
        <w:t xml:space="preserve"> London: Springer, 2012. 982 p. </w:t>
      </w:r>
      <w:r w:rsidRPr="00DF5D48">
        <w:rPr>
          <w:rFonts w:ascii="Times New Roman" w:eastAsia="Times New Roman" w:hAnsi="Times New Roman" w:cs="Times New Roman"/>
          <w:sz w:val="24"/>
          <w:szCs w:val="24"/>
          <w:lang w:val="en-GB" w:eastAsia="sk-SK"/>
        </w:rPr>
        <w:t>ISBN 978</w:t>
      </w:r>
      <w:r w:rsidRPr="00BB3A19">
        <w:rPr>
          <w:rFonts w:ascii="Times New Roman" w:eastAsia="Times New Roman" w:hAnsi="Times New Roman" w:cs="Times New Roman"/>
          <w:sz w:val="24"/>
          <w:szCs w:val="24"/>
          <w:lang w:val="en-GB" w:eastAsia="sk-SK"/>
        </w:rPr>
        <w:t>-1-4471-4383-3. pp</w:t>
      </w:r>
      <w:r w:rsidRPr="00BB3A19">
        <w:rPr>
          <w:rFonts w:ascii="Times New Roman" w:hAnsi="Times New Roman" w:cs="Times New Roman"/>
          <w:sz w:val="24"/>
          <w:szCs w:val="24"/>
          <w:shd w:val="clear" w:color="auto" w:fill="FFFFFF"/>
          <w:lang w:val="en-GB"/>
        </w:rPr>
        <w:t xml:space="preserve">. </w:t>
      </w:r>
      <w:r w:rsidRPr="00BB3A19">
        <w:rPr>
          <w:rStyle w:val="element-citation"/>
          <w:rFonts w:ascii="Times New Roman" w:hAnsi="Times New Roman" w:cs="Times New Roman"/>
          <w:sz w:val="24"/>
          <w:szCs w:val="24"/>
          <w:lang w:val="en-GB"/>
        </w:rPr>
        <w:t>3–12.</w:t>
      </w:r>
    </w:p>
    <w:p w14:paraId="47C7C8C0"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FFFFF"/>
          <w:lang w:val="en-GB"/>
        </w:rPr>
      </w:pPr>
    </w:p>
    <w:p w14:paraId="566D5945" w14:textId="77777777" w:rsidR="0052468A" w:rsidRPr="00BB3A19" w:rsidRDefault="0052468A" w:rsidP="00D135D4">
      <w:pPr>
        <w:pStyle w:val="Odstavecseseznamem"/>
        <w:numPr>
          <w:ilvl w:val="0"/>
          <w:numId w:val="19"/>
        </w:numPr>
        <w:spacing w:after="0" w:line="336" w:lineRule="auto"/>
        <w:ind w:left="426" w:hanging="426"/>
        <w:jc w:val="both"/>
        <w:textAlignment w:val="baseline"/>
        <w:rPr>
          <w:rFonts w:ascii="Times New Roman" w:eastAsia="Times New Roman" w:hAnsi="Times New Roman" w:cs="Times New Roman"/>
          <w:sz w:val="24"/>
          <w:szCs w:val="24"/>
          <w:lang w:val="en-GB" w:eastAsia="sk-SK"/>
        </w:rPr>
      </w:pPr>
      <w:r w:rsidRPr="00BB3A19">
        <w:rPr>
          <w:rFonts w:ascii="Times New Roman" w:hAnsi="Times New Roman" w:cs="Times New Roman"/>
          <w:sz w:val="24"/>
          <w:szCs w:val="24"/>
          <w:shd w:val="clear" w:color="auto" w:fill="FFFFFF"/>
          <w:lang w:val="en-GB"/>
        </w:rPr>
        <w:t xml:space="preserve">Patrick DL, Erickson P. Assessing health-related quality of life for clinical decision-making. In: Quality of life assessment: key issues in the 1990s. Walker SR, Rosser PM (Eds.). Dordrecht, Boston, London: Kluwer Academic Publishers, 1993. 487 p. </w:t>
      </w:r>
      <w:r w:rsidRPr="00BB3A19">
        <w:rPr>
          <w:rFonts w:ascii="Times New Roman" w:eastAsia="Times New Roman" w:hAnsi="Times New Roman" w:cs="Times New Roman"/>
          <w:sz w:val="24"/>
          <w:szCs w:val="24"/>
          <w:lang w:val="en-GB" w:eastAsia="sk-SK"/>
        </w:rPr>
        <w:t xml:space="preserve">ISBN 978-94-011-2988-6. pp. </w:t>
      </w:r>
      <w:r w:rsidRPr="00BB3A19">
        <w:rPr>
          <w:rFonts w:ascii="Times New Roman" w:hAnsi="Times New Roman" w:cs="Times New Roman"/>
          <w:sz w:val="24"/>
          <w:szCs w:val="24"/>
          <w:shd w:val="clear" w:color="auto" w:fill="FFFFFF"/>
          <w:lang w:val="en-GB"/>
        </w:rPr>
        <w:t>11-64</w:t>
      </w:r>
    </w:p>
    <w:p w14:paraId="3C069F02"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p>
    <w:p w14:paraId="2A000D0F" w14:textId="465F782E" w:rsidR="0052468A" w:rsidRDefault="0052468A" w:rsidP="00D135D4">
      <w:pPr>
        <w:pStyle w:val="Odstavecseseznamem"/>
        <w:numPr>
          <w:ilvl w:val="0"/>
          <w:numId w:val="19"/>
        </w:numPr>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shd w:val="clear" w:color="auto" w:fill="FFFFFF"/>
          <w:lang w:val="en-GB"/>
        </w:rPr>
        <w:t>Penniston KL, Antonelli JA, Viprakasit DP, Averch TD, Sivalingam S, Sur RL, Pais VP jr., Chew BH, Bird VG, Nakada SY. Validation and Reliability of the Wisconsin Stone Quality of Life Questionnaire. </w:t>
      </w:r>
      <w:r w:rsidRPr="00BB3A19">
        <w:rPr>
          <w:rStyle w:val="ref-journal"/>
          <w:rFonts w:ascii="Times New Roman" w:hAnsi="Times New Roman" w:cs="Times New Roman"/>
          <w:sz w:val="24"/>
          <w:szCs w:val="24"/>
          <w:shd w:val="clear" w:color="auto" w:fill="FFFFFF"/>
          <w:lang w:val="en-GB"/>
        </w:rPr>
        <w:t>J Urol. </w:t>
      </w:r>
      <w:r w:rsidRPr="00BB3A19">
        <w:rPr>
          <w:rFonts w:ascii="Times New Roman" w:hAnsi="Times New Roman" w:cs="Times New Roman"/>
          <w:sz w:val="24"/>
          <w:szCs w:val="24"/>
          <w:shd w:val="clear" w:color="auto" w:fill="FFFFFF"/>
          <w:lang w:val="en-GB"/>
        </w:rPr>
        <w:t xml:space="preserve">2017; </w:t>
      </w:r>
      <w:r w:rsidRPr="00BB3A19">
        <w:rPr>
          <w:rStyle w:val="ref-vol"/>
          <w:rFonts w:ascii="Times New Roman" w:hAnsi="Times New Roman" w:cs="Times New Roman"/>
          <w:sz w:val="24"/>
          <w:szCs w:val="24"/>
          <w:shd w:val="clear" w:color="auto" w:fill="FFFFFF"/>
          <w:lang w:val="en-GB"/>
        </w:rPr>
        <w:t>197(5)</w:t>
      </w:r>
      <w:r w:rsidRPr="00BB3A19">
        <w:rPr>
          <w:rFonts w:ascii="Times New Roman" w:hAnsi="Times New Roman" w:cs="Times New Roman"/>
          <w:sz w:val="24"/>
          <w:szCs w:val="24"/>
          <w:shd w:val="clear" w:color="auto" w:fill="FFFFFF"/>
          <w:lang w:val="en-GB"/>
        </w:rPr>
        <w:t>: 1280–1288. doi: 10.1016/j.juro.2016.11.097.</w:t>
      </w:r>
    </w:p>
    <w:p w14:paraId="23BBD4A6" w14:textId="77777777" w:rsidR="005232A4" w:rsidRPr="005232A4" w:rsidRDefault="005232A4" w:rsidP="005232A4">
      <w:pPr>
        <w:pStyle w:val="Odstavecseseznamem"/>
        <w:rPr>
          <w:rFonts w:ascii="Times New Roman" w:hAnsi="Times New Roman" w:cs="Times New Roman"/>
          <w:sz w:val="24"/>
          <w:szCs w:val="24"/>
          <w:shd w:val="clear" w:color="auto" w:fill="FFFFFF"/>
          <w:lang w:val="en-GB"/>
        </w:rPr>
      </w:pPr>
    </w:p>
    <w:p w14:paraId="57925460" w14:textId="5701EF36" w:rsidR="005232A4" w:rsidRPr="005232A4" w:rsidRDefault="005232A4" w:rsidP="005232A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sidRPr="00BB3A19">
        <w:rPr>
          <w:rFonts w:ascii="Times New Roman" w:eastAsia="Times New Roman" w:hAnsi="Times New Roman" w:cs="Times New Roman"/>
          <w:sz w:val="24"/>
          <w:szCs w:val="24"/>
          <w:lang w:val="en-GB" w:eastAsia="sk-SK"/>
        </w:rPr>
        <w:t xml:space="preserve">Penniston KL, Nakada SY. Use of the WISQOL Questionnaire. J Endourol. 2017; 31(4): 420. </w:t>
      </w:r>
      <w:r w:rsidRPr="00BB3A19">
        <w:rPr>
          <w:rFonts w:ascii="Times New Roman" w:hAnsi="Times New Roman" w:cs="Times New Roman"/>
          <w:sz w:val="24"/>
          <w:szCs w:val="24"/>
          <w:shd w:val="clear" w:color="auto" w:fill="FFFFFF"/>
          <w:lang w:val="en-GB"/>
        </w:rPr>
        <w:t xml:space="preserve">doi: 10.1089/end.2017.0017. </w:t>
      </w:r>
    </w:p>
    <w:p w14:paraId="5F01CDB7" w14:textId="77777777" w:rsidR="0052468A" w:rsidRPr="00BB3A19" w:rsidRDefault="0052468A" w:rsidP="00D135D4">
      <w:pPr>
        <w:spacing w:after="0" w:line="336" w:lineRule="auto"/>
        <w:ind w:left="426" w:hanging="426"/>
        <w:jc w:val="both"/>
        <w:rPr>
          <w:rStyle w:val="element-citation"/>
          <w:rFonts w:ascii="Times New Roman" w:hAnsi="Times New Roman" w:cs="Times New Roman"/>
          <w:sz w:val="24"/>
          <w:szCs w:val="24"/>
          <w:shd w:val="clear" w:color="auto" w:fill="FFFFFF"/>
          <w:lang w:val="en-GB"/>
        </w:rPr>
      </w:pPr>
    </w:p>
    <w:p w14:paraId="633DDA71"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lang w:val="en-GB"/>
        </w:rPr>
        <w:t>Pettenati C, El Fegoun AB, Hupertan V, Dominique S, Ravery V. Double J stent reduces the efficacy of extracorporeal shock wave lithotripsy in the treatment of lumbar ureteral stones. </w:t>
      </w:r>
      <w:r w:rsidRPr="00BB3A19">
        <w:rPr>
          <w:rStyle w:val="ref-journal"/>
          <w:rFonts w:ascii="Times New Roman" w:hAnsi="Times New Roman" w:cs="Times New Roman"/>
          <w:sz w:val="24"/>
          <w:szCs w:val="24"/>
          <w:lang w:val="en-GB"/>
        </w:rPr>
        <w:t>Cent European J Urol. </w:t>
      </w:r>
      <w:r w:rsidRPr="00BB3A19">
        <w:rPr>
          <w:rStyle w:val="element-citation"/>
          <w:rFonts w:ascii="Times New Roman" w:hAnsi="Times New Roman" w:cs="Times New Roman"/>
          <w:sz w:val="24"/>
          <w:szCs w:val="24"/>
          <w:lang w:val="en-GB"/>
        </w:rPr>
        <w:t xml:space="preserve">2013; </w:t>
      </w:r>
      <w:r w:rsidRPr="00BB3A19">
        <w:rPr>
          <w:rStyle w:val="ref-vol"/>
          <w:rFonts w:ascii="Times New Roman" w:hAnsi="Times New Roman" w:cs="Times New Roman"/>
          <w:sz w:val="24"/>
          <w:szCs w:val="24"/>
          <w:lang w:val="en-GB"/>
        </w:rPr>
        <w:t>66(3)</w:t>
      </w:r>
      <w:r w:rsidRPr="00BB3A19">
        <w:rPr>
          <w:rStyle w:val="element-citation"/>
          <w:rFonts w:ascii="Times New Roman" w:hAnsi="Times New Roman" w:cs="Times New Roman"/>
          <w:sz w:val="24"/>
          <w:szCs w:val="24"/>
          <w:lang w:val="en-GB"/>
        </w:rPr>
        <w:t xml:space="preserve">: 309–313. </w:t>
      </w:r>
      <w:r w:rsidRPr="00BB3A19">
        <w:rPr>
          <w:rFonts w:ascii="Times New Roman" w:hAnsi="Times New Roman" w:cs="Times New Roman"/>
          <w:sz w:val="24"/>
          <w:szCs w:val="24"/>
          <w:shd w:val="clear" w:color="auto" w:fill="FFFFFF"/>
          <w:lang w:val="en-GB"/>
        </w:rPr>
        <w:t>doi: 10.5173/ceju.2013.</w:t>
      </w:r>
      <w:proofErr w:type="gramStart"/>
      <w:r w:rsidRPr="00BB3A19">
        <w:rPr>
          <w:rFonts w:ascii="Times New Roman" w:hAnsi="Times New Roman" w:cs="Times New Roman"/>
          <w:sz w:val="24"/>
          <w:szCs w:val="24"/>
          <w:shd w:val="clear" w:color="auto" w:fill="FFFFFF"/>
          <w:lang w:val="en-GB"/>
        </w:rPr>
        <w:t>03.art</w:t>
      </w:r>
      <w:proofErr w:type="gramEnd"/>
      <w:r w:rsidRPr="00BB3A19">
        <w:rPr>
          <w:rFonts w:ascii="Times New Roman" w:hAnsi="Times New Roman" w:cs="Times New Roman"/>
          <w:sz w:val="24"/>
          <w:szCs w:val="24"/>
          <w:shd w:val="clear" w:color="auto" w:fill="FFFFFF"/>
          <w:lang w:val="en-GB"/>
        </w:rPr>
        <w:t>14.</w:t>
      </w:r>
    </w:p>
    <w:p w14:paraId="56F20FA5"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1F4F0AAE"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lang w:val="en-GB"/>
        </w:rPr>
        <w:t>Ringden I, Tiselius H-G. Composition and clinically determined hardness of urinary tract stones. </w:t>
      </w:r>
      <w:r w:rsidRPr="00BB3A19">
        <w:rPr>
          <w:rStyle w:val="ref-journal"/>
          <w:rFonts w:ascii="Times New Roman" w:hAnsi="Times New Roman" w:cs="Times New Roman"/>
          <w:sz w:val="24"/>
          <w:szCs w:val="24"/>
          <w:lang w:val="en-GB"/>
        </w:rPr>
        <w:t>Scand J Urol Nephrol. </w:t>
      </w:r>
      <w:r w:rsidRPr="00BB3A19">
        <w:rPr>
          <w:rStyle w:val="element-citation"/>
          <w:rFonts w:ascii="Times New Roman" w:hAnsi="Times New Roman" w:cs="Times New Roman"/>
          <w:sz w:val="24"/>
          <w:szCs w:val="24"/>
          <w:lang w:val="en-GB"/>
        </w:rPr>
        <w:t xml:space="preserve">2007; </w:t>
      </w:r>
      <w:r w:rsidRPr="00BB3A19">
        <w:rPr>
          <w:rStyle w:val="ref-vol"/>
          <w:rFonts w:ascii="Times New Roman" w:hAnsi="Times New Roman" w:cs="Times New Roman"/>
          <w:sz w:val="24"/>
          <w:szCs w:val="24"/>
          <w:lang w:val="en-GB"/>
        </w:rPr>
        <w:t>41(4)</w:t>
      </w:r>
      <w:r w:rsidRPr="00BB3A19">
        <w:rPr>
          <w:rStyle w:val="element-citation"/>
          <w:rFonts w:ascii="Times New Roman" w:hAnsi="Times New Roman" w:cs="Times New Roman"/>
          <w:sz w:val="24"/>
          <w:szCs w:val="24"/>
          <w:lang w:val="en-GB"/>
        </w:rPr>
        <w:t xml:space="preserve">: 316–323. </w:t>
      </w:r>
      <w:r w:rsidRPr="00BB3A19">
        <w:rPr>
          <w:rFonts w:ascii="Times New Roman" w:hAnsi="Times New Roman" w:cs="Times New Roman"/>
          <w:sz w:val="24"/>
          <w:szCs w:val="24"/>
          <w:shd w:val="clear" w:color="auto" w:fill="FFFFFF"/>
          <w:lang w:val="en-GB"/>
        </w:rPr>
        <w:t>doi: 10.1080/00365590601154551.</w:t>
      </w:r>
    </w:p>
    <w:p w14:paraId="3659719B" w14:textId="77777777" w:rsidR="0052468A" w:rsidRPr="00BB3A19" w:rsidRDefault="0052468A" w:rsidP="00D135D4">
      <w:pPr>
        <w:shd w:val="clear" w:color="auto" w:fill="FFFFFF"/>
        <w:spacing w:after="0" w:line="336" w:lineRule="auto"/>
        <w:ind w:left="426" w:hanging="426"/>
        <w:jc w:val="both"/>
        <w:rPr>
          <w:rStyle w:val="element-citation"/>
          <w:rFonts w:ascii="Times New Roman" w:hAnsi="Times New Roman" w:cs="Times New Roman"/>
          <w:sz w:val="24"/>
          <w:szCs w:val="24"/>
          <w:lang w:val="en-GB"/>
        </w:rPr>
      </w:pPr>
    </w:p>
    <w:p w14:paraId="20680A39"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Robertson WG, Peacock M, Heyburn PJ, Hanes FA, Rutherford A, Clementson E, Swaminathan R, Clark PB. Should Recurrent Calcium Oxalate Stone formers become Vegetarians? </w:t>
      </w:r>
      <w:r w:rsidRPr="00BB3A19">
        <w:rPr>
          <w:rStyle w:val="ref-journal"/>
          <w:rFonts w:ascii="Times New Roman" w:hAnsi="Times New Roman" w:cs="Times New Roman"/>
          <w:sz w:val="24"/>
          <w:szCs w:val="24"/>
          <w:lang w:val="en-GB"/>
        </w:rPr>
        <w:t>Br J Urol. </w:t>
      </w:r>
      <w:r w:rsidRPr="00BB3A19">
        <w:rPr>
          <w:rStyle w:val="element-citation"/>
          <w:rFonts w:ascii="Times New Roman" w:hAnsi="Times New Roman" w:cs="Times New Roman"/>
          <w:sz w:val="24"/>
          <w:szCs w:val="24"/>
          <w:lang w:val="en-GB"/>
        </w:rPr>
        <w:t xml:space="preserve">1979; </w:t>
      </w:r>
      <w:r w:rsidRPr="00BB3A19">
        <w:rPr>
          <w:rStyle w:val="ref-vol"/>
          <w:rFonts w:ascii="Times New Roman" w:hAnsi="Times New Roman" w:cs="Times New Roman"/>
          <w:sz w:val="24"/>
          <w:szCs w:val="24"/>
          <w:lang w:val="en-GB"/>
        </w:rPr>
        <w:t>51(6)</w:t>
      </w:r>
      <w:r w:rsidRPr="00BB3A19">
        <w:rPr>
          <w:rStyle w:val="element-citation"/>
          <w:rFonts w:ascii="Times New Roman" w:hAnsi="Times New Roman" w:cs="Times New Roman"/>
          <w:sz w:val="24"/>
          <w:szCs w:val="24"/>
          <w:lang w:val="en-GB"/>
        </w:rPr>
        <w:t>: 427–431. doi: 10.1111/j.1464-410X.1979.tb</w:t>
      </w:r>
      <w:proofErr w:type="gramStart"/>
      <w:r w:rsidRPr="00BB3A19">
        <w:rPr>
          <w:rStyle w:val="element-citation"/>
          <w:rFonts w:ascii="Times New Roman" w:hAnsi="Times New Roman" w:cs="Times New Roman"/>
          <w:sz w:val="24"/>
          <w:szCs w:val="24"/>
          <w:lang w:val="en-GB"/>
        </w:rPr>
        <w:t>03570.x.</w:t>
      </w:r>
      <w:proofErr w:type="gramEnd"/>
    </w:p>
    <w:p w14:paraId="525CE80D"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513F0F2B"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textAlignment w:val="top"/>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Robertson WG, Peacock M. The pattern of urinary stone disease in Leeds and in the United Kingdom in relation to animal protein intake during the period 1960–1980. </w:t>
      </w:r>
      <w:r w:rsidRPr="00BB3A19">
        <w:rPr>
          <w:rStyle w:val="ref-journal"/>
          <w:rFonts w:ascii="Times New Roman" w:hAnsi="Times New Roman" w:cs="Times New Roman"/>
          <w:sz w:val="24"/>
          <w:szCs w:val="24"/>
          <w:lang w:val="en-GB"/>
        </w:rPr>
        <w:t>Urol Int. </w:t>
      </w:r>
      <w:r w:rsidRPr="00BB3A19">
        <w:rPr>
          <w:rStyle w:val="element-citation"/>
          <w:rFonts w:ascii="Times New Roman" w:hAnsi="Times New Roman" w:cs="Times New Roman"/>
          <w:sz w:val="24"/>
          <w:szCs w:val="24"/>
          <w:lang w:val="en-GB"/>
        </w:rPr>
        <w:t xml:space="preserve">1982; </w:t>
      </w:r>
      <w:r w:rsidRPr="00BB3A19">
        <w:rPr>
          <w:rStyle w:val="ref-vol"/>
          <w:rFonts w:ascii="Times New Roman" w:hAnsi="Times New Roman" w:cs="Times New Roman"/>
          <w:sz w:val="24"/>
          <w:szCs w:val="24"/>
          <w:lang w:val="en-GB"/>
        </w:rPr>
        <w:t>37(6)</w:t>
      </w:r>
      <w:r w:rsidRPr="00BB3A19">
        <w:rPr>
          <w:rStyle w:val="element-citation"/>
          <w:rFonts w:ascii="Times New Roman" w:hAnsi="Times New Roman" w:cs="Times New Roman"/>
          <w:sz w:val="24"/>
          <w:szCs w:val="24"/>
          <w:lang w:val="en-GB"/>
        </w:rPr>
        <w:t>: 394–399. doi: 10.1159/000280845.</w:t>
      </w:r>
    </w:p>
    <w:p w14:paraId="7B35B34B"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FFFFF"/>
          <w:lang w:val="en-GB"/>
        </w:rPr>
      </w:pPr>
    </w:p>
    <w:p w14:paraId="562C39CF"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t>Robertson WG, Peacock M, Marshall DH. Prevalence of Urinary Stone Disease in Vegetarians. </w:t>
      </w:r>
      <w:r w:rsidRPr="00BB3A19">
        <w:rPr>
          <w:rStyle w:val="ref-journal"/>
          <w:rFonts w:ascii="Times New Roman" w:hAnsi="Times New Roman" w:cs="Times New Roman"/>
          <w:sz w:val="24"/>
          <w:szCs w:val="24"/>
          <w:lang w:val="en-GB"/>
        </w:rPr>
        <w:t>Eur Urol. </w:t>
      </w:r>
      <w:r w:rsidRPr="00BB3A19">
        <w:rPr>
          <w:rStyle w:val="element-citation"/>
          <w:rFonts w:ascii="Times New Roman" w:hAnsi="Times New Roman" w:cs="Times New Roman"/>
          <w:sz w:val="24"/>
          <w:szCs w:val="24"/>
          <w:lang w:val="en-GB"/>
        </w:rPr>
        <w:t xml:space="preserve">1982; </w:t>
      </w:r>
      <w:r w:rsidRPr="00BB3A19">
        <w:rPr>
          <w:rStyle w:val="ref-vol"/>
          <w:rFonts w:ascii="Times New Roman" w:hAnsi="Times New Roman" w:cs="Times New Roman"/>
          <w:sz w:val="24"/>
          <w:szCs w:val="24"/>
          <w:lang w:val="en-GB"/>
        </w:rPr>
        <w:t>8(6)</w:t>
      </w:r>
      <w:r w:rsidRPr="00BB3A19">
        <w:rPr>
          <w:rStyle w:val="element-citation"/>
          <w:rFonts w:ascii="Times New Roman" w:hAnsi="Times New Roman" w:cs="Times New Roman"/>
          <w:sz w:val="24"/>
          <w:szCs w:val="24"/>
          <w:lang w:val="en-GB"/>
        </w:rPr>
        <w:t>: 334–339. doi: 10.1159/000473551.</w:t>
      </w:r>
    </w:p>
    <w:p w14:paraId="79B293E3" w14:textId="77777777" w:rsidR="0052468A" w:rsidRPr="00BB3A19" w:rsidRDefault="0052468A" w:rsidP="00D135D4">
      <w:pPr>
        <w:spacing w:after="0" w:line="336" w:lineRule="auto"/>
        <w:ind w:left="426" w:hanging="426"/>
        <w:jc w:val="both"/>
        <w:rPr>
          <w:rFonts w:ascii="Times New Roman" w:hAnsi="Times New Roman" w:cs="Times New Roman"/>
          <w:sz w:val="24"/>
          <w:szCs w:val="24"/>
          <w:shd w:val="clear" w:color="auto" w:fill="FFFFFF"/>
          <w:lang w:val="en-GB"/>
        </w:rPr>
      </w:pPr>
    </w:p>
    <w:p w14:paraId="52E05590"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sidRPr="00BB3A19">
        <w:rPr>
          <w:rStyle w:val="element-citation"/>
          <w:rFonts w:ascii="Times New Roman" w:hAnsi="Times New Roman" w:cs="Times New Roman"/>
          <w:sz w:val="24"/>
          <w:szCs w:val="24"/>
          <w:lang w:val="en-GB"/>
        </w:rPr>
        <w:lastRenderedPageBreak/>
        <w:t xml:space="preserve">Rodgers A. Epîdemiology: South-Africa and sub-Saharan Africa. </w:t>
      </w:r>
      <w:r w:rsidRPr="00BB3A19">
        <w:rPr>
          <w:rFonts w:ascii="Times New Roman" w:hAnsi="Times New Roman" w:cs="Times New Roman"/>
          <w:sz w:val="24"/>
          <w:szCs w:val="24"/>
          <w:shd w:val="clear" w:color="auto" w:fill="FFFFFF"/>
          <w:lang w:val="en-GB"/>
        </w:rPr>
        <w:t>In: Talati JJ, Tiselius HG, Albala DM, Ye Z, editors. </w:t>
      </w:r>
      <w:r w:rsidRPr="00BB3A19">
        <w:rPr>
          <w:rStyle w:val="ref-journal"/>
          <w:rFonts w:ascii="Times New Roman" w:hAnsi="Times New Roman" w:cs="Times New Roman"/>
          <w:sz w:val="24"/>
          <w:szCs w:val="24"/>
          <w:shd w:val="clear" w:color="auto" w:fill="FFFFFF"/>
          <w:lang w:val="en-GB"/>
        </w:rPr>
        <w:t>Urolithiasis: Basic Science and Clinical Practice.</w:t>
      </w:r>
      <w:r w:rsidRPr="00BB3A19">
        <w:rPr>
          <w:rFonts w:ascii="Times New Roman" w:hAnsi="Times New Roman" w:cs="Times New Roman"/>
          <w:sz w:val="24"/>
          <w:szCs w:val="24"/>
          <w:shd w:val="clear" w:color="auto" w:fill="FFFFFF"/>
          <w:lang w:val="en-GB"/>
        </w:rPr>
        <w:t xml:space="preserve"> London: Springer, 2012. 982 p. </w:t>
      </w:r>
      <w:r w:rsidRPr="00BB3A19">
        <w:rPr>
          <w:rFonts w:ascii="Times New Roman" w:eastAsia="Times New Roman" w:hAnsi="Times New Roman" w:cs="Times New Roman"/>
          <w:sz w:val="24"/>
          <w:szCs w:val="24"/>
          <w:lang w:val="en-GB" w:eastAsia="sk-SK"/>
        </w:rPr>
        <w:t>ISBN 978-1-4471-4383-3. pp</w:t>
      </w:r>
      <w:r w:rsidRPr="00BB3A19">
        <w:rPr>
          <w:rFonts w:ascii="Times New Roman" w:hAnsi="Times New Roman" w:cs="Times New Roman"/>
          <w:sz w:val="24"/>
          <w:szCs w:val="24"/>
          <w:shd w:val="clear" w:color="auto" w:fill="FFFFFF"/>
          <w:lang w:val="en-GB"/>
        </w:rPr>
        <w:t xml:space="preserve">. </w:t>
      </w:r>
      <w:r w:rsidRPr="00BB3A19">
        <w:rPr>
          <w:rStyle w:val="element-citation"/>
          <w:rFonts w:ascii="Times New Roman" w:hAnsi="Times New Roman" w:cs="Times New Roman"/>
          <w:sz w:val="24"/>
          <w:szCs w:val="24"/>
          <w:lang w:val="en-GB"/>
        </w:rPr>
        <w:t>67–71.</w:t>
      </w:r>
    </w:p>
    <w:p w14:paraId="033F56F3"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2FF74F64"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lang w:val="en-GB"/>
        </w:rPr>
        <w:t xml:space="preserve">Rucker CM. Menias ChO, Bhalla S. Mimics of Renal Colic: Alternative Diagnoses at Unenhanced Helical CT. Radiographics. 2004; 24(S1): S11-33. </w:t>
      </w:r>
      <w:r w:rsidRPr="00BB3A19">
        <w:rPr>
          <w:rFonts w:ascii="Times New Roman" w:hAnsi="Times New Roman" w:cs="Times New Roman"/>
          <w:sz w:val="24"/>
          <w:szCs w:val="24"/>
          <w:shd w:val="clear" w:color="auto" w:fill="FFFFFF"/>
          <w:lang w:val="en-GB"/>
        </w:rPr>
        <w:t>doi: 10.1148/rg.24si045505.</w:t>
      </w:r>
    </w:p>
    <w:p w14:paraId="3DAD8220"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4465EB74"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lang w:val="en-GB"/>
        </w:rPr>
        <w:t xml:space="preserve">Samim M, Goss S, Luty S, Weinreb J, Moore C. Incidental findings on CT for suspected renal colic in emergency department patients: prevalence and types in 5,383 consecutive examinations. J Am Coll Radiol. 2015; 12(1): 63–69. </w:t>
      </w:r>
      <w:r w:rsidRPr="00BB3A19">
        <w:rPr>
          <w:rFonts w:ascii="Times New Roman" w:hAnsi="Times New Roman" w:cs="Times New Roman"/>
          <w:sz w:val="24"/>
          <w:szCs w:val="24"/>
          <w:shd w:val="clear" w:color="auto" w:fill="FFFFFF"/>
          <w:lang w:val="en-GB"/>
        </w:rPr>
        <w:t>doi: 10.1016/j.jacr.2014.07.026</w:t>
      </w:r>
    </w:p>
    <w:p w14:paraId="15069537"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74C4FE22" w14:textId="4D015E60" w:rsidR="00AB3982" w:rsidRPr="00BB3A19" w:rsidRDefault="00AB3982"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shd w:val="clear" w:color="auto" w:fill="FFFFFF"/>
          <w:lang w:val="en-GB"/>
        </w:rPr>
        <w:t xml:space="preserve">Santiago JE, Hollander AB, Soni SD, Link RE, Mayer WA. To Dust or Not </w:t>
      </w:r>
      <w:proofErr w:type="gramStart"/>
      <w:r w:rsidRPr="00BB3A19">
        <w:rPr>
          <w:rFonts w:ascii="Times New Roman" w:hAnsi="Times New Roman" w:cs="Times New Roman"/>
          <w:sz w:val="24"/>
          <w:szCs w:val="24"/>
          <w:shd w:val="clear" w:color="auto" w:fill="FFFFFF"/>
          <w:lang w:val="en-GB"/>
        </w:rPr>
        <w:t>To</w:t>
      </w:r>
      <w:proofErr w:type="gramEnd"/>
      <w:r w:rsidRPr="00BB3A19">
        <w:rPr>
          <w:rFonts w:ascii="Times New Roman" w:hAnsi="Times New Roman" w:cs="Times New Roman"/>
          <w:sz w:val="24"/>
          <w:szCs w:val="24"/>
          <w:shd w:val="clear" w:color="auto" w:fill="FFFFFF"/>
          <w:lang w:val="en-GB"/>
        </w:rPr>
        <w:t xml:space="preserve"> Dust: a Systematic Review of Ureteroscopic Laser Lithotripsy Techniques. Curr Urol Rep. 2017; 18(4): 32. </w:t>
      </w:r>
      <w:hyperlink r:id="rId73" w:history="1">
        <w:r w:rsidRPr="00BB3A19">
          <w:rPr>
            <w:rStyle w:val="Hypertextovodkaz"/>
            <w:rFonts w:ascii="Times New Roman" w:hAnsi="Times New Roman" w:cs="Times New Roman"/>
            <w:color w:val="auto"/>
            <w:sz w:val="24"/>
            <w:szCs w:val="24"/>
            <w:u w:val="none"/>
            <w:shd w:val="clear" w:color="auto" w:fill="FCFCFC"/>
          </w:rPr>
          <w:t>https://doi.org/10.1007/s11934-017-0677-8</w:t>
        </w:r>
      </w:hyperlink>
      <w:r w:rsidRPr="00BB3A19">
        <w:rPr>
          <w:rFonts w:ascii="Times New Roman" w:hAnsi="Times New Roman" w:cs="Times New Roman"/>
          <w:sz w:val="24"/>
          <w:szCs w:val="24"/>
          <w:shd w:val="clear" w:color="auto" w:fill="FCFCFC"/>
        </w:rPr>
        <w:t>.</w:t>
      </w:r>
    </w:p>
    <w:p w14:paraId="488E5D8B" w14:textId="77777777" w:rsidR="00AB3982" w:rsidRPr="00BB3A19" w:rsidRDefault="00AB3982" w:rsidP="00D135D4">
      <w:pPr>
        <w:pStyle w:val="Odstavecseseznamem"/>
        <w:spacing w:after="0" w:line="336" w:lineRule="auto"/>
        <w:rPr>
          <w:rFonts w:ascii="Times New Roman" w:eastAsia="Times New Roman" w:hAnsi="Times New Roman" w:cs="Times New Roman"/>
          <w:sz w:val="24"/>
          <w:szCs w:val="24"/>
          <w:lang w:val="en-GB" w:eastAsia="sk-SK"/>
        </w:rPr>
      </w:pPr>
    </w:p>
    <w:p w14:paraId="38970AD0" w14:textId="5E300F3A"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Fonts w:ascii="Times New Roman" w:eastAsia="Times New Roman" w:hAnsi="Times New Roman" w:cs="Times New Roman"/>
          <w:sz w:val="24"/>
          <w:szCs w:val="24"/>
          <w:lang w:val="en-GB" w:eastAsia="sk-SK"/>
        </w:rPr>
        <w:t xml:space="preserve">Sarica K, Eryildirim B, Sahin C, Turkoglu OK, Tuncer M, Coskun A, Akdere H. Emergency management of ureteral stones: Evaluation of two different approaches with an emphasis on patients´ life quality. Arch Ital Urol Androl. 2016; 88(3): 201-205. </w:t>
      </w:r>
      <w:r w:rsidRPr="00BB3A19">
        <w:rPr>
          <w:rFonts w:ascii="Times New Roman" w:hAnsi="Times New Roman" w:cs="Times New Roman"/>
          <w:sz w:val="24"/>
          <w:szCs w:val="24"/>
          <w:shd w:val="clear" w:color="auto" w:fill="FFFFFF"/>
          <w:lang w:val="en-GB"/>
        </w:rPr>
        <w:t>doi: 10.4081/aiua.2016.3.201.</w:t>
      </w:r>
    </w:p>
    <w:p w14:paraId="1586B15F" w14:textId="77777777" w:rsidR="0052468A" w:rsidRPr="00BB3A19" w:rsidRDefault="0052468A" w:rsidP="00D135D4">
      <w:p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p>
    <w:p w14:paraId="6B4F3AE3"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sidRPr="00BB3A19">
        <w:rPr>
          <w:rFonts w:ascii="Times New Roman" w:hAnsi="Times New Roman" w:cs="Times New Roman"/>
          <w:sz w:val="24"/>
          <w:szCs w:val="24"/>
          <w:lang w:val="en-GB"/>
        </w:rPr>
        <w:t xml:space="preserve">Shen P, Jiang M, Yang J, Li X, Li Y, Wei W, Dai Y, Zeng H, Wang J. </w:t>
      </w:r>
      <w:r w:rsidRPr="00BB3A19">
        <w:rPr>
          <w:rFonts w:ascii="Times New Roman" w:eastAsia="Times New Roman" w:hAnsi="Times New Roman" w:cs="Times New Roman"/>
          <w:bCs/>
          <w:kern w:val="36"/>
          <w:sz w:val="24"/>
          <w:szCs w:val="24"/>
          <w:lang w:val="en-GB" w:eastAsia="sk-SK"/>
        </w:rPr>
        <w:t xml:space="preserve">Use of ureteral stent in extracorporeal shock wave lithotripsy for upper urinary calculi: a systematic review and meta-analysis. </w:t>
      </w:r>
      <w:r w:rsidRPr="00BB3A19">
        <w:rPr>
          <w:rFonts w:ascii="Times New Roman" w:eastAsia="Times New Roman" w:hAnsi="Times New Roman" w:cs="Times New Roman"/>
          <w:sz w:val="24"/>
          <w:szCs w:val="24"/>
          <w:lang w:val="en-GB" w:eastAsia="sk-SK"/>
        </w:rPr>
        <w:t>J Urol. 2011; 186(4): 1328-1335. doi: 10.1016/j.juro.2011.05.073.</w:t>
      </w:r>
    </w:p>
    <w:p w14:paraId="59930B34" w14:textId="77777777" w:rsidR="0052468A" w:rsidRPr="00BB3A19" w:rsidRDefault="0052468A" w:rsidP="00D135D4">
      <w:p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p>
    <w:p w14:paraId="7921A3BA" w14:textId="77777777" w:rsidR="0052468A" w:rsidRPr="00BB3A19" w:rsidRDefault="0052468A" w:rsidP="00D135D4">
      <w:pPr>
        <w:pStyle w:val="Odstavecseseznamem"/>
        <w:numPr>
          <w:ilvl w:val="0"/>
          <w:numId w:val="19"/>
        </w:num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r w:rsidRPr="00BB3A19">
        <w:rPr>
          <w:rStyle w:val="element-citation"/>
          <w:rFonts w:ascii="Times New Roman" w:hAnsi="Times New Roman" w:cs="Times New Roman"/>
          <w:sz w:val="24"/>
          <w:szCs w:val="24"/>
          <w:lang w:val="en-GB"/>
        </w:rPr>
        <w:t>Sfoungaristos S, Polimeros N, Kavouras A, Perimenis P. Stenting or not prior to extracorporeal shockwave lithotripsy for ureteral stones? Results of a prospective randomized study. </w:t>
      </w:r>
      <w:r w:rsidRPr="00BB3A19">
        <w:rPr>
          <w:rStyle w:val="ref-journal"/>
          <w:rFonts w:ascii="Times New Roman" w:hAnsi="Times New Roman" w:cs="Times New Roman"/>
          <w:sz w:val="24"/>
          <w:szCs w:val="24"/>
          <w:lang w:val="en-GB"/>
        </w:rPr>
        <w:t>Int Urol Nephrol. </w:t>
      </w:r>
      <w:r w:rsidRPr="00BB3A19">
        <w:rPr>
          <w:rStyle w:val="element-citation"/>
          <w:rFonts w:ascii="Times New Roman" w:hAnsi="Times New Roman" w:cs="Times New Roman"/>
          <w:sz w:val="24"/>
          <w:szCs w:val="24"/>
          <w:lang w:val="en-GB"/>
        </w:rPr>
        <w:t xml:space="preserve">2012; </w:t>
      </w:r>
      <w:r w:rsidRPr="00BB3A19">
        <w:rPr>
          <w:rStyle w:val="ref-vol"/>
          <w:rFonts w:ascii="Times New Roman" w:hAnsi="Times New Roman" w:cs="Times New Roman"/>
          <w:sz w:val="24"/>
          <w:szCs w:val="24"/>
          <w:lang w:val="en-GB"/>
        </w:rPr>
        <w:t>44(3)</w:t>
      </w:r>
      <w:r w:rsidRPr="00BB3A19">
        <w:rPr>
          <w:rStyle w:val="element-citation"/>
          <w:rFonts w:ascii="Times New Roman" w:hAnsi="Times New Roman" w:cs="Times New Roman"/>
          <w:sz w:val="24"/>
          <w:szCs w:val="24"/>
          <w:lang w:val="en-GB"/>
        </w:rPr>
        <w:t xml:space="preserve">: 731–737. </w:t>
      </w:r>
      <w:r w:rsidRPr="00BB3A19">
        <w:rPr>
          <w:rFonts w:ascii="Times New Roman" w:hAnsi="Times New Roman" w:cs="Times New Roman"/>
          <w:sz w:val="24"/>
          <w:szCs w:val="24"/>
          <w:shd w:val="clear" w:color="auto" w:fill="FFFFFF"/>
          <w:lang w:val="en-GB"/>
        </w:rPr>
        <w:t>doi: 10.1007/s11255-011-0062-3.</w:t>
      </w:r>
    </w:p>
    <w:p w14:paraId="1A930E9C"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16A429DA" w14:textId="77777777" w:rsidR="0052468A" w:rsidRPr="00DF5D48" w:rsidRDefault="0052468A"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sidRPr="00BB3A19">
        <w:rPr>
          <w:rFonts w:ascii="Times New Roman" w:hAnsi="Times New Roman" w:cs="Times New Roman"/>
          <w:sz w:val="24"/>
          <w:szCs w:val="24"/>
          <w:shd w:val="clear" w:color="auto" w:fill="FFFFFF"/>
          <w:lang w:val="en-GB"/>
        </w:rPr>
        <w:t>Schwartz BF, Schenkman NS, Bruce JE, Leslie SW, Stoller ML. Calcium nephrolithiasis: Effect of water hardness on urinary electrolytes. </w:t>
      </w:r>
      <w:r w:rsidRPr="00BB3A19">
        <w:rPr>
          <w:rStyle w:val="ref-journal"/>
          <w:rFonts w:ascii="Times New Roman" w:hAnsi="Times New Roman" w:cs="Times New Roman"/>
          <w:sz w:val="24"/>
          <w:szCs w:val="24"/>
          <w:shd w:val="clear" w:color="auto" w:fill="FFFFFF"/>
          <w:lang w:val="en-GB"/>
        </w:rPr>
        <w:t>Urology. </w:t>
      </w:r>
      <w:r w:rsidRPr="00BB3A19">
        <w:rPr>
          <w:rFonts w:ascii="Times New Roman" w:hAnsi="Times New Roman" w:cs="Times New Roman"/>
          <w:sz w:val="24"/>
          <w:szCs w:val="24"/>
          <w:shd w:val="clear" w:color="auto" w:fill="FFFFFF"/>
          <w:lang w:val="en-GB"/>
        </w:rPr>
        <w:t xml:space="preserve">2002; </w:t>
      </w:r>
      <w:r w:rsidRPr="00BB3A19">
        <w:rPr>
          <w:rStyle w:val="ref-vol"/>
          <w:rFonts w:ascii="Times New Roman" w:hAnsi="Times New Roman" w:cs="Times New Roman"/>
          <w:sz w:val="24"/>
          <w:szCs w:val="24"/>
          <w:shd w:val="clear" w:color="auto" w:fill="FFFFFF"/>
          <w:lang w:val="en-GB"/>
        </w:rPr>
        <w:t>60(1)</w:t>
      </w:r>
      <w:r w:rsidRPr="00BB3A19">
        <w:rPr>
          <w:rFonts w:ascii="Times New Roman" w:hAnsi="Times New Roman" w:cs="Times New Roman"/>
          <w:sz w:val="24"/>
          <w:szCs w:val="24"/>
          <w:shd w:val="clear" w:color="auto" w:fill="FFFFFF"/>
          <w:lang w:val="en-GB"/>
        </w:rPr>
        <w:t>: 23–27. doi: 10.1016/</w:t>
      </w:r>
      <w:r w:rsidRPr="00DF5D48">
        <w:rPr>
          <w:rFonts w:ascii="Times New Roman" w:hAnsi="Times New Roman" w:cs="Times New Roman"/>
          <w:sz w:val="24"/>
          <w:szCs w:val="24"/>
          <w:shd w:val="clear" w:color="auto" w:fill="FFFFFF"/>
          <w:lang w:val="en-GB"/>
        </w:rPr>
        <w:t>s0090-4295(02)01631-x.</w:t>
      </w:r>
    </w:p>
    <w:p w14:paraId="32E645FF" w14:textId="77777777" w:rsidR="0052468A" w:rsidRPr="00DF5D48" w:rsidRDefault="0052468A" w:rsidP="00D135D4">
      <w:pPr>
        <w:shd w:val="clear" w:color="auto" w:fill="FFFFFF"/>
        <w:spacing w:after="0" w:line="336" w:lineRule="auto"/>
        <w:ind w:left="426" w:hanging="426"/>
        <w:jc w:val="both"/>
        <w:textAlignment w:val="top"/>
        <w:rPr>
          <w:rStyle w:val="fm-citation-ids-label"/>
          <w:rFonts w:ascii="Times New Roman" w:hAnsi="Times New Roman" w:cs="Times New Roman"/>
          <w:sz w:val="24"/>
          <w:szCs w:val="24"/>
          <w:lang w:val="en-GB"/>
        </w:rPr>
      </w:pPr>
    </w:p>
    <w:p w14:paraId="4277F9CB" w14:textId="26765A75" w:rsidR="008D1014" w:rsidRPr="00DF5D48" w:rsidRDefault="008D1014" w:rsidP="00B151AA">
      <w:pPr>
        <w:pStyle w:val="Nadpis1"/>
        <w:numPr>
          <w:ilvl w:val="0"/>
          <w:numId w:val="19"/>
        </w:numPr>
        <w:shd w:val="clear" w:color="auto" w:fill="FFFFFF"/>
        <w:spacing w:before="0" w:beforeAutospacing="0" w:after="0" w:afterAutospacing="0" w:line="336" w:lineRule="auto"/>
        <w:ind w:left="426" w:hanging="426"/>
        <w:jc w:val="both"/>
        <w:rPr>
          <w:b w:val="0"/>
          <w:bCs w:val="0"/>
          <w:sz w:val="24"/>
          <w:szCs w:val="24"/>
          <w:lang w:val="en-GB"/>
        </w:rPr>
      </w:pPr>
      <w:r w:rsidRPr="00DF5D48">
        <w:rPr>
          <w:b w:val="0"/>
          <w:sz w:val="24"/>
          <w:szCs w:val="24"/>
        </w:rPr>
        <w:lastRenderedPageBreak/>
        <w:t xml:space="preserve">Song Y, Hernandez N, Gee MS, </w:t>
      </w:r>
      <w:r w:rsidR="00783DDC" w:rsidRPr="00DF5D48">
        <w:rPr>
          <w:b w:val="0"/>
          <w:sz w:val="24"/>
          <w:szCs w:val="24"/>
        </w:rPr>
        <w:t>Noble VE, Eisner BH</w:t>
      </w:r>
      <w:r w:rsidRPr="00DF5D48">
        <w:rPr>
          <w:b w:val="0"/>
          <w:sz w:val="24"/>
          <w:szCs w:val="24"/>
        </w:rPr>
        <w:t>. Can ureteral stones cause painwithout causing hydronephrosis? World J Urol</w:t>
      </w:r>
      <w:r w:rsidR="00783DDC" w:rsidRPr="00DF5D48">
        <w:rPr>
          <w:b w:val="0"/>
          <w:sz w:val="24"/>
          <w:szCs w:val="24"/>
        </w:rPr>
        <w:t>.</w:t>
      </w:r>
      <w:r w:rsidRPr="00DF5D48">
        <w:rPr>
          <w:b w:val="0"/>
          <w:sz w:val="24"/>
          <w:szCs w:val="24"/>
        </w:rPr>
        <w:t xml:space="preserve"> 2016;</w:t>
      </w:r>
      <w:r w:rsidR="00783DDC" w:rsidRPr="00DF5D48">
        <w:rPr>
          <w:b w:val="0"/>
          <w:sz w:val="24"/>
          <w:szCs w:val="24"/>
        </w:rPr>
        <w:t xml:space="preserve"> </w:t>
      </w:r>
      <w:r w:rsidRPr="00DF5D48">
        <w:rPr>
          <w:b w:val="0"/>
          <w:sz w:val="24"/>
          <w:szCs w:val="24"/>
        </w:rPr>
        <w:t>34(9):</w:t>
      </w:r>
      <w:r w:rsidR="00783DDC" w:rsidRPr="00DF5D48">
        <w:rPr>
          <w:b w:val="0"/>
          <w:sz w:val="24"/>
          <w:szCs w:val="24"/>
        </w:rPr>
        <w:t xml:space="preserve"> </w:t>
      </w:r>
      <w:r w:rsidRPr="00DF5D48">
        <w:rPr>
          <w:b w:val="0"/>
          <w:sz w:val="24"/>
          <w:szCs w:val="24"/>
        </w:rPr>
        <w:t>1285–</w:t>
      </w:r>
      <w:r w:rsidR="00783DDC" w:rsidRPr="00DF5D48">
        <w:rPr>
          <w:b w:val="0"/>
          <w:sz w:val="24"/>
          <w:szCs w:val="24"/>
        </w:rPr>
        <w:t>128</w:t>
      </w:r>
      <w:r w:rsidRPr="00DF5D48">
        <w:rPr>
          <w:b w:val="0"/>
          <w:sz w:val="24"/>
          <w:szCs w:val="24"/>
        </w:rPr>
        <w:t>8.</w:t>
      </w:r>
      <w:r w:rsidR="00783DDC" w:rsidRPr="00DF5D48">
        <w:rPr>
          <w:b w:val="0"/>
          <w:sz w:val="24"/>
          <w:szCs w:val="24"/>
        </w:rPr>
        <w:t xml:space="preserve"> </w:t>
      </w:r>
      <w:r w:rsidR="00783DDC" w:rsidRPr="00DF5D48">
        <w:rPr>
          <w:b w:val="0"/>
          <w:sz w:val="24"/>
          <w:szCs w:val="24"/>
          <w:shd w:val="clear" w:color="auto" w:fill="FFFFFF"/>
        </w:rPr>
        <w:t>doi: 10.1007/s00345-015-1748-4.</w:t>
      </w:r>
    </w:p>
    <w:p w14:paraId="0FB6B8A4" w14:textId="77777777" w:rsidR="008D1014" w:rsidRPr="00DF5D48" w:rsidRDefault="008D1014" w:rsidP="00B151AA">
      <w:pPr>
        <w:pStyle w:val="Odstavecseseznamem"/>
        <w:spacing w:after="0" w:line="336" w:lineRule="auto"/>
        <w:rPr>
          <w:rFonts w:ascii="Times New Roman" w:hAnsi="Times New Roman" w:cs="Times New Roman"/>
          <w:bCs/>
          <w:sz w:val="24"/>
          <w:szCs w:val="24"/>
          <w:lang w:val="en-GB"/>
        </w:rPr>
      </w:pPr>
    </w:p>
    <w:p w14:paraId="47180B26" w14:textId="639569DE" w:rsidR="0052468A" w:rsidRPr="00DF5D48" w:rsidRDefault="00A3085C" w:rsidP="00B151AA">
      <w:pPr>
        <w:pStyle w:val="Nadpis1"/>
        <w:numPr>
          <w:ilvl w:val="0"/>
          <w:numId w:val="19"/>
        </w:numPr>
        <w:shd w:val="clear" w:color="auto" w:fill="FFFFFF"/>
        <w:spacing w:before="0" w:beforeAutospacing="0" w:after="0" w:afterAutospacing="0" w:line="336" w:lineRule="auto"/>
        <w:ind w:left="426" w:hanging="426"/>
        <w:jc w:val="both"/>
        <w:rPr>
          <w:rStyle w:val="Hypertextovodkaz"/>
          <w:b w:val="0"/>
          <w:bCs w:val="0"/>
          <w:color w:val="auto"/>
          <w:sz w:val="24"/>
          <w:szCs w:val="24"/>
          <w:u w:val="none"/>
          <w:lang w:val="en-GB"/>
        </w:rPr>
      </w:pPr>
      <w:r>
        <w:rPr>
          <w:b w:val="0"/>
          <w:bCs w:val="0"/>
          <w:sz w:val="24"/>
          <w:szCs w:val="24"/>
          <w:lang w:val="en-GB"/>
        </w:rPr>
        <w:t xml:space="preserve"> </w:t>
      </w:r>
      <w:r w:rsidR="0052468A" w:rsidRPr="00DF5D48">
        <w:rPr>
          <w:b w:val="0"/>
          <w:bCs w:val="0"/>
          <w:sz w:val="24"/>
          <w:szCs w:val="24"/>
          <w:lang w:val="en-GB"/>
        </w:rPr>
        <w:t>Sorensen</w:t>
      </w:r>
      <w:r w:rsidR="0052468A" w:rsidRPr="00DF5D48">
        <w:rPr>
          <w:rStyle w:val="Hypertextovodkaz"/>
          <w:b w:val="0"/>
          <w:bCs w:val="0"/>
          <w:color w:val="auto"/>
          <w:sz w:val="24"/>
          <w:szCs w:val="24"/>
          <w:u w:val="none"/>
          <w:lang w:val="en-GB"/>
        </w:rPr>
        <w:t xml:space="preserve"> MD.</w:t>
      </w:r>
      <w:r w:rsidR="0052468A" w:rsidRPr="00DF5D48">
        <w:rPr>
          <w:b w:val="0"/>
          <w:bCs w:val="0"/>
          <w:noProof/>
          <w:sz w:val="24"/>
          <w:szCs w:val="24"/>
          <w:vertAlign w:val="superscript"/>
          <w:lang w:val="en-GB"/>
        </w:rPr>
        <w:t xml:space="preserve"> </w:t>
      </w:r>
      <w:r w:rsidR="0052468A" w:rsidRPr="00DF5D48">
        <w:rPr>
          <w:b w:val="0"/>
          <w:bCs w:val="0"/>
          <w:sz w:val="24"/>
          <w:szCs w:val="24"/>
          <w:lang w:val="en-GB"/>
        </w:rPr>
        <w:t>Calcium intake and urinary stone disease. Transl Androl Urol</w:t>
      </w:r>
      <w:r w:rsidR="0052468A" w:rsidRPr="00DF5D48">
        <w:rPr>
          <w:rStyle w:val="cit"/>
          <w:b w:val="0"/>
          <w:bCs w:val="0"/>
          <w:sz w:val="24"/>
          <w:szCs w:val="24"/>
          <w:lang w:val="en-GB"/>
        </w:rPr>
        <w:t xml:space="preserve">. 2014; 3(3): 235–240. </w:t>
      </w:r>
      <w:r w:rsidR="0052468A" w:rsidRPr="00DF5D48">
        <w:rPr>
          <w:rStyle w:val="doi"/>
          <w:b w:val="0"/>
          <w:bCs w:val="0"/>
          <w:sz w:val="24"/>
          <w:szCs w:val="24"/>
          <w:lang w:val="en-GB"/>
        </w:rPr>
        <w:t>doi: </w:t>
      </w:r>
      <w:hyperlink r:id="rId74" w:tgtFrame="pmc_ext" w:history="1">
        <w:r w:rsidR="0052468A" w:rsidRPr="00DF5D48">
          <w:rPr>
            <w:rStyle w:val="Hypertextovodkaz"/>
            <w:b w:val="0"/>
            <w:bCs w:val="0"/>
            <w:color w:val="auto"/>
            <w:sz w:val="24"/>
            <w:szCs w:val="24"/>
            <w:u w:val="none"/>
            <w:lang w:val="en-GB"/>
          </w:rPr>
          <w:t>10.3978/j.issn.2223-4683.2014.06.05</w:t>
        </w:r>
      </w:hyperlink>
      <w:r w:rsidR="0052468A" w:rsidRPr="00DF5D48">
        <w:rPr>
          <w:rStyle w:val="Hypertextovodkaz"/>
          <w:b w:val="0"/>
          <w:bCs w:val="0"/>
          <w:color w:val="auto"/>
          <w:sz w:val="24"/>
          <w:szCs w:val="24"/>
          <w:u w:val="none"/>
          <w:lang w:val="en-GB"/>
        </w:rPr>
        <w:t>.</w:t>
      </w:r>
    </w:p>
    <w:p w14:paraId="00707D89" w14:textId="77777777" w:rsidR="0052468A" w:rsidRPr="00DF5D48" w:rsidRDefault="0052468A" w:rsidP="00B151AA">
      <w:pPr>
        <w:pStyle w:val="Nadpis1"/>
        <w:shd w:val="clear" w:color="auto" w:fill="FFFFFF"/>
        <w:spacing w:before="0" w:beforeAutospacing="0" w:after="0" w:afterAutospacing="0" w:line="336" w:lineRule="auto"/>
        <w:ind w:left="426" w:hanging="426"/>
        <w:jc w:val="both"/>
        <w:rPr>
          <w:rStyle w:val="doi"/>
          <w:b w:val="0"/>
          <w:bCs w:val="0"/>
          <w:sz w:val="24"/>
          <w:szCs w:val="24"/>
          <w:lang w:val="en-GB"/>
        </w:rPr>
      </w:pPr>
    </w:p>
    <w:p w14:paraId="13FBAB9A" w14:textId="760B6773" w:rsidR="00B151AA" w:rsidRPr="00DF5D48" w:rsidRDefault="00A3085C" w:rsidP="00B151AA">
      <w:pPr>
        <w:pStyle w:val="Odstavecseseznamem"/>
        <w:numPr>
          <w:ilvl w:val="0"/>
          <w:numId w:val="19"/>
        </w:numPr>
        <w:spacing w:after="0" w:line="336" w:lineRule="auto"/>
        <w:ind w:left="425" w:hanging="425"/>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 </w:t>
      </w:r>
      <w:r w:rsidR="0052468A" w:rsidRPr="00DF5D48">
        <w:rPr>
          <w:rFonts w:ascii="Times New Roman" w:hAnsi="Times New Roman" w:cs="Times New Roman"/>
          <w:sz w:val="24"/>
          <w:szCs w:val="24"/>
          <w:shd w:val="clear" w:color="auto" w:fill="FFFFFF"/>
          <w:lang w:val="en-GB"/>
        </w:rPr>
        <w:t>Soucie JM, Coates RJ, McClellan W, Austin H, Thun M. Relation between Geographic Variability in Kidney Stones Prevalence and Risk Factors for Stones. </w:t>
      </w:r>
      <w:r w:rsidR="0052468A" w:rsidRPr="00DF5D48">
        <w:rPr>
          <w:rStyle w:val="ref-journal"/>
          <w:rFonts w:ascii="Times New Roman" w:hAnsi="Times New Roman" w:cs="Times New Roman"/>
          <w:sz w:val="24"/>
          <w:szCs w:val="24"/>
          <w:shd w:val="clear" w:color="auto" w:fill="FFFFFF"/>
          <w:lang w:val="en-GB"/>
        </w:rPr>
        <w:t>Am J Epidemiol. </w:t>
      </w:r>
      <w:r w:rsidR="0052468A" w:rsidRPr="00DF5D48">
        <w:rPr>
          <w:rFonts w:ascii="Times New Roman" w:hAnsi="Times New Roman" w:cs="Times New Roman"/>
          <w:sz w:val="24"/>
          <w:szCs w:val="24"/>
          <w:shd w:val="clear" w:color="auto" w:fill="FFFFFF"/>
          <w:lang w:val="en-GB"/>
        </w:rPr>
        <w:t xml:space="preserve">1996; </w:t>
      </w:r>
      <w:r w:rsidR="0052468A" w:rsidRPr="00DF5D48">
        <w:rPr>
          <w:rStyle w:val="ref-vol"/>
          <w:rFonts w:ascii="Times New Roman" w:hAnsi="Times New Roman" w:cs="Times New Roman"/>
          <w:sz w:val="24"/>
          <w:szCs w:val="24"/>
          <w:shd w:val="clear" w:color="auto" w:fill="FFFFFF"/>
          <w:lang w:val="en-GB"/>
        </w:rPr>
        <w:t>143(5)</w:t>
      </w:r>
      <w:r w:rsidR="0052468A" w:rsidRPr="00DF5D48">
        <w:rPr>
          <w:rFonts w:ascii="Times New Roman" w:hAnsi="Times New Roman" w:cs="Times New Roman"/>
          <w:sz w:val="24"/>
          <w:szCs w:val="24"/>
          <w:shd w:val="clear" w:color="auto" w:fill="FFFFFF"/>
          <w:lang w:val="en-GB"/>
        </w:rPr>
        <w:t>: 487–495.</w:t>
      </w:r>
      <w:r w:rsidR="00B151AA" w:rsidRPr="00DF5D48">
        <w:rPr>
          <w:rFonts w:ascii="Times New Roman" w:hAnsi="Times New Roman" w:cs="Times New Roman"/>
          <w:sz w:val="24"/>
          <w:szCs w:val="24"/>
          <w:shd w:val="clear" w:color="auto" w:fill="FFFFFF"/>
          <w:lang w:val="en-GB"/>
        </w:rPr>
        <w:t xml:space="preserve"> </w:t>
      </w:r>
    </w:p>
    <w:p w14:paraId="768CA43E" w14:textId="60DE5A66" w:rsidR="0052468A" w:rsidRPr="00DF5D48" w:rsidRDefault="00B151AA" w:rsidP="00B151AA">
      <w:pPr>
        <w:spacing w:after="0" w:line="336" w:lineRule="auto"/>
        <w:ind w:firstLine="425"/>
        <w:jc w:val="both"/>
        <w:rPr>
          <w:rFonts w:ascii="Times New Roman" w:hAnsi="Times New Roman" w:cs="Times New Roman"/>
          <w:sz w:val="24"/>
          <w:szCs w:val="24"/>
          <w:shd w:val="clear" w:color="auto" w:fill="FFFFFF"/>
          <w:lang w:val="en-GB"/>
        </w:rPr>
      </w:pPr>
      <w:r w:rsidRPr="00DF5D48">
        <w:rPr>
          <w:rFonts w:ascii="Times New Roman" w:hAnsi="Times New Roman" w:cs="Times New Roman"/>
          <w:sz w:val="24"/>
          <w:szCs w:val="24"/>
          <w:shd w:val="clear" w:color="auto" w:fill="FFFFFF"/>
          <w:lang w:val="en-GB"/>
        </w:rPr>
        <w:t>d</w:t>
      </w:r>
      <w:r w:rsidR="0052468A" w:rsidRPr="00DF5D48">
        <w:rPr>
          <w:rFonts w:ascii="Times New Roman" w:hAnsi="Times New Roman" w:cs="Times New Roman"/>
          <w:sz w:val="24"/>
          <w:szCs w:val="24"/>
          <w:shd w:val="clear" w:color="auto" w:fill="FFFFFF"/>
          <w:lang w:val="en-GB"/>
        </w:rPr>
        <w:t>oi:</w:t>
      </w:r>
      <w:r w:rsidRPr="00DF5D48">
        <w:rPr>
          <w:rFonts w:ascii="Times New Roman" w:hAnsi="Times New Roman" w:cs="Times New Roman"/>
          <w:sz w:val="24"/>
          <w:szCs w:val="24"/>
          <w:shd w:val="clear" w:color="auto" w:fill="FFFFFF"/>
          <w:lang w:val="en-GB"/>
        </w:rPr>
        <w:t xml:space="preserve">  </w:t>
      </w:r>
      <w:r w:rsidR="0052468A" w:rsidRPr="00DF5D48">
        <w:rPr>
          <w:rFonts w:ascii="Times New Roman" w:hAnsi="Times New Roman" w:cs="Times New Roman"/>
          <w:sz w:val="24"/>
          <w:szCs w:val="24"/>
          <w:shd w:val="clear" w:color="auto" w:fill="FFFFFF"/>
          <w:lang w:val="en-GB"/>
        </w:rPr>
        <w:t>10.1093/oxfordjournals.aje.a008769.</w:t>
      </w:r>
    </w:p>
    <w:p w14:paraId="0C85D690" w14:textId="77777777" w:rsidR="0052468A" w:rsidRPr="00DF5D48" w:rsidRDefault="0052468A" w:rsidP="00B151AA">
      <w:pPr>
        <w:spacing w:after="0" w:line="336" w:lineRule="auto"/>
        <w:ind w:left="425" w:hanging="425"/>
        <w:jc w:val="both"/>
        <w:rPr>
          <w:rFonts w:ascii="Times New Roman" w:hAnsi="Times New Roman" w:cs="Times New Roman"/>
          <w:sz w:val="24"/>
          <w:szCs w:val="24"/>
          <w:shd w:val="clear" w:color="auto" w:fill="FFFFFF"/>
          <w:lang w:val="en-GB"/>
        </w:rPr>
      </w:pPr>
    </w:p>
    <w:p w14:paraId="1CEA84D8" w14:textId="2E8CA602" w:rsidR="00B151AA" w:rsidRPr="00F542F4" w:rsidRDefault="00A3085C" w:rsidP="00B151AA">
      <w:pPr>
        <w:pStyle w:val="Odstavecseseznamem"/>
        <w:numPr>
          <w:ilvl w:val="0"/>
          <w:numId w:val="19"/>
        </w:numPr>
        <w:shd w:val="clear" w:color="auto" w:fill="FFFFFF"/>
        <w:spacing w:after="0" w:line="336" w:lineRule="auto"/>
        <w:ind w:left="425" w:hanging="425"/>
        <w:rPr>
          <w:rFonts w:ascii="Times New Roman" w:eastAsia="Times New Roman" w:hAnsi="Times New Roman" w:cs="Times New Roman"/>
          <w:sz w:val="24"/>
          <w:szCs w:val="24"/>
          <w:lang w:val="en-GB" w:eastAsia="sk-SK"/>
        </w:rPr>
      </w:pPr>
      <w:r>
        <w:rPr>
          <w:rFonts w:ascii="Times New Roman" w:hAnsi="Times New Roman" w:cs="Times New Roman"/>
          <w:color w:val="000000"/>
          <w:sz w:val="24"/>
          <w:szCs w:val="24"/>
        </w:rPr>
        <w:t xml:space="preserve"> </w:t>
      </w:r>
      <w:r w:rsidR="00B151AA" w:rsidRPr="00DF5D48">
        <w:rPr>
          <w:rFonts w:ascii="Times New Roman" w:hAnsi="Times New Roman" w:cs="Times New Roman"/>
          <w:color w:val="000000"/>
          <w:sz w:val="24"/>
          <w:szCs w:val="24"/>
        </w:rPr>
        <w:t xml:space="preserve">Štatistický úrad Slovenskej republiky. Štatistiky-Demografia a sociálne štatistiky-Obyvateľstvo a migrácia-Ukazovatele-Tabuľky života-Zdravé roky života podľa EU SILC, 2005–2018. 2020. </w:t>
      </w:r>
      <w:r w:rsidR="00B151AA" w:rsidRPr="00F542F4">
        <w:rPr>
          <w:rFonts w:ascii="Times New Roman" w:hAnsi="Times New Roman" w:cs="Times New Roman"/>
          <w:sz w:val="24"/>
          <w:szCs w:val="24"/>
        </w:rPr>
        <w:t>http://datacube.statistics.sk/#!/</w:t>
      </w:r>
      <w:r w:rsidR="00B151AA" w:rsidRPr="00F542F4">
        <w:rPr>
          <w:rFonts w:ascii="Times New Roman" w:hAnsi="Times New Roman" w:cs="Times New Roman"/>
          <w:sz w:val="24"/>
          <w:szCs w:val="24"/>
        </w:rPr>
        <w:br/>
        <w:t>view/sk/VBD_SLOVSTAT/om2021rs/v_om2021rs_00_00_00_sk</w:t>
      </w:r>
    </w:p>
    <w:p w14:paraId="6BF72569" w14:textId="77777777" w:rsidR="00B151AA" w:rsidRPr="00DF5D48" w:rsidRDefault="00B151AA" w:rsidP="00B151AA">
      <w:pPr>
        <w:pStyle w:val="Odstavecseseznamem"/>
        <w:spacing w:after="0" w:line="336" w:lineRule="auto"/>
        <w:rPr>
          <w:rFonts w:ascii="Times New Roman" w:eastAsia="Times New Roman" w:hAnsi="Times New Roman" w:cs="Times New Roman"/>
          <w:sz w:val="24"/>
          <w:szCs w:val="24"/>
          <w:lang w:val="en-GB" w:eastAsia="sk-SK"/>
        </w:rPr>
      </w:pPr>
    </w:p>
    <w:p w14:paraId="058510E2" w14:textId="64C95EAF" w:rsidR="0052468A" w:rsidRPr="00DF5D48" w:rsidRDefault="00A3085C" w:rsidP="00B151AA">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Pr>
          <w:rFonts w:ascii="Times New Roman" w:eastAsia="Times New Roman" w:hAnsi="Times New Roman" w:cs="Times New Roman"/>
          <w:sz w:val="24"/>
          <w:szCs w:val="24"/>
          <w:lang w:val="en-GB" w:eastAsia="sk-SK"/>
        </w:rPr>
        <w:t xml:space="preserve"> </w:t>
      </w:r>
      <w:r w:rsidR="0052468A" w:rsidRPr="00DF5D48">
        <w:rPr>
          <w:rFonts w:ascii="Times New Roman" w:eastAsia="Times New Roman" w:hAnsi="Times New Roman" w:cs="Times New Roman"/>
          <w:sz w:val="24"/>
          <w:szCs w:val="24"/>
          <w:lang w:val="en-GB" w:eastAsia="sk-SK"/>
        </w:rPr>
        <w:t xml:space="preserve">Švihra J. jr. Nástroje hodnotiace kvalitu života u pacientov s karcinómom prostaty. Urol praxi. 2016; 17(4): 177-179. </w:t>
      </w:r>
      <w:r w:rsidR="0052468A" w:rsidRPr="00DF5D48">
        <w:rPr>
          <w:rFonts w:ascii="Times New Roman" w:hAnsi="Times New Roman" w:cs="Times New Roman"/>
          <w:bCs/>
          <w:sz w:val="24"/>
          <w:szCs w:val="24"/>
          <w:shd w:val="clear" w:color="auto" w:fill="FFFFFF"/>
          <w:lang w:val="en-GB"/>
        </w:rPr>
        <w:t>DOI: 10.36290/uro.2016.044.</w:t>
      </w:r>
      <w:r w:rsidR="0052468A" w:rsidRPr="00DF5D48">
        <w:rPr>
          <w:rFonts w:ascii="Times New Roman" w:hAnsi="Times New Roman" w:cs="Times New Roman"/>
          <w:sz w:val="24"/>
          <w:szCs w:val="24"/>
          <w:lang w:val="en-GB"/>
        </w:rPr>
        <w:t xml:space="preserve">  </w:t>
      </w:r>
    </w:p>
    <w:p w14:paraId="338AE5D8" w14:textId="77777777" w:rsidR="003654EB" w:rsidRPr="00DF5D48" w:rsidRDefault="003654EB" w:rsidP="00B151AA">
      <w:pPr>
        <w:pStyle w:val="Odstavecseseznamem"/>
        <w:spacing w:after="0" w:line="336" w:lineRule="auto"/>
        <w:jc w:val="both"/>
        <w:rPr>
          <w:rFonts w:ascii="Times New Roman" w:eastAsia="Times New Roman" w:hAnsi="Times New Roman" w:cs="Times New Roman"/>
          <w:sz w:val="24"/>
          <w:szCs w:val="24"/>
          <w:lang w:val="en-GB" w:eastAsia="sk-SK"/>
        </w:rPr>
      </w:pPr>
    </w:p>
    <w:p w14:paraId="71C283AB" w14:textId="1C42561D" w:rsidR="003B4C1C" w:rsidRPr="00DF5D48" w:rsidRDefault="00A3085C" w:rsidP="00D135D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Pr>
          <w:rFonts w:ascii="Times New Roman" w:eastAsia="Times New Roman" w:hAnsi="Times New Roman" w:cs="Times New Roman"/>
          <w:sz w:val="24"/>
          <w:szCs w:val="24"/>
          <w:lang w:val="en-GB" w:eastAsia="sk-SK"/>
        </w:rPr>
        <w:t xml:space="preserve"> </w:t>
      </w:r>
      <w:r w:rsidR="003B4C1C" w:rsidRPr="00DF5D48">
        <w:rPr>
          <w:rFonts w:ascii="Times New Roman" w:eastAsia="Times New Roman" w:hAnsi="Times New Roman" w:cs="Times New Roman"/>
          <w:sz w:val="24"/>
          <w:szCs w:val="24"/>
          <w:lang w:val="en-GB" w:eastAsia="sk-SK"/>
        </w:rPr>
        <w:t xml:space="preserve">Švihra J jr., Penniston KL, Sopilko I, Švihra J sr., Ľupták J. Stanovenie platnosti slovenskej verzie dotazníka kvality života Wisconsin Stone-QOL u pacientov s urolitiázou. Klin urol. 2020; 16(2-3): </w:t>
      </w:r>
      <w:r w:rsidR="005232A4" w:rsidRPr="00DF5D48">
        <w:rPr>
          <w:rFonts w:ascii="Times New Roman" w:eastAsia="Times New Roman" w:hAnsi="Times New Roman" w:cs="Times New Roman"/>
          <w:sz w:val="24"/>
          <w:szCs w:val="24"/>
          <w:lang w:val="en-GB" w:eastAsia="sk-SK"/>
        </w:rPr>
        <w:t>78-83.</w:t>
      </w:r>
    </w:p>
    <w:p w14:paraId="4E423959" w14:textId="77777777" w:rsidR="003B4C1C" w:rsidRPr="00DF5D48" w:rsidRDefault="003B4C1C" w:rsidP="003B4C1C">
      <w:pPr>
        <w:pStyle w:val="Odstavecseseznamem"/>
        <w:rPr>
          <w:rFonts w:ascii="Times New Roman" w:eastAsia="Times New Roman" w:hAnsi="Times New Roman" w:cs="Times New Roman"/>
          <w:sz w:val="24"/>
          <w:szCs w:val="24"/>
          <w:lang w:val="en-GB" w:eastAsia="sk-SK"/>
        </w:rPr>
      </w:pPr>
    </w:p>
    <w:p w14:paraId="231728D6" w14:textId="72E9C62F" w:rsidR="00AB3982" w:rsidRPr="00DF5D48" w:rsidRDefault="00A3085C" w:rsidP="00D135D4">
      <w:pPr>
        <w:pStyle w:val="Odstavecseseznamem"/>
        <w:numPr>
          <w:ilvl w:val="0"/>
          <w:numId w:val="19"/>
        </w:num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r>
        <w:rPr>
          <w:rFonts w:ascii="Times New Roman" w:eastAsia="Times New Roman" w:hAnsi="Times New Roman" w:cs="Times New Roman"/>
          <w:sz w:val="24"/>
          <w:szCs w:val="24"/>
          <w:lang w:val="en-GB" w:eastAsia="sk-SK"/>
        </w:rPr>
        <w:t xml:space="preserve"> </w:t>
      </w:r>
      <w:r w:rsidR="00AB3982" w:rsidRPr="00DF5D48">
        <w:rPr>
          <w:rFonts w:ascii="Times New Roman" w:eastAsia="Times New Roman" w:hAnsi="Times New Roman" w:cs="Times New Roman"/>
          <w:sz w:val="24"/>
          <w:szCs w:val="24"/>
          <w:lang w:val="en-GB" w:eastAsia="sk-SK"/>
        </w:rPr>
        <w:t xml:space="preserve">Svihra J jr., Sopilko I, Svihrova V, Student V, Luptak J. Is health-related quality of life of patients after single-use flexible ureteroscopy superior to extracorporeal shock wave lithotripsy? A randomised prospective study. Urolithiasis. 2021; 49(1): 73-79. Doi </w:t>
      </w:r>
      <w:r w:rsidR="00AB3982" w:rsidRPr="00DF5D48">
        <w:rPr>
          <w:rFonts w:ascii="Times New Roman" w:hAnsi="Times New Roman" w:cs="Times New Roman"/>
          <w:sz w:val="24"/>
          <w:szCs w:val="24"/>
        </w:rPr>
        <w:t>10.1007/s00240-020-01224-4</w:t>
      </w:r>
      <w:r w:rsidR="00AB3982" w:rsidRPr="00DF5D48">
        <w:rPr>
          <w:rFonts w:ascii="Times New Roman" w:eastAsia="Times New Roman" w:hAnsi="Times New Roman" w:cs="Times New Roman"/>
          <w:sz w:val="24"/>
          <w:szCs w:val="24"/>
          <w:lang w:val="en-GB" w:eastAsia="sk-SK"/>
        </w:rPr>
        <w:t xml:space="preserve">.  </w:t>
      </w:r>
    </w:p>
    <w:p w14:paraId="5CE554EA" w14:textId="77777777" w:rsidR="0052468A" w:rsidRPr="00DF5D48" w:rsidRDefault="0052468A" w:rsidP="00D135D4">
      <w:pPr>
        <w:shd w:val="clear" w:color="auto" w:fill="FFFFFF"/>
        <w:spacing w:after="0" w:line="336" w:lineRule="auto"/>
        <w:ind w:left="426" w:hanging="426"/>
        <w:jc w:val="both"/>
        <w:rPr>
          <w:rFonts w:ascii="Times New Roman" w:eastAsia="Times New Roman" w:hAnsi="Times New Roman" w:cs="Times New Roman"/>
          <w:sz w:val="24"/>
          <w:szCs w:val="24"/>
          <w:lang w:val="en-GB" w:eastAsia="sk-SK"/>
        </w:rPr>
      </w:pPr>
    </w:p>
    <w:p w14:paraId="64F7724B" w14:textId="0D64DE88" w:rsidR="0052468A" w:rsidRPr="00DF5D48" w:rsidRDefault="00A3085C"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Pr>
          <w:rStyle w:val="element-citation"/>
          <w:rFonts w:ascii="Times New Roman" w:hAnsi="Times New Roman" w:cs="Times New Roman"/>
          <w:sz w:val="24"/>
          <w:szCs w:val="24"/>
          <w:lang w:val="en-GB"/>
        </w:rPr>
        <w:t xml:space="preserve"> </w:t>
      </w:r>
      <w:r w:rsidR="0052468A" w:rsidRPr="00DF5D48">
        <w:rPr>
          <w:rStyle w:val="element-citation"/>
          <w:rFonts w:ascii="Times New Roman" w:hAnsi="Times New Roman" w:cs="Times New Roman"/>
          <w:sz w:val="24"/>
          <w:szCs w:val="24"/>
          <w:lang w:val="en-GB"/>
        </w:rPr>
        <w:t>Taylor EN, Curhan GC. Fructose consumption and the risk of kidney stones. </w:t>
      </w:r>
      <w:r w:rsidR="0052468A" w:rsidRPr="00DF5D48">
        <w:rPr>
          <w:rStyle w:val="ref-journal"/>
          <w:rFonts w:ascii="Times New Roman" w:hAnsi="Times New Roman" w:cs="Times New Roman"/>
          <w:sz w:val="24"/>
          <w:szCs w:val="24"/>
          <w:lang w:val="en-GB"/>
        </w:rPr>
        <w:t>Kidney Int. </w:t>
      </w:r>
      <w:r w:rsidR="0052468A" w:rsidRPr="00DF5D48">
        <w:rPr>
          <w:rStyle w:val="element-citation"/>
          <w:rFonts w:ascii="Times New Roman" w:hAnsi="Times New Roman" w:cs="Times New Roman"/>
          <w:sz w:val="24"/>
          <w:szCs w:val="24"/>
          <w:lang w:val="en-GB"/>
        </w:rPr>
        <w:t xml:space="preserve">2008; </w:t>
      </w:r>
      <w:r w:rsidR="0052468A" w:rsidRPr="00DF5D48">
        <w:rPr>
          <w:rStyle w:val="ref-vol"/>
          <w:rFonts w:ascii="Times New Roman" w:hAnsi="Times New Roman" w:cs="Times New Roman"/>
          <w:sz w:val="24"/>
          <w:szCs w:val="24"/>
          <w:lang w:val="en-GB"/>
        </w:rPr>
        <w:t>73(2)</w:t>
      </w:r>
      <w:r w:rsidR="0052468A" w:rsidRPr="00DF5D48">
        <w:rPr>
          <w:rStyle w:val="element-citation"/>
          <w:rFonts w:ascii="Times New Roman" w:hAnsi="Times New Roman" w:cs="Times New Roman"/>
          <w:sz w:val="24"/>
          <w:szCs w:val="24"/>
          <w:lang w:val="en-GB"/>
        </w:rPr>
        <w:t>: 207–212. doi: 10.1038/sj.ki.5002588.</w:t>
      </w:r>
    </w:p>
    <w:p w14:paraId="03E8868F" w14:textId="77777777" w:rsidR="0052468A" w:rsidRPr="00BB3A19"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53C07B39" w14:textId="71B9B8C8" w:rsidR="0036437E" w:rsidRPr="00DF5D48" w:rsidRDefault="00A3085C" w:rsidP="00D135D4">
      <w:pPr>
        <w:pStyle w:val="Odstavecseseznamem"/>
        <w:numPr>
          <w:ilvl w:val="0"/>
          <w:numId w:val="19"/>
        </w:numPr>
        <w:shd w:val="clear" w:color="auto" w:fill="FFFFFF"/>
        <w:spacing w:after="0" w:line="336" w:lineRule="auto"/>
        <w:ind w:left="426" w:hanging="426"/>
        <w:jc w:val="both"/>
        <w:textAlignment w:val="top"/>
        <w:rPr>
          <w:rStyle w:val="Hypertextovodkaz"/>
          <w:rFonts w:ascii="Times New Roman" w:hAnsi="Times New Roman" w:cs="Times New Roman"/>
          <w:color w:val="auto"/>
          <w:sz w:val="24"/>
          <w:szCs w:val="24"/>
          <w:u w:val="none"/>
          <w:shd w:val="clear" w:color="auto" w:fill="FFFFFF"/>
          <w:lang w:val="en-GB"/>
        </w:rPr>
      </w:pPr>
      <w:r>
        <w:rPr>
          <w:rFonts w:ascii="Times New Roman" w:hAnsi="Times New Roman" w:cs="Times New Roman"/>
          <w:sz w:val="24"/>
          <w:szCs w:val="24"/>
          <w:shd w:val="clear" w:color="auto" w:fill="FFFFFF"/>
          <w:lang w:val="en-GB"/>
        </w:rPr>
        <w:t xml:space="preserve"> </w:t>
      </w:r>
      <w:r w:rsidR="0052468A" w:rsidRPr="00BB3A19">
        <w:rPr>
          <w:rFonts w:ascii="Times New Roman" w:hAnsi="Times New Roman" w:cs="Times New Roman"/>
          <w:sz w:val="24"/>
          <w:szCs w:val="24"/>
          <w:shd w:val="clear" w:color="auto" w:fill="FFFFFF"/>
          <w:lang w:val="en-GB"/>
        </w:rPr>
        <w:t xml:space="preserve">The </w:t>
      </w:r>
      <w:r w:rsidR="0052468A" w:rsidRPr="00DF5D48">
        <w:rPr>
          <w:rFonts w:ascii="Times New Roman" w:hAnsi="Times New Roman" w:cs="Times New Roman"/>
          <w:sz w:val="24"/>
          <w:szCs w:val="24"/>
          <w:shd w:val="clear" w:color="auto" w:fill="FFFFFF"/>
          <w:lang w:val="en-GB"/>
        </w:rPr>
        <w:t>Vegetarian Society UK. What is a Vegetarian. The Vegetarian Society, Altrincham, UK. [accessed on 2 March 2020)]; Available online: </w:t>
      </w:r>
      <w:hyperlink r:id="rId75" w:tgtFrame="_blank" w:history="1">
        <w:r w:rsidR="0052468A" w:rsidRPr="00DF5D48">
          <w:rPr>
            <w:rStyle w:val="Hypertextovodkaz"/>
            <w:rFonts w:ascii="Times New Roman" w:hAnsi="Times New Roman" w:cs="Times New Roman"/>
            <w:color w:val="auto"/>
            <w:sz w:val="24"/>
            <w:szCs w:val="24"/>
            <w:u w:val="none"/>
            <w:shd w:val="clear" w:color="auto" w:fill="FFFFFF"/>
            <w:lang w:val="en-GB"/>
          </w:rPr>
          <w:t>https://www.vegsoc.org/info-hub/definition/</w:t>
        </w:r>
      </w:hyperlink>
      <w:r w:rsidR="0052468A" w:rsidRPr="00DF5D48">
        <w:rPr>
          <w:rStyle w:val="Hypertextovodkaz"/>
          <w:rFonts w:ascii="Times New Roman" w:hAnsi="Times New Roman" w:cs="Times New Roman"/>
          <w:color w:val="auto"/>
          <w:sz w:val="24"/>
          <w:szCs w:val="24"/>
          <w:u w:val="none"/>
          <w:shd w:val="clear" w:color="auto" w:fill="FFFFFF"/>
          <w:lang w:val="en-GB"/>
        </w:rPr>
        <w:t>.</w:t>
      </w:r>
    </w:p>
    <w:p w14:paraId="1A44199E" w14:textId="77777777" w:rsidR="0036437E" w:rsidRPr="00DF5D48" w:rsidRDefault="0036437E" w:rsidP="00D135D4">
      <w:pPr>
        <w:pStyle w:val="Odstavecseseznamem"/>
        <w:spacing w:after="0" w:line="336" w:lineRule="auto"/>
        <w:rPr>
          <w:rFonts w:ascii="Times New Roman" w:hAnsi="Times New Roman" w:cs="Times New Roman"/>
          <w:sz w:val="24"/>
          <w:szCs w:val="24"/>
        </w:rPr>
      </w:pPr>
    </w:p>
    <w:p w14:paraId="4981482B" w14:textId="7CF2C564" w:rsidR="008D1014" w:rsidRPr="00DF5D48" w:rsidRDefault="00A3085C"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Pr>
          <w:rFonts w:ascii="Times New Roman" w:hAnsi="Times New Roman" w:cs="Times New Roman"/>
          <w:sz w:val="24"/>
          <w:szCs w:val="24"/>
        </w:rPr>
        <w:lastRenderedPageBreak/>
        <w:t xml:space="preserve"> </w:t>
      </w:r>
      <w:r w:rsidR="0036437E" w:rsidRPr="00DF5D48">
        <w:rPr>
          <w:rFonts w:ascii="Times New Roman" w:hAnsi="Times New Roman" w:cs="Times New Roman"/>
          <w:sz w:val="24"/>
          <w:szCs w:val="24"/>
        </w:rPr>
        <w:t xml:space="preserve">Türk C, Petřík A, Sarica K, </w:t>
      </w:r>
      <w:r w:rsidR="00FF4955" w:rsidRPr="00DF5D48">
        <w:rPr>
          <w:rFonts w:ascii="Times New Roman" w:hAnsi="Times New Roman" w:cs="Times New Roman"/>
          <w:sz w:val="24"/>
          <w:szCs w:val="24"/>
        </w:rPr>
        <w:t>Seitz CH, Skolarikos A, Straub M, Knoll T</w:t>
      </w:r>
      <w:r w:rsidR="0036437E" w:rsidRPr="00DF5D48">
        <w:rPr>
          <w:rFonts w:ascii="Times New Roman" w:hAnsi="Times New Roman" w:cs="Times New Roman"/>
          <w:sz w:val="24"/>
          <w:szCs w:val="24"/>
        </w:rPr>
        <w:t>. EAU guidelines on interventional treatment for urolithiasis. Eur Urol</w:t>
      </w:r>
      <w:r w:rsidR="00783DDC" w:rsidRPr="00DF5D48">
        <w:rPr>
          <w:rFonts w:ascii="Times New Roman" w:hAnsi="Times New Roman" w:cs="Times New Roman"/>
          <w:sz w:val="24"/>
          <w:szCs w:val="24"/>
        </w:rPr>
        <w:t>.</w:t>
      </w:r>
      <w:r w:rsidR="0036437E" w:rsidRPr="00DF5D48">
        <w:rPr>
          <w:rFonts w:ascii="Times New Roman" w:hAnsi="Times New Roman" w:cs="Times New Roman"/>
          <w:sz w:val="24"/>
          <w:szCs w:val="24"/>
        </w:rPr>
        <w:t xml:space="preserve"> 2016;</w:t>
      </w:r>
      <w:r w:rsidR="00783DDC" w:rsidRPr="00DF5D48">
        <w:rPr>
          <w:rFonts w:ascii="Times New Roman" w:hAnsi="Times New Roman" w:cs="Times New Roman"/>
          <w:sz w:val="24"/>
          <w:szCs w:val="24"/>
        </w:rPr>
        <w:t xml:space="preserve"> </w:t>
      </w:r>
      <w:r w:rsidR="0036437E" w:rsidRPr="00DF5D48">
        <w:rPr>
          <w:rFonts w:ascii="Times New Roman" w:hAnsi="Times New Roman" w:cs="Times New Roman"/>
          <w:sz w:val="24"/>
          <w:szCs w:val="24"/>
        </w:rPr>
        <w:t>69(3):</w:t>
      </w:r>
      <w:r w:rsidR="00783DDC" w:rsidRPr="00DF5D48">
        <w:rPr>
          <w:rFonts w:ascii="Times New Roman" w:hAnsi="Times New Roman" w:cs="Times New Roman"/>
          <w:sz w:val="24"/>
          <w:szCs w:val="24"/>
        </w:rPr>
        <w:t xml:space="preserve"> </w:t>
      </w:r>
      <w:r w:rsidR="0036437E" w:rsidRPr="00DF5D48">
        <w:rPr>
          <w:rFonts w:ascii="Times New Roman" w:hAnsi="Times New Roman" w:cs="Times New Roman"/>
          <w:sz w:val="24"/>
          <w:szCs w:val="24"/>
        </w:rPr>
        <w:t>475–</w:t>
      </w:r>
      <w:r w:rsidR="00B54AB8" w:rsidRPr="00DF5D48">
        <w:rPr>
          <w:rFonts w:ascii="Times New Roman" w:hAnsi="Times New Roman" w:cs="Times New Roman"/>
          <w:sz w:val="24"/>
          <w:szCs w:val="24"/>
        </w:rPr>
        <w:t>4</w:t>
      </w:r>
      <w:r w:rsidR="0036437E" w:rsidRPr="00DF5D48">
        <w:rPr>
          <w:rFonts w:ascii="Times New Roman" w:hAnsi="Times New Roman" w:cs="Times New Roman"/>
          <w:sz w:val="24"/>
          <w:szCs w:val="24"/>
        </w:rPr>
        <w:t>82.</w:t>
      </w:r>
      <w:r w:rsidR="00FF4955" w:rsidRPr="00DF5D48">
        <w:rPr>
          <w:rFonts w:ascii="Times New Roman" w:hAnsi="Times New Roman" w:cs="Times New Roman"/>
          <w:sz w:val="24"/>
          <w:szCs w:val="24"/>
        </w:rPr>
        <w:t xml:space="preserve"> </w:t>
      </w:r>
      <w:r w:rsidR="00FF4955" w:rsidRPr="00DF5D48">
        <w:rPr>
          <w:rFonts w:ascii="Times New Roman" w:hAnsi="Times New Roman" w:cs="Times New Roman"/>
          <w:sz w:val="24"/>
          <w:szCs w:val="24"/>
          <w:shd w:val="clear" w:color="auto" w:fill="FFFFFF"/>
        </w:rPr>
        <w:t>doi: 10.1016/j.eururo.2015.07.041.</w:t>
      </w:r>
    </w:p>
    <w:p w14:paraId="7FBA843E" w14:textId="77777777" w:rsidR="008D1014" w:rsidRPr="00DF5D48" w:rsidRDefault="008D1014" w:rsidP="00D135D4">
      <w:pPr>
        <w:pStyle w:val="Odstavecseseznamem"/>
        <w:spacing w:after="0" w:line="336" w:lineRule="auto"/>
        <w:rPr>
          <w:rStyle w:val="element-citation"/>
          <w:rFonts w:ascii="Times New Roman" w:hAnsi="Times New Roman" w:cs="Times New Roman"/>
          <w:sz w:val="24"/>
          <w:szCs w:val="24"/>
          <w:shd w:val="clear" w:color="auto" w:fill="FFFFFF"/>
          <w:lang w:val="en-GB"/>
        </w:rPr>
      </w:pPr>
    </w:p>
    <w:p w14:paraId="6C75CFD4" w14:textId="088B8D89" w:rsidR="0052468A" w:rsidRPr="00DF5D48" w:rsidRDefault="00A3085C" w:rsidP="00D135D4">
      <w:pPr>
        <w:pStyle w:val="Odstavecseseznamem"/>
        <w:numPr>
          <w:ilvl w:val="0"/>
          <w:numId w:val="19"/>
        </w:numPr>
        <w:shd w:val="clear" w:color="auto" w:fill="FFFFFF"/>
        <w:spacing w:after="0" w:line="336" w:lineRule="auto"/>
        <w:ind w:left="426" w:hanging="426"/>
        <w:jc w:val="both"/>
        <w:textAlignment w:val="top"/>
        <w:rPr>
          <w:rFonts w:ascii="Times New Roman" w:hAnsi="Times New Roman" w:cs="Times New Roman"/>
          <w:sz w:val="24"/>
          <w:szCs w:val="24"/>
          <w:shd w:val="clear" w:color="auto" w:fill="FFFFFF"/>
          <w:lang w:val="en-GB"/>
        </w:rPr>
      </w:pPr>
      <w:r>
        <w:rPr>
          <w:rStyle w:val="element-citation"/>
          <w:rFonts w:ascii="Times New Roman" w:hAnsi="Times New Roman" w:cs="Times New Roman"/>
          <w:sz w:val="24"/>
          <w:szCs w:val="24"/>
          <w:shd w:val="clear" w:color="auto" w:fill="FFFFFF"/>
          <w:lang w:val="en-GB"/>
        </w:rPr>
        <w:t xml:space="preserve"> </w:t>
      </w:r>
      <w:r w:rsidR="0052468A" w:rsidRPr="00DF5D48">
        <w:rPr>
          <w:rStyle w:val="element-citation"/>
          <w:rFonts w:ascii="Times New Roman" w:hAnsi="Times New Roman" w:cs="Times New Roman"/>
          <w:sz w:val="24"/>
          <w:szCs w:val="24"/>
          <w:shd w:val="clear" w:color="auto" w:fill="FFFFFF"/>
          <w:lang w:val="en-GB"/>
        </w:rPr>
        <w:t>Turna B, Raza A, Moussa S, Smith G, Tolley DA. Management of calyceal diverticular stones with extracorporeal shock wave lithotripsy and percutaneous nephrolithotomy: long-term outcome. </w:t>
      </w:r>
      <w:r w:rsidR="0052468A" w:rsidRPr="00DF5D48">
        <w:rPr>
          <w:rStyle w:val="ref-journal"/>
          <w:rFonts w:ascii="Times New Roman" w:hAnsi="Times New Roman" w:cs="Times New Roman"/>
          <w:sz w:val="24"/>
          <w:szCs w:val="24"/>
          <w:shd w:val="clear" w:color="auto" w:fill="FFFFFF"/>
          <w:lang w:val="en-GB"/>
        </w:rPr>
        <w:t>BJU Int. </w:t>
      </w:r>
      <w:r w:rsidR="0052468A" w:rsidRPr="00DF5D48">
        <w:rPr>
          <w:rStyle w:val="element-citation"/>
          <w:rFonts w:ascii="Times New Roman" w:hAnsi="Times New Roman" w:cs="Times New Roman"/>
          <w:sz w:val="24"/>
          <w:szCs w:val="24"/>
          <w:shd w:val="clear" w:color="auto" w:fill="FFFFFF"/>
          <w:lang w:val="en-GB"/>
        </w:rPr>
        <w:t xml:space="preserve">2007; </w:t>
      </w:r>
      <w:r w:rsidR="0052468A" w:rsidRPr="00DF5D48">
        <w:rPr>
          <w:rStyle w:val="ref-vol"/>
          <w:rFonts w:ascii="Times New Roman" w:hAnsi="Times New Roman" w:cs="Times New Roman"/>
          <w:sz w:val="24"/>
          <w:szCs w:val="24"/>
          <w:shd w:val="clear" w:color="auto" w:fill="FFFFFF"/>
          <w:lang w:val="en-GB"/>
        </w:rPr>
        <w:t>100(1)</w:t>
      </w:r>
      <w:r w:rsidR="0052468A" w:rsidRPr="00DF5D48">
        <w:rPr>
          <w:rStyle w:val="element-citation"/>
          <w:rFonts w:ascii="Times New Roman" w:hAnsi="Times New Roman" w:cs="Times New Roman"/>
          <w:sz w:val="24"/>
          <w:szCs w:val="24"/>
          <w:shd w:val="clear" w:color="auto" w:fill="FFFFFF"/>
          <w:lang w:val="en-GB"/>
        </w:rPr>
        <w:t xml:space="preserve">: 151–156. </w:t>
      </w:r>
      <w:r w:rsidR="0052468A" w:rsidRPr="00DF5D48">
        <w:rPr>
          <w:rFonts w:ascii="Times New Roman" w:hAnsi="Times New Roman" w:cs="Times New Roman"/>
          <w:sz w:val="24"/>
          <w:szCs w:val="24"/>
          <w:lang w:val="en-GB"/>
        </w:rPr>
        <w:t>doi:10.1111/j.1464-410X.2007.</w:t>
      </w:r>
      <w:proofErr w:type="gramStart"/>
      <w:r w:rsidR="0052468A" w:rsidRPr="00DF5D48">
        <w:rPr>
          <w:rFonts w:ascii="Times New Roman" w:hAnsi="Times New Roman" w:cs="Times New Roman"/>
          <w:sz w:val="24"/>
          <w:szCs w:val="24"/>
          <w:lang w:val="en-GB"/>
        </w:rPr>
        <w:t>06911.x.</w:t>
      </w:r>
      <w:proofErr w:type="gramEnd"/>
      <w:r w:rsidR="0052468A" w:rsidRPr="00DF5D48">
        <w:rPr>
          <w:rFonts w:ascii="Times New Roman" w:hAnsi="Times New Roman" w:cs="Times New Roman"/>
          <w:sz w:val="24"/>
          <w:szCs w:val="24"/>
          <w:lang w:val="en-GB"/>
        </w:rPr>
        <w:t xml:space="preserve"> </w:t>
      </w:r>
    </w:p>
    <w:p w14:paraId="7EB2F598" w14:textId="77777777" w:rsidR="0052468A" w:rsidRPr="00DF5D48" w:rsidRDefault="0052468A" w:rsidP="00D135D4">
      <w:pPr>
        <w:shd w:val="clear" w:color="auto" w:fill="FFFFFF"/>
        <w:spacing w:after="0" w:line="336" w:lineRule="auto"/>
        <w:ind w:left="426" w:hanging="426"/>
        <w:jc w:val="both"/>
        <w:rPr>
          <w:rStyle w:val="nowrap"/>
          <w:rFonts w:ascii="Times New Roman" w:hAnsi="Times New Roman" w:cs="Times New Roman"/>
          <w:sz w:val="24"/>
          <w:szCs w:val="24"/>
          <w:shd w:val="clear" w:color="auto" w:fill="FFFFFF"/>
          <w:lang w:val="en-GB"/>
        </w:rPr>
      </w:pPr>
    </w:p>
    <w:p w14:paraId="3284B28B" w14:textId="6CC16C27" w:rsidR="0052468A" w:rsidRPr="00DF5D48" w:rsidRDefault="00A3085C" w:rsidP="00D135D4">
      <w:pPr>
        <w:pStyle w:val="Odstavecseseznamem"/>
        <w:numPr>
          <w:ilvl w:val="0"/>
          <w:numId w:val="19"/>
        </w:numPr>
        <w:shd w:val="clear" w:color="auto" w:fill="FFFFFF"/>
        <w:spacing w:after="0" w:line="336" w:lineRule="auto"/>
        <w:ind w:left="426" w:hanging="426"/>
        <w:jc w:val="both"/>
        <w:rPr>
          <w:rStyle w:val="element-citation"/>
          <w:rFonts w:ascii="Times New Roman" w:hAnsi="Times New Roman" w:cs="Times New Roman"/>
          <w:sz w:val="24"/>
          <w:szCs w:val="24"/>
          <w:lang w:val="en-GB"/>
        </w:rPr>
      </w:pPr>
      <w:r>
        <w:rPr>
          <w:rStyle w:val="element-citation"/>
          <w:rFonts w:ascii="Times New Roman" w:hAnsi="Times New Roman" w:cs="Times New Roman"/>
          <w:sz w:val="24"/>
          <w:szCs w:val="24"/>
          <w:lang w:val="en-GB"/>
        </w:rPr>
        <w:t xml:space="preserve"> </w:t>
      </w:r>
      <w:r w:rsidR="0052468A" w:rsidRPr="00DF5D48">
        <w:rPr>
          <w:rStyle w:val="element-citation"/>
          <w:rFonts w:ascii="Times New Roman" w:hAnsi="Times New Roman" w:cs="Times New Roman"/>
          <w:sz w:val="24"/>
          <w:szCs w:val="24"/>
          <w:lang w:val="en-GB"/>
        </w:rPr>
        <w:t>Turney BW, Appleby PN, Reynard JM, Noble JG, Key TJ, Allen NE. Diet and risk of kidney stones in the Oxford cohort of the European Prospective Investigation into Cancer and Nutrition (EPIC). </w:t>
      </w:r>
      <w:r w:rsidR="0052468A" w:rsidRPr="00DF5D48">
        <w:rPr>
          <w:rStyle w:val="ref-journal"/>
          <w:rFonts w:ascii="Times New Roman" w:hAnsi="Times New Roman" w:cs="Times New Roman"/>
          <w:sz w:val="24"/>
          <w:szCs w:val="24"/>
          <w:lang w:val="en-GB"/>
        </w:rPr>
        <w:t>Eur J Epidemiol. </w:t>
      </w:r>
      <w:r w:rsidR="0052468A" w:rsidRPr="00DF5D48">
        <w:rPr>
          <w:rStyle w:val="element-citation"/>
          <w:rFonts w:ascii="Times New Roman" w:hAnsi="Times New Roman" w:cs="Times New Roman"/>
          <w:sz w:val="24"/>
          <w:szCs w:val="24"/>
          <w:lang w:val="en-GB"/>
        </w:rPr>
        <w:t xml:space="preserve">2014; </w:t>
      </w:r>
      <w:r w:rsidR="0052468A" w:rsidRPr="00DF5D48">
        <w:rPr>
          <w:rStyle w:val="ref-vol"/>
          <w:rFonts w:ascii="Times New Roman" w:hAnsi="Times New Roman" w:cs="Times New Roman"/>
          <w:sz w:val="24"/>
          <w:szCs w:val="24"/>
          <w:lang w:val="en-GB"/>
        </w:rPr>
        <w:t>29(5)</w:t>
      </w:r>
      <w:r w:rsidR="0052468A" w:rsidRPr="00DF5D48">
        <w:rPr>
          <w:rStyle w:val="element-citation"/>
          <w:rFonts w:ascii="Times New Roman" w:hAnsi="Times New Roman" w:cs="Times New Roman"/>
          <w:sz w:val="24"/>
          <w:szCs w:val="24"/>
          <w:lang w:val="en-GB"/>
        </w:rPr>
        <w:t>: 363–369. doi: 10.1007/s10654-014-9904-5.</w:t>
      </w:r>
    </w:p>
    <w:p w14:paraId="27C24EBF"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lang w:val="en-GB"/>
        </w:rPr>
      </w:pPr>
    </w:p>
    <w:p w14:paraId="6453BD77" w14:textId="535EF486" w:rsidR="0052468A" w:rsidRPr="00DF5D48" w:rsidRDefault="00A3085C" w:rsidP="00D135D4">
      <w:pPr>
        <w:pStyle w:val="Odstavecseseznamem"/>
        <w:numPr>
          <w:ilvl w:val="0"/>
          <w:numId w:val="19"/>
        </w:numPr>
        <w:shd w:val="clear" w:color="auto" w:fill="FFFFFF"/>
        <w:spacing w:after="0" w:line="336" w:lineRule="auto"/>
        <w:ind w:left="425" w:hanging="425"/>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 </w:t>
      </w:r>
      <w:r w:rsidR="0052468A" w:rsidRPr="00DF5D48">
        <w:rPr>
          <w:rFonts w:ascii="Times New Roman" w:hAnsi="Times New Roman" w:cs="Times New Roman"/>
          <w:sz w:val="24"/>
          <w:szCs w:val="24"/>
          <w:shd w:val="clear" w:color="auto" w:fill="FFFFFF"/>
          <w:lang w:val="en-GB"/>
        </w:rPr>
        <w:t>Yamashita S, Kohjimoto Y, Iguchi T, Nishizawa S, Iba A, Kikkawa K, Hara I. Variation Coefficient of Stone Density: A Novel Predictor of the Outcome of Extracorporeal Shockwave Lithotripsy. </w:t>
      </w:r>
      <w:r w:rsidR="0052468A" w:rsidRPr="00DF5D48">
        <w:rPr>
          <w:rStyle w:val="ref-journal"/>
          <w:rFonts w:ascii="Times New Roman" w:hAnsi="Times New Roman" w:cs="Times New Roman"/>
          <w:sz w:val="24"/>
          <w:szCs w:val="24"/>
          <w:shd w:val="clear" w:color="auto" w:fill="FFFFFF"/>
          <w:lang w:val="en-GB"/>
        </w:rPr>
        <w:t>J Endourol. </w:t>
      </w:r>
      <w:r w:rsidR="0052468A" w:rsidRPr="00DF5D48">
        <w:rPr>
          <w:rFonts w:ascii="Times New Roman" w:hAnsi="Times New Roman" w:cs="Times New Roman"/>
          <w:sz w:val="24"/>
          <w:szCs w:val="24"/>
          <w:shd w:val="clear" w:color="auto" w:fill="FFFFFF"/>
          <w:lang w:val="en-GB"/>
        </w:rPr>
        <w:t xml:space="preserve">2017; </w:t>
      </w:r>
      <w:r w:rsidR="0052468A" w:rsidRPr="00DF5D48">
        <w:rPr>
          <w:rStyle w:val="ref-vol"/>
          <w:rFonts w:ascii="Times New Roman" w:hAnsi="Times New Roman" w:cs="Times New Roman"/>
          <w:sz w:val="24"/>
          <w:szCs w:val="24"/>
          <w:shd w:val="clear" w:color="auto" w:fill="FFFFFF"/>
          <w:lang w:val="en-GB"/>
        </w:rPr>
        <w:t>31(4)</w:t>
      </w:r>
      <w:r w:rsidR="0052468A" w:rsidRPr="00DF5D48">
        <w:rPr>
          <w:rFonts w:ascii="Times New Roman" w:hAnsi="Times New Roman" w:cs="Times New Roman"/>
          <w:sz w:val="24"/>
          <w:szCs w:val="24"/>
          <w:shd w:val="clear" w:color="auto" w:fill="FFFFFF"/>
          <w:lang w:val="en-GB"/>
        </w:rPr>
        <w:t>: 384–390. doi: 10.1089/end.2016.0719.</w:t>
      </w:r>
    </w:p>
    <w:p w14:paraId="7B987464" w14:textId="77777777" w:rsidR="0052468A" w:rsidRPr="00DF5D48" w:rsidRDefault="0052468A" w:rsidP="00D135D4">
      <w:pPr>
        <w:shd w:val="clear" w:color="auto" w:fill="FFFFFF"/>
        <w:spacing w:after="0" w:line="336" w:lineRule="auto"/>
        <w:ind w:left="425" w:hanging="425"/>
        <w:jc w:val="both"/>
        <w:rPr>
          <w:rStyle w:val="nowrap"/>
          <w:rFonts w:ascii="Times New Roman" w:hAnsi="Times New Roman" w:cs="Times New Roman"/>
          <w:sz w:val="24"/>
          <w:szCs w:val="24"/>
          <w:shd w:val="clear" w:color="auto" w:fill="FFFFFF"/>
          <w:lang w:val="en-GB"/>
        </w:rPr>
      </w:pPr>
    </w:p>
    <w:p w14:paraId="5BA1F37C" w14:textId="7CD7A94B" w:rsidR="008D1014" w:rsidRPr="00DF5D48" w:rsidRDefault="00A3085C" w:rsidP="00D135D4">
      <w:pPr>
        <w:pStyle w:val="Nadpis1"/>
        <w:numPr>
          <w:ilvl w:val="0"/>
          <w:numId w:val="19"/>
        </w:numPr>
        <w:shd w:val="clear" w:color="auto" w:fill="FFFFFF"/>
        <w:spacing w:before="0" w:beforeAutospacing="0" w:after="0" w:afterAutospacing="0" w:line="336" w:lineRule="auto"/>
        <w:ind w:left="425" w:hanging="425"/>
        <w:jc w:val="both"/>
        <w:rPr>
          <w:b w:val="0"/>
          <w:sz w:val="24"/>
          <w:szCs w:val="24"/>
          <w:shd w:val="clear" w:color="auto" w:fill="FFFFFF"/>
          <w:lang w:val="en-GB"/>
        </w:rPr>
      </w:pPr>
      <w:r>
        <w:rPr>
          <w:b w:val="0"/>
          <w:sz w:val="24"/>
          <w:szCs w:val="24"/>
        </w:rPr>
        <w:t xml:space="preserve"> </w:t>
      </w:r>
      <w:r w:rsidR="008D1014" w:rsidRPr="00DF5D48">
        <w:rPr>
          <w:b w:val="0"/>
          <w:sz w:val="24"/>
          <w:szCs w:val="24"/>
        </w:rPr>
        <w:t>Yan JW, McLeod SL, Edmonds ML, et al. Normal renal sonogram identifies renal colic patients at low risk for urologic intervention: a prospective cohort study. CJEM 2015;17(1):38–45.</w:t>
      </w:r>
    </w:p>
    <w:p w14:paraId="6F06C279" w14:textId="77777777" w:rsidR="008D1014" w:rsidRPr="00DF5D48" w:rsidRDefault="008D1014" w:rsidP="00D135D4">
      <w:pPr>
        <w:pStyle w:val="Odstavecseseznamem"/>
        <w:spacing w:after="0" w:line="336" w:lineRule="auto"/>
        <w:rPr>
          <w:rFonts w:ascii="Times New Roman" w:hAnsi="Times New Roman" w:cs="Times New Roman"/>
          <w:b/>
          <w:bCs/>
          <w:sz w:val="24"/>
          <w:szCs w:val="24"/>
          <w:shd w:val="clear" w:color="auto" w:fill="FFFFFF"/>
          <w:lang w:val="en-GB"/>
        </w:rPr>
      </w:pPr>
    </w:p>
    <w:p w14:paraId="22B60B54" w14:textId="7886A2AC" w:rsidR="0052468A" w:rsidRPr="00DF5D48" w:rsidRDefault="00A3085C" w:rsidP="00D135D4">
      <w:pPr>
        <w:pStyle w:val="Nadpis1"/>
        <w:numPr>
          <w:ilvl w:val="0"/>
          <w:numId w:val="19"/>
        </w:numPr>
        <w:shd w:val="clear" w:color="auto" w:fill="FFFFFF"/>
        <w:spacing w:before="0" w:beforeAutospacing="0" w:after="0" w:afterAutospacing="0" w:line="336" w:lineRule="auto"/>
        <w:ind w:left="426" w:hanging="426"/>
        <w:jc w:val="both"/>
        <w:rPr>
          <w:b w:val="0"/>
          <w:sz w:val="24"/>
          <w:szCs w:val="24"/>
          <w:shd w:val="clear" w:color="auto" w:fill="FFFFFF"/>
          <w:lang w:val="en-GB"/>
        </w:rPr>
      </w:pPr>
      <w:r>
        <w:rPr>
          <w:b w:val="0"/>
          <w:bCs w:val="0"/>
          <w:sz w:val="24"/>
          <w:szCs w:val="24"/>
          <w:shd w:val="clear" w:color="auto" w:fill="FFFFFF"/>
          <w:lang w:val="en-GB"/>
        </w:rPr>
        <w:t xml:space="preserve"> </w:t>
      </w:r>
      <w:r w:rsidR="0052468A" w:rsidRPr="00DF5D48">
        <w:rPr>
          <w:b w:val="0"/>
          <w:bCs w:val="0"/>
          <w:sz w:val="24"/>
          <w:szCs w:val="24"/>
          <w:shd w:val="clear" w:color="auto" w:fill="FFFFFF"/>
          <w:lang w:val="en-GB"/>
        </w:rPr>
        <w:t>Yilmaz E, Batislam E, Kacmaz M, Erguder I. Citrate, oxalate, sodium, and magnesium levels in fresh juices of three different types of tomatoes: Evaluation in the light of the results of studies on orange and lemon juices. </w:t>
      </w:r>
      <w:r w:rsidR="0052468A" w:rsidRPr="00DF5D48">
        <w:rPr>
          <w:rStyle w:val="ref-journal"/>
          <w:b w:val="0"/>
          <w:bCs w:val="0"/>
          <w:sz w:val="24"/>
          <w:szCs w:val="24"/>
          <w:shd w:val="clear" w:color="auto" w:fill="FFFFFF"/>
          <w:lang w:val="en-GB"/>
        </w:rPr>
        <w:t>Int J Food Sci Nutr. </w:t>
      </w:r>
      <w:r w:rsidR="0052468A" w:rsidRPr="00DF5D48">
        <w:rPr>
          <w:b w:val="0"/>
          <w:bCs w:val="0"/>
          <w:sz w:val="24"/>
          <w:szCs w:val="24"/>
          <w:shd w:val="clear" w:color="auto" w:fill="FFFFFF"/>
          <w:lang w:val="en-GB"/>
        </w:rPr>
        <w:t xml:space="preserve">2010; </w:t>
      </w:r>
      <w:r w:rsidR="0052468A" w:rsidRPr="00DF5D48">
        <w:rPr>
          <w:rStyle w:val="ref-vol"/>
          <w:b w:val="0"/>
          <w:bCs w:val="0"/>
          <w:sz w:val="24"/>
          <w:szCs w:val="24"/>
          <w:shd w:val="clear" w:color="auto" w:fill="FFFFFF"/>
          <w:lang w:val="en-GB"/>
        </w:rPr>
        <w:t>61(4)</w:t>
      </w:r>
      <w:r w:rsidR="0052468A" w:rsidRPr="00DF5D48">
        <w:rPr>
          <w:b w:val="0"/>
          <w:bCs w:val="0"/>
          <w:sz w:val="24"/>
          <w:szCs w:val="24"/>
          <w:shd w:val="clear" w:color="auto" w:fill="FFFFFF"/>
          <w:lang w:val="en-GB"/>
        </w:rPr>
        <w:t xml:space="preserve">: 339–345. </w:t>
      </w:r>
      <w:r w:rsidR="0052468A" w:rsidRPr="00DF5D48">
        <w:rPr>
          <w:b w:val="0"/>
          <w:sz w:val="24"/>
          <w:szCs w:val="24"/>
          <w:shd w:val="clear" w:color="auto" w:fill="FFFFFF"/>
          <w:lang w:val="en-GB"/>
        </w:rPr>
        <w:t>doi: 10.3109/09637480903405570.</w:t>
      </w:r>
    </w:p>
    <w:p w14:paraId="3CDD57AE" w14:textId="77777777" w:rsidR="0052468A" w:rsidRPr="00DF5D48" w:rsidRDefault="0052468A" w:rsidP="00D135D4">
      <w:pPr>
        <w:shd w:val="clear" w:color="auto" w:fill="FFFFFF"/>
        <w:spacing w:after="0" w:line="336" w:lineRule="auto"/>
        <w:ind w:left="426" w:hanging="426"/>
        <w:jc w:val="both"/>
        <w:rPr>
          <w:rFonts w:ascii="Times New Roman" w:hAnsi="Times New Roman" w:cs="Times New Roman"/>
          <w:sz w:val="24"/>
          <w:szCs w:val="24"/>
          <w:shd w:val="clear" w:color="auto" w:fill="FFFFFF"/>
          <w:lang w:val="en-GB"/>
        </w:rPr>
      </w:pPr>
    </w:p>
    <w:p w14:paraId="3D80A105" w14:textId="601B8736" w:rsidR="00B54AB8" w:rsidRPr="00DF5D48" w:rsidRDefault="00A3085C" w:rsidP="00D135D4">
      <w:pPr>
        <w:pStyle w:val="Odstavecseseznamem"/>
        <w:numPr>
          <w:ilvl w:val="0"/>
          <w:numId w:val="19"/>
        </w:numPr>
        <w:shd w:val="clear" w:color="auto" w:fill="FFFFFF"/>
        <w:spacing w:after="0" w:line="336" w:lineRule="auto"/>
        <w:ind w:left="426" w:hanging="426"/>
        <w:jc w:val="both"/>
        <w:rPr>
          <w:rStyle w:val="identifier"/>
          <w:rFonts w:ascii="Times New Roman" w:hAnsi="Times New Roman" w:cs="Times New Roman"/>
          <w:sz w:val="24"/>
          <w:szCs w:val="24"/>
          <w:lang w:val="en-GB"/>
        </w:rPr>
      </w:pPr>
      <w:r>
        <w:rPr>
          <w:rFonts w:ascii="Times New Roman" w:hAnsi="Times New Roman" w:cs="Times New Roman"/>
          <w:sz w:val="24"/>
          <w:szCs w:val="24"/>
          <w:shd w:val="clear" w:color="auto" w:fill="FFFFFF"/>
          <w:lang w:val="en-GB"/>
        </w:rPr>
        <w:t xml:space="preserve"> </w:t>
      </w:r>
      <w:r w:rsidR="0052468A" w:rsidRPr="00DF5D48">
        <w:rPr>
          <w:rFonts w:ascii="Times New Roman" w:hAnsi="Times New Roman" w:cs="Times New Roman"/>
          <w:sz w:val="24"/>
          <w:szCs w:val="24"/>
          <w:shd w:val="clear" w:color="auto" w:fill="FFFFFF"/>
          <w:lang w:val="en-GB"/>
        </w:rPr>
        <w:t>Wabner CL, Pak CY. Effect of orange juice consumption on urinary stone risk factors. </w:t>
      </w:r>
      <w:r w:rsidR="0052468A" w:rsidRPr="00DF5D48">
        <w:rPr>
          <w:rStyle w:val="id-label"/>
          <w:rFonts w:ascii="Times New Roman" w:hAnsi="Times New Roman" w:cs="Times New Roman"/>
          <w:sz w:val="24"/>
          <w:szCs w:val="24"/>
          <w:shd w:val="clear" w:color="auto" w:fill="FFFFFF"/>
          <w:lang w:val="en-GB"/>
        </w:rPr>
        <w:t>J Urol. </w:t>
      </w:r>
      <w:r w:rsidR="0052468A" w:rsidRPr="00DF5D48">
        <w:rPr>
          <w:rFonts w:ascii="Times New Roman" w:hAnsi="Times New Roman" w:cs="Times New Roman"/>
          <w:sz w:val="24"/>
          <w:szCs w:val="24"/>
          <w:shd w:val="clear" w:color="auto" w:fill="FFFFFF"/>
          <w:lang w:val="en-GB"/>
        </w:rPr>
        <w:t xml:space="preserve">1993; </w:t>
      </w:r>
      <w:r w:rsidR="0052468A" w:rsidRPr="00DF5D48">
        <w:rPr>
          <w:rStyle w:val="Hypertextovodkaz"/>
          <w:rFonts w:ascii="Times New Roman" w:hAnsi="Times New Roman" w:cs="Times New Roman"/>
          <w:color w:val="auto"/>
          <w:sz w:val="24"/>
          <w:szCs w:val="24"/>
          <w:u w:val="none"/>
          <w:shd w:val="clear" w:color="auto" w:fill="FFFFFF"/>
          <w:lang w:val="en-GB"/>
        </w:rPr>
        <w:t>149(6)</w:t>
      </w:r>
      <w:r w:rsidR="0052468A" w:rsidRPr="00DF5D48">
        <w:rPr>
          <w:rFonts w:ascii="Times New Roman" w:hAnsi="Times New Roman" w:cs="Times New Roman"/>
          <w:sz w:val="24"/>
          <w:szCs w:val="24"/>
          <w:shd w:val="clear" w:color="auto" w:fill="FFFFFF"/>
          <w:lang w:val="en-GB"/>
        </w:rPr>
        <w:t>: 1405–1408. </w:t>
      </w:r>
      <w:r w:rsidR="0052468A" w:rsidRPr="00DF5D48">
        <w:rPr>
          <w:rStyle w:val="id-label"/>
          <w:rFonts w:ascii="Times New Roman" w:hAnsi="Times New Roman" w:cs="Times New Roman"/>
          <w:sz w:val="24"/>
          <w:szCs w:val="24"/>
          <w:lang w:val="en-GB"/>
        </w:rPr>
        <w:t>DOI: </w:t>
      </w:r>
      <w:hyperlink r:id="rId76" w:tgtFrame="_blank" w:history="1">
        <w:r w:rsidR="0052468A" w:rsidRPr="00DF5D48">
          <w:rPr>
            <w:rStyle w:val="Hypertextovodkaz"/>
            <w:rFonts w:ascii="Times New Roman" w:hAnsi="Times New Roman" w:cs="Times New Roman"/>
            <w:color w:val="auto"/>
            <w:sz w:val="24"/>
            <w:szCs w:val="24"/>
            <w:u w:val="none"/>
            <w:lang w:val="en-GB"/>
          </w:rPr>
          <w:t>10.1016/s0022-5347(17)36401-7</w:t>
        </w:r>
      </w:hyperlink>
      <w:r w:rsidR="0052468A" w:rsidRPr="00DF5D48">
        <w:rPr>
          <w:rStyle w:val="identifier"/>
          <w:rFonts w:ascii="Times New Roman" w:hAnsi="Times New Roman" w:cs="Times New Roman"/>
          <w:sz w:val="24"/>
          <w:szCs w:val="24"/>
          <w:lang w:val="en-GB"/>
        </w:rPr>
        <w:t>.</w:t>
      </w:r>
    </w:p>
    <w:p w14:paraId="0AAE12C3" w14:textId="77777777" w:rsidR="00B54AB8" w:rsidRPr="00DF5D48" w:rsidRDefault="00B54AB8" w:rsidP="00D135D4">
      <w:pPr>
        <w:pStyle w:val="Odstavecseseznamem"/>
        <w:spacing w:after="0" w:line="336" w:lineRule="auto"/>
        <w:rPr>
          <w:rFonts w:ascii="Times New Roman" w:hAnsi="Times New Roman" w:cs="Times New Roman"/>
          <w:sz w:val="24"/>
          <w:szCs w:val="24"/>
        </w:rPr>
      </w:pPr>
    </w:p>
    <w:p w14:paraId="7904BB5E" w14:textId="1B1EFDA8" w:rsidR="00FF4955" w:rsidRPr="00DF5D48" w:rsidRDefault="00A3085C" w:rsidP="00D135D4">
      <w:pPr>
        <w:pStyle w:val="Odstavecseseznamem"/>
        <w:numPr>
          <w:ilvl w:val="0"/>
          <w:numId w:val="19"/>
        </w:numPr>
        <w:spacing w:after="0" w:line="336"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rPr>
        <w:t xml:space="preserve"> </w:t>
      </w:r>
      <w:r w:rsidR="00B54AB8" w:rsidRPr="00DF5D48">
        <w:rPr>
          <w:rFonts w:ascii="Times New Roman" w:hAnsi="Times New Roman" w:cs="Times New Roman"/>
          <w:sz w:val="24"/>
          <w:szCs w:val="24"/>
        </w:rPr>
        <w:t>Ware</w:t>
      </w:r>
      <w:r w:rsidR="00FF4955" w:rsidRPr="00DF5D48">
        <w:rPr>
          <w:rFonts w:ascii="Times New Roman" w:hAnsi="Times New Roman" w:cs="Times New Roman"/>
          <w:sz w:val="24"/>
          <w:szCs w:val="24"/>
        </w:rPr>
        <w:t xml:space="preserve"> JE,</w:t>
      </w:r>
      <w:r w:rsidR="00B54AB8" w:rsidRPr="00DF5D48">
        <w:rPr>
          <w:rFonts w:ascii="Times New Roman" w:hAnsi="Times New Roman" w:cs="Times New Roman"/>
          <w:sz w:val="24"/>
          <w:szCs w:val="24"/>
        </w:rPr>
        <w:t xml:space="preserve"> </w:t>
      </w:r>
      <w:r w:rsidR="00FF4955" w:rsidRPr="00DF5D48">
        <w:rPr>
          <w:rFonts w:ascii="Times New Roman" w:hAnsi="Times New Roman" w:cs="Times New Roman"/>
          <w:sz w:val="24"/>
          <w:szCs w:val="24"/>
        </w:rPr>
        <w:t>J</w:t>
      </w:r>
      <w:r w:rsidR="00B54AB8" w:rsidRPr="00DF5D48">
        <w:rPr>
          <w:rFonts w:ascii="Times New Roman" w:hAnsi="Times New Roman" w:cs="Times New Roman"/>
          <w:sz w:val="24"/>
          <w:szCs w:val="24"/>
        </w:rPr>
        <w:t xml:space="preserve">r. </w:t>
      </w:r>
      <w:r w:rsidR="00B54AB8" w:rsidRPr="00DF5D48">
        <w:rPr>
          <w:rFonts w:ascii="Times New Roman" w:eastAsia="Times New Roman" w:hAnsi="Times New Roman" w:cs="Times New Roman"/>
          <w:sz w:val="24"/>
          <w:szCs w:val="24"/>
        </w:rPr>
        <w:t xml:space="preserve">Scales for measuring general health perceptions </w:t>
      </w:r>
      <w:r w:rsidR="00B54AB8" w:rsidRPr="00DF5D48">
        <w:rPr>
          <w:rFonts w:ascii="Times New Roman" w:hAnsi="Times New Roman" w:cs="Times New Roman"/>
          <w:sz w:val="24"/>
          <w:szCs w:val="24"/>
        </w:rPr>
        <w:t>(1976) Health Services Research</w:t>
      </w:r>
      <w:r w:rsidR="00FF4955" w:rsidRPr="00DF5D48">
        <w:rPr>
          <w:rFonts w:ascii="Times New Roman" w:hAnsi="Times New Roman" w:cs="Times New Roman"/>
          <w:sz w:val="24"/>
          <w:szCs w:val="24"/>
        </w:rPr>
        <w:t>.</w:t>
      </w:r>
      <w:r w:rsidR="00B54AB8" w:rsidRPr="00DF5D48">
        <w:rPr>
          <w:rFonts w:ascii="Times New Roman" w:hAnsi="Times New Roman" w:cs="Times New Roman"/>
          <w:sz w:val="24"/>
          <w:szCs w:val="24"/>
        </w:rPr>
        <w:t xml:space="preserve"> 1976;</w:t>
      </w:r>
      <w:r w:rsidR="00FF4955" w:rsidRPr="00DF5D48">
        <w:rPr>
          <w:rFonts w:ascii="Times New Roman" w:hAnsi="Times New Roman" w:cs="Times New Roman"/>
          <w:sz w:val="24"/>
          <w:szCs w:val="24"/>
        </w:rPr>
        <w:t xml:space="preserve"> </w:t>
      </w:r>
      <w:r w:rsidR="00B54AB8" w:rsidRPr="00DF5D48">
        <w:rPr>
          <w:rFonts w:ascii="Times New Roman" w:hAnsi="Times New Roman" w:cs="Times New Roman"/>
          <w:sz w:val="24"/>
          <w:szCs w:val="24"/>
        </w:rPr>
        <w:t>11(4):</w:t>
      </w:r>
      <w:r w:rsidR="00FF4955" w:rsidRPr="00DF5D48">
        <w:rPr>
          <w:rFonts w:ascii="Times New Roman" w:hAnsi="Times New Roman" w:cs="Times New Roman"/>
          <w:sz w:val="24"/>
          <w:szCs w:val="24"/>
        </w:rPr>
        <w:t xml:space="preserve"> </w:t>
      </w:r>
      <w:r w:rsidR="00B54AB8" w:rsidRPr="00DF5D48">
        <w:rPr>
          <w:rFonts w:ascii="Times New Roman" w:hAnsi="Times New Roman" w:cs="Times New Roman"/>
          <w:sz w:val="24"/>
          <w:szCs w:val="24"/>
        </w:rPr>
        <w:t>396-415</w:t>
      </w:r>
      <w:r w:rsidR="00FF4955" w:rsidRPr="00DF5D48">
        <w:rPr>
          <w:rFonts w:ascii="Times New Roman" w:hAnsi="Times New Roman" w:cs="Times New Roman"/>
          <w:sz w:val="24"/>
          <w:szCs w:val="24"/>
        </w:rPr>
        <w:t>.</w:t>
      </w:r>
    </w:p>
    <w:p w14:paraId="45950341" w14:textId="77777777" w:rsidR="00FF4955" w:rsidRPr="00DF5D48" w:rsidRDefault="00FF4955" w:rsidP="00D135D4">
      <w:pPr>
        <w:pStyle w:val="Odstavecseseznamem"/>
        <w:spacing w:after="0" w:line="336" w:lineRule="auto"/>
        <w:rPr>
          <w:rFonts w:ascii="Times New Roman" w:hAnsi="Times New Roman" w:cs="Times New Roman"/>
          <w:sz w:val="24"/>
          <w:szCs w:val="24"/>
          <w:lang w:val="en-GB"/>
        </w:rPr>
      </w:pPr>
    </w:p>
    <w:p w14:paraId="5E500B05" w14:textId="0EF5E41C" w:rsidR="00B54AB8" w:rsidRPr="00DF5D48" w:rsidRDefault="00A3085C" w:rsidP="00D135D4">
      <w:pPr>
        <w:pStyle w:val="Odstavecseseznamem"/>
        <w:numPr>
          <w:ilvl w:val="0"/>
          <w:numId w:val="19"/>
        </w:numPr>
        <w:spacing w:after="0" w:line="336"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54AB8" w:rsidRPr="00DF5D48">
        <w:rPr>
          <w:rFonts w:ascii="Times New Roman" w:hAnsi="Times New Roman" w:cs="Times New Roman"/>
          <w:sz w:val="24"/>
          <w:szCs w:val="24"/>
          <w:lang w:val="en-GB"/>
        </w:rPr>
        <w:t xml:space="preserve">World Health Organization WHO. Definition of health. </w:t>
      </w:r>
      <w:r w:rsidR="00B54AB8" w:rsidRPr="00DF5D48">
        <w:rPr>
          <w:rFonts w:ascii="Times New Roman" w:hAnsi="Times New Roman" w:cs="Times New Roman"/>
          <w:sz w:val="24"/>
          <w:szCs w:val="24"/>
        </w:rPr>
        <w:t xml:space="preserve">Preamble to the Constitution of WHO as adopted by the International Health Conference, New York, 19 June - 22 </w:t>
      </w:r>
      <w:r w:rsidR="00B54AB8" w:rsidRPr="00DF5D48">
        <w:rPr>
          <w:rFonts w:ascii="Times New Roman" w:hAnsi="Times New Roman" w:cs="Times New Roman"/>
          <w:sz w:val="24"/>
          <w:szCs w:val="24"/>
        </w:rPr>
        <w:lastRenderedPageBreak/>
        <w:t xml:space="preserve">July 1946; signed on 22 July 1946 by the representatives of 61 States (Official Records of WHO, no. 2, p. 100) and entered into force on 7 April 1948. </w:t>
      </w:r>
    </w:p>
    <w:p w14:paraId="3FC3B08F" w14:textId="77777777" w:rsidR="00B54AB8" w:rsidRPr="00DF5D48" w:rsidRDefault="00B54AB8" w:rsidP="00D135D4">
      <w:pPr>
        <w:pStyle w:val="Odstavecseseznamem"/>
        <w:spacing w:after="0" w:line="336" w:lineRule="auto"/>
        <w:rPr>
          <w:rFonts w:ascii="Times New Roman" w:hAnsi="Times New Roman" w:cs="Times New Roman"/>
          <w:sz w:val="24"/>
          <w:szCs w:val="24"/>
          <w:lang w:val="en-GB"/>
        </w:rPr>
      </w:pPr>
    </w:p>
    <w:p w14:paraId="7F4D804D" w14:textId="0A3CC3FE" w:rsidR="0052468A" w:rsidRPr="00DF5D48" w:rsidRDefault="00A3085C" w:rsidP="00D135D4">
      <w:pPr>
        <w:pStyle w:val="Odstavecseseznamem"/>
        <w:numPr>
          <w:ilvl w:val="0"/>
          <w:numId w:val="19"/>
        </w:numPr>
        <w:shd w:val="clear" w:color="auto" w:fill="FFFFFF"/>
        <w:spacing w:after="0" w:line="336" w:lineRule="auto"/>
        <w:ind w:left="426" w:hanging="426"/>
        <w:jc w:val="both"/>
        <w:rPr>
          <w:rStyle w:val="citation-doi"/>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52468A" w:rsidRPr="00DF5D48">
        <w:rPr>
          <w:rFonts w:ascii="Times New Roman" w:hAnsi="Times New Roman" w:cs="Times New Roman"/>
          <w:sz w:val="24"/>
          <w:szCs w:val="24"/>
          <w:lang w:val="en-GB"/>
        </w:rPr>
        <w:t>Welch</w:t>
      </w:r>
      <w:r w:rsidR="0052468A" w:rsidRPr="00DF5D48">
        <w:rPr>
          <w:rStyle w:val="Hypertextovodkaz"/>
          <w:rFonts w:ascii="Times New Roman" w:hAnsi="Times New Roman" w:cs="Times New Roman"/>
          <w:color w:val="auto"/>
          <w:sz w:val="24"/>
          <w:szCs w:val="24"/>
          <w:u w:val="none"/>
          <w:lang w:val="en-GB"/>
        </w:rPr>
        <w:t xml:space="preserve"> G</w:t>
      </w:r>
      <w:r w:rsidR="0052468A" w:rsidRPr="00DF5D48">
        <w:rPr>
          <w:rStyle w:val="comma"/>
          <w:rFonts w:ascii="Times New Roman" w:hAnsi="Times New Roman" w:cs="Times New Roman"/>
          <w:sz w:val="24"/>
          <w:szCs w:val="24"/>
          <w:lang w:val="en-GB"/>
        </w:rPr>
        <w:t>, </w:t>
      </w:r>
      <w:r w:rsidR="0052468A" w:rsidRPr="00DF5D48">
        <w:rPr>
          <w:rFonts w:ascii="Times New Roman" w:hAnsi="Times New Roman" w:cs="Times New Roman"/>
          <w:sz w:val="24"/>
          <w:szCs w:val="24"/>
          <w:lang w:val="en-GB"/>
        </w:rPr>
        <w:t>Weinger</w:t>
      </w:r>
      <w:r w:rsidR="0052468A" w:rsidRPr="00DF5D48">
        <w:rPr>
          <w:rStyle w:val="Hypertextovodkaz"/>
          <w:rFonts w:ascii="Times New Roman" w:hAnsi="Times New Roman" w:cs="Times New Roman"/>
          <w:color w:val="auto"/>
          <w:sz w:val="24"/>
          <w:szCs w:val="24"/>
          <w:u w:val="none"/>
          <w:lang w:val="en-GB"/>
        </w:rPr>
        <w:t xml:space="preserve"> K</w:t>
      </w:r>
      <w:r w:rsidR="0052468A" w:rsidRPr="00DF5D48">
        <w:rPr>
          <w:rStyle w:val="comma"/>
          <w:rFonts w:ascii="Times New Roman" w:hAnsi="Times New Roman" w:cs="Times New Roman"/>
          <w:sz w:val="24"/>
          <w:szCs w:val="24"/>
          <w:lang w:val="en-GB"/>
        </w:rPr>
        <w:t>, </w:t>
      </w:r>
      <w:r w:rsidR="0052468A" w:rsidRPr="00DF5D48">
        <w:rPr>
          <w:rFonts w:ascii="Times New Roman" w:hAnsi="Times New Roman" w:cs="Times New Roman"/>
          <w:sz w:val="24"/>
          <w:szCs w:val="24"/>
          <w:lang w:val="en-GB"/>
        </w:rPr>
        <w:t>Barry</w:t>
      </w:r>
      <w:r w:rsidR="0052468A" w:rsidRPr="00DF5D48">
        <w:rPr>
          <w:rStyle w:val="Hypertextovodkaz"/>
          <w:rFonts w:ascii="Times New Roman" w:hAnsi="Times New Roman" w:cs="Times New Roman"/>
          <w:color w:val="auto"/>
          <w:sz w:val="24"/>
          <w:szCs w:val="24"/>
          <w:u w:val="none"/>
          <w:lang w:val="en-GB"/>
        </w:rPr>
        <w:t xml:space="preserve"> MJ. </w:t>
      </w:r>
      <w:r w:rsidR="0052468A" w:rsidRPr="00DF5D48">
        <w:rPr>
          <w:rFonts w:ascii="Times New Roman" w:hAnsi="Times New Roman" w:cs="Times New Roman"/>
          <w:sz w:val="24"/>
          <w:szCs w:val="24"/>
          <w:lang w:val="en-GB"/>
        </w:rPr>
        <w:t>Quality-of-life impact of lower urinary tract symptom severity: results from the Health Professionals Follow-up Study. Urology.</w:t>
      </w:r>
      <w:r w:rsidR="0052468A" w:rsidRPr="00DF5D48">
        <w:rPr>
          <w:rStyle w:val="period"/>
          <w:rFonts w:ascii="Times New Roman" w:hAnsi="Times New Roman" w:cs="Times New Roman"/>
          <w:sz w:val="24"/>
          <w:szCs w:val="24"/>
          <w:lang w:val="en-GB"/>
        </w:rPr>
        <w:t> </w:t>
      </w:r>
      <w:r w:rsidR="0052468A" w:rsidRPr="00DF5D48">
        <w:rPr>
          <w:rStyle w:val="cit"/>
          <w:rFonts w:ascii="Times New Roman" w:hAnsi="Times New Roman" w:cs="Times New Roman"/>
          <w:sz w:val="24"/>
          <w:szCs w:val="24"/>
          <w:lang w:val="en-GB"/>
        </w:rPr>
        <w:t xml:space="preserve">2002; 59(2): 245-50. </w:t>
      </w:r>
      <w:r w:rsidR="0052468A" w:rsidRPr="00DF5D48">
        <w:rPr>
          <w:rFonts w:ascii="Times New Roman" w:hAnsi="Times New Roman" w:cs="Times New Roman"/>
          <w:sz w:val="24"/>
          <w:szCs w:val="24"/>
          <w:lang w:val="en-GB"/>
        </w:rPr>
        <w:t> </w:t>
      </w:r>
      <w:r w:rsidR="0052468A" w:rsidRPr="00DF5D48">
        <w:rPr>
          <w:rStyle w:val="citation-doi"/>
          <w:rFonts w:ascii="Times New Roman" w:hAnsi="Times New Roman" w:cs="Times New Roman"/>
          <w:sz w:val="24"/>
          <w:szCs w:val="24"/>
          <w:lang w:val="en-GB"/>
        </w:rPr>
        <w:t>doi: 10.1016/s0090-4295(01)01506-0.</w:t>
      </w:r>
    </w:p>
    <w:p w14:paraId="5B3FFC63" w14:textId="77777777" w:rsidR="0052468A" w:rsidRPr="00DF5D48" w:rsidRDefault="0052468A" w:rsidP="00D135D4">
      <w:pPr>
        <w:shd w:val="clear" w:color="auto" w:fill="FFFFFF"/>
        <w:spacing w:after="0" w:line="336" w:lineRule="auto"/>
        <w:ind w:left="426" w:hanging="426"/>
        <w:jc w:val="both"/>
        <w:rPr>
          <w:rStyle w:val="Hypertextovodkaz"/>
          <w:rFonts w:ascii="Times New Roman" w:hAnsi="Times New Roman" w:cs="Times New Roman"/>
          <w:color w:val="auto"/>
          <w:sz w:val="24"/>
          <w:szCs w:val="24"/>
          <w:u w:val="none"/>
          <w:lang w:val="en-GB"/>
        </w:rPr>
      </w:pPr>
    </w:p>
    <w:p w14:paraId="724D0FB8" w14:textId="58379521" w:rsidR="00812D60" w:rsidRPr="00DF5D48" w:rsidRDefault="00A3085C" w:rsidP="00D135D4">
      <w:pPr>
        <w:pStyle w:val="Nadpis1"/>
        <w:numPr>
          <w:ilvl w:val="0"/>
          <w:numId w:val="19"/>
        </w:numPr>
        <w:shd w:val="clear" w:color="auto" w:fill="FFFFFF"/>
        <w:spacing w:before="0" w:beforeAutospacing="0" w:after="0" w:afterAutospacing="0" w:line="336" w:lineRule="auto"/>
        <w:ind w:left="426" w:hanging="426"/>
        <w:jc w:val="both"/>
        <w:rPr>
          <w:rStyle w:val="element-citation"/>
          <w:sz w:val="24"/>
          <w:szCs w:val="24"/>
          <w:lang w:val="en-GB"/>
        </w:rPr>
      </w:pPr>
      <w:r>
        <w:rPr>
          <w:rStyle w:val="element-citation"/>
          <w:b w:val="0"/>
          <w:sz w:val="24"/>
          <w:szCs w:val="24"/>
          <w:shd w:val="clear" w:color="auto" w:fill="FFFFFF"/>
          <w:lang w:val="en-GB"/>
        </w:rPr>
        <w:t xml:space="preserve"> </w:t>
      </w:r>
      <w:r w:rsidR="0052468A" w:rsidRPr="00DF5D48">
        <w:rPr>
          <w:rStyle w:val="element-citation"/>
          <w:b w:val="0"/>
          <w:sz w:val="24"/>
          <w:szCs w:val="24"/>
          <w:shd w:val="clear" w:color="auto" w:fill="FFFFFF"/>
          <w:lang w:val="en-GB"/>
        </w:rPr>
        <w:t xml:space="preserve">Zeng T, Tiselius H-G, Huang J, Deng T, Zeng G, Wu W. </w:t>
      </w:r>
      <w:r w:rsidR="0052468A" w:rsidRPr="00DF5D48">
        <w:rPr>
          <w:b w:val="0"/>
          <w:sz w:val="24"/>
          <w:szCs w:val="24"/>
          <w:lang w:val="en-GB"/>
        </w:rPr>
        <w:t xml:space="preserve">Effect of mechanical percussion combined with patient position change on the elimination of upper urinary stones/fragments: a systematic review and meta-analysis. Urolithiasis. 2020; 48(2): 95-102. </w:t>
      </w:r>
      <w:r w:rsidR="0052468A" w:rsidRPr="00DF5D48">
        <w:rPr>
          <w:b w:val="0"/>
          <w:sz w:val="24"/>
          <w:szCs w:val="24"/>
          <w:shd w:val="clear" w:color="auto" w:fill="FFFFFF"/>
          <w:lang w:val="en-GB"/>
        </w:rPr>
        <w:t>doi: 10.1007/s00240-019-01140-2.</w:t>
      </w:r>
      <w:bookmarkEnd w:id="36"/>
      <w:r w:rsidR="0052468A" w:rsidRPr="00DF5D48">
        <w:rPr>
          <w:rStyle w:val="element-citation"/>
          <w:b w:val="0"/>
          <w:sz w:val="24"/>
          <w:szCs w:val="24"/>
          <w:shd w:val="clear" w:color="auto" w:fill="FFFFFF"/>
          <w:lang w:val="en-GB"/>
        </w:rPr>
        <w:t xml:space="preserve"> </w:t>
      </w:r>
    </w:p>
    <w:p w14:paraId="34180432" w14:textId="1865CCFB" w:rsidR="00411FC1" w:rsidRPr="00DA07E4" w:rsidRDefault="00411FC1" w:rsidP="00DA07E4">
      <w:pPr>
        <w:pStyle w:val="Nadpis1"/>
        <w:shd w:val="clear" w:color="auto" w:fill="FFFFFF"/>
        <w:spacing w:before="0" w:beforeAutospacing="0" w:after="0" w:afterAutospacing="0" w:line="360" w:lineRule="auto"/>
        <w:jc w:val="both"/>
        <w:rPr>
          <w:rFonts w:eastAsiaTheme="minorHAnsi"/>
          <w:b w:val="0"/>
          <w:bCs w:val="0"/>
          <w:kern w:val="0"/>
          <w:sz w:val="24"/>
          <w:szCs w:val="24"/>
          <w:lang w:val="en-GB" w:eastAsia="en-US"/>
        </w:rPr>
      </w:pPr>
    </w:p>
    <w:p w14:paraId="1475725B" w14:textId="78B0D73C"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333E1242" w14:textId="6F4F3262"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4C4CD396" w14:textId="3A5DF03E"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40D650B1" w14:textId="78E26BCA"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214E2E41" w14:textId="4F512F7B"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7897608A" w14:textId="625F8CAF"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06A50DD7" w14:textId="051092AD"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67D7B8B5" w14:textId="59D5EAFE"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7EA4FA0C" w14:textId="1A198E28"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616F484E" w14:textId="0535C5E3"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7AF53801" w14:textId="2C727474"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3DEA43CF" w14:textId="5F38227B"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078FB110" w14:textId="2E886744"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41EE54E0" w14:textId="6F3ADF8D"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409F1DAF" w14:textId="334286FC"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1A41452B" w14:textId="5507515F"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7D4468EF" w14:textId="447A8432"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2B2E573E" w14:textId="237AAB72" w:rsidR="00411FC1" w:rsidRPr="00DA07E4" w:rsidRDefault="00411FC1" w:rsidP="00DA07E4">
      <w:pPr>
        <w:pStyle w:val="Nadpis1"/>
        <w:shd w:val="clear" w:color="auto" w:fill="FFFFFF"/>
        <w:spacing w:before="0" w:beforeAutospacing="0" w:after="0" w:afterAutospacing="0" w:line="360" w:lineRule="auto"/>
        <w:jc w:val="both"/>
        <w:rPr>
          <w:sz w:val="24"/>
          <w:szCs w:val="24"/>
          <w:lang w:val="en-GB"/>
        </w:rPr>
      </w:pPr>
    </w:p>
    <w:p w14:paraId="78FF7E08" w14:textId="0F5CB140" w:rsidR="00411FC1" w:rsidRDefault="00411FC1" w:rsidP="00FF4955">
      <w:pPr>
        <w:spacing w:after="0" w:line="360" w:lineRule="auto"/>
        <w:rPr>
          <w:rFonts w:ascii="Times New Roman" w:hAnsi="Times New Roman" w:cs="Times New Roman"/>
          <w:sz w:val="24"/>
          <w:szCs w:val="24"/>
        </w:rPr>
      </w:pPr>
      <w:r w:rsidRPr="00DA07E4">
        <w:rPr>
          <w:rFonts w:ascii="Times New Roman" w:hAnsi="Times New Roman" w:cs="Times New Roman"/>
          <w:b/>
          <w:bCs/>
          <w:sz w:val="24"/>
          <w:szCs w:val="24"/>
        </w:rPr>
        <w:lastRenderedPageBreak/>
        <w:t>P</w:t>
      </w:r>
      <w:r w:rsidR="003654EB" w:rsidRPr="00DA07E4">
        <w:rPr>
          <w:rFonts w:ascii="Times New Roman" w:hAnsi="Times New Roman" w:cs="Times New Roman"/>
          <w:b/>
          <w:bCs/>
          <w:sz w:val="24"/>
          <w:szCs w:val="24"/>
        </w:rPr>
        <w:t>RÍLOHA</w:t>
      </w:r>
      <w:r w:rsidRPr="00DA07E4">
        <w:rPr>
          <w:rFonts w:ascii="Times New Roman" w:hAnsi="Times New Roman" w:cs="Times New Roman"/>
          <w:sz w:val="24"/>
          <w:szCs w:val="24"/>
        </w:rPr>
        <w:t xml:space="preserve"> Slovenská verzia dotazníka WISQOL (Švihra</w:t>
      </w:r>
      <w:r w:rsidR="00804F1E" w:rsidRPr="00DA07E4">
        <w:rPr>
          <w:rFonts w:ascii="Times New Roman" w:hAnsi="Times New Roman" w:cs="Times New Roman"/>
          <w:sz w:val="24"/>
          <w:szCs w:val="24"/>
        </w:rPr>
        <w:t xml:space="preserve"> jr.</w:t>
      </w:r>
      <w:r w:rsidRPr="00DA07E4">
        <w:rPr>
          <w:rFonts w:ascii="Times New Roman" w:hAnsi="Times New Roman" w:cs="Times New Roman"/>
          <w:sz w:val="24"/>
          <w:szCs w:val="24"/>
        </w:rPr>
        <w:t xml:space="preserve"> </w:t>
      </w:r>
      <w:r w:rsidR="00804F1E" w:rsidRPr="00DA07E4">
        <w:rPr>
          <w:rFonts w:ascii="Times New Roman" w:hAnsi="Times New Roman" w:cs="Times New Roman"/>
          <w:sz w:val="24"/>
          <w:szCs w:val="24"/>
        </w:rPr>
        <w:t>et al., 20</w:t>
      </w:r>
      <w:r w:rsidR="005232A4">
        <w:rPr>
          <w:rFonts w:ascii="Times New Roman" w:hAnsi="Times New Roman" w:cs="Times New Roman"/>
          <w:sz w:val="24"/>
          <w:szCs w:val="24"/>
        </w:rPr>
        <w:t>20</w:t>
      </w:r>
      <w:r w:rsidRPr="00DA07E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A241F9" wp14:editId="60699EA8">
            <wp:extent cx="5600700" cy="7535174"/>
            <wp:effectExtent l="0" t="0" r="0" b="8890"/>
            <wp:docPr id="1" name="Obrázok 1"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stôl&#10;&#10;Automaticky generovaný popis"/>
                    <pic:cNvPicPr/>
                  </pic:nvPicPr>
                  <pic:blipFill>
                    <a:blip r:embed="rId77">
                      <a:extLst>
                        <a:ext uri="{28A0092B-C50C-407E-A947-70E740481C1C}">
                          <a14:useLocalDpi xmlns:a14="http://schemas.microsoft.com/office/drawing/2010/main" val="0"/>
                        </a:ext>
                      </a:extLst>
                    </a:blip>
                    <a:stretch>
                      <a:fillRect/>
                    </a:stretch>
                  </pic:blipFill>
                  <pic:spPr>
                    <a:xfrm>
                      <a:off x="0" y="0"/>
                      <a:ext cx="5604998" cy="7540956"/>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12954B7" wp14:editId="69A3C8D2">
            <wp:extent cx="5760720" cy="8147685"/>
            <wp:effectExtent l="0" t="0" r="0" b="5715"/>
            <wp:docPr id="10" name="Obrázok 1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pic:nvPicPr>
                  <pic:blipFill>
                    <a:blip r:embed="rId78">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14:paraId="424C0242" w14:textId="77777777" w:rsidR="00411FC1" w:rsidRPr="0052468A" w:rsidRDefault="00411FC1" w:rsidP="00411FC1">
      <w:pPr>
        <w:pStyle w:val="Nadpis1"/>
        <w:shd w:val="clear" w:color="auto" w:fill="FFFFFF"/>
        <w:spacing w:before="0" w:beforeAutospacing="0" w:after="0" w:afterAutospacing="0" w:line="360" w:lineRule="auto"/>
        <w:rPr>
          <w:sz w:val="24"/>
          <w:szCs w:val="24"/>
          <w:lang w:val="en-GB"/>
        </w:rPr>
      </w:pPr>
    </w:p>
    <w:sectPr w:rsidR="00411FC1" w:rsidRPr="0052468A" w:rsidSect="00390864">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642C" w14:textId="77777777" w:rsidR="00425B6A" w:rsidRDefault="00425B6A" w:rsidP="005B7894">
      <w:pPr>
        <w:spacing w:after="0" w:line="240" w:lineRule="auto"/>
      </w:pPr>
      <w:r>
        <w:separator/>
      </w:r>
    </w:p>
  </w:endnote>
  <w:endnote w:type="continuationSeparator" w:id="0">
    <w:p w14:paraId="53E2E64F" w14:textId="77777777" w:rsidR="00425B6A" w:rsidRDefault="00425B6A" w:rsidP="005B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dvOT596495f2">
    <w:altName w:val="Cambria"/>
    <w:panose1 w:val="00000000000000000000"/>
    <w:charset w:val="00"/>
    <w:family w:val="roman"/>
    <w:notTrueType/>
    <w:pitch w:val="default"/>
  </w:font>
  <w:font w:name="Times">
    <w:altName w:val="Times"/>
    <w:panose1 w:val="02020603050405020304"/>
    <w:charset w:val="EE"/>
    <w:family w:val="roman"/>
    <w:pitch w:val="variable"/>
    <w:sig w:usb0="E0002EFF" w:usb1="C000785B" w:usb2="00000009" w:usb3="00000000" w:csb0="000001FF" w:csb1="00000000"/>
  </w:font>
  <w:font w:name="AdvTimRomLiebert">
    <w:altName w:val="Cambria"/>
    <w:panose1 w:val="00000000000000000000"/>
    <w:charset w:val="00"/>
    <w:family w:val="roman"/>
    <w:notTrueType/>
    <w:pitch w:val="default"/>
  </w:font>
  <w:font w:name="AdvTimBolLieber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347889"/>
      <w:docPartObj>
        <w:docPartGallery w:val="Page Numbers (Bottom of Page)"/>
        <w:docPartUnique/>
      </w:docPartObj>
    </w:sdtPr>
    <w:sdtEndPr/>
    <w:sdtContent>
      <w:p w14:paraId="3042AEA6" w14:textId="017E7544" w:rsidR="000407A4" w:rsidRDefault="000407A4">
        <w:pPr>
          <w:pStyle w:val="Zpat"/>
          <w:jc w:val="center"/>
        </w:pPr>
        <w:r>
          <w:fldChar w:fldCharType="begin"/>
        </w:r>
        <w:r>
          <w:instrText>PAGE   \* MERGEFORMAT</w:instrText>
        </w:r>
        <w:r>
          <w:fldChar w:fldCharType="separate"/>
        </w:r>
        <w:r>
          <w:rPr>
            <w:lang w:val="cs-CZ"/>
          </w:rPr>
          <w:t>2</w:t>
        </w:r>
        <w:r>
          <w:fldChar w:fldCharType="end"/>
        </w:r>
      </w:p>
    </w:sdtContent>
  </w:sdt>
  <w:p w14:paraId="2370FFD3" w14:textId="77777777" w:rsidR="000407A4" w:rsidRDefault="000407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671660"/>
      <w:docPartObj>
        <w:docPartGallery w:val="Page Numbers (Bottom of Page)"/>
        <w:docPartUnique/>
      </w:docPartObj>
    </w:sdtPr>
    <w:sdtEndPr/>
    <w:sdtContent>
      <w:p w14:paraId="6E7EBE5D" w14:textId="04D22F9E" w:rsidR="003B394E" w:rsidRDefault="003B394E">
        <w:pPr>
          <w:pStyle w:val="Zpat"/>
          <w:jc w:val="center"/>
        </w:pPr>
        <w:r>
          <w:fldChar w:fldCharType="begin"/>
        </w:r>
        <w:r>
          <w:instrText>PAGE   \* MERGEFORMAT</w:instrText>
        </w:r>
        <w:r>
          <w:fldChar w:fldCharType="separate"/>
        </w:r>
        <w:r>
          <w:rPr>
            <w:lang w:val="cs-CZ"/>
          </w:rPr>
          <w:t>2</w:t>
        </w:r>
        <w:r>
          <w:fldChar w:fldCharType="end"/>
        </w:r>
      </w:p>
    </w:sdtContent>
  </w:sdt>
  <w:p w14:paraId="1F5D1CD7" w14:textId="77777777" w:rsidR="003B394E" w:rsidRDefault="003B394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594492"/>
      <w:docPartObj>
        <w:docPartGallery w:val="Page Numbers (Bottom of Page)"/>
        <w:docPartUnique/>
      </w:docPartObj>
    </w:sdtPr>
    <w:sdtEndPr/>
    <w:sdtContent>
      <w:p w14:paraId="575C3C05" w14:textId="6BDC1DA7" w:rsidR="003B394E" w:rsidRDefault="003B394E">
        <w:pPr>
          <w:pStyle w:val="Zpat"/>
          <w:jc w:val="center"/>
        </w:pPr>
        <w:r>
          <w:fldChar w:fldCharType="begin"/>
        </w:r>
        <w:r>
          <w:instrText>PAGE   \* MERGEFORMAT</w:instrText>
        </w:r>
        <w:r>
          <w:fldChar w:fldCharType="separate"/>
        </w:r>
        <w:r>
          <w:rPr>
            <w:lang w:val="cs-CZ"/>
          </w:rPr>
          <w:t>2</w:t>
        </w:r>
        <w:r>
          <w:fldChar w:fldCharType="end"/>
        </w:r>
      </w:p>
    </w:sdtContent>
  </w:sdt>
  <w:p w14:paraId="75AB8CCC" w14:textId="77777777" w:rsidR="005F4221" w:rsidRDefault="005F42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73DA5" w14:textId="77777777" w:rsidR="00425B6A" w:rsidRDefault="00425B6A" w:rsidP="005B7894">
      <w:pPr>
        <w:spacing w:after="0" w:line="240" w:lineRule="auto"/>
      </w:pPr>
      <w:r>
        <w:separator/>
      </w:r>
    </w:p>
  </w:footnote>
  <w:footnote w:type="continuationSeparator" w:id="0">
    <w:p w14:paraId="0EAD6F6C" w14:textId="77777777" w:rsidR="00425B6A" w:rsidRDefault="00425B6A" w:rsidP="005B7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1BD8"/>
    <w:multiLevelType w:val="multilevel"/>
    <w:tmpl w:val="200A86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517D9D"/>
    <w:multiLevelType w:val="multilevel"/>
    <w:tmpl w:val="6386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8596A"/>
    <w:multiLevelType w:val="hybridMultilevel"/>
    <w:tmpl w:val="5A249F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EB5FF0"/>
    <w:multiLevelType w:val="hybridMultilevel"/>
    <w:tmpl w:val="775450B6"/>
    <w:lvl w:ilvl="0" w:tplc="BA722CF8">
      <w:start w:val="1"/>
      <w:numFmt w:val="bullet"/>
      <w:lvlText w:val="•"/>
      <w:lvlJc w:val="left"/>
      <w:pPr>
        <w:tabs>
          <w:tab w:val="num" w:pos="720"/>
        </w:tabs>
        <w:ind w:left="720" w:hanging="360"/>
      </w:pPr>
      <w:rPr>
        <w:rFonts w:ascii="Arial" w:hAnsi="Arial" w:hint="default"/>
      </w:rPr>
    </w:lvl>
    <w:lvl w:ilvl="1" w:tplc="B1709480">
      <w:start w:val="17843"/>
      <w:numFmt w:val="bullet"/>
      <w:lvlText w:val="•"/>
      <w:lvlJc w:val="left"/>
      <w:pPr>
        <w:tabs>
          <w:tab w:val="num" w:pos="1440"/>
        </w:tabs>
        <w:ind w:left="1440" w:hanging="360"/>
      </w:pPr>
      <w:rPr>
        <w:rFonts w:ascii="Arial" w:hAnsi="Arial" w:hint="default"/>
      </w:rPr>
    </w:lvl>
    <w:lvl w:ilvl="2" w:tplc="93686C2C" w:tentative="1">
      <w:start w:val="1"/>
      <w:numFmt w:val="bullet"/>
      <w:lvlText w:val="•"/>
      <w:lvlJc w:val="left"/>
      <w:pPr>
        <w:tabs>
          <w:tab w:val="num" w:pos="2160"/>
        </w:tabs>
        <w:ind w:left="2160" w:hanging="360"/>
      </w:pPr>
      <w:rPr>
        <w:rFonts w:ascii="Arial" w:hAnsi="Arial" w:hint="default"/>
      </w:rPr>
    </w:lvl>
    <w:lvl w:ilvl="3" w:tplc="43045ED2" w:tentative="1">
      <w:start w:val="1"/>
      <w:numFmt w:val="bullet"/>
      <w:lvlText w:val="•"/>
      <w:lvlJc w:val="left"/>
      <w:pPr>
        <w:tabs>
          <w:tab w:val="num" w:pos="2880"/>
        </w:tabs>
        <w:ind w:left="2880" w:hanging="360"/>
      </w:pPr>
      <w:rPr>
        <w:rFonts w:ascii="Arial" w:hAnsi="Arial" w:hint="default"/>
      </w:rPr>
    </w:lvl>
    <w:lvl w:ilvl="4" w:tplc="35C2BDAE" w:tentative="1">
      <w:start w:val="1"/>
      <w:numFmt w:val="bullet"/>
      <w:lvlText w:val="•"/>
      <w:lvlJc w:val="left"/>
      <w:pPr>
        <w:tabs>
          <w:tab w:val="num" w:pos="3600"/>
        </w:tabs>
        <w:ind w:left="3600" w:hanging="360"/>
      </w:pPr>
      <w:rPr>
        <w:rFonts w:ascii="Arial" w:hAnsi="Arial" w:hint="default"/>
      </w:rPr>
    </w:lvl>
    <w:lvl w:ilvl="5" w:tplc="5ABA25BE" w:tentative="1">
      <w:start w:val="1"/>
      <w:numFmt w:val="bullet"/>
      <w:lvlText w:val="•"/>
      <w:lvlJc w:val="left"/>
      <w:pPr>
        <w:tabs>
          <w:tab w:val="num" w:pos="4320"/>
        </w:tabs>
        <w:ind w:left="4320" w:hanging="360"/>
      </w:pPr>
      <w:rPr>
        <w:rFonts w:ascii="Arial" w:hAnsi="Arial" w:hint="default"/>
      </w:rPr>
    </w:lvl>
    <w:lvl w:ilvl="6" w:tplc="389E734A" w:tentative="1">
      <w:start w:val="1"/>
      <w:numFmt w:val="bullet"/>
      <w:lvlText w:val="•"/>
      <w:lvlJc w:val="left"/>
      <w:pPr>
        <w:tabs>
          <w:tab w:val="num" w:pos="5040"/>
        </w:tabs>
        <w:ind w:left="5040" w:hanging="360"/>
      </w:pPr>
      <w:rPr>
        <w:rFonts w:ascii="Arial" w:hAnsi="Arial" w:hint="default"/>
      </w:rPr>
    </w:lvl>
    <w:lvl w:ilvl="7" w:tplc="56266C3E" w:tentative="1">
      <w:start w:val="1"/>
      <w:numFmt w:val="bullet"/>
      <w:lvlText w:val="•"/>
      <w:lvlJc w:val="left"/>
      <w:pPr>
        <w:tabs>
          <w:tab w:val="num" w:pos="5760"/>
        </w:tabs>
        <w:ind w:left="5760" w:hanging="360"/>
      </w:pPr>
      <w:rPr>
        <w:rFonts w:ascii="Arial" w:hAnsi="Arial" w:hint="default"/>
      </w:rPr>
    </w:lvl>
    <w:lvl w:ilvl="8" w:tplc="FC0055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9411E4"/>
    <w:multiLevelType w:val="multilevel"/>
    <w:tmpl w:val="200A86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780316"/>
    <w:multiLevelType w:val="hybridMultilevel"/>
    <w:tmpl w:val="489E62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6D57B57"/>
    <w:multiLevelType w:val="multilevel"/>
    <w:tmpl w:val="01B6048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9B1107"/>
    <w:multiLevelType w:val="multilevel"/>
    <w:tmpl w:val="F828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095E59"/>
    <w:multiLevelType w:val="multilevel"/>
    <w:tmpl w:val="AD86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47F49"/>
    <w:multiLevelType w:val="multilevel"/>
    <w:tmpl w:val="B1D6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649AC"/>
    <w:multiLevelType w:val="hybridMultilevel"/>
    <w:tmpl w:val="3028F9D8"/>
    <w:lvl w:ilvl="0" w:tplc="7CBCD54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82D48EF"/>
    <w:multiLevelType w:val="multilevel"/>
    <w:tmpl w:val="96FC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6A6AE4"/>
    <w:multiLevelType w:val="multilevel"/>
    <w:tmpl w:val="D7B0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5284A"/>
    <w:multiLevelType w:val="multilevel"/>
    <w:tmpl w:val="BF4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B04E3"/>
    <w:multiLevelType w:val="multilevel"/>
    <w:tmpl w:val="36FCF2E0"/>
    <w:lvl w:ilvl="0">
      <w:start w:val="1"/>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48967929"/>
    <w:multiLevelType w:val="multilevel"/>
    <w:tmpl w:val="D1A2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BD1A6E"/>
    <w:multiLevelType w:val="hybridMultilevel"/>
    <w:tmpl w:val="12B2B1F4"/>
    <w:lvl w:ilvl="0" w:tplc="041B000F">
      <w:start w:val="2"/>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4C687B38"/>
    <w:multiLevelType w:val="multilevel"/>
    <w:tmpl w:val="200A86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CD53CE5"/>
    <w:multiLevelType w:val="multilevel"/>
    <w:tmpl w:val="CADE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1244D"/>
    <w:multiLevelType w:val="multilevel"/>
    <w:tmpl w:val="B866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347267"/>
    <w:multiLevelType w:val="multilevel"/>
    <w:tmpl w:val="41A4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25B6F"/>
    <w:multiLevelType w:val="multilevel"/>
    <w:tmpl w:val="DD30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AE7032"/>
    <w:multiLevelType w:val="multilevel"/>
    <w:tmpl w:val="D8C6B36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CA1E69"/>
    <w:multiLevelType w:val="multilevel"/>
    <w:tmpl w:val="200A86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CF52785"/>
    <w:multiLevelType w:val="multilevel"/>
    <w:tmpl w:val="98DA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60308"/>
    <w:multiLevelType w:val="multilevel"/>
    <w:tmpl w:val="FAC2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6D7050"/>
    <w:multiLevelType w:val="hybridMultilevel"/>
    <w:tmpl w:val="0E9CCF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5"/>
  </w:num>
  <w:num w:numId="2">
    <w:abstractNumId w:val="9"/>
  </w:num>
  <w:num w:numId="3">
    <w:abstractNumId w:val="24"/>
  </w:num>
  <w:num w:numId="4">
    <w:abstractNumId w:val="0"/>
  </w:num>
  <w:num w:numId="5">
    <w:abstractNumId w:val="7"/>
  </w:num>
  <w:num w:numId="6">
    <w:abstractNumId w:val="26"/>
  </w:num>
  <w:num w:numId="7">
    <w:abstractNumId w:val="18"/>
  </w:num>
  <w:num w:numId="8">
    <w:abstractNumId w:val="8"/>
  </w:num>
  <w:num w:numId="9">
    <w:abstractNumId w:val="15"/>
  </w:num>
  <w:num w:numId="10">
    <w:abstractNumId w:val="1"/>
  </w:num>
  <w:num w:numId="11">
    <w:abstractNumId w:val="21"/>
  </w:num>
  <w:num w:numId="12">
    <w:abstractNumId w:val="4"/>
  </w:num>
  <w:num w:numId="13">
    <w:abstractNumId w:val="17"/>
  </w:num>
  <w:num w:numId="14">
    <w:abstractNumId w:val="23"/>
  </w:num>
  <w:num w:numId="15">
    <w:abstractNumId w:val="14"/>
  </w:num>
  <w:num w:numId="16">
    <w:abstractNumId w:val="6"/>
  </w:num>
  <w:num w:numId="17">
    <w:abstractNumId w:val="22"/>
  </w:num>
  <w:num w:numId="18">
    <w:abstractNumId w:val="12"/>
  </w:num>
  <w:num w:numId="19">
    <w:abstractNumId w:val="10"/>
  </w:num>
  <w:num w:numId="20">
    <w:abstractNumId w:val="3"/>
  </w:num>
  <w:num w:numId="21">
    <w:abstractNumId w:val="5"/>
  </w:num>
  <w:num w:numId="22">
    <w:abstractNumId w:val="16"/>
  </w:num>
  <w:num w:numId="23">
    <w:abstractNumId w:val="2"/>
  </w:num>
  <w:num w:numId="24">
    <w:abstractNumId w:val="13"/>
  </w:num>
  <w:num w:numId="25">
    <w:abstractNumId w:val="19"/>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69"/>
    <w:rsid w:val="00011820"/>
    <w:rsid w:val="000164E5"/>
    <w:rsid w:val="00023956"/>
    <w:rsid w:val="000259A5"/>
    <w:rsid w:val="000373EF"/>
    <w:rsid w:val="000376E5"/>
    <w:rsid w:val="000407A4"/>
    <w:rsid w:val="000716C9"/>
    <w:rsid w:val="000832D5"/>
    <w:rsid w:val="0008432A"/>
    <w:rsid w:val="00085EF2"/>
    <w:rsid w:val="000A17F9"/>
    <w:rsid w:val="000A6941"/>
    <w:rsid w:val="000A7009"/>
    <w:rsid w:val="000A70CF"/>
    <w:rsid w:val="000B363A"/>
    <w:rsid w:val="000D79BC"/>
    <w:rsid w:val="000E2369"/>
    <w:rsid w:val="000F1242"/>
    <w:rsid w:val="000F548F"/>
    <w:rsid w:val="000F79DB"/>
    <w:rsid w:val="000F7A3B"/>
    <w:rsid w:val="000F7C05"/>
    <w:rsid w:val="00103F26"/>
    <w:rsid w:val="00104296"/>
    <w:rsid w:val="00110EBF"/>
    <w:rsid w:val="00127BEA"/>
    <w:rsid w:val="00131339"/>
    <w:rsid w:val="0013454C"/>
    <w:rsid w:val="00136DB7"/>
    <w:rsid w:val="0013776C"/>
    <w:rsid w:val="001461EE"/>
    <w:rsid w:val="00150D5B"/>
    <w:rsid w:val="0015280F"/>
    <w:rsid w:val="00153945"/>
    <w:rsid w:val="00155E1D"/>
    <w:rsid w:val="001562F0"/>
    <w:rsid w:val="00156A39"/>
    <w:rsid w:val="0016219F"/>
    <w:rsid w:val="00164225"/>
    <w:rsid w:val="00173F6A"/>
    <w:rsid w:val="00181F17"/>
    <w:rsid w:val="00187CFB"/>
    <w:rsid w:val="001903A1"/>
    <w:rsid w:val="00193DAC"/>
    <w:rsid w:val="00197197"/>
    <w:rsid w:val="001A5800"/>
    <w:rsid w:val="001B0F72"/>
    <w:rsid w:val="001B4298"/>
    <w:rsid w:val="001B453F"/>
    <w:rsid w:val="001D1F6D"/>
    <w:rsid w:val="001D7841"/>
    <w:rsid w:val="001E56FE"/>
    <w:rsid w:val="0020041D"/>
    <w:rsid w:val="002022A1"/>
    <w:rsid w:val="002046B5"/>
    <w:rsid w:val="00206CBC"/>
    <w:rsid w:val="002146D3"/>
    <w:rsid w:val="0022455A"/>
    <w:rsid w:val="00224EDF"/>
    <w:rsid w:val="00230415"/>
    <w:rsid w:val="002378BD"/>
    <w:rsid w:val="002403BE"/>
    <w:rsid w:val="00252615"/>
    <w:rsid w:val="0025374B"/>
    <w:rsid w:val="00257D55"/>
    <w:rsid w:val="00260773"/>
    <w:rsid w:val="00271D31"/>
    <w:rsid w:val="00277316"/>
    <w:rsid w:val="00280A1A"/>
    <w:rsid w:val="00283641"/>
    <w:rsid w:val="0028636C"/>
    <w:rsid w:val="002B09B3"/>
    <w:rsid w:val="002B4903"/>
    <w:rsid w:val="002B5D5E"/>
    <w:rsid w:val="002C23BC"/>
    <w:rsid w:val="002C38EF"/>
    <w:rsid w:val="002D30DD"/>
    <w:rsid w:val="002E1572"/>
    <w:rsid w:val="002E6FEA"/>
    <w:rsid w:val="002E77A1"/>
    <w:rsid w:val="002F40C1"/>
    <w:rsid w:val="002F460E"/>
    <w:rsid w:val="002F58F9"/>
    <w:rsid w:val="00301A9C"/>
    <w:rsid w:val="00305F45"/>
    <w:rsid w:val="0030665F"/>
    <w:rsid w:val="003071AE"/>
    <w:rsid w:val="003116FB"/>
    <w:rsid w:val="00314E03"/>
    <w:rsid w:val="003214AC"/>
    <w:rsid w:val="00323657"/>
    <w:rsid w:val="00326C84"/>
    <w:rsid w:val="00331EB5"/>
    <w:rsid w:val="00333F2A"/>
    <w:rsid w:val="003425E6"/>
    <w:rsid w:val="0035621D"/>
    <w:rsid w:val="00360CB7"/>
    <w:rsid w:val="0036437E"/>
    <w:rsid w:val="003654EB"/>
    <w:rsid w:val="00366E38"/>
    <w:rsid w:val="0037255F"/>
    <w:rsid w:val="003769AB"/>
    <w:rsid w:val="0037739A"/>
    <w:rsid w:val="0038460C"/>
    <w:rsid w:val="00385E70"/>
    <w:rsid w:val="00390864"/>
    <w:rsid w:val="00397B94"/>
    <w:rsid w:val="003B394E"/>
    <w:rsid w:val="003B3BCF"/>
    <w:rsid w:val="003B4C1C"/>
    <w:rsid w:val="003C6357"/>
    <w:rsid w:val="003D0B4A"/>
    <w:rsid w:val="003D27CA"/>
    <w:rsid w:val="003D763E"/>
    <w:rsid w:val="003E0F72"/>
    <w:rsid w:val="003E4B2C"/>
    <w:rsid w:val="003F4C6D"/>
    <w:rsid w:val="00411892"/>
    <w:rsid w:val="00411FC1"/>
    <w:rsid w:val="00413176"/>
    <w:rsid w:val="004143E7"/>
    <w:rsid w:val="00423FC2"/>
    <w:rsid w:val="00425B6A"/>
    <w:rsid w:val="00433E9F"/>
    <w:rsid w:val="0043456B"/>
    <w:rsid w:val="0044435B"/>
    <w:rsid w:val="00454B9D"/>
    <w:rsid w:val="004554B8"/>
    <w:rsid w:val="00466575"/>
    <w:rsid w:val="00470C8A"/>
    <w:rsid w:val="00472B07"/>
    <w:rsid w:val="004741EC"/>
    <w:rsid w:val="00483EB6"/>
    <w:rsid w:val="004852CA"/>
    <w:rsid w:val="00485D07"/>
    <w:rsid w:val="004953D2"/>
    <w:rsid w:val="004A3436"/>
    <w:rsid w:val="004A35C6"/>
    <w:rsid w:val="004A4728"/>
    <w:rsid w:val="004A5BFE"/>
    <w:rsid w:val="004A6313"/>
    <w:rsid w:val="004A7921"/>
    <w:rsid w:val="004B5E42"/>
    <w:rsid w:val="004B5F23"/>
    <w:rsid w:val="004C0063"/>
    <w:rsid w:val="004C2E7A"/>
    <w:rsid w:val="004D3042"/>
    <w:rsid w:val="004D5B79"/>
    <w:rsid w:val="004D737F"/>
    <w:rsid w:val="004F4094"/>
    <w:rsid w:val="005017DD"/>
    <w:rsid w:val="005232A4"/>
    <w:rsid w:val="0052468A"/>
    <w:rsid w:val="00524EF8"/>
    <w:rsid w:val="00526A4A"/>
    <w:rsid w:val="00530EC7"/>
    <w:rsid w:val="00531FC5"/>
    <w:rsid w:val="00532D8A"/>
    <w:rsid w:val="0054254D"/>
    <w:rsid w:val="00542AB6"/>
    <w:rsid w:val="0054354B"/>
    <w:rsid w:val="00551E40"/>
    <w:rsid w:val="005570AC"/>
    <w:rsid w:val="005572B3"/>
    <w:rsid w:val="00562F64"/>
    <w:rsid w:val="00575230"/>
    <w:rsid w:val="00575EA9"/>
    <w:rsid w:val="005778DB"/>
    <w:rsid w:val="00577BC7"/>
    <w:rsid w:val="00584B32"/>
    <w:rsid w:val="005858F3"/>
    <w:rsid w:val="00597D1C"/>
    <w:rsid w:val="005A0250"/>
    <w:rsid w:val="005A093B"/>
    <w:rsid w:val="005A369A"/>
    <w:rsid w:val="005A6D30"/>
    <w:rsid w:val="005B1320"/>
    <w:rsid w:val="005B27DC"/>
    <w:rsid w:val="005B7894"/>
    <w:rsid w:val="005C091E"/>
    <w:rsid w:val="005D17F9"/>
    <w:rsid w:val="005D48DD"/>
    <w:rsid w:val="005D5D88"/>
    <w:rsid w:val="005D6F1F"/>
    <w:rsid w:val="005E2ED5"/>
    <w:rsid w:val="005E6B98"/>
    <w:rsid w:val="005F4221"/>
    <w:rsid w:val="005F6875"/>
    <w:rsid w:val="005F6E87"/>
    <w:rsid w:val="00600371"/>
    <w:rsid w:val="00601120"/>
    <w:rsid w:val="006040F5"/>
    <w:rsid w:val="00615D13"/>
    <w:rsid w:val="00622690"/>
    <w:rsid w:val="006254A0"/>
    <w:rsid w:val="0062653F"/>
    <w:rsid w:val="00632643"/>
    <w:rsid w:val="00636D83"/>
    <w:rsid w:val="00644522"/>
    <w:rsid w:val="00645321"/>
    <w:rsid w:val="00652A73"/>
    <w:rsid w:val="00663D6D"/>
    <w:rsid w:val="00673511"/>
    <w:rsid w:val="00675BE7"/>
    <w:rsid w:val="00681AD0"/>
    <w:rsid w:val="00686B1D"/>
    <w:rsid w:val="0069101F"/>
    <w:rsid w:val="006935B6"/>
    <w:rsid w:val="006A7460"/>
    <w:rsid w:val="006B1858"/>
    <w:rsid w:val="006B6A24"/>
    <w:rsid w:val="006C1EDF"/>
    <w:rsid w:val="006E4DA7"/>
    <w:rsid w:val="006E5066"/>
    <w:rsid w:val="006F01A5"/>
    <w:rsid w:val="006F1E11"/>
    <w:rsid w:val="006F4B7C"/>
    <w:rsid w:val="006F7089"/>
    <w:rsid w:val="0070413B"/>
    <w:rsid w:val="0071042C"/>
    <w:rsid w:val="00715B14"/>
    <w:rsid w:val="00722A13"/>
    <w:rsid w:val="00725E17"/>
    <w:rsid w:val="00734177"/>
    <w:rsid w:val="007359E2"/>
    <w:rsid w:val="007376E5"/>
    <w:rsid w:val="007414F4"/>
    <w:rsid w:val="00744D73"/>
    <w:rsid w:val="00750E13"/>
    <w:rsid w:val="00753CBD"/>
    <w:rsid w:val="00757855"/>
    <w:rsid w:val="00760662"/>
    <w:rsid w:val="007748C4"/>
    <w:rsid w:val="007802CA"/>
    <w:rsid w:val="00783DDC"/>
    <w:rsid w:val="00785CC0"/>
    <w:rsid w:val="007A0386"/>
    <w:rsid w:val="007A6505"/>
    <w:rsid w:val="007A7136"/>
    <w:rsid w:val="007A7F31"/>
    <w:rsid w:val="007B4ED5"/>
    <w:rsid w:val="007B64A0"/>
    <w:rsid w:val="007C29EC"/>
    <w:rsid w:val="007C676F"/>
    <w:rsid w:val="007D5CCB"/>
    <w:rsid w:val="007E61D9"/>
    <w:rsid w:val="007E6BB5"/>
    <w:rsid w:val="0080286E"/>
    <w:rsid w:val="00804F1E"/>
    <w:rsid w:val="00807535"/>
    <w:rsid w:val="008113E9"/>
    <w:rsid w:val="008119E1"/>
    <w:rsid w:val="00812857"/>
    <w:rsid w:val="00812D60"/>
    <w:rsid w:val="00824AA2"/>
    <w:rsid w:val="00827025"/>
    <w:rsid w:val="00833B79"/>
    <w:rsid w:val="008359AD"/>
    <w:rsid w:val="00836C97"/>
    <w:rsid w:val="00837702"/>
    <w:rsid w:val="0084364F"/>
    <w:rsid w:val="00846923"/>
    <w:rsid w:val="0085761D"/>
    <w:rsid w:val="00862203"/>
    <w:rsid w:val="00865B98"/>
    <w:rsid w:val="00871B9E"/>
    <w:rsid w:val="00874818"/>
    <w:rsid w:val="00875B80"/>
    <w:rsid w:val="0088062E"/>
    <w:rsid w:val="00880677"/>
    <w:rsid w:val="00880AFC"/>
    <w:rsid w:val="00894387"/>
    <w:rsid w:val="0089740C"/>
    <w:rsid w:val="008B0BB4"/>
    <w:rsid w:val="008B2C59"/>
    <w:rsid w:val="008B2CDB"/>
    <w:rsid w:val="008C5EF6"/>
    <w:rsid w:val="008C754F"/>
    <w:rsid w:val="008D1014"/>
    <w:rsid w:val="008E1FC0"/>
    <w:rsid w:val="008E23AF"/>
    <w:rsid w:val="008E47DC"/>
    <w:rsid w:val="008F1AD9"/>
    <w:rsid w:val="00916158"/>
    <w:rsid w:val="00916AC0"/>
    <w:rsid w:val="00916F45"/>
    <w:rsid w:val="00925CB3"/>
    <w:rsid w:val="00927F38"/>
    <w:rsid w:val="00931B0D"/>
    <w:rsid w:val="00941889"/>
    <w:rsid w:val="00942C43"/>
    <w:rsid w:val="009436B0"/>
    <w:rsid w:val="00944BB7"/>
    <w:rsid w:val="009468C8"/>
    <w:rsid w:val="009517CA"/>
    <w:rsid w:val="00952726"/>
    <w:rsid w:val="00952A53"/>
    <w:rsid w:val="00962F40"/>
    <w:rsid w:val="00966F7B"/>
    <w:rsid w:val="00970F08"/>
    <w:rsid w:val="00971BD9"/>
    <w:rsid w:val="00973118"/>
    <w:rsid w:val="00980D51"/>
    <w:rsid w:val="00981A07"/>
    <w:rsid w:val="00984BAA"/>
    <w:rsid w:val="00990045"/>
    <w:rsid w:val="00990343"/>
    <w:rsid w:val="00990659"/>
    <w:rsid w:val="00994E0F"/>
    <w:rsid w:val="009B1C7F"/>
    <w:rsid w:val="009B3AA7"/>
    <w:rsid w:val="009B5CE8"/>
    <w:rsid w:val="009D0E8B"/>
    <w:rsid w:val="009D2771"/>
    <w:rsid w:val="009E14E9"/>
    <w:rsid w:val="009E7FA9"/>
    <w:rsid w:val="009F17C8"/>
    <w:rsid w:val="00A06271"/>
    <w:rsid w:val="00A0627D"/>
    <w:rsid w:val="00A07DBE"/>
    <w:rsid w:val="00A16A78"/>
    <w:rsid w:val="00A21546"/>
    <w:rsid w:val="00A25490"/>
    <w:rsid w:val="00A26FEC"/>
    <w:rsid w:val="00A3085C"/>
    <w:rsid w:val="00A336A3"/>
    <w:rsid w:val="00A41182"/>
    <w:rsid w:val="00A41D7A"/>
    <w:rsid w:val="00A47ABD"/>
    <w:rsid w:val="00A56594"/>
    <w:rsid w:val="00A60123"/>
    <w:rsid w:val="00A679D3"/>
    <w:rsid w:val="00A754AA"/>
    <w:rsid w:val="00A833FD"/>
    <w:rsid w:val="00A84A0F"/>
    <w:rsid w:val="00A84C52"/>
    <w:rsid w:val="00A9246C"/>
    <w:rsid w:val="00AA3622"/>
    <w:rsid w:val="00AB09C1"/>
    <w:rsid w:val="00AB3982"/>
    <w:rsid w:val="00AB7D5B"/>
    <w:rsid w:val="00AC4383"/>
    <w:rsid w:val="00AC44AA"/>
    <w:rsid w:val="00AF27FF"/>
    <w:rsid w:val="00AF490A"/>
    <w:rsid w:val="00B00677"/>
    <w:rsid w:val="00B12603"/>
    <w:rsid w:val="00B151AA"/>
    <w:rsid w:val="00B15B41"/>
    <w:rsid w:val="00B15F8A"/>
    <w:rsid w:val="00B201C2"/>
    <w:rsid w:val="00B32096"/>
    <w:rsid w:val="00B449C0"/>
    <w:rsid w:val="00B45A1B"/>
    <w:rsid w:val="00B50092"/>
    <w:rsid w:val="00B544D3"/>
    <w:rsid w:val="00B54AB8"/>
    <w:rsid w:val="00B5536E"/>
    <w:rsid w:val="00B55FFA"/>
    <w:rsid w:val="00B713B9"/>
    <w:rsid w:val="00B74799"/>
    <w:rsid w:val="00B81A14"/>
    <w:rsid w:val="00B8676D"/>
    <w:rsid w:val="00B9207D"/>
    <w:rsid w:val="00BA2396"/>
    <w:rsid w:val="00BB3A19"/>
    <w:rsid w:val="00BC0632"/>
    <w:rsid w:val="00BC2ED6"/>
    <w:rsid w:val="00BC5206"/>
    <w:rsid w:val="00BC6616"/>
    <w:rsid w:val="00BE5170"/>
    <w:rsid w:val="00BF1052"/>
    <w:rsid w:val="00BF65B3"/>
    <w:rsid w:val="00BF6FFF"/>
    <w:rsid w:val="00C01B69"/>
    <w:rsid w:val="00C06724"/>
    <w:rsid w:val="00C17435"/>
    <w:rsid w:val="00C20B2E"/>
    <w:rsid w:val="00C238D6"/>
    <w:rsid w:val="00C45B92"/>
    <w:rsid w:val="00C55B03"/>
    <w:rsid w:val="00C60467"/>
    <w:rsid w:val="00C62BA1"/>
    <w:rsid w:val="00C630C2"/>
    <w:rsid w:val="00C81423"/>
    <w:rsid w:val="00C854CC"/>
    <w:rsid w:val="00C863A5"/>
    <w:rsid w:val="00C92D2B"/>
    <w:rsid w:val="00CA0030"/>
    <w:rsid w:val="00CA4C55"/>
    <w:rsid w:val="00CB0810"/>
    <w:rsid w:val="00CB53B9"/>
    <w:rsid w:val="00CC1230"/>
    <w:rsid w:val="00CC720D"/>
    <w:rsid w:val="00CD28EA"/>
    <w:rsid w:val="00D07230"/>
    <w:rsid w:val="00D11DCB"/>
    <w:rsid w:val="00D125FB"/>
    <w:rsid w:val="00D135D4"/>
    <w:rsid w:val="00D164A9"/>
    <w:rsid w:val="00D25E45"/>
    <w:rsid w:val="00D267BA"/>
    <w:rsid w:val="00D465C4"/>
    <w:rsid w:val="00D505EA"/>
    <w:rsid w:val="00D51BF8"/>
    <w:rsid w:val="00D54102"/>
    <w:rsid w:val="00D63BAE"/>
    <w:rsid w:val="00D64E6F"/>
    <w:rsid w:val="00D70933"/>
    <w:rsid w:val="00D73F09"/>
    <w:rsid w:val="00D770C4"/>
    <w:rsid w:val="00D80F4C"/>
    <w:rsid w:val="00D8203C"/>
    <w:rsid w:val="00D91D3A"/>
    <w:rsid w:val="00D93836"/>
    <w:rsid w:val="00DA07E4"/>
    <w:rsid w:val="00DA4F0E"/>
    <w:rsid w:val="00DA6CE7"/>
    <w:rsid w:val="00DC5001"/>
    <w:rsid w:val="00DD52B5"/>
    <w:rsid w:val="00DE0026"/>
    <w:rsid w:val="00DE214F"/>
    <w:rsid w:val="00DE279B"/>
    <w:rsid w:val="00DF049B"/>
    <w:rsid w:val="00DF5D48"/>
    <w:rsid w:val="00E10F1D"/>
    <w:rsid w:val="00E16968"/>
    <w:rsid w:val="00E205D7"/>
    <w:rsid w:val="00E22720"/>
    <w:rsid w:val="00E259F0"/>
    <w:rsid w:val="00E26032"/>
    <w:rsid w:val="00E2638F"/>
    <w:rsid w:val="00E26BDB"/>
    <w:rsid w:val="00E35C91"/>
    <w:rsid w:val="00E36602"/>
    <w:rsid w:val="00E43A8D"/>
    <w:rsid w:val="00E5515E"/>
    <w:rsid w:val="00E677BD"/>
    <w:rsid w:val="00E70A25"/>
    <w:rsid w:val="00E7227B"/>
    <w:rsid w:val="00E83AC3"/>
    <w:rsid w:val="00EA160E"/>
    <w:rsid w:val="00EA2322"/>
    <w:rsid w:val="00EA33AC"/>
    <w:rsid w:val="00EB115F"/>
    <w:rsid w:val="00EB2FC1"/>
    <w:rsid w:val="00EB4E6E"/>
    <w:rsid w:val="00EB789C"/>
    <w:rsid w:val="00ED272E"/>
    <w:rsid w:val="00ED4E4F"/>
    <w:rsid w:val="00ED6C69"/>
    <w:rsid w:val="00EE0D2A"/>
    <w:rsid w:val="00F00D7D"/>
    <w:rsid w:val="00F01DE1"/>
    <w:rsid w:val="00F06F1C"/>
    <w:rsid w:val="00F11032"/>
    <w:rsid w:val="00F165C6"/>
    <w:rsid w:val="00F16804"/>
    <w:rsid w:val="00F235AA"/>
    <w:rsid w:val="00F2669C"/>
    <w:rsid w:val="00F30DBF"/>
    <w:rsid w:val="00F33D7A"/>
    <w:rsid w:val="00F37012"/>
    <w:rsid w:val="00F542F4"/>
    <w:rsid w:val="00F62A9C"/>
    <w:rsid w:val="00F72835"/>
    <w:rsid w:val="00F85346"/>
    <w:rsid w:val="00F8639F"/>
    <w:rsid w:val="00F9151A"/>
    <w:rsid w:val="00F92F1C"/>
    <w:rsid w:val="00F93299"/>
    <w:rsid w:val="00FA05C0"/>
    <w:rsid w:val="00FA5848"/>
    <w:rsid w:val="00FB2790"/>
    <w:rsid w:val="00FB43CB"/>
    <w:rsid w:val="00FB46DA"/>
    <w:rsid w:val="00FC4DF5"/>
    <w:rsid w:val="00FC5EC3"/>
    <w:rsid w:val="00FE196D"/>
    <w:rsid w:val="00FE7195"/>
    <w:rsid w:val="00FF4955"/>
    <w:rsid w:val="00FF54A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46C3C"/>
  <w15:chartTrackingRefBased/>
  <w15:docId w15:val="{E0C03364-E465-41F0-9FA5-B4383601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812D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
    <w:next w:val="Normln"/>
    <w:link w:val="Nadpis2Char"/>
    <w:uiPriority w:val="9"/>
    <w:unhideWhenUsed/>
    <w:qFormat/>
    <w:rsid w:val="00B54AB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sk-SK"/>
    </w:rPr>
  </w:style>
  <w:style w:type="paragraph" w:styleId="Nadpis3">
    <w:name w:val="heading 3"/>
    <w:basedOn w:val="Normln"/>
    <w:next w:val="Normln"/>
    <w:link w:val="Nadpis3Char"/>
    <w:uiPriority w:val="9"/>
    <w:semiHidden/>
    <w:unhideWhenUsed/>
    <w:qFormat/>
    <w:rsid w:val="00833B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1">
    <w:name w:val="A1"/>
    <w:uiPriority w:val="99"/>
    <w:rsid w:val="00ED6C69"/>
    <w:rPr>
      <w:color w:val="000000"/>
      <w:sz w:val="20"/>
      <w:szCs w:val="20"/>
    </w:rPr>
  </w:style>
  <w:style w:type="character" w:customStyle="1" w:styleId="A18">
    <w:name w:val="A18"/>
    <w:uiPriority w:val="99"/>
    <w:rsid w:val="00ED6C69"/>
    <w:rPr>
      <w:color w:val="000000"/>
      <w:sz w:val="11"/>
      <w:szCs w:val="11"/>
    </w:rPr>
  </w:style>
  <w:style w:type="character" w:styleId="Hypertextovodkaz">
    <w:name w:val="Hyperlink"/>
    <w:basedOn w:val="Standardnpsmoodstavce"/>
    <w:uiPriority w:val="99"/>
    <w:unhideWhenUsed/>
    <w:rsid w:val="00812D60"/>
    <w:rPr>
      <w:color w:val="0000FF"/>
      <w:u w:val="single"/>
    </w:rPr>
  </w:style>
  <w:style w:type="character" w:styleId="Siln">
    <w:name w:val="Strong"/>
    <w:basedOn w:val="Standardnpsmoodstavce"/>
    <w:uiPriority w:val="22"/>
    <w:qFormat/>
    <w:rsid w:val="00812D60"/>
    <w:rPr>
      <w:b/>
      <w:bCs/>
    </w:rPr>
  </w:style>
  <w:style w:type="character" w:customStyle="1" w:styleId="Nadpis1Char">
    <w:name w:val="Nadpis 1 Char"/>
    <w:basedOn w:val="Standardnpsmoodstavce"/>
    <w:link w:val="Nadpis1"/>
    <w:uiPriority w:val="9"/>
    <w:rsid w:val="00812D60"/>
    <w:rPr>
      <w:rFonts w:ascii="Times New Roman" w:eastAsia="Times New Roman" w:hAnsi="Times New Roman" w:cs="Times New Roman"/>
      <w:b/>
      <w:bCs/>
      <w:kern w:val="36"/>
      <w:sz w:val="48"/>
      <w:szCs w:val="48"/>
      <w:lang w:eastAsia="sk-SK"/>
    </w:rPr>
  </w:style>
  <w:style w:type="character" w:customStyle="1" w:styleId="period">
    <w:name w:val="period"/>
    <w:basedOn w:val="Standardnpsmoodstavce"/>
    <w:rsid w:val="00812D60"/>
  </w:style>
  <w:style w:type="character" w:customStyle="1" w:styleId="cit">
    <w:name w:val="cit"/>
    <w:basedOn w:val="Standardnpsmoodstavce"/>
    <w:rsid w:val="00812D60"/>
  </w:style>
  <w:style w:type="character" w:customStyle="1" w:styleId="citation-doi">
    <w:name w:val="citation-doi"/>
    <w:basedOn w:val="Standardnpsmoodstavce"/>
    <w:rsid w:val="00812D60"/>
  </w:style>
  <w:style w:type="character" w:customStyle="1" w:styleId="secondary-date">
    <w:name w:val="secondary-date"/>
    <w:basedOn w:val="Standardnpsmoodstavce"/>
    <w:rsid w:val="00812D60"/>
  </w:style>
  <w:style w:type="paragraph" w:styleId="Odstavecseseznamem">
    <w:name w:val="List Paragraph"/>
    <w:basedOn w:val="Normln"/>
    <w:uiPriority w:val="34"/>
    <w:qFormat/>
    <w:rsid w:val="003B3BCF"/>
    <w:pPr>
      <w:ind w:left="720"/>
      <w:contextualSpacing/>
    </w:pPr>
  </w:style>
  <w:style w:type="paragraph" w:styleId="Bezmezer">
    <w:name w:val="No Spacing"/>
    <w:uiPriority w:val="1"/>
    <w:qFormat/>
    <w:rsid w:val="00A41D7A"/>
    <w:pPr>
      <w:spacing w:after="0" w:line="240" w:lineRule="auto"/>
    </w:pPr>
  </w:style>
  <w:style w:type="character" w:customStyle="1" w:styleId="Nadpis3Char">
    <w:name w:val="Nadpis 3 Char"/>
    <w:basedOn w:val="Standardnpsmoodstavce"/>
    <w:link w:val="Nadpis3"/>
    <w:uiPriority w:val="9"/>
    <w:semiHidden/>
    <w:rsid w:val="00833B79"/>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unhideWhenUsed/>
    <w:rsid w:val="00833B7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draznn">
    <w:name w:val="Emphasis"/>
    <w:basedOn w:val="Standardnpsmoodstavce"/>
    <w:uiPriority w:val="20"/>
    <w:qFormat/>
    <w:rsid w:val="00833B79"/>
    <w:rPr>
      <w:i/>
      <w:iCs/>
    </w:rPr>
  </w:style>
  <w:style w:type="character" w:customStyle="1" w:styleId="superscript">
    <w:name w:val="superscript"/>
    <w:basedOn w:val="Standardnpsmoodstavce"/>
    <w:rsid w:val="0069101F"/>
  </w:style>
  <w:style w:type="character" w:styleId="Nevyeenzmnka">
    <w:name w:val="Unresolved Mention"/>
    <w:basedOn w:val="Standardnpsmoodstavce"/>
    <w:uiPriority w:val="99"/>
    <w:semiHidden/>
    <w:unhideWhenUsed/>
    <w:rsid w:val="00F00D7D"/>
    <w:rPr>
      <w:color w:val="605E5C"/>
      <w:shd w:val="clear" w:color="auto" w:fill="E1DFDD"/>
    </w:rPr>
  </w:style>
  <w:style w:type="paragraph" w:customStyle="1" w:styleId="p">
    <w:name w:val="p"/>
    <w:basedOn w:val="Normln"/>
    <w:rsid w:val="004554B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ref-journal">
    <w:name w:val="ref-journal"/>
    <w:basedOn w:val="Standardnpsmoodstavce"/>
    <w:rsid w:val="004B5E42"/>
  </w:style>
  <w:style w:type="character" w:customStyle="1" w:styleId="ref-vol">
    <w:name w:val="ref-vol"/>
    <w:basedOn w:val="Standardnpsmoodstavce"/>
    <w:rsid w:val="004B5E42"/>
  </w:style>
  <w:style w:type="character" w:styleId="Sledovanodkaz">
    <w:name w:val="FollowedHyperlink"/>
    <w:basedOn w:val="Standardnpsmoodstavce"/>
    <w:uiPriority w:val="99"/>
    <w:semiHidden/>
    <w:unhideWhenUsed/>
    <w:rsid w:val="00224EDF"/>
    <w:rPr>
      <w:color w:val="954F72" w:themeColor="followedHyperlink"/>
      <w:u w:val="single"/>
    </w:rPr>
  </w:style>
  <w:style w:type="character" w:customStyle="1" w:styleId="citation-publication-date">
    <w:name w:val="citation-publication-date"/>
    <w:basedOn w:val="Standardnpsmoodstavce"/>
    <w:rsid w:val="00224EDF"/>
  </w:style>
  <w:style w:type="character" w:customStyle="1" w:styleId="doi">
    <w:name w:val="doi"/>
    <w:basedOn w:val="Standardnpsmoodstavce"/>
    <w:rsid w:val="00224EDF"/>
  </w:style>
  <w:style w:type="character" w:customStyle="1" w:styleId="authors-list-item">
    <w:name w:val="authors-list-item"/>
    <w:basedOn w:val="Standardnpsmoodstavce"/>
    <w:rsid w:val="003D763E"/>
  </w:style>
  <w:style w:type="character" w:customStyle="1" w:styleId="author-sup-separator">
    <w:name w:val="author-sup-separator"/>
    <w:basedOn w:val="Standardnpsmoodstavce"/>
    <w:rsid w:val="003D763E"/>
  </w:style>
  <w:style w:type="character" w:customStyle="1" w:styleId="comma">
    <w:name w:val="comma"/>
    <w:basedOn w:val="Standardnpsmoodstavce"/>
    <w:rsid w:val="003D763E"/>
  </w:style>
  <w:style w:type="character" w:customStyle="1" w:styleId="fm-vol-iss-date">
    <w:name w:val="fm-vol-iss-date"/>
    <w:basedOn w:val="Standardnpsmoodstavce"/>
    <w:rsid w:val="00C81423"/>
  </w:style>
  <w:style w:type="character" w:customStyle="1" w:styleId="fm-citation-ids-label">
    <w:name w:val="fm-citation-ids-label"/>
    <w:basedOn w:val="Standardnpsmoodstavce"/>
    <w:rsid w:val="00C81423"/>
  </w:style>
  <w:style w:type="table" w:styleId="Mkatabulky">
    <w:name w:val="Table Grid"/>
    <w:basedOn w:val="Normlntabulka"/>
    <w:uiPriority w:val="39"/>
    <w:rsid w:val="00AA3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AA3622"/>
    <w:rPr>
      <w:rFonts w:ascii="AdvOT596495f2" w:hAnsi="AdvOT596495f2" w:hint="default"/>
      <w:b w:val="0"/>
      <w:bCs w:val="0"/>
      <w:i w:val="0"/>
      <w:iCs w:val="0"/>
      <w:color w:val="000000"/>
      <w:sz w:val="14"/>
      <w:szCs w:val="14"/>
    </w:rPr>
  </w:style>
  <w:style w:type="character" w:customStyle="1" w:styleId="element-citation">
    <w:name w:val="element-citation"/>
    <w:basedOn w:val="Standardnpsmoodstavce"/>
    <w:rsid w:val="0052468A"/>
  </w:style>
  <w:style w:type="character" w:customStyle="1" w:styleId="nowrap">
    <w:name w:val="nowrap"/>
    <w:basedOn w:val="Standardnpsmoodstavce"/>
    <w:rsid w:val="0052468A"/>
  </w:style>
  <w:style w:type="character" w:customStyle="1" w:styleId="A2">
    <w:name w:val="A2"/>
    <w:uiPriority w:val="99"/>
    <w:rsid w:val="0052468A"/>
    <w:rPr>
      <w:color w:val="000000"/>
    </w:rPr>
  </w:style>
  <w:style w:type="character" w:customStyle="1" w:styleId="title-text">
    <w:name w:val="title-text"/>
    <w:basedOn w:val="Standardnpsmoodstavce"/>
    <w:rsid w:val="0052468A"/>
  </w:style>
  <w:style w:type="character" w:customStyle="1" w:styleId="identifier">
    <w:name w:val="identifier"/>
    <w:basedOn w:val="Standardnpsmoodstavce"/>
    <w:rsid w:val="0052468A"/>
  </w:style>
  <w:style w:type="character" w:customStyle="1" w:styleId="id-label">
    <w:name w:val="id-label"/>
    <w:basedOn w:val="Standardnpsmoodstavce"/>
    <w:rsid w:val="0052468A"/>
  </w:style>
  <w:style w:type="paragraph" w:styleId="Zhlav">
    <w:name w:val="header"/>
    <w:basedOn w:val="Normln"/>
    <w:link w:val="ZhlavChar"/>
    <w:uiPriority w:val="99"/>
    <w:unhideWhenUsed/>
    <w:rsid w:val="005B789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B7894"/>
  </w:style>
  <w:style w:type="paragraph" w:styleId="Zpat">
    <w:name w:val="footer"/>
    <w:basedOn w:val="Normln"/>
    <w:link w:val="ZpatChar"/>
    <w:uiPriority w:val="99"/>
    <w:unhideWhenUsed/>
    <w:rsid w:val="005B7894"/>
    <w:pPr>
      <w:tabs>
        <w:tab w:val="center" w:pos="4536"/>
        <w:tab w:val="right" w:pos="9072"/>
      </w:tabs>
      <w:spacing w:after="0" w:line="240" w:lineRule="auto"/>
    </w:pPr>
  </w:style>
  <w:style w:type="character" w:customStyle="1" w:styleId="ZpatChar">
    <w:name w:val="Zápatí Char"/>
    <w:basedOn w:val="Standardnpsmoodstavce"/>
    <w:link w:val="Zpat"/>
    <w:uiPriority w:val="99"/>
    <w:rsid w:val="005B7894"/>
  </w:style>
  <w:style w:type="paragraph" w:styleId="Textbubliny">
    <w:name w:val="Balloon Text"/>
    <w:basedOn w:val="Normln"/>
    <w:link w:val="TextbublinyChar"/>
    <w:uiPriority w:val="99"/>
    <w:semiHidden/>
    <w:unhideWhenUsed/>
    <w:rsid w:val="00925CB3"/>
    <w:pPr>
      <w:spacing w:after="0" w:line="240" w:lineRule="auto"/>
    </w:pPr>
    <w:rPr>
      <w:rFonts w:ascii="Calibri" w:hAnsi="Calibri" w:cs="Calibri"/>
      <w:sz w:val="18"/>
      <w:szCs w:val="18"/>
    </w:rPr>
  </w:style>
  <w:style w:type="character" w:customStyle="1" w:styleId="TextbublinyChar">
    <w:name w:val="Text bubliny Char"/>
    <w:basedOn w:val="Standardnpsmoodstavce"/>
    <w:link w:val="Textbubliny"/>
    <w:uiPriority w:val="99"/>
    <w:semiHidden/>
    <w:rsid w:val="00925CB3"/>
    <w:rPr>
      <w:rFonts w:ascii="Calibri" w:hAnsi="Calibri" w:cs="Calibri"/>
      <w:sz w:val="18"/>
      <w:szCs w:val="18"/>
    </w:rPr>
  </w:style>
  <w:style w:type="paragraph" w:customStyle="1" w:styleId="Default">
    <w:name w:val="Default"/>
    <w:rsid w:val="006E4DA7"/>
    <w:pPr>
      <w:autoSpaceDE w:val="0"/>
      <w:autoSpaceDN w:val="0"/>
      <w:adjustRightInd w:val="0"/>
      <w:spacing w:after="0" w:line="240" w:lineRule="auto"/>
    </w:pPr>
    <w:rPr>
      <w:rFonts w:ascii="Times" w:hAnsi="Times" w:cs="Times"/>
      <w:color w:val="000000"/>
      <w:sz w:val="24"/>
      <w:szCs w:val="24"/>
    </w:rPr>
  </w:style>
  <w:style w:type="character" w:customStyle="1" w:styleId="fontstyle21">
    <w:name w:val="fontstyle21"/>
    <w:basedOn w:val="Standardnpsmoodstavce"/>
    <w:rsid w:val="00760662"/>
    <w:rPr>
      <w:rFonts w:ascii="AdvTimRomLiebert" w:hAnsi="AdvTimRomLiebert" w:hint="default"/>
      <w:b w:val="0"/>
      <w:bCs w:val="0"/>
      <w:i w:val="0"/>
      <w:iCs w:val="0"/>
      <w:color w:val="242021"/>
      <w:sz w:val="20"/>
      <w:szCs w:val="20"/>
    </w:rPr>
  </w:style>
  <w:style w:type="character" w:customStyle="1" w:styleId="fontstyle31">
    <w:name w:val="fontstyle31"/>
    <w:basedOn w:val="Standardnpsmoodstavce"/>
    <w:rsid w:val="00542AB6"/>
    <w:rPr>
      <w:rFonts w:ascii="AdvTimBolLiebert" w:hAnsi="AdvTimBolLiebert" w:hint="default"/>
      <w:b w:val="0"/>
      <w:bCs w:val="0"/>
      <w:i w:val="0"/>
      <w:iCs w:val="0"/>
      <w:color w:val="242021"/>
      <w:sz w:val="20"/>
      <w:szCs w:val="20"/>
    </w:rPr>
  </w:style>
  <w:style w:type="character" w:customStyle="1" w:styleId="apple-converted-space">
    <w:name w:val="apple-converted-space"/>
    <w:basedOn w:val="Standardnpsmoodstavce"/>
    <w:rsid w:val="008D1014"/>
  </w:style>
  <w:style w:type="character" w:customStyle="1" w:styleId="scopustermhighlight">
    <w:name w:val="scopustermhighlight"/>
    <w:basedOn w:val="Standardnpsmoodstavce"/>
    <w:rsid w:val="008D1014"/>
  </w:style>
  <w:style w:type="character" w:customStyle="1" w:styleId="Nadpis2Char">
    <w:name w:val="Nadpis 2 Char"/>
    <w:basedOn w:val="Standardnpsmoodstavce"/>
    <w:link w:val="Nadpis2"/>
    <w:uiPriority w:val="9"/>
    <w:rsid w:val="00B54AB8"/>
    <w:rPr>
      <w:rFonts w:asciiTheme="majorHAnsi" w:eastAsiaTheme="majorEastAsia" w:hAnsiTheme="majorHAnsi" w:cstheme="majorBidi"/>
      <w:color w:val="2F5496" w:themeColor="accent1" w:themeShade="BF"/>
      <w:sz w:val="26"/>
      <w:szCs w:val="26"/>
      <w:lang w:eastAsia="sk-SK"/>
    </w:rPr>
  </w:style>
  <w:style w:type="paragraph" w:customStyle="1" w:styleId="dx-doi">
    <w:name w:val="dx-doi"/>
    <w:basedOn w:val="Normln"/>
    <w:rsid w:val="00783DDC"/>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nova-e-listitem">
    <w:name w:val="nova-e-list__item"/>
    <w:basedOn w:val="Normln"/>
    <w:rsid w:val="00783DDC"/>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6509">
      <w:bodyDiv w:val="1"/>
      <w:marLeft w:val="0"/>
      <w:marRight w:val="0"/>
      <w:marTop w:val="0"/>
      <w:marBottom w:val="0"/>
      <w:divBdr>
        <w:top w:val="none" w:sz="0" w:space="0" w:color="auto"/>
        <w:left w:val="none" w:sz="0" w:space="0" w:color="auto"/>
        <w:bottom w:val="none" w:sz="0" w:space="0" w:color="auto"/>
        <w:right w:val="none" w:sz="0" w:space="0" w:color="auto"/>
      </w:divBdr>
      <w:divsChild>
        <w:div w:id="32482428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0629686">
              <w:marLeft w:val="0"/>
              <w:marRight w:val="0"/>
              <w:marTop w:val="0"/>
              <w:marBottom w:val="332"/>
              <w:divBdr>
                <w:top w:val="none" w:sz="0" w:space="0" w:color="auto"/>
                <w:left w:val="none" w:sz="0" w:space="0" w:color="auto"/>
                <w:bottom w:val="none" w:sz="0" w:space="0" w:color="auto"/>
                <w:right w:val="none" w:sz="0" w:space="0" w:color="auto"/>
              </w:divBdr>
            </w:div>
            <w:div w:id="294214669">
              <w:marLeft w:val="0"/>
              <w:marRight w:val="0"/>
              <w:marTop w:val="0"/>
              <w:marBottom w:val="0"/>
              <w:divBdr>
                <w:top w:val="none" w:sz="0" w:space="0" w:color="auto"/>
                <w:left w:val="none" w:sz="0" w:space="0" w:color="auto"/>
                <w:bottom w:val="none" w:sz="0" w:space="0" w:color="auto"/>
                <w:right w:val="none" w:sz="0" w:space="0" w:color="auto"/>
              </w:divBdr>
              <w:divsChild>
                <w:div w:id="1149327726">
                  <w:marLeft w:val="0"/>
                  <w:marRight w:val="0"/>
                  <w:marTop w:val="0"/>
                  <w:marBottom w:val="0"/>
                  <w:divBdr>
                    <w:top w:val="none" w:sz="0" w:space="0" w:color="auto"/>
                    <w:left w:val="none" w:sz="0" w:space="0" w:color="auto"/>
                    <w:bottom w:val="none" w:sz="0" w:space="0" w:color="auto"/>
                    <w:right w:val="none" w:sz="0" w:space="0" w:color="auto"/>
                  </w:divBdr>
                </w:div>
                <w:div w:id="165571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5991">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71393454">
              <w:marLeft w:val="0"/>
              <w:marRight w:val="0"/>
              <w:marTop w:val="0"/>
              <w:marBottom w:val="332"/>
              <w:divBdr>
                <w:top w:val="none" w:sz="0" w:space="0" w:color="auto"/>
                <w:left w:val="none" w:sz="0" w:space="0" w:color="auto"/>
                <w:bottom w:val="none" w:sz="0" w:space="0" w:color="auto"/>
                <w:right w:val="none" w:sz="0" w:space="0" w:color="auto"/>
              </w:divBdr>
            </w:div>
            <w:div w:id="185482496">
              <w:marLeft w:val="0"/>
              <w:marRight w:val="0"/>
              <w:marTop w:val="166"/>
              <w:marBottom w:val="0"/>
              <w:divBdr>
                <w:top w:val="none" w:sz="0" w:space="0" w:color="auto"/>
                <w:left w:val="none" w:sz="0" w:space="0" w:color="auto"/>
                <w:bottom w:val="none" w:sz="0" w:space="0" w:color="auto"/>
                <w:right w:val="none" w:sz="0" w:space="0" w:color="auto"/>
              </w:divBdr>
            </w:div>
            <w:div w:id="1211184289">
              <w:marLeft w:val="0"/>
              <w:marRight w:val="0"/>
              <w:marTop w:val="0"/>
              <w:marBottom w:val="0"/>
              <w:divBdr>
                <w:top w:val="none" w:sz="0" w:space="0" w:color="auto"/>
                <w:left w:val="none" w:sz="0" w:space="0" w:color="auto"/>
                <w:bottom w:val="none" w:sz="0" w:space="0" w:color="auto"/>
                <w:right w:val="none" w:sz="0" w:space="0" w:color="auto"/>
              </w:divBdr>
              <w:divsChild>
                <w:div w:id="1358043870">
                  <w:marLeft w:val="0"/>
                  <w:marRight w:val="0"/>
                  <w:marTop w:val="0"/>
                  <w:marBottom w:val="0"/>
                  <w:divBdr>
                    <w:top w:val="none" w:sz="0" w:space="0" w:color="auto"/>
                    <w:left w:val="none" w:sz="0" w:space="0" w:color="auto"/>
                    <w:bottom w:val="none" w:sz="0" w:space="0" w:color="auto"/>
                    <w:right w:val="none" w:sz="0" w:space="0" w:color="auto"/>
                  </w:divBdr>
                </w:div>
                <w:div w:id="13719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837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78001350">
              <w:marLeft w:val="0"/>
              <w:marRight w:val="0"/>
              <w:marTop w:val="0"/>
              <w:marBottom w:val="332"/>
              <w:divBdr>
                <w:top w:val="none" w:sz="0" w:space="0" w:color="auto"/>
                <w:left w:val="none" w:sz="0" w:space="0" w:color="auto"/>
                <w:bottom w:val="none" w:sz="0" w:space="0" w:color="auto"/>
                <w:right w:val="none" w:sz="0" w:space="0" w:color="auto"/>
              </w:divBdr>
            </w:div>
            <w:div w:id="1500803853">
              <w:marLeft w:val="0"/>
              <w:marRight w:val="0"/>
              <w:marTop w:val="0"/>
              <w:marBottom w:val="0"/>
              <w:divBdr>
                <w:top w:val="none" w:sz="0" w:space="0" w:color="auto"/>
                <w:left w:val="none" w:sz="0" w:space="0" w:color="auto"/>
                <w:bottom w:val="none" w:sz="0" w:space="0" w:color="auto"/>
                <w:right w:val="none" w:sz="0" w:space="0" w:color="auto"/>
              </w:divBdr>
              <w:divsChild>
                <w:div w:id="738213030">
                  <w:marLeft w:val="0"/>
                  <w:marRight w:val="0"/>
                  <w:marTop w:val="0"/>
                  <w:marBottom w:val="0"/>
                  <w:divBdr>
                    <w:top w:val="none" w:sz="0" w:space="0" w:color="auto"/>
                    <w:left w:val="none" w:sz="0" w:space="0" w:color="auto"/>
                    <w:bottom w:val="none" w:sz="0" w:space="0" w:color="auto"/>
                    <w:right w:val="none" w:sz="0" w:space="0" w:color="auto"/>
                  </w:divBdr>
                </w:div>
                <w:div w:id="14706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684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247495467">
              <w:marLeft w:val="0"/>
              <w:marRight w:val="0"/>
              <w:marTop w:val="0"/>
              <w:marBottom w:val="332"/>
              <w:divBdr>
                <w:top w:val="none" w:sz="0" w:space="0" w:color="auto"/>
                <w:left w:val="none" w:sz="0" w:space="0" w:color="auto"/>
                <w:bottom w:val="none" w:sz="0" w:space="0" w:color="auto"/>
                <w:right w:val="none" w:sz="0" w:space="0" w:color="auto"/>
              </w:divBdr>
            </w:div>
            <w:div w:id="555629316">
              <w:marLeft w:val="0"/>
              <w:marRight w:val="0"/>
              <w:marTop w:val="166"/>
              <w:marBottom w:val="0"/>
              <w:divBdr>
                <w:top w:val="none" w:sz="0" w:space="0" w:color="auto"/>
                <w:left w:val="none" w:sz="0" w:space="0" w:color="auto"/>
                <w:bottom w:val="none" w:sz="0" w:space="0" w:color="auto"/>
                <w:right w:val="none" w:sz="0" w:space="0" w:color="auto"/>
              </w:divBdr>
            </w:div>
            <w:div w:id="245191726">
              <w:marLeft w:val="0"/>
              <w:marRight w:val="0"/>
              <w:marTop w:val="0"/>
              <w:marBottom w:val="0"/>
              <w:divBdr>
                <w:top w:val="none" w:sz="0" w:space="0" w:color="auto"/>
                <w:left w:val="none" w:sz="0" w:space="0" w:color="auto"/>
                <w:bottom w:val="none" w:sz="0" w:space="0" w:color="auto"/>
                <w:right w:val="none" w:sz="0" w:space="0" w:color="auto"/>
              </w:divBdr>
              <w:divsChild>
                <w:div w:id="780534423">
                  <w:marLeft w:val="0"/>
                  <w:marRight w:val="0"/>
                  <w:marTop w:val="0"/>
                  <w:marBottom w:val="0"/>
                  <w:divBdr>
                    <w:top w:val="none" w:sz="0" w:space="0" w:color="auto"/>
                    <w:left w:val="none" w:sz="0" w:space="0" w:color="auto"/>
                    <w:bottom w:val="none" w:sz="0" w:space="0" w:color="auto"/>
                    <w:right w:val="none" w:sz="0" w:space="0" w:color="auto"/>
                  </w:divBdr>
                </w:div>
                <w:div w:id="17571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660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41627530">
              <w:marLeft w:val="0"/>
              <w:marRight w:val="0"/>
              <w:marTop w:val="0"/>
              <w:marBottom w:val="332"/>
              <w:divBdr>
                <w:top w:val="none" w:sz="0" w:space="0" w:color="auto"/>
                <w:left w:val="none" w:sz="0" w:space="0" w:color="auto"/>
                <w:bottom w:val="none" w:sz="0" w:space="0" w:color="auto"/>
                <w:right w:val="none" w:sz="0" w:space="0" w:color="auto"/>
              </w:divBdr>
            </w:div>
            <w:div w:id="189224725">
              <w:marLeft w:val="0"/>
              <w:marRight w:val="0"/>
              <w:marTop w:val="166"/>
              <w:marBottom w:val="0"/>
              <w:divBdr>
                <w:top w:val="none" w:sz="0" w:space="0" w:color="auto"/>
                <w:left w:val="none" w:sz="0" w:space="0" w:color="auto"/>
                <w:bottom w:val="none" w:sz="0" w:space="0" w:color="auto"/>
                <w:right w:val="none" w:sz="0" w:space="0" w:color="auto"/>
              </w:divBdr>
            </w:div>
            <w:div w:id="98725537">
              <w:marLeft w:val="0"/>
              <w:marRight w:val="0"/>
              <w:marTop w:val="0"/>
              <w:marBottom w:val="0"/>
              <w:divBdr>
                <w:top w:val="none" w:sz="0" w:space="0" w:color="auto"/>
                <w:left w:val="none" w:sz="0" w:space="0" w:color="auto"/>
                <w:bottom w:val="none" w:sz="0" w:space="0" w:color="auto"/>
                <w:right w:val="none" w:sz="0" w:space="0" w:color="auto"/>
              </w:divBdr>
              <w:divsChild>
                <w:div w:id="1873181634">
                  <w:marLeft w:val="0"/>
                  <w:marRight w:val="0"/>
                  <w:marTop w:val="0"/>
                  <w:marBottom w:val="0"/>
                  <w:divBdr>
                    <w:top w:val="none" w:sz="0" w:space="0" w:color="auto"/>
                    <w:left w:val="none" w:sz="0" w:space="0" w:color="auto"/>
                    <w:bottom w:val="none" w:sz="0" w:space="0" w:color="auto"/>
                    <w:right w:val="none" w:sz="0" w:space="0" w:color="auto"/>
                  </w:divBdr>
                </w:div>
                <w:div w:id="18947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3268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108159257">
              <w:marLeft w:val="0"/>
              <w:marRight w:val="0"/>
              <w:marTop w:val="0"/>
              <w:marBottom w:val="332"/>
              <w:divBdr>
                <w:top w:val="none" w:sz="0" w:space="0" w:color="auto"/>
                <w:left w:val="none" w:sz="0" w:space="0" w:color="auto"/>
                <w:bottom w:val="none" w:sz="0" w:space="0" w:color="auto"/>
                <w:right w:val="none" w:sz="0" w:space="0" w:color="auto"/>
              </w:divBdr>
            </w:div>
            <w:div w:id="2055884770">
              <w:marLeft w:val="0"/>
              <w:marRight w:val="0"/>
              <w:marTop w:val="166"/>
              <w:marBottom w:val="0"/>
              <w:divBdr>
                <w:top w:val="none" w:sz="0" w:space="0" w:color="auto"/>
                <w:left w:val="none" w:sz="0" w:space="0" w:color="auto"/>
                <w:bottom w:val="none" w:sz="0" w:space="0" w:color="auto"/>
                <w:right w:val="none" w:sz="0" w:space="0" w:color="auto"/>
              </w:divBdr>
            </w:div>
            <w:div w:id="157886656">
              <w:marLeft w:val="0"/>
              <w:marRight w:val="0"/>
              <w:marTop w:val="0"/>
              <w:marBottom w:val="0"/>
              <w:divBdr>
                <w:top w:val="none" w:sz="0" w:space="0" w:color="auto"/>
                <w:left w:val="none" w:sz="0" w:space="0" w:color="auto"/>
                <w:bottom w:val="none" w:sz="0" w:space="0" w:color="auto"/>
                <w:right w:val="none" w:sz="0" w:space="0" w:color="auto"/>
              </w:divBdr>
              <w:divsChild>
                <w:div w:id="1067996318">
                  <w:marLeft w:val="0"/>
                  <w:marRight w:val="0"/>
                  <w:marTop w:val="0"/>
                  <w:marBottom w:val="0"/>
                  <w:divBdr>
                    <w:top w:val="none" w:sz="0" w:space="0" w:color="auto"/>
                    <w:left w:val="none" w:sz="0" w:space="0" w:color="auto"/>
                    <w:bottom w:val="none" w:sz="0" w:space="0" w:color="auto"/>
                    <w:right w:val="none" w:sz="0" w:space="0" w:color="auto"/>
                  </w:divBdr>
                </w:div>
                <w:div w:id="13466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1236">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43794176">
              <w:marLeft w:val="0"/>
              <w:marRight w:val="0"/>
              <w:marTop w:val="0"/>
              <w:marBottom w:val="332"/>
              <w:divBdr>
                <w:top w:val="none" w:sz="0" w:space="0" w:color="auto"/>
                <w:left w:val="none" w:sz="0" w:space="0" w:color="auto"/>
                <w:bottom w:val="none" w:sz="0" w:space="0" w:color="auto"/>
                <w:right w:val="none" w:sz="0" w:space="0" w:color="auto"/>
              </w:divBdr>
            </w:div>
            <w:div w:id="264919844">
              <w:marLeft w:val="0"/>
              <w:marRight w:val="0"/>
              <w:marTop w:val="166"/>
              <w:marBottom w:val="0"/>
              <w:divBdr>
                <w:top w:val="none" w:sz="0" w:space="0" w:color="auto"/>
                <w:left w:val="none" w:sz="0" w:space="0" w:color="auto"/>
                <w:bottom w:val="none" w:sz="0" w:space="0" w:color="auto"/>
                <w:right w:val="none" w:sz="0" w:space="0" w:color="auto"/>
              </w:divBdr>
            </w:div>
            <w:div w:id="481888859">
              <w:marLeft w:val="0"/>
              <w:marRight w:val="0"/>
              <w:marTop w:val="0"/>
              <w:marBottom w:val="0"/>
              <w:divBdr>
                <w:top w:val="none" w:sz="0" w:space="0" w:color="auto"/>
                <w:left w:val="none" w:sz="0" w:space="0" w:color="auto"/>
                <w:bottom w:val="none" w:sz="0" w:space="0" w:color="auto"/>
                <w:right w:val="none" w:sz="0" w:space="0" w:color="auto"/>
              </w:divBdr>
              <w:divsChild>
                <w:div w:id="486285732">
                  <w:marLeft w:val="0"/>
                  <w:marRight w:val="0"/>
                  <w:marTop w:val="0"/>
                  <w:marBottom w:val="0"/>
                  <w:divBdr>
                    <w:top w:val="none" w:sz="0" w:space="0" w:color="auto"/>
                    <w:left w:val="none" w:sz="0" w:space="0" w:color="auto"/>
                    <w:bottom w:val="none" w:sz="0" w:space="0" w:color="auto"/>
                    <w:right w:val="none" w:sz="0" w:space="0" w:color="auto"/>
                  </w:divBdr>
                </w:div>
                <w:div w:id="7935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7294">
      <w:bodyDiv w:val="1"/>
      <w:marLeft w:val="0"/>
      <w:marRight w:val="0"/>
      <w:marTop w:val="0"/>
      <w:marBottom w:val="0"/>
      <w:divBdr>
        <w:top w:val="none" w:sz="0" w:space="0" w:color="auto"/>
        <w:left w:val="none" w:sz="0" w:space="0" w:color="auto"/>
        <w:bottom w:val="none" w:sz="0" w:space="0" w:color="auto"/>
        <w:right w:val="none" w:sz="0" w:space="0" w:color="auto"/>
      </w:divBdr>
      <w:divsChild>
        <w:div w:id="362174784">
          <w:marLeft w:val="144"/>
          <w:marRight w:val="0"/>
          <w:marTop w:val="240"/>
          <w:marBottom w:val="40"/>
          <w:divBdr>
            <w:top w:val="none" w:sz="0" w:space="0" w:color="auto"/>
            <w:left w:val="none" w:sz="0" w:space="0" w:color="auto"/>
            <w:bottom w:val="none" w:sz="0" w:space="0" w:color="auto"/>
            <w:right w:val="none" w:sz="0" w:space="0" w:color="auto"/>
          </w:divBdr>
        </w:div>
        <w:div w:id="1167398913">
          <w:marLeft w:val="418"/>
          <w:marRight w:val="0"/>
          <w:marTop w:val="40"/>
          <w:marBottom w:val="80"/>
          <w:divBdr>
            <w:top w:val="none" w:sz="0" w:space="0" w:color="auto"/>
            <w:left w:val="none" w:sz="0" w:space="0" w:color="auto"/>
            <w:bottom w:val="none" w:sz="0" w:space="0" w:color="auto"/>
            <w:right w:val="none" w:sz="0" w:space="0" w:color="auto"/>
          </w:divBdr>
        </w:div>
        <w:div w:id="2078479255">
          <w:marLeft w:val="418"/>
          <w:marRight w:val="0"/>
          <w:marTop w:val="40"/>
          <w:marBottom w:val="80"/>
          <w:divBdr>
            <w:top w:val="none" w:sz="0" w:space="0" w:color="auto"/>
            <w:left w:val="none" w:sz="0" w:space="0" w:color="auto"/>
            <w:bottom w:val="none" w:sz="0" w:space="0" w:color="auto"/>
            <w:right w:val="none" w:sz="0" w:space="0" w:color="auto"/>
          </w:divBdr>
        </w:div>
      </w:divsChild>
    </w:div>
    <w:div w:id="163278355">
      <w:bodyDiv w:val="1"/>
      <w:marLeft w:val="0"/>
      <w:marRight w:val="0"/>
      <w:marTop w:val="0"/>
      <w:marBottom w:val="0"/>
      <w:divBdr>
        <w:top w:val="none" w:sz="0" w:space="0" w:color="auto"/>
        <w:left w:val="none" w:sz="0" w:space="0" w:color="auto"/>
        <w:bottom w:val="none" w:sz="0" w:space="0" w:color="auto"/>
        <w:right w:val="none" w:sz="0" w:space="0" w:color="auto"/>
      </w:divBdr>
      <w:divsChild>
        <w:div w:id="587737130">
          <w:marLeft w:val="0"/>
          <w:marRight w:val="0"/>
          <w:marTop w:val="0"/>
          <w:marBottom w:val="0"/>
          <w:divBdr>
            <w:top w:val="none" w:sz="0" w:space="0" w:color="auto"/>
            <w:left w:val="none" w:sz="0" w:space="0" w:color="auto"/>
            <w:bottom w:val="none" w:sz="0" w:space="0" w:color="auto"/>
            <w:right w:val="none" w:sz="0" w:space="0" w:color="auto"/>
          </w:divBdr>
          <w:divsChild>
            <w:div w:id="483086719">
              <w:marLeft w:val="0"/>
              <w:marRight w:val="0"/>
              <w:marTop w:val="0"/>
              <w:marBottom w:val="0"/>
              <w:divBdr>
                <w:top w:val="none" w:sz="0" w:space="0" w:color="auto"/>
                <w:left w:val="none" w:sz="0" w:space="0" w:color="auto"/>
                <w:bottom w:val="none" w:sz="0" w:space="0" w:color="auto"/>
                <w:right w:val="none" w:sz="0" w:space="0" w:color="auto"/>
              </w:divBdr>
              <w:divsChild>
                <w:div w:id="1025717165">
                  <w:marLeft w:val="0"/>
                  <w:marRight w:val="0"/>
                  <w:marTop w:val="0"/>
                  <w:marBottom w:val="0"/>
                  <w:divBdr>
                    <w:top w:val="none" w:sz="0" w:space="0" w:color="auto"/>
                    <w:left w:val="none" w:sz="0" w:space="0" w:color="auto"/>
                    <w:bottom w:val="none" w:sz="0" w:space="0" w:color="auto"/>
                    <w:right w:val="none" w:sz="0" w:space="0" w:color="auto"/>
                  </w:divBdr>
                  <w:divsChild>
                    <w:div w:id="12572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7095">
          <w:marLeft w:val="0"/>
          <w:marRight w:val="0"/>
          <w:marTop w:val="0"/>
          <w:marBottom w:val="0"/>
          <w:divBdr>
            <w:top w:val="none" w:sz="0" w:space="0" w:color="auto"/>
            <w:left w:val="none" w:sz="0" w:space="0" w:color="auto"/>
            <w:bottom w:val="none" w:sz="0" w:space="0" w:color="auto"/>
            <w:right w:val="none" w:sz="0" w:space="0" w:color="auto"/>
          </w:divBdr>
          <w:divsChild>
            <w:div w:id="868564611">
              <w:marLeft w:val="0"/>
              <w:marRight w:val="0"/>
              <w:marTop w:val="0"/>
              <w:marBottom w:val="0"/>
              <w:divBdr>
                <w:top w:val="none" w:sz="0" w:space="0" w:color="auto"/>
                <w:left w:val="none" w:sz="0" w:space="0" w:color="auto"/>
                <w:bottom w:val="none" w:sz="0" w:space="0" w:color="auto"/>
                <w:right w:val="none" w:sz="0" w:space="0" w:color="auto"/>
              </w:divBdr>
              <w:divsChild>
                <w:div w:id="19809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775">
      <w:bodyDiv w:val="1"/>
      <w:marLeft w:val="0"/>
      <w:marRight w:val="0"/>
      <w:marTop w:val="0"/>
      <w:marBottom w:val="0"/>
      <w:divBdr>
        <w:top w:val="none" w:sz="0" w:space="0" w:color="auto"/>
        <w:left w:val="none" w:sz="0" w:space="0" w:color="auto"/>
        <w:bottom w:val="none" w:sz="0" w:space="0" w:color="auto"/>
        <w:right w:val="none" w:sz="0" w:space="0" w:color="auto"/>
      </w:divBdr>
    </w:div>
    <w:div w:id="314771907">
      <w:bodyDiv w:val="1"/>
      <w:marLeft w:val="0"/>
      <w:marRight w:val="0"/>
      <w:marTop w:val="0"/>
      <w:marBottom w:val="0"/>
      <w:divBdr>
        <w:top w:val="none" w:sz="0" w:space="0" w:color="auto"/>
        <w:left w:val="none" w:sz="0" w:space="0" w:color="auto"/>
        <w:bottom w:val="none" w:sz="0" w:space="0" w:color="auto"/>
        <w:right w:val="none" w:sz="0" w:space="0" w:color="auto"/>
      </w:divBdr>
      <w:divsChild>
        <w:div w:id="676998613">
          <w:marLeft w:val="0"/>
          <w:marRight w:val="0"/>
          <w:marTop w:val="0"/>
          <w:marBottom w:val="0"/>
          <w:divBdr>
            <w:top w:val="none" w:sz="0" w:space="0" w:color="auto"/>
            <w:left w:val="none" w:sz="0" w:space="0" w:color="auto"/>
            <w:bottom w:val="none" w:sz="0" w:space="0" w:color="auto"/>
            <w:right w:val="none" w:sz="0" w:space="0" w:color="auto"/>
          </w:divBdr>
        </w:div>
        <w:div w:id="1220946721">
          <w:marLeft w:val="0"/>
          <w:marRight w:val="0"/>
          <w:marTop w:val="0"/>
          <w:marBottom w:val="0"/>
          <w:divBdr>
            <w:top w:val="none" w:sz="0" w:space="0" w:color="auto"/>
            <w:left w:val="none" w:sz="0" w:space="0" w:color="auto"/>
            <w:bottom w:val="none" w:sz="0" w:space="0" w:color="auto"/>
            <w:right w:val="none" w:sz="0" w:space="0" w:color="auto"/>
          </w:divBdr>
        </w:div>
        <w:div w:id="532619402">
          <w:marLeft w:val="0"/>
          <w:marRight w:val="0"/>
          <w:marTop w:val="0"/>
          <w:marBottom w:val="0"/>
          <w:divBdr>
            <w:top w:val="none" w:sz="0" w:space="0" w:color="auto"/>
            <w:left w:val="none" w:sz="0" w:space="0" w:color="auto"/>
            <w:bottom w:val="none" w:sz="0" w:space="0" w:color="auto"/>
            <w:right w:val="none" w:sz="0" w:space="0" w:color="auto"/>
          </w:divBdr>
        </w:div>
        <w:div w:id="1437019101">
          <w:marLeft w:val="0"/>
          <w:marRight w:val="0"/>
          <w:marTop w:val="0"/>
          <w:marBottom w:val="0"/>
          <w:divBdr>
            <w:top w:val="none" w:sz="0" w:space="0" w:color="auto"/>
            <w:left w:val="none" w:sz="0" w:space="0" w:color="auto"/>
            <w:bottom w:val="none" w:sz="0" w:space="0" w:color="auto"/>
            <w:right w:val="none" w:sz="0" w:space="0" w:color="auto"/>
          </w:divBdr>
        </w:div>
        <w:div w:id="1635332199">
          <w:marLeft w:val="0"/>
          <w:marRight w:val="0"/>
          <w:marTop w:val="0"/>
          <w:marBottom w:val="0"/>
          <w:divBdr>
            <w:top w:val="none" w:sz="0" w:space="0" w:color="auto"/>
            <w:left w:val="none" w:sz="0" w:space="0" w:color="auto"/>
            <w:bottom w:val="none" w:sz="0" w:space="0" w:color="auto"/>
            <w:right w:val="none" w:sz="0" w:space="0" w:color="auto"/>
          </w:divBdr>
        </w:div>
        <w:div w:id="108356439">
          <w:marLeft w:val="0"/>
          <w:marRight w:val="0"/>
          <w:marTop w:val="0"/>
          <w:marBottom w:val="0"/>
          <w:divBdr>
            <w:top w:val="none" w:sz="0" w:space="0" w:color="auto"/>
            <w:left w:val="none" w:sz="0" w:space="0" w:color="auto"/>
            <w:bottom w:val="none" w:sz="0" w:space="0" w:color="auto"/>
            <w:right w:val="none" w:sz="0" w:space="0" w:color="auto"/>
          </w:divBdr>
        </w:div>
        <w:div w:id="935744968">
          <w:marLeft w:val="0"/>
          <w:marRight w:val="0"/>
          <w:marTop w:val="0"/>
          <w:marBottom w:val="0"/>
          <w:divBdr>
            <w:top w:val="none" w:sz="0" w:space="0" w:color="auto"/>
            <w:left w:val="none" w:sz="0" w:space="0" w:color="auto"/>
            <w:bottom w:val="none" w:sz="0" w:space="0" w:color="auto"/>
            <w:right w:val="none" w:sz="0" w:space="0" w:color="auto"/>
          </w:divBdr>
        </w:div>
        <w:div w:id="1802070383">
          <w:marLeft w:val="0"/>
          <w:marRight w:val="0"/>
          <w:marTop w:val="0"/>
          <w:marBottom w:val="0"/>
          <w:divBdr>
            <w:top w:val="none" w:sz="0" w:space="0" w:color="auto"/>
            <w:left w:val="none" w:sz="0" w:space="0" w:color="auto"/>
            <w:bottom w:val="none" w:sz="0" w:space="0" w:color="auto"/>
            <w:right w:val="none" w:sz="0" w:space="0" w:color="auto"/>
          </w:divBdr>
        </w:div>
        <w:div w:id="2085686101">
          <w:marLeft w:val="0"/>
          <w:marRight w:val="0"/>
          <w:marTop w:val="0"/>
          <w:marBottom w:val="0"/>
          <w:divBdr>
            <w:top w:val="none" w:sz="0" w:space="0" w:color="auto"/>
            <w:left w:val="none" w:sz="0" w:space="0" w:color="auto"/>
            <w:bottom w:val="none" w:sz="0" w:space="0" w:color="auto"/>
            <w:right w:val="none" w:sz="0" w:space="0" w:color="auto"/>
          </w:divBdr>
        </w:div>
        <w:div w:id="1046636877">
          <w:marLeft w:val="0"/>
          <w:marRight w:val="0"/>
          <w:marTop w:val="0"/>
          <w:marBottom w:val="0"/>
          <w:divBdr>
            <w:top w:val="none" w:sz="0" w:space="0" w:color="auto"/>
            <w:left w:val="none" w:sz="0" w:space="0" w:color="auto"/>
            <w:bottom w:val="none" w:sz="0" w:space="0" w:color="auto"/>
            <w:right w:val="none" w:sz="0" w:space="0" w:color="auto"/>
          </w:divBdr>
        </w:div>
        <w:div w:id="1343824165">
          <w:marLeft w:val="0"/>
          <w:marRight w:val="0"/>
          <w:marTop w:val="0"/>
          <w:marBottom w:val="0"/>
          <w:divBdr>
            <w:top w:val="none" w:sz="0" w:space="0" w:color="auto"/>
            <w:left w:val="none" w:sz="0" w:space="0" w:color="auto"/>
            <w:bottom w:val="none" w:sz="0" w:space="0" w:color="auto"/>
            <w:right w:val="none" w:sz="0" w:space="0" w:color="auto"/>
          </w:divBdr>
        </w:div>
        <w:div w:id="251277380">
          <w:marLeft w:val="0"/>
          <w:marRight w:val="0"/>
          <w:marTop w:val="0"/>
          <w:marBottom w:val="0"/>
          <w:divBdr>
            <w:top w:val="none" w:sz="0" w:space="0" w:color="auto"/>
            <w:left w:val="none" w:sz="0" w:space="0" w:color="auto"/>
            <w:bottom w:val="none" w:sz="0" w:space="0" w:color="auto"/>
            <w:right w:val="none" w:sz="0" w:space="0" w:color="auto"/>
          </w:divBdr>
        </w:div>
        <w:div w:id="1107116133">
          <w:marLeft w:val="0"/>
          <w:marRight w:val="0"/>
          <w:marTop w:val="0"/>
          <w:marBottom w:val="0"/>
          <w:divBdr>
            <w:top w:val="none" w:sz="0" w:space="0" w:color="auto"/>
            <w:left w:val="none" w:sz="0" w:space="0" w:color="auto"/>
            <w:bottom w:val="none" w:sz="0" w:space="0" w:color="auto"/>
            <w:right w:val="none" w:sz="0" w:space="0" w:color="auto"/>
          </w:divBdr>
        </w:div>
        <w:div w:id="158498395">
          <w:marLeft w:val="0"/>
          <w:marRight w:val="0"/>
          <w:marTop w:val="0"/>
          <w:marBottom w:val="0"/>
          <w:divBdr>
            <w:top w:val="none" w:sz="0" w:space="0" w:color="auto"/>
            <w:left w:val="none" w:sz="0" w:space="0" w:color="auto"/>
            <w:bottom w:val="none" w:sz="0" w:space="0" w:color="auto"/>
            <w:right w:val="none" w:sz="0" w:space="0" w:color="auto"/>
          </w:divBdr>
        </w:div>
        <w:div w:id="474949795">
          <w:marLeft w:val="0"/>
          <w:marRight w:val="0"/>
          <w:marTop w:val="0"/>
          <w:marBottom w:val="0"/>
          <w:divBdr>
            <w:top w:val="none" w:sz="0" w:space="0" w:color="auto"/>
            <w:left w:val="none" w:sz="0" w:space="0" w:color="auto"/>
            <w:bottom w:val="none" w:sz="0" w:space="0" w:color="auto"/>
            <w:right w:val="none" w:sz="0" w:space="0" w:color="auto"/>
          </w:divBdr>
        </w:div>
        <w:div w:id="165051756">
          <w:marLeft w:val="0"/>
          <w:marRight w:val="0"/>
          <w:marTop w:val="0"/>
          <w:marBottom w:val="0"/>
          <w:divBdr>
            <w:top w:val="none" w:sz="0" w:space="0" w:color="auto"/>
            <w:left w:val="none" w:sz="0" w:space="0" w:color="auto"/>
            <w:bottom w:val="none" w:sz="0" w:space="0" w:color="auto"/>
            <w:right w:val="none" w:sz="0" w:space="0" w:color="auto"/>
          </w:divBdr>
        </w:div>
        <w:div w:id="1151869978">
          <w:marLeft w:val="0"/>
          <w:marRight w:val="0"/>
          <w:marTop w:val="0"/>
          <w:marBottom w:val="0"/>
          <w:divBdr>
            <w:top w:val="none" w:sz="0" w:space="0" w:color="auto"/>
            <w:left w:val="none" w:sz="0" w:space="0" w:color="auto"/>
            <w:bottom w:val="none" w:sz="0" w:space="0" w:color="auto"/>
            <w:right w:val="none" w:sz="0" w:space="0" w:color="auto"/>
          </w:divBdr>
        </w:div>
        <w:div w:id="2128816421">
          <w:marLeft w:val="0"/>
          <w:marRight w:val="0"/>
          <w:marTop w:val="0"/>
          <w:marBottom w:val="0"/>
          <w:divBdr>
            <w:top w:val="none" w:sz="0" w:space="0" w:color="auto"/>
            <w:left w:val="none" w:sz="0" w:space="0" w:color="auto"/>
            <w:bottom w:val="none" w:sz="0" w:space="0" w:color="auto"/>
            <w:right w:val="none" w:sz="0" w:space="0" w:color="auto"/>
          </w:divBdr>
        </w:div>
        <w:div w:id="1954939720">
          <w:marLeft w:val="0"/>
          <w:marRight w:val="0"/>
          <w:marTop w:val="0"/>
          <w:marBottom w:val="0"/>
          <w:divBdr>
            <w:top w:val="none" w:sz="0" w:space="0" w:color="auto"/>
            <w:left w:val="none" w:sz="0" w:space="0" w:color="auto"/>
            <w:bottom w:val="none" w:sz="0" w:space="0" w:color="auto"/>
            <w:right w:val="none" w:sz="0" w:space="0" w:color="auto"/>
          </w:divBdr>
        </w:div>
        <w:div w:id="1810903459">
          <w:marLeft w:val="0"/>
          <w:marRight w:val="0"/>
          <w:marTop w:val="0"/>
          <w:marBottom w:val="0"/>
          <w:divBdr>
            <w:top w:val="none" w:sz="0" w:space="0" w:color="auto"/>
            <w:left w:val="none" w:sz="0" w:space="0" w:color="auto"/>
            <w:bottom w:val="none" w:sz="0" w:space="0" w:color="auto"/>
            <w:right w:val="none" w:sz="0" w:space="0" w:color="auto"/>
          </w:divBdr>
        </w:div>
        <w:div w:id="1099721414">
          <w:marLeft w:val="0"/>
          <w:marRight w:val="0"/>
          <w:marTop w:val="0"/>
          <w:marBottom w:val="0"/>
          <w:divBdr>
            <w:top w:val="none" w:sz="0" w:space="0" w:color="auto"/>
            <w:left w:val="none" w:sz="0" w:space="0" w:color="auto"/>
            <w:bottom w:val="none" w:sz="0" w:space="0" w:color="auto"/>
            <w:right w:val="none" w:sz="0" w:space="0" w:color="auto"/>
          </w:divBdr>
        </w:div>
        <w:div w:id="1336298064">
          <w:marLeft w:val="0"/>
          <w:marRight w:val="0"/>
          <w:marTop w:val="0"/>
          <w:marBottom w:val="0"/>
          <w:divBdr>
            <w:top w:val="none" w:sz="0" w:space="0" w:color="auto"/>
            <w:left w:val="none" w:sz="0" w:space="0" w:color="auto"/>
            <w:bottom w:val="none" w:sz="0" w:space="0" w:color="auto"/>
            <w:right w:val="none" w:sz="0" w:space="0" w:color="auto"/>
          </w:divBdr>
        </w:div>
        <w:div w:id="2101019333">
          <w:marLeft w:val="0"/>
          <w:marRight w:val="0"/>
          <w:marTop w:val="0"/>
          <w:marBottom w:val="0"/>
          <w:divBdr>
            <w:top w:val="none" w:sz="0" w:space="0" w:color="auto"/>
            <w:left w:val="none" w:sz="0" w:space="0" w:color="auto"/>
            <w:bottom w:val="none" w:sz="0" w:space="0" w:color="auto"/>
            <w:right w:val="none" w:sz="0" w:space="0" w:color="auto"/>
          </w:divBdr>
        </w:div>
        <w:div w:id="1279680895">
          <w:marLeft w:val="0"/>
          <w:marRight w:val="0"/>
          <w:marTop w:val="0"/>
          <w:marBottom w:val="0"/>
          <w:divBdr>
            <w:top w:val="none" w:sz="0" w:space="0" w:color="auto"/>
            <w:left w:val="none" w:sz="0" w:space="0" w:color="auto"/>
            <w:bottom w:val="none" w:sz="0" w:space="0" w:color="auto"/>
            <w:right w:val="none" w:sz="0" w:space="0" w:color="auto"/>
          </w:divBdr>
        </w:div>
        <w:div w:id="1737510692">
          <w:marLeft w:val="0"/>
          <w:marRight w:val="0"/>
          <w:marTop w:val="0"/>
          <w:marBottom w:val="0"/>
          <w:divBdr>
            <w:top w:val="none" w:sz="0" w:space="0" w:color="auto"/>
            <w:left w:val="none" w:sz="0" w:space="0" w:color="auto"/>
            <w:bottom w:val="none" w:sz="0" w:space="0" w:color="auto"/>
            <w:right w:val="none" w:sz="0" w:space="0" w:color="auto"/>
          </w:divBdr>
        </w:div>
        <w:div w:id="654602781">
          <w:marLeft w:val="0"/>
          <w:marRight w:val="0"/>
          <w:marTop w:val="0"/>
          <w:marBottom w:val="0"/>
          <w:divBdr>
            <w:top w:val="none" w:sz="0" w:space="0" w:color="auto"/>
            <w:left w:val="none" w:sz="0" w:space="0" w:color="auto"/>
            <w:bottom w:val="none" w:sz="0" w:space="0" w:color="auto"/>
            <w:right w:val="none" w:sz="0" w:space="0" w:color="auto"/>
          </w:divBdr>
        </w:div>
        <w:div w:id="1545674958">
          <w:marLeft w:val="0"/>
          <w:marRight w:val="0"/>
          <w:marTop w:val="0"/>
          <w:marBottom w:val="0"/>
          <w:divBdr>
            <w:top w:val="none" w:sz="0" w:space="0" w:color="auto"/>
            <w:left w:val="none" w:sz="0" w:space="0" w:color="auto"/>
            <w:bottom w:val="none" w:sz="0" w:space="0" w:color="auto"/>
            <w:right w:val="none" w:sz="0" w:space="0" w:color="auto"/>
          </w:divBdr>
        </w:div>
        <w:div w:id="592325357">
          <w:marLeft w:val="0"/>
          <w:marRight w:val="0"/>
          <w:marTop w:val="0"/>
          <w:marBottom w:val="0"/>
          <w:divBdr>
            <w:top w:val="none" w:sz="0" w:space="0" w:color="auto"/>
            <w:left w:val="none" w:sz="0" w:space="0" w:color="auto"/>
            <w:bottom w:val="none" w:sz="0" w:space="0" w:color="auto"/>
            <w:right w:val="none" w:sz="0" w:space="0" w:color="auto"/>
          </w:divBdr>
        </w:div>
        <w:div w:id="1333338383">
          <w:marLeft w:val="0"/>
          <w:marRight w:val="0"/>
          <w:marTop w:val="0"/>
          <w:marBottom w:val="0"/>
          <w:divBdr>
            <w:top w:val="none" w:sz="0" w:space="0" w:color="auto"/>
            <w:left w:val="none" w:sz="0" w:space="0" w:color="auto"/>
            <w:bottom w:val="none" w:sz="0" w:space="0" w:color="auto"/>
            <w:right w:val="none" w:sz="0" w:space="0" w:color="auto"/>
          </w:divBdr>
        </w:div>
        <w:div w:id="1088161064">
          <w:marLeft w:val="0"/>
          <w:marRight w:val="0"/>
          <w:marTop w:val="0"/>
          <w:marBottom w:val="0"/>
          <w:divBdr>
            <w:top w:val="none" w:sz="0" w:space="0" w:color="auto"/>
            <w:left w:val="none" w:sz="0" w:space="0" w:color="auto"/>
            <w:bottom w:val="none" w:sz="0" w:space="0" w:color="auto"/>
            <w:right w:val="none" w:sz="0" w:space="0" w:color="auto"/>
          </w:divBdr>
        </w:div>
        <w:div w:id="1690839883">
          <w:marLeft w:val="0"/>
          <w:marRight w:val="0"/>
          <w:marTop w:val="0"/>
          <w:marBottom w:val="0"/>
          <w:divBdr>
            <w:top w:val="none" w:sz="0" w:space="0" w:color="auto"/>
            <w:left w:val="none" w:sz="0" w:space="0" w:color="auto"/>
            <w:bottom w:val="none" w:sz="0" w:space="0" w:color="auto"/>
            <w:right w:val="none" w:sz="0" w:space="0" w:color="auto"/>
          </w:divBdr>
        </w:div>
        <w:div w:id="2033653045">
          <w:marLeft w:val="0"/>
          <w:marRight w:val="0"/>
          <w:marTop w:val="0"/>
          <w:marBottom w:val="0"/>
          <w:divBdr>
            <w:top w:val="none" w:sz="0" w:space="0" w:color="auto"/>
            <w:left w:val="none" w:sz="0" w:space="0" w:color="auto"/>
            <w:bottom w:val="none" w:sz="0" w:space="0" w:color="auto"/>
            <w:right w:val="none" w:sz="0" w:space="0" w:color="auto"/>
          </w:divBdr>
        </w:div>
        <w:div w:id="806387553">
          <w:marLeft w:val="0"/>
          <w:marRight w:val="0"/>
          <w:marTop w:val="0"/>
          <w:marBottom w:val="0"/>
          <w:divBdr>
            <w:top w:val="none" w:sz="0" w:space="0" w:color="auto"/>
            <w:left w:val="none" w:sz="0" w:space="0" w:color="auto"/>
            <w:bottom w:val="none" w:sz="0" w:space="0" w:color="auto"/>
            <w:right w:val="none" w:sz="0" w:space="0" w:color="auto"/>
          </w:divBdr>
        </w:div>
        <w:div w:id="1297101910">
          <w:marLeft w:val="0"/>
          <w:marRight w:val="0"/>
          <w:marTop w:val="0"/>
          <w:marBottom w:val="0"/>
          <w:divBdr>
            <w:top w:val="none" w:sz="0" w:space="0" w:color="auto"/>
            <w:left w:val="none" w:sz="0" w:space="0" w:color="auto"/>
            <w:bottom w:val="none" w:sz="0" w:space="0" w:color="auto"/>
            <w:right w:val="none" w:sz="0" w:space="0" w:color="auto"/>
          </w:divBdr>
        </w:div>
        <w:div w:id="1677149507">
          <w:marLeft w:val="0"/>
          <w:marRight w:val="0"/>
          <w:marTop w:val="0"/>
          <w:marBottom w:val="0"/>
          <w:divBdr>
            <w:top w:val="none" w:sz="0" w:space="0" w:color="auto"/>
            <w:left w:val="none" w:sz="0" w:space="0" w:color="auto"/>
            <w:bottom w:val="none" w:sz="0" w:space="0" w:color="auto"/>
            <w:right w:val="none" w:sz="0" w:space="0" w:color="auto"/>
          </w:divBdr>
        </w:div>
        <w:div w:id="1154224330">
          <w:marLeft w:val="0"/>
          <w:marRight w:val="0"/>
          <w:marTop w:val="0"/>
          <w:marBottom w:val="0"/>
          <w:divBdr>
            <w:top w:val="none" w:sz="0" w:space="0" w:color="auto"/>
            <w:left w:val="none" w:sz="0" w:space="0" w:color="auto"/>
            <w:bottom w:val="none" w:sz="0" w:space="0" w:color="auto"/>
            <w:right w:val="none" w:sz="0" w:space="0" w:color="auto"/>
          </w:divBdr>
        </w:div>
        <w:div w:id="409893486">
          <w:marLeft w:val="0"/>
          <w:marRight w:val="0"/>
          <w:marTop w:val="0"/>
          <w:marBottom w:val="0"/>
          <w:divBdr>
            <w:top w:val="none" w:sz="0" w:space="0" w:color="auto"/>
            <w:left w:val="none" w:sz="0" w:space="0" w:color="auto"/>
            <w:bottom w:val="none" w:sz="0" w:space="0" w:color="auto"/>
            <w:right w:val="none" w:sz="0" w:space="0" w:color="auto"/>
          </w:divBdr>
        </w:div>
        <w:div w:id="1778255178">
          <w:marLeft w:val="0"/>
          <w:marRight w:val="0"/>
          <w:marTop w:val="0"/>
          <w:marBottom w:val="0"/>
          <w:divBdr>
            <w:top w:val="none" w:sz="0" w:space="0" w:color="auto"/>
            <w:left w:val="none" w:sz="0" w:space="0" w:color="auto"/>
            <w:bottom w:val="none" w:sz="0" w:space="0" w:color="auto"/>
            <w:right w:val="none" w:sz="0" w:space="0" w:color="auto"/>
          </w:divBdr>
        </w:div>
        <w:div w:id="2119517743">
          <w:marLeft w:val="0"/>
          <w:marRight w:val="0"/>
          <w:marTop w:val="0"/>
          <w:marBottom w:val="0"/>
          <w:divBdr>
            <w:top w:val="none" w:sz="0" w:space="0" w:color="auto"/>
            <w:left w:val="none" w:sz="0" w:space="0" w:color="auto"/>
            <w:bottom w:val="none" w:sz="0" w:space="0" w:color="auto"/>
            <w:right w:val="none" w:sz="0" w:space="0" w:color="auto"/>
          </w:divBdr>
        </w:div>
        <w:div w:id="111945226">
          <w:marLeft w:val="0"/>
          <w:marRight w:val="0"/>
          <w:marTop w:val="0"/>
          <w:marBottom w:val="0"/>
          <w:divBdr>
            <w:top w:val="none" w:sz="0" w:space="0" w:color="auto"/>
            <w:left w:val="none" w:sz="0" w:space="0" w:color="auto"/>
            <w:bottom w:val="none" w:sz="0" w:space="0" w:color="auto"/>
            <w:right w:val="none" w:sz="0" w:space="0" w:color="auto"/>
          </w:divBdr>
        </w:div>
        <w:div w:id="1870952456">
          <w:marLeft w:val="0"/>
          <w:marRight w:val="0"/>
          <w:marTop w:val="0"/>
          <w:marBottom w:val="0"/>
          <w:divBdr>
            <w:top w:val="none" w:sz="0" w:space="0" w:color="auto"/>
            <w:left w:val="none" w:sz="0" w:space="0" w:color="auto"/>
            <w:bottom w:val="none" w:sz="0" w:space="0" w:color="auto"/>
            <w:right w:val="none" w:sz="0" w:space="0" w:color="auto"/>
          </w:divBdr>
        </w:div>
        <w:div w:id="127088171">
          <w:marLeft w:val="0"/>
          <w:marRight w:val="0"/>
          <w:marTop w:val="0"/>
          <w:marBottom w:val="0"/>
          <w:divBdr>
            <w:top w:val="none" w:sz="0" w:space="0" w:color="auto"/>
            <w:left w:val="none" w:sz="0" w:space="0" w:color="auto"/>
            <w:bottom w:val="none" w:sz="0" w:space="0" w:color="auto"/>
            <w:right w:val="none" w:sz="0" w:space="0" w:color="auto"/>
          </w:divBdr>
        </w:div>
        <w:div w:id="590630148">
          <w:marLeft w:val="0"/>
          <w:marRight w:val="0"/>
          <w:marTop w:val="0"/>
          <w:marBottom w:val="0"/>
          <w:divBdr>
            <w:top w:val="none" w:sz="0" w:space="0" w:color="auto"/>
            <w:left w:val="none" w:sz="0" w:space="0" w:color="auto"/>
            <w:bottom w:val="none" w:sz="0" w:space="0" w:color="auto"/>
            <w:right w:val="none" w:sz="0" w:space="0" w:color="auto"/>
          </w:divBdr>
        </w:div>
        <w:div w:id="877937870">
          <w:marLeft w:val="0"/>
          <w:marRight w:val="0"/>
          <w:marTop w:val="0"/>
          <w:marBottom w:val="0"/>
          <w:divBdr>
            <w:top w:val="none" w:sz="0" w:space="0" w:color="auto"/>
            <w:left w:val="none" w:sz="0" w:space="0" w:color="auto"/>
            <w:bottom w:val="none" w:sz="0" w:space="0" w:color="auto"/>
            <w:right w:val="none" w:sz="0" w:space="0" w:color="auto"/>
          </w:divBdr>
        </w:div>
        <w:div w:id="479462738">
          <w:marLeft w:val="0"/>
          <w:marRight w:val="0"/>
          <w:marTop w:val="0"/>
          <w:marBottom w:val="0"/>
          <w:divBdr>
            <w:top w:val="none" w:sz="0" w:space="0" w:color="auto"/>
            <w:left w:val="none" w:sz="0" w:space="0" w:color="auto"/>
            <w:bottom w:val="none" w:sz="0" w:space="0" w:color="auto"/>
            <w:right w:val="none" w:sz="0" w:space="0" w:color="auto"/>
          </w:divBdr>
        </w:div>
        <w:div w:id="826435677">
          <w:marLeft w:val="0"/>
          <w:marRight w:val="0"/>
          <w:marTop w:val="0"/>
          <w:marBottom w:val="0"/>
          <w:divBdr>
            <w:top w:val="none" w:sz="0" w:space="0" w:color="auto"/>
            <w:left w:val="none" w:sz="0" w:space="0" w:color="auto"/>
            <w:bottom w:val="none" w:sz="0" w:space="0" w:color="auto"/>
            <w:right w:val="none" w:sz="0" w:space="0" w:color="auto"/>
          </w:divBdr>
        </w:div>
        <w:div w:id="1908035251">
          <w:marLeft w:val="0"/>
          <w:marRight w:val="0"/>
          <w:marTop w:val="0"/>
          <w:marBottom w:val="0"/>
          <w:divBdr>
            <w:top w:val="none" w:sz="0" w:space="0" w:color="auto"/>
            <w:left w:val="none" w:sz="0" w:space="0" w:color="auto"/>
            <w:bottom w:val="none" w:sz="0" w:space="0" w:color="auto"/>
            <w:right w:val="none" w:sz="0" w:space="0" w:color="auto"/>
          </w:divBdr>
        </w:div>
        <w:div w:id="1057826215">
          <w:marLeft w:val="0"/>
          <w:marRight w:val="0"/>
          <w:marTop w:val="0"/>
          <w:marBottom w:val="0"/>
          <w:divBdr>
            <w:top w:val="none" w:sz="0" w:space="0" w:color="auto"/>
            <w:left w:val="none" w:sz="0" w:space="0" w:color="auto"/>
            <w:bottom w:val="none" w:sz="0" w:space="0" w:color="auto"/>
            <w:right w:val="none" w:sz="0" w:space="0" w:color="auto"/>
          </w:divBdr>
        </w:div>
        <w:div w:id="210926883">
          <w:marLeft w:val="0"/>
          <w:marRight w:val="0"/>
          <w:marTop w:val="0"/>
          <w:marBottom w:val="0"/>
          <w:divBdr>
            <w:top w:val="none" w:sz="0" w:space="0" w:color="auto"/>
            <w:left w:val="none" w:sz="0" w:space="0" w:color="auto"/>
            <w:bottom w:val="none" w:sz="0" w:space="0" w:color="auto"/>
            <w:right w:val="none" w:sz="0" w:space="0" w:color="auto"/>
          </w:divBdr>
        </w:div>
        <w:div w:id="1546596115">
          <w:marLeft w:val="0"/>
          <w:marRight w:val="0"/>
          <w:marTop w:val="0"/>
          <w:marBottom w:val="0"/>
          <w:divBdr>
            <w:top w:val="none" w:sz="0" w:space="0" w:color="auto"/>
            <w:left w:val="none" w:sz="0" w:space="0" w:color="auto"/>
            <w:bottom w:val="none" w:sz="0" w:space="0" w:color="auto"/>
            <w:right w:val="none" w:sz="0" w:space="0" w:color="auto"/>
          </w:divBdr>
        </w:div>
        <w:div w:id="122579303">
          <w:marLeft w:val="0"/>
          <w:marRight w:val="0"/>
          <w:marTop w:val="0"/>
          <w:marBottom w:val="0"/>
          <w:divBdr>
            <w:top w:val="none" w:sz="0" w:space="0" w:color="auto"/>
            <w:left w:val="none" w:sz="0" w:space="0" w:color="auto"/>
            <w:bottom w:val="none" w:sz="0" w:space="0" w:color="auto"/>
            <w:right w:val="none" w:sz="0" w:space="0" w:color="auto"/>
          </w:divBdr>
        </w:div>
        <w:div w:id="984776355">
          <w:marLeft w:val="0"/>
          <w:marRight w:val="0"/>
          <w:marTop w:val="0"/>
          <w:marBottom w:val="0"/>
          <w:divBdr>
            <w:top w:val="none" w:sz="0" w:space="0" w:color="auto"/>
            <w:left w:val="none" w:sz="0" w:space="0" w:color="auto"/>
            <w:bottom w:val="none" w:sz="0" w:space="0" w:color="auto"/>
            <w:right w:val="none" w:sz="0" w:space="0" w:color="auto"/>
          </w:divBdr>
        </w:div>
        <w:div w:id="1355616075">
          <w:marLeft w:val="0"/>
          <w:marRight w:val="0"/>
          <w:marTop w:val="0"/>
          <w:marBottom w:val="0"/>
          <w:divBdr>
            <w:top w:val="none" w:sz="0" w:space="0" w:color="auto"/>
            <w:left w:val="none" w:sz="0" w:space="0" w:color="auto"/>
            <w:bottom w:val="none" w:sz="0" w:space="0" w:color="auto"/>
            <w:right w:val="none" w:sz="0" w:space="0" w:color="auto"/>
          </w:divBdr>
        </w:div>
        <w:div w:id="1165239588">
          <w:marLeft w:val="0"/>
          <w:marRight w:val="0"/>
          <w:marTop w:val="0"/>
          <w:marBottom w:val="0"/>
          <w:divBdr>
            <w:top w:val="none" w:sz="0" w:space="0" w:color="auto"/>
            <w:left w:val="none" w:sz="0" w:space="0" w:color="auto"/>
            <w:bottom w:val="none" w:sz="0" w:space="0" w:color="auto"/>
            <w:right w:val="none" w:sz="0" w:space="0" w:color="auto"/>
          </w:divBdr>
        </w:div>
        <w:div w:id="1765608037">
          <w:marLeft w:val="0"/>
          <w:marRight w:val="0"/>
          <w:marTop w:val="0"/>
          <w:marBottom w:val="0"/>
          <w:divBdr>
            <w:top w:val="none" w:sz="0" w:space="0" w:color="auto"/>
            <w:left w:val="none" w:sz="0" w:space="0" w:color="auto"/>
            <w:bottom w:val="none" w:sz="0" w:space="0" w:color="auto"/>
            <w:right w:val="none" w:sz="0" w:space="0" w:color="auto"/>
          </w:divBdr>
        </w:div>
        <w:div w:id="1143235608">
          <w:marLeft w:val="0"/>
          <w:marRight w:val="0"/>
          <w:marTop w:val="0"/>
          <w:marBottom w:val="0"/>
          <w:divBdr>
            <w:top w:val="none" w:sz="0" w:space="0" w:color="auto"/>
            <w:left w:val="none" w:sz="0" w:space="0" w:color="auto"/>
            <w:bottom w:val="none" w:sz="0" w:space="0" w:color="auto"/>
            <w:right w:val="none" w:sz="0" w:space="0" w:color="auto"/>
          </w:divBdr>
        </w:div>
        <w:div w:id="106395227">
          <w:marLeft w:val="0"/>
          <w:marRight w:val="0"/>
          <w:marTop w:val="0"/>
          <w:marBottom w:val="0"/>
          <w:divBdr>
            <w:top w:val="none" w:sz="0" w:space="0" w:color="auto"/>
            <w:left w:val="none" w:sz="0" w:space="0" w:color="auto"/>
            <w:bottom w:val="none" w:sz="0" w:space="0" w:color="auto"/>
            <w:right w:val="none" w:sz="0" w:space="0" w:color="auto"/>
          </w:divBdr>
        </w:div>
        <w:div w:id="533351606">
          <w:marLeft w:val="0"/>
          <w:marRight w:val="0"/>
          <w:marTop w:val="0"/>
          <w:marBottom w:val="0"/>
          <w:divBdr>
            <w:top w:val="none" w:sz="0" w:space="0" w:color="auto"/>
            <w:left w:val="none" w:sz="0" w:space="0" w:color="auto"/>
            <w:bottom w:val="none" w:sz="0" w:space="0" w:color="auto"/>
            <w:right w:val="none" w:sz="0" w:space="0" w:color="auto"/>
          </w:divBdr>
        </w:div>
        <w:div w:id="2095927988">
          <w:marLeft w:val="0"/>
          <w:marRight w:val="0"/>
          <w:marTop w:val="0"/>
          <w:marBottom w:val="0"/>
          <w:divBdr>
            <w:top w:val="none" w:sz="0" w:space="0" w:color="auto"/>
            <w:left w:val="none" w:sz="0" w:space="0" w:color="auto"/>
            <w:bottom w:val="none" w:sz="0" w:space="0" w:color="auto"/>
            <w:right w:val="none" w:sz="0" w:space="0" w:color="auto"/>
          </w:divBdr>
        </w:div>
        <w:div w:id="1886866274">
          <w:marLeft w:val="0"/>
          <w:marRight w:val="0"/>
          <w:marTop w:val="0"/>
          <w:marBottom w:val="0"/>
          <w:divBdr>
            <w:top w:val="none" w:sz="0" w:space="0" w:color="auto"/>
            <w:left w:val="none" w:sz="0" w:space="0" w:color="auto"/>
            <w:bottom w:val="none" w:sz="0" w:space="0" w:color="auto"/>
            <w:right w:val="none" w:sz="0" w:space="0" w:color="auto"/>
          </w:divBdr>
        </w:div>
        <w:div w:id="278608429">
          <w:marLeft w:val="0"/>
          <w:marRight w:val="0"/>
          <w:marTop w:val="0"/>
          <w:marBottom w:val="0"/>
          <w:divBdr>
            <w:top w:val="none" w:sz="0" w:space="0" w:color="auto"/>
            <w:left w:val="none" w:sz="0" w:space="0" w:color="auto"/>
            <w:bottom w:val="none" w:sz="0" w:space="0" w:color="auto"/>
            <w:right w:val="none" w:sz="0" w:space="0" w:color="auto"/>
          </w:divBdr>
        </w:div>
        <w:div w:id="2062172078">
          <w:marLeft w:val="0"/>
          <w:marRight w:val="0"/>
          <w:marTop w:val="0"/>
          <w:marBottom w:val="0"/>
          <w:divBdr>
            <w:top w:val="none" w:sz="0" w:space="0" w:color="auto"/>
            <w:left w:val="none" w:sz="0" w:space="0" w:color="auto"/>
            <w:bottom w:val="none" w:sz="0" w:space="0" w:color="auto"/>
            <w:right w:val="none" w:sz="0" w:space="0" w:color="auto"/>
          </w:divBdr>
        </w:div>
        <w:div w:id="133331393">
          <w:marLeft w:val="0"/>
          <w:marRight w:val="0"/>
          <w:marTop w:val="0"/>
          <w:marBottom w:val="0"/>
          <w:divBdr>
            <w:top w:val="none" w:sz="0" w:space="0" w:color="auto"/>
            <w:left w:val="none" w:sz="0" w:space="0" w:color="auto"/>
            <w:bottom w:val="none" w:sz="0" w:space="0" w:color="auto"/>
            <w:right w:val="none" w:sz="0" w:space="0" w:color="auto"/>
          </w:divBdr>
        </w:div>
        <w:div w:id="515655824">
          <w:marLeft w:val="0"/>
          <w:marRight w:val="0"/>
          <w:marTop w:val="0"/>
          <w:marBottom w:val="0"/>
          <w:divBdr>
            <w:top w:val="none" w:sz="0" w:space="0" w:color="auto"/>
            <w:left w:val="none" w:sz="0" w:space="0" w:color="auto"/>
            <w:bottom w:val="none" w:sz="0" w:space="0" w:color="auto"/>
            <w:right w:val="none" w:sz="0" w:space="0" w:color="auto"/>
          </w:divBdr>
        </w:div>
        <w:div w:id="1195537249">
          <w:marLeft w:val="0"/>
          <w:marRight w:val="0"/>
          <w:marTop w:val="0"/>
          <w:marBottom w:val="0"/>
          <w:divBdr>
            <w:top w:val="none" w:sz="0" w:space="0" w:color="auto"/>
            <w:left w:val="none" w:sz="0" w:space="0" w:color="auto"/>
            <w:bottom w:val="none" w:sz="0" w:space="0" w:color="auto"/>
            <w:right w:val="none" w:sz="0" w:space="0" w:color="auto"/>
          </w:divBdr>
        </w:div>
        <w:div w:id="2061316783">
          <w:marLeft w:val="0"/>
          <w:marRight w:val="0"/>
          <w:marTop w:val="0"/>
          <w:marBottom w:val="0"/>
          <w:divBdr>
            <w:top w:val="none" w:sz="0" w:space="0" w:color="auto"/>
            <w:left w:val="none" w:sz="0" w:space="0" w:color="auto"/>
            <w:bottom w:val="none" w:sz="0" w:space="0" w:color="auto"/>
            <w:right w:val="none" w:sz="0" w:space="0" w:color="auto"/>
          </w:divBdr>
        </w:div>
        <w:div w:id="1754206333">
          <w:marLeft w:val="0"/>
          <w:marRight w:val="0"/>
          <w:marTop w:val="0"/>
          <w:marBottom w:val="0"/>
          <w:divBdr>
            <w:top w:val="none" w:sz="0" w:space="0" w:color="auto"/>
            <w:left w:val="none" w:sz="0" w:space="0" w:color="auto"/>
            <w:bottom w:val="none" w:sz="0" w:space="0" w:color="auto"/>
            <w:right w:val="none" w:sz="0" w:space="0" w:color="auto"/>
          </w:divBdr>
        </w:div>
        <w:div w:id="261761102">
          <w:marLeft w:val="0"/>
          <w:marRight w:val="0"/>
          <w:marTop w:val="0"/>
          <w:marBottom w:val="0"/>
          <w:divBdr>
            <w:top w:val="none" w:sz="0" w:space="0" w:color="auto"/>
            <w:left w:val="none" w:sz="0" w:space="0" w:color="auto"/>
            <w:bottom w:val="none" w:sz="0" w:space="0" w:color="auto"/>
            <w:right w:val="none" w:sz="0" w:space="0" w:color="auto"/>
          </w:divBdr>
        </w:div>
        <w:div w:id="1465655087">
          <w:marLeft w:val="0"/>
          <w:marRight w:val="0"/>
          <w:marTop w:val="0"/>
          <w:marBottom w:val="0"/>
          <w:divBdr>
            <w:top w:val="none" w:sz="0" w:space="0" w:color="auto"/>
            <w:left w:val="none" w:sz="0" w:space="0" w:color="auto"/>
            <w:bottom w:val="none" w:sz="0" w:space="0" w:color="auto"/>
            <w:right w:val="none" w:sz="0" w:space="0" w:color="auto"/>
          </w:divBdr>
        </w:div>
        <w:div w:id="1666468323">
          <w:marLeft w:val="0"/>
          <w:marRight w:val="0"/>
          <w:marTop w:val="0"/>
          <w:marBottom w:val="0"/>
          <w:divBdr>
            <w:top w:val="none" w:sz="0" w:space="0" w:color="auto"/>
            <w:left w:val="none" w:sz="0" w:space="0" w:color="auto"/>
            <w:bottom w:val="none" w:sz="0" w:space="0" w:color="auto"/>
            <w:right w:val="none" w:sz="0" w:space="0" w:color="auto"/>
          </w:divBdr>
        </w:div>
        <w:div w:id="767580602">
          <w:marLeft w:val="0"/>
          <w:marRight w:val="0"/>
          <w:marTop w:val="0"/>
          <w:marBottom w:val="0"/>
          <w:divBdr>
            <w:top w:val="none" w:sz="0" w:space="0" w:color="auto"/>
            <w:left w:val="none" w:sz="0" w:space="0" w:color="auto"/>
            <w:bottom w:val="none" w:sz="0" w:space="0" w:color="auto"/>
            <w:right w:val="none" w:sz="0" w:space="0" w:color="auto"/>
          </w:divBdr>
        </w:div>
        <w:div w:id="1608348634">
          <w:marLeft w:val="0"/>
          <w:marRight w:val="0"/>
          <w:marTop w:val="0"/>
          <w:marBottom w:val="0"/>
          <w:divBdr>
            <w:top w:val="none" w:sz="0" w:space="0" w:color="auto"/>
            <w:left w:val="none" w:sz="0" w:space="0" w:color="auto"/>
            <w:bottom w:val="none" w:sz="0" w:space="0" w:color="auto"/>
            <w:right w:val="none" w:sz="0" w:space="0" w:color="auto"/>
          </w:divBdr>
        </w:div>
        <w:div w:id="657685706">
          <w:marLeft w:val="0"/>
          <w:marRight w:val="0"/>
          <w:marTop w:val="0"/>
          <w:marBottom w:val="0"/>
          <w:divBdr>
            <w:top w:val="none" w:sz="0" w:space="0" w:color="auto"/>
            <w:left w:val="none" w:sz="0" w:space="0" w:color="auto"/>
            <w:bottom w:val="none" w:sz="0" w:space="0" w:color="auto"/>
            <w:right w:val="none" w:sz="0" w:space="0" w:color="auto"/>
          </w:divBdr>
        </w:div>
        <w:div w:id="1999990558">
          <w:marLeft w:val="0"/>
          <w:marRight w:val="0"/>
          <w:marTop w:val="0"/>
          <w:marBottom w:val="0"/>
          <w:divBdr>
            <w:top w:val="none" w:sz="0" w:space="0" w:color="auto"/>
            <w:left w:val="none" w:sz="0" w:space="0" w:color="auto"/>
            <w:bottom w:val="none" w:sz="0" w:space="0" w:color="auto"/>
            <w:right w:val="none" w:sz="0" w:space="0" w:color="auto"/>
          </w:divBdr>
        </w:div>
        <w:div w:id="100103496">
          <w:marLeft w:val="0"/>
          <w:marRight w:val="0"/>
          <w:marTop w:val="0"/>
          <w:marBottom w:val="0"/>
          <w:divBdr>
            <w:top w:val="none" w:sz="0" w:space="0" w:color="auto"/>
            <w:left w:val="none" w:sz="0" w:space="0" w:color="auto"/>
            <w:bottom w:val="none" w:sz="0" w:space="0" w:color="auto"/>
            <w:right w:val="none" w:sz="0" w:space="0" w:color="auto"/>
          </w:divBdr>
        </w:div>
        <w:div w:id="2095469553">
          <w:marLeft w:val="0"/>
          <w:marRight w:val="0"/>
          <w:marTop w:val="0"/>
          <w:marBottom w:val="0"/>
          <w:divBdr>
            <w:top w:val="none" w:sz="0" w:space="0" w:color="auto"/>
            <w:left w:val="none" w:sz="0" w:space="0" w:color="auto"/>
            <w:bottom w:val="none" w:sz="0" w:space="0" w:color="auto"/>
            <w:right w:val="none" w:sz="0" w:space="0" w:color="auto"/>
          </w:divBdr>
        </w:div>
        <w:div w:id="1946230075">
          <w:marLeft w:val="0"/>
          <w:marRight w:val="0"/>
          <w:marTop w:val="0"/>
          <w:marBottom w:val="0"/>
          <w:divBdr>
            <w:top w:val="none" w:sz="0" w:space="0" w:color="auto"/>
            <w:left w:val="none" w:sz="0" w:space="0" w:color="auto"/>
            <w:bottom w:val="none" w:sz="0" w:space="0" w:color="auto"/>
            <w:right w:val="none" w:sz="0" w:space="0" w:color="auto"/>
          </w:divBdr>
        </w:div>
        <w:div w:id="71045273">
          <w:marLeft w:val="0"/>
          <w:marRight w:val="0"/>
          <w:marTop w:val="0"/>
          <w:marBottom w:val="0"/>
          <w:divBdr>
            <w:top w:val="none" w:sz="0" w:space="0" w:color="auto"/>
            <w:left w:val="none" w:sz="0" w:space="0" w:color="auto"/>
            <w:bottom w:val="none" w:sz="0" w:space="0" w:color="auto"/>
            <w:right w:val="none" w:sz="0" w:space="0" w:color="auto"/>
          </w:divBdr>
        </w:div>
        <w:div w:id="1303346823">
          <w:marLeft w:val="0"/>
          <w:marRight w:val="0"/>
          <w:marTop w:val="0"/>
          <w:marBottom w:val="0"/>
          <w:divBdr>
            <w:top w:val="none" w:sz="0" w:space="0" w:color="auto"/>
            <w:left w:val="none" w:sz="0" w:space="0" w:color="auto"/>
            <w:bottom w:val="none" w:sz="0" w:space="0" w:color="auto"/>
            <w:right w:val="none" w:sz="0" w:space="0" w:color="auto"/>
          </w:divBdr>
        </w:div>
        <w:div w:id="875193342">
          <w:marLeft w:val="0"/>
          <w:marRight w:val="0"/>
          <w:marTop w:val="0"/>
          <w:marBottom w:val="0"/>
          <w:divBdr>
            <w:top w:val="none" w:sz="0" w:space="0" w:color="auto"/>
            <w:left w:val="none" w:sz="0" w:space="0" w:color="auto"/>
            <w:bottom w:val="none" w:sz="0" w:space="0" w:color="auto"/>
            <w:right w:val="none" w:sz="0" w:space="0" w:color="auto"/>
          </w:divBdr>
        </w:div>
        <w:div w:id="495075890">
          <w:marLeft w:val="0"/>
          <w:marRight w:val="0"/>
          <w:marTop w:val="0"/>
          <w:marBottom w:val="0"/>
          <w:divBdr>
            <w:top w:val="none" w:sz="0" w:space="0" w:color="auto"/>
            <w:left w:val="none" w:sz="0" w:space="0" w:color="auto"/>
            <w:bottom w:val="none" w:sz="0" w:space="0" w:color="auto"/>
            <w:right w:val="none" w:sz="0" w:space="0" w:color="auto"/>
          </w:divBdr>
        </w:div>
        <w:div w:id="527718591">
          <w:marLeft w:val="0"/>
          <w:marRight w:val="0"/>
          <w:marTop w:val="0"/>
          <w:marBottom w:val="0"/>
          <w:divBdr>
            <w:top w:val="none" w:sz="0" w:space="0" w:color="auto"/>
            <w:left w:val="none" w:sz="0" w:space="0" w:color="auto"/>
            <w:bottom w:val="none" w:sz="0" w:space="0" w:color="auto"/>
            <w:right w:val="none" w:sz="0" w:space="0" w:color="auto"/>
          </w:divBdr>
        </w:div>
        <w:div w:id="743071524">
          <w:marLeft w:val="0"/>
          <w:marRight w:val="0"/>
          <w:marTop w:val="0"/>
          <w:marBottom w:val="0"/>
          <w:divBdr>
            <w:top w:val="none" w:sz="0" w:space="0" w:color="auto"/>
            <w:left w:val="none" w:sz="0" w:space="0" w:color="auto"/>
            <w:bottom w:val="none" w:sz="0" w:space="0" w:color="auto"/>
            <w:right w:val="none" w:sz="0" w:space="0" w:color="auto"/>
          </w:divBdr>
        </w:div>
        <w:div w:id="529072515">
          <w:marLeft w:val="0"/>
          <w:marRight w:val="0"/>
          <w:marTop w:val="0"/>
          <w:marBottom w:val="0"/>
          <w:divBdr>
            <w:top w:val="none" w:sz="0" w:space="0" w:color="auto"/>
            <w:left w:val="none" w:sz="0" w:space="0" w:color="auto"/>
            <w:bottom w:val="none" w:sz="0" w:space="0" w:color="auto"/>
            <w:right w:val="none" w:sz="0" w:space="0" w:color="auto"/>
          </w:divBdr>
        </w:div>
        <w:div w:id="2129740054">
          <w:marLeft w:val="0"/>
          <w:marRight w:val="0"/>
          <w:marTop w:val="0"/>
          <w:marBottom w:val="0"/>
          <w:divBdr>
            <w:top w:val="none" w:sz="0" w:space="0" w:color="auto"/>
            <w:left w:val="none" w:sz="0" w:space="0" w:color="auto"/>
            <w:bottom w:val="none" w:sz="0" w:space="0" w:color="auto"/>
            <w:right w:val="none" w:sz="0" w:space="0" w:color="auto"/>
          </w:divBdr>
        </w:div>
        <w:div w:id="19359528">
          <w:marLeft w:val="0"/>
          <w:marRight w:val="0"/>
          <w:marTop w:val="0"/>
          <w:marBottom w:val="0"/>
          <w:divBdr>
            <w:top w:val="none" w:sz="0" w:space="0" w:color="auto"/>
            <w:left w:val="none" w:sz="0" w:space="0" w:color="auto"/>
            <w:bottom w:val="none" w:sz="0" w:space="0" w:color="auto"/>
            <w:right w:val="none" w:sz="0" w:space="0" w:color="auto"/>
          </w:divBdr>
        </w:div>
        <w:div w:id="281150237">
          <w:marLeft w:val="0"/>
          <w:marRight w:val="0"/>
          <w:marTop w:val="0"/>
          <w:marBottom w:val="0"/>
          <w:divBdr>
            <w:top w:val="none" w:sz="0" w:space="0" w:color="auto"/>
            <w:left w:val="none" w:sz="0" w:space="0" w:color="auto"/>
            <w:bottom w:val="none" w:sz="0" w:space="0" w:color="auto"/>
            <w:right w:val="none" w:sz="0" w:space="0" w:color="auto"/>
          </w:divBdr>
        </w:div>
        <w:div w:id="3171764">
          <w:marLeft w:val="0"/>
          <w:marRight w:val="0"/>
          <w:marTop w:val="0"/>
          <w:marBottom w:val="0"/>
          <w:divBdr>
            <w:top w:val="none" w:sz="0" w:space="0" w:color="auto"/>
            <w:left w:val="none" w:sz="0" w:space="0" w:color="auto"/>
            <w:bottom w:val="none" w:sz="0" w:space="0" w:color="auto"/>
            <w:right w:val="none" w:sz="0" w:space="0" w:color="auto"/>
          </w:divBdr>
        </w:div>
        <w:div w:id="1456484257">
          <w:marLeft w:val="0"/>
          <w:marRight w:val="0"/>
          <w:marTop w:val="0"/>
          <w:marBottom w:val="0"/>
          <w:divBdr>
            <w:top w:val="none" w:sz="0" w:space="0" w:color="auto"/>
            <w:left w:val="none" w:sz="0" w:space="0" w:color="auto"/>
            <w:bottom w:val="none" w:sz="0" w:space="0" w:color="auto"/>
            <w:right w:val="none" w:sz="0" w:space="0" w:color="auto"/>
          </w:divBdr>
        </w:div>
        <w:div w:id="1132941684">
          <w:marLeft w:val="0"/>
          <w:marRight w:val="0"/>
          <w:marTop w:val="0"/>
          <w:marBottom w:val="0"/>
          <w:divBdr>
            <w:top w:val="none" w:sz="0" w:space="0" w:color="auto"/>
            <w:left w:val="none" w:sz="0" w:space="0" w:color="auto"/>
            <w:bottom w:val="none" w:sz="0" w:space="0" w:color="auto"/>
            <w:right w:val="none" w:sz="0" w:space="0" w:color="auto"/>
          </w:divBdr>
        </w:div>
        <w:div w:id="1577469869">
          <w:marLeft w:val="0"/>
          <w:marRight w:val="0"/>
          <w:marTop w:val="0"/>
          <w:marBottom w:val="0"/>
          <w:divBdr>
            <w:top w:val="none" w:sz="0" w:space="0" w:color="auto"/>
            <w:left w:val="none" w:sz="0" w:space="0" w:color="auto"/>
            <w:bottom w:val="none" w:sz="0" w:space="0" w:color="auto"/>
            <w:right w:val="none" w:sz="0" w:space="0" w:color="auto"/>
          </w:divBdr>
        </w:div>
        <w:div w:id="1714772151">
          <w:marLeft w:val="0"/>
          <w:marRight w:val="0"/>
          <w:marTop w:val="0"/>
          <w:marBottom w:val="0"/>
          <w:divBdr>
            <w:top w:val="none" w:sz="0" w:space="0" w:color="auto"/>
            <w:left w:val="none" w:sz="0" w:space="0" w:color="auto"/>
            <w:bottom w:val="none" w:sz="0" w:space="0" w:color="auto"/>
            <w:right w:val="none" w:sz="0" w:space="0" w:color="auto"/>
          </w:divBdr>
        </w:div>
        <w:div w:id="2033455469">
          <w:marLeft w:val="0"/>
          <w:marRight w:val="0"/>
          <w:marTop w:val="0"/>
          <w:marBottom w:val="0"/>
          <w:divBdr>
            <w:top w:val="none" w:sz="0" w:space="0" w:color="auto"/>
            <w:left w:val="none" w:sz="0" w:space="0" w:color="auto"/>
            <w:bottom w:val="none" w:sz="0" w:space="0" w:color="auto"/>
            <w:right w:val="none" w:sz="0" w:space="0" w:color="auto"/>
          </w:divBdr>
        </w:div>
        <w:div w:id="271518387">
          <w:marLeft w:val="0"/>
          <w:marRight w:val="0"/>
          <w:marTop w:val="0"/>
          <w:marBottom w:val="0"/>
          <w:divBdr>
            <w:top w:val="none" w:sz="0" w:space="0" w:color="auto"/>
            <w:left w:val="none" w:sz="0" w:space="0" w:color="auto"/>
            <w:bottom w:val="none" w:sz="0" w:space="0" w:color="auto"/>
            <w:right w:val="none" w:sz="0" w:space="0" w:color="auto"/>
          </w:divBdr>
        </w:div>
        <w:div w:id="1897861854">
          <w:marLeft w:val="0"/>
          <w:marRight w:val="0"/>
          <w:marTop w:val="0"/>
          <w:marBottom w:val="0"/>
          <w:divBdr>
            <w:top w:val="none" w:sz="0" w:space="0" w:color="auto"/>
            <w:left w:val="none" w:sz="0" w:space="0" w:color="auto"/>
            <w:bottom w:val="none" w:sz="0" w:space="0" w:color="auto"/>
            <w:right w:val="none" w:sz="0" w:space="0" w:color="auto"/>
          </w:divBdr>
        </w:div>
        <w:div w:id="1610120203">
          <w:marLeft w:val="0"/>
          <w:marRight w:val="0"/>
          <w:marTop w:val="0"/>
          <w:marBottom w:val="0"/>
          <w:divBdr>
            <w:top w:val="none" w:sz="0" w:space="0" w:color="auto"/>
            <w:left w:val="none" w:sz="0" w:space="0" w:color="auto"/>
            <w:bottom w:val="none" w:sz="0" w:space="0" w:color="auto"/>
            <w:right w:val="none" w:sz="0" w:space="0" w:color="auto"/>
          </w:divBdr>
        </w:div>
        <w:div w:id="1442064889">
          <w:marLeft w:val="0"/>
          <w:marRight w:val="0"/>
          <w:marTop w:val="0"/>
          <w:marBottom w:val="0"/>
          <w:divBdr>
            <w:top w:val="none" w:sz="0" w:space="0" w:color="auto"/>
            <w:left w:val="none" w:sz="0" w:space="0" w:color="auto"/>
            <w:bottom w:val="none" w:sz="0" w:space="0" w:color="auto"/>
            <w:right w:val="none" w:sz="0" w:space="0" w:color="auto"/>
          </w:divBdr>
        </w:div>
        <w:div w:id="1528593374">
          <w:marLeft w:val="0"/>
          <w:marRight w:val="0"/>
          <w:marTop w:val="0"/>
          <w:marBottom w:val="0"/>
          <w:divBdr>
            <w:top w:val="none" w:sz="0" w:space="0" w:color="auto"/>
            <w:left w:val="none" w:sz="0" w:space="0" w:color="auto"/>
            <w:bottom w:val="none" w:sz="0" w:space="0" w:color="auto"/>
            <w:right w:val="none" w:sz="0" w:space="0" w:color="auto"/>
          </w:divBdr>
        </w:div>
        <w:div w:id="383600867">
          <w:marLeft w:val="0"/>
          <w:marRight w:val="0"/>
          <w:marTop w:val="0"/>
          <w:marBottom w:val="0"/>
          <w:divBdr>
            <w:top w:val="none" w:sz="0" w:space="0" w:color="auto"/>
            <w:left w:val="none" w:sz="0" w:space="0" w:color="auto"/>
            <w:bottom w:val="none" w:sz="0" w:space="0" w:color="auto"/>
            <w:right w:val="none" w:sz="0" w:space="0" w:color="auto"/>
          </w:divBdr>
        </w:div>
        <w:div w:id="954336734">
          <w:marLeft w:val="0"/>
          <w:marRight w:val="0"/>
          <w:marTop w:val="0"/>
          <w:marBottom w:val="0"/>
          <w:divBdr>
            <w:top w:val="none" w:sz="0" w:space="0" w:color="auto"/>
            <w:left w:val="none" w:sz="0" w:space="0" w:color="auto"/>
            <w:bottom w:val="none" w:sz="0" w:space="0" w:color="auto"/>
            <w:right w:val="none" w:sz="0" w:space="0" w:color="auto"/>
          </w:divBdr>
        </w:div>
        <w:div w:id="459617193">
          <w:marLeft w:val="0"/>
          <w:marRight w:val="0"/>
          <w:marTop w:val="0"/>
          <w:marBottom w:val="0"/>
          <w:divBdr>
            <w:top w:val="none" w:sz="0" w:space="0" w:color="auto"/>
            <w:left w:val="none" w:sz="0" w:space="0" w:color="auto"/>
            <w:bottom w:val="none" w:sz="0" w:space="0" w:color="auto"/>
            <w:right w:val="none" w:sz="0" w:space="0" w:color="auto"/>
          </w:divBdr>
        </w:div>
        <w:div w:id="1851526627">
          <w:marLeft w:val="0"/>
          <w:marRight w:val="0"/>
          <w:marTop w:val="0"/>
          <w:marBottom w:val="0"/>
          <w:divBdr>
            <w:top w:val="none" w:sz="0" w:space="0" w:color="auto"/>
            <w:left w:val="none" w:sz="0" w:space="0" w:color="auto"/>
            <w:bottom w:val="none" w:sz="0" w:space="0" w:color="auto"/>
            <w:right w:val="none" w:sz="0" w:space="0" w:color="auto"/>
          </w:divBdr>
        </w:div>
        <w:div w:id="1086153406">
          <w:marLeft w:val="0"/>
          <w:marRight w:val="0"/>
          <w:marTop w:val="0"/>
          <w:marBottom w:val="0"/>
          <w:divBdr>
            <w:top w:val="none" w:sz="0" w:space="0" w:color="auto"/>
            <w:left w:val="none" w:sz="0" w:space="0" w:color="auto"/>
            <w:bottom w:val="none" w:sz="0" w:space="0" w:color="auto"/>
            <w:right w:val="none" w:sz="0" w:space="0" w:color="auto"/>
          </w:divBdr>
        </w:div>
        <w:div w:id="844051974">
          <w:marLeft w:val="0"/>
          <w:marRight w:val="0"/>
          <w:marTop w:val="0"/>
          <w:marBottom w:val="0"/>
          <w:divBdr>
            <w:top w:val="none" w:sz="0" w:space="0" w:color="auto"/>
            <w:left w:val="none" w:sz="0" w:space="0" w:color="auto"/>
            <w:bottom w:val="none" w:sz="0" w:space="0" w:color="auto"/>
            <w:right w:val="none" w:sz="0" w:space="0" w:color="auto"/>
          </w:divBdr>
        </w:div>
        <w:div w:id="492990832">
          <w:marLeft w:val="0"/>
          <w:marRight w:val="0"/>
          <w:marTop w:val="0"/>
          <w:marBottom w:val="0"/>
          <w:divBdr>
            <w:top w:val="none" w:sz="0" w:space="0" w:color="auto"/>
            <w:left w:val="none" w:sz="0" w:space="0" w:color="auto"/>
            <w:bottom w:val="none" w:sz="0" w:space="0" w:color="auto"/>
            <w:right w:val="none" w:sz="0" w:space="0" w:color="auto"/>
          </w:divBdr>
        </w:div>
        <w:div w:id="1839029799">
          <w:marLeft w:val="0"/>
          <w:marRight w:val="0"/>
          <w:marTop w:val="0"/>
          <w:marBottom w:val="0"/>
          <w:divBdr>
            <w:top w:val="none" w:sz="0" w:space="0" w:color="auto"/>
            <w:left w:val="none" w:sz="0" w:space="0" w:color="auto"/>
            <w:bottom w:val="none" w:sz="0" w:space="0" w:color="auto"/>
            <w:right w:val="none" w:sz="0" w:space="0" w:color="auto"/>
          </w:divBdr>
        </w:div>
      </w:divsChild>
    </w:div>
    <w:div w:id="411128425">
      <w:bodyDiv w:val="1"/>
      <w:marLeft w:val="0"/>
      <w:marRight w:val="0"/>
      <w:marTop w:val="0"/>
      <w:marBottom w:val="0"/>
      <w:divBdr>
        <w:top w:val="none" w:sz="0" w:space="0" w:color="auto"/>
        <w:left w:val="none" w:sz="0" w:space="0" w:color="auto"/>
        <w:bottom w:val="none" w:sz="0" w:space="0" w:color="auto"/>
        <w:right w:val="none" w:sz="0" w:space="0" w:color="auto"/>
      </w:divBdr>
    </w:div>
    <w:div w:id="539979639">
      <w:bodyDiv w:val="1"/>
      <w:marLeft w:val="0"/>
      <w:marRight w:val="0"/>
      <w:marTop w:val="0"/>
      <w:marBottom w:val="0"/>
      <w:divBdr>
        <w:top w:val="none" w:sz="0" w:space="0" w:color="auto"/>
        <w:left w:val="none" w:sz="0" w:space="0" w:color="auto"/>
        <w:bottom w:val="none" w:sz="0" w:space="0" w:color="auto"/>
        <w:right w:val="none" w:sz="0" w:space="0" w:color="auto"/>
      </w:divBdr>
      <w:divsChild>
        <w:div w:id="999650057">
          <w:marLeft w:val="0"/>
          <w:marRight w:val="0"/>
          <w:marTop w:val="0"/>
          <w:marBottom w:val="0"/>
          <w:divBdr>
            <w:top w:val="none" w:sz="0" w:space="0" w:color="auto"/>
            <w:left w:val="none" w:sz="0" w:space="0" w:color="auto"/>
            <w:bottom w:val="none" w:sz="0" w:space="0" w:color="auto"/>
            <w:right w:val="none" w:sz="0" w:space="0" w:color="auto"/>
          </w:divBdr>
        </w:div>
        <w:div w:id="1046489785">
          <w:marLeft w:val="0"/>
          <w:marRight w:val="0"/>
          <w:marTop w:val="0"/>
          <w:marBottom w:val="0"/>
          <w:divBdr>
            <w:top w:val="none" w:sz="0" w:space="0" w:color="auto"/>
            <w:left w:val="none" w:sz="0" w:space="0" w:color="auto"/>
            <w:bottom w:val="none" w:sz="0" w:space="0" w:color="auto"/>
            <w:right w:val="none" w:sz="0" w:space="0" w:color="auto"/>
          </w:divBdr>
        </w:div>
        <w:div w:id="302197276">
          <w:marLeft w:val="0"/>
          <w:marRight w:val="0"/>
          <w:marTop w:val="0"/>
          <w:marBottom w:val="0"/>
          <w:divBdr>
            <w:top w:val="none" w:sz="0" w:space="0" w:color="auto"/>
            <w:left w:val="none" w:sz="0" w:space="0" w:color="auto"/>
            <w:bottom w:val="none" w:sz="0" w:space="0" w:color="auto"/>
            <w:right w:val="none" w:sz="0" w:space="0" w:color="auto"/>
          </w:divBdr>
        </w:div>
        <w:div w:id="150098718">
          <w:marLeft w:val="0"/>
          <w:marRight w:val="0"/>
          <w:marTop w:val="0"/>
          <w:marBottom w:val="0"/>
          <w:divBdr>
            <w:top w:val="none" w:sz="0" w:space="0" w:color="auto"/>
            <w:left w:val="none" w:sz="0" w:space="0" w:color="auto"/>
            <w:bottom w:val="none" w:sz="0" w:space="0" w:color="auto"/>
            <w:right w:val="none" w:sz="0" w:space="0" w:color="auto"/>
          </w:divBdr>
        </w:div>
        <w:div w:id="1324894122">
          <w:marLeft w:val="0"/>
          <w:marRight w:val="0"/>
          <w:marTop w:val="0"/>
          <w:marBottom w:val="0"/>
          <w:divBdr>
            <w:top w:val="none" w:sz="0" w:space="0" w:color="auto"/>
            <w:left w:val="none" w:sz="0" w:space="0" w:color="auto"/>
            <w:bottom w:val="none" w:sz="0" w:space="0" w:color="auto"/>
            <w:right w:val="none" w:sz="0" w:space="0" w:color="auto"/>
          </w:divBdr>
        </w:div>
        <w:div w:id="1856843474">
          <w:marLeft w:val="0"/>
          <w:marRight w:val="0"/>
          <w:marTop w:val="0"/>
          <w:marBottom w:val="0"/>
          <w:divBdr>
            <w:top w:val="none" w:sz="0" w:space="0" w:color="auto"/>
            <w:left w:val="none" w:sz="0" w:space="0" w:color="auto"/>
            <w:bottom w:val="none" w:sz="0" w:space="0" w:color="auto"/>
            <w:right w:val="none" w:sz="0" w:space="0" w:color="auto"/>
          </w:divBdr>
        </w:div>
        <w:div w:id="843470598">
          <w:marLeft w:val="0"/>
          <w:marRight w:val="0"/>
          <w:marTop w:val="0"/>
          <w:marBottom w:val="0"/>
          <w:divBdr>
            <w:top w:val="none" w:sz="0" w:space="0" w:color="auto"/>
            <w:left w:val="none" w:sz="0" w:space="0" w:color="auto"/>
            <w:bottom w:val="none" w:sz="0" w:space="0" w:color="auto"/>
            <w:right w:val="none" w:sz="0" w:space="0" w:color="auto"/>
          </w:divBdr>
        </w:div>
        <w:div w:id="757336023">
          <w:marLeft w:val="0"/>
          <w:marRight w:val="0"/>
          <w:marTop w:val="0"/>
          <w:marBottom w:val="0"/>
          <w:divBdr>
            <w:top w:val="none" w:sz="0" w:space="0" w:color="auto"/>
            <w:left w:val="none" w:sz="0" w:space="0" w:color="auto"/>
            <w:bottom w:val="none" w:sz="0" w:space="0" w:color="auto"/>
            <w:right w:val="none" w:sz="0" w:space="0" w:color="auto"/>
          </w:divBdr>
        </w:div>
        <w:div w:id="1050418374">
          <w:marLeft w:val="0"/>
          <w:marRight w:val="0"/>
          <w:marTop w:val="0"/>
          <w:marBottom w:val="0"/>
          <w:divBdr>
            <w:top w:val="none" w:sz="0" w:space="0" w:color="auto"/>
            <w:left w:val="none" w:sz="0" w:space="0" w:color="auto"/>
            <w:bottom w:val="none" w:sz="0" w:space="0" w:color="auto"/>
            <w:right w:val="none" w:sz="0" w:space="0" w:color="auto"/>
          </w:divBdr>
        </w:div>
        <w:div w:id="1790007008">
          <w:marLeft w:val="0"/>
          <w:marRight w:val="0"/>
          <w:marTop w:val="0"/>
          <w:marBottom w:val="0"/>
          <w:divBdr>
            <w:top w:val="none" w:sz="0" w:space="0" w:color="auto"/>
            <w:left w:val="none" w:sz="0" w:space="0" w:color="auto"/>
            <w:bottom w:val="none" w:sz="0" w:space="0" w:color="auto"/>
            <w:right w:val="none" w:sz="0" w:space="0" w:color="auto"/>
          </w:divBdr>
        </w:div>
        <w:div w:id="1693341478">
          <w:marLeft w:val="0"/>
          <w:marRight w:val="0"/>
          <w:marTop w:val="0"/>
          <w:marBottom w:val="0"/>
          <w:divBdr>
            <w:top w:val="none" w:sz="0" w:space="0" w:color="auto"/>
            <w:left w:val="none" w:sz="0" w:space="0" w:color="auto"/>
            <w:bottom w:val="none" w:sz="0" w:space="0" w:color="auto"/>
            <w:right w:val="none" w:sz="0" w:space="0" w:color="auto"/>
          </w:divBdr>
        </w:div>
        <w:div w:id="1784303430">
          <w:marLeft w:val="0"/>
          <w:marRight w:val="0"/>
          <w:marTop w:val="0"/>
          <w:marBottom w:val="0"/>
          <w:divBdr>
            <w:top w:val="none" w:sz="0" w:space="0" w:color="auto"/>
            <w:left w:val="none" w:sz="0" w:space="0" w:color="auto"/>
            <w:bottom w:val="none" w:sz="0" w:space="0" w:color="auto"/>
            <w:right w:val="none" w:sz="0" w:space="0" w:color="auto"/>
          </w:divBdr>
        </w:div>
        <w:div w:id="1133519947">
          <w:marLeft w:val="0"/>
          <w:marRight w:val="0"/>
          <w:marTop w:val="0"/>
          <w:marBottom w:val="0"/>
          <w:divBdr>
            <w:top w:val="none" w:sz="0" w:space="0" w:color="auto"/>
            <w:left w:val="none" w:sz="0" w:space="0" w:color="auto"/>
            <w:bottom w:val="none" w:sz="0" w:space="0" w:color="auto"/>
            <w:right w:val="none" w:sz="0" w:space="0" w:color="auto"/>
          </w:divBdr>
        </w:div>
        <w:div w:id="1886872171">
          <w:marLeft w:val="0"/>
          <w:marRight w:val="0"/>
          <w:marTop w:val="0"/>
          <w:marBottom w:val="0"/>
          <w:divBdr>
            <w:top w:val="none" w:sz="0" w:space="0" w:color="auto"/>
            <w:left w:val="none" w:sz="0" w:space="0" w:color="auto"/>
            <w:bottom w:val="none" w:sz="0" w:space="0" w:color="auto"/>
            <w:right w:val="none" w:sz="0" w:space="0" w:color="auto"/>
          </w:divBdr>
        </w:div>
        <w:div w:id="1039017126">
          <w:marLeft w:val="0"/>
          <w:marRight w:val="0"/>
          <w:marTop w:val="0"/>
          <w:marBottom w:val="0"/>
          <w:divBdr>
            <w:top w:val="none" w:sz="0" w:space="0" w:color="auto"/>
            <w:left w:val="none" w:sz="0" w:space="0" w:color="auto"/>
            <w:bottom w:val="none" w:sz="0" w:space="0" w:color="auto"/>
            <w:right w:val="none" w:sz="0" w:space="0" w:color="auto"/>
          </w:divBdr>
        </w:div>
        <w:div w:id="402531393">
          <w:marLeft w:val="0"/>
          <w:marRight w:val="0"/>
          <w:marTop w:val="0"/>
          <w:marBottom w:val="0"/>
          <w:divBdr>
            <w:top w:val="none" w:sz="0" w:space="0" w:color="auto"/>
            <w:left w:val="none" w:sz="0" w:space="0" w:color="auto"/>
            <w:bottom w:val="none" w:sz="0" w:space="0" w:color="auto"/>
            <w:right w:val="none" w:sz="0" w:space="0" w:color="auto"/>
          </w:divBdr>
        </w:div>
        <w:div w:id="1398744788">
          <w:marLeft w:val="0"/>
          <w:marRight w:val="0"/>
          <w:marTop w:val="0"/>
          <w:marBottom w:val="0"/>
          <w:divBdr>
            <w:top w:val="none" w:sz="0" w:space="0" w:color="auto"/>
            <w:left w:val="none" w:sz="0" w:space="0" w:color="auto"/>
            <w:bottom w:val="none" w:sz="0" w:space="0" w:color="auto"/>
            <w:right w:val="none" w:sz="0" w:space="0" w:color="auto"/>
          </w:divBdr>
        </w:div>
        <w:div w:id="528950743">
          <w:marLeft w:val="0"/>
          <w:marRight w:val="0"/>
          <w:marTop w:val="0"/>
          <w:marBottom w:val="0"/>
          <w:divBdr>
            <w:top w:val="none" w:sz="0" w:space="0" w:color="auto"/>
            <w:left w:val="none" w:sz="0" w:space="0" w:color="auto"/>
            <w:bottom w:val="none" w:sz="0" w:space="0" w:color="auto"/>
            <w:right w:val="none" w:sz="0" w:space="0" w:color="auto"/>
          </w:divBdr>
        </w:div>
        <w:div w:id="1107388412">
          <w:marLeft w:val="0"/>
          <w:marRight w:val="0"/>
          <w:marTop w:val="0"/>
          <w:marBottom w:val="0"/>
          <w:divBdr>
            <w:top w:val="none" w:sz="0" w:space="0" w:color="auto"/>
            <w:left w:val="none" w:sz="0" w:space="0" w:color="auto"/>
            <w:bottom w:val="none" w:sz="0" w:space="0" w:color="auto"/>
            <w:right w:val="none" w:sz="0" w:space="0" w:color="auto"/>
          </w:divBdr>
        </w:div>
        <w:div w:id="1319069577">
          <w:marLeft w:val="0"/>
          <w:marRight w:val="0"/>
          <w:marTop w:val="0"/>
          <w:marBottom w:val="0"/>
          <w:divBdr>
            <w:top w:val="none" w:sz="0" w:space="0" w:color="auto"/>
            <w:left w:val="none" w:sz="0" w:space="0" w:color="auto"/>
            <w:bottom w:val="none" w:sz="0" w:space="0" w:color="auto"/>
            <w:right w:val="none" w:sz="0" w:space="0" w:color="auto"/>
          </w:divBdr>
        </w:div>
        <w:div w:id="663437133">
          <w:marLeft w:val="0"/>
          <w:marRight w:val="0"/>
          <w:marTop w:val="0"/>
          <w:marBottom w:val="0"/>
          <w:divBdr>
            <w:top w:val="none" w:sz="0" w:space="0" w:color="auto"/>
            <w:left w:val="none" w:sz="0" w:space="0" w:color="auto"/>
            <w:bottom w:val="none" w:sz="0" w:space="0" w:color="auto"/>
            <w:right w:val="none" w:sz="0" w:space="0" w:color="auto"/>
          </w:divBdr>
        </w:div>
        <w:div w:id="314844524">
          <w:marLeft w:val="0"/>
          <w:marRight w:val="0"/>
          <w:marTop w:val="0"/>
          <w:marBottom w:val="0"/>
          <w:divBdr>
            <w:top w:val="none" w:sz="0" w:space="0" w:color="auto"/>
            <w:left w:val="none" w:sz="0" w:space="0" w:color="auto"/>
            <w:bottom w:val="none" w:sz="0" w:space="0" w:color="auto"/>
            <w:right w:val="none" w:sz="0" w:space="0" w:color="auto"/>
          </w:divBdr>
        </w:div>
        <w:div w:id="597907267">
          <w:marLeft w:val="0"/>
          <w:marRight w:val="0"/>
          <w:marTop w:val="0"/>
          <w:marBottom w:val="0"/>
          <w:divBdr>
            <w:top w:val="none" w:sz="0" w:space="0" w:color="auto"/>
            <w:left w:val="none" w:sz="0" w:space="0" w:color="auto"/>
            <w:bottom w:val="none" w:sz="0" w:space="0" w:color="auto"/>
            <w:right w:val="none" w:sz="0" w:space="0" w:color="auto"/>
          </w:divBdr>
        </w:div>
        <w:div w:id="1214728456">
          <w:marLeft w:val="0"/>
          <w:marRight w:val="0"/>
          <w:marTop w:val="0"/>
          <w:marBottom w:val="0"/>
          <w:divBdr>
            <w:top w:val="none" w:sz="0" w:space="0" w:color="auto"/>
            <w:left w:val="none" w:sz="0" w:space="0" w:color="auto"/>
            <w:bottom w:val="none" w:sz="0" w:space="0" w:color="auto"/>
            <w:right w:val="none" w:sz="0" w:space="0" w:color="auto"/>
          </w:divBdr>
        </w:div>
        <w:div w:id="1283195637">
          <w:marLeft w:val="0"/>
          <w:marRight w:val="0"/>
          <w:marTop w:val="0"/>
          <w:marBottom w:val="0"/>
          <w:divBdr>
            <w:top w:val="none" w:sz="0" w:space="0" w:color="auto"/>
            <w:left w:val="none" w:sz="0" w:space="0" w:color="auto"/>
            <w:bottom w:val="none" w:sz="0" w:space="0" w:color="auto"/>
            <w:right w:val="none" w:sz="0" w:space="0" w:color="auto"/>
          </w:divBdr>
        </w:div>
        <w:div w:id="1782719178">
          <w:marLeft w:val="0"/>
          <w:marRight w:val="0"/>
          <w:marTop w:val="0"/>
          <w:marBottom w:val="0"/>
          <w:divBdr>
            <w:top w:val="none" w:sz="0" w:space="0" w:color="auto"/>
            <w:left w:val="none" w:sz="0" w:space="0" w:color="auto"/>
            <w:bottom w:val="none" w:sz="0" w:space="0" w:color="auto"/>
            <w:right w:val="none" w:sz="0" w:space="0" w:color="auto"/>
          </w:divBdr>
        </w:div>
        <w:div w:id="1080327928">
          <w:marLeft w:val="0"/>
          <w:marRight w:val="0"/>
          <w:marTop w:val="0"/>
          <w:marBottom w:val="0"/>
          <w:divBdr>
            <w:top w:val="none" w:sz="0" w:space="0" w:color="auto"/>
            <w:left w:val="none" w:sz="0" w:space="0" w:color="auto"/>
            <w:bottom w:val="none" w:sz="0" w:space="0" w:color="auto"/>
            <w:right w:val="none" w:sz="0" w:space="0" w:color="auto"/>
          </w:divBdr>
        </w:div>
        <w:div w:id="710687103">
          <w:marLeft w:val="0"/>
          <w:marRight w:val="0"/>
          <w:marTop w:val="0"/>
          <w:marBottom w:val="0"/>
          <w:divBdr>
            <w:top w:val="none" w:sz="0" w:space="0" w:color="auto"/>
            <w:left w:val="none" w:sz="0" w:space="0" w:color="auto"/>
            <w:bottom w:val="none" w:sz="0" w:space="0" w:color="auto"/>
            <w:right w:val="none" w:sz="0" w:space="0" w:color="auto"/>
          </w:divBdr>
        </w:div>
        <w:div w:id="1610359158">
          <w:marLeft w:val="0"/>
          <w:marRight w:val="0"/>
          <w:marTop w:val="0"/>
          <w:marBottom w:val="0"/>
          <w:divBdr>
            <w:top w:val="none" w:sz="0" w:space="0" w:color="auto"/>
            <w:left w:val="none" w:sz="0" w:space="0" w:color="auto"/>
            <w:bottom w:val="none" w:sz="0" w:space="0" w:color="auto"/>
            <w:right w:val="none" w:sz="0" w:space="0" w:color="auto"/>
          </w:divBdr>
        </w:div>
        <w:div w:id="725110965">
          <w:marLeft w:val="0"/>
          <w:marRight w:val="0"/>
          <w:marTop w:val="0"/>
          <w:marBottom w:val="0"/>
          <w:divBdr>
            <w:top w:val="none" w:sz="0" w:space="0" w:color="auto"/>
            <w:left w:val="none" w:sz="0" w:space="0" w:color="auto"/>
            <w:bottom w:val="none" w:sz="0" w:space="0" w:color="auto"/>
            <w:right w:val="none" w:sz="0" w:space="0" w:color="auto"/>
          </w:divBdr>
        </w:div>
        <w:div w:id="1098672237">
          <w:marLeft w:val="0"/>
          <w:marRight w:val="0"/>
          <w:marTop w:val="0"/>
          <w:marBottom w:val="0"/>
          <w:divBdr>
            <w:top w:val="none" w:sz="0" w:space="0" w:color="auto"/>
            <w:left w:val="none" w:sz="0" w:space="0" w:color="auto"/>
            <w:bottom w:val="none" w:sz="0" w:space="0" w:color="auto"/>
            <w:right w:val="none" w:sz="0" w:space="0" w:color="auto"/>
          </w:divBdr>
        </w:div>
        <w:div w:id="1422145822">
          <w:marLeft w:val="0"/>
          <w:marRight w:val="0"/>
          <w:marTop w:val="0"/>
          <w:marBottom w:val="0"/>
          <w:divBdr>
            <w:top w:val="none" w:sz="0" w:space="0" w:color="auto"/>
            <w:left w:val="none" w:sz="0" w:space="0" w:color="auto"/>
            <w:bottom w:val="none" w:sz="0" w:space="0" w:color="auto"/>
            <w:right w:val="none" w:sz="0" w:space="0" w:color="auto"/>
          </w:divBdr>
        </w:div>
        <w:div w:id="1405107324">
          <w:marLeft w:val="0"/>
          <w:marRight w:val="0"/>
          <w:marTop w:val="0"/>
          <w:marBottom w:val="0"/>
          <w:divBdr>
            <w:top w:val="none" w:sz="0" w:space="0" w:color="auto"/>
            <w:left w:val="none" w:sz="0" w:space="0" w:color="auto"/>
            <w:bottom w:val="none" w:sz="0" w:space="0" w:color="auto"/>
            <w:right w:val="none" w:sz="0" w:space="0" w:color="auto"/>
          </w:divBdr>
        </w:div>
        <w:div w:id="1836994604">
          <w:marLeft w:val="0"/>
          <w:marRight w:val="0"/>
          <w:marTop w:val="0"/>
          <w:marBottom w:val="0"/>
          <w:divBdr>
            <w:top w:val="none" w:sz="0" w:space="0" w:color="auto"/>
            <w:left w:val="none" w:sz="0" w:space="0" w:color="auto"/>
            <w:bottom w:val="none" w:sz="0" w:space="0" w:color="auto"/>
            <w:right w:val="none" w:sz="0" w:space="0" w:color="auto"/>
          </w:divBdr>
        </w:div>
        <w:div w:id="1034041231">
          <w:marLeft w:val="0"/>
          <w:marRight w:val="0"/>
          <w:marTop w:val="0"/>
          <w:marBottom w:val="0"/>
          <w:divBdr>
            <w:top w:val="none" w:sz="0" w:space="0" w:color="auto"/>
            <w:left w:val="none" w:sz="0" w:space="0" w:color="auto"/>
            <w:bottom w:val="none" w:sz="0" w:space="0" w:color="auto"/>
            <w:right w:val="none" w:sz="0" w:space="0" w:color="auto"/>
          </w:divBdr>
        </w:div>
        <w:div w:id="1992709401">
          <w:marLeft w:val="0"/>
          <w:marRight w:val="0"/>
          <w:marTop w:val="0"/>
          <w:marBottom w:val="0"/>
          <w:divBdr>
            <w:top w:val="none" w:sz="0" w:space="0" w:color="auto"/>
            <w:left w:val="none" w:sz="0" w:space="0" w:color="auto"/>
            <w:bottom w:val="none" w:sz="0" w:space="0" w:color="auto"/>
            <w:right w:val="none" w:sz="0" w:space="0" w:color="auto"/>
          </w:divBdr>
        </w:div>
        <w:div w:id="1261110151">
          <w:marLeft w:val="0"/>
          <w:marRight w:val="0"/>
          <w:marTop w:val="0"/>
          <w:marBottom w:val="0"/>
          <w:divBdr>
            <w:top w:val="none" w:sz="0" w:space="0" w:color="auto"/>
            <w:left w:val="none" w:sz="0" w:space="0" w:color="auto"/>
            <w:bottom w:val="none" w:sz="0" w:space="0" w:color="auto"/>
            <w:right w:val="none" w:sz="0" w:space="0" w:color="auto"/>
          </w:divBdr>
        </w:div>
        <w:div w:id="1437166991">
          <w:marLeft w:val="0"/>
          <w:marRight w:val="0"/>
          <w:marTop w:val="0"/>
          <w:marBottom w:val="0"/>
          <w:divBdr>
            <w:top w:val="none" w:sz="0" w:space="0" w:color="auto"/>
            <w:left w:val="none" w:sz="0" w:space="0" w:color="auto"/>
            <w:bottom w:val="none" w:sz="0" w:space="0" w:color="auto"/>
            <w:right w:val="none" w:sz="0" w:space="0" w:color="auto"/>
          </w:divBdr>
        </w:div>
        <w:div w:id="1055550253">
          <w:marLeft w:val="0"/>
          <w:marRight w:val="0"/>
          <w:marTop w:val="0"/>
          <w:marBottom w:val="0"/>
          <w:divBdr>
            <w:top w:val="none" w:sz="0" w:space="0" w:color="auto"/>
            <w:left w:val="none" w:sz="0" w:space="0" w:color="auto"/>
            <w:bottom w:val="none" w:sz="0" w:space="0" w:color="auto"/>
            <w:right w:val="none" w:sz="0" w:space="0" w:color="auto"/>
          </w:divBdr>
        </w:div>
        <w:div w:id="1091662591">
          <w:marLeft w:val="0"/>
          <w:marRight w:val="0"/>
          <w:marTop w:val="0"/>
          <w:marBottom w:val="0"/>
          <w:divBdr>
            <w:top w:val="none" w:sz="0" w:space="0" w:color="auto"/>
            <w:left w:val="none" w:sz="0" w:space="0" w:color="auto"/>
            <w:bottom w:val="none" w:sz="0" w:space="0" w:color="auto"/>
            <w:right w:val="none" w:sz="0" w:space="0" w:color="auto"/>
          </w:divBdr>
        </w:div>
        <w:div w:id="1420058284">
          <w:marLeft w:val="0"/>
          <w:marRight w:val="0"/>
          <w:marTop w:val="0"/>
          <w:marBottom w:val="0"/>
          <w:divBdr>
            <w:top w:val="none" w:sz="0" w:space="0" w:color="auto"/>
            <w:left w:val="none" w:sz="0" w:space="0" w:color="auto"/>
            <w:bottom w:val="none" w:sz="0" w:space="0" w:color="auto"/>
            <w:right w:val="none" w:sz="0" w:space="0" w:color="auto"/>
          </w:divBdr>
        </w:div>
        <w:div w:id="511797354">
          <w:marLeft w:val="0"/>
          <w:marRight w:val="0"/>
          <w:marTop w:val="0"/>
          <w:marBottom w:val="0"/>
          <w:divBdr>
            <w:top w:val="none" w:sz="0" w:space="0" w:color="auto"/>
            <w:left w:val="none" w:sz="0" w:space="0" w:color="auto"/>
            <w:bottom w:val="none" w:sz="0" w:space="0" w:color="auto"/>
            <w:right w:val="none" w:sz="0" w:space="0" w:color="auto"/>
          </w:divBdr>
        </w:div>
        <w:div w:id="1201094353">
          <w:marLeft w:val="0"/>
          <w:marRight w:val="0"/>
          <w:marTop w:val="0"/>
          <w:marBottom w:val="0"/>
          <w:divBdr>
            <w:top w:val="none" w:sz="0" w:space="0" w:color="auto"/>
            <w:left w:val="none" w:sz="0" w:space="0" w:color="auto"/>
            <w:bottom w:val="none" w:sz="0" w:space="0" w:color="auto"/>
            <w:right w:val="none" w:sz="0" w:space="0" w:color="auto"/>
          </w:divBdr>
        </w:div>
        <w:div w:id="74209149">
          <w:marLeft w:val="0"/>
          <w:marRight w:val="0"/>
          <w:marTop w:val="0"/>
          <w:marBottom w:val="0"/>
          <w:divBdr>
            <w:top w:val="none" w:sz="0" w:space="0" w:color="auto"/>
            <w:left w:val="none" w:sz="0" w:space="0" w:color="auto"/>
            <w:bottom w:val="none" w:sz="0" w:space="0" w:color="auto"/>
            <w:right w:val="none" w:sz="0" w:space="0" w:color="auto"/>
          </w:divBdr>
        </w:div>
        <w:div w:id="1780491505">
          <w:marLeft w:val="0"/>
          <w:marRight w:val="0"/>
          <w:marTop w:val="0"/>
          <w:marBottom w:val="0"/>
          <w:divBdr>
            <w:top w:val="none" w:sz="0" w:space="0" w:color="auto"/>
            <w:left w:val="none" w:sz="0" w:space="0" w:color="auto"/>
            <w:bottom w:val="none" w:sz="0" w:space="0" w:color="auto"/>
            <w:right w:val="none" w:sz="0" w:space="0" w:color="auto"/>
          </w:divBdr>
        </w:div>
        <w:div w:id="1089275094">
          <w:marLeft w:val="0"/>
          <w:marRight w:val="0"/>
          <w:marTop w:val="0"/>
          <w:marBottom w:val="0"/>
          <w:divBdr>
            <w:top w:val="none" w:sz="0" w:space="0" w:color="auto"/>
            <w:left w:val="none" w:sz="0" w:space="0" w:color="auto"/>
            <w:bottom w:val="none" w:sz="0" w:space="0" w:color="auto"/>
            <w:right w:val="none" w:sz="0" w:space="0" w:color="auto"/>
          </w:divBdr>
        </w:div>
        <w:div w:id="2081319635">
          <w:marLeft w:val="0"/>
          <w:marRight w:val="0"/>
          <w:marTop w:val="0"/>
          <w:marBottom w:val="0"/>
          <w:divBdr>
            <w:top w:val="none" w:sz="0" w:space="0" w:color="auto"/>
            <w:left w:val="none" w:sz="0" w:space="0" w:color="auto"/>
            <w:bottom w:val="none" w:sz="0" w:space="0" w:color="auto"/>
            <w:right w:val="none" w:sz="0" w:space="0" w:color="auto"/>
          </w:divBdr>
        </w:div>
        <w:div w:id="1357655665">
          <w:marLeft w:val="0"/>
          <w:marRight w:val="0"/>
          <w:marTop w:val="0"/>
          <w:marBottom w:val="0"/>
          <w:divBdr>
            <w:top w:val="none" w:sz="0" w:space="0" w:color="auto"/>
            <w:left w:val="none" w:sz="0" w:space="0" w:color="auto"/>
            <w:bottom w:val="none" w:sz="0" w:space="0" w:color="auto"/>
            <w:right w:val="none" w:sz="0" w:space="0" w:color="auto"/>
          </w:divBdr>
        </w:div>
        <w:div w:id="954680433">
          <w:marLeft w:val="0"/>
          <w:marRight w:val="0"/>
          <w:marTop w:val="0"/>
          <w:marBottom w:val="0"/>
          <w:divBdr>
            <w:top w:val="none" w:sz="0" w:space="0" w:color="auto"/>
            <w:left w:val="none" w:sz="0" w:space="0" w:color="auto"/>
            <w:bottom w:val="none" w:sz="0" w:space="0" w:color="auto"/>
            <w:right w:val="none" w:sz="0" w:space="0" w:color="auto"/>
          </w:divBdr>
        </w:div>
        <w:div w:id="997731732">
          <w:marLeft w:val="0"/>
          <w:marRight w:val="0"/>
          <w:marTop w:val="0"/>
          <w:marBottom w:val="0"/>
          <w:divBdr>
            <w:top w:val="none" w:sz="0" w:space="0" w:color="auto"/>
            <w:left w:val="none" w:sz="0" w:space="0" w:color="auto"/>
            <w:bottom w:val="none" w:sz="0" w:space="0" w:color="auto"/>
            <w:right w:val="none" w:sz="0" w:space="0" w:color="auto"/>
          </w:divBdr>
        </w:div>
        <w:div w:id="253327235">
          <w:marLeft w:val="0"/>
          <w:marRight w:val="0"/>
          <w:marTop w:val="0"/>
          <w:marBottom w:val="0"/>
          <w:divBdr>
            <w:top w:val="none" w:sz="0" w:space="0" w:color="auto"/>
            <w:left w:val="none" w:sz="0" w:space="0" w:color="auto"/>
            <w:bottom w:val="none" w:sz="0" w:space="0" w:color="auto"/>
            <w:right w:val="none" w:sz="0" w:space="0" w:color="auto"/>
          </w:divBdr>
        </w:div>
        <w:div w:id="375013930">
          <w:marLeft w:val="0"/>
          <w:marRight w:val="0"/>
          <w:marTop w:val="0"/>
          <w:marBottom w:val="0"/>
          <w:divBdr>
            <w:top w:val="none" w:sz="0" w:space="0" w:color="auto"/>
            <w:left w:val="none" w:sz="0" w:space="0" w:color="auto"/>
            <w:bottom w:val="none" w:sz="0" w:space="0" w:color="auto"/>
            <w:right w:val="none" w:sz="0" w:space="0" w:color="auto"/>
          </w:divBdr>
        </w:div>
        <w:div w:id="1431925140">
          <w:marLeft w:val="0"/>
          <w:marRight w:val="0"/>
          <w:marTop w:val="0"/>
          <w:marBottom w:val="0"/>
          <w:divBdr>
            <w:top w:val="none" w:sz="0" w:space="0" w:color="auto"/>
            <w:left w:val="none" w:sz="0" w:space="0" w:color="auto"/>
            <w:bottom w:val="none" w:sz="0" w:space="0" w:color="auto"/>
            <w:right w:val="none" w:sz="0" w:space="0" w:color="auto"/>
          </w:divBdr>
        </w:div>
        <w:div w:id="1425036225">
          <w:marLeft w:val="0"/>
          <w:marRight w:val="0"/>
          <w:marTop w:val="0"/>
          <w:marBottom w:val="0"/>
          <w:divBdr>
            <w:top w:val="none" w:sz="0" w:space="0" w:color="auto"/>
            <w:left w:val="none" w:sz="0" w:space="0" w:color="auto"/>
            <w:bottom w:val="none" w:sz="0" w:space="0" w:color="auto"/>
            <w:right w:val="none" w:sz="0" w:space="0" w:color="auto"/>
          </w:divBdr>
        </w:div>
        <w:div w:id="1140731568">
          <w:marLeft w:val="0"/>
          <w:marRight w:val="0"/>
          <w:marTop w:val="0"/>
          <w:marBottom w:val="0"/>
          <w:divBdr>
            <w:top w:val="none" w:sz="0" w:space="0" w:color="auto"/>
            <w:left w:val="none" w:sz="0" w:space="0" w:color="auto"/>
            <w:bottom w:val="none" w:sz="0" w:space="0" w:color="auto"/>
            <w:right w:val="none" w:sz="0" w:space="0" w:color="auto"/>
          </w:divBdr>
        </w:div>
        <w:div w:id="744689949">
          <w:marLeft w:val="0"/>
          <w:marRight w:val="0"/>
          <w:marTop w:val="0"/>
          <w:marBottom w:val="0"/>
          <w:divBdr>
            <w:top w:val="none" w:sz="0" w:space="0" w:color="auto"/>
            <w:left w:val="none" w:sz="0" w:space="0" w:color="auto"/>
            <w:bottom w:val="none" w:sz="0" w:space="0" w:color="auto"/>
            <w:right w:val="none" w:sz="0" w:space="0" w:color="auto"/>
          </w:divBdr>
        </w:div>
        <w:div w:id="602224641">
          <w:marLeft w:val="0"/>
          <w:marRight w:val="0"/>
          <w:marTop w:val="0"/>
          <w:marBottom w:val="0"/>
          <w:divBdr>
            <w:top w:val="none" w:sz="0" w:space="0" w:color="auto"/>
            <w:left w:val="none" w:sz="0" w:space="0" w:color="auto"/>
            <w:bottom w:val="none" w:sz="0" w:space="0" w:color="auto"/>
            <w:right w:val="none" w:sz="0" w:space="0" w:color="auto"/>
          </w:divBdr>
        </w:div>
        <w:div w:id="674577382">
          <w:marLeft w:val="0"/>
          <w:marRight w:val="0"/>
          <w:marTop w:val="0"/>
          <w:marBottom w:val="0"/>
          <w:divBdr>
            <w:top w:val="none" w:sz="0" w:space="0" w:color="auto"/>
            <w:left w:val="none" w:sz="0" w:space="0" w:color="auto"/>
            <w:bottom w:val="none" w:sz="0" w:space="0" w:color="auto"/>
            <w:right w:val="none" w:sz="0" w:space="0" w:color="auto"/>
          </w:divBdr>
        </w:div>
        <w:div w:id="2085685821">
          <w:marLeft w:val="0"/>
          <w:marRight w:val="0"/>
          <w:marTop w:val="0"/>
          <w:marBottom w:val="0"/>
          <w:divBdr>
            <w:top w:val="none" w:sz="0" w:space="0" w:color="auto"/>
            <w:left w:val="none" w:sz="0" w:space="0" w:color="auto"/>
            <w:bottom w:val="none" w:sz="0" w:space="0" w:color="auto"/>
            <w:right w:val="none" w:sz="0" w:space="0" w:color="auto"/>
          </w:divBdr>
        </w:div>
        <w:div w:id="1545143873">
          <w:marLeft w:val="0"/>
          <w:marRight w:val="0"/>
          <w:marTop w:val="0"/>
          <w:marBottom w:val="0"/>
          <w:divBdr>
            <w:top w:val="none" w:sz="0" w:space="0" w:color="auto"/>
            <w:left w:val="none" w:sz="0" w:space="0" w:color="auto"/>
            <w:bottom w:val="none" w:sz="0" w:space="0" w:color="auto"/>
            <w:right w:val="none" w:sz="0" w:space="0" w:color="auto"/>
          </w:divBdr>
        </w:div>
        <w:div w:id="2134320795">
          <w:marLeft w:val="0"/>
          <w:marRight w:val="0"/>
          <w:marTop w:val="0"/>
          <w:marBottom w:val="0"/>
          <w:divBdr>
            <w:top w:val="none" w:sz="0" w:space="0" w:color="auto"/>
            <w:left w:val="none" w:sz="0" w:space="0" w:color="auto"/>
            <w:bottom w:val="none" w:sz="0" w:space="0" w:color="auto"/>
            <w:right w:val="none" w:sz="0" w:space="0" w:color="auto"/>
          </w:divBdr>
        </w:div>
        <w:div w:id="381175332">
          <w:marLeft w:val="0"/>
          <w:marRight w:val="0"/>
          <w:marTop w:val="0"/>
          <w:marBottom w:val="0"/>
          <w:divBdr>
            <w:top w:val="none" w:sz="0" w:space="0" w:color="auto"/>
            <w:left w:val="none" w:sz="0" w:space="0" w:color="auto"/>
            <w:bottom w:val="none" w:sz="0" w:space="0" w:color="auto"/>
            <w:right w:val="none" w:sz="0" w:space="0" w:color="auto"/>
          </w:divBdr>
        </w:div>
        <w:div w:id="1688562247">
          <w:marLeft w:val="0"/>
          <w:marRight w:val="0"/>
          <w:marTop w:val="0"/>
          <w:marBottom w:val="0"/>
          <w:divBdr>
            <w:top w:val="none" w:sz="0" w:space="0" w:color="auto"/>
            <w:left w:val="none" w:sz="0" w:space="0" w:color="auto"/>
            <w:bottom w:val="none" w:sz="0" w:space="0" w:color="auto"/>
            <w:right w:val="none" w:sz="0" w:space="0" w:color="auto"/>
          </w:divBdr>
        </w:div>
        <w:div w:id="1179392520">
          <w:marLeft w:val="0"/>
          <w:marRight w:val="0"/>
          <w:marTop w:val="0"/>
          <w:marBottom w:val="0"/>
          <w:divBdr>
            <w:top w:val="none" w:sz="0" w:space="0" w:color="auto"/>
            <w:left w:val="none" w:sz="0" w:space="0" w:color="auto"/>
            <w:bottom w:val="none" w:sz="0" w:space="0" w:color="auto"/>
            <w:right w:val="none" w:sz="0" w:space="0" w:color="auto"/>
          </w:divBdr>
        </w:div>
        <w:div w:id="804084072">
          <w:marLeft w:val="0"/>
          <w:marRight w:val="0"/>
          <w:marTop w:val="0"/>
          <w:marBottom w:val="0"/>
          <w:divBdr>
            <w:top w:val="none" w:sz="0" w:space="0" w:color="auto"/>
            <w:left w:val="none" w:sz="0" w:space="0" w:color="auto"/>
            <w:bottom w:val="none" w:sz="0" w:space="0" w:color="auto"/>
            <w:right w:val="none" w:sz="0" w:space="0" w:color="auto"/>
          </w:divBdr>
        </w:div>
        <w:div w:id="472016969">
          <w:marLeft w:val="0"/>
          <w:marRight w:val="0"/>
          <w:marTop w:val="0"/>
          <w:marBottom w:val="0"/>
          <w:divBdr>
            <w:top w:val="none" w:sz="0" w:space="0" w:color="auto"/>
            <w:left w:val="none" w:sz="0" w:space="0" w:color="auto"/>
            <w:bottom w:val="none" w:sz="0" w:space="0" w:color="auto"/>
            <w:right w:val="none" w:sz="0" w:space="0" w:color="auto"/>
          </w:divBdr>
        </w:div>
        <w:div w:id="1727607088">
          <w:marLeft w:val="0"/>
          <w:marRight w:val="0"/>
          <w:marTop w:val="0"/>
          <w:marBottom w:val="0"/>
          <w:divBdr>
            <w:top w:val="none" w:sz="0" w:space="0" w:color="auto"/>
            <w:left w:val="none" w:sz="0" w:space="0" w:color="auto"/>
            <w:bottom w:val="none" w:sz="0" w:space="0" w:color="auto"/>
            <w:right w:val="none" w:sz="0" w:space="0" w:color="auto"/>
          </w:divBdr>
        </w:div>
        <w:div w:id="324018875">
          <w:marLeft w:val="0"/>
          <w:marRight w:val="0"/>
          <w:marTop w:val="0"/>
          <w:marBottom w:val="0"/>
          <w:divBdr>
            <w:top w:val="none" w:sz="0" w:space="0" w:color="auto"/>
            <w:left w:val="none" w:sz="0" w:space="0" w:color="auto"/>
            <w:bottom w:val="none" w:sz="0" w:space="0" w:color="auto"/>
            <w:right w:val="none" w:sz="0" w:space="0" w:color="auto"/>
          </w:divBdr>
        </w:div>
        <w:div w:id="1618638191">
          <w:marLeft w:val="0"/>
          <w:marRight w:val="0"/>
          <w:marTop w:val="0"/>
          <w:marBottom w:val="0"/>
          <w:divBdr>
            <w:top w:val="none" w:sz="0" w:space="0" w:color="auto"/>
            <w:left w:val="none" w:sz="0" w:space="0" w:color="auto"/>
            <w:bottom w:val="none" w:sz="0" w:space="0" w:color="auto"/>
            <w:right w:val="none" w:sz="0" w:space="0" w:color="auto"/>
          </w:divBdr>
        </w:div>
        <w:div w:id="1184630510">
          <w:marLeft w:val="0"/>
          <w:marRight w:val="0"/>
          <w:marTop w:val="0"/>
          <w:marBottom w:val="0"/>
          <w:divBdr>
            <w:top w:val="none" w:sz="0" w:space="0" w:color="auto"/>
            <w:left w:val="none" w:sz="0" w:space="0" w:color="auto"/>
            <w:bottom w:val="none" w:sz="0" w:space="0" w:color="auto"/>
            <w:right w:val="none" w:sz="0" w:space="0" w:color="auto"/>
          </w:divBdr>
        </w:div>
        <w:div w:id="1874221868">
          <w:marLeft w:val="0"/>
          <w:marRight w:val="0"/>
          <w:marTop w:val="0"/>
          <w:marBottom w:val="0"/>
          <w:divBdr>
            <w:top w:val="none" w:sz="0" w:space="0" w:color="auto"/>
            <w:left w:val="none" w:sz="0" w:space="0" w:color="auto"/>
            <w:bottom w:val="none" w:sz="0" w:space="0" w:color="auto"/>
            <w:right w:val="none" w:sz="0" w:space="0" w:color="auto"/>
          </w:divBdr>
        </w:div>
        <w:div w:id="1350138146">
          <w:marLeft w:val="0"/>
          <w:marRight w:val="0"/>
          <w:marTop w:val="0"/>
          <w:marBottom w:val="0"/>
          <w:divBdr>
            <w:top w:val="none" w:sz="0" w:space="0" w:color="auto"/>
            <w:left w:val="none" w:sz="0" w:space="0" w:color="auto"/>
            <w:bottom w:val="none" w:sz="0" w:space="0" w:color="auto"/>
            <w:right w:val="none" w:sz="0" w:space="0" w:color="auto"/>
          </w:divBdr>
        </w:div>
        <w:div w:id="741489301">
          <w:marLeft w:val="0"/>
          <w:marRight w:val="0"/>
          <w:marTop w:val="0"/>
          <w:marBottom w:val="0"/>
          <w:divBdr>
            <w:top w:val="none" w:sz="0" w:space="0" w:color="auto"/>
            <w:left w:val="none" w:sz="0" w:space="0" w:color="auto"/>
            <w:bottom w:val="none" w:sz="0" w:space="0" w:color="auto"/>
            <w:right w:val="none" w:sz="0" w:space="0" w:color="auto"/>
          </w:divBdr>
        </w:div>
        <w:div w:id="1839347989">
          <w:marLeft w:val="0"/>
          <w:marRight w:val="0"/>
          <w:marTop w:val="0"/>
          <w:marBottom w:val="0"/>
          <w:divBdr>
            <w:top w:val="none" w:sz="0" w:space="0" w:color="auto"/>
            <w:left w:val="none" w:sz="0" w:space="0" w:color="auto"/>
            <w:bottom w:val="none" w:sz="0" w:space="0" w:color="auto"/>
            <w:right w:val="none" w:sz="0" w:space="0" w:color="auto"/>
          </w:divBdr>
        </w:div>
        <w:div w:id="33386986">
          <w:marLeft w:val="0"/>
          <w:marRight w:val="0"/>
          <w:marTop w:val="0"/>
          <w:marBottom w:val="0"/>
          <w:divBdr>
            <w:top w:val="none" w:sz="0" w:space="0" w:color="auto"/>
            <w:left w:val="none" w:sz="0" w:space="0" w:color="auto"/>
            <w:bottom w:val="none" w:sz="0" w:space="0" w:color="auto"/>
            <w:right w:val="none" w:sz="0" w:space="0" w:color="auto"/>
          </w:divBdr>
        </w:div>
        <w:div w:id="1300771559">
          <w:marLeft w:val="0"/>
          <w:marRight w:val="0"/>
          <w:marTop w:val="0"/>
          <w:marBottom w:val="0"/>
          <w:divBdr>
            <w:top w:val="none" w:sz="0" w:space="0" w:color="auto"/>
            <w:left w:val="none" w:sz="0" w:space="0" w:color="auto"/>
            <w:bottom w:val="none" w:sz="0" w:space="0" w:color="auto"/>
            <w:right w:val="none" w:sz="0" w:space="0" w:color="auto"/>
          </w:divBdr>
        </w:div>
        <w:div w:id="1658337389">
          <w:marLeft w:val="0"/>
          <w:marRight w:val="0"/>
          <w:marTop w:val="0"/>
          <w:marBottom w:val="0"/>
          <w:divBdr>
            <w:top w:val="none" w:sz="0" w:space="0" w:color="auto"/>
            <w:left w:val="none" w:sz="0" w:space="0" w:color="auto"/>
            <w:bottom w:val="none" w:sz="0" w:space="0" w:color="auto"/>
            <w:right w:val="none" w:sz="0" w:space="0" w:color="auto"/>
          </w:divBdr>
        </w:div>
        <w:div w:id="1256941198">
          <w:marLeft w:val="0"/>
          <w:marRight w:val="0"/>
          <w:marTop w:val="0"/>
          <w:marBottom w:val="0"/>
          <w:divBdr>
            <w:top w:val="none" w:sz="0" w:space="0" w:color="auto"/>
            <w:left w:val="none" w:sz="0" w:space="0" w:color="auto"/>
            <w:bottom w:val="none" w:sz="0" w:space="0" w:color="auto"/>
            <w:right w:val="none" w:sz="0" w:space="0" w:color="auto"/>
          </w:divBdr>
        </w:div>
        <w:div w:id="2004894485">
          <w:marLeft w:val="0"/>
          <w:marRight w:val="0"/>
          <w:marTop w:val="0"/>
          <w:marBottom w:val="0"/>
          <w:divBdr>
            <w:top w:val="none" w:sz="0" w:space="0" w:color="auto"/>
            <w:left w:val="none" w:sz="0" w:space="0" w:color="auto"/>
            <w:bottom w:val="none" w:sz="0" w:space="0" w:color="auto"/>
            <w:right w:val="none" w:sz="0" w:space="0" w:color="auto"/>
          </w:divBdr>
        </w:div>
        <w:div w:id="140385242">
          <w:marLeft w:val="0"/>
          <w:marRight w:val="0"/>
          <w:marTop w:val="0"/>
          <w:marBottom w:val="0"/>
          <w:divBdr>
            <w:top w:val="none" w:sz="0" w:space="0" w:color="auto"/>
            <w:left w:val="none" w:sz="0" w:space="0" w:color="auto"/>
            <w:bottom w:val="none" w:sz="0" w:space="0" w:color="auto"/>
            <w:right w:val="none" w:sz="0" w:space="0" w:color="auto"/>
          </w:divBdr>
        </w:div>
        <w:div w:id="2114664986">
          <w:marLeft w:val="0"/>
          <w:marRight w:val="0"/>
          <w:marTop w:val="0"/>
          <w:marBottom w:val="0"/>
          <w:divBdr>
            <w:top w:val="none" w:sz="0" w:space="0" w:color="auto"/>
            <w:left w:val="none" w:sz="0" w:space="0" w:color="auto"/>
            <w:bottom w:val="none" w:sz="0" w:space="0" w:color="auto"/>
            <w:right w:val="none" w:sz="0" w:space="0" w:color="auto"/>
          </w:divBdr>
        </w:div>
        <w:div w:id="2121870938">
          <w:marLeft w:val="0"/>
          <w:marRight w:val="0"/>
          <w:marTop w:val="0"/>
          <w:marBottom w:val="0"/>
          <w:divBdr>
            <w:top w:val="none" w:sz="0" w:space="0" w:color="auto"/>
            <w:left w:val="none" w:sz="0" w:space="0" w:color="auto"/>
            <w:bottom w:val="none" w:sz="0" w:space="0" w:color="auto"/>
            <w:right w:val="none" w:sz="0" w:space="0" w:color="auto"/>
          </w:divBdr>
        </w:div>
        <w:div w:id="1056467012">
          <w:marLeft w:val="0"/>
          <w:marRight w:val="0"/>
          <w:marTop w:val="0"/>
          <w:marBottom w:val="0"/>
          <w:divBdr>
            <w:top w:val="none" w:sz="0" w:space="0" w:color="auto"/>
            <w:left w:val="none" w:sz="0" w:space="0" w:color="auto"/>
            <w:bottom w:val="none" w:sz="0" w:space="0" w:color="auto"/>
            <w:right w:val="none" w:sz="0" w:space="0" w:color="auto"/>
          </w:divBdr>
        </w:div>
        <w:div w:id="809515941">
          <w:marLeft w:val="0"/>
          <w:marRight w:val="0"/>
          <w:marTop w:val="0"/>
          <w:marBottom w:val="0"/>
          <w:divBdr>
            <w:top w:val="none" w:sz="0" w:space="0" w:color="auto"/>
            <w:left w:val="none" w:sz="0" w:space="0" w:color="auto"/>
            <w:bottom w:val="none" w:sz="0" w:space="0" w:color="auto"/>
            <w:right w:val="none" w:sz="0" w:space="0" w:color="auto"/>
          </w:divBdr>
        </w:div>
        <w:div w:id="1196574236">
          <w:marLeft w:val="0"/>
          <w:marRight w:val="0"/>
          <w:marTop w:val="0"/>
          <w:marBottom w:val="0"/>
          <w:divBdr>
            <w:top w:val="none" w:sz="0" w:space="0" w:color="auto"/>
            <w:left w:val="none" w:sz="0" w:space="0" w:color="auto"/>
            <w:bottom w:val="none" w:sz="0" w:space="0" w:color="auto"/>
            <w:right w:val="none" w:sz="0" w:space="0" w:color="auto"/>
          </w:divBdr>
        </w:div>
        <w:div w:id="712342603">
          <w:marLeft w:val="0"/>
          <w:marRight w:val="0"/>
          <w:marTop w:val="0"/>
          <w:marBottom w:val="0"/>
          <w:divBdr>
            <w:top w:val="none" w:sz="0" w:space="0" w:color="auto"/>
            <w:left w:val="none" w:sz="0" w:space="0" w:color="auto"/>
            <w:bottom w:val="none" w:sz="0" w:space="0" w:color="auto"/>
            <w:right w:val="none" w:sz="0" w:space="0" w:color="auto"/>
          </w:divBdr>
        </w:div>
        <w:div w:id="57628414">
          <w:marLeft w:val="0"/>
          <w:marRight w:val="0"/>
          <w:marTop w:val="0"/>
          <w:marBottom w:val="0"/>
          <w:divBdr>
            <w:top w:val="none" w:sz="0" w:space="0" w:color="auto"/>
            <w:left w:val="none" w:sz="0" w:space="0" w:color="auto"/>
            <w:bottom w:val="none" w:sz="0" w:space="0" w:color="auto"/>
            <w:right w:val="none" w:sz="0" w:space="0" w:color="auto"/>
          </w:divBdr>
        </w:div>
        <w:div w:id="2144542025">
          <w:marLeft w:val="0"/>
          <w:marRight w:val="0"/>
          <w:marTop w:val="0"/>
          <w:marBottom w:val="0"/>
          <w:divBdr>
            <w:top w:val="none" w:sz="0" w:space="0" w:color="auto"/>
            <w:left w:val="none" w:sz="0" w:space="0" w:color="auto"/>
            <w:bottom w:val="none" w:sz="0" w:space="0" w:color="auto"/>
            <w:right w:val="none" w:sz="0" w:space="0" w:color="auto"/>
          </w:divBdr>
        </w:div>
        <w:div w:id="408966413">
          <w:marLeft w:val="0"/>
          <w:marRight w:val="0"/>
          <w:marTop w:val="0"/>
          <w:marBottom w:val="0"/>
          <w:divBdr>
            <w:top w:val="none" w:sz="0" w:space="0" w:color="auto"/>
            <w:left w:val="none" w:sz="0" w:space="0" w:color="auto"/>
            <w:bottom w:val="none" w:sz="0" w:space="0" w:color="auto"/>
            <w:right w:val="none" w:sz="0" w:space="0" w:color="auto"/>
          </w:divBdr>
        </w:div>
        <w:div w:id="1757438827">
          <w:marLeft w:val="0"/>
          <w:marRight w:val="0"/>
          <w:marTop w:val="0"/>
          <w:marBottom w:val="0"/>
          <w:divBdr>
            <w:top w:val="none" w:sz="0" w:space="0" w:color="auto"/>
            <w:left w:val="none" w:sz="0" w:space="0" w:color="auto"/>
            <w:bottom w:val="none" w:sz="0" w:space="0" w:color="auto"/>
            <w:right w:val="none" w:sz="0" w:space="0" w:color="auto"/>
          </w:divBdr>
        </w:div>
        <w:div w:id="426193775">
          <w:marLeft w:val="0"/>
          <w:marRight w:val="0"/>
          <w:marTop w:val="0"/>
          <w:marBottom w:val="0"/>
          <w:divBdr>
            <w:top w:val="none" w:sz="0" w:space="0" w:color="auto"/>
            <w:left w:val="none" w:sz="0" w:space="0" w:color="auto"/>
            <w:bottom w:val="none" w:sz="0" w:space="0" w:color="auto"/>
            <w:right w:val="none" w:sz="0" w:space="0" w:color="auto"/>
          </w:divBdr>
        </w:div>
        <w:div w:id="1389573283">
          <w:marLeft w:val="0"/>
          <w:marRight w:val="0"/>
          <w:marTop w:val="0"/>
          <w:marBottom w:val="0"/>
          <w:divBdr>
            <w:top w:val="none" w:sz="0" w:space="0" w:color="auto"/>
            <w:left w:val="none" w:sz="0" w:space="0" w:color="auto"/>
            <w:bottom w:val="none" w:sz="0" w:space="0" w:color="auto"/>
            <w:right w:val="none" w:sz="0" w:space="0" w:color="auto"/>
          </w:divBdr>
        </w:div>
        <w:div w:id="1787121505">
          <w:marLeft w:val="0"/>
          <w:marRight w:val="0"/>
          <w:marTop w:val="0"/>
          <w:marBottom w:val="0"/>
          <w:divBdr>
            <w:top w:val="none" w:sz="0" w:space="0" w:color="auto"/>
            <w:left w:val="none" w:sz="0" w:space="0" w:color="auto"/>
            <w:bottom w:val="none" w:sz="0" w:space="0" w:color="auto"/>
            <w:right w:val="none" w:sz="0" w:space="0" w:color="auto"/>
          </w:divBdr>
        </w:div>
        <w:div w:id="1350447813">
          <w:marLeft w:val="0"/>
          <w:marRight w:val="0"/>
          <w:marTop w:val="0"/>
          <w:marBottom w:val="0"/>
          <w:divBdr>
            <w:top w:val="none" w:sz="0" w:space="0" w:color="auto"/>
            <w:left w:val="none" w:sz="0" w:space="0" w:color="auto"/>
            <w:bottom w:val="none" w:sz="0" w:space="0" w:color="auto"/>
            <w:right w:val="none" w:sz="0" w:space="0" w:color="auto"/>
          </w:divBdr>
        </w:div>
        <w:div w:id="1018582336">
          <w:marLeft w:val="0"/>
          <w:marRight w:val="0"/>
          <w:marTop w:val="0"/>
          <w:marBottom w:val="0"/>
          <w:divBdr>
            <w:top w:val="none" w:sz="0" w:space="0" w:color="auto"/>
            <w:left w:val="none" w:sz="0" w:space="0" w:color="auto"/>
            <w:bottom w:val="none" w:sz="0" w:space="0" w:color="auto"/>
            <w:right w:val="none" w:sz="0" w:space="0" w:color="auto"/>
          </w:divBdr>
        </w:div>
        <w:div w:id="711734020">
          <w:marLeft w:val="0"/>
          <w:marRight w:val="0"/>
          <w:marTop w:val="0"/>
          <w:marBottom w:val="0"/>
          <w:divBdr>
            <w:top w:val="none" w:sz="0" w:space="0" w:color="auto"/>
            <w:left w:val="none" w:sz="0" w:space="0" w:color="auto"/>
            <w:bottom w:val="none" w:sz="0" w:space="0" w:color="auto"/>
            <w:right w:val="none" w:sz="0" w:space="0" w:color="auto"/>
          </w:divBdr>
        </w:div>
        <w:div w:id="807892631">
          <w:marLeft w:val="0"/>
          <w:marRight w:val="0"/>
          <w:marTop w:val="0"/>
          <w:marBottom w:val="0"/>
          <w:divBdr>
            <w:top w:val="none" w:sz="0" w:space="0" w:color="auto"/>
            <w:left w:val="none" w:sz="0" w:space="0" w:color="auto"/>
            <w:bottom w:val="none" w:sz="0" w:space="0" w:color="auto"/>
            <w:right w:val="none" w:sz="0" w:space="0" w:color="auto"/>
          </w:divBdr>
        </w:div>
        <w:div w:id="585068134">
          <w:marLeft w:val="0"/>
          <w:marRight w:val="0"/>
          <w:marTop w:val="0"/>
          <w:marBottom w:val="0"/>
          <w:divBdr>
            <w:top w:val="none" w:sz="0" w:space="0" w:color="auto"/>
            <w:left w:val="none" w:sz="0" w:space="0" w:color="auto"/>
            <w:bottom w:val="none" w:sz="0" w:space="0" w:color="auto"/>
            <w:right w:val="none" w:sz="0" w:space="0" w:color="auto"/>
          </w:divBdr>
        </w:div>
        <w:div w:id="1710454441">
          <w:marLeft w:val="0"/>
          <w:marRight w:val="0"/>
          <w:marTop w:val="0"/>
          <w:marBottom w:val="0"/>
          <w:divBdr>
            <w:top w:val="none" w:sz="0" w:space="0" w:color="auto"/>
            <w:left w:val="none" w:sz="0" w:space="0" w:color="auto"/>
            <w:bottom w:val="none" w:sz="0" w:space="0" w:color="auto"/>
            <w:right w:val="none" w:sz="0" w:space="0" w:color="auto"/>
          </w:divBdr>
        </w:div>
        <w:div w:id="1363751238">
          <w:marLeft w:val="0"/>
          <w:marRight w:val="0"/>
          <w:marTop w:val="0"/>
          <w:marBottom w:val="0"/>
          <w:divBdr>
            <w:top w:val="none" w:sz="0" w:space="0" w:color="auto"/>
            <w:left w:val="none" w:sz="0" w:space="0" w:color="auto"/>
            <w:bottom w:val="none" w:sz="0" w:space="0" w:color="auto"/>
            <w:right w:val="none" w:sz="0" w:space="0" w:color="auto"/>
          </w:divBdr>
        </w:div>
        <w:div w:id="1495998404">
          <w:marLeft w:val="0"/>
          <w:marRight w:val="0"/>
          <w:marTop w:val="0"/>
          <w:marBottom w:val="0"/>
          <w:divBdr>
            <w:top w:val="none" w:sz="0" w:space="0" w:color="auto"/>
            <w:left w:val="none" w:sz="0" w:space="0" w:color="auto"/>
            <w:bottom w:val="none" w:sz="0" w:space="0" w:color="auto"/>
            <w:right w:val="none" w:sz="0" w:space="0" w:color="auto"/>
          </w:divBdr>
        </w:div>
        <w:div w:id="886994503">
          <w:marLeft w:val="0"/>
          <w:marRight w:val="0"/>
          <w:marTop w:val="0"/>
          <w:marBottom w:val="0"/>
          <w:divBdr>
            <w:top w:val="none" w:sz="0" w:space="0" w:color="auto"/>
            <w:left w:val="none" w:sz="0" w:space="0" w:color="auto"/>
            <w:bottom w:val="none" w:sz="0" w:space="0" w:color="auto"/>
            <w:right w:val="none" w:sz="0" w:space="0" w:color="auto"/>
          </w:divBdr>
        </w:div>
        <w:div w:id="756906589">
          <w:marLeft w:val="0"/>
          <w:marRight w:val="0"/>
          <w:marTop w:val="0"/>
          <w:marBottom w:val="0"/>
          <w:divBdr>
            <w:top w:val="none" w:sz="0" w:space="0" w:color="auto"/>
            <w:left w:val="none" w:sz="0" w:space="0" w:color="auto"/>
            <w:bottom w:val="none" w:sz="0" w:space="0" w:color="auto"/>
            <w:right w:val="none" w:sz="0" w:space="0" w:color="auto"/>
          </w:divBdr>
        </w:div>
        <w:div w:id="2142066005">
          <w:marLeft w:val="0"/>
          <w:marRight w:val="0"/>
          <w:marTop w:val="0"/>
          <w:marBottom w:val="0"/>
          <w:divBdr>
            <w:top w:val="none" w:sz="0" w:space="0" w:color="auto"/>
            <w:left w:val="none" w:sz="0" w:space="0" w:color="auto"/>
            <w:bottom w:val="none" w:sz="0" w:space="0" w:color="auto"/>
            <w:right w:val="none" w:sz="0" w:space="0" w:color="auto"/>
          </w:divBdr>
        </w:div>
        <w:div w:id="1069040525">
          <w:marLeft w:val="0"/>
          <w:marRight w:val="0"/>
          <w:marTop w:val="0"/>
          <w:marBottom w:val="0"/>
          <w:divBdr>
            <w:top w:val="none" w:sz="0" w:space="0" w:color="auto"/>
            <w:left w:val="none" w:sz="0" w:space="0" w:color="auto"/>
            <w:bottom w:val="none" w:sz="0" w:space="0" w:color="auto"/>
            <w:right w:val="none" w:sz="0" w:space="0" w:color="auto"/>
          </w:divBdr>
        </w:div>
        <w:div w:id="36318165">
          <w:marLeft w:val="0"/>
          <w:marRight w:val="0"/>
          <w:marTop w:val="0"/>
          <w:marBottom w:val="0"/>
          <w:divBdr>
            <w:top w:val="none" w:sz="0" w:space="0" w:color="auto"/>
            <w:left w:val="none" w:sz="0" w:space="0" w:color="auto"/>
            <w:bottom w:val="none" w:sz="0" w:space="0" w:color="auto"/>
            <w:right w:val="none" w:sz="0" w:space="0" w:color="auto"/>
          </w:divBdr>
        </w:div>
        <w:div w:id="437411524">
          <w:marLeft w:val="0"/>
          <w:marRight w:val="0"/>
          <w:marTop w:val="0"/>
          <w:marBottom w:val="0"/>
          <w:divBdr>
            <w:top w:val="none" w:sz="0" w:space="0" w:color="auto"/>
            <w:left w:val="none" w:sz="0" w:space="0" w:color="auto"/>
            <w:bottom w:val="none" w:sz="0" w:space="0" w:color="auto"/>
            <w:right w:val="none" w:sz="0" w:space="0" w:color="auto"/>
          </w:divBdr>
        </w:div>
        <w:div w:id="537553117">
          <w:marLeft w:val="0"/>
          <w:marRight w:val="0"/>
          <w:marTop w:val="0"/>
          <w:marBottom w:val="0"/>
          <w:divBdr>
            <w:top w:val="none" w:sz="0" w:space="0" w:color="auto"/>
            <w:left w:val="none" w:sz="0" w:space="0" w:color="auto"/>
            <w:bottom w:val="none" w:sz="0" w:space="0" w:color="auto"/>
            <w:right w:val="none" w:sz="0" w:space="0" w:color="auto"/>
          </w:divBdr>
        </w:div>
        <w:div w:id="2066833923">
          <w:marLeft w:val="0"/>
          <w:marRight w:val="0"/>
          <w:marTop w:val="0"/>
          <w:marBottom w:val="0"/>
          <w:divBdr>
            <w:top w:val="none" w:sz="0" w:space="0" w:color="auto"/>
            <w:left w:val="none" w:sz="0" w:space="0" w:color="auto"/>
            <w:bottom w:val="none" w:sz="0" w:space="0" w:color="auto"/>
            <w:right w:val="none" w:sz="0" w:space="0" w:color="auto"/>
          </w:divBdr>
        </w:div>
        <w:div w:id="571696994">
          <w:marLeft w:val="0"/>
          <w:marRight w:val="0"/>
          <w:marTop w:val="0"/>
          <w:marBottom w:val="0"/>
          <w:divBdr>
            <w:top w:val="none" w:sz="0" w:space="0" w:color="auto"/>
            <w:left w:val="none" w:sz="0" w:space="0" w:color="auto"/>
            <w:bottom w:val="none" w:sz="0" w:space="0" w:color="auto"/>
            <w:right w:val="none" w:sz="0" w:space="0" w:color="auto"/>
          </w:divBdr>
        </w:div>
        <w:div w:id="1343782897">
          <w:marLeft w:val="0"/>
          <w:marRight w:val="0"/>
          <w:marTop w:val="0"/>
          <w:marBottom w:val="0"/>
          <w:divBdr>
            <w:top w:val="none" w:sz="0" w:space="0" w:color="auto"/>
            <w:left w:val="none" w:sz="0" w:space="0" w:color="auto"/>
            <w:bottom w:val="none" w:sz="0" w:space="0" w:color="auto"/>
            <w:right w:val="none" w:sz="0" w:space="0" w:color="auto"/>
          </w:divBdr>
        </w:div>
        <w:div w:id="1629046634">
          <w:marLeft w:val="0"/>
          <w:marRight w:val="0"/>
          <w:marTop w:val="0"/>
          <w:marBottom w:val="0"/>
          <w:divBdr>
            <w:top w:val="none" w:sz="0" w:space="0" w:color="auto"/>
            <w:left w:val="none" w:sz="0" w:space="0" w:color="auto"/>
            <w:bottom w:val="none" w:sz="0" w:space="0" w:color="auto"/>
            <w:right w:val="none" w:sz="0" w:space="0" w:color="auto"/>
          </w:divBdr>
        </w:div>
        <w:div w:id="1356031008">
          <w:marLeft w:val="0"/>
          <w:marRight w:val="0"/>
          <w:marTop w:val="0"/>
          <w:marBottom w:val="0"/>
          <w:divBdr>
            <w:top w:val="none" w:sz="0" w:space="0" w:color="auto"/>
            <w:left w:val="none" w:sz="0" w:space="0" w:color="auto"/>
            <w:bottom w:val="none" w:sz="0" w:space="0" w:color="auto"/>
            <w:right w:val="none" w:sz="0" w:space="0" w:color="auto"/>
          </w:divBdr>
        </w:div>
        <w:div w:id="1365985490">
          <w:marLeft w:val="0"/>
          <w:marRight w:val="0"/>
          <w:marTop w:val="0"/>
          <w:marBottom w:val="0"/>
          <w:divBdr>
            <w:top w:val="none" w:sz="0" w:space="0" w:color="auto"/>
            <w:left w:val="none" w:sz="0" w:space="0" w:color="auto"/>
            <w:bottom w:val="none" w:sz="0" w:space="0" w:color="auto"/>
            <w:right w:val="none" w:sz="0" w:space="0" w:color="auto"/>
          </w:divBdr>
        </w:div>
        <w:div w:id="1303269206">
          <w:marLeft w:val="0"/>
          <w:marRight w:val="0"/>
          <w:marTop w:val="0"/>
          <w:marBottom w:val="0"/>
          <w:divBdr>
            <w:top w:val="none" w:sz="0" w:space="0" w:color="auto"/>
            <w:left w:val="none" w:sz="0" w:space="0" w:color="auto"/>
            <w:bottom w:val="none" w:sz="0" w:space="0" w:color="auto"/>
            <w:right w:val="none" w:sz="0" w:space="0" w:color="auto"/>
          </w:divBdr>
        </w:div>
        <w:div w:id="915020937">
          <w:marLeft w:val="0"/>
          <w:marRight w:val="0"/>
          <w:marTop w:val="0"/>
          <w:marBottom w:val="0"/>
          <w:divBdr>
            <w:top w:val="none" w:sz="0" w:space="0" w:color="auto"/>
            <w:left w:val="none" w:sz="0" w:space="0" w:color="auto"/>
            <w:bottom w:val="none" w:sz="0" w:space="0" w:color="auto"/>
            <w:right w:val="none" w:sz="0" w:space="0" w:color="auto"/>
          </w:divBdr>
        </w:div>
        <w:div w:id="1210263776">
          <w:marLeft w:val="0"/>
          <w:marRight w:val="0"/>
          <w:marTop w:val="0"/>
          <w:marBottom w:val="0"/>
          <w:divBdr>
            <w:top w:val="none" w:sz="0" w:space="0" w:color="auto"/>
            <w:left w:val="none" w:sz="0" w:space="0" w:color="auto"/>
            <w:bottom w:val="none" w:sz="0" w:space="0" w:color="auto"/>
            <w:right w:val="none" w:sz="0" w:space="0" w:color="auto"/>
          </w:divBdr>
        </w:div>
        <w:div w:id="497499351">
          <w:marLeft w:val="0"/>
          <w:marRight w:val="0"/>
          <w:marTop w:val="0"/>
          <w:marBottom w:val="0"/>
          <w:divBdr>
            <w:top w:val="none" w:sz="0" w:space="0" w:color="auto"/>
            <w:left w:val="none" w:sz="0" w:space="0" w:color="auto"/>
            <w:bottom w:val="none" w:sz="0" w:space="0" w:color="auto"/>
            <w:right w:val="none" w:sz="0" w:space="0" w:color="auto"/>
          </w:divBdr>
        </w:div>
        <w:div w:id="185026612">
          <w:marLeft w:val="0"/>
          <w:marRight w:val="0"/>
          <w:marTop w:val="0"/>
          <w:marBottom w:val="0"/>
          <w:divBdr>
            <w:top w:val="none" w:sz="0" w:space="0" w:color="auto"/>
            <w:left w:val="none" w:sz="0" w:space="0" w:color="auto"/>
            <w:bottom w:val="none" w:sz="0" w:space="0" w:color="auto"/>
            <w:right w:val="none" w:sz="0" w:space="0" w:color="auto"/>
          </w:divBdr>
        </w:div>
        <w:div w:id="252907796">
          <w:marLeft w:val="0"/>
          <w:marRight w:val="0"/>
          <w:marTop w:val="0"/>
          <w:marBottom w:val="0"/>
          <w:divBdr>
            <w:top w:val="none" w:sz="0" w:space="0" w:color="auto"/>
            <w:left w:val="none" w:sz="0" w:space="0" w:color="auto"/>
            <w:bottom w:val="none" w:sz="0" w:space="0" w:color="auto"/>
            <w:right w:val="none" w:sz="0" w:space="0" w:color="auto"/>
          </w:divBdr>
        </w:div>
        <w:div w:id="1070343664">
          <w:marLeft w:val="0"/>
          <w:marRight w:val="0"/>
          <w:marTop w:val="0"/>
          <w:marBottom w:val="0"/>
          <w:divBdr>
            <w:top w:val="none" w:sz="0" w:space="0" w:color="auto"/>
            <w:left w:val="none" w:sz="0" w:space="0" w:color="auto"/>
            <w:bottom w:val="none" w:sz="0" w:space="0" w:color="auto"/>
            <w:right w:val="none" w:sz="0" w:space="0" w:color="auto"/>
          </w:divBdr>
        </w:div>
        <w:div w:id="1911576453">
          <w:marLeft w:val="0"/>
          <w:marRight w:val="0"/>
          <w:marTop w:val="0"/>
          <w:marBottom w:val="0"/>
          <w:divBdr>
            <w:top w:val="none" w:sz="0" w:space="0" w:color="auto"/>
            <w:left w:val="none" w:sz="0" w:space="0" w:color="auto"/>
            <w:bottom w:val="none" w:sz="0" w:space="0" w:color="auto"/>
            <w:right w:val="none" w:sz="0" w:space="0" w:color="auto"/>
          </w:divBdr>
        </w:div>
        <w:div w:id="1021317174">
          <w:marLeft w:val="0"/>
          <w:marRight w:val="0"/>
          <w:marTop w:val="0"/>
          <w:marBottom w:val="0"/>
          <w:divBdr>
            <w:top w:val="none" w:sz="0" w:space="0" w:color="auto"/>
            <w:left w:val="none" w:sz="0" w:space="0" w:color="auto"/>
            <w:bottom w:val="none" w:sz="0" w:space="0" w:color="auto"/>
            <w:right w:val="none" w:sz="0" w:space="0" w:color="auto"/>
          </w:divBdr>
        </w:div>
        <w:div w:id="1804885785">
          <w:marLeft w:val="0"/>
          <w:marRight w:val="0"/>
          <w:marTop w:val="0"/>
          <w:marBottom w:val="0"/>
          <w:divBdr>
            <w:top w:val="none" w:sz="0" w:space="0" w:color="auto"/>
            <w:left w:val="none" w:sz="0" w:space="0" w:color="auto"/>
            <w:bottom w:val="none" w:sz="0" w:space="0" w:color="auto"/>
            <w:right w:val="none" w:sz="0" w:space="0" w:color="auto"/>
          </w:divBdr>
        </w:div>
        <w:div w:id="1552156619">
          <w:marLeft w:val="0"/>
          <w:marRight w:val="0"/>
          <w:marTop w:val="0"/>
          <w:marBottom w:val="0"/>
          <w:divBdr>
            <w:top w:val="none" w:sz="0" w:space="0" w:color="auto"/>
            <w:left w:val="none" w:sz="0" w:space="0" w:color="auto"/>
            <w:bottom w:val="none" w:sz="0" w:space="0" w:color="auto"/>
            <w:right w:val="none" w:sz="0" w:space="0" w:color="auto"/>
          </w:divBdr>
        </w:div>
        <w:div w:id="147475753">
          <w:marLeft w:val="0"/>
          <w:marRight w:val="0"/>
          <w:marTop w:val="0"/>
          <w:marBottom w:val="0"/>
          <w:divBdr>
            <w:top w:val="none" w:sz="0" w:space="0" w:color="auto"/>
            <w:left w:val="none" w:sz="0" w:space="0" w:color="auto"/>
            <w:bottom w:val="none" w:sz="0" w:space="0" w:color="auto"/>
            <w:right w:val="none" w:sz="0" w:space="0" w:color="auto"/>
          </w:divBdr>
        </w:div>
        <w:div w:id="1145467841">
          <w:marLeft w:val="0"/>
          <w:marRight w:val="0"/>
          <w:marTop w:val="0"/>
          <w:marBottom w:val="0"/>
          <w:divBdr>
            <w:top w:val="none" w:sz="0" w:space="0" w:color="auto"/>
            <w:left w:val="none" w:sz="0" w:space="0" w:color="auto"/>
            <w:bottom w:val="none" w:sz="0" w:space="0" w:color="auto"/>
            <w:right w:val="none" w:sz="0" w:space="0" w:color="auto"/>
          </w:divBdr>
        </w:div>
        <w:div w:id="1285304497">
          <w:marLeft w:val="0"/>
          <w:marRight w:val="0"/>
          <w:marTop w:val="0"/>
          <w:marBottom w:val="0"/>
          <w:divBdr>
            <w:top w:val="none" w:sz="0" w:space="0" w:color="auto"/>
            <w:left w:val="none" w:sz="0" w:space="0" w:color="auto"/>
            <w:bottom w:val="none" w:sz="0" w:space="0" w:color="auto"/>
            <w:right w:val="none" w:sz="0" w:space="0" w:color="auto"/>
          </w:divBdr>
        </w:div>
        <w:div w:id="89008522">
          <w:marLeft w:val="0"/>
          <w:marRight w:val="0"/>
          <w:marTop w:val="0"/>
          <w:marBottom w:val="0"/>
          <w:divBdr>
            <w:top w:val="none" w:sz="0" w:space="0" w:color="auto"/>
            <w:left w:val="none" w:sz="0" w:space="0" w:color="auto"/>
            <w:bottom w:val="none" w:sz="0" w:space="0" w:color="auto"/>
            <w:right w:val="none" w:sz="0" w:space="0" w:color="auto"/>
          </w:divBdr>
        </w:div>
        <w:div w:id="366609720">
          <w:marLeft w:val="0"/>
          <w:marRight w:val="0"/>
          <w:marTop w:val="0"/>
          <w:marBottom w:val="0"/>
          <w:divBdr>
            <w:top w:val="none" w:sz="0" w:space="0" w:color="auto"/>
            <w:left w:val="none" w:sz="0" w:space="0" w:color="auto"/>
            <w:bottom w:val="none" w:sz="0" w:space="0" w:color="auto"/>
            <w:right w:val="none" w:sz="0" w:space="0" w:color="auto"/>
          </w:divBdr>
        </w:div>
        <w:div w:id="1100489818">
          <w:marLeft w:val="0"/>
          <w:marRight w:val="0"/>
          <w:marTop w:val="0"/>
          <w:marBottom w:val="0"/>
          <w:divBdr>
            <w:top w:val="none" w:sz="0" w:space="0" w:color="auto"/>
            <w:left w:val="none" w:sz="0" w:space="0" w:color="auto"/>
            <w:bottom w:val="none" w:sz="0" w:space="0" w:color="auto"/>
            <w:right w:val="none" w:sz="0" w:space="0" w:color="auto"/>
          </w:divBdr>
        </w:div>
        <w:div w:id="486670391">
          <w:marLeft w:val="0"/>
          <w:marRight w:val="0"/>
          <w:marTop w:val="0"/>
          <w:marBottom w:val="0"/>
          <w:divBdr>
            <w:top w:val="none" w:sz="0" w:space="0" w:color="auto"/>
            <w:left w:val="none" w:sz="0" w:space="0" w:color="auto"/>
            <w:bottom w:val="none" w:sz="0" w:space="0" w:color="auto"/>
            <w:right w:val="none" w:sz="0" w:space="0" w:color="auto"/>
          </w:divBdr>
        </w:div>
        <w:div w:id="1315833884">
          <w:marLeft w:val="0"/>
          <w:marRight w:val="0"/>
          <w:marTop w:val="0"/>
          <w:marBottom w:val="0"/>
          <w:divBdr>
            <w:top w:val="none" w:sz="0" w:space="0" w:color="auto"/>
            <w:left w:val="none" w:sz="0" w:space="0" w:color="auto"/>
            <w:bottom w:val="none" w:sz="0" w:space="0" w:color="auto"/>
            <w:right w:val="none" w:sz="0" w:space="0" w:color="auto"/>
          </w:divBdr>
        </w:div>
        <w:div w:id="326635321">
          <w:marLeft w:val="0"/>
          <w:marRight w:val="0"/>
          <w:marTop w:val="0"/>
          <w:marBottom w:val="0"/>
          <w:divBdr>
            <w:top w:val="none" w:sz="0" w:space="0" w:color="auto"/>
            <w:left w:val="none" w:sz="0" w:space="0" w:color="auto"/>
            <w:bottom w:val="none" w:sz="0" w:space="0" w:color="auto"/>
            <w:right w:val="none" w:sz="0" w:space="0" w:color="auto"/>
          </w:divBdr>
        </w:div>
        <w:div w:id="2094693876">
          <w:marLeft w:val="0"/>
          <w:marRight w:val="0"/>
          <w:marTop w:val="0"/>
          <w:marBottom w:val="0"/>
          <w:divBdr>
            <w:top w:val="none" w:sz="0" w:space="0" w:color="auto"/>
            <w:left w:val="none" w:sz="0" w:space="0" w:color="auto"/>
            <w:bottom w:val="none" w:sz="0" w:space="0" w:color="auto"/>
            <w:right w:val="none" w:sz="0" w:space="0" w:color="auto"/>
          </w:divBdr>
        </w:div>
        <w:div w:id="367723169">
          <w:marLeft w:val="0"/>
          <w:marRight w:val="0"/>
          <w:marTop w:val="0"/>
          <w:marBottom w:val="0"/>
          <w:divBdr>
            <w:top w:val="none" w:sz="0" w:space="0" w:color="auto"/>
            <w:left w:val="none" w:sz="0" w:space="0" w:color="auto"/>
            <w:bottom w:val="none" w:sz="0" w:space="0" w:color="auto"/>
            <w:right w:val="none" w:sz="0" w:space="0" w:color="auto"/>
          </w:divBdr>
        </w:div>
        <w:div w:id="1628584428">
          <w:marLeft w:val="0"/>
          <w:marRight w:val="0"/>
          <w:marTop w:val="0"/>
          <w:marBottom w:val="0"/>
          <w:divBdr>
            <w:top w:val="none" w:sz="0" w:space="0" w:color="auto"/>
            <w:left w:val="none" w:sz="0" w:space="0" w:color="auto"/>
            <w:bottom w:val="none" w:sz="0" w:space="0" w:color="auto"/>
            <w:right w:val="none" w:sz="0" w:space="0" w:color="auto"/>
          </w:divBdr>
        </w:div>
        <w:div w:id="976494243">
          <w:marLeft w:val="0"/>
          <w:marRight w:val="0"/>
          <w:marTop w:val="0"/>
          <w:marBottom w:val="0"/>
          <w:divBdr>
            <w:top w:val="none" w:sz="0" w:space="0" w:color="auto"/>
            <w:left w:val="none" w:sz="0" w:space="0" w:color="auto"/>
            <w:bottom w:val="none" w:sz="0" w:space="0" w:color="auto"/>
            <w:right w:val="none" w:sz="0" w:space="0" w:color="auto"/>
          </w:divBdr>
        </w:div>
        <w:div w:id="1806660275">
          <w:marLeft w:val="0"/>
          <w:marRight w:val="0"/>
          <w:marTop w:val="0"/>
          <w:marBottom w:val="0"/>
          <w:divBdr>
            <w:top w:val="none" w:sz="0" w:space="0" w:color="auto"/>
            <w:left w:val="none" w:sz="0" w:space="0" w:color="auto"/>
            <w:bottom w:val="none" w:sz="0" w:space="0" w:color="auto"/>
            <w:right w:val="none" w:sz="0" w:space="0" w:color="auto"/>
          </w:divBdr>
        </w:div>
        <w:div w:id="1740209682">
          <w:marLeft w:val="0"/>
          <w:marRight w:val="0"/>
          <w:marTop w:val="0"/>
          <w:marBottom w:val="0"/>
          <w:divBdr>
            <w:top w:val="none" w:sz="0" w:space="0" w:color="auto"/>
            <w:left w:val="none" w:sz="0" w:space="0" w:color="auto"/>
            <w:bottom w:val="none" w:sz="0" w:space="0" w:color="auto"/>
            <w:right w:val="none" w:sz="0" w:space="0" w:color="auto"/>
          </w:divBdr>
        </w:div>
        <w:div w:id="763645171">
          <w:marLeft w:val="0"/>
          <w:marRight w:val="0"/>
          <w:marTop w:val="0"/>
          <w:marBottom w:val="0"/>
          <w:divBdr>
            <w:top w:val="none" w:sz="0" w:space="0" w:color="auto"/>
            <w:left w:val="none" w:sz="0" w:space="0" w:color="auto"/>
            <w:bottom w:val="none" w:sz="0" w:space="0" w:color="auto"/>
            <w:right w:val="none" w:sz="0" w:space="0" w:color="auto"/>
          </w:divBdr>
        </w:div>
        <w:div w:id="588196633">
          <w:marLeft w:val="0"/>
          <w:marRight w:val="0"/>
          <w:marTop w:val="0"/>
          <w:marBottom w:val="0"/>
          <w:divBdr>
            <w:top w:val="none" w:sz="0" w:space="0" w:color="auto"/>
            <w:left w:val="none" w:sz="0" w:space="0" w:color="auto"/>
            <w:bottom w:val="none" w:sz="0" w:space="0" w:color="auto"/>
            <w:right w:val="none" w:sz="0" w:space="0" w:color="auto"/>
          </w:divBdr>
        </w:div>
        <w:div w:id="2013100091">
          <w:marLeft w:val="0"/>
          <w:marRight w:val="0"/>
          <w:marTop w:val="0"/>
          <w:marBottom w:val="0"/>
          <w:divBdr>
            <w:top w:val="none" w:sz="0" w:space="0" w:color="auto"/>
            <w:left w:val="none" w:sz="0" w:space="0" w:color="auto"/>
            <w:bottom w:val="none" w:sz="0" w:space="0" w:color="auto"/>
            <w:right w:val="none" w:sz="0" w:space="0" w:color="auto"/>
          </w:divBdr>
        </w:div>
        <w:div w:id="608927506">
          <w:marLeft w:val="0"/>
          <w:marRight w:val="0"/>
          <w:marTop w:val="0"/>
          <w:marBottom w:val="0"/>
          <w:divBdr>
            <w:top w:val="none" w:sz="0" w:space="0" w:color="auto"/>
            <w:left w:val="none" w:sz="0" w:space="0" w:color="auto"/>
            <w:bottom w:val="none" w:sz="0" w:space="0" w:color="auto"/>
            <w:right w:val="none" w:sz="0" w:space="0" w:color="auto"/>
          </w:divBdr>
        </w:div>
        <w:div w:id="138809435">
          <w:marLeft w:val="0"/>
          <w:marRight w:val="0"/>
          <w:marTop w:val="0"/>
          <w:marBottom w:val="0"/>
          <w:divBdr>
            <w:top w:val="none" w:sz="0" w:space="0" w:color="auto"/>
            <w:left w:val="none" w:sz="0" w:space="0" w:color="auto"/>
            <w:bottom w:val="none" w:sz="0" w:space="0" w:color="auto"/>
            <w:right w:val="none" w:sz="0" w:space="0" w:color="auto"/>
          </w:divBdr>
        </w:div>
        <w:div w:id="117384597">
          <w:marLeft w:val="0"/>
          <w:marRight w:val="0"/>
          <w:marTop w:val="0"/>
          <w:marBottom w:val="0"/>
          <w:divBdr>
            <w:top w:val="none" w:sz="0" w:space="0" w:color="auto"/>
            <w:left w:val="none" w:sz="0" w:space="0" w:color="auto"/>
            <w:bottom w:val="none" w:sz="0" w:space="0" w:color="auto"/>
            <w:right w:val="none" w:sz="0" w:space="0" w:color="auto"/>
          </w:divBdr>
        </w:div>
        <w:div w:id="1658916304">
          <w:marLeft w:val="0"/>
          <w:marRight w:val="0"/>
          <w:marTop w:val="0"/>
          <w:marBottom w:val="0"/>
          <w:divBdr>
            <w:top w:val="none" w:sz="0" w:space="0" w:color="auto"/>
            <w:left w:val="none" w:sz="0" w:space="0" w:color="auto"/>
            <w:bottom w:val="none" w:sz="0" w:space="0" w:color="auto"/>
            <w:right w:val="none" w:sz="0" w:space="0" w:color="auto"/>
          </w:divBdr>
        </w:div>
        <w:div w:id="1715809719">
          <w:marLeft w:val="0"/>
          <w:marRight w:val="0"/>
          <w:marTop w:val="0"/>
          <w:marBottom w:val="0"/>
          <w:divBdr>
            <w:top w:val="none" w:sz="0" w:space="0" w:color="auto"/>
            <w:left w:val="none" w:sz="0" w:space="0" w:color="auto"/>
            <w:bottom w:val="none" w:sz="0" w:space="0" w:color="auto"/>
            <w:right w:val="none" w:sz="0" w:space="0" w:color="auto"/>
          </w:divBdr>
        </w:div>
        <w:div w:id="1261716180">
          <w:marLeft w:val="0"/>
          <w:marRight w:val="0"/>
          <w:marTop w:val="0"/>
          <w:marBottom w:val="0"/>
          <w:divBdr>
            <w:top w:val="none" w:sz="0" w:space="0" w:color="auto"/>
            <w:left w:val="none" w:sz="0" w:space="0" w:color="auto"/>
            <w:bottom w:val="none" w:sz="0" w:space="0" w:color="auto"/>
            <w:right w:val="none" w:sz="0" w:space="0" w:color="auto"/>
          </w:divBdr>
        </w:div>
        <w:div w:id="1239248473">
          <w:marLeft w:val="0"/>
          <w:marRight w:val="0"/>
          <w:marTop w:val="0"/>
          <w:marBottom w:val="0"/>
          <w:divBdr>
            <w:top w:val="none" w:sz="0" w:space="0" w:color="auto"/>
            <w:left w:val="none" w:sz="0" w:space="0" w:color="auto"/>
            <w:bottom w:val="none" w:sz="0" w:space="0" w:color="auto"/>
            <w:right w:val="none" w:sz="0" w:space="0" w:color="auto"/>
          </w:divBdr>
        </w:div>
        <w:div w:id="1738479837">
          <w:marLeft w:val="0"/>
          <w:marRight w:val="0"/>
          <w:marTop w:val="0"/>
          <w:marBottom w:val="0"/>
          <w:divBdr>
            <w:top w:val="none" w:sz="0" w:space="0" w:color="auto"/>
            <w:left w:val="none" w:sz="0" w:space="0" w:color="auto"/>
            <w:bottom w:val="none" w:sz="0" w:space="0" w:color="auto"/>
            <w:right w:val="none" w:sz="0" w:space="0" w:color="auto"/>
          </w:divBdr>
        </w:div>
        <w:div w:id="1493064116">
          <w:marLeft w:val="0"/>
          <w:marRight w:val="0"/>
          <w:marTop w:val="0"/>
          <w:marBottom w:val="0"/>
          <w:divBdr>
            <w:top w:val="none" w:sz="0" w:space="0" w:color="auto"/>
            <w:left w:val="none" w:sz="0" w:space="0" w:color="auto"/>
            <w:bottom w:val="none" w:sz="0" w:space="0" w:color="auto"/>
            <w:right w:val="none" w:sz="0" w:space="0" w:color="auto"/>
          </w:divBdr>
        </w:div>
        <w:div w:id="1893884074">
          <w:marLeft w:val="0"/>
          <w:marRight w:val="0"/>
          <w:marTop w:val="0"/>
          <w:marBottom w:val="0"/>
          <w:divBdr>
            <w:top w:val="none" w:sz="0" w:space="0" w:color="auto"/>
            <w:left w:val="none" w:sz="0" w:space="0" w:color="auto"/>
            <w:bottom w:val="none" w:sz="0" w:space="0" w:color="auto"/>
            <w:right w:val="none" w:sz="0" w:space="0" w:color="auto"/>
          </w:divBdr>
        </w:div>
        <w:div w:id="114251086">
          <w:marLeft w:val="0"/>
          <w:marRight w:val="0"/>
          <w:marTop w:val="0"/>
          <w:marBottom w:val="0"/>
          <w:divBdr>
            <w:top w:val="none" w:sz="0" w:space="0" w:color="auto"/>
            <w:left w:val="none" w:sz="0" w:space="0" w:color="auto"/>
            <w:bottom w:val="none" w:sz="0" w:space="0" w:color="auto"/>
            <w:right w:val="none" w:sz="0" w:space="0" w:color="auto"/>
          </w:divBdr>
        </w:div>
        <w:div w:id="686105623">
          <w:marLeft w:val="0"/>
          <w:marRight w:val="0"/>
          <w:marTop w:val="0"/>
          <w:marBottom w:val="0"/>
          <w:divBdr>
            <w:top w:val="none" w:sz="0" w:space="0" w:color="auto"/>
            <w:left w:val="none" w:sz="0" w:space="0" w:color="auto"/>
            <w:bottom w:val="none" w:sz="0" w:space="0" w:color="auto"/>
            <w:right w:val="none" w:sz="0" w:space="0" w:color="auto"/>
          </w:divBdr>
        </w:div>
        <w:div w:id="721292683">
          <w:marLeft w:val="0"/>
          <w:marRight w:val="0"/>
          <w:marTop w:val="0"/>
          <w:marBottom w:val="0"/>
          <w:divBdr>
            <w:top w:val="none" w:sz="0" w:space="0" w:color="auto"/>
            <w:left w:val="none" w:sz="0" w:space="0" w:color="auto"/>
            <w:bottom w:val="none" w:sz="0" w:space="0" w:color="auto"/>
            <w:right w:val="none" w:sz="0" w:space="0" w:color="auto"/>
          </w:divBdr>
        </w:div>
        <w:div w:id="725834662">
          <w:marLeft w:val="0"/>
          <w:marRight w:val="0"/>
          <w:marTop w:val="0"/>
          <w:marBottom w:val="0"/>
          <w:divBdr>
            <w:top w:val="none" w:sz="0" w:space="0" w:color="auto"/>
            <w:left w:val="none" w:sz="0" w:space="0" w:color="auto"/>
            <w:bottom w:val="none" w:sz="0" w:space="0" w:color="auto"/>
            <w:right w:val="none" w:sz="0" w:space="0" w:color="auto"/>
          </w:divBdr>
        </w:div>
        <w:div w:id="334456145">
          <w:marLeft w:val="0"/>
          <w:marRight w:val="0"/>
          <w:marTop w:val="0"/>
          <w:marBottom w:val="0"/>
          <w:divBdr>
            <w:top w:val="none" w:sz="0" w:space="0" w:color="auto"/>
            <w:left w:val="none" w:sz="0" w:space="0" w:color="auto"/>
            <w:bottom w:val="none" w:sz="0" w:space="0" w:color="auto"/>
            <w:right w:val="none" w:sz="0" w:space="0" w:color="auto"/>
          </w:divBdr>
        </w:div>
        <w:div w:id="136341944">
          <w:marLeft w:val="0"/>
          <w:marRight w:val="0"/>
          <w:marTop w:val="0"/>
          <w:marBottom w:val="0"/>
          <w:divBdr>
            <w:top w:val="none" w:sz="0" w:space="0" w:color="auto"/>
            <w:left w:val="none" w:sz="0" w:space="0" w:color="auto"/>
            <w:bottom w:val="none" w:sz="0" w:space="0" w:color="auto"/>
            <w:right w:val="none" w:sz="0" w:space="0" w:color="auto"/>
          </w:divBdr>
        </w:div>
        <w:div w:id="1465192103">
          <w:marLeft w:val="0"/>
          <w:marRight w:val="0"/>
          <w:marTop w:val="0"/>
          <w:marBottom w:val="0"/>
          <w:divBdr>
            <w:top w:val="none" w:sz="0" w:space="0" w:color="auto"/>
            <w:left w:val="none" w:sz="0" w:space="0" w:color="auto"/>
            <w:bottom w:val="none" w:sz="0" w:space="0" w:color="auto"/>
            <w:right w:val="none" w:sz="0" w:space="0" w:color="auto"/>
          </w:divBdr>
        </w:div>
        <w:div w:id="378093855">
          <w:marLeft w:val="0"/>
          <w:marRight w:val="0"/>
          <w:marTop w:val="0"/>
          <w:marBottom w:val="0"/>
          <w:divBdr>
            <w:top w:val="none" w:sz="0" w:space="0" w:color="auto"/>
            <w:left w:val="none" w:sz="0" w:space="0" w:color="auto"/>
            <w:bottom w:val="none" w:sz="0" w:space="0" w:color="auto"/>
            <w:right w:val="none" w:sz="0" w:space="0" w:color="auto"/>
          </w:divBdr>
        </w:div>
        <w:div w:id="1398085908">
          <w:marLeft w:val="0"/>
          <w:marRight w:val="0"/>
          <w:marTop w:val="0"/>
          <w:marBottom w:val="0"/>
          <w:divBdr>
            <w:top w:val="none" w:sz="0" w:space="0" w:color="auto"/>
            <w:left w:val="none" w:sz="0" w:space="0" w:color="auto"/>
            <w:bottom w:val="none" w:sz="0" w:space="0" w:color="auto"/>
            <w:right w:val="none" w:sz="0" w:space="0" w:color="auto"/>
          </w:divBdr>
        </w:div>
        <w:div w:id="378434898">
          <w:marLeft w:val="0"/>
          <w:marRight w:val="0"/>
          <w:marTop w:val="0"/>
          <w:marBottom w:val="0"/>
          <w:divBdr>
            <w:top w:val="none" w:sz="0" w:space="0" w:color="auto"/>
            <w:left w:val="none" w:sz="0" w:space="0" w:color="auto"/>
            <w:bottom w:val="none" w:sz="0" w:space="0" w:color="auto"/>
            <w:right w:val="none" w:sz="0" w:space="0" w:color="auto"/>
          </w:divBdr>
        </w:div>
        <w:div w:id="2041002805">
          <w:marLeft w:val="0"/>
          <w:marRight w:val="0"/>
          <w:marTop w:val="0"/>
          <w:marBottom w:val="0"/>
          <w:divBdr>
            <w:top w:val="none" w:sz="0" w:space="0" w:color="auto"/>
            <w:left w:val="none" w:sz="0" w:space="0" w:color="auto"/>
            <w:bottom w:val="none" w:sz="0" w:space="0" w:color="auto"/>
            <w:right w:val="none" w:sz="0" w:space="0" w:color="auto"/>
          </w:divBdr>
        </w:div>
        <w:div w:id="64885189">
          <w:marLeft w:val="0"/>
          <w:marRight w:val="0"/>
          <w:marTop w:val="0"/>
          <w:marBottom w:val="0"/>
          <w:divBdr>
            <w:top w:val="none" w:sz="0" w:space="0" w:color="auto"/>
            <w:left w:val="none" w:sz="0" w:space="0" w:color="auto"/>
            <w:bottom w:val="none" w:sz="0" w:space="0" w:color="auto"/>
            <w:right w:val="none" w:sz="0" w:space="0" w:color="auto"/>
          </w:divBdr>
        </w:div>
        <w:div w:id="988873082">
          <w:marLeft w:val="0"/>
          <w:marRight w:val="0"/>
          <w:marTop w:val="0"/>
          <w:marBottom w:val="0"/>
          <w:divBdr>
            <w:top w:val="none" w:sz="0" w:space="0" w:color="auto"/>
            <w:left w:val="none" w:sz="0" w:space="0" w:color="auto"/>
            <w:bottom w:val="none" w:sz="0" w:space="0" w:color="auto"/>
            <w:right w:val="none" w:sz="0" w:space="0" w:color="auto"/>
          </w:divBdr>
        </w:div>
        <w:div w:id="679430425">
          <w:marLeft w:val="0"/>
          <w:marRight w:val="0"/>
          <w:marTop w:val="0"/>
          <w:marBottom w:val="0"/>
          <w:divBdr>
            <w:top w:val="none" w:sz="0" w:space="0" w:color="auto"/>
            <w:left w:val="none" w:sz="0" w:space="0" w:color="auto"/>
            <w:bottom w:val="none" w:sz="0" w:space="0" w:color="auto"/>
            <w:right w:val="none" w:sz="0" w:space="0" w:color="auto"/>
          </w:divBdr>
        </w:div>
        <w:div w:id="1950311713">
          <w:marLeft w:val="0"/>
          <w:marRight w:val="0"/>
          <w:marTop w:val="0"/>
          <w:marBottom w:val="0"/>
          <w:divBdr>
            <w:top w:val="none" w:sz="0" w:space="0" w:color="auto"/>
            <w:left w:val="none" w:sz="0" w:space="0" w:color="auto"/>
            <w:bottom w:val="none" w:sz="0" w:space="0" w:color="auto"/>
            <w:right w:val="none" w:sz="0" w:space="0" w:color="auto"/>
          </w:divBdr>
        </w:div>
        <w:div w:id="1219513946">
          <w:marLeft w:val="0"/>
          <w:marRight w:val="0"/>
          <w:marTop w:val="0"/>
          <w:marBottom w:val="0"/>
          <w:divBdr>
            <w:top w:val="none" w:sz="0" w:space="0" w:color="auto"/>
            <w:left w:val="none" w:sz="0" w:space="0" w:color="auto"/>
            <w:bottom w:val="none" w:sz="0" w:space="0" w:color="auto"/>
            <w:right w:val="none" w:sz="0" w:space="0" w:color="auto"/>
          </w:divBdr>
        </w:div>
        <w:div w:id="78992002">
          <w:marLeft w:val="0"/>
          <w:marRight w:val="0"/>
          <w:marTop w:val="0"/>
          <w:marBottom w:val="0"/>
          <w:divBdr>
            <w:top w:val="none" w:sz="0" w:space="0" w:color="auto"/>
            <w:left w:val="none" w:sz="0" w:space="0" w:color="auto"/>
            <w:bottom w:val="none" w:sz="0" w:space="0" w:color="auto"/>
            <w:right w:val="none" w:sz="0" w:space="0" w:color="auto"/>
          </w:divBdr>
        </w:div>
        <w:div w:id="1844322983">
          <w:marLeft w:val="0"/>
          <w:marRight w:val="0"/>
          <w:marTop w:val="0"/>
          <w:marBottom w:val="0"/>
          <w:divBdr>
            <w:top w:val="none" w:sz="0" w:space="0" w:color="auto"/>
            <w:left w:val="none" w:sz="0" w:space="0" w:color="auto"/>
            <w:bottom w:val="none" w:sz="0" w:space="0" w:color="auto"/>
            <w:right w:val="none" w:sz="0" w:space="0" w:color="auto"/>
          </w:divBdr>
        </w:div>
        <w:div w:id="1878422009">
          <w:marLeft w:val="0"/>
          <w:marRight w:val="0"/>
          <w:marTop w:val="0"/>
          <w:marBottom w:val="0"/>
          <w:divBdr>
            <w:top w:val="none" w:sz="0" w:space="0" w:color="auto"/>
            <w:left w:val="none" w:sz="0" w:space="0" w:color="auto"/>
            <w:bottom w:val="none" w:sz="0" w:space="0" w:color="auto"/>
            <w:right w:val="none" w:sz="0" w:space="0" w:color="auto"/>
          </w:divBdr>
        </w:div>
        <w:div w:id="2101636197">
          <w:marLeft w:val="0"/>
          <w:marRight w:val="0"/>
          <w:marTop w:val="0"/>
          <w:marBottom w:val="0"/>
          <w:divBdr>
            <w:top w:val="none" w:sz="0" w:space="0" w:color="auto"/>
            <w:left w:val="none" w:sz="0" w:space="0" w:color="auto"/>
            <w:bottom w:val="none" w:sz="0" w:space="0" w:color="auto"/>
            <w:right w:val="none" w:sz="0" w:space="0" w:color="auto"/>
          </w:divBdr>
        </w:div>
        <w:div w:id="118652032">
          <w:marLeft w:val="0"/>
          <w:marRight w:val="0"/>
          <w:marTop w:val="0"/>
          <w:marBottom w:val="0"/>
          <w:divBdr>
            <w:top w:val="none" w:sz="0" w:space="0" w:color="auto"/>
            <w:left w:val="none" w:sz="0" w:space="0" w:color="auto"/>
            <w:bottom w:val="none" w:sz="0" w:space="0" w:color="auto"/>
            <w:right w:val="none" w:sz="0" w:space="0" w:color="auto"/>
          </w:divBdr>
        </w:div>
        <w:div w:id="1693678014">
          <w:marLeft w:val="0"/>
          <w:marRight w:val="0"/>
          <w:marTop w:val="0"/>
          <w:marBottom w:val="0"/>
          <w:divBdr>
            <w:top w:val="none" w:sz="0" w:space="0" w:color="auto"/>
            <w:left w:val="none" w:sz="0" w:space="0" w:color="auto"/>
            <w:bottom w:val="none" w:sz="0" w:space="0" w:color="auto"/>
            <w:right w:val="none" w:sz="0" w:space="0" w:color="auto"/>
          </w:divBdr>
        </w:div>
        <w:div w:id="735594511">
          <w:marLeft w:val="0"/>
          <w:marRight w:val="0"/>
          <w:marTop w:val="0"/>
          <w:marBottom w:val="0"/>
          <w:divBdr>
            <w:top w:val="none" w:sz="0" w:space="0" w:color="auto"/>
            <w:left w:val="none" w:sz="0" w:space="0" w:color="auto"/>
            <w:bottom w:val="none" w:sz="0" w:space="0" w:color="auto"/>
            <w:right w:val="none" w:sz="0" w:space="0" w:color="auto"/>
          </w:divBdr>
        </w:div>
        <w:div w:id="373577622">
          <w:marLeft w:val="0"/>
          <w:marRight w:val="0"/>
          <w:marTop w:val="0"/>
          <w:marBottom w:val="0"/>
          <w:divBdr>
            <w:top w:val="none" w:sz="0" w:space="0" w:color="auto"/>
            <w:left w:val="none" w:sz="0" w:space="0" w:color="auto"/>
            <w:bottom w:val="none" w:sz="0" w:space="0" w:color="auto"/>
            <w:right w:val="none" w:sz="0" w:space="0" w:color="auto"/>
          </w:divBdr>
        </w:div>
        <w:div w:id="865405048">
          <w:marLeft w:val="0"/>
          <w:marRight w:val="0"/>
          <w:marTop w:val="0"/>
          <w:marBottom w:val="0"/>
          <w:divBdr>
            <w:top w:val="none" w:sz="0" w:space="0" w:color="auto"/>
            <w:left w:val="none" w:sz="0" w:space="0" w:color="auto"/>
            <w:bottom w:val="none" w:sz="0" w:space="0" w:color="auto"/>
            <w:right w:val="none" w:sz="0" w:space="0" w:color="auto"/>
          </w:divBdr>
        </w:div>
        <w:div w:id="1700426880">
          <w:marLeft w:val="0"/>
          <w:marRight w:val="0"/>
          <w:marTop w:val="0"/>
          <w:marBottom w:val="0"/>
          <w:divBdr>
            <w:top w:val="none" w:sz="0" w:space="0" w:color="auto"/>
            <w:left w:val="none" w:sz="0" w:space="0" w:color="auto"/>
            <w:bottom w:val="none" w:sz="0" w:space="0" w:color="auto"/>
            <w:right w:val="none" w:sz="0" w:space="0" w:color="auto"/>
          </w:divBdr>
        </w:div>
        <w:div w:id="69474676">
          <w:marLeft w:val="0"/>
          <w:marRight w:val="0"/>
          <w:marTop w:val="0"/>
          <w:marBottom w:val="0"/>
          <w:divBdr>
            <w:top w:val="none" w:sz="0" w:space="0" w:color="auto"/>
            <w:left w:val="none" w:sz="0" w:space="0" w:color="auto"/>
            <w:bottom w:val="none" w:sz="0" w:space="0" w:color="auto"/>
            <w:right w:val="none" w:sz="0" w:space="0" w:color="auto"/>
          </w:divBdr>
        </w:div>
        <w:div w:id="2052150678">
          <w:marLeft w:val="0"/>
          <w:marRight w:val="0"/>
          <w:marTop w:val="0"/>
          <w:marBottom w:val="0"/>
          <w:divBdr>
            <w:top w:val="none" w:sz="0" w:space="0" w:color="auto"/>
            <w:left w:val="none" w:sz="0" w:space="0" w:color="auto"/>
            <w:bottom w:val="none" w:sz="0" w:space="0" w:color="auto"/>
            <w:right w:val="none" w:sz="0" w:space="0" w:color="auto"/>
          </w:divBdr>
        </w:div>
        <w:div w:id="106432047">
          <w:marLeft w:val="0"/>
          <w:marRight w:val="0"/>
          <w:marTop w:val="0"/>
          <w:marBottom w:val="0"/>
          <w:divBdr>
            <w:top w:val="none" w:sz="0" w:space="0" w:color="auto"/>
            <w:left w:val="none" w:sz="0" w:space="0" w:color="auto"/>
            <w:bottom w:val="none" w:sz="0" w:space="0" w:color="auto"/>
            <w:right w:val="none" w:sz="0" w:space="0" w:color="auto"/>
          </w:divBdr>
        </w:div>
        <w:div w:id="1166484014">
          <w:marLeft w:val="0"/>
          <w:marRight w:val="0"/>
          <w:marTop w:val="0"/>
          <w:marBottom w:val="0"/>
          <w:divBdr>
            <w:top w:val="none" w:sz="0" w:space="0" w:color="auto"/>
            <w:left w:val="none" w:sz="0" w:space="0" w:color="auto"/>
            <w:bottom w:val="none" w:sz="0" w:space="0" w:color="auto"/>
            <w:right w:val="none" w:sz="0" w:space="0" w:color="auto"/>
          </w:divBdr>
        </w:div>
        <w:div w:id="1505315140">
          <w:marLeft w:val="0"/>
          <w:marRight w:val="0"/>
          <w:marTop w:val="0"/>
          <w:marBottom w:val="0"/>
          <w:divBdr>
            <w:top w:val="none" w:sz="0" w:space="0" w:color="auto"/>
            <w:left w:val="none" w:sz="0" w:space="0" w:color="auto"/>
            <w:bottom w:val="none" w:sz="0" w:space="0" w:color="auto"/>
            <w:right w:val="none" w:sz="0" w:space="0" w:color="auto"/>
          </w:divBdr>
        </w:div>
        <w:div w:id="1472401446">
          <w:marLeft w:val="0"/>
          <w:marRight w:val="0"/>
          <w:marTop w:val="0"/>
          <w:marBottom w:val="0"/>
          <w:divBdr>
            <w:top w:val="none" w:sz="0" w:space="0" w:color="auto"/>
            <w:left w:val="none" w:sz="0" w:space="0" w:color="auto"/>
            <w:bottom w:val="none" w:sz="0" w:space="0" w:color="auto"/>
            <w:right w:val="none" w:sz="0" w:space="0" w:color="auto"/>
          </w:divBdr>
        </w:div>
        <w:div w:id="2104521764">
          <w:marLeft w:val="0"/>
          <w:marRight w:val="0"/>
          <w:marTop w:val="0"/>
          <w:marBottom w:val="0"/>
          <w:divBdr>
            <w:top w:val="none" w:sz="0" w:space="0" w:color="auto"/>
            <w:left w:val="none" w:sz="0" w:space="0" w:color="auto"/>
            <w:bottom w:val="none" w:sz="0" w:space="0" w:color="auto"/>
            <w:right w:val="none" w:sz="0" w:space="0" w:color="auto"/>
          </w:divBdr>
        </w:div>
        <w:div w:id="780149331">
          <w:marLeft w:val="0"/>
          <w:marRight w:val="0"/>
          <w:marTop w:val="0"/>
          <w:marBottom w:val="0"/>
          <w:divBdr>
            <w:top w:val="none" w:sz="0" w:space="0" w:color="auto"/>
            <w:left w:val="none" w:sz="0" w:space="0" w:color="auto"/>
            <w:bottom w:val="none" w:sz="0" w:space="0" w:color="auto"/>
            <w:right w:val="none" w:sz="0" w:space="0" w:color="auto"/>
          </w:divBdr>
        </w:div>
        <w:div w:id="1396124334">
          <w:marLeft w:val="0"/>
          <w:marRight w:val="0"/>
          <w:marTop w:val="0"/>
          <w:marBottom w:val="0"/>
          <w:divBdr>
            <w:top w:val="none" w:sz="0" w:space="0" w:color="auto"/>
            <w:left w:val="none" w:sz="0" w:space="0" w:color="auto"/>
            <w:bottom w:val="none" w:sz="0" w:space="0" w:color="auto"/>
            <w:right w:val="none" w:sz="0" w:space="0" w:color="auto"/>
          </w:divBdr>
        </w:div>
        <w:div w:id="1901091524">
          <w:marLeft w:val="0"/>
          <w:marRight w:val="0"/>
          <w:marTop w:val="0"/>
          <w:marBottom w:val="0"/>
          <w:divBdr>
            <w:top w:val="none" w:sz="0" w:space="0" w:color="auto"/>
            <w:left w:val="none" w:sz="0" w:space="0" w:color="auto"/>
            <w:bottom w:val="none" w:sz="0" w:space="0" w:color="auto"/>
            <w:right w:val="none" w:sz="0" w:space="0" w:color="auto"/>
          </w:divBdr>
        </w:div>
        <w:div w:id="601686376">
          <w:marLeft w:val="0"/>
          <w:marRight w:val="0"/>
          <w:marTop w:val="0"/>
          <w:marBottom w:val="0"/>
          <w:divBdr>
            <w:top w:val="none" w:sz="0" w:space="0" w:color="auto"/>
            <w:left w:val="none" w:sz="0" w:space="0" w:color="auto"/>
            <w:bottom w:val="none" w:sz="0" w:space="0" w:color="auto"/>
            <w:right w:val="none" w:sz="0" w:space="0" w:color="auto"/>
          </w:divBdr>
        </w:div>
        <w:div w:id="92286525">
          <w:marLeft w:val="0"/>
          <w:marRight w:val="0"/>
          <w:marTop w:val="0"/>
          <w:marBottom w:val="0"/>
          <w:divBdr>
            <w:top w:val="none" w:sz="0" w:space="0" w:color="auto"/>
            <w:left w:val="none" w:sz="0" w:space="0" w:color="auto"/>
            <w:bottom w:val="none" w:sz="0" w:space="0" w:color="auto"/>
            <w:right w:val="none" w:sz="0" w:space="0" w:color="auto"/>
          </w:divBdr>
        </w:div>
        <w:div w:id="1660844178">
          <w:marLeft w:val="0"/>
          <w:marRight w:val="0"/>
          <w:marTop w:val="0"/>
          <w:marBottom w:val="0"/>
          <w:divBdr>
            <w:top w:val="none" w:sz="0" w:space="0" w:color="auto"/>
            <w:left w:val="none" w:sz="0" w:space="0" w:color="auto"/>
            <w:bottom w:val="none" w:sz="0" w:space="0" w:color="auto"/>
            <w:right w:val="none" w:sz="0" w:space="0" w:color="auto"/>
          </w:divBdr>
        </w:div>
        <w:div w:id="647323431">
          <w:marLeft w:val="0"/>
          <w:marRight w:val="0"/>
          <w:marTop w:val="0"/>
          <w:marBottom w:val="0"/>
          <w:divBdr>
            <w:top w:val="none" w:sz="0" w:space="0" w:color="auto"/>
            <w:left w:val="none" w:sz="0" w:space="0" w:color="auto"/>
            <w:bottom w:val="none" w:sz="0" w:space="0" w:color="auto"/>
            <w:right w:val="none" w:sz="0" w:space="0" w:color="auto"/>
          </w:divBdr>
        </w:div>
        <w:div w:id="2046132015">
          <w:marLeft w:val="0"/>
          <w:marRight w:val="0"/>
          <w:marTop w:val="0"/>
          <w:marBottom w:val="0"/>
          <w:divBdr>
            <w:top w:val="none" w:sz="0" w:space="0" w:color="auto"/>
            <w:left w:val="none" w:sz="0" w:space="0" w:color="auto"/>
            <w:bottom w:val="none" w:sz="0" w:space="0" w:color="auto"/>
            <w:right w:val="none" w:sz="0" w:space="0" w:color="auto"/>
          </w:divBdr>
        </w:div>
        <w:div w:id="1828545629">
          <w:marLeft w:val="0"/>
          <w:marRight w:val="0"/>
          <w:marTop w:val="0"/>
          <w:marBottom w:val="0"/>
          <w:divBdr>
            <w:top w:val="none" w:sz="0" w:space="0" w:color="auto"/>
            <w:left w:val="none" w:sz="0" w:space="0" w:color="auto"/>
            <w:bottom w:val="none" w:sz="0" w:space="0" w:color="auto"/>
            <w:right w:val="none" w:sz="0" w:space="0" w:color="auto"/>
          </w:divBdr>
        </w:div>
        <w:div w:id="1531450355">
          <w:marLeft w:val="0"/>
          <w:marRight w:val="0"/>
          <w:marTop w:val="0"/>
          <w:marBottom w:val="0"/>
          <w:divBdr>
            <w:top w:val="none" w:sz="0" w:space="0" w:color="auto"/>
            <w:left w:val="none" w:sz="0" w:space="0" w:color="auto"/>
            <w:bottom w:val="none" w:sz="0" w:space="0" w:color="auto"/>
            <w:right w:val="none" w:sz="0" w:space="0" w:color="auto"/>
          </w:divBdr>
        </w:div>
        <w:div w:id="1875649139">
          <w:marLeft w:val="0"/>
          <w:marRight w:val="0"/>
          <w:marTop w:val="0"/>
          <w:marBottom w:val="0"/>
          <w:divBdr>
            <w:top w:val="none" w:sz="0" w:space="0" w:color="auto"/>
            <w:left w:val="none" w:sz="0" w:space="0" w:color="auto"/>
            <w:bottom w:val="none" w:sz="0" w:space="0" w:color="auto"/>
            <w:right w:val="none" w:sz="0" w:space="0" w:color="auto"/>
          </w:divBdr>
        </w:div>
        <w:div w:id="424303237">
          <w:marLeft w:val="0"/>
          <w:marRight w:val="0"/>
          <w:marTop w:val="0"/>
          <w:marBottom w:val="0"/>
          <w:divBdr>
            <w:top w:val="none" w:sz="0" w:space="0" w:color="auto"/>
            <w:left w:val="none" w:sz="0" w:space="0" w:color="auto"/>
            <w:bottom w:val="none" w:sz="0" w:space="0" w:color="auto"/>
            <w:right w:val="none" w:sz="0" w:space="0" w:color="auto"/>
          </w:divBdr>
        </w:div>
        <w:div w:id="1047074103">
          <w:marLeft w:val="0"/>
          <w:marRight w:val="0"/>
          <w:marTop w:val="0"/>
          <w:marBottom w:val="0"/>
          <w:divBdr>
            <w:top w:val="none" w:sz="0" w:space="0" w:color="auto"/>
            <w:left w:val="none" w:sz="0" w:space="0" w:color="auto"/>
            <w:bottom w:val="none" w:sz="0" w:space="0" w:color="auto"/>
            <w:right w:val="none" w:sz="0" w:space="0" w:color="auto"/>
          </w:divBdr>
        </w:div>
        <w:div w:id="1913541079">
          <w:marLeft w:val="0"/>
          <w:marRight w:val="0"/>
          <w:marTop w:val="0"/>
          <w:marBottom w:val="0"/>
          <w:divBdr>
            <w:top w:val="none" w:sz="0" w:space="0" w:color="auto"/>
            <w:left w:val="none" w:sz="0" w:space="0" w:color="auto"/>
            <w:bottom w:val="none" w:sz="0" w:space="0" w:color="auto"/>
            <w:right w:val="none" w:sz="0" w:space="0" w:color="auto"/>
          </w:divBdr>
        </w:div>
        <w:div w:id="927739377">
          <w:marLeft w:val="0"/>
          <w:marRight w:val="0"/>
          <w:marTop w:val="0"/>
          <w:marBottom w:val="0"/>
          <w:divBdr>
            <w:top w:val="none" w:sz="0" w:space="0" w:color="auto"/>
            <w:left w:val="none" w:sz="0" w:space="0" w:color="auto"/>
            <w:bottom w:val="none" w:sz="0" w:space="0" w:color="auto"/>
            <w:right w:val="none" w:sz="0" w:space="0" w:color="auto"/>
          </w:divBdr>
        </w:div>
        <w:div w:id="500002422">
          <w:marLeft w:val="0"/>
          <w:marRight w:val="0"/>
          <w:marTop w:val="0"/>
          <w:marBottom w:val="0"/>
          <w:divBdr>
            <w:top w:val="none" w:sz="0" w:space="0" w:color="auto"/>
            <w:left w:val="none" w:sz="0" w:space="0" w:color="auto"/>
            <w:bottom w:val="none" w:sz="0" w:space="0" w:color="auto"/>
            <w:right w:val="none" w:sz="0" w:space="0" w:color="auto"/>
          </w:divBdr>
        </w:div>
        <w:div w:id="1569418663">
          <w:marLeft w:val="0"/>
          <w:marRight w:val="0"/>
          <w:marTop w:val="0"/>
          <w:marBottom w:val="0"/>
          <w:divBdr>
            <w:top w:val="none" w:sz="0" w:space="0" w:color="auto"/>
            <w:left w:val="none" w:sz="0" w:space="0" w:color="auto"/>
            <w:bottom w:val="none" w:sz="0" w:space="0" w:color="auto"/>
            <w:right w:val="none" w:sz="0" w:space="0" w:color="auto"/>
          </w:divBdr>
        </w:div>
        <w:div w:id="1162351171">
          <w:marLeft w:val="0"/>
          <w:marRight w:val="0"/>
          <w:marTop w:val="0"/>
          <w:marBottom w:val="0"/>
          <w:divBdr>
            <w:top w:val="none" w:sz="0" w:space="0" w:color="auto"/>
            <w:left w:val="none" w:sz="0" w:space="0" w:color="auto"/>
            <w:bottom w:val="none" w:sz="0" w:space="0" w:color="auto"/>
            <w:right w:val="none" w:sz="0" w:space="0" w:color="auto"/>
          </w:divBdr>
        </w:div>
        <w:div w:id="399253058">
          <w:marLeft w:val="0"/>
          <w:marRight w:val="0"/>
          <w:marTop w:val="0"/>
          <w:marBottom w:val="0"/>
          <w:divBdr>
            <w:top w:val="none" w:sz="0" w:space="0" w:color="auto"/>
            <w:left w:val="none" w:sz="0" w:space="0" w:color="auto"/>
            <w:bottom w:val="none" w:sz="0" w:space="0" w:color="auto"/>
            <w:right w:val="none" w:sz="0" w:space="0" w:color="auto"/>
          </w:divBdr>
        </w:div>
        <w:div w:id="1215771351">
          <w:marLeft w:val="0"/>
          <w:marRight w:val="0"/>
          <w:marTop w:val="0"/>
          <w:marBottom w:val="0"/>
          <w:divBdr>
            <w:top w:val="none" w:sz="0" w:space="0" w:color="auto"/>
            <w:left w:val="none" w:sz="0" w:space="0" w:color="auto"/>
            <w:bottom w:val="none" w:sz="0" w:space="0" w:color="auto"/>
            <w:right w:val="none" w:sz="0" w:space="0" w:color="auto"/>
          </w:divBdr>
        </w:div>
        <w:div w:id="126511958">
          <w:marLeft w:val="0"/>
          <w:marRight w:val="0"/>
          <w:marTop w:val="0"/>
          <w:marBottom w:val="0"/>
          <w:divBdr>
            <w:top w:val="none" w:sz="0" w:space="0" w:color="auto"/>
            <w:left w:val="none" w:sz="0" w:space="0" w:color="auto"/>
            <w:bottom w:val="none" w:sz="0" w:space="0" w:color="auto"/>
            <w:right w:val="none" w:sz="0" w:space="0" w:color="auto"/>
          </w:divBdr>
        </w:div>
        <w:div w:id="1565600134">
          <w:marLeft w:val="0"/>
          <w:marRight w:val="0"/>
          <w:marTop w:val="0"/>
          <w:marBottom w:val="0"/>
          <w:divBdr>
            <w:top w:val="none" w:sz="0" w:space="0" w:color="auto"/>
            <w:left w:val="none" w:sz="0" w:space="0" w:color="auto"/>
            <w:bottom w:val="none" w:sz="0" w:space="0" w:color="auto"/>
            <w:right w:val="none" w:sz="0" w:space="0" w:color="auto"/>
          </w:divBdr>
        </w:div>
        <w:div w:id="90471584">
          <w:marLeft w:val="0"/>
          <w:marRight w:val="0"/>
          <w:marTop w:val="0"/>
          <w:marBottom w:val="0"/>
          <w:divBdr>
            <w:top w:val="none" w:sz="0" w:space="0" w:color="auto"/>
            <w:left w:val="none" w:sz="0" w:space="0" w:color="auto"/>
            <w:bottom w:val="none" w:sz="0" w:space="0" w:color="auto"/>
            <w:right w:val="none" w:sz="0" w:space="0" w:color="auto"/>
          </w:divBdr>
        </w:div>
        <w:div w:id="756442660">
          <w:marLeft w:val="0"/>
          <w:marRight w:val="0"/>
          <w:marTop w:val="0"/>
          <w:marBottom w:val="0"/>
          <w:divBdr>
            <w:top w:val="none" w:sz="0" w:space="0" w:color="auto"/>
            <w:left w:val="none" w:sz="0" w:space="0" w:color="auto"/>
            <w:bottom w:val="none" w:sz="0" w:space="0" w:color="auto"/>
            <w:right w:val="none" w:sz="0" w:space="0" w:color="auto"/>
          </w:divBdr>
        </w:div>
        <w:div w:id="696547299">
          <w:marLeft w:val="0"/>
          <w:marRight w:val="0"/>
          <w:marTop w:val="0"/>
          <w:marBottom w:val="0"/>
          <w:divBdr>
            <w:top w:val="none" w:sz="0" w:space="0" w:color="auto"/>
            <w:left w:val="none" w:sz="0" w:space="0" w:color="auto"/>
            <w:bottom w:val="none" w:sz="0" w:space="0" w:color="auto"/>
            <w:right w:val="none" w:sz="0" w:space="0" w:color="auto"/>
          </w:divBdr>
        </w:div>
        <w:div w:id="1924220373">
          <w:marLeft w:val="0"/>
          <w:marRight w:val="0"/>
          <w:marTop w:val="0"/>
          <w:marBottom w:val="0"/>
          <w:divBdr>
            <w:top w:val="none" w:sz="0" w:space="0" w:color="auto"/>
            <w:left w:val="none" w:sz="0" w:space="0" w:color="auto"/>
            <w:bottom w:val="none" w:sz="0" w:space="0" w:color="auto"/>
            <w:right w:val="none" w:sz="0" w:space="0" w:color="auto"/>
          </w:divBdr>
        </w:div>
        <w:div w:id="181862607">
          <w:marLeft w:val="0"/>
          <w:marRight w:val="0"/>
          <w:marTop w:val="0"/>
          <w:marBottom w:val="0"/>
          <w:divBdr>
            <w:top w:val="none" w:sz="0" w:space="0" w:color="auto"/>
            <w:left w:val="none" w:sz="0" w:space="0" w:color="auto"/>
            <w:bottom w:val="none" w:sz="0" w:space="0" w:color="auto"/>
            <w:right w:val="none" w:sz="0" w:space="0" w:color="auto"/>
          </w:divBdr>
        </w:div>
        <w:div w:id="200947573">
          <w:marLeft w:val="0"/>
          <w:marRight w:val="0"/>
          <w:marTop w:val="0"/>
          <w:marBottom w:val="0"/>
          <w:divBdr>
            <w:top w:val="none" w:sz="0" w:space="0" w:color="auto"/>
            <w:left w:val="none" w:sz="0" w:space="0" w:color="auto"/>
            <w:bottom w:val="none" w:sz="0" w:space="0" w:color="auto"/>
            <w:right w:val="none" w:sz="0" w:space="0" w:color="auto"/>
          </w:divBdr>
        </w:div>
      </w:divsChild>
    </w:div>
    <w:div w:id="573786159">
      <w:bodyDiv w:val="1"/>
      <w:marLeft w:val="0"/>
      <w:marRight w:val="0"/>
      <w:marTop w:val="0"/>
      <w:marBottom w:val="0"/>
      <w:divBdr>
        <w:top w:val="none" w:sz="0" w:space="0" w:color="auto"/>
        <w:left w:val="none" w:sz="0" w:space="0" w:color="auto"/>
        <w:bottom w:val="none" w:sz="0" w:space="0" w:color="auto"/>
        <w:right w:val="none" w:sz="0" w:space="0" w:color="auto"/>
      </w:divBdr>
      <w:divsChild>
        <w:div w:id="1147286065">
          <w:marLeft w:val="0"/>
          <w:marRight w:val="0"/>
          <w:marTop w:val="0"/>
          <w:marBottom w:val="0"/>
          <w:divBdr>
            <w:top w:val="none" w:sz="0" w:space="0" w:color="auto"/>
            <w:left w:val="none" w:sz="0" w:space="0" w:color="auto"/>
            <w:bottom w:val="none" w:sz="0" w:space="0" w:color="auto"/>
            <w:right w:val="none" w:sz="0" w:space="0" w:color="auto"/>
          </w:divBdr>
          <w:divsChild>
            <w:div w:id="531959817">
              <w:marLeft w:val="0"/>
              <w:marRight w:val="0"/>
              <w:marTop w:val="0"/>
              <w:marBottom w:val="0"/>
              <w:divBdr>
                <w:top w:val="none" w:sz="0" w:space="0" w:color="auto"/>
                <w:left w:val="none" w:sz="0" w:space="0" w:color="auto"/>
                <w:bottom w:val="none" w:sz="0" w:space="0" w:color="auto"/>
                <w:right w:val="none" w:sz="0" w:space="0" w:color="auto"/>
              </w:divBdr>
            </w:div>
            <w:div w:id="1230116190">
              <w:marLeft w:val="0"/>
              <w:marRight w:val="0"/>
              <w:marTop w:val="0"/>
              <w:marBottom w:val="0"/>
              <w:divBdr>
                <w:top w:val="none" w:sz="0" w:space="0" w:color="auto"/>
                <w:left w:val="none" w:sz="0" w:space="0" w:color="auto"/>
                <w:bottom w:val="none" w:sz="0" w:space="0" w:color="auto"/>
                <w:right w:val="none" w:sz="0" w:space="0" w:color="auto"/>
              </w:divBdr>
              <w:divsChild>
                <w:div w:id="1777864987">
                  <w:marLeft w:val="0"/>
                  <w:marRight w:val="0"/>
                  <w:marTop w:val="0"/>
                  <w:marBottom w:val="0"/>
                  <w:divBdr>
                    <w:top w:val="none" w:sz="0" w:space="0" w:color="auto"/>
                    <w:left w:val="none" w:sz="0" w:space="0" w:color="auto"/>
                    <w:bottom w:val="none" w:sz="0" w:space="0" w:color="auto"/>
                    <w:right w:val="none" w:sz="0" w:space="0" w:color="auto"/>
                  </w:divBdr>
                  <w:divsChild>
                    <w:div w:id="1302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3295">
      <w:bodyDiv w:val="1"/>
      <w:marLeft w:val="0"/>
      <w:marRight w:val="0"/>
      <w:marTop w:val="0"/>
      <w:marBottom w:val="0"/>
      <w:divBdr>
        <w:top w:val="none" w:sz="0" w:space="0" w:color="auto"/>
        <w:left w:val="none" w:sz="0" w:space="0" w:color="auto"/>
        <w:bottom w:val="none" w:sz="0" w:space="0" w:color="auto"/>
        <w:right w:val="none" w:sz="0" w:space="0" w:color="auto"/>
      </w:divBdr>
    </w:div>
    <w:div w:id="653683504">
      <w:bodyDiv w:val="1"/>
      <w:marLeft w:val="0"/>
      <w:marRight w:val="0"/>
      <w:marTop w:val="0"/>
      <w:marBottom w:val="0"/>
      <w:divBdr>
        <w:top w:val="none" w:sz="0" w:space="0" w:color="auto"/>
        <w:left w:val="none" w:sz="0" w:space="0" w:color="auto"/>
        <w:bottom w:val="none" w:sz="0" w:space="0" w:color="auto"/>
        <w:right w:val="none" w:sz="0" w:space="0" w:color="auto"/>
      </w:divBdr>
    </w:div>
    <w:div w:id="674303711">
      <w:bodyDiv w:val="1"/>
      <w:marLeft w:val="0"/>
      <w:marRight w:val="0"/>
      <w:marTop w:val="0"/>
      <w:marBottom w:val="0"/>
      <w:divBdr>
        <w:top w:val="none" w:sz="0" w:space="0" w:color="auto"/>
        <w:left w:val="none" w:sz="0" w:space="0" w:color="auto"/>
        <w:bottom w:val="none" w:sz="0" w:space="0" w:color="auto"/>
        <w:right w:val="none" w:sz="0" w:space="0" w:color="auto"/>
      </w:divBdr>
      <w:divsChild>
        <w:div w:id="1032415574">
          <w:marLeft w:val="0"/>
          <w:marRight w:val="0"/>
          <w:marTop w:val="0"/>
          <w:marBottom w:val="0"/>
          <w:divBdr>
            <w:top w:val="none" w:sz="0" w:space="0" w:color="auto"/>
            <w:left w:val="none" w:sz="0" w:space="0" w:color="auto"/>
            <w:bottom w:val="none" w:sz="0" w:space="0" w:color="auto"/>
            <w:right w:val="none" w:sz="0" w:space="0" w:color="auto"/>
          </w:divBdr>
          <w:divsChild>
            <w:div w:id="713430940">
              <w:marLeft w:val="0"/>
              <w:marRight w:val="0"/>
              <w:marTop w:val="0"/>
              <w:marBottom w:val="0"/>
              <w:divBdr>
                <w:top w:val="none" w:sz="0" w:space="0" w:color="auto"/>
                <w:left w:val="none" w:sz="0" w:space="0" w:color="auto"/>
                <w:bottom w:val="none" w:sz="0" w:space="0" w:color="auto"/>
                <w:right w:val="none" w:sz="0" w:space="0" w:color="auto"/>
              </w:divBdr>
              <w:divsChild>
                <w:div w:id="783696808">
                  <w:marLeft w:val="0"/>
                  <w:marRight w:val="0"/>
                  <w:marTop w:val="0"/>
                  <w:marBottom w:val="0"/>
                  <w:divBdr>
                    <w:top w:val="none" w:sz="0" w:space="0" w:color="auto"/>
                    <w:left w:val="none" w:sz="0" w:space="0" w:color="auto"/>
                    <w:bottom w:val="none" w:sz="0" w:space="0" w:color="auto"/>
                    <w:right w:val="none" w:sz="0" w:space="0" w:color="auto"/>
                  </w:divBdr>
                  <w:divsChild>
                    <w:div w:id="17105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16786">
      <w:bodyDiv w:val="1"/>
      <w:marLeft w:val="0"/>
      <w:marRight w:val="0"/>
      <w:marTop w:val="0"/>
      <w:marBottom w:val="0"/>
      <w:divBdr>
        <w:top w:val="none" w:sz="0" w:space="0" w:color="auto"/>
        <w:left w:val="none" w:sz="0" w:space="0" w:color="auto"/>
        <w:bottom w:val="none" w:sz="0" w:space="0" w:color="auto"/>
        <w:right w:val="none" w:sz="0" w:space="0" w:color="auto"/>
      </w:divBdr>
    </w:div>
    <w:div w:id="789011496">
      <w:bodyDiv w:val="1"/>
      <w:marLeft w:val="0"/>
      <w:marRight w:val="0"/>
      <w:marTop w:val="0"/>
      <w:marBottom w:val="0"/>
      <w:divBdr>
        <w:top w:val="none" w:sz="0" w:space="0" w:color="auto"/>
        <w:left w:val="none" w:sz="0" w:space="0" w:color="auto"/>
        <w:bottom w:val="none" w:sz="0" w:space="0" w:color="auto"/>
        <w:right w:val="none" w:sz="0" w:space="0" w:color="auto"/>
      </w:divBdr>
      <w:divsChild>
        <w:div w:id="1983457437">
          <w:marLeft w:val="0"/>
          <w:marRight w:val="0"/>
          <w:marTop w:val="34"/>
          <w:marBottom w:val="34"/>
          <w:divBdr>
            <w:top w:val="none" w:sz="0" w:space="0" w:color="auto"/>
            <w:left w:val="none" w:sz="0" w:space="0" w:color="auto"/>
            <w:bottom w:val="none" w:sz="0" w:space="0" w:color="auto"/>
            <w:right w:val="none" w:sz="0" w:space="0" w:color="auto"/>
          </w:divBdr>
          <w:divsChild>
            <w:div w:id="1462072018">
              <w:marLeft w:val="0"/>
              <w:marRight w:val="0"/>
              <w:marTop w:val="0"/>
              <w:marBottom w:val="0"/>
              <w:divBdr>
                <w:top w:val="none" w:sz="0" w:space="0" w:color="auto"/>
                <w:left w:val="none" w:sz="0" w:space="0" w:color="auto"/>
                <w:bottom w:val="none" w:sz="0" w:space="0" w:color="auto"/>
                <w:right w:val="none" w:sz="0" w:space="0" w:color="auto"/>
              </w:divBdr>
            </w:div>
            <w:div w:id="3785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4316">
      <w:bodyDiv w:val="1"/>
      <w:marLeft w:val="0"/>
      <w:marRight w:val="0"/>
      <w:marTop w:val="0"/>
      <w:marBottom w:val="0"/>
      <w:divBdr>
        <w:top w:val="none" w:sz="0" w:space="0" w:color="auto"/>
        <w:left w:val="none" w:sz="0" w:space="0" w:color="auto"/>
        <w:bottom w:val="none" w:sz="0" w:space="0" w:color="auto"/>
        <w:right w:val="none" w:sz="0" w:space="0" w:color="auto"/>
      </w:divBdr>
      <w:divsChild>
        <w:div w:id="40447477">
          <w:marLeft w:val="0"/>
          <w:marRight w:val="0"/>
          <w:marTop w:val="0"/>
          <w:marBottom w:val="0"/>
          <w:divBdr>
            <w:top w:val="none" w:sz="0" w:space="0" w:color="auto"/>
            <w:left w:val="none" w:sz="0" w:space="0" w:color="auto"/>
            <w:bottom w:val="none" w:sz="0" w:space="0" w:color="auto"/>
            <w:right w:val="none" w:sz="0" w:space="0" w:color="auto"/>
          </w:divBdr>
          <w:divsChild>
            <w:div w:id="736173989">
              <w:marLeft w:val="0"/>
              <w:marRight w:val="0"/>
              <w:marTop w:val="0"/>
              <w:marBottom w:val="0"/>
              <w:divBdr>
                <w:top w:val="none" w:sz="0" w:space="0" w:color="auto"/>
                <w:left w:val="none" w:sz="0" w:space="0" w:color="auto"/>
                <w:bottom w:val="none" w:sz="0" w:space="0" w:color="auto"/>
                <w:right w:val="none" w:sz="0" w:space="0" w:color="auto"/>
              </w:divBdr>
              <w:divsChild>
                <w:div w:id="1822230256">
                  <w:marLeft w:val="0"/>
                  <w:marRight w:val="0"/>
                  <w:marTop w:val="0"/>
                  <w:marBottom w:val="0"/>
                  <w:divBdr>
                    <w:top w:val="none" w:sz="0" w:space="0" w:color="auto"/>
                    <w:left w:val="none" w:sz="0" w:space="0" w:color="auto"/>
                    <w:bottom w:val="none" w:sz="0" w:space="0" w:color="auto"/>
                    <w:right w:val="none" w:sz="0" w:space="0" w:color="auto"/>
                  </w:divBdr>
                  <w:divsChild>
                    <w:div w:id="21181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571062">
      <w:bodyDiv w:val="1"/>
      <w:marLeft w:val="0"/>
      <w:marRight w:val="0"/>
      <w:marTop w:val="0"/>
      <w:marBottom w:val="0"/>
      <w:divBdr>
        <w:top w:val="none" w:sz="0" w:space="0" w:color="auto"/>
        <w:left w:val="none" w:sz="0" w:space="0" w:color="auto"/>
        <w:bottom w:val="none" w:sz="0" w:space="0" w:color="auto"/>
        <w:right w:val="none" w:sz="0" w:space="0" w:color="auto"/>
      </w:divBdr>
      <w:divsChild>
        <w:div w:id="780144736">
          <w:marLeft w:val="0"/>
          <w:marRight w:val="0"/>
          <w:marTop w:val="0"/>
          <w:marBottom w:val="0"/>
          <w:divBdr>
            <w:top w:val="none" w:sz="0" w:space="0" w:color="auto"/>
            <w:left w:val="none" w:sz="0" w:space="0" w:color="auto"/>
            <w:bottom w:val="none" w:sz="0" w:space="0" w:color="auto"/>
            <w:right w:val="none" w:sz="0" w:space="0" w:color="auto"/>
          </w:divBdr>
        </w:div>
        <w:div w:id="1194687209">
          <w:marLeft w:val="0"/>
          <w:marRight w:val="0"/>
          <w:marTop w:val="0"/>
          <w:marBottom w:val="0"/>
          <w:divBdr>
            <w:top w:val="none" w:sz="0" w:space="0" w:color="auto"/>
            <w:left w:val="none" w:sz="0" w:space="0" w:color="auto"/>
            <w:bottom w:val="none" w:sz="0" w:space="0" w:color="auto"/>
            <w:right w:val="none" w:sz="0" w:space="0" w:color="auto"/>
          </w:divBdr>
        </w:div>
        <w:div w:id="1936401951">
          <w:marLeft w:val="0"/>
          <w:marRight w:val="0"/>
          <w:marTop w:val="0"/>
          <w:marBottom w:val="0"/>
          <w:divBdr>
            <w:top w:val="none" w:sz="0" w:space="0" w:color="auto"/>
            <w:left w:val="none" w:sz="0" w:space="0" w:color="auto"/>
            <w:bottom w:val="none" w:sz="0" w:space="0" w:color="auto"/>
            <w:right w:val="none" w:sz="0" w:space="0" w:color="auto"/>
          </w:divBdr>
        </w:div>
        <w:div w:id="1944147688">
          <w:marLeft w:val="0"/>
          <w:marRight w:val="0"/>
          <w:marTop w:val="0"/>
          <w:marBottom w:val="0"/>
          <w:divBdr>
            <w:top w:val="none" w:sz="0" w:space="0" w:color="auto"/>
            <w:left w:val="none" w:sz="0" w:space="0" w:color="auto"/>
            <w:bottom w:val="none" w:sz="0" w:space="0" w:color="auto"/>
            <w:right w:val="none" w:sz="0" w:space="0" w:color="auto"/>
          </w:divBdr>
        </w:div>
        <w:div w:id="764545096">
          <w:marLeft w:val="0"/>
          <w:marRight w:val="0"/>
          <w:marTop w:val="0"/>
          <w:marBottom w:val="0"/>
          <w:divBdr>
            <w:top w:val="none" w:sz="0" w:space="0" w:color="auto"/>
            <w:left w:val="none" w:sz="0" w:space="0" w:color="auto"/>
            <w:bottom w:val="none" w:sz="0" w:space="0" w:color="auto"/>
            <w:right w:val="none" w:sz="0" w:space="0" w:color="auto"/>
          </w:divBdr>
        </w:div>
        <w:div w:id="1196963321">
          <w:marLeft w:val="0"/>
          <w:marRight w:val="0"/>
          <w:marTop w:val="0"/>
          <w:marBottom w:val="0"/>
          <w:divBdr>
            <w:top w:val="none" w:sz="0" w:space="0" w:color="auto"/>
            <w:left w:val="none" w:sz="0" w:space="0" w:color="auto"/>
            <w:bottom w:val="none" w:sz="0" w:space="0" w:color="auto"/>
            <w:right w:val="none" w:sz="0" w:space="0" w:color="auto"/>
          </w:divBdr>
        </w:div>
        <w:div w:id="839539608">
          <w:marLeft w:val="0"/>
          <w:marRight w:val="0"/>
          <w:marTop w:val="0"/>
          <w:marBottom w:val="0"/>
          <w:divBdr>
            <w:top w:val="none" w:sz="0" w:space="0" w:color="auto"/>
            <w:left w:val="none" w:sz="0" w:space="0" w:color="auto"/>
            <w:bottom w:val="none" w:sz="0" w:space="0" w:color="auto"/>
            <w:right w:val="none" w:sz="0" w:space="0" w:color="auto"/>
          </w:divBdr>
        </w:div>
        <w:div w:id="121460024">
          <w:marLeft w:val="0"/>
          <w:marRight w:val="0"/>
          <w:marTop w:val="0"/>
          <w:marBottom w:val="0"/>
          <w:divBdr>
            <w:top w:val="none" w:sz="0" w:space="0" w:color="auto"/>
            <w:left w:val="none" w:sz="0" w:space="0" w:color="auto"/>
            <w:bottom w:val="none" w:sz="0" w:space="0" w:color="auto"/>
            <w:right w:val="none" w:sz="0" w:space="0" w:color="auto"/>
          </w:divBdr>
        </w:div>
        <w:div w:id="1533496715">
          <w:marLeft w:val="0"/>
          <w:marRight w:val="0"/>
          <w:marTop w:val="0"/>
          <w:marBottom w:val="0"/>
          <w:divBdr>
            <w:top w:val="none" w:sz="0" w:space="0" w:color="auto"/>
            <w:left w:val="none" w:sz="0" w:space="0" w:color="auto"/>
            <w:bottom w:val="none" w:sz="0" w:space="0" w:color="auto"/>
            <w:right w:val="none" w:sz="0" w:space="0" w:color="auto"/>
          </w:divBdr>
        </w:div>
        <w:div w:id="2134904268">
          <w:marLeft w:val="0"/>
          <w:marRight w:val="0"/>
          <w:marTop w:val="0"/>
          <w:marBottom w:val="0"/>
          <w:divBdr>
            <w:top w:val="none" w:sz="0" w:space="0" w:color="auto"/>
            <w:left w:val="none" w:sz="0" w:space="0" w:color="auto"/>
            <w:bottom w:val="none" w:sz="0" w:space="0" w:color="auto"/>
            <w:right w:val="none" w:sz="0" w:space="0" w:color="auto"/>
          </w:divBdr>
        </w:div>
        <w:div w:id="1608544421">
          <w:marLeft w:val="0"/>
          <w:marRight w:val="0"/>
          <w:marTop w:val="0"/>
          <w:marBottom w:val="0"/>
          <w:divBdr>
            <w:top w:val="none" w:sz="0" w:space="0" w:color="auto"/>
            <w:left w:val="none" w:sz="0" w:space="0" w:color="auto"/>
            <w:bottom w:val="none" w:sz="0" w:space="0" w:color="auto"/>
            <w:right w:val="none" w:sz="0" w:space="0" w:color="auto"/>
          </w:divBdr>
        </w:div>
        <w:div w:id="601838914">
          <w:marLeft w:val="0"/>
          <w:marRight w:val="0"/>
          <w:marTop w:val="0"/>
          <w:marBottom w:val="0"/>
          <w:divBdr>
            <w:top w:val="none" w:sz="0" w:space="0" w:color="auto"/>
            <w:left w:val="none" w:sz="0" w:space="0" w:color="auto"/>
            <w:bottom w:val="none" w:sz="0" w:space="0" w:color="auto"/>
            <w:right w:val="none" w:sz="0" w:space="0" w:color="auto"/>
          </w:divBdr>
        </w:div>
        <w:div w:id="1792243615">
          <w:marLeft w:val="0"/>
          <w:marRight w:val="0"/>
          <w:marTop w:val="0"/>
          <w:marBottom w:val="0"/>
          <w:divBdr>
            <w:top w:val="none" w:sz="0" w:space="0" w:color="auto"/>
            <w:left w:val="none" w:sz="0" w:space="0" w:color="auto"/>
            <w:bottom w:val="none" w:sz="0" w:space="0" w:color="auto"/>
            <w:right w:val="none" w:sz="0" w:space="0" w:color="auto"/>
          </w:divBdr>
        </w:div>
        <w:div w:id="792216915">
          <w:marLeft w:val="0"/>
          <w:marRight w:val="0"/>
          <w:marTop w:val="0"/>
          <w:marBottom w:val="0"/>
          <w:divBdr>
            <w:top w:val="none" w:sz="0" w:space="0" w:color="auto"/>
            <w:left w:val="none" w:sz="0" w:space="0" w:color="auto"/>
            <w:bottom w:val="none" w:sz="0" w:space="0" w:color="auto"/>
            <w:right w:val="none" w:sz="0" w:space="0" w:color="auto"/>
          </w:divBdr>
        </w:div>
        <w:div w:id="501629525">
          <w:marLeft w:val="0"/>
          <w:marRight w:val="0"/>
          <w:marTop w:val="0"/>
          <w:marBottom w:val="0"/>
          <w:divBdr>
            <w:top w:val="none" w:sz="0" w:space="0" w:color="auto"/>
            <w:left w:val="none" w:sz="0" w:space="0" w:color="auto"/>
            <w:bottom w:val="none" w:sz="0" w:space="0" w:color="auto"/>
            <w:right w:val="none" w:sz="0" w:space="0" w:color="auto"/>
          </w:divBdr>
        </w:div>
        <w:div w:id="1640646872">
          <w:marLeft w:val="0"/>
          <w:marRight w:val="0"/>
          <w:marTop w:val="0"/>
          <w:marBottom w:val="0"/>
          <w:divBdr>
            <w:top w:val="none" w:sz="0" w:space="0" w:color="auto"/>
            <w:left w:val="none" w:sz="0" w:space="0" w:color="auto"/>
            <w:bottom w:val="none" w:sz="0" w:space="0" w:color="auto"/>
            <w:right w:val="none" w:sz="0" w:space="0" w:color="auto"/>
          </w:divBdr>
        </w:div>
        <w:div w:id="880097397">
          <w:marLeft w:val="0"/>
          <w:marRight w:val="0"/>
          <w:marTop w:val="0"/>
          <w:marBottom w:val="0"/>
          <w:divBdr>
            <w:top w:val="none" w:sz="0" w:space="0" w:color="auto"/>
            <w:left w:val="none" w:sz="0" w:space="0" w:color="auto"/>
            <w:bottom w:val="none" w:sz="0" w:space="0" w:color="auto"/>
            <w:right w:val="none" w:sz="0" w:space="0" w:color="auto"/>
          </w:divBdr>
        </w:div>
        <w:div w:id="2016492519">
          <w:marLeft w:val="0"/>
          <w:marRight w:val="0"/>
          <w:marTop w:val="0"/>
          <w:marBottom w:val="0"/>
          <w:divBdr>
            <w:top w:val="none" w:sz="0" w:space="0" w:color="auto"/>
            <w:left w:val="none" w:sz="0" w:space="0" w:color="auto"/>
            <w:bottom w:val="none" w:sz="0" w:space="0" w:color="auto"/>
            <w:right w:val="none" w:sz="0" w:space="0" w:color="auto"/>
          </w:divBdr>
        </w:div>
        <w:div w:id="904142934">
          <w:marLeft w:val="0"/>
          <w:marRight w:val="0"/>
          <w:marTop w:val="0"/>
          <w:marBottom w:val="0"/>
          <w:divBdr>
            <w:top w:val="none" w:sz="0" w:space="0" w:color="auto"/>
            <w:left w:val="none" w:sz="0" w:space="0" w:color="auto"/>
            <w:bottom w:val="none" w:sz="0" w:space="0" w:color="auto"/>
            <w:right w:val="none" w:sz="0" w:space="0" w:color="auto"/>
          </w:divBdr>
        </w:div>
        <w:div w:id="199511714">
          <w:marLeft w:val="0"/>
          <w:marRight w:val="0"/>
          <w:marTop w:val="0"/>
          <w:marBottom w:val="0"/>
          <w:divBdr>
            <w:top w:val="none" w:sz="0" w:space="0" w:color="auto"/>
            <w:left w:val="none" w:sz="0" w:space="0" w:color="auto"/>
            <w:bottom w:val="none" w:sz="0" w:space="0" w:color="auto"/>
            <w:right w:val="none" w:sz="0" w:space="0" w:color="auto"/>
          </w:divBdr>
        </w:div>
        <w:div w:id="1316252831">
          <w:marLeft w:val="0"/>
          <w:marRight w:val="0"/>
          <w:marTop w:val="0"/>
          <w:marBottom w:val="0"/>
          <w:divBdr>
            <w:top w:val="none" w:sz="0" w:space="0" w:color="auto"/>
            <w:left w:val="none" w:sz="0" w:space="0" w:color="auto"/>
            <w:bottom w:val="none" w:sz="0" w:space="0" w:color="auto"/>
            <w:right w:val="none" w:sz="0" w:space="0" w:color="auto"/>
          </w:divBdr>
        </w:div>
        <w:div w:id="909920721">
          <w:marLeft w:val="0"/>
          <w:marRight w:val="0"/>
          <w:marTop w:val="0"/>
          <w:marBottom w:val="0"/>
          <w:divBdr>
            <w:top w:val="none" w:sz="0" w:space="0" w:color="auto"/>
            <w:left w:val="none" w:sz="0" w:space="0" w:color="auto"/>
            <w:bottom w:val="none" w:sz="0" w:space="0" w:color="auto"/>
            <w:right w:val="none" w:sz="0" w:space="0" w:color="auto"/>
          </w:divBdr>
        </w:div>
        <w:div w:id="1718772440">
          <w:marLeft w:val="0"/>
          <w:marRight w:val="0"/>
          <w:marTop w:val="0"/>
          <w:marBottom w:val="0"/>
          <w:divBdr>
            <w:top w:val="none" w:sz="0" w:space="0" w:color="auto"/>
            <w:left w:val="none" w:sz="0" w:space="0" w:color="auto"/>
            <w:bottom w:val="none" w:sz="0" w:space="0" w:color="auto"/>
            <w:right w:val="none" w:sz="0" w:space="0" w:color="auto"/>
          </w:divBdr>
        </w:div>
        <w:div w:id="320619772">
          <w:marLeft w:val="0"/>
          <w:marRight w:val="0"/>
          <w:marTop w:val="0"/>
          <w:marBottom w:val="0"/>
          <w:divBdr>
            <w:top w:val="none" w:sz="0" w:space="0" w:color="auto"/>
            <w:left w:val="none" w:sz="0" w:space="0" w:color="auto"/>
            <w:bottom w:val="none" w:sz="0" w:space="0" w:color="auto"/>
            <w:right w:val="none" w:sz="0" w:space="0" w:color="auto"/>
          </w:divBdr>
        </w:div>
        <w:div w:id="127478554">
          <w:marLeft w:val="0"/>
          <w:marRight w:val="0"/>
          <w:marTop w:val="0"/>
          <w:marBottom w:val="0"/>
          <w:divBdr>
            <w:top w:val="none" w:sz="0" w:space="0" w:color="auto"/>
            <w:left w:val="none" w:sz="0" w:space="0" w:color="auto"/>
            <w:bottom w:val="none" w:sz="0" w:space="0" w:color="auto"/>
            <w:right w:val="none" w:sz="0" w:space="0" w:color="auto"/>
          </w:divBdr>
        </w:div>
        <w:div w:id="743839556">
          <w:marLeft w:val="0"/>
          <w:marRight w:val="0"/>
          <w:marTop w:val="0"/>
          <w:marBottom w:val="0"/>
          <w:divBdr>
            <w:top w:val="none" w:sz="0" w:space="0" w:color="auto"/>
            <w:left w:val="none" w:sz="0" w:space="0" w:color="auto"/>
            <w:bottom w:val="none" w:sz="0" w:space="0" w:color="auto"/>
            <w:right w:val="none" w:sz="0" w:space="0" w:color="auto"/>
          </w:divBdr>
        </w:div>
        <w:div w:id="706609785">
          <w:marLeft w:val="0"/>
          <w:marRight w:val="0"/>
          <w:marTop w:val="0"/>
          <w:marBottom w:val="0"/>
          <w:divBdr>
            <w:top w:val="none" w:sz="0" w:space="0" w:color="auto"/>
            <w:left w:val="none" w:sz="0" w:space="0" w:color="auto"/>
            <w:bottom w:val="none" w:sz="0" w:space="0" w:color="auto"/>
            <w:right w:val="none" w:sz="0" w:space="0" w:color="auto"/>
          </w:divBdr>
        </w:div>
        <w:div w:id="1785925374">
          <w:marLeft w:val="0"/>
          <w:marRight w:val="0"/>
          <w:marTop w:val="0"/>
          <w:marBottom w:val="0"/>
          <w:divBdr>
            <w:top w:val="none" w:sz="0" w:space="0" w:color="auto"/>
            <w:left w:val="none" w:sz="0" w:space="0" w:color="auto"/>
            <w:bottom w:val="none" w:sz="0" w:space="0" w:color="auto"/>
            <w:right w:val="none" w:sz="0" w:space="0" w:color="auto"/>
          </w:divBdr>
        </w:div>
        <w:div w:id="1016078933">
          <w:marLeft w:val="0"/>
          <w:marRight w:val="0"/>
          <w:marTop w:val="0"/>
          <w:marBottom w:val="0"/>
          <w:divBdr>
            <w:top w:val="none" w:sz="0" w:space="0" w:color="auto"/>
            <w:left w:val="none" w:sz="0" w:space="0" w:color="auto"/>
            <w:bottom w:val="none" w:sz="0" w:space="0" w:color="auto"/>
            <w:right w:val="none" w:sz="0" w:space="0" w:color="auto"/>
          </w:divBdr>
        </w:div>
        <w:div w:id="739792133">
          <w:marLeft w:val="0"/>
          <w:marRight w:val="0"/>
          <w:marTop w:val="0"/>
          <w:marBottom w:val="0"/>
          <w:divBdr>
            <w:top w:val="none" w:sz="0" w:space="0" w:color="auto"/>
            <w:left w:val="none" w:sz="0" w:space="0" w:color="auto"/>
            <w:bottom w:val="none" w:sz="0" w:space="0" w:color="auto"/>
            <w:right w:val="none" w:sz="0" w:space="0" w:color="auto"/>
          </w:divBdr>
        </w:div>
        <w:div w:id="1212812607">
          <w:marLeft w:val="0"/>
          <w:marRight w:val="0"/>
          <w:marTop w:val="0"/>
          <w:marBottom w:val="0"/>
          <w:divBdr>
            <w:top w:val="none" w:sz="0" w:space="0" w:color="auto"/>
            <w:left w:val="none" w:sz="0" w:space="0" w:color="auto"/>
            <w:bottom w:val="none" w:sz="0" w:space="0" w:color="auto"/>
            <w:right w:val="none" w:sz="0" w:space="0" w:color="auto"/>
          </w:divBdr>
        </w:div>
        <w:div w:id="602611323">
          <w:marLeft w:val="0"/>
          <w:marRight w:val="0"/>
          <w:marTop w:val="0"/>
          <w:marBottom w:val="0"/>
          <w:divBdr>
            <w:top w:val="none" w:sz="0" w:space="0" w:color="auto"/>
            <w:left w:val="none" w:sz="0" w:space="0" w:color="auto"/>
            <w:bottom w:val="none" w:sz="0" w:space="0" w:color="auto"/>
            <w:right w:val="none" w:sz="0" w:space="0" w:color="auto"/>
          </w:divBdr>
        </w:div>
        <w:div w:id="1716152590">
          <w:marLeft w:val="0"/>
          <w:marRight w:val="0"/>
          <w:marTop w:val="0"/>
          <w:marBottom w:val="0"/>
          <w:divBdr>
            <w:top w:val="none" w:sz="0" w:space="0" w:color="auto"/>
            <w:left w:val="none" w:sz="0" w:space="0" w:color="auto"/>
            <w:bottom w:val="none" w:sz="0" w:space="0" w:color="auto"/>
            <w:right w:val="none" w:sz="0" w:space="0" w:color="auto"/>
          </w:divBdr>
        </w:div>
        <w:div w:id="1636641636">
          <w:marLeft w:val="0"/>
          <w:marRight w:val="0"/>
          <w:marTop w:val="0"/>
          <w:marBottom w:val="0"/>
          <w:divBdr>
            <w:top w:val="none" w:sz="0" w:space="0" w:color="auto"/>
            <w:left w:val="none" w:sz="0" w:space="0" w:color="auto"/>
            <w:bottom w:val="none" w:sz="0" w:space="0" w:color="auto"/>
            <w:right w:val="none" w:sz="0" w:space="0" w:color="auto"/>
          </w:divBdr>
        </w:div>
        <w:div w:id="1114443307">
          <w:marLeft w:val="0"/>
          <w:marRight w:val="0"/>
          <w:marTop w:val="0"/>
          <w:marBottom w:val="0"/>
          <w:divBdr>
            <w:top w:val="none" w:sz="0" w:space="0" w:color="auto"/>
            <w:left w:val="none" w:sz="0" w:space="0" w:color="auto"/>
            <w:bottom w:val="none" w:sz="0" w:space="0" w:color="auto"/>
            <w:right w:val="none" w:sz="0" w:space="0" w:color="auto"/>
          </w:divBdr>
        </w:div>
        <w:div w:id="289022284">
          <w:marLeft w:val="0"/>
          <w:marRight w:val="0"/>
          <w:marTop w:val="0"/>
          <w:marBottom w:val="0"/>
          <w:divBdr>
            <w:top w:val="none" w:sz="0" w:space="0" w:color="auto"/>
            <w:left w:val="none" w:sz="0" w:space="0" w:color="auto"/>
            <w:bottom w:val="none" w:sz="0" w:space="0" w:color="auto"/>
            <w:right w:val="none" w:sz="0" w:space="0" w:color="auto"/>
          </w:divBdr>
        </w:div>
        <w:div w:id="1656572603">
          <w:marLeft w:val="0"/>
          <w:marRight w:val="0"/>
          <w:marTop w:val="0"/>
          <w:marBottom w:val="0"/>
          <w:divBdr>
            <w:top w:val="none" w:sz="0" w:space="0" w:color="auto"/>
            <w:left w:val="none" w:sz="0" w:space="0" w:color="auto"/>
            <w:bottom w:val="none" w:sz="0" w:space="0" w:color="auto"/>
            <w:right w:val="none" w:sz="0" w:space="0" w:color="auto"/>
          </w:divBdr>
        </w:div>
        <w:div w:id="338195252">
          <w:marLeft w:val="0"/>
          <w:marRight w:val="0"/>
          <w:marTop w:val="0"/>
          <w:marBottom w:val="0"/>
          <w:divBdr>
            <w:top w:val="none" w:sz="0" w:space="0" w:color="auto"/>
            <w:left w:val="none" w:sz="0" w:space="0" w:color="auto"/>
            <w:bottom w:val="none" w:sz="0" w:space="0" w:color="auto"/>
            <w:right w:val="none" w:sz="0" w:space="0" w:color="auto"/>
          </w:divBdr>
        </w:div>
        <w:div w:id="699088123">
          <w:marLeft w:val="0"/>
          <w:marRight w:val="0"/>
          <w:marTop w:val="0"/>
          <w:marBottom w:val="0"/>
          <w:divBdr>
            <w:top w:val="none" w:sz="0" w:space="0" w:color="auto"/>
            <w:left w:val="none" w:sz="0" w:space="0" w:color="auto"/>
            <w:bottom w:val="none" w:sz="0" w:space="0" w:color="auto"/>
            <w:right w:val="none" w:sz="0" w:space="0" w:color="auto"/>
          </w:divBdr>
        </w:div>
        <w:div w:id="200410691">
          <w:marLeft w:val="0"/>
          <w:marRight w:val="0"/>
          <w:marTop w:val="0"/>
          <w:marBottom w:val="0"/>
          <w:divBdr>
            <w:top w:val="none" w:sz="0" w:space="0" w:color="auto"/>
            <w:left w:val="none" w:sz="0" w:space="0" w:color="auto"/>
            <w:bottom w:val="none" w:sz="0" w:space="0" w:color="auto"/>
            <w:right w:val="none" w:sz="0" w:space="0" w:color="auto"/>
          </w:divBdr>
        </w:div>
        <w:div w:id="955065507">
          <w:marLeft w:val="0"/>
          <w:marRight w:val="0"/>
          <w:marTop w:val="0"/>
          <w:marBottom w:val="0"/>
          <w:divBdr>
            <w:top w:val="none" w:sz="0" w:space="0" w:color="auto"/>
            <w:left w:val="none" w:sz="0" w:space="0" w:color="auto"/>
            <w:bottom w:val="none" w:sz="0" w:space="0" w:color="auto"/>
            <w:right w:val="none" w:sz="0" w:space="0" w:color="auto"/>
          </w:divBdr>
        </w:div>
        <w:div w:id="190803912">
          <w:marLeft w:val="0"/>
          <w:marRight w:val="0"/>
          <w:marTop w:val="0"/>
          <w:marBottom w:val="0"/>
          <w:divBdr>
            <w:top w:val="none" w:sz="0" w:space="0" w:color="auto"/>
            <w:left w:val="none" w:sz="0" w:space="0" w:color="auto"/>
            <w:bottom w:val="none" w:sz="0" w:space="0" w:color="auto"/>
            <w:right w:val="none" w:sz="0" w:space="0" w:color="auto"/>
          </w:divBdr>
        </w:div>
        <w:div w:id="2066030348">
          <w:marLeft w:val="0"/>
          <w:marRight w:val="0"/>
          <w:marTop w:val="0"/>
          <w:marBottom w:val="0"/>
          <w:divBdr>
            <w:top w:val="none" w:sz="0" w:space="0" w:color="auto"/>
            <w:left w:val="none" w:sz="0" w:space="0" w:color="auto"/>
            <w:bottom w:val="none" w:sz="0" w:space="0" w:color="auto"/>
            <w:right w:val="none" w:sz="0" w:space="0" w:color="auto"/>
          </w:divBdr>
        </w:div>
        <w:div w:id="564218969">
          <w:marLeft w:val="0"/>
          <w:marRight w:val="0"/>
          <w:marTop w:val="0"/>
          <w:marBottom w:val="0"/>
          <w:divBdr>
            <w:top w:val="none" w:sz="0" w:space="0" w:color="auto"/>
            <w:left w:val="none" w:sz="0" w:space="0" w:color="auto"/>
            <w:bottom w:val="none" w:sz="0" w:space="0" w:color="auto"/>
            <w:right w:val="none" w:sz="0" w:space="0" w:color="auto"/>
          </w:divBdr>
        </w:div>
        <w:div w:id="391273809">
          <w:marLeft w:val="0"/>
          <w:marRight w:val="0"/>
          <w:marTop w:val="0"/>
          <w:marBottom w:val="0"/>
          <w:divBdr>
            <w:top w:val="none" w:sz="0" w:space="0" w:color="auto"/>
            <w:left w:val="none" w:sz="0" w:space="0" w:color="auto"/>
            <w:bottom w:val="none" w:sz="0" w:space="0" w:color="auto"/>
            <w:right w:val="none" w:sz="0" w:space="0" w:color="auto"/>
          </w:divBdr>
        </w:div>
        <w:div w:id="514466915">
          <w:marLeft w:val="0"/>
          <w:marRight w:val="0"/>
          <w:marTop w:val="0"/>
          <w:marBottom w:val="0"/>
          <w:divBdr>
            <w:top w:val="none" w:sz="0" w:space="0" w:color="auto"/>
            <w:left w:val="none" w:sz="0" w:space="0" w:color="auto"/>
            <w:bottom w:val="none" w:sz="0" w:space="0" w:color="auto"/>
            <w:right w:val="none" w:sz="0" w:space="0" w:color="auto"/>
          </w:divBdr>
        </w:div>
        <w:div w:id="234778972">
          <w:marLeft w:val="0"/>
          <w:marRight w:val="0"/>
          <w:marTop w:val="0"/>
          <w:marBottom w:val="0"/>
          <w:divBdr>
            <w:top w:val="none" w:sz="0" w:space="0" w:color="auto"/>
            <w:left w:val="none" w:sz="0" w:space="0" w:color="auto"/>
            <w:bottom w:val="none" w:sz="0" w:space="0" w:color="auto"/>
            <w:right w:val="none" w:sz="0" w:space="0" w:color="auto"/>
          </w:divBdr>
        </w:div>
        <w:div w:id="38866654">
          <w:marLeft w:val="0"/>
          <w:marRight w:val="0"/>
          <w:marTop w:val="0"/>
          <w:marBottom w:val="0"/>
          <w:divBdr>
            <w:top w:val="none" w:sz="0" w:space="0" w:color="auto"/>
            <w:left w:val="none" w:sz="0" w:space="0" w:color="auto"/>
            <w:bottom w:val="none" w:sz="0" w:space="0" w:color="auto"/>
            <w:right w:val="none" w:sz="0" w:space="0" w:color="auto"/>
          </w:divBdr>
        </w:div>
        <w:div w:id="1726248295">
          <w:marLeft w:val="0"/>
          <w:marRight w:val="0"/>
          <w:marTop w:val="0"/>
          <w:marBottom w:val="0"/>
          <w:divBdr>
            <w:top w:val="none" w:sz="0" w:space="0" w:color="auto"/>
            <w:left w:val="none" w:sz="0" w:space="0" w:color="auto"/>
            <w:bottom w:val="none" w:sz="0" w:space="0" w:color="auto"/>
            <w:right w:val="none" w:sz="0" w:space="0" w:color="auto"/>
          </w:divBdr>
        </w:div>
        <w:div w:id="236014534">
          <w:marLeft w:val="0"/>
          <w:marRight w:val="0"/>
          <w:marTop w:val="0"/>
          <w:marBottom w:val="0"/>
          <w:divBdr>
            <w:top w:val="none" w:sz="0" w:space="0" w:color="auto"/>
            <w:left w:val="none" w:sz="0" w:space="0" w:color="auto"/>
            <w:bottom w:val="none" w:sz="0" w:space="0" w:color="auto"/>
            <w:right w:val="none" w:sz="0" w:space="0" w:color="auto"/>
          </w:divBdr>
        </w:div>
        <w:div w:id="2036539993">
          <w:marLeft w:val="0"/>
          <w:marRight w:val="0"/>
          <w:marTop w:val="0"/>
          <w:marBottom w:val="0"/>
          <w:divBdr>
            <w:top w:val="none" w:sz="0" w:space="0" w:color="auto"/>
            <w:left w:val="none" w:sz="0" w:space="0" w:color="auto"/>
            <w:bottom w:val="none" w:sz="0" w:space="0" w:color="auto"/>
            <w:right w:val="none" w:sz="0" w:space="0" w:color="auto"/>
          </w:divBdr>
        </w:div>
        <w:div w:id="1349869357">
          <w:marLeft w:val="0"/>
          <w:marRight w:val="0"/>
          <w:marTop w:val="0"/>
          <w:marBottom w:val="0"/>
          <w:divBdr>
            <w:top w:val="none" w:sz="0" w:space="0" w:color="auto"/>
            <w:left w:val="none" w:sz="0" w:space="0" w:color="auto"/>
            <w:bottom w:val="none" w:sz="0" w:space="0" w:color="auto"/>
            <w:right w:val="none" w:sz="0" w:space="0" w:color="auto"/>
          </w:divBdr>
        </w:div>
        <w:div w:id="1442266286">
          <w:marLeft w:val="0"/>
          <w:marRight w:val="0"/>
          <w:marTop w:val="0"/>
          <w:marBottom w:val="0"/>
          <w:divBdr>
            <w:top w:val="none" w:sz="0" w:space="0" w:color="auto"/>
            <w:left w:val="none" w:sz="0" w:space="0" w:color="auto"/>
            <w:bottom w:val="none" w:sz="0" w:space="0" w:color="auto"/>
            <w:right w:val="none" w:sz="0" w:space="0" w:color="auto"/>
          </w:divBdr>
        </w:div>
        <w:div w:id="1785541432">
          <w:marLeft w:val="0"/>
          <w:marRight w:val="0"/>
          <w:marTop w:val="0"/>
          <w:marBottom w:val="0"/>
          <w:divBdr>
            <w:top w:val="none" w:sz="0" w:space="0" w:color="auto"/>
            <w:left w:val="none" w:sz="0" w:space="0" w:color="auto"/>
            <w:bottom w:val="none" w:sz="0" w:space="0" w:color="auto"/>
            <w:right w:val="none" w:sz="0" w:space="0" w:color="auto"/>
          </w:divBdr>
        </w:div>
        <w:div w:id="2024823793">
          <w:marLeft w:val="0"/>
          <w:marRight w:val="0"/>
          <w:marTop w:val="0"/>
          <w:marBottom w:val="0"/>
          <w:divBdr>
            <w:top w:val="none" w:sz="0" w:space="0" w:color="auto"/>
            <w:left w:val="none" w:sz="0" w:space="0" w:color="auto"/>
            <w:bottom w:val="none" w:sz="0" w:space="0" w:color="auto"/>
            <w:right w:val="none" w:sz="0" w:space="0" w:color="auto"/>
          </w:divBdr>
        </w:div>
        <w:div w:id="1425303367">
          <w:marLeft w:val="0"/>
          <w:marRight w:val="0"/>
          <w:marTop w:val="0"/>
          <w:marBottom w:val="0"/>
          <w:divBdr>
            <w:top w:val="none" w:sz="0" w:space="0" w:color="auto"/>
            <w:left w:val="none" w:sz="0" w:space="0" w:color="auto"/>
            <w:bottom w:val="none" w:sz="0" w:space="0" w:color="auto"/>
            <w:right w:val="none" w:sz="0" w:space="0" w:color="auto"/>
          </w:divBdr>
        </w:div>
        <w:div w:id="1126702608">
          <w:marLeft w:val="0"/>
          <w:marRight w:val="0"/>
          <w:marTop w:val="0"/>
          <w:marBottom w:val="0"/>
          <w:divBdr>
            <w:top w:val="none" w:sz="0" w:space="0" w:color="auto"/>
            <w:left w:val="none" w:sz="0" w:space="0" w:color="auto"/>
            <w:bottom w:val="none" w:sz="0" w:space="0" w:color="auto"/>
            <w:right w:val="none" w:sz="0" w:space="0" w:color="auto"/>
          </w:divBdr>
        </w:div>
        <w:div w:id="1640112718">
          <w:marLeft w:val="0"/>
          <w:marRight w:val="0"/>
          <w:marTop w:val="0"/>
          <w:marBottom w:val="0"/>
          <w:divBdr>
            <w:top w:val="none" w:sz="0" w:space="0" w:color="auto"/>
            <w:left w:val="none" w:sz="0" w:space="0" w:color="auto"/>
            <w:bottom w:val="none" w:sz="0" w:space="0" w:color="auto"/>
            <w:right w:val="none" w:sz="0" w:space="0" w:color="auto"/>
          </w:divBdr>
        </w:div>
        <w:div w:id="292171850">
          <w:marLeft w:val="0"/>
          <w:marRight w:val="0"/>
          <w:marTop w:val="0"/>
          <w:marBottom w:val="0"/>
          <w:divBdr>
            <w:top w:val="none" w:sz="0" w:space="0" w:color="auto"/>
            <w:left w:val="none" w:sz="0" w:space="0" w:color="auto"/>
            <w:bottom w:val="none" w:sz="0" w:space="0" w:color="auto"/>
            <w:right w:val="none" w:sz="0" w:space="0" w:color="auto"/>
          </w:divBdr>
        </w:div>
        <w:div w:id="324171372">
          <w:marLeft w:val="0"/>
          <w:marRight w:val="0"/>
          <w:marTop w:val="0"/>
          <w:marBottom w:val="0"/>
          <w:divBdr>
            <w:top w:val="none" w:sz="0" w:space="0" w:color="auto"/>
            <w:left w:val="none" w:sz="0" w:space="0" w:color="auto"/>
            <w:bottom w:val="none" w:sz="0" w:space="0" w:color="auto"/>
            <w:right w:val="none" w:sz="0" w:space="0" w:color="auto"/>
          </w:divBdr>
        </w:div>
        <w:div w:id="1091241546">
          <w:marLeft w:val="0"/>
          <w:marRight w:val="0"/>
          <w:marTop w:val="0"/>
          <w:marBottom w:val="0"/>
          <w:divBdr>
            <w:top w:val="none" w:sz="0" w:space="0" w:color="auto"/>
            <w:left w:val="none" w:sz="0" w:space="0" w:color="auto"/>
            <w:bottom w:val="none" w:sz="0" w:space="0" w:color="auto"/>
            <w:right w:val="none" w:sz="0" w:space="0" w:color="auto"/>
          </w:divBdr>
        </w:div>
        <w:div w:id="1091005658">
          <w:marLeft w:val="0"/>
          <w:marRight w:val="0"/>
          <w:marTop w:val="0"/>
          <w:marBottom w:val="0"/>
          <w:divBdr>
            <w:top w:val="none" w:sz="0" w:space="0" w:color="auto"/>
            <w:left w:val="none" w:sz="0" w:space="0" w:color="auto"/>
            <w:bottom w:val="none" w:sz="0" w:space="0" w:color="auto"/>
            <w:right w:val="none" w:sz="0" w:space="0" w:color="auto"/>
          </w:divBdr>
        </w:div>
        <w:div w:id="521289456">
          <w:marLeft w:val="0"/>
          <w:marRight w:val="0"/>
          <w:marTop w:val="0"/>
          <w:marBottom w:val="0"/>
          <w:divBdr>
            <w:top w:val="none" w:sz="0" w:space="0" w:color="auto"/>
            <w:left w:val="none" w:sz="0" w:space="0" w:color="auto"/>
            <w:bottom w:val="none" w:sz="0" w:space="0" w:color="auto"/>
            <w:right w:val="none" w:sz="0" w:space="0" w:color="auto"/>
          </w:divBdr>
        </w:div>
        <w:div w:id="428358766">
          <w:marLeft w:val="0"/>
          <w:marRight w:val="0"/>
          <w:marTop w:val="0"/>
          <w:marBottom w:val="0"/>
          <w:divBdr>
            <w:top w:val="none" w:sz="0" w:space="0" w:color="auto"/>
            <w:left w:val="none" w:sz="0" w:space="0" w:color="auto"/>
            <w:bottom w:val="none" w:sz="0" w:space="0" w:color="auto"/>
            <w:right w:val="none" w:sz="0" w:space="0" w:color="auto"/>
          </w:divBdr>
        </w:div>
        <w:div w:id="1339384257">
          <w:marLeft w:val="0"/>
          <w:marRight w:val="0"/>
          <w:marTop w:val="0"/>
          <w:marBottom w:val="0"/>
          <w:divBdr>
            <w:top w:val="none" w:sz="0" w:space="0" w:color="auto"/>
            <w:left w:val="none" w:sz="0" w:space="0" w:color="auto"/>
            <w:bottom w:val="none" w:sz="0" w:space="0" w:color="auto"/>
            <w:right w:val="none" w:sz="0" w:space="0" w:color="auto"/>
          </w:divBdr>
        </w:div>
        <w:div w:id="1343504992">
          <w:marLeft w:val="0"/>
          <w:marRight w:val="0"/>
          <w:marTop w:val="0"/>
          <w:marBottom w:val="0"/>
          <w:divBdr>
            <w:top w:val="none" w:sz="0" w:space="0" w:color="auto"/>
            <w:left w:val="none" w:sz="0" w:space="0" w:color="auto"/>
            <w:bottom w:val="none" w:sz="0" w:space="0" w:color="auto"/>
            <w:right w:val="none" w:sz="0" w:space="0" w:color="auto"/>
          </w:divBdr>
        </w:div>
        <w:div w:id="1928148611">
          <w:marLeft w:val="0"/>
          <w:marRight w:val="0"/>
          <w:marTop w:val="0"/>
          <w:marBottom w:val="0"/>
          <w:divBdr>
            <w:top w:val="none" w:sz="0" w:space="0" w:color="auto"/>
            <w:left w:val="none" w:sz="0" w:space="0" w:color="auto"/>
            <w:bottom w:val="none" w:sz="0" w:space="0" w:color="auto"/>
            <w:right w:val="none" w:sz="0" w:space="0" w:color="auto"/>
          </w:divBdr>
        </w:div>
        <w:div w:id="1662781259">
          <w:marLeft w:val="0"/>
          <w:marRight w:val="0"/>
          <w:marTop w:val="0"/>
          <w:marBottom w:val="0"/>
          <w:divBdr>
            <w:top w:val="none" w:sz="0" w:space="0" w:color="auto"/>
            <w:left w:val="none" w:sz="0" w:space="0" w:color="auto"/>
            <w:bottom w:val="none" w:sz="0" w:space="0" w:color="auto"/>
            <w:right w:val="none" w:sz="0" w:space="0" w:color="auto"/>
          </w:divBdr>
        </w:div>
        <w:div w:id="1432554618">
          <w:marLeft w:val="0"/>
          <w:marRight w:val="0"/>
          <w:marTop w:val="0"/>
          <w:marBottom w:val="0"/>
          <w:divBdr>
            <w:top w:val="none" w:sz="0" w:space="0" w:color="auto"/>
            <w:left w:val="none" w:sz="0" w:space="0" w:color="auto"/>
            <w:bottom w:val="none" w:sz="0" w:space="0" w:color="auto"/>
            <w:right w:val="none" w:sz="0" w:space="0" w:color="auto"/>
          </w:divBdr>
        </w:div>
        <w:div w:id="1064447948">
          <w:marLeft w:val="0"/>
          <w:marRight w:val="0"/>
          <w:marTop w:val="0"/>
          <w:marBottom w:val="0"/>
          <w:divBdr>
            <w:top w:val="none" w:sz="0" w:space="0" w:color="auto"/>
            <w:left w:val="none" w:sz="0" w:space="0" w:color="auto"/>
            <w:bottom w:val="none" w:sz="0" w:space="0" w:color="auto"/>
            <w:right w:val="none" w:sz="0" w:space="0" w:color="auto"/>
          </w:divBdr>
        </w:div>
        <w:div w:id="1104883876">
          <w:marLeft w:val="0"/>
          <w:marRight w:val="0"/>
          <w:marTop w:val="0"/>
          <w:marBottom w:val="0"/>
          <w:divBdr>
            <w:top w:val="none" w:sz="0" w:space="0" w:color="auto"/>
            <w:left w:val="none" w:sz="0" w:space="0" w:color="auto"/>
            <w:bottom w:val="none" w:sz="0" w:space="0" w:color="auto"/>
            <w:right w:val="none" w:sz="0" w:space="0" w:color="auto"/>
          </w:divBdr>
        </w:div>
        <w:div w:id="529874350">
          <w:marLeft w:val="0"/>
          <w:marRight w:val="0"/>
          <w:marTop w:val="0"/>
          <w:marBottom w:val="0"/>
          <w:divBdr>
            <w:top w:val="none" w:sz="0" w:space="0" w:color="auto"/>
            <w:left w:val="none" w:sz="0" w:space="0" w:color="auto"/>
            <w:bottom w:val="none" w:sz="0" w:space="0" w:color="auto"/>
            <w:right w:val="none" w:sz="0" w:space="0" w:color="auto"/>
          </w:divBdr>
        </w:div>
        <w:div w:id="1433473295">
          <w:marLeft w:val="0"/>
          <w:marRight w:val="0"/>
          <w:marTop w:val="0"/>
          <w:marBottom w:val="0"/>
          <w:divBdr>
            <w:top w:val="none" w:sz="0" w:space="0" w:color="auto"/>
            <w:left w:val="none" w:sz="0" w:space="0" w:color="auto"/>
            <w:bottom w:val="none" w:sz="0" w:space="0" w:color="auto"/>
            <w:right w:val="none" w:sz="0" w:space="0" w:color="auto"/>
          </w:divBdr>
        </w:div>
        <w:div w:id="105854120">
          <w:marLeft w:val="0"/>
          <w:marRight w:val="0"/>
          <w:marTop w:val="0"/>
          <w:marBottom w:val="0"/>
          <w:divBdr>
            <w:top w:val="none" w:sz="0" w:space="0" w:color="auto"/>
            <w:left w:val="none" w:sz="0" w:space="0" w:color="auto"/>
            <w:bottom w:val="none" w:sz="0" w:space="0" w:color="auto"/>
            <w:right w:val="none" w:sz="0" w:space="0" w:color="auto"/>
          </w:divBdr>
        </w:div>
        <w:div w:id="482701090">
          <w:marLeft w:val="0"/>
          <w:marRight w:val="0"/>
          <w:marTop w:val="0"/>
          <w:marBottom w:val="0"/>
          <w:divBdr>
            <w:top w:val="none" w:sz="0" w:space="0" w:color="auto"/>
            <w:left w:val="none" w:sz="0" w:space="0" w:color="auto"/>
            <w:bottom w:val="none" w:sz="0" w:space="0" w:color="auto"/>
            <w:right w:val="none" w:sz="0" w:space="0" w:color="auto"/>
          </w:divBdr>
        </w:div>
        <w:div w:id="243607582">
          <w:marLeft w:val="0"/>
          <w:marRight w:val="0"/>
          <w:marTop w:val="0"/>
          <w:marBottom w:val="0"/>
          <w:divBdr>
            <w:top w:val="none" w:sz="0" w:space="0" w:color="auto"/>
            <w:left w:val="none" w:sz="0" w:space="0" w:color="auto"/>
            <w:bottom w:val="none" w:sz="0" w:space="0" w:color="auto"/>
            <w:right w:val="none" w:sz="0" w:space="0" w:color="auto"/>
          </w:divBdr>
        </w:div>
        <w:div w:id="312951205">
          <w:marLeft w:val="0"/>
          <w:marRight w:val="0"/>
          <w:marTop w:val="0"/>
          <w:marBottom w:val="0"/>
          <w:divBdr>
            <w:top w:val="none" w:sz="0" w:space="0" w:color="auto"/>
            <w:left w:val="none" w:sz="0" w:space="0" w:color="auto"/>
            <w:bottom w:val="none" w:sz="0" w:space="0" w:color="auto"/>
            <w:right w:val="none" w:sz="0" w:space="0" w:color="auto"/>
          </w:divBdr>
        </w:div>
        <w:div w:id="1750926362">
          <w:marLeft w:val="0"/>
          <w:marRight w:val="0"/>
          <w:marTop w:val="0"/>
          <w:marBottom w:val="0"/>
          <w:divBdr>
            <w:top w:val="none" w:sz="0" w:space="0" w:color="auto"/>
            <w:left w:val="none" w:sz="0" w:space="0" w:color="auto"/>
            <w:bottom w:val="none" w:sz="0" w:space="0" w:color="auto"/>
            <w:right w:val="none" w:sz="0" w:space="0" w:color="auto"/>
          </w:divBdr>
        </w:div>
        <w:div w:id="1857770777">
          <w:marLeft w:val="0"/>
          <w:marRight w:val="0"/>
          <w:marTop w:val="0"/>
          <w:marBottom w:val="0"/>
          <w:divBdr>
            <w:top w:val="none" w:sz="0" w:space="0" w:color="auto"/>
            <w:left w:val="none" w:sz="0" w:space="0" w:color="auto"/>
            <w:bottom w:val="none" w:sz="0" w:space="0" w:color="auto"/>
            <w:right w:val="none" w:sz="0" w:space="0" w:color="auto"/>
          </w:divBdr>
        </w:div>
        <w:div w:id="1000043994">
          <w:marLeft w:val="0"/>
          <w:marRight w:val="0"/>
          <w:marTop w:val="0"/>
          <w:marBottom w:val="0"/>
          <w:divBdr>
            <w:top w:val="none" w:sz="0" w:space="0" w:color="auto"/>
            <w:left w:val="none" w:sz="0" w:space="0" w:color="auto"/>
            <w:bottom w:val="none" w:sz="0" w:space="0" w:color="auto"/>
            <w:right w:val="none" w:sz="0" w:space="0" w:color="auto"/>
          </w:divBdr>
        </w:div>
        <w:div w:id="1704095925">
          <w:marLeft w:val="0"/>
          <w:marRight w:val="0"/>
          <w:marTop w:val="0"/>
          <w:marBottom w:val="0"/>
          <w:divBdr>
            <w:top w:val="none" w:sz="0" w:space="0" w:color="auto"/>
            <w:left w:val="none" w:sz="0" w:space="0" w:color="auto"/>
            <w:bottom w:val="none" w:sz="0" w:space="0" w:color="auto"/>
            <w:right w:val="none" w:sz="0" w:space="0" w:color="auto"/>
          </w:divBdr>
        </w:div>
        <w:div w:id="75136235">
          <w:marLeft w:val="0"/>
          <w:marRight w:val="0"/>
          <w:marTop w:val="0"/>
          <w:marBottom w:val="0"/>
          <w:divBdr>
            <w:top w:val="none" w:sz="0" w:space="0" w:color="auto"/>
            <w:left w:val="none" w:sz="0" w:space="0" w:color="auto"/>
            <w:bottom w:val="none" w:sz="0" w:space="0" w:color="auto"/>
            <w:right w:val="none" w:sz="0" w:space="0" w:color="auto"/>
          </w:divBdr>
        </w:div>
        <w:div w:id="2103993523">
          <w:marLeft w:val="0"/>
          <w:marRight w:val="0"/>
          <w:marTop w:val="0"/>
          <w:marBottom w:val="0"/>
          <w:divBdr>
            <w:top w:val="none" w:sz="0" w:space="0" w:color="auto"/>
            <w:left w:val="none" w:sz="0" w:space="0" w:color="auto"/>
            <w:bottom w:val="none" w:sz="0" w:space="0" w:color="auto"/>
            <w:right w:val="none" w:sz="0" w:space="0" w:color="auto"/>
          </w:divBdr>
        </w:div>
        <w:div w:id="1285696613">
          <w:marLeft w:val="0"/>
          <w:marRight w:val="0"/>
          <w:marTop w:val="0"/>
          <w:marBottom w:val="0"/>
          <w:divBdr>
            <w:top w:val="none" w:sz="0" w:space="0" w:color="auto"/>
            <w:left w:val="none" w:sz="0" w:space="0" w:color="auto"/>
            <w:bottom w:val="none" w:sz="0" w:space="0" w:color="auto"/>
            <w:right w:val="none" w:sz="0" w:space="0" w:color="auto"/>
          </w:divBdr>
        </w:div>
        <w:div w:id="892691986">
          <w:marLeft w:val="0"/>
          <w:marRight w:val="0"/>
          <w:marTop w:val="0"/>
          <w:marBottom w:val="0"/>
          <w:divBdr>
            <w:top w:val="none" w:sz="0" w:space="0" w:color="auto"/>
            <w:left w:val="none" w:sz="0" w:space="0" w:color="auto"/>
            <w:bottom w:val="none" w:sz="0" w:space="0" w:color="auto"/>
            <w:right w:val="none" w:sz="0" w:space="0" w:color="auto"/>
          </w:divBdr>
        </w:div>
        <w:div w:id="1619751978">
          <w:marLeft w:val="0"/>
          <w:marRight w:val="0"/>
          <w:marTop w:val="0"/>
          <w:marBottom w:val="0"/>
          <w:divBdr>
            <w:top w:val="none" w:sz="0" w:space="0" w:color="auto"/>
            <w:left w:val="none" w:sz="0" w:space="0" w:color="auto"/>
            <w:bottom w:val="none" w:sz="0" w:space="0" w:color="auto"/>
            <w:right w:val="none" w:sz="0" w:space="0" w:color="auto"/>
          </w:divBdr>
        </w:div>
        <w:div w:id="754280669">
          <w:marLeft w:val="0"/>
          <w:marRight w:val="0"/>
          <w:marTop w:val="0"/>
          <w:marBottom w:val="0"/>
          <w:divBdr>
            <w:top w:val="none" w:sz="0" w:space="0" w:color="auto"/>
            <w:left w:val="none" w:sz="0" w:space="0" w:color="auto"/>
            <w:bottom w:val="none" w:sz="0" w:space="0" w:color="auto"/>
            <w:right w:val="none" w:sz="0" w:space="0" w:color="auto"/>
          </w:divBdr>
        </w:div>
        <w:div w:id="72941839">
          <w:marLeft w:val="0"/>
          <w:marRight w:val="0"/>
          <w:marTop w:val="0"/>
          <w:marBottom w:val="0"/>
          <w:divBdr>
            <w:top w:val="none" w:sz="0" w:space="0" w:color="auto"/>
            <w:left w:val="none" w:sz="0" w:space="0" w:color="auto"/>
            <w:bottom w:val="none" w:sz="0" w:space="0" w:color="auto"/>
            <w:right w:val="none" w:sz="0" w:space="0" w:color="auto"/>
          </w:divBdr>
        </w:div>
        <w:div w:id="931350617">
          <w:marLeft w:val="0"/>
          <w:marRight w:val="0"/>
          <w:marTop w:val="0"/>
          <w:marBottom w:val="0"/>
          <w:divBdr>
            <w:top w:val="none" w:sz="0" w:space="0" w:color="auto"/>
            <w:left w:val="none" w:sz="0" w:space="0" w:color="auto"/>
            <w:bottom w:val="none" w:sz="0" w:space="0" w:color="auto"/>
            <w:right w:val="none" w:sz="0" w:space="0" w:color="auto"/>
          </w:divBdr>
        </w:div>
        <w:div w:id="302462874">
          <w:marLeft w:val="0"/>
          <w:marRight w:val="0"/>
          <w:marTop w:val="0"/>
          <w:marBottom w:val="0"/>
          <w:divBdr>
            <w:top w:val="none" w:sz="0" w:space="0" w:color="auto"/>
            <w:left w:val="none" w:sz="0" w:space="0" w:color="auto"/>
            <w:bottom w:val="none" w:sz="0" w:space="0" w:color="auto"/>
            <w:right w:val="none" w:sz="0" w:space="0" w:color="auto"/>
          </w:divBdr>
        </w:div>
        <w:div w:id="795760283">
          <w:marLeft w:val="0"/>
          <w:marRight w:val="0"/>
          <w:marTop w:val="0"/>
          <w:marBottom w:val="0"/>
          <w:divBdr>
            <w:top w:val="none" w:sz="0" w:space="0" w:color="auto"/>
            <w:left w:val="none" w:sz="0" w:space="0" w:color="auto"/>
            <w:bottom w:val="none" w:sz="0" w:space="0" w:color="auto"/>
            <w:right w:val="none" w:sz="0" w:space="0" w:color="auto"/>
          </w:divBdr>
        </w:div>
        <w:div w:id="483812910">
          <w:marLeft w:val="0"/>
          <w:marRight w:val="0"/>
          <w:marTop w:val="0"/>
          <w:marBottom w:val="0"/>
          <w:divBdr>
            <w:top w:val="none" w:sz="0" w:space="0" w:color="auto"/>
            <w:left w:val="none" w:sz="0" w:space="0" w:color="auto"/>
            <w:bottom w:val="none" w:sz="0" w:space="0" w:color="auto"/>
            <w:right w:val="none" w:sz="0" w:space="0" w:color="auto"/>
          </w:divBdr>
        </w:div>
        <w:div w:id="228270562">
          <w:marLeft w:val="0"/>
          <w:marRight w:val="0"/>
          <w:marTop w:val="0"/>
          <w:marBottom w:val="0"/>
          <w:divBdr>
            <w:top w:val="none" w:sz="0" w:space="0" w:color="auto"/>
            <w:left w:val="none" w:sz="0" w:space="0" w:color="auto"/>
            <w:bottom w:val="none" w:sz="0" w:space="0" w:color="auto"/>
            <w:right w:val="none" w:sz="0" w:space="0" w:color="auto"/>
          </w:divBdr>
        </w:div>
        <w:div w:id="1836990497">
          <w:marLeft w:val="0"/>
          <w:marRight w:val="0"/>
          <w:marTop w:val="0"/>
          <w:marBottom w:val="0"/>
          <w:divBdr>
            <w:top w:val="none" w:sz="0" w:space="0" w:color="auto"/>
            <w:left w:val="none" w:sz="0" w:space="0" w:color="auto"/>
            <w:bottom w:val="none" w:sz="0" w:space="0" w:color="auto"/>
            <w:right w:val="none" w:sz="0" w:space="0" w:color="auto"/>
          </w:divBdr>
        </w:div>
        <w:div w:id="1286741058">
          <w:marLeft w:val="0"/>
          <w:marRight w:val="0"/>
          <w:marTop w:val="0"/>
          <w:marBottom w:val="0"/>
          <w:divBdr>
            <w:top w:val="none" w:sz="0" w:space="0" w:color="auto"/>
            <w:left w:val="none" w:sz="0" w:space="0" w:color="auto"/>
            <w:bottom w:val="none" w:sz="0" w:space="0" w:color="auto"/>
            <w:right w:val="none" w:sz="0" w:space="0" w:color="auto"/>
          </w:divBdr>
        </w:div>
        <w:div w:id="372121610">
          <w:marLeft w:val="0"/>
          <w:marRight w:val="0"/>
          <w:marTop w:val="0"/>
          <w:marBottom w:val="0"/>
          <w:divBdr>
            <w:top w:val="none" w:sz="0" w:space="0" w:color="auto"/>
            <w:left w:val="none" w:sz="0" w:space="0" w:color="auto"/>
            <w:bottom w:val="none" w:sz="0" w:space="0" w:color="auto"/>
            <w:right w:val="none" w:sz="0" w:space="0" w:color="auto"/>
          </w:divBdr>
        </w:div>
        <w:div w:id="957297669">
          <w:marLeft w:val="0"/>
          <w:marRight w:val="0"/>
          <w:marTop w:val="0"/>
          <w:marBottom w:val="0"/>
          <w:divBdr>
            <w:top w:val="none" w:sz="0" w:space="0" w:color="auto"/>
            <w:left w:val="none" w:sz="0" w:space="0" w:color="auto"/>
            <w:bottom w:val="none" w:sz="0" w:space="0" w:color="auto"/>
            <w:right w:val="none" w:sz="0" w:space="0" w:color="auto"/>
          </w:divBdr>
        </w:div>
        <w:div w:id="1044329939">
          <w:marLeft w:val="0"/>
          <w:marRight w:val="0"/>
          <w:marTop w:val="0"/>
          <w:marBottom w:val="0"/>
          <w:divBdr>
            <w:top w:val="none" w:sz="0" w:space="0" w:color="auto"/>
            <w:left w:val="none" w:sz="0" w:space="0" w:color="auto"/>
            <w:bottom w:val="none" w:sz="0" w:space="0" w:color="auto"/>
            <w:right w:val="none" w:sz="0" w:space="0" w:color="auto"/>
          </w:divBdr>
        </w:div>
        <w:div w:id="27924088">
          <w:marLeft w:val="0"/>
          <w:marRight w:val="0"/>
          <w:marTop w:val="0"/>
          <w:marBottom w:val="0"/>
          <w:divBdr>
            <w:top w:val="none" w:sz="0" w:space="0" w:color="auto"/>
            <w:left w:val="none" w:sz="0" w:space="0" w:color="auto"/>
            <w:bottom w:val="none" w:sz="0" w:space="0" w:color="auto"/>
            <w:right w:val="none" w:sz="0" w:space="0" w:color="auto"/>
          </w:divBdr>
        </w:div>
        <w:div w:id="178934389">
          <w:marLeft w:val="0"/>
          <w:marRight w:val="0"/>
          <w:marTop w:val="0"/>
          <w:marBottom w:val="0"/>
          <w:divBdr>
            <w:top w:val="none" w:sz="0" w:space="0" w:color="auto"/>
            <w:left w:val="none" w:sz="0" w:space="0" w:color="auto"/>
            <w:bottom w:val="none" w:sz="0" w:space="0" w:color="auto"/>
            <w:right w:val="none" w:sz="0" w:space="0" w:color="auto"/>
          </w:divBdr>
        </w:div>
        <w:div w:id="93940318">
          <w:marLeft w:val="0"/>
          <w:marRight w:val="0"/>
          <w:marTop w:val="0"/>
          <w:marBottom w:val="0"/>
          <w:divBdr>
            <w:top w:val="none" w:sz="0" w:space="0" w:color="auto"/>
            <w:left w:val="none" w:sz="0" w:space="0" w:color="auto"/>
            <w:bottom w:val="none" w:sz="0" w:space="0" w:color="auto"/>
            <w:right w:val="none" w:sz="0" w:space="0" w:color="auto"/>
          </w:divBdr>
        </w:div>
        <w:div w:id="1170291024">
          <w:marLeft w:val="0"/>
          <w:marRight w:val="0"/>
          <w:marTop w:val="0"/>
          <w:marBottom w:val="0"/>
          <w:divBdr>
            <w:top w:val="none" w:sz="0" w:space="0" w:color="auto"/>
            <w:left w:val="none" w:sz="0" w:space="0" w:color="auto"/>
            <w:bottom w:val="none" w:sz="0" w:space="0" w:color="auto"/>
            <w:right w:val="none" w:sz="0" w:space="0" w:color="auto"/>
          </w:divBdr>
        </w:div>
        <w:div w:id="984042635">
          <w:marLeft w:val="0"/>
          <w:marRight w:val="0"/>
          <w:marTop w:val="0"/>
          <w:marBottom w:val="0"/>
          <w:divBdr>
            <w:top w:val="none" w:sz="0" w:space="0" w:color="auto"/>
            <w:left w:val="none" w:sz="0" w:space="0" w:color="auto"/>
            <w:bottom w:val="none" w:sz="0" w:space="0" w:color="auto"/>
            <w:right w:val="none" w:sz="0" w:space="0" w:color="auto"/>
          </w:divBdr>
        </w:div>
        <w:div w:id="306278529">
          <w:marLeft w:val="0"/>
          <w:marRight w:val="0"/>
          <w:marTop w:val="0"/>
          <w:marBottom w:val="0"/>
          <w:divBdr>
            <w:top w:val="none" w:sz="0" w:space="0" w:color="auto"/>
            <w:left w:val="none" w:sz="0" w:space="0" w:color="auto"/>
            <w:bottom w:val="none" w:sz="0" w:space="0" w:color="auto"/>
            <w:right w:val="none" w:sz="0" w:space="0" w:color="auto"/>
          </w:divBdr>
        </w:div>
        <w:div w:id="1070277238">
          <w:marLeft w:val="0"/>
          <w:marRight w:val="0"/>
          <w:marTop w:val="0"/>
          <w:marBottom w:val="0"/>
          <w:divBdr>
            <w:top w:val="none" w:sz="0" w:space="0" w:color="auto"/>
            <w:left w:val="none" w:sz="0" w:space="0" w:color="auto"/>
            <w:bottom w:val="none" w:sz="0" w:space="0" w:color="auto"/>
            <w:right w:val="none" w:sz="0" w:space="0" w:color="auto"/>
          </w:divBdr>
        </w:div>
        <w:div w:id="178738540">
          <w:marLeft w:val="0"/>
          <w:marRight w:val="0"/>
          <w:marTop w:val="0"/>
          <w:marBottom w:val="0"/>
          <w:divBdr>
            <w:top w:val="none" w:sz="0" w:space="0" w:color="auto"/>
            <w:left w:val="none" w:sz="0" w:space="0" w:color="auto"/>
            <w:bottom w:val="none" w:sz="0" w:space="0" w:color="auto"/>
            <w:right w:val="none" w:sz="0" w:space="0" w:color="auto"/>
          </w:divBdr>
        </w:div>
        <w:div w:id="841432463">
          <w:marLeft w:val="0"/>
          <w:marRight w:val="0"/>
          <w:marTop w:val="0"/>
          <w:marBottom w:val="0"/>
          <w:divBdr>
            <w:top w:val="none" w:sz="0" w:space="0" w:color="auto"/>
            <w:left w:val="none" w:sz="0" w:space="0" w:color="auto"/>
            <w:bottom w:val="none" w:sz="0" w:space="0" w:color="auto"/>
            <w:right w:val="none" w:sz="0" w:space="0" w:color="auto"/>
          </w:divBdr>
        </w:div>
        <w:div w:id="988828184">
          <w:marLeft w:val="0"/>
          <w:marRight w:val="0"/>
          <w:marTop w:val="0"/>
          <w:marBottom w:val="0"/>
          <w:divBdr>
            <w:top w:val="none" w:sz="0" w:space="0" w:color="auto"/>
            <w:left w:val="none" w:sz="0" w:space="0" w:color="auto"/>
            <w:bottom w:val="none" w:sz="0" w:space="0" w:color="auto"/>
            <w:right w:val="none" w:sz="0" w:space="0" w:color="auto"/>
          </w:divBdr>
        </w:div>
        <w:div w:id="347098441">
          <w:marLeft w:val="0"/>
          <w:marRight w:val="0"/>
          <w:marTop w:val="0"/>
          <w:marBottom w:val="0"/>
          <w:divBdr>
            <w:top w:val="none" w:sz="0" w:space="0" w:color="auto"/>
            <w:left w:val="none" w:sz="0" w:space="0" w:color="auto"/>
            <w:bottom w:val="none" w:sz="0" w:space="0" w:color="auto"/>
            <w:right w:val="none" w:sz="0" w:space="0" w:color="auto"/>
          </w:divBdr>
        </w:div>
        <w:div w:id="353461285">
          <w:marLeft w:val="0"/>
          <w:marRight w:val="0"/>
          <w:marTop w:val="0"/>
          <w:marBottom w:val="0"/>
          <w:divBdr>
            <w:top w:val="none" w:sz="0" w:space="0" w:color="auto"/>
            <w:left w:val="none" w:sz="0" w:space="0" w:color="auto"/>
            <w:bottom w:val="none" w:sz="0" w:space="0" w:color="auto"/>
            <w:right w:val="none" w:sz="0" w:space="0" w:color="auto"/>
          </w:divBdr>
        </w:div>
        <w:div w:id="2121681227">
          <w:marLeft w:val="0"/>
          <w:marRight w:val="0"/>
          <w:marTop w:val="0"/>
          <w:marBottom w:val="0"/>
          <w:divBdr>
            <w:top w:val="none" w:sz="0" w:space="0" w:color="auto"/>
            <w:left w:val="none" w:sz="0" w:space="0" w:color="auto"/>
            <w:bottom w:val="none" w:sz="0" w:space="0" w:color="auto"/>
            <w:right w:val="none" w:sz="0" w:space="0" w:color="auto"/>
          </w:divBdr>
        </w:div>
        <w:div w:id="1433473863">
          <w:marLeft w:val="0"/>
          <w:marRight w:val="0"/>
          <w:marTop w:val="0"/>
          <w:marBottom w:val="0"/>
          <w:divBdr>
            <w:top w:val="none" w:sz="0" w:space="0" w:color="auto"/>
            <w:left w:val="none" w:sz="0" w:space="0" w:color="auto"/>
            <w:bottom w:val="none" w:sz="0" w:space="0" w:color="auto"/>
            <w:right w:val="none" w:sz="0" w:space="0" w:color="auto"/>
          </w:divBdr>
        </w:div>
        <w:div w:id="494537021">
          <w:marLeft w:val="0"/>
          <w:marRight w:val="0"/>
          <w:marTop w:val="0"/>
          <w:marBottom w:val="0"/>
          <w:divBdr>
            <w:top w:val="none" w:sz="0" w:space="0" w:color="auto"/>
            <w:left w:val="none" w:sz="0" w:space="0" w:color="auto"/>
            <w:bottom w:val="none" w:sz="0" w:space="0" w:color="auto"/>
            <w:right w:val="none" w:sz="0" w:space="0" w:color="auto"/>
          </w:divBdr>
        </w:div>
        <w:div w:id="1668556855">
          <w:marLeft w:val="0"/>
          <w:marRight w:val="0"/>
          <w:marTop w:val="0"/>
          <w:marBottom w:val="0"/>
          <w:divBdr>
            <w:top w:val="none" w:sz="0" w:space="0" w:color="auto"/>
            <w:left w:val="none" w:sz="0" w:space="0" w:color="auto"/>
            <w:bottom w:val="none" w:sz="0" w:space="0" w:color="auto"/>
            <w:right w:val="none" w:sz="0" w:space="0" w:color="auto"/>
          </w:divBdr>
        </w:div>
        <w:div w:id="1607957496">
          <w:marLeft w:val="0"/>
          <w:marRight w:val="0"/>
          <w:marTop w:val="0"/>
          <w:marBottom w:val="0"/>
          <w:divBdr>
            <w:top w:val="none" w:sz="0" w:space="0" w:color="auto"/>
            <w:left w:val="none" w:sz="0" w:space="0" w:color="auto"/>
            <w:bottom w:val="none" w:sz="0" w:space="0" w:color="auto"/>
            <w:right w:val="none" w:sz="0" w:space="0" w:color="auto"/>
          </w:divBdr>
        </w:div>
        <w:div w:id="180901306">
          <w:marLeft w:val="0"/>
          <w:marRight w:val="0"/>
          <w:marTop w:val="0"/>
          <w:marBottom w:val="0"/>
          <w:divBdr>
            <w:top w:val="none" w:sz="0" w:space="0" w:color="auto"/>
            <w:left w:val="none" w:sz="0" w:space="0" w:color="auto"/>
            <w:bottom w:val="none" w:sz="0" w:space="0" w:color="auto"/>
            <w:right w:val="none" w:sz="0" w:space="0" w:color="auto"/>
          </w:divBdr>
        </w:div>
        <w:div w:id="1556234978">
          <w:marLeft w:val="0"/>
          <w:marRight w:val="0"/>
          <w:marTop w:val="0"/>
          <w:marBottom w:val="0"/>
          <w:divBdr>
            <w:top w:val="none" w:sz="0" w:space="0" w:color="auto"/>
            <w:left w:val="none" w:sz="0" w:space="0" w:color="auto"/>
            <w:bottom w:val="none" w:sz="0" w:space="0" w:color="auto"/>
            <w:right w:val="none" w:sz="0" w:space="0" w:color="auto"/>
          </w:divBdr>
        </w:div>
        <w:div w:id="1682586718">
          <w:marLeft w:val="0"/>
          <w:marRight w:val="0"/>
          <w:marTop w:val="0"/>
          <w:marBottom w:val="0"/>
          <w:divBdr>
            <w:top w:val="none" w:sz="0" w:space="0" w:color="auto"/>
            <w:left w:val="none" w:sz="0" w:space="0" w:color="auto"/>
            <w:bottom w:val="none" w:sz="0" w:space="0" w:color="auto"/>
            <w:right w:val="none" w:sz="0" w:space="0" w:color="auto"/>
          </w:divBdr>
        </w:div>
        <w:div w:id="243229438">
          <w:marLeft w:val="0"/>
          <w:marRight w:val="0"/>
          <w:marTop w:val="0"/>
          <w:marBottom w:val="0"/>
          <w:divBdr>
            <w:top w:val="none" w:sz="0" w:space="0" w:color="auto"/>
            <w:left w:val="none" w:sz="0" w:space="0" w:color="auto"/>
            <w:bottom w:val="none" w:sz="0" w:space="0" w:color="auto"/>
            <w:right w:val="none" w:sz="0" w:space="0" w:color="auto"/>
          </w:divBdr>
        </w:div>
        <w:div w:id="1581140602">
          <w:marLeft w:val="0"/>
          <w:marRight w:val="0"/>
          <w:marTop w:val="0"/>
          <w:marBottom w:val="0"/>
          <w:divBdr>
            <w:top w:val="none" w:sz="0" w:space="0" w:color="auto"/>
            <w:left w:val="none" w:sz="0" w:space="0" w:color="auto"/>
            <w:bottom w:val="none" w:sz="0" w:space="0" w:color="auto"/>
            <w:right w:val="none" w:sz="0" w:space="0" w:color="auto"/>
          </w:divBdr>
        </w:div>
        <w:div w:id="1185484881">
          <w:marLeft w:val="0"/>
          <w:marRight w:val="0"/>
          <w:marTop w:val="0"/>
          <w:marBottom w:val="0"/>
          <w:divBdr>
            <w:top w:val="none" w:sz="0" w:space="0" w:color="auto"/>
            <w:left w:val="none" w:sz="0" w:space="0" w:color="auto"/>
            <w:bottom w:val="none" w:sz="0" w:space="0" w:color="auto"/>
            <w:right w:val="none" w:sz="0" w:space="0" w:color="auto"/>
          </w:divBdr>
        </w:div>
        <w:div w:id="130680118">
          <w:marLeft w:val="0"/>
          <w:marRight w:val="0"/>
          <w:marTop w:val="0"/>
          <w:marBottom w:val="0"/>
          <w:divBdr>
            <w:top w:val="none" w:sz="0" w:space="0" w:color="auto"/>
            <w:left w:val="none" w:sz="0" w:space="0" w:color="auto"/>
            <w:bottom w:val="none" w:sz="0" w:space="0" w:color="auto"/>
            <w:right w:val="none" w:sz="0" w:space="0" w:color="auto"/>
          </w:divBdr>
        </w:div>
        <w:div w:id="1714842284">
          <w:marLeft w:val="0"/>
          <w:marRight w:val="0"/>
          <w:marTop w:val="0"/>
          <w:marBottom w:val="0"/>
          <w:divBdr>
            <w:top w:val="none" w:sz="0" w:space="0" w:color="auto"/>
            <w:left w:val="none" w:sz="0" w:space="0" w:color="auto"/>
            <w:bottom w:val="none" w:sz="0" w:space="0" w:color="auto"/>
            <w:right w:val="none" w:sz="0" w:space="0" w:color="auto"/>
          </w:divBdr>
        </w:div>
        <w:div w:id="1720518561">
          <w:marLeft w:val="0"/>
          <w:marRight w:val="0"/>
          <w:marTop w:val="0"/>
          <w:marBottom w:val="0"/>
          <w:divBdr>
            <w:top w:val="none" w:sz="0" w:space="0" w:color="auto"/>
            <w:left w:val="none" w:sz="0" w:space="0" w:color="auto"/>
            <w:bottom w:val="none" w:sz="0" w:space="0" w:color="auto"/>
            <w:right w:val="none" w:sz="0" w:space="0" w:color="auto"/>
          </w:divBdr>
        </w:div>
        <w:div w:id="1028338674">
          <w:marLeft w:val="0"/>
          <w:marRight w:val="0"/>
          <w:marTop w:val="0"/>
          <w:marBottom w:val="0"/>
          <w:divBdr>
            <w:top w:val="none" w:sz="0" w:space="0" w:color="auto"/>
            <w:left w:val="none" w:sz="0" w:space="0" w:color="auto"/>
            <w:bottom w:val="none" w:sz="0" w:space="0" w:color="auto"/>
            <w:right w:val="none" w:sz="0" w:space="0" w:color="auto"/>
          </w:divBdr>
        </w:div>
        <w:div w:id="1639912967">
          <w:marLeft w:val="0"/>
          <w:marRight w:val="0"/>
          <w:marTop w:val="0"/>
          <w:marBottom w:val="0"/>
          <w:divBdr>
            <w:top w:val="none" w:sz="0" w:space="0" w:color="auto"/>
            <w:left w:val="none" w:sz="0" w:space="0" w:color="auto"/>
            <w:bottom w:val="none" w:sz="0" w:space="0" w:color="auto"/>
            <w:right w:val="none" w:sz="0" w:space="0" w:color="auto"/>
          </w:divBdr>
        </w:div>
        <w:div w:id="107241996">
          <w:marLeft w:val="0"/>
          <w:marRight w:val="0"/>
          <w:marTop w:val="0"/>
          <w:marBottom w:val="0"/>
          <w:divBdr>
            <w:top w:val="none" w:sz="0" w:space="0" w:color="auto"/>
            <w:left w:val="none" w:sz="0" w:space="0" w:color="auto"/>
            <w:bottom w:val="none" w:sz="0" w:space="0" w:color="auto"/>
            <w:right w:val="none" w:sz="0" w:space="0" w:color="auto"/>
          </w:divBdr>
        </w:div>
        <w:div w:id="151457964">
          <w:marLeft w:val="0"/>
          <w:marRight w:val="0"/>
          <w:marTop w:val="0"/>
          <w:marBottom w:val="0"/>
          <w:divBdr>
            <w:top w:val="none" w:sz="0" w:space="0" w:color="auto"/>
            <w:left w:val="none" w:sz="0" w:space="0" w:color="auto"/>
            <w:bottom w:val="none" w:sz="0" w:space="0" w:color="auto"/>
            <w:right w:val="none" w:sz="0" w:space="0" w:color="auto"/>
          </w:divBdr>
        </w:div>
        <w:div w:id="621150445">
          <w:marLeft w:val="0"/>
          <w:marRight w:val="0"/>
          <w:marTop w:val="0"/>
          <w:marBottom w:val="0"/>
          <w:divBdr>
            <w:top w:val="none" w:sz="0" w:space="0" w:color="auto"/>
            <w:left w:val="none" w:sz="0" w:space="0" w:color="auto"/>
            <w:bottom w:val="none" w:sz="0" w:space="0" w:color="auto"/>
            <w:right w:val="none" w:sz="0" w:space="0" w:color="auto"/>
          </w:divBdr>
        </w:div>
        <w:div w:id="162014581">
          <w:marLeft w:val="0"/>
          <w:marRight w:val="0"/>
          <w:marTop w:val="0"/>
          <w:marBottom w:val="0"/>
          <w:divBdr>
            <w:top w:val="none" w:sz="0" w:space="0" w:color="auto"/>
            <w:left w:val="none" w:sz="0" w:space="0" w:color="auto"/>
            <w:bottom w:val="none" w:sz="0" w:space="0" w:color="auto"/>
            <w:right w:val="none" w:sz="0" w:space="0" w:color="auto"/>
          </w:divBdr>
        </w:div>
        <w:div w:id="227349122">
          <w:marLeft w:val="0"/>
          <w:marRight w:val="0"/>
          <w:marTop w:val="0"/>
          <w:marBottom w:val="0"/>
          <w:divBdr>
            <w:top w:val="none" w:sz="0" w:space="0" w:color="auto"/>
            <w:left w:val="none" w:sz="0" w:space="0" w:color="auto"/>
            <w:bottom w:val="none" w:sz="0" w:space="0" w:color="auto"/>
            <w:right w:val="none" w:sz="0" w:space="0" w:color="auto"/>
          </w:divBdr>
        </w:div>
        <w:div w:id="505873965">
          <w:marLeft w:val="0"/>
          <w:marRight w:val="0"/>
          <w:marTop w:val="0"/>
          <w:marBottom w:val="0"/>
          <w:divBdr>
            <w:top w:val="none" w:sz="0" w:space="0" w:color="auto"/>
            <w:left w:val="none" w:sz="0" w:space="0" w:color="auto"/>
            <w:bottom w:val="none" w:sz="0" w:space="0" w:color="auto"/>
            <w:right w:val="none" w:sz="0" w:space="0" w:color="auto"/>
          </w:divBdr>
        </w:div>
        <w:div w:id="2090810178">
          <w:marLeft w:val="0"/>
          <w:marRight w:val="0"/>
          <w:marTop w:val="0"/>
          <w:marBottom w:val="0"/>
          <w:divBdr>
            <w:top w:val="none" w:sz="0" w:space="0" w:color="auto"/>
            <w:left w:val="none" w:sz="0" w:space="0" w:color="auto"/>
            <w:bottom w:val="none" w:sz="0" w:space="0" w:color="auto"/>
            <w:right w:val="none" w:sz="0" w:space="0" w:color="auto"/>
          </w:divBdr>
        </w:div>
        <w:div w:id="1956593471">
          <w:marLeft w:val="0"/>
          <w:marRight w:val="0"/>
          <w:marTop w:val="0"/>
          <w:marBottom w:val="0"/>
          <w:divBdr>
            <w:top w:val="none" w:sz="0" w:space="0" w:color="auto"/>
            <w:left w:val="none" w:sz="0" w:space="0" w:color="auto"/>
            <w:bottom w:val="none" w:sz="0" w:space="0" w:color="auto"/>
            <w:right w:val="none" w:sz="0" w:space="0" w:color="auto"/>
          </w:divBdr>
        </w:div>
        <w:div w:id="1947157498">
          <w:marLeft w:val="0"/>
          <w:marRight w:val="0"/>
          <w:marTop w:val="0"/>
          <w:marBottom w:val="0"/>
          <w:divBdr>
            <w:top w:val="none" w:sz="0" w:space="0" w:color="auto"/>
            <w:left w:val="none" w:sz="0" w:space="0" w:color="auto"/>
            <w:bottom w:val="none" w:sz="0" w:space="0" w:color="auto"/>
            <w:right w:val="none" w:sz="0" w:space="0" w:color="auto"/>
          </w:divBdr>
        </w:div>
        <w:div w:id="1892695232">
          <w:marLeft w:val="0"/>
          <w:marRight w:val="0"/>
          <w:marTop w:val="0"/>
          <w:marBottom w:val="0"/>
          <w:divBdr>
            <w:top w:val="none" w:sz="0" w:space="0" w:color="auto"/>
            <w:left w:val="none" w:sz="0" w:space="0" w:color="auto"/>
            <w:bottom w:val="none" w:sz="0" w:space="0" w:color="auto"/>
            <w:right w:val="none" w:sz="0" w:space="0" w:color="auto"/>
          </w:divBdr>
        </w:div>
        <w:div w:id="435563941">
          <w:marLeft w:val="0"/>
          <w:marRight w:val="0"/>
          <w:marTop w:val="0"/>
          <w:marBottom w:val="0"/>
          <w:divBdr>
            <w:top w:val="none" w:sz="0" w:space="0" w:color="auto"/>
            <w:left w:val="none" w:sz="0" w:space="0" w:color="auto"/>
            <w:bottom w:val="none" w:sz="0" w:space="0" w:color="auto"/>
            <w:right w:val="none" w:sz="0" w:space="0" w:color="auto"/>
          </w:divBdr>
        </w:div>
        <w:div w:id="860630392">
          <w:marLeft w:val="0"/>
          <w:marRight w:val="0"/>
          <w:marTop w:val="0"/>
          <w:marBottom w:val="0"/>
          <w:divBdr>
            <w:top w:val="none" w:sz="0" w:space="0" w:color="auto"/>
            <w:left w:val="none" w:sz="0" w:space="0" w:color="auto"/>
            <w:bottom w:val="none" w:sz="0" w:space="0" w:color="auto"/>
            <w:right w:val="none" w:sz="0" w:space="0" w:color="auto"/>
          </w:divBdr>
        </w:div>
        <w:div w:id="1982539553">
          <w:marLeft w:val="0"/>
          <w:marRight w:val="0"/>
          <w:marTop w:val="0"/>
          <w:marBottom w:val="0"/>
          <w:divBdr>
            <w:top w:val="none" w:sz="0" w:space="0" w:color="auto"/>
            <w:left w:val="none" w:sz="0" w:space="0" w:color="auto"/>
            <w:bottom w:val="none" w:sz="0" w:space="0" w:color="auto"/>
            <w:right w:val="none" w:sz="0" w:space="0" w:color="auto"/>
          </w:divBdr>
        </w:div>
        <w:div w:id="605966508">
          <w:marLeft w:val="0"/>
          <w:marRight w:val="0"/>
          <w:marTop w:val="0"/>
          <w:marBottom w:val="0"/>
          <w:divBdr>
            <w:top w:val="none" w:sz="0" w:space="0" w:color="auto"/>
            <w:left w:val="none" w:sz="0" w:space="0" w:color="auto"/>
            <w:bottom w:val="none" w:sz="0" w:space="0" w:color="auto"/>
            <w:right w:val="none" w:sz="0" w:space="0" w:color="auto"/>
          </w:divBdr>
        </w:div>
        <w:div w:id="1986348988">
          <w:marLeft w:val="0"/>
          <w:marRight w:val="0"/>
          <w:marTop w:val="0"/>
          <w:marBottom w:val="0"/>
          <w:divBdr>
            <w:top w:val="none" w:sz="0" w:space="0" w:color="auto"/>
            <w:left w:val="none" w:sz="0" w:space="0" w:color="auto"/>
            <w:bottom w:val="none" w:sz="0" w:space="0" w:color="auto"/>
            <w:right w:val="none" w:sz="0" w:space="0" w:color="auto"/>
          </w:divBdr>
        </w:div>
        <w:div w:id="144012451">
          <w:marLeft w:val="0"/>
          <w:marRight w:val="0"/>
          <w:marTop w:val="0"/>
          <w:marBottom w:val="0"/>
          <w:divBdr>
            <w:top w:val="none" w:sz="0" w:space="0" w:color="auto"/>
            <w:left w:val="none" w:sz="0" w:space="0" w:color="auto"/>
            <w:bottom w:val="none" w:sz="0" w:space="0" w:color="auto"/>
            <w:right w:val="none" w:sz="0" w:space="0" w:color="auto"/>
          </w:divBdr>
        </w:div>
        <w:div w:id="920141588">
          <w:marLeft w:val="0"/>
          <w:marRight w:val="0"/>
          <w:marTop w:val="0"/>
          <w:marBottom w:val="0"/>
          <w:divBdr>
            <w:top w:val="none" w:sz="0" w:space="0" w:color="auto"/>
            <w:left w:val="none" w:sz="0" w:space="0" w:color="auto"/>
            <w:bottom w:val="none" w:sz="0" w:space="0" w:color="auto"/>
            <w:right w:val="none" w:sz="0" w:space="0" w:color="auto"/>
          </w:divBdr>
        </w:div>
        <w:div w:id="1837304854">
          <w:marLeft w:val="0"/>
          <w:marRight w:val="0"/>
          <w:marTop w:val="0"/>
          <w:marBottom w:val="0"/>
          <w:divBdr>
            <w:top w:val="none" w:sz="0" w:space="0" w:color="auto"/>
            <w:left w:val="none" w:sz="0" w:space="0" w:color="auto"/>
            <w:bottom w:val="none" w:sz="0" w:space="0" w:color="auto"/>
            <w:right w:val="none" w:sz="0" w:space="0" w:color="auto"/>
          </w:divBdr>
        </w:div>
        <w:div w:id="748576583">
          <w:marLeft w:val="0"/>
          <w:marRight w:val="0"/>
          <w:marTop w:val="0"/>
          <w:marBottom w:val="0"/>
          <w:divBdr>
            <w:top w:val="none" w:sz="0" w:space="0" w:color="auto"/>
            <w:left w:val="none" w:sz="0" w:space="0" w:color="auto"/>
            <w:bottom w:val="none" w:sz="0" w:space="0" w:color="auto"/>
            <w:right w:val="none" w:sz="0" w:space="0" w:color="auto"/>
          </w:divBdr>
        </w:div>
        <w:div w:id="1004895386">
          <w:marLeft w:val="0"/>
          <w:marRight w:val="0"/>
          <w:marTop w:val="0"/>
          <w:marBottom w:val="0"/>
          <w:divBdr>
            <w:top w:val="none" w:sz="0" w:space="0" w:color="auto"/>
            <w:left w:val="none" w:sz="0" w:space="0" w:color="auto"/>
            <w:bottom w:val="none" w:sz="0" w:space="0" w:color="auto"/>
            <w:right w:val="none" w:sz="0" w:space="0" w:color="auto"/>
          </w:divBdr>
        </w:div>
        <w:div w:id="1023752562">
          <w:marLeft w:val="0"/>
          <w:marRight w:val="0"/>
          <w:marTop w:val="0"/>
          <w:marBottom w:val="0"/>
          <w:divBdr>
            <w:top w:val="none" w:sz="0" w:space="0" w:color="auto"/>
            <w:left w:val="none" w:sz="0" w:space="0" w:color="auto"/>
            <w:bottom w:val="none" w:sz="0" w:space="0" w:color="auto"/>
            <w:right w:val="none" w:sz="0" w:space="0" w:color="auto"/>
          </w:divBdr>
        </w:div>
        <w:div w:id="1790466825">
          <w:marLeft w:val="0"/>
          <w:marRight w:val="0"/>
          <w:marTop w:val="0"/>
          <w:marBottom w:val="0"/>
          <w:divBdr>
            <w:top w:val="none" w:sz="0" w:space="0" w:color="auto"/>
            <w:left w:val="none" w:sz="0" w:space="0" w:color="auto"/>
            <w:bottom w:val="none" w:sz="0" w:space="0" w:color="auto"/>
            <w:right w:val="none" w:sz="0" w:space="0" w:color="auto"/>
          </w:divBdr>
        </w:div>
        <w:div w:id="270163883">
          <w:marLeft w:val="0"/>
          <w:marRight w:val="0"/>
          <w:marTop w:val="0"/>
          <w:marBottom w:val="0"/>
          <w:divBdr>
            <w:top w:val="none" w:sz="0" w:space="0" w:color="auto"/>
            <w:left w:val="none" w:sz="0" w:space="0" w:color="auto"/>
            <w:bottom w:val="none" w:sz="0" w:space="0" w:color="auto"/>
            <w:right w:val="none" w:sz="0" w:space="0" w:color="auto"/>
          </w:divBdr>
        </w:div>
        <w:div w:id="1267349495">
          <w:marLeft w:val="0"/>
          <w:marRight w:val="0"/>
          <w:marTop w:val="0"/>
          <w:marBottom w:val="0"/>
          <w:divBdr>
            <w:top w:val="none" w:sz="0" w:space="0" w:color="auto"/>
            <w:left w:val="none" w:sz="0" w:space="0" w:color="auto"/>
            <w:bottom w:val="none" w:sz="0" w:space="0" w:color="auto"/>
            <w:right w:val="none" w:sz="0" w:space="0" w:color="auto"/>
          </w:divBdr>
        </w:div>
        <w:div w:id="260184718">
          <w:marLeft w:val="0"/>
          <w:marRight w:val="0"/>
          <w:marTop w:val="0"/>
          <w:marBottom w:val="0"/>
          <w:divBdr>
            <w:top w:val="none" w:sz="0" w:space="0" w:color="auto"/>
            <w:left w:val="none" w:sz="0" w:space="0" w:color="auto"/>
            <w:bottom w:val="none" w:sz="0" w:space="0" w:color="auto"/>
            <w:right w:val="none" w:sz="0" w:space="0" w:color="auto"/>
          </w:divBdr>
        </w:div>
        <w:div w:id="1148548311">
          <w:marLeft w:val="0"/>
          <w:marRight w:val="0"/>
          <w:marTop w:val="0"/>
          <w:marBottom w:val="0"/>
          <w:divBdr>
            <w:top w:val="none" w:sz="0" w:space="0" w:color="auto"/>
            <w:left w:val="none" w:sz="0" w:space="0" w:color="auto"/>
            <w:bottom w:val="none" w:sz="0" w:space="0" w:color="auto"/>
            <w:right w:val="none" w:sz="0" w:space="0" w:color="auto"/>
          </w:divBdr>
        </w:div>
        <w:div w:id="168831874">
          <w:marLeft w:val="0"/>
          <w:marRight w:val="0"/>
          <w:marTop w:val="0"/>
          <w:marBottom w:val="0"/>
          <w:divBdr>
            <w:top w:val="none" w:sz="0" w:space="0" w:color="auto"/>
            <w:left w:val="none" w:sz="0" w:space="0" w:color="auto"/>
            <w:bottom w:val="none" w:sz="0" w:space="0" w:color="auto"/>
            <w:right w:val="none" w:sz="0" w:space="0" w:color="auto"/>
          </w:divBdr>
        </w:div>
        <w:div w:id="1075015032">
          <w:marLeft w:val="0"/>
          <w:marRight w:val="0"/>
          <w:marTop w:val="0"/>
          <w:marBottom w:val="0"/>
          <w:divBdr>
            <w:top w:val="none" w:sz="0" w:space="0" w:color="auto"/>
            <w:left w:val="none" w:sz="0" w:space="0" w:color="auto"/>
            <w:bottom w:val="none" w:sz="0" w:space="0" w:color="auto"/>
            <w:right w:val="none" w:sz="0" w:space="0" w:color="auto"/>
          </w:divBdr>
        </w:div>
        <w:div w:id="798764485">
          <w:marLeft w:val="0"/>
          <w:marRight w:val="0"/>
          <w:marTop w:val="0"/>
          <w:marBottom w:val="0"/>
          <w:divBdr>
            <w:top w:val="none" w:sz="0" w:space="0" w:color="auto"/>
            <w:left w:val="none" w:sz="0" w:space="0" w:color="auto"/>
            <w:bottom w:val="none" w:sz="0" w:space="0" w:color="auto"/>
            <w:right w:val="none" w:sz="0" w:space="0" w:color="auto"/>
          </w:divBdr>
        </w:div>
        <w:div w:id="2120759175">
          <w:marLeft w:val="0"/>
          <w:marRight w:val="0"/>
          <w:marTop w:val="0"/>
          <w:marBottom w:val="0"/>
          <w:divBdr>
            <w:top w:val="none" w:sz="0" w:space="0" w:color="auto"/>
            <w:left w:val="none" w:sz="0" w:space="0" w:color="auto"/>
            <w:bottom w:val="none" w:sz="0" w:space="0" w:color="auto"/>
            <w:right w:val="none" w:sz="0" w:space="0" w:color="auto"/>
          </w:divBdr>
        </w:div>
        <w:div w:id="1204058361">
          <w:marLeft w:val="0"/>
          <w:marRight w:val="0"/>
          <w:marTop w:val="0"/>
          <w:marBottom w:val="0"/>
          <w:divBdr>
            <w:top w:val="none" w:sz="0" w:space="0" w:color="auto"/>
            <w:left w:val="none" w:sz="0" w:space="0" w:color="auto"/>
            <w:bottom w:val="none" w:sz="0" w:space="0" w:color="auto"/>
            <w:right w:val="none" w:sz="0" w:space="0" w:color="auto"/>
          </w:divBdr>
        </w:div>
        <w:div w:id="517544992">
          <w:marLeft w:val="0"/>
          <w:marRight w:val="0"/>
          <w:marTop w:val="0"/>
          <w:marBottom w:val="0"/>
          <w:divBdr>
            <w:top w:val="none" w:sz="0" w:space="0" w:color="auto"/>
            <w:left w:val="none" w:sz="0" w:space="0" w:color="auto"/>
            <w:bottom w:val="none" w:sz="0" w:space="0" w:color="auto"/>
            <w:right w:val="none" w:sz="0" w:space="0" w:color="auto"/>
          </w:divBdr>
        </w:div>
        <w:div w:id="230434660">
          <w:marLeft w:val="0"/>
          <w:marRight w:val="0"/>
          <w:marTop w:val="0"/>
          <w:marBottom w:val="0"/>
          <w:divBdr>
            <w:top w:val="none" w:sz="0" w:space="0" w:color="auto"/>
            <w:left w:val="none" w:sz="0" w:space="0" w:color="auto"/>
            <w:bottom w:val="none" w:sz="0" w:space="0" w:color="auto"/>
            <w:right w:val="none" w:sz="0" w:space="0" w:color="auto"/>
          </w:divBdr>
        </w:div>
        <w:div w:id="1026952312">
          <w:marLeft w:val="0"/>
          <w:marRight w:val="0"/>
          <w:marTop w:val="0"/>
          <w:marBottom w:val="0"/>
          <w:divBdr>
            <w:top w:val="none" w:sz="0" w:space="0" w:color="auto"/>
            <w:left w:val="none" w:sz="0" w:space="0" w:color="auto"/>
            <w:bottom w:val="none" w:sz="0" w:space="0" w:color="auto"/>
            <w:right w:val="none" w:sz="0" w:space="0" w:color="auto"/>
          </w:divBdr>
        </w:div>
        <w:div w:id="1462653920">
          <w:marLeft w:val="0"/>
          <w:marRight w:val="0"/>
          <w:marTop w:val="0"/>
          <w:marBottom w:val="0"/>
          <w:divBdr>
            <w:top w:val="none" w:sz="0" w:space="0" w:color="auto"/>
            <w:left w:val="none" w:sz="0" w:space="0" w:color="auto"/>
            <w:bottom w:val="none" w:sz="0" w:space="0" w:color="auto"/>
            <w:right w:val="none" w:sz="0" w:space="0" w:color="auto"/>
          </w:divBdr>
        </w:div>
        <w:div w:id="1812357829">
          <w:marLeft w:val="0"/>
          <w:marRight w:val="0"/>
          <w:marTop w:val="0"/>
          <w:marBottom w:val="0"/>
          <w:divBdr>
            <w:top w:val="none" w:sz="0" w:space="0" w:color="auto"/>
            <w:left w:val="none" w:sz="0" w:space="0" w:color="auto"/>
            <w:bottom w:val="none" w:sz="0" w:space="0" w:color="auto"/>
            <w:right w:val="none" w:sz="0" w:space="0" w:color="auto"/>
          </w:divBdr>
        </w:div>
        <w:div w:id="1116220870">
          <w:marLeft w:val="0"/>
          <w:marRight w:val="0"/>
          <w:marTop w:val="0"/>
          <w:marBottom w:val="0"/>
          <w:divBdr>
            <w:top w:val="none" w:sz="0" w:space="0" w:color="auto"/>
            <w:left w:val="none" w:sz="0" w:space="0" w:color="auto"/>
            <w:bottom w:val="none" w:sz="0" w:space="0" w:color="auto"/>
            <w:right w:val="none" w:sz="0" w:space="0" w:color="auto"/>
          </w:divBdr>
        </w:div>
        <w:div w:id="380592008">
          <w:marLeft w:val="0"/>
          <w:marRight w:val="0"/>
          <w:marTop w:val="0"/>
          <w:marBottom w:val="0"/>
          <w:divBdr>
            <w:top w:val="none" w:sz="0" w:space="0" w:color="auto"/>
            <w:left w:val="none" w:sz="0" w:space="0" w:color="auto"/>
            <w:bottom w:val="none" w:sz="0" w:space="0" w:color="auto"/>
            <w:right w:val="none" w:sz="0" w:space="0" w:color="auto"/>
          </w:divBdr>
        </w:div>
        <w:div w:id="88086519">
          <w:marLeft w:val="0"/>
          <w:marRight w:val="0"/>
          <w:marTop w:val="0"/>
          <w:marBottom w:val="0"/>
          <w:divBdr>
            <w:top w:val="none" w:sz="0" w:space="0" w:color="auto"/>
            <w:left w:val="none" w:sz="0" w:space="0" w:color="auto"/>
            <w:bottom w:val="none" w:sz="0" w:space="0" w:color="auto"/>
            <w:right w:val="none" w:sz="0" w:space="0" w:color="auto"/>
          </w:divBdr>
        </w:div>
        <w:div w:id="2063750844">
          <w:marLeft w:val="0"/>
          <w:marRight w:val="0"/>
          <w:marTop w:val="0"/>
          <w:marBottom w:val="0"/>
          <w:divBdr>
            <w:top w:val="none" w:sz="0" w:space="0" w:color="auto"/>
            <w:left w:val="none" w:sz="0" w:space="0" w:color="auto"/>
            <w:bottom w:val="none" w:sz="0" w:space="0" w:color="auto"/>
            <w:right w:val="none" w:sz="0" w:space="0" w:color="auto"/>
          </w:divBdr>
        </w:div>
        <w:div w:id="426192241">
          <w:marLeft w:val="0"/>
          <w:marRight w:val="0"/>
          <w:marTop w:val="0"/>
          <w:marBottom w:val="0"/>
          <w:divBdr>
            <w:top w:val="none" w:sz="0" w:space="0" w:color="auto"/>
            <w:left w:val="none" w:sz="0" w:space="0" w:color="auto"/>
            <w:bottom w:val="none" w:sz="0" w:space="0" w:color="auto"/>
            <w:right w:val="none" w:sz="0" w:space="0" w:color="auto"/>
          </w:divBdr>
        </w:div>
        <w:div w:id="1806894414">
          <w:marLeft w:val="0"/>
          <w:marRight w:val="0"/>
          <w:marTop w:val="0"/>
          <w:marBottom w:val="0"/>
          <w:divBdr>
            <w:top w:val="none" w:sz="0" w:space="0" w:color="auto"/>
            <w:left w:val="none" w:sz="0" w:space="0" w:color="auto"/>
            <w:bottom w:val="none" w:sz="0" w:space="0" w:color="auto"/>
            <w:right w:val="none" w:sz="0" w:space="0" w:color="auto"/>
          </w:divBdr>
        </w:div>
        <w:div w:id="101384925">
          <w:marLeft w:val="0"/>
          <w:marRight w:val="0"/>
          <w:marTop w:val="0"/>
          <w:marBottom w:val="0"/>
          <w:divBdr>
            <w:top w:val="none" w:sz="0" w:space="0" w:color="auto"/>
            <w:left w:val="none" w:sz="0" w:space="0" w:color="auto"/>
            <w:bottom w:val="none" w:sz="0" w:space="0" w:color="auto"/>
            <w:right w:val="none" w:sz="0" w:space="0" w:color="auto"/>
          </w:divBdr>
        </w:div>
        <w:div w:id="1558202701">
          <w:marLeft w:val="0"/>
          <w:marRight w:val="0"/>
          <w:marTop w:val="0"/>
          <w:marBottom w:val="0"/>
          <w:divBdr>
            <w:top w:val="none" w:sz="0" w:space="0" w:color="auto"/>
            <w:left w:val="none" w:sz="0" w:space="0" w:color="auto"/>
            <w:bottom w:val="none" w:sz="0" w:space="0" w:color="auto"/>
            <w:right w:val="none" w:sz="0" w:space="0" w:color="auto"/>
          </w:divBdr>
        </w:div>
        <w:div w:id="471412337">
          <w:marLeft w:val="0"/>
          <w:marRight w:val="0"/>
          <w:marTop w:val="0"/>
          <w:marBottom w:val="0"/>
          <w:divBdr>
            <w:top w:val="none" w:sz="0" w:space="0" w:color="auto"/>
            <w:left w:val="none" w:sz="0" w:space="0" w:color="auto"/>
            <w:bottom w:val="none" w:sz="0" w:space="0" w:color="auto"/>
            <w:right w:val="none" w:sz="0" w:space="0" w:color="auto"/>
          </w:divBdr>
        </w:div>
        <w:div w:id="1138261142">
          <w:marLeft w:val="0"/>
          <w:marRight w:val="0"/>
          <w:marTop w:val="0"/>
          <w:marBottom w:val="0"/>
          <w:divBdr>
            <w:top w:val="none" w:sz="0" w:space="0" w:color="auto"/>
            <w:left w:val="none" w:sz="0" w:space="0" w:color="auto"/>
            <w:bottom w:val="none" w:sz="0" w:space="0" w:color="auto"/>
            <w:right w:val="none" w:sz="0" w:space="0" w:color="auto"/>
          </w:divBdr>
        </w:div>
        <w:div w:id="563876330">
          <w:marLeft w:val="0"/>
          <w:marRight w:val="0"/>
          <w:marTop w:val="0"/>
          <w:marBottom w:val="0"/>
          <w:divBdr>
            <w:top w:val="none" w:sz="0" w:space="0" w:color="auto"/>
            <w:left w:val="none" w:sz="0" w:space="0" w:color="auto"/>
            <w:bottom w:val="none" w:sz="0" w:space="0" w:color="auto"/>
            <w:right w:val="none" w:sz="0" w:space="0" w:color="auto"/>
          </w:divBdr>
        </w:div>
        <w:div w:id="1341666476">
          <w:marLeft w:val="0"/>
          <w:marRight w:val="0"/>
          <w:marTop w:val="0"/>
          <w:marBottom w:val="0"/>
          <w:divBdr>
            <w:top w:val="none" w:sz="0" w:space="0" w:color="auto"/>
            <w:left w:val="none" w:sz="0" w:space="0" w:color="auto"/>
            <w:bottom w:val="none" w:sz="0" w:space="0" w:color="auto"/>
            <w:right w:val="none" w:sz="0" w:space="0" w:color="auto"/>
          </w:divBdr>
        </w:div>
        <w:div w:id="1427725394">
          <w:marLeft w:val="0"/>
          <w:marRight w:val="0"/>
          <w:marTop w:val="0"/>
          <w:marBottom w:val="0"/>
          <w:divBdr>
            <w:top w:val="none" w:sz="0" w:space="0" w:color="auto"/>
            <w:left w:val="none" w:sz="0" w:space="0" w:color="auto"/>
            <w:bottom w:val="none" w:sz="0" w:space="0" w:color="auto"/>
            <w:right w:val="none" w:sz="0" w:space="0" w:color="auto"/>
          </w:divBdr>
        </w:div>
        <w:div w:id="1761219145">
          <w:marLeft w:val="0"/>
          <w:marRight w:val="0"/>
          <w:marTop w:val="0"/>
          <w:marBottom w:val="0"/>
          <w:divBdr>
            <w:top w:val="none" w:sz="0" w:space="0" w:color="auto"/>
            <w:left w:val="none" w:sz="0" w:space="0" w:color="auto"/>
            <w:bottom w:val="none" w:sz="0" w:space="0" w:color="auto"/>
            <w:right w:val="none" w:sz="0" w:space="0" w:color="auto"/>
          </w:divBdr>
        </w:div>
        <w:div w:id="216866489">
          <w:marLeft w:val="0"/>
          <w:marRight w:val="0"/>
          <w:marTop w:val="0"/>
          <w:marBottom w:val="0"/>
          <w:divBdr>
            <w:top w:val="none" w:sz="0" w:space="0" w:color="auto"/>
            <w:left w:val="none" w:sz="0" w:space="0" w:color="auto"/>
            <w:bottom w:val="none" w:sz="0" w:space="0" w:color="auto"/>
            <w:right w:val="none" w:sz="0" w:space="0" w:color="auto"/>
          </w:divBdr>
        </w:div>
        <w:div w:id="986982810">
          <w:marLeft w:val="0"/>
          <w:marRight w:val="0"/>
          <w:marTop w:val="0"/>
          <w:marBottom w:val="0"/>
          <w:divBdr>
            <w:top w:val="none" w:sz="0" w:space="0" w:color="auto"/>
            <w:left w:val="none" w:sz="0" w:space="0" w:color="auto"/>
            <w:bottom w:val="none" w:sz="0" w:space="0" w:color="auto"/>
            <w:right w:val="none" w:sz="0" w:space="0" w:color="auto"/>
          </w:divBdr>
        </w:div>
        <w:div w:id="492455378">
          <w:marLeft w:val="0"/>
          <w:marRight w:val="0"/>
          <w:marTop w:val="0"/>
          <w:marBottom w:val="0"/>
          <w:divBdr>
            <w:top w:val="none" w:sz="0" w:space="0" w:color="auto"/>
            <w:left w:val="none" w:sz="0" w:space="0" w:color="auto"/>
            <w:bottom w:val="none" w:sz="0" w:space="0" w:color="auto"/>
            <w:right w:val="none" w:sz="0" w:space="0" w:color="auto"/>
          </w:divBdr>
        </w:div>
        <w:div w:id="648947180">
          <w:marLeft w:val="0"/>
          <w:marRight w:val="0"/>
          <w:marTop w:val="0"/>
          <w:marBottom w:val="0"/>
          <w:divBdr>
            <w:top w:val="none" w:sz="0" w:space="0" w:color="auto"/>
            <w:left w:val="none" w:sz="0" w:space="0" w:color="auto"/>
            <w:bottom w:val="none" w:sz="0" w:space="0" w:color="auto"/>
            <w:right w:val="none" w:sz="0" w:space="0" w:color="auto"/>
          </w:divBdr>
        </w:div>
        <w:div w:id="1448044864">
          <w:marLeft w:val="0"/>
          <w:marRight w:val="0"/>
          <w:marTop w:val="0"/>
          <w:marBottom w:val="0"/>
          <w:divBdr>
            <w:top w:val="none" w:sz="0" w:space="0" w:color="auto"/>
            <w:left w:val="none" w:sz="0" w:space="0" w:color="auto"/>
            <w:bottom w:val="none" w:sz="0" w:space="0" w:color="auto"/>
            <w:right w:val="none" w:sz="0" w:space="0" w:color="auto"/>
          </w:divBdr>
        </w:div>
        <w:div w:id="1602028392">
          <w:marLeft w:val="0"/>
          <w:marRight w:val="0"/>
          <w:marTop w:val="0"/>
          <w:marBottom w:val="0"/>
          <w:divBdr>
            <w:top w:val="none" w:sz="0" w:space="0" w:color="auto"/>
            <w:left w:val="none" w:sz="0" w:space="0" w:color="auto"/>
            <w:bottom w:val="none" w:sz="0" w:space="0" w:color="auto"/>
            <w:right w:val="none" w:sz="0" w:space="0" w:color="auto"/>
          </w:divBdr>
        </w:div>
        <w:div w:id="667515601">
          <w:marLeft w:val="0"/>
          <w:marRight w:val="0"/>
          <w:marTop w:val="0"/>
          <w:marBottom w:val="0"/>
          <w:divBdr>
            <w:top w:val="none" w:sz="0" w:space="0" w:color="auto"/>
            <w:left w:val="none" w:sz="0" w:space="0" w:color="auto"/>
            <w:bottom w:val="none" w:sz="0" w:space="0" w:color="auto"/>
            <w:right w:val="none" w:sz="0" w:space="0" w:color="auto"/>
          </w:divBdr>
        </w:div>
        <w:div w:id="1426609534">
          <w:marLeft w:val="0"/>
          <w:marRight w:val="0"/>
          <w:marTop w:val="0"/>
          <w:marBottom w:val="0"/>
          <w:divBdr>
            <w:top w:val="none" w:sz="0" w:space="0" w:color="auto"/>
            <w:left w:val="none" w:sz="0" w:space="0" w:color="auto"/>
            <w:bottom w:val="none" w:sz="0" w:space="0" w:color="auto"/>
            <w:right w:val="none" w:sz="0" w:space="0" w:color="auto"/>
          </w:divBdr>
        </w:div>
        <w:div w:id="1918438187">
          <w:marLeft w:val="0"/>
          <w:marRight w:val="0"/>
          <w:marTop w:val="0"/>
          <w:marBottom w:val="0"/>
          <w:divBdr>
            <w:top w:val="none" w:sz="0" w:space="0" w:color="auto"/>
            <w:left w:val="none" w:sz="0" w:space="0" w:color="auto"/>
            <w:bottom w:val="none" w:sz="0" w:space="0" w:color="auto"/>
            <w:right w:val="none" w:sz="0" w:space="0" w:color="auto"/>
          </w:divBdr>
        </w:div>
        <w:div w:id="1833983077">
          <w:marLeft w:val="0"/>
          <w:marRight w:val="0"/>
          <w:marTop w:val="0"/>
          <w:marBottom w:val="0"/>
          <w:divBdr>
            <w:top w:val="none" w:sz="0" w:space="0" w:color="auto"/>
            <w:left w:val="none" w:sz="0" w:space="0" w:color="auto"/>
            <w:bottom w:val="none" w:sz="0" w:space="0" w:color="auto"/>
            <w:right w:val="none" w:sz="0" w:space="0" w:color="auto"/>
          </w:divBdr>
        </w:div>
        <w:div w:id="604508321">
          <w:marLeft w:val="0"/>
          <w:marRight w:val="0"/>
          <w:marTop w:val="0"/>
          <w:marBottom w:val="0"/>
          <w:divBdr>
            <w:top w:val="none" w:sz="0" w:space="0" w:color="auto"/>
            <w:left w:val="none" w:sz="0" w:space="0" w:color="auto"/>
            <w:bottom w:val="none" w:sz="0" w:space="0" w:color="auto"/>
            <w:right w:val="none" w:sz="0" w:space="0" w:color="auto"/>
          </w:divBdr>
        </w:div>
        <w:div w:id="1966619610">
          <w:marLeft w:val="0"/>
          <w:marRight w:val="0"/>
          <w:marTop w:val="0"/>
          <w:marBottom w:val="0"/>
          <w:divBdr>
            <w:top w:val="none" w:sz="0" w:space="0" w:color="auto"/>
            <w:left w:val="none" w:sz="0" w:space="0" w:color="auto"/>
            <w:bottom w:val="none" w:sz="0" w:space="0" w:color="auto"/>
            <w:right w:val="none" w:sz="0" w:space="0" w:color="auto"/>
          </w:divBdr>
        </w:div>
        <w:div w:id="587661921">
          <w:marLeft w:val="0"/>
          <w:marRight w:val="0"/>
          <w:marTop w:val="0"/>
          <w:marBottom w:val="0"/>
          <w:divBdr>
            <w:top w:val="none" w:sz="0" w:space="0" w:color="auto"/>
            <w:left w:val="none" w:sz="0" w:space="0" w:color="auto"/>
            <w:bottom w:val="none" w:sz="0" w:space="0" w:color="auto"/>
            <w:right w:val="none" w:sz="0" w:space="0" w:color="auto"/>
          </w:divBdr>
        </w:div>
        <w:div w:id="967320854">
          <w:marLeft w:val="0"/>
          <w:marRight w:val="0"/>
          <w:marTop w:val="0"/>
          <w:marBottom w:val="0"/>
          <w:divBdr>
            <w:top w:val="none" w:sz="0" w:space="0" w:color="auto"/>
            <w:left w:val="none" w:sz="0" w:space="0" w:color="auto"/>
            <w:bottom w:val="none" w:sz="0" w:space="0" w:color="auto"/>
            <w:right w:val="none" w:sz="0" w:space="0" w:color="auto"/>
          </w:divBdr>
        </w:div>
        <w:div w:id="1443068961">
          <w:marLeft w:val="0"/>
          <w:marRight w:val="0"/>
          <w:marTop w:val="0"/>
          <w:marBottom w:val="0"/>
          <w:divBdr>
            <w:top w:val="none" w:sz="0" w:space="0" w:color="auto"/>
            <w:left w:val="none" w:sz="0" w:space="0" w:color="auto"/>
            <w:bottom w:val="none" w:sz="0" w:space="0" w:color="auto"/>
            <w:right w:val="none" w:sz="0" w:space="0" w:color="auto"/>
          </w:divBdr>
        </w:div>
        <w:div w:id="482087867">
          <w:marLeft w:val="0"/>
          <w:marRight w:val="0"/>
          <w:marTop w:val="0"/>
          <w:marBottom w:val="0"/>
          <w:divBdr>
            <w:top w:val="none" w:sz="0" w:space="0" w:color="auto"/>
            <w:left w:val="none" w:sz="0" w:space="0" w:color="auto"/>
            <w:bottom w:val="none" w:sz="0" w:space="0" w:color="auto"/>
            <w:right w:val="none" w:sz="0" w:space="0" w:color="auto"/>
          </w:divBdr>
        </w:div>
        <w:div w:id="1791898247">
          <w:marLeft w:val="0"/>
          <w:marRight w:val="0"/>
          <w:marTop w:val="0"/>
          <w:marBottom w:val="0"/>
          <w:divBdr>
            <w:top w:val="none" w:sz="0" w:space="0" w:color="auto"/>
            <w:left w:val="none" w:sz="0" w:space="0" w:color="auto"/>
            <w:bottom w:val="none" w:sz="0" w:space="0" w:color="auto"/>
            <w:right w:val="none" w:sz="0" w:space="0" w:color="auto"/>
          </w:divBdr>
        </w:div>
        <w:div w:id="2126189847">
          <w:marLeft w:val="0"/>
          <w:marRight w:val="0"/>
          <w:marTop w:val="0"/>
          <w:marBottom w:val="0"/>
          <w:divBdr>
            <w:top w:val="none" w:sz="0" w:space="0" w:color="auto"/>
            <w:left w:val="none" w:sz="0" w:space="0" w:color="auto"/>
            <w:bottom w:val="none" w:sz="0" w:space="0" w:color="auto"/>
            <w:right w:val="none" w:sz="0" w:space="0" w:color="auto"/>
          </w:divBdr>
        </w:div>
        <w:div w:id="882063320">
          <w:marLeft w:val="0"/>
          <w:marRight w:val="0"/>
          <w:marTop w:val="0"/>
          <w:marBottom w:val="0"/>
          <w:divBdr>
            <w:top w:val="none" w:sz="0" w:space="0" w:color="auto"/>
            <w:left w:val="none" w:sz="0" w:space="0" w:color="auto"/>
            <w:bottom w:val="none" w:sz="0" w:space="0" w:color="auto"/>
            <w:right w:val="none" w:sz="0" w:space="0" w:color="auto"/>
          </w:divBdr>
        </w:div>
        <w:div w:id="1983195811">
          <w:marLeft w:val="0"/>
          <w:marRight w:val="0"/>
          <w:marTop w:val="0"/>
          <w:marBottom w:val="0"/>
          <w:divBdr>
            <w:top w:val="none" w:sz="0" w:space="0" w:color="auto"/>
            <w:left w:val="none" w:sz="0" w:space="0" w:color="auto"/>
            <w:bottom w:val="none" w:sz="0" w:space="0" w:color="auto"/>
            <w:right w:val="none" w:sz="0" w:space="0" w:color="auto"/>
          </w:divBdr>
        </w:div>
        <w:div w:id="1142039087">
          <w:marLeft w:val="0"/>
          <w:marRight w:val="0"/>
          <w:marTop w:val="0"/>
          <w:marBottom w:val="0"/>
          <w:divBdr>
            <w:top w:val="none" w:sz="0" w:space="0" w:color="auto"/>
            <w:left w:val="none" w:sz="0" w:space="0" w:color="auto"/>
            <w:bottom w:val="none" w:sz="0" w:space="0" w:color="auto"/>
            <w:right w:val="none" w:sz="0" w:space="0" w:color="auto"/>
          </w:divBdr>
        </w:div>
        <w:div w:id="50353334">
          <w:marLeft w:val="0"/>
          <w:marRight w:val="0"/>
          <w:marTop w:val="0"/>
          <w:marBottom w:val="0"/>
          <w:divBdr>
            <w:top w:val="none" w:sz="0" w:space="0" w:color="auto"/>
            <w:left w:val="none" w:sz="0" w:space="0" w:color="auto"/>
            <w:bottom w:val="none" w:sz="0" w:space="0" w:color="auto"/>
            <w:right w:val="none" w:sz="0" w:space="0" w:color="auto"/>
          </w:divBdr>
        </w:div>
        <w:div w:id="1678540737">
          <w:marLeft w:val="0"/>
          <w:marRight w:val="0"/>
          <w:marTop w:val="0"/>
          <w:marBottom w:val="0"/>
          <w:divBdr>
            <w:top w:val="none" w:sz="0" w:space="0" w:color="auto"/>
            <w:left w:val="none" w:sz="0" w:space="0" w:color="auto"/>
            <w:bottom w:val="none" w:sz="0" w:space="0" w:color="auto"/>
            <w:right w:val="none" w:sz="0" w:space="0" w:color="auto"/>
          </w:divBdr>
        </w:div>
        <w:div w:id="1343510057">
          <w:marLeft w:val="0"/>
          <w:marRight w:val="0"/>
          <w:marTop w:val="0"/>
          <w:marBottom w:val="0"/>
          <w:divBdr>
            <w:top w:val="none" w:sz="0" w:space="0" w:color="auto"/>
            <w:left w:val="none" w:sz="0" w:space="0" w:color="auto"/>
            <w:bottom w:val="none" w:sz="0" w:space="0" w:color="auto"/>
            <w:right w:val="none" w:sz="0" w:space="0" w:color="auto"/>
          </w:divBdr>
        </w:div>
        <w:div w:id="2116047952">
          <w:marLeft w:val="0"/>
          <w:marRight w:val="0"/>
          <w:marTop w:val="0"/>
          <w:marBottom w:val="0"/>
          <w:divBdr>
            <w:top w:val="none" w:sz="0" w:space="0" w:color="auto"/>
            <w:left w:val="none" w:sz="0" w:space="0" w:color="auto"/>
            <w:bottom w:val="none" w:sz="0" w:space="0" w:color="auto"/>
            <w:right w:val="none" w:sz="0" w:space="0" w:color="auto"/>
          </w:divBdr>
        </w:div>
        <w:div w:id="509488570">
          <w:marLeft w:val="0"/>
          <w:marRight w:val="0"/>
          <w:marTop w:val="0"/>
          <w:marBottom w:val="0"/>
          <w:divBdr>
            <w:top w:val="none" w:sz="0" w:space="0" w:color="auto"/>
            <w:left w:val="none" w:sz="0" w:space="0" w:color="auto"/>
            <w:bottom w:val="none" w:sz="0" w:space="0" w:color="auto"/>
            <w:right w:val="none" w:sz="0" w:space="0" w:color="auto"/>
          </w:divBdr>
        </w:div>
        <w:div w:id="1370758800">
          <w:marLeft w:val="0"/>
          <w:marRight w:val="0"/>
          <w:marTop w:val="0"/>
          <w:marBottom w:val="0"/>
          <w:divBdr>
            <w:top w:val="none" w:sz="0" w:space="0" w:color="auto"/>
            <w:left w:val="none" w:sz="0" w:space="0" w:color="auto"/>
            <w:bottom w:val="none" w:sz="0" w:space="0" w:color="auto"/>
            <w:right w:val="none" w:sz="0" w:space="0" w:color="auto"/>
          </w:divBdr>
        </w:div>
        <w:div w:id="208106429">
          <w:marLeft w:val="0"/>
          <w:marRight w:val="0"/>
          <w:marTop w:val="0"/>
          <w:marBottom w:val="0"/>
          <w:divBdr>
            <w:top w:val="none" w:sz="0" w:space="0" w:color="auto"/>
            <w:left w:val="none" w:sz="0" w:space="0" w:color="auto"/>
            <w:bottom w:val="none" w:sz="0" w:space="0" w:color="auto"/>
            <w:right w:val="none" w:sz="0" w:space="0" w:color="auto"/>
          </w:divBdr>
        </w:div>
        <w:div w:id="1012420145">
          <w:marLeft w:val="0"/>
          <w:marRight w:val="0"/>
          <w:marTop w:val="0"/>
          <w:marBottom w:val="0"/>
          <w:divBdr>
            <w:top w:val="none" w:sz="0" w:space="0" w:color="auto"/>
            <w:left w:val="none" w:sz="0" w:space="0" w:color="auto"/>
            <w:bottom w:val="none" w:sz="0" w:space="0" w:color="auto"/>
            <w:right w:val="none" w:sz="0" w:space="0" w:color="auto"/>
          </w:divBdr>
        </w:div>
        <w:div w:id="1245450647">
          <w:marLeft w:val="0"/>
          <w:marRight w:val="0"/>
          <w:marTop w:val="0"/>
          <w:marBottom w:val="0"/>
          <w:divBdr>
            <w:top w:val="none" w:sz="0" w:space="0" w:color="auto"/>
            <w:left w:val="none" w:sz="0" w:space="0" w:color="auto"/>
            <w:bottom w:val="none" w:sz="0" w:space="0" w:color="auto"/>
            <w:right w:val="none" w:sz="0" w:space="0" w:color="auto"/>
          </w:divBdr>
        </w:div>
        <w:div w:id="1253124313">
          <w:marLeft w:val="0"/>
          <w:marRight w:val="0"/>
          <w:marTop w:val="0"/>
          <w:marBottom w:val="0"/>
          <w:divBdr>
            <w:top w:val="none" w:sz="0" w:space="0" w:color="auto"/>
            <w:left w:val="none" w:sz="0" w:space="0" w:color="auto"/>
            <w:bottom w:val="none" w:sz="0" w:space="0" w:color="auto"/>
            <w:right w:val="none" w:sz="0" w:space="0" w:color="auto"/>
          </w:divBdr>
        </w:div>
        <w:div w:id="588463652">
          <w:marLeft w:val="0"/>
          <w:marRight w:val="0"/>
          <w:marTop w:val="0"/>
          <w:marBottom w:val="0"/>
          <w:divBdr>
            <w:top w:val="none" w:sz="0" w:space="0" w:color="auto"/>
            <w:left w:val="none" w:sz="0" w:space="0" w:color="auto"/>
            <w:bottom w:val="none" w:sz="0" w:space="0" w:color="auto"/>
            <w:right w:val="none" w:sz="0" w:space="0" w:color="auto"/>
          </w:divBdr>
        </w:div>
        <w:div w:id="1976641488">
          <w:marLeft w:val="0"/>
          <w:marRight w:val="0"/>
          <w:marTop w:val="0"/>
          <w:marBottom w:val="0"/>
          <w:divBdr>
            <w:top w:val="none" w:sz="0" w:space="0" w:color="auto"/>
            <w:left w:val="none" w:sz="0" w:space="0" w:color="auto"/>
            <w:bottom w:val="none" w:sz="0" w:space="0" w:color="auto"/>
            <w:right w:val="none" w:sz="0" w:space="0" w:color="auto"/>
          </w:divBdr>
        </w:div>
        <w:div w:id="1675838054">
          <w:marLeft w:val="0"/>
          <w:marRight w:val="0"/>
          <w:marTop w:val="0"/>
          <w:marBottom w:val="0"/>
          <w:divBdr>
            <w:top w:val="none" w:sz="0" w:space="0" w:color="auto"/>
            <w:left w:val="none" w:sz="0" w:space="0" w:color="auto"/>
            <w:bottom w:val="none" w:sz="0" w:space="0" w:color="auto"/>
            <w:right w:val="none" w:sz="0" w:space="0" w:color="auto"/>
          </w:divBdr>
        </w:div>
        <w:div w:id="1762873127">
          <w:marLeft w:val="0"/>
          <w:marRight w:val="0"/>
          <w:marTop w:val="0"/>
          <w:marBottom w:val="0"/>
          <w:divBdr>
            <w:top w:val="none" w:sz="0" w:space="0" w:color="auto"/>
            <w:left w:val="none" w:sz="0" w:space="0" w:color="auto"/>
            <w:bottom w:val="none" w:sz="0" w:space="0" w:color="auto"/>
            <w:right w:val="none" w:sz="0" w:space="0" w:color="auto"/>
          </w:divBdr>
        </w:div>
        <w:div w:id="531499050">
          <w:marLeft w:val="0"/>
          <w:marRight w:val="0"/>
          <w:marTop w:val="0"/>
          <w:marBottom w:val="0"/>
          <w:divBdr>
            <w:top w:val="none" w:sz="0" w:space="0" w:color="auto"/>
            <w:left w:val="none" w:sz="0" w:space="0" w:color="auto"/>
            <w:bottom w:val="none" w:sz="0" w:space="0" w:color="auto"/>
            <w:right w:val="none" w:sz="0" w:space="0" w:color="auto"/>
          </w:divBdr>
        </w:div>
        <w:div w:id="1248536713">
          <w:marLeft w:val="0"/>
          <w:marRight w:val="0"/>
          <w:marTop w:val="0"/>
          <w:marBottom w:val="0"/>
          <w:divBdr>
            <w:top w:val="none" w:sz="0" w:space="0" w:color="auto"/>
            <w:left w:val="none" w:sz="0" w:space="0" w:color="auto"/>
            <w:bottom w:val="none" w:sz="0" w:space="0" w:color="auto"/>
            <w:right w:val="none" w:sz="0" w:space="0" w:color="auto"/>
          </w:divBdr>
        </w:div>
        <w:div w:id="652030554">
          <w:marLeft w:val="0"/>
          <w:marRight w:val="0"/>
          <w:marTop w:val="0"/>
          <w:marBottom w:val="0"/>
          <w:divBdr>
            <w:top w:val="none" w:sz="0" w:space="0" w:color="auto"/>
            <w:left w:val="none" w:sz="0" w:space="0" w:color="auto"/>
            <w:bottom w:val="none" w:sz="0" w:space="0" w:color="auto"/>
            <w:right w:val="none" w:sz="0" w:space="0" w:color="auto"/>
          </w:divBdr>
        </w:div>
      </w:divsChild>
    </w:div>
    <w:div w:id="925118675">
      <w:bodyDiv w:val="1"/>
      <w:marLeft w:val="0"/>
      <w:marRight w:val="0"/>
      <w:marTop w:val="0"/>
      <w:marBottom w:val="0"/>
      <w:divBdr>
        <w:top w:val="none" w:sz="0" w:space="0" w:color="auto"/>
        <w:left w:val="none" w:sz="0" w:space="0" w:color="auto"/>
        <w:bottom w:val="none" w:sz="0" w:space="0" w:color="auto"/>
        <w:right w:val="none" w:sz="0" w:space="0" w:color="auto"/>
      </w:divBdr>
    </w:div>
    <w:div w:id="972128187">
      <w:bodyDiv w:val="1"/>
      <w:marLeft w:val="0"/>
      <w:marRight w:val="0"/>
      <w:marTop w:val="0"/>
      <w:marBottom w:val="0"/>
      <w:divBdr>
        <w:top w:val="none" w:sz="0" w:space="0" w:color="auto"/>
        <w:left w:val="none" w:sz="0" w:space="0" w:color="auto"/>
        <w:bottom w:val="none" w:sz="0" w:space="0" w:color="auto"/>
        <w:right w:val="none" w:sz="0" w:space="0" w:color="auto"/>
      </w:divBdr>
      <w:divsChild>
        <w:div w:id="1064259824">
          <w:marLeft w:val="0"/>
          <w:marRight w:val="0"/>
          <w:marTop w:val="332"/>
          <w:marBottom w:val="332"/>
          <w:divBdr>
            <w:top w:val="none" w:sz="0" w:space="0" w:color="auto"/>
            <w:left w:val="none" w:sz="0" w:space="0" w:color="auto"/>
            <w:bottom w:val="none" w:sz="0" w:space="0" w:color="auto"/>
            <w:right w:val="none" w:sz="0" w:space="0" w:color="auto"/>
          </w:divBdr>
          <w:divsChild>
            <w:div w:id="93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3618">
      <w:bodyDiv w:val="1"/>
      <w:marLeft w:val="0"/>
      <w:marRight w:val="0"/>
      <w:marTop w:val="0"/>
      <w:marBottom w:val="0"/>
      <w:divBdr>
        <w:top w:val="none" w:sz="0" w:space="0" w:color="auto"/>
        <w:left w:val="none" w:sz="0" w:space="0" w:color="auto"/>
        <w:bottom w:val="none" w:sz="0" w:space="0" w:color="auto"/>
        <w:right w:val="none" w:sz="0" w:space="0" w:color="auto"/>
      </w:divBdr>
    </w:div>
    <w:div w:id="1170607589">
      <w:bodyDiv w:val="1"/>
      <w:marLeft w:val="0"/>
      <w:marRight w:val="0"/>
      <w:marTop w:val="0"/>
      <w:marBottom w:val="0"/>
      <w:divBdr>
        <w:top w:val="none" w:sz="0" w:space="0" w:color="auto"/>
        <w:left w:val="none" w:sz="0" w:space="0" w:color="auto"/>
        <w:bottom w:val="none" w:sz="0" w:space="0" w:color="auto"/>
        <w:right w:val="none" w:sz="0" w:space="0" w:color="auto"/>
      </w:divBdr>
      <w:divsChild>
        <w:div w:id="2122676016">
          <w:marLeft w:val="0"/>
          <w:marRight w:val="0"/>
          <w:marTop w:val="0"/>
          <w:marBottom w:val="166"/>
          <w:divBdr>
            <w:top w:val="none" w:sz="0" w:space="0" w:color="auto"/>
            <w:left w:val="none" w:sz="0" w:space="0" w:color="auto"/>
            <w:bottom w:val="none" w:sz="0" w:space="0" w:color="auto"/>
            <w:right w:val="none" w:sz="0" w:space="0" w:color="auto"/>
          </w:divBdr>
          <w:divsChild>
            <w:div w:id="1497183419">
              <w:marLeft w:val="0"/>
              <w:marRight w:val="0"/>
              <w:marTop w:val="0"/>
              <w:marBottom w:val="0"/>
              <w:divBdr>
                <w:top w:val="none" w:sz="0" w:space="0" w:color="auto"/>
                <w:left w:val="none" w:sz="0" w:space="0" w:color="auto"/>
                <w:bottom w:val="none" w:sz="0" w:space="0" w:color="auto"/>
                <w:right w:val="none" w:sz="0" w:space="0" w:color="auto"/>
              </w:divBdr>
              <w:divsChild>
                <w:div w:id="2017420447">
                  <w:marLeft w:val="0"/>
                  <w:marRight w:val="0"/>
                  <w:marTop w:val="0"/>
                  <w:marBottom w:val="0"/>
                  <w:divBdr>
                    <w:top w:val="none" w:sz="0" w:space="0" w:color="auto"/>
                    <w:left w:val="none" w:sz="0" w:space="0" w:color="auto"/>
                    <w:bottom w:val="none" w:sz="0" w:space="0" w:color="auto"/>
                    <w:right w:val="none" w:sz="0" w:space="0" w:color="auto"/>
                  </w:divBdr>
                  <w:divsChild>
                    <w:div w:id="1260943771">
                      <w:marLeft w:val="0"/>
                      <w:marRight w:val="0"/>
                      <w:marTop w:val="0"/>
                      <w:marBottom w:val="0"/>
                      <w:divBdr>
                        <w:top w:val="none" w:sz="0" w:space="0" w:color="auto"/>
                        <w:left w:val="none" w:sz="0" w:space="0" w:color="auto"/>
                        <w:bottom w:val="none" w:sz="0" w:space="0" w:color="auto"/>
                        <w:right w:val="none" w:sz="0" w:space="0" w:color="auto"/>
                      </w:divBdr>
                    </w:div>
                    <w:div w:id="16774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939">
              <w:marLeft w:val="0"/>
              <w:marRight w:val="0"/>
              <w:marTop w:val="0"/>
              <w:marBottom w:val="0"/>
              <w:divBdr>
                <w:top w:val="none" w:sz="0" w:space="0" w:color="auto"/>
                <w:left w:val="none" w:sz="0" w:space="0" w:color="auto"/>
                <w:bottom w:val="none" w:sz="0" w:space="0" w:color="auto"/>
                <w:right w:val="none" w:sz="0" w:space="0" w:color="auto"/>
              </w:divBdr>
              <w:divsChild>
                <w:div w:id="2044862727">
                  <w:marLeft w:val="0"/>
                  <w:marRight w:val="0"/>
                  <w:marTop w:val="0"/>
                  <w:marBottom w:val="0"/>
                  <w:divBdr>
                    <w:top w:val="none" w:sz="0" w:space="0" w:color="auto"/>
                    <w:left w:val="none" w:sz="0" w:space="0" w:color="auto"/>
                    <w:bottom w:val="none" w:sz="0" w:space="0" w:color="auto"/>
                    <w:right w:val="none" w:sz="0" w:space="0" w:color="auto"/>
                  </w:divBdr>
                </w:div>
                <w:div w:id="5191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3205">
          <w:marLeft w:val="0"/>
          <w:marRight w:val="0"/>
          <w:marTop w:val="166"/>
          <w:marBottom w:val="166"/>
          <w:divBdr>
            <w:top w:val="none" w:sz="0" w:space="0" w:color="auto"/>
            <w:left w:val="none" w:sz="0" w:space="0" w:color="auto"/>
            <w:bottom w:val="none" w:sz="0" w:space="0" w:color="auto"/>
            <w:right w:val="none" w:sz="0" w:space="0" w:color="auto"/>
          </w:divBdr>
          <w:divsChild>
            <w:div w:id="3881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5329">
      <w:bodyDiv w:val="1"/>
      <w:marLeft w:val="0"/>
      <w:marRight w:val="0"/>
      <w:marTop w:val="0"/>
      <w:marBottom w:val="0"/>
      <w:divBdr>
        <w:top w:val="none" w:sz="0" w:space="0" w:color="auto"/>
        <w:left w:val="none" w:sz="0" w:space="0" w:color="auto"/>
        <w:bottom w:val="none" w:sz="0" w:space="0" w:color="auto"/>
        <w:right w:val="none" w:sz="0" w:space="0" w:color="auto"/>
      </w:divBdr>
      <w:divsChild>
        <w:div w:id="992101468">
          <w:marLeft w:val="0"/>
          <w:marRight w:val="0"/>
          <w:marTop w:val="0"/>
          <w:marBottom w:val="0"/>
          <w:divBdr>
            <w:top w:val="none" w:sz="0" w:space="0" w:color="auto"/>
            <w:left w:val="none" w:sz="0" w:space="0" w:color="auto"/>
            <w:bottom w:val="none" w:sz="0" w:space="0" w:color="auto"/>
            <w:right w:val="none" w:sz="0" w:space="0" w:color="auto"/>
          </w:divBdr>
          <w:divsChild>
            <w:div w:id="924340588">
              <w:marLeft w:val="0"/>
              <w:marRight w:val="0"/>
              <w:marTop w:val="0"/>
              <w:marBottom w:val="0"/>
              <w:divBdr>
                <w:top w:val="none" w:sz="0" w:space="0" w:color="auto"/>
                <w:left w:val="none" w:sz="0" w:space="0" w:color="auto"/>
                <w:bottom w:val="none" w:sz="0" w:space="0" w:color="auto"/>
                <w:right w:val="none" w:sz="0" w:space="0" w:color="auto"/>
              </w:divBdr>
              <w:divsChild>
                <w:div w:id="639195417">
                  <w:marLeft w:val="0"/>
                  <w:marRight w:val="0"/>
                  <w:marTop w:val="0"/>
                  <w:marBottom w:val="0"/>
                  <w:divBdr>
                    <w:top w:val="none" w:sz="0" w:space="0" w:color="auto"/>
                    <w:left w:val="none" w:sz="0" w:space="0" w:color="auto"/>
                    <w:bottom w:val="none" w:sz="0" w:space="0" w:color="auto"/>
                    <w:right w:val="none" w:sz="0" w:space="0" w:color="auto"/>
                  </w:divBdr>
                  <w:divsChild>
                    <w:div w:id="12526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0064">
          <w:marLeft w:val="0"/>
          <w:marRight w:val="0"/>
          <w:marTop w:val="0"/>
          <w:marBottom w:val="0"/>
          <w:divBdr>
            <w:top w:val="none" w:sz="0" w:space="0" w:color="auto"/>
            <w:left w:val="none" w:sz="0" w:space="0" w:color="auto"/>
            <w:bottom w:val="none" w:sz="0" w:space="0" w:color="auto"/>
            <w:right w:val="none" w:sz="0" w:space="0" w:color="auto"/>
          </w:divBdr>
          <w:divsChild>
            <w:div w:id="788814940">
              <w:marLeft w:val="0"/>
              <w:marRight w:val="0"/>
              <w:marTop w:val="0"/>
              <w:marBottom w:val="0"/>
              <w:divBdr>
                <w:top w:val="none" w:sz="0" w:space="0" w:color="auto"/>
                <w:left w:val="none" w:sz="0" w:space="0" w:color="auto"/>
                <w:bottom w:val="none" w:sz="0" w:space="0" w:color="auto"/>
                <w:right w:val="none" w:sz="0" w:space="0" w:color="auto"/>
              </w:divBdr>
              <w:divsChild>
                <w:div w:id="638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4801">
      <w:bodyDiv w:val="1"/>
      <w:marLeft w:val="0"/>
      <w:marRight w:val="0"/>
      <w:marTop w:val="0"/>
      <w:marBottom w:val="0"/>
      <w:divBdr>
        <w:top w:val="none" w:sz="0" w:space="0" w:color="auto"/>
        <w:left w:val="none" w:sz="0" w:space="0" w:color="auto"/>
        <w:bottom w:val="none" w:sz="0" w:space="0" w:color="auto"/>
        <w:right w:val="none" w:sz="0" w:space="0" w:color="auto"/>
      </w:divBdr>
      <w:divsChild>
        <w:div w:id="444078995">
          <w:marLeft w:val="0"/>
          <w:marRight w:val="0"/>
          <w:marTop w:val="0"/>
          <w:marBottom w:val="0"/>
          <w:divBdr>
            <w:top w:val="none" w:sz="0" w:space="0" w:color="auto"/>
            <w:left w:val="none" w:sz="0" w:space="0" w:color="auto"/>
            <w:bottom w:val="none" w:sz="0" w:space="0" w:color="auto"/>
            <w:right w:val="none" w:sz="0" w:space="0" w:color="auto"/>
          </w:divBdr>
        </w:div>
        <w:div w:id="1872915063">
          <w:marLeft w:val="0"/>
          <w:marRight w:val="0"/>
          <w:marTop w:val="0"/>
          <w:marBottom w:val="0"/>
          <w:divBdr>
            <w:top w:val="none" w:sz="0" w:space="0" w:color="auto"/>
            <w:left w:val="none" w:sz="0" w:space="0" w:color="auto"/>
            <w:bottom w:val="none" w:sz="0" w:space="0" w:color="auto"/>
            <w:right w:val="none" w:sz="0" w:space="0" w:color="auto"/>
          </w:divBdr>
        </w:div>
        <w:div w:id="102459390">
          <w:marLeft w:val="0"/>
          <w:marRight w:val="0"/>
          <w:marTop w:val="0"/>
          <w:marBottom w:val="0"/>
          <w:divBdr>
            <w:top w:val="none" w:sz="0" w:space="0" w:color="auto"/>
            <w:left w:val="none" w:sz="0" w:space="0" w:color="auto"/>
            <w:bottom w:val="none" w:sz="0" w:space="0" w:color="auto"/>
            <w:right w:val="none" w:sz="0" w:space="0" w:color="auto"/>
          </w:divBdr>
        </w:div>
        <w:div w:id="262425687">
          <w:marLeft w:val="0"/>
          <w:marRight w:val="0"/>
          <w:marTop w:val="0"/>
          <w:marBottom w:val="0"/>
          <w:divBdr>
            <w:top w:val="none" w:sz="0" w:space="0" w:color="auto"/>
            <w:left w:val="none" w:sz="0" w:space="0" w:color="auto"/>
            <w:bottom w:val="none" w:sz="0" w:space="0" w:color="auto"/>
            <w:right w:val="none" w:sz="0" w:space="0" w:color="auto"/>
          </w:divBdr>
        </w:div>
        <w:div w:id="1161432332">
          <w:marLeft w:val="0"/>
          <w:marRight w:val="0"/>
          <w:marTop w:val="0"/>
          <w:marBottom w:val="0"/>
          <w:divBdr>
            <w:top w:val="none" w:sz="0" w:space="0" w:color="auto"/>
            <w:left w:val="none" w:sz="0" w:space="0" w:color="auto"/>
            <w:bottom w:val="none" w:sz="0" w:space="0" w:color="auto"/>
            <w:right w:val="none" w:sz="0" w:space="0" w:color="auto"/>
          </w:divBdr>
        </w:div>
        <w:div w:id="570851034">
          <w:marLeft w:val="0"/>
          <w:marRight w:val="0"/>
          <w:marTop w:val="0"/>
          <w:marBottom w:val="0"/>
          <w:divBdr>
            <w:top w:val="none" w:sz="0" w:space="0" w:color="auto"/>
            <w:left w:val="none" w:sz="0" w:space="0" w:color="auto"/>
            <w:bottom w:val="none" w:sz="0" w:space="0" w:color="auto"/>
            <w:right w:val="none" w:sz="0" w:space="0" w:color="auto"/>
          </w:divBdr>
        </w:div>
        <w:div w:id="800152656">
          <w:marLeft w:val="0"/>
          <w:marRight w:val="0"/>
          <w:marTop w:val="0"/>
          <w:marBottom w:val="0"/>
          <w:divBdr>
            <w:top w:val="none" w:sz="0" w:space="0" w:color="auto"/>
            <w:left w:val="none" w:sz="0" w:space="0" w:color="auto"/>
            <w:bottom w:val="none" w:sz="0" w:space="0" w:color="auto"/>
            <w:right w:val="none" w:sz="0" w:space="0" w:color="auto"/>
          </w:divBdr>
        </w:div>
        <w:div w:id="476843215">
          <w:marLeft w:val="0"/>
          <w:marRight w:val="0"/>
          <w:marTop w:val="0"/>
          <w:marBottom w:val="0"/>
          <w:divBdr>
            <w:top w:val="none" w:sz="0" w:space="0" w:color="auto"/>
            <w:left w:val="none" w:sz="0" w:space="0" w:color="auto"/>
            <w:bottom w:val="none" w:sz="0" w:space="0" w:color="auto"/>
            <w:right w:val="none" w:sz="0" w:space="0" w:color="auto"/>
          </w:divBdr>
        </w:div>
        <w:div w:id="1669867679">
          <w:marLeft w:val="0"/>
          <w:marRight w:val="0"/>
          <w:marTop w:val="0"/>
          <w:marBottom w:val="0"/>
          <w:divBdr>
            <w:top w:val="none" w:sz="0" w:space="0" w:color="auto"/>
            <w:left w:val="none" w:sz="0" w:space="0" w:color="auto"/>
            <w:bottom w:val="none" w:sz="0" w:space="0" w:color="auto"/>
            <w:right w:val="none" w:sz="0" w:space="0" w:color="auto"/>
          </w:divBdr>
        </w:div>
        <w:div w:id="1796630124">
          <w:marLeft w:val="0"/>
          <w:marRight w:val="0"/>
          <w:marTop w:val="0"/>
          <w:marBottom w:val="0"/>
          <w:divBdr>
            <w:top w:val="none" w:sz="0" w:space="0" w:color="auto"/>
            <w:left w:val="none" w:sz="0" w:space="0" w:color="auto"/>
            <w:bottom w:val="none" w:sz="0" w:space="0" w:color="auto"/>
            <w:right w:val="none" w:sz="0" w:space="0" w:color="auto"/>
          </w:divBdr>
        </w:div>
        <w:div w:id="1943806166">
          <w:marLeft w:val="0"/>
          <w:marRight w:val="0"/>
          <w:marTop w:val="0"/>
          <w:marBottom w:val="0"/>
          <w:divBdr>
            <w:top w:val="none" w:sz="0" w:space="0" w:color="auto"/>
            <w:left w:val="none" w:sz="0" w:space="0" w:color="auto"/>
            <w:bottom w:val="none" w:sz="0" w:space="0" w:color="auto"/>
            <w:right w:val="none" w:sz="0" w:space="0" w:color="auto"/>
          </w:divBdr>
        </w:div>
        <w:div w:id="885334741">
          <w:marLeft w:val="0"/>
          <w:marRight w:val="0"/>
          <w:marTop w:val="0"/>
          <w:marBottom w:val="0"/>
          <w:divBdr>
            <w:top w:val="none" w:sz="0" w:space="0" w:color="auto"/>
            <w:left w:val="none" w:sz="0" w:space="0" w:color="auto"/>
            <w:bottom w:val="none" w:sz="0" w:space="0" w:color="auto"/>
            <w:right w:val="none" w:sz="0" w:space="0" w:color="auto"/>
          </w:divBdr>
        </w:div>
        <w:div w:id="1376270106">
          <w:marLeft w:val="0"/>
          <w:marRight w:val="0"/>
          <w:marTop w:val="0"/>
          <w:marBottom w:val="0"/>
          <w:divBdr>
            <w:top w:val="none" w:sz="0" w:space="0" w:color="auto"/>
            <w:left w:val="none" w:sz="0" w:space="0" w:color="auto"/>
            <w:bottom w:val="none" w:sz="0" w:space="0" w:color="auto"/>
            <w:right w:val="none" w:sz="0" w:space="0" w:color="auto"/>
          </w:divBdr>
        </w:div>
        <w:div w:id="1737507237">
          <w:marLeft w:val="0"/>
          <w:marRight w:val="0"/>
          <w:marTop w:val="0"/>
          <w:marBottom w:val="0"/>
          <w:divBdr>
            <w:top w:val="none" w:sz="0" w:space="0" w:color="auto"/>
            <w:left w:val="none" w:sz="0" w:space="0" w:color="auto"/>
            <w:bottom w:val="none" w:sz="0" w:space="0" w:color="auto"/>
            <w:right w:val="none" w:sz="0" w:space="0" w:color="auto"/>
          </w:divBdr>
        </w:div>
        <w:div w:id="1654795913">
          <w:marLeft w:val="0"/>
          <w:marRight w:val="0"/>
          <w:marTop w:val="0"/>
          <w:marBottom w:val="0"/>
          <w:divBdr>
            <w:top w:val="none" w:sz="0" w:space="0" w:color="auto"/>
            <w:left w:val="none" w:sz="0" w:space="0" w:color="auto"/>
            <w:bottom w:val="none" w:sz="0" w:space="0" w:color="auto"/>
            <w:right w:val="none" w:sz="0" w:space="0" w:color="auto"/>
          </w:divBdr>
        </w:div>
        <w:div w:id="1296062383">
          <w:marLeft w:val="0"/>
          <w:marRight w:val="0"/>
          <w:marTop w:val="0"/>
          <w:marBottom w:val="0"/>
          <w:divBdr>
            <w:top w:val="none" w:sz="0" w:space="0" w:color="auto"/>
            <w:left w:val="none" w:sz="0" w:space="0" w:color="auto"/>
            <w:bottom w:val="none" w:sz="0" w:space="0" w:color="auto"/>
            <w:right w:val="none" w:sz="0" w:space="0" w:color="auto"/>
          </w:divBdr>
        </w:div>
        <w:div w:id="56167400">
          <w:marLeft w:val="0"/>
          <w:marRight w:val="0"/>
          <w:marTop w:val="0"/>
          <w:marBottom w:val="0"/>
          <w:divBdr>
            <w:top w:val="none" w:sz="0" w:space="0" w:color="auto"/>
            <w:left w:val="none" w:sz="0" w:space="0" w:color="auto"/>
            <w:bottom w:val="none" w:sz="0" w:space="0" w:color="auto"/>
            <w:right w:val="none" w:sz="0" w:space="0" w:color="auto"/>
          </w:divBdr>
        </w:div>
        <w:div w:id="1038165501">
          <w:marLeft w:val="0"/>
          <w:marRight w:val="0"/>
          <w:marTop w:val="0"/>
          <w:marBottom w:val="0"/>
          <w:divBdr>
            <w:top w:val="none" w:sz="0" w:space="0" w:color="auto"/>
            <w:left w:val="none" w:sz="0" w:space="0" w:color="auto"/>
            <w:bottom w:val="none" w:sz="0" w:space="0" w:color="auto"/>
            <w:right w:val="none" w:sz="0" w:space="0" w:color="auto"/>
          </w:divBdr>
        </w:div>
        <w:div w:id="13926292">
          <w:marLeft w:val="0"/>
          <w:marRight w:val="0"/>
          <w:marTop w:val="0"/>
          <w:marBottom w:val="0"/>
          <w:divBdr>
            <w:top w:val="none" w:sz="0" w:space="0" w:color="auto"/>
            <w:left w:val="none" w:sz="0" w:space="0" w:color="auto"/>
            <w:bottom w:val="none" w:sz="0" w:space="0" w:color="auto"/>
            <w:right w:val="none" w:sz="0" w:space="0" w:color="auto"/>
          </w:divBdr>
        </w:div>
        <w:div w:id="1954357394">
          <w:marLeft w:val="0"/>
          <w:marRight w:val="0"/>
          <w:marTop w:val="0"/>
          <w:marBottom w:val="0"/>
          <w:divBdr>
            <w:top w:val="none" w:sz="0" w:space="0" w:color="auto"/>
            <w:left w:val="none" w:sz="0" w:space="0" w:color="auto"/>
            <w:bottom w:val="none" w:sz="0" w:space="0" w:color="auto"/>
            <w:right w:val="none" w:sz="0" w:space="0" w:color="auto"/>
          </w:divBdr>
        </w:div>
        <w:div w:id="300118868">
          <w:marLeft w:val="0"/>
          <w:marRight w:val="0"/>
          <w:marTop w:val="0"/>
          <w:marBottom w:val="0"/>
          <w:divBdr>
            <w:top w:val="none" w:sz="0" w:space="0" w:color="auto"/>
            <w:left w:val="none" w:sz="0" w:space="0" w:color="auto"/>
            <w:bottom w:val="none" w:sz="0" w:space="0" w:color="auto"/>
            <w:right w:val="none" w:sz="0" w:space="0" w:color="auto"/>
          </w:divBdr>
        </w:div>
        <w:div w:id="143277035">
          <w:marLeft w:val="0"/>
          <w:marRight w:val="0"/>
          <w:marTop w:val="0"/>
          <w:marBottom w:val="0"/>
          <w:divBdr>
            <w:top w:val="none" w:sz="0" w:space="0" w:color="auto"/>
            <w:left w:val="none" w:sz="0" w:space="0" w:color="auto"/>
            <w:bottom w:val="none" w:sz="0" w:space="0" w:color="auto"/>
            <w:right w:val="none" w:sz="0" w:space="0" w:color="auto"/>
          </w:divBdr>
        </w:div>
        <w:div w:id="798571872">
          <w:marLeft w:val="0"/>
          <w:marRight w:val="0"/>
          <w:marTop w:val="0"/>
          <w:marBottom w:val="0"/>
          <w:divBdr>
            <w:top w:val="none" w:sz="0" w:space="0" w:color="auto"/>
            <w:left w:val="none" w:sz="0" w:space="0" w:color="auto"/>
            <w:bottom w:val="none" w:sz="0" w:space="0" w:color="auto"/>
            <w:right w:val="none" w:sz="0" w:space="0" w:color="auto"/>
          </w:divBdr>
        </w:div>
        <w:div w:id="612131776">
          <w:marLeft w:val="0"/>
          <w:marRight w:val="0"/>
          <w:marTop w:val="0"/>
          <w:marBottom w:val="0"/>
          <w:divBdr>
            <w:top w:val="none" w:sz="0" w:space="0" w:color="auto"/>
            <w:left w:val="none" w:sz="0" w:space="0" w:color="auto"/>
            <w:bottom w:val="none" w:sz="0" w:space="0" w:color="auto"/>
            <w:right w:val="none" w:sz="0" w:space="0" w:color="auto"/>
          </w:divBdr>
        </w:div>
        <w:div w:id="1351298445">
          <w:marLeft w:val="0"/>
          <w:marRight w:val="0"/>
          <w:marTop w:val="0"/>
          <w:marBottom w:val="0"/>
          <w:divBdr>
            <w:top w:val="none" w:sz="0" w:space="0" w:color="auto"/>
            <w:left w:val="none" w:sz="0" w:space="0" w:color="auto"/>
            <w:bottom w:val="none" w:sz="0" w:space="0" w:color="auto"/>
            <w:right w:val="none" w:sz="0" w:space="0" w:color="auto"/>
          </w:divBdr>
        </w:div>
        <w:div w:id="400324002">
          <w:marLeft w:val="0"/>
          <w:marRight w:val="0"/>
          <w:marTop w:val="0"/>
          <w:marBottom w:val="0"/>
          <w:divBdr>
            <w:top w:val="none" w:sz="0" w:space="0" w:color="auto"/>
            <w:left w:val="none" w:sz="0" w:space="0" w:color="auto"/>
            <w:bottom w:val="none" w:sz="0" w:space="0" w:color="auto"/>
            <w:right w:val="none" w:sz="0" w:space="0" w:color="auto"/>
          </w:divBdr>
        </w:div>
        <w:div w:id="1681351129">
          <w:marLeft w:val="0"/>
          <w:marRight w:val="0"/>
          <w:marTop w:val="0"/>
          <w:marBottom w:val="0"/>
          <w:divBdr>
            <w:top w:val="none" w:sz="0" w:space="0" w:color="auto"/>
            <w:left w:val="none" w:sz="0" w:space="0" w:color="auto"/>
            <w:bottom w:val="none" w:sz="0" w:space="0" w:color="auto"/>
            <w:right w:val="none" w:sz="0" w:space="0" w:color="auto"/>
          </w:divBdr>
        </w:div>
        <w:div w:id="1833526651">
          <w:marLeft w:val="0"/>
          <w:marRight w:val="0"/>
          <w:marTop w:val="0"/>
          <w:marBottom w:val="0"/>
          <w:divBdr>
            <w:top w:val="none" w:sz="0" w:space="0" w:color="auto"/>
            <w:left w:val="none" w:sz="0" w:space="0" w:color="auto"/>
            <w:bottom w:val="none" w:sz="0" w:space="0" w:color="auto"/>
            <w:right w:val="none" w:sz="0" w:space="0" w:color="auto"/>
          </w:divBdr>
        </w:div>
        <w:div w:id="897322317">
          <w:marLeft w:val="0"/>
          <w:marRight w:val="0"/>
          <w:marTop w:val="0"/>
          <w:marBottom w:val="0"/>
          <w:divBdr>
            <w:top w:val="none" w:sz="0" w:space="0" w:color="auto"/>
            <w:left w:val="none" w:sz="0" w:space="0" w:color="auto"/>
            <w:bottom w:val="none" w:sz="0" w:space="0" w:color="auto"/>
            <w:right w:val="none" w:sz="0" w:space="0" w:color="auto"/>
          </w:divBdr>
        </w:div>
        <w:div w:id="1147357607">
          <w:marLeft w:val="0"/>
          <w:marRight w:val="0"/>
          <w:marTop w:val="0"/>
          <w:marBottom w:val="0"/>
          <w:divBdr>
            <w:top w:val="none" w:sz="0" w:space="0" w:color="auto"/>
            <w:left w:val="none" w:sz="0" w:space="0" w:color="auto"/>
            <w:bottom w:val="none" w:sz="0" w:space="0" w:color="auto"/>
            <w:right w:val="none" w:sz="0" w:space="0" w:color="auto"/>
          </w:divBdr>
        </w:div>
        <w:div w:id="438376875">
          <w:marLeft w:val="0"/>
          <w:marRight w:val="0"/>
          <w:marTop w:val="0"/>
          <w:marBottom w:val="0"/>
          <w:divBdr>
            <w:top w:val="none" w:sz="0" w:space="0" w:color="auto"/>
            <w:left w:val="none" w:sz="0" w:space="0" w:color="auto"/>
            <w:bottom w:val="none" w:sz="0" w:space="0" w:color="auto"/>
            <w:right w:val="none" w:sz="0" w:space="0" w:color="auto"/>
          </w:divBdr>
        </w:div>
        <w:div w:id="1375732625">
          <w:marLeft w:val="0"/>
          <w:marRight w:val="0"/>
          <w:marTop w:val="0"/>
          <w:marBottom w:val="0"/>
          <w:divBdr>
            <w:top w:val="none" w:sz="0" w:space="0" w:color="auto"/>
            <w:left w:val="none" w:sz="0" w:space="0" w:color="auto"/>
            <w:bottom w:val="none" w:sz="0" w:space="0" w:color="auto"/>
            <w:right w:val="none" w:sz="0" w:space="0" w:color="auto"/>
          </w:divBdr>
        </w:div>
        <w:div w:id="1807430177">
          <w:marLeft w:val="0"/>
          <w:marRight w:val="0"/>
          <w:marTop w:val="0"/>
          <w:marBottom w:val="0"/>
          <w:divBdr>
            <w:top w:val="none" w:sz="0" w:space="0" w:color="auto"/>
            <w:left w:val="none" w:sz="0" w:space="0" w:color="auto"/>
            <w:bottom w:val="none" w:sz="0" w:space="0" w:color="auto"/>
            <w:right w:val="none" w:sz="0" w:space="0" w:color="auto"/>
          </w:divBdr>
        </w:div>
        <w:div w:id="753212348">
          <w:marLeft w:val="0"/>
          <w:marRight w:val="0"/>
          <w:marTop w:val="0"/>
          <w:marBottom w:val="0"/>
          <w:divBdr>
            <w:top w:val="none" w:sz="0" w:space="0" w:color="auto"/>
            <w:left w:val="none" w:sz="0" w:space="0" w:color="auto"/>
            <w:bottom w:val="none" w:sz="0" w:space="0" w:color="auto"/>
            <w:right w:val="none" w:sz="0" w:space="0" w:color="auto"/>
          </w:divBdr>
        </w:div>
        <w:div w:id="185755259">
          <w:marLeft w:val="0"/>
          <w:marRight w:val="0"/>
          <w:marTop w:val="0"/>
          <w:marBottom w:val="0"/>
          <w:divBdr>
            <w:top w:val="none" w:sz="0" w:space="0" w:color="auto"/>
            <w:left w:val="none" w:sz="0" w:space="0" w:color="auto"/>
            <w:bottom w:val="none" w:sz="0" w:space="0" w:color="auto"/>
            <w:right w:val="none" w:sz="0" w:space="0" w:color="auto"/>
          </w:divBdr>
        </w:div>
        <w:div w:id="492454118">
          <w:marLeft w:val="0"/>
          <w:marRight w:val="0"/>
          <w:marTop w:val="0"/>
          <w:marBottom w:val="0"/>
          <w:divBdr>
            <w:top w:val="none" w:sz="0" w:space="0" w:color="auto"/>
            <w:left w:val="none" w:sz="0" w:space="0" w:color="auto"/>
            <w:bottom w:val="none" w:sz="0" w:space="0" w:color="auto"/>
            <w:right w:val="none" w:sz="0" w:space="0" w:color="auto"/>
          </w:divBdr>
        </w:div>
        <w:div w:id="1183200584">
          <w:marLeft w:val="0"/>
          <w:marRight w:val="0"/>
          <w:marTop w:val="0"/>
          <w:marBottom w:val="0"/>
          <w:divBdr>
            <w:top w:val="none" w:sz="0" w:space="0" w:color="auto"/>
            <w:left w:val="none" w:sz="0" w:space="0" w:color="auto"/>
            <w:bottom w:val="none" w:sz="0" w:space="0" w:color="auto"/>
            <w:right w:val="none" w:sz="0" w:space="0" w:color="auto"/>
          </w:divBdr>
        </w:div>
        <w:div w:id="838425673">
          <w:marLeft w:val="0"/>
          <w:marRight w:val="0"/>
          <w:marTop w:val="0"/>
          <w:marBottom w:val="0"/>
          <w:divBdr>
            <w:top w:val="none" w:sz="0" w:space="0" w:color="auto"/>
            <w:left w:val="none" w:sz="0" w:space="0" w:color="auto"/>
            <w:bottom w:val="none" w:sz="0" w:space="0" w:color="auto"/>
            <w:right w:val="none" w:sz="0" w:space="0" w:color="auto"/>
          </w:divBdr>
        </w:div>
        <w:div w:id="55052411">
          <w:marLeft w:val="0"/>
          <w:marRight w:val="0"/>
          <w:marTop w:val="0"/>
          <w:marBottom w:val="0"/>
          <w:divBdr>
            <w:top w:val="none" w:sz="0" w:space="0" w:color="auto"/>
            <w:left w:val="none" w:sz="0" w:space="0" w:color="auto"/>
            <w:bottom w:val="none" w:sz="0" w:space="0" w:color="auto"/>
            <w:right w:val="none" w:sz="0" w:space="0" w:color="auto"/>
          </w:divBdr>
        </w:div>
        <w:div w:id="1442648682">
          <w:marLeft w:val="0"/>
          <w:marRight w:val="0"/>
          <w:marTop w:val="0"/>
          <w:marBottom w:val="0"/>
          <w:divBdr>
            <w:top w:val="none" w:sz="0" w:space="0" w:color="auto"/>
            <w:left w:val="none" w:sz="0" w:space="0" w:color="auto"/>
            <w:bottom w:val="none" w:sz="0" w:space="0" w:color="auto"/>
            <w:right w:val="none" w:sz="0" w:space="0" w:color="auto"/>
          </w:divBdr>
        </w:div>
        <w:div w:id="93014734">
          <w:marLeft w:val="0"/>
          <w:marRight w:val="0"/>
          <w:marTop w:val="0"/>
          <w:marBottom w:val="0"/>
          <w:divBdr>
            <w:top w:val="none" w:sz="0" w:space="0" w:color="auto"/>
            <w:left w:val="none" w:sz="0" w:space="0" w:color="auto"/>
            <w:bottom w:val="none" w:sz="0" w:space="0" w:color="auto"/>
            <w:right w:val="none" w:sz="0" w:space="0" w:color="auto"/>
          </w:divBdr>
        </w:div>
        <w:div w:id="1309894531">
          <w:marLeft w:val="0"/>
          <w:marRight w:val="0"/>
          <w:marTop w:val="0"/>
          <w:marBottom w:val="0"/>
          <w:divBdr>
            <w:top w:val="none" w:sz="0" w:space="0" w:color="auto"/>
            <w:left w:val="none" w:sz="0" w:space="0" w:color="auto"/>
            <w:bottom w:val="none" w:sz="0" w:space="0" w:color="auto"/>
            <w:right w:val="none" w:sz="0" w:space="0" w:color="auto"/>
          </w:divBdr>
        </w:div>
        <w:div w:id="682706060">
          <w:marLeft w:val="0"/>
          <w:marRight w:val="0"/>
          <w:marTop w:val="0"/>
          <w:marBottom w:val="0"/>
          <w:divBdr>
            <w:top w:val="none" w:sz="0" w:space="0" w:color="auto"/>
            <w:left w:val="none" w:sz="0" w:space="0" w:color="auto"/>
            <w:bottom w:val="none" w:sz="0" w:space="0" w:color="auto"/>
            <w:right w:val="none" w:sz="0" w:space="0" w:color="auto"/>
          </w:divBdr>
        </w:div>
        <w:div w:id="1543439352">
          <w:marLeft w:val="0"/>
          <w:marRight w:val="0"/>
          <w:marTop w:val="0"/>
          <w:marBottom w:val="0"/>
          <w:divBdr>
            <w:top w:val="none" w:sz="0" w:space="0" w:color="auto"/>
            <w:left w:val="none" w:sz="0" w:space="0" w:color="auto"/>
            <w:bottom w:val="none" w:sz="0" w:space="0" w:color="auto"/>
            <w:right w:val="none" w:sz="0" w:space="0" w:color="auto"/>
          </w:divBdr>
        </w:div>
        <w:div w:id="1412193949">
          <w:marLeft w:val="0"/>
          <w:marRight w:val="0"/>
          <w:marTop w:val="0"/>
          <w:marBottom w:val="0"/>
          <w:divBdr>
            <w:top w:val="none" w:sz="0" w:space="0" w:color="auto"/>
            <w:left w:val="none" w:sz="0" w:space="0" w:color="auto"/>
            <w:bottom w:val="none" w:sz="0" w:space="0" w:color="auto"/>
            <w:right w:val="none" w:sz="0" w:space="0" w:color="auto"/>
          </w:divBdr>
        </w:div>
        <w:div w:id="1507744805">
          <w:marLeft w:val="0"/>
          <w:marRight w:val="0"/>
          <w:marTop w:val="0"/>
          <w:marBottom w:val="0"/>
          <w:divBdr>
            <w:top w:val="none" w:sz="0" w:space="0" w:color="auto"/>
            <w:left w:val="none" w:sz="0" w:space="0" w:color="auto"/>
            <w:bottom w:val="none" w:sz="0" w:space="0" w:color="auto"/>
            <w:right w:val="none" w:sz="0" w:space="0" w:color="auto"/>
          </w:divBdr>
        </w:div>
        <w:div w:id="138114624">
          <w:marLeft w:val="0"/>
          <w:marRight w:val="0"/>
          <w:marTop w:val="0"/>
          <w:marBottom w:val="0"/>
          <w:divBdr>
            <w:top w:val="none" w:sz="0" w:space="0" w:color="auto"/>
            <w:left w:val="none" w:sz="0" w:space="0" w:color="auto"/>
            <w:bottom w:val="none" w:sz="0" w:space="0" w:color="auto"/>
            <w:right w:val="none" w:sz="0" w:space="0" w:color="auto"/>
          </w:divBdr>
        </w:div>
        <w:div w:id="227350102">
          <w:marLeft w:val="0"/>
          <w:marRight w:val="0"/>
          <w:marTop w:val="0"/>
          <w:marBottom w:val="0"/>
          <w:divBdr>
            <w:top w:val="none" w:sz="0" w:space="0" w:color="auto"/>
            <w:left w:val="none" w:sz="0" w:space="0" w:color="auto"/>
            <w:bottom w:val="none" w:sz="0" w:space="0" w:color="auto"/>
            <w:right w:val="none" w:sz="0" w:space="0" w:color="auto"/>
          </w:divBdr>
        </w:div>
        <w:div w:id="1668047896">
          <w:marLeft w:val="0"/>
          <w:marRight w:val="0"/>
          <w:marTop w:val="0"/>
          <w:marBottom w:val="0"/>
          <w:divBdr>
            <w:top w:val="none" w:sz="0" w:space="0" w:color="auto"/>
            <w:left w:val="none" w:sz="0" w:space="0" w:color="auto"/>
            <w:bottom w:val="none" w:sz="0" w:space="0" w:color="auto"/>
            <w:right w:val="none" w:sz="0" w:space="0" w:color="auto"/>
          </w:divBdr>
        </w:div>
        <w:div w:id="184371322">
          <w:marLeft w:val="0"/>
          <w:marRight w:val="0"/>
          <w:marTop w:val="0"/>
          <w:marBottom w:val="0"/>
          <w:divBdr>
            <w:top w:val="none" w:sz="0" w:space="0" w:color="auto"/>
            <w:left w:val="none" w:sz="0" w:space="0" w:color="auto"/>
            <w:bottom w:val="none" w:sz="0" w:space="0" w:color="auto"/>
            <w:right w:val="none" w:sz="0" w:space="0" w:color="auto"/>
          </w:divBdr>
        </w:div>
        <w:div w:id="357971778">
          <w:marLeft w:val="0"/>
          <w:marRight w:val="0"/>
          <w:marTop w:val="0"/>
          <w:marBottom w:val="0"/>
          <w:divBdr>
            <w:top w:val="none" w:sz="0" w:space="0" w:color="auto"/>
            <w:left w:val="none" w:sz="0" w:space="0" w:color="auto"/>
            <w:bottom w:val="none" w:sz="0" w:space="0" w:color="auto"/>
            <w:right w:val="none" w:sz="0" w:space="0" w:color="auto"/>
          </w:divBdr>
        </w:div>
        <w:div w:id="1819151436">
          <w:marLeft w:val="0"/>
          <w:marRight w:val="0"/>
          <w:marTop w:val="0"/>
          <w:marBottom w:val="0"/>
          <w:divBdr>
            <w:top w:val="none" w:sz="0" w:space="0" w:color="auto"/>
            <w:left w:val="none" w:sz="0" w:space="0" w:color="auto"/>
            <w:bottom w:val="none" w:sz="0" w:space="0" w:color="auto"/>
            <w:right w:val="none" w:sz="0" w:space="0" w:color="auto"/>
          </w:divBdr>
        </w:div>
        <w:div w:id="942028265">
          <w:marLeft w:val="0"/>
          <w:marRight w:val="0"/>
          <w:marTop w:val="0"/>
          <w:marBottom w:val="0"/>
          <w:divBdr>
            <w:top w:val="none" w:sz="0" w:space="0" w:color="auto"/>
            <w:left w:val="none" w:sz="0" w:space="0" w:color="auto"/>
            <w:bottom w:val="none" w:sz="0" w:space="0" w:color="auto"/>
            <w:right w:val="none" w:sz="0" w:space="0" w:color="auto"/>
          </w:divBdr>
        </w:div>
        <w:div w:id="873422921">
          <w:marLeft w:val="0"/>
          <w:marRight w:val="0"/>
          <w:marTop w:val="0"/>
          <w:marBottom w:val="0"/>
          <w:divBdr>
            <w:top w:val="none" w:sz="0" w:space="0" w:color="auto"/>
            <w:left w:val="none" w:sz="0" w:space="0" w:color="auto"/>
            <w:bottom w:val="none" w:sz="0" w:space="0" w:color="auto"/>
            <w:right w:val="none" w:sz="0" w:space="0" w:color="auto"/>
          </w:divBdr>
        </w:div>
        <w:div w:id="1847476097">
          <w:marLeft w:val="0"/>
          <w:marRight w:val="0"/>
          <w:marTop w:val="0"/>
          <w:marBottom w:val="0"/>
          <w:divBdr>
            <w:top w:val="none" w:sz="0" w:space="0" w:color="auto"/>
            <w:left w:val="none" w:sz="0" w:space="0" w:color="auto"/>
            <w:bottom w:val="none" w:sz="0" w:space="0" w:color="auto"/>
            <w:right w:val="none" w:sz="0" w:space="0" w:color="auto"/>
          </w:divBdr>
        </w:div>
        <w:div w:id="1471089833">
          <w:marLeft w:val="0"/>
          <w:marRight w:val="0"/>
          <w:marTop w:val="0"/>
          <w:marBottom w:val="0"/>
          <w:divBdr>
            <w:top w:val="none" w:sz="0" w:space="0" w:color="auto"/>
            <w:left w:val="none" w:sz="0" w:space="0" w:color="auto"/>
            <w:bottom w:val="none" w:sz="0" w:space="0" w:color="auto"/>
            <w:right w:val="none" w:sz="0" w:space="0" w:color="auto"/>
          </w:divBdr>
        </w:div>
        <w:div w:id="841160516">
          <w:marLeft w:val="0"/>
          <w:marRight w:val="0"/>
          <w:marTop w:val="0"/>
          <w:marBottom w:val="0"/>
          <w:divBdr>
            <w:top w:val="none" w:sz="0" w:space="0" w:color="auto"/>
            <w:left w:val="none" w:sz="0" w:space="0" w:color="auto"/>
            <w:bottom w:val="none" w:sz="0" w:space="0" w:color="auto"/>
            <w:right w:val="none" w:sz="0" w:space="0" w:color="auto"/>
          </w:divBdr>
        </w:div>
        <w:div w:id="556474255">
          <w:marLeft w:val="0"/>
          <w:marRight w:val="0"/>
          <w:marTop w:val="0"/>
          <w:marBottom w:val="0"/>
          <w:divBdr>
            <w:top w:val="none" w:sz="0" w:space="0" w:color="auto"/>
            <w:left w:val="none" w:sz="0" w:space="0" w:color="auto"/>
            <w:bottom w:val="none" w:sz="0" w:space="0" w:color="auto"/>
            <w:right w:val="none" w:sz="0" w:space="0" w:color="auto"/>
          </w:divBdr>
        </w:div>
        <w:div w:id="1147281010">
          <w:marLeft w:val="0"/>
          <w:marRight w:val="0"/>
          <w:marTop w:val="0"/>
          <w:marBottom w:val="0"/>
          <w:divBdr>
            <w:top w:val="none" w:sz="0" w:space="0" w:color="auto"/>
            <w:left w:val="none" w:sz="0" w:space="0" w:color="auto"/>
            <w:bottom w:val="none" w:sz="0" w:space="0" w:color="auto"/>
            <w:right w:val="none" w:sz="0" w:space="0" w:color="auto"/>
          </w:divBdr>
        </w:div>
        <w:div w:id="134494652">
          <w:marLeft w:val="0"/>
          <w:marRight w:val="0"/>
          <w:marTop w:val="0"/>
          <w:marBottom w:val="0"/>
          <w:divBdr>
            <w:top w:val="none" w:sz="0" w:space="0" w:color="auto"/>
            <w:left w:val="none" w:sz="0" w:space="0" w:color="auto"/>
            <w:bottom w:val="none" w:sz="0" w:space="0" w:color="auto"/>
            <w:right w:val="none" w:sz="0" w:space="0" w:color="auto"/>
          </w:divBdr>
        </w:div>
        <w:div w:id="102461129">
          <w:marLeft w:val="0"/>
          <w:marRight w:val="0"/>
          <w:marTop w:val="0"/>
          <w:marBottom w:val="0"/>
          <w:divBdr>
            <w:top w:val="none" w:sz="0" w:space="0" w:color="auto"/>
            <w:left w:val="none" w:sz="0" w:space="0" w:color="auto"/>
            <w:bottom w:val="none" w:sz="0" w:space="0" w:color="auto"/>
            <w:right w:val="none" w:sz="0" w:space="0" w:color="auto"/>
          </w:divBdr>
        </w:div>
        <w:div w:id="909536925">
          <w:marLeft w:val="0"/>
          <w:marRight w:val="0"/>
          <w:marTop w:val="0"/>
          <w:marBottom w:val="0"/>
          <w:divBdr>
            <w:top w:val="none" w:sz="0" w:space="0" w:color="auto"/>
            <w:left w:val="none" w:sz="0" w:space="0" w:color="auto"/>
            <w:bottom w:val="none" w:sz="0" w:space="0" w:color="auto"/>
            <w:right w:val="none" w:sz="0" w:space="0" w:color="auto"/>
          </w:divBdr>
        </w:div>
        <w:div w:id="404882328">
          <w:marLeft w:val="0"/>
          <w:marRight w:val="0"/>
          <w:marTop w:val="0"/>
          <w:marBottom w:val="0"/>
          <w:divBdr>
            <w:top w:val="none" w:sz="0" w:space="0" w:color="auto"/>
            <w:left w:val="none" w:sz="0" w:space="0" w:color="auto"/>
            <w:bottom w:val="none" w:sz="0" w:space="0" w:color="auto"/>
            <w:right w:val="none" w:sz="0" w:space="0" w:color="auto"/>
          </w:divBdr>
        </w:div>
        <w:div w:id="1994678895">
          <w:marLeft w:val="0"/>
          <w:marRight w:val="0"/>
          <w:marTop w:val="0"/>
          <w:marBottom w:val="0"/>
          <w:divBdr>
            <w:top w:val="none" w:sz="0" w:space="0" w:color="auto"/>
            <w:left w:val="none" w:sz="0" w:space="0" w:color="auto"/>
            <w:bottom w:val="none" w:sz="0" w:space="0" w:color="auto"/>
            <w:right w:val="none" w:sz="0" w:space="0" w:color="auto"/>
          </w:divBdr>
        </w:div>
        <w:div w:id="1822770053">
          <w:marLeft w:val="0"/>
          <w:marRight w:val="0"/>
          <w:marTop w:val="0"/>
          <w:marBottom w:val="0"/>
          <w:divBdr>
            <w:top w:val="none" w:sz="0" w:space="0" w:color="auto"/>
            <w:left w:val="none" w:sz="0" w:space="0" w:color="auto"/>
            <w:bottom w:val="none" w:sz="0" w:space="0" w:color="auto"/>
            <w:right w:val="none" w:sz="0" w:space="0" w:color="auto"/>
          </w:divBdr>
        </w:div>
        <w:div w:id="1323973761">
          <w:marLeft w:val="0"/>
          <w:marRight w:val="0"/>
          <w:marTop w:val="0"/>
          <w:marBottom w:val="0"/>
          <w:divBdr>
            <w:top w:val="none" w:sz="0" w:space="0" w:color="auto"/>
            <w:left w:val="none" w:sz="0" w:space="0" w:color="auto"/>
            <w:bottom w:val="none" w:sz="0" w:space="0" w:color="auto"/>
            <w:right w:val="none" w:sz="0" w:space="0" w:color="auto"/>
          </w:divBdr>
        </w:div>
        <w:div w:id="831683918">
          <w:marLeft w:val="0"/>
          <w:marRight w:val="0"/>
          <w:marTop w:val="0"/>
          <w:marBottom w:val="0"/>
          <w:divBdr>
            <w:top w:val="none" w:sz="0" w:space="0" w:color="auto"/>
            <w:left w:val="none" w:sz="0" w:space="0" w:color="auto"/>
            <w:bottom w:val="none" w:sz="0" w:space="0" w:color="auto"/>
            <w:right w:val="none" w:sz="0" w:space="0" w:color="auto"/>
          </w:divBdr>
        </w:div>
        <w:div w:id="1168013673">
          <w:marLeft w:val="0"/>
          <w:marRight w:val="0"/>
          <w:marTop w:val="0"/>
          <w:marBottom w:val="0"/>
          <w:divBdr>
            <w:top w:val="none" w:sz="0" w:space="0" w:color="auto"/>
            <w:left w:val="none" w:sz="0" w:space="0" w:color="auto"/>
            <w:bottom w:val="none" w:sz="0" w:space="0" w:color="auto"/>
            <w:right w:val="none" w:sz="0" w:space="0" w:color="auto"/>
          </w:divBdr>
        </w:div>
        <w:div w:id="1477720085">
          <w:marLeft w:val="0"/>
          <w:marRight w:val="0"/>
          <w:marTop w:val="0"/>
          <w:marBottom w:val="0"/>
          <w:divBdr>
            <w:top w:val="none" w:sz="0" w:space="0" w:color="auto"/>
            <w:left w:val="none" w:sz="0" w:space="0" w:color="auto"/>
            <w:bottom w:val="none" w:sz="0" w:space="0" w:color="auto"/>
            <w:right w:val="none" w:sz="0" w:space="0" w:color="auto"/>
          </w:divBdr>
        </w:div>
        <w:div w:id="453645124">
          <w:marLeft w:val="0"/>
          <w:marRight w:val="0"/>
          <w:marTop w:val="0"/>
          <w:marBottom w:val="0"/>
          <w:divBdr>
            <w:top w:val="none" w:sz="0" w:space="0" w:color="auto"/>
            <w:left w:val="none" w:sz="0" w:space="0" w:color="auto"/>
            <w:bottom w:val="none" w:sz="0" w:space="0" w:color="auto"/>
            <w:right w:val="none" w:sz="0" w:space="0" w:color="auto"/>
          </w:divBdr>
        </w:div>
        <w:div w:id="443426121">
          <w:marLeft w:val="0"/>
          <w:marRight w:val="0"/>
          <w:marTop w:val="0"/>
          <w:marBottom w:val="0"/>
          <w:divBdr>
            <w:top w:val="none" w:sz="0" w:space="0" w:color="auto"/>
            <w:left w:val="none" w:sz="0" w:space="0" w:color="auto"/>
            <w:bottom w:val="none" w:sz="0" w:space="0" w:color="auto"/>
            <w:right w:val="none" w:sz="0" w:space="0" w:color="auto"/>
          </w:divBdr>
        </w:div>
        <w:div w:id="2082562329">
          <w:marLeft w:val="0"/>
          <w:marRight w:val="0"/>
          <w:marTop w:val="0"/>
          <w:marBottom w:val="0"/>
          <w:divBdr>
            <w:top w:val="none" w:sz="0" w:space="0" w:color="auto"/>
            <w:left w:val="none" w:sz="0" w:space="0" w:color="auto"/>
            <w:bottom w:val="none" w:sz="0" w:space="0" w:color="auto"/>
            <w:right w:val="none" w:sz="0" w:space="0" w:color="auto"/>
          </w:divBdr>
        </w:div>
        <w:div w:id="409546898">
          <w:marLeft w:val="0"/>
          <w:marRight w:val="0"/>
          <w:marTop w:val="0"/>
          <w:marBottom w:val="0"/>
          <w:divBdr>
            <w:top w:val="none" w:sz="0" w:space="0" w:color="auto"/>
            <w:left w:val="none" w:sz="0" w:space="0" w:color="auto"/>
            <w:bottom w:val="none" w:sz="0" w:space="0" w:color="auto"/>
            <w:right w:val="none" w:sz="0" w:space="0" w:color="auto"/>
          </w:divBdr>
        </w:div>
        <w:div w:id="1788162185">
          <w:marLeft w:val="0"/>
          <w:marRight w:val="0"/>
          <w:marTop w:val="0"/>
          <w:marBottom w:val="0"/>
          <w:divBdr>
            <w:top w:val="none" w:sz="0" w:space="0" w:color="auto"/>
            <w:left w:val="none" w:sz="0" w:space="0" w:color="auto"/>
            <w:bottom w:val="none" w:sz="0" w:space="0" w:color="auto"/>
            <w:right w:val="none" w:sz="0" w:space="0" w:color="auto"/>
          </w:divBdr>
        </w:div>
        <w:div w:id="313604056">
          <w:marLeft w:val="0"/>
          <w:marRight w:val="0"/>
          <w:marTop w:val="0"/>
          <w:marBottom w:val="0"/>
          <w:divBdr>
            <w:top w:val="none" w:sz="0" w:space="0" w:color="auto"/>
            <w:left w:val="none" w:sz="0" w:space="0" w:color="auto"/>
            <w:bottom w:val="none" w:sz="0" w:space="0" w:color="auto"/>
            <w:right w:val="none" w:sz="0" w:space="0" w:color="auto"/>
          </w:divBdr>
        </w:div>
        <w:div w:id="1799495205">
          <w:marLeft w:val="0"/>
          <w:marRight w:val="0"/>
          <w:marTop w:val="0"/>
          <w:marBottom w:val="0"/>
          <w:divBdr>
            <w:top w:val="none" w:sz="0" w:space="0" w:color="auto"/>
            <w:left w:val="none" w:sz="0" w:space="0" w:color="auto"/>
            <w:bottom w:val="none" w:sz="0" w:space="0" w:color="auto"/>
            <w:right w:val="none" w:sz="0" w:space="0" w:color="auto"/>
          </w:divBdr>
        </w:div>
        <w:div w:id="2075883149">
          <w:marLeft w:val="0"/>
          <w:marRight w:val="0"/>
          <w:marTop w:val="0"/>
          <w:marBottom w:val="0"/>
          <w:divBdr>
            <w:top w:val="none" w:sz="0" w:space="0" w:color="auto"/>
            <w:left w:val="none" w:sz="0" w:space="0" w:color="auto"/>
            <w:bottom w:val="none" w:sz="0" w:space="0" w:color="auto"/>
            <w:right w:val="none" w:sz="0" w:space="0" w:color="auto"/>
          </w:divBdr>
        </w:div>
        <w:div w:id="520356350">
          <w:marLeft w:val="0"/>
          <w:marRight w:val="0"/>
          <w:marTop w:val="0"/>
          <w:marBottom w:val="0"/>
          <w:divBdr>
            <w:top w:val="none" w:sz="0" w:space="0" w:color="auto"/>
            <w:left w:val="none" w:sz="0" w:space="0" w:color="auto"/>
            <w:bottom w:val="none" w:sz="0" w:space="0" w:color="auto"/>
            <w:right w:val="none" w:sz="0" w:space="0" w:color="auto"/>
          </w:divBdr>
        </w:div>
        <w:div w:id="1825662092">
          <w:marLeft w:val="0"/>
          <w:marRight w:val="0"/>
          <w:marTop w:val="0"/>
          <w:marBottom w:val="0"/>
          <w:divBdr>
            <w:top w:val="none" w:sz="0" w:space="0" w:color="auto"/>
            <w:left w:val="none" w:sz="0" w:space="0" w:color="auto"/>
            <w:bottom w:val="none" w:sz="0" w:space="0" w:color="auto"/>
            <w:right w:val="none" w:sz="0" w:space="0" w:color="auto"/>
          </w:divBdr>
        </w:div>
        <w:div w:id="1787651188">
          <w:marLeft w:val="0"/>
          <w:marRight w:val="0"/>
          <w:marTop w:val="0"/>
          <w:marBottom w:val="0"/>
          <w:divBdr>
            <w:top w:val="none" w:sz="0" w:space="0" w:color="auto"/>
            <w:left w:val="none" w:sz="0" w:space="0" w:color="auto"/>
            <w:bottom w:val="none" w:sz="0" w:space="0" w:color="auto"/>
            <w:right w:val="none" w:sz="0" w:space="0" w:color="auto"/>
          </w:divBdr>
        </w:div>
        <w:div w:id="1253969664">
          <w:marLeft w:val="0"/>
          <w:marRight w:val="0"/>
          <w:marTop w:val="0"/>
          <w:marBottom w:val="0"/>
          <w:divBdr>
            <w:top w:val="none" w:sz="0" w:space="0" w:color="auto"/>
            <w:left w:val="none" w:sz="0" w:space="0" w:color="auto"/>
            <w:bottom w:val="none" w:sz="0" w:space="0" w:color="auto"/>
            <w:right w:val="none" w:sz="0" w:space="0" w:color="auto"/>
          </w:divBdr>
        </w:div>
        <w:div w:id="145439809">
          <w:marLeft w:val="0"/>
          <w:marRight w:val="0"/>
          <w:marTop w:val="0"/>
          <w:marBottom w:val="0"/>
          <w:divBdr>
            <w:top w:val="none" w:sz="0" w:space="0" w:color="auto"/>
            <w:left w:val="none" w:sz="0" w:space="0" w:color="auto"/>
            <w:bottom w:val="none" w:sz="0" w:space="0" w:color="auto"/>
            <w:right w:val="none" w:sz="0" w:space="0" w:color="auto"/>
          </w:divBdr>
        </w:div>
        <w:div w:id="876350724">
          <w:marLeft w:val="0"/>
          <w:marRight w:val="0"/>
          <w:marTop w:val="0"/>
          <w:marBottom w:val="0"/>
          <w:divBdr>
            <w:top w:val="none" w:sz="0" w:space="0" w:color="auto"/>
            <w:left w:val="none" w:sz="0" w:space="0" w:color="auto"/>
            <w:bottom w:val="none" w:sz="0" w:space="0" w:color="auto"/>
            <w:right w:val="none" w:sz="0" w:space="0" w:color="auto"/>
          </w:divBdr>
        </w:div>
        <w:div w:id="1398355436">
          <w:marLeft w:val="0"/>
          <w:marRight w:val="0"/>
          <w:marTop w:val="0"/>
          <w:marBottom w:val="0"/>
          <w:divBdr>
            <w:top w:val="none" w:sz="0" w:space="0" w:color="auto"/>
            <w:left w:val="none" w:sz="0" w:space="0" w:color="auto"/>
            <w:bottom w:val="none" w:sz="0" w:space="0" w:color="auto"/>
            <w:right w:val="none" w:sz="0" w:space="0" w:color="auto"/>
          </w:divBdr>
        </w:div>
        <w:div w:id="678895666">
          <w:marLeft w:val="0"/>
          <w:marRight w:val="0"/>
          <w:marTop w:val="0"/>
          <w:marBottom w:val="0"/>
          <w:divBdr>
            <w:top w:val="none" w:sz="0" w:space="0" w:color="auto"/>
            <w:left w:val="none" w:sz="0" w:space="0" w:color="auto"/>
            <w:bottom w:val="none" w:sz="0" w:space="0" w:color="auto"/>
            <w:right w:val="none" w:sz="0" w:space="0" w:color="auto"/>
          </w:divBdr>
        </w:div>
        <w:div w:id="722019042">
          <w:marLeft w:val="0"/>
          <w:marRight w:val="0"/>
          <w:marTop w:val="0"/>
          <w:marBottom w:val="0"/>
          <w:divBdr>
            <w:top w:val="none" w:sz="0" w:space="0" w:color="auto"/>
            <w:left w:val="none" w:sz="0" w:space="0" w:color="auto"/>
            <w:bottom w:val="none" w:sz="0" w:space="0" w:color="auto"/>
            <w:right w:val="none" w:sz="0" w:space="0" w:color="auto"/>
          </w:divBdr>
        </w:div>
        <w:div w:id="1250694413">
          <w:marLeft w:val="0"/>
          <w:marRight w:val="0"/>
          <w:marTop w:val="0"/>
          <w:marBottom w:val="0"/>
          <w:divBdr>
            <w:top w:val="none" w:sz="0" w:space="0" w:color="auto"/>
            <w:left w:val="none" w:sz="0" w:space="0" w:color="auto"/>
            <w:bottom w:val="none" w:sz="0" w:space="0" w:color="auto"/>
            <w:right w:val="none" w:sz="0" w:space="0" w:color="auto"/>
          </w:divBdr>
        </w:div>
        <w:div w:id="732892812">
          <w:marLeft w:val="0"/>
          <w:marRight w:val="0"/>
          <w:marTop w:val="0"/>
          <w:marBottom w:val="0"/>
          <w:divBdr>
            <w:top w:val="none" w:sz="0" w:space="0" w:color="auto"/>
            <w:left w:val="none" w:sz="0" w:space="0" w:color="auto"/>
            <w:bottom w:val="none" w:sz="0" w:space="0" w:color="auto"/>
            <w:right w:val="none" w:sz="0" w:space="0" w:color="auto"/>
          </w:divBdr>
        </w:div>
        <w:div w:id="520431557">
          <w:marLeft w:val="0"/>
          <w:marRight w:val="0"/>
          <w:marTop w:val="0"/>
          <w:marBottom w:val="0"/>
          <w:divBdr>
            <w:top w:val="none" w:sz="0" w:space="0" w:color="auto"/>
            <w:left w:val="none" w:sz="0" w:space="0" w:color="auto"/>
            <w:bottom w:val="none" w:sz="0" w:space="0" w:color="auto"/>
            <w:right w:val="none" w:sz="0" w:space="0" w:color="auto"/>
          </w:divBdr>
        </w:div>
        <w:div w:id="1076783647">
          <w:marLeft w:val="0"/>
          <w:marRight w:val="0"/>
          <w:marTop w:val="0"/>
          <w:marBottom w:val="0"/>
          <w:divBdr>
            <w:top w:val="none" w:sz="0" w:space="0" w:color="auto"/>
            <w:left w:val="none" w:sz="0" w:space="0" w:color="auto"/>
            <w:bottom w:val="none" w:sz="0" w:space="0" w:color="auto"/>
            <w:right w:val="none" w:sz="0" w:space="0" w:color="auto"/>
          </w:divBdr>
        </w:div>
        <w:div w:id="1061906580">
          <w:marLeft w:val="0"/>
          <w:marRight w:val="0"/>
          <w:marTop w:val="0"/>
          <w:marBottom w:val="0"/>
          <w:divBdr>
            <w:top w:val="none" w:sz="0" w:space="0" w:color="auto"/>
            <w:left w:val="none" w:sz="0" w:space="0" w:color="auto"/>
            <w:bottom w:val="none" w:sz="0" w:space="0" w:color="auto"/>
            <w:right w:val="none" w:sz="0" w:space="0" w:color="auto"/>
          </w:divBdr>
        </w:div>
        <w:div w:id="294991778">
          <w:marLeft w:val="0"/>
          <w:marRight w:val="0"/>
          <w:marTop w:val="0"/>
          <w:marBottom w:val="0"/>
          <w:divBdr>
            <w:top w:val="none" w:sz="0" w:space="0" w:color="auto"/>
            <w:left w:val="none" w:sz="0" w:space="0" w:color="auto"/>
            <w:bottom w:val="none" w:sz="0" w:space="0" w:color="auto"/>
            <w:right w:val="none" w:sz="0" w:space="0" w:color="auto"/>
          </w:divBdr>
        </w:div>
        <w:div w:id="1611811913">
          <w:marLeft w:val="0"/>
          <w:marRight w:val="0"/>
          <w:marTop w:val="0"/>
          <w:marBottom w:val="0"/>
          <w:divBdr>
            <w:top w:val="none" w:sz="0" w:space="0" w:color="auto"/>
            <w:left w:val="none" w:sz="0" w:space="0" w:color="auto"/>
            <w:bottom w:val="none" w:sz="0" w:space="0" w:color="auto"/>
            <w:right w:val="none" w:sz="0" w:space="0" w:color="auto"/>
          </w:divBdr>
        </w:div>
        <w:div w:id="792362173">
          <w:marLeft w:val="0"/>
          <w:marRight w:val="0"/>
          <w:marTop w:val="0"/>
          <w:marBottom w:val="0"/>
          <w:divBdr>
            <w:top w:val="none" w:sz="0" w:space="0" w:color="auto"/>
            <w:left w:val="none" w:sz="0" w:space="0" w:color="auto"/>
            <w:bottom w:val="none" w:sz="0" w:space="0" w:color="auto"/>
            <w:right w:val="none" w:sz="0" w:space="0" w:color="auto"/>
          </w:divBdr>
        </w:div>
        <w:div w:id="428280362">
          <w:marLeft w:val="0"/>
          <w:marRight w:val="0"/>
          <w:marTop w:val="0"/>
          <w:marBottom w:val="0"/>
          <w:divBdr>
            <w:top w:val="none" w:sz="0" w:space="0" w:color="auto"/>
            <w:left w:val="none" w:sz="0" w:space="0" w:color="auto"/>
            <w:bottom w:val="none" w:sz="0" w:space="0" w:color="auto"/>
            <w:right w:val="none" w:sz="0" w:space="0" w:color="auto"/>
          </w:divBdr>
        </w:div>
        <w:div w:id="1793549797">
          <w:marLeft w:val="0"/>
          <w:marRight w:val="0"/>
          <w:marTop w:val="0"/>
          <w:marBottom w:val="0"/>
          <w:divBdr>
            <w:top w:val="none" w:sz="0" w:space="0" w:color="auto"/>
            <w:left w:val="none" w:sz="0" w:space="0" w:color="auto"/>
            <w:bottom w:val="none" w:sz="0" w:space="0" w:color="auto"/>
            <w:right w:val="none" w:sz="0" w:space="0" w:color="auto"/>
          </w:divBdr>
        </w:div>
        <w:div w:id="715392421">
          <w:marLeft w:val="0"/>
          <w:marRight w:val="0"/>
          <w:marTop w:val="0"/>
          <w:marBottom w:val="0"/>
          <w:divBdr>
            <w:top w:val="none" w:sz="0" w:space="0" w:color="auto"/>
            <w:left w:val="none" w:sz="0" w:space="0" w:color="auto"/>
            <w:bottom w:val="none" w:sz="0" w:space="0" w:color="auto"/>
            <w:right w:val="none" w:sz="0" w:space="0" w:color="auto"/>
          </w:divBdr>
        </w:div>
        <w:div w:id="317878828">
          <w:marLeft w:val="0"/>
          <w:marRight w:val="0"/>
          <w:marTop w:val="0"/>
          <w:marBottom w:val="0"/>
          <w:divBdr>
            <w:top w:val="none" w:sz="0" w:space="0" w:color="auto"/>
            <w:left w:val="none" w:sz="0" w:space="0" w:color="auto"/>
            <w:bottom w:val="none" w:sz="0" w:space="0" w:color="auto"/>
            <w:right w:val="none" w:sz="0" w:space="0" w:color="auto"/>
          </w:divBdr>
        </w:div>
        <w:div w:id="423888536">
          <w:marLeft w:val="0"/>
          <w:marRight w:val="0"/>
          <w:marTop w:val="0"/>
          <w:marBottom w:val="0"/>
          <w:divBdr>
            <w:top w:val="none" w:sz="0" w:space="0" w:color="auto"/>
            <w:left w:val="none" w:sz="0" w:space="0" w:color="auto"/>
            <w:bottom w:val="none" w:sz="0" w:space="0" w:color="auto"/>
            <w:right w:val="none" w:sz="0" w:space="0" w:color="auto"/>
          </w:divBdr>
        </w:div>
        <w:div w:id="270480114">
          <w:marLeft w:val="0"/>
          <w:marRight w:val="0"/>
          <w:marTop w:val="0"/>
          <w:marBottom w:val="0"/>
          <w:divBdr>
            <w:top w:val="none" w:sz="0" w:space="0" w:color="auto"/>
            <w:left w:val="none" w:sz="0" w:space="0" w:color="auto"/>
            <w:bottom w:val="none" w:sz="0" w:space="0" w:color="auto"/>
            <w:right w:val="none" w:sz="0" w:space="0" w:color="auto"/>
          </w:divBdr>
        </w:div>
        <w:div w:id="322583505">
          <w:marLeft w:val="0"/>
          <w:marRight w:val="0"/>
          <w:marTop w:val="0"/>
          <w:marBottom w:val="0"/>
          <w:divBdr>
            <w:top w:val="none" w:sz="0" w:space="0" w:color="auto"/>
            <w:left w:val="none" w:sz="0" w:space="0" w:color="auto"/>
            <w:bottom w:val="none" w:sz="0" w:space="0" w:color="auto"/>
            <w:right w:val="none" w:sz="0" w:space="0" w:color="auto"/>
          </w:divBdr>
        </w:div>
        <w:div w:id="1804927432">
          <w:marLeft w:val="0"/>
          <w:marRight w:val="0"/>
          <w:marTop w:val="0"/>
          <w:marBottom w:val="0"/>
          <w:divBdr>
            <w:top w:val="none" w:sz="0" w:space="0" w:color="auto"/>
            <w:left w:val="none" w:sz="0" w:space="0" w:color="auto"/>
            <w:bottom w:val="none" w:sz="0" w:space="0" w:color="auto"/>
            <w:right w:val="none" w:sz="0" w:space="0" w:color="auto"/>
          </w:divBdr>
        </w:div>
        <w:div w:id="1289164937">
          <w:marLeft w:val="0"/>
          <w:marRight w:val="0"/>
          <w:marTop w:val="0"/>
          <w:marBottom w:val="0"/>
          <w:divBdr>
            <w:top w:val="none" w:sz="0" w:space="0" w:color="auto"/>
            <w:left w:val="none" w:sz="0" w:space="0" w:color="auto"/>
            <w:bottom w:val="none" w:sz="0" w:space="0" w:color="auto"/>
            <w:right w:val="none" w:sz="0" w:space="0" w:color="auto"/>
          </w:divBdr>
        </w:div>
        <w:div w:id="1259948964">
          <w:marLeft w:val="0"/>
          <w:marRight w:val="0"/>
          <w:marTop w:val="0"/>
          <w:marBottom w:val="0"/>
          <w:divBdr>
            <w:top w:val="none" w:sz="0" w:space="0" w:color="auto"/>
            <w:left w:val="none" w:sz="0" w:space="0" w:color="auto"/>
            <w:bottom w:val="none" w:sz="0" w:space="0" w:color="auto"/>
            <w:right w:val="none" w:sz="0" w:space="0" w:color="auto"/>
          </w:divBdr>
        </w:div>
      </w:divsChild>
    </w:div>
    <w:div w:id="1591623824">
      <w:bodyDiv w:val="1"/>
      <w:marLeft w:val="0"/>
      <w:marRight w:val="0"/>
      <w:marTop w:val="0"/>
      <w:marBottom w:val="0"/>
      <w:divBdr>
        <w:top w:val="none" w:sz="0" w:space="0" w:color="auto"/>
        <w:left w:val="none" w:sz="0" w:space="0" w:color="auto"/>
        <w:bottom w:val="none" w:sz="0" w:space="0" w:color="auto"/>
        <w:right w:val="none" w:sz="0" w:space="0" w:color="auto"/>
      </w:divBdr>
      <w:divsChild>
        <w:div w:id="876890876">
          <w:marLeft w:val="0"/>
          <w:marRight w:val="0"/>
          <w:marTop w:val="120"/>
          <w:marBottom w:val="0"/>
          <w:divBdr>
            <w:top w:val="none" w:sz="0" w:space="0" w:color="auto"/>
            <w:left w:val="none" w:sz="0" w:space="0" w:color="auto"/>
            <w:bottom w:val="none" w:sz="0" w:space="0" w:color="auto"/>
            <w:right w:val="none" w:sz="0" w:space="0" w:color="auto"/>
          </w:divBdr>
        </w:div>
        <w:div w:id="1333097603">
          <w:marLeft w:val="0"/>
          <w:marRight w:val="0"/>
          <w:marTop w:val="120"/>
          <w:marBottom w:val="0"/>
          <w:divBdr>
            <w:top w:val="none" w:sz="0" w:space="0" w:color="auto"/>
            <w:left w:val="none" w:sz="0" w:space="0" w:color="auto"/>
            <w:bottom w:val="none" w:sz="0" w:space="0" w:color="auto"/>
            <w:right w:val="none" w:sz="0" w:space="0" w:color="auto"/>
          </w:divBdr>
        </w:div>
      </w:divsChild>
    </w:div>
    <w:div w:id="1598825520">
      <w:bodyDiv w:val="1"/>
      <w:marLeft w:val="0"/>
      <w:marRight w:val="0"/>
      <w:marTop w:val="0"/>
      <w:marBottom w:val="0"/>
      <w:divBdr>
        <w:top w:val="none" w:sz="0" w:space="0" w:color="auto"/>
        <w:left w:val="none" w:sz="0" w:space="0" w:color="auto"/>
        <w:bottom w:val="none" w:sz="0" w:space="0" w:color="auto"/>
        <w:right w:val="none" w:sz="0" w:space="0" w:color="auto"/>
      </w:divBdr>
    </w:div>
    <w:div w:id="1634364759">
      <w:bodyDiv w:val="1"/>
      <w:marLeft w:val="0"/>
      <w:marRight w:val="0"/>
      <w:marTop w:val="0"/>
      <w:marBottom w:val="0"/>
      <w:divBdr>
        <w:top w:val="none" w:sz="0" w:space="0" w:color="auto"/>
        <w:left w:val="none" w:sz="0" w:space="0" w:color="auto"/>
        <w:bottom w:val="none" w:sz="0" w:space="0" w:color="auto"/>
        <w:right w:val="none" w:sz="0" w:space="0" w:color="auto"/>
      </w:divBdr>
      <w:divsChild>
        <w:div w:id="231502337">
          <w:marLeft w:val="0"/>
          <w:marRight w:val="0"/>
          <w:marTop w:val="0"/>
          <w:marBottom w:val="0"/>
          <w:divBdr>
            <w:top w:val="none" w:sz="0" w:space="0" w:color="auto"/>
            <w:left w:val="none" w:sz="0" w:space="0" w:color="auto"/>
            <w:bottom w:val="none" w:sz="0" w:space="0" w:color="auto"/>
            <w:right w:val="none" w:sz="0" w:space="0" w:color="auto"/>
          </w:divBdr>
        </w:div>
        <w:div w:id="1173564527">
          <w:marLeft w:val="0"/>
          <w:marRight w:val="0"/>
          <w:marTop w:val="0"/>
          <w:marBottom w:val="0"/>
          <w:divBdr>
            <w:top w:val="none" w:sz="0" w:space="0" w:color="auto"/>
            <w:left w:val="none" w:sz="0" w:space="0" w:color="auto"/>
            <w:bottom w:val="none" w:sz="0" w:space="0" w:color="auto"/>
            <w:right w:val="none" w:sz="0" w:space="0" w:color="auto"/>
          </w:divBdr>
        </w:div>
        <w:div w:id="597300083">
          <w:marLeft w:val="0"/>
          <w:marRight w:val="0"/>
          <w:marTop w:val="0"/>
          <w:marBottom w:val="0"/>
          <w:divBdr>
            <w:top w:val="none" w:sz="0" w:space="0" w:color="auto"/>
            <w:left w:val="none" w:sz="0" w:space="0" w:color="auto"/>
            <w:bottom w:val="none" w:sz="0" w:space="0" w:color="auto"/>
            <w:right w:val="none" w:sz="0" w:space="0" w:color="auto"/>
          </w:divBdr>
        </w:div>
        <w:div w:id="967007906">
          <w:marLeft w:val="0"/>
          <w:marRight w:val="0"/>
          <w:marTop w:val="0"/>
          <w:marBottom w:val="0"/>
          <w:divBdr>
            <w:top w:val="none" w:sz="0" w:space="0" w:color="auto"/>
            <w:left w:val="none" w:sz="0" w:space="0" w:color="auto"/>
            <w:bottom w:val="none" w:sz="0" w:space="0" w:color="auto"/>
            <w:right w:val="none" w:sz="0" w:space="0" w:color="auto"/>
          </w:divBdr>
        </w:div>
        <w:div w:id="441192608">
          <w:marLeft w:val="0"/>
          <w:marRight w:val="0"/>
          <w:marTop w:val="0"/>
          <w:marBottom w:val="0"/>
          <w:divBdr>
            <w:top w:val="none" w:sz="0" w:space="0" w:color="auto"/>
            <w:left w:val="none" w:sz="0" w:space="0" w:color="auto"/>
            <w:bottom w:val="none" w:sz="0" w:space="0" w:color="auto"/>
            <w:right w:val="none" w:sz="0" w:space="0" w:color="auto"/>
          </w:divBdr>
        </w:div>
        <w:div w:id="1432160456">
          <w:marLeft w:val="0"/>
          <w:marRight w:val="0"/>
          <w:marTop w:val="0"/>
          <w:marBottom w:val="0"/>
          <w:divBdr>
            <w:top w:val="none" w:sz="0" w:space="0" w:color="auto"/>
            <w:left w:val="none" w:sz="0" w:space="0" w:color="auto"/>
            <w:bottom w:val="none" w:sz="0" w:space="0" w:color="auto"/>
            <w:right w:val="none" w:sz="0" w:space="0" w:color="auto"/>
          </w:divBdr>
        </w:div>
        <w:div w:id="2084797611">
          <w:marLeft w:val="0"/>
          <w:marRight w:val="0"/>
          <w:marTop w:val="0"/>
          <w:marBottom w:val="0"/>
          <w:divBdr>
            <w:top w:val="none" w:sz="0" w:space="0" w:color="auto"/>
            <w:left w:val="none" w:sz="0" w:space="0" w:color="auto"/>
            <w:bottom w:val="none" w:sz="0" w:space="0" w:color="auto"/>
            <w:right w:val="none" w:sz="0" w:space="0" w:color="auto"/>
          </w:divBdr>
        </w:div>
        <w:div w:id="1682930513">
          <w:marLeft w:val="0"/>
          <w:marRight w:val="0"/>
          <w:marTop w:val="0"/>
          <w:marBottom w:val="0"/>
          <w:divBdr>
            <w:top w:val="none" w:sz="0" w:space="0" w:color="auto"/>
            <w:left w:val="none" w:sz="0" w:space="0" w:color="auto"/>
            <w:bottom w:val="none" w:sz="0" w:space="0" w:color="auto"/>
            <w:right w:val="none" w:sz="0" w:space="0" w:color="auto"/>
          </w:divBdr>
        </w:div>
        <w:div w:id="2000186933">
          <w:marLeft w:val="0"/>
          <w:marRight w:val="0"/>
          <w:marTop w:val="0"/>
          <w:marBottom w:val="0"/>
          <w:divBdr>
            <w:top w:val="none" w:sz="0" w:space="0" w:color="auto"/>
            <w:left w:val="none" w:sz="0" w:space="0" w:color="auto"/>
            <w:bottom w:val="none" w:sz="0" w:space="0" w:color="auto"/>
            <w:right w:val="none" w:sz="0" w:space="0" w:color="auto"/>
          </w:divBdr>
        </w:div>
        <w:div w:id="54398610">
          <w:marLeft w:val="0"/>
          <w:marRight w:val="0"/>
          <w:marTop w:val="0"/>
          <w:marBottom w:val="0"/>
          <w:divBdr>
            <w:top w:val="none" w:sz="0" w:space="0" w:color="auto"/>
            <w:left w:val="none" w:sz="0" w:space="0" w:color="auto"/>
            <w:bottom w:val="none" w:sz="0" w:space="0" w:color="auto"/>
            <w:right w:val="none" w:sz="0" w:space="0" w:color="auto"/>
          </w:divBdr>
        </w:div>
        <w:div w:id="23362610">
          <w:marLeft w:val="0"/>
          <w:marRight w:val="0"/>
          <w:marTop w:val="0"/>
          <w:marBottom w:val="0"/>
          <w:divBdr>
            <w:top w:val="none" w:sz="0" w:space="0" w:color="auto"/>
            <w:left w:val="none" w:sz="0" w:space="0" w:color="auto"/>
            <w:bottom w:val="none" w:sz="0" w:space="0" w:color="auto"/>
            <w:right w:val="none" w:sz="0" w:space="0" w:color="auto"/>
          </w:divBdr>
        </w:div>
        <w:div w:id="692609222">
          <w:marLeft w:val="0"/>
          <w:marRight w:val="0"/>
          <w:marTop w:val="0"/>
          <w:marBottom w:val="0"/>
          <w:divBdr>
            <w:top w:val="none" w:sz="0" w:space="0" w:color="auto"/>
            <w:left w:val="none" w:sz="0" w:space="0" w:color="auto"/>
            <w:bottom w:val="none" w:sz="0" w:space="0" w:color="auto"/>
            <w:right w:val="none" w:sz="0" w:space="0" w:color="auto"/>
          </w:divBdr>
        </w:div>
        <w:div w:id="577908868">
          <w:marLeft w:val="0"/>
          <w:marRight w:val="0"/>
          <w:marTop w:val="0"/>
          <w:marBottom w:val="0"/>
          <w:divBdr>
            <w:top w:val="none" w:sz="0" w:space="0" w:color="auto"/>
            <w:left w:val="none" w:sz="0" w:space="0" w:color="auto"/>
            <w:bottom w:val="none" w:sz="0" w:space="0" w:color="auto"/>
            <w:right w:val="none" w:sz="0" w:space="0" w:color="auto"/>
          </w:divBdr>
        </w:div>
        <w:div w:id="1171487746">
          <w:marLeft w:val="0"/>
          <w:marRight w:val="0"/>
          <w:marTop w:val="0"/>
          <w:marBottom w:val="0"/>
          <w:divBdr>
            <w:top w:val="none" w:sz="0" w:space="0" w:color="auto"/>
            <w:left w:val="none" w:sz="0" w:space="0" w:color="auto"/>
            <w:bottom w:val="none" w:sz="0" w:space="0" w:color="auto"/>
            <w:right w:val="none" w:sz="0" w:space="0" w:color="auto"/>
          </w:divBdr>
        </w:div>
        <w:div w:id="134571749">
          <w:marLeft w:val="0"/>
          <w:marRight w:val="0"/>
          <w:marTop w:val="0"/>
          <w:marBottom w:val="0"/>
          <w:divBdr>
            <w:top w:val="none" w:sz="0" w:space="0" w:color="auto"/>
            <w:left w:val="none" w:sz="0" w:space="0" w:color="auto"/>
            <w:bottom w:val="none" w:sz="0" w:space="0" w:color="auto"/>
            <w:right w:val="none" w:sz="0" w:space="0" w:color="auto"/>
          </w:divBdr>
        </w:div>
        <w:div w:id="70203706">
          <w:marLeft w:val="0"/>
          <w:marRight w:val="0"/>
          <w:marTop w:val="0"/>
          <w:marBottom w:val="0"/>
          <w:divBdr>
            <w:top w:val="none" w:sz="0" w:space="0" w:color="auto"/>
            <w:left w:val="none" w:sz="0" w:space="0" w:color="auto"/>
            <w:bottom w:val="none" w:sz="0" w:space="0" w:color="auto"/>
            <w:right w:val="none" w:sz="0" w:space="0" w:color="auto"/>
          </w:divBdr>
        </w:div>
        <w:div w:id="1960641847">
          <w:marLeft w:val="0"/>
          <w:marRight w:val="0"/>
          <w:marTop w:val="0"/>
          <w:marBottom w:val="0"/>
          <w:divBdr>
            <w:top w:val="none" w:sz="0" w:space="0" w:color="auto"/>
            <w:left w:val="none" w:sz="0" w:space="0" w:color="auto"/>
            <w:bottom w:val="none" w:sz="0" w:space="0" w:color="auto"/>
            <w:right w:val="none" w:sz="0" w:space="0" w:color="auto"/>
          </w:divBdr>
        </w:div>
        <w:div w:id="619536260">
          <w:marLeft w:val="0"/>
          <w:marRight w:val="0"/>
          <w:marTop w:val="0"/>
          <w:marBottom w:val="0"/>
          <w:divBdr>
            <w:top w:val="none" w:sz="0" w:space="0" w:color="auto"/>
            <w:left w:val="none" w:sz="0" w:space="0" w:color="auto"/>
            <w:bottom w:val="none" w:sz="0" w:space="0" w:color="auto"/>
            <w:right w:val="none" w:sz="0" w:space="0" w:color="auto"/>
          </w:divBdr>
        </w:div>
        <w:div w:id="1706557763">
          <w:marLeft w:val="0"/>
          <w:marRight w:val="0"/>
          <w:marTop w:val="0"/>
          <w:marBottom w:val="0"/>
          <w:divBdr>
            <w:top w:val="none" w:sz="0" w:space="0" w:color="auto"/>
            <w:left w:val="none" w:sz="0" w:space="0" w:color="auto"/>
            <w:bottom w:val="none" w:sz="0" w:space="0" w:color="auto"/>
            <w:right w:val="none" w:sz="0" w:space="0" w:color="auto"/>
          </w:divBdr>
        </w:div>
        <w:div w:id="1746297698">
          <w:marLeft w:val="0"/>
          <w:marRight w:val="0"/>
          <w:marTop w:val="0"/>
          <w:marBottom w:val="0"/>
          <w:divBdr>
            <w:top w:val="none" w:sz="0" w:space="0" w:color="auto"/>
            <w:left w:val="none" w:sz="0" w:space="0" w:color="auto"/>
            <w:bottom w:val="none" w:sz="0" w:space="0" w:color="auto"/>
            <w:right w:val="none" w:sz="0" w:space="0" w:color="auto"/>
          </w:divBdr>
        </w:div>
        <w:div w:id="1172531537">
          <w:marLeft w:val="0"/>
          <w:marRight w:val="0"/>
          <w:marTop w:val="0"/>
          <w:marBottom w:val="0"/>
          <w:divBdr>
            <w:top w:val="none" w:sz="0" w:space="0" w:color="auto"/>
            <w:left w:val="none" w:sz="0" w:space="0" w:color="auto"/>
            <w:bottom w:val="none" w:sz="0" w:space="0" w:color="auto"/>
            <w:right w:val="none" w:sz="0" w:space="0" w:color="auto"/>
          </w:divBdr>
        </w:div>
        <w:div w:id="2121562843">
          <w:marLeft w:val="0"/>
          <w:marRight w:val="0"/>
          <w:marTop w:val="0"/>
          <w:marBottom w:val="0"/>
          <w:divBdr>
            <w:top w:val="none" w:sz="0" w:space="0" w:color="auto"/>
            <w:left w:val="none" w:sz="0" w:space="0" w:color="auto"/>
            <w:bottom w:val="none" w:sz="0" w:space="0" w:color="auto"/>
            <w:right w:val="none" w:sz="0" w:space="0" w:color="auto"/>
          </w:divBdr>
        </w:div>
        <w:div w:id="1539318863">
          <w:marLeft w:val="0"/>
          <w:marRight w:val="0"/>
          <w:marTop w:val="0"/>
          <w:marBottom w:val="0"/>
          <w:divBdr>
            <w:top w:val="none" w:sz="0" w:space="0" w:color="auto"/>
            <w:left w:val="none" w:sz="0" w:space="0" w:color="auto"/>
            <w:bottom w:val="none" w:sz="0" w:space="0" w:color="auto"/>
            <w:right w:val="none" w:sz="0" w:space="0" w:color="auto"/>
          </w:divBdr>
        </w:div>
        <w:div w:id="1809977262">
          <w:marLeft w:val="0"/>
          <w:marRight w:val="0"/>
          <w:marTop w:val="0"/>
          <w:marBottom w:val="0"/>
          <w:divBdr>
            <w:top w:val="none" w:sz="0" w:space="0" w:color="auto"/>
            <w:left w:val="none" w:sz="0" w:space="0" w:color="auto"/>
            <w:bottom w:val="none" w:sz="0" w:space="0" w:color="auto"/>
            <w:right w:val="none" w:sz="0" w:space="0" w:color="auto"/>
          </w:divBdr>
        </w:div>
        <w:div w:id="416899138">
          <w:marLeft w:val="0"/>
          <w:marRight w:val="0"/>
          <w:marTop w:val="0"/>
          <w:marBottom w:val="0"/>
          <w:divBdr>
            <w:top w:val="none" w:sz="0" w:space="0" w:color="auto"/>
            <w:left w:val="none" w:sz="0" w:space="0" w:color="auto"/>
            <w:bottom w:val="none" w:sz="0" w:space="0" w:color="auto"/>
            <w:right w:val="none" w:sz="0" w:space="0" w:color="auto"/>
          </w:divBdr>
        </w:div>
        <w:div w:id="1452700549">
          <w:marLeft w:val="0"/>
          <w:marRight w:val="0"/>
          <w:marTop w:val="0"/>
          <w:marBottom w:val="0"/>
          <w:divBdr>
            <w:top w:val="none" w:sz="0" w:space="0" w:color="auto"/>
            <w:left w:val="none" w:sz="0" w:space="0" w:color="auto"/>
            <w:bottom w:val="none" w:sz="0" w:space="0" w:color="auto"/>
            <w:right w:val="none" w:sz="0" w:space="0" w:color="auto"/>
          </w:divBdr>
        </w:div>
        <w:div w:id="1702248351">
          <w:marLeft w:val="0"/>
          <w:marRight w:val="0"/>
          <w:marTop w:val="0"/>
          <w:marBottom w:val="0"/>
          <w:divBdr>
            <w:top w:val="none" w:sz="0" w:space="0" w:color="auto"/>
            <w:left w:val="none" w:sz="0" w:space="0" w:color="auto"/>
            <w:bottom w:val="none" w:sz="0" w:space="0" w:color="auto"/>
            <w:right w:val="none" w:sz="0" w:space="0" w:color="auto"/>
          </w:divBdr>
        </w:div>
        <w:div w:id="1628312209">
          <w:marLeft w:val="0"/>
          <w:marRight w:val="0"/>
          <w:marTop w:val="0"/>
          <w:marBottom w:val="0"/>
          <w:divBdr>
            <w:top w:val="none" w:sz="0" w:space="0" w:color="auto"/>
            <w:left w:val="none" w:sz="0" w:space="0" w:color="auto"/>
            <w:bottom w:val="none" w:sz="0" w:space="0" w:color="auto"/>
            <w:right w:val="none" w:sz="0" w:space="0" w:color="auto"/>
          </w:divBdr>
        </w:div>
        <w:div w:id="1380855366">
          <w:marLeft w:val="0"/>
          <w:marRight w:val="0"/>
          <w:marTop w:val="0"/>
          <w:marBottom w:val="0"/>
          <w:divBdr>
            <w:top w:val="none" w:sz="0" w:space="0" w:color="auto"/>
            <w:left w:val="none" w:sz="0" w:space="0" w:color="auto"/>
            <w:bottom w:val="none" w:sz="0" w:space="0" w:color="auto"/>
            <w:right w:val="none" w:sz="0" w:space="0" w:color="auto"/>
          </w:divBdr>
        </w:div>
        <w:div w:id="1405493293">
          <w:marLeft w:val="0"/>
          <w:marRight w:val="0"/>
          <w:marTop w:val="0"/>
          <w:marBottom w:val="0"/>
          <w:divBdr>
            <w:top w:val="none" w:sz="0" w:space="0" w:color="auto"/>
            <w:left w:val="none" w:sz="0" w:space="0" w:color="auto"/>
            <w:bottom w:val="none" w:sz="0" w:space="0" w:color="auto"/>
            <w:right w:val="none" w:sz="0" w:space="0" w:color="auto"/>
          </w:divBdr>
        </w:div>
        <w:div w:id="1718701772">
          <w:marLeft w:val="0"/>
          <w:marRight w:val="0"/>
          <w:marTop w:val="0"/>
          <w:marBottom w:val="0"/>
          <w:divBdr>
            <w:top w:val="none" w:sz="0" w:space="0" w:color="auto"/>
            <w:left w:val="none" w:sz="0" w:space="0" w:color="auto"/>
            <w:bottom w:val="none" w:sz="0" w:space="0" w:color="auto"/>
            <w:right w:val="none" w:sz="0" w:space="0" w:color="auto"/>
          </w:divBdr>
        </w:div>
        <w:div w:id="73825132">
          <w:marLeft w:val="0"/>
          <w:marRight w:val="0"/>
          <w:marTop w:val="0"/>
          <w:marBottom w:val="0"/>
          <w:divBdr>
            <w:top w:val="none" w:sz="0" w:space="0" w:color="auto"/>
            <w:left w:val="none" w:sz="0" w:space="0" w:color="auto"/>
            <w:bottom w:val="none" w:sz="0" w:space="0" w:color="auto"/>
            <w:right w:val="none" w:sz="0" w:space="0" w:color="auto"/>
          </w:divBdr>
        </w:div>
        <w:div w:id="53630054">
          <w:marLeft w:val="0"/>
          <w:marRight w:val="0"/>
          <w:marTop w:val="0"/>
          <w:marBottom w:val="0"/>
          <w:divBdr>
            <w:top w:val="none" w:sz="0" w:space="0" w:color="auto"/>
            <w:left w:val="none" w:sz="0" w:space="0" w:color="auto"/>
            <w:bottom w:val="none" w:sz="0" w:space="0" w:color="auto"/>
            <w:right w:val="none" w:sz="0" w:space="0" w:color="auto"/>
          </w:divBdr>
        </w:div>
        <w:div w:id="1914120214">
          <w:marLeft w:val="0"/>
          <w:marRight w:val="0"/>
          <w:marTop w:val="0"/>
          <w:marBottom w:val="0"/>
          <w:divBdr>
            <w:top w:val="none" w:sz="0" w:space="0" w:color="auto"/>
            <w:left w:val="none" w:sz="0" w:space="0" w:color="auto"/>
            <w:bottom w:val="none" w:sz="0" w:space="0" w:color="auto"/>
            <w:right w:val="none" w:sz="0" w:space="0" w:color="auto"/>
          </w:divBdr>
        </w:div>
        <w:div w:id="1537043185">
          <w:marLeft w:val="0"/>
          <w:marRight w:val="0"/>
          <w:marTop w:val="0"/>
          <w:marBottom w:val="0"/>
          <w:divBdr>
            <w:top w:val="none" w:sz="0" w:space="0" w:color="auto"/>
            <w:left w:val="none" w:sz="0" w:space="0" w:color="auto"/>
            <w:bottom w:val="none" w:sz="0" w:space="0" w:color="auto"/>
            <w:right w:val="none" w:sz="0" w:space="0" w:color="auto"/>
          </w:divBdr>
        </w:div>
        <w:div w:id="1376078332">
          <w:marLeft w:val="0"/>
          <w:marRight w:val="0"/>
          <w:marTop w:val="0"/>
          <w:marBottom w:val="0"/>
          <w:divBdr>
            <w:top w:val="none" w:sz="0" w:space="0" w:color="auto"/>
            <w:left w:val="none" w:sz="0" w:space="0" w:color="auto"/>
            <w:bottom w:val="none" w:sz="0" w:space="0" w:color="auto"/>
            <w:right w:val="none" w:sz="0" w:space="0" w:color="auto"/>
          </w:divBdr>
        </w:div>
        <w:div w:id="1575239008">
          <w:marLeft w:val="0"/>
          <w:marRight w:val="0"/>
          <w:marTop w:val="0"/>
          <w:marBottom w:val="0"/>
          <w:divBdr>
            <w:top w:val="none" w:sz="0" w:space="0" w:color="auto"/>
            <w:left w:val="none" w:sz="0" w:space="0" w:color="auto"/>
            <w:bottom w:val="none" w:sz="0" w:space="0" w:color="auto"/>
            <w:right w:val="none" w:sz="0" w:space="0" w:color="auto"/>
          </w:divBdr>
        </w:div>
        <w:div w:id="379667958">
          <w:marLeft w:val="0"/>
          <w:marRight w:val="0"/>
          <w:marTop w:val="0"/>
          <w:marBottom w:val="0"/>
          <w:divBdr>
            <w:top w:val="none" w:sz="0" w:space="0" w:color="auto"/>
            <w:left w:val="none" w:sz="0" w:space="0" w:color="auto"/>
            <w:bottom w:val="none" w:sz="0" w:space="0" w:color="auto"/>
            <w:right w:val="none" w:sz="0" w:space="0" w:color="auto"/>
          </w:divBdr>
        </w:div>
        <w:div w:id="178273454">
          <w:marLeft w:val="0"/>
          <w:marRight w:val="0"/>
          <w:marTop w:val="0"/>
          <w:marBottom w:val="0"/>
          <w:divBdr>
            <w:top w:val="none" w:sz="0" w:space="0" w:color="auto"/>
            <w:left w:val="none" w:sz="0" w:space="0" w:color="auto"/>
            <w:bottom w:val="none" w:sz="0" w:space="0" w:color="auto"/>
            <w:right w:val="none" w:sz="0" w:space="0" w:color="auto"/>
          </w:divBdr>
        </w:div>
        <w:div w:id="1991715917">
          <w:marLeft w:val="0"/>
          <w:marRight w:val="0"/>
          <w:marTop w:val="0"/>
          <w:marBottom w:val="0"/>
          <w:divBdr>
            <w:top w:val="none" w:sz="0" w:space="0" w:color="auto"/>
            <w:left w:val="none" w:sz="0" w:space="0" w:color="auto"/>
            <w:bottom w:val="none" w:sz="0" w:space="0" w:color="auto"/>
            <w:right w:val="none" w:sz="0" w:space="0" w:color="auto"/>
          </w:divBdr>
        </w:div>
        <w:div w:id="719791024">
          <w:marLeft w:val="0"/>
          <w:marRight w:val="0"/>
          <w:marTop w:val="0"/>
          <w:marBottom w:val="0"/>
          <w:divBdr>
            <w:top w:val="none" w:sz="0" w:space="0" w:color="auto"/>
            <w:left w:val="none" w:sz="0" w:space="0" w:color="auto"/>
            <w:bottom w:val="none" w:sz="0" w:space="0" w:color="auto"/>
            <w:right w:val="none" w:sz="0" w:space="0" w:color="auto"/>
          </w:divBdr>
        </w:div>
        <w:div w:id="831409081">
          <w:marLeft w:val="0"/>
          <w:marRight w:val="0"/>
          <w:marTop w:val="0"/>
          <w:marBottom w:val="0"/>
          <w:divBdr>
            <w:top w:val="none" w:sz="0" w:space="0" w:color="auto"/>
            <w:left w:val="none" w:sz="0" w:space="0" w:color="auto"/>
            <w:bottom w:val="none" w:sz="0" w:space="0" w:color="auto"/>
            <w:right w:val="none" w:sz="0" w:space="0" w:color="auto"/>
          </w:divBdr>
        </w:div>
        <w:div w:id="281110580">
          <w:marLeft w:val="0"/>
          <w:marRight w:val="0"/>
          <w:marTop w:val="0"/>
          <w:marBottom w:val="0"/>
          <w:divBdr>
            <w:top w:val="none" w:sz="0" w:space="0" w:color="auto"/>
            <w:left w:val="none" w:sz="0" w:space="0" w:color="auto"/>
            <w:bottom w:val="none" w:sz="0" w:space="0" w:color="auto"/>
            <w:right w:val="none" w:sz="0" w:space="0" w:color="auto"/>
          </w:divBdr>
        </w:div>
        <w:div w:id="744499844">
          <w:marLeft w:val="0"/>
          <w:marRight w:val="0"/>
          <w:marTop w:val="0"/>
          <w:marBottom w:val="0"/>
          <w:divBdr>
            <w:top w:val="none" w:sz="0" w:space="0" w:color="auto"/>
            <w:left w:val="none" w:sz="0" w:space="0" w:color="auto"/>
            <w:bottom w:val="none" w:sz="0" w:space="0" w:color="auto"/>
            <w:right w:val="none" w:sz="0" w:space="0" w:color="auto"/>
          </w:divBdr>
        </w:div>
        <w:div w:id="653533142">
          <w:marLeft w:val="0"/>
          <w:marRight w:val="0"/>
          <w:marTop w:val="0"/>
          <w:marBottom w:val="0"/>
          <w:divBdr>
            <w:top w:val="none" w:sz="0" w:space="0" w:color="auto"/>
            <w:left w:val="none" w:sz="0" w:space="0" w:color="auto"/>
            <w:bottom w:val="none" w:sz="0" w:space="0" w:color="auto"/>
            <w:right w:val="none" w:sz="0" w:space="0" w:color="auto"/>
          </w:divBdr>
        </w:div>
        <w:div w:id="1795098581">
          <w:marLeft w:val="0"/>
          <w:marRight w:val="0"/>
          <w:marTop w:val="0"/>
          <w:marBottom w:val="0"/>
          <w:divBdr>
            <w:top w:val="none" w:sz="0" w:space="0" w:color="auto"/>
            <w:left w:val="none" w:sz="0" w:space="0" w:color="auto"/>
            <w:bottom w:val="none" w:sz="0" w:space="0" w:color="auto"/>
            <w:right w:val="none" w:sz="0" w:space="0" w:color="auto"/>
          </w:divBdr>
        </w:div>
        <w:div w:id="156726481">
          <w:marLeft w:val="0"/>
          <w:marRight w:val="0"/>
          <w:marTop w:val="0"/>
          <w:marBottom w:val="0"/>
          <w:divBdr>
            <w:top w:val="none" w:sz="0" w:space="0" w:color="auto"/>
            <w:left w:val="none" w:sz="0" w:space="0" w:color="auto"/>
            <w:bottom w:val="none" w:sz="0" w:space="0" w:color="auto"/>
            <w:right w:val="none" w:sz="0" w:space="0" w:color="auto"/>
          </w:divBdr>
        </w:div>
        <w:div w:id="379474573">
          <w:marLeft w:val="0"/>
          <w:marRight w:val="0"/>
          <w:marTop w:val="0"/>
          <w:marBottom w:val="0"/>
          <w:divBdr>
            <w:top w:val="none" w:sz="0" w:space="0" w:color="auto"/>
            <w:left w:val="none" w:sz="0" w:space="0" w:color="auto"/>
            <w:bottom w:val="none" w:sz="0" w:space="0" w:color="auto"/>
            <w:right w:val="none" w:sz="0" w:space="0" w:color="auto"/>
          </w:divBdr>
        </w:div>
        <w:div w:id="93325924">
          <w:marLeft w:val="0"/>
          <w:marRight w:val="0"/>
          <w:marTop w:val="0"/>
          <w:marBottom w:val="0"/>
          <w:divBdr>
            <w:top w:val="none" w:sz="0" w:space="0" w:color="auto"/>
            <w:left w:val="none" w:sz="0" w:space="0" w:color="auto"/>
            <w:bottom w:val="none" w:sz="0" w:space="0" w:color="auto"/>
            <w:right w:val="none" w:sz="0" w:space="0" w:color="auto"/>
          </w:divBdr>
        </w:div>
        <w:div w:id="748891335">
          <w:marLeft w:val="0"/>
          <w:marRight w:val="0"/>
          <w:marTop w:val="0"/>
          <w:marBottom w:val="0"/>
          <w:divBdr>
            <w:top w:val="none" w:sz="0" w:space="0" w:color="auto"/>
            <w:left w:val="none" w:sz="0" w:space="0" w:color="auto"/>
            <w:bottom w:val="none" w:sz="0" w:space="0" w:color="auto"/>
            <w:right w:val="none" w:sz="0" w:space="0" w:color="auto"/>
          </w:divBdr>
        </w:div>
        <w:div w:id="1839345548">
          <w:marLeft w:val="0"/>
          <w:marRight w:val="0"/>
          <w:marTop w:val="0"/>
          <w:marBottom w:val="0"/>
          <w:divBdr>
            <w:top w:val="none" w:sz="0" w:space="0" w:color="auto"/>
            <w:left w:val="none" w:sz="0" w:space="0" w:color="auto"/>
            <w:bottom w:val="none" w:sz="0" w:space="0" w:color="auto"/>
            <w:right w:val="none" w:sz="0" w:space="0" w:color="auto"/>
          </w:divBdr>
        </w:div>
        <w:div w:id="671252401">
          <w:marLeft w:val="0"/>
          <w:marRight w:val="0"/>
          <w:marTop w:val="0"/>
          <w:marBottom w:val="0"/>
          <w:divBdr>
            <w:top w:val="none" w:sz="0" w:space="0" w:color="auto"/>
            <w:left w:val="none" w:sz="0" w:space="0" w:color="auto"/>
            <w:bottom w:val="none" w:sz="0" w:space="0" w:color="auto"/>
            <w:right w:val="none" w:sz="0" w:space="0" w:color="auto"/>
          </w:divBdr>
        </w:div>
        <w:div w:id="1212227981">
          <w:marLeft w:val="0"/>
          <w:marRight w:val="0"/>
          <w:marTop w:val="0"/>
          <w:marBottom w:val="0"/>
          <w:divBdr>
            <w:top w:val="none" w:sz="0" w:space="0" w:color="auto"/>
            <w:left w:val="none" w:sz="0" w:space="0" w:color="auto"/>
            <w:bottom w:val="none" w:sz="0" w:space="0" w:color="auto"/>
            <w:right w:val="none" w:sz="0" w:space="0" w:color="auto"/>
          </w:divBdr>
        </w:div>
        <w:div w:id="1034383746">
          <w:marLeft w:val="0"/>
          <w:marRight w:val="0"/>
          <w:marTop w:val="0"/>
          <w:marBottom w:val="0"/>
          <w:divBdr>
            <w:top w:val="none" w:sz="0" w:space="0" w:color="auto"/>
            <w:left w:val="none" w:sz="0" w:space="0" w:color="auto"/>
            <w:bottom w:val="none" w:sz="0" w:space="0" w:color="auto"/>
            <w:right w:val="none" w:sz="0" w:space="0" w:color="auto"/>
          </w:divBdr>
        </w:div>
        <w:div w:id="850492588">
          <w:marLeft w:val="0"/>
          <w:marRight w:val="0"/>
          <w:marTop w:val="0"/>
          <w:marBottom w:val="0"/>
          <w:divBdr>
            <w:top w:val="none" w:sz="0" w:space="0" w:color="auto"/>
            <w:left w:val="none" w:sz="0" w:space="0" w:color="auto"/>
            <w:bottom w:val="none" w:sz="0" w:space="0" w:color="auto"/>
            <w:right w:val="none" w:sz="0" w:space="0" w:color="auto"/>
          </w:divBdr>
        </w:div>
        <w:div w:id="167646067">
          <w:marLeft w:val="0"/>
          <w:marRight w:val="0"/>
          <w:marTop w:val="0"/>
          <w:marBottom w:val="0"/>
          <w:divBdr>
            <w:top w:val="none" w:sz="0" w:space="0" w:color="auto"/>
            <w:left w:val="none" w:sz="0" w:space="0" w:color="auto"/>
            <w:bottom w:val="none" w:sz="0" w:space="0" w:color="auto"/>
            <w:right w:val="none" w:sz="0" w:space="0" w:color="auto"/>
          </w:divBdr>
        </w:div>
        <w:div w:id="897134941">
          <w:marLeft w:val="0"/>
          <w:marRight w:val="0"/>
          <w:marTop w:val="0"/>
          <w:marBottom w:val="0"/>
          <w:divBdr>
            <w:top w:val="none" w:sz="0" w:space="0" w:color="auto"/>
            <w:left w:val="none" w:sz="0" w:space="0" w:color="auto"/>
            <w:bottom w:val="none" w:sz="0" w:space="0" w:color="auto"/>
            <w:right w:val="none" w:sz="0" w:space="0" w:color="auto"/>
          </w:divBdr>
        </w:div>
        <w:div w:id="1686789054">
          <w:marLeft w:val="0"/>
          <w:marRight w:val="0"/>
          <w:marTop w:val="0"/>
          <w:marBottom w:val="0"/>
          <w:divBdr>
            <w:top w:val="none" w:sz="0" w:space="0" w:color="auto"/>
            <w:left w:val="none" w:sz="0" w:space="0" w:color="auto"/>
            <w:bottom w:val="none" w:sz="0" w:space="0" w:color="auto"/>
            <w:right w:val="none" w:sz="0" w:space="0" w:color="auto"/>
          </w:divBdr>
        </w:div>
        <w:div w:id="418907861">
          <w:marLeft w:val="0"/>
          <w:marRight w:val="0"/>
          <w:marTop w:val="0"/>
          <w:marBottom w:val="0"/>
          <w:divBdr>
            <w:top w:val="none" w:sz="0" w:space="0" w:color="auto"/>
            <w:left w:val="none" w:sz="0" w:space="0" w:color="auto"/>
            <w:bottom w:val="none" w:sz="0" w:space="0" w:color="auto"/>
            <w:right w:val="none" w:sz="0" w:space="0" w:color="auto"/>
          </w:divBdr>
        </w:div>
        <w:div w:id="848641710">
          <w:marLeft w:val="0"/>
          <w:marRight w:val="0"/>
          <w:marTop w:val="0"/>
          <w:marBottom w:val="0"/>
          <w:divBdr>
            <w:top w:val="none" w:sz="0" w:space="0" w:color="auto"/>
            <w:left w:val="none" w:sz="0" w:space="0" w:color="auto"/>
            <w:bottom w:val="none" w:sz="0" w:space="0" w:color="auto"/>
            <w:right w:val="none" w:sz="0" w:space="0" w:color="auto"/>
          </w:divBdr>
        </w:div>
        <w:div w:id="681474545">
          <w:marLeft w:val="0"/>
          <w:marRight w:val="0"/>
          <w:marTop w:val="0"/>
          <w:marBottom w:val="0"/>
          <w:divBdr>
            <w:top w:val="none" w:sz="0" w:space="0" w:color="auto"/>
            <w:left w:val="none" w:sz="0" w:space="0" w:color="auto"/>
            <w:bottom w:val="none" w:sz="0" w:space="0" w:color="auto"/>
            <w:right w:val="none" w:sz="0" w:space="0" w:color="auto"/>
          </w:divBdr>
        </w:div>
        <w:div w:id="805665310">
          <w:marLeft w:val="0"/>
          <w:marRight w:val="0"/>
          <w:marTop w:val="0"/>
          <w:marBottom w:val="0"/>
          <w:divBdr>
            <w:top w:val="none" w:sz="0" w:space="0" w:color="auto"/>
            <w:left w:val="none" w:sz="0" w:space="0" w:color="auto"/>
            <w:bottom w:val="none" w:sz="0" w:space="0" w:color="auto"/>
            <w:right w:val="none" w:sz="0" w:space="0" w:color="auto"/>
          </w:divBdr>
        </w:div>
        <w:div w:id="1792356275">
          <w:marLeft w:val="0"/>
          <w:marRight w:val="0"/>
          <w:marTop w:val="0"/>
          <w:marBottom w:val="0"/>
          <w:divBdr>
            <w:top w:val="none" w:sz="0" w:space="0" w:color="auto"/>
            <w:left w:val="none" w:sz="0" w:space="0" w:color="auto"/>
            <w:bottom w:val="none" w:sz="0" w:space="0" w:color="auto"/>
            <w:right w:val="none" w:sz="0" w:space="0" w:color="auto"/>
          </w:divBdr>
        </w:div>
        <w:div w:id="86539702">
          <w:marLeft w:val="0"/>
          <w:marRight w:val="0"/>
          <w:marTop w:val="0"/>
          <w:marBottom w:val="0"/>
          <w:divBdr>
            <w:top w:val="none" w:sz="0" w:space="0" w:color="auto"/>
            <w:left w:val="none" w:sz="0" w:space="0" w:color="auto"/>
            <w:bottom w:val="none" w:sz="0" w:space="0" w:color="auto"/>
            <w:right w:val="none" w:sz="0" w:space="0" w:color="auto"/>
          </w:divBdr>
        </w:div>
        <w:div w:id="1767537533">
          <w:marLeft w:val="0"/>
          <w:marRight w:val="0"/>
          <w:marTop w:val="0"/>
          <w:marBottom w:val="0"/>
          <w:divBdr>
            <w:top w:val="none" w:sz="0" w:space="0" w:color="auto"/>
            <w:left w:val="none" w:sz="0" w:space="0" w:color="auto"/>
            <w:bottom w:val="none" w:sz="0" w:space="0" w:color="auto"/>
            <w:right w:val="none" w:sz="0" w:space="0" w:color="auto"/>
          </w:divBdr>
        </w:div>
        <w:div w:id="683475639">
          <w:marLeft w:val="0"/>
          <w:marRight w:val="0"/>
          <w:marTop w:val="0"/>
          <w:marBottom w:val="0"/>
          <w:divBdr>
            <w:top w:val="none" w:sz="0" w:space="0" w:color="auto"/>
            <w:left w:val="none" w:sz="0" w:space="0" w:color="auto"/>
            <w:bottom w:val="none" w:sz="0" w:space="0" w:color="auto"/>
            <w:right w:val="none" w:sz="0" w:space="0" w:color="auto"/>
          </w:divBdr>
        </w:div>
        <w:div w:id="738479356">
          <w:marLeft w:val="0"/>
          <w:marRight w:val="0"/>
          <w:marTop w:val="0"/>
          <w:marBottom w:val="0"/>
          <w:divBdr>
            <w:top w:val="none" w:sz="0" w:space="0" w:color="auto"/>
            <w:left w:val="none" w:sz="0" w:space="0" w:color="auto"/>
            <w:bottom w:val="none" w:sz="0" w:space="0" w:color="auto"/>
            <w:right w:val="none" w:sz="0" w:space="0" w:color="auto"/>
          </w:divBdr>
        </w:div>
        <w:div w:id="1888644153">
          <w:marLeft w:val="0"/>
          <w:marRight w:val="0"/>
          <w:marTop w:val="0"/>
          <w:marBottom w:val="0"/>
          <w:divBdr>
            <w:top w:val="none" w:sz="0" w:space="0" w:color="auto"/>
            <w:left w:val="none" w:sz="0" w:space="0" w:color="auto"/>
            <w:bottom w:val="none" w:sz="0" w:space="0" w:color="auto"/>
            <w:right w:val="none" w:sz="0" w:space="0" w:color="auto"/>
          </w:divBdr>
        </w:div>
        <w:div w:id="1870099068">
          <w:marLeft w:val="0"/>
          <w:marRight w:val="0"/>
          <w:marTop w:val="0"/>
          <w:marBottom w:val="0"/>
          <w:divBdr>
            <w:top w:val="none" w:sz="0" w:space="0" w:color="auto"/>
            <w:left w:val="none" w:sz="0" w:space="0" w:color="auto"/>
            <w:bottom w:val="none" w:sz="0" w:space="0" w:color="auto"/>
            <w:right w:val="none" w:sz="0" w:space="0" w:color="auto"/>
          </w:divBdr>
        </w:div>
        <w:div w:id="741488293">
          <w:marLeft w:val="0"/>
          <w:marRight w:val="0"/>
          <w:marTop w:val="0"/>
          <w:marBottom w:val="0"/>
          <w:divBdr>
            <w:top w:val="none" w:sz="0" w:space="0" w:color="auto"/>
            <w:left w:val="none" w:sz="0" w:space="0" w:color="auto"/>
            <w:bottom w:val="none" w:sz="0" w:space="0" w:color="auto"/>
            <w:right w:val="none" w:sz="0" w:space="0" w:color="auto"/>
          </w:divBdr>
        </w:div>
        <w:div w:id="1976060711">
          <w:marLeft w:val="0"/>
          <w:marRight w:val="0"/>
          <w:marTop w:val="0"/>
          <w:marBottom w:val="0"/>
          <w:divBdr>
            <w:top w:val="none" w:sz="0" w:space="0" w:color="auto"/>
            <w:left w:val="none" w:sz="0" w:space="0" w:color="auto"/>
            <w:bottom w:val="none" w:sz="0" w:space="0" w:color="auto"/>
            <w:right w:val="none" w:sz="0" w:space="0" w:color="auto"/>
          </w:divBdr>
        </w:div>
        <w:div w:id="1117717443">
          <w:marLeft w:val="0"/>
          <w:marRight w:val="0"/>
          <w:marTop w:val="0"/>
          <w:marBottom w:val="0"/>
          <w:divBdr>
            <w:top w:val="none" w:sz="0" w:space="0" w:color="auto"/>
            <w:left w:val="none" w:sz="0" w:space="0" w:color="auto"/>
            <w:bottom w:val="none" w:sz="0" w:space="0" w:color="auto"/>
            <w:right w:val="none" w:sz="0" w:space="0" w:color="auto"/>
          </w:divBdr>
        </w:div>
        <w:div w:id="1275943192">
          <w:marLeft w:val="0"/>
          <w:marRight w:val="0"/>
          <w:marTop w:val="0"/>
          <w:marBottom w:val="0"/>
          <w:divBdr>
            <w:top w:val="none" w:sz="0" w:space="0" w:color="auto"/>
            <w:left w:val="none" w:sz="0" w:space="0" w:color="auto"/>
            <w:bottom w:val="none" w:sz="0" w:space="0" w:color="auto"/>
            <w:right w:val="none" w:sz="0" w:space="0" w:color="auto"/>
          </w:divBdr>
        </w:div>
        <w:div w:id="286736487">
          <w:marLeft w:val="0"/>
          <w:marRight w:val="0"/>
          <w:marTop w:val="0"/>
          <w:marBottom w:val="0"/>
          <w:divBdr>
            <w:top w:val="none" w:sz="0" w:space="0" w:color="auto"/>
            <w:left w:val="none" w:sz="0" w:space="0" w:color="auto"/>
            <w:bottom w:val="none" w:sz="0" w:space="0" w:color="auto"/>
            <w:right w:val="none" w:sz="0" w:space="0" w:color="auto"/>
          </w:divBdr>
        </w:div>
        <w:div w:id="1071121740">
          <w:marLeft w:val="0"/>
          <w:marRight w:val="0"/>
          <w:marTop w:val="0"/>
          <w:marBottom w:val="0"/>
          <w:divBdr>
            <w:top w:val="none" w:sz="0" w:space="0" w:color="auto"/>
            <w:left w:val="none" w:sz="0" w:space="0" w:color="auto"/>
            <w:bottom w:val="none" w:sz="0" w:space="0" w:color="auto"/>
            <w:right w:val="none" w:sz="0" w:space="0" w:color="auto"/>
          </w:divBdr>
        </w:div>
        <w:div w:id="1327127964">
          <w:marLeft w:val="0"/>
          <w:marRight w:val="0"/>
          <w:marTop w:val="0"/>
          <w:marBottom w:val="0"/>
          <w:divBdr>
            <w:top w:val="none" w:sz="0" w:space="0" w:color="auto"/>
            <w:left w:val="none" w:sz="0" w:space="0" w:color="auto"/>
            <w:bottom w:val="none" w:sz="0" w:space="0" w:color="auto"/>
            <w:right w:val="none" w:sz="0" w:space="0" w:color="auto"/>
          </w:divBdr>
        </w:div>
        <w:div w:id="1014918002">
          <w:marLeft w:val="0"/>
          <w:marRight w:val="0"/>
          <w:marTop w:val="0"/>
          <w:marBottom w:val="0"/>
          <w:divBdr>
            <w:top w:val="none" w:sz="0" w:space="0" w:color="auto"/>
            <w:left w:val="none" w:sz="0" w:space="0" w:color="auto"/>
            <w:bottom w:val="none" w:sz="0" w:space="0" w:color="auto"/>
            <w:right w:val="none" w:sz="0" w:space="0" w:color="auto"/>
          </w:divBdr>
        </w:div>
        <w:div w:id="727530620">
          <w:marLeft w:val="0"/>
          <w:marRight w:val="0"/>
          <w:marTop w:val="0"/>
          <w:marBottom w:val="0"/>
          <w:divBdr>
            <w:top w:val="none" w:sz="0" w:space="0" w:color="auto"/>
            <w:left w:val="none" w:sz="0" w:space="0" w:color="auto"/>
            <w:bottom w:val="none" w:sz="0" w:space="0" w:color="auto"/>
            <w:right w:val="none" w:sz="0" w:space="0" w:color="auto"/>
          </w:divBdr>
        </w:div>
        <w:div w:id="234164507">
          <w:marLeft w:val="0"/>
          <w:marRight w:val="0"/>
          <w:marTop w:val="0"/>
          <w:marBottom w:val="0"/>
          <w:divBdr>
            <w:top w:val="none" w:sz="0" w:space="0" w:color="auto"/>
            <w:left w:val="none" w:sz="0" w:space="0" w:color="auto"/>
            <w:bottom w:val="none" w:sz="0" w:space="0" w:color="auto"/>
            <w:right w:val="none" w:sz="0" w:space="0" w:color="auto"/>
          </w:divBdr>
        </w:div>
        <w:div w:id="1384404851">
          <w:marLeft w:val="0"/>
          <w:marRight w:val="0"/>
          <w:marTop w:val="0"/>
          <w:marBottom w:val="0"/>
          <w:divBdr>
            <w:top w:val="none" w:sz="0" w:space="0" w:color="auto"/>
            <w:left w:val="none" w:sz="0" w:space="0" w:color="auto"/>
            <w:bottom w:val="none" w:sz="0" w:space="0" w:color="auto"/>
            <w:right w:val="none" w:sz="0" w:space="0" w:color="auto"/>
          </w:divBdr>
        </w:div>
        <w:div w:id="1955093738">
          <w:marLeft w:val="0"/>
          <w:marRight w:val="0"/>
          <w:marTop w:val="0"/>
          <w:marBottom w:val="0"/>
          <w:divBdr>
            <w:top w:val="none" w:sz="0" w:space="0" w:color="auto"/>
            <w:left w:val="none" w:sz="0" w:space="0" w:color="auto"/>
            <w:bottom w:val="none" w:sz="0" w:space="0" w:color="auto"/>
            <w:right w:val="none" w:sz="0" w:space="0" w:color="auto"/>
          </w:divBdr>
        </w:div>
        <w:div w:id="325792979">
          <w:marLeft w:val="0"/>
          <w:marRight w:val="0"/>
          <w:marTop w:val="0"/>
          <w:marBottom w:val="0"/>
          <w:divBdr>
            <w:top w:val="none" w:sz="0" w:space="0" w:color="auto"/>
            <w:left w:val="none" w:sz="0" w:space="0" w:color="auto"/>
            <w:bottom w:val="none" w:sz="0" w:space="0" w:color="auto"/>
            <w:right w:val="none" w:sz="0" w:space="0" w:color="auto"/>
          </w:divBdr>
        </w:div>
        <w:div w:id="633489825">
          <w:marLeft w:val="0"/>
          <w:marRight w:val="0"/>
          <w:marTop w:val="0"/>
          <w:marBottom w:val="0"/>
          <w:divBdr>
            <w:top w:val="none" w:sz="0" w:space="0" w:color="auto"/>
            <w:left w:val="none" w:sz="0" w:space="0" w:color="auto"/>
            <w:bottom w:val="none" w:sz="0" w:space="0" w:color="auto"/>
            <w:right w:val="none" w:sz="0" w:space="0" w:color="auto"/>
          </w:divBdr>
        </w:div>
        <w:div w:id="1353848368">
          <w:marLeft w:val="0"/>
          <w:marRight w:val="0"/>
          <w:marTop w:val="0"/>
          <w:marBottom w:val="0"/>
          <w:divBdr>
            <w:top w:val="none" w:sz="0" w:space="0" w:color="auto"/>
            <w:left w:val="none" w:sz="0" w:space="0" w:color="auto"/>
            <w:bottom w:val="none" w:sz="0" w:space="0" w:color="auto"/>
            <w:right w:val="none" w:sz="0" w:space="0" w:color="auto"/>
          </w:divBdr>
        </w:div>
        <w:div w:id="983000398">
          <w:marLeft w:val="0"/>
          <w:marRight w:val="0"/>
          <w:marTop w:val="0"/>
          <w:marBottom w:val="0"/>
          <w:divBdr>
            <w:top w:val="none" w:sz="0" w:space="0" w:color="auto"/>
            <w:left w:val="none" w:sz="0" w:space="0" w:color="auto"/>
            <w:bottom w:val="none" w:sz="0" w:space="0" w:color="auto"/>
            <w:right w:val="none" w:sz="0" w:space="0" w:color="auto"/>
          </w:divBdr>
        </w:div>
        <w:div w:id="332610656">
          <w:marLeft w:val="0"/>
          <w:marRight w:val="0"/>
          <w:marTop w:val="0"/>
          <w:marBottom w:val="0"/>
          <w:divBdr>
            <w:top w:val="none" w:sz="0" w:space="0" w:color="auto"/>
            <w:left w:val="none" w:sz="0" w:space="0" w:color="auto"/>
            <w:bottom w:val="none" w:sz="0" w:space="0" w:color="auto"/>
            <w:right w:val="none" w:sz="0" w:space="0" w:color="auto"/>
          </w:divBdr>
        </w:div>
        <w:div w:id="1495031742">
          <w:marLeft w:val="0"/>
          <w:marRight w:val="0"/>
          <w:marTop w:val="0"/>
          <w:marBottom w:val="0"/>
          <w:divBdr>
            <w:top w:val="none" w:sz="0" w:space="0" w:color="auto"/>
            <w:left w:val="none" w:sz="0" w:space="0" w:color="auto"/>
            <w:bottom w:val="none" w:sz="0" w:space="0" w:color="auto"/>
            <w:right w:val="none" w:sz="0" w:space="0" w:color="auto"/>
          </w:divBdr>
        </w:div>
        <w:div w:id="806169195">
          <w:marLeft w:val="0"/>
          <w:marRight w:val="0"/>
          <w:marTop w:val="0"/>
          <w:marBottom w:val="0"/>
          <w:divBdr>
            <w:top w:val="none" w:sz="0" w:space="0" w:color="auto"/>
            <w:left w:val="none" w:sz="0" w:space="0" w:color="auto"/>
            <w:bottom w:val="none" w:sz="0" w:space="0" w:color="auto"/>
            <w:right w:val="none" w:sz="0" w:space="0" w:color="auto"/>
          </w:divBdr>
        </w:div>
        <w:div w:id="1767995039">
          <w:marLeft w:val="0"/>
          <w:marRight w:val="0"/>
          <w:marTop w:val="0"/>
          <w:marBottom w:val="0"/>
          <w:divBdr>
            <w:top w:val="none" w:sz="0" w:space="0" w:color="auto"/>
            <w:left w:val="none" w:sz="0" w:space="0" w:color="auto"/>
            <w:bottom w:val="none" w:sz="0" w:space="0" w:color="auto"/>
            <w:right w:val="none" w:sz="0" w:space="0" w:color="auto"/>
          </w:divBdr>
        </w:div>
        <w:div w:id="1492982345">
          <w:marLeft w:val="0"/>
          <w:marRight w:val="0"/>
          <w:marTop w:val="0"/>
          <w:marBottom w:val="0"/>
          <w:divBdr>
            <w:top w:val="none" w:sz="0" w:space="0" w:color="auto"/>
            <w:left w:val="none" w:sz="0" w:space="0" w:color="auto"/>
            <w:bottom w:val="none" w:sz="0" w:space="0" w:color="auto"/>
            <w:right w:val="none" w:sz="0" w:space="0" w:color="auto"/>
          </w:divBdr>
        </w:div>
        <w:div w:id="1698965819">
          <w:marLeft w:val="0"/>
          <w:marRight w:val="0"/>
          <w:marTop w:val="0"/>
          <w:marBottom w:val="0"/>
          <w:divBdr>
            <w:top w:val="none" w:sz="0" w:space="0" w:color="auto"/>
            <w:left w:val="none" w:sz="0" w:space="0" w:color="auto"/>
            <w:bottom w:val="none" w:sz="0" w:space="0" w:color="auto"/>
            <w:right w:val="none" w:sz="0" w:space="0" w:color="auto"/>
          </w:divBdr>
        </w:div>
        <w:div w:id="1390300098">
          <w:marLeft w:val="0"/>
          <w:marRight w:val="0"/>
          <w:marTop w:val="0"/>
          <w:marBottom w:val="0"/>
          <w:divBdr>
            <w:top w:val="none" w:sz="0" w:space="0" w:color="auto"/>
            <w:left w:val="none" w:sz="0" w:space="0" w:color="auto"/>
            <w:bottom w:val="none" w:sz="0" w:space="0" w:color="auto"/>
            <w:right w:val="none" w:sz="0" w:space="0" w:color="auto"/>
          </w:divBdr>
        </w:div>
        <w:div w:id="1873496170">
          <w:marLeft w:val="0"/>
          <w:marRight w:val="0"/>
          <w:marTop w:val="0"/>
          <w:marBottom w:val="0"/>
          <w:divBdr>
            <w:top w:val="none" w:sz="0" w:space="0" w:color="auto"/>
            <w:left w:val="none" w:sz="0" w:space="0" w:color="auto"/>
            <w:bottom w:val="none" w:sz="0" w:space="0" w:color="auto"/>
            <w:right w:val="none" w:sz="0" w:space="0" w:color="auto"/>
          </w:divBdr>
        </w:div>
        <w:div w:id="576866248">
          <w:marLeft w:val="0"/>
          <w:marRight w:val="0"/>
          <w:marTop w:val="0"/>
          <w:marBottom w:val="0"/>
          <w:divBdr>
            <w:top w:val="none" w:sz="0" w:space="0" w:color="auto"/>
            <w:left w:val="none" w:sz="0" w:space="0" w:color="auto"/>
            <w:bottom w:val="none" w:sz="0" w:space="0" w:color="auto"/>
            <w:right w:val="none" w:sz="0" w:space="0" w:color="auto"/>
          </w:divBdr>
        </w:div>
        <w:div w:id="1921257219">
          <w:marLeft w:val="0"/>
          <w:marRight w:val="0"/>
          <w:marTop w:val="0"/>
          <w:marBottom w:val="0"/>
          <w:divBdr>
            <w:top w:val="none" w:sz="0" w:space="0" w:color="auto"/>
            <w:left w:val="none" w:sz="0" w:space="0" w:color="auto"/>
            <w:bottom w:val="none" w:sz="0" w:space="0" w:color="auto"/>
            <w:right w:val="none" w:sz="0" w:space="0" w:color="auto"/>
          </w:divBdr>
        </w:div>
        <w:div w:id="1600866544">
          <w:marLeft w:val="0"/>
          <w:marRight w:val="0"/>
          <w:marTop w:val="0"/>
          <w:marBottom w:val="0"/>
          <w:divBdr>
            <w:top w:val="none" w:sz="0" w:space="0" w:color="auto"/>
            <w:left w:val="none" w:sz="0" w:space="0" w:color="auto"/>
            <w:bottom w:val="none" w:sz="0" w:space="0" w:color="auto"/>
            <w:right w:val="none" w:sz="0" w:space="0" w:color="auto"/>
          </w:divBdr>
        </w:div>
        <w:div w:id="1041436901">
          <w:marLeft w:val="0"/>
          <w:marRight w:val="0"/>
          <w:marTop w:val="0"/>
          <w:marBottom w:val="0"/>
          <w:divBdr>
            <w:top w:val="none" w:sz="0" w:space="0" w:color="auto"/>
            <w:left w:val="none" w:sz="0" w:space="0" w:color="auto"/>
            <w:bottom w:val="none" w:sz="0" w:space="0" w:color="auto"/>
            <w:right w:val="none" w:sz="0" w:space="0" w:color="auto"/>
          </w:divBdr>
        </w:div>
        <w:div w:id="948467296">
          <w:marLeft w:val="0"/>
          <w:marRight w:val="0"/>
          <w:marTop w:val="0"/>
          <w:marBottom w:val="0"/>
          <w:divBdr>
            <w:top w:val="none" w:sz="0" w:space="0" w:color="auto"/>
            <w:left w:val="none" w:sz="0" w:space="0" w:color="auto"/>
            <w:bottom w:val="none" w:sz="0" w:space="0" w:color="auto"/>
            <w:right w:val="none" w:sz="0" w:space="0" w:color="auto"/>
          </w:divBdr>
        </w:div>
        <w:div w:id="2045708784">
          <w:marLeft w:val="0"/>
          <w:marRight w:val="0"/>
          <w:marTop w:val="0"/>
          <w:marBottom w:val="0"/>
          <w:divBdr>
            <w:top w:val="none" w:sz="0" w:space="0" w:color="auto"/>
            <w:left w:val="none" w:sz="0" w:space="0" w:color="auto"/>
            <w:bottom w:val="none" w:sz="0" w:space="0" w:color="auto"/>
            <w:right w:val="none" w:sz="0" w:space="0" w:color="auto"/>
          </w:divBdr>
        </w:div>
        <w:div w:id="1090158585">
          <w:marLeft w:val="0"/>
          <w:marRight w:val="0"/>
          <w:marTop w:val="0"/>
          <w:marBottom w:val="0"/>
          <w:divBdr>
            <w:top w:val="none" w:sz="0" w:space="0" w:color="auto"/>
            <w:left w:val="none" w:sz="0" w:space="0" w:color="auto"/>
            <w:bottom w:val="none" w:sz="0" w:space="0" w:color="auto"/>
            <w:right w:val="none" w:sz="0" w:space="0" w:color="auto"/>
          </w:divBdr>
        </w:div>
        <w:div w:id="717046706">
          <w:marLeft w:val="0"/>
          <w:marRight w:val="0"/>
          <w:marTop w:val="0"/>
          <w:marBottom w:val="0"/>
          <w:divBdr>
            <w:top w:val="none" w:sz="0" w:space="0" w:color="auto"/>
            <w:left w:val="none" w:sz="0" w:space="0" w:color="auto"/>
            <w:bottom w:val="none" w:sz="0" w:space="0" w:color="auto"/>
            <w:right w:val="none" w:sz="0" w:space="0" w:color="auto"/>
          </w:divBdr>
        </w:div>
        <w:div w:id="802232567">
          <w:marLeft w:val="0"/>
          <w:marRight w:val="0"/>
          <w:marTop w:val="0"/>
          <w:marBottom w:val="0"/>
          <w:divBdr>
            <w:top w:val="none" w:sz="0" w:space="0" w:color="auto"/>
            <w:left w:val="none" w:sz="0" w:space="0" w:color="auto"/>
            <w:bottom w:val="none" w:sz="0" w:space="0" w:color="auto"/>
            <w:right w:val="none" w:sz="0" w:space="0" w:color="auto"/>
          </w:divBdr>
        </w:div>
        <w:div w:id="1266839369">
          <w:marLeft w:val="0"/>
          <w:marRight w:val="0"/>
          <w:marTop w:val="0"/>
          <w:marBottom w:val="0"/>
          <w:divBdr>
            <w:top w:val="none" w:sz="0" w:space="0" w:color="auto"/>
            <w:left w:val="none" w:sz="0" w:space="0" w:color="auto"/>
            <w:bottom w:val="none" w:sz="0" w:space="0" w:color="auto"/>
            <w:right w:val="none" w:sz="0" w:space="0" w:color="auto"/>
          </w:divBdr>
        </w:div>
        <w:div w:id="1612472742">
          <w:marLeft w:val="0"/>
          <w:marRight w:val="0"/>
          <w:marTop w:val="0"/>
          <w:marBottom w:val="0"/>
          <w:divBdr>
            <w:top w:val="none" w:sz="0" w:space="0" w:color="auto"/>
            <w:left w:val="none" w:sz="0" w:space="0" w:color="auto"/>
            <w:bottom w:val="none" w:sz="0" w:space="0" w:color="auto"/>
            <w:right w:val="none" w:sz="0" w:space="0" w:color="auto"/>
          </w:divBdr>
        </w:div>
        <w:div w:id="1162702217">
          <w:marLeft w:val="0"/>
          <w:marRight w:val="0"/>
          <w:marTop w:val="0"/>
          <w:marBottom w:val="0"/>
          <w:divBdr>
            <w:top w:val="none" w:sz="0" w:space="0" w:color="auto"/>
            <w:left w:val="none" w:sz="0" w:space="0" w:color="auto"/>
            <w:bottom w:val="none" w:sz="0" w:space="0" w:color="auto"/>
            <w:right w:val="none" w:sz="0" w:space="0" w:color="auto"/>
          </w:divBdr>
        </w:div>
        <w:div w:id="1513178750">
          <w:marLeft w:val="0"/>
          <w:marRight w:val="0"/>
          <w:marTop w:val="0"/>
          <w:marBottom w:val="0"/>
          <w:divBdr>
            <w:top w:val="none" w:sz="0" w:space="0" w:color="auto"/>
            <w:left w:val="none" w:sz="0" w:space="0" w:color="auto"/>
            <w:bottom w:val="none" w:sz="0" w:space="0" w:color="auto"/>
            <w:right w:val="none" w:sz="0" w:space="0" w:color="auto"/>
          </w:divBdr>
        </w:div>
        <w:div w:id="1702585401">
          <w:marLeft w:val="0"/>
          <w:marRight w:val="0"/>
          <w:marTop w:val="0"/>
          <w:marBottom w:val="0"/>
          <w:divBdr>
            <w:top w:val="none" w:sz="0" w:space="0" w:color="auto"/>
            <w:left w:val="none" w:sz="0" w:space="0" w:color="auto"/>
            <w:bottom w:val="none" w:sz="0" w:space="0" w:color="auto"/>
            <w:right w:val="none" w:sz="0" w:space="0" w:color="auto"/>
          </w:divBdr>
        </w:div>
        <w:div w:id="2063862335">
          <w:marLeft w:val="0"/>
          <w:marRight w:val="0"/>
          <w:marTop w:val="0"/>
          <w:marBottom w:val="0"/>
          <w:divBdr>
            <w:top w:val="none" w:sz="0" w:space="0" w:color="auto"/>
            <w:left w:val="none" w:sz="0" w:space="0" w:color="auto"/>
            <w:bottom w:val="none" w:sz="0" w:space="0" w:color="auto"/>
            <w:right w:val="none" w:sz="0" w:space="0" w:color="auto"/>
          </w:divBdr>
        </w:div>
        <w:div w:id="754135230">
          <w:marLeft w:val="0"/>
          <w:marRight w:val="0"/>
          <w:marTop w:val="0"/>
          <w:marBottom w:val="0"/>
          <w:divBdr>
            <w:top w:val="none" w:sz="0" w:space="0" w:color="auto"/>
            <w:left w:val="none" w:sz="0" w:space="0" w:color="auto"/>
            <w:bottom w:val="none" w:sz="0" w:space="0" w:color="auto"/>
            <w:right w:val="none" w:sz="0" w:space="0" w:color="auto"/>
          </w:divBdr>
        </w:div>
        <w:div w:id="1994750018">
          <w:marLeft w:val="0"/>
          <w:marRight w:val="0"/>
          <w:marTop w:val="0"/>
          <w:marBottom w:val="0"/>
          <w:divBdr>
            <w:top w:val="none" w:sz="0" w:space="0" w:color="auto"/>
            <w:left w:val="none" w:sz="0" w:space="0" w:color="auto"/>
            <w:bottom w:val="none" w:sz="0" w:space="0" w:color="auto"/>
            <w:right w:val="none" w:sz="0" w:space="0" w:color="auto"/>
          </w:divBdr>
        </w:div>
        <w:div w:id="579872232">
          <w:marLeft w:val="0"/>
          <w:marRight w:val="0"/>
          <w:marTop w:val="0"/>
          <w:marBottom w:val="0"/>
          <w:divBdr>
            <w:top w:val="none" w:sz="0" w:space="0" w:color="auto"/>
            <w:left w:val="none" w:sz="0" w:space="0" w:color="auto"/>
            <w:bottom w:val="none" w:sz="0" w:space="0" w:color="auto"/>
            <w:right w:val="none" w:sz="0" w:space="0" w:color="auto"/>
          </w:divBdr>
        </w:div>
        <w:div w:id="1003319327">
          <w:marLeft w:val="0"/>
          <w:marRight w:val="0"/>
          <w:marTop w:val="0"/>
          <w:marBottom w:val="0"/>
          <w:divBdr>
            <w:top w:val="none" w:sz="0" w:space="0" w:color="auto"/>
            <w:left w:val="none" w:sz="0" w:space="0" w:color="auto"/>
            <w:bottom w:val="none" w:sz="0" w:space="0" w:color="auto"/>
            <w:right w:val="none" w:sz="0" w:space="0" w:color="auto"/>
          </w:divBdr>
        </w:div>
        <w:div w:id="70006625">
          <w:marLeft w:val="0"/>
          <w:marRight w:val="0"/>
          <w:marTop w:val="0"/>
          <w:marBottom w:val="0"/>
          <w:divBdr>
            <w:top w:val="none" w:sz="0" w:space="0" w:color="auto"/>
            <w:left w:val="none" w:sz="0" w:space="0" w:color="auto"/>
            <w:bottom w:val="none" w:sz="0" w:space="0" w:color="auto"/>
            <w:right w:val="none" w:sz="0" w:space="0" w:color="auto"/>
          </w:divBdr>
        </w:div>
        <w:div w:id="391345614">
          <w:marLeft w:val="0"/>
          <w:marRight w:val="0"/>
          <w:marTop w:val="0"/>
          <w:marBottom w:val="0"/>
          <w:divBdr>
            <w:top w:val="none" w:sz="0" w:space="0" w:color="auto"/>
            <w:left w:val="none" w:sz="0" w:space="0" w:color="auto"/>
            <w:bottom w:val="none" w:sz="0" w:space="0" w:color="auto"/>
            <w:right w:val="none" w:sz="0" w:space="0" w:color="auto"/>
          </w:divBdr>
        </w:div>
        <w:div w:id="455023190">
          <w:marLeft w:val="0"/>
          <w:marRight w:val="0"/>
          <w:marTop w:val="0"/>
          <w:marBottom w:val="0"/>
          <w:divBdr>
            <w:top w:val="none" w:sz="0" w:space="0" w:color="auto"/>
            <w:left w:val="none" w:sz="0" w:space="0" w:color="auto"/>
            <w:bottom w:val="none" w:sz="0" w:space="0" w:color="auto"/>
            <w:right w:val="none" w:sz="0" w:space="0" w:color="auto"/>
          </w:divBdr>
        </w:div>
        <w:div w:id="1612738600">
          <w:marLeft w:val="0"/>
          <w:marRight w:val="0"/>
          <w:marTop w:val="0"/>
          <w:marBottom w:val="0"/>
          <w:divBdr>
            <w:top w:val="none" w:sz="0" w:space="0" w:color="auto"/>
            <w:left w:val="none" w:sz="0" w:space="0" w:color="auto"/>
            <w:bottom w:val="none" w:sz="0" w:space="0" w:color="auto"/>
            <w:right w:val="none" w:sz="0" w:space="0" w:color="auto"/>
          </w:divBdr>
        </w:div>
        <w:div w:id="1727529226">
          <w:marLeft w:val="0"/>
          <w:marRight w:val="0"/>
          <w:marTop w:val="0"/>
          <w:marBottom w:val="0"/>
          <w:divBdr>
            <w:top w:val="none" w:sz="0" w:space="0" w:color="auto"/>
            <w:left w:val="none" w:sz="0" w:space="0" w:color="auto"/>
            <w:bottom w:val="none" w:sz="0" w:space="0" w:color="auto"/>
            <w:right w:val="none" w:sz="0" w:space="0" w:color="auto"/>
          </w:divBdr>
        </w:div>
        <w:div w:id="1853642819">
          <w:marLeft w:val="0"/>
          <w:marRight w:val="0"/>
          <w:marTop w:val="0"/>
          <w:marBottom w:val="0"/>
          <w:divBdr>
            <w:top w:val="none" w:sz="0" w:space="0" w:color="auto"/>
            <w:left w:val="none" w:sz="0" w:space="0" w:color="auto"/>
            <w:bottom w:val="none" w:sz="0" w:space="0" w:color="auto"/>
            <w:right w:val="none" w:sz="0" w:space="0" w:color="auto"/>
          </w:divBdr>
        </w:div>
        <w:div w:id="299965036">
          <w:marLeft w:val="0"/>
          <w:marRight w:val="0"/>
          <w:marTop w:val="0"/>
          <w:marBottom w:val="0"/>
          <w:divBdr>
            <w:top w:val="none" w:sz="0" w:space="0" w:color="auto"/>
            <w:left w:val="none" w:sz="0" w:space="0" w:color="auto"/>
            <w:bottom w:val="none" w:sz="0" w:space="0" w:color="auto"/>
            <w:right w:val="none" w:sz="0" w:space="0" w:color="auto"/>
          </w:divBdr>
        </w:div>
        <w:div w:id="961762490">
          <w:marLeft w:val="0"/>
          <w:marRight w:val="0"/>
          <w:marTop w:val="0"/>
          <w:marBottom w:val="0"/>
          <w:divBdr>
            <w:top w:val="none" w:sz="0" w:space="0" w:color="auto"/>
            <w:left w:val="none" w:sz="0" w:space="0" w:color="auto"/>
            <w:bottom w:val="none" w:sz="0" w:space="0" w:color="auto"/>
            <w:right w:val="none" w:sz="0" w:space="0" w:color="auto"/>
          </w:divBdr>
        </w:div>
        <w:div w:id="1959557492">
          <w:marLeft w:val="0"/>
          <w:marRight w:val="0"/>
          <w:marTop w:val="0"/>
          <w:marBottom w:val="0"/>
          <w:divBdr>
            <w:top w:val="none" w:sz="0" w:space="0" w:color="auto"/>
            <w:left w:val="none" w:sz="0" w:space="0" w:color="auto"/>
            <w:bottom w:val="none" w:sz="0" w:space="0" w:color="auto"/>
            <w:right w:val="none" w:sz="0" w:space="0" w:color="auto"/>
          </w:divBdr>
        </w:div>
        <w:div w:id="2030451422">
          <w:marLeft w:val="0"/>
          <w:marRight w:val="0"/>
          <w:marTop w:val="0"/>
          <w:marBottom w:val="0"/>
          <w:divBdr>
            <w:top w:val="none" w:sz="0" w:space="0" w:color="auto"/>
            <w:left w:val="none" w:sz="0" w:space="0" w:color="auto"/>
            <w:bottom w:val="none" w:sz="0" w:space="0" w:color="auto"/>
            <w:right w:val="none" w:sz="0" w:space="0" w:color="auto"/>
          </w:divBdr>
        </w:div>
        <w:div w:id="1752654113">
          <w:marLeft w:val="0"/>
          <w:marRight w:val="0"/>
          <w:marTop w:val="0"/>
          <w:marBottom w:val="0"/>
          <w:divBdr>
            <w:top w:val="none" w:sz="0" w:space="0" w:color="auto"/>
            <w:left w:val="none" w:sz="0" w:space="0" w:color="auto"/>
            <w:bottom w:val="none" w:sz="0" w:space="0" w:color="auto"/>
            <w:right w:val="none" w:sz="0" w:space="0" w:color="auto"/>
          </w:divBdr>
        </w:div>
        <w:div w:id="1260143641">
          <w:marLeft w:val="0"/>
          <w:marRight w:val="0"/>
          <w:marTop w:val="0"/>
          <w:marBottom w:val="0"/>
          <w:divBdr>
            <w:top w:val="none" w:sz="0" w:space="0" w:color="auto"/>
            <w:left w:val="none" w:sz="0" w:space="0" w:color="auto"/>
            <w:bottom w:val="none" w:sz="0" w:space="0" w:color="auto"/>
            <w:right w:val="none" w:sz="0" w:space="0" w:color="auto"/>
          </w:divBdr>
        </w:div>
        <w:div w:id="189684922">
          <w:marLeft w:val="0"/>
          <w:marRight w:val="0"/>
          <w:marTop w:val="0"/>
          <w:marBottom w:val="0"/>
          <w:divBdr>
            <w:top w:val="none" w:sz="0" w:space="0" w:color="auto"/>
            <w:left w:val="none" w:sz="0" w:space="0" w:color="auto"/>
            <w:bottom w:val="none" w:sz="0" w:space="0" w:color="auto"/>
            <w:right w:val="none" w:sz="0" w:space="0" w:color="auto"/>
          </w:divBdr>
        </w:div>
        <w:div w:id="1662659382">
          <w:marLeft w:val="0"/>
          <w:marRight w:val="0"/>
          <w:marTop w:val="0"/>
          <w:marBottom w:val="0"/>
          <w:divBdr>
            <w:top w:val="none" w:sz="0" w:space="0" w:color="auto"/>
            <w:left w:val="none" w:sz="0" w:space="0" w:color="auto"/>
            <w:bottom w:val="none" w:sz="0" w:space="0" w:color="auto"/>
            <w:right w:val="none" w:sz="0" w:space="0" w:color="auto"/>
          </w:divBdr>
        </w:div>
        <w:div w:id="1150050798">
          <w:marLeft w:val="0"/>
          <w:marRight w:val="0"/>
          <w:marTop w:val="0"/>
          <w:marBottom w:val="0"/>
          <w:divBdr>
            <w:top w:val="none" w:sz="0" w:space="0" w:color="auto"/>
            <w:left w:val="none" w:sz="0" w:space="0" w:color="auto"/>
            <w:bottom w:val="none" w:sz="0" w:space="0" w:color="auto"/>
            <w:right w:val="none" w:sz="0" w:space="0" w:color="auto"/>
          </w:divBdr>
        </w:div>
        <w:div w:id="138964265">
          <w:marLeft w:val="0"/>
          <w:marRight w:val="0"/>
          <w:marTop w:val="0"/>
          <w:marBottom w:val="0"/>
          <w:divBdr>
            <w:top w:val="none" w:sz="0" w:space="0" w:color="auto"/>
            <w:left w:val="none" w:sz="0" w:space="0" w:color="auto"/>
            <w:bottom w:val="none" w:sz="0" w:space="0" w:color="auto"/>
            <w:right w:val="none" w:sz="0" w:space="0" w:color="auto"/>
          </w:divBdr>
        </w:div>
        <w:div w:id="1897738463">
          <w:marLeft w:val="0"/>
          <w:marRight w:val="0"/>
          <w:marTop w:val="0"/>
          <w:marBottom w:val="0"/>
          <w:divBdr>
            <w:top w:val="none" w:sz="0" w:space="0" w:color="auto"/>
            <w:left w:val="none" w:sz="0" w:space="0" w:color="auto"/>
            <w:bottom w:val="none" w:sz="0" w:space="0" w:color="auto"/>
            <w:right w:val="none" w:sz="0" w:space="0" w:color="auto"/>
          </w:divBdr>
        </w:div>
        <w:div w:id="2114395302">
          <w:marLeft w:val="0"/>
          <w:marRight w:val="0"/>
          <w:marTop w:val="0"/>
          <w:marBottom w:val="0"/>
          <w:divBdr>
            <w:top w:val="none" w:sz="0" w:space="0" w:color="auto"/>
            <w:left w:val="none" w:sz="0" w:space="0" w:color="auto"/>
            <w:bottom w:val="none" w:sz="0" w:space="0" w:color="auto"/>
            <w:right w:val="none" w:sz="0" w:space="0" w:color="auto"/>
          </w:divBdr>
        </w:div>
        <w:div w:id="461657532">
          <w:marLeft w:val="0"/>
          <w:marRight w:val="0"/>
          <w:marTop w:val="0"/>
          <w:marBottom w:val="0"/>
          <w:divBdr>
            <w:top w:val="none" w:sz="0" w:space="0" w:color="auto"/>
            <w:left w:val="none" w:sz="0" w:space="0" w:color="auto"/>
            <w:bottom w:val="none" w:sz="0" w:space="0" w:color="auto"/>
            <w:right w:val="none" w:sz="0" w:space="0" w:color="auto"/>
          </w:divBdr>
        </w:div>
        <w:div w:id="996804466">
          <w:marLeft w:val="0"/>
          <w:marRight w:val="0"/>
          <w:marTop w:val="0"/>
          <w:marBottom w:val="0"/>
          <w:divBdr>
            <w:top w:val="none" w:sz="0" w:space="0" w:color="auto"/>
            <w:left w:val="none" w:sz="0" w:space="0" w:color="auto"/>
            <w:bottom w:val="none" w:sz="0" w:space="0" w:color="auto"/>
            <w:right w:val="none" w:sz="0" w:space="0" w:color="auto"/>
          </w:divBdr>
        </w:div>
        <w:div w:id="720980100">
          <w:marLeft w:val="0"/>
          <w:marRight w:val="0"/>
          <w:marTop w:val="0"/>
          <w:marBottom w:val="0"/>
          <w:divBdr>
            <w:top w:val="none" w:sz="0" w:space="0" w:color="auto"/>
            <w:left w:val="none" w:sz="0" w:space="0" w:color="auto"/>
            <w:bottom w:val="none" w:sz="0" w:space="0" w:color="auto"/>
            <w:right w:val="none" w:sz="0" w:space="0" w:color="auto"/>
          </w:divBdr>
        </w:div>
        <w:div w:id="216815971">
          <w:marLeft w:val="0"/>
          <w:marRight w:val="0"/>
          <w:marTop w:val="0"/>
          <w:marBottom w:val="0"/>
          <w:divBdr>
            <w:top w:val="none" w:sz="0" w:space="0" w:color="auto"/>
            <w:left w:val="none" w:sz="0" w:space="0" w:color="auto"/>
            <w:bottom w:val="none" w:sz="0" w:space="0" w:color="auto"/>
            <w:right w:val="none" w:sz="0" w:space="0" w:color="auto"/>
          </w:divBdr>
        </w:div>
        <w:div w:id="1298294649">
          <w:marLeft w:val="0"/>
          <w:marRight w:val="0"/>
          <w:marTop w:val="0"/>
          <w:marBottom w:val="0"/>
          <w:divBdr>
            <w:top w:val="none" w:sz="0" w:space="0" w:color="auto"/>
            <w:left w:val="none" w:sz="0" w:space="0" w:color="auto"/>
            <w:bottom w:val="none" w:sz="0" w:space="0" w:color="auto"/>
            <w:right w:val="none" w:sz="0" w:space="0" w:color="auto"/>
          </w:divBdr>
        </w:div>
        <w:div w:id="1169298232">
          <w:marLeft w:val="0"/>
          <w:marRight w:val="0"/>
          <w:marTop w:val="0"/>
          <w:marBottom w:val="0"/>
          <w:divBdr>
            <w:top w:val="none" w:sz="0" w:space="0" w:color="auto"/>
            <w:left w:val="none" w:sz="0" w:space="0" w:color="auto"/>
            <w:bottom w:val="none" w:sz="0" w:space="0" w:color="auto"/>
            <w:right w:val="none" w:sz="0" w:space="0" w:color="auto"/>
          </w:divBdr>
        </w:div>
        <w:div w:id="1181358436">
          <w:marLeft w:val="0"/>
          <w:marRight w:val="0"/>
          <w:marTop w:val="0"/>
          <w:marBottom w:val="0"/>
          <w:divBdr>
            <w:top w:val="none" w:sz="0" w:space="0" w:color="auto"/>
            <w:left w:val="none" w:sz="0" w:space="0" w:color="auto"/>
            <w:bottom w:val="none" w:sz="0" w:space="0" w:color="auto"/>
            <w:right w:val="none" w:sz="0" w:space="0" w:color="auto"/>
          </w:divBdr>
        </w:div>
        <w:div w:id="599415015">
          <w:marLeft w:val="0"/>
          <w:marRight w:val="0"/>
          <w:marTop w:val="0"/>
          <w:marBottom w:val="0"/>
          <w:divBdr>
            <w:top w:val="none" w:sz="0" w:space="0" w:color="auto"/>
            <w:left w:val="none" w:sz="0" w:space="0" w:color="auto"/>
            <w:bottom w:val="none" w:sz="0" w:space="0" w:color="auto"/>
            <w:right w:val="none" w:sz="0" w:space="0" w:color="auto"/>
          </w:divBdr>
        </w:div>
        <w:div w:id="934284316">
          <w:marLeft w:val="0"/>
          <w:marRight w:val="0"/>
          <w:marTop w:val="0"/>
          <w:marBottom w:val="0"/>
          <w:divBdr>
            <w:top w:val="none" w:sz="0" w:space="0" w:color="auto"/>
            <w:left w:val="none" w:sz="0" w:space="0" w:color="auto"/>
            <w:bottom w:val="none" w:sz="0" w:space="0" w:color="auto"/>
            <w:right w:val="none" w:sz="0" w:space="0" w:color="auto"/>
          </w:divBdr>
        </w:div>
        <w:div w:id="630868423">
          <w:marLeft w:val="0"/>
          <w:marRight w:val="0"/>
          <w:marTop w:val="0"/>
          <w:marBottom w:val="0"/>
          <w:divBdr>
            <w:top w:val="none" w:sz="0" w:space="0" w:color="auto"/>
            <w:left w:val="none" w:sz="0" w:space="0" w:color="auto"/>
            <w:bottom w:val="none" w:sz="0" w:space="0" w:color="auto"/>
            <w:right w:val="none" w:sz="0" w:space="0" w:color="auto"/>
          </w:divBdr>
        </w:div>
        <w:div w:id="80226997">
          <w:marLeft w:val="0"/>
          <w:marRight w:val="0"/>
          <w:marTop w:val="0"/>
          <w:marBottom w:val="0"/>
          <w:divBdr>
            <w:top w:val="none" w:sz="0" w:space="0" w:color="auto"/>
            <w:left w:val="none" w:sz="0" w:space="0" w:color="auto"/>
            <w:bottom w:val="none" w:sz="0" w:space="0" w:color="auto"/>
            <w:right w:val="none" w:sz="0" w:space="0" w:color="auto"/>
          </w:divBdr>
        </w:div>
        <w:div w:id="1991053292">
          <w:marLeft w:val="0"/>
          <w:marRight w:val="0"/>
          <w:marTop w:val="0"/>
          <w:marBottom w:val="0"/>
          <w:divBdr>
            <w:top w:val="none" w:sz="0" w:space="0" w:color="auto"/>
            <w:left w:val="none" w:sz="0" w:space="0" w:color="auto"/>
            <w:bottom w:val="none" w:sz="0" w:space="0" w:color="auto"/>
            <w:right w:val="none" w:sz="0" w:space="0" w:color="auto"/>
          </w:divBdr>
        </w:div>
        <w:div w:id="1846164476">
          <w:marLeft w:val="0"/>
          <w:marRight w:val="0"/>
          <w:marTop w:val="0"/>
          <w:marBottom w:val="0"/>
          <w:divBdr>
            <w:top w:val="none" w:sz="0" w:space="0" w:color="auto"/>
            <w:left w:val="none" w:sz="0" w:space="0" w:color="auto"/>
            <w:bottom w:val="none" w:sz="0" w:space="0" w:color="auto"/>
            <w:right w:val="none" w:sz="0" w:space="0" w:color="auto"/>
          </w:divBdr>
        </w:div>
        <w:div w:id="1150902893">
          <w:marLeft w:val="0"/>
          <w:marRight w:val="0"/>
          <w:marTop w:val="0"/>
          <w:marBottom w:val="0"/>
          <w:divBdr>
            <w:top w:val="none" w:sz="0" w:space="0" w:color="auto"/>
            <w:left w:val="none" w:sz="0" w:space="0" w:color="auto"/>
            <w:bottom w:val="none" w:sz="0" w:space="0" w:color="auto"/>
            <w:right w:val="none" w:sz="0" w:space="0" w:color="auto"/>
          </w:divBdr>
        </w:div>
        <w:div w:id="246693777">
          <w:marLeft w:val="0"/>
          <w:marRight w:val="0"/>
          <w:marTop w:val="0"/>
          <w:marBottom w:val="0"/>
          <w:divBdr>
            <w:top w:val="none" w:sz="0" w:space="0" w:color="auto"/>
            <w:left w:val="none" w:sz="0" w:space="0" w:color="auto"/>
            <w:bottom w:val="none" w:sz="0" w:space="0" w:color="auto"/>
            <w:right w:val="none" w:sz="0" w:space="0" w:color="auto"/>
          </w:divBdr>
        </w:div>
        <w:div w:id="1163619169">
          <w:marLeft w:val="0"/>
          <w:marRight w:val="0"/>
          <w:marTop w:val="0"/>
          <w:marBottom w:val="0"/>
          <w:divBdr>
            <w:top w:val="none" w:sz="0" w:space="0" w:color="auto"/>
            <w:left w:val="none" w:sz="0" w:space="0" w:color="auto"/>
            <w:bottom w:val="none" w:sz="0" w:space="0" w:color="auto"/>
            <w:right w:val="none" w:sz="0" w:space="0" w:color="auto"/>
          </w:divBdr>
        </w:div>
        <w:div w:id="182674127">
          <w:marLeft w:val="0"/>
          <w:marRight w:val="0"/>
          <w:marTop w:val="0"/>
          <w:marBottom w:val="0"/>
          <w:divBdr>
            <w:top w:val="none" w:sz="0" w:space="0" w:color="auto"/>
            <w:left w:val="none" w:sz="0" w:space="0" w:color="auto"/>
            <w:bottom w:val="none" w:sz="0" w:space="0" w:color="auto"/>
            <w:right w:val="none" w:sz="0" w:space="0" w:color="auto"/>
          </w:divBdr>
        </w:div>
        <w:div w:id="851409214">
          <w:marLeft w:val="0"/>
          <w:marRight w:val="0"/>
          <w:marTop w:val="0"/>
          <w:marBottom w:val="0"/>
          <w:divBdr>
            <w:top w:val="none" w:sz="0" w:space="0" w:color="auto"/>
            <w:left w:val="none" w:sz="0" w:space="0" w:color="auto"/>
            <w:bottom w:val="none" w:sz="0" w:space="0" w:color="auto"/>
            <w:right w:val="none" w:sz="0" w:space="0" w:color="auto"/>
          </w:divBdr>
        </w:div>
        <w:div w:id="1641038431">
          <w:marLeft w:val="0"/>
          <w:marRight w:val="0"/>
          <w:marTop w:val="0"/>
          <w:marBottom w:val="0"/>
          <w:divBdr>
            <w:top w:val="none" w:sz="0" w:space="0" w:color="auto"/>
            <w:left w:val="none" w:sz="0" w:space="0" w:color="auto"/>
            <w:bottom w:val="none" w:sz="0" w:space="0" w:color="auto"/>
            <w:right w:val="none" w:sz="0" w:space="0" w:color="auto"/>
          </w:divBdr>
        </w:div>
        <w:div w:id="1462069415">
          <w:marLeft w:val="0"/>
          <w:marRight w:val="0"/>
          <w:marTop w:val="0"/>
          <w:marBottom w:val="0"/>
          <w:divBdr>
            <w:top w:val="none" w:sz="0" w:space="0" w:color="auto"/>
            <w:left w:val="none" w:sz="0" w:space="0" w:color="auto"/>
            <w:bottom w:val="none" w:sz="0" w:space="0" w:color="auto"/>
            <w:right w:val="none" w:sz="0" w:space="0" w:color="auto"/>
          </w:divBdr>
        </w:div>
        <w:div w:id="2113821490">
          <w:marLeft w:val="0"/>
          <w:marRight w:val="0"/>
          <w:marTop w:val="0"/>
          <w:marBottom w:val="0"/>
          <w:divBdr>
            <w:top w:val="none" w:sz="0" w:space="0" w:color="auto"/>
            <w:left w:val="none" w:sz="0" w:space="0" w:color="auto"/>
            <w:bottom w:val="none" w:sz="0" w:space="0" w:color="auto"/>
            <w:right w:val="none" w:sz="0" w:space="0" w:color="auto"/>
          </w:divBdr>
        </w:div>
        <w:div w:id="921529313">
          <w:marLeft w:val="0"/>
          <w:marRight w:val="0"/>
          <w:marTop w:val="0"/>
          <w:marBottom w:val="0"/>
          <w:divBdr>
            <w:top w:val="none" w:sz="0" w:space="0" w:color="auto"/>
            <w:left w:val="none" w:sz="0" w:space="0" w:color="auto"/>
            <w:bottom w:val="none" w:sz="0" w:space="0" w:color="auto"/>
            <w:right w:val="none" w:sz="0" w:space="0" w:color="auto"/>
          </w:divBdr>
        </w:div>
        <w:div w:id="778719883">
          <w:marLeft w:val="0"/>
          <w:marRight w:val="0"/>
          <w:marTop w:val="0"/>
          <w:marBottom w:val="0"/>
          <w:divBdr>
            <w:top w:val="none" w:sz="0" w:space="0" w:color="auto"/>
            <w:left w:val="none" w:sz="0" w:space="0" w:color="auto"/>
            <w:bottom w:val="none" w:sz="0" w:space="0" w:color="auto"/>
            <w:right w:val="none" w:sz="0" w:space="0" w:color="auto"/>
          </w:divBdr>
        </w:div>
        <w:div w:id="791098782">
          <w:marLeft w:val="0"/>
          <w:marRight w:val="0"/>
          <w:marTop w:val="0"/>
          <w:marBottom w:val="0"/>
          <w:divBdr>
            <w:top w:val="none" w:sz="0" w:space="0" w:color="auto"/>
            <w:left w:val="none" w:sz="0" w:space="0" w:color="auto"/>
            <w:bottom w:val="none" w:sz="0" w:space="0" w:color="auto"/>
            <w:right w:val="none" w:sz="0" w:space="0" w:color="auto"/>
          </w:divBdr>
        </w:div>
        <w:div w:id="2131508822">
          <w:marLeft w:val="0"/>
          <w:marRight w:val="0"/>
          <w:marTop w:val="0"/>
          <w:marBottom w:val="0"/>
          <w:divBdr>
            <w:top w:val="none" w:sz="0" w:space="0" w:color="auto"/>
            <w:left w:val="none" w:sz="0" w:space="0" w:color="auto"/>
            <w:bottom w:val="none" w:sz="0" w:space="0" w:color="auto"/>
            <w:right w:val="none" w:sz="0" w:space="0" w:color="auto"/>
          </w:divBdr>
        </w:div>
        <w:div w:id="2043899669">
          <w:marLeft w:val="0"/>
          <w:marRight w:val="0"/>
          <w:marTop w:val="0"/>
          <w:marBottom w:val="0"/>
          <w:divBdr>
            <w:top w:val="none" w:sz="0" w:space="0" w:color="auto"/>
            <w:left w:val="none" w:sz="0" w:space="0" w:color="auto"/>
            <w:bottom w:val="none" w:sz="0" w:space="0" w:color="auto"/>
            <w:right w:val="none" w:sz="0" w:space="0" w:color="auto"/>
          </w:divBdr>
        </w:div>
        <w:div w:id="416290485">
          <w:marLeft w:val="0"/>
          <w:marRight w:val="0"/>
          <w:marTop w:val="0"/>
          <w:marBottom w:val="0"/>
          <w:divBdr>
            <w:top w:val="none" w:sz="0" w:space="0" w:color="auto"/>
            <w:left w:val="none" w:sz="0" w:space="0" w:color="auto"/>
            <w:bottom w:val="none" w:sz="0" w:space="0" w:color="auto"/>
            <w:right w:val="none" w:sz="0" w:space="0" w:color="auto"/>
          </w:divBdr>
        </w:div>
        <w:div w:id="998919503">
          <w:marLeft w:val="0"/>
          <w:marRight w:val="0"/>
          <w:marTop w:val="0"/>
          <w:marBottom w:val="0"/>
          <w:divBdr>
            <w:top w:val="none" w:sz="0" w:space="0" w:color="auto"/>
            <w:left w:val="none" w:sz="0" w:space="0" w:color="auto"/>
            <w:bottom w:val="none" w:sz="0" w:space="0" w:color="auto"/>
            <w:right w:val="none" w:sz="0" w:space="0" w:color="auto"/>
          </w:divBdr>
        </w:div>
        <w:div w:id="1849321828">
          <w:marLeft w:val="0"/>
          <w:marRight w:val="0"/>
          <w:marTop w:val="0"/>
          <w:marBottom w:val="0"/>
          <w:divBdr>
            <w:top w:val="none" w:sz="0" w:space="0" w:color="auto"/>
            <w:left w:val="none" w:sz="0" w:space="0" w:color="auto"/>
            <w:bottom w:val="none" w:sz="0" w:space="0" w:color="auto"/>
            <w:right w:val="none" w:sz="0" w:space="0" w:color="auto"/>
          </w:divBdr>
        </w:div>
        <w:div w:id="1067872994">
          <w:marLeft w:val="0"/>
          <w:marRight w:val="0"/>
          <w:marTop w:val="0"/>
          <w:marBottom w:val="0"/>
          <w:divBdr>
            <w:top w:val="none" w:sz="0" w:space="0" w:color="auto"/>
            <w:left w:val="none" w:sz="0" w:space="0" w:color="auto"/>
            <w:bottom w:val="none" w:sz="0" w:space="0" w:color="auto"/>
            <w:right w:val="none" w:sz="0" w:space="0" w:color="auto"/>
          </w:divBdr>
        </w:div>
        <w:div w:id="1683582658">
          <w:marLeft w:val="0"/>
          <w:marRight w:val="0"/>
          <w:marTop w:val="0"/>
          <w:marBottom w:val="0"/>
          <w:divBdr>
            <w:top w:val="none" w:sz="0" w:space="0" w:color="auto"/>
            <w:left w:val="none" w:sz="0" w:space="0" w:color="auto"/>
            <w:bottom w:val="none" w:sz="0" w:space="0" w:color="auto"/>
            <w:right w:val="none" w:sz="0" w:space="0" w:color="auto"/>
          </w:divBdr>
        </w:div>
        <w:div w:id="819418921">
          <w:marLeft w:val="0"/>
          <w:marRight w:val="0"/>
          <w:marTop w:val="0"/>
          <w:marBottom w:val="0"/>
          <w:divBdr>
            <w:top w:val="none" w:sz="0" w:space="0" w:color="auto"/>
            <w:left w:val="none" w:sz="0" w:space="0" w:color="auto"/>
            <w:bottom w:val="none" w:sz="0" w:space="0" w:color="auto"/>
            <w:right w:val="none" w:sz="0" w:space="0" w:color="auto"/>
          </w:divBdr>
        </w:div>
        <w:div w:id="1780486956">
          <w:marLeft w:val="0"/>
          <w:marRight w:val="0"/>
          <w:marTop w:val="0"/>
          <w:marBottom w:val="0"/>
          <w:divBdr>
            <w:top w:val="none" w:sz="0" w:space="0" w:color="auto"/>
            <w:left w:val="none" w:sz="0" w:space="0" w:color="auto"/>
            <w:bottom w:val="none" w:sz="0" w:space="0" w:color="auto"/>
            <w:right w:val="none" w:sz="0" w:space="0" w:color="auto"/>
          </w:divBdr>
        </w:div>
        <w:div w:id="506334959">
          <w:marLeft w:val="0"/>
          <w:marRight w:val="0"/>
          <w:marTop w:val="0"/>
          <w:marBottom w:val="0"/>
          <w:divBdr>
            <w:top w:val="none" w:sz="0" w:space="0" w:color="auto"/>
            <w:left w:val="none" w:sz="0" w:space="0" w:color="auto"/>
            <w:bottom w:val="none" w:sz="0" w:space="0" w:color="auto"/>
            <w:right w:val="none" w:sz="0" w:space="0" w:color="auto"/>
          </w:divBdr>
        </w:div>
        <w:div w:id="2085253790">
          <w:marLeft w:val="0"/>
          <w:marRight w:val="0"/>
          <w:marTop w:val="0"/>
          <w:marBottom w:val="0"/>
          <w:divBdr>
            <w:top w:val="none" w:sz="0" w:space="0" w:color="auto"/>
            <w:left w:val="none" w:sz="0" w:space="0" w:color="auto"/>
            <w:bottom w:val="none" w:sz="0" w:space="0" w:color="auto"/>
            <w:right w:val="none" w:sz="0" w:space="0" w:color="auto"/>
          </w:divBdr>
        </w:div>
        <w:div w:id="1194423486">
          <w:marLeft w:val="0"/>
          <w:marRight w:val="0"/>
          <w:marTop w:val="0"/>
          <w:marBottom w:val="0"/>
          <w:divBdr>
            <w:top w:val="none" w:sz="0" w:space="0" w:color="auto"/>
            <w:left w:val="none" w:sz="0" w:space="0" w:color="auto"/>
            <w:bottom w:val="none" w:sz="0" w:space="0" w:color="auto"/>
            <w:right w:val="none" w:sz="0" w:space="0" w:color="auto"/>
          </w:divBdr>
        </w:div>
        <w:div w:id="1493109433">
          <w:marLeft w:val="0"/>
          <w:marRight w:val="0"/>
          <w:marTop w:val="0"/>
          <w:marBottom w:val="0"/>
          <w:divBdr>
            <w:top w:val="none" w:sz="0" w:space="0" w:color="auto"/>
            <w:left w:val="none" w:sz="0" w:space="0" w:color="auto"/>
            <w:bottom w:val="none" w:sz="0" w:space="0" w:color="auto"/>
            <w:right w:val="none" w:sz="0" w:space="0" w:color="auto"/>
          </w:divBdr>
        </w:div>
        <w:div w:id="1902447954">
          <w:marLeft w:val="0"/>
          <w:marRight w:val="0"/>
          <w:marTop w:val="0"/>
          <w:marBottom w:val="0"/>
          <w:divBdr>
            <w:top w:val="none" w:sz="0" w:space="0" w:color="auto"/>
            <w:left w:val="none" w:sz="0" w:space="0" w:color="auto"/>
            <w:bottom w:val="none" w:sz="0" w:space="0" w:color="auto"/>
            <w:right w:val="none" w:sz="0" w:space="0" w:color="auto"/>
          </w:divBdr>
        </w:div>
        <w:div w:id="2073187075">
          <w:marLeft w:val="0"/>
          <w:marRight w:val="0"/>
          <w:marTop w:val="0"/>
          <w:marBottom w:val="0"/>
          <w:divBdr>
            <w:top w:val="none" w:sz="0" w:space="0" w:color="auto"/>
            <w:left w:val="none" w:sz="0" w:space="0" w:color="auto"/>
            <w:bottom w:val="none" w:sz="0" w:space="0" w:color="auto"/>
            <w:right w:val="none" w:sz="0" w:space="0" w:color="auto"/>
          </w:divBdr>
        </w:div>
        <w:div w:id="1035429729">
          <w:marLeft w:val="0"/>
          <w:marRight w:val="0"/>
          <w:marTop w:val="0"/>
          <w:marBottom w:val="0"/>
          <w:divBdr>
            <w:top w:val="none" w:sz="0" w:space="0" w:color="auto"/>
            <w:left w:val="none" w:sz="0" w:space="0" w:color="auto"/>
            <w:bottom w:val="none" w:sz="0" w:space="0" w:color="auto"/>
            <w:right w:val="none" w:sz="0" w:space="0" w:color="auto"/>
          </w:divBdr>
        </w:div>
        <w:div w:id="633290666">
          <w:marLeft w:val="0"/>
          <w:marRight w:val="0"/>
          <w:marTop w:val="0"/>
          <w:marBottom w:val="0"/>
          <w:divBdr>
            <w:top w:val="none" w:sz="0" w:space="0" w:color="auto"/>
            <w:left w:val="none" w:sz="0" w:space="0" w:color="auto"/>
            <w:bottom w:val="none" w:sz="0" w:space="0" w:color="auto"/>
            <w:right w:val="none" w:sz="0" w:space="0" w:color="auto"/>
          </w:divBdr>
        </w:div>
        <w:div w:id="1820686061">
          <w:marLeft w:val="0"/>
          <w:marRight w:val="0"/>
          <w:marTop w:val="0"/>
          <w:marBottom w:val="0"/>
          <w:divBdr>
            <w:top w:val="none" w:sz="0" w:space="0" w:color="auto"/>
            <w:left w:val="none" w:sz="0" w:space="0" w:color="auto"/>
            <w:bottom w:val="none" w:sz="0" w:space="0" w:color="auto"/>
            <w:right w:val="none" w:sz="0" w:space="0" w:color="auto"/>
          </w:divBdr>
        </w:div>
        <w:div w:id="2105832218">
          <w:marLeft w:val="0"/>
          <w:marRight w:val="0"/>
          <w:marTop w:val="0"/>
          <w:marBottom w:val="0"/>
          <w:divBdr>
            <w:top w:val="none" w:sz="0" w:space="0" w:color="auto"/>
            <w:left w:val="none" w:sz="0" w:space="0" w:color="auto"/>
            <w:bottom w:val="none" w:sz="0" w:space="0" w:color="auto"/>
            <w:right w:val="none" w:sz="0" w:space="0" w:color="auto"/>
          </w:divBdr>
        </w:div>
        <w:div w:id="1592354820">
          <w:marLeft w:val="0"/>
          <w:marRight w:val="0"/>
          <w:marTop w:val="0"/>
          <w:marBottom w:val="0"/>
          <w:divBdr>
            <w:top w:val="none" w:sz="0" w:space="0" w:color="auto"/>
            <w:left w:val="none" w:sz="0" w:space="0" w:color="auto"/>
            <w:bottom w:val="none" w:sz="0" w:space="0" w:color="auto"/>
            <w:right w:val="none" w:sz="0" w:space="0" w:color="auto"/>
          </w:divBdr>
        </w:div>
        <w:div w:id="123666794">
          <w:marLeft w:val="0"/>
          <w:marRight w:val="0"/>
          <w:marTop w:val="0"/>
          <w:marBottom w:val="0"/>
          <w:divBdr>
            <w:top w:val="none" w:sz="0" w:space="0" w:color="auto"/>
            <w:left w:val="none" w:sz="0" w:space="0" w:color="auto"/>
            <w:bottom w:val="none" w:sz="0" w:space="0" w:color="auto"/>
            <w:right w:val="none" w:sz="0" w:space="0" w:color="auto"/>
          </w:divBdr>
        </w:div>
        <w:div w:id="1281693363">
          <w:marLeft w:val="0"/>
          <w:marRight w:val="0"/>
          <w:marTop w:val="0"/>
          <w:marBottom w:val="0"/>
          <w:divBdr>
            <w:top w:val="none" w:sz="0" w:space="0" w:color="auto"/>
            <w:left w:val="none" w:sz="0" w:space="0" w:color="auto"/>
            <w:bottom w:val="none" w:sz="0" w:space="0" w:color="auto"/>
            <w:right w:val="none" w:sz="0" w:space="0" w:color="auto"/>
          </w:divBdr>
        </w:div>
        <w:div w:id="1301226373">
          <w:marLeft w:val="0"/>
          <w:marRight w:val="0"/>
          <w:marTop w:val="0"/>
          <w:marBottom w:val="0"/>
          <w:divBdr>
            <w:top w:val="none" w:sz="0" w:space="0" w:color="auto"/>
            <w:left w:val="none" w:sz="0" w:space="0" w:color="auto"/>
            <w:bottom w:val="none" w:sz="0" w:space="0" w:color="auto"/>
            <w:right w:val="none" w:sz="0" w:space="0" w:color="auto"/>
          </w:divBdr>
        </w:div>
        <w:div w:id="955142050">
          <w:marLeft w:val="0"/>
          <w:marRight w:val="0"/>
          <w:marTop w:val="0"/>
          <w:marBottom w:val="0"/>
          <w:divBdr>
            <w:top w:val="none" w:sz="0" w:space="0" w:color="auto"/>
            <w:left w:val="none" w:sz="0" w:space="0" w:color="auto"/>
            <w:bottom w:val="none" w:sz="0" w:space="0" w:color="auto"/>
            <w:right w:val="none" w:sz="0" w:space="0" w:color="auto"/>
          </w:divBdr>
        </w:div>
        <w:div w:id="288242808">
          <w:marLeft w:val="0"/>
          <w:marRight w:val="0"/>
          <w:marTop w:val="0"/>
          <w:marBottom w:val="0"/>
          <w:divBdr>
            <w:top w:val="none" w:sz="0" w:space="0" w:color="auto"/>
            <w:left w:val="none" w:sz="0" w:space="0" w:color="auto"/>
            <w:bottom w:val="none" w:sz="0" w:space="0" w:color="auto"/>
            <w:right w:val="none" w:sz="0" w:space="0" w:color="auto"/>
          </w:divBdr>
        </w:div>
        <w:div w:id="1513183797">
          <w:marLeft w:val="0"/>
          <w:marRight w:val="0"/>
          <w:marTop w:val="0"/>
          <w:marBottom w:val="0"/>
          <w:divBdr>
            <w:top w:val="none" w:sz="0" w:space="0" w:color="auto"/>
            <w:left w:val="none" w:sz="0" w:space="0" w:color="auto"/>
            <w:bottom w:val="none" w:sz="0" w:space="0" w:color="auto"/>
            <w:right w:val="none" w:sz="0" w:space="0" w:color="auto"/>
          </w:divBdr>
        </w:div>
        <w:div w:id="1055734727">
          <w:marLeft w:val="0"/>
          <w:marRight w:val="0"/>
          <w:marTop w:val="0"/>
          <w:marBottom w:val="0"/>
          <w:divBdr>
            <w:top w:val="none" w:sz="0" w:space="0" w:color="auto"/>
            <w:left w:val="none" w:sz="0" w:space="0" w:color="auto"/>
            <w:bottom w:val="none" w:sz="0" w:space="0" w:color="auto"/>
            <w:right w:val="none" w:sz="0" w:space="0" w:color="auto"/>
          </w:divBdr>
        </w:div>
        <w:div w:id="1331441583">
          <w:marLeft w:val="0"/>
          <w:marRight w:val="0"/>
          <w:marTop w:val="0"/>
          <w:marBottom w:val="0"/>
          <w:divBdr>
            <w:top w:val="none" w:sz="0" w:space="0" w:color="auto"/>
            <w:left w:val="none" w:sz="0" w:space="0" w:color="auto"/>
            <w:bottom w:val="none" w:sz="0" w:space="0" w:color="auto"/>
            <w:right w:val="none" w:sz="0" w:space="0" w:color="auto"/>
          </w:divBdr>
        </w:div>
        <w:div w:id="1726879888">
          <w:marLeft w:val="0"/>
          <w:marRight w:val="0"/>
          <w:marTop w:val="0"/>
          <w:marBottom w:val="0"/>
          <w:divBdr>
            <w:top w:val="none" w:sz="0" w:space="0" w:color="auto"/>
            <w:left w:val="none" w:sz="0" w:space="0" w:color="auto"/>
            <w:bottom w:val="none" w:sz="0" w:space="0" w:color="auto"/>
            <w:right w:val="none" w:sz="0" w:space="0" w:color="auto"/>
          </w:divBdr>
        </w:div>
        <w:div w:id="1562520950">
          <w:marLeft w:val="0"/>
          <w:marRight w:val="0"/>
          <w:marTop w:val="0"/>
          <w:marBottom w:val="0"/>
          <w:divBdr>
            <w:top w:val="none" w:sz="0" w:space="0" w:color="auto"/>
            <w:left w:val="none" w:sz="0" w:space="0" w:color="auto"/>
            <w:bottom w:val="none" w:sz="0" w:space="0" w:color="auto"/>
            <w:right w:val="none" w:sz="0" w:space="0" w:color="auto"/>
          </w:divBdr>
        </w:div>
        <w:div w:id="288098002">
          <w:marLeft w:val="0"/>
          <w:marRight w:val="0"/>
          <w:marTop w:val="0"/>
          <w:marBottom w:val="0"/>
          <w:divBdr>
            <w:top w:val="none" w:sz="0" w:space="0" w:color="auto"/>
            <w:left w:val="none" w:sz="0" w:space="0" w:color="auto"/>
            <w:bottom w:val="none" w:sz="0" w:space="0" w:color="auto"/>
            <w:right w:val="none" w:sz="0" w:space="0" w:color="auto"/>
          </w:divBdr>
        </w:div>
        <w:div w:id="815997380">
          <w:marLeft w:val="0"/>
          <w:marRight w:val="0"/>
          <w:marTop w:val="0"/>
          <w:marBottom w:val="0"/>
          <w:divBdr>
            <w:top w:val="none" w:sz="0" w:space="0" w:color="auto"/>
            <w:left w:val="none" w:sz="0" w:space="0" w:color="auto"/>
            <w:bottom w:val="none" w:sz="0" w:space="0" w:color="auto"/>
            <w:right w:val="none" w:sz="0" w:space="0" w:color="auto"/>
          </w:divBdr>
        </w:div>
        <w:div w:id="1583492934">
          <w:marLeft w:val="0"/>
          <w:marRight w:val="0"/>
          <w:marTop w:val="0"/>
          <w:marBottom w:val="0"/>
          <w:divBdr>
            <w:top w:val="none" w:sz="0" w:space="0" w:color="auto"/>
            <w:left w:val="none" w:sz="0" w:space="0" w:color="auto"/>
            <w:bottom w:val="none" w:sz="0" w:space="0" w:color="auto"/>
            <w:right w:val="none" w:sz="0" w:space="0" w:color="auto"/>
          </w:divBdr>
        </w:div>
        <w:div w:id="863127724">
          <w:marLeft w:val="0"/>
          <w:marRight w:val="0"/>
          <w:marTop w:val="0"/>
          <w:marBottom w:val="0"/>
          <w:divBdr>
            <w:top w:val="none" w:sz="0" w:space="0" w:color="auto"/>
            <w:left w:val="none" w:sz="0" w:space="0" w:color="auto"/>
            <w:bottom w:val="none" w:sz="0" w:space="0" w:color="auto"/>
            <w:right w:val="none" w:sz="0" w:space="0" w:color="auto"/>
          </w:divBdr>
        </w:div>
        <w:div w:id="342899317">
          <w:marLeft w:val="0"/>
          <w:marRight w:val="0"/>
          <w:marTop w:val="0"/>
          <w:marBottom w:val="0"/>
          <w:divBdr>
            <w:top w:val="none" w:sz="0" w:space="0" w:color="auto"/>
            <w:left w:val="none" w:sz="0" w:space="0" w:color="auto"/>
            <w:bottom w:val="none" w:sz="0" w:space="0" w:color="auto"/>
            <w:right w:val="none" w:sz="0" w:space="0" w:color="auto"/>
          </w:divBdr>
        </w:div>
        <w:div w:id="909923109">
          <w:marLeft w:val="0"/>
          <w:marRight w:val="0"/>
          <w:marTop w:val="0"/>
          <w:marBottom w:val="0"/>
          <w:divBdr>
            <w:top w:val="none" w:sz="0" w:space="0" w:color="auto"/>
            <w:left w:val="none" w:sz="0" w:space="0" w:color="auto"/>
            <w:bottom w:val="none" w:sz="0" w:space="0" w:color="auto"/>
            <w:right w:val="none" w:sz="0" w:space="0" w:color="auto"/>
          </w:divBdr>
        </w:div>
        <w:div w:id="1471628733">
          <w:marLeft w:val="0"/>
          <w:marRight w:val="0"/>
          <w:marTop w:val="0"/>
          <w:marBottom w:val="0"/>
          <w:divBdr>
            <w:top w:val="none" w:sz="0" w:space="0" w:color="auto"/>
            <w:left w:val="none" w:sz="0" w:space="0" w:color="auto"/>
            <w:bottom w:val="none" w:sz="0" w:space="0" w:color="auto"/>
            <w:right w:val="none" w:sz="0" w:space="0" w:color="auto"/>
          </w:divBdr>
        </w:div>
        <w:div w:id="42143842">
          <w:marLeft w:val="0"/>
          <w:marRight w:val="0"/>
          <w:marTop w:val="0"/>
          <w:marBottom w:val="0"/>
          <w:divBdr>
            <w:top w:val="none" w:sz="0" w:space="0" w:color="auto"/>
            <w:left w:val="none" w:sz="0" w:space="0" w:color="auto"/>
            <w:bottom w:val="none" w:sz="0" w:space="0" w:color="auto"/>
            <w:right w:val="none" w:sz="0" w:space="0" w:color="auto"/>
          </w:divBdr>
        </w:div>
        <w:div w:id="325674170">
          <w:marLeft w:val="0"/>
          <w:marRight w:val="0"/>
          <w:marTop w:val="0"/>
          <w:marBottom w:val="0"/>
          <w:divBdr>
            <w:top w:val="none" w:sz="0" w:space="0" w:color="auto"/>
            <w:left w:val="none" w:sz="0" w:space="0" w:color="auto"/>
            <w:bottom w:val="none" w:sz="0" w:space="0" w:color="auto"/>
            <w:right w:val="none" w:sz="0" w:space="0" w:color="auto"/>
          </w:divBdr>
        </w:div>
        <w:div w:id="1617907946">
          <w:marLeft w:val="0"/>
          <w:marRight w:val="0"/>
          <w:marTop w:val="0"/>
          <w:marBottom w:val="0"/>
          <w:divBdr>
            <w:top w:val="none" w:sz="0" w:space="0" w:color="auto"/>
            <w:left w:val="none" w:sz="0" w:space="0" w:color="auto"/>
            <w:bottom w:val="none" w:sz="0" w:space="0" w:color="auto"/>
            <w:right w:val="none" w:sz="0" w:space="0" w:color="auto"/>
          </w:divBdr>
        </w:div>
        <w:div w:id="1091510762">
          <w:marLeft w:val="0"/>
          <w:marRight w:val="0"/>
          <w:marTop w:val="0"/>
          <w:marBottom w:val="0"/>
          <w:divBdr>
            <w:top w:val="none" w:sz="0" w:space="0" w:color="auto"/>
            <w:left w:val="none" w:sz="0" w:space="0" w:color="auto"/>
            <w:bottom w:val="none" w:sz="0" w:space="0" w:color="auto"/>
            <w:right w:val="none" w:sz="0" w:space="0" w:color="auto"/>
          </w:divBdr>
        </w:div>
        <w:div w:id="402875335">
          <w:marLeft w:val="0"/>
          <w:marRight w:val="0"/>
          <w:marTop w:val="0"/>
          <w:marBottom w:val="0"/>
          <w:divBdr>
            <w:top w:val="none" w:sz="0" w:space="0" w:color="auto"/>
            <w:left w:val="none" w:sz="0" w:space="0" w:color="auto"/>
            <w:bottom w:val="none" w:sz="0" w:space="0" w:color="auto"/>
            <w:right w:val="none" w:sz="0" w:space="0" w:color="auto"/>
          </w:divBdr>
        </w:div>
        <w:div w:id="1939562852">
          <w:marLeft w:val="0"/>
          <w:marRight w:val="0"/>
          <w:marTop w:val="0"/>
          <w:marBottom w:val="0"/>
          <w:divBdr>
            <w:top w:val="none" w:sz="0" w:space="0" w:color="auto"/>
            <w:left w:val="none" w:sz="0" w:space="0" w:color="auto"/>
            <w:bottom w:val="none" w:sz="0" w:space="0" w:color="auto"/>
            <w:right w:val="none" w:sz="0" w:space="0" w:color="auto"/>
          </w:divBdr>
        </w:div>
        <w:div w:id="1845705378">
          <w:marLeft w:val="0"/>
          <w:marRight w:val="0"/>
          <w:marTop w:val="0"/>
          <w:marBottom w:val="0"/>
          <w:divBdr>
            <w:top w:val="none" w:sz="0" w:space="0" w:color="auto"/>
            <w:left w:val="none" w:sz="0" w:space="0" w:color="auto"/>
            <w:bottom w:val="none" w:sz="0" w:space="0" w:color="auto"/>
            <w:right w:val="none" w:sz="0" w:space="0" w:color="auto"/>
          </w:divBdr>
        </w:div>
        <w:div w:id="73741826">
          <w:marLeft w:val="0"/>
          <w:marRight w:val="0"/>
          <w:marTop w:val="0"/>
          <w:marBottom w:val="0"/>
          <w:divBdr>
            <w:top w:val="none" w:sz="0" w:space="0" w:color="auto"/>
            <w:left w:val="none" w:sz="0" w:space="0" w:color="auto"/>
            <w:bottom w:val="none" w:sz="0" w:space="0" w:color="auto"/>
            <w:right w:val="none" w:sz="0" w:space="0" w:color="auto"/>
          </w:divBdr>
        </w:div>
        <w:div w:id="269825678">
          <w:marLeft w:val="0"/>
          <w:marRight w:val="0"/>
          <w:marTop w:val="0"/>
          <w:marBottom w:val="0"/>
          <w:divBdr>
            <w:top w:val="none" w:sz="0" w:space="0" w:color="auto"/>
            <w:left w:val="none" w:sz="0" w:space="0" w:color="auto"/>
            <w:bottom w:val="none" w:sz="0" w:space="0" w:color="auto"/>
            <w:right w:val="none" w:sz="0" w:space="0" w:color="auto"/>
          </w:divBdr>
        </w:div>
        <w:div w:id="1825512128">
          <w:marLeft w:val="0"/>
          <w:marRight w:val="0"/>
          <w:marTop w:val="0"/>
          <w:marBottom w:val="0"/>
          <w:divBdr>
            <w:top w:val="none" w:sz="0" w:space="0" w:color="auto"/>
            <w:left w:val="none" w:sz="0" w:space="0" w:color="auto"/>
            <w:bottom w:val="none" w:sz="0" w:space="0" w:color="auto"/>
            <w:right w:val="none" w:sz="0" w:space="0" w:color="auto"/>
          </w:divBdr>
        </w:div>
        <w:div w:id="1037270974">
          <w:marLeft w:val="0"/>
          <w:marRight w:val="0"/>
          <w:marTop w:val="0"/>
          <w:marBottom w:val="0"/>
          <w:divBdr>
            <w:top w:val="none" w:sz="0" w:space="0" w:color="auto"/>
            <w:left w:val="none" w:sz="0" w:space="0" w:color="auto"/>
            <w:bottom w:val="none" w:sz="0" w:space="0" w:color="auto"/>
            <w:right w:val="none" w:sz="0" w:space="0" w:color="auto"/>
          </w:divBdr>
        </w:div>
        <w:div w:id="1503861742">
          <w:marLeft w:val="0"/>
          <w:marRight w:val="0"/>
          <w:marTop w:val="0"/>
          <w:marBottom w:val="0"/>
          <w:divBdr>
            <w:top w:val="none" w:sz="0" w:space="0" w:color="auto"/>
            <w:left w:val="none" w:sz="0" w:space="0" w:color="auto"/>
            <w:bottom w:val="none" w:sz="0" w:space="0" w:color="auto"/>
            <w:right w:val="none" w:sz="0" w:space="0" w:color="auto"/>
          </w:divBdr>
        </w:div>
        <w:div w:id="303777311">
          <w:marLeft w:val="0"/>
          <w:marRight w:val="0"/>
          <w:marTop w:val="0"/>
          <w:marBottom w:val="0"/>
          <w:divBdr>
            <w:top w:val="none" w:sz="0" w:space="0" w:color="auto"/>
            <w:left w:val="none" w:sz="0" w:space="0" w:color="auto"/>
            <w:bottom w:val="none" w:sz="0" w:space="0" w:color="auto"/>
            <w:right w:val="none" w:sz="0" w:space="0" w:color="auto"/>
          </w:divBdr>
        </w:div>
        <w:div w:id="612514811">
          <w:marLeft w:val="0"/>
          <w:marRight w:val="0"/>
          <w:marTop w:val="0"/>
          <w:marBottom w:val="0"/>
          <w:divBdr>
            <w:top w:val="none" w:sz="0" w:space="0" w:color="auto"/>
            <w:left w:val="none" w:sz="0" w:space="0" w:color="auto"/>
            <w:bottom w:val="none" w:sz="0" w:space="0" w:color="auto"/>
            <w:right w:val="none" w:sz="0" w:space="0" w:color="auto"/>
          </w:divBdr>
        </w:div>
        <w:div w:id="458496755">
          <w:marLeft w:val="0"/>
          <w:marRight w:val="0"/>
          <w:marTop w:val="0"/>
          <w:marBottom w:val="0"/>
          <w:divBdr>
            <w:top w:val="none" w:sz="0" w:space="0" w:color="auto"/>
            <w:left w:val="none" w:sz="0" w:space="0" w:color="auto"/>
            <w:bottom w:val="none" w:sz="0" w:space="0" w:color="auto"/>
            <w:right w:val="none" w:sz="0" w:space="0" w:color="auto"/>
          </w:divBdr>
        </w:div>
        <w:div w:id="1766804313">
          <w:marLeft w:val="0"/>
          <w:marRight w:val="0"/>
          <w:marTop w:val="0"/>
          <w:marBottom w:val="0"/>
          <w:divBdr>
            <w:top w:val="none" w:sz="0" w:space="0" w:color="auto"/>
            <w:left w:val="none" w:sz="0" w:space="0" w:color="auto"/>
            <w:bottom w:val="none" w:sz="0" w:space="0" w:color="auto"/>
            <w:right w:val="none" w:sz="0" w:space="0" w:color="auto"/>
          </w:divBdr>
        </w:div>
        <w:div w:id="791552442">
          <w:marLeft w:val="0"/>
          <w:marRight w:val="0"/>
          <w:marTop w:val="0"/>
          <w:marBottom w:val="0"/>
          <w:divBdr>
            <w:top w:val="none" w:sz="0" w:space="0" w:color="auto"/>
            <w:left w:val="none" w:sz="0" w:space="0" w:color="auto"/>
            <w:bottom w:val="none" w:sz="0" w:space="0" w:color="auto"/>
            <w:right w:val="none" w:sz="0" w:space="0" w:color="auto"/>
          </w:divBdr>
        </w:div>
      </w:divsChild>
    </w:div>
    <w:div w:id="1735354897">
      <w:bodyDiv w:val="1"/>
      <w:marLeft w:val="0"/>
      <w:marRight w:val="0"/>
      <w:marTop w:val="0"/>
      <w:marBottom w:val="0"/>
      <w:divBdr>
        <w:top w:val="none" w:sz="0" w:space="0" w:color="auto"/>
        <w:left w:val="none" w:sz="0" w:space="0" w:color="auto"/>
        <w:bottom w:val="none" w:sz="0" w:space="0" w:color="auto"/>
        <w:right w:val="none" w:sz="0" w:space="0" w:color="auto"/>
      </w:divBdr>
      <w:divsChild>
        <w:div w:id="1337994759">
          <w:marLeft w:val="0"/>
          <w:marRight w:val="0"/>
          <w:marTop w:val="0"/>
          <w:marBottom w:val="0"/>
          <w:divBdr>
            <w:top w:val="none" w:sz="0" w:space="0" w:color="auto"/>
            <w:left w:val="none" w:sz="0" w:space="0" w:color="auto"/>
            <w:bottom w:val="none" w:sz="0" w:space="0" w:color="auto"/>
            <w:right w:val="none" w:sz="0" w:space="0" w:color="auto"/>
          </w:divBdr>
          <w:divsChild>
            <w:div w:id="1899628663">
              <w:marLeft w:val="0"/>
              <w:marRight w:val="0"/>
              <w:marTop w:val="0"/>
              <w:marBottom w:val="0"/>
              <w:divBdr>
                <w:top w:val="none" w:sz="0" w:space="0" w:color="auto"/>
                <w:left w:val="none" w:sz="0" w:space="0" w:color="auto"/>
                <w:bottom w:val="none" w:sz="0" w:space="0" w:color="auto"/>
                <w:right w:val="none" w:sz="0" w:space="0" w:color="auto"/>
              </w:divBdr>
              <w:divsChild>
                <w:div w:id="1019771729">
                  <w:marLeft w:val="0"/>
                  <w:marRight w:val="0"/>
                  <w:marTop w:val="0"/>
                  <w:marBottom w:val="0"/>
                  <w:divBdr>
                    <w:top w:val="none" w:sz="0" w:space="0" w:color="auto"/>
                    <w:left w:val="none" w:sz="0" w:space="0" w:color="auto"/>
                    <w:bottom w:val="none" w:sz="0" w:space="0" w:color="auto"/>
                    <w:right w:val="none" w:sz="0" w:space="0" w:color="auto"/>
                  </w:divBdr>
                  <w:divsChild>
                    <w:div w:id="20828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25996">
      <w:bodyDiv w:val="1"/>
      <w:marLeft w:val="0"/>
      <w:marRight w:val="0"/>
      <w:marTop w:val="0"/>
      <w:marBottom w:val="0"/>
      <w:divBdr>
        <w:top w:val="none" w:sz="0" w:space="0" w:color="auto"/>
        <w:left w:val="none" w:sz="0" w:space="0" w:color="auto"/>
        <w:bottom w:val="none" w:sz="0" w:space="0" w:color="auto"/>
        <w:right w:val="none" w:sz="0" w:space="0" w:color="auto"/>
      </w:divBdr>
    </w:div>
    <w:div w:id="2073769166">
      <w:bodyDiv w:val="1"/>
      <w:marLeft w:val="0"/>
      <w:marRight w:val="0"/>
      <w:marTop w:val="0"/>
      <w:marBottom w:val="0"/>
      <w:divBdr>
        <w:top w:val="none" w:sz="0" w:space="0" w:color="auto"/>
        <w:left w:val="none" w:sz="0" w:space="0" w:color="auto"/>
        <w:bottom w:val="none" w:sz="0" w:space="0" w:color="auto"/>
        <w:right w:val="none" w:sz="0" w:space="0" w:color="auto"/>
      </w:divBdr>
      <w:divsChild>
        <w:div w:id="247272606">
          <w:marLeft w:val="0"/>
          <w:marRight w:val="0"/>
          <w:marTop w:val="332"/>
          <w:marBottom w:val="332"/>
          <w:divBdr>
            <w:top w:val="none" w:sz="0" w:space="0" w:color="auto"/>
            <w:left w:val="none" w:sz="0" w:space="0" w:color="auto"/>
            <w:bottom w:val="none" w:sz="0" w:space="0" w:color="auto"/>
            <w:right w:val="none" w:sz="0" w:space="0" w:color="auto"/>
          </w:divBdr>
        </w:div>
      </w:divsChild>
    </w:div>
    <w:div w:id="2131893056">
      <w:bodyDiv w:val="1"/>
      <w:marLeft w:val="0"/>
      <w:marRight w:val="0"/>
      <w:marTop w:val="0"/>
      <w:marBottom w:val="0"/>
      <w:divBdr>
        <w:top w:val="none" w:sz="0" w:space="0" w:color="auto"/>
        <w:left w:val="none" w:sz="0" w:space="0" w:color="auto"/>
        <w:bottom w:val="none" w:sz="0" w:space="0" w:color="auto"/>
        <w:right w:val="none" w:sz="0" w:space="0" w:color="auto"/>
      </w:divBdr>
      <w:divsChild>
        <w:div w:id="1743793697">
          <w:marLeft w:val="0"/>
          <w:marRight w:val="0"/>
          <w:marTop w:val="0"/>
          <w:marBottom w:val="332"/>
          <w:divBdr>
            <w:top w:val="none" w:sz="0" w:space="0" w:color="auto"/>
            <w:left w:val="none" w:sz="0" w:space="0" w:color="auto"/>
            <w:bottom w:val="none" w:sz="0" w:space="0" w:color="auto"/>
            <w:right w:val="none" w:sz="0" w:space="0" w:color="auto"/>
          </w:divBdr>
        </w:div>
        <w:div w:id="1174342366">
          <w:marLeft w:val="0"/>
          <w:marRight w:val="0"/>
          <w:marTop w:val="0"/>
          <w:marBottom w:val="0"/>
          <w:divBdr>
            <w:top w:val="none" w:sz="0" w:space="0" w:color="auto"/>
            <w:left w:val="none" w:sz="0" w:space="0" w:color="auto"/>
            <w:bottom w:val="none" w:sz="0" w:space="0" w:color="auto"/>
            <w:right w:val="none" w:sz="0" w:space="0" w:color="auto"/>
          </w:divBdr>
        </w:div>
        <w:div w:id="1839156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ncbi.nlm.nih.gov/pmc/articles/PMC4308647/figure/Fig9/" TargetMode="External"/><Relationship Id="rId42" Type="http://schemas.openxmlformats.org/officeDocument/2006/relationships/hyperlink" Target="https://dx.doi.org/10.5489%2Fcuaj.09140" TargetMode="External"/><Relationship Id="rId47" Type="http://schemas.openxmlformats.org/officeDocument/2006/relationships/hyperlink" Target="https://www.solen.cz/pdfs/uro/2016/04/02.pdf" TargetMode="External"/><Relationship Id="rId63" Type="http://schemas.openxmlformats.org/officeDocument/2006/relationships/hyperlink" Target="https://dx.doi.org/10.3349%2Fymj.2017.58.5.1000" TargetMode="External"/><Relationship Id="rId68" Type="http://schemas.openxmlformats.org/officeDocument/2006/relationships/hyperlink" Target="https://doi.org/10.1148/radiology.204.1.9205218" TargetMode="External"/><Relationship Id="rId16" Type="http://schemas.openxmlformats.org/officeDocument/2006/relationships/hyperlink" Target="https://www.ncbi.nlm.nih.gov/pmc/articles/PMC3193729/" TargetMode="External"/><Relationship Id="rId11" Type="http://schemas.openxmlformats.org/officeDocument/2006/relationships/hyperlink" Target="https://www.ncbi.nlm.nih.gov/pmc/articles/PMC7146511/" TargetMode="External"/><Relationship Id="rId24" Type="http://schemas.openxmlformats.org/officeDocument/2006/relationships/image" Target="media/image4.jpeg"/><Relationship Id="rId32" Type="http://schemas.openxmlformats.org/officeDocument/2006/relationships/hyperlink" Target="https://www.ncbi.nlm.nih.gov/pmc/articles/PMC4308647/figure/Fig14/" TargetMode="External"/><Relationship Id="rId37" Type="http://schemas.openxmlformats.org/officeDocument/2006/relationships/image" Target="media/image11.png"/><Relationship Id="rId40" Type="http://schemas.openxmlformats.org/officeDocument/2006/relationships/footer" Target="footer3.xml"/><Relationship Id="rId45" Type="http://schemas.openxmlformats.org/officeDocument/2006/relationships/hyperlink" Target="https://www.ncbi.nlm.nih.gov/pmc/articles/PMC2474527/" TargetMode="External"/><Relationship Id="rId53" Type="http://schemas.openxmlformats.org/officeDocument/2006/relationships/hyperlink" Target="https://doi.org/10.1016/S0022-5347(01)63699-1" TargetMode="External"/><Relationship Id="rId58" Type="http://schemas.openxmlformats.org/officeDocument/2006/relationships/hyperlink" Target="https://doi.org/10.1089/end.1990.4.337" TargetMode="External"/><Relationship Id="rId66" Type="http://schemas.openxmlformats.org/officeDocument/2006/relationships/hyperlink" Target="https://doi.org/10.1159/000080257" TargetMode="External"/><Relationship Id="rId74" Type="http://schemas.openxmlformats.org/officeDocument/2006/relationships/hyperlink" Target="https://dx.doi.org/10.3978%2Fj.issn.2223-4683.2014.06.05"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x.doi.org/10.1159%2F000506486" TargetMode="External"/><Relationship Id="rId19" Type="http://schemas.openxmlformats.org/officeDocument/2006/relationships/hyperlink" Target="https://www.ncbi.nlm.nih.gov/pubmed/?term=Agarwal%20MM%5BAuthor%5D&amp;cauthor=true&amp;cauthor_uid=22022052" TargetMode="External"/><Relationship Id="rId14" Type="http://schemas.openxmlformats.org/officeDocument/2006/relationships/image" Target="media/image2.jpeg"/><Relationship Id="rId22" Type="http://schemas.openxmlformats.org/officeDocument/2006/relationships/image" Target="media/image3.jpeg"/><Relationship Id="rId27" Type="http://schemas.openxmlformats.org/officeDocument/2006/relationships/hyperlink" Target="https://www.ncbi.nlm.nih.gov/pmc/articles/PMC4308647/figure/Fig12/"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hyperlink" Target="https://pubmed.ncbi.nlm.nih.gov/29799402/" TargetMode="External"/><Relationship Id="rId48" Type="http://schemas.openxmlformats.org/officeDocument/2006/relationships/hyperlink" Target="https://dx.doi.org/10.3390%2Fnu11051182" TargetMode="External"/><Relationship Id="rId56" Type="http://schemas.openxmlformats.org/officeDocument/2006/relationships/hyperlink" Target="https://dx.doi.org/10.3945%2Fajcn.114.089987" TargetMode="External"/><Relationship Id="rId64" Type="http://schemas.openxmlformats.org/officeDocument/2006/relationships/hyperlink" Target="https://doi.org/10.1007/s00240-020-01210-w" TargetMode="External"/><Relationship Id="rId69" Type="http://schemas.openxmlformats.org/officeDocument/2006/relationships/hyperlink" Target="https://dx.doi.org/10.1007%2Fs00345-011-0789-6" TargetMode="External"/><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https://doi.org/10.1016/S0022-5347(17)39923-8" TargetMode="External"/><Relationship Id="rId72" Type="http://schemas.openxmlformats.org/officeDocument/2006/relationships/hyperlink" Target="http://doi.org/10.1007/s11934-016-0647-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bi.nlm.nih.gov/pmc/articles/PMC4708574/" TargetMode="External"/><Relationship Id="rId17" Type="http://schemas.openxmlformats.org/officeDocument/2006/relationships/hyperlink" Target="https://www.ncbi.nlm.nih.gov/pmc/articles/PMC3193729/" TargetMode="External"/><Relationship Id="rId25" Type="http://schemas.openxmlformats.org/officeDocument/2006/relationships/hyperlink" Target="https://www.ncbi.nlm.nih.gov/pmc/articles/PMC4308647/figure/Fig11/" TargetMode="External"/><Relationship Id="rId33" Type="http://schemas.openxmlformats.org/officeDocument/2006/relationships/image" Target="media/image8.jpeg"/><Relationship Id="rId38" Type="http://schemas.openxmlformats.org/officeDocument/2006/relationships/footer" Target="footer1.xml"/><Relationship Id="rId46" Type="http://schemas.openxmlformats.org/officeDocument/2006/relationships/hyperlink" Target="https://dx.doi.org/10.1007%2Fs00345-014-1444-9" TargetMode="External"/><Relationship Id="rId59" Type="http://schemas.openxmlformats.org/officeDocument/2006/relationships/hyperlink" Target="https://dx.doi.org/10.1007%2Fs00345-018-2320-9" TargetMode="External"/><Relationship Id="rId67" Type="http://schemas.openxmlformats.org/officeDocument/2006/relationships/hyperlink" Target="https://www.researchgate.net/deref/http%3A%2F%2Fdx.doi.org%2F10.2741%2F1347?_sg%5B0%5D=qIpx7jJ2soIrUOAG3htYVlHK40yrqj2Soo5Ob3prfCYEiBtJx-sDYgUzJiSEixSSHb9PBB8vtJU37SB-FsE1zTsJPA.r02Ef9pu26IVB2NUMlIbxk7RCKWxbz87RXJQmM6a3YluRDm6Vc1HI6adxzfZhJCYBr-Tgjzx_Wl6uSz11grWzw" TargetMode="External"/><Relationship Id="rId20" Type="http://schemas.openxmlformats.org/officeDocument/2006/relationships/hyperlink" Target="https://www.ncbi.nlm.nih.gov/pmc/articles/PMC4308647/" TargetMode="External"/><Relationship Id="rId41" Type="http://schemas.openxmlformats.org/officeDocument/2006/relationships/hyperlink" Target="https://dx.doi.org/10.4103%2F0970-1591.85423" TargetMode="External"/><Relationship Id="rId54" Type="http://schemas.openxmlformats.org/officeDocument/2006/relationships/hyperlink" Target="https://dx.doi.org/10.1080%2F2090598X.2019.1601002" TargetMode="External"/><Relationship Id="rId62" Type="http://schemas.openxmlformats.org/officeDocument/2006/relationships/hyperlink" Target="https://doi.org/10.1016/j.juro.2009.06.019" TargetMode="External"/><Relationship Id="rId70" Type="http://schemas.openxmlformats.org/officeDocument/2006/relationships/hyperlink" Target="https://dx.doi.org/10.1186%2Fs12894-015-0069-7" TargetMode="External"/><Relationship Id="rId75" Type="http://schemas.openxmlformats.org/officeDocument/2006/relationships/hyperlink" Target="https://www.vegsoc.org/info-hub/defini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mc/articles/PMC3193729/" TargetMode="External"/><Relationship Id="rId23" Type="http://schemas.openxmlformats.org/officeDocument/2006/relationships/hyperlink" Target="https://www.ncbi.nlm.nih.gov/pmc/articles/PMC4308647/figure/Fig10/"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doi.org/10.1016/j.crci.2016.05.008" TargetMode="External"/><Relationship Id="rId57" Type="http://schemas.openxmlformats.org/officeDocument/2006/relationships/hyperlink" Target="https://doi.org/10.1111/j.1464-410x.1994.tb16625.x" TargetMode="External"/><Relationship Id="rId10" Type="http://schemas.openxmlformats.org/officeDocument/2006/relationships/hyperlink" Target="https://www.ncbi.nlm.nih.gov/pmc/articles/PMC7146511/" TargetMode="External"/><Relationship Id="rId31" Type="http://schemas.openxmlformats.org/officeDocument/2006/relationships/hyperlink" Target="https://www.ncbi.nlm.nih.gov/pmc/articles/PMC4308647/" TargetMode="External"/><Relationship Id="rId44" Type="http://schemas.openxmlformats.org/officeDocument/2006/relationships/hyperlink" Target="https://pubmed.ncbi.nlm.nih.gov/32372318/" TargetMode="External"/><Relationship Id="rId52" Type="http://schemas.openxmlformats.org/officeDocument/2006/relationships/hyperlink" Target="https://doi.org/10.1038/ki.2012.320" TargetMode="External"/><Relationship Id="rId60" Type="http://schemas.openxmlformats.org/officeDocument/2006/relationships/hyperlink" Target="https://doi.org/10.1016/j.ajem.2009.06.028" TargetMode="External"/><Relationship Id="rId65" Type="http://schemas.openxmlformats.org/officeDocument/2006/relationships/hyperlink" Target="https://doi.org/10.1080/00365590600589898" TargetMode="External"/><Relationship Id="rId73" Type="http://schemas.openxmlformats.org/officeDocument/2006/relationships/hyperlink" Target="https://doi.org/10.1007/s11934-017-0677-8" TargetMode="External"/><Relationship Id="rId78"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ncbi.nlm.nih.gov/pmc/articles/PMC7146511/" TargetMode="External"/><Relationship Id="rId13" Type="http://schemas.openxmlformats.org/officeDocument/2006/relationships/hyperlink" Target="https://www.ncbi.nlm.nih.gov/pmc/articles/PMC4308647/figure/Fig2/" TargetMode="External"/><Relationship Id="rId18" Type="http://schemas.openxmlformats.org/officeDocument/2006/relationships/hyperlink" Target="https://www.ncbi.nlm.nih.gov/pmc/articles/PMC3193729/" TargetMode="External"/><Relationship Id="rId39" Type="http://schemas.openxmlformats.org/officeDocument/2006/relationships/footer" Target="footer2.xml"/><Relationship Id="rId34" Type="http://schemas.openxmlformats.org/officeDocument/2006/relationships/hyperlink" Target="https://www.ncbi.nlm.nih.gov/pmc/articles/PMC4308647/figure/Fig15/" TargetMode="External"/><Relationship Id="rId50" Type="http://schemas.openxmlformats.org/officeDocument/2006/relationships/hyperlink" Target="https://doi.org/10.1089/end.2016.0045" TargetMode="External"/><Relationship Id="rId55" Type="http://schemas.openxmlformats.org/officeDocument/2006/relationships/hyperlink" Target="https://dx.doi.org/10.2215%2FCJN.11661112" TargetMode="External"/><Relationship Id="rId76" Type="http://schemas.openxmlformats.org/officeDocument/2006/relationships/hyperlink" Target="https://doi.org/10.1016/s0022-5347(17)36401-7" TargetMode="External"/><Relationship Id="rId7" Type="http://schemas.openxmlformats.org/officeDocument/2006/relationships/endnotes" Target="endnotes.xml"/><Relationship Id="rId71" Type="http://schemas.openxmlformats.org/officeDocument/2006/relationships/hyperlink" Target="https://doi.org/10.1097/00005650-199012000-00001" TargetMode="External"/><Relationship Id="rId2" Type="http://schemas.openxmlformats.org/officeDocument/2006/relationships/numbering" Target="numbering.xml"/><Relationship Id="rId29" Type="http://schemas.openxmlformats.org/officeDocument/2006/relationships/hyperlink" Target="https://www.ncbi.nlm.nih.gov/pmc/articles/PMC4308647/figure/Fig13/"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B75BB-160E-40C8-8DC2-FE35767B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18953</Words>
  <Characters>108037</Characters>
  <Application>Microsoft Office Word</Application>
  <DocSecurity>0</DocSecurity>
  <Lines>900</Lines>
  <Paragraphs>253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 Švihra</dc:creator>
  <cp:keywords/>
  <dc:description/>
  <cp:lastModifiedBy>Viera Svihrova</cp:lastModifiedBy>
  <cp:revision>5</cp:revision>
  <cp:lastPrinted>2021-04-16T12:21:00Z</cp:lastPrinted>
  <dcterms:created xsi:type="dcterms:W3CDTF">2021-04-16T11:31:00Z</dcterms:created>
  <dcterms:modified xsi:type="dcterms:W3CDTF">2021-04-16T12:26:00Z</dcterms:modified>
</cp:coreProperties>
</file>