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FBB" w:rsidRPr="000D096C" w:rsidRDefault="00C07FBB" w:rsidP="00676964">
      <w:pPr>
        <w:jc w:val="center"/>
        <w:rPr>
          <w:rFonts w:ascii="Times New Roman" w:hAnsi="Times New Roman" w:cs="Times New Roman"/>
          <w:b/>
          <w:sz w:val="48"/>
          <w:szCs w:val="48"/>
        </w:rPr>
      </w:pPr>
      <w:r w:rsidRPr="000D096C">
        <w:rPr>
          <w:rFonts w:ascii="Times New Roman" w:hAnsi="Times New Roman" w:cs="Times New Roman"/>
          <w:b/>
          <w:sz w:val="48"/>
          <w:szCs w:val="48"/>
        </w:rPr>
        <w:t>Univerzita Palackého v Olomouci</w:t>
      </w:r>
    </w:p>
    <w:p w:rsidR="00C07FBB" w:rsidRPr="000D096C" w:rsidRDefault="00C07FBB" w:rsidP="00676964">
      <w:pPr>
        <w:jc w:val="center"/>
        <w:rPr>
          <w:rFonts w:ascii="Times New Roman" w:hAnsi="Times New Roman" w:cs="Times New Roman"/>
          <w:b/>
          <w:sz w:val="48"/>
          <w:szCs w:val="48"/>
        </w:rPr>
      </w:pPr>
      <w:r w:rsidRPr="000D096C">
        <w:rPr>
          <w:rFonts w:ascii="Times New Roman" w:hAnsi="Times New Roman" w:cs="Times New Roman"/>
          <w:b/>
          <w:sz w:val="48"/>
          <w:szCs w:val="48"/>
        </w:rPr>
        <w:t>Lékařská fakulta</w:t>
      </w:r>
    </w:p>
    <w:p w:rsidR="00C07FBB" w:rsidRPr="000D096C" w:rsidRDefault="00C07FBB" w:rsidP="00676964">
      <w:pPr>
        <w:jc w:val="center"/>
        <w:rPr>
          <w:rFonts w:ascii="Times New Roman" w:hAnsi="Times New Roman" w:cs="Times New Roman"/>
          <w:b/>
          <w:sz w:val="44"/>
          <w:szCs w:val="44"/>
        </w:rPr>
      </w:pPr>
      <w:r w:rsidRPr="000D096C">
        <w:rPr>
          <w:rFonts w:ascii="Times New Roman" w:hAnsi="Times New Roman" w:cs="Times New Roman"/>
          <w:b/>
          <w:sz w:val="44"/>
          <w:szCs w:val="44"/>
        </w:rPr>
        <w:t>Ústav veřejného zdravotnictví</w:t>
      </w:r>
    </w:p>
    <w:p w:rsidR="00C07FBB" w:rsidRPr="000D096C" w:rsidRDefault="00C07FBB" w:rsidP="00676964">
      <w:pPr>
        <w:jc w:val="center"/>
        <w:rPr>
          <w:rFonts w:ascii="Times New Roman" w:hAnsi="Times New Roman" w:cs="Times New Roman"/>
          <w:b/>
          <w:sz w:val="48"/>
          <w:szCs w:val="48"/>
        </w:rPr>
      </w:pPr>
    </w:p>
    <w:p w:rsidR="00C07FBB" w:rsidRPr="000D096C" w:rsidRDefault="00C07FBB" w:rsidP="00676964">
      <w:pPr>
        <w:jc w:val="center"/>
        <w:rPr>
          <w:rFonts w:ascii="Times New Roman" w:hAnsi="Times New Roman" w:cs="Times New Roman"/>
          <w:b/>
          <w:sz w:val="48"/>
          <w:szCs w:val="48"/>
        </w:rPr>
      </w:pPr>
    </w:p>
    <w:p w:rsidR="00C07FBB" w:rsidRPr="000D096C" w:rsidRDefault="00C07FBB" w:rsidP="00676964">
      <w:pPr>
        <w:jc w:val="center"/>
        <w:rPr>
          <w:rFonts w:ascii="Times New Roman" w:hAnsi="Times New Roman" w:cs="Times New Roman"/>
          <w:b/>
          <w:sz w:val="40"/>
          <w:szCs w:val="40"/>
        </w:rPr>
      </w:pPr>
      <w:r w:rsidRPr="000D096C">
        <w:rPr>
          <w:rFonts w:ascii="Times New Roman" w:hAnsi="Times New Roman" w:cs="Times New Roman"/>
          <w:b/>
          <w:sz w:val="40"/>
          <w:szCs w:val="40"/>
        </w:rPr>
        <w:t>MUDr. Ladislav Štěpánek</w:t>
      </w:r>
    </w:p>
    <w:p w:rsidR="00C07FBB" w:rsidRDefault="00C07FBB" w:rsidP="00676964">
      <w:pPr>
        <w:jc w:val="center"/>
        <w:rPr>
          <w:rFonts w:ascii="Times New Roman" w:hAnsi="Times New Roman" w:cs="Times New Roman"/>
          <w:b/>
          <w:sz w:val="48"/>
          <w:szCs w:val="48"/>
        </w:rPr>
      </w:pPr>
    </w:p>
    <w:p w:rsidR="00BC4EB6" w:rsidRPr="000D096C" w:rsidRDefault="00BC4EB6" w:rsidP="00676964">
      <w:pPr>
        <w:jc w:val="center"/>
        <w:rPr>
          <w:rFonts w:ascii="Times New Roman" w:hAnsi="Times New Roman" w:cs="Times New Roman"/>
          <w:b/>
          <w:sz w:val="48"/>
          <w:szCs w:val="48"/>
        </w:rPr>
      </w:pPr>
    </w:p>
    <w:p w:rsidR="00C07FBB" w:rsidRPr="000D096C" w:rsidRDefault="00321504" w:rsidP="00676964">
      <w:pPr>
        <w:jc w:val="center"/>
        <w:rPr>
          <w:rFonts w:ascii="Times New Roman" w:hAnsi="Times New Roman" w:cs="Times New Roman"/>
          <w:b/>
          <w:sz w:val="48"/>
          <w:szCs w:val="48"/>
        </w:rPr>
      </w:pPr>
      <w:r>
        <w:rPr>
          <w:rFonts w:ascii="Times New Roman" w:hAnsi="Times New Roman" w:cs="Times New Roman"/>
          <w:b/>
          <w:sz w:val="48"/>
          <w:szCs w:val="48"/>
        </w:rPr>
        <w:t>Možnosti stanovení</w:t>
      </w:r>
      <w:r w:rsidR="00D65984">
        <w:rPr>
          <w:rFonts w:ascii="Times New Roman" w:hAnsi="Times New Roman" w:cs="Times New Roman"/>
          <w:b/>
          <w:sz w:val="48"/>
          <w:szCs w:val="48"/>
        </w:rPr>
        <w:t xml:space="preserve"> úrovně inzulí</w:t>
      </w:r>
      <w:r w:rsidR="00C07FBB" w:rsidRPr="000D096C">
        <w:rPr>
          <w:rFonts w:ascii="Times New Roman" w:hAnsi="Times New Roman" w:cs="Times New Roman"/>
          <w:b/>
          <w:sz w:val="48"/>
          <w:szCs w:val="48"/>
        </w:rPr>
        <w:t>nové rezistence v klinické praxi</w:t>
      </w:r>
    </w:p>
    <w:p w:rsidR="00C07FBB" w:rsidRPr="000D096C" w:rsidRDefault="00C07FBB" w:rsidP="00676964">
      <w:pPr>
        <w:jc w:val="center"/>
        <w:rPr>
          <w:rFonts w:ascii="Times New Roman" w:hAnsi="Times New Roman" w:cs="Times New Roman"/>
          <w:b/>
          <w:sz w:val="48"/>
          <w:szCs w:val="48"/>
        </w:rPr>
      </w:pPr>
    </w:p>
    <w:p w:rsidR="00C07FBB" w:rsidRPr="000D096C" w:rsidRDefault="00C07FBB" w:rsidP="00676964">
      <w:pPr>
        <w:jc w:val="center"/>
        <w:rPr>
          <w:rFonts w:ascii="Times New Roman" w:hAnsi="Times New Roman" w:cs="Times New Roman"/>
          <w:b/>
          <w:sz w:val="48"/>
          <w:szCs w:val="48"/>
        </w:rPr>
      </w:pPr>
    </w:p>
    <w:p w:rsidR="00C07FBB" w:rsidRPr="000D096C" w:rsidRDefault="00C07FBB" w:rsidP="00676964">
      <w:pPr>
        <w:jc w:val="center"/>
        <w:rPr>
          <w:rFonts w:ascii="Times New Roman" w:hAnsi="Times New Roman" w:cs="Times New Roman"/>
          <w:b/>
          <w:sz w:val="48"/>
          <w:szCs w:val="48"/>
        </w:rPr>
      </w:pPr>
      <w:r w:rsidRPr="000D096C">
        <w:rPr>
          <w:rFonts w:ascii="Times New Roman" w:hAnsi="Times New Roman" w:cs="Times New Roman"/>
          <w:b/>
          <w:sz w:val="48"/>
          <w:szCs w:val="48"/>
        </w:rPr>
        <w:t>Doktorská dizertační práce</w:t>
      </w:r>
    </w:p>
    <w:p w:rsidR="00C07FBB" w:rsidRPr="000D096C" w:rsidRDefault="00C07FBB" w:rsidP="00676964">
      <w:pPr>
        <w:jc w:val="center"/>
        <w:rPr>
          <w:rFonts w:ascii="Times New Roman" w:hAnsi="Times New Roman" w:cs="Times New Roman"/>
          <w:b/>
          <w:sz w:val="48"/>
          <w:szCs w:val="48"/>
        </w:rPr>
      </w:pPr>
    </w:p>
    <w:p w:rsidR="00C07FBB" w:rsidRPr="000D096C" w:rsidRDefault="00C07FBB" w:rsidP="00676964">
      <w:pPr>
        <w:jc w:val="center"/>
        <w:rPr>
          <w:rFonts w:ascii="Times New Roman" w:hAnsi="Times New Roman" w:cs="Times New Roman"/>
          <w:b/>
          <w:sz w:val="48"/>
          <w:szCs w:val="48"/>
        </w:rPr>
      </w:pPr>
    </w:p>
    <w:p w:rsidR="00C07FBB" w:rsidRPr="00FB4EF8" w:rsidRDefault="009225C6" w:rsidP="00676964">
      <w:pPr>
        <w:jc w:val="center"/>
        <w:rPr>
          <w:rFonts w:ascii="Times New Roman" w:hAnsi="Times New Roman" w:cs="Times New Roman"/>
          <w:b/>
          <w:sz w:val="40"/>
          <w:szCs w:val="40"/>
        </w:rPr>
      </w:pPr>
      <w:r w:rsidRPr="00FB4EF8">
        <w:rPr>
          <w:rFonts w:ascii="Times New Roman" w:hAnsi="Times New Roman" w:cs="Times New Roman"/>
          <w:b/>
          <w:sz w:val="40"/>
          <w:szCs w:val="40"/>
        </w:rPr>
        <w:t>Školitel: d</w:t>
      </w:r>
      <w:r w:rsidR="00C07FBB" w:rsidRPr="00FB4EF8">
        <w:rPr>
          <w:rFonts w:ascii="Times New Roman" w:hAnsi="Times New Roman" w:cs="Times New Roman"/>
          <w:b/>
          <w:sz w:val="40"/>
          <w:szCs w:val="40"/>
        </w:rPr>
        <w:t>oc. MUDr. Dagmar Horáková, Ph.D.</w:t>
      </w:r>
    </w:p>
    <w:p w:rsidR="00C07FBB" w:rsidRPr="002932F4" w:rsidRDefault="00C07FBB" w:rsidP="00676964">
      <w:pPr>
        <w:jc w:val="center"/>
        <w:rPr>
          <w:rFonts w:ascii="Times New Roman" w:hAnsi="Times New Roman" w:cs="Times New Roman"/>
          <w:b/>
          <w:sz w:val="40"/>
          <w:szCs w:val="40"/>
        </w:rPr>
      </w:pPr>
    </w:p>
    <w:p w:rsidR="00C07FBB" w:rsidRPr="000D096C" w:rsidRDefault="00C07FBB" w:rsidP="00676964">
      <w:pPr>
        <w:jc w:val="center"/>
        <w:rPr>
          <w:rFonts w:ascii="Times New Roman" w:hAnsi="Times New Roman" w:cs="Times New Roman"/>
          <w:b/>
          <w:sz w:val="48"/>
          <w:szCs w:val="48"/>
        </w:rPr>
      </w:pPr>
    </w:p>
    <w:p w:rsidR="00C07FBB" w:rsidRPr="000D096C" w:rsidRDefault="00C07FBB" w:rsidP="00676964">
      <w:pPr>
        <w:jc w:val="center"/>
        <w:rPr>
          <w:rFonts w:ascii="Times New Roman" w:hAnsi="Times New Roman" w:cs="Times New Roman"/>
          <w:b/>
          <w:sz w:val="48"/>
          <w:szCs w:val="48"/>
        </w:rPr>
      </w:pPr>
      <w:r w:rsidRPr="000D096C">
        <w:rPr>
          <w:rFonts w:ascii="Times New Roman" w:hAnsi="Times New Roman" w:cs="Times New Roman"/>
          <w:b/>
          <w:sz w:val="48"/>
          <w:szCs w:val="48"/>
        </w:rPr>
        <w:t>Olomouc 2020</w:t>
      </w:r>
    </w:p>
    <w:p w:rsidR="006C2ABA" w:rsidRPr="000D096C" w:rsidRDefault="006C2ABA" w:rsidP="00B42871">
      <w:pPr>
        <w:jc w:val="both"/>
        <w:rPr>
          <w:rFonts w:ascii="Times New Roman" w:hAnsi="Times New Roman" w:cs="Times New Roman"/>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264C71" w:rsidRPr="000D096C" w:rsidRDefault="00264C71" w:rsidP="00B42871">
      <w:pPr>
        <w:jc w:val="both"/>
        <w:rPr>
          <w:rFonts w:ascii="Times New Roman" w:hAnsi="Times New Roman" w:cs="Times New Roman"/>
          <w:caps/>
        </w:rPr>
      </w:pPr>
    </w:p>
    <w:p w:rsidR="00264C71" w:rsidRPr="000D096C" w:rsidRDefault="00264C71" w:rsidP="00B42871">
      <w:pPr>
        <w:jc w:val="both"/>
        <w:rPr>
          <w:rFonts w:ascii="Times New Roman" w:hAnsi="Times New Roman" w:cs="Times New Roman"/>
          <w:caps/>
        </w:rPr>
      </w:pPr>
    </w:p>
    <w:p w:rsidR="00264C71" w:rsidRPr="000D096C" w:rsidRDefault="00264C71"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3039D" w:rsidRPr="000D096C" w:rsidRDefault="00D3039D" w:rsidP="00B42871">
      <w:pPr>
        <w:jc w:val="both"/>
        <w:rPr>
          <w:rFonts w:ascii="Times New Roman" w:hAnsi="Times New Roman" w:cs="Times New Roman"/>
          <w:caps/>
        </w:rPr>
      </w:pPr>
    </w:p>
    <w:p w:rsidR="00D07325" w:rsidRDefault="00D07325" w:rsidP="00B42871">
      <w:pPr>
        <w:jc w:val="both"/>
        <w:rPr>
          <w:rFonts w:ascii="Times New Roman" w:hAnsi="Times New Roman" w:cs="Times New Roman"/>
          <w:caps/>
        </w:rPr>
      </w:pPr>
    </w:p>
    <w:p w:rsidR="004567D5" w:rsidRPr="000D096C" w:rsidRDefault="004567D5" w:rsidP="00B42871">
      <w:pPr>
        <w:jc w:val="both"/>
        <w:rPr>
          <w:rFonts w:ascii="Times New Roman" w:hAnsi="Times New Roman" w:cs="Times New Roman"/>
          <w:caps/>
        </w:rPr>
      </w:pPr>
    </w:p>
    <w:p w:rsidR="00D07325" w:rsidRPr="000D096C" w:rsidRDefault="00D07325" w:rsidP="00B42871">
      <w:pPr>
        <w:jc w:val="both"/>
        <w:rPr>
          <w:rFonts w:ascii="Times New Roman" w:hAnsi="Times New Roman" w:cs="Times New Roman"/>
          <w:caps/>
        </w:rPr>
      </w:pPr>
    </w:p>
    <w:p w:rsidR="00D07325" w:rsidRPr="004567D5" w:rsidRDefault="00D07325" w:rsidP="00D07325">
      <w:pPr>
        <w:jc w:val="both"/>
        <w:rPr>
          <w:rFonts w:ascii="Times New Roman" w:hAnsi="Times New Roman" w:cs="Times New Roman"/>
          <w:b/>
          <w:sz w:val="30"/>
          <w:szCs w:val="30"/>
        </w:rPr>
      </w:pPr>
      <w:r w:rsidRPr="004567D5">
        <w:rPr>
          <w:rFonts w:ascii="Times New Roman" w:hAnsi="Times New Roman" w:cs="Times New Roman"/>
          <w:b/>
          <w:caps/>
          <w:sz w:val="30"/>
          <w:szCs w:val="30"/>
        </w:rPr>
        <w:t>P</w:t>
      </w:r>
      <w:r w:rsidRPr="004567D5">
        <w:rPr>
          <w:rFonts w:ascii="Times New Roman" w:hAnsi="Times New Roman" w:cs="Times New Roman"/>
          <w:b/>
          <w:sz w:val="30"/>
          <w:szCs w:val="30"/>
        </w:rPr>
        <w:t>oděkování</w:t>
      </w:r>
    </w:p>
    <w:p w:rsidR="00D3039D" w:rsidRPr="004567D5" w:rsidRDefault="00D3039D" w:rsidP="00D07325">
      <w:pPr>
        <w:jc w:val="both"/>
        <w:rPr>
          <w:rFonts w:ascii="Times New Roman" w:hAnsi="Times New Roman" w:cs="Times New Roman"/>
          <w:b/>
          <w:caps/>
          <w:sz w:val="24"/>
          <w:szCs w:val="24"/>
        </w:rPr>
      </w:pPr>
    </w:p>
    <w:p w:rsidR="00D07325" w:rsidRDefault="00D07325" w:rsidP="004567D5">
      <w:pPr>
        <w:spacing w:line="360" w:lineRule="auto"/>
        <w:jc w:val="both"/>
        <w:rPr>
          <w:rFonts w:ascii="Times New Roman" w:hAnsi="Times New Roman" w:cs="Times New Roman"/>
          <w:sz w:val="24"/>
          <w:szCs w:val="24"/>
        </w:rPr>
      </w:pPr>
      <w:r w:rsidRPr="004567D5">
        <w:rPr>
          <w:rFonts w:ascii="Times New Roman" w:hAnsi="Times New Roman" w:cs="Times New Roman"/>
          <w:sz w:val="24"/>
          <w:szCs w:val="24"/>
        </w:rPr>
        <w:tab/>
        <w:t>Děkuji své školitelce doc. MUDr. Dagmar Horákové, Ph</w:t>
      </w:r>
      <w:r w:rsidR="00B803E4">
        <w:rPr>
          <w:rFonts w:ascii="Times New Roman" w:hAnsi="Times New Roman" w:cs="Times New Roman"/>
          <w:sz w:val="24"/>
          <w:szCs w:val="24"/>
        </w:rPr>
        <w:t>.</w:t>
      </w:r>
      <w:r w:rsidR="00F552E9" w:rsidRPr="004567D5">
        <w:rPr>
          <w:rFonts w:ascii="Times New Roman" w:hAnsi="Times New Roman" w:cs="Times New Roman"/>
          <w:sz w:val="24"/>
          <w:szCs w:val="24"/>
        </w:rPr>
        <w:t xml:space="preserve">D. za veškerou pomoc během </w:t>
      </w:r>
      <w:r w:rsidRPr="004567D5">
        <w:rPr>
          <w:rFonts w:ascii="Times New Roman" w:hAnsi="Times New Roman" w:cs="Times New Roman"/>
          <w:sz w:val="24"/>
          <w:szCs w:val="24"/>
        </w:rPr>
        <w:t>dokt</w:t>
      </w:r>
      <w:r w:rsidR="00297F3E" w:rsidRPr="004567D5">
        <w:rPr>
          <w:rFonts w:ascii="Times New Roman" w:hAnsi="Times New Roman" w:cs="Times New Roman"/>
          <w:sz w:val="24"/>
          <w:szCs w:val="24"/>
        </w:rPr>
        <w:t xml:space="preserve">orského studia a při </w:t>
      </w:r>
      <w:r w:rsidR="00FB4EF8">
        <w:rPr>
          <w:rFonts w:ascii="Times New Roman" w:hAnsi="Times New Roman" w:cs="Times New Roman"/>
          <w:sz w:val="24"/>
          <w:szCs w:val="24"/>
        </w:rPr>
        <w:t>realizaci</w:t>
      </w:r>
      <w:r w:rsidR="00297F3E" w:rsidRPr="004567D5">
        <w:rPr>
          <w:rFonts w:ascii="Times New Roman" w:hAnsi="Times New Roman" w:cs="Times New Roman"/>
          <w:sz w:val="24"/>
          <w:szCs w:val="24"/>
        </w:rPr>
        <w:t xml:space="preserve"> </w:t>
      </w:r>
      <w:r w:rsidRPr="004567D5">
        <w:rPr>
          <w:rFonts w:ascii="Times New Roman" w:hAnsi="Times New Roman" w:cs="Times New Roman"/>
          <w:sz w:val="24"/>
          <w:szCs w:val="24"/>
        </w:rPr>
        <w:t>doktorské dizertační prác</w:t>
      </w:r>
      <w:r w:rsidR="00FB4EF8">
        <w:rPr>
          <w:rFonts w:ascii="Times New Roman" w:hAnsi="Times New Roman" w:cs="Times New Roman"/>
          <w:sz w:val="24"/>
          <w:szCs w:val="24"/>
        </w:rPr>
        <w:t>e</w:t>
      </w:r>
      <w:r w:rsidRPr="004567D5">
        <w:rPr>
          <w:rFonts w:ascii="Times New Roman" w:hAnsi="Times New Roman" w:cs="Times New Roman"/>
          <w:sz w:val="24"/>
          <w:szCs w:val="24"/>
        </w:rPr>
        <w:t xml:space="preserve">. Děkuji též celému kolektivu Ústavu veřejného zdravotnictví LF UP v Olomouci za </w:t>
      </w:r>
      <w:r w:rsidR="004E138D" w:rsidRPr="004567D5">
        <w:rPr>
          <w:rFonts w:ascii="Times New Roman" w:hAnsi="Times New Roman" w:cs="Times New Roman"/>
          <w:sz w:val="24"/>
          <w:szCs w:val="24"/>
        </w:rPr>
        <w:t>cenné rady</w:t>
      </w:r>
      <w:r w:rsidR="00F552E9" w:rsidRPr="004567D5">
        <w:rPr>
          <w:rFonts w:ascii="Times New Roman" w:hAnsi="Times New Roman" w:cs="Times New Roman"/>
          <w:sz w:val="24"/>
          <w:szCs w:val="24"/>
        </w:rPr>
        <w:t xml:space="preserve"> a podporu</w:t>
      </w:r>
      <w:r w:rsidRPr="004567D5">
        <w:rPr>
          <w:rFonts w:ascii="Times New Roman" w:hAnsi="Times New Roman" w:cs="Times New Roman"/>
          <w:sz w:val="24"/>
          <w:szCs w:val="24"/>
        </w:rPr>
        <w:t>.</w:t>
      </w:r>
      <w:r w:rsidR="00F80C90">
        <w:rPr>
          <w:rFonts w:ascii="Times New Roman" w:hAnsi="Times New Roman" w:cs="Times New Roman"/>
          <w:sz w:val="24"/>
          <w:szCs w:val="24"/>
        </w:rPr>
        <w:t xml:space="preserve"> Za statistické zpracování dat děkuji MUDr. Ing. Lubomíru Š</w:t>
      </w:r>
      <w:r w:rsidR="006C0C76">
        <w:rPr>
          <w:rFonts w:ascii="Times New Roman" w:hAnsi="Times New Roman" w:cs="Times New Roman"/>
          <w:sz w:val="24"/>
          <w:szCs w:val="24"/>
        </w:rPr>
        <w:t>t</w:t>
      </w:r>
      <w:r w:rsidR="00F80C90">
        <w:rPr>
          <w:rFonts w:ascii="Times New Roman" w:hAnsi="Times New Roman" w:cs="Times New Roman"/>
          <w:sz w:val="24"/>
          <w:szCs w:val="24"/>
        </w:rPr>
        <w:t>ěpánkovi a za rady při p</w:t>
      </w:r>
      <w:r w:rsidR="00246E36">
        <w:rPr>
          <w:rFonts w:ascii="Times New Roman" w:hAnsi="Times New Roman" w:cs="Times New Roman"/>
          <w:sz w:val="24"/>
          <w:szCs w:val="24"/>
        </w:rPr>
        <w:t>saní dizertační práce děkuji</w:t>
      </w:r>
      <w:r w:rsidR="00F80C90">
        <w:rPr>
          <w:rFonts w:ascii="Times New Roman" w:hAnsi="Times New Roman" w:cs="Times New Roman"/>
          <w:sz w:val="24"/>
          <w:szCs w:val="24"/>
        </w:rPr>
        <w:t xml:space="preserve"> </w:t>
      </w:r>
      <w:r w:rsidR="00F80C90" w:rsidRPr="004567D5">
        <w:rPr>
          <w:rFonts w:ascii="Times New Roman" w:hAnsi="Times New Roman" w:cs="Times New Roman"/>
          <w:sz w:val="24"/>
          <w:szCs w:val="24"/>
        </w:rPr>
        <w:t xml:space="preserve">doc. MUDr. </w:t>
      </w:r>
      <w:r w:rsidR="00F80C90">
        <w:rPr>
          <w:rFonts w:ascii="Times New Roman" w:hAnsi="Times New Roman" w:cs="Times New Roman"/>
          <w:sz w:val="24"/>
          <w:szCs w:val="24"/>
        </w:rPr>
        <w:t>Marii Nakládalové</w:t>
      </w:r>
      <w:r w:rsidR="00F80C90" w:rsidRPr="004567D5">
        <w:rPr>
          <w:rFonts w:ascii="Times New Roman" w:hAnsi="Times New Roman" w:cs="Times New Roman"/>
          <w:sz w:val="24"/>
          <w:szCs w:val="24"/>
        </w:rPr>
        <w:t>, Ph</w:t>
      </w:r>
      <w:r w:rsidR="00B803E4">
        <w:rPr>
          <w:rFonts w:ascii="Times New Roman" w:hAnsi="Times New Roman" w:cs="Times New Roman"/>
          <w:sz w:val="24"/>
          <w:szCs w:val="24"/>
        </w:rPr>
        <w:t>.</w:t>
      </w:r>
      <w:r w:rsidR="00F80C90" w:rsidRPr="004567D5">
        <w:rPr>
          <w:rFonts w:ascii="Times New Roman" w:hAnsi="Times New Roman" w:cs="Times New Roman"/>
          <w:sz w:val="24"/>
          <w:szCs w:val="24"/>
        </w:rPr>
        <w:t>D.</w:t>
      </w:r>
      <w:r w:rsidR="00F80C90">
        <w:rPr>
          <w:rFonts w:ascii="Times New Roman" w:hAnsi="Times New Roman" w:cs="Times New Roman"/>
          <w:sz w:val="24"/>
          <w:szCs w:val="24"/>
        </w:rPr>
        <w:t xml:space="preserve"> </w:t>
      </w:r>
      <w:r w:rsidRPr="004567D5">
        <w:rPr>
          <w:rFonts w:ascii="Times New Roman" w:hAnsi="Times New Roman" w:cs="Times New Roman"/>
          <w:sz w:val="24"/>
          <w:szCs w:val="24"/>
        </w:rPr>
        <w:t>Rovněž pak děkuji lékařům III. interní kliniky FNOL a LF UP v Olomouci za poskytnutí dat a praktickým lékařům MUDr. Janě Ižákové a MUDr. Jiřímu Zdražilovi za umožnění práce s pacienty v jejich péči.</w:t>
      </w:r>
    </w:p>
    <w:p w:rsidR="004E630F" w:rsidRPr="004567D5" w:rsidRDefault="004E630F" w:rsidP="006D53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Podpořeno vnitřním grantem LF UP v Olomouci (</w:t>
      </w:r>
      <w:r w:rsidRPr="004E630F">
        <w:rPr>
          <w:rFonts w:ascii="Times New Roman" w:hAnsi="Times New Roman" w:cs="Times New Roman"/>
          <w:sz w:val="24"/>
          <w:szCs w:val="24"/>
        </w:rPr>
        <w:t>IGA LF 2017 016</w:t>
      </w:r>
      <w:r>
        <w:rPr>
          <w:rFonts w:ascii="Times New Roman" w:hAnsi="Times New Roman" w:cs="Times New Roman"/>
          <w:sz w:val="24"/>
          <w:szCs w:val="24"/>
        </w:rPr>
        <w:t>).</w:t>
      </w:r>
    </w:p>
    <w:p w:rsidR="007304C8" w:rsidRPr="009638D2" w:rsidRDefault="007304C8" w:rsidP="0021164F">
      <w:pPr>
        <w:spacing w:after="340"/>
        <w:rPr>
          <w:rFonts w:ascii="Times New Roman" w:hAnsi="Times New Roman" w:cs="Times New Roman"/>
          <w:b/>
          <w:caps/>
          <w:sz w:val="32"/>
          <w:szCs w:val="32"/>
        </w:rPr>
      </w:pPr>
      <w:r w:rsidRPr="009638D2">
        <w:rPr>
          <w:rFonts w:ascii="Times New Roman" w:hAnsi="Times New Roman" w:cs="Times New Roman"/>
          <w:b/>
          <w:caps/>
          <w:sz w:val="32"/>
          <w:szCs w:val="32"/>
        </w:rPr>
        <w:lastRenderedPageBreak/>
        <w:t>Abstrakt</w:t>
      </w:r>
    </w:p>
    <w:p w:rsidR="005506E7" w:rsidRPr="00D71EDD" w:rsidRDefault="005506E7" w:rsidP="005506E7">
      <w:pPr>
        <w:spacing w:line="360" w:lineRule="auto"/>
        <w:jc w:val="both"/>
        <w:rPr>
          <w:rFonts w:ascii="Times New Roman" w:hAnsi="Times New Roman" w:cs="Times New Roman"/>
          <w:sz w:val="24"/>
          <w:szCs w:val="24"/>
        </w:rPr>
      </w:pPr>
      <w:r w:rsidRPr="00D71EDD">
        <w:rPr>
          <w:rFonts w:ascii="Times New Roman" w:hAnsi="Times New Roman" w:cs="Times New Roman"/>
          <w:b/>
          <w:sz w:val="24"/>
          <w:szCs w:val="24"/>
        </w:rPr>
        <w:t>Úvod:</w:t>
      </w:r>
      <w:r w:rsidRPr="00D71EDD">
        <w:rPr>
          <w:rFonts w:ascii="Times New Roman" w:hAnsi="Times New Roman" w:cs="Times New Roman"/>
          <w:sz w:val="24"/>
          <w:szCs w:val="24"/>
        </w:rPr>
        <w:t xml:space="preserve"> Chronická neinfekční onemocnění představují celosvětově nejčastější příčinu úmrtí, přičemž jde ve většině případů o onemocnění značně preventabilní. Proto sílí tlak na vývoj dostupných a efektivních preventivních nástrojů. Byť se jedná o heterogenní skupinu klinických onemocnění, jejich patogeneze je do značné míry propojená. Významné místo v rozvoji nejenom poruch me</w:t>
      </w:r>
      <w:r w:rsidR="00D65984">
        <w:rPr>
          <w:rFonts w:ascii="Times New Roman" w:hAnsi="Times New Roman" w:cs="Times New Roman"/>
          <w:sz w:val="24"/>
          <w:szCs w:val="24"/>
        </w:rPr>
        <w:t>tabolismu glukózy zaujímá inzulí</w:t>
      </w:r>
      <w:r w:rsidRPr="00D71EDD">
        <w:rPr>
          <w:rFonts w:ascii="Times New Roman" w:hAnsi="Times New Roman" w:cs="Times New Roman"/>
          <w:sz w:val="24"/>
          <w:szCs w:val="24"/>
        </w:rPr>
        <w:t>nová rezistence (IR), jejíž nástup předchází vzniku řady metabolických odchylek, na něž je cílen v současnosti zavedený systém primární prevence. Je</w:t>
      </w:r>
      <w:r>
        <w:rPr>
          <w:rFonts w:ascii="Times New Roman" w:hAnsi="Times New Roman" w:cs="Times New Roman"/>
          <w:sz w:val="24"/>
          <w:szCs w:val="24"/>
        </w:rPr>
        <w:t xml:space="preserve">dnou z možností stanovení </w:t>
      </w:r>
      <w:r w:rsidRPr="00D71EDD">
        <w:rPr>
          <w:rFonts w:ascii="Times New Roman" w:hAnsi="Times New Roman" w:cs="Times New Roman"/>
          <w:sz w:val="24"/>
          <w:szCs w:val="24"/>
        </w:rPr>
        <w:t xml:space="preserve">IR jsou homeostatické indexy, nejčastěji reprezentované </w:t>
      </w:r>
      <w:r>
        <w:rPr>
          <w:rFonts w:ascii="Times New Roman" w:hAnsi="Times New Roman" w:cs="Times New Roman"/>
          <w:sz w:val="24"/>
          <w:szCs w:val="24"/>
        </w:rPr>
        <w:t xml:space="preserve">indexem </w:t>
      </w:r>
      <w:r w:rsidRPr="00D71EDD">
        <w:rPr>
          <w:rFonts w:ascii="Times New Roman" w:hAnsi="Times New Roman" w:cs="Times New Roman"/>
          <w:i/>
          <w:sz w:val="24"/>
          <w:szCs w:val="24"/>
        </w:rPr>
        <w:t>homeostasis model assessment of IR</w:t>
      </w:r>
      <w:r w:rsidRPr="00D71EDD">
        <w:rPr>
          <w:rFonts w:ascii="Times New Roman" w:hAnsi="Times New Roman" w:cs="Times New Roman"/>
          <w:sz w:val="24"/>
          <w:szCs w:val="24"/>
        </w:rPr>
        <w:t xml:space="preserve"> (HOMA-IR)</w:t>
      </w:r>
      <w:r>
        <w:rPr>
          <w:rFonts w:ascii="Times New Roman" w:hAnsi="Times New Roman" w:cs="Times New Roman"/>
          <w:sz w:val="24"/>
          <w:szCs w:val="24"/>
        </w:rPr>
        <w:t xml:space="preserve"> odrážejícím úroveň tkáňové IR</w:t>
      </w:r>
      <w:r w:rsidRPr="00D71EDD">
        <w:rPr>
          <w:rFonts w:ascii="Times New Roman" w:hAnsi="Times New Roman" w:cs="Times New Roman"/>
          <w:sz w:val="24"/>
          <w:szCs w:val="24"/>
        </w:rPr>
        <w:t>. Index HOMA-β zase reflektuje sekreci inzulínu slinivkou břišní. Pro stanovení hodnoty HOMA-IR</w:t>
      </w:r>
      <w:r w:rsidR="00F80C90">
        <w:rPr>
          <w:rFonts w:ascii="Times New Roman" w:hAnsi="Times New Roman" w:cs="Times New Roman"/>
          <w:sz w:val="24"/>
          <w:szCs w:val="24"/>
        </w:rPr>
        <w:t xml:space="preserve"> je</w:t>
      </w:r>
      <w:r>
        <w:rPr>
          <w:rFonts w:ascii="Times New Roman" w:hAnsi="Times New Roman" w:cs="Times New Roman"/>
          <w:sz w:val="24"/>
          <w:szCs w:val="24"/>
        </w:rPr>
        <w:t xml:space="preserve"> nezbytná analýza</w:t>
      </w:r>
      <w:r w:rsidRPr="00D71EDD">
        <w:rPr>
          <w:rFonts w:ascii="Times New Roman" w:hAnsi="Times New Roman" w:cs="Times New Roman"/>
          <w:sz w:val="24"/>
          <w:szCs w:val="24"/>
        </w:rPr>
        <w:t xml:space="preserve"> lačné inzulinémie</w:t>
      </w:r>
      <w:r w:rsidR="00F80C90">
        <w:rPr>
          <w:rFonts w:ascii="Times New Roman" w:hAnsi="Times New Roman" w:cs="Times New Roman"/>
          <w:sz w:val="24"/>
          <w:szCs w:val="24"/>
        </w:rPr>
        <w:t>, ta</w:t>
      </w:r>
      <w:r w:rsidRPr="00D71EDD">
        <w:rPr>
          <w:rFonts w:ascii="Times New Roman" w:hAnsi="Times New Roman" w:cs="Times New Roman"/>
          <w:sz w:val="24"/>
          <w:szCs w:val="24"/>
        </w:rPr>
        <w:t xml:space="preserve"> však svojí nákladností brání plošnému využití homeostatických indexů v časné detekci rizikových pacientů </w:t>
      </w:r>
      <w:r w:rsidR="00F80C90">
        <w:rPr>
          <w:rFonts w:ascii="Times New Roman" w:hAnsi="Times New Roman" w:cs="Times New Roman"/>
          <w:sz w:val="24"/>
          <w:szCs w:val="24"/>
        </w:rPr>
        <w:t>vhodných k následné intervenci.</w:t>
      </w:r>
      <w:r w:rsidR="00924DD1">
        <w:rPr>
          <w:rFonts w:ascii="Times New Roman" w:hAnsi="Times New Roman" w:cs="Times New Roman"/>
          <w:sz w:val="24"/>
          <w:szCs w:val="24"/>
        </w:rPr>
        <w:t xml:space="preserve"> </w:t>
      </w:r>
      <w:r w:rsidRPr="00D71EDD">
        <w:rPr>
          <w:rFonts w:ascii="Times New Roman" w:hAnsi="Times New Roman" w:cs="Times New Roman"/>
          <w:sz w:val="24"/>
          <w:szCs w:val="24"/>
        </w:rPr>
        <w:t>Cílem práce bylo zhodnotit vztah běžných antropometrických a biochemických parametrů, včetně některých prediktivních modelů (</w:t>
      </w:r>
      <w:r w:rsidR="009F4B08">
        <w:rPr>
          <w:rFonts w:ascii="Times New Roman" w:hAnsi="Times New Roman" w:cs="Times New Roman"/>
          <w:i/>
          <w:sz w:val="24"/>
          <w:szCs w:val="24"/>
        </w:rPr>
        <w:t>visceral adipos</w:t>
      </w:r>
      <w:r w:rsidRPr="00D71EDD">
        <w:rPr>
          <w:rFonts w:ascii="Times New Roman" w:hAnsi="Times New Roman" w:cs="Times New Roman"/>
          <w:i/>
          <w:sz w:val="24"/>
          <w:szCs w:val="24"/>
        </w:rPr>
        <w:t>ity index</w:t>
      </w:r>
      <w:r w:rsidRPr="00D71EDD">
        <w:rPr>
          <w:rFonts w:ascii="Times New Roman" w:hAnsi="Times New Roman" w:cs="Times New Roman"/>
          <w:sz w:val="24"/>
          <w:szCs w:val="24"/>
        </w:rPr>
        <w:t xml:space="preserve"> [VAI], </w:t>
      </w:r>
      <w:r w:rsidR="00283503">
        <w:rPr>
          <w:rFonts w:ascii="Times New Roman" w:hAnsi="Times New Roman" w:cs="Times New Roman"/>
          <w:sz w:val="24"/>
          <w:szCs w:val="24"/>
        </w:rPr>
        <w:t>a</w:t>
      </w:r>
      <w:r w:rsidR="00283503" w:rsidRPr="00283503">
        <w:rPr>
          <w:rFonts w:ascii="Times New Roman" w:hAnsi="Times New Roman" w:cs="Times New Roman"/>
          <w:sz w:val="24"/>
          <w:szCs w:val="24"/>
        </w:rPr>
        <w:t>terogenní index plazmy</w:t>
      </w:r>
      <w:r w:rsidRPr="00D71EDD">
        <w:rPr>
          <w:rFonts w:ascii="Times New Roman" w:hAnsi="Times New Roman" w:cs="Times New Roman"/>
          <w:sz w:val="24"/>
          <w:szCs w:val="24"/>
        </w:rPr>
        <w:t xml:space="preserve"> [AIP]), k homeostatickým indexům, zejména HOMA-IR, a vyhodnotit tak možnost stanovení úrovně IR bez nutnosti analýzy inzulinémie.</w:t>
      </w:r>
    </w:p>
    <w:p w:rsidR="005506E7" w:rsidRPr="00D71EDD" w:rsidRDefault="005506E7" w:rsidP="005506E7">
      <w:pPr>
        <w:spacing w:line="360" w:lineRule="auto"/>
        <w:jc w:val="both"/>
        <w:rPr>
          <w:rFonts w:ascii="Times New Roman" w:hAnsi="Times New Roman" w:cs="Times New Roman"/>
          <w:sz w:val="24"/>
          <w:szCs w:val="24"/>
        </w:rPr>
      </w:pPr>
      <w:r w:rsidRPr="00D71EDD">
        <w:rPr>
          <w:rFonts w:ascii="Times New Roman" w:hAnsi="Times New Roman" w:cs="Times New Roman"/>
          <w:b/>
          <w:sz w:val="24"/>
          <w:szCs w:val="24"/>
        </w:rPr>
        <w:t>Metodika:</w:t>
      </w:r>
      <w:r w:rsidRPr="00D71EDD">
        <w:rPr>
          <w:rFonts w:ascii="Times New Roman" w:hAnsi="Times New Roman" w:cs="Times New Roman"/>
          <w:sz w:val="24"/>
          <w:szCs w:val="24"/>
        </w:rPr>
        <w:t xml:space="preserve"> Pro naplnění cíle byl ve dvou ordinacích všeobecných praktických lékařů v Pardubickém kraji vytvořen soubor 188 jedinců, u nichž byly za standardních podmínek provedeny laboratorní rozbory a současně změřeny základní antropometr</w:t>
      </w:r>
      <w:r w:rsidR="00F80C90">
        <w:rPr>
          <w:rFonts w:ascii="Times New Roman" w:hAnsi="Times New Roman" w:cs="Times New Roman"/>
          <w:sz w:val="24"/>
          <w:szCs w:val="24"/>
        </w:rPr>
        <w:t>ické ukazatele</w:t>
      </w:r>
      <w:r w:rsidRPr="00D71EDD">
        <w:rPr>
          <w:rFonts w:ascii="Times New Roman" w:hAnsi="Times New Roman" w:cs="Times New Roman"/>
          <w:sz w:val="24"/>
          <w:szCs w:val="24"/>
        </w:rPr>
        <w:t xml:space="preserve"> a</w:t>
      </w:r>
      <w:r w:rsidR="00BB3FFF">
        <w:rPr>
          <w:rFonts w:ascii="Times New Roman" w:hAnsi="Times New Roman" w:cs="Times New Roman"/>
          <w:sz w:val="24"/>
          <w:szCs w:val="24"/>
        </w:rPr>
        <w:t> </w:t>
      </w:r>
      <w:r w:rsidRPr="00D71EDD">
        <w:rPr>
          <w:rFonts w:ascii="Times New Roman" w:hAnsi="Times New Roman" w:cs="Times New Roman"/>
          <w:sz w:val="24"/>
          <w:szCs w:val="24"/>
        </w:rPr>
        <w:t xml:space="preserve">krevní tlak (TK). </w:t>
      </w:r>
      <w:r w:rsidR="008B5BCA">
        <w:rPr>
          <w:rFonts w:ascii="Times New Roman" w:hAnsi="Times New Roman" w:cs="Times New Roman"/>
          <w:sz w:val="24"/>
          <w:szCs w:val="24"/>
        </w:rPr>
        <w:t xml:space="preserve">Laboratorní rozbory zahrnovaly stanovení sérové koncentrace celkového cholesterolu, lipoproteinů o </w:t>
      </w:r>
      <w:r w:rsidR="00D6105E">
        <w:rPr>
          <w:rFonts w:ascii="Times New Roman" w:hAnsi="Times New Roman" w:cs="Times New Roman"/>
          <w:sz w:val="24"/>
          <w:szCs w:val="24"/>
        </w:rPr>
        <w:t xml:space="preserve">nízké i </w:t>
      </w:r>
      <w:r w:rsidR="008B5BCA">
        <w:rPr>
          <w:rFonts w:ascii="Times New Roman" w:hAnsi="Times New Roman" w:cs="Times New Roman"/>
          <w:sz w:val="24"/>
          <w:szCs w:val="24"/>
        </w:rPr>
        <w:t xml:space="preserve">vysoké hustotě, triacylglycerolů, </w:t>
      </w:r>
      <w:r w:rsidR="0084060A" w:rsidRPr="00D71EDD">
        <w:rPr>
          <w:rFonts w:ascii="Times New Roman" w:hAnsi="Times New Roman" w:cs="Times New Roman"/>
          <w:sz w:val="24"/>
          <w:szCs w:val="24"/>
        </w:rPr>
        <w:t>alaninaminotransferáz</w:t>
      </w:r>
      <w:r w:rsidR="0084060A">
        <w:rPr>
          <w:rFonts w:ascii="Times New Roman" w:hAnsi="Times New Roman" w:cs="Times New Roman"/>
          <w:sz w:val="24"/>
          <w:szCs w:val="24"/>
        </w:rPr>
        <w:t xml:space="preserve">y (ALT), aspartátaminotransferázy (AST), </w:t>
      </w:r>
      <w:r w:rsidR="008B5BCA">
        <w:rPr>
          <w:rFonts w:ascii="Times New Roman" w:hAnsi="Times New Roman" w:cs="Times New Roman"/>
          <w:sz w:val="24"/>
          <w:szCs w:val="24"/>
        </w:rPr>
        <w:t xml:space="preserve">glukózy, </w:t>
      </w:r>
      <w:r w:rsidRPr="00D71EDD">
        <w:rPr>
          <w:rFonts w:ascii="Times New Roman" w:hAnsi="Times New Roman" w:cs="Times New Roman"/>
          <w:sz w:val="24"/>
          <w:szCs w:val="24"/>
        </w:rPr>
        <w:t>inzulínu</w:t>
      </w:r>
      <w:r w:rsidR="0084060A">
        <w:rPr>
          <w:rFonts w:ascii="Times New Roman" w:hAnsi="Times New Roman" w:cs="Times New Roman"/>
          <w:sz w:val="24"/>
          <w:szCs w:val="24"/>
        </w:rPr>
        <w:t>, kyseliny močové</w:t>
      </w:r>
      <w:r w:rsidRPr="00D71EDD">
        <w:rPr>
          <w:rFonts w:ascii="Times New Roman" w:hAnsi="Times New Roman" w:cs="Times New Roman"/>
          <w:sz w:val="24"/>
          <w:szCs w:val="24"/>
        </w:rPr>
        <w:t xml:space="preserve"> a apolipoproteinu B.</w:t>
      </w:r>
      <w:r>
        <w:rPr>
          <w:rFonts w:ascii="Times New Roman" w:hAnsi="Times New Roman" w:cs="Times New Roman"/>
          <w:sz w:val="24"/>
          <w:szCs w:val="24"/>
        </w:rPr>
        <w:t xml:space="preserve"> Soubor byl následně rozšířen</w:t>
      </w:r>
      <w:r w:rsidRPr="00D71EDD">
        <w:rPr>
          <w:rFonts w:ascii="Times New Roman" w:hAnsi="Times New Roman" w:cs="Times New Roman"/>
          <w:sz w:val="24"/>
          <w:szCs w:val="24"/>
        </w:rPr>
        <w:t xml:space="preserve"> o stejné údaje 687 osob získan</w:t>
      </w:r>
      <w:r>
        <w:rPr>
          <w:rFonts w:ascii="Times New Roman" w:hAnsi="Times New Roman" w:cs="Times New Roman"/>
          <w:sz w:val="24"/>
          <w:szCs w:val="24"/>
        </w:rPr>
        <w:t>é</w:t>
      </w:r>
      <w:r w:rsidRPr="00D71EDD">
        <w:rPr>
          <w:rFonts w:ascii="Times New Roman" w:hAnsi="Times New Roman" w:cs="Times New Roman"/>
          <w:sz w:val="24"/>
          <w:szCs w:val="24"/>
        </w:rPr>
        <w:t xml:space="preserve"> při prvních návštěvách metabolické ambulance III. interní kliniky Fakultní nemocnice Olomouc. </w:t>
      </w:r>
      <w:r>
        <w:rPr>
          <w:rFonts w:ascii="Times New Roman" w:hAnsi="Times New Roman" w:cs="Times New Roman"/>
          <w:sz w:val="24"/>
          <w:szCs w:val="24"/>
        </w:rPr>
        <w:t xml:space="preserve">Analýza výsledné databáze </w:t>
      </w:r>
      <w:r w:rsidRPr="00D71EDD">
        <w:rPr>
          <w:rFonts w:ascii="Times New Roman" w:hAnsi="Times New Roman" w:cs="Times New Roman"/>
          <w:sz w:val="24"/>
          <w:szCs w:val="24"/>
        </w:rPr>
        <w:t>byla rozdělena do dvou částí, kdy nejprve byl zkoumán vztah všech vyšetřovaných parametrů k homeostatickým indexům a</w:t>
      </w:r>
      <w:r w:rsidR="00762125">
        <w:rPr>
          <w:rFonts w:ascii="Times New Roman" w:hAnsi="Times New Roman" w:cs="Times New Roman"/>
          <w:sz w:val="24"/>
          <w:szCs w:val="24"/>
        </w:rPr>
        <w:t> </w:t>
      </w:r>
      <w:r w:rsidRPr="00D71EDD">
        <w:rPr>
          <w:rFonts w:ascii="Times New Roman" w:hAnsi="Times New Roman" w:cs="Times New Roman"/>
          <w:sz w:val="24"/>
          <w:szCs w:val="24"/>
        </w:rPr>
        <w:t>následně detailněji vztah VAI a HOMA-IR. Všechny zkoumané numerické proměnné byly charakterizovány</w:t>
      </w:r>
      <w:r>
        <w:rPr>
          <w:rFonts w:ascii="Times New Roman" w:hAnsi="Times New Roman" w:cs="Times New Roman"/>
          <w:sz w:val="24"/>
          <w:szCs w:val="24"/>
        </w:rPr>
        <w:t xml:space="preserve"> popisnou statistikou s určením</w:t>
      </w:r>
      <w:r w:rsidRPr="00D71EDD">
        <w:rPr>
          <w:rFonts w:ascii="Times New Roman" w:hAnsi="Times New Roman" w:cs="Times New Roman"/>
          <w:sz w:val="24"/>
          <w:szCs w:val="24"/>
        </w:rPr>
        <w:t xml:space="preserve"> statistické významnosti rozdílů proměnných mezi</w:t>
      </w:r>
      <w:r>
        <w:rPr>
          <w:rFonts w:ascii="Times New Roman" w:hAnsi="Times New Roman" w:cs="Times New Roman"/>
          <w:sz w:val="24"/>
          <w:szCs w:val="24"/>
        </w:rPr>
        <w:t xml:space="preserve"> stanovenými</w:t>
      </w:r>
      <w:r w:rsidRPr="00D71EDD">
        <w:rPr>
          <w:rFonts w:ascii="Times New Roman" w:hAnsi="Times New Roman" w:cs="Times New Roman"/>
          <w:sz w:val="24"/>
          <w:szCs w:val="24"/>
        </w:rPr>
        <w:t xml:space="preserve"> skupinami. Korelace vybraných proměnných byly kvantifikovány pomocí korelačních koeficientů zvolených dle normálnosti rozložení dat s</w:t>
      </w:r>
      <w:r w:rsidR="00762125">
        <w:rPr>
          <w:rFonts w:ascii="Times New Roman" w:hAnsi="Times New Roman" w:cs="Times New Roman"/>
          <w:sz w:val="24"/>
          <w:szCs w:val="24"/>
        </w:rPr>
        <w:t> </w:t>
      </w:r>
      <w:r w:rsidRPr="00D71EDD">
        <w:rPr>
          <w:rFonts w:ascii="Times New Roman" w:hAnsi="Times New Roman" w:cs="Times New Roman"/>
          <w:sz w:val="24"/>
          <w:szCs w:val="24"/>
        </w:rPr>
        <w:t xml:space="preserve">uvedením hladiny významnosti. Metodami regresní analýzy byly zkoumány vztahy </w:t>
      </w:r>
      <w:r w:rsidRPr="00D71EDD">
        <w:rPr>
          <w:rFonts w:ascii="Times New Roman" w:hAnsi="Times New Roman" w:cs="Times New Roman"/>
          <w:sz w:val="24"/>
          <w:szCs w:val="24"/>
        </w:rPr>
        <w:lastRenderedPageBreak/>
        <w:t>vyšetřovaných parametrů, včetně VAI a AIP, jakožto regresorů závisle proměnných HOMA-IR a HOMA-β. Hladina statistické významnosti (p) byla stanovena na 0,05.</w:t>
      </w:r>
    </w:p>
    <w:p w:rsidR="005506E7" w:rsidRPr="00D71EDD" w:rsidRDefault="005506E7" w:rsidP="00ED71F8">
      <w:pPr>
        <w:spacing w:line="360" w:lineRule="auto"/>
        <w:jc w:val="both"/>
        <w:rPr>
          <w:rFonts w:ascii="Times New Roman" w:hAnsi="Times New Roman" w:cs="Times New Roman"/>
          <w:sz w:val="24"/>
          <w:szCs w:val="24"/>
        </w:rPr>
      </w:pPr>
      <w:r w:rsidRPr="00D71EDD">
        <w:rPr>
          <w:rFonts w:ascii="Times New Roman" w:hAnsi="Times New Roman" w:cs="Times New Roman"/>
          <w:b/>
          <w:sz w:val="24"/>
          <w:szCs w:val="24"/>
        </w:rPr>
        <w:t>Výsledky</w:t>
      </w:r>
      <w:r>
        <w:rPr>
          <w:rFonts w:ascii="Times New Roman" w:hAnsi="Times New Roman" w:cs="Times New Roman"/>
          <w:b/>
          <w:sz w:val="24"/>
          <w:szCs w:val="24"/>
        </w:rPr>
        <w:t>:</w:t>
      </w:r>
      <w:r w:rsidRPr="00D71EDD">
        <w:rPr>
          <w:rFonts w:ascii="Times New Roman" w:hAnsi="Times New Roman" w:cs="Times New Roman"/>
          <w:sz w:val="24"/>
          <w:szCs w:val="24"/>
        </w:rPr>
        <w:t xml:space="preserve"> Některé běžně stanovované antropometrické a laboratorní para</w:t>
      </w:r>
      <w:r>
        <w:rPr>
          <w:rFonts w:ascii="Times New Roman" w:hAnsi="Times New Roman" w:cs="Times New Roman"/>
          <w:sz w:val="24"/>
          <w:szCs w:val="24"/>
        </w:rPr>
        <w:t>metry vykazovaly</w:t>
      </w:r>
      <w:r w:rsidRPr="00D71EDD">
        <w:rPr>
          <w:rFonts w:ascii="Times New Roman" w:hAnsi="Times New Roman" w:cs="Times New Roman"/>
          <w:sz w:val="24"/>
          <w:szCs w:val="24"/>
        </w:rPr>
        <w:t xml:space="preserve"> významné asociace k homeostatickým indexům. Ve dvou provedených modelech bylo zaznamenáno několik statisticky významných středně silných korelací homeostatických indexů, popř. samotné inzulinémie, a to zejména s</w:t>
      </w:r>
      <w:r>
        <w:rPr>
          <w:rFonts w:ascii="Times New Roman" w:hAnsi="Times New Roman" w:cs="Times New Roman"/>
          <w:sz w:val="24"/>
          <w:szCs w:val="24"/>
        </w:rPr>
        <w:t> obvodem pasu</w:t>
      </w:r>
      <w:r w:rsidRPr="00D71EDD">
        <w:rPr>
          <w:rFonts w:ascii="Times New Roman" w:hAnsi="Times New Roman" w:cs="Times New Roman"/>
          <w:sz w:val="24"/>
          <w:szCs w:val="24"/>
        </w:rPr>
        <w:t> </w:t>
      </w:r>
      <w:r>
        <w:rPr>
          <w:rFonts w:ascii="Times New Roman" w:hAnsi="Times New Roman" w:cs="Times New Roman"/>
          <w:sz w:val="24"/>
          <w:szCs w:val="24"/>
        </w:rPr>
        <w:t>(</w:t>
      </w:r>
      <w:r w:rsidRPr="00D71EDD">
        <w:rPr>
          <w:rFonts w:ascii="Times New Roman" w:hAnsi="Times New Roman" w:cs="Times New Roman"/>
          <w:sz w:val="24"/>
          <w:szCs w:val="24"/>
        </w:rPr>
        <w:t>OP</w:t>
      </w:r>
      <w:r>
        <w:rPr>
          <w:rFonts w:ascii="Times New Roman" w:hAnsi="Times New Roman" w:cs="Times New Roman"/>
          <w:sz w:val="24"/>
          <w:szCs w:val="24"/>
        </w:rPr>
        <w:t>)</w:t>
      </w:r>
      <w:r w:rsidRPr="00D71EDD">
        <w:rPr>
          <w:rFonts w:ascii="Times New Roman" w:hAnsi="Times New Roman" w:cs="Times New Roman"/>
          <w:sz w:val="24"/>
          <w:szCs w:val="24"/>
        </w:rPr>
        <w:t xml:space="preserve">, body mass indexem, </w:t>
      </w:r>
      <w:r>
        <w:rPr>
          <w:rFonts w:ascii="Times New Roman" w:hAnsi="Times New Roman" w:cs="Times New Roman"/>
          <w:sz w:val="24"/>
          <w:szCs w:val="24"/>
        </w:rPr>
        <w:t>ALT, AST</w:t>
      </w:r>
      <w:r w:rsidRPr="00D71EDD">
        <w:rPr>
          <w:rFonts w:ascii="Times New Roman" w:hAnsi="Times New Roman" w:cs="Times New Roman"/>
          <w:sz w:val="24"/>
          <w:szCs w:val="24"/>
        </w:rPr>
        <w:t xml:space="preserve"> a VAI. Většina sledovaných parametrů vykazovala silnější korelace s hodnotami inzulinémie než glykémie. Regresní analýza ukázala, že významnými prediktory HOMA-IR jsou </w:t>
      </w:r>
      <w:r>
        <w:rPr>
          <w:rFonts w:ascii="Times New Roman" w:hAnsi="Times New Roman" w:cs="Times New Roman"/>
          <w:sz w:val="24"/>
          <w:szCs w:val="24"/>
        </w:rPr>
        <w:t xml:space="preserve">3 parametry: </w:t>
      </w:r>
      <w:r w:rsidRPr="00D71EDD">
        <w:rPr>
          <w:rFonts w:ascii="Times New Roman" w:hAnsi="Times New Roman" w:cs="Times New Roman"/>
          <w:sz w:val="24"/>
          <w:szCs w:val="24"/>
        </w:rPr>
        <w:t xml:space="preserve">OP, </w:t>
      </w:r>
      <w:r>
        <w:rPr>
          <w:rFonts w:ascii="Times New Roman" w:hAnsi="Times New Roman" w:cs="Times New Roman"/>
          <w:sz w:val="24"/>
          <w:szCs w:val="24"/>
        </w:rPr>
        <w:t>ALT</w:t>
      </w:r>
      <w:r w:rsidRPr="00D71EDD">
        <w:rPr>
          <w:rFonts w:ascii="Times New Roman" w:hAnsi="Times New Roman" w:cs="Times New Roman"/>
          <w:sz w:val="24"/>
          <w:szCs w:val="24"/>
        </w:rPr>
        <w:t xml:space="preserve"> a systolický TK. Pro index HOMA-β se jako statisticky významný prediktor ukázal OP, ALT a na rozdíl od indexu HOMA-IR byl statisticky významný i výsledek pro jeho inverzní závislost na věku. Vzroste-li OP o jednotku, vzroste HOMA-IR průměrně o 0,1 (p &lt; 0,001) a HOMA-β o</w:t>
      </w:r>
      <w:r w:rsidR="00762125">
        <w:rPr>
          <w:rFonts w:ascii="Times New Roman" w:hAnsi="Times New Roman" w:cs="Times New Roman"/>
          <w:sz w:val="24"/>
          <w:szCs w:val="24"/>
        </w:rPr>
        <w:t> </w:t>
      </w:r>
      <w:r w:rsidRPr="00D71EDD">
        <w:rPr>
          <w:rFonts w:ascii="Times New Roman" w:hAnsi="Times New Roman" w:cs="Times New Roman"/>
          <w:sz w:val="24"/>
          <w:szCs w:val="24"/>
        </w:rPr>
        <w:t>1,97 (p = 0,032). Stoupne-li ALT o</w:t>
      </w:r>
      <w:r w:rsidR="00BB3FFF">
        <w:rPr>
          <w:rFonts w:ascii="Times New Roman" w:hAnsi="Times New Roman" w:cs="Times New Roman"/>
          <w:sz w:val="24"/>
          <w:szCs w:val="24"/>
        </w:rPr>
        <w:t> </w:t>
      </w:r>
      <w:r w:rsidRPr="00D71EDD">
        <w:rPr>
          <w:rFonts w:ascii="Times New Roman" w:hAnsi="Times New Roman" w:cs="Times New Roman"/>
          <w:sz w:val="24"/>
          <w:szCs w:val="24"/>
        </w:rPr>
        <w:t>jednotku, HOMA-IR se zvětší o 2,28 (p &lt; 0,001) a</w:t>
      </w:r>
      <w:r w:rsidR="00762125">
        <w:rPr>
          <w:rFonts w:ascii="Times New Roman" w:hAnsi="Times New Roman" w:cs="Times New Roman"/>
          <w:sz w:val="24"/>
          <w:szCs w:val="24"/>
        </w:rPr>
        <w:t> </w:t>
      </w:r>
      <w:r w:rsidRPr="00D71EDD">
        <w:rPr>
          <w:rFonts w:ascii="Times New Roman" w:hAnsi="Times New Roman" w:cs="Times New Roman"/>
          <w:sz w:val="24"/>
          <w:szCs w:val="24"/>
        </w:rPr>
        <w:t xml:space="preserve">HOMA-β o 99,49 (p = 0,004). Se změnou systolického TK o jednotku se HOMA-IR změní o 0,04 (p &lt; 0,001). S každým </w:t>
      </w:r>
      <w:r>
        <w:rPr>
          <w:rFonts w:ascii="Times New Roman" w:hAnsi="Times New Roman" w:cs="Times New Roman"/>
          <w:sz w:val="24"/>
          <w:szCs w:val="24"/>
        </w:rPr>
        <w:t xml:space="preserve">přibývajícím </w:t>
      </w:r>
      <w:r w:rsidRPr="00D71EDD">
        <w:rPr>
          <w:rFonts w:ascii="Times New Roman" w:hAnsi="Times New Roman" w:cs="Times New Roman"/>
          <w:sz w:val="24"/>
          <w:szCs w:val="24"/>
        </w:rPr>
        <w:t>rokem věku klesne HOMA-β průměrně o</w:t>
      </w:r>
      <w:r w:rsidR="00762125">
        <w:rPr>
          <w:rFonts w:ascii="Times New Roman" w:hAnsi="Times New Roman" w:cs="Times New Roman"/>
          <w:sz w:val="24"/>
          <w:szCs w:val="24"/>
        </w:rPr>
        <w:t> </w:t>
      </w:r>
      <w:r w:rsidRPr="00D71EDD">
        <w:rPr>
          <w:rFonts w:ascii="Times New Roman" w:hAnsi="Times New Roman" w:cs="Times New Roman"/>
          <w:sz w:val="24"/>
          <w:szCs w:val="24"/>
        </w:rPr>
        <w:t>1,31 (p = 0,004). Prediktivní schopnost VAI ve vztahu k indexu HOMA-IR prokázána nebyla</w:t>
      </w:r>
      <w:r>
        <w:rPr>
          <w:rFonts w:ascii="Times New Roman" w:hAnsi="Times New Roman" w:cs="Times New Roman"/>
          <w:sz w:val="24"/>
          <w:szCs w:val="24"/>
        </w:rPr>
        <w:t xml:space="preserve"> i přes existenci statisticky významných korelací</w:t>
      </w:r>
      <w:r w:rsidRPr="00D71EDD">
        <w:rPr>
          <w:rFonts w:ascii="Times New Roman" w:hAnsi="Times New Roman" w:cs="Times New Roman"/>
          <w:sz w:val="24"/>
          <w:szCs w:val="24"/>
        </w:rPr>
        <w:t>. Avšak vysoké hodnoty senzitivity a specificity hraničních b</w:t>
      </w:r>
      <w:r>
        <w:rPr>
          <w:rFonts w:ascii="Times New Roman" w:hAnsi="Times New Roman" w:cs="Times New Roman"/>
          <w:sz w:val="24"/>
          <w:szCs w:val="24"/>
        </w:rPr>
        <w:t>odů VAI signalizujících jak metabolický syndrom</w:t>
      </w:r>
      <w:r w:rsidRPr="00D71EDD">
        <w:rPr>
          <w:rFonts w:ascii="Times New Roman" w:hAnsi="Times New Roman" w:cs="Times New Roman"/>
          <w:sz w:val="24"/>
          <w:szCs w:val="24"/>
        </w:rPr>
        <w:t xml:space="preserve">, tak určité hodnoty HOMA-IR naznačují potenciál VAI </w:t>
      </w:r>
      <w:r>
        <w:rPr>
          <w:rFonts w:ascii="Times New Roman" w:hAnsi="Times New Roman" w:cs="Times New Roman"/>
          <w:sz w:val="24"/>
          <w:szCs w:val="24"/>
        </w:rPr>
        <w:t>významně</w:t>
      </w:r>
      <w:r w:rsidRPr="00D71EDD">
        <w:rPr>
          <w:rFonts w:ascii="Times New Roman" w:hAnsi="Times New Roman" w:cs="Times New Roman"/>
          <w:sz w:val="24"/>
          <w:szCs w:val="24"/>
        </w:rPr>
        <w:t xml:space="preserve"> odrážet dysfunkci tukové tkáně a</w:t>
      </w:r>
      <w:r w:rsidR="00762125">
        <w:rPr>
          <w:rFonts w:ascii="Times New Roman" w:hAnsi="Times New Roman" w:cs="Times New Roman"/>
          <w:sz w:val="24"/>
          <w:szCs w:val="24"/>
        </w:rPr>
        <w:t> </w:t>
      </w:r>
      <w:r w:rsidRPr="00D71EDD">
        <w:rPr>
          <w:rFonts w:ascii="Times New Roman" w:hAnsi="Times New Roman" w:cs="Times New Roman"/>
          <w:sz w:val="24"/>
          <w:szCs w:val="24"/>
        </w:rPr>
        <w:t>s ní spojené kardiometabolické riziko. Výsledky jsou platné pro evropskou populaci středního věku.</w:t>
      </w:r>
    </w:p>
    <w:p w:rsidR="000615A4" w:rsidRDefault="005506E7" w:rsidP="005506E7">
      <w:pPr>
        <w:spacing w:line="360" w:lineRule="auto"/>
        <w:jc w:val="both"/>
        <w:rPr>
          <w:rFonts w:ascii="Times New Roman" w:hAnsi="Times New Roman" w:cs="Times New Roman"/>
          <w:sz w:val="24"/>
          <w:szCs w:val="24"/>
        </w:rPr>
      </w:pPr>
      <w:r w:rsidRPr="00D71EDD">
        <w:rPr>
          <w:rFonts w:ascii="Times New Roman" w:hAnsi="Times New Roman" w:cs="Times New Roman"/>
          <w:b/>
          <w:sz w:val="24"/>
          <w:szCs w:val="24"/>
        </w:rPr>
        <w:t>Závěr:</w:t>
      </w:r>
      <w:r w:rsidRPr="00D71EDD">
        <w:rPr>
          <w:rFonts w:ascii="Times New Roman" w:hAnsi="Times New Roman" w:cs="Times New Roman"/>
          <w:sz w:val="24"/>
          <w:szCs w:val="24"/>
        </w:rPr>
        <w:t xml:space="preserve"> Cílené zhodnocení jmenovaných parametrů může sloužit k časnému odhadu úrovně IR bez nutnosti analýzy hladiny inzulínu. Zejména prediktivní schopnost OP by pro absolutní nenáročnost jeho stanovení neměla být podceňována. Po dalším ověření se mohou tato zjištění stát užitečným preventivním nástrojem, zvláště v primární zdravotní péči.</w:t>
      </w:r>
    </w:p>
    <w:p w:rsidR="000615A4" w:rsidRDefault="000615A4">
      <w:pPr>
        <w:rPr>
          <w:rFonts w:ascii="Times New Roman" w:hAnsi="Times New Roman" w:cs="Times New Roman"/>
          <w:sz w:val="24"/>
          <w:szCs w:val="24"/>
        </w:rPr>
      </w:pPr>
      <w:r>
        <w:rPr>
          <w:rFonts w:ascii="Times New Roman" w:hAnsi="Times New Roman" w:cs="Times New Roman"/>
          <w:sz w:val="24"/>
          <w:szCs w:val="24"/>
        </w:rPr>
        <w:br w:type="page"/>
      </w:r>
    </w:p>
    <w:p w:rsidR="005506E7" w:rsidRPr="009638D2" w:rsidRDefault="005506E7" w:rsidP="0021164F">
      <w:pPr>
        <w:spacing w:after="340" w:line="360" w:lineRule="auto"/>
        <w:jc w:val="both"/>
        <w:rPr>
          <w:rFonts w:ascii="Times New Roman" w:hAnsi="Times New Roman" w:cs="Times New Roman"/>
          <w:b/>
          <w:caps/>
          <w:sz w:val="32"/>
          <w:szCs w:val="32"/>
          <w:lang w:val="en-US"/>
        </w:rPr>
      </w:pPr>
      <w:r w:rsidRPr="009638D2">
        <w:rPr>
          <w:rFonts w:ascii="Times New Roman" w:hAnsi="Times New Roman" w:cs="Times New Roman"/>
          <w:b/>
          <w:caps/>
          <w:sz w:val="32"/>
          <w:szCs w:val="32"/>
          <w:lang w:val="en-US"/>
        </w:rPr>
        <w:lastRenderedPageBreak/>
        <w:t>Abstract</w:t>
      </w:r>
    </w:p>
    <w:p w:rsidR="005506E7" w:rsidRDefault="005506E7" w:rsidP="00924DD1">
      <w:pPr>
        <w:spacing w:after="0" w:line="360" w:lineRule="auto"/>
        <w:jc w:val="both"/>
        <w:rPr>
          <w:rFonts w:ascii="Times New Roman" w:hAnsi="Times New Roman" w:cs="Times New Roman"/>
          <w:sz w:val="24"/>
          <w:szCs w:val="24"/>
          <w:lang w:val="en-US"/>
        </w:rPr>
      </w:pPr>
      <w:r w:rsidRPr="009C282C">
        <w:rPr>
          <w:rFonts w:ascii="Times New Roman" w:hAnsi="Times New Roman" w:cs="Times New Roman"/>
          <w:b/>
          <w:sz w:val="24"/>
          <w:szCs w:val="24"/>
          <w:lang w:val="en-US"/>
        </w:rPr>
        <w:t>Introduction:</w:t>
      </w:r>
      <w:r w:rsidRPr="009C282C">
        <w:t xml:space="preserve"> </w:t>
      </w:r>
      <w:r w:rsidRPr="009C282C">
        <w:rPr>
          <w:rFonts w:ascii="Times New Roman" w:hAnsi="Times New Roman" w:cs="Times New Roman"/>
          <w:sz w:val="24"/>
          <w:szCs w:val="24"/>
          <w:lang w:val="en-US"/>
        </w:rPr>
        <w:t>Chronic non-infectious diseases are the most common cause of death worldwide and are largely preventable in most cases. Therefore, there is increasing pressure to develop affordable and effective prevention tools. Although it is a</w:t>
      </w:r>
      <w:r w:rsidR="00762125">
        <w:rPr>
          <w:rFonts w:ascii="Times New Roman" w:hAnsi="Times New Roman" w:cs="Times New Roman"/>
          <w:sz w:val="24"/>
          <w:szCs w:val="24"/>
          <w:lang w:val="en-US"/>
        </w:rPr>
        <w:t> </w:t>
      </w:r>
      <w:r w:rsidRPr="009C282C">
        <w:rPr>
          <w:rFonts w:ascii="Times New Roman" w:hAnsi="Times New Roman" w:cs="Times New Roman"/>
          <w:sz w:val="24"/>
          <w:szCs w:val="24"/>
          <w:lang w:val="en-US"/>
        </w:rPr>
        <w:t>heterogeneous g</w:t>
      </w:r>
      <w:r>
        <w:rPr>
          <w:rFonts w:ascii="Times New Roman" w:hAnsi="Times New Roman" w:cs="Times New Roman"/>
          <w:sz w:val="24"/>
          <w:szCs w:val="24"/>
          <w:lang w:val="en-US"/>
        </w:rPr>
        <w:t>roup of clinical entities</w:t>
      </w:r>
      <w:r w:rsidR="009D7A76">
        <w:rPr>
          <w:rFonts w:ascii="Times New Roman" w:hAnsi="Times New Roman" w:cs="Times New Roman"/>
          <w:sz w:val="24"/>
          <w:szCs w:val="24"/>
          <w:lang w:val="en-US"/>
        </w:rPr>
        <w:t>, their pathogenesis is greatl</w:t>
      </w:r>
      <w:r w:rsidRPr="009C282C">
        <w:rPr>
          <w:rFonts w:ascii="Times New Roman" w:hAnsi="Times New Roman" w:cs="Times New Roman"/>
          <w:sz w:val="24"/>
          <w:szCs w:val="24"/>
          <w:lang w:val="en-US"/>
        </w:rPr>
        <w:t>y interconnected. Insulin resistance (IR) plays an important role in the development of not only glucose metabolism disorders. One of the possibilities of IR determination is homeostatic indices, most often represented by the homeostasis model assessment of IR (HOMA-IR) index reflecting the level of tissue IR.</w:t>
      </w:r>
      <w:r>
        <w:rPr>
          <w:rFonts w:ascii="Times New Roman" w:hAnsi="Times New Roman" w:cs="Times New Roman"/>
          <w:sz w:val="24"/>
          <w:szCs w:val="24"/>
          <w:lang w:val="en-US"/>
        </w:rPr>
        <w:t xml:space="preserve"> The index</w:t>
      </w:r>
      <w:r w:rsidRPr="009C282C">
        <w:rPr>
          <w:rFonts w:ascii="Times New Roman" w:hAnsi="Times New Roman" w:cs="Times New Roman"/>
          <w:sz w:val="24"/>
          <w:szCs w:val="24"/>
          <w:lang w:val="en-US"/>
        </w:rPr>
        <w:t xml:space="preserve"> </w:t>
      </w:r>
      <w:r>
        <w:rPr>
          <w:rFonts w:ascii="Times New Roman" w:hAnsi="Times New Roman" w:cs="Times New Roman"/>
          <w:sz w:val="24"/>
          <w:szCs w:val="24"/>
          <w:lang w:val="en-US"/>
        </w:rPr>
        <w:t>HOMA-β</w:t>
      </w:r>
      <w:r w:rsidRPr="009C282C">
        <w:rPr>
          <w:rFonts w:ascii="Times New Roman" w:hAnsi="Times New Roman" w:cs="Times New Roman"/>
          <w:sz w:val="24"/>
          <w:szCs w:val="24"/>
          <w:lang w:val="en-US"/>
        </w:rPr>
        <w:t xml:space="preserve"> reflects insulin secretion by the pancreas. </w:t>
      </w:r>
      <w:r w:rsidR="00D0001F" w:rsidRPr="00D0001F">
        <w:rPr>
          <w:rFonts w:ascii="Times New Roman" w:hAnsi="Times New Roman" w:cs="Times New Roman"/>
          <w:sz w:val="24"/>
          <w:szCs w:val="24"/>
          <w:lang w:val="en-US"/>
        </w:rPr>
        <w:t>Fasting insulinemia analysis is necessary to determine a value of HOMA-IR, but its costs prevent the generalized use of homeostatic indices in the early detection of patients at risk s</w:t>
      </w:r>
      <w:r w:rsidR="00D0001F">
        <w:rPr>
          <w:rFonts w:ascii="Times New Roman" w:hAnsi="Times New Roman" w:cs="Times New Roman"/>
          <w:sz w:val="24"/>
          <w:szCs w:val="24"/>
          <w:lang w:val="en-US"/>
        </w:rPr>
        <w:t>uitable for further intervetion</w:t>
      </w:r>
      <w:r w:rsidRPr="009C282C">
        <w:rPr>
          <w:rFonts w:ascii="Times New Roman" w:hAnsi="Times New Roman" w:cs="Times New Roman"/>
          <w:sz w:val="24"/>
          <w:szCs w:val="24"/>
          <w:lang w:val="en-US"/>
        </w:rPr>
        <w:t>. The</w:t>
      </w:r>
      <w:r>
        <w:rPr>
          <w:rFonts w:ascii="Times New Roman" w:hAnsi="Times New Roman" w:cs="Times New Roman"/>
          <w:sz w:val="24"/>
          <w:szCs w:val="24"/>
          <w:lang w:val="en-US"/>
        </w:rPr>
        <w:t xml:space="preserve"> aim of the study was to assess</w:t>
      </w:r>
      <w:r w:rsidRPr="009C282C">
        <w:rPr>
          <w:rFonts w:ascii="Times New Roman" w:hAnsi="Times New Roman" w:cs="Times New Roman"/>
          <w:sz w:val="24"/>
          <w:szCs w:val="24"/>
          <w:lang w:val="en-US"/>
        </w:rPr>
        <w:t xml:space="preserve"> the relationship of common anthropometric and biochemical parameters, including some predict</w:t>
      </w:r>
      <w:r>
        <w:rPr>
          <w:rFonts w:ascii="Times New Roman" w:hAnsi="Times New Roman" w:cs="Times New Roman"/>
          <w:sz w:val="24"/>
          <w:szCs w:val="24"/>
          <w:lang w:val="en-US"/>
        </w:rPr>
        <w:t>ive models (visceral adiposity</w:t>
      </w:r>
      <w:r w:rsidRPr="009C282C">
        <w:rPr>
          <w:rFonts w:ascii="Times New Roman" w:hAnsi="Times New Roman" w:cs="Times New Roman"/>
          <w:sz w:val="24"/>
          <w:szCs w:val="24"/>
          <w:lang w:val="en-US"/>
        </w:rPr>
        <w:t xml:space="preserve"> index [VAI], atherogenic index of plasma [AIP]), </w:t>
      </w:r>
      <w:r>
        <w:rPr>
          <w:rFonts w:ascii="Times New Roman" w:hAnsi="Times New Roman" w:cs="Times New Roman"/>
          <w:sz w:val="24"/>
          <w:szCs w:val="24"/>
          <w:lang w:val="en-US"/>
        </w:rPr>
        <w:t>with</w:t>
      </w:r>
      <w:r w:rsidRPr="009C282C">
        <w:rPr>
          <w:rFonts w:ascii="Times New Roman" w:hAnsi="Times New Roman" w:cs="Times New Roman"/>
          <w:sz w:val="24"/>
          <w:szCs w:val="24"/>
          <w:lang w:val="en-US"/>
        </w:rPr>
        <w:t xml:space="preserve"> homeostatic indices, esp</w:t>
      </w:r>
      <w:r>
        <w:rPr>
          <w:rFonts w:ascii="Times New Roman" w:hAnsi="Times New Roman" w:cs="Times New Roman"/>
          <w:sz w:val="24"/>
          <w:szCs w:val="24"/>
          <w:lang w:val="en-US"/>
        </w:rPr>
        <w:t>ecially HOMA-IR, and to assess</w:t>
      </w:r>
      <w:r w:rsidRPr="009C282C">
        <w:rPr>
          <w:rFonts w:ascii="Times New Roman" w:hAnsi="Times New Roman" w:cs="Times New Roman"/>
          <w:sz w:val="24"/>
          <w:szCs w:val="24"/>
          <w:lang w:val="en-US"/>
        </w:rPr>
        <w:t xml:space="preserve"> t</w:t>
      </w:r>
      <w:r>
        <w:rPr>
          <w:rFonts w:ascii="Times New Roman" w:hAnsi="Times New Roman" w:cs="Times New Roman"/>
          <w:sz w:val="24"/>
          <w:szCs w:val="24"/>
          <w:lang w:val="en-US"/>
        </w:rPr>
        <w:t xml:space="preserve">he possibility </w:t>
      </w:r>
      <w:r w:rsidRPr="009C282C">
        <w:rPr>
          <w:rFonts w:ascii="Times New Roman" w:hAnsi="Times New Roman" w:cs="Times New Roman"/>
          <w:sz w:val="24"/>
          <w:szCs w:val="24"/>
          <w:lang w:val="en-US"/>
        </w:rPr>
        <w:t xml:space="preserve">of determining the IR level without the need for </w:t>
      </w:r>
      <w:r>
        <w:rPr>
          <w:rFonts w:ascii="Times New Roman" w:hAnsi="Times New Roman" w:cs="Times New Roman"/>
          <w:sz w:val="24"/>
          <w:szCs w:val="24"/>
          <w:lang w:val="en-US"/>
        </w:rPr>
        <w:t>insulin</w:t>
      </w:r>
      <w:r w:rsidRPr="009C282C">
        <w:rPr>
          <w:rFonts w:ascii="Times New Roman" w:hAnsi="Times New Roman" w:cs="Times New Roman"/>
          <w:sz w:val="24"/>
          <w:szCs w:val="24"/>
          <w:lang w:val="en-US"/>
        </w:rPr>
        <w:t xml:space="preserve"> analysis.</w:t>
      </w:r>
    </w:p>
    <w:p w:rsidR="005506E7" w:rsidRDefault="005506E7" w:rsidP="00F80C90">
      <w:pPr>
        <w:spacing w:before="160" w:after="0" w:line="360" w:lineRule="auto"/>
        <w:jc w:val="both"/>
        <w:rPr>
          <w:rFonts w:ascii="Times New Roman" w:hAnsi="Times New Roman" w:cs="Times New Roman"/>
          <w:sz w:val="24"/>
          <w:szCs w:val="24"/>
          <w:lang w:val="en-US"/>
        </w:rPr>
      </w:pPr>
      <w:r w:rsidRPr="009C282C">
        <w:rPr>
          <w:rFonts w:ascii="Times New Roman" w:hAnsi="Times New Roman" w:cs="Times New Roman"/>
          <w:b/>
          <w:sz w:val="24"/>
          <w:szCs w:val="24"/>
          <w:lang w:val="en-US"/>
        </w:rPr>
        <w:t>Methods:</w:t>
      </w:r>
      <w:r>
        <w:rPr>
          <w:rFonts w:ascii="Times New Roman" w:hAnsi="Times New Roman" w:cs="Times New Roman"/>
          <w:sz w:val="24"/>
          <w:szCs w:val="24"/>
          <w:lang w:val="en-US"/>
        </w:rPr>
        <w:t xml:space="preserve"> In order to achieve the</w:t>
      </w:r>
      <w:r w:rsidRPr="009C282C">
        <w:rPr>
          <w:rFonts w:ascii="Times New Roman" w:hAnsi="Times New Roman" w:cs="Times New Roman"/>
          <w:sz w:val="24"/>
          <w:szCs w:val="24"/>
          <w:lang w:val="en-US"/>
        </w:rPr>
        <w:t xml:space="preserve"> </w:t>
      </w:r>
      <w:r>
        <w:rPr>
          <w:rFonts w:ascii="Times New Roman" w:hAnsi="Times New Roman" w:cs="Times New Roman"/>
          <w:sz w:val="24"/>
          <w:szCs w:val="24"/>
          <w:lang w:val="en-US"/>
        </w:rPr>
        <w:t>aim</w:t>
      </w:r>
      <w:r w:rsidRPr="009C282C">
        <w:rPr>
          <w:rFonts w:ascii="Times New Roman" w:hAnsi="Times New Roman" w:cs="Times New Roman"/>
          <w:sz w:val="24"/>
          <w:szCs w:val="24"/>
          <w:lang w:val="en-US"/>
        </w:rPr>
        <w:t xml:space="preserve">, a </w:t>
      </w:r>
      <w:r>
        <w:rPr>
          <w:rFonts w:ascii="Times New Roman" w:hAnsi="Times New Roman" w:cs="Times New Roman"/>
          <w:sz w:val="24"/>
          <w:szCs w:val="24"/>
          <w:lang w:val="en-US"/>
        </w:rPr>
        <w:t>sample</w:t>
      </w:r>
      <w:r w:rsidRPr="009C282C">
        <w:rPr>
          <w:rFonts w:ascii="Times New Roman" w:hAnsi="Times New Roman" w:cs="Times New Roman"/>
          <w:sz w:val="24"/>
          <w:szCs w:val="24"/>
          <w:lang w:val="en-US"/>
        </w:rPr>
        <w:t xml:space="preserve"> of 188 individuals was created in tw</w:t>
      </w:r>
      <w:r>
        <w:rPr>
          <w:rFonts w:ascii="Times New Roman" w:hAnsi="Times New Roman" w:cs="Times New Roman"/>
          <w:sz w:val="24"/>
          <w:szCs w:val="24"/>
          <w:lang w:val="en-US"/>
        </w:rPr>
        <w:t>o general practitioners' office</w:t>
      </w:r>
      <w:r w:rsidRPr="009C282C">
        <w:rPr>
          <w:rFonts w:ascii="Times New Roman" w:hAnsi="Times New Roman" w:cs="Times New Roman"/>
          <w:sz w:val="24"/>
          <w:szCs w:val="24"/>
          <w:lang w:val="en-US"/>
        </w:rPr>
        <w:t xml:space="preserve">s in </w:t>
      </w:r>
      <w:r>
        <w:rPr>
          <w:rFonts w:ascii="Times New Roman" w:hAnsi="Times New Roman" w:cs="Times New Roman"/>
          <w:sz w:val="24"/>
          <w:szCs w:val="24"/>
          <w:lang w:val="en-US"/>
        </w:rPr>
        <w:t>Pardubice r</w:t>
      </w:r>
      <w:r w:rsidRPr="009C282C">
        <w:rPr>
          <w:rFonts w:ascii="Times New Roman" w:hAnsi="Times New Roman" w:cs="Times New Roman"/>
          <w:sz w:val="24"/>
          <w:szCs w:val="24"/>
          <w:lang w:val="en-US"/>
        </w:rPr>
        <w:t>egion. Laboratory analyzes were performed under standard conditions and at the same time basic anthropometric</w:t>
      </w:r>
      <w:r>
        <w:rPr>
          <w:rFonts w:ascii="Times New Roman" w:hAnsi="Times New Roman" w:cs="Times New Roman"/>
          <w:sz w:val="24"/>
          <w:szCs w:val="24"/>
          <w:lang w:val="en-US"/>
        </w:rPr>
        <w:t xml:space="preserve"> parameters</w:t>
      </w:r>
      <w:r w:rsidRPr="009C282C">
        <w:rPr>
          <w:rFonts w:ascii="Times New Roman" w:hAnsi="Times New Roman" w:cs="Times New Roman"/>
          <w:sz w:val="24"/>
          <w:szCs w:val="24"/>
          <w:lang w:val="en-US"/>
        </w:rPr>
        <w:t xml:space="preserve"> and blood pressure (BP) were measured. </w:t>
      </w:r>
      <w:r w:rsidR="005753C3" w:rsidRPr="005753C3">
        <w:rPr>
          <w:rFonts w:ascii="Times New Roman" w:hAnsi="Times New Roman" w:cs="Times New Roman"/>
          <w:sz w:val="24"/>
          <w:szCs w:val="24"/>
          <w:lang w:val="en-US"/>
        </w:rPr>
        <w:t>Laboratory analyzes included the determination of the following serum concentratio</w:t>
      </w:r>
      <w:r w:rsidR="00D6105E">
        <w:rPr>
          <w:rFonts w:ascii="Times New Roman" w:hAnsi="Times New Roman" w:cs="Times New Roman"/>
          <w:sz w:val="24"/>
          <w:szCs w:val="24"/>
          <w:lang w:val="en-US"/>
        </w:rPr>
        <w:t xml:space="preserve">ns: total cholesterol, </w:t>
      </w:r>
      <w:r w:rsidR="005753C3" w:rsidRPr="005753C3">
        <w:rPr>
          <w:rFonts w:ascii="Times New Roman" w:hAnsi="Times New Roman" w:cs="Times New Roman"/>
          <w:sz w:val="24"/>
          <w:szCs w:val="24"/>
          <w:lang w:val="en-US"/>
        </w:rPr>
        <w:t>low</w:t>
      </w:r>
      <w:r w:rsidR="00D6105E">
        <w:rPr>
          <w:rFonts w:ascii="Times New Roman" w:hAnsi="Times New Roman" w:cs="Times New Roman"/>
          <w:sz w:val="24"/>
          <w:szCs w:val="24"/>
          <w:lang w:val="en-US"/>
        </w:rPr>
        <w:t xml:space="preserve"> and high</w:t>
      </w:r>
      <w:r w:rsidR="005753C3" w:rsidRPr="005753C3">
        <w:rPr>
          <w:rFonts w:ascii="Times New Roman" w:hAnsi="Times New Roman" w:cs="Times New Roman"/>
          <w:sz w:val="24"/>
          <w:szCs w:val="24"/>
          <w:lang w:val="en-US"/>
        </w:rPr>
        <w:t xml:space="preserve"> density lipoproteins, triglycerides, </w:t>
      </w:r>
      <w:r w:rsidR="00D6105E" w:rsidRPr="005753C3">
        <w:rPr>
          <w:rFonts w:ascii="Times New Roman" w:hAnsi="Times New Roman" w:cs="Times New Roman"/>
          <w:sz w:val="24"/>
          <w:szCs w:val="24"/>
          <w:lang w:val="en-US"/>
        </w:rPr>
        <w:t>alanine aminotransferase (ALT), aspartate aminotransferase (AST)</w:t>
      </w:r>
      <w:r w:rsidR="00D6105E">
        <w:rPr>
          <w:rFonts w:ascii="Times New Roman" w:hAnsi="Times New Roman" w:cs="Times New Roman"/>
          <w:sz w:val="24"/>
          <w:szCs w:val="24"/>
          <w:lang w:val="en-US"/>
        </w:rPr>
        <w:t xml:space="preserve">, </w:t>
      </w:r>
      <w:r w:rsidR="005753C3" w:rsidRPr="005753C3">
        <w:rPr>
          <w:rFonts w:ascii="Times New Roman" w:hAnsi="Times New Roman" w:cs="Times New Roman"/>
          <w:sz w:val="24"/>
          <w:szCs w:val="24"/>
          <w:lang w:val="en-US"/>
        </w:rPr>
        <w:t xml:space="preserve">glucose, </w:t>
      </w:r>
      <w:r w:rsidR="00D6105E">
        <w:rPr>
          <w:rFonts w:ascii="Times New Roman" w:hAnsi="Times New Roman" w:cs="Times New Roman"/>
          <w:sz w:val="24"/>
          <w:szCs w:val="24"/>
          <w:lang w:val="en-US"/>
        </w:rPr>
        <w:t xml:space="preserve">insulin, </w:t>
      </w:r>
      <w:r w:rsidR="005753C3" w:rsidRPr="005753C3">
        <w:rPr>
          <w:rFonts w:ascii="Times New Roman" w:hAnsi="Times New Roman" w:cs="Times New Roman"/>
          <w:sz w:val="24"/>
          <w:szCs w:val="24"/>
          <w:lang w:val="en-US"/>
        </w:rPr>
        <w:t>uric acid and apolipoprotein B</w:t>
      </w:r>
      <w:r w:rsidRPr="009C282C">
        <w:rPr>
          <w:rFonts w:ascii="Times New Roman" w:hAnsi="Times New Roman" w:cs="Times New Roman"/>
          <w:sz w:val="24"/>
          <w:szCs w:val="24"/>
          <w:lang w:val="en-US"/>
        </w:rPr>
        <w:t xml:space="preserve">. </w:t>
      </w:r>
      <w:r w:rsidRPr="003F4EA9">
        <w:rPr>
          <w:rFonts w:ascii="Times New Roman" w:hAnsi="Times New Roman" w:cs="Times New Roman"/>
          <w:sz w:val="24"/>
          <w:szCs w:val="24"/>
          <w:lang w:val="en-US"/>
        </w:rPr>
        <w:t>The sample was subsequently extended by the same data of 687 persons obtained during the first visits to</w:t>
      </w:r>
      <w:r>
        <w:rPr>
          <w:rFonts w:ascii="Times New Roman" w:hAnsi="Times New Roman" w:cs="Times New Roman"/>
          <w:sz w:val="24"/>
          <w:szCs w:val="24"/>
          <w:lang w:val="en-US"/>
        </w:rPr>
        <w:t xml:space="preserve"> the metabolic outpatient office of 3</w:t>
      </w:r>
      <w:r w:rsidRPr="003F4EA9">
        <w:rPr>
          <w:rFonts w:ascii="Times New Roman" w:hAnsi="Times New Roman" w:cs="Times New Roman"/>
          <w:sz w:val="24"/>
          <w:szCs w:val="24"/>
          <w:vertAlign w:val="superscript"/>
          <w:lang w:val="en-US"/>
        </w:rPr>
        <w:t>th</w:t>
      </w:r>
      <w:r w:rsidRPr="003F4EA9">
        <w:rPr>
          <w:rFonts w:ascii="Times New Roman" w:hAnsi="Times New Roman" w:cs="Times New Roman"/>
          <w:sz w:val="24"/>
          <w:szCs w:val="24"/>
          <w:lang w:val="en-US"/>
        </w:rPr>
        <w:t xml:space="preserve"> Department of Internal Medicine, University Hospital Olomou</w:t>
      </w:r>
      <w:r>
        <w:rPr>
          <w:rFonts w:ascii="Times New Roman" w:hAnsi="Times New Roman" w:cs="Times New Roman"/>
          <w:sz w:val="24"/>
          <w:szCs w:val="24"/>
          <w:lang w:val="en-US"/>
        </w:rPr>
        <w:t>c. The analysis of the final</w:t>
      </w:r>
      <w:r w:rsidRPr="003F4EA9">
        <w:rPr>
          <w:rFonts w:ascii="Times New Roman" w:hAnsi="Times New Roman" w:cs="Times New Roman"/>
          <w:sz w:val="24"/>
          <w:szCs w:val="24"/>
          <w:lang w:val="en-US"/>
        </w:rPr>
        <w:t xml:space="preserve"> database w</w:t>
      </w:r>
      <w:r>
        <w:rPr>
          <w:rFonts w:ascii="Times New Roman" w:hAnsi="Times New Roman" w:cs="Times New Roman"/>
          <w:sz w:val="24"/>
          <w:szCs w:val="24"/>
          <w:lang w:val="en-US"/>
        </w:rPr>
        <w:t>as divided into two parts, when</w:t>
      </w:r>
      <w:r w:rsidRPr="003F4EA9">
        <w:rPr>
          <w:rFonts w:ascii="Times New Roman" w:hAnsi="Times New Roman" w:cs="Times New Roman"/>
          <w:sz w:val="24"/>
          <w:szCs w:val="24"/>
          <w:lang w:val="en-US"/>
        </w:rPr>
        <w:t xml:space="preserve"> the relationship of all investigated parameters to </w:t>
      </w:r>
      <w:r>
        <w:rPr>
          <w:rFonts w:ascii="Times New Roman" w:hAnsi="Times New Roman" w:cs="Times New Roman"/>
          <w:sz w:val="24"/>
          <w:szCs w:val="24"/>
          <w:lang w:val="en-US"/>
        </w:rPr>
        <w:t>homeostatic indices was assessed</w:t>
      </w:r>
      <w:r w:rsidRPr="003F4EA9">
        <w:rPr>
          <w:rFonts w:ascii="Times New Roman" w:hAnsi="Times New Roman" w:cs="Times New Roman"/>
          <w:sz w:val="24"/>
          <w:szCs w:val="24"/>
          <w:lang w:val="en-US"/>
        </w:rPr>
        <w:t xml:space="preserve"> first and then the relationship</w:t>
      </w:r>
      <w:r>
        <w:rPr>
          <w:rFonts w:ascii="Times New Roman" w:hAnsi="Times New Roman" w:cs="Times New Roman"/>
          <w:sz w:val="24"/>
          <w:szCs w:val="24"/>
          <w:lang w:val="en-US"/>
        </w:rPr>
        <w:t xml:space="preserve"> of VAI and HOMA-IR was assessed in</w:t>
      </w:r>
      <w:r w:rsidRPr="003F4EA9">
        <w:rPr>
          <w:rFonts w:ascii="Times New Roman" w:hAnsi="Times New Roman" w:cs="Times New Roman"/>
          <w:sz w:val="24"/>
          <w:szCs w:val="24"/>
          <w:lang w:val="en-US"/>
        </w:rPr>
        <w:t xml:space="preserve"> detail. All investigated numerical variables were characterized by descriptive statistics with </w:t>
      </w:r>
      <w:r>
        <w:rPr>
          <w:rFonts w:ascii="Times New Roman" w:hAnsi="Times New Roman" w:cs="Times New Roman"/>
          <w:sz w:val="24"/>
          <w:szCs w:val="24"/>
          <w:lang w:val="en-US"/>
        </w:rPr>
        <w:t xml:space="preserve">the </w:t>
      </w:r>
      <w:r w:rsidRPr="003F4EA9">
        <w:rPr>
          <w:rFonts w:ascii="Times New Roman" w:hAnsi="Times New Roman" w:cs="Times New Roman"/>
          <w:sz w:val="24"/>
          <w:szCs w:val="24"/>
          <w:lang w:val="en-US"/>
        </w:rPr>
        <w:t xml:space="preserve">determination of statistical significance of differences between </w:t>
      </w:r>
      <w:r>
        <w:rPr>
          <w:rFonts w:ascii="Times New Roman" w:hAnsi="Times New Roman" w:cs="Times New Roman"/>
          <w:sz w:val="24"/>
          <w:szCs w:val="24"/>
          <w:lang w:val="en-US"/>
        </w:rPr>
        <w:t>particular groups. Correlations of</w:t>
      </w:r>
      <w:r w:rsidRPr="003F4EA9">
        <w:rPr>
          <w:rFonts w:ascii="Times New Roman" w:hAnsi="Times New Roman" w:cs="Times New Roman"/>
          <w:sz w:val="24"/>
          <w:szCs w:val="24"/>
          <w:lang w:val="en-US"/>
        </w:rPr>
        <w:t xml:space="preserve"> variables were quantified using correlation coefficients selected according to the normality of data distribution, </w:t>
      </w:r>
      <w:r>
        <w:rPr>
          <w:rFonts w:ascii="Times New Roman" w:hAnsi="Times New Roman" w:cs="Times New Roman"/>
          <w:sz w:val="24"/>
          <w:szCs w:val="24"/>
          <w:lang w:val="en-US"/>
        </w:rPr>
        <w:t xml:space="preserve">along with </w:t>
      </w:r>
      <w:r w:rsidRPr="003F4EA9">
        <w:rPr>
          <w:rFonts w:ascii="Times New Roman" w:hAnsi="Times New Roman" w:cs="Times New Roman"/>
          <w:sz w:val="24"/>
          <w:szCs w:val="24"/>
          <w:lang w:val="en-US"/>
        </w:rPr>
        <w:t xml:space="preserve">indicating the </w:t>
      </w:r>
      <w:r>
        <w:rPr>
          <w:rFonts w:ascii="Times New Roman" w:hAnsi="Times New Roman" w:cs="Times New Roman"/>
          <w:sz w:val="24"/>
          <w:szCs w:val="24"/>
          <w:lang w:val="en-US"/>
        </w:rPr>
        <w:t xml:space="preserve">statistical </w:t>
      </w:r>
      <w:r w:rsidRPr="003F4EA9">
        <w:rPr>
          <w:rFonts w:ascii="Times New Roman" w:hAnsi="Times New Roman" w:cs="Times New Roman"/>
          <w:sz w:val="24"/>
          <w:szCs w:val="24"/>
          <w:lang w:val="en-US"/>
        </w:rPr>
        <w:t xml:space="preserve">significance. </w:t>
      </w:r>
      <w:r w:rsidR="005753C3">
        <w:rPr>
          <w:rFonts w:ascii="Times New Roman" w:hAnsi="Times New Roman" w:cs="Times New Roman"/>
          <w:sz w:val="24"/>
          <w:szCs w:val="24"/>
          <w:lang w:val="en-US"/>
        </w:rPr>
        <w:t>Regression analysis tested</w:t>
      </w:r>
      <w:r w:rsidRPr="003F4EA9">
        <w:rPr>
          <w:rFonts w:ascii="Times New Roman" w:hAnsi="Times New Roman" w:cs="Times New Roman"/>
          <w:sz w:val="24"/>
          <w:szCs w:val="24"/>
          <w:lang w:val="en-US"/>
        </w:rPr>
        <w:t xml:space="preserve"> the relationships of investigated </w:t>
      </w:r>
      <w:r w:rsidRPr="003F4EA9">
        <w:rPr>
          <w:rFonts w:ascii="Times New Roman" w:hAnsi="Times New Roman" w:cs="Times New Roman"/>
          <w:sz w:val="24"/>
          <w:szCs w:val="24"/>
          <w:lang w:val="en-US"/>
        </w:rPr>
        <w:lastRenderedPageBreak/>
        <w:t xml:space="preserve">parameters, including VAI and AIP, as </w:t>
      </w:r>
      <w:r>
        <w:rPr>
          <w:rFonts w:ascii="Times New Roman" w:hAnsi="Times New Roman" w:cs="Times New Roman"/>
          <w:sz w:val="24"/>
          <w:szCs w:val="24"/>
          <w:lang w:val="en-US"/>
        </w:rPr>
        <w:t>reg</w:t>
      </w:r>
      <w:r w:rsidRPr="003F4EA9">
        <w:rPr>
          <w:rFonts w:ascii="Times New Roman" w:hAnsi="Times New Roman" w:cs="Times New Roman"/>
          <w:sz w:val="24"/>
          <w:szCs w:val="24"/>
          <w:lang w:val="en-US"/>
        </w:rPr>
        <w:t xml:space="preserve">ressors of HOMA-IR and HOMA-β </w:t>
      </w:r>
      <w:r>
        <w:rPr>
          <w:rFonts w:ascii="Times New Roman" w:hAnsi="Times New Roman" w:cs="Times New Roman"/>
          <w:sz w:val="24"/>
          <w:szCs w:val="24"/>
          <w:lang w:val="en-US"/>
        </w:rPr>
        <w:t xml:space="preserve">as </w:t>
      </w:r>
      <w:r w:rsidRPr="003F4EA9">
        <w:rPr>
          <w:rFonts w:ascii="Times New Roman" w:hAnsi="Times New Roman" w:cs="Times New Roman"/>
          <w:sz w:val="24"/>
          <w:szCs w:val="24"/>
          <w:lang w:val="en-US"/>
        </w:rPr>
        <w:t xml:space="preserve">dependent variables. The level of statistical significance (p) was </w:t>
      </w:r>
      <w:r>
        <w:rPr>
          <w:rFonts w:ascii="Times New Roman" w:hAnsi="Times New Roman" w:cs="Times New Roman"/>
          <w:sz w:val="24"/>
          <w:szCs w:val="24"/>
          <w:lang w:val="en-US"/>
        </w:rPr>
        <w:t>set at</w:t>
      </w:r>
      <w:r w:rsidRPr="003F4EA9">
        <w:rPr>
          <w:rFonts w:ascii="Times New Roman" w:hAnsi="Times New Roman" w:cs="Times New Roman"/>
          <w:sz w:val="24"/>
          <w:szCs w:val="24"/>
          <w:lang w:val="en-US"/>
        </w:rPr>
        <w:t xml:space="preserve"> 0.05.</w:t>
      </w:r>
    </w:p>
    <w:p w:rsidR="005506E7" w:rsidRDefault="005506E7" w:rsidP="00F80C90">
      <w:pPr>
        <w:spacing w:before="160" w:after="0" w:line="360" w:lineRule="auto"/>
        <w:jc w:val="both"/>
        <w:rPr>
          <w:rFonts w:ascii="Times New Roman" w:hAnsi="Times New Roman" w:cs="Times New Roman"/>
          <w:sz w:val="24"/>
          <w:szCs w:val="24"/>
          <w:lang w:val="en-US"/>
        </w:rPr>
      </w:pPr>
      <w:r w:rsidRPr="006E62E4">
        <w:rPr>
          <w:rFonts w:ascii="Times New Roman" w:hAnsi="Times New Roman" w:cs="Times New Roman"/>
          <w:b/>
          <w:sz w:val="24"/>
          <w:szCs w:val="24"/>
          <w:lang w:val="en-US"/>
        </w:rPr>
        <w:t>Results:</w:t>
      </w:r>
      <w:r>
        <w:rPr>
          <w:rFonts w:ascii="Times New Roman" w:hAnsi="Times New Roman" w:cs="Times New Roman"/>
          <w:sz w:val="24"/>
          <w:szCs w:val="24"/>
          <w:lang w:val="en-US"/>
        </w:rPr>
        <w:t xml:space="preserve"> Certain </w:t>
      </w:r>
      <w:r w:rsidRPr="003F4EA9">
        <w:rPr>
          <w:rFonts w:ascii="Times New Roman" w:hAnsi="Times New Roman" w:cs="Times New Roman"/>
          <w:sz w:val="24"/>
          <w:szCs w:val="24"/>
          <w:lang w:val="en-US"/>
        </w:rPr>
        <w:t>commonly established anthropometric and laboratory parameters sh</w:t>
      </w:r>
      <w:r>
        <w:rPr>
          <w:rFonts w:ascii="Times New Roman" w:hAnsi="Times New Roman" w:cs="Times New Roman"/>
          <w:sz w:val="24"/>
          <w:szCs w:val="24"/>
          <w:lang w:val="en-US"/>
        </w:rPr>
        <w:t>owed significant associations with</w:t>
      </w:r>
      <w:r w:rsidRPr="003F4EA9">
        <w:rPr>
          <w:rFonts w:ascii="Times New Roman" w:hAnsi="Times New Roman" w:cs="Times New Roman"/>
          <w:sz w:val="24"/>
          <w:szCs w:val="24"/>
          <w:lang w:val="en-US"/>
        </w:rPr>
        <w:t xml:space="preserve"> homeostatic indices. In two performed models, several statistically significant moderate correlations of ho</w:t>
      </w:r>
      <w:r>
        <w:rPr>
          <w:rFonts w:ascii="Times New Roman" w:hAnsi="Times New Roman" w:cs="Times New Roman"/>
          <w:sz w:val="24"/>
          <w:szCs w:val="24"/>
          <w:lang w:val="en-US"/>
        </w:rPr>
        <w:t>meostatic indices or insulin were observed, in particular with waist circumference (WC</w:t>
      </w:r>
      <w:r w:rsidRPr="003F4EA9">
        <w:rPr>
          <w:rFonts w:ascii="Times New Roman" w:hAnsi="Times New Roman" w:cs="Times New Roman"/>
          <w:sz w:val="24"/>
          <w:szCs w:val="24"/>
          <w:lang w:val="en-US"/>
        </w:rPr>
        <w:t xml:space="preserve">), body mass index, ALT, AST and VAI. Most of the </w:t>
      </w:r>
      <w:r>
        <w:rPr>
          <w:rFonts w:ascii="Times New Roman" w:hAnsi="Times New Roman" w:cs="Times New Roman"/>
          <w:sz w:val="24"/>
          <w:szCs w:val="24"/>
          <w:lang w:val="en-US"/>
        </w:rPr>
        <w:t>investigated</w:t>
      </w:r>
      <w:r w:rsidRPr="003F4EA9">
        <w:rPr>
          <w:rFonts w:ascii="Times New Roman" w:hAnsi="Times New Roman" w:cs="Times New Roman"/>
          <w:sz w:val="24"/>
          <w:szCs w:val="24"/>
          <w:lang w:val="en-US"/>
        </w:rPr>
        <w:t xml:space="preserve"> parameters showed stronger correlation</w:t>
      </w:r>
      <w:r>
        <w:rPr>
          <w:rFonts w:ascii="Times New Roman" w:hAnsi="Times New Roman" w:cs="Times New Roman"/>
          <w:sz w:val="24"/>
          <w:szCs w:val="24"/>
          <w:lang w:val="en-US"/>
        </w:rPr>
        <w:t>s</w:t>
      </w:r>
      <w:r w:rsidRPr="003F4EA9">
        <w:rPr>
          <w:rFonts w:ascii="Times New Roman" w:hAnsi="Times New Roman" w:cs="Times New Roman"/>
          <w:sz w:val="24"/>
          <w:szCs w:val="24"/>
          <w:lang w:val="en-US"/>
        </w:rPr>
        <w:t xml:space="preserve"> with insulin ​​than gl</w:t>
      </w:r>
      <w:r>
        <w:rPr>
          <w:rFonts w:ascii="Times New Roman" w:hAnsi="Times New Roman" w:cs="Times New Roman"/>
          <w:sz w:val="24"/>
          <w:szCs w:val="24"/>
          <w:lang w:val="en-US"/>
        </w:rPr>
        <w:t>ucose values</w:t>
      </w:r>
      <w:r w:rsidRPr="003F4EA9">
        <w:rPr>
          <w:rFonts w:ascii="Times New Roman" w:hAnsi="Times New Roman" w:cs="Times New Roman"/>
          <w:sz w:val="24"/>
          <w:szCs w:val="24"/>
          <w:lang w:val="en-US"/>
        </w:rPr>
        <w:t>. Regression analysis showed</w:t>
      </w:r>
      <w:r>
        <w:rPr>
          <w:rFonts w:ascii="Times New Roman" w:hAnsi="Times New Roman" w:cs="Times New Roman"/>
          <w:sz w:val="24"/>
          <w:szCs w:val="24"/>
          <w:lang w:val="en-US"/>
        </w:rPr>
        <w:t xml:space="preserve"> that 3 parameters were significant</w:t>
      </w:r>
      <w:r w:rsidR="005753C3">
        <w:rPr>
          <w:rFonts w:ascii="Times New Roman" w:hAnsi="Times New Roman" w:cs="Times New Roman"/>
          <w:sz w:val="24"/>
          <w:szCs w:val="24"/>
          <w:lang w:val="en-US"/>
        </w:rPr>
        <w:t xml:space="preserve"> predictors of HOMA-IR: WC</w:t>
      </w:r>
      <w:r w:rsidRPr="003F4EA9">
        <w:rPr>
          <w:rFonts w:ascii="Times New Roman" w:hAnsi="Times New Roman" w:cs="Times New Roman"/>
          <w:sz w:val="24"/>
          <w:szCs w:val="24"/>
          <w:lang w:val="en-US"/>
        </w:rPr>
        <w:t>, ALT and systolic BP. For HOMA-β</w:t>
      </w:r>
      <w:r>
        <w:rPr>
          <w:rFonts w:ascii="Times New Roman" w:hAnsi="Times New Roman" w:cs="Times New Roman"/>
          <w:sz w:val="24"/>
          <w:szCs w:val="24"/>
          <w:lang w:val="en-US"/>
        </w:rPr>
        <w:t>, WC and</w:t>
      </w:r>
      <w:r w:rsidRPr="003F4EA9">
        <w:rPr>
          <w:rFonts w:ascii="Times New Roman" w:hAnsi="Times New Roman" w:cs="Times New Roman"/>
          <w:sz w:val="24"/>
          <w:szCs w:val="24"/>
          <w:lang w:val="en-US"/>
        </w:rPr>
        <w:t xml:space="preserve"> ALT proved to be statistically significant predictor</w:t>
      </w:r>
      <w:r>
        <w:rPr>
          <w:rFonts w:ascii="Times New Roman" w:hAnsi="Times New Roman" w:cs="Times New Roman"/>
          <w:sz w:val="24"/>
          <w:szCs w:val="24"/>
          <w:lang w:val="en-US"/>
        </w:rPr>
        <w:t xml:space="preserve">s, </w:t>
      </w:r>
      <w:r w:rsidRPr="003D7B6A">
        <w:rPr>
          <w:rFonts w:ascii="Times New Roman" w:hAnsi="Times New Roman" w:cs="Times New Roman"/>
          <w:sz w:val="24"/>
          <w:szCs w:val="24"/>
          <w:lang w:val="en-US"/>
        </w:rPr>
        <w:t>and</w:t>
      </w:r>
      <w:r>
        <w:rPr>
          <w:rFonts w:ascii="Times New Roman" w:hAnsi="Times New Roman" w:cs="Times New Roman"/>
          <w:sz w:val="24"/>
          <w:szCs w:val="24"/>
          <w:lang w:val="en-US"/>
        </w:rPr>
        <w:t>,</w:t>
      </w:r>
      <w:r w:rsidRPr="003D7B6A">
        <w:rPr>
          <w:rFonts w:ascii="Times New Roman" w:hAnsi="Times New Roman" w:cs="Times New Roman"/>
          <w:sz w:val="24"/>
          <w:szCs w:val="24"/>
          <w:lang w:val="en-US"/>
        </w:rPr>
        <w:t xml:space="preserve"> unlike HOMA-IR, the result for its inverse dependence</w:t>
      </w:r>
      <w:r>
        <w:rPr>
          <w:rFonts w:ascii="Times New Roman" w:hAnsi="Times New Roman" w:cs="Times New Roman"/>
          <w:sz w:val="24"/>
          <w:szCs w:val="24"/>
          <w:lang w:val="en-US"/>
        </w:rPr>
        <w:t xml:space="preserve"> on age</w:t>
      </w:r>
      <w:r w:rsidRPr="003D7B6A">
        <w:rPr>
          <w:rFonts w:ascii="Times New Roman" w:hAnsi="Times New Roman" w:cs="Times New Roman"/>
          <w:sz w:val="24"/>
          <w:szCs w:val="24"/>
          <w:lang w:val="en-US"/>
        </w:rPr>
        <w:t xml:space="preserve"> was</w:t>
      </w:r>
      <w:r>
        <w:rPr>
          <w:rFonts w:ascii="Times New Roman" w:hAnsi="Times New Roman" w:cs="Times New Roman"/>
          <w:sz w:val="24"/>
          <w:szCs w:val="24"/>
          <w:lang w:val="en-US"/>
        </w:rPr>
        <w:t xml:space="preserve"> also</w:t>
      </w:r>
      <w:r w:rsidRPr="003D7B6A">
        <w:rPr>
          <w:rFonts w:ascii="Times New Roman" w:hAnsi="Times New Roman" w:cs="Times New Roman"/>
          <w:sz w:val="24"/>
          <w:szCs w:val="24"/>
          <w:lang w:val="en-US"/>
        </w:rPr>
        <w:t xml:space="preserve"> statistically significant</w:t>
      </w:r>
      <w:r>
        <w:rPr>
          <w:rFonts w:ascii="Times New Roman" w:hAnsi="Times New Roman" w:cs="Times New Roman"/>
          <w:sz w:val="24"/>
          <w:szCs w:val="24"/>
          <w:lang w:val="en-US"/>
        </w:rPr>
        <w:t>. When WC</w:t>
      </w:r>
      <w:r w:rsidRPr="003F4EA9">
        <w:rPr>
          <w:rFonts w:ascii="Times New Roman" w:hAnsi="Times New Roman" w:cs="Times New Roman"/>
          <w:sz w:val="24"/>
          <w:szCs w:val="24"/>
          <w:lang w:val="en-US"/>
        </w:rPr>
        <w:t xml:space="preserve"> increases by one unit, HOMA-IR increases by 0.1 (p &lt;</w:t>
      </w:r>
      <w:r>
        <w:rPr>
          <w:rFonts w:ascii="Times New Roman" w:hAnsi="Times New Roman" w:cs="Times New Roman"/>
          <w:sz w:val="24"/>
          <w:szCs w:val="24"/>
          <w:lang w:val="en-US"/>
        </w:rPr>
        <w:t xml:space="preserve"> </w:t>
      </w:r>
      <w:r w:rsidRPr="003F4EA9">
        <w:rPr>
          <w:rFonts w:ascii="Times New Roman" w:hAnsi="Times New Roman" w:cs="Times New Roman"/>
          <w:sz w:val="24"/>
          <w:szCs w:val="24"/>
          <w:lang w:val="en-US"/>
        </w:rPr>
        <w:t>0.001) and HOMA-β by 1.97 (p = 0.032). When ALT increases by one unit, HOMA-IR increases by 2.28 (p &lt;</w:t>
      </w:r>
      <w:r>
        <w:rPr>
          <w:rFonts w:ascii="Times New Roman" w:hAnsi="Times New Roman" w:cs="Times New Roman"/>
          <w:sz w:val="24"/>
          <w:szCs w:val="24"/>
          <w:lang w:val="en-US"/>
        </w:rPr>
        <w:t xml:space="preserve"> </w:t>
      </w:r>
      <w:r w:rsidRPr="003F4EA9">
        <w:rPr>
          <w:rFonts w:ascii="Times New Roman" w:hAnsi="Times New Roman" w:cs="Times New Roman"/>
          <w:sz w:val="24"/>
          <w:szCs w:val="24"/>
          <w:lang w:val="en-US"/>
        </w:rPr>
        <w:t>0.001) and HOMA-β by 99.</w:t>
      </w:r>
      <w:r>
        <w:rPr>
          <w:rFonts w:ascii="Times New Roman" w:hAnsi="Times New Roman" w:cs="Times New Roman"/>
          <w:sz w:val="24"/>
          <w:szCs w:val="24"/>
          <w:lang w:val="en-US"/>
        </w:rPr>
        <w:t>49 (p</w:t>
      </w:r>
      <w:r w:rsidR="00762125">
        <w:rPr>
          <w:rFonts w:ascii="Times New Roman" w:hAnsi="Times New Roman" w:cs="Times New Roman"/>
          <w:sz w:val="24"/>
          <w:szCs w:val="24"/>
          <w:lang w:val="en-US"/>
        </w:rPr>
        <w:t> </w:t>
      </w:r>
      <w:r>
        <w:rPr>
          <w:rFonts w:ascii="Times New Roman" w:hAnsi="Times New Roman" w:cs="Times New Roman"/>
          <w:sz w:val="24"/>
          <w:szCs w:val="24"/>
          <w:lang w:val="en-US"/>
        </w:rPr>
        <w:t>= 0.004). With a unit change of systolic BP</w:t>
      </w:r>
      <w:r w:rsidRPr="003F4EA9">
        <w:rPr>
          <w:rFonts w:ascii="Times New Roman" w:hAnsi="Times New Roman" w:cs="Times New Roman"/>
          <w:sz w:val="24"/>
          <w:szCs w:val="24"/>
          <w:lang w:val="en-US"/>
        </w:rPr>
        <w:t>, HOMA-IR changes by 0.04 (p &lt;</w:t>
      </w:r>
      <w:r>
        <w:rPr>
          <w:rFonts w:ascii="Times New Roman" w:hAnsi="Times New Roman" w:cs="Times New Roman"/>
          <w:sz w:val="24"/>
          <w:szCs w:val="24"/>
          <w:lang w:val="en-US"/>
        </w:rPr>
        <w:t xml:space="preserve"> </w:t>
      </w:r>
      <w:r w:rsidRPr="003F4EA9">
        <w:rPr>
          <w:rFonts w:ascii="Times New Roman" w:hAnsi="Times New Roman" w:cs="Times New Roman"/>
          <w:sz w:val="24"/>
          <w:szCs w:val="24"/>
          <w:lang w:val="en-US"/>
        </w:rPr>
        <w:t xml:space="preserve">0.001). HOMA-β decreases by 1.31 (p = 0.004) </w:t>
      </w:r>
      <w:r>
        <w:rPr>
          <w:rFonts w:ascii="Times New Roman" w:hAnsi="Times New Roman" w:cs="Times New Roman"/>
          <w:sz w:val="24"/>
          <w:szCs w:val="24"/>
          <w:lang w:val="en-US"/>
        </w:rPr>
        <w:t>with each passing</w:t>
      </w:r>
      <w:r w:rsidRPr="003F4EA9">
        <w:rPr>
          <w:rFonts w:ascii="Times New Roman" w:hAnsi="Times New Roman" w:cs="Times New Roman"/>
          <w:sz w:val="24"/>
          <w:szCs w:val="24"/>
          <w:lang w:val="en-US"/>
        </w:rPr>
        <w:t xml:space="preserve"> year. Despite the existence of statistically significant correlations, the predictive ability of VAI in relation to HOMA-IR was not </w:t>
      </w:r>
      <w:r>
        <w:rPr>
          <w:rFonts w:ascii="Times New Roman" w:hAnsi="Times New Roman" w:cs="Times New Roman"/>
          <w:sz w:val="24"/>
          <w:szCs w:val="24"/>
          <w:lang w:val="en-US"/>
        </w:rPr>
        <w:t>proved</w:t>
      </w:r>
      <w:r w:rsidRPr="003F4EA9">
        <w:rPr>
          <w:rFonts w:ascii="Times New Roman" w:hAnsi="Times New Roman" w:cs="Times New Roman"/>
          <w:sz w:val="24"/>
          <w:szCs w:val="24"/>
          <w:lang w:val="en-US"/>
        </w:rPr>
        <w:t>. However, high levels of sensitivity and specificity of VAI cut-off points signaling both metabolic syndrome and certain HOMA-IR values ​​indicate the potential of VAI to reflect adipose tissue dysfunction and the associated cardiometabolic risk. The results are valid for the European middle age population.</w:t>
      </w:r>
    </w:p>
    <w:p w:rsidR="007304C8" w:rsidRPr="005506E7" w:rsidRDefault="005506E7" w:rsidP="00F80C90">
      <w:pPr>
        <w:spacing w:before="160" w:line="360" w:lineRule="auto"/>
        <w:jc w:val="both"/>
        <w:rPr>
          <w:rFonts w:ascii="Times New Roman" w:hAnsi="Times New Roman" w:cs="Times New Roman"/>
          <w:sz w:val="24"/>
          <w:szCs w:val="24"/>
          <w:lang w:val="en-US"/>
        </w:rPr>
      </w:pPr>
      <w:r w:rsidRPr="003D7B6A">
        <w:rPr>
          <w:rFonts w:ascii="Times New Roman" w:hAnsi="Times New Roman" w:cs="Times New Roman"/>
          <w:b/>
          <w:sz w:val="24"/>
          <w:szCs w:val="24"/>
          <w:lang w:val="en-US"/>
        </w:rPr>
        <w:t>Conclusion:</w:t>
      </w:r>
      <w:r>
        <w:rPr>
          <w:rFonts w:ascii="Times New Roman" w:hAnsi="Times New Roman" w:cs="Times New Roman"/>
          <w:sz w:val="24"/>
          <w:szCs w:val="24"/>
          <w:lang w:val="en-US"/>
        </w:rPr>
        <w:t xml:space="preserve"> </w:t>
      </w:r>
      <w:r w:rsidRPr="003D7B6A">
        <w:rPr>
          <w:rFonts w:ascii="Times New Roman" w:hAnsi="Times New Roman" w:cs="Times New Roman"/>
          <w:sz w:val="24"/>
          <w:szCs w:val="24"/>
          <w:lang w:val="en-US"/>
        </w:rPr>
        <w:t xml:space="preserve">Targeted </w:t>
      </w:r>
      <w:r>
        <w:rPr>
          <w:rFonts w:ascii="Times New Roman" w:hAnsi="Times New Roman" w:cs="Times New Roman"/>
          <w:sz w:val="24"/>
          <w:szCs w:val="24"/>
          <w:lang w:val="en-US"/>
        </w:rPr>
        <w:t>assessment</w:t>
      </w:r>
      <w:r w:rsidRPr="003D7B6A">
        <w:rPr>
          <w:rFonts w:ascii="Times New Roman" w:hAnsi="Times New Roman" w:cs="Times New Roman"/>
          <w:sz w:val="24"/>
          <w:szCs w:val="24"/>
          <w:lang w:val="en-US"/>
        </w:rPr>
        <w:t xml:space="preserve"> of the</w:t>
      </w:r>
      <w:r>
        <w:rPr>
          <w:rFonts w:ascii="Times New Roman" w:hAnsi="Times New Roman" w:cs="Times New Roman"/>
          <w:sz w:val="24"/>
          <w:szCs w:val="24"/>
          <w:lang w:val="en-US"/>
        </w:rPr>
        <w:t>se</w:t>
      </w:r>
      <w:r w:rsidRPr="003D7B6A">
        <w:rPr>
          <w:rFonts w:ascii="Times New Roman" w:hAnsi="Times New Roman" w:cs="Times New Roman"/>
          <w:sz w:val="24"/>
          <w:szCs w:val="24"/>
          <w:lang w:val="en-US"/>
        </w:rPr>
        <w:t xml:space="preserve"> parameters can be used for </w:t>
      </w:r>
      <w:r>
        <w:rPr>
          <w:rFonts w:ascii="Times New Roman" w:hAnsi="Times New Roman" w:cs="Times New Roman"/>
          <w:sz w:val="24"/>
          <w:szCs w:val="24"/>
          <w:lang w:val="en-US"/>
        </w:rPr>
        <w:t xml:space="preserve">the </w:t>
      </w:r>
      <w:r w:rsidRPr="003D7B6A">
        <w:rPr>
          <w:rFonts w:ascii="Times New Roman" w:hAnsi="Times New Roman" w:cs="Times New Roman"/>
          <w:sz w:val="24"/>
          <w:szCs w:val="24"/>
          <w:lang w:val="en-US"/>
        </w:rPr>
        <w:t xml:space="preserve">early </w:t>
      </w:r>
      <w:r>
        <w:rPr>
          <w:rFonts w:ascii="Times New Roman" w:hAnsi="Times New Roman" w:cs="Times New Roman"/>
          <w:sz w:val="24"/>
          <w:szCs w:val="24"/>
          <w:lang w:val="en-US"/>
        </w:rPr>
        <w:t>determination</w:t>
      </w:r>
      <w:r w:rsidRPr="003D7B6A">
        <w:rPr>
          <w:rFonts w:ascii="Times New Roman" w:hAnsi="Times New Roman" w:cs="Times New Roman"/>
          <w:sz w:val="24"/>
          <w:szCs w:val="24"/>
          <w:lang w:val="en-US"/>
        </w:rPr>
        <w:t xml:space="preserve"> of IR levels without the need for insulin level analysis. In par</w:t>
      </w:r>
      <w:r>
        <w:rPr>
          <w:rFonts w:ascii="Times New Roman" w:hAnsi="Times New Roman" w:cs="Times New Roman"/>
          <w:sz w:val="24"/>
          <w:szCs w:val="24"/>
          <w:lang w:val="en-US"/>
        </w:rPr>
        <w:t>ticular, the predictive ability of WC</w:t>
      </w:r>
      <w:r w:rsidRPr="003D7B6A">
        <w:rPr>
          <w:rFonts w:ascii="Times New Roman" w:hAnsi="Times New Roman" w:cs="Times New Roman"/>
          <w:sz w:val="24"/>
          <w:szCs w:val="24"/>
          <w:lang w:val="en-US"/>
        </w:rPr>
        <w:t xml:space="preserve"> should not be underestimated due to the absolute undemanding nature of its determination. Upon further verification, these findings can become a useful preventive tool, especially in primary health care.</w:t>
      </w:r>
      <w:r w:rsidR="007304C8">
        <w:rPr>
          <w:rFonts w:ascii="Times New Roman" w:hAnsi="Times New Roman" w:cs="Times New Roman"/>
          <w:caps/>
        </w:rPr>
        <w:br w:type="page"/>
      </w:r>
    </w:p>
    <w:sdt>
      <w:sdtPr>
        <w:rPr>
          <w:rFonts w:asciiTheme="minorHAnsi" w:eastAsiaTheme="minorHAnsi" w:hAnsiTheme="minorHAnsi" w:cstheme="minorBidi"/>
          <w:b w:val="0"/>
          <w:sz w:val="22"/>
          <w:szCs w:val="22"/>
          <w:lang w:eastAsia="en-US"/>
        </w:rPr>
        <w:id w:val="-1058077665"/>
        <w:docPartObj>
          <w:docPartGallery w:val="Table of Contents"/>
          <w:docPartUnique/>
        </w:docPartObj>
      </w:sdtPr>
      <w:sdtEndPr>
        <w:rPr>
          <w:bCs/>
        </w:rPr>
      </w:sdtEndPr>
      <w:sdtContent>
        <w:p w:rsidR="00A3679A" w:rsidRPr="002C1887" w:rsidRDefault="002C1887" w:rsidP="00695008">
          <w:pPr>
            <w:pStyle w:val="Nadpisobsahu"/>
            <w:numPr>
              <w:ilvl w:val="0"/>
              <w:numId w:val="0"/>
            </w:numPr>
            <w:shd w:val="clear" w:color="auto" w:fill="FFFFFF" w:themeFill="background1"/>
            <w:ind w:left="432" w:hanging="432"/>
          </w:pPr>
          <w:r w:rsidRPr="002C1887">
            <w:t>OBSAH</w:t>
          </w:r>
        </w:p>
        <w:p w:rsidR="002C1887" w:rsidRPr="002C1887" w:rsidRDefault="00CA4B7D" w:rsidP="00695008">
          <w:pPr>
            <w:pStyle w:val="Obsah1"/>
            <w:shd w:val="clear" w:color="auto" w:fill="FFFFFF" w:themeFill="background1"/>
            <w:tabs>
              <w:tab w:val="left" w:pos="440"/>
              <w:tab w:val="right" w:leader="dot" w:pos="9062"/>
            </w:tabs>
            <w:rPr>
              <w:rFonts w:ascii="Times New Roman" w:eastAsiaTheme="minorEastAsia" w:hAnsi="Times New Roman" w:cs="Times New Roman"/>
              <w:noProof/>
              <w:sz w:val="24"/>
              <w:szCs w:val="24"/>
              <w:lang w:eastAsia="cs-CZ"/>
            </w:rPr>
          </w:pPr>
          <w:r w:rsidRPr="002C1887">
            <w:rPr>
              <w:rFonts w:ascii="Times New Roman" w:hAnsi="Times New Roman" w:cs="Times New Roman"/>
              <w:b/>
              <w:bCs/>
              <w:sz w:val="24"/>
              <w:szCs w:val="24"/>
            </w:rPr>
            <w:fldChar w:fldCharType="begin"/>
          </w:r>
          <w:r w:rsidR="00A3679A" w:rsidRPr="002C1887">
            <w:rPr>
              <w:rFonts w:ascii="Times New Roman" w:hAnsi="Times New Roman" w:cs="Times New Roman"/>
              <w:b/>
              <w:bCs/>
              <w:sz w:val="24"/>
              <w:szCs w:val="24"/>
            </w:rPr>
            <w:instrText xml:space="preserve"> TOC \o "1-3" \h \z \u </w:instrText>
          </w:r>
          <w:r w:rsidRPr="002C1887">
            <w:rPr>
              <w:rFonts w:ascii="Times New Roman" w:hAnsi="Times New Roman" w:cs="Times New Roman"/>
              <w:b/>
              <w:bCs/>
              <w:sz w:val="24"/>
              <w:szCs w:val="24"/>
            </w:rPr>
            <w:fldChar w:fldCharType="separate"/>
          </w:r>
          <w:hyperlink w:anchor="_Toc33869517" w:history="1">
            <w:r w:rsidR="002C1887" w:rsidRPr="00695008">
              <w:rPr>
                <w:rStyle w:val="Hypertextovodkaz"/>
                <w:rFonts w:ascii="Times New Roman" w:hAnsi="Times New Roman" w:cs="Times New Roman"/>
                <w:b/>
                <w:noProof/>
                <w:sz w:val="24"/>
                <w:szCs w:val="24"/>
              </w:rPr>
              <w:t>1</w:t>
            </w:r>
            <w:r w:rsidR="002C1887" w:rsidRPr="00695008">
              <w:rPr>
                <w:rFonts w:ascii="Times New Roman" w:eastAsiaTheme="minorEastAsia" w:hAnsi="Times New Roman" w:cs="Times New Roman"/>
                <w:b/>
                <w:noProof/>
                <w:sz w:val="24"/>
                <w:szCs w:val="24"/>
                <w:lang w:eastAsia="cs-CZ"/>
              </w:rPr>
              <w:tab/>
            </w:r>
            <w:r w:rsidR="002C1887" w:rsidRPr="00695008">
              <w:rPr>
                <w:rStyle w:val="Hypertextovodkaz"/>
                <w:rFonts w:ascii="Times New Roman" w:hAnsi="Times New Roman" w:cs="Times New Roman"/>
                <w:b/>
                <w:noProof/>
                <w:sz w:val="24"/>
                <w:szCs w:val="24"/>
              </w:rPr>
              <w:t>Teoretická část – současný stav problematiky</w:t>
            </w:r>
            <w:r w:rsidR="002C1887" w:rsidRPr="002C1887">
              <w:rPr>
                <w:rFonts w:ascii="Times New Roman" w:hAnsi="Times New Roman" w:cs="Times New Roman"/>
                <w:noProof/>
                <w:webHidden/>
                <w:sz w:val="24"/>
                <w:szCs w:val="24"/>
              </w:rPr>
              <w:tab/>
            </w:r>
            <w:r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_Toc33869517 \h </w:instrText>
            </w:r>
            <w:r w:rsidRPr="002C1887">
              <w:rPr>
                <w:rFonts w:ascii="Times New Roman" w:hAnsi="Times New Roman" w:cs="Times New Roman"/>
                <w:noProof/>
                <w:webHidden/>
                <w:sz w:val="24"/>
                <w:szCs w:val="24"/>
              </w:rPr>
            </w:r>
            <w:r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9</w:t>
            </w:r>
            <w:r w:rsidRPr="002C1887">
              <w:rPr>
                <w:rFonts w:ascii="Times New Roman" w:hAnsi="Times New Roman" w:cs="Times New Roman"/>
                <w:noProof/>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18" w:history="1">
            <w:r w:rsidR="002C1887" w:rsidRPr="002C1887">
              <w:rPr>
                <w:rStyle w:val="Hypertextovodkaz"/>
                <w:rFonts w:ascii="Times New Roman" w:hAnsi="Times New Roman" w:cs="Times New Roman"/>
                <w:i w:val="0"/>
                <w:sz w:val="24"/>
                <w:szCs w:val="24"/>
              </w:rPr>
              <w:t>1.1</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Úvod</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_Toc33869518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9</w:t>
            </w:r>
            <w:r w:rsidR="00CA4B7D" w:rsidRPr="002C1887">
              <w:rPr>
                <w:rFonts w:ascii="Times New Roman" w:hAnsi="Times New Roman" w:cs="Times New Roman"/>
                <w:i w:val="0"/>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19" w:history="1">
            <w:r w:rsidR="002C1887" w:rsidRPr="002C1887">
              <w:rPr>
                <w:rStyle w:val="Hypertextovodkaz"/>
                <w:rFonts w:ascii="Times New Roman" w:hAnsi="Times New Roman" w:cs="Times New Roman"/>
                <w:i w:val="0"/>
                <w:sz w:val="24"/>
                <w:szCs w:val="24"/>
              </w:rPr>
              <w:t>1.2</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Metabolický syndrom</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_Toc33869519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10</w:t>
            </w:r>
            <w:r w:rsidR="00CA4B7D" w:rsidRPr="002C1887">
              <w:rPr>
                <w:rFonts w:ascii="Times New Roman" w:hAnsi="Times New Roman" w:cs="Times New Roman"/>
                <w:i w:val="0"/>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20" w:history="1">
            <w:r w:rsidR="002C1887" w:rsidRPr="002C1887">
              <w:rPr>
                <w:rStyle w:val="Hypertextovodkaz"/>
                <w:rFonts w:ascii="Times New Roman" w:hAnsi="Times New Roman" w:cs="Times New Roman"/>
                <w:noProof/>
                <w:sz w:val="24"/>
                <w:szCs w:val="24"/>
              </w:rPr>
              <w:t>1.2.1</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Význam diagnostiky</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_Toc33869520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10</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21" w:history="1">
            <w:r w:rsidR="002C1887" w:rsidRPr="002C1887">
              <w:rPr>
                <w:rStyle w:val="Hypertextovodkaz"/>
                <w:rFonts w:ascii="Times New Roman" w:hAnsi="Times New Roman" w:cs="Times New Roman"/>
                <w:noProof/>
                <w:sz w:val="24"/>
                <w:szCs w:val="24"/>
              </w:rPr>
              <w:t>1.2.2</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Definice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_Toc33869521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10</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22" w:history="1">
            <w:r w:rsidR="002C1887" w:rsidRPr="002C1887">
              <w:rPr>
                <w:rStyle w:val="Hypertextovodkaz"/>
                <w:rFonts w:ascii="Times New Roman" w:hAnsi="Times New Roman" w:cs="Times New Roman"/>
                <w:noProof/>
                <w:sz w:val="24"/>
                <w:szCs w:val="24"/>
              </w:rPr>
              <w:t>1.2.3</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Etiopatogeneze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_Toc33869522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12</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23" w:history="1">
            <w:r w:rsidR="002C1887" w:rsidRPr="002C1887">
              <w:rPr>
                <w:rStyle w:val="Hypertextovodkaz"/>
                <w:rFonts w:ascii="Times New Roman" w:hAnsi="Times New Roman" w:cs="Times New Roman"/>
                <w:noProof/>
                <w:sz w:val="24"/>
                <w:szCs w:val="24"/>
              </w:rPr>
              <w:t>1.2.4</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Epidemiologie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_Toc33869523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15</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24" w:history="1">
            <w:r w:rsidR="002C1887" w:rsidRPr="002C1887">
              <w:rPr>
                <w:rStyle w:val="Hypertextovodkaz"/>
                <w:rFonts w:ascii="Times New Roman" w:hAnsi="Times New Roman" w:cs="Times New Roman"/>
                <w:i w:val="0"/>
                <w:sz w:val="24"/>
                <w:szCs w:val="24"/>
              </w:rPr>
              <w:t>1.3</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Inzulínová rezistence</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_Toc33869524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16</w:t>
            </w:r>
            <w:r w:rsidR="00CA4B7D" w:rsidRPr="002C1887">
              <w:rPr>
                <w:rFonts w:ascii="Times New Roman" w:hAnsi="Times New Roman" w:cs="Times New Roman"/>
                <w:i w:val="0"/>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25" w:history="1">
            <w:r w:rsidR="002C1887" w:rsidRPr="002C1887">
              <w:rPr>
                <w:rStyle w:val="Hypertextovodkaz"/>
                <w:rFonts w:ascii="Times New Roman" w:hAnsi="Times New Roman" w:cs="Times New Roman"/>
                <w:noProof/>
                <w:sz w:val="24"/>
                <w:szCs w:val="24"/>
              </w:rPr>
              <w:t>1.3.1</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Definice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_Toc33869525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16</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26" w:history="1">
            <w:r w:rsidR="002C1887" w:rsidRPr="002C1887">
              <w:rPr>
                <w:rStyle w:val="Hypertextovodkaz"/>
                <w:rFonts w:ascii="Times New Roman" w:hAnsi="Times New Roman" w:cs="Times New Roman"/>
                <w:noProof/>
                <w:sz w:val="24"/>
                <w:szCs w:val="24"/>
              </w:rPr>
              <w:t>1.3.2</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Etiopatogeneze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_Toc33869526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16</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27" w:history="1">
            <w:r w:rsidR="002C1887" w:rsidRPr="002C1887">
              <w:rPr>
                <w:rStyle w:val="Hypertextovodkaz"/>
                <w:rFonts w:ascii="Times New Roman" w:hAnsi="Times New Roman" w:cs="Times New Roman"/>
                <w:noProof/>
                <w:sz w:val="24"/>
                <w:szCs w:val="24"/>
              </w:rPr>
              <w:t>1.3.3</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Metody detekce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_Toc33869527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18</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33" w:history="1">
            <w:r w:rsidR="002C1887" w:rsidRPr="002C1887">
              <w:rPr>
                <w:rStyle w:val="Hypertextovodkaz"/>
                <w:rFonts w:ascii="Times New Roman" w:hAnsi="Times New Roman" w:cs="Times New Roman"/>
                <w:noProof/>
                <w:sz w:val="24"/>
                <w:szCs w:val="24"/>
              </w:rPr>
              <w:t>1.3.4</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Prevence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_Toc33869533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20</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34" w:history="1">
            <w:r w:rsidR="002C1887" w:rsidRPr="002C1887">
              <w:rPr>
                <w:rStyle w:val="Hypertextovodkaz"/>
                <w:rFonts w:ascii="Times New Roman" w:hAnsi="Times New Roman" w:cs="Times New Roman"/>
                <w:i w:val="0"/>
                <w:sz w:val="24"/>
                <w:szCs w:val="24"/>
              </w:rPr>
              <w:t>1.4</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Poruchy metabolismu glukózy - prediabetes</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_Toc33869534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22</w:t>
            </w:r>
            <w:r w:rsidR="00CA4B7D" w:rsidRPr="002C1887">
              <w:rPr>
                <w:rFonts w:ascii="Times New Roman" w:hAnsi="Times New Roman" w:cs="Times New Roman"/>
                <w:i w:val="0"/>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35" w:history="1">
            <w:r w:rsidR="002C1887" w:rsidRPr="002C1887">
              <w:rPr>
                <w:rStyle w:val="Hypertextovodkaz"/>
                <w:rFonts w:ascii="Times New Roman" w:hAnsi="Times New Roman" w:cs="Times New Roman"/>
                <w:noProof/>
                <w:sz w:val="24"/>
                <w:szCs w:val="24"/>
              </w:rPr>
              <w:t>1.4.1</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Definice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_Toc33869535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22</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36" w:history="1">
            <w:r w:rsidR="002C1887" w:rsidRPr="002C1887">
              <w:rPr>
                <w:rStyle w:val="Hypertextovodkaz"/>
                <w:rFonts w:ascii="Times New Roman" w:hAnsi="Times New Roman" w:cs="Times New Roman"/>
                <w:noProof/>
                <w:sz w:val="24"/>
                <w:szCs w:val="24"/>
              </w:rPr>
              <w:t>1.4.2</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Výskyt</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_Toc33869536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24</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37" w:history="1">
            <w:r w:rsidR="002C1887" w:rsidRPr="002C1887">
              <w:rPr>
                <w:rStyle w:val="Hypertextovodkaz"/>
                <w:rFonts w:ascii="Times New Roman" w:hAnsi="Times New Roman" w:cs="Times New Roman"/>
                <w:noProof/>
                <w:sz w:val="24"/>
                <w:szCs w:val="24"/>
              </w:rPr>
              <w:t>1.4.3</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Přechod prediabetu do diabetes mellitus</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_Toc33869537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26</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38" w:history="1">
            <w:r w:rsidR="002C1887" w:rsidRPr="002C1887">
              <w:rPr>
                <w:rStyle w:val="Hypertextovodkaz"/>
                <w:rFonts w:ascii="Times New Roman" w:hAnsi="Times New Roman" w:cs="Times New Roman"/>
                <w:noProof/>
                <w:sz w:val="24"/>
                <w:szCs w:val="24"/>
              </w:rPr>
              <w:t>1.4.4</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Prediabetes a zvýšené riziko dalších nemocí</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_Toc33869538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27</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39" w:history="1">
            <w:r w:rsidR="002C1887" w:rsidRPr="002C1887">
              <w:rPr>
                <w:rStyle w:val="Hypertextovodkaz"/>
                <w:rFonts w:ascii="Times New Roman" w:hAnsi="Times New Roman" w:cs="Times New Roman"/>
                <w:noProof/>
                <w:sz w:val="24"/>
                <w:szCs w:val="24"/>
              </w:rPr>
              <w:t>1.4.5</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shd w:val="clear" w:color="auto" w:fill="FFFFFF"/>
              </w:rPr>
              <w:t>Detekce poruch metabolismu glukózy</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_Toc33869539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31</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40" w:history="1">
            <w:r w:rsidR="002C1887" w:rsidRPr="002C1887">
              <w:rPr>
                <w:rStyle w:val="Hypertextovodkaz"/>
                <w:rFonts w:ascii="Times New Roman" w:hAnsi="Times New Roman" w:cs="Times New Roman"/>
                <w:noProof/>
                <w:sz w:val="24"/>
                <w:szCs w:val="24"/>
              </w:rPr>
              <w:t>1.4.6</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Prevence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_Toc33869540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32</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1"/>
            <w:shd w:val="clear" w:color="auto" w:fill="FFFFFF" w:themeFill="background1"/>
            <w:tabs>
              <w:tab w:val="left" w:pos="440"/>
              <w:tab w:val="right" w:leader="dot" w:pos="9062"/>
            </w:tabs>
            <w:rPr>
              <w:rFonts w:ascii="Times New Roman" w:eastAsiaTheme="minorEastAsia" w:hAnsi="Times New Roman" w:cs="Times New Roman"/>
              <w:noProof/>
              <w:sz w:val="24"/>
              <w:szCs w:val="24"/>
              <w:lang w:eastAsia="cs-CZ"/>
            </w:rPr>
          </w:pPr>
          <w:hyperlink w:anchor="_Toc33869541" w:history="1">
            <w:r w:rsidR="002C1887" w:rsidRPr="00695008">
              <w:rPr>
                <w:rStyle w:val="Hypertextovodkaz"/>
                <w:rFonts w:ascii="Times New Roman" w:hAnsi="Times New Roman" w:cs="Times New Roman"/>
                <w:b/>
                <w:noProof/>
                <w:sz w:val="24"/>
                <w:szCs w:val="24"/>
              </w:rPr>
              <w:t>2</w:t>
            </w:r>
            <w:r w:rsidR="002C1887" w:rsidRPr="00695008">
              <w:rPr>
                <w:rFonts w:ascii="Times New Roman" w:eastAsiaTheme="minorEastAsia" w:hAnsi="Times New Roman" w:cs="Times New Roman"/>
                <w:b/>
                <w:noProof/>
                <w:sz w:val="24"/>
                <w:szCs w:val="24"/>
                <w:lang w:eastAsia="cs-CZ"/>
              </w:rPr>
              <w:tab/>
            </w:r>
            <w:r w:rsidR="002C1887" w:rsidRPr="00695008">
              <w:rPr>
                <w:rStyle w:val="Hypertextovodkaz"/>
                <w:rFonts w:ascii="Times New Roman" w:hAnsi="Times New Roman" w:cs="Times New Roman"/>
                <w:b/>
                <w:noProof/>
                <w:sz w:val="24"/>
                <w:szCs w:val="24"/>
              </w:rPr>
              <w:t>Analytická část</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_Toc33869541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34</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42" w:history="1">
            <w:r w:rsidR="002C1887" w:rsidRPr="002C1887">
              <w:rPr>
                <w:rStyle w:val="Hypertextovodkaz"/>
                <w:rFonts w:ascii="Times New Roman" w:hAnsi="Times New Roman" w:cs="Times New Roman"/>
                <w:i w:val="0"/>
                <w:sz w:val="24"/>
                <w:szCs w:val="24"/>
              </w:rPr>
              <w:t>2.1</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Východiska a cíle</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_Toc33869542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34</w:t>
            </w:r>
            <w:r w:rsidR="00CA4B7D" w:rsidRPr="002C1887">
              <w:rPr>
                <w:rFonts w:ascii="Times New Roman" w:hAnsi="Times New Roman" w:cs="Times New Roman"/>
                <w:i w:val="0"/>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43" w:history="1">
            <w:r w:rsidR="002C1887" w:rsidRPr="002C1887">
              <w:rPr>
                <w:rStyle w:val="Hypertextovodkaz"/>
                <w:rFonts w:ascii="Times New Roman" w:hAnsi="Times New Roman" w:cs="Times New Roman"/>
                <w:i w:val="0"/>
                <w:sz w:val="24"/>
                <w:szCs w:val="24"/>
              </w:rPr>
              <w:t>2.2</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Analytická část A – Vztah mezi rutinně stanovovanými markery a homeostatickými indexy</w:t>
            </w:r>
            <w:r w:rsidR="002C1887" w:rsidRPr="002C1887">
              <w:rPr>
                <w:rFonts w:ascii="Times New Roman" w:hAnsi="Times New Roman" w:cs="Times New Roman"/>
                <w:i w:val="0"/>
                <w:webHidden/>
                <w:sz w:val="24"/>
                <w:szCs w:val="24"/>
              </w:rPr>
              <w:tab/>
            </w:r>
          </w:hyperlink>
          <w:r w:rsidR="00E62B1C">
            <w:rPr>
              <w:rFonts w:ascii="Times New Roman" w:hAnsi="Times New Roman" w:cs="Times New Roman"/>
              <w:i w:val="0"/>
              <w:sz w:val="24"/>
              <w:szCs w:val="24"/>
            </w:rPr>
            <w:t>35</w:t>
          </w:r>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44" w:history="1">
            <w:r w:rsidR="002C1887" w:rsidRPr="002C1887">
              <w:rPr>
                <w:rStyle w:val="Hypertextovodkaz"/>
                <w:rFonts w:ascii="Times New Roman" w:hAnsi="Times New Roman" w:cs="Times New Roman"/>
                <w:noProof/>
                <w:sz w:val="24"/>
                <w:szCs w:val="24"/>
              </w:rPr>
              <w:t>2.2.1</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Metodika</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_Toc33869544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35</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45" w:history="1">
            <w:r w:rsidR="002C1887" w:rsidRPr="002C1887">
              <w:rPr>
                <w:rStyle w:val="Hypertextovodkaz"/>
                <w:rFonts w:ascii="Times New Roman" w:hAnsi="Times New Roman" w:cs="Times New Roman"/>
                <w:noProof/>
                <w:sz w:val="24"/>
                <w:szCs w:val="24"/>
              </w:rPr>
              <w:t>2.2.2</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Výsledky</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_Toc33869545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37</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46" w:history="1">
            <w:r w:rsidR="002C1887" w:rsidRPr="002C1887">
              <w:rPr>
                <w:rStyle w:val="Hypertextovodkaz"/>
                <w:rFonts w:ascii="Times New Roman" w:hAnsi="Times New Roman" w:cs="Times New Roman"/>
                <w:noProof/>
                <w:sz w:val="24"/>
                <w:szCs w:val="24"/>
              </w:rPr>
              <w:t>2.2.3</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Diskuze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_Toc33869546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45</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47" w:history="1">
            <w:r w:rsidR="002C1887" w:rsidRPr="002C1887">
              <w:rPr>
                <w:rStyle w:val="Hypertextovodkaz"/>
                <w:rFonts w:ascii="Times New Roman" w:hAnsi="Times New Roman" w:cs="Times New Roman"/>
                <w:noProof/>
                <w:sz w:val="24"/>
                <w:szCs w:val="24"/>
              </w:rPr>
              <w:t>2.2.4</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Shrnutí výsledků</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_Toc33869547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47</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48" w:history="1">
            <w:r w:rsidR="002C1887" w:rsidRPr="002C1887">
              <w:rPr>
                <w:rStyle w:val="Hypertextovodkaz"/>
                <w:rFonts w:ascii="Times New Roman" w:hAnsi="Times New Roman" w:cs="Times New Roman"/>
                <w:i w:val="0"/>
                <w:sz w:val="24"/>
                <w:szCs w:val="24"/>
              </w:rPr>
              <w:t>2.3</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Analytická část B – Vztah visceral adiposity indexu a homeostatického indexu HOMA-IR</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_Toc33869548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48</w:t>
            </w:r>
            <w:r w:rsidR="00CA4B7D" w:rsidRPr="002C1887">
              <w:rPr>
                <w:rFonts w:ascii="Times New Roman" w:hAnsi="Times New Roman" w:cs="Times New Roman"/>
                <w:i w:val="0"/>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49" w:history="1">
            <w:r w:rsidR="002C1887" w:rsidRPr="002C1887">
              <w:rPr>
                <w:rStyle w:val="Hypertextovodkaz"/>
                <w:rFonts w:ascii="Times New Roman" w:hAnsi="Times New Roman" w:cs="Times New Roman"/>
                <w:noProof/>
                <w:sz w:val="24"/>
                <w:szCs w:val="24"/>
              </w:rPr>
              <w:t>2.3.1</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Metodika</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_Toc33869549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48</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50" w:history="1">
            <w:r w:rsidR="002C1887" w:rsidRPr="002C1887">
              <w:rPr>
                <w:rStyle w:val="Hypertextovodkaz"/>
                <w:rFonts w:ascii="Times New Roman" w:hAnsi="Times New Roman" w:cs="Times New Roman"/>
                <w:noProof/>
                <w:sz w:val="24"/>
                <w:szCs w:val="24"/>
              </w:rPr>
              <w:t>2.3.2</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Výsledky</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_Toc33869550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49</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51" w:history="1">
            <w:r w:rsidR="002C1887" w:rsidRPr="002C1887">
              <w:rPr>
                <w:rStyle w:val="Hypertextovodkaz"/>
                <w:rFonts w:ascii="Times New Roman" w:hAnsi="Times New Roman" w:cs="Times New Roman"/>
                <w:noProof/>
                <w:sz w:val="24"/>
                <w:szCs w:val="24"/>
              </w:rPr>
              <w:t>2.3.3</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Diskuze</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_Toc33869551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54</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3"/>
            <w:shd w:val="clear" w:color="auto" w:fill="FFFFFF" w:themeFill="background1"/>
            <w:tabs>
              <w:tab w:val="left" w:pos="1320"/>
              <w:tab w:val="right" w:leader="dot" w:pos="9062"/>
            </w:tabs>
            <w:rPr>
              <w:rFonts w:ascii="Times New Roman" w:eastAsiaTheme="minorEastAsia" w:hAnsi="Times New Roman" w:cs="Times New Roman"/>
              <w:noProof/>
              <w:sz w:val="24"/>
              <w:szCs w:val="24"/>
              <w:lang w:eastAsia="cs-CZ"/>
            </w:rPr>
          </w:pPr>
          <w:hyperlink w:anchor="_Toc33869552" w:history="1">
            <w:r w:rsidR="002C1887" w:rsidRPr="002C1887">
              <w:rPr>
                <w:rStyle w:val="Hypertextovodkaz"/>
                <w:rFonts w:ascii="Times New Roman" w:hAnsi="Times New Roman" w:cs="Times New Roman"/>
                <w:noProof/>
                <w:sz w:val="24"/>
                <w:szCs w:val="24"/>
              </w:rPr>
              <w:t>2.3.4</w:t>
            </w:r>
            <w:r w:rsidR="002C1887" w:rsidRPr="002C1887">
              <w:rPr>
                <w:rFonts w:ascii="Times New Roman" w:eastAsiaTheme="minorEastAsia" w:hAnsi="Times New Roman" w:cs="Times New Roman"/>
                <w:noProof/>
                <w:sz w:val="24"/>
                <w:szCs w:val="24"/>
                <w:lang w:eastAsia="cs-CZ"/>
              </w:rPr>
              <w:tab/>
            </w:r>
            <w:r w:rsidR="002C1887" w:rsidRPr="002C1887">
              <w:rPr>
                <w:rStyle w:val="Hypertextovodkaz"/>
                <w:rFonts w:ascii="Times New Roman" w:hAnsi="Times New Roman" w:cs="Times New Roman"/>
                <w:noProof/>
                <w:sz w:val="24"/>
                <w:szCs w:val="24"/>
              </w:rPr>
              <w:t>Shrnutí výsledků</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_Toc33869552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57</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1"/>
            <w:shd w:val="clear" w:color="auto" w:fill="FFFFFF" w:themeFill="background1"/>
            <w:tabs>
              <w:tab w:val="left" w:pos="440"/>
              <w:tab w:val="right" w:leader="dot" w:pos="9062"/>
            </w:tabs>
            <w:rPr>
              <w:rFonts w:ascii="Times New Roman" w:eastAsiaTheme="minorEastAsia" w:hAnsi="Times New Roman" w:cs="Times New Roman"/>
              <w:noProof/>
              <w:sz w:val="24"/>
              <w:szCs w:val="24"/>
              <w:lang w:eastAsia="cs-CZ"/>
            </w:rPr>
          </w:pPr>
          <w:hyperlink w:anchor="_Toc33869553" w:history="1">
            <w:r w:rsidR="002C1887" w:rsidRPr="00695008">
              <w:rPr>
                <w:rStyle w:val="Hypertextovodkaz"/>
                <w:rFonts w:ascii="Times New Roman" w:hAnsi="Times New Roman" w:cs="Times New Roman"/>
                <w:b/>
                <w:noProof/>
                <w:sz w:val="24"/>
                <w:szCs w:val="24"/>
              </w:rPr>
              <w:t>3</w:t>
            </w:r>
            <w:r w:rsidR="002C1887" w:rsidRPr="00695008">
              <w:rPr>
                <w:rFonts w:ascii="Times New Roman" w:eastAsiaTheme="minorEastAsia" w:hAnsi="Times New Roman" w:cs="Times New Roman"/>
                <w:b/>
                <w:noProof/>
                <w:sz w:val="24"/>
                <w:szCs w:val="24"/>
                <w:lang w:eastAsia="cs-CZ"/>
              </w:rPr>
              <w:tab/>
            </w:r>
            <w:r w:rsidR="002C1887" w:rsidRPr="00695008">
              <w:rPr>
                <w:rStyle w:val="Hypertextovodkaz"/>
                <w:rFonts w:ascii="Times New Roman" w:hAnsi="Times New Roman" w:cs="Times New Roman"/>
                <w:b/>
                <w:noProof/>
                <w:sz w:val="24"/>
                <w:szCs w:val="24"/>
              </w:rPr>
              <w:t>Závěr</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_Toc33869553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58</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1"/>
            <w:shd w:val="clear" w:color="auto" w:fill="FFFFFF" w:themeFill="background1"/>
            <w:tabs>
              <w:tab w:val="left" w:pos="440"/>
              <w:tab w:val="right" w:leader="dot" w:pos="9062"/>
            </w:tabs>
            <w:rPr>
              <w:rFonts w:ascii="Times New Roman" w:eastAsiaTheme="minorEastAsia" w:hAnsi="Times New Roman" w:cs="Times New Roman"/>
              <w:noProof/>
              <w:sz w:val="24"/>
              <w:szCs w:val="24"/>
              <w:lang w:eastAsia="cs-CZ"/>
            </w:rPr>
          </w:pPr>
          <w:hyperlink w:anchor="_Toc33869554" w:history="1">
            <w:r w:rsidR="002C1887" w:rsidRPr="00695008">
              <w:rPr>
                <w:rStyle w:val="Hypertextovodkaz"/>
                <w:rFonts w:ascii="Times New Roman" w:hAnsi="Times New Roman" w:cs="Times New Roman"/>
                <w:b/>
                <w:noProof/>
                <w:sz w:val="24"/>
                <w:szCs w:val="24"/>
              </w:rPr>
              <w:t>4</w:t>
            </w:r>
            <w:r w:rsidR="002C1887" w:rsidRPr="00695008">
              <w:rPr>
                <w:rFonts w:ascii="Times New Roman" w:eastAsiaTheme="minorEastAsia" w:hAnsi="Times New Roman" w:cs="Times New Roman"/>
                <w:b/>
                <w:noProof/>
                <w:sz w:val="24"/>
                <w:szCs w:val="24"/>
                <w:lang w:eastAsia="cs-CZ"/>
              </w:rPr>
              <w:tab/>
            </w:r>
            <w:r w:rsidR="002C1887" w:rsidRPr="00695008">
              <w:rPr>
                <w:rStyle w:val="Hypertextovodkaz"/>
                <w:rFonts w:ascii="Times New Roman" w:hAnsi="Times New Roman" w:cs="Times New Roman"/>
                <w:b/>
                <w:noProof/>
                <w:sz w:val="24"/>
                <w:szCs w:val="24"/>
              </w:rPr>
              <w:t>Conclusion</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_Toc33869554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59</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1"/>
            <w:shd w:val="clear" w:color="auto" w:fill="FFFFFF" w:themeFill="background1"/>
            <w:tabs>
              <w:tab w:val="left" w:pos="440"/>
              <w:tab w:val="right" w:leader="dot" w:pos="9062"/>
            </w:tabs>
            <w:rPr>
              <w:rFonts w:ascii="Times New Roman" w:eastAsiaTheme="minorEastAsia" w:hAnsi="Times New Roman" w:cs="Times New Roman"/>
              <w:noProof/>
              <w:sz w:val="24"/>
              <w:szCs w:val="24"/>
              <w:lang w:eastAsia="cs-CZ"/>
            </w:rPr>
          </w:pPr>
          <w:hyperlink w:anchor="_Toc33869555" w:history="1">
            <w:r w:rsidR="002C1887" w:rsidRPr="00695008">
              <w:rPr>
                <w:rStyle w:val="Hypertextovodkaz"/>
                <w:rFonts w:ascii="Times New Roman" w:hAnsi="Times New Roman" w:cs="Times New Roman"/>
                <w:b/>
                <w:noProof/>
                <w:sz w:val="24"/>
                <w:szCs w:val="24"/>
              </w:rPr>
              <w:t>5</w:t>
            </w:r>
            <w:r w:rsidR="002C1887" w:rsidRPr="00695008">
              <w:rPr>
                <w:rFonts w:ascii="Times New Roman" w:eastAsiaTheme="minorEastAsia" w:hAnsi="Times New Roman" w:cs="Times New Roman"/>
                <w:b/>
                <w:noProof/>
                <w:sz w:val="24"/>
                <w:szCs w:val="24"/>
                <w:lang w:eastAsia="cs-CZ"/>
              </w:rPr>
              <w:tab/>
            </w:r>
            <w:r w:rsidR="002C1887" w:rsidRPr="00695008">
              <w:rPr>
                <w:rStyle w:val="Hypertextovodkaz"/>
                <w:rFonts w:ascii="Times New Roman" w:hAnsi="Times New Roman" w:cs="Times New Roman"/>
                <w:b/>
                <w:noProof/>
                <w:sz w:val="24"/>
                <w:szCs w:val="24"/>
              </w:rPr>
              <w:t>Seznam zkratek</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_Toc33869555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60</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1"/>
            <w:shd w:val="clear" w:color="auto" w:fill="FFFFFF" w:themeFill="background1"/>
            <w:tabs>
              <w:tab w:val="left" w:pos="440"/>
              <w:tab w:val="right" w:leader="dot" w:pos="9062"/>
            </w:tabs>
            <w:rPr>
              <w:rFonts w:ascii="Times New Roman" w:eastAsiaTheme="minorEastAsia" w:hAnsi="Times New Roman" w:cs="Times New Roman"/>
              <w:noProof/>
              <w:sz w:val="24"/>
              <w:szCs w:val="24"/>
              <w:lang w:eastAsia="cs-CZ"/>
            </w:rPr>
          </w:pPr>
          <w:hyperlink w:anchor="_Toc33869556" w:history="1">
            <w:r w:rsidR="002C1887" w:rsidRPr="00695008">
              <w:rPr>
                <w:rStyle w:val="Hypertextovodkaz"/>
                <w:rFonts w:ascii="Times New Roman" w:hAnsi="Times New Roman" w:cs="Times New Roman"/>
                <w:b/>
                <w:noProof/>
                <w:sz w:val="24"/>
                <w:szCs w:val="24"/>
              </w:rPr>
              <w:t>6</w:t>
            </w:r>
            <w:r w:rsidR="002C1887" w:rsidRPr="00695008">
              <w:rPr>
                <w:rFonts w:ascii="Times New Roman" w:eastAsiaTheme="minorEastAsia" w:hAnsi="Times New Roman" w:cs="Times New Roman"/>
                <w:b/>
                <w:noProof/>
                <w:sz w:val="24"/>
                <w:szCs w:val="24"/>
                <w:lang w:eastAsia="cs-CZ"/>
              </w:rPr>
              <w:tab/>
            </w:r>
            <w:r w:rsidR="002C1887" w:rsidRPr="00695008">
              <w:rPr>
                <w:rStyle w:val="Hypertextovodkaz"/>
                <w:rFonts w:ascii="Times New Roman" w:hAnsi="Times New Roman" w:cs="Times New Roman"/>
                <w:b/>
                <w:noProof/>
                <w:sz w:val="24"/>
                <w:szCs w:val="24"/>
              </w:rPr>
              <w:t>Seznam tabulek a obrázků</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_Toc33869556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62</w:t>
            </w:r>
            <w:r w:rsidR="00CA4B7D" w:rsidRPr="002C1887">
              <w:rPr>
                <w:rFonts w:ascii="Times New Roman" w:hAnsi="Times New Roman" w:cs="Times New Roman"/>
                <w:noProof/>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57" w:history="1">
            <w:r w:rsidR="002C1887" w:rsidRPr="002C1887">
              <w:rPr>
                <w:rStyle w:val="Hypertextovodkaz"/>
                <w:rFonts w:ascii="Times New Roman" w:hAnsi="Times New Roman" w:cs="Times New Roman"/>
                <w:i w:val="0"/>
                <w:sz w:val="24"/>
                <w:szCs w:val="24"/>
              </w:rPr>
              <w:t>6.1</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Seznam tabulek</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_Toc33869557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62</w:t>
            </w:r>
            <w:r w:rsidR="00CA4B7D" w:rsidRPr="002C1887">
              <w:rPr>
                <w:rFonts w:ascii="Times New Roman" w:hAnsi="Times New Roman" w:cs="Times New Roman"/>
                <w:i w:val="0"/>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58" w:history="1">
            <w:r w:rsidR="002C1887" w:rsidRPr="002C1887">
              <w:rPr>
                <w:rStyle w:val="Hypertextovodkaz"/>
                <w:rFonts w:ascii="Times New Roman" w:hAnsi="Times New Roman" w:cs="Times New Roman"/>
                <w:i w:val="0"/>
                <w:sz w:val="24"/>
                <w:szCs w:val="24"/>
              </w:rPr>
              <w:t>6.2</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Seznam obrázků</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_Toc33869558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62</w:t>
            </w:r>
            <w:r w:rsidR="00CA4B7D" w:rsidRPr="002C1887">
              <w:rPr>
                <w:rFonts w:ascii="Times New Roman" w:hAnsi="Times New Roman" w:cs="Times New Roman"/>
                <w:i w:val="0"/>
                <w:webHidden/>
                <w:sz w:val="24"/>
                <w:szCs w:val="24"/>
              </w:rPr>
              <w:fldChar w:fldCharType="end"/>
            </w:r>
          </w:hyperlink>
        </w:p>
        <w:p w:rsidR="002C1887" w:rsidRPr="002C1887" w:rsidRDefault="007D6852" w:rsidP="00695008">
          <w:pPr>
            <w:pStyle w:val="Obsah1"/>
            <w:shd w:val="clear" w:color="auto" w:fill="FFFFFF" w:themeFill="background1"/>
            <w:tabs>
              <w:tab w:val="left" w:pos="440"/>
              <w:tab w:val="right" w:leader="dot" w:pos="9062"/>
            </w:tabs>
            <w:rPr>
              <w:rFonts w:ascii="Times New Roman" w:eastAsiaTheme="minorEastAsia" w:hAnsi="Times New Roman" w:cs="Times New Roman"/>
              <w:noProof/>
              <w:sz w:val="24"/>
              <w:szCs w:val="24"/>
              <w:lang w:eastAsia="cs-CZ"/>
            </w:rPr>
          </w:pPr>
          <w:hyperlink w:anchor="_Toc33869559" w:history="1">
            <w:r w:rsidR="002C1887" w:rsidRPr="00695008">
              <w:rPr>
                <w:rStyle w:val="Hypertextovodkaz"/>
                <w:rFonts w:ascii="Times New Roman" w:hAnsi="Times New Roman" w:cs="Times New Roman"/>
                <w:b/>
                <w:noProof/>
                <w:sz w:val="24"/>
                <w:szCs w:val="24"/>
              </w:rPr>
              <w:t>7</w:t>
            </w:r>
            <w:r w:rsidR="002C1887" w:rsidRPr="00695008">
              <w:rPr>
                <w:rFonts w:ascii="Times New Roman" w:eastAsiaTheme="minorEastAsia" w:hAnsi="Times New Roman" w:cs="Times New Roman"/>
                <w:b/>
                <w:noProof/>
                <w:sz w:val="24"/>
                <w:szCs w:val="24"/>
                <w:lang w:eastAsia="cs-CZ"/>
              </w:rPr>
              <w:tab/>
            </w:r>
            <w:r w:rsidR="002C1887" w:rsidRPr="00695008">
              <w:rPr>
                <w:rStyle w:val="Hypertextovodkaz"/>
                <w:rFonts w:ascii="Times New Roman" w:hAnsi="Times New Roman" w:cs="Times New Roman"/>
                <w:b/>
                <w:noProof/>
                <w:sz w:val="24"/>
                <w:szCs w:val="24"/>
              </w:rPr>
              <w:t>Literatura</w:t>
            </w:r>
            <w:r w:rsidR="002C1887" w:rsidRPr="002C1887">
              <w:rPr>
                <w:rFonts w:ascii="Times New Roman" w:hAnsi="Times New Roman" w:cs="Times New Roman"/>
                <w:noProof/>
                <w:webHidden/>
                <w:sz w:val="24"/>
                <w:szCs w:val="24"/>
              </w:rPr>
              <w:tab/>
            </w:r>
            <w:r w:rsidR="00CA4B7D" w:rsidRPr="002C1887">
              <w:rPr>
                <w:rFonts w:ascii="Times New Roman" w:hAnsi="Times New Roman" w:cs="Times New Roman"/>
                <w:noProof/>
                <w:webHidden/>
                <w:sz w:val="24"/>
                <w:szCs w:val="24"/>
              </w:rPr>
              <w:fldChar w:fldCharType="begin"/>
            </w:r>
            <w:r w:rsidR="002C1887" w:rsidRPr="002C1887">
              <w:rPr>
                <w:rFonts w:ascii="Times New Roman" w:hAnsi="Times New Roman" w:cs="Times New Roman"/>
                <w:noProof/>
                <w:webHidden/>
                <w:sz w:val="24"/>
                <w:szCs w:val="24"/>
              </w:rPr>
              <w:instrText xml:space="preserve"> PAGEREF _Toc33869559 \h </w:instrText>
            </w:r>
            <w:r w:rsidR="00CA4B7D" w:rsidRPr="002C1887">
              <w:rPr>
                <w:rFonts w:ascii="Times New Roman" w:hAnsi="Times New Roman" w:cs="Times New Roman"/>
                <w:noProof/>
                <w:webHidden/>
                <w:sz w:val="24"/>
                <w:szCs w:val="24"/>
              </w:rPr>
            </w:r>
            <w:r w:rsidR="00CA4B7D" w:rsidRPr="002C1887">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63</w:t>
            </w:r>
            <w:r w:rsidR="00CA4B7D" w:rsidRPr="002C1887">
              <w:rPr>
                <w:rFonts w:ascii="Times New Roman" w:hAnsi="Times New Roman" w:cs="Times New Roman"/>
                <w:noProof/>
                <w:webHidden/>
                <w:sz w:val="24"/>
                <w:szCs w:val="24"/>
              </w:rPr>
              <w:fldChar w:fldCharType="end"/>
            </w:r>
          </w:hyperlink>
        </w:p>
        <w:p w:rsidR="002C1887" w:rsidRPr="00695008" w:rsidRDefault="007D6852" w:rsidP="00695008">
          <w:pPr>
            <w:pStyle w:val="Obsah1"/>
            <w:shd w:val="clear" w:color="auto" w:fill="FFFFFF" w:themeFill="background1"/>
            <w:tabs>
              <w:tab w:val="left" w:pos="440"/>
              <w:tab w:val="right" w:leader="dot" w:pos="9062"/>
            </w:tabs>
            <w:rPr>
              <w:rFonts w:ascii="Times New Roman" w:eastAsiaTheme="minorEastAsia" w:hAnsi="Times New Roman" w:cs="Times New Roman"/>
              <w:b/>
              <w:noProof/>
              <w:sz w:val="24"/>
              <w:szCs w:val="24"/>
              <w:lang w:eastAsia="cs-CZ"/>
            </w:rPr>
          </w:pPr>
          <w:hyperlink w:anchor="_Toc33869560" w:history="1">
            <w:r w:rsidR="002C1887" w:rsidRPr="00695008">
              <w:rPr>
                <w:rStyle w:val="Hypertextovodkaz"/>
                <w:rFonts w:ascii="Times New Roman" w:hAnsi="Times New Roman" w:cs="Times New Roman"/>
                <w:b/>
                <w:noProof/>
                <w:sz w:val="24"/>
                <w:szCs w:val="24"/>
              </w:rPr>
              <w:t>8</w:t>
            </w:r>
            <w:r w:rsidR="002C1887" w:rsidRPr="00695008">
              <w:rPr>
                <w:rFonts w:ascii="Times New Roman" w:eastAsiaTheme="minorEastAsia" w:hAnsi="Times New Roman" w:cs="Times New Roman"/>
                <w:b/>
                <w:noProof/>
                <w:sz w:val="24"/>
                <w:szCs w:val="24"/>
                <w:lang w:eastAsia="cs-CZ"/>
              </w:rPr>
              <w:tab/>
            </w:r>
            <w:r w:rsidR="002C1887" w:rsidRPr="00695008">
              <w:rPr>
                <w:rStyle w:val="Hypertextovodkaz"/>
                <w:rFonts w:ascii="Times New Roman" w:hAnsi="Times New Roman" w:cs="Times New Roman"/>
                <w:b/>
                <w:noProof/>
                <w:sz w:val="24"/>
                <w:szCs w:val="24"/>
              </w:rPr>
              <w:t>Publikace autora související s dizertační prací</w:t>
            </w:r>
            <w:r w:rsidR="002C1887" w:rsidRPr="00695008">
              <w:rPr>
                <w:rFonts w:ascii="Times New Roman" w:hAnsi="Times New Roman" w:cs="Times New Roman"/>
                <w:noProof/>
                <w:webHidden/>
                <w:sz w:val="24"/>
                <w:szCs w:val="24"/>
              </w:rPr>
              <w:tab/>
            </w:r>
            <w:r w:rsidR="00CA4B7D" w:rsidRPr="00695008">
              <w:rPr>
                <w:rFonts w:ascii="Times New Roman" w:hAnsi="Times New Roman" w:cs="Times New Roman"/>
                <w:noProof/>
                <w:webHidden/>
                <w:sz w:val="24"/>
                <w:szCs w:val="24"/>
              </w:rPr>
              <w:fldChar w:fldCharType="begin"/>
            </w:r>
            <w:r w:rsidR="002C1887" w:rsidRPr="00695008">
              <w:rPr>
                <w:rFonts w:ascii="Times New Roman" w:hAnsi="Times New Roman" w:cs="Times New Roman"/>
                <w:noProof/>
                <w:webHidden/>
                <w:sz w:val="24"/>
                <w:szCs w:val="24"/>
              </w:rPr>
              <w:instrText xml:space="preserve"> PAGEREF _Toc33869560 \h </w:instrText>
            </w:r>
            <w:r w:rsidR="00CA4B7D" w:rsidRPr="00695008">
              <w:rPr>
                <w:rFonts w:ascii="Times New Roman" w:hAnsi="Times New Roman" w:cs="Times New Roman"/>
                <w:noProof/>
                <w:webHidden/>
                <w:sz w:val="24"/>
                <w:szCs w:val="24"/>
              </w:rPr>
            </w:r>
            <w:r w:rsidR="00CA4B7D" w:rsidRPr="00695008">
              <w:rPr>
                <w:rFonts w:ascii="Times New Roman" w:hAnsi="Times New Roman" w:cs="Times New Roman"/>
                <w:noProof/>
                <w:webHidden/>
                <w:sz w:val="24"/>
                <w:szCs w:val="24"/>
              </w:rPr>
              <w:fldChar w:fldCharType="separate"/>
            </w:r>
            <w:r w:rsidR="00C4374C">
              <w:rPr>
                <w:rFonts w:ascii="Times New Roman" w:hAnsi="Times New Roman" w:cs="Times New Roman"/>
                <w:noProof/>
                <w:webHidden/>
                <w:sz w:val="24"/>
                <w:szCs w:val="24"/>
              </w:rPr>
              <w:t>76</w:t>
            </w:r>
            <w:r w:rsidR="00CA4B7D" w:rsidRPr="00695008">
              <w:rPr>
                <w:rFonts w:ascii="Times New Roman" w:hAnsi="Times New Roman" w:cs="Times New Roman"/>
                <w:noProof/>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61" w:history="1">
            <w:r w:rsidR="002C1887" w:rsidRPr="002C1887">
              <w:rPr>
                <w:rStyle w:val="Hypertextovodkaz"/>
                <w:rFonts w:ascii="Times New Roman" w:hAnsi="Times New Roman" w:cs="Times New Roman"/>
                <w:i w:val="0"/>
                <w:sz w:val="24"/>
                <w:szCs w:val="24"/>
              </w:rPr>
              <w:t>8.1</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rPr>
              <w:t>Články</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_Toc33869561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76</w:t>
            </w:r>
            <w:r w:rsidR="00CA4B7D" w:rsidRPr="002C1887">
              <w:rPr>
                <w:rFonts w:ascii="Times New Roman" w:hAnsi="Times New Roman" w:cs="Times New Roman"/>
                <w:i w:val="0"/>
                <w:webHidden/>
                <w:sz w:val="24"/>
                <w:szCs w:val="24"/>
              </w:rPr>
              <w:fldChar w:fldCharType="end"/>
            </w:r>
          </w:hyperlink>
        </w:p>
        <w:p w:rsidR="002C1887" w:rsidRPr="002C1887" w:rsidRDefault="007D6852" w:rsidP="00695008">
          <w:pPr>
            <w:pStyle w:val="Obsah2"/>
            <w:shd w:val="clear" w:color="auto" w:fill="FFFFFF" w:themeFill="background1"/>
            <w:tabs>
              <w:tab w:val="left" w:pos="880"/>
            </w:tabs>
            <w:rPr>
              <w:rFonts w:ascii="Times New Roman" w:eastAsiaTheme="minorEastAsia" w:hAnsi="Times New Roman" w:cs="Times New Roman"/>
              <w:i w:val="0"/>
              <w:iCs w:val="0"/>
              <w:sz w:val="24"/>
              <w:szCs w:val="24"/>
              <w:lang w:eastAsia="cs-CZ" w:bidi="ar-SA"/>
            </w:rPr>
          </w:pPr>
          <w:hyperlink w:anchor="_Toc33869562" w:history="1">
            <w:r w:rsidR="002C1887" w:rsidRPr="002C1887">
              <w:rPr>
                <w:rStyle w:val="Hypertextovodkaz"/>
                <w:rFonts w:ascii="Times New Roman" w:hAnsi="Times New Roman" w:cs="Times New Roman"/>
                <w:i w:val="0"/>
                <w:sz w:val="24"/>
                <w:szCs w:val="24"/>
              </w:rPr>
              <w:t>8.2</w:t>
            </w:r>
            <w:r w:rsidR="002C1887" w:rsidRPr="002C1887">
              <w:rPr>
                <w:rFonts w:ascii="Times New Roman" w:eastAsiaTheme="minorEastAsia" w:hAnsi="Times New Roman" w:cs="Times New Roman"/>
                <w:i w:val="0"/>
                <w:iCs w:val="0"/>
                <w:sz w:val="24"/>
                <w:szCs w:val="24"/>
                <w:lang w:eastAsia="cs-CZ" w:bidi="ar-SA"/>
              </w:rPr>
              <w:tab/>
            </w:r>
            <w:r w:rsidR="002C1887" w:rsidRPr="002C1887">
              <w:rPr>
                <w:rStyle w:val="Hypertextovodkaz"/>
                <w:rFonts w:ascii="Times New Roman" w:hAnsi="Times New Roman" w:cs="Times New Roman"/>
                <w:i w:val="0"/>
                <w:sz w:val="24"/>
                <w:szCs w:val="24"/>
                <w:shd w:val="clear" w:color="auto" w:fill="FFFFFF"/>
              </w:rPr>
              <w:t>Abstrakt ve sborníku</w:t>
            </w:r>
            <w:r w:rsidR="002C1887" w:rsidRPr="002C1887">
              <w:rPr>
                <w:rFonts w:ascii="Times New Roman" w:hAnsi="Times New Roman" w:cs="Times New Roman"/>
                <w:i w:val="0"/>
                <w:webHidden/>
                <w:sz w:val="24"/>
                <w:szCs w:val="24"/>
              </w:rPr>
              <w:tab/>
            </w:r>
            <w:r w:rsidR="00CA4B7D" w:rsidRPr="002C1887">
              <w:rPr>
                <w:rFonts w:ascii="Times New Roman" w:hAnsi="Times New Roman" w:cs="Times New Roman"/>
                <w:i w:val="0"/>
                <w:webHidden/>
                <w:sz w:val="24"/>
                <w:szCs w:val="24"/>
              </w:rPr>
              <w:fldChar w:fldCharType="begin"/>
            </w:r>
            <w:r w:rsidR="002C1887" w:rsidRPr="002C1887">
              <w:rPr>
                <w:rFonts w:ascii="Times New Roman" w:hAnsi="Times New Roman" w:cs="Times New Roman"/>
                <w:i w:val="0"/>
                <w:webHidden/>
                <w:sz w:val="24"/>
                <w:szCs w:val="24"/>
              </w:rPr>
              <w:instrText xml:space="preserve"> PAGEREF _Toc33869562 \h </w:instrText>
            </w:r>
            <w:r w:rsidR="00CA4B7D" w:rsidRPr="002C1887">
              <w:rPr>
                <w:rFonts w:ascii="Times New Roman" w:hAnsi="Times New Roman" w:cs="Times New Roman"/>
                <w:i w:val="0"/>
                <w:webHidden/>
                <w:sz w:val="24"/>
                <w:szCs w:val="24"/>
              </w:rPr>
            </w:r>
            <w:r w:rsidR="00CA4B7D" w:rsidRPr="002C1887">
              <w:rPr>
                <w:rFonts w:ascii="Times New Roman" w:hAnsi="Times New Roman" w:cs="Times New Roman"/>
                <w:i w:val="0"/>
                <w:webHidden/>
                <w:sz w:val="24"/>
                <w:szCs w:val="24"/>
              </w:rPr>
              <w:fldChar w:fldCharType="separate"/>
            </w:r>
            <w:r w:rsidR="00C4374C">
              <w:rPr>
                <w:rFonts w:ascii="Times New Roman" w:hAnsi="Times New Roman" w:cs="Times New Roman"/>
                <w:i w:val="0"/>
                <w:webHidden/>
                <w:sz w:val="24"/>
                <w:szCs w:val="24"/>
              </w:rPr>
              <w:t>77</w:t>
            </w:r>
            <w:r w:rsidR="00CA4B7D" w:rsidRPr="002C1887">
              <w:rPr>
                <w:rFonts w:ascii="Times New Roman" w:hAnsi="Times New Roman" w:cs="Times New Roman"/>
                <w:i w:val="0"/>
                <w:webHidden/>
                <w:sz w:val="24"/>
                <w:szCs w:val="24"/>
              </w:rPr>
              <w:fldChar w:fldCharType="end"/>
            </w:r>
          </w:hyperlink>
        </w:p>
        <w:p w:rsidR="00A3679A" w:rsidRPr="000D096C" w:rsidRDefault="00CA4B7D" w:rsidP="00695008">
          <w:pPr>
            <w:shd w:val="clear" w:color="auto" w:fill="FFFFFF" w:themeFill="background1"/>
            <w:rPr>
              <w:rFonts w:ascii="Times New Roman" w:hAnsi="Times New Roman" w:cs="Times New Roman"/>
            </w:rPr>
          </w:pPr>
          <w:r w:rsidRPr="002C1887">
            <w:rPr>
              <w:rFonts w:ascii="Times New Roman" w:hAnsi="Times New Roman" w:cs="Times New Roman"/>
              <w:b/>
              <w:bCs/>
              <w:sz w:val="24"/>
              <w:szCs w:val="24"/>
            </w:rPr>
            <w:fldChar w:fldCharType="end"/>
          </w:r>
        </w:p>
      </w:sdtContent>
    </w:sdt>
    <w:p w:rsidR="00A3679A" w:rsidRPr="000D096C" w:rsidRDefault="00A3679A">
      <w:pPr>
        <w:rPr>
          <w:rFonts w:ascii="Times New Roman" w:hAnsi="Times New Roman" w:cs="Times New Roman"/>
          <w:caps/>
        </w:rPr>
      </w:pPr>
      <w:r w:rsidRPr="000D096C">
        <w:rPr>
          <w:rFonts w:ascii="Times New Roman" w:hAnsi="Times New Roman" w:cs="Times New Roman"/>
          <w:caps/>
        </w:rPr>
        <w:br w:type="page"/>
      </w:r>
    </w:p>
    <w:p w:rsidR="00277845" w:rsidRPr="000D096C" w:rsidRDefault="00277845" w:rsidP="004567D5">
      <w:pPr>
        <w:pStyle w:val="Nadpis1"/>
        <w:numPr>
          <w:ilvl w:val="0"/>
          <w:numId w:val="22"/>
        </w:numPr>
      </w:pPr>
      <w:bookmarkStart w:id="0" w:name="_Toc33432658"/>
      <w:bookmarkStart w:id="1" w:name="_Toc33432878"/>
      <w:bookmarkStart w:id="2" w:name="_Toc33869517"/>
      <w:r w:rsidRPr="000D096C">
        <w:lastRenderedPageBreak/>
        <w:t>Teoretická část – současný stav problematiky</w:t>
      </w:r>
      <w:bookmarkEnd w:id="0"/>
      <w:bookmarkEnd w:id="1"/>
      <w:bookmarkEnd w:id="2"/>
    </w:p>
    <w:p w:rsidR="001B10FE" w:rsidRPr="000D096C" w:rsidRDefault="00791AE2" w:rsidP="00C97500">
      <w:pPr>
        <w:pStyle w:val="Nadpis2"/>
      </w:pPr>
      <w:bookmarkStart w:id="3" w:name="_Toc33432659"/>
      <w:bookmarkStart w:id="4" w:name="_Toc33432879"/>
      <w:bookmarkStart w:id="5" w:name="_Toc33869518"/>
      <w:r w:rsidRPr="000D096C">
        <w:t>Úvod</w:t>
      </w:r>
      <w:bookmarkEnd w:id="3"/>
      <w:bookmarkEnd w:id="4"/>
      <w:bookmarkEnd w:id="5"/>
    </w:p>
    <w:p w:rsidR="00791AE2" w:rsidRPr="000D096C" w:rsidRDefault="00791AE2" w:rsidP="004567D5">
      <w:pPr>
        <w:spacing w:after="0" w:line="360" w:lineRule="auto"/>
        <w:ind w:firstLine="709"/>
        <w:jc w:val="both"/>
        <w:rPr>
          <w:rFonts w:ascii="Times New Roman" w:hAnsi="Times New Roman" w:cs="Times New Roman"/>
          <w:sz w:val="24"/>
          <w:szCs w:val="24"/>
        </w:rPr>
      </w:pPr>
      <w:r w:rsidRPr="000D096C">
        <w:rPr>
          <w:rFonts w:ascii="Times New Roman" w:hAnsi="Times New Roman" w:cs="Times New Roman"/>
          <w:sz w:val="24"/>
          <w:szCs w:val="24"/>
        </w:rPr>
        <w:t xml:space="preserve">Chronická neinfekční onemocnění, </w:t>
      </w:r>
      <w:r w:rsidR="00AD5718" w:rsidRPr="000D096C">
        <w:rPr>
          <w:rFonts w:ascii="Times New Roman" w:hAnsi="Times New Roman" w:cs="Times New Roman"/>
          <w:sz w:val="24"/>
          <w:szCs w:val="24"/>
        </w:rPr>
        <w:t>zvláště</w:t>
      </w:r>
      <w:r w:rsidR="00022B0F" w:rsidRPr="000D096C">
        <w:rPr>
          <w:rFonts w:ascii="Times New Roman" w:hAnsi="Times New Roman" w:cs="Times New Roman"/>
          <w:sz w:val="24"/>
          <w:szCs w:val="24"/>
        </w:rPr>
        <w:t xml:space="preserve"> ta</w:t>
      </w:r>
      <w:r w:rsidR="00AD5718" w:rsidRPr="000D096C">
        <w:rPr>
          <w:rFonts w:ascii="Times New Roman" w:hAnsi="Times New Roman" w:cs="Times New Roman"/>
          <w:sz w:val="24"/>
          <w:szCs w:val="24"/>
        </w:rPr>
        <w:t xml:space="preserve"> kardiometabolická, představují celosvětově hlavní příčinu úmrtí a současně tak i extrémní ekonomickou zátěž zdravotn</w:t>
      </w:r>
      <w:r w:rsidR="008622F3" w:rsidRPr="000D096C">
        <w:rPr>
          <w:rFonts w:ascii="Times New Roman" w:hAnsi="Times New Roman" w:cs="Times New Roman"/>
          <w:sz w:val="24"/>
          <w:szCs w:val="24"/>
        </w:rPr>
        <w:t>ických</w:t>
      </w:r>
      <w:r w:rsidR="00AD5718" w:rsidRPr="000D096C">
        <w:rPr>
          <w:rFonts w:ascii="Times New Roman" w:hAnsi="Times New Roman" w:cs="Times New Roman"/>
          <w:sz w:val="24"/>
          <w:szCs w:val="24"/>
        </w:rPr>
        <w:t xml:space="preserve"> systémů.</w:t>
      </w:r>
      <w:r w:rsidR="008622F3" w:rsidRPr="000D096C">
        <w:rPr>
          <w:rFonts w:ascii="Times New Roman" w:hAnsi="Times New Roman" w:cs="Times New Roman"/>
          <w:sz w:val="24"/>
          <w:szCs w:val="24"/>
        </w:rPr>
        <w:t xml:space="preserve"> Byť jsme svěd</w:t>
      </w:r>
      <w:r w:rsidR="004E138D">
        <w:rPr>
          <w:rFonts w:ascii="Times New Roman" w:hAnsi="Times New Roman" w:cs="Times New Roman"/>
          <w:sz w:val="24"/>
          <w:szCs w:val="24"/>
        </w:rPr>
        <w:t>ky postupného globálního nárůstu</w:t>
      </w:r>
      <w:r w:rsidR="008622F3" w:rsidRPr="000D096C">
        <w:rPr>
          <w:rFonts w:ascii="Times New Roman" w:hAnsi="Times New Roman" w:cs="Times New Roman"/>
          <w:sz w:val="24"/>
          <w:szCs w:val="24"/>
        </w:rPr>
        <w:t xml:space="preserve"> délky dožití, některé aktuální epidemiologické ukazatelé i odhady do budoucna, například rostoucí prevalence poruch glukózového metabolismu, mohou tento trend zvrátit</w:t>
      </w:r>
      <w:r w:rsidR="00E1188B" w:rsidRPr="000D096C">
        <w:rPr>
          <w:rFonts w:ascii="Times New Roman" w:hAnsi="Times New Roman" w:cs="Times New Roman"/>
          <w:sz w:val="24"/>
          <w:szCs w:val="24"/>
        </w:rPr>
        <w:t xml:space="preserve"> [1]</w:t>
      </w:r>
      <w:r w:rsidR="008622F3" w:rsidRPr="000D096C">
        <w:rPr>
          <w:rFonts w:ascii="Times New Roman" w:hAnsi="Times New Roman" w:cs="Times New Roman"/>
          <w:sz w:val="24"/>
          <w:szCs w:val="24"/>
        </w:rPr>
        <w:t xml:space="preserve">. Rovněž v ČR má celková úmrtnost trvale klesající tendenci s dopadem na prodlužující se délku dožití. Klesající úmrtnost se projevuje ve všech nejčastějších příčinách smrti, tedy </w:t>
      </w:r>
      <w:r w:rsidR="00022B0F" w:rsidRPr="000D096C">
        <w:rPr>
          <w:rFonts w:ascii="Times New Roman" w:hAnsi="Times New Roman" w:cs="Times New Roman"/>
          <w:sz w:val="24"/>
          <w:szCs w:val="24"/>
        </w:rPr>
        <w:t xml:space="preserve">zejména </w:t>
      </w:r>
      <w:r w:rsidR="008622F3" w:rsidRPr="000D096C">
        <w:rPr>
          <w:rFonts w:ascii="Times New Roman" w:hAnsi="Times New Roman" w:cs="Times New Roman"/>
          <w:sz w:val="24"/>
          <w:szCs w:val="24"/>
        </w:rPr>
        <w:t>u</w:t>
      </w:r>
      <w:r w:rsidR="00762125">
        <w:rPr>
          <w:rFonts w:ascii="Times New Roman" w:hAnsi="Times New Roman" w:cs="Times New Roman"/>
          <w:sz w:val="24"/>
          <w:szCs w:val="24"/>
        </w:rPr>
        <w:t> </w:t>
      </w:r>
      <w:r w:rsidR="008622F3" w:rsidRPr="000D096C">
        <w:rPr>
          <w:rFonts w:ascii="Times New Roman" w:hAnsi="Times New Roman" w:cs="Times New Roman"/>
          <w:sz w:val="24"/>
          <w:szCs w:val="24"/>
        </w:rPr>
        <w:t xml:space="preserve">onemocnění srdce a cév, </w:t>
      </w:r>
      <w:r w:rsidR="00022B0F" w:rsidRPr="000D096C">
        <w:rPr>
          <w:rFonts w:ascii="Times New Roman" w:hAnsi="Times New Roman" w:cs="Times New Roman"/>
          <w:sz w:val="24"/>
          <w:szCs w:val="24"/>
        </w:rPr>
        <w:t xml:space="preserve">dále pak </w:t>
      </w:r>
      <w:r w:rsidR="008622F3" w:rsidRPr="000D096C">
        <w:rPr>
          <w:rFonts w:ascii="Times New Roman" w:hAnsi="Times New Roman" w:cs="Times New Roman"/>
          <w:sz w:val="24"/>
          <w:szCs w:val="24"/>
        </w:rPr>
        <w:t>nádorů a vnějších příčin úmrtí</w:t>
      </w:r>
      <w:r w:rsidR="00E1188B" w:rsidRPr="000D096C">
        <w:rPr>
          <w:rFonts w:ascii="Times New Roman" w:hAnsi="Times New Roman" w:cs="Times New Roman"/>
          <w:sz w:val="24"/>
          <w:szCs w:val="24"/>
        </w:rPr>
        <w:t xml:space="preserve"> [2]</w:t>
      </w:r>
      <w:r w:rsidR="008622F3" w:rsidRPr="000D096C">
        <w:rPr>
          <w:rFonts w:ascii="Times New Roman" w:hAnsi="Times New Roman" w:cs="Times New Roman"/>
          <w:sz w:val="24"/>
          <w:szCs w:val="24"/>
        </w:rPr>
        <w:t>.</w:t>
      </w:r>
    </w:p>
    <w:p w:rsidR="0098521E" w:rsidRPr="000D096C" w:rsidRDefault="0098521E"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t>ČR vstoupila počátkem 90. let do etapy, která je charakterizována redukcí</w:t>
      </w:r>
      <w:r w:rsidR="00F80C90">
        <w:rPr>
          <w:rFonts w:ascii="Times New Roman" w:hAnsi="Times New Roman" w:cs="Times New Roman"/>
          <w:sz w:val="24"/>
          <w:szCs w:val="24"/>
        </w:rPr>
        <w:t xml:space="preserve"> výskytu</w:t>
      </w:r>
      <w:r w:rsidRPr="000D096C">
        <w:rPr>
          <w:rFonts w:ascii="Times New Roman" w:hAnsi="Times New Roman" w:cs="Times New Roman"/>
          <w:sz w:val="24"/>
          <w:szCs w:val="24"/>
        </w:rPr>
        <w:t xml:space="preserve"> onemocnění srdce a cév. V </w:t>
      </w:r>
      <w:r w:rsidR="003C0165">
        <w:rPr>
          <w:rFonts w:ascii="Times New Roman" w:hAnsi="Times New Roman" w:cs="Times New Roman"/>
          <w:sz w:val="24"/>
          <w:szCs w:val="24"/>
        </w:rPr>
        <w:t>posledních více než 25</w:t>
      </w:r>
      <w:r w:rsidRPr="000D096C">
        <w:rPr>
          <w:rFonts w:ascii="Times New Roman" w:hAnsi="Times New Roman" w:cs="Times New Roman"/>
          <w:sz w:val="24"/>
          <w:szCs w:val="24"/>
        </w:rPr>
        <w:t xml:space="preserve"> letech dochází ke stálému snižování úmrtn</w:t>
      </w:r>
      <w:r w:rsidR="005C7F6E" w:rsidRPr="000D096C">
        <w:rPr>
          <w:rFonts w:ascii="Times New Roman" w:hAnsi="Times New Roman" w:cs="Times New Roman"/>
          <w:sz w:val="24"/>
          <w:szCs w:val="24"/>
        </w:rPr>
        <w:t>osti na nemoci oběhové soustavy, a to především zásluhou účinnějších diagnostických a</w:t>
      </w:r>
      <w:r w:rsidR="00BB3FFF">
        <w:rPr>
          <w:rFonts w:ascii="Times New Roman" w:hAnsi="Times New Roman" w:cs="Times New Roman"/>
          <w:sz w:val="24"/>
          <w:szCs w:val="24"/>
        </w:rPr>
        <w:t> </w:t>
      </w:r>
      <w:r w:rsidR="005C7F6E" w:rsidRPr="000D096C">
        <w:rPr>
          <w:rFonts w:ascii="Times New Roman" w:hAnsi="Times New Roman" w:cs="Times New Roman"/>
          <w:sz w:val="24"/>
          <w:szCs w:val="24"/>
        </w:rPr>
        <w:t>terapeutických postupů.</w:t>
      </w:r>
      <w:r w:rsidRPr="000D096C">
        <w:rPr>
          <w:rFonts w:ascii="Times New Roman" w:hAnsi="Times New Roman" w:cs="Times New Roman"/>
          <w:sz w:val="24"/>
          <w:szCs w:val="24"/>
        </w:rPr>
        <w:t xml:space="preserve"> Přes výrazný pokles však zůstává úroveň úmrtnosti na tato onemocnění stále vyšší než v západních </w:t>
      </w:r>
      <w:r w:rsidR="000475DB" w:rsidRPr="000D096C">
        <w:rPr>
          <w:rFonts w:ascii="Times New Roman" w:hAnsi="Times New Roman" w:cs="Times New Roman"/>
          <w:sz w:val="24"/>
          <w:szCs w:val="24"/>
        </w:rPr>
        <w:t>zemích EU. V roce 2012 úmrtnost</w:t>
      </w:r>
      <w:r w:rsidRPr="000D096C">
        <w:rPr>
          <w:rFonts w:ascii="Times New Roman" w:hAnsi="Times New Roman" w:cs="Times New Roman"/>
          <w:sz w:val="24"/>
          <w:szCs w:val="24"/>
        </w:rPr>
        <w:t xml:space="preserve"> na nemoci srdce a</w:t>
      </w:r>
      <w:r w:rsidR="00BB3FFF">
        <w:rPr>
          <w:rFonts w:ascii="Times New Roman" w:hAnsi="Times New Roman" w:cs="Times New Roman"/>
          <w:sz w:val="24"/>
          <w:szCs w:val="24"/>
        </w:rPr>
        <w:t> </w:t>
      </w:r>
      <w:r w:rsidRPr="000D096C">
        <w:rPr>
          <w:rFonts w:ascii="Times New Roman" w:hAnsi="Times New Roman" w:cs="Times New Roman"/>
          <w:sz w:val="24"/>
          <w:szCs w:val="24"/>
        </w:rPr>
        <w:t>cév u mužů dosahovala 48 % hodnoty roku 1990, u žen pak 52 %. Snížení úmrtnosti na nemoci oběhov</w:t>
      </w:r>
      <w:r w:rsidR="003C0165">
        <w:rPr>
          <w:rFonts w:ascii="Times New Roman" w:hAnsi="Times New Roman" w:cs="Times New Roman"/>
          <w:sz w:val="24"/>
          <w:szCs w:val="24"/>
        </w:rPr>
        <w:t>é soustavy od konce 80. let je</w:t>
      </w:r>
      <w:r w:rsidRPr="000D096C">
        <w:rPr>
          <w:rFonts w:ascii="Times New Roman" w:hAnsi="Times New Roman" w:cs="Times New Roman"/>
          <w:sz w:val="24"/>
          <w:szCs w:val="24"/>
        </w:rPr>
        <w:t xml:space="preserve"> důsledkem poklesu úmrtnosti na akutní formy onemocnění - infarktu myokardu a cévní mozkové příhody. </w:t>
      </w:r>
      <w:r w:rsidR="000475DB" w:rsidRPr="000D096C">
        <w:rPr>
          <w:rFonts w:ascii="Times New Roman" w:hAnsi="Times New Roman" w:cs="Times New Roman"/>
          <w:sz w:val="24"/>
          <w:szCs w:val="24"/>
        </w:rPr>
        <w:t>Naopak stagnuje</w:t>
      </w:r>
      <w:r w:rsidRPr="000D096C">
        <w:rPr>
          <w:rFonts w:ascii="Times New Roman" w:hAnsi="Times New Roman" w:cs="Times New Roman"/>
          <w:sz w:val="24"/>
          <w:szCs w:val="24"/>
        </w:rPr>
        <w:t xml:space="preserve"> úmrtnost na chronické formy kardiovaskulárních onemocnění</w:t>
      </w:r>
      <w:r w:rsidR="007A5431" w:rsidRPr="000D096C">
        <w:rPr>
          <w:rFonts w:ascii="Times New Roman" w:hAnsi="Times New Roman" w:cs="Times New Roman"/>
          <w:sz w:val="24"/>
          <w:szCs w:val="24"/>
        </w:rPr>
        <w:t xml:space="preserve"> [2]</w:t>
      </w:r>
      <w:r w:rsidR="00F36A9A" w:rsidRPr="000D096C">
        <w:rPr>
          <w:rFonts w:ascii="Times New Roman" w:hAnsi="Times New Roman" w:cs="Times New Roman"/>
          <w:sz w:val="24"/>
          <w:szCs w:val="24"/>
        </w:rPr>
        <w:t>.</w:t>
      </w:r>
    </w:p>
    <w:p w:rsidR="00652844" w:rsidRPr="000D096C" w:rsidRDefault="00652844"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t xml:space="preserve">Procesy vedoucí k manifestním onemocněním oběhové soustavy i metabolickým onemocněním jsou charakteristické svým velmi pozvolným rozvojem, během něhož dochází </w:t>
      </w:r>
      <w:r w:rsidR="005624A7" w:rsidRPr="000D096C">
        <w:rPr>
          <w:rFonts w:ascii="Times New Roman" w:hAnsi="Times New Roman" w:cs="Times New Roman"/>
          <w:sz w:val="24"/>
          <w:szCs w:val="24"/>
        </w:rPr>
        <w:t xml:space="preserve">obvykle po desetiletí </w:t>
      </w:r>
      <w:r w:rsidRPr="000D096C">
        <w:rPr>
          <w:rFonts w:ascii="Times New Roman" w:hAnsi="Times New Roman" w:cs="Times New Roman"/>
          <w:sz w:val="24"/>
          <w:szCs w:val="24"/>
        </w:rPr>
        <w:t>k působení řady rizi</w:t>
      </w:r>
      <w:r w:rsidR="005849D4" w:rsidRPr="000D096C">
        <w:rPr>
          <w:rFonts w:ascii="Times New Roman" w:hAnsi="Times New Roman" w:cs="Times New Roman"/>
          <w:sz w:val="24"/>
          <w:szCs w:val="24"/>
        </w:rPr>
        <w:t>kových faktorů rezultujícímu mimo jiné v aterosklerotické</w:t>
      </w:r>
      <w:r w:rsidR="0011079C" w:rsidRPr="000D096C">
        <w:rPr>
          <w:rFonts w:ascii="Times New Roman" w:hAnsi="Times New Roman" w:cs="Times New Roman"/>
          <w:sz w:val="24"/>
          <w:szCs w:val="24"/>
        </w:rPr>
        <w:t xml:space="preserve"> postižení tepen. </w:t>
      </w:r>
      <w:r w:rsidR="009C0CB4" w:rsidRPr="000D096C">
        <w:rPr>
          <w:rFonts w:ascii="Times New Roman" w:hAnsi="Times New Roman" w:cs="Times New Roman"/>
          <w:sz w:val="24"/>
          <w:szCs w:val="24"/>
        </w:rPr>
        <w:t xml:space="preserve">Vedle neovlivnitelných </w:t>
      </w:r>
      <w:r w:rsidR="0011079C" w:rsidRPr="000D096C">
        <w:rPr>
          <w:rFonts w:ascii="Times New Roman" w:hAnsi="Times New Roman" w:cs="Times New Roman"/>
          <w:sz w:val="24"/>
          <w:szCs w:val="24"/>
        </w:rPr>
        <w:t xml:space="preserve">rizikových </w:t>
      </w:r>
      <w:r w:rsidR="009C0CB4" w:rsidRPr="000D096C">
        <w:rPr>
          <w:rFonts w:ascii="Times New Roman" w:hAnsi="Times New Roman" w:cs="Times New Roman"/>
          <w:sz w:val="24"/>
          <w:szCs w:val="24"/>
        </w:rPr>
        <w:t xml:space="preserve">faktorů </w:t>
      </w:r>
      <w:r w:rsidR="007536BE" w:rsidRPr="000D096C">
        <w:rPr>
          <w:rFonts w:ascii="Times New Roman" w:hAnsi="Times New Roman" w:cs="Times New Roman"/>
          <w:sz w:val="24"/>
          <w:szCs w:val="24"/>
        </w:rPr>
        <w:t>se jedná o</w:t>
      </w:r>
      <w:r w:rsidR="00BB3FFF">
        <w:rPr>
          <w:rFonts w:ascii="Times New Roman" w:hAnsi="Times New Roman" w:cs="Times New Roman"/>
          <w:sz w:val="24"/>
          <w:szCs w:val="24"/>
        </w:rPr>
        <w:t> </w:t>
      </w:r>
      <w:r w:rsidR="007536BE" w:rsidRPr="000D096C">
        <w:rPr>
          <w:rFonts w:ascii="Times New Roman" w:hAnsi="Times New Roman" w:cs="Times New Roman"/>
          <w:sz w:val="24"/>
          <w:szCs w:val="24"/>
        </w:rPr>
        <w:t>negativní vliv krevních lipidů</w:t>
      </w:r>
      <w:r w:rsidR="004E33FC" w:rsidRPr="000D096C">
        <w:rPr>
          <w:rFonts w:ascii="Times New Roman" w:hAnsi="Times New Roman" w:cs="Times New Roman"/>
          <w:sz w:val="24"/>
          <w:szCs w:val="24"/>
        </w:rPr>
        <w:t xml:space="preserve"> (dyslipidémie)</w:t>
      </w:r>
      <w:r w:rsidR="007536BE" w:rsidRPr="000D096C">
        <w:rPr>
          <w:rFonts w:ascii="Times New Roman" w:hAnsi="Times New Roman" w:cs="Times New Roman"/>
          <w:sz w:val="24"/>
          <w:szCs w:val="24"/>
        </w:rPr>
        <w:t>, poruchy metabolismu glukózy, kouření</w:t>
      </w:r>
      <w:r w:rsidR="005624A7" w:rsidRPr="000D096C">
        <w:rPr>
          <w:rFonts w:ascii="Times New Roman" w:hAnsi="Times New Roman" w:cs="Times New Roman"/>
          <w:sz w:val="24"/>
          <w:szCs w:val="24"/>
        </w:rPr>
        <w:t xml:space="preserve"> cigaret</w:t>
      </w:r>
      <w:r w:rsidR="007536BE" w:rsidRPr="000D096C">
        <w:rPr>
          <w:rFonts w:ascii="Times New Roman" w:hAnsi="Times New Roman" w:cs="Times New Roman"/>
          <w:sz w:val="24"/>
          <w:szCs w:val="24"/>
        </w:rPr>
        <w:t>, arteriální hypertenze, fyzické inaktivity, obezity a dalších.</w:t>
      </w:r>
      <w:r w:rsidR="00810FF2" w:rsidRPr="000D096C">
        <w:rPr>
          <w:rFonts w:ascii="Times New Roman" w:hAnsi="Times New Roman" w:cs="Times New Roman"/>
          <w:sz w:val="24"/>
          <w:szCs w:val="24"/>
        </w:rPr>
        <w:t xml:space="preserve"> </w:t>
      </w:r>
      <w:r w:rsidR="00255E1C" w:rsidRPr="000D096C">
        <w:rPr>
          <w:rFonts w:ascii="Times New Roman" w:hAnsi="Times New Roman" w:cs="Times New Roman"/>
          <w:sz w:val="24"/>
          <w:szCs w:val="24"/>
        </w:rPr>
        <w:t>Prevalence těchto faktorů je nejen v ČR nezanedbatelná</w:t>
      </w:r>
      <w:r w:rsidR="007A5431" w:rsidRPr="000D096C">
        <w:rPr>
          <w:rFonts w:ascii="Times New Roman" w:hAnsi="Times New Roman" w:cs="Times New Roman"/>
          <w:sz w:val="24"/>
          <w:szCs w:val="24"/>
        </w:rPr>
        <w:t xml:space="preserve"> [3]</w:t>
      </w:r>
      <w:r w:rsidR="004E33FC" w:rsidRPr="000D096C">
        <w:rPr>
          <w:rFonts w:ascii="Times New Roman" w:hAnsi="Times New Roman" w:cs="Times New Roman"/>
          <w:sz w:val="24"/>
          <w:szCs w:val="24"/>
        </w:rPr>
        <w:t>. Dyslipidémie byla v roce 2014 zjištěna u 77 % mužů a 66 % žen, diabetes mellitus</w:t>
      </w:r>
      <w:r w:rsidR="00EF32C1">
        <w:rPr>
          <w:rFonts w:ascii="Times New Roman" w:hAnsi="Times New Roman" w:cs="Times New Roman"/>
          <w:sz w:val="24"/>
          <w:szCs w:val="24"/>
        </w:rPr>
        <w:t xml:space="preserve"> (DM)</w:t>
      </w:r>
      <w:r w:rsidR="004E33FC" w:rsidRPr="000D096C">
        <w:rPr>
          <w:rFonts w:ascii="Times New Roman" w:hAnsi="Times New Roman" w:cs="Times New Roman"/>
          <w:sz w:val="24"/>
          <w:szCs w:val="24"/>
        </w:rPr>
        <w:t xml:space="preserve"> u 8,6 % mužů a 5,7 % žen, arteriální hypertenze u 47 % mužů a 26 % žen. Nad hranicí normální hmotnosti se dle hodnot BMI pohybuje 73 % mužů a 55 % žen</w:t>
      </w:r>
      <w:r w:rsidR="007A5431" w:rsidRPr="000D096C">
        <w:rPr>
          <w:rFonts w:ascii="Times New Roman" w:hAnsi="Times New Roman" w:cs="Times New Roman"/>
          <w:sz w:val="24"/>
          <w:szCs w:val="24"/>
        </w:rPr>
        <w:t xml:space="preserve"> [4]</w:t>
      </w:r>
      <w:r w:rsidR="004E33FC" w:rsidRPr="000D096C">
        <w:rPr>
          <w:rFonts w:ascii="Times New Roman" w:hAnsi="Times New Roman" w:cs="Times New Roman"/>
          <w:sz w:val="24"/>
          <w:szCs w:val="24"/>
        </w:rPr>
        <w:t>.</w:t>
      </w:r>
      <w:r w:rsidR="00255E1C" w:rsidRPr="000D096C">
        <w:rPr>
          <w:rFonts w:ascii="Times New Roman" w:hAnsi="Times New Roman" w:cs="Times New Roman"/>
          <w:sz w:val="24"/>
          <w:szCs w:val="24"/>
        </w:rPr>
        <w:t xml:space="preserve"> </w:t>
      </w:r>
      <w:r w:rsidR="00810FF2" w:rsidRPr="000D096C">
        <w:rPr>
          <w:rFonts w:ascii="Times New Roman" w:hAnsi="Times New Roman" w:cs="Times New Roman"/>
          <w:sz w:val="24"/>
          <w:szCs w:val="24"/>
        </w:rPr>
        <w:t>Pro účely jasné identifikace rizikových jedinců pak bývají některé z uv</w:t>
      </w:r>
      <w:r w:rsidR="00972132" w:rsidRPr="000D096C">
        <w:rPr>
          <w:rFonts w:ascii="Times New Roman" w:hAnsi="Times New Roman" w:cs="Times New Roman"/>
          <w:sz w:val="24"/>
          <w:szCs w:val="24"/>
        </w:rPr>
        <w:t>edených faktorů sdružovány v noz</w:t>
      </w:r>
      <w:r w:rsidR="00810FF2" w:rsidRPr="000D096C">
        <w:rPr>
          <w:rFonts w:ascii="Times New Roman" w:hAnsi="Times New Roman" w:cs="Times New Roman"/>
          <w:sz w:val="24"/>
          <w:szCs w:val="24"/>
        </w:rPr>
        <w:t xml:space="preserve">ologické jednotky jako je metabolický syndrom </w:t>
      </w:r>
      <w:r w:rsidR="00E339CD" w:rsidRPr="000D096C">
        <w:rPr>
          <w:rFonts w:ascii="Times New Roman" w:hAnsi="Times New Roman" w:cs="Times New Roman"/>
          <w:sz w:val="24"/>
          <w:szCs w:val="24"/>
        </w:rPr>
        <w:t xml:space="preserve">(MetS) </w:t>
      </w:r>
      <w:r w:rsidR="00810FF2" w:rsidRPr="000D096C">
        <w:rPr>
          <w:rFonts w:ascii="Times New Roman" w:hAnsi="Times New Roman" w:cs="Times New Roman"/>
          <w:sz w:val="24"/>
          <w:szCs w:val="24"/>
        </w:rPr>
        <w:t>nebo například „hypertriglyceridemický pas“</w:t>
      </w:r>
      <w:r w:rsidR="007A5431" w:rsidRPr="000D096C">
        <w:rPr>
          <w:rFonts w:ascii="Times New Roman" w:hAnsi="Times New Roman" w:cs="Times New Roman"/>
          <w:sz w:val="24"/>
          <w:szCs w:val="24"/>
        </w:rPr>
        <w:t xml:space="preserve"> [3]</w:t>
      </w:r>
      <w:r w:rsidR="00810FF2" w:rsidRPr="000D096C">
        <w:rPr>
          <w:rFonts w:ascii="Times New Roman" w:hAnsi="Times New Roman" w:cs="Times New Roman"/>
          <w:sz w:val="24"/>
          <w:szCs w:val="24"/>
        </w:rPr>
        <w:t>.</w:t>
      </w:r>
    </w:p>
    <w:p w:rsidR="004422BD" w:rsidRPr="000D096C" w:rsidRDefault="00F5744E"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lastRenderedPageBreak/>
        <w:tab/>
      </w:r>
      <w:r w:rsidR="004422BD" w:rsidRPr="000D096C">
        <w:rPr>
          <w:rFonts w:ascii="Times New Roman" w:hAnsi="Times New Roman" w:cs="Times New Roman"/>
          <w:sz w:val="24"/>
          <w:szCs w:val="24"/>
        </w:rPr>
        <w:t>Celkový průměrný počet let prožitých ve zdraví byl v roce 2010 v ČR 62 roků. Od roku 1962 se však tato hodnota nezvýšila a prodlužování naděje na dožití tedy spočívá ve zvyšování počtu let prožitých v nemoci. Existuje však řada států</w:t>
      </w:r>
      <w:r w:rsidR="00686750" w:rsidRPr="000D096C">
        <w:rPr>
          <w:rFonts w:ascii="Times New Roman" w:hAnsi="Times New Roman" w:cs="Times New Roman"/>
          <w:sz w:val="24"/>
          <w:szCs w:val="24"/>
        </w:rPr>
        <w:t xml:space="preserve"> EU</w:t>
      </w:r>
      <w:r w:rsidR="004422BD" w:rsidRPr="000D096C">
        <w:rPr>
          <w:rFonts w:ascii="Times New Roman" w:hAnsi="Times New Roman" w:cs="Times New Roman"/>
          <w:sz w:val="24"/>
          <w:szCs w:val="24"/>
        </w:rPr>
        <w:t>, kde je situace mnohem příznivější.</w:t>
      </w:r>
      <w:r w:rsidR="003B6D39" w:rsidRPr="000D096C">
        <w:rPr>
          <w:rFonts w:ascii="Times New Roman" w:hAnsi="Times New Roman" w:cs="Times New Roman"/>
          <w:sz w:val="24"/>
          <w:szCs w:val="24"/>
        </w:rPr>
        <w:t xml:space="preserve"> Jak již bylo naznačeno, zvyšování počtu let prožitých v nemoci </w:t>
      </w:r>
      <w:r w:rsidR="003C0165">
        <w:rPr>
          <w:rFonts w:ascii="Times New Roman" w:hAnsi="Times New Roman" w:cs="Times New Roman"/>
          <w:sz w:val="24"/>
          <w:szCs w:val="24"/>
        </w:rPr>
        <w:t>bylo zajištěno</w:t>
      </w:r>
      <w:r w:rsidR="003B6D39" w:rsidRPr="000D096C">
        <w:rPr>
          <w:rFonts w:ascii="Times New Roman" w:hAnsi="Times New Roman" w:cs="Times New Roman"/>
          <w:sz w:val="24"/>
          <w:szCs w:val="24"/>
        </w:rPr>
        <w:t xml:space="preserve"> výrazn</w:t>
      </w:r>
      <w:r w:rsidR="00686750" w:rsidRPr="000D096C">
        <w:rPr>
          <w:rFonts w:ascii="Times New Roman" w:hAnsi="Times New Roman" w:cs="Times New Roman"/>
          <w:sz w:val="24"/>
          <w:szCs w:val="24"/>
        </w:rPr>
        <w:t>ými</w:t>
      </w:r>
      <w:r w:rsidR="003B6D39" w:rsidRPr="000D096C">
        <w:rPr>
          <w:rFonts w:ascii="Times New Roman" w:hAnsi="Times New Roman" w:cs="Times New Roman"/>
          <w:sz w:val="24"/>
          <w:szCs w:val="24"/>
        </w:rPr>
        <w:t xml:space="preserve"> pokroky v diagnostice a terapii kardiometabolických onemocnění. </w:t>
      </w:r>
      <w:r w:rsidR="00C93625" w:rsidRPr="000D096C">
        <w:rPr>
          <w:rFonts w:ascii="Times New Roman" w:hAnsi="Times New Roman" w:cs="Times New Roman"/>
          <w:sz w:val="24"/>
          <w:szCs w:val="24"/>
        </w:rPr>
        <w:t>Pro prodloužení dožití ve zdraví</w:t>
      </w:r>
      <w:r w:rsidR="004122A8" w:rsidRPr="000D096C">
        <w:rPr>
          <w:rFonts w:ascii="Times New Roman" w:hAnsi="Times New Roman" w:cs="Times New Roman"/>
          <w:sz w:val="24"/>
          <w:szCs w:val="24"/>
        </w:rPr>
        <w:t>,</w:t>
      </w:r>
      <w:r w:rsidR="00C93625" w:rsidRPr="000D096C">
        <w:rPr>
          <w:rFonts w:ascii="Times New Roman" w:hAnsi="Times New Roman" w:cs="Times New Roman"/>
          <w:sz w:val="24"/>
          <w:szCs w:val="24"/>
        </w:rPr>
        <w:t xml:space="preserve"> a tedy s lepší kvalitou života</w:t>
      </w:r>
      <w:r w:rsidR="00686750" w:rsidRPr="000D096C">
        <w:rPr>
          <w:rFonts w:ascii="Times New Roman" w:hAnsi="Times New Roman" w:cs="Times New Roman"/>
          <w:sz w:val="24"/>
          <w:szCs w:val="24"/>
        </w:rPr>
        <w:t>,</w:t>
      </w:r>
      <w:r w:rsidR="003B6D39" w:rsidRPr="000D096C">
        <w:rPr>
          <w:rFonts w:ascii="Times New Roman" w:hAnsi="Times New Roman" w:cs="Times New Roman"/>
          <w:sz w:val="24"/>
          <w:szCs w:val="24"/>
        </w:rPr>
        <w:t xml:space="preserve"> však je nezbytné posílit prevenci onemocnění s důrazem na odhalování nejčasnějších, obvykle asymptomatických odchylek, u nichž je efek</w:t>
      </w:r>
      <w:r w:rsidR="009A72D2" w:rsidRPr="000D096C">
        <w:rPr>
          <w:rFonts w:ascii="Times New Roman" w:hAnsi="Times New Roman" w:cs="Times New Roman"/>
          <w:sz w:val="24"/>
          <w:szCs w:val="24"/>
        </w:rPr>
        <w:t xml:space="preserve">tivita následných </w:t>
      </w:r>
      <w:r w:rsidR="003B6D39" w:rsidRPr="000D096C">
        <w:rPr>
          <w:rFonts w:ascii="Times New Roman" w:hAnsi="Times New Roman" w:cs="Times New Roman"/>
          <w:sz w:val="24"/>
          <w:szCs w:val="24"/>
        </w:rPr>
        <w:t>opatření nejvyšší</w:t>
      </w:r>
      <w:r w:rsidR="007A5431" w:rsidRPr="000D096C">
        <w:rPr>
          <w:rFonts w:ascii="Times New Roman" w:hAnsi="Times New Roman" w:cs="Times New Roman"/>
          <w:sz w:val="24"/>
          <w:szCs w:val="24"/>
        </w:rPr>
        <w:t xml:space="preserve"> [2, 3]</w:t>
      </w:r>
      <w:r w:rsidR="003B6D39" w:rsidRPr="000D096C">
        <w:rPr>
          <w:rFonts w:ascii="Times New Roman" w:hAnsi="Times New Roman" w:cs="Times New Roman"/>
          <w:sz w:val="24"/>
          <w:szCs w:val="24"/>
        </w:rPr>
        <w:t>.</w:t>
      </w:r>
      <w:r w:rsidR="00C93625" w:rsidRPr="000D096C">
        <w:rPr>
          <w:rFonts w:ascii="Times New Roman" w:hAnsi="Times New Roman" w:cs="Times New Roman"/>
          <w:sz w:val="24"/>
          <w:szCs w:val="24"/>
        </w:rPr>
        <w:t xml:space="preserve"> </w:t>
      </w:r>
    </w:p>
    <w:p w:rsidR="00207975" w:rsidRPr="000D096C" w:rsidRDefault="00207975" w:rsidP="00C97500">
      <w:pPr>
        <w:pStyle w:val="Nadpis2"/>
      </w:pPr>
      <w:bookmarkStart w:id="6" w:name="_Toc33432660"/>
      <w:bookmarkStart w:id="7" w:name="_Toc33432880"/>
      <w:bookmarkStart w:id="8" w:name="_Toc33869519"/>
      <w:r w:rsidRPr="000D096C">
        <w:t>Metabolický syndrom</w:t>
      </w:r>
      <w:bookmarkEnd w:id="6"/>
      <w:bookmarkEnd w:id="7"/>
      <w:bookmarkEnd w:id="8"/>
    </w:p>
    <w:p w:rsidR="00207975" w:rsidRPr="000D096C" w:rsidRDefault="00207975" w:rsidP="004567D5">
      <w:pPr>
        <w:pStyle w:val="Nadpis3"/>
        <w:spacing w:line="360" w:lineRule="auto"/>
        <w:rPr>
          <w:rFonts w:cs="Times New Roman"/>
        </w:rPr>
      </w:pPr>
      <w:bookmarkStart w:id="9" w:name="_Toc33432661"/>
      <w:bookmarkStart w:id="10" w:name="_Toc33432881"/>
      <w:bookmarkStart w:id="11" w:name="_Toc33869520"/>
      <w:r w:rsidRPr="000D096C">
        <w:rPr>
          <w:rFonts w:cs="Times New Roman"/>
        </w:rPr>
        <w:t>Význam di</w:t>
      </w:r>
      <w:r w:rsidR="00124543" w:rsidRPr="000D096C">
        <w:rPr>
          <w:rFonts w:cs="Times New Roman"/>
        </w:rPr>
        <w:t>agnostiky</w:t>
      </w:r>
      <w:bookmarkEnd w:id="9"/>
      <w:bookmarkEnd w:id="10"/>
      <w:bookmarkEnd w:id="11"/>
    </w:p>
    <w:p w:rsidR="00207975" w:rsidRPr="000D096C" w:rsidRDefault="00207975"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V původním pojetí představuje MetS soubor rizikových faktorů. Hlavní význam diagnózy bývá spatřován v tom, že upozorňuje na hrozící nebezpečí a nezbytnost důsledné intervence. Ukazuje se, že diagnóza MetS může zvýšit motivaci pacienta ke změně životního stylu, především stravovacích a pohybových zvyk</w:t>
      </w:r>
      <w:r w:rsidR="00C12932" w:rsidRPr="000D096C">
        <w:rPr>
          <w:rFonts w:ascii="Times New Roman" w:hAnsi="Times New Roman" w:cs="Times New Roman"/>
          <w:sz w:val="24"/>
          <w:szCs w:val="24"/>
        </w:rPr>
        <w:t>lostí. Tyto argumenty vyplývají</w:t>
      </w:r>
      <w:r w:rsidRPr="000D096C">
        <w:rPr>
          <w:rFonts w:ascii="Times New Roman" w:hAnsi="Times New Roman" w:cs="Times New Roman"/>
          <w:sz w:val="24"/>
          <w:szCs w:val="24"/>
        </w:rPr>
        <w:t xml:space="preserve"> z celé řady epidemiologických studií</w:t>
      </w:r>
      <w:r w:rsidR="00F80C90">
        <w:rPr>
          <w:rFonts w:ascii="Times New Roman" w:hAnsi="Times New Roman" w:cs="Times New Roman"/>
          <w:sz w:val="24"/>
          <w:szCs w:val="24"/>
        </w:rPr>
        <w:t xml:space="preserve"> </w:t>
      </w:r>
      <w:r w:rsidR="00F80C90" w:rsidRPr="000D096C">
        <w:rPr>
          <w:rFonts w:ascii="Times New Roman" w:hAnsi="Times New Roman" w:cs="Times New Roman"/>
          <w:sz w:val="24"/>
          <w:szCs w:val="24"/>
        </w:rPr>
        <w:t>[5]</w:t>
      </w:r>
      <w:r w:rsidRPr="000D096C">
        <w:rPr>
          <w:rFonts w:ascii="Times New Roman" w:hAnsi="Times New Roman" w:cs="Times New Roman"/>
          <w:sz w:val="24"/>
          <w:szCs w:val="24"/>
        </w:rPr>
        <w:t xml:space="preserve">. Naproti tomu se objevují argumenty zejména z řad diabetologů, že diagnóza MetS nepřináší žádnou výhodu ve srovnání s cílenou intervencí jeho jednotlivých komponent. Z praktického hlediska diagnostika MetS přináší výhody zvláště s ohledem na odhad kardiovaskulárního rizika a rizika rozvoje </w:t>
      </w:r>
      <w:r w:rsidR="00EF32C1">
        <w:rPr>
          <w:rFonts w:ascii="Times New Roman" w:hAnsi="Times New Roman" w:cs="Times New Roman"/>
          <w:sz w:val="24"/>
          <w:szCs w:val="24"/>
        </w:rPr>
        <w:t>diebates mellitus 2. typu (</w:t>
      </w:r>
      <w:r w:rsidRPr="000D096C">
        <w:rPr>
          <w:rFonts w:ascii="Times New Roman" w:hAnsi="Times New Roman" w:cs="Times New Roman"/>
          <w:sz w:val="24"/>
          <w:szCs w:val="24"/>
        </w:rPr>
        <w:t>T2DM</w:t>
      </w:r>
      <w:r w:rsidR="00EF32C1">
        <w:rPr>
          <w:rFonts w:ascii="Times New Roman" w:hAnsi="Times New Roman" w:cs="Times New Roman"/>
          <w:sz w:val="24"/>
          <w:szCs w:val="24"/>
        </w:rPr>
        <w:t>)</w:t>
      </w:r>
      <w:r w:rsidRPr="000D096C">
        <w:rPr>
          <w:rFonts w:ascii="Times New Roman" w:hAnsi="Times New Roman" w:cs="Times New Roman"/>
          <w:sz w:val="24"/>
          <w:szCs w:val="24"/>
        </w:rPr>
        <w:t>. Diagnóza MetS identifikuje rizikové jedince, u kterých je potřebná změna životního stylu, případně cílená farmakoterapie</w:t>
      </w:r>
      <w:r w:rsidR="00AA3A9C" w:rsidRPr="000D096C">
        <w:rPr>
          <w:rFonts w:ascii="Times New Roman" w:hAnsi="Times New Roman" w:cs="Times New Roman"/>
          <w:sz w:val="24"/>
          <w:szCs w:val="24"/>
        </w:rPr>
        <w:t xml:space="preserve"> [5]</w:t>
      </w:r>
      <w:r w:rsidRPr="000D096C">
        <w:rPr>
          <w:rFonts w:ascii="Times New Roman" w:hAnsi="Times New Roman" w:cs="Times New Roman"/>
          <w:sz w:val="24"/>
          <w:szCs w:val="24"/>
        </w:rPr>
        <w:t>.</w:t>
      </w:r>
    </w:p>
    <w:p w:rsidR="00776666" w:rsidRPr="000D096C" w:rsidRDefault="00CF3DA7" w:rsidP="004567D5">
      <w:pPr>
        <w:pStyle w:val="Nadpis3"/>
        <w:spacing w:line="360" w:lineRule="auto"/>
        <w:rPr>
          <w:rFonts w:cs="Times New Roman"/>
        </w:rPr>
      </w:pPr>
      <w:bookmarkStart w:id="12" w:name="_Toc33432662"/>
      <w:bookmarkStart w:id="13" w:name="_Toc33432882"/>
      <w:bookmarkStart w:id="14" w:name="_Toc33869521"/>
      <w:r w:rsidRPr="000D096C">
        <w:rPr>
          <w:rFonts w:cs="Times New Roman"/>
        </w:rPr>
        <w:t>Definice</w:t>
      </w:r>
      <w:bookmarkEnd w:id="12"/>
      <w:bookmarkEnd w:id="13"/>
      <w:bookmarkEnd w:id="14"/>
    </w:p>
    <w:p w:rsidR="00776666" w:rsidRPr="000D096C" w:rsidRDefault="00776666" w:rsidP="00890488">
      <w:pPr>
        <w:spacing w:after="0" w:line="360" w:lineRule="auto"/>
        <w:jc w:val="both"/>
        <w:rPr>
          <w:rFonts w:ascii="Times New Roman" w:hAnsi="Times New Roman" w:cs="Times New Roman"/>
          <w:sz w:val="24"/>
          <w:szCs w:val="24"/>
        </w:rPr>
      </w:pPr>
      <w:r w:rsidRPr="000D096C">
        <w:rPr>
          <w:rFonts w:ascii="Times New Roman" w:hAnsi="Times New Roman" w:cs="Times New Roman"/>
        </w:rPr>
        <w:tab/>
      </w:r>
      <w:r w:rsidR="00BC0AD6" w:rsidRPr="000D096C">
        <w:rPr>
          <w:rFonts w:ascii="Times New Roman" w:hAnsi="Times New Roman" w:cs="Times New Roman"/>
          <w:sz w:val="24"/>
          <w:szCs w:val="24"/>
        </w:rPr>
        <w:t>MetS se rozumí současný výskyt navzájem</w:t>
      </w:r>
      <w:r w:rsidR="00DB4D76" w:rsidRPr="000D096C">
        <w:rPr>
          <w:rFonts w:ascii="Times New Roman" w:hAnsi="Times New Roman" w:cs="Times New Roman"/>
          <w:sz w:val="24"/>
          <w:szCs w:val="24"/>
        </w:rPr>
        <w:t xml:space="preserve"> patofyziologicky</w:t>
      </w:r>
      <w:r w:rsidR="00BC0AD6" w:rsidRPr="000D096C">
        <w:rPr>
          <w:rFonts w:ascii="Times New Roman" w:hAnsi="Times New Roman" w:cs="Times New Roman"/>
          <w:sz w:val="24"/>
          <w:szCs w:val="24"/>
        </w:rPr>
        <w:t xml:space="preserve"> propojených faktorů, které přímo zvyšují rizik</w:t>
      </w:r>
      <w:r w:rsidR="00890488">
        <w:rPr>
          <w:rFonts w:ascii="Times New Roman" w:hAnsi="Times New Roman" w:cs="Times New Roman"/>
          <w:sz w:val="24"/>
          <w:szCs w:val="24"/>
        </w:rPr>
        <w:t>o kardiovaskulárních onemocnění (na podkladě aterosklerózy)</w:t>
      </w:r>
      <w:r w:rsidR="00BC0AD6" w:rsidRPr="000D096C">
        <w:rPr>
          <w:rFonts w:ascii="Times New Roman" w:hAnsi="Times New Roman" w:cs="Times New Roman"/>
          <w:sz w:val="24"/>
          <w:szCs w:val="24"/>
        </w:rPr>
        <w:t xml:space="preserve"> a</w:t>
      </w:r>
      <w:r w:rsidR="00BB3FFF">
        <w:rPr>
          <w:rFonts w:ascii="Times New Roman" w:hAnsi="Times New Roman" w:cs="Times New Roman"/>
          <w:sz w:val="24"/>
          <w:szCs w:val="24"/>
        </w:rPr>
        <w:t> </w:t>
      </w:r>
      <w:r w:rsidR="00BC0AD6" w:rsidRPr="000D096C">
        <w:rPr>
          <w:rFonts w:ascii="Times New Roman" w:hAnsi="Times New Roman" w:cs="Times New Roman"/>
          <w:sz w:val="24"/>
          <w:szCs w:val="24"/>
        </w:rPr>
        <w:t>riziko T2DM. Historicky, ale i aktuálně se setkáváme s řadou různých definic MetS. Jeho hlavní komponenty však</w:t>
      </w:r>
      <w:r w:rsidR="00851FF7" w:rsidRPr="000D096C">
        <w:rPr>
          <w:rFonts w:ascii="Times New Roman" w:hAnsi="Times New Roman" w:cs="Times New Roman"/>
          <w:sz w:val="24"/>
          <w:szCs w:val="24"/>
        </w:rPr>
        <w:t xml:space="preserve"> napříč aktuálně užívanými definicemi bývají dyslipidémie (zvýšení TAG a</w:t>
      </w:r>
      <w:r w:rsidR="00890488">
        <w:rPr>
          <w:rFonts w:ascii="Times New Roman" w:hAnsi="Times New Roman" w:cs="Times New Roman"/>
          <w:sz w:val="24"/>
          <w:szCs w:val="24"/>
        </w:rPr>
        <w:t xml:space="preserve"> apolipoproteinu B</w:t>
      </w:r>
      <w:r w:rsidR="00851FF7" w:rsidRPr="000D096C">
        <w:rPr>
          <w:rFonts w:ascii="Times New Roman" w:hAnsi="Times New Roman" w:cs="Times New Roman"/>
          <w:sz w:val="24"/>
          <w:szCs w:val="24"/>
        </w:rPr>
        <w:t xml:space="preserve"> </w:t>
      </w:r>
      <w:r w:rsidR="00890488">
        <w:rPr>
          <w:rFonts w:ascii="Times New Roman" w:hAnsi="Times New Roman" w:cs="Times New Roman"/>
          <w:sz w:val="24"/>
          <w:szCs w:val="24"/>
        </w:rPr>
        <w:t>[A</w:t>
      </w:r>
      <w:r w:rsidR="00851FF7" w:rsidRPr="000D096C">
        <w:rPr>
          <w:rFonts w:ascii="Times New Roman" w:hAnsi="Times New Roman" w:cs="Times New Roman"/>
          <w:sz w:val="24"/>
          <w:szCs w:val="24"/>
        </w:rPr>
        <w:t>poB</w:t>
      </w:r>
      <w:r w:rsidR="00890488">
        <w:rPr>
          <w:rFonts w:ascii="Times New Roman" w:hAnsi="Times New Roman" w:cs="Times New Roman"/>
          <w:sz w:val="24"/>
          <w:szCs w:val="24"/>
        </w:rPr>
        <w:t>]</w:t>
      </w:r>
      <w:r w:rsidR="00EA0A4A">
        <w:rPr>
          <w:rFonts w:ascii="Times New Roman" w:hAnsi="Times New Roman" w:cs="Times New Roman"/>
          <w:sz w:val="24"/>
          <w:szCs w:val="24"/>
        </w:rPr>
        <w:t>, pokles HDL</w:t>
      </w:r>
      <w:r w:rsidR="00851FF7" w:rsidRPr="000D096C">
        <w:rPr>
          <w:rFonts w:ascii="Times New Roman" w:hAnsi="Times New Roman" w:cs="Times New Roman"/>
          <w:sz w:val="24"/>
          <w:szCs w:val="24"/>
        </w:rPr>
        <w:t>), zvýšení arteriálního TK, porucha glukózového metabolismu a</w:t>
      </w:r>
      <w:r w:rsidR="00BB3FFF">
        <w:rPr>
          <w:rFonts w:ascii="Times New Roman" w:hAnsi="Times New Roman" w:cs="Times New Roman"/>
          <w:sz w:val="24"/>
          <w:szCs w:val="24"/>
        </w:rPr>
        <w:t> </w:t>
      </w:r>
      <w:r w:rsidR="00890488">
        <w:rPr>
          <w:rFonts w:ascii="Times New Roman" w:hAnsi="Times New Roman" w:cs="Times New Roman"/>
          <w:sz w:val="24"/>
          <w:szCs w:val="24"/>
        </w:rPr>
        <w:t xml:space="preserve">inzulínová rezistence (IR) nebo </w:t>
      </w:r>
      <w:r w:rsidR="00851FF7" w:rsidRPr="000D096C">
        <w:rPr>
          <w:rFonts w:ascii="Times New Roman" w:hAnsi="Times New Roman" w:cs="Times New Roman"/>
          <w:sz w:val="24"/>
          <w:szCs w:val="24"/>
        </w:rPr>
        <w:t xml:space="preserve">obezita, kterým bývá na základě prohlubujících se znalostí </w:t>
      </w:r>
      <w:r w:rsidR="00F80C90">
        <w:rPr>
          <w:rFonts w:ascii="Times New Roman" w:hAnsi="Times New Roman" w:cs="Times New Roman"/>
          <w:sz w:val="24"/>
          <w:szCs w:val="24"/>
        </w:rPr>
        <w:t xml:space="preserve">o </w:t>
      </w:r>
      <w:r w:rsidR="00851FF7" w:rsidRPr="000D096C">
        <w:rPr>
          <w:rFonts w:ascii="Times New Roman" w:hAnsi="Times New Roman" w:cs="Times New Roman"/>
          <w:sz w:val="24"/>
          <w:szCs w:val="24"/>
        </w:rPr>
        <w:t>patogenez</w:t>
      </w:r>
      <w:r w:rsidR="00F80C90">
        <w:rPr>
          <w:rFonts w:ascii="Times New Roman" w:hAnsi="Times New Roman" w:cs="Times New Roman"/>
          <w:sz w:val="24"/>
          <w:szCs w:val="24"/>
        </w:rPr>
        <w:t>i</w:t>
      </w:r>
      <w:r w:rsidR="00851FF7" w:rsidRPr="000D096C">
        <w:rPr>
          <w:rFonts w:ascii="Times New Roman" w:hAnsi="Times New Roman" w:cs="Times New Roman"/>
          <w:sz w:val="24"/>
          <w:szCs w:val="24"/>
        </w:rPr>
        <w:t xml:space="preserve"> syndromu věnována narůstající pozornost. Proto také některými defin</w:t>
      </w:r>
      <w:r w:rsidR="00F80C90">
        <w:rPr>
          <w:rFonts w:ascii="Times New Roman" w:hAnsi="Times New Roman" w:cs="Times New Roman"/>
          <w:sz w:val="24"/>
          <w:szCs w:val="24"/>
        </w:rPr>
        <w:t>icemi je zejména obezitě přisuzována</w:t>
      </w:r>
      <w:r w:rsidR="00851FF7" w:rsidRPr="000D096C">
        <w:rPr>
          <w:rFonts w:ascii="Times New Roman" w:hAnsi="Times New Roman" w:cs="Times New Roman"/>
          <w:sz w:val="24"/>
          <w:szCs w:val="24"/>
        </w:rPr>
        <w:t xml:space="preserve"> větší důležitost a je nezbytnou podmínkou pro splnění diagnózy MetS. </w:t>
      </w:r>
      <w:r w:rsidR="00DB4D76" w:rsidRPr="000D096C">
        <w:rPr>
          <w:rFonts w:ascii="Times New Roman" w:hAnsi="Times New Roman" w:cs="Times New Roman"/>
          <w:sz w:val="24"/>
          <w:szCs w:val="24"/>
        </w:rPr>
        <w:t>Spíše v minulosti by</w:t>
      </w:r>
      <w:r w:rsidR="00373EBB" w:rsidRPr="000D096C">
        <w:rPr>
          <w:rFonts w:ascii="Times New Roman" w:hAnsi="Times New Roman" w:cs="Times New Roman"/>
          <w:sz w:val="24"/>
          <w:szCs w:val="24"/>
        </w:rPr>
        <w:t xml:space="preserve">ly </w:t>
      </w:r>
      <w:r w:rsidR="00373EBB" w:rsidRPr="000D096C">
        <w:rPr>
          <w:rFonts w:ascii="Times New Roman" w:hAnsi="Times New Roman" w:cs="Times New Roman"/>
          <w:sz w:val="24"/>
          <w:szCs w:val="24"/>
        </w:rPr>
        <w:lastRenderedPageBreak/>
        <w:t xml:space="preserve">komponentami MetS též </w:t>
      </w:r>
      <w:r w:rsidR="00DB4D76" w:rsidRPr="000D096C">
        <w:rPr>
          <w:rFonts w:ascii="Times New Roman" w:hAnsi="Times New Roman" w:cs="Times New Roman"/>
          <w:sz w:val="24"/>
          <w:szCs w:val="24"/>
        </w:rPr>
        <w:t>poruchy koagulace a fibrinolýzy či</w:t>
      </w:r>
      <w:r w:rsidR="00373EBB" w:rsidRPr="000D096C">
        <w:rPr>
          <w:rFonts w:ascii="Times New Roman" w:hAnsi="Times New Roman" w:cs="Times New Roman"/>
          <w:sz w:val="24"/>
          <w:szCs w:val="24"/>
        </w:rPr>
        <w:t xml:space="preserve"> </w:t>
      </w:r>
      <w:r w:rsidR="00F62C74" w:rsidRPr="000D096C">
        <w:rPr>
          <w:rFonts w:ascii="Times New Roman" w:hAnsi="Times New Roman" w:cs="Times New Roman"/>
          <w:sz w:val="24"/>
          <w:szCs w:val="24"/>
        </w:rPr>
        <w:t xml:space="preserve">mikroalbuminurie. Naopak některé aktuálnější definice vychází i z přítomnosti syndromu spánkové apnoe, </w:t>
      </w:r>
      <w:r w:rsidR="00F62C74" w:rsidRPr="000D096C">
        <w:rPr>
          <w:rFonts w:ascii="Times New Roman" w:hAnsi="Times New Roman" w:cs="Times New Roman"/>
          <w:i/>
          <w:sz w:val="24"/>
          <w:szCs w:val="24"/>
        </w:rPr>
        <w:t>non-alcoholic fatty liver disease</w:t>
      </w:r>
      <w:r w:rsidR="00DB4D76" w:rsidRPr="000D096C">
        <w:rPr>
          <w:rFonts w:ascii="Times New Roman" w:hAnsi="Times New Roman" w:cs="Times New Roman"/>
          <w:sz w:val="24"/>
          <w:szCs w:val="24"/>
        </w:rPr>
        <w:t xml:space="preserve"> (NAFLD) či chronických prozá</w:t>
      </w:r>
      <w:r w:rsidR="00F62C74" w:rsidRPr="000D096C">
        <w:rPr>
          <w:rFonts w:ascii="Times New Roman" w:hAnsi="Times New Roman" w:cs="Times New Roman"/>
          <w:sz w:val="24"/>
          <w:szCs w:val="24"/>
        </w:rPr>
        <w:t>nětlivých a protrombogenních stavů</w:t>
      </w:r>
      <w:r w:rsidR="007F32F6" w:rsidRPr="000D096C">
        <w:rPr>
          <w:rFonts w:ascii="Times New Roman" w:hAnsi="Times New Roman" w:cs="Times New Roman"/>
          <w:sz w:val="24"/>
          <w:szCs w:val="24"/>
        </w:rPr>
        <w:t xml:space="preserve"> [6]</w:t>
      </w:r>
      <w:r w:rsidR="00F62C74" w:rsidRPr="000D096C">
        <w:rPr>
          <w:rFonts w:ascii="Times New Roman" w:hAnsi="Times New Roman" w:cs="Times New Roman"/>
          <w:sz w:val="24"/>
          <w:szCs w:val="24"/>
        </w:rPr>
        <w:t>.</w:t>
      </w:r>
    </w:p>
    <w:p w:rsidR="007F32F6" w:rsidRPr="000D096C" w:rsidRDefault="007F32F6"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 xml:space="preserve">Nejčastěji bývá užívána tzv. harmonizovaná definice MetS podle </w:t>
      </w:r>
      <w:r w:rsidR="00E339CD" w:rsidRPr="000D096C">
        <w:rPr>
          <w:rFonts w:ascii="Times New Roman" w:hAnsi="Times New Roman" w:cs="Times New Roman"/>
          <w:i/>
          <w:sz w:val="24"/>
          <w:szCs w:val="24"/>
        </w:rPr>
        <w:t xml:space="preserve">International </w:t>
      </w:r>
      <w:r w:rsidR="00D74931">
        <w:rPr>
          <w:rFonts w:ascii="Times New Roman" w:hAnsi="Times New Roman" w:cs="Times New Roman"/>
          <w:i/>
          <w:sz w:val="24"/>
          <w:szCs w:val="24"/>
        </w:rPr>
        <w:t>d</w:t>
      </w:r>
      <w:r w:rsidR="00E339CD" w:rsidRPr="000D096C">
        <w:rPr>
          <w:rFonts w:ascii="Times New Roman" w:hAnsi="Times New Roman" w:cs="Times New Roman"/>
          <w:i/>
          <w:sz w:val="24"/>
          <w:szCs w:val="24"/>
        </w:rPr>
        <w:t xml:space="preserve">iabetes </w:t>
      </w:r>
      <w:r w:rsidR="00D74931">
        <w:rPr>
          <w:rFonts w:ascii="Times New Roman" w:hAnsi="Times New Roman" w:cs="Times New Roman"/>
          <w:i/>
          <w:sz w:val="24"/>
          <w:szCs w:val="24"/>
        </w:rPr>
        <w:t>f</w:t>
      </w:r>
      <w:r w:rsidR="00E339CD" w:rsidRPr="000D096C">
        <w:rPr>
          <w:rFonts w:ascii="Times New Roman" w:hAnsi="Times New Roman" w:cs="Times New Roman"/>
          <w:i/>
          <w:sz w:val="24"/>
          <w:szCs w:val="24"/>
        </w:rPr>
        <w:t>ederation</w:t>
      </w:r>
      <w:r w:rsidR="00E339CD" w:rsidRPr="000D096C">
        <w:rPr>
          <w:rFonts w:ascii="Times New Roman" w:hAnsi="Times New Roman" w:cs="Times New Roman"/>
          <w:sz w:val="24"/>
          <w:szCs w:val="24"/>
        </w:rPr>
        <w:t xml:space="preserve"> (</w:t>
      </w:r>
      <w:r w:rsidRPr="000D096C">
        <w:rPr>
          <w:rFonts w:ascii="Times New Roman" w:hAnsi="Times New Roman" w:cs="Times New Roman"/>
          <w:sz w:val="24"/>
          <w:szCs w:val="24"/>
        </w:rPr>
        <w:t>IDF</w:t>
      </w:r>
      <w:r w:rsidR="00E339CD" w:rsidRPr="000D096C">
        <w:rPr>
          <w:rFonts w:ascii="Times New Roman" w:hAnsi="Times New Roman" w:cs="Times New Roman"/>
          <w:sz w:val="24"/>
          <w:szCs w:val="24"/>
        </w:rPr>
        <w:t>)</w:t>
      </w:r>
      <w:r w:rsidRPr="000D096C">
        <w:rPr>
          <w:rFonts w:ascii="Times New Roman" w:hAnsi="Times New Roman" w:cs="Times New Roman"/>
          <w:sz w:val="24"/>
          <w:szCs w:val="24"/>
        </w:rPr>
        <w:t xml:space="preserve"> z roku 2009, která vyžaduje přítomnost alespoň t</w:t>
      </w:r>
      <w:r w:rsidR="00E5611E" w:rsidRPr="000D096C">
        <w:rPr>
          <w:rFonts w:ascii="Times New Roman" w:hAnsi="Times New Roman" w:cs="Times New Roman"/>
          <w:sz w:val="24"/>
          <w:szCs w:val="24"/>
        </w:rPr>
        <w:t>ří kritérií z následujících pěti</w:t>
      </w:r>
      <w:r w:rsidR="00AE62EE" w:rsidRPr="000D096C">
        <w:rPr>
          <w:rFonts w:ascii="Times New Roman" w:hAnsi="Times New Roman" w:cs="Times New Roman"/>
          <w:sz w:val="24"/>
          <w:szCs w:val="24"/>
        </w:rPr>
        <w:t xml:space="preserve"> [7]</w:t>
      </w:r>
      <w:r w:rsidRPr="000D096C">
        <w:rPr>
          <w:rFonts w:ascii="Times New Roman" w:hAnsi="Times New Roman" w:cs="Times New Roman"/>
          <w:sz w:val="24"/>
          <w:szCs w:val="24"/>
        </w:rPr>
        <w:t>:</w:t>
      </w:r>
    </w:p>
    <w:p w:rsidR="00E5611E" w:rsidRPr="000D096C" w:rsidRDefault="00890488" w:rsidP="004567D5">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Obvod pasu (</w:t>
      </w:r>
      <w:r w:rsidR="007F32F6" w:rsidRPr="000D096C">
        <w:rPr>
          <w:rFonts w:ascii="Times New Roman" w:hAnsi="Times New Roman" w:cs="Times New Roman"/>
          <w:sz w:val="24"/>
          <w:szCs w:val="24"/>
        </w:rPr>
        <w:t>OP</w:t>
      </w:r>
      <w:r>
        <w:rPr>
          <w:rFonts w:ascii="Times New Roman" w:hAnsi="Times New Roman" w:cs="Times New Roman"/>
          <w:sz w:val="24"/>
          <w:szCs w:val="24"/>
        </w:rPr>
        <w:t>)</w:t>
      </w:r>
      <w:r w:rsidR="007F32F6" w:rsidRPr="000D096C">
        <w:rPr>
          <w:rFonts w:ascii="Times New Roman" w:hAnsi="Times New Roman" w:cs="Times New Roman"/>
          <w:sz w:val="24"/>
          <w:szCs w:val="24"/>
        </w:rPr>
        <w:t xml:space="preserve"> ≥ 94 cm </w:t>
      </w:r>
      <w:r w:rsidR="00E5611E" w:rsidRPr="000D096C">
        <w:rPr>
          <w:rFonts w:ascii="Times New Roman" w:hAnsi="Times New Roman" w:cs="Times New Roman"/>
          <w:sz w:val="24"/>
          <w:szCs w:val="24"/>
        </w:rPr>
        <w:t xml:space="preserve">u mužů a </w:t>
      </w:r>
      <w:r w:rsidR="007F32F6" w:rsidRPr="000D096C">
        <w:rPr>
          <w:rFonts w:ascii="Times New Roman" w:hAnsi="Times New Roman" w:cs="Times New Roman"/>
          <w:sz w:val="24"/>
          <w:szCs w:val="24"/>
        </w:rPr>
        <w:t xml:space="preserve">≥ 80 cm </w:t>
      </w:r>
      <w:r w:rsidR="00E5611E" w:rsidRPr="000D096C">
        <w:rPr>
          <w:rFonts w:ascii="Times New Roman" w:hAnsi="Times New Roman" w:cs="Times New Roman"/>
          <w:sz w:val="24"/>
          <w:szCs w:val="24"/>
        </w:rPr>
        <w:t>u žen</w:t>
      </w:r>
    </w:p>
    <w:p w:rsidR="00E5611E" w:rsidRPr="000D096C" w:rsidRDefault="00E5611E"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Glykémie nalačno</w:t>
      </w:r>
      <w:r w:rsidR="00D83CD8" w:rsidRPr="000D096C">
        <w:rPr>
          <w:rFonts w:ascii="Times New Roman" w:hAnsi="Times New Roman" w:cs="Times New Roman"/>
          <w:sz w:val="24"/>
          <w:szCs w:val="24"/>
        </w:rPr>
        <w:t xml:space="preserve"> ≥ 5,</w:t>
      </w:r>
      <w:r w:rsidR="007F32F6" w:rsidRPr="000D096C">
        <w:rPr>
          <w:rFonts w:ascii="Times New Roman" w:hAnsi="Times New Roman" w:cs="Times New Roman"/>
          <w:sz w:val="24"/>
          <w:szCs w:val="24"/>
        </w:rPr>
        <w:t>6 mmol/</w:t>
      </w:r>
      <w:r w:rsidRPr="000D096C">
        <w:rPr>
          <w:rFonts w:ascii="Times New Roman" w:hAnsi="Times New Roman" w:cs="Times New Roman"/>
          <w:sz w:val="24"/>
          <w:szCs w:val="24"/>
        </w:rPr>
        <w:t>l</w:t>
      </w:r>
      <w:r w:rsidR="007F32F6" w:rsidRPr="000D096C">
        <w:rPr>
          <w:rFonts w:ascii="Times New Roman" w:hAnsi="Times New Roman" w:cs="Times New Roman"/>
          <w:sz w:val="24"/>
          <w:szCs w:val="24"/>
        </w:rPr>
        <w:t xml:space="preserve"> </w:t>
      </w:r>
      <w:r w:rsidRPr="000D096C">
        <w:rPr>
          <w:rFonts w:ascii="Times New Roman" w:hAnsi="Times New Roman" w:cs="Times New Roman"/>
          <w:sz w:val="24"/>
          <w:szCs w:val="24"/>
        </w:rPr>
        <w:t>nebo diagnóza T2DM</w:t>
      </w:r>
    </w:p>
    <w:p w:rsidR="00E5611E" w:rsidRPr="000D096C" w:rsidRDefault="00E5611E"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TK</w:t>
      </w:r>
      <w:r w:rsidR="007F32F6" w:rsidRPr="000D096C">
        <w:rPr>
          <w:rFonts w:ascii="Times New Roman" w:hAnsi="Times New Roman" w:cs="Times New Roman"/>
          <w:sz w:val="24"/>
          <w:szCs w:val="24"/>
        </w:rPr>
        <w:t xml:space="preserve"> ≥ 130/85 mmHg </w:t>
      </w:r>
      <w:r w:rsidRPr="000D096C">
        <w:rPr>
          <w:rFonts w:ascii="Times New Roman" w:hAnsi="Times New Roman" w:cs="Times New Roman"/>
          <w:sz w:val="24"/>
          <w:szCs w:val="24"/>
        </w:rPr>
        <w:t xml:space="preserve">nebo </w:t>
      </w:r>
      <w:r w:rsidR="00906911" w:rsidRPr="000D096C">
        <w:rPr>
          <w:rFonts w:ascii="Times New Roman" w:hAnsi="Times New Roman" w:cs="Times New Roman"/>
          <w:sz w:val="24"/>
          <w:szCs w:val="24"/>
        </w:rPr>
        <w:t>léčba</w:t>
      </w:r>
      <w:r w:rsidRPr="000D096C">
        <w:rPr>
          <w:rFonts w:ascii="Times New Roman" w:hAnsi="Times New Roman" w:cs="Times New Roman"/>
          <w:sz w:val="24"/>
          <w:szCs w:val="24"/>
        </w:rPr>
        <w:t xml:space="preserve"> arteriální hypertenze</w:t>
      </w:r>
    </w:p>
    <w:p w:rsidR="00E5611E" w:rsidRPr="000D096C" w:rsidRDefault="00E5611E"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TAG</w:t>
      </w:r>
      <w:r w:rsidR="00D83CD8" w:rsidRPr="000D096C">
        <w:rPr>
          <w:rFonts w:ascii="Times New Roman" w:hAnsi="Times New Roman" w:cs="Times New Roman"/>
          <w:sz w:val="24"/>
          <w:szCs w:val="24"/>
        </w:rPr>
        <w:t xml:space="preserve"> ≥ 1,</w:t>
      </w:r>
      <w:r w:rsidR="007F32F6" w:rsidRPr="000D096C">
        <w:rPr>
          <w:rFonts w:ascii="Times New Roman" w:hAnsi="Times New Roman" w:cs="Times New Roman"/>
          <w:sz w:val="24"/>
          <w:szCs w:val="24"/>
        </w:rPr>
        <w:t>7 mmol/</w:t>
      </w:r>
      <w:r w:rsidRPr="000D096C">
        <w:rPr>
          <w:rFonts w:ascii="Times New Roman" w:hAnsi="Times New Roman" w:cs="Times New Roman"/>
          <w:sz w:val="24"/>
          <w:szCs w:val="24"/>
        </w:rPr>
        <w:t>l</w:t>
      </w:r>
      <w:r w:rsidR="007F32F6" w:rsidRPr="000D096C">
        <w:rPr>
          <w:rFonts w:ascii="Times New Roman" w:hAnsi="Times New Roman" w:cs="Times New Roman"/>
          <w:sz w:val="24"/>
          <w:szCs w:val="24"/>
        </w:rPr>
        <w:t xml:space="preserve"> </w:t>
      </w:r>
      <w:r w:rsidRPr="000D096C">
        <w:rPr>
          <w:rFonts w:ascii="Times New Roman" w:hAnsi="Times New Roman" w:cs="Times New Roman"/>
          <w:sz w:val="24"/>
          <w:szCs w:val="24"/>
        </w:rPr>
        <w:t xml:space="preserve">nebo </w:t>
      </w:r>
      <w:r w:rsidR="00906911" w:rsidRPr="000D096C">
        <w:rPr>
          <w:rFonts w:ascii="Times New Roman" w:hAnsi="Times New Roman" w:cs="Times New Roman"/>
          <w:sz w:val="24"/>
          <w:szCs w:val="24"/>
        </w:rPr>
        <w:t>léčba</w:t>
      </w:r>
      <w:r w:rsidRPr="000D096C">
        <w:rPr>
          <w:rFonts w:ascii="Times New Roman" w:hAnsi="Times New Roman" w:cs="Times New Roman"/>
          <w:sz w:val="24"/>
          <w:szCs w:val="24"/>
        </w:rPr>
        <w:t xml:space="preserve"> hypertriacylglycerolémie</w:t>
      </w:r>
    </w:p>
    <w:p w:rsidR="007F32F6" w:rsidRPr="000D096C" w:rsidRDefault="00EA0A4A" w:rsidP="004567D5">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HDL</w:t>
      </w:r>
      <w:r w:rsidR="00D83CD8" w:rsidRPr="000D096C">
        <w:rPr>
          <w:rFonts w:ascii="Times New Roman" w:hAnsi="Times New Roman" w:cs="Times New Roman"/>
          <w:sz w:val="24"/>
          <w:szCs w:val="24"/>
        </w:rPr>
        <w:t xml:space="preserve"> &lt; 1,</w:t>
      </w:r>
      <w:r w:rsidR="007F32F6" w:rsidRPr="000D096C">
        <w:rPr>
          <w:rFonts w:ascii="Times New Roman" w:hAnsi="Times New Roman" w:cs="Times New Roman"/>
          <w:sz w:val="24"/>
          <w:szCs w:val="24"/>
        </w:rPr>
        <w:t>0 mmol/</w:t>
      </w:r>
      <w:r w:rsidR="00E5611E" w:rsidRPr="000D096C">
        <w:rPr>
          <w:rFonts w:ascii="Times New Roman" w:hAnsi="Times New Roman" w:cs="Times New Roman"/>
          <w:sz w:val="24"/>
          <w:szCs w:val="24"/>
        </w:rPr>
        <w:t>l</w:t>
      </w:r>
      <w:r w:rsidR="007F32F6" w:rsidRPr="000D096C">
        <w:rPr>
          <w:rFonts w:ascii="Times New Roman" w:hAnsi="Times New Roman" w:cs="Times New Roman"/>
          <w:sz w:val="24"/>
          <w:szCs w:val="24"/>
        </w:rPr>
        <w:t xml:space="preserve"> </w:t>
      </w:r>
      <w:r w:rsidR="00E5611E" w:rsidRPr="000D096C">
        <w:rPr>
          <w:rFonts w:ascii="Times New Roman" w:hAnsi="Times New Roman" w:cs="Times New Roman"/>
          <w:sz w:val="24"/>
          <w:szCs w:val="24"/>
        </w:rPr>
        <w:t>u mužů</w:t>
      </w:r>
      <w:r w:rsidR="007F32F6" w:rsidRPr="000D096C">
        <w:rPr>
          <w:rFonts w:ascii="Times New Roman" w:hAnsi="Times New Roman" w:cs="Times New Roman"/>
          <w:sz w:val="24"/>
          <w:szCs w:val="24"/>
        </w:rPr>
        <w:t xml:space="preserve"> a</w:t>
      </w:r>
      <w:r w:rsidR="00D83CD8" w:rsidRPr="000D096C">
        <w:rPr>
          <w:rFonts w:ascii="Times New Roman" w:hAnsi="Times New Roman" w:cs="Times New Roman"/>
          <w:sz w:val="24"/>
          <w:szCs w:val="24"/>
        </w:rPr>
        <w:t xml:space="preserve"> &lt; 1,</w:t>
      </w:r>
      <w:r w:rsidR="007F32F6" w:rsidRPr="000D096C">
        <w:rPr>
          <w:rFonts w:ascii="Times New Roman" w:hAnsi="Times New Roman" w:cs="Times New Roman"/>
          <w:sz w:val="24"/>
          <w:szCs w:val="24"/>
        </w:rPr>
        <w:t>3 mmol/</w:t>
      </w:r>
      <w:r w:rsidR="00E5611E" w:rsidRPr="000D096C">
        <w:rPr>
          <w:rFonts w:ascii="Times New Roman" w:hAnsi="Times New Roman" w:cs="Times New Roman"/>
          <w:sz w:val="24"/>
          <w:szCs w:val="24"/>
        </w:rPr>
        <w:t>l</w:t>
      </w:r>
      <w:r w:rsidR="007F32F6" w:rsidRPr="000D096C">
        <w:rPr>
          <w:rFonts w:ascii="Times New Roman" w:hAnsi="Times New Roman" w:cs="Times New Roman"/>
          <w:sz w:val="24"/>
          <w:szCs w:val="24"/>
        </w:rPr>
        <w:t xml:space="preserve"> </w:t>
      </w:r>
      <w:r w:rsidR="00E5611E" w:rsidRPr="000D096C">
        <w:rPr>
          <w:rFonts w:ascii="Times New Roman" w:hAnsi="Times New Roman" w:cs="Times New Roman"/>
          <w:sz w:val="24"/>
          <w:szCs w:val="24"/>
        </w:rPr>
        <w:t>u žen nebo léč</w:t>
      </w:r>
      <w:r>
        <w:rPr>
          <w:rFonts w:ascii="Times New Roman" w:hAnsi="Times New Roman" w:cs="Times New Roman"/>
          <w:sz w:val="24"/>
          <w:szCs w:val="24"/>
        </w:rPr>
        <w:t>ba dyslipidémie s poklesem HDL</w:t>
      </w:r>
    </w:p>
    <w:p w:rsidR="00FD2CAF" w:rsidRPr="000D096C" w:rsidRDefault="00C55ACA"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Pro uplatnění kritérií IDF v různých populacích jsou definovány geograficky specifické hraniční hodnoty OP.</w:t>
      </w:r>
      <w:r w:rsidR="004E7432" w:rsidRPr="000D096C">
        <w:rPr>
          <w:rFonts w:ascii="Times New Roman" w:hAnsi="Times New Roman" w:cs="Times New Roman"/>
          <w:sz w:val="24"/>
          <w:szCs w:val="24"/>
        </w:rPr>
        <w:t xml:space="preserve"> </w:t>
      </w:r>
      <w:r w:rsidR="00FD2CAF" w:rsidRPr="000D096C">
        <w:rPr>
          <w:rFonts w:ascii="Times New Roman" w:hAnsi="Times New Roman" w:cs="Times New Roman"/>
          <w:sz w:val="24"/>
          <w:szCs w:val="24"/>
        </w:rPr>
        <w:t>Ve verzi definice IDF z roku 2005 b</w:t>
      </w:r>
      <w:r w:rsidR="00564678" w:rsidRPr="000D096C">
        <w:rPr>
          <w:rFonts w:ascii="Times New Roman" w:hAnsi="Times New Roman" w:cs="Times New Roman"/>
          <w:sz w:val="24"/>
          <w:szCs w:val="24"/>
        </w:rPr>
        <w:t>yla mezi ostatními složkami</w:t>
      </w:r>
      <w:r w:rsidR="00FD2CAF" w:rsidRPr="000D096C">
        <w:rPr>
          <w:rFonts w:ascii="Times New Roman" w:hAnsi="Times New Roman" w:cs="Times New Roman"/>
          <w:sz w:val="24"/>
          <w:szCs w:val="24"/>
        </w:rPr>
        <w:t xml:space="preserve"> MetS akcentována přítomnost obezity. Tedy OP ≥ 94 cm u mužů a ≥ 80 cm u žen byl nezbytnou podmínkou, dále pak musela být splněna alespoň dvě z následujících čtyř kritérií</w:t>
      </w:r>
      <w:r w:rsidR="00AE62EE" w:rsidRPr="000D096C">
        <w:rPr>
          <w:rFonts w:ascii="Times New Roman" w:hAnsi="Times New Roman" w:cs="Times New Roman"/>
          <w:sz w:val="24"/>
          <w:szCs w:val="24"/>
        </w:rPr>
        <w:t xml:space="preserve"> [8]</w:t>
      </w:r>
      <w:r w:rsidR="00FD2CAF" w:rsidRPr="000D096C">
        <w:rPr>
          <w:rFonts w:ascii="Times New Roman" w:hAnsi="Times New Roman" w:cs="Times New Roman"/>
          <w:sz w:val="24"/>
          <w:szCs w:val="24"/>
        </w:rPr>
        <w:t>:</w:t>
      </w:r>
    </w:p>
    <w:p w:rsidR="00FD2CAF" w:rsidRPr="000D096C" w:rsidRDefault="00FD2CAF"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Glykémie nalačno ≥ 5,6 mmol/l</w:t>
      </w:r>
    </w:p>
    <w:p w:rsidR="00FD2CAF" w:rsidRPr="000D096C" w:rsidRDefault="00FD2CAF"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 xml:space="preserve">TK ≥ 130/85 mmHg nebo </w:t>
      </w:r>
      <w:r w:rsidR="00906911" w:rsidRPr="000D096C">
        <w:rPr>
          <w:rFonts w:ascii="Times New Roman" w:hAnsi="Times New Roman" w:cs="Times New Roman"/>
          <w:sz w:val="24"/>
          <w:szCs w:val="24"/>
        </w:rPr>
        <w:t>léčba</w:t>
      </w:r>
      <w:r w:rsidRPr="000D096C">
        <w:rPr>
          <w:rFonts w:ascii="Times New Roman" w:hAnsi="Times New Roman" w:cs="Times New Roman"/>
          <w:sz w:val="24"/>
          <w:szCs w:val="24"/>
        </w:rPr>
        <w:t xml:space="preserve"> arteriální hypertenze</w:t>
      </w:r>
    </w:p>
    <w:p w:rsidR="00FD2CAF" w:rsidRPr="000D096C" w:rsidRDefault="00FD2CAF"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 xml:space="preserve">TAG ≥ 1,7 mmol/l nebo </w:t>
      </w:r>
      <w:r w:rsidR="00906911" w:rsidRPr="000D096C">
        <w:rPr>
          <w:rFonts w:ascii="Times New Roman" w:hAnsi="Times New Roman" w:cs="Times New Roman"/>
          <w:sz w:val="24"/>
          <w:szCs w:val="24"/>
        </w:rPr>
        <w:t>léčba</w:t>
      </w:r>
      <w:r w:rsidRPr="000D096C">
        <w:rPr>
          <w:rFonts w:ascii="Times New Roman" w:hAnsi="Times New Roman" w:cs="Times New Roman"/>
          <w:sz w:val="24"/>
          <w:szCs w:val="24"/>
        </w:rPr>
        <w:t xml:space="preserve"> hypertriacylglycerolémie</w:t>
      </w:r>
    </w:p>
    <w:p w:rsidR="00FD2CAF" w:rsidRPr="000D096C" w:rsidRDefault="00EA0A4A" w:rsidP="004567D5">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HDL</w:t>
      </w:r>
      <w:r w:rsidR="00FD2CAF" w:rsidRPr="000D096C">
        <w:rPr>
          <w:rFonts w:ascii="Times New Roman" w:hAnsi="Times New Roman" w:cs="Times New Roman"/>
          <w:sz w:val="24"/>
          <w:szCs w:val="24"/>
        </w:rPr>
        <w:t xml:space="preserve"> &lt; 1,0 mmol/l u mužů a &lt; 1,3 mmol/l u žen nebo léč</w:t>
      </w:r>
      <w:r>
        <w:rPr>
          <w:rFonts w:ascii="Times New Roman" w:hAnsi="Times New Roman" w:cs="Times New Roman"/>
          <w:sz w:val="24"/>
          <w:szCs w:val="24"/>
        </w:rPr>
        <w:t>ba dyslipidémie s poklesem HDL</w:t>
      </w:r>
    </w:p>
    <w:p w:rsidR="00C55ACA" w:rsidRPr="000D096C" w:rsidRDefault="00585F66"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Od uvedené definice IDF</w:t>
      </w:r>
      <w:r w:rsidR="00FD2CAF" w:rsidRPr="000D096C">
        <w:rPr>
          <w:rFonts w:ascii="Times New Roman" w:hAnsi="Times New Roman" w:cs="Times New Roman"/>
          <w:sz w:val="24"/>
          <w:szCs w:val="24"/>
        </w:rPr>
        <w:t xml:space="preserve"> z roku 2009</w:t>
      </w:r>
      <w:r w:rsidR="00A16C32" w:rsidRPr="000D096C">
        <w:rPr>
          <w:rFonts w:ascii="Times New Roman" w:hAnsi="Times New Roman" w:cs="Times New Roman"/>
          <w:sz w:val="24"/>
          <w:szCs w:val="24"/>
        </w:rPr>
        <w:t xml:space="preserve"> se výrazně neliší</w:t>
      </w:r>
      <w:r w:rsidRPr="000D096C">
        <w:rPr>
          <w:rFonts w:ascii="Times New Roman" w:hAnsi="Times New Roman" w:cs="Times New Roman"/>
          <w:sz w:val="24"/>
          <w:szCs w:val="24"/>
        </w:rPr>
        <w:t xml:space="preserve"> kritéria amerického </w:t>
      </w:r>
      <w:r w:rsidR="009672EE" w:rsidRPr="000D096C">
        <w:rPr>
          <w:rFonts w:ascii="Times New Roman" w:hAnsi="Times New Roman" w:cs="Times New Roman"/>
          <w:i/>
          <w:sz w:val="24"/>
          <w:szCs w:val="24"/>
        </w:rPr>
        <w:t xml:space="preserve">National </w:t>
      </w:r>
      <w:r w:rsidR="00D74931">
        <w:rPr>
          <w:rFonts w:ascii="Times New Roman" w:hAnsi="Times New Roman" w:cs="Times New Roman"/>
          <w:i/>
          <w:sz w:val="24"/>
          <w:szCs w:val="24"/>
        </w:rPr>
        <w:t>c</w:t>
      </w:r>
      <w:r w:rsidR="009672EE" w:rsidRPr="000D096C">
        <w:rPr>
          <w:rFonts w:ascii="Times New Roman" w:hAnsi="Times New Roman" w:cs="Times New Roman"/>
          <w:i/>
          <w:sz w:val="24"/>
          <w:szCs w:val="24"/>
        </w:rPr>
        <w:t xml:space="preserve">holesterol </w:t>
      </w:r>
      <w:r w:rsidR="00D74931">
        <w:rPr>
          <w:rFonts w:ascii="Times New Roman" w:hAnsi="Times New Roman" w:cs="Times New Roman"/>
          <w:i/>
          <w:sz w:val="24"/>
          <w:szCs w:val="24"/>
        </w:rPr>
        <w:t>e</w:t>
      </w:r>
      <w:r w:rsidR="009672EE" w:rsidRPr="000D096C">
        <w:rPr>
          <w:rFonts w:ascii="Times New Roman" w:hAnsi="Times New Roman" w:cs="Times New Roman"/>
          <w:i/>
          <w:sz w:val="24"/>
          <w:szCs w:val="24"/>
        </w:rPr>
        <w:t xml:space="preserve">ducation </w:t>
      </w:r>
      <w:r w:rsidR="00D74931">
        <w:rPr>
          <w:rFonts w:ascii="Times New Roman" w:hAnsi="Times New Roman" w:cs="Times New Roman"/>
          <w:i/>
          <w:sz w:val="24"/>
          <w:szCs w:val="24"/>
        </w:rPr>
        <w:t>p</w:t>
      </w:r>
      <w:r w:rsidR="009672EE" w:rsidRPr="000D096C">
        <w:rPr>
          <w:rFonts w:ascii="Times New Roman" w:hAnsi="Times New Roman" w:cs="Times New Roman"/>
          <w:i/>
          <w:sz w:val="24"/>
          <w:szCs w:val="24"/>
        </w:rPr>
        <w:t>rogram</w:t>
      </w:r>
      <w:r w:rsidRPr="000D096C">
        <w:rPr>
          <w:rFonts w:ascii="Times New Roman" w:hAnsi="Times New Roman" w:cs="Times New Roman"/>
          <w:i/>
          <w:sz w:val="24"/>
          <w:szCs w:val="24"/>
        </w:rPr>
        <w:t xml:space="preserve"> </w:t>
      </w:r>
      <w:r w:rsidRPr="000D096C">
        <w:rPr>
          <w:rFonts w:ascii="Times New Roman" w:hAnsi="Times New Roman" w:cs="Times New Roman"/>
          <w:sz w:val="24"/>
          <w:szCs w:val="24"/>
        </w:rPr>
        <w:t xml:space="preserve">(NCEP), který ve své novější verzi </w:t>
      </w:r>
      <w:r w:rsidRPr="000D096C">
        <w:rPr>
          <w:rFonts w:ascii="Times New Roman" w:hAnsi="Times New Roman" w:cs="Times New Roman"/>
          <w:i/>
          <w:sz w:val="24"/>
          <w:szCs w:val="24"/>
        </w:rPr>
        <w:t xml:space="preserve">Adult </w:t>
      </w:r>
      <w:r w:rsidR="00D74931">
        <w:rPr>
          <w:rFonts w:ascii="Times New Roman" w:hAnsi="Times New Roman" w:cs="Times New Roman"/>
          <w:i/>
          <w:sz w:val="24"/>
          <w:szCs w:val="24"/>
        </w:rPr>
        <w:t>treatment p</w:t>
      </w:r>
      <w:r w:rsidRPr="000D096C">
        <w:rPr>
          <w:rFonts w:ascii="Times New Roman" w:hAnsi="Times New Roman" w:cs="Times New Roman"/>
          <w:i/>
          <w:sz w:val="24"/>
          <w:szCs w:val="24"/>
        </w:rPr>
        <w:t>anel</w:t>
      </w:r>
      <w:r w:rsidRPr="000D096C">
        <w:rPr>
          <w:rFonts w:ascii="Times New Roman" w:hAnsi="Times New Roman" w:cs="Times New Roman"/>
          <w:sz w:val="24"/>
          <w:szCs w:val="24"/>
        </w:rPr>
        <w:t xml:space="preserve"> </w:t>
      </w:r>
      <w:r w:rsidR="00C11C4E">
        <w:rPr>
          <w:rFonts w:ascii="Times New Roman" w:hAnsi="Times New Roman" w:cs="Times New Roman"/>
          <w:sz w:val="24"/>
          <w:szCs w:val="24"/>
        </w:rPr>
        <w:t>(ATP</w:t>
      </w:r>
      <w:r w:rsidR="00C11C4E" w:rsidRPr="000D096C">
        <w:rPr>
          <w:rFonts w:ascii="Times New Roman" w:hAnsi="Times New Roman" w:cs="Times New Roman"/>
          <w:sz w:val="24"/>
          <w:szCs w:val="24"/>
        </w:rPr>
        <w:t>)</w:t>
      </w:r>
      <w:r w:rsidR="00C11C4E">
        <w:rPr>
          <w:rFonts w:ascii="Times New Roman" w:hAnsi="Times New Roman" w:cs="Times New Roman"/>
          <w:sz w:val="24"/>
          <w:szCs w:val="24"/>
        </w:rPr>
        <w:t xml:space="preserve"> </w:t>
      </w:r>
      <w:r w:rsidRPr="000D096C">
        <w:rPr>
          <w:rFonts w:ascii="Times New Roman" w:hAnsi="Times New Roman" w:cs="Times New Roman"/>
          <w:sz w:val="24"/>
          <w:szCs w:val="24"/>
        </w:rPr>
        <w:t xml:space="preserve">III rovněž vyžaduje splnění alespoň tří </w:t>
      </w:r>
      <w:r w:rsidR="00564678" w:rsidRPr="000D096C">
        <w:rPr>
          <w:rFonts w:ascii="Times New Roman" w:hAnsi="Times New Roman" w:cs="Times New Roman"/>
          <w:sz w:val="24"/>
          <w:szCs w:val="24"/>
        </w:rPr>
        <w:t xml:space="preserve">z </w:t>
      </w:r>
      <w:r w:rsidRPr="000D096C">
        <w:rPr>
          <w:rFonts w:ascii="Times New Roman" w:hAnsi="Times New Roman" w:cs="Times New Roman"/>
          <w:sz w:val="24"/>
          <w:szCs w:val="24"/>
        </w:rPr>
        <w:t>následujících podmínek</w:t>
      </w:r>
      <w:r w:rsidR="00AE62EE" w:rsidRPr="000D096C">
        <w:rPr>
          <w:rFonts w:ascii="Times New Roman" w:hAnsi="Times New Roman" w:cs="Times New Roman"/>
          <w:sz w:val="24"/>
          <w:szCs w:val="24"/>
        </w:rPr>
        <w:t xml:space="preserve"> [9]</w:t>
      </w:r>
      <w:r w:rsidRPr="000D096C">
        <w:rPr>
          <w:rFonts w:ascii="Times New Roman" w:hAnsi="Times New Roman" w:cs="Times New Roman"/>
          <w:sz w:val="24"/>
          <w:szCs w:val="24"/>
        </w:rPr>
        <w:t>:</w:t>
      </w:r>
    </w:p>
    <w:p w:rsidR="00585F66" w:rsidRPr="000D096C" w:rsidRDefault="00585F66"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 xml:space="preserve">OP </w:t>
      </w:r>
      <w:r w:rsidR="00D83CD8" w:rsidRPr="000D096C">
        <w:rPr>
          <w:rFonts w:ascii="Times New Roman" w:hAnsi="Times New Roman" w:cs="Times New Roman"/>
          <w:sz w:val="24"/>
          <w:szCs w:val="24"/>
        </w:rPr>
        <w:t>≥ 102</w:t>
      </w:r>
      <w:r w:rsidRPr="000D096C">
        <w:rPr>
          <w:rFonts w:ascii="Times New Roman" w:hAnsi="Times New Roman" w:cs="Times New Roman"/>
          <w:sz w:val="24"/>
          <w:szCs w:val="24"/>
        </w:rPr>
        <w:t xml:space="preserve"> cm u mužů a ≥ 8</w:t>
      </w:r>
      <w:r w:rsidR="00D83CD8" w:rsidRPr="000D096C">
        <w:rPr>
          <w:rFonts w:ascii="Times New Roman" w:hAnsi="Times New Roman" w:cs="Times New Roman"/>
          <w:sz w:val="24"/>
          <w:szCs w:val="24"/>
        </w:rPr>
        <w:t>8</w:t>
      </w:r>
      <w:r w:rsidRPr="000D096C">
        <w:rPr>
          <w:rFonts w:ascii="Times New Roman" w:hAnsi="Times New Roman" w:cs="Times New Roman"/>
          <w:sz w:val="24"/>
          <w:szCs w:val="24"/>
        </w:rPr>
        <w:t xml:space="preserve"> cm u žen</w:t>
      </w:r>
    </w:p>
    <w:p w:rsidR="00585F66" w:rsidRPr="000D096C" w:rsidRDefault="00585F66"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Glykémie nalačno ≥ 5</w:t>
      </w:r>
      <w:r w:rsidR="00D83CD8" w:rsidRPr="000D096C">
        <w:rPr>
          <w:rFonts w:ascii="Times New Roman" w:hAnsi="Times New Roman" w:cs="Times New Roman"/>
          <w:sz w:val="24"/>
          <w:szCs w:val="24"/>
        </w:rPr>
        <w:t>,</w:t>
      </w:r>
      <w:r w:rsidRPr="000D096C">
        <w:rPr>
          <w:rFonts w:ascii="Times New Roman" w:hAnsi="Times New Roman" w:cs="Times New Roman"/>
          <w:sz w:val="24"/>
          <w:szCs w:val="24"/>
        </w:rPr>
        <w:t>6 mmol/l</w:t>
      </w:r>
      <w:r w:rsidR="00D83CD8" w:rsidRPr="000D096C">
        <w:rPr>
          <w:rFonts w:ascii="Times New Roman" w:hAnsi="Times New Roman" w:cs="Times New Roman"/>
          <w:sz w:val="24"/>
          <w:szCs w:val="24"/>
        </w:rPr>
        <w:t xml:space="preserve"> (ve starší verzi 6,1 mmol/l)</w:t>
      </w:r>
      <w:r w:rsidRPr="000D096C">
        <w:rPr>
          <w:rFonts w:ascii="Times New Roman" w:hAnsi="Times New Roman" w:cs="Times New Roman"/>
          <w:sz w:val="24"/>
          <w:szCs w:val="24"/>
        </w:rPr>
        <w:t xml:space="preserve"> nebo diagnóza T2DM</w:t>
      </w:r>
    </w:p>
    <w:p w:rsidR="00585F66" w:rsidRPr="000D096C" w:rsidRDefault="00585F66"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 xml:space="preserve">TK ≥ 130/85 mmHg nebo </w:t>
      </w:r>
      <w:r w:rsidR="00906911" w:rsidRPr="000D096C">
        <w:rPr>
          <w:rFonts w:ascii="Times New Roman" w:hAnsi="Times New Roman" w:cs="Times New Roman"/>
          <w:sz w:val="24"/>
          <w:szCs w:val="24"/>
        </w:rPr>
        <w:t>léčba</w:t>
      </w:r>
      <w:r w:rsidRPr="000D096C">
        <w:rPr>
          <w:rFonts w:ascii="Times New Roman" w:hAnsi="Times New Roman" w:cs="Times New Roman"/>
          <w:sz w:val="24"/>
          <w:szCs w:val="24"/>
        </w:rPr>
        <w:t xml:space="preserve"> arteriální hypertenze</w:t>
      </w:r>
    </w:p>
    <w:p w:rsidR="00585F66" w:rsidRPr="000D096C" w:rsidRDefault="00585F66" w:rsidP="004567D5">
      <w:pPr>
        <w:pStyle w:val="Odstavecseseznamem"/>
        <w:numPr>
          <w:ilvl w:val="0"/>
          <w:numId w:val="2"/>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TAG ≥ 1</w:t>
      </w:r>
      <w:r w:rsidR="00D83CD8" w:rsidRPr="000D096C">
        <w:rPr>
          <w:rFonts w:ascii="Times New Roman" w:hAnsi="Times New Roman" w:cs="Times New Roman"/>
          <w:sz w:val="24"/>
          <w:szCs w:val="24"/>
        </w:rPr>
        <w:t>,</w:t>
      </w:r>
      <w:r w:rsidRPr="000D096C">
        <w:rPr>
          <w:rFonts w:ascii="Times New Roman" w:hAnsi="Times New Roman" w:cs="Times New Roman"/>
          <w:sz w:val="24"/>
          <w:szCs w:val="24"/>
        </w:rPr>
        <w:t xml:space="preserve">7 mmol/l nebo </w:t>
      </w:r>
      <w:r w:rsidR="00906911" w:rsidRPr="000D096C">
        <w:rPr>
          <w:rFonts w:ascii="Times New Roman" w:hAnsi="Times New Roman" w:cs="Times New Roman"/>
          <w:sz w:val="24"/>
          <w:szCs w:val="24"/>
        </w:rPr>
        <w:t>léčba</w:t>
      </w:r>
      <w:r w:rsidRPr="000D096C">
        <w:rPr>
          <w:rFonts w:ascii="Times New Roman" w:hAnsi="Times New Roman" w:cs="Times New Roman"/>
          <w:sz w:val="24"/>
          <w:szCs w:val="24"/>
        </w:rPr>
        <w:t xml:space="preserve"> hypertriacylglycerolémie</w:t>
      </w:r>
    </w:p>
    <w:p w:rsidR="00585F66" w:rsidRPr="000D096C" w:rsidRDefault="00EA0A4A" w:rsidP="004567D5">
      <w:pPr>
        <w:pStyle w:val="Odstavecseseznamem"/>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HDL</w:t>
      </w:r>
      <w:r w:rsidR="00585F66" w:rsidRPr="000D096C">
        <w:rPr>
          <w:rFonts w:ascii="Times New Roman" w:hAnsi="Times New Roman" w:cs="Times New Roman"/>
          <w:sz w:val="24"/>
          <w:szCs w:val="24"/>
        </w:rPr>
        <w:t xml:space="preserve"> &lt; 1</w:t>
      </w:r>
      <w:r w:rsidR="00D83CD8" w:rsidRPr="000D096C">
        <w:rPr>
          <w:rFonts w:ascii="Times New Roman" w:hAnsi="Times New Roman" w:cs="Times New Roman"/>
          <w:sz w:val="24"/>
          <w:szCs w:val="24"/>
        </w:rPr>
        <w:t>,</w:t>
      </w:r>
      <w:r w:rsidR="00585F66" w:rsidRPr="000D096C">
        <w:rPr>
          <w:rFonts w:ascii="Times New Roman" w:hAnsi="Times New Roman" w:cs="Times New Roman"/>
          <w:sz w:val="24"/>
          <w:szCs w:val="24"/>
        </w:rPr>
        <w:t>0 mmol/l u mužů a &lt; 1</w:t>
      </w:r>
      <w:r w:rsidR="00D83CD8" w:rsidRPr="000D096C">
        <w:rPr>
          <w:rFonts w:ascii="Times New Roman" w:hAnsi="Times New Roman" w:cs="Times New Roman"/>
          <w:sz w:val="24"/>
          <w:szCs w:val="24"/>
        </w:rPr>
        <w:t>,</w:t>
      </w:r>
      <w:r w:rsidR="00585F66" w:rsidRPr="000D096C">
        <w:rPr>
          <w:rFonts w:ascii="Times New Roman" w:hAnsi="Times New Roman" w:cs="Times New Roman"/>
          <w:sz w:val="24"/>
          <w:szCs w:val="24"/>
        </w:rPr>
        <w:t>3 mmol/l u žen nebo léč</w:t>
      </w:r>
      <w:r>
        <w:rPr>
          <w:rFonts w:ascii="Times New Roman" w:hAnsi="Times New Roman" w:cs="Times New Roman"/>
          <w:sz w:val="24"/>
          <w:szCs w:val="24"/>
        </w:rPr>
        <w:t>ba dyslipidémie s poklesem HDL</w:t>
      </w:r>
    </w:p>
    <w:p w:rsidR="00CF3DA7" w:rsidRPr="000D096C" w:rsidRDefault="00CF3DA7" w:rsidP="004567D5">
      <w:pPr>
        <w:pStyle w:val="Nadpis3"/>
        <w:spacing w:line="360" w:lineRule="auto"/>
        <w:rPr>
          <w:rFonts w:cs="Times New Roman"/>
        </w:rPr>
      </w:pPr>
      <w:bookmarkStart w:id="15" w:name="_Toc33432663"/>
      <w:bookmarkStart w:id="16" w:name="_Toc33432883"/>
      <w:bookmarkStart w:id="17" w:name="_Toc33869522"/>
      <w:r w:rsidRPr="000D096C">
        <w:rPr>
          <w:rFonts w:cs="Times New Roman"/>
        </w:rPr>
        <w:t>Etiopatogeneze</w:t>
      </w:r>
      <w:bookmarkEnd w:id="15"/>
      <w:bookmarkEnd w:id="16"/>
      <w:bookmarkEnd w:id="17"/>
      <w:r w:rsidRPr="000D096C">
        <w:rPr>
          <w:rFonts w:cs="Times New Roman"/>
        </w:rPr>
        <w:t xml:space="preserve"> </w:t>
      </w:r>
    </w:p>
    <w:p w:rsidR="005561E6" w:rsidRDefault="00CF3DA7"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00D71C77" w:rsidRPr="000D096C">
        <w:rPr>
          <w:rFonts w:ascii="Times New Roman" w:hAnsi="Times New Roman" w:cs="Times New Roman"/>
          <w:sz w:val="24"/>
          <w:szCs w:val="24"/>
        </w:rPr>
        <w:t>Patogenetické mechanismy MetS jsou velmi složité a prozatím ne zcela objasněné. Zda je rozvoj jednotlivých komponent MetS izolovanou cestou či zda se jedná o</w:t>
      </w:r>
      <w:r w:rsidR="00762125">
        <w:rPr>
          <w:rFonts w:ascii="Times New Roman" w:hAnsi="Times New Roman" w:cs="Times New Roman"/>
          <w:sz w:val="24"/>
          <w:szCs w:val="24"/>
        </w:rPr>
        <w:t> </w:t>
      </w:r>
      <w:r w:rsidR="00D71C77" w:rsidRPr="000D096C">
        <w:rPr>
          <w:rFonts w:ascii="Times New Roman" w:hAnsi="Times New Roman" w:cs="Times New Roman"/>
          <w:sz w:val="24"/>
          <w:szCs w:val="24"/>
        </w:rPr>
        <w:t>manifestaci společného patogenetického mechanismu</w:t>
      </w:r>
      <w:r w:rsidR="00E41771" w:rsidRPr="000D096C">
        <w:rPr>
          <w:rFonts w:ascii="Times New Roman" w:hAnsi="Times New Roman" w:cs="Times New Roman"/>
          <w:sz w:val="24"/>
          <w:szCs w:val="24"/>
        </w:rPr>
        <w:t xml:space="preserve"> a do jaké míry propojeného</w:t>
      </w:r>
      <w:r w:rsidR="00D71C77" w:rsidRPr="000D096C">
        <w:rPr>
          <w:rFonts w:ascii="Times New Roman" w:hAnsi="Times New Roman" w:cs="Times New Roman"/>
          <w:sz w:val="24"/>
          <w:szCs w:val="24"/>
        </w:rPr>
        <w:t>, je stále diskutov</w:t>
      </w:r>
      <w:r w:rsidR="006B74EB">
        <w:rPr>
          <w:rFonts w:ascii="Times New Roman" w:hAnsi="Times New Roman" w:cs="Times New Roman"/>
          <w:sz w:val="24"/>
          <w:szCs w:val="24"/>
        </w:rPr>
        <w:t>áno. Pravděpodobně však jde</w:t>
      </w:r>
      <w:r w:rsidR="00D71C77" w:rsidRPr="000D096C">
        <w:rPr>
          <w:rFonts w:ascii="Times New Roman" w:hAnsi="Times New Roman" w:cs="Times New Roman"/>
          <w:sz w:val="24"/>
          <w:szCs w:val="24"/>
        </w:rPr>
        <w:t xml:space="preserve"> o kompl</w:t>
      </w:r>
      <w:r w:rsidR="00E41771" w:rsidRPr="000D096C">
        <w:rPr>
          <w:rFonts w:ascii="Times New Roman" w:hAnsi="Times New Roman" w:cs="Times New Roman"/>
          <w:sz w:val="24"/>
          <w:szCs w:val="24"/>
        </w:rPr>
        <w:t>exní rozvoj navzájem provázaných</w:t>
      </w:r>
      <w:r w:rsidR="00D71C77" w:rsidRPr="000D096C">
        <w:rPr>
          <w:rFonts w:ascii="Times New Roman" w:hAnsi="Times New Roman" w:cs="Times New Roman"/>
          <w:sz w:val="24"/>
          <w:szCs w:val="24"/>
        </w:rPr>
        <w:t xml:space="preserve"> metabolických pochodů vedoucích ve svém konečném důsledku až k závažným komplikacím. </w:t>
      </w:r>
      <w:r w:rsidR="00E41771" w:rsidRPr="000D096C">
        <w:rPr>
          <w:rFonts w:ascii="Times New Roman" w:hAnsi="Times New Roman" w:cs="Times New Roman"/>
          <w:sz w:val="24"/>
          <w:szCs w:val="24"/>
        </w:rPr>
        <w:t>R</w:t>
      </w:r>
      <w:r w:rsidR="0021641A" w:rsidRPr="000D096C">
        <w:rPr>
          <w:rFonts w:ascii="Times New Roman" w:hAnsi="Times New Roman" w:cs="Times New Roman"/>
          <w:sz w:val="24"/>
          <w:szCs w:val="24"/>
        </w:rPr>
        <w:t>ozdíly v</w:t>
      </w:r>
      <w:r w:rsidR="00BB3FFF">
        <w:rPr>
          <w:rFonts w:ascii="Times New Roman" w:hAnsi="Times New Roman" w:cs="Times New Roman"/>
          <w:sz w:val="24"/>
          <w:szCs w:val="24"/>
        </w:rPr>
        <w:t> </w:t>
      </w:r>
      <w:r w:rsidR="0021641A" w:rsidRPr="000D096C">
        <w:rPr>
          <w:rFonts w:ascii="Times New Roman" w:hAnsi="Times New Roman" w:cs="Times New Roman"/>
          <w:sz w:val="24"/>
          <w:szCs w:val="24"/>
        </w:rPr>
        <w:t xml:space="preserve">geografické distribuci MetS a nedávné „dohánění“ vysoké prevalence v rozvojovém světě naznačují důležitost faktorů životního prostředí a životního stylu, zejména pak nadbytečného příjmu kalorií a nedostatku fyzické aktivity jakožto hlavních </w:t>
      </w:r>
      <w:r w:rsidR="00601D67" w:rsidRPr="000D096C">
        <w:rPr>
          <w:rFonts w:ascii="Times New Roman" w:hAnsi="Times New Roman" w:cs="Times New Roman"/>
          <w:sz w:val="24"/>
          <w:szCs w:val="24"/>
        </w:rPr>
        <w:t>přispěvatelů</w:t>
      </w:r>
      <w:r w:rsidR="0021641A" w:rsidRPr="000D096C">
        <w:rPr>
          <w:rFonts w:ascii="Times New Roman" w:hAnsi="Times New Roman" w:cs="Times New Roman"/>
          <w:sz w:val="24"/>
          <w:szCs w:val="24"/>
        </w:rPr>
        <w:t xml:space="preserve"> vzniku MetS.</w:t>
      </w:r>
      <w:r w:rsidR="00601D67" w:rsidRPr="000D096C">
        <w:rPr>
          <w:rFonts w:ascii="Times New Roman" w:hAnsi="Times New Roman" w:cs="Times New Roman"/>
          <w:sz w:val="24"/>
          <w:szCs w:val="24"/>
        </w:rPr>
        <w:t xml:space="preserve"> Ukázalo se, že viscerální obezita je primárním spouštěčem pro většinu patogenetických cest zapojených do MetS. Ze všech zkoumaných mechanismů se jako hlavní hráči při iniciaci a</w:t>
      </w:r>
      <w:r w:rsidR="00BB3FFF">
        <w:rPr>
          <w:rFonts w:ascii="Times New Roman" w:hAnsi="Times New Roman" w:cs="Times New Roman"/>
          <w:sz w:val="24"/>
          <w:szCs w:val="24"/>
        </w:rPr>
        <w:t> </w:t>
      </w:r>
      <w:r w:rsidR="00601D67" w:rsidRPr="000D096C">
        <w:rPr>
          <w:rFonts w:ascii="Times New Roman" w:hAnsi="Times New Roman" w:cs="Times New Roman"/>
          <w:sz w:val="24"/>
          <w:szCs w:val="24"/>
        </w:rPr>
        <w:t>progresi MetS jeví IR, neurohumorální aktivace a chronický zánět</w:t>
      </w:r>
      <w:r w:rsidR="00E80759" w:rsidRPr="000D096C">
        <w:rPr>
          <w:rFonts w:ascii="Times New Roman" w:hAnsi="Times New Roman" w:cs="Times New Roman"/>
          <w:sz w:val="24"/>
          <w:szCs w:val="24"/>
        </w:rPr>
        <w:t xml:space="preserve"> </w:t>
      </w:r>
      <w:r w:rsidR="00BD0331" w:rsidRPr="000D096C">
        <w:rPr>
          <w:rFonts w:ascii="Times New Roman" w:hAnsi="Times New Roman" w:cs="Times New Roman"/>
          <w:sz w:val="24"/>
          <w:szCs w:val="24"/>
        </w:rPr>
        <w:t xml:space="preserve">[10, 11]. </w:t>
      </w:r>
      <w:r w:rsidR="00E80759" w:rsidRPr="000D096C">
        <w:rPr>
          <w:rFonts w:ascii="Times New Roman" w:hAnsi="Times New Roman" w:cs="Times New Roman"/>
          <w:sz w:val="24"/>
          <w:szCs w:val="24"/>
        </w:rPr>
        <w:t>O IR bude pojednáno v samostatné kapitole</w:t>
      </w:r>
      <w:r w:rsidR="006B74EB">
        <w:rPr>
          <w:rFonts w:ascii="Times New Roman" w:hAnsi="Times New Roman" w:cs="Times New Roman"/>
          <w:sz w:val="24"/>
          <w:szCs w:val="24"/>
        </w:rPr>
        <w:t xml:space="preserve"> (1.3)</w:t>
      </w:r>
      <w:r w:rsidR="00E80759" w:rsidRPr="000D096C">
        <w:rPr>
          <w:rFonts w:ascii="Times New Roman" w:hAnsi="Times New Roman" w:cs="Times New Roman"/>
          <w:sz w:val="24"/>
          <w:szCs w:val="24"/>
        </w:rPr>
        <w:t>.</w:t>
      </w:r>
      <w:r w:rsidR="001434A3" w:rsidRPr="000D096C">
        <w:rPr>
          <w:rFonts w:ascii="Times New Roman" w:hAnsi="Times New Roman" w:cs="Times New Roman"/>
          <w:sz w:val="24"/>
          <w:szCs w:val="24"/>
        </w:rPr>
        <w:t xml:space="preserve"> Předpokládaný rozvoj jednotlivých metabolických poruch vedoucích až ke vzniku MetS a</w:t>
      </w:r>
      <w:r w:rsidR="00762125">
        <w:rPr>
          <w:rFonts w:ascii="Times New Roman" w:hAnsi="Times New Roman" w:cs="Times New Roman"/>
          <w:sz w:val="24"/>
          <w:szCs w:val="24"/>
        </w:rPr>
        <w:t> </w:t>
      </w:r>
      <w:r w:rsidR="001434A3" w:rsidRPr="000D096C">
        <w:rPr>
          <w:rFonts w:ascii="Times New Roman" w:hAnsi="Times New Roman" w:cs="Times New Roman"/>
          <w:sz w:val="24"/>
          <w:szCs w:val="24"/>
        </w:rPr>
        <w:t>jejic</w:t>
      </w:r>
      <w:r w:rsidR="002801C2">
        <w:rPr>
          <w:rFonts w:ascii="Times New Roman" w:hAnsi="Times New Roman" w:cs="Times New Roman"/>
          <w:sz w:val="24"/>
          <w:szCs w:val="24"/>
        </w:rPr>
        <w:t>h vzájemné propojení naznačuje obr.</w:t>
      </w:r>
      <w:r w:rsidR="001434A3" w:rsidRPr="000D096C">
        <w:rPr>
          <w:rFonts w:ascii="Times New Roman" w:hAnsi="Times New Roman" w:cs="Times New Roman"/>
          <w:sz w:val="24"/>
          <w:szCs w:val="24"/>
        </w:rPr>
        <w:t xml:space="preserve"> 1.</w:t>
      </w:r>
    </w:p>
    <w:p w:rsidR="005561E6" w:rsidRDefault="005561E6">
      <w:pPr>
        <w:rPr>
          <w:rFonts w:ascii="Times New Roman" w:hAnsi="Times New Roman" w:cs="Times New Roman"/>
          <w:sz w:val="24"/>
          <w:szCs w:val="24"/>
        </w:rPr>
      </w:pPr>
      <w:r>
        <w:rPr>
          <w:rFonts w:ascii="Times New Roman" w:hAnsi="Times New Roman" w:cs="Times New Roman"/>
          <w:sz w:val="24"/>
          <w:szCs w:val="24"/>
        </w:rPr>
        <w:br w:type="page"/>
      </w:r>
    </w:p>
    <w:p w:rsidR="001434A3" w:rsidRDefault="000B4333" w:rsidP="004567D5">
      <w:pPr>
        <w:spacing w:line="360" w:lineRule="auto"/>
        <w:jc w:val="both"/>
        <w:rPr>
          <w:rFonts w:ascii="Times New Roman" w:hAnsi="Times New Roman" w:cs="Times New Roman"/>
          <w:sz w:val="24"/>
          <w:szCs w:val="24"/>
        </w:rPr>
      </w:pPr>
      <w:r w:rsidRPr="000D096C">
        <w:rPr>
          <w:rFonts w:ascii="Times New Roman" w:hAnsi="Times New Roman" w:cs="Times New Roman"/>
          <w:b/>
          <w:noProof/>
          <w:sz w:val="24"/>
          <w:szCs w:val="24"/>
          <w:lang w:eastAsia="cs-CZ"/>
        </w:rPr>
        <w:lastRenderedPageBreak/>
        <w:drawing>
          <wp:anchor distT="0" distB="0" distL="114300" distR="114300" simplePos="0" relativeHeight="251661312" behindDoc="0" locked="0" layoutInCell="1" allowOverlap="1">
            <wp:simplePos x="0" y="0"/>
            <wp:positionH relativeFrom="column">
              <wp:posOffset>635</wp:posOffset>
            </wp:positionH>
            <wp:positionV relativeFrom="paragraph">
              <wp:posOffset>407035</wp:posOffset>
            </wp:positionV>
            <wp:extent cx="5760720" cy="3345180"/>
            <wp:effectExtent l="0" t="0" r="0" b="762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345180"/>
                    </a:xfrm>
                    <a:prstGeom prst="rect">
                      <a:avLst/>
                    </a:prstGeom>
                  </pic:spPr>
                </pic:pic>
              </a:graphicData>
            </a:graphic>
          </wp:anchor>
        </w:drawing>
      </w:r>
      <w:r w:rsidR="00A3679A" w:rsidRPr="000D096C">
        <w:rPr>
          <w:rFonts w:ascii="Times New Roman" w:hAnsi="Times New Roman" w:cs="Times New Roman"/>
          <w:b/>
          <w:sz w:val="24"/>
          <w:szCs w:val="24"/>
        </w:rPr>
        <w:t xml:space="preserve">Obrázek 1. </w:t>
      </w:r>
      <w:r w:rsidR="00A3679A" w:rsidRPr="000D096C">
        <w:rPr>
          <w:rFonts w:ascii="Times New Roman" w:hAnsi="Times New Roman" w:cs="Times New Roman"/>
          <w:sz w:val="24"/>
          <w:szCs w:val="24"/>
        </w:rPr>
        <w:t>Shrnutí patogeneze metabolického syndromu</w:t>
      </w:r>
    </w:p>
    <w:p w:rsidR="005561E6" w:rsidRDefault="005561E6" w:rsidP="005561E6">
      <w:pPr>
        <w:spacing w:after="240" w:line="360" w:lineRule="auto"/>
        <w:jc w:val="both"/>
        <w:rPr>
          <w:rFonts w:ascii="Times New Roman" w:hAnsi="Times New Roman" w:cs="Times New Roman"/>
        </w:rPr>
      </w:pPr>
    </w:p>
    <w:p w:rsidR="005561E6" w:rsidRDefault="00D0420D" w:rsidP="005561E6">
      <w:pPr>
        <w:spacing w:after="240" w:line="360" w:lineRule="auto"/>
        <w:jc w:val="both"/>
        <w:rPr>
          <w:rFonts w:ascii="Times New Roman" w:hAnsi="Times New Roman" w:cs="Times New Roman"/>
          <w:sz w:val="24"/>
          <w:szCs w:val="24"/>
        </w:rPr>
      </w:pPr>
      <w:r w:rsidRPr="005561E6">
        <w:rPr>
          <w:rFonts w:ascii="Times New Roman" w:hAnsi="Times New Roman" w:cs="Times New Roman"/>
          <w:sz w:val="24"/>
          <w:szCs w:val="24"/>
        </w:rPr>
        <w:t>AT2</w:t>
      </w:r>
      <w:r w:rsidR="006750F9" w:rsidRPr="005561E6">
        <w:rPr>
          <w:rFonts w:ascii="Times New Roman" w:hAnsi="Times New Roman" w:cs="Times New Roman"/>
          <w:sz w:val="24"/>
          <w:szCs w:val="24"/>
        </w:rPr>
        <w:t xml:space="preserve"> -</w:t>
      </w:r>
      <w:r w:rsidRPr="005561E6">
        <w:rPr>
          <w:rFonts w:ascii="Times New Roman" w:hAnsi="Times New Roman" w:cs="Times New Roman"/>
          <w:sz w:val="24"/>
          <w:szCs w:val="24"/>
        </w:rPr>
        <w:t xml:space="preserve"> angiotenzin II</w:t>
      </w:r>
      <w:r w:rsidR="001434A3" w:rsidRPr="005561E6">
        <w:rPr>
          <w:rFonts w:ascii="Times New Roman" w:hAnsi="Times New Roman" w:cs="Times New Roman"/>
          <w:sz w:val="24"/>
          <w:szCs w:val="24"/>
        </w:rPr>
        <w:t>; TNF</w:t>
      </w:r>
      <w:r w:rsidR="006750F9" w:rsidRPr="005561E6">
        <w:rPr>
          <w:rFonts w:ascii="Times New Roman" w:hAnsi="Times New Roman" w:cs="Times New Roman"/>
          <w:sz w:val="24"/>
          <w:szCs w:val="24"/>
        </w:rPr>
        <w:t xml:space="preserve"> -</w:t>
      </w:r>
      <w:r w:rsidR="001434A3" w:rsidRPr="005561E6">
        <w:rPr>
          <w:rFonts w:ascii="Times New Roman" w:hAnsi="Times New Roman" w:cs="Times New Roman"/>
          <w:sz w:val="24"/>
          <w:szCs w:val="24"/>
        </w:rPr>
        <w:t xml:space="preserve"> tumor nekrotizující faktor; IL-6</w:t>
      </w:r>
      <w:r w:rsidR="006750F9" w:rsidRPr="005561E6">
        <w:rPr>
          <w:rFonts w:ascii="Times New Roman" w:hAnsi="Times New Roman" w:cs="Times New Roman"/>
          <w:sz w:val="24"/>
          <w:szCs w:val="24"/>
        </w:rPr>
        <w:t xml:space="preserve"> -</w:t>
      </w:r>
      <w:r w:rsidR="001434A3" w:rsidRPr="005561E6">
        <w:rPr>
          <w:rFonts w:ascii="Times New Roman" w:hAnsi="Times New Roman" w:cs="Times New Roman"/>
          <w:sz w:val="24"/>
          <w:szCs w:val="24"/>
        </w:rPr>
        <w:t xml:space="preserve"> interleukin 6; CRP</w:t>
      </w:r>
      <w:r w:rsidR="006750F9" w:rsidRPr="005561E6">
        <w:rPr>
          <w:rFonts w:ascii="Times New Roman" w:hAnsi="Times New Roman" w:cs="Times New Roman"/>
          <w:sz w:val="24"/>
          <w:szCs w:val="24"/>
        </w:rPr>
        <w:t xml:space="preserve"> -</w:t>
      </w:r>
      <w:r w:rsidR="001434A3" w:rsidRPr="005561E6">
        <w:rPr>
          <w:rFonts w:ascii="Times New Roman" w:hAnsi="Times New Roman" w:cs="Times New Roman"/>
          <w:sz w:val="24"/>
          <w:szCs w:val="24"/>
        </w:rPr>
        <w:t xml:space="preserve"> C-reaktivní protein; </w:t>
      </w:r>
      <w:r w:rsidR="00E41771" w:rsidRPr="005561E6">
        <w:rPr>
          <w:rFonts w:ascii="Times New Roman" w:hAnsi="Times New Roman" w:cs="Times New Roman"/>
          <w:sz w:val="24"/>
          <w:szCs w:val="24"/>
        </w:rPr>
        <w:t>RAAS</w:t>
      </w:r>
      <w:r w:rsidR="006750F9" w:rsidRPr="005561E6">
        <w:rPr>
          <w:rFonts w:ascii="Times New Roman" w:hAnsi="Times New Roman" w:cs="Times New Roman"/>
          <w:sz w:val="24"/>
          <w:szCs w:val="24"/>
        </w:rPr>
        <w:t xml:space="preserve"> -</w:t>
      </w:r>
      <w:r w:rsidR="00E41771" w:rsidRPr="005561E6">
        <w:rPr>
          <w:rFonts w:ascii="Times New Roman" w:hAnsi="Times New Roman" w:cs="Times New Roman"/>
          <w:sz w:val="24"/>
          <w:szCs w:val="24"/>
        </w:rPr>
        <w:t xml:space="preserve"> renin-an</w:t>
      </w:r>
      <w:r w:rsidR="001B4449" w:rsidRPr="005561E6">
        <w:rPr>
          <w:rFonts w:ascii="Times New Roman" w:hAnsi="Times New Roman" w:cs="Times New Roman"/>
          <w:sz w:val="24"/>
          <w:szCs w:val="24"/>
        </w:rPr>
        <w:t>giotenzin aldosteronový systém</w:t>
      </w:r>
    </w:p>
    <w:p w:rsidR="005561E6" w:rsidRPr="005561E6" w:rsidRDefault="005561E6" w:rsidP="005561E6">
      <w:pPr>
        <w:spacing w:after="240" w:line="360" w:lineRule="auto"/>
        <w:jc w:val="both"/>
        <w:rPr>
          <w:rFonts w:ascii="Times New Roman" w:hAnsi="Times New Roman" w:cs="Times New Roman"/>
          <w:sz w:val="2"/>
          <w:szCs w:val="2"/>
        </w:rPr>
      </w:pPr>
    </w:p>
    <w:p w:rsidR="00E80759" w:rsidRPr="000D096C" w:rsidRDefault="00E80759" w:rsidP="00E319B2">
      <w:pPr>
        <w:pStyle w:val="Nadpis4"/>
      </w:pPr>
      <w:r w:rsidRPr="000D096C">
        <w:t>Neurohumorální aktivace</w:t>
      </w:r>
    </w:p>
    <w:p w:rsidR="00E80759" w:rsidRPr="000D096C" w:rsidRDefault="00E80759"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Objev endokrinních a imunitních procesů adipocytů poskytl hlubší vhled do mechanismů rozvoje MetS. Působky uvolňované tukovou tkání do krevního řečiště, souhrnně označované jako adipokiny, byly opakovaně asociovány s MetS i</w:t>
      </w:r>
      <w:r w:rsidR="00762125">
        <w:rPr>
          <w:rFonts w:ascii="Times New Roman" w:hAnsi="Times New Roman" w:cs="Times New Roman"/>
          <w:sz w:val="24"/>
          <w:szCs w:val="24"/>
        </w:rPr>
        <w:t> </w:t>
      </w:r>
      <w:r w:rsidR="00DA0D17" w:rsidRPr="000D096C">
        <w:rPr>
          <w:rFonts w:ascii="Times New Roman" w:hAnsi="Times New Roman" w:cs="Times New Roman"/>
          <w:sz w:val="24"/>
          <w:szCs w:val="24"/>
        </w:rPr>
        <w:t>s</w:t>
      </w:r>
      <w:r w:rsidR="00762125">
        <w:rPr>
          <w:rFonts w:ascii="Times New Roman" w:hAnsi="Times New Roman" w:cs="Times New Roman"/>
          <w:sz w:val="24"/>
          <w:szCs w:val="24"/>
        </w:rPr>
        <w:t> </w:t>
      </w:r>
      <w:r w:rsidRPr="000D096C">
        <w:rPr>
          <w:rFonts w:ascii="Times New Roman" w:hAnsi="Times New Roman" w:cs="Times New Roman"/>
          <w:sz w:val="24"/>
          <w:szCs w:val="24"/>
        </w:rPr>
        <w:t>kardiovaskulárními chorobami. Dnes je známa celá řada adipokinů, z nichž některé vykazují protektivní a jiné škodlivé účinky na kardiometabolické zdraví. Leptin je adipokin, který kontroluje energetickou homeostázu zprostř</w:t>
      </w:r>
      <w:r w:rsidR="00DA0D17" w:rsidRPr="000D096C">
        <w:rPr>
          <w:rFonts w:ascii="Times New Roman" w:hAnsi="Times New Roman" w:cs="Times New Roman"/>
          <w:sz w:val="24"/>
          <w:szCs w:val="24"/>
        </w:rPr>
        <w:t>edkovanou hypotalamem a</w:t>
      </w:r>
      <w:r w:rsidR="00762125">
        <w:rPr>
          <w:rFonts w:ascii="Times New Roman" w:hAnsi="Times New Roman" w:cs="Times New Roman"/>
          <w:sz w:val="24"/>
          <w:szCs w:val="24"/>
        </w:rPr>
        <w:t> </w:t>
      </w:r>
      <w:r w:rsidR="00DA0D17" w:rsidRPr="000D096C">
        <w:rPr>
          <w:rFonts w:ascii="Times New Roman" w:hAnsi="Times New Roman" w:cs="Times New Roman"/>
          <w:sz w:val="24"/>
          <w:szCs w:val="24"/>
        </w:rPr>
        <w:t>bylo zjištěno</w:t>
      </w:r>
      <w:r w:rsidRPr="000D096C">
        <w:rPr>
          <w:rFonts w:ascii="Times New Roman" w:hAnsi="Times New Roman" w:cs="Times New Roman"/>
          <w:sz w:val="24"/>
          <w:szCs w:val="24"/>
        </w:rPr>
        <w:t xml:space="preserve">, že rovněž stimuluje </w:t>
      </w:r>
      <w:r w:rsidR="00D72AF5" w:rsidRPr="000D096C">
        <w:rPr>
          <w:rFonts w:ascii="Times New Roman" w:hAnsi="Times New Roman" w:cs="Times New Roman"/>
          <w:sz w:val="24"/>
          <w:szCs w:val="24"/>
        </w:rPr>
        <w:t>imunitní systém s aktivací T-lymfocytů. Zvýšené hladiny leptinu</w:t>
      </w:r>
      <w:r w:rsidR="00DA0D17" w:rsidRPr="000D096C">
        <w:rPr>
          <w:rFonts w:ascii="Times New Roman" w:hAnsi="Times New Roman" w:cs="Times New Roman"/>
          <w:sz w:val="24"/>
          <w:szCs w:val="24"/>
        </w:rPr>
        <w:t xml:space="preserve"> při obezitě přímo korelují se z</w:t>
      </w:r>
      <w:r w:rsidR="00D72AF5" w:rsidRPr="000D096C">
        <w:rPr>
          <w:rFonts w:ascii="Times New Roman" w:hAnsi="Times New Roman" w:cs="Times New Roman"/>
          <w:sz w:val="24"/>
          <w:szCs w:val="24"/>
        </w:rPr>
        <w:t>výšením kardiovaskulárního rizika. Adiponektin je protizánětlivě působící adipokin s účinky do značné míry opačnými proti leptinu. Adiponektin má antiaterogenní vlastnosti, snižuje vaskulární reaktivitu a</w:t>
      </w:r>
      <w:r w:rsidR="00762125">
        <w:rPr>
          <w:rFonts w:ascii="Times New Roman" w:hAnsi="Times New Roman" w:cs="Times New Roman"/>
          <w:sz w:val="24"/>
          <w:szCs w:val="24"/>
        </w:rPr>
        <w:t> </w:t>
      </w:r>
      <w:r w:rsidR="00D72AF5" w:rsidRPr="000D096C">
        <w:rPr>
          <w:rFonts w:ascii="Times New Roman" w:hAnsi="Times New Roman" w:cs="Times New Roman"/>
          <w:sz w:val="24"/>
          <w:szCs w:val="24"/>
        </w:rPr>
        <w:t xml:space="preserve">proliferaci hladkého svalstva a zlepšuje stabilitu aterosklerotických plátů. Bývá považován za ochranný faktor proti rozvoji T2DM, hypertenze a akutního koronárního syndromu. Zmožení tukové tkáně koreluje se snížením </w:t>
      </w:r>
      <w:r w:rsidR="004E138D">
        <w:rPr>
          <w:rFonts w:ascii="Times New Roman" w:hAnsi="Times New Roman" w:cs="Times New Roman"/>
          <w:sz w:val="24"/>
          <w:szCs w:val="24"/>
        </w:rPr>
        <w:t xml:space="preserve">hladiny </w:t>
      </w:r>
      <w:r w:rsidR="00D72AF5" w:rsidRPr="000D096C">
        <w:rPr>
          <w:rFonts w:ascii="Times New Roman" w:hAnsi="Times New Roman" w:cs="Times New Roman"/>
          <w:sz w:val="24"/>
          <w:szCs w:val="24"/>
        </w:rPr>
        <w:t>adiponektinu a</w:t>
      </w:r>
      <w:r w:rsidR="00BB3FFF">
        <w:rPr>
          <w:rFonts w:ascii="Times New Roman" w:hAnsi="Times New Roman" w:cs="Times New Roman"/>
          <w:sz w:val="24"/>
          <w:szCs w:val="24"/>
        </w:rPr>
        <w:t> </w:t>
      </w:r>
      <w:r w:rsidR="00D72AF5" w:rsidRPr="000D096C">
        <w:rPr>
          <w:rFonts w:ascii="Times New Roman" w:hAnsi="Times New Roman" w:cs="Times New Roman"/>
          <w:sz w:val="24"/>
          <w:szCs w:val="24"/>
        </w:rPr>
        <w:t xml:space="preserve">zvýšením </w:t>
      </w:r>
      <w:r w:rsidR="00D72AF5" w:rsidRPr="000D096C">
        <w:rPr>
          <w:rFonts w:ascii="Times New Roman" w:hAnsi="Times New Roman" w:cs="Times New Roman"/>
          <w:sz w:val="24"/>
          <w:szCs w:val="24"/>
        </w:rPr>
        <w:lastRenderedPageBreak/>
        <w:t>hladiny leptinu, což nakonec zvyšuje riziko kardiovaskulárních onemocnění</w:t>
      </w:r>
      <w:r w:rsidR="00FF2A27" w:rsidRPr="000D096C">
        <w:rPr>
          <w:rFonts w:ascii="Times New Roman" w:hAnsi="Times New Roman" w:cs="Times New Roman"/>
          <w:sz w:val="24"/>
          <w:szCs w:val="24"/>
        </w:rPr>
        <w:t xml:space="preserve"> [</w:t>
      </w:r>
      <w:r w:rsidR="00B57B61" w:rsidRPr="000D096C">
        <w:rPr>
          <w:rFonts w:ascii="Times New Roman" w:hAnsi="Times New Roman" w:cs="Times New Roman"/>
          <w:sz w:val="24"/>
          <w:szCs w:val="24"/>
        </w:rPr>
        <w:t>12, 13</w:t>
      </w:r>
      <w:r w:rsidR="00FF2A27" w:rsidRPr="000D096C">
        <w:rPr>
          <w:rFonts w:ascii="Times New Roman" w:hAnsi="Times New Roman" w:cs="Times New Roman"/>
          <w:sz w:val="24"/>
          <w:szCs w:val="24"/>
        </w:rPr>
        <w:t>]</w:t>
      </w:r>
      <w:r w:rsidR="00D72AF5" w:rsidRPr="000D096C">
        <w:rPr>
          <w:rFonts w:ascii="Times New Roman" w:hAnsi="Times New Roman" w:cs="Times New Roman"/>
          <w:sz w:val="24"/>
          <w:szCs w:val="24"/>
        </w:rPr>
        <w:t>.</w:t>
      </w:r>
      <w:r w:rsidR="00765935" w:rsidRPr="000D096C">
        <w:rPr>
          <w:rFonts w:ascii="Times New Roman" w:hAnsi="Times New Roman" w:cs="Times New Roman"/>
          <w:sz w:val="24"/>
          <w:szCs w:val="24"/>
        </w:rPr>
        <w:t xml:space="preserve"> V jedné z našich prací byla prokázá</w:t>
      </w:r>
      <w:r w:rsidR="004E138D">
        <w:rPr>
          <w:rFonts w:ascii="Times New Roman" w:hAnsi="Times New Roman" w:cs="Times New Roman"/>
          <w:sz w:val="24"/>
          <w:szCs w:val="24"/>
        </w:rPr>
        <w:t>na prediktivní schopnost snižující se</w:t>
      </w:r>
      <w:r w:rsidR="00765935" w:rsidRPr="000D096C">
        <w:rPr>
          <w:rFonts w:ascii="Times New Roman" w:hAnsi="Times New Roman" w:cs="Times New Roman"/>
          <w:sz w:val="24"/>
          <w:szCs w:val="24"/>
        </w:rPr>
        <w:t xml:space="preserve"> hladiny adiponektinu v rozvoji IR</w:t>
      </w:r>
      <w:r w:rsidR="00FF2A27" w:rsidRPr="000D096C">
        <w:rPr>
          <w:rFonts w:ascii="Times New Roman" w:hAnsi="Times New Roman" w:cs="Times New Roman"/>
          <w:sz w:val="24"/>
          <w:szCs w:val="24"/>
        </w:rPr>
        <w:t xml:space="preserve"> [</w:t>
      </w:r>
      <w:r w:rsidR="00B57B61" w:rsidRPr="000D096C">
        <w:rPr>
          <w:rFonts w:ascii="Times New Roman" w:hAnsi="Times New Roman" w:cs="Times New Roman"/>
          <w:sz w:val="24"/>
          <w:szCs w:val="24"/>
        </w:rPr>
        <w:t>14</w:t>
      </w:r>
      <w:r w:rsidR="00FF2A27" w:rsidRPr="000D096C">
        <w:rPr>
          <w:rFonts w:ascii="Times New Roman" w:hAnsi="Times New Roman" w:cs="Times New Roman"/>
          <w:sz w:val="24"/>
          <w:szCs w:val="24"/>
        </w:rPr>
        <w:t>]</w:t>
      </w:r>
      <w:r w:rsidR="00765935" w:rsidRPr="000D096C">
        <w:rPr>
          <w:rFonts w:ascii="Times New Roman" w:hAnsi="Times New Roman" w:cs="Times New Roman"/>
          <w:sz w:val="24"/>
          <w:szCs w:val="24"/>
        </w:rPr>
        <w:t>.</w:t>
      </w:r>
    </w:p>
    <w:p w:rsidR="00C40437" w:rsidRPr="000D096C" w:rsidRDefault="00C40437"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 xml:space="preserve">Aktivace renin-angiotenzin aldosteronového systému </w:t>
      </w:r>
      <w:r w:rsidR="001B4449" w:rsidRPr="000D096C">
        <w:rPr>
          <w:rFonts w:ascii="Times New Roman" w:hAnsi="Times New Roman" w:cs="Times New Roman"/>
          <w:sz w:val="24"/>
          <w:szCs w:val="24"/>
        </w:rPr>
        <w:t xml:space="preserve">(RAAS) </w:t>
      </w:r>
      <w:r w:rsidRPr="000D096C">
        <w:rPr>
          <w:rFonts w:ascii="Times New Roman" w:hAnsi="Times New Roman" w:cs="Times New Roman"/>
          <w:sz w:val="24"/>
          <w:szCs w:val="24"/>
        </w:rPr>
        <w:t xml:space="preserve">rovněž slouží jako důležitá neurohumorální cesta přispívající k rozvoji MetS. Angiotenzin II, </w:t>
      </w:r>
      <w:r w:rsidR="00793AC6" w:rsidRPr="000D096C">
        <w:rPr>
          <w:rFonts w:ascii="Times New Roman" w:hAnsi="Times New Roman" w:cs="Times New Roman"/>
          <w:sz w:val="24"/>
          <w:szCs w:val="24"/>
        </w:rPr>
        <w:t xml:space="preserve">vyvolávající </w:t>
      </w:r>
      <w:r w:rsidRPr="000D096C">
        <w:rPr>
          <w:rFonts w:ascii="Times New Roman" w:hAnsi="Times New Roman" w:cs="Times New Roman"/>
          <w:sz w:val="24"/>
          <w:szCs w:val="24"/>
        </w:rPr>
        <w:t>nejenom</w:t>
      </w:r>
      <w:r w:rsidR="00793AC6" w:rsidRPr="000D096C">
        <w:rPr>
          <w:rFonts w:ascii="Times New Roman" w:hAnsi="Times New Roman" w:cs="Times New Roman"/>
          <w:sz w:val="24"/>
          <w:szCs w:val="24"/>
        </w:rPr>
        <w:t xml:space="preserve"> známé</w:t>
      </w:r>
      <w:r w:rsidRPr="000D096C">
        <w:rPr>
          <w:rFonts w:ascii="Times New Roman" w:hAnsi="Times New Roman" w:cs="Times New Roman"/>
          <w:sz w:val="24"/>
          <w:szCs w:val="24"/>
        </w:rPr>
        <w:t xml:space="preserve"> zvýšení TK, ale také například </w:t>
      </w:r>
      <w:r w:rsidR="00F6340D" w:rsidRPr="000D096C">
        <w:rPr>
          <w:rFonts w:ascii="Times New Roman" w:hAnsi="Times New Roman" w:cs="Times New Roman"/>
          <w:sz w:val="24"/>
          <w:szCs w:val="24"/>
        </w:rPr>
        <w:t>vznik</w:t>
      </w:r>
      <w:r w:rsidRPr="000D096C">
        <w:rPr>
          <w:rFonts w:ascii="Times New Roman" w:hAnsi="Times New Roman" w:cs="Times New Roman"/>
          <w:sz w:val="24"/>
          <w:szCs w:val="24"/>
        </w:rPr>
        <w:t xml:space="preserve"> kyslíkových radikálů, je produkovaný i</w:t>
      </w:r>
      <w:r w:rsidR="00BB3FFF">
        <w:rPr>
          <w:rFonts w:ascii="Times New Roman" w:hAnsi="Times New Roman" w:cs="Times New Roman"/>
          <w:sz w:val="24"/>
          <w:szCs w:val="24"/>
        </w:rPr>
        <w:t> </w:t>
      </w:r>
      <w:r w:rsidRPr="000D096C">
        <w:rPr>
          <w:rFonts w:ascii="Times New Roman" w:hAnsi="Times New Roman" w:cs="Times New Roman"/>
          <w:sz w:val="24"/>
          <w:szCs w:val="24"/>
        </w:rPr>
        <w:t>tukovou tkání. Obezita a IR jsou se zvýšenou produkcí angiotenzinu II</w:t>
      </w:r>
      <w:r w:rsidR="00793AC6" w:rsidRPr="000D096C">
        <w:rPr>
          <w:rFonts w:ascii="Times New Roman" w:hAnsi="Times New Roman" w:cs="Times New Roman"/>
          <w:sz w:val="24"/>
          <w:szCs w:val="24"/>
        </w:rPr>
        <w:t xml:space="preserve"> spojovány</w:t>
      </w:r>
      <w:r w:rsidRPr="000D096C">
        <w:rPr>
          <w:rFonts w:ascii="Times New Roman" w:hAnsi="Times New Roman" w:cs="Times New Roman"/>
          <w:sz w:val="24"/>
          <w:szCs w:val="24"/>
        </w:rPr>
        <w:t>.</w:t>
      </w:r>
      <w:r w:rsidR="00F6340D" w:rsidRPr="000D096C">
        <w:rPr>
          <w:rFonts w:ascii="Times New Roman" w:hAnsi="Times New Roman" w:cs="Times New Roman"/>
          <w:sz w:val="24"/>
          <w:szCs w:val="24"/>
        </w:rPr>
        <w:t xml:space="preserve"> Kyslíkové radikály vykazují řadu negativn</w:t>
      </w:r>
      <w:r w:rsidR="00EA0A4A">
        <w:rPr>
          <w:rFonts w:ascii="Times New Roman" w:hAnsi="Times New Roman" w:cs="Times New Roman"/>
          <w:sz w:val="24"/>
          <w:szCs w:val="24"/>
        </w:rPr>
        <w:t>ích účinků, včetně oxidace LDL</w:t>
      </w:r>
      <w:r w:rsidR="00F6340D" w:rsidRPr="000D096C">
        <w:rPr>
          <w:rFonts w:ascii="Times New Roman" w:hAnsi="Times New Roman" w:cs="Times New Roman"/>
          <w:sz w:val="24"/>
          <w:szCs w:val="24"/>
        </w:rPr>
        <w:t>, endoteliálního poškození, agregace destiček, exprese nukleárního faktoru kap</w:t>
      </w:r>
      <w:r w:rsidR="00EA0A4A">
        <w:rPr>
          <w:rFonts w:ascii="Times New Roman" w:hAnsi="Times New Roman" w:cs="Times New Roman"/>
          <w:sz w:val="24"/>
          <w:szCs w:val="24"/>
        </w:rPr>
        <w:t>pa B a</w:t>
      </w:r>
      <w:r w:rsidR="00762125">
        <w:rPr>
          <w:rFonts w:ascii="Times New Roman" w:hAnsi="Times New Roman" w:cs="Times New Roman"/>
          <w:sz w:val="24"/>
          <w:szCs w:val="24"/>
        </w:rPr>
        <w:t> </w:t>
      </w:r>
      <w:r w:rsidR="00EA0A4A">
        <w:rPr>
          <w:rFonts w:ascii="Times New Roman" w:hAnsi="Times New Roman" w:cs="Times New Roman"/>
          <w:sz w:val="24"/>
          <w:szCs w:val="24"/>
        </w:rPr>
        <w:t>exprese oxidovaného LDL</w:t>
      </w:r>
      <w:r w:rsidR="00F6340D" w:rsidRPr="000D096C">
        <w:rPr>
          <w:rFonts w:ascii="Times New Roman" w:hAnsi="Times New Roman" w:cs="Times New Roman"/>
          <w:sz w:val="24"/>
          <w:szCs w:val="24"/>
        </w:rPr>
        <w:t xml:space="preserve"> receptoru na buňkách endotelu a cévního hladkého svalstva.</w:t>
      </w:r>
      <w:r w:rsidR="00945ADA" w:rsidRPr="000D096C">
        <w:rPr>
          <w:rFonts w:ascii="Times New Roman" w:hAnsi="Times New Roman" w:cs="Times New Roman"/>
          <w:sz w:val="24"/>
          <w:szCs w:val="24"/>
        </w:rPr>
        <w:t xml:space="preserve"> Tyto patogenetické mechanismy prostřednictvím pozitivní zpětné vazby </w:t>
      </w:r>
      <w:r w:rsidR="00B02004" w:rsidRPr="000D096C">
        <w:rPr>
          <w:rFonts w:ascii="Times New Roman" w:hAnsi="Times New Roman" w:cs="Times New Roman"/>
          <w:sz w:val="24"/>
          <w:szCs w:val="24"/>
        </w:rPr>
        <w:t xml:space="preserve">a </w:t>
      </w:r>
      <w:r w:rsidR="00945ADA" w:rsidRPr="000D096C">
        <w:rPr>
          <w:rFonts w:ascii="Times New Roman" w:hAnsi="Times New Roman" w:cs="Times New Roman"/>
          <w:sz w:val="24"/>
          <w:szCs w:val="24"/>
        </w:rPr>
        <w:t>při vzájemném propojení iniciují začarovaný cyklus zánětu, poškození endotelu a proliferace fibroblastů, což přispívá k rozvoji arteriální hypertenze, dyslipidémie, poruch glukózového metabolismu</w:t>
      </w:r>
      <w:r w:rsidR="00D25276" w:rsidRPr="000D096C">
        <w:rPr>
          <w:rFonts w:ascii="Times New Roman" w:hAnsi="Times New Roman" w:cs="Times New Roman"/>
          <w:sz w:val="24"/>
          <w:szCs w:val="24"/>
        </w:rPr>
        <w:t xml:space="preserve">, </w:t>
      </w:r>
      <w:r w:rsidR="00574612" w:rsidRPr="000D096C">
        <w:rPr>
          <w:rFonts w:ascii="Times New Roman" w:hAnsi="Times New Roman" w:cs="Times New Roman"/>
          <w:sz w:val="24"/>
          <w:szCs w:val="24"/>
        </w:rPr>
        <w:t xml:space="preserve">posléze k </w:t>
      </w:r>
      <w:r w:rsidR="00D25276" w:rsidRPr="000D096C">
        <w:rPr>
          <w:rFonts w:ascii="Times New Roman" w:hAnsi="Times New Roman" w:cs="Times New Roman"/>
          <w:sz w:val="24"/>
          <w:szCs w:val="24"/>
        </w:rPr>
        <w:t>ateroskleróze a</w:t>
      </w:r>
      <w:r w:rsidR="00BB3FFF">
        <w:rPr>
          <w:rFonts w:ascii="Times New Roman" w:hAnsi="Times New Roman" w:cs="Times New Roman"/>
          <w:sz w:val="24"/>
          <w:szCs w:val="24"/>
        </w:rPr>
        <w:t> </w:t>
      </w:r>
      <w:r w:rsidR="00945ADA" w:rsidRPr="000D096C">
        <w:rPr>
          <w:rFonts w:ascii="Times New Roman" w:hAnsi="Times New Roman" w:cs="Times New Roman"/>
          <w:sz w:val="24"/>
          <w:szCs w:val="24"/>
        </w:rPr>
        <w:t>manifestní</w:t>
      </w:r>
      <w:r w:rsidR="00574612" w:rsidRPr="000D096C">
        <w:rPr>
          <w:rFonts w:ascii="Times New Roman" w:hAnsi="Times New Roman" w:cs="Times New Roman"/>
          <w:sz w:val="24"/>
          <w:szCs w:val="24"/>
        </w:rPr>
        <w:t>m kardiovaskulárním</w:t>
      </w:r>
      <w:r w:rsidR="00945ADA" w:rsidRPr="000D096C">
        <w:rPr>
          <w:rFonts w:ascii="Times New Roman" w:hAnsi="Times New Roman" w:cs="Times New Roman"/>
          <w:sz w:val="24"/>
          <w:szCs w:val="24"/>
        </w:rPr>
        <w:t xml:space="preserve"> onemocnění</w:t>
      </w:r>
      <w:r w:rsidR="00574612" w:rsidRPr="000D096C">
        <w:rPr>
          <w:rFonts w:ascii="Times New Roman" w:hAnsi="Times New Roman" w:cs="Times New Roman"/>
          <w:sz w:val="24"/>
          <w:szCs w:val="24"/>
        </w:rPr>
        <w:t>m</w:t>
      </w:r>
      <w:r w:rsidR="00D5104A" w:rsidRPr="000D096C">
        <w:rPr>
          <w:rFonts w:ascii="Times New Roman" w:hAnsi="Times New Roman" w:cs="Times New Roman"/>
          <w:sz w:val="24"/>
          <w:szCs w:val="24"/>
        </w:rPr>
        <w:t xml:space="preserve"> [10</w:t>
      </w:r>
      <w:r w:rsidR="00D60521" w:rsidRPr="000D096C">
        <w:rPr>
          <w:rFonts w:ascii="Times New Roman" w:hAnsi="Times New Roman" w:cs="Times New Roman"/>
          <w:sz w:val="24"/>
          <w:szCs w:val="24"/>
        </w:rPr>
        <w:t>]</w:t>
      </w:r>
      <w:r w:rsidR="00945ADA" w:rsidRPr="000D096C">
        <w:rPr>
          <w:rFonts w:ascii="Times New Roman" w:hAnsi="Times New Roman" w:cs="Times New Roman"/>
          <w:sz w:val="24"/>
          <w:szCs w:val="24"/>
        </w:rPr>
        <w:t>.</w:t>
      </w:r>
    </w:p>
    <w:p w:rsidR="00131189" w:rsidRPr="000D096C" w:rsidRDefault="00131189" w:rsidP="00E319B2">
      <w:pPr>
        <w:pStyle w:val="Nadpis4"/>
      </w:pPr>
      <w:r w:rsidRPr="000D096C">
        <w:t>Chronický zánět</w:t>
      </w:r>
    </w:p>
    <w:p w:rsidR="00131189" w:rsidRPr="000D096C" w:rsidRDefault="00131189"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Aktivace různých proaterogenních drah v patogenezi MetS vede k rozvoji zánětu, jenž potencuje progresi metabolických změn. Jak bylo popsáno v předchozím odstavci, systémový oxi</w:t>
      </w:r>
      <w:r w:rsidR="00D0420D" w:rsidRPr="000D096C">
        <w:rPr>
          <w:rFonts w:ascii="Times New Roman" w:hAnsi="Times New Roman" w:cs="Times New Roman"/>
          <w:sz w:val="24"/>
          <w:szCs w:val="24"/>
        </w:rPr>
        <w:t>dační stres indukovaný obezitou,</w:t>
      </w:r>
      <w:r w:rsidRPr="000D096C">
        <w:rPr>
          <w:rFonts w:ascii="Times New Roman" w:hAnsi="Times New Roman" w:cs="Times New Roman"/>
          <w:sz w:val="24"/>
          <w:szCs w:val="24"/>
        </w:rPr>
        <w:t xml:space="preserve"> </w:t>
      </w:r>
      <w:r w:rsidR="00D0420D" w:rsidRPr="000D096C">
        <w:rPr>
          <w:rFonts w:ascii="Times New Roman" w:hAnsi="Times New Roman" w:cs="Times New Roman"/>
          <w:sz w:val="24"/>
          <w:szCs w:val="24"/>
        </w:rPr>
        <w:t>IR a zvýšením angiotenzinu II</w:t>
      </w:r>
      <w:r w:rsidRPr="000D096C">
        <w:rPr>
          <w:rFonts w:ascii="Times New Roman" w:hAnsi="Times New Roman" w:cs="Times New Roman"/>
          <w:sz w:val="24"/>
          <w:szCs w:val="24"/>
        </w:rPr>
        <w:t xml:space="preserve"> vede ke zvýšené aktivaci určitých kaskád, které způsobují aterogenezi a tkáňovou fibrózu. V patogenezi kardiovaskulárních onemocnění, jež má s patogenezí MetS mnohé společné, je rol</w:t>
      </w:r>
      <w:r w:rsidR="00D0420D" w:rsidRPr="000D096C">
        <w:rPr>
          <w:rFonts w:ascii="Times New Roman" w:hAnsi="Times New Roman" w:cs="Times New Roman"/>
          <w:sz w:val="24"/>
          <w:szCs w:val="24"/>
        </w:rPr>
        <w:t>e zánětu považována za důležit</w:t>
      </w:r>
      <w:r w:rsidR="004E138D">
        <w:rPr>
          <w:rFonts w:ascii="Times New Roman" w:hAnsi="Times New Roman" w:cs="Times New Roman"/>
          <w:sz w:val="24"/>
          <w:szCs w:val="24"/>
        </w:rPr>
        <w:t>o</w:t>
      </w:r>
      <w:r w:rsidR="00D0420D" w:rsidRPr="000D096C">
        <w:rPr>
          <w:rFonts w:ascii="Times New Roman" w:hAnsi="Times New Roman" w:cs="Times New Roman"/>
          <w:sz w:val="24"/>
          <w:szCs w:val="24"/>
        </w:rPr>
        <w:t>u</w:t>
      </w:r>
      <w:r w:rsidRPr="000D096C">
        <w:rPr>
          <w:rFonts w:ascii="Times New Roman" w:hAnsi="Times New Roman" w:cs="Times New Roman"/>
          <w:sz w:val="24"/>
          <w:szCs w:val="24"/>
        </w:rPr>
        <w:t>. U jedinců s plně rozvinutým MetS bývají detekovány zvýšené různé zánětlivé markery. Nejasné zůstává, zda je jejich význam kauzální či zda se</w:t>
      </w:r>
      <w:r w:rsidR="007648E3" w:rsidRPr="000D096C">
        <w:rPr>
          <w:rFonts w:ascii="Times New Roman" w:hAnsi="Times New Roman" w:cs="Times New Roman"/>
          <w:sz w:val="24"/>
          <w:szCs w:val="24"/>
        </w:rPr>
        <w:t xml:space="preserve"> jedná spíše o</w:t>
      </w:r>
      <w:r w:rsidR="00BB3FFF">
        <w:rPr>
          <w:rFonts w:ascii="Times New Roman" w:hAnsi="Times New Roman" w:cs="Times New Roman"/>
          <w:sz w:val="24"/>
          <w:szCs w:val="24"/>
        </w:rPr>
        <w:t> </w:t>
      </w:r>
      <w:r w:rsidR="007648E3" w:rsidRPr="000D096C">
        <w:rPr>
          <w:rFonts w:ascii="Times New Roman" w:hAnsi="Times New Roman" w:cs="Times New Roman"/>
          <w:sz w:val="24"/>
          <w:szCs w:val="24"/>
        </w:rPr>
        <w:t>důsledek některých výše popsaných jevů</w:t>
      </w:r>
      <w:r w:rsidR="00D0420D" w:rsidRPr="000D096C">
        <w:rPr>
          <w:rFonts w:ascii="Times New Roman" w:hAnsi="Times New Roman" w:cs="Times New Roman"/>
          <w:sz w:val="24"/>
          <w:szCs w:val="24"/>
        </w:rPr>
        <w:t>, k čemuž se studie přiklánějí častěji</w:t>
      </w:r>
      <w:r w:rsidR="00D60521" w:rsidRPr="000D096C">
        <w:rPr>
          <w:rFonts w:ascii="Times New Roman" w:hAnsi="Times New Roman" w:cs="Times New Roman"/>
          <w:sz w:val="24"/>
          <w:szCs w:val="24"/>
        </w:rPr>
        <w:t xml:space="preserve"> [</w:t>
      </w:r>
      <w:r w:rsidR="00B57B61" w:rsidRPr="000D096C">
        <w:rPr>
          <w:rFonts w:ascii="Times New Roman" w:hAnsi="Times New Roman" w:cs="Times New Roman"/>
          <w:sz w:val="24"/>
          <w:szCs w:val="24"/>
        </w:rPr>
        <w:t>10, 11</w:t>
      </w:r>
      <w:r w:rsidR="00D60521" w:rsidRPr="000D096C">
        <w:rPr>
          <w:rFonts w:ascii="Times New Roman" w:hAnsi="Times New Roman" w:cs="Times New Roman"/>
          <w:sz w:val="24"/>
          <w:szCs w:val="24"/>
        </w:rPr>
        <w:t>]</w:t>
      </w:r>
      <w:r w:rsidR="007648E3" w:rsidRPr="000D096C">
        <w:rPr>
          <w:rFonts w:ascii="Times New Roman" w:hAnsi="Times New Roman" w:cs="Times New Roman"/>
          <w:sz w:val="24"/>
          <w:szCs w:val="24"/>
        </w:rPr>
        <w:t xml:space="preserve">. </w:t>
      </w:r>
    </w:p>
    <w:p w:rsidR="007648E3" w:rsidRPr="000D096C" w:rsidRDefault="007648E3"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t xml:space="preserve">Makrofágy obsažené v tukové tkáni secernují </w:t>
      </w:r>
      <w:r w:rsidR="001434A3" w:rsidRPr="000D096C">
        <w:rPr>
          <w:rFonts w:ascii="Times New Roman" w:hAnsi="Times New Roman" w:cs="Times New Roman"/>
          <w:sz w:val="24"/>
          <w:szCs w:val="24"/>
        </w:rPr>
        <w:t xml:space="preserve">tumor nekrotizující faktor </w:t>
      </w:r>
      <w:r w:rsidRPr="000D096C">
        <w:rPr>
          <w:rFonts w:ascii="Times New Roman" w:hAnsi="Times New Roman" w:cs="Times New Roman"/>
          <w:sz w:val="24"/>
          <w:szCs w:val="24"/>
        </w:rPr>
        <w:t>α (TNF-α) v přímé závislosti na množství tukové tkáně</w:t>
      </w:r>
      <w:r w:rsidR="00D0420D" w:rsidRPr="000D096C">
        <w:rPr>
          <w:rFonts w:ascii="Times New Roman" w:hAnsi="Times New Roman" w:cs="Times New Roman"/>
          <w:sz w:val="24"/>
          <w:szCs w:val="24"/>
        </w:rPr>
        <w:t xml:space="preserve"> a úrovni</w:t>
      </w:r>
      <w:r w:rsidR="00522119" w:rsidRPr="000D096C">
        <w:rPr>
          <w:rFonts w:ascii="Times New Roman" w:hAnsi="Times New Roman" w:cs="Times New Roman"/>
          <w:sz w:val="24"/>
          <w:szCs w:val="24"/>
        </w:rPr>
        <w:t xml:space="preserve"> IR</w:t>
      </w:r>
      <w:r w:rsidRPr="000D096C">
        <w:rPr>
          <w:rFonts w:ascii="Times New Roman" w:hAnsi="Times New Roman" w:cs="Times New Roman"/>
          <w:sz w:val="24"/>
          <w:szCs w:val="24"/>
        </w:rPr>
        <w:t>. TNF-α způsobuje fosforylaci a</w:t>
      </w:r>
      <w:r w:rsidR="00BB3FFF">
        <w:rPr>
          <w:rFonts w:ascii="Times New Roman" w:hAnsi="Times New Roman" w:cs="Times New Roman"/>
          <w:sz w:val="24"/>
          <w:szCs w:val="24"/>
        </w:rPr>
        <w:t> </w:t>
      </w:r>
      <w:r w:rsidRPr="000D096C">
        <w:rPr>
          <w:rFonts w:ascii="Times New Roman" w:hAnsi="Times New Roman" w:cs="Times New Roman"/>
          <w:sz w:val="24"/>
          <w:szCs w:val="24"/>
        </w:rPr>
        <w:t>inaktivaci inzulínových receptorů v tukové tkáni stejně jako v buňkách hladkého svalstva, indukci lipolýzy zvyšující zátěž volnými mastnými kyselinami s jejich potenciální oxidací a</w:t>
      </w:r>
      <w:r w:rsidR="00BB3FFF">
        <w:rPr>
          <w:rFonts w:ascii="Times New Roman" w:hAnsi="Times New Roman" w:cs="Times New Roman"/>
          <w:sz w:val="24"/>
          <w:szCs w:val="24"/>
        </w:rPr>
        <w:t> </w:t>
      </w:r>
      <w:r w:rsidRPr="000D096C">
        <w:rPr>
          <w:rFonts w:ascii="Times New Roman" w:hAnsi="Times New Roman" w:cs="Times New Roman"/>
          <w:sz w:val="24"/>
          <w:szCs w:val="24"/>
        </w:rPr>
        <w:t>inhibici sekrece adiponektinu.</w:t>
      </w:r>
      <w:r w:rsidR="004E138D">
        <w:rPr>
          <w:rFonts w:ascii="Times New Roman" w:hAnsi="Times New Roman" w:cs="Times New Roman"/>
          <w:sz w:val="24"/>
          <w:szCs w:val="24"/>
        </w:rPr>
        <w:t xml:space="preserve"> Za zmínku stojí i</w:t>
      </w:r>
      <w:r w:rsidR="007018EC" w:rsidRPr="000D096C">
        <w:rPr>
          <w:rFonts w:ascii="Times New Roman" w:hAnsi="Times New Roman" w:cs="Times New Roman"/>
          <w:sz w:val="24"/>
          <w:szCs w:val="24"/>
        </w:rPr>
        <w:t xml:space="preserve"> úloha interleukinu 6 (IL-6), cytokinu s</w:t>
      </w:r>
      <w:r w:rsidR="00BB3FFF">
        <w:rPr>
          <w:rFonts w:ascii="Times New Roman" w:hAnsi="Times New Roman" w:cs="Times New Roman"/>
          <w:sz w:val="24"/>
          <w:szCs w:val="24"/>
        </w:rPr>
        <w:t> </w:t>
      </w:r>
      <w:r w:rsidR="007018EC" w:rsidRPr="000D096C">
        <w:rPr>
          <w:rFonts w:ascii="Times New Roman" w:hAnsi="Times New Roman" w:cs="Times New Roman"/>
          <w:sz w:val="24"/>
          <w:szCs w:val="24"/>
        </w:rPr>
        <w:t>komplexními regulačními schopnostmi produkovaného jak adipocyty, tak buňkami imunitního sytému.</w:t>
      </w:r>
      <w:r w:rsidR="00EF0242" w:rsidRPr="000D096C">
        <w:rPr>
          <w:rFonts w:ascii="Times New Roman" w:hAnsi="Times New Roman" w:cs="Times New Roman"/>
          <w:sz w:val="24"/>
          <w:szCs w:val="24"/>
        </w:rPr>
        <w:t xml:space="preserve"> I zde platí </w:t>
      </w:r>
      <w:r w:rsidR="00D0420D" w:rsidRPr="000D096C">
        <w:rPr>
          <w:rFonts w:ascii="Times New Roman" w:hAnsi="Times New Roman" w:cs="Times New Roman"/>
          <w:sz w:val="24"/>
          <w:szCs w:val="24"/>
        </w:rPr>
        <w:t xml:space="preserve">přímá </w:t>
      </w:r>
      <w:r w:rsidR="00EF0242" w:rsidRPr="000D096C">
        <w:rPr>
          <w:rFonts w:ascii="Times New Roman" w:hAnsi="Times New Roman" w:cs="Times New Roman"/>
          <w:sz w:val="24"/>
          <w:szCs w:val="24"/>
        </w:rPr>
        <w:t xml:space="preserve">závislost produkce na množství tukové </w:t>
      </w:r>
      <w:r w:rsidR="00EF0242" w:rsidRPr="000D096C">
        <w:rPr>
          <w:rFonts w:ascii="Times New Roman" w:hAnsi="Times New Roman" w:cs="Times New Roman"/>
          <w:sz w:val="24"/>
          <w:szCs w:val="24"/>
        </w:rPr>
        <w:lastRenderedPageBreak/>
        <w:t xml:space="preserve">tkáně a úrovni IR. </w:t>
      </w:r>
      <w:r w:rsidR="00811AB4" w:rsidRPr="000D096C">
        <w:rPr>
          <w:rFonts w:ascii="Times New Roman" w:hAnsi="Times New Roman" w:cs="Times New Roman"/>
          <w:sz w:val="24"/>
          <w:szCs w:val="24"/>
        </w:rPr>
        <w:t>IL-6 p</w:t>
      </w:r>
      <w:r w:rsidR="000E2559" w:rsidRPr="000D096C">
        <w:rPr>
          <w:rFonts w:ascii="Times New Roman" w:hAnsi="Times New Roman" w:cs="Times New Roman"/>
          <w:sz w:val="24"/>
          <w:szCs w:val="24"/>
        </w:rPr>
        <w:t>ůsobí na játra, kostní dřeň a endotel, což ve</w:t>
      </w:r>
      <w:r w:rsidR="003E5BFB" w:rsidRPr="000D096C">
        <w:rPr>
          <w:rFonts w:ascii="Times New Roman" w:hAnsi="Times New Roman" w:cs="Times New Roman"/>
          <w:sz w:val="24"/>
          <w:szCs w:val="24"/>
        </w:rPr>
        <w:t>de ke zvýšené produkci proteinů</w:t>
      </w:r>
      <w:r w:rsidR="000E2559" w:rsidRPr="000D096C">
        <w:rPr>
          <w:rFonts w:ascii="Times New Roman" w:hAnsi="Times New Roman" w:cs="Times New Roman"/>
          <w:sz w:val="24"/>
          <w:szCs w:val="24"/>
        </w:rPr>
        <w:t xml:space="preserve"> akutní fáze v játrech</w:t>
      </w:r>
      <w:r w:rsidR="003E5BFB" w:rsidRPr="000D096C">
        <w:rPr>
          <w:rFonts w:ascii="Times New Roman" w:hAnsi="Times New Roman" w:cs="Times New Roman"/>
          <w:sz w:val="24"/>
          <w:szCs w:val="24"/>
        </w:rPr>
        <w:t>, včetně C-reaktivního proteinu</w:t>
      </w:r>
      <w:r w:rsidR="00500CDC" w:rsidRPr="000D096C">
        <w:rPr>
          <w:rFonts w:ascii="Times New Roman" w:hAnsi="Times New Roman" w:cs="Times New Roman"/>
          <w:sz w:val="24"/>
          <w:szCs w:val="24"/>
        </w:rPr>
        <w:t xml:space="preserve"> (CRP)</w:t>
      </w:r>
      <w:r w:rsidR="003E5BFB" w:rsidRPr="000D096C">
        <w:rPr>
          <w:rFonts w:ascii="Times New Roman" w:hAnsi="Times New Roman" w:cs="Times New Roman"/>
          <w:sz w:val="24"/>
          <w:szCs w:val="24"/>
        </w:rPr>
        <w:t>. Řada</w:t>
      </w:r>
      <w:r w:rsidR="000E2559" w:rsidRPr="000D096C">
        <w:rPr>
          <w:rFonts w:ascii="Times New Roman" w:hAnsi="Times New Roman" w:cs="Times New Roman"/>
          <w:sz w:val="24"/>
          <w:szCs w:val="24"/>
        </w:rPr>
        <w:t xml:space="preserve"> studií prokázal</w:t>
      </w:r>
      <w:r w:rsidR="003E5BFB" w:rsidRPr="000D096C">
        <w:rPr>
          <w:rFonts w:ascii="Times New Roman" w:hAnsi="Times New Roman" w:cs="Times New Roman"/>
          <w:sz w:val="24"/>
          <w:szCs w:val="24"/>
        </w:rPr>
        <w:t>a</w:t>
      </w:r>
      <w:r w:rsidR="000E2559" w:rsidRPr="000D096C">
        <w:rPr>
          <w:rFonts w:ascii="Times New Roman" w:hAnsi="Times New Roman" w:cs="Times New Roman"/>
          <w:sz w:val="24"/>
          <w:szCs w:val="24"/>
        </w:rPr>
        <w:t xml:space="preserve"> korelaci mezi vysokými hladinami CRP a vývojem MetS, </w:t>
      </w:r>
      <w:r w:rsidR="003E5BFB" w:rsidRPr="000D096C">
        <w:rPr>
          <w:rFonts w:ascii="Times New Roman" w:hAnsi="Times New Roman" w:cs="Times New Roman"/>
          <w:sz w:val="24"/>
          <w:szCs w:val="24"/>
        </w:rPr>
        <w:t>T2DM</w:t>
      </w:r>
      <w:r w:rsidR="000E2559" w:rsidRPr="000D096C">
        <w:rPr>
          <w:rFonts w:ascii="Times New Roman" w:hAnsi="Times New Roman" w:cs="Times New Roman"/>
          <w:sz w:val="24"/>
          <w:szCs w:val="24"/>
        </w:rPr>
        <w:t xml:space="preserve"> a</w:t>
      </w:r>
      <w:r w:rsidR="00762125">
        <w:rPr>
          <w:rFonts w:ascii="Times New Roman" w:hAnsi="Times New Roman" w:cs="Times New Roman"/>
          <w:sz w:val="24"/>
          <w:szCs w:val="24"/>
        </w:rPr>
        <w:t> </w:t>
      </w:r>
      <w:r w:rsidR="003E5BFB" w:rsidRPr="000D096C">
        <w:rPr>
          <w:rFonts w:ascii="Times New Roman" w:hAnsi="Times New Roman" w:cs="Times New Roman"/>
          <w:sz w:val="24"/>
          <w:szCs w:val="24"/>
        </w:rPr>
        <w:t>kardiovaskulárních onemocnění</w:t>
      </w:r>
      <w:r w:rsidR="002C2EC2">
        <w:rPr>
          <w:rFonts w:ascii="Times New Roman" w:hAnsi="Times New Roman" w:cs="Times New Roman"/>
          <w:sz w:val="24"/>
          <w:szCs w:val="24"/>
        </w:rPr>
        <w:t>. IL-6 také zvyšuje hladinu</w:t>
      </w:r>
      <w:r w:rsidR="000E2559" w:rsidRPr="000D096C">
        <w:rPr>
          <w:rFonts w:ascii="Times New Roman" w:hAnsi="Times New Roman" w:cs="Times New Roman"/>
          <w:sz w:val="24"/>
          <w:szCs w:val="24"/>
        </w:rPr>
        <w:t xml:space="preserve"> fibrinogenu, což </w:t>
      </w:r>
      <w:r w:rsidR="003E5BFB" w:rsidRPr="000D096C">
        <w:rPr>
          <w:rFonts w:ascii="Times New Roman" w:hAnsi="Times New Roman" w:cs="Times New Roman"/>
          <w:sz w:val="24"/>
          <w:szCs w:val="24"/>
        </w:rPr>
        <w:t>vede k</w:t>
      </w:r>
      <w:r w:rsidR="00762125">
        <w:rPr>
          <w:rFonts w:ascii="Times New Roman" w:hAnsi="Times New Roman" w:cs="Times New Roman"/>
          <w:sz w:val="24"/>
          <w:szCs w:val="24"/>
        </w:rPr>
        <w:t> </w:t>
      </w:r>
      <w:r w:rsidR="003E5BFB" w:rsidRPr="000D096C">
        <w:rPr>
          <w:rFonts w:ascii="Times New Roman" w:hAnsi="Times New Roman" w:cs="Times New Roman"/>
          <w:sz w:val="24"/>
          <w:szCs w:val="24"/>
        </w:rPr>
        <w:t>protrombotickému stavu</w:t>
      </w:r>
      <w:r w:rsidR="00B57B61" w:rsidRPr="000D096C">
        <w:rPr>
          <w:rFonts w:ascii="Times New Roman" w:hAnsi="Times New Roman" w:cs="Times New Roman"/>
          <w:sz w:val="24"/>
          <w:szCs w:val="24"/>
        </w:rPr>
        <w:t xml:space="preserve"> [10</w:t>
      </w:r>
      <w:r w:rsidR="004E606B" w:rsidRPr="000D096C">
        <w:rPr>
          <w:rFonts w:ascii="Times New Roman" w:hAnsi="Times New Roman" w:cs="Times New Roman"/>
          <w:sz w:val="24"/>
          <w:szCs w:val="24"/>
        </w:rPr>
        <w:t>, 15</w:t>
      </w:r>
      <w:r w:rsidR="00D60521" w:rsidRPr="000D096C">
        <w:rPr>
          <w:rFonts w:ascii="Times New Roman" w:hAnsi="Times New Roman" w:cs="Times New Roman"/>
          <w:sz w:val="24"/>
          <w:szCs w:val="24"/>
        </w:rPr>
        <w:t>]</w:t>
      </w:r>
      <w:r w:rsidR="003E5BFB" w:rsidRPr="000D096C">
        <w:rPr>
          <w:rFonts w:ascii="Times New Roman" w:hAnsi="Times New Roman" w:cs="Times New Roman"/>
          <w:sz w:val="24"/>
          <w:szCs w:val="24"/>
        </w:rPr>
        <w:t>.</w:t>
      </w:r>
    </w:p>
    <w:p w:rsidR="00E87ED4" w:rsidRPr="000D096C" w:rsidRDefault="00E87ED4" w:rsidP="004567D5">
      <w:pP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V souvislosti s etiopatogenezí MetS bývá diskutováno mnoho dalších faktorů jako například vliv mikrobiomu, psychického stresu, raných vývojových fází života či vlivy cirkadiánních rytmů [16]. Ačkoliv obezita hraje klíčovou roli v patogenezi MetS, setkáváme se v literatuře i s informace</w:t>
      </w:r>
      <w:r w:rsidR="00575178" w:rsidRPr="000D096C">
        <w:rPr>
          <w:rFonts w:ascii="Times New Roman" w:hAnsi="Times New Roman" w:cs="Times New Roman"/>
          <w:sz w:val="24"/>
          <w:szCs w:val="24"/>
        </w:rPr>
        <w:t>mi</w:t>
      </w:r>
      <w:r w:rsidRPr="000D096C">
        <w:rPr>
          <w:rFonts w:ascii="Times New Roman" w:hAnsi="Times New Roman" w:cs="Times New Roman"/>
          <w:sz w:val="24"/>
          <w:szCs w:val="24"/>
        </w:rPr>
        <w:t xml:space="preserve"> o tzv. metabolicky zdravé obezitě. Jedná se o</w:t>
      </w:r>
      <w:r w:rsidR="00762125">
        <w:rPr>
          <w:rFonts w:ascii="Times New Roman" w:hAnsi="Times New Roman" w:cs="Times New Roman"/>
          <w:sz w:val="24"/>
          <w:szCs w:val="24"/>
        </w:rPr>
        <w:t> </w:t>
      </w:r>
      <w:r w:rsidRPr="000D096C">
        <w:rPr>
          <w:rFonts w:ascii="Times New Roman" w:hAnsi="Times New Roman" w:cs="Times New Roman"/>
          <w:sz w:val="24"/>
          <w:szCs w:val="24"/>
        </w:rPr>
        <w:t>vzácnější stav, kdy akumulace tukové tkáně dle běžně detekovaných parametrů nevykazuje rozvoj metabolických odchylek. Jinými slovy pacient</w:t>
      </w:r>
      <w:r w:rsidR="00575178" w:rsidRPr="000D096C">
        <w:rPr>
          <w:rFonts w:ascii="Times New Roman" w:hAnsi="Times New Roman" w:cs="Times New Roman"/>
          <w:sz w:val="24"/>
          <w:szCs w:val="24"/>
        </w:rPr>
        <w:t>, byť je obézní, tak u</w:t>
      </w:r>
      <w:r w:rsidR="00762125">
        <w:rPr>
          <w:rFonts w:ascii="Times New Roman" w:hAnsi="Times New Roman" w:cs="Times New Roman"/>
          <w:sz w:val="24"/>
          <w:szCs w:val="24"/>
        </w:rPr>
        <w:t> </w:t>
      </w:r>
      <w:r w:rsidR="00575178" w:rsidRPr="000D096C">
        <w:rPr>
          <w:rFonts w:ascii="Times New Roman" w:hAnsi="Times New Roman" w:cs="Times New Roman"/>
          <w:sz w:val="24"/>
          <w:szCs w:val="24"/>
        </w:rPr>
        <w:t>něho neprobíhá</w:t>
      </w:r>
      <w:r w:rsidRPr="000D096C">
        <w:rPr>
          <w:rFonts w:ascii="Times New Roman" w:hAnsi="Times New Roman" w:cs="Times New Roman"/>
          <w:sz w:val="24"/>
          <w:szCs w:val="24"/>
        </w:rPr>
        <w:t xml:space="preserve"> zjevn</w:t>
      </w:r>
      <w:r w:rsidR="00575178" w:rsidRPr="000D096C">
        <w:rPr>
          <w:rFonts w:ascii="Times New Roman" w:hAnsi="Times New Roman" w:cs="Times New Roman"/>
          <w:sz w:val="24"/>
          <w:szCs w:val="24"/>
        </w:rPr>
        <w:t>á</w:t>
      </w:r>
      <w:r w:rsidRPr="000D096C">
        <w:rPr>
          <w:rFonts w:ascii="Times New Roman" w:hAnsi="Times New Roman" w:cs="Times New Roman"/>
          <w:sz w:val="24"/>
          <w:szCs w:val="24"/>
        </w:rPr>
        <w:t xml:space="preserve"> progres</w:t>
      </w:r>
      <w:r w:rsidR="00575178" w:rsidRPr="000D096C">
        <w:rPr>
          <w:rFonts w:ascii="Times New Roman" w:hAnsi="Times New Roman" w:cs="Times New Roman"/>
          <w:sz w:val="24"/>
          <w:szCs w:val="24"/>
        </w:rPr>
        <w:t>e</w:t>
      </w:r>
      <w:r w:rsidRPr="000D096C">
        <w:rPr>
          <w:rFonts w:ascii="Times New Roman" w:hAnsi="Times New Roman" w:cs="Times New Roman"/>
          <w:sz w:val="24"/>
          <w:szCs w:val="24"/>
        </w:rPr>
        <w:t xml:space="preserve"> směrem k MetS. Existuje řada diagnostických kritérií metabolicky zdravé obezity, z nichž některá zahrnují i IR [17-19].</w:t>
      </w:r>
    </w:p>
    <w:p w:rsidR="00B13B6F" w:rsidRPr="000D096C" w:rsidRDefault="00B13B6F" w:rsidP="004567D5">
      <w:pPr>
        <w:pStyle w:val="Nadpis3"/>
        <w:spacing w:line="360" w:lineRule="auto"/>
        <w:rPr>
          <w:rFonts w:cs="Times New Roman"/>
        </w:rPr>
      </w:pPr>
      <w:bookmarkStart w:id="18" w:name="_Toc33432664"/>
      <w:bookmarkStart w:id="19" w:name="_Toc33432884"/>
      <w:bookmarkStart w:id="20" w:name="_Toc33869523"/>
      <w:r w:rsidRPr="000D096C">
        <w:rPr>
          <w:rFonts w:cs="Times New Roman"/>
        </w:rPr>
        <w:t>Epidemiologie</w:t>
      </w:r>
      <w:bookmarkEnd w:id="18"/>
      <w:bookmarkEnd w:id="19"/>
      <w:bookmarkEnd w:id="20"/>
    </w:p>
    <w:p w:rsidR="00B13B6F" w:rsidRPr="000D096C" w:rsidRDefault="00B13B6F"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Údaje o výskytu MetS závisí na konkrétní použité definici a složení vyšetřovaných souborů. Přesné údaje nejen v ČR k dispozici nejsou, jisté však je, že prevalence t</w:t>
      </w:r>
      <w:r w:rsidR="00AB44D0" w:rsidRPr="000D096C">
        <w:rPr>
          <w:rFonts w:ascii="Times New Roman" w:hAnsi="Times New Roman" w:cs="Times New Roman"/>
          <w:sz w:val="24"/>
          <w:szCs w:val="24"/>
        </w:rPr>
        <w:t xml:space="preserve">éto nozologické jednotky není </w:t>
      </w:r>
      <w:r w:rsidRPr="000D096C">
        <w:rPr>
          <w:rFonts w:ascii="Times New Roman" w:hAnsi="Times New Roman" w:cs="Times New Roman"/>
          <w:sz w:val="24"/>
          <w:szCs w:val="24"/>
        </w:rPr>
        <w:t xml:space="preserve">zanedbatelná. Použijeme-li některou z výše uvedených definic, může MetS v podmínkách vyspělé populace postihovat více než 30 % obyvatel. Avšak nejčastěji </w:t>
      </w:r>
      <w:r w:rsidR="008B0C5E" w:rsidRPr="000D096C">
        <w:rPr>
          <w:rFonts w:ascii="Times New Roman" w:hAnsi="Times New Roman" w:cs="Times New Roman"/>
          <w:sz w:val="24"/>
          <w:szCs w:val="24"/>
        </w:rPr>
        <w:t xml:space="preserve">bývá prevalence MetS odhadována na 25-30 </w:t>
      </w:r>
      <w:r w:rsidR="004E138D">
        <w:rPr>
          <w:rFonts w:ascii="Times New Roman" w:hAnsi="Times New Roman" w:cs="Times New Roman"/>
          <w:sz w:val="24"/>
          <w:szCs w:val="24"/>
        </w:rPr>
        <w:t xml:space="preserve">% </w:t>
      </w:r>
      <w:r w:rsidR="008B0C5E" w:rsidRPr="000D096C">
        <w:rPr>
          <w:rFonts w:ascii="Times New Roman" w:hAnsi="Times New Roman" w:cs="Times New Roman"/>
          <w:sz w:val="24"/>
          <w:szCs w:val="24"/>
        </w:rPr>
        <w:t>dospělé populace</w:t>
      </w:r>
      <w:r w:rsidRPr="000D096C">
        <w:rPr>
          <w:rFonts w:ascii="Times New Roman" w:hAnsi="Times New Roman" w:cs="Times New Roman"/>
          <w:sz w:val="24"/>
          <w:szCs w:val="24"/>
        </w:rPr>
        <w:t>. Alespoň jednu složku MetS získá během života až 80 % populace. MetS zároveň představuje stav s výraznou věkovou závislostí. Čím starší jedinec, tím spíše se u něho složky syndromu objeví. Výhledy do budoucna příliš optimistické nejsou, jelikož</w:t>
      </w:r>
      <w:r w:rsidR="00F80C90">
        <w:rPr>
          <w:rFonts w:ascii="Times New Roman" w:hAnsi="Times New Roman" w:cs="Times New Roman"/>
          <w:sz w:val="24"/>
          <w:szCs w:val="24"/>
        </w:rPr>
        <w:t xml:space="preserve"> podle současných trendů</w:t>
      </w:r>
      <w:r w:rsidRPr="000D096C">
        <w:rPr>
          <w:rFonts w:ascii="Times New Roman" w:hAnsi="Times New Roman" w:cs="Times New Roman"/>
          <w:sz w:val="24"/>
          <w:szCs w:val="24"/>
        </w:rPr>
        <w:t xml:space="preserve"> je očekáváno spíše zvýšení výskytu MetS</w:t>
      </w:r>
      <w:r w:rsidR="007725EB" w:rsidRPr="000D096C">
        <w:rPr>
          <w:rFonts w:ascii="Times New Roman" w:hAnsi="Times New Roman" w:cs="Times New Roman"/>
          <w:sz w:val="24"/>
          <w:szCs w:val="24"/>
        </w:rPr>
        <w:t xml:space="preserve"> [5, </w:t>
      </w:r>
      <w:r w:rsidR="00022457" w:rsidRPr="000D096C">
        <w:rPr>
          <w:rFonts w:ascii="Times New Roman" w:hAnsi="Times New Roman" w:cs="Times New Roman"/>
          <w:sz w:val="24"/>
          <w:szCs w:val="24"/>
        </w:rPr>
        <w:t>20</w:t>
      </w:r>
      <w:r w:rsidR="007725EB" w:rsidRPr="000D096C">
        <w:rPr>
          <w:rFonts w:ascii="Times New Roman" w:hAnsi="Times New Roman" w:cs="Times New Roman"/>
          <w:sz w:val="24"/>
          <w:szCs w:val="24"/>
        </w:rPr>
        <w:t>]</w:t>
      </w:r>
      <w:r w:rsidRPr="000D096C">
        <w:rPr>
          <w:rFonts w:ascii="Times New Roman" w:hAnsi="Times New Roman" w:cs="Times New Roman"/>
          <w:sz w:val="24"/>
          <w:szCs w:val="24"/>
        </w:rPr>
        <w:t xml:space="preserve">. </w:t>
      </w:r>
    </w:p>
    <w:p w:rsidR="00B13B6F" w:rsidRPr="000D096C" w:rsidRDefault="00B13B6F"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Polo</w:t>
      </w:r>
      <w:r w:rsidR="00686750" w:rsidRPr="000D096C">
        <w:rPr>
          <w:rFonts w:ascii="Times New Roman" w:hAnsi="Times New Roman" w:cs="Times New Roman"/>
          <w:sz w:val="24"/>
          <w:szCs w:val="24"/>
        </w:rPr>
        <w:t>vina dospělých v ČR</w:t>
      </w:r>
      <w:r w:rsidRPr="000D096C">
        <w:rPr>
          <w:rFonts w:ascii="Times New Roman" w:hAnsi="Times New Roman" w:cs="Times New Roman"/>
          <w:sz w:val="24"/>
          <w:szCs w:val="24"/>
        </w:rPr>
        <w:t xml:space="preserve"> má vyšší než normální hmotnost a tento podíl se nedaří snižovat, počet obézních osob od počátku 90. let dokonce stoupá, aktuálně je jejich množství odhadováno na 17 % populace. Ještě více alarmující je situace v dětské populaci, kde se za uplynulých 20 let výskyt nadváhy a obezity u nejkritičtější skupiny </w:t>
      </w:r>
      <w:r w:rsidR="00F80C90">
        <w:rPr>
          <w:rFonts w:ascii="Times New Roman" w:hAnsi="Times New Roman" w:cs="Times New Roman"/>
          <w:sz w:val="24"/>
          <w:szCs w:val="24"/>
        </w:rPr>
        <w:t>13­</w:t>
      </w:r>
      <w:r w:rsidR="00F80C90" w:rsidRPr="00F80C90">
        <w:rPr>
          <w:rFonts w:ascii="Times New Roman" w:hAnsi="Times New Roman" w:cs="Times New Roman"/>
          <w:sz w:val="24"/>
          <w:szCs w:val="24"/>
        </w:rPr>
        <w:t>ti</w:t>
      </w:r>
      <w:r w:rsidRPr="000D096C">
        <w:rPr>
          <w:rFonts w:ascii="Times New Roman" w:hAnsi="Times New Roman" w:cs="Times New Roman"/>
          <w:sz w:val="24"/>
          <w:szCs w:val="24"/>
        </w:rPr>
        <w:t xml:space="preserve"> letých zdvojnásobil. Přitom je známo, že s výskytem nadměrné hmotnosti v dětském věku stoupá riziko nadváhy v</w:t>
      </w:r>
      <w:r w:rsidR="00BB3FFF">
        <w:rPr>
          <w:rFonts w:ascii="Times New Roman" w:hAnsi="Times New Roman" w:cs="Times New Roman"/>
          <w:sz w:val="24"/>
          <w:szCs w:val="24"/>
        </w:rPr>
        <w:t> </w:t>
      </w:r>
      <w:r w:rsidRPr="000D096C">
        <w:rPr>
          <w:rFonts w:ascii="Times New Roman" w:hAnsi="Times New Roman" w:cs="Times New Roman"/>
          <w:sz w:val="24"/>
          <w:szCs w:val="24"/>
        </w:rPr>
        <w:t>dospělosti se všemi negativními důsledky. Mezi lety 2012 a 2016 však došlo k zastavení růstu počtu dětí s nadnormální hmotností a vývoj se stabilizoval</w:t>
      </w:r>
      <w:r w:rsidR="007725EB" w:rsidRPr="000D096C">
        <w:rPr>
          <w:rFonts w:ascii="Times New Roman" w:hAnsi="Times New Roman" w:cs="Times New Roman"/>
          <w:sz w:val="24"/>
          <w:szCs w:val="24"/>
        </w:rPr>
        <w:t xml:space="preserve"> [</w:t>
      </w:r>
      <w:r w:rsidR="00022457" w:rsidRPr="000D096C">
        <w:rPr>
          <w:rFonts w:ascii="Times New Roman" w:hAnsi="Times New Roman" w:cs="Times New Roman"/>
          <w:sz w:val="24"/>
          <w:szCs w:val="24"/>
        </w:rPr>
        <w:t>21</w:t>
      </w:r>
      <w:r w:rsidR="007725EB" w:rsidRPr="000D096C">
        <w:rPr>
          <w:rFonts w:ascii="Times New Roman" w:hAnsi="Times New Roman" w:cs="Times New Roman"/>
          <w:sz w:val="24"/>
          <w:szCs w:val="24"/>
        </w:rPr>
        <w:t>]</w:t>
      </w:r>
      <w:r w:rsidR="00F80C90">
        <w:rPr>
          <w:rFonts w:ascii="Times New Roman" w:hAnsi="Times New Roman" w:cs="Times New Roman"/>
          <w:sz w:val="24"/>
          <w:szCs w:val="24"/>
        </w:rPr>
        <w:t>. V</w:t>
      </w:r>
      <w:r w:rsidRPr="000D096C">
        <w:rPr>
          <w:rFonts w:ascii="Times New Roman" w:hAnsi="Times New Roman" w:cs="Times New Roman"/>
          <w:sz w:val="24"/>
          <w:szCs w:val="24"/>
        </w:rPr>
        <w:t>ýskyt poruch metabolismu glukózy vykazuje globálně setrvalý nárůst, jak bude rozvedeno níže.</w:t>
      </w:r>
    </w:p>
    <w:p w:rsidR="00D22FF3" w:rsidRPr="000D096C" w:rsidRDefault="00D22FF3" w:rsidP="00C97500">
      <w:pPr>
        <w:pStyle w:val="Nadpis2"/>
      </w:pPr>
      <w:bookmarkStart w:id="21" w:name="_Toc33432665"/>
      <w:bookmarkStart w:id="22" w:name="_Toc33432885"/>
      <w:bookmarkStart w:id="23" w:name="_Toc33869524"/>
      <w:r w:rsidRPr="000D096C">
        <w:lastRenderedPageBreak/>
        <w:t>Inzulínová rezistence</w:t>
      </w:r>
      <w:bookmarkEnd w:id="21"/>
      <w:bookmarkEnd w:id="22"/>
      <w:bookmarkEnd w:id="23"/>
    </w:p>
    <w:p w:rsidR="00D22FF3" w:rsidRPr="000D096C" w:rsidRDefault="000E2FA3" w:rsidP="004567D5">
      <w:pPr>
        <w:pStyle w:val="Nadpis3"/>
        <w:spacing w:line="360" w:lineRule="auto"/>
        <w:rPr>
          <w:rFonts w:cs="Times New Roman"/>
        </w:rPr>
      </w:pPr>
      <w:bookmarkStart w:id="24" w:name="_Toc33432666"/>
      <w:bookmarkStart w:id="25" w:name="_Toc33432886"/>
      <w:bookmarkStart w:id="26" w:name="_Toc33869525"/>
      <w:r w:rsidRPr="000D096C">
        <w:rPr>
          <w:rFonts w:cs="Times New Roman"/>
        </w:rPr>
        <w:t>Definice</w:t>
      </w:r>
      <w:bookmarkEnd w:id="24"/>
      <w:bookmarkEnd w:id="25"/>
      <w:bookmarkEnd w:id="26"/>
    </w:p>
    <w:p w:rsidR="000E2FA3" w:rsidRPr="000D096C" w:rsidRDefault="000E2FA3" w:rsidP="004567D5">
      <w:pPr>
        <w:spacing w:line="360" w:lineRule="auto"/>
        <w:jc w:val="both"/>
        <w:rPr>
          <w:rFonts w:ascii="Times New Roman" w:hAnsi="Times New Roman" w:cs="Times New Roman"/>
          <w:sz w:val="24"/>
          <w:szCs w:val="24"/>
        </w:rPr>
      </w:pPr>
      <w:r w:rsidRPr="000D096C">
        <w:rPr>
          <w:rFonts w:ascii="Times New Roman" w:hAnsi="Times New Roman" w:cs="Times New Roman"/>
          <w:b/>
        </w:rPr>
        <w:tab/>
      </w:r>
      <w:r w:rsidR="00B5534D" w:rsidRPr="000D096C">
        <w:rPr>
          <w:rFonts w:ascii="Times New Roman" w:hAnsi="Times New Roman" w:cs="Times New Roman"/>
          <w:sz w:val="24"/>
          <w:szCs w:val="24"/>
        </w:rPr>
        <w:t xml:space="preserve">IR je definována jako subnormální biologická odpověď </w:t>
      </w:r>
      <w:r w:rsidR="00E80625" w:rsidRPr="000D096C">
        <w:rPr>
          <w:rFonts w:ascii="Times New Roman" w:hAnsi="Times New Roman" w:cs="Times New Roman"/>
          <w:sz w:val="24"/>
          <w:szCs w:val="24"/>
        </w:rPr>
        <w:t>na fyziologickou</w:t>
      </w:r>
      <w:r w:rsidR="00B5534D" w:rsidRPr="000D096C">
        <w:rPr>
          <w:rFonts w:ascii="Times New Roman" w:hAnsi="Times New Roman" w:cs="Times New Roman"/>
          <w:sz w:val="24"/>
          <w:szCs w:val="24"/>
        </w:rPr>
        <w:t xml:space="preserve"> koncentraci inzulínu v organismu, </w:t>
      </w:r>
      <w:r w:rsidR="00F80C90">
        <w:rPr>
          <w:rFonts w:ascii="Times New Roman" w:hAnsi="Times New Roman" w:cs="Times New Roman"/>
          <w:sz w:val="24"/>
          <w:szCs w:val="24"/>
        </w:rPr>
        <w:t xml:space="preserve">tedy </w:t>
      </w:r>
      <w:r w:rsidR="00B5534D" w:rsidRPr="000D096C">
        <w:rPr>
          <w:rFonts w:ascii="Times New Roman" w:hAnsi="Times New Roman" w:cs="Times New Roman"/>
          <w:sz w:val="24"/>
          <w:szCs w:val="24"/>
        </w:rPr>
        <w:t xml:space="preserve">snížená schopnost organismu zpracovat glukózu prostřednictvím inzulínu. Při rozvoji IR dochází ke kompenzatorní hyperinzulinémii, které se na jedné straně daří po určitou dobu udržet glukózovou homeostázu, ale na druhé straně negativně působí na řadu tkání a orgánů, což vede postupně k arteriální hypertenzi, poruchám metabolismu lipidů a celé řadě dalších změn, které lze komplexně označit za syndrom inzulínové rezistence </w:t>
      </w:r>
      <w:r w:rsidR="00022457" w:rsidRPr="000D096C">
        <w:rPr>
          <w:rFonts w:ascii="Times New Roman" w:hAnsi="Times New Roman" w:cs="Times New Roman"/>
          <w:sz w:val="24"/>
          <w:szCs w:val="24"/>
        </w:rPr>
        <w:t>[22</w:t>
      </w:r>
      <w:r w:rsidR="00E80625" w:rsidRPr="000D096C">
        <w:rPr>
          <w:rFonts w:ascii="Times New Roman" w:hAnsi="Times New Roman" w:cs="Times New Roman"/>
          <w:sz w:val="24"/>
          <w:szCs w:val="24"/>
        </w:rPr>
        <w:t>]</w:t>
      </w:r>
      <w:r w:rsidR="00B5534D" w:rsidRPr="000D096C">
        <w:rPr>
          <w:rFonts w:ascii="Times New Roman" w:hAnsi="Times New Roman" w:cs="Times New Roman"/>
          <w:sz w:val="24"/>
          <w:szCs w:val="24"/>
        </w:rPr>
        <w:t xml:space="preserve">. </w:t>
      </w:r>
      <w:r w:rsidR="00C90483" w:rsidRPr="000D096C">
        <w:rPr>
          <w:rFonts w:ascii="Times New Roman" w:hAnsi="Times New Roman" w:cs="Times New Roman"/>
          <w:sz w:val="24"/>
          <w:szCs w:val="24"/>
        </w:rPr>
        <w:t xml:space="preserve">Označení necitlivost k inzulínu, které je synonymem častěji užívaného výrazu </w:t>
      </w:r>
      <w:r w:rsidR="00F9018D">
        <w:rPr>
          <w:rFonts w:ascii="Times New Roman" w:hAnsi="Times New Roman" w:cs="Times New Roman"/>
          <w:sz w:val="24"/>
          <w:szCs w:val="24"/>
        </w:rPr>
        <w:t>IR</w:t>
      </w:r>
      <w:r w:rsidR="00C90483" w:rsidRPr="000D096C">
        <w:rPr>
          <w:rFonts w:ascii="Times New Roman" w:hAnsi="Times New Roman" w:cs="Times New Roman"/>
          <w:sz w:val="24"/>
          <w:szCs w:val="24"/>
        </w:rPr>
        <w:t>, byl</w:t>
      </w:r>
      <w:r w:rsidR="00F80C90">
        <w:rPr>
          <w:rFonts w:ascii="Times New Roman" w:hAnsi="Times New Roman" w:cs="Times New Roman"/>
          <w:sz w:val="24"/>
          <w:szCs w:val="24"/>
        </w:rPr>
        <w:t>o</w:t>
      </w:r>
      <w:r w:rsidR="00C90483" w:rsidRPr="000D096C">
        <w:rPr>
          <w:rFonts w:ascii="Times New Roman" w:hAnsi="Times New Roman" w:cs="Times New Roman"/>
          <w:sz w:val="24"/>
          <w:szCs w:val="24"/>
        </w:rPr>
        <w:t xml:space="preserve"> poprvé použit</w:t>
      </w:r>
      <w:r w:rsidR="00F80C90">
        <w:rPr>
          <w:rFonts w:ascii="Times New Roman" w:hAnsi="Times New Roman" w:cs="Times New Roman"/>
          <w:sz w:val="24"/>
          <w:szCs w:val="24"/>
        </w:rPr>
        <w:t>o</w:t>
      </w:r>
      <w:r w:rsidR="00C90483" w:rsidRPr="000D096C">
        <w:rPr>
          <w:rFonts w:ascii="Times New Roman" w:hAnsi="Times New Roman" w:cs="Times New Roman"/>
          <w:sz w:val="24"/>
          <w:szCs w:val="24"/>
        </w:rPr>
        <w:t xml:space="preserve"> v roce 1939 při ch</w:t>
      </w:r>
      <w:r w:rsidR="00F9018D">
        <w:rPr>
          <w:rFonts w:ascii="Times New Roman" w:hAnsi="Times New Roman" w:cs="Times New Roman"/>
          <w:sz w:val="24"/>
          <w:szCs w:val="24"/>
        </w:rPr>
        <w:t>arakterizování dvou typů DM</w:t>
      </w:r>
      <w:r w:rsidR="00C90483" w:rsidRPr="000D096C">
        <w:rPr>
          <w:rFonts w:ascii="Times New Roman" w:hAnsi="Times New Roman" w:cs="Times New Roman"/>
          <w:sz w:val="24"/>
          <w:szCs w:val="24"/>
        </w:rPr>
        <w:t xml:space="preserve"> Himsworthe</w:t>
      </w:r>
      <w:r w:rsidR="000D4351" w:rsidRPr="000D096C">
        <w:rPr>
          <w:rFonts w:ascii="Times New Roman" w:hAnsi="Times New Roman" w:cs="Times New Roman"/>
          <w:sz w:val="24"/>
          <w:szCs w:val="24"/>
        </w:rPr>
        <w:t>m a Kerrem. Teprve průkaz vztahu</w:t>
      </w:r>
      <w:r w:rsidR="00C90483" w:rsidRPr="000D096C">
        <w:rPr>
          <w:rFonts w:ascii="Times New Roman" w:hAnsi="Times New Roman" w:cs="Times New Roman"/>
          <w:sz w:val="24"/>
          <w:szCs w:val="24"/>
        </w:rPr>
        <w:t xml:space="preserve"> mezi aterogenezí a inzulínem a</w:t>
      </w:r>
      <w:r w:rsidR="00762125">
        <w:rPr>
          <w:rFonts w:ascii="Times New Roman" w:hAnsi="Times New Roman" w:cs="Times New Roman"/>
          <w:sz w:val="24"/>
          <w:szCs w:val="24"/>
        </w:rPr>
        <w:t> </w:t>
      </w:r>
      <w:r w:rsidR="00C90483" w:rsidRPr="000D096C">
        <w:rPr>
          <w:rFonts w:ascii="Times New Roman" w:hAnsi="Times New Roman" w:cs="Times New Roman"/>
          <w:sz w:val="24"/>
          <w:szCs w:val="24"/>
        </w:rPr>
        <w:t xml:space="preserve">objev možnosti testovat citlivost na inzulín pomocí euglykemického </w:t>
      </w:r>
      <w:r w:rsidR="00DD0F80">
        <w:rPr>
          <w:rFonts w:ascii="Times New Roman" w:hAnsi="Times New Roman" w:cs="Times New Roman"/>
          <w:sz w:val="24"/>
          <w:szCs w:val="24"/>
        </w:rPr>
        <w:t>c</w:t>
      </w:r>
      <w:r w:rsidR="00C90483" w:rsidRPr="000D096C">
        <w:rPr>
          <w:rFonts w:ascii="Times New Roman" w:hAnsi="Times New Roman" w:cs="Times New Roman"/>
          <w:sz w:val="24"/>
          <w:szCs w:val="24"/>
        </w:rPr>
        <w:t>lampu přinesly rozhodující důkazy o</w:t>
      </w:r>
      <w:r w:rsidR="000D4351" w:rsidRPr="000D096C">
        <w:rPr>
          <w:rFonts w:ascii="Times New Roman" w:hAnsi="Times New Roman" w:cs="Times New Roman"/>
          <w:sz w:val="24"/>
          <w:szCs w:val="24"/>
        </w:rPr>
        <w:t xml:space="preserve"> podílu IR na rozvoji</w:t>
      </w:r>
      <w:r w:rsidR="00C90483" w:rsidRPr="000D096C">
        <w:rPr>
          <w:rFonts w:ascii="Times New Roman" w:hAnsi="Times New Roman" w:cs="Times New Roman"/>
          <w:sz w:val="24"/>
          <w:szCs w:val="24"/>
        </w:rPr>
        <w:t xml:space="preserve"> metabolických onemocnění, jako jsou T2DM či arteriální hypertenze. V roce 1988 byla Raevenem popsána IR jako prvotní příčina MetS [5]. </w:t>
      </w:r>
    </w:p>
    <w:p w:rsidR="00500CDC" w:rsidRPr="000D096C" w:rsidRDefault="00500CDC"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Jevy, které jsou sdružené pod syndrom inzulínové rezistence</w:t>
      </w:r>
      <w:r w:rsidR="00D91912" w:rsidRPr="000D096C">
        <w:rPr>
          <w:rFonts w:ascii="Times New Roman" w:hAnsi="Times New Roman" w:cs="Times New Roman"/>
          <w:sz w:val="24"/>
          <w:szCs w:val="24"/>
        </w:rPr>
        <w:t xml:space="preserve"> </w:t>
      </w:r>
      <w:r w:rsidR="00022457" w:rsidRPr="000D096C">
        <w:rPr>
          <w:rFonts w:ascii="Times New Roman" w:hAnsi="Times New Roman" w:cs="Times New Roman"/>
          <w:sz w:val="24"/>
          <w:szCs w:val="24"/>
        </w:rPr>
        <w:t>[22</w:t>
      </w:r>
      <w:r w:rsidR="00D91912" w:rsidRPr="000D096C">
        <w:rPr>
          <w:rFonts w:ascii="Times New Roman" w:hAnsi="Times New Roman" w:cs="Times New Roman"/>
          <w:sz w:val="24"/>
          <w:szCs w:val="24"/>
        </w:rPr>
        <w:t>]</w:t>
      </w:r>
      <w:r w:rsidRPr="000D096C">
        <w:rPr>
          <w:rFonts w:ascii="Times New Roman" w:hAnsi="Times New Roman" w:cs="Times New Roman"/>
          <w:sz w:val="24"/>
          <w:szCs w:val="24"/>
        </w:rPr>
        <w:t>:</w:t>
      </w:r>
    </w:p>
    <w:p w:rsidR="00500CDC" w:rsidRPr="000D096C" w:rsidRDefault="00500CDC" w:rsidP="004567D5">
      <w:pPr>
        <w:pStyle w:val="Odstavecseseznamem"/>
        <w:numPr>
          <w:ilvl w:val="0"/>
          <w:numId w:val="3"/>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glykoregulační poruchy (poruchy glukózového metabolismu - prediabetes, T2DM)</w:t>
      </w:r>
    </w:p>
    <w:p w:rsidR="00500CDC" w:rsidRPr="000D096C" w:rsidRDefault="00500CDC" w:rsidP="004567D5">
      <w:pPr>
        <w:pStyle w:val="Odstavecseseznamem"/>
        <w:numPr>
          <w:ilvl w:val="0"/>
          <w:numId w:val="3"/>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esenciální hypertenze (retence sodíku, hypersekrece angiotenzinogenu)</w:t>
      </w:r>
    </w:p>
    <w:p w:rsidR="00500CDC" w:rsidRPr="000D096C" w:rsidRDefault="00500CDC" w:rsidP="004567D5">
      <w:pPr>
        <w:pStyle w:val="Odstavecseseznamem"/>
        <w:numPr>
          <w:ilvl w:val="0"/>
          <w:numId w:val="3"/>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antropometrické a morfologické změny (abdominální obezita, jaterní steatóza)</w:t>
      </w:r>
    </w:p>
    <w:p w:rsidR="00500CDC" w:rsidRPr="000D096C" w:rsidRDefault="00500CDC" w:rsidP="004567D5">
      <w:pPr>
        <w:pStyle w:val="Odstavecseseznamem"/>
        <w:numPr>
          <w:ilvl w:val="0"/>
          <w:numId w:val="3"/>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dyslipoproteinémie (hyper</w:t>
      </w:r>
      <w:r w:rsidR="00EA0A4A">
        <w:rPr>
          <w:rFonts w:ascii="Times New Roman" w:hAnsi="Times New Roman" w:cs="Times New Roman"/>
          <w:sz w:val="24"/>
          <w:szCs w:val="24"/>
        </w:rPr>
        <w:t>triacylglycerolémie, nízký HDL</w:t>
      </w:r>
      <w:r w:rsidRPr="000D096C">
        <w:rPr>
          <w:rFonts w:ascii="Times New Roman" w:hAnsi="Times New Roman" w:cs="Times New Roman"/>
          <w:sz w:val="24"/>
          <w:szCs w:val="24"/>
        </w:rPr>
        <w:t>)</w:t>
      </w:r>
    </w:p>
    <w:p w:rsidR="00500CDC" w:rsidRPr="000D096C" w:rsidRDefault="00500CDC" w:rsidP="004567D5">
      <w:pPr>
        <w:pStyle w:val="Odstavecseseznamem"/>
        <w:numPr>
          <w:ilvl w:val="0"/>
          <w:numId w:val="3"/>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koagulační odchylky (prokoagulační stav s poruchou fibrinolýzy)</w:t>
      </w:r>
    </w:p>
    <w:p w:rsidR="00500CDC" w:rsidRPr="000D096C" w:rsidRDefault="00500CDC" w:rsidP="004567D5">
      <w:pPr>
        <w:pStyle w:val="Odstavecseseznamem"/>
        <w:numPr>
          <w:ilvl w:val="0"/>
          <w:numId w:val="3"/>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systémový zánět (vyšš</w:t>
      </w:r>
      <w:r w:rsidR="00F9018D">
        <w:rPr>
          <w:rFonts w:ascii="Times New Roman" w:hAnsi="Times New Roman" w:cs="Times New Roman"/>
          <w:sz w:val="24"/>
          <w:szCs w:val="24"/>
        </w:rPr>
        <w:t>í hladiny CRP</w:t>
      </w:r>
      <w:r w:rsidRPr="000D096C">
        <w:rPr>
          <w:rFonts w:ascii="Times New Roman" w:hAnsi="Times New Roman" w:cs="Times New Roman"/>
          <w:sz w:val="24"/>
          <w:szCs w:val="24"/>
        </w:rPr>
        <w:t>)</w:t>
      </w:r>
    </w:p>
    <w:p w:rsidR="00500CDC" w:rsidRPr="000D096C" w:rsidRDefault="00500CDC" w:rsidP="004567D5">
      <w:pPr>
        <w:pStyle w:val="Odstavecseseznamem"/>
        <w:numPr>
          <w:ilvl w:val="0"/>
          <w:numId w:val="3"/>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hormonální odchylky (hyperestrinismus, polycystická ovária)</w:t>
      </w:r>
    </w:p>
    <w:p w:rsidR="00500CDC" w:rsidRPr="000D096C" w:rsidRDefault="00500CDC" w:rsidP="004567D5">
      <w:pPr>
        <w:pStyle w:val="Odstavecseseznamem"/>
        <w:numPr>
          <w:ilvl w:val="0"/>
          <w:numId w:val="3"/>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psychické změny (sklon k depresím, stres, poruchy příjmu potravy)</w:t>
      </w:r>
    </w:p>
    <w:p w:rsidR="00193F5D" w:rsidRPr="000D096C" w:rsidRDefault="00193F5D" w:rsidP="004567D5">
      <w:pPr>
        <w:pStyle w:val="Nadpis3"/>
        <w:spacing w:line="360" w:lineRule="auto"/>
        <w:rPr>
          <w:rFonts w:cs="Times New Roman"/>
        </w:rPr>
      </w:pPr>
      <w:bookmarkStart w:id="27" w:name="_Toc33432667"/>
      <w:bookmarkStart w:id="28" w:name="_Toc33432887"/>
      <w:bookmarkStart w:id="29" w:name="_Toc33869526"/>
      <w:r w:rsidRPr="000D096C">
        <w:rPr>
          <w:rFonts w:cs="Times New Roman"/>
        </w:rPr>
        <w:t>Etiopatogeneze</w:t>
      </w:r>
      <w:bookmarkEnd w:id="27"/>
      <w:bookmarkEnd w:id="28"/>
      <w:bookmarkEnd w:id="29"/>
    </w:p>
    <w:p w:rsidR="004D091D" w:rsidRPr="000D096C" w:rsidRDefault="001D49BF" w:rsidP="00E319B2">
      <w:pPr>
        <w:pStyle w:val="Nadpis4"/>
      </w:pPr>
      <w:r w:rsidRPr="000D096C">
        <w:t>Transport</w:t>
      </w:r>
      <w:r w:rsidR="005F3D05" w:rsidRPr="000D096C">
        <w:t xml:space="preserve"> glukózy</w:t>
      </w:r>
    </w:p>
    <w:p w:rsidR="004D091D" w:rsidRPr="000D096C" w:rsidRDefault="00B5534D" w:rsidP="004567D5">
      <w:pPr>
        <w:spacing w:line="360" w:lineRule="auto"/>
        <w:jc w:val="both"/>
        <w:rPr>
          <w:rFonts w:ascii="Times New Roman" w:hAnsi="Times New Roman" w:cs="Times New Roman"/>
          <w:sz w:val="24"/>
          <w:szCs w:val="24"/>
        </w:rPr>
      </w:pPr>
      <w:r w:rsidRPr="000D096C">
        <w:rPr>
          <w:rFonts w:ascii="Times New Roman" w:hAnsi="Times New Roman" w:cs="Times New Roman"/>
          <w:b/>
        </w:rPr>
        <w:tab/>
      </w:r>
      <w:r w:rsidR="00BD6D41" w:rsidRPr="000D096C">
        <w:rPr>
          <w:rFonts w:ascii="Times New Roman" w:hAnsi="Times New Roman" w:cs="Times New Roman"/>
          <w:sz w:val="24"/>
          <w:szCs w:val="24"/>
        </w:rPr>
        <w:t>Svalová</w:t>
      </w:r>
      <w:r w:rsidR="000D4351" w:rsidRPr="000D096C">
        <w:rPr>
          <w:rFonts w:ascii="Times New Roman" w:hAnsi="Times New Roman" w:cs="Times New Roman"/>
          <w:sz w:val="24"/>
          <w:szCs w:val="24"/>
        </w:rPr>
        <w:t xml:space="preserve"> a tuková tkáň</w:t>
      </w:r>
      <w:r w:rsidR="0051198F" w:rsidRPr="000D096C">
        <w:rPr>
          <w:rFonts w:ascii="Times New Roman" w:hAnsi="Times New Roman" w:cs="Times New Roman"/>
          <w:sz w:val="24"/>
          <w:szCs w:val="24"/>
        </w:rPr>
        <w:t xml:space="preserve"> jsou označovány jako tzv. inzulín-dependentní tkáně, jelikož transport glukózy do intracelulárníh</w:t>
      </w:r>
      <w:r w:rsidR="00BD6D41" w:rsidRPr="000D096C">
        <w:rPr>
          <w:rFonts w:ascii="Times New Roman" w:hAnsi="Times New Roman" w:cs="Times New Roman"/>
          <w:sz w:val="24"/>
          <w:szCs w:val="24"/>
        </w:rPr>
        <w:t>o prostředí je zde závislý na</w:t>
      </w:r>
      <w:r w:rsidR="0051198F" w:rsidRPr="000D096C">
        <w:rPr>
          <w:rFonts w:ascii="Times New Roman" w:hAnsi="Times New Roman" w:cs="Times New Roman"/>
          <w:sz w:val="24"/>
          <w:szCs w:val="24"/>
        </w:rPr>
        <w:t xml:space="preserve"> správn</w:t>
      </w:r>
      <w:r w:rsidR="00BD6D41" w:rsidRPr="000D096C">
        <w:rPr>
          <w:rFonts w:ascii="Times New Roman" w:hAnsi="Times New Roman" w:cs="Times New Roman"/>
          <w:sz w:val="24"/>
          <w:szCs w:val="24"/>
        </w:rPr>
        <w:t>ém</w:t>
      </w:r>
      <w:r w:rsidR="0051198F" w:rsidRPr="000D096C">
        <w:rPr>
          <w:rFonts w:ascii="Times New Roman" w:hAnsi="Times New Roman" w:cs="Times New Roman"/>
          <w:sz w:val="24"/>
          <w:szCs w:val="24"/>
        </w:rPr>
        <w:t xml:space="preserve"> účink</w:t>
      </w:r>
      <w:r w:rsidR="00BD6D41" w:rsidRPr="000D096C">
        <w:rPr>
          <w:rFonts w:ascii="Times New Roman" w:hAnsi="Times New Roman" w:cs="Times New Roman"/>
          <w:sz w:val="24"/>
          <w:szCs w:val="24"/>
        </w:rPr>
        <w:t>u</w:t>
      </w:r>
      <w:r w:rsidR="0051198F" w:rsidRPr="000D096C">
        <w:rPr>
          <w:rFonts w:ascii="Times New Roman" w:hAnsi="Times New Roman" w:cs="Times New Roman"/>
          <w:sz w:val="24"/>
          <w:szCs w:val="24"/>
        </w:rPr>
        <w:t xml:space="preserve"> inzulínu. </w:t>
      </w:r>
      <w:r w:rsidR="00393E61" w:rsidRPr="000D096C">
        <w:rPr>
          <w:rFonts w:ascii="Times New Roman" w:hAnsi="Times New Roman" w:cs="Times New Roman"/>
          <w:sz w:val="24"/>
          <w:szCs w:val="24"/>
        </w:rPr>
        <w:t xml:space="preserve">Inzulín zvyšuje transport glukózy v adipocytech a myocytech stimulací translokace </w:t>
      </w:r>
      <w:r w:rsidR="00393E61" w:rsidRPr="000D096C">
        <w:rPr>
          <w:rFonts w:ascii="Times New Roman" w:hAnsi="Times New Roman" w:cs="Times New Roman"/>
          <w:sz w:val="24"/>
          <w:szCs w:val="24"/>
        </w:rPr>
        <w:lastRenderedPageBreak/>
        <w:t xml:space="preserve">transportéru glukózy </w:t>
      </w:r>
      <w:r w:rsidR="00F9018D">
        <w:rPr>
          <w:rFonts w:ascii="Times New Roman" w:hAnsi="Times New Roman" w:cs="Times New Roman"/>
          <w:sz w:val="24"/>
          <w:szCs w:val="24"/>
        </w:rPr>
        <w:t xml:space="preserve">(GLUT) </w:t>
      </w:r>
      <w:r w:rsidR="00393E61" w:rsidRPr="000D096C">
        <w:rPr>
          <w:rFonts w:ascii="Times New Roman" w:hAnsi="Times New Roman" w:cs="Times New Roman"/>
          <w:sz w:val="24"/>
          <w:szCs w:val="24"/>
        </w:rPr>
        <w:t xml:space="preserve">4 z intracelulárního poolu do plazmatické membrány. Translokace GLUT 4 je komplexní proces zahrnující </w:t>
      </w:r>
      <w:r w:rsidR="00C730FA" w:rsidRPr="000D096C">
        <w:rPr>
          <w:rFonts w:ascii="Times New Roman" w:hAnsi="Times New Roman" w:cs="Times New Roman"/>
          <w:sz w:val="24"/>
          <w:szCs w:val="24"/>
        </w:rPr>
        <w:t>uvolnění</w:t>
      </w:r>
      <w:r w:rsidR="00393E61" w:rsidRPr="000D096C">
        <w:rPr>
          <w:rFonts w:ascii="Times New Roman" w:hAnsi="Times New Roman" w:cs="Times New Roman"/>
          <w:sz w:val="24"/>
          <w:szCs w:val="24"/>
        </w:rPr>
        <w:t xml:space="preserve"> GLUT 4 z intracelulárního rezervoáru, jeho transport a následné splynutí s</w:t>
      </w:r>
      <w:r w:rsidR="00917093" w:rsidRPr="000D096C">
        <w:rPr>
          <w:rFonts w:ascii="Times New Roman" w:hAnsi="Times New Roman" w:cs="Times New Roman"/>
          <w:sz w:val="24"/>
          <w:szCs w:val="24"/>
        </w:rPr>
        <w:t> </w:t>
      </w:r>
      <w:r w:rsidR="00393E61" w:rsidRPr="000D096C">
        <w:rPr>
          <w:rFonts w:ascii="Times New Roman" w:hAnsi="Times New Roman" w:cs="Times New Roman"/>
          <w:sz w:val="24"/>
          <w:szCs w:val="24"/>
        </w:rPr>
        <w:t>membránou</w:t>
      </w:r>
      <w:r w:rsidR="00022457" w:rsidRPr="000D096C">
        <w:rPr>
          <w:rFonts w:ascii="Times New Roman" w:hAnsi="Times New Roman" w:cs="Times New Roman"/>
          <w:sz w:val="24"/>
          <w:szCs w:val="24"/>
        </w:rPr>
        <w:t xml:space="preserve"> [23</w:t>
      </w:r>
      <w:r w:rsidR="00917093" w:rsidRPr="000D096C">
        <w:rPr>
          <w:rFonts w:ascii="Times New Roman" w:hAnsi="Times New Roman" w:cs="Times New Roman"/>
          <w:sz w:val="24"/>
          <w:szCs w:val="24"/>
        </w:rPr>
        <w:t>]</w:t>
      </w:r>
      <w:r w:rsidR="00393E61" w:rsidRPr="000D096C">
        <w:rPr>
          <w:rFonts w:ascii="Times New Roman" w:hAnsi="Times New Roman" w:cs="Times New Roman"/>
          <w:sz w:val="24"/>
          <w:szCs w:val="24"/>
        </w:rPr>
        <w:t xml:space="preserve">. </w:t>
      </w:r>
      <w:r w:rsidR="005410FA" w:rsidRPr="000D096C">
        <w:rPr>
          <w:rFonts w:ascii="Times New Roman" w:hAnsi="Times New Roman" w:cs="Times New Roman"/>
          <w:sz w:val="24"/>
          <w:szCs w:val="24"/>
        </w:rPr>
        <w:t>Alfa podjednotka GLUT 4 je situována na povrchu buňky, kde dochází k vazbě s molekulou inzulínu. Signál je následně přen</w:t>
      </w:r>
      <w:r w:rsidR="00BD6D41" w:rsidRPr="000D096C">
        <w:rPr>
          <w:rFonts w:ascii="Times New Roman" w:hAnsi="Times New Roman" w:cs="Times New Roman"/>
          <w:sz w:val="24"/>
          <w:szCs w:val="24"/>
        </w:rPr>
        <w:t>esen do buňky autofosforylacemi a dalšími procesy</w:t>
      </w:r>
      <w:r w:rsidR="00917093" w:rsidRPr="000D096C">
        <w:rPr>
          <w:rFonts w:ascii="Times New Roman" w:hAnsi="Times New Roman" w:cs="Times New Roman"/>
          <w:sz w:val="24"/>
          <w:szCs w:val="24"/>
        </w:rPr>
        <w:t xml:space="preserve"> [5]</w:t>
      </w:r>
      <w:r w:rsidR="00BD6D41" w:rsidRPr="000D096C">
        <w:rPr>
          <w:rFonts w:ascii="Times New Roman" w:hAnsi="Times New Roman" w:cs="Times New Roman"/>
          <w:sz w:val="24"/>
          <w:szCs w:val="24"/>
        </w:rPr>
        <w:t>.</w:t>
      </w:r>
    </w:p>
    <w:p w:rsidR="00B5534D" w:rsidRPr="000D096C" w:rsidRDefault="00B5534D" w:rsidP="00E319B2">
      <w:pPr>
        <w:pStyle w:val="Nadpis4"/>
      </w:pPr>
      <w:r w:rsidRPr="000D096C">
        <w:t>Rozvoj inzulínové rezistence</w:t>
      </w:r>
    </w:p>
    <w:p w:rsidR="00C730FA" w:rsidRPr="000D096C" w:rsidRDefault="00193F5D"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b/>
        </w:rPr>
        <w:tab/>
      </w:r>
      <w:r w:rsidRPr="000D096C">
        <w:rPr>
          <w:rFonts w:ascii="Times New Roman" w:hAnsi="Times New Roman" w:cs="Times New Roman"/>
          <w:sz w:val="24"/>
          <w:szCs w:val="24"/>
        </w:rPr>
        <w:t xml:space="preserve">Etiopatogeneze IR </w:t>
      </w:r>
      <w:r w:rsidR="00C730FA" w:rsidRPr="000D096C">
        <w:rPr>
          <w:rFonts w:ascii="Times New Roman" w:hAnsi="Times New Roman" w:cs="Times New Roman"/>
          <w:sz w:val="24"/>
          <w:szCs w:val="24"/>
        </w:rPr>
        <w:t xml:space="preserve">se </w:t>
      </w:r>
      <w:r w:rsidRPr="000D096C">
        <w:rPr>
          <w:rFonts w:ascii="Times New Roman" w:hAnsi="Times New Roman" w:cs="Times New Roman"/>
          <w:sz w:val="24"/>
          <w:szCs w:val="24"/>
        </w:rPr>
        <w:t xml:space="preserve">do značné míry </w:t>
      </w:r>
      <w:r w:rsidR="00C730FA" w:rsidRPr="000D096C">
        <w:rPr>
          <w:rFonts w:ascii="Times New Roman" w:hAnsi="Times New Roman" w:cs="Times New Roman"/>
          <w:sz w:val="24"/>
          <w:szCs w:val="24"/>
        </w:rPr>
        <w:t>prolíná</w:t>
      </w:r>
      <w:r w:rsidRPr="000D096C">
        <w:rPr>
          <w:rFonts w:ascii="Times New Roman" w:hAnsi="Times New Roman" w:cs="Times New Roman"/>
          <w:sz w:val="24"/>
          <w:szCs w:val="24"/>
        </w:rPr>
        <w:t xml:space="preserve"> s MetS, v jehož rozvoji hraje IR klíčovou roli. </w:t>
      </w:r>
      <w:r w:rsidR="00C730FA" w:rsidRPr="000D096C">
        <w:rPr>
          <w:rFonts w:ascii="Times New Roman" w:hAnsi="Times New Roman" w:cs="Times New Roman"/>
          <w:sz w:val="24"/>
          <w:szCs w:val="24"/>
        </w:rPr>
        <w:t>IR souvisí s poruchou přenosu (transdukce) inzulínového signálu do buňky. Hovoří se o</w:t>
      </w:r>
      <w:r w:rsidR="00BB3FFF">
        <w:rPr>
          <w:rFonts w:ascii="Times New Roman" w:hAnsi="Times New Roman" w:cs="Times New Roman"/>
          <w:sz w:val="24"/>
          <w:szCs w:val="24"/>
        </w:rPr>
        <w:t> </w:t>
      </w:r>
      <w:r w:rsidR="00C730FA" w:rsidRPr="000D096C">
        <w:rPr>
          <w:rFonts w:ascii="Times New Roman" w:hAnsi="Times New Roman" w:cs="Times New Roman"/>
          <w:sz w:val="24"/>
          <w:szCs w:val="24"/>
        </w:rPr>
        <w:t xml:space="preserve">rezistenci receptorového a </w:t>
      </w:r>
      <w:r w:rsidR="000D4351" w:rsidRPr="000D096C">
        <w:rPr>
          <w:rFonts w:ascii="Times New Roman" w:hAnsi="Times New Roman" w:cs="Times New Roman"/>
          <w:sz w:val="24"/>
          <w:szCs w:val="24"/>
        </w:rPr>
        <w:t>postreceptorového typu. Je poruš</w:t>
      </w:r>
      <w:r w:rsidR="00C730FA" w:rsidRPr="000D096C">
        <w:rPr>
          <w:rFonts w:ascii="Times New Roman" w:hAnsi="Times New Roman" w:cs="Times New Roman"/>
          <w:sz w:val="24"/>
          <w:szCs w:val="24"/>
        </w:rPr>
        <w:t xml:space="preserve">ena funkce inzulínových receptorů a </w:t>
      </w:r>
      <w:r w:rsidR="00BD6D41" w:rsidRPr="000D096C">
        <w:rPr>
          <w:rFonts w:ascii="Times New Roman" w:hAnsi="Times New Roman" w:cs="Times New Roman"/>
          <w:sz w:val="24"/>
          <w:szCs w:val="24"/>
        </w:rPr>
        <w:t>složitých postreceptorových procesů</w:t>
      </w:r>
      <w:r w:rsidR="000D4351" w:rsidRPr="000D096C">
        <w:rPr>
          <w:rFonts w:ascii="Times New Roman" w:hAnsi="Times New Roman" w:cs="Times New Roman"/>
          <w:sz w:val="24"/>
          <w:szCs w:val="24"/>
        </w:rPr>
        <w:t xml:space="preserve"> uvnitř buňky. Dochází k n</w:t>
      </w:r>
      <w:r w:rsidR="006B209F" w:rsidRPr="000D096C">
        <w:rPr>
          <w:rFonts w:ascii="Times New Roman" w:hAnsi="Times New Roman" w:cs="Times New Roman"/>
          <w:sz w:val="24"/>
          <w:szCs w:val="24"/>
        </w:rPr>
        <w:t>arušení</w:t>
      </w:r>
      <w:r w:rsidR="00C730FA" w:rsidRPr="000D096C">
        <w:rPr>
          <w:rFonts w:ascii="Times New Roman" w:hAnsi="Times New Roman" w:cs="Times New Roman"/>
          <w:sz w:val="24"/>
          <w:szCs w:val="24"/>
        </w:rPr>
        <w:t xml:space="preserve"> transportu glukózy </w:t>
      </w:r>
      <w:r w:rsidR="000D4351" w:rsidRPr="000D096C">
        <w:rPr>
          <w:rFonts w:ascii="Times New Roman" w:hAnsi="Times New Roman" w:cs="Times New Roman"/>
          <w:sz w:val="24"/>
          <w:szCs w:val="24"/>
        </w:rPr>
        <w:t xml:space="preserve">intracelulárně </w:t>
      </w:r>
      <w:r w:rsidR="006B209F" w:rsidRPr="000D096C">
        <w:rPr>
          <w:rFonts w:ascii="Times New Roman" w:hAnsi="Times New Roman" w:cs="Times New Roman"/>
          <w:sz w:val="24"/>
          <w:szCs w:val="24"/>
        </w:rPr>
        <w:t>a její následné fosforylace</w:t>
      </w:r>
      <w:r w:rsidR="00C730FA" w:rsidRPr="000D096C">
        <w:rPr>
          <w:rFonts w:ascii="Times New Roman" w:hAnsi="Times New Roman" w:cs="Times New Roman"/>
          <w:sz w:val="24"/>
          <w:szCs w:val="24"/>
        </w:rPr>
        <w:t xml:space="preserve"> v cílových buňkách</w:t>
      </w:r>
      <w:r w:rsidR="00917093" w:rsidRPr="000D096C">
        <w:rPr>
          <w:rFonts w:ascii="Times New Roman" w:hAnsi="Times New Roman" w:cs="Times New Roman"/>
          <w:sz w:val="24"/>
          <w:szCs w:val="24"/>
        </w:rPr>
        <w:t xml:space="preserve"> [5, 2</w:t>
      </w:r>
      <w:r w:rsidR="00022457" w:rsidRPr="000D096C">
        <w:rPr>
          <w:rFonts w:ascii="Times New Roman" w:hAnsi="Times New Roman" w:cs="Times New Roman"/>
          <w:sz w:val="24"/>
          <w:szCs w:val="24"/>
        </w:rPr>
        <w:t>4</w:t>
      </w:r>
      <w:r w:rsidR="00917093" w:rsidRPr="000D096C">
        <w:rPr>
          <w:rFonts w:ascii="Times New Roman" w:hAnsi="Times New Roman" w:cs="Times New Roman"/>
          <w:sz w:val="24"/>
          <w:szCs w:val="24"/>
        </w:rPr>
        <w:t>]</w:t>
      </w:r>
      <w:r w:rsidR="00C730FA" w:rsidRPr="000D096C">
        <w:rPr>
          <w:rFonts w:ascii="Times New Roman" w:hAnsi="Times New Roman" w:cs="Times New Roman"/>
          <w:sz w:val="24"/>
          <w:szCs w:val="24"/>
        </w:rPr>
        <w:t>.</w:t>
      </w:r>
    </w:p>
    <w:p w:rsidR="00193F5D" w:rsidRPr="000D096C" w:rsidRDefault="005924CB" w:rsidP="004567D5">
      <w:pP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 xml:space="preserve">IR vzniká, když </w:t>
      </w:r>
      <w:r w:rsidR="00BD6D41" w:rsidRPr="000D096C">
        <w:rPr>
          <w:rFonts w:ascii="Times New Roman" w:hAnsi="Times New Roman" w:cs="Times New Roman"/>
          <w:sz w:val="24"/>
          <w:szCs w:val="24"/>
        </w:rPr>
        <w:t>jsou</w:t>
      </w:r>
      <w:r w:rsidRPr="000D096C">
        <w:rPr>
          <w:rFonts w:ascii="Times New Roman" w:hAnsi="Times New Roman" w:cs="Times New Roman"/>
          <w:sz w:val="24"/>
          <w:szCs w:val="24"/>
        </w:rPr>
        <w:t xml:space="preserve"> fyziologické mechanismy </w:t>
      </w:r>
      <w:r w:rsidR="00BD6D41" w:rsidRPr="000D096C">
        <w:rPr>
          <w:rFonts w:ascii="Times New Roman" w:hAnsi="Times New Roman" w:cs="Times New Roman"/>
          <w:sz w:val="24"/>
          <w:szCs w:val="24"/>
        </w:rPr>
        <w:t xml:space="preserve">evolučně </w:t>
      </w:r>
      <w:r w:rsidRPr="000D096C">
        <w:rPr>
          <w:rFonts w:ascii="Times New Roman" w:hAnsi="Times New Roman" w:cs="Times New Roman"/>
          <w:sz w:val="24"/>
          <w:szCs w:val="24"/>
        </w:rPr>
        <w:t xml:space="preserve">vyvinuté pro maximalizaci efektivního využití energie vystaveny chronickému energetickému přebytku. </w:t>
      </w:r>
      <w:r w:rsidR="00B759FB" w:rsidRPr="000D096C">
        <w:rPr>
          <w:rFonts w:ascii="Times New Roman" w:hAnsi="Times New Roman" w:cs="Times New Roman"/>
          <w:sz w:val="24"/>
          <w:szCs w:val="24"/>
        </w:rPr>
        <w:t xml:space="preserve">Ektopická kumulace lipidů v játrech a kosterních svalech spouští patogenetické cesty, které narušují signalizaci inzulínu, což vede ke snížení absorpce glukózy zejména ve svalech a snížené syntéze jaterního glykogenu. </w:t>
      </w:r>
      <w:r w:rsidR="00BD6D41" w:rsidRPr="000D096C">
        <w:rPr>
          <w:rFonts w:ascii="Times New Roman" w:hAnsi="Times New Roman" w:cs="Times New Roman"/>
          <w:sz w:val="24"/>
          <w:szCs w:val="24"/>
        </w:rPr>
        <w:t>Z důvodu s</w:t>
      </w:r>
      <w:r w:rsidR="00B759FB" w:rsidRPr="000D096C">
        <w:rPr>
          <w:rFonts w:ascii="Times New Roman" w:hAnsi="Times New Roman" w:cs="Times New Roman"/>
          <w:sz w:val="24"/>
          <w:szCs w:val="24"/>
        </w:rPr>
        <w:t>valov</w:t>
      </w:r>
      <w:r w:rsidR="00BD6D41" w:rsidRPr="000D096C">
        <w:rPr>
          <w:rFonts w:ascii="Times New Roman" w:hAnsi="Times New Roman" w:cs="Times New Roman"/>
          <w:sz w:val="24"/>
          <w:szCs w:val="24"/>
        </w:rPr>
        <w:t>é</w:t>
      </w:r>
      <w:r w:rsidR="00F9018D">
        <w:rPr>
          <w:rFonts w:ascii="Times New Roman" w:hAnsi="Times New Roman" w:cs="Times New Roman"/>
          <w:sz w:val="24"/>
          <w:szCs w:val="24"/>
        </w:rPr>
        <w:t xml:space="preserve"> IR</w:t>
      </w:r>
      <w:r w:rsidR="00BD6D41" w:rsidRPr="000D096C">
        <w:rPr>
          <w:rFonts w:ascii="Times New Roman" w:hAnsi="Times New Roman" w:cs="Times New Roman"/>
          <w:sz w:val="24"/>
          <w:szCs w:val="24"/>
        </w:rPr>
        <w:t xml:space="preserve">, která předchází rozvoji </w:t>
      </w:r>
      <w:r w:rsidR="00B759FB" w:rsidRPr="000D096C">
        <w:rPr>
          <w:rFonts w:ascii="Times New Roman" w:hAnsi="Times New Roman" w:cs="Times New Roman"/>
          <w:sz w:val="24"/>
          <w:szCs w:val="24"/>
        </w:rPr>
        <w:t xml:space="preserve">jaterní </w:t>
      </w:r>
      <w:r w:rsidR="00BD6D41" w:rsidRPr="000D096C">
        <w:rPr>
          <w:rFonts w:ascii="Times New Roman" w:hAnsi="Times New Roman" w:cs="Times New Roman"/>
          <w:sz w:val="24"/>
          <w:szCs w:val="24"/>
        </w:rPr>
        <w:t>rezistence</w:t>
      </w:r>
      <w:r w:rsidR="00714D5F" w:rsidRPr="000D096C">
        <w:rPr>
          <w:rFonts w:ascii="Times New Roman" w:hAnsi="Times New Roman" w:cs="Times New Roman"/>
          <w:sz w:val="24"/>
          <w:szCs w:val="24"/>
        </w:rPr>
        <w:t xml:space="preserve">, dochází </w:t>
      </w:r>
      <w:r w:rsidR="00B759FB" w:rsidRPr="000D096C">
        <w:rPr>
          <w:rFonts w:ascii="Times New Roman" w:hAnsi="Times New Roman" w:cs="Times New Roman"/>
          <w:sz w:val="24"/>
          <w:szCs w:val="24"/>
        </w:rPr>
        <w:t>k nadměrnému odvádění přijímané</w:t>
      </w:r>
      <w:r w:rsidR="00BD6D41" w:rsidRPr="000D096C">
        <w:rPr>
          <w:rFonts w:ascii="Times New Roman" w:hAnsi="Times New Roman" w:cs="Times New Roman"/>
          <w:sz w:val="24"/>
          <w:szCs w:val="24"/>
        </w:rPr>
        <w:t xml:space="preserve"> glukózy</w:t>
      </w:r>
      <w:r w:rsidR="00B759FB" w:rsidRPr="000D096C">
        <w:rPr>
          <w:rFonts w:ascii="Times New Roman" w:hAnsi="Times New Roman" w:cs="Times New Roman"/>
          <w:sz w:val="24"/>
          <w:szCs w:val="24"/>
        </w:rPr>
        <w:t xml:space="preserve"> do jater, což vede ke zvýšené de novo li</w:t>
      </w:r>
      <w:r w:rsidR="00F80C90">
        <w:rPr>
          <w:rFonts w:ascii="Times New Roman" w:hAnsi="Times New Roman" w:cs="Times New Roman"/>
          <w:sz w:val="24"/>
          <w:szCs w:val="24"/>
        </w:rPr>
        <w:t>pogenezi v játrech a hyperlipidé</w:t>
      </w:r>
      <w:r w:rsidR="00B759FB" w:rsidRPr="000D096C">
        <w:rPr>
          <w:rFonts w:ascii="Times New Roman" w:hAnsi="Times New Roman" w:cs="Times New Roman"/>
          <w:sz w:val="24"/>
          <w:szCs w:val="24"/>
        </w:rPr>
        <w:t>mii. Následná infiltrace makrofágů do tukové tkáně vede ke zvýšené lipolýze, což dále zvyšuje syntézu triglyceridů v játrech a</w:t>
      </w:r>
      <w:r w:rsidR="00BB3FFF">
        <w:rPr>
          <w:rFonts w:ascii="Times New Roman" w:hAnsi="Times New Roman" w:cs="Times New Roman"/>
          <w:sz w:val="24"/>
          <w:szCs w:val="24"/>
        </w:rPr>
        <w:t> </w:t>
      </w:r>
      <w:r w:rsidR="00B759FB" w:rsidRPr="000D096C">
        <w:rPr>
          <w:rFonts w:ascii="Times New Roman" w:hAnsi="Times New Roman" w:cs="Times New Roman"/>
          <w:sz w:val="24"/>
          <w:szCs w:val="24"/>
        </w:rPr>
        <w:t>hyperlipidémii v důsledku zvýšené esterifikace mastných kyselin.</w:t>
      </w:r>
      <w:r w:rsidR="004E61A0" w:rsidRPr="000D096C">
        <w:rPr>
          <w:rFonts w:ascii="Times New Roman" w:hAnsi="Times New Roman" w:cs="Times New Roman"/>
          <w:sz w:val="24"/>
          <w:szCs w:val="24"/>
        </w:rPr>
        <w:t xml:space="preserve"> Lipolýza v tukové tkáni ​​vyvolaná makrofágy také stimuluje hepatickou glukoneogenezi, zvyšuje hyperglykémii nalačno a postprandiální glykémii prostřed</w:t>
      </w:r>
      <w:r w:rsidR="00BD6D41" w:rsidRPr="000D096C">
        <w:rPr>
          <w:rFonts w:ascii="Times New Roman" w:hAnsi="Times New Roman" w:cs="Times New Roman"/>
          <w:sz w:val="24"/>
          <w:szCs w:val="24"/>
        </w:rPr>
        <w:t>nictvím zvýšené</w:t>
      </w:r>
      <w:r w:rsidR="004E61A0" w:rsidRPr="000D096C">
        <w:rPr>
          <w:rFonts w:ascii="Times New Roman" w:hAnsi="Times New Roman" w:cs="Times New Roman"/>
          <w:sz w:val="24"/>
          <w:szCs w:val="24"/>
        </w:rPr>
        <w:t xml:space="preserve"> </w:t>
      </w:r>
      <w:r w:rsidR="00BD6D41" w:rsidRPr="000D096C">
        <w:rPr>
          <w:rFonts w:ascii="Times New Roman" w:hAnsi="Times New Roman" w:cs="Times New Roman"/>
          <w:sz w:val="24"/>
          <w:szCs w:val="24"/>
        </w:rPr>
        <w:t>dodávky</w:t>
      </w:r>
      <w:r w:rsidR="004E61A0" w:rsidRPr="000D096C">
        <w:rPr>
          <w:rFonts w:ascii="Times New Roman" w:hAnsi="Times New Roman" w:cs="Times New Roman"/>
          <w:sz w:val="24"/>
          <w:szCs w:val="24"/>
        </w:rPr>
        <w:t xml:space="preserve"> mastných kyselin do jater, což má za následek zvýšený obsah acetyl-CoA v játrech, silného aktivátoru pyruvátkarboxylázy</w:t>
      </w:r>
      <w:r w:rsidR="000D48C6" w:rsidRPr="000D096C">
        <w:rPr>
          <w:rFonts w:ascii="Times New Roman" w:hAnsi="Times New Roman" w:cs="Times New Roman"/>
          <w:sz w:val="24"/>
          <w:szCs w:val="24"/>
        </w:rPr>
        <w:t>,</w:t>
      </w:r>
      <w:r w:rsidR="004E61A0" w:rsidRPr="000D096C">
        <w:rPr>
          <w:rFonts w:ascii="Times New Roman" w:hAnsi="Times New Roman" w:cs="Times New Roman"/>
          <w:sz w:val="24"/>
          <w:szCs w:val="24"/>
        </w:rPr>
        <w:t xml:space="preserve"> a zvýšenou přeměnu glycerolu na glukózu. Tyto substrátem regulované procesy jsou většinou nezávislé na inzulínové signalizaci v játrech, ale jsou závislé na inzulínové signalizaci v tukové tkáni, která s</w:t>
      </w:r>
      <w:r w:rsidR="00BD6D41" w:rsidRPr="000D096C">
        <w:rPr>
          <w:rFonts w:ascii="Times New Roman" w:hAnsi="Times New Roman" w:cs="Times New Roman"/>
          <w:sz w:val="24"/>
          <w:szCs w:val="24"/>
        </w:rPr>
        <w:t>e</w:t>
      </w:r>
      <w:r w:rsidR="004E61A0" w:rsidRPr="000D096C">
        <w:rPr>
          <w:rFonts w:ascii="Times New Roman" w:hAnsi="Times New Roman" w:cs="Times New Roman"/>
          <w:sz w:val="24"/>
          <w:szCs w:val="24"/>
        </w:rPr>
        <w:t xml:space="preserve"> při rozvíjejícím se chronickém zánětu stává defektní. </w:t>
      </w:r>
      <w:r w:rsidR="00BD6D41" w:rsidRPr="000D096C">
        <w:rPr>
          <w:rFonts w:ascii="Times New Roman" w:hAnsi="Times New Roman" w:cs="Times New Roman"/>
          <w:sz w:val="24"/>
          <w:szCs w:val="24"/>
        </w:rPr>
        <w:t xml:space="preserve">Zánětlivé molekuly, </w:t>
      </w:r>
      <w:r w:rsidR="0033529C" w:rsidRPr="000D096C">
        <w:rPr>
          <w:rFonts w:ascii="Times New Roman" w:hAnsi="Times New Roman" w:cs="Times New Roman"/>
          <w:sz w:val="24"/>
          <w:szCs w:val="24"/>
        </w:rPr>
        <w:t>lipidové metabolity</w:t>
      </w:r>
      <w:r w:rsidR="00BD6D41" w:rsidRPr="000D096C">
        <w:rPr>
          <w:rFonts w:ascii="Times New Roman" w:hAnsi="Times New Roman" w:cs="Times New Roman"/>
          <w:sz w:val="24"/>
          <w:szCs w:val="24"/>
        </w:rPr>
        <w:t xml:space="preserve"> a abnormální hladiny adipokinů společně dále </w:t>
      </w:r>
      <w:r w:rsidR="0033529C" w:rsidRPr="000D096C">
        <w:rPr>
          <w:rFonts w:ascii="Times New Roman" w:hAnsi="Times New Roman" w:cs="Times New Roman"/>
          <w:sz w:val="24"/>
          <w:szCs w:val="24"/>
        </w:rPr>
        <w:t xml:space="preserve">inhibují inzulínovou signalizaci </w:t>
      </w:r>
      <w:r w:rsidR="00BD6D41" w:rsidRPr="000D096C">
        <w:rPr>
          <w:rFonts w:ascii="Times New Roman" w:hAnsi="Times New Roman" w:cs="Times New Roman"/>
          <w:sz w:val="24"/>
          <w:szCs w:val="24"/>
        </w:rPr>
        <w:t>na GLUT 4 receptorech</w:t>
      </w:r>
      <w:r w:rsidR="00022457" w:rsidRPr="000D096C">
        <w:rPr>
          <w:rFonts w:ascii="Times New Roman" w:hAnsi="Times New Roman" w:cs="Times New Roman"/>
          <w:sz w:val="24"/>
          <w:szCs w:val="24"/>
        </w:rPr>
        <w:t xml:space="preserve"> [23</w:t>
      </w:r>
      <w:r w:rsidR="00917093" w:rsidRPr="000D096C">
        <w:rPr>
          <w:rFonts w:ascii="Times New Roman" w:hAnsi="Times New Roman" w:cs="Times New Roman"/>
          <w:sz w:val="24"/>
          <w:szCs w:val="24"/>
        </w:rPr>
        <w:t>, 2</w:t>
      </w:r>
      <w:r w:rsidR="00022457" w:rsidRPr="000D096C">
        <w:rPr>
          <w:rFonts w:ascii="Times New Roman" w:hAnsi="Times New Roman" w:cs="Times New Roman"/>
          <w:sz w:val="24"/>
          <w:szCs w:val="24"/>
        </w:rPr>
        <w:t>5</w:t>
      </w:r>
      <w:r w:rsidR="00917093" w:rsidRPr="000D096C">
        <w:rPr>
          <w:rFonts w:ascii="Times New Roman" w:hAnsi="Times New Roman" w:cs="Times New Roman"/>
          <w:sz w:val="24"/>
          <w:szCs w:val="24"/>
        </w:rPr>
        <w:t>]</w:t>
      </w:r>
      <w:r w:rsidR="0033529C" w:rsidRPr="000D096C">
        <w:rPr>
          <w:rFonts w:ascii="Times New Roman" w:hAnsi="Times New Roman" w:cs="Times New Roman"/>
          <w:sz w:val="24"/>
          <w:szCs w:val="24"/>
        </w:rPr>
        <w:t>.</w:t>
      </w:r>
    </w:p>
    <w:p w:rsidR="00CD072C" w:rsidRPr="000D096C" w:rsidRDefault="00CD072C" w:rsidP="004567D5">
      <w:pPr>
        <w:pStyle w:val="Nadpis3"/>
        <w:spacing w:line="360" w:lineRule="auto"/>
        <w:rPr>
          <w:rFonts w:cs="Times New Roman"/>
        </w:rPr>
      </w:pPr>
      <w:bookmarkStart w:id="30" w:name="_Toc33432668"/>
      <w:bookmarkStart w:id="31" w:name="_Toc33432888"/>
      <w:bookmarkStart w:id="32" w:name="_Toc33869527"/>
      <w:r w:rsidRPr="000D096C">
        <w:rPr>
          <w:rFonts w:cs="Times New Roman"/>
        </w:rPr>
        <w:lastRenderedPageBreak/>
        <w:t>Metody</w:t>
      </w:r>
      <w:r w:rsidR="00124543" w:rsidRPr="000D096C">
        <w:rPr>
          <w:rFonts w:cs="Times New Roman"/>
        </w:rPr>
        <w:t xml:space="preserve"> detekce</w:t>
      </w:r>
      <w:bookmarkEnd w:id="30"/>
      <w:bookmarkEnd w:id="31"/>
      <w:bookmarkEnd w:id="32"/>
    </w:p>
    <w:p w:rsidR="00CD072C" w:rsidRPr="000D096C" w:rsidRDefault="00CD072C"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00AF3BBA" w:rsidRPr="000D096C">
        <w:rPr>
          <w:rFonts w:ascii="Times New Roman" w:hAnsi="Times New Roman" w:cs="Times New Roman"/>
          <w:sz w:val="24"/>
          <w:szCs w:val="24"/>
        </w:rPr>
        <w:t>Vyšetřování IR je klíčovým postupem jak ve výzkumu metabolických onemocnění, tak stále častěji i v klinické praxi.</w:t>
      </w:r>
      <w:r w:rsidR="00FA69B6" w:rsidRPr="000D096C">
        <w:rPr>
          <w:rFonts w:ascii="Times New Roman" w:hAnsi="Times New Roman" w:cs="Times New Roman"/>
          <w:sz w:val="24"/>
          <w:szCs w:val="24"/>
        </w:rPr>
        <w:t xml:space="preserve"> Stanovení účinku inzulínu využívá především transportu glukózy závislého na inzulínu k posouzení stupně citlivosti na inzulín. Metodiky měření kinetiky metabolických reakcí jsou natolik specifické, že se cíleně využívají pouze </w:t>
      </w:r>
      <w:r w:rsidR="000D48C6" w:rsidRPr="000D096C">
        <w:rPr>
          <w:rFonts w:ascii="Times New Roman" w:hAnsi="Times New Roman" w:cs="Times New Roman"/>
          <w:sz w:val="24"/>
          <w:szCs w:val="24"/>
        </w:rPr>
        <w:t xml:space="preserve">ve </w:t>
      </w:r>
      <w:r w:rsidR="00FA69B6" w:rsidRPr="000D096C">
        <w:rPr>
          <w:rFonts w:ascii="Times New Roman" w:hAnsi="Times New Roman" w:cs="Times New Roman"/>
          <w:sz w:val="24"/>
          <w:szCs w:val="24"/>
        </w:rPr>
        <w:t>specializovaném výzkumu. Pro běžnou klinickou praxi jsou používány jednoduché postupy, které dokáží kvantitativně vyhodnotit úroveň IR. Metody testování IR lze tedy rozdělit</w:t>
      </w:r>
      <w:r w:rsidR="000D48C6" w:rsidRPr="000D096C">
        <w:rPr>
          <w:rFonts w:ascii="Times New Roman" w:hAnsi="Times New Roman" w:cs="Times New Roman"/>
          <w:sz w:val="24"/>
          <w:szCs w:val="24"/>
        </w:rPr>
        <w:t xml:space="preserve"> na</w:t>
      </w:r>
      <w:r w:rsidR="00FA69B6" w:rsidRPr="000D096C">
        <w:rPr>
          <w:rFonts w:ascii="Times New Roman" w:hAnsi="Times New Roman" w:cs="Times New Roman"/>
          <w:sz w:val="24"/>
          <w:szCs w:val="24"/>
        </w:rPr>
        <w:t xml:space="preserve"> vyšetření přesná (přímé metody) a orientační (nepřímé metody) [5].</w:t>
      </w:r>
    </w:p>
    <w:p w:rsidR="00FA69B6" w:rsidRPr="000D096C" w:rsidRDefault="00FA69B6" w:rsidP="00E319B2">
      <w:pPr>
        <w:pStyle w:val="Nadpis4"/>
      </w:pPr>
      <w:r w:rsidRPr="000D096C">
        <w:t>Přesná vyšetření</w:t>
      </w:r>
      <w:r w:rsidR="00FA0591" w:rsidRPr="000D096C">
        <w:t xml:space="preserve"> – přímé metody</w:t>
      </w:r>
    </w:p>
    <w:p w:rsidR="00FA69B6" w:rsidRPr="000D096C" w:rsidRDefault="00FA69B6" w:rsidP="004567D5">
      <w:pP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Metoda inzulínového clampu</w:t>
      </w:r>
    </w:p>
    <w:p w:rsidR="00FA69B6" w:rsidRPr="000D096C" w:rsidRDefault="00FA69B6"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r>
      <w:r w:rsidR="00CD0038" w:rsidRPr="000D096C">
        <w:rPr>
          <w:rFonts w:ascii="Times New Roman" w:hAnsi="Times New Roman" w:cs="Times New Roman"/>
          <w:sz w:val="24"/>
          <w:szCs w:val="24"/>
        </w:rPr>
        <w:t>Metoda euglykemického inzulínového clampu je považována za standardní metodu stanovení citlivosti na inzulín. Principem této metody, zavedené v roce 1979 DeFronzem, je zavedení kontinuální infúze inzulínu, jejíž hypoglykemizující účinek vyrovnává infúze glukózy</w:t>
      </w:r>
      <w:r w:rsidR="005F74BF" w:rsidRPr="000D096C">
        <w:rPr>
          <w:rFonts w:ascii="Times New Roman" w:hAnsi="Times New Roman" w:cs="Times New Roman"/>
          <w:sz w:val="24"/>
          <w:szCs w:val="24"/>
        </w:rPr>
        <w:t xml:space="preserve"> tak, aby byla udržena glykémie na požadované hodnotě.</w:t>
      </w:r>
      <w:r w:rsidR="00315732" w:rsidRPr="000D096C">
        <w:rPr>
          <w:rFonts w:ascii="Times New Roman" w:hAnsi="Times New Roman" w:cs="Times New Roman"/>
          <w:sz w:val="24"/>
          <w:szCs w:val="24"/>
        </w:rPr>
        <w:t xml:space="preserve"> Podle této hodnoty pak rozlišujeme clampy hypoglykemické, euglykemické a hyperglykemické. Při neporušené citlivosti organismu na inzulín je nutné infúzí dodávat větší množství glukózy, aby nedocházelo k poklesu její koncentrace v krvi. S rostoucím stupněm IR naopak klesá množství dodávané glukózy. </w:t>
      </w:r>
      <w:r w:rsidR="006A0340" w:rsidRPr="000D096C">
        <w:rPr>
          <w:rFonts w:ascii="Times New Roman" w:hAnsi="Times New Roman" w:cs="Times New Roman"/>
          <w:sz w:val="24"/>
          <w:szCs w:val="24"/>
        </w:rPr>
        <w:t>Uspořádání clampu je takové, aby exogenně dodávaný inzulín potlačil endogenní sekreci inzulínu a suprimoval též jaterní glukoneogenezi. Po dosažení rovnovážného stavu lze z koncentrace jak podávané glukózy, tak inzulínu přesně kvantifikovat IR</w:t>
      </w:r>
      <w:r w:rsidR="00924771" w:rsidRPr="000D096C">
        <w:rPr>
          <w:rFonts w:ascii="Times New Roman" w:hAnsi="Times New Roman" w:cs="Times New Roman"/>
          <w:sz w:val="24"/>
          <w:szCs w:val="24"/>
        </w:rPr>
        <w:t xml:space="preserve"> [5, </w:t>
      </w:r>
      <w:r w:rsidR="00022457" w:rsidRPr="000D096C">
        <w:rPr>
          <w:rFonts w:ascii="Times New Roman" w:hAnsi="Times New Roman" w:cs="Times New Roman"/>
          <w:sz w:val="24"/>
          <w:szCs w:val="24"/>
        </w:rPr>
        <w:t>26</w:t>
      </w:r>
      <w:r w:rsidR="00924771" w:rsidRPr="000D096C">
        <w:rPr>
          <w:rFonts w:ascii="Times New Roman" w:hAnsi="Times New Roman" w:cs="Times New Roman"/>
          <w:sz w:val="24"/>
          <w:szCs w:val="24"/>
        </w:rPr>
        <w:t>]</w:t>
      </w:r>
      <w:r w:rsidR="006A0340" w:rsidRPr="000D096C">
        <w:rPr>
          <w:rFonts w:ascii="Times New Roman" w:hAnsi="Times New Roman" w:cs="Times New Roman"/>
          <w:sz w:val="24"/>
          <w:szCs w:val="24"/>
        </w:rPr>
        <w:t>.</w:t>
      </w:r>
    </w:p>
    <w:p w:rsidR="00924771" w:rsidRPr="000D096C" w:rsidRDefault="004D1F7C" w:rsidP="004567D5">
      <w:pP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Intravenózní glukózový toleranční test</w:t>
      </w:r>
    </w:p>
    <w:p w:rsidR="004D1F7C" w:rsidRPr="000D096C" w:rsidRDefault="004D1F7C"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 xml:space="preserve">Podstatou metody je bolusové podání definovaného množství glukózy s následným opakovaným odběrem krve pro analýzy glykémie a inzulinémie. Z dynamiky těchto hodnot je vypočítána závislost </w:t>
      </w:r>
      <w:r w:rsidR="000D48C6" w:rsidRPr="000D096C">
        <w:rPr>
          <w:rFonts w:ascii="Times New Roman" w:hAnsi="Times New Roman" w:cs="Times New Roman"/>
          <w:sz w:val="24"/>
          <w:szCs w:val="24"/>
        </w:rPr>
        <w:t xml:space="preserve">mezi </w:t>
      </w:r>
      <w:r w:rsidRPr="000D096C">
        <w:rPr>
          <w:rFonts w:ascii="Times New Roman" w:hAnsi="Times New Roman" w:cs="Times New Roman"/>
          <w:sz w:val="24"/>
          <w:szCs w:val="24"/>
        </w:rPr>
        <w:t>koncentracemi g</w:t>
      </w:r>
      <w:r w:rsidR="00F80C90">
        <w:rPr>
          <w:rFonts w:ascii="Times New Roman" w:hAnsi="Times New Roman" w:cs="Times New Roman"/>
          <w:sz w:val="24"/>
          <w:szCs w:val="24"/>
        </w:rPr>
        <w:t>lukózy a inzulínu. Metoda má svá</w:t>
      </w:r>
      <w:r w:rsidRPr="000D096C">
        <w:rPr>
          <w:rFonts w:ascii="Times New Roman" w:hAnsi="Times New Roman" w:cs="Times New Roman"/>
          <w:sz w:val="24"/>
          <w:szCs w:val="24"/>
        </w:rPr>
        <w:t xml:space="preserve"> úskalí v</w:t>
      </w:r>
      <w:r w:rsidR="00BB3FFF">
        <w:rPr>
          <w:rFonts w:ascii="Times New Roman" w:hAnsi="Times New Roman" w:cs="Times New Roman"/>
          <w:sz w:val="24"/>
          <w:szCs w:val="24"/>
        </w:rPr>
        <w:t> </w:t>
      </w:r>
      <w:r w:rsidRPr="000D096C">
        <w:rPr>
          <w:rFonts w:ascii="Times New Roman" w:hAnsi="Times New Roman" w:cs="Times New Roman"/>
          <w:sz w:val="24"/>
          <w:szCs w:val="24"/>
        </w:rPr>
        <w:t>podobě nutnosti většího mn</w:t>
      </w:r>
      <w:r w:rsidR="000D48C6" w:rsidRPr="000D096C">
        <w:rPr>
          <w:rFonts w:ascii="Times New Roman" w:hAnsi="Times New Roman" w:cs="Times New Roman"/>
          <w:sz w:val="24"/>
          <w:szCs w:val="24"/>
        </w:rPr>
        <w:t>ožství analýz</w:t>
      </w:r>
      <w:r w:rsidRPr="000D096C">
        <w:rPr>
          <w:rFonts w:ascii="Times New Roman" w:hAnsi="Times New Roman" w:cs="Times New Roman"/>
          <w:sz w:val="24"/>
          <w:szCs w:val="24"/>
        </w:rPr>
        <w:t xml:space="preserve">. Výhodou je celkově jednodušší a méně invazivní provedení </w:t>
      </w:r>
      <w:r w:rsidR="00F80C90">
        <w:rPr>
          <w:rFonts w:ascii="Times New Roman" w:hAnsi="Times New Roman" w:cs="Times New Roman"/>
          <w:sz w:val="24"/>
          <w:szCs w:val="24"/>
        </w:rPr>
        <w:t xml:space="preserve">a navíc </w:t>
      </w:r>
      <w:r w:rsidRPr="000D096C">
        <w:rPr>
          <w:rFonts w:ascii="Times New Roman" w:hAnsi="Times New Roman" w:cs="Times New Roman"/>
          <w:sz w:val="24"/>
          <w:szCs w:val="24"/>
        </w:rPr>
        <w:t>s výsledky korelujícími s clampovými technikami [</w:t>
      </w:r>
      <w:r w:rsidR="0079410A" w:rsidRPr="000D096C">
        <w:rPr>
          <w:rFonts w:ascii="Times New Roman" w:hAnsi="Times New Roman" w:cs="Times New Roman"/>
          <w:sz w:val="24"/>
          <w:szCs w:val="24"/>
        </w:rPr>
        <w:t xml:space="preserve">5, </w:t>
      </w:r>
      <w:r w:rsidRPr="000D096C">
        <w:rPr>
          <w:rFonts w:ascii="Times New Roman" w:hAnsi="Times New Roman" w:cs="Times New Roman"/>
          <w:sz w:val="24"/>
          <w:szCs w:val="24"/>
        </w:rPr>
        <w:t>2</w:t>
      </w:r>
      <w:r w:rsidR="00022457" w:rsidRPr="000D096C">
        <w:rPr>
          <w:rFonts w:ascii="Times New Roman" w:hAnsi="Times New Roman" w:cs="Times New Roman"/>
          <w:sz w:val="24"/>
          <w:szCs w:val="24"/>
        </w:rPr>
        <w:t>7</w:t>
      </w:r>
      <w:r w:rsidRPr="000D096C">
        <w:rPr>
          <w:rFonts w:ascii="Times New Roman" w:hAnsi="Times New Roman" w:cs="Times New Roman"/>
          <w:sz w:val="24"/>
          <w:szCs w:val="24"/>
        </w:rPr>
        <w:t>].</w:t>
      </w:r>
    </w:p>
    <w:p w:rsidR="0079410A" w:rsidRPr="000D096C" w:rsidRDefault="0079410A" w:rsidP="004567D5">
      <w:pP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Inzulínový supresní test</w:t>
      </w:r>
    </w:p>
    <w:p w:rsidR="0079410A" w:rsidRPr="000D096C" w:rsidRDefault="0079410A"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 xml:space="preserve">Tato metoda byla využívána ještě před </w:t>
      </w:r>
      <w:r w:rsidR="00BE799E" w:rsidRPr="000D096C">
        <w:rPr>
          <w:rFonts w:ascii="Times New Roman" w:hAnsi="Times New Roman" w:cs="Times New Roman"/>
          <w:sz w:val="24"/>
          <w:szCs w:val="24"/>
        </w:rPr>
        <w:t>zavedením</w:t>
      </w:r>
      <w:r w:rsidRPr="000D096C">
        <w:rPr>
          <w:rFonts w:ascii="Times New Roman" w:hAnsi="Times New Roman" w:cs="Times New Roman"/>
          <w:sz w:val="24"/>
          <w:szCs w:val="24"/>
        </w:rPr>
        <w:t xml:space="preserve"> clampových technik. Spočívá v prostém podání infúze inzulínu a glukózy a suprimování endog</w:t>
      </w:r>
      <w:r w:rsidR="00FA0591" w:rsidRPr="000D096C">
        <w:rPr>
          <w:rFonts w:ascii="Times New Roman" w:hAnsi="Times New Roman" w:cs="Times New Roman"/>
          <w:sz w:val="24"/>
          <w:szCs w:val="24"/>
        </w:rPr>
        <w:t xml:space="preserve">enní sekrece inzulínu při </w:t>
      </w:r>
      <w:r w:rsidR="00FA0591" w:rsidRPr="000D096C">
        <w:rPr>
          <w:rFonts w:ascii="Times New Roman" w:hAnsi="Times New Roman" w:cs="Times New Roman"/>
          <w:sz w:val="24"/>
          <w:szCs w:val="24"/>
        </w:rPr>
        <w:lastRenderedPageBreak/>
        <w:t>ustále</w:t>
      </w:r>
      <w:r w:rsidRPr="000D096C">
        <w:rPr>
          <w:rFonts w:ascii="Times New Roman" w:hAnsi="Times New Roman" w:cs="Times New Roman"/>
          <w:sz w:val="24"/>
          <w:szCs w:val="24"/>
        </w:rPr>
        <w:t>ní jeho koncentrace v plazmě. Později</w:t>
      </w:r>
      <w:r w:rsidR="00FA0591" w:rsidRPr="000D096C">
        <w:rPr>
          <w:rFonts w:ascii="Times New Roman" w:hAnsi="Times New Roman" w:cs="Times New Roman"/>
          <w:sz w:val="24"/>
          <w:szCs w:val="24"/>
        </w:rPr>
        <w:t xml:space="preserve"> po zavedení inzulínového clampu</w:t>
      </w:r>
      <w:r w:rsidRPr="000D096C">
        <w:rPr>
          <w:rFonts w:ascii="Times New Roman" w:hAnsi="Times New Roman" w:cs="Times New Roman"/>
          <w:sz w:val="24"/>
          <w:szCs w:val="24"/>
        </w:rPr>
        <w:t xml:space="preserve"> bylo použito k potlačení endogenní sekrece inzulínu somatostatinu. I v tomto případě výsledky dobře korelují se standardními clampovými technikami</w:t>
      </w:r>
      <w:r w:rsidR="00FA0591" w:rsidRPr="000D096C">
        <w:rPr>
          <w:rFonts w:ascii="Times New Roman" w:hAnsi="Times New Roman" w:cs="Times New Roman"/>
          <w:sz w:val="24"/>
          <w:szCs w:val="24"/>
        </w:rPr>
        <w:t xml:space="preserve"> [5, 2</w:t>
      </w:r>
      <w:r w:rsidR="00022457" w:rsidRPr="000D096C">
        <w:rPr>
          <w:rFonts w:ascii="Times New Roman" w:hAnsi="Times New Roman" w:cs="Times New Roman"/>
          <w:sz w:val="24"/>
          <w:szCs w:val="24"/>
        </w:rPr>
        <w:t>8</w:t>
      </w:r>
      <w:r w:rsidR="00FA0591" w:rsidRPr="000D096C">
        <w:rPr>
          <w:rFonts w:ascii="Times New Roman" w:hAnsi="Times New Roman" w:cs="Times New Roman"/>
          <w:sz w:val="24"/>
          <w:szCs w:val="24"/>
        </w:rPr>
        <w:t>]</w:t>
      </w:r>
      <w:r w:rsidRPr="000D096C">
        <w:rPr>
          <w:rFonts w:ascii="Times New Roman" w:hAnsi="Times New Roman" w:cs="Times New Roman"/>
          <w:sz w:val="24"/>
          <w:szCs w:val="24"/>
        </w:rPr>
        <w:t xml:space="preserve">. </w:t>
      </w:r>
    </w:p>
    <w:p w:rsidR="00FA0591" w:rsidRPr="000D096C" w:rsidRDefault="00FA0591" w:rsidP="00E319B2">
      <w:pPr>
        <w:pStyle w:val="Nadpis4"/>
      </w:pPr>
      <w:r w:rsidRPr="000D096C">
        <w:t>Orientační vyšetření – nepřímé metody</w:t>
      </w:r>
    </w:p>
    <w:p w:rsidR="00FA0591" w:rsidRPr="000D096C" w:rsidRDefault="00FA0591" w:rsidP="004567D5">
      <w:pP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Homeostatické indexy</w:t>
      </w:r>
    </w:p>
    <w:p w:rsidR="00FA0591" w:rsidRPr="000D096C" w:rsidRDefault="00FA0591"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r>
      <w:r w:rsidR="00C35837" w:rsidRPr="000D096C">
        <w:rPr>
          <w:rFonts w:ascii="Times New Roman" w:hAnsi="Times New Roman" w:cs="Times New Roman"/>
          <w:sz w:val="24"/>
          <w:szCs w:val="24"/>
        </w:rPr>
        <w:t>Posuzování IR pomocí homeostatických indexů</w:t>
      </w:r>
      <w:r w:rsidR="000D48C6" w:rsidRPr="000D096C">
        <w:rPr>
          <w:rFonts w:ascii="Times New Roman" w:hAnsi="Times New Roman" w:cs="Times New Roman"/>
          <w:sz w:val="24"/>
          <w:szCs w:val="24"/>
        </w:rPr>
        <w:t xml:space="preserve"> je založeno</w:t>
      </w:r>
      <w:r w:rsidR="00C35837" w:rsidRPr="000D096C">
        <w:rPr>
          <w:rFonts w:ascii="Times New Roman" w:hAnsi="Times New Roman" w:cs="Times New Roman"/>
          <w:sz w:val="24"/>
          <w:szCs w:val="24"/>
        </w:rPr>
        <w:t xml:space="preserve"> na zpětnovazebných vztazích mezi inzulínem a glykémií, kdy růst inzulinémie by měl být doprovázen poklesem glykémie a naopak. </w:t>
      </w:r>
      <w:r w:rsidR="00D13264" w:rsidRPr="000D096C">
        <w:rPr>
          <w:rFonts w:ascii="Times New Roman" w:hAnsi="Times New Roman" w:cs="Times New Roman"/>
          <w:sz w:val="24"/>
          <w:szCs w:val="24"/>
        </w:rPr>
        <w:t xml:space="preserve">Porucha tohoto vztahu, tedy abnormální zvyšování obou parametrů, je projevem nedostatečné </w:t>
      </w:r>
      <w:r w:rsidR="00283503">
        <w:rPr>
          <w:rFonts w:ascii="Times New Roman" w:hAnsi="Times New Roman" w:cs="Times New Roman"/>
          <w:sz w:val="24"/>
          <w:szCs w:val="24"/>
        </w:rPr>
        <w:t xml:space="preserve">biologické </w:t>
      </w:r>
      <w:r w:rsidR="00D13264" w:rsidRPr="000D096C">
        <w:rPr>
          <w:rFonts w:ascii="Times New Roman" w:hAnsi="Times New Roman" w:cs="Times New Roman"/>
          <w:sz w:val="24"/>
          <w:szCs w:val="24"/>
        </w:rPr>
        <w:t>účinnosti inzulínu. Pro stanovení homeostatických indexů je nezbytná znalost pacient</w:t>
      </w:r>
      <w:r w:rsidR="00F80C90">
        <w:rPr>
          <w:rFonts w:ascii="Times New Roman" w:hAnsi="Times New Roman" w:cs="Times New Roman"/>
          <w:sz w:val="24"/>
          <w:szCs w:val="24"/>
        </w:rPr>
        <w:t>ov</w:t>
      </w:r>
      <w:r w:rsidR="00D13264" w:rsidRPr="000D096C">
        <w:rPr>
          <w:rFonts w:ascii="Times New Roman" w:hAnsi="Times New Roman" w:cs="Times New Roman"/>
          <w:sz w:val="24"/>
          <w:szCs w:val="24"/>
        </w:rPr>
        <w:t>y lačné glykémie a inzulinémie</w:t>
      </w:r>
      <w:r w:rsidR="00404189" w:rsidRPr="000D096C">
        <w:rPr>
          <w:rFonts w:ascii="Times New Roman" w:hAnsi="Times New Roman" w:cs="Times New Roman"/>
          <w:sz w:val="24"/>
          <w:szCs w:val="24"/>
        </w:rPr>
        <w:t>.</w:t>
      </w:r>
      <w:r w:rsidR="002B2318" w:rsidRPr="000D096C">
        <w:rPr>
          <w:rFonts w:ascii="Times New Roman" w:hAnsi="Times New Roman" w:cs="Times New Roman"/>
          <w:sz w:val="24"/>
          <w:szCs w:val="24"/>
        </w:rPr>
        <w:t xml:space="preserve"> Nejběžněji užívaným homeostatickým indexem je </w:t>
      </w:r>
      <w:r w:rsidR="00283503" w:rsidRPr="00283503">
        <w:rPr>
          <w:rFonts w:ascii="Times New Roman" w:hAnsi="Times New Roman" w:cs="Times New Roman"/>
          <w:i/>
          <w:sz w:val="24"/>
          <w:szCs w:val="24"/>
          <w:lang w:val="en-US"/>
        </w:rPr>
        <w:t>homeostasis model assessment of IR</w:t>
      </w:r>
      <w:r w:rsidR="00283503" w:rsidRPr="009C282C">
        <w:rPr>
          <w:rFonts w:ascii="Times New Roman" w:hAnsi="Times New Roman" w:cs="Times New Roman"/>
          <w:sz w:val="24"/>
          <w:szCs w:val="24"/>
          <w:lang w:val="en-US"/>
        </w:rPr>
        <w:t xml:space="preserve"> </w:t>
      </w:r>
      <w:r w:rsidR="00283503">
        <w:rPr>
          <w:rFonts w:ascii="Times New Roman" w:hAnsi="Times New Roman" w:cs="Times New Roman"/>
          <w:sz w:val="24"/>
          <w:szCs w:val="24"/>
        </w:rPr>
        <w:t>(</w:t>
      </w:r>
      <w:r w:rsidR="002B2318" w:rsidRPr="000D096C">
        <w:rPr>
          <w:rFonts w:ascii="Times New Roman" w:hAnsi="Times New Roman" w:cs="Times New Roman"/>
          <w:sz w:val="24"/>
          <w:szCs w:val="24"/>
        </w:rPr>
        <w:t>HOMA-IR</w:t>
      </w:r>
      <w:r w:rsidR="00283503">
        <w:rPr>
          <w:rFonts w:ascii="Times New Roman" w:hAnsi="Times New Roman" w:cs="Times New Roman"/>
          <w:sz w:val="24"/>
          <w:szCs w:val="24"/>
        </w:rPr>
        <w:t>)</w:t>
      </w:r>
      <w:r w:rsidR="002B2318" w:rsidRPr="000D096C">
        <w:rPr>
          <w:rFonts w:ascii="Times New Roman" w:hAnsi="Times New Roman" w:cs="Times New Roman"/>
          <w:sz w:val="24"/>
          <w:szCs w:val="24"/>
        </w:rPr>
        <w:t xml:space="preserve">, odrážející rezistenci tkání k inzulínu. Citlivost tkání na inzulín, tedy stav inverzní k IR, kvantifikuje index </w:t>
      </w:r>
      <w:r w:rsidR="00283503" w:rsidRPr="00283503">
        <w:rPr>
          <w:rFonts w:ascii="Times New Roman" w:hAnsi="Times New Roman" w:cs="Times New Roman"/>
          <w:i/>
          <w:sz w:val="24"/>
          <w:szCs w:val="24"/>
        </w:rPr>
        <w:t>quantitative insulin sensitivity check index</w:t>
      </w:r>
      <w:r w:rsidR="00283503" w:rsidRPr="00283503">
        <w:rPr>
          <w:rFonts w:ascii="Times New Roman" w:hAnsi="Times New Roman" w:cs="Times New Roman"/>
          <w:sz w:val="24"/>
          <w:szCs w:val="24"/>
        </w:rPr>
        <w:t xml:space="preserve"> </w:t>
      </w:r>
      <w:r w:rsidR="00283503">
        <w:rPr>
          <w:rFonts w:ascii="Times New Roman" w:hAnsi="Times New Roman" w:cs="Times New Roman"/>
          <w:sz w:val="24"/>
          <w:szCs w:val="24"/>
        </w:rPr>
        <w:t>(</w:t>
      </w:r>
      <w:r w:rsidR="002B2318" w:rsidRPr="000D096C">
        <w:rPr>
          <w:rFonts w:ascii="Times New Roman" w:hAnsi="Times New Roman" w:cs="Times New Roman"/>
          <w:sz w:val="24"/>
          <w:szCs w:val="24"/>
        </w:rPr>
        <w:t>QUICKI</w:t>
      </w:r>
      <w:r w:rsidR="00283503">
        <w:rPr>
          <w:rFonts w:ascii="Times New Roman" w:hAnsi="Times New Roman" w:cs="Times New Roman"/>
          <w:sz w:val="24"/>
          <w:szCs w:val="24"/>
        </w:rPr>
        <w:t>)</w:t>
      </w:r>
      <w:r w:rsidR="002B2318" w:rsidRPr="000D096C">
        <w:rPr>
          <w:rFonts w:ascii="Times New Roman" w:hAnsi="Times New Roman" w:cs="Times New Roman"/>
          <w:sz w:val="24"/>
          <w:szCs w:val="24"/>
        </w:rPr>
        <w:t xml:space="preserve">. Endokrinní funkci β buněk pankreatu hodnotí </w:t>
      </w:r>
      <w:r w:rsidR="00F80C90">
        <w:rPr>
          <w:rFonts w:ascii="Times New Roman" w:hAnsi="Times New Roman" w:cs="Times New Roman"/>
          <w:sz w:val="24"/>
          <w:szCs w:val="24"/>
        </w:rPr>
        <w:t xml:space="preserve">potom </w:t>
      </w:r>
      <w:r w:rsidR="002B2318" w:rsidRPr="000D096C">
        <w:rPr>
          <w:rFonts w:ascii="Times New Roman" w:hAnsi="Times New Roman" w:cs="Times New Roman"/>
          <w:sz w:val="24"/>
          <w:szCs w:val="24"/>
        </w:rPr>
        <w:t xml:space="preserve">index HOMA-β. Opakovaně byla ověřena signifikantní korelace mezi </w:t>
      </w:r>
      <w:r w:rsidR="007F38BD" w:rsidRPr="000D096C">
        <w:rPr>
          <w:rFonts w:ascii="Times New Roman" w:hAnsi="Times New Roman" w:cs="Times New Roman"/>
          <w:sz w:val="24"/>
          <w:szCs w:val="24"/>
        </w:rPr>
        <w:t xml:space="preserve">homeostatickými </w:t>
      </w:r>
      <w:r w:rsidR="008C432D" w:rsidRPr="000D096C">
        <w:rPr>
          <w:rFonts w:ascii="Times New Roman" w:hAnsi="Times New Roman" w:cs="Times New Roman"/>
          <w:sz w:val="24"/>
          <w:szCs w:val="24"/>
        </w:rPr>
        <w:t>indexy</w:t>
      </w:r>
      <w:r w:rsidR="002B2318" w:rsidRPr="000D096C">
        <w:rPr>
          <w:rFonts w:ascii="Times New Roman" w:hAnsi="Times New Roman" w:cs="Times New Roman"/>
          <w:sz w:val="24"/>
          <w:szCs w:val="24"/>
        </w:rPr>
        <w:t xml:space="preserve"> a výsledky dosaženými clampovými technikami</w:t>
      </w:r>
      <w:r w:rsidR="007F38BD" w:rsidRPr="000D096C">
        <w:rPr>
          <w:rFonts w:ascii="Times New Roman" w:hAnsi="Times New Roman" w:cs="Times New Roman"/>
          <w:sz w:val="24"/>
          <w:szCs w:val="24"/>
        </w:rPr>
        <w:t xml:space="preserve"> [2</w:t>
      </w:r>
      <w:r w:rsidR="00022457" w:rsidRPr="000D096C">
        <w:rPr>
          <w:rFonts w:ascii="Times New Roman" w:hAnsi="Times New Roman" w:cs="Times New Roman"/>
          <w:sz w:val="24"/>
          <w:szCs w:val="24"/>
        </w:rPr>
        <w:t>9-31</w:t>
      </w:r>
      <w:r w:rsidR="007F38BD" w:rsidRPr="000D096C">
        <w:rPr>
          <w:rFonts w:ascii="Times New Roman" w:hAnsi="Times New Roman" w:cs="Times New Roman"/>
          <w:sz w:val="24"/>
          <w:szCs w:val="24"/>
        </w:rPr>
        <w:t>]</w:t>
      </w:r>
      <w:r w:rsidR="002B2318" w:rsidRPr="000D096C">
        <w:rPr>
          <w:rFonts w:ascii="Times New Roman" w:hAnsi="Times New Roman" w:cs="Times New Roman"/>
          <w:sz w:val="24"/>
          <w:szCs w:val="24"/>
        </w:rPr>
        <w:t>.</w:t>
      </w:r>
      <w:r w:rsidR="000F324A" w:rsidRPr="000D096C">
        <w:rPr>
          <w:rFonts w:ascii="Times New Roman" w:hAnsi="Times New Roman" w:cs="Times New Roman"/>
          <w:sz w:val="24"/>
          <w:szCs w:val="24"/>
        </w:rPr>
        <w:t xml:space="preserve"> </w:t>
      </w:r>
      <w:r w:rsidR="000F324A" w:rsidRPr="000D096C">
        <w:rPr>
          <w:rFonts w:ascii="Times New Roman" w:hAnsi="Times New Roman" w:cs="Times New Roman"/>
          <w:bCs/>
          <w:sz w:val="24"/>
          <w:szCs w:val="24"/>
        </w:rPr>
        <w:t xml:space="preserve">Pro objektivizaci stupně rozvoje IR má svůj význam i zhodnocení pouhé samotné inzulinémie, je-li odběr proveden skutečně nalačno </w:t>
      </w:r>
      <w:r w:rsidR="000F324A" w:rsidRPr="000D096C">
        <w:rPr>
          <w:rFonts w:ascii="Times New Roman" w:hAnsi="Times New Roman" w:cs="Times New Roman"/>
          <w:sz w:val="24"/>
          <w:szCs w:val="24"/>
        </w:rPr>
        <w:t>[32]</w:t>
      </w:r>
      <w:r w:rsidR="000F324A" w:rsidRPr="000D096C">
        <w:rPr>
          <w:rFonts w:ascii="Times New Roman" w:hAnsi="Times New Roman" w:cs="Times New Roman"/>
          <w:bCs/>
          <w:sz w:val="24"/>
          <w:szCs w:val="24"/>
        </w:rPr>
        <w:t>.</w:t>
      </w:r>
    </w:p>
    <w:p w:rsidR="008C432D" w:rsidRPr="000D096C" w:rsidRDefault="008C432D"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Uvedené homeostatické indexy jsou stanovovány s využitím následujících vzor</w:t>
      </w:r>
      <w:r w:rsidR="00283503">
        <w:rPr>
          <w:rFonts w:ascii="Times New Roman" w:hAnsi="Times New Roman" w:cs="Times New Roman"/>
          <w:sz w:val="24"/>
          <w:szCs w:val="24"/>
        </w:rPr>
        <w:t>c</w:t>
      </w:r>
      <w:r w:rsidRPr="000D096C">
        <w:rPr>
          <w:rFonts w:ascii="Times New Roman" w:hAnsi="Times New Roman" w:cs="Times New Roman"/>
          <w:sz w:val="24"/>
          <w:szCs w:val="24"/>
        </w:rPr>
        <w:t>ů</w:t>
      </w:r>
      <w:r w:rsidR="00B972D4">
        <w:rPr>
          <w:rFonts w:ascii="Times New Roman" w:hAnsi="Times New Roman" w:cs="Times New Roman"/>
          <w:sz w:val="24"/>
          <w:szCs w:val="24"/>
        </w:rPr>
        <w:t xml:space="preserve"> [30</w:t>
      </w:r>
      <w:r w:rsidR="00B972D4" w:rsidRPr="000D096C">
        <w:rPr>
          <w:rFonts w:ascii="Times New Roman" w:hAnsi="Times New Roman" w:cs="Times New Roman"/>
          <w:sz w:val="24"/>
          <w:szCs w:val="24"/>
        </w:rPr>
        <w:t>]</w:t>
      </w:r>
      <w:r w:rsidRPr="000D096C">
        <w:rPr>
          <w:rFonts w:ascii="Times New Roman" w:hAnsi="Times New Roman" w:cs="Times New Roman"/>
          <w:sz w:val="24"/>
          <w:szCs w:val="24"/>
        </w:rPr>
        <w:t>:</w:t>
      </w:r>
    </w:p>
    <w:p w:rsidR="008C432D" w:rsidRPr="000D096C" w:rsidRDefault="008C432D" w:rsidP="004567D5">
      <w:pPr>
        <w:pStyle w:val="MDPI22heading2"/>
        <w:spacing w:line="360" w:lineRule="auto"/>
        <w:jc w:val="both"/>
        <w:rPr>
          <w:rFonts w:ascii="Times New Roman" w:hAnsi="Times New Roman"/>
          <w:color w:val="auto"/>
          <w:sz w:val="24"/>
          <w:szCs w:val="24"/>
          <w:lang w:val="cs-CZ"/>
        </w:rPr>
      </w:pPr>
      <w:bookmarkStart w:id="33" w:name="_Toc33432669"/>
      <w:bookmarkStart w:id="34" w:name="_Toc33432796"/>
      <w:bookmarkStart w:id="35" w:name="_Toc33432889"/>
      <w:bookmarkStart w:id="36" w:name="_Toc33433040"/>
      <w:bookmarkStart w:id="37" w:name="_Toc33433158"/>
      <w:bookmarkStart w:id="38" w:name="_Toc33436595"/>
      <w:bookmarkStart w:id="39" w:name="_Toc33869528"/>
      <m:oMathPara>
        <m:oMathParaPr>
          <m:jc m:val="center"/>
        </m:oMathParaPr>
        <m:oMath>
          <m:r>
            <w:rPr>
              <w:rFonts w:ascii="Cambria Math" w:hAnsi="Cambria Math"/>
              <w:color w:val="auto"/>
              <w:sz w:val="24"/>
              <w:szCs w:val="24"/>
              <w:lang w:val="cs-CZ"/>
            </w:rPr>
            <m:t>HOMA</m:t>
          </m:r>
          <m:r>
            <m:rPr>
              <m:nor/>
            </m:rPr>
            <w:rPr>
              <w:rFonts w:ascii="Times New Roman" w:hAnsi="Times New Roman"/>
              <w:i w:val="0"/>
              <w:color w:val="auto"/>
              <w:sz w:val="24"/>
              <w:szCs w:val="24"/>
              <w:lang w:val="cs-CZ"/>
            </w:rPr>
            <m:t>-</m:t>
          </m:r>
          <m:r>
            <w:rPr>
              <w:rFonts w:ascii="Cambria Math" w:hAnsi="Cambria Math"/>
              <w:color w:val="auto"/>
              <w:sz w:val="24"/>
              <w:szCs w:val="24"/>
              <w:lang w:val="cs-CZ"/>
            </w:rPr>
            <m:t xml:space="preserve">IR= </m:t>
          </m:r>
          <m:f>
            <m:fPr>
              <m:ctrlPr>
                <w:rPr>
                  <w:rFonts w:ascii="Cambria Math" w:hAnsi="Cambria Math"/>
                  <w:color w:val="auto"/>
                  <w:sz w:val="24"/>
                  <w:szCs w:val="24"/>
                  <w:lang w:val="cs-CZ"/>
                </w:rPr>
              </m:ctrlPr>
            </m:fPr>
            <m:num>
              <m:r>
                <w:rPr>
                  <w:rFonts w:ascii="Cambria Math" w:hAnsi="Cambria Math"/>
                  <w:color w:val="auto"/>
                  <w:sz w:val="24"/>
                  <w:szCs w:val="24"/>
                  <w:lang w:val="cs-CZ"/>
                </w:rPr>
                <m:t>glykémie×inzulinémie</m:t>
              </m:r>
            </m:num>
            <m:den>
              <m:r>
                <w:rPr>
                  <w:rFonts w:ascii="Cambria Math" w:hAnsi="Cambria Math"/>
                  <w:color w:val="auto"/>
                  <w:sz w:val="24"/>
                  <w:szCs w:val="24"/>
                  <w:lang w:val="cs-CZ"/>
                </w:rPr>
                <m:t>22,5</m:t>
              </m:r>
            </m:den>
          </m:f>
        </m:oMath>
      </m:oMathPara>
      <w:bookmarkEnd w:id="33"/>
      <w:bookmarkEnd w:id="34"/>
      <w:bookmarkEnd w:id="35"/>
      <w:bookmarkEnd w:id="36"/>
      <w:bookmarkEnd w:id="37"/>
      <w:bookmarkEnd w:id="38"/>
      <w:bookmarkEnd w:id="39"/>
    </w:p>
    <w:p w:rsidR="008C432D" w:rsidRPr="000D096C" w:rsidRDefault="008C432D" w:rsidP="004567D5">
      <w:pPr>
        <w:pStyle w:val="MDPI22heading2"/>
        <w:spacing w:line="360" w:lineRule="auto"/>
        <w:jc w:val="both"/>
        <w:rPr>
          <w:rFonts w:ascii="Times New Roman" w:hAnsi="Times New Roman"/>
          <w:color w:val="auto"/>
          <w:sz w:val="24"/>
          <w:szCs w:val="24"/>
          <w:lang w:val="cs-CZ"/>
        </w:rPr>
      </w:pPr>
      <w:bookmarkStart w:id="40" w:name="_Toc33432670"/>
      <w:bookmarkStart w:id="41" w:name="_Toc33432797"/>
      <w:bookmarkStart w:id="42" w:name="_Toc33432890"/>
      <w:bookmarkStart w:id="43" w:name="_Toc33433041"/>
      <w:bookmarkStart w:id="44" w:name="_Toc33433159"/>
      <w:bookmarkStart w:id="45" w:name="_Toc33436596"/>
      <w:bookmarkStart w:id="46" w:name="_Toc33869529"/>
      <m:oMathPara>
        <m:oMath>
          <m:r>
            <w:rPr>
              <w:rFonts w:ascii="Cambria Math" w:hAnsi="Cambria Math"/>
              <w:color w:val="auto"/>
              <w:sz w:val="24"/>
              <w:szCs w:val="24"/>
              <w:lang w:val="cs-CZ"/>
            </w:rPr>
            <m:t>HOMA</m:t>
          </m:r>
          <m:r>
            <m:rPr>
              <m:nor/>
            </m:rPr>
            <w:rPr>
              <w:rFonts w:ascii="Times New Roman" w:hAnsi="Times New Roman"/>
              <w:i w:val="0"/>
              <w:color w:val="auto"/>
              <w:sz w:val="24"/>
              <w:szCs w:val="24"/>
              <w:lang w:val="cs-CZ"/>
            </w:rPr>
            <m:t>-</m:t>
          </m:r>
          <m:r>
            <w:rPr>
              <w:rFonts w:ascii="Cambria Math" w:hAnsi="Cambria Math"/>
              <w:color w:val="auto"/>
              <w:sz w:val="24"/>
              <w:szCs w:val="24"/>
              <w:lang w:val="cs-CZ"/>
            </w:rPr>
            <m:t xml:space="preserve">β= </m:t>
          </m:r>
          <m:f>
            <m:fPr>
              <m:ctrlPr>
                <w:rPr>
                  <w:rFonts w:ascii="Cambria Math" w:hAnsi="Cambria Math"/>
                  <w:color w:val="auto"/>
                  <w:sz w:val="24"/>
                  <w:szCs w:val="24"/>
                  <w:lang w:val="cs-CZ"/>
                </w:rPr>
              </m:ctrlPr>
            </m:fPr>
            <m:num>
              <m:r>
                <w:rPr>
                  <w:rFonts w:ascii="Cambria Math" w:hAnsi="Cambria Math"/>
                  <w:color w:val="auto"/>
                  <w:sz w:val="24"/>
                  <w:szCs w:val="24"/>
                  <w:lang w:val="cs-CZ"/>
                </w:rPr>
                <m:t xml:space="preserve">inzulinémie×20 </m:t>
              </m:r>
            </m:num>
            <m:den>
              <m:r>
                <w:rPr>
                  <w:rFonts w:ascii="Cambria Math" w:hAnsi="Cambria Math"/>
                  <w:color w:val="auto"/>
                  <w:sz w:val="24"/>
                  <w:szCs w:val="24"/>
                  <w:lang w:val="cs-CZ"/>
                </w:rPr>
                <m:t>glykémie-3,5</m:t>
              </m:r>
            </m:den>
          </m:f>
        </m:oMath>
      </m:oMathPara>
      <w:bookmarkEnd w:id="40"/>
      <w:bookmarkEnd w:id="41"/>
      <w:bookmarkEnd w:id="42"/>
      <w:bookmarkEnd w:id="43"/>
      <w:bookmarkEnd w:id="44"/>
      <w:bookmarkEnd w:id="45"/>
      <w:bookmarkEnd w:id="46"/>
    </w:p>
    <w:p w:rsidR="008C432D" w:rsidRPr="000D096C" w:rsidRDefault="008C432D" w:rsidP="004567D5">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QUICKI= </m:t>
          </m:r>
          <m:f>
            <m:fPr>
              <m:ctrlPr>
                <w:rPr>
                  <w:rFonts w:ascii="Cambria Math" w:hAnsi="Cambria Math" w:cs="Times New Roman"/>
                  <w:i/>
                  <w:sz w:val="24"/>
                  <w:szCs w:val="24"/>
                </w:rPr>
              </m:ctrlPr>
            </m:fPr>
            <m:num>
              <m:r>
                <w:rPr>
                  <w:rFonts w:ascii="Cambria Math" w:hAnsi="Cambria Math" w:cs="Times New Roman"/>
                  <w:sz w:val="24"/>
                  <w:szCs w:val="24"/>
                </w:rPr>
                <m:t>1</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inzulinémie</m:t>
                  </m:r>
                </m:e>
              </m:func>
            </m:den>
          </m:f>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glykémie</m:t>
              </m:r>
            </m:e>
          </m:func>
        </m:oMath>
      </m:oMathPara>
    </w:p>
    <w:p w:rsidR="00A97084" w:rsidRPr="000D096C" w:rsidRDefault="00A97084" w:rsidP="004567D5">
      <w:pPr>
        <w:spacing w:line="360" w:lineRule="auto"/>
        <w:jc w:val="both"/>
        <w:rPr>
          <w:rFonts w:ascii="Times New Roman" w:hAnsi="Times New Roman" w:cs="Times New Roman"/>
          <w:b/>
          <w:bCs/>
          <w:sz w:val="24"/>
          <w:szCs w:val="24"/>
        </w:rPr>
      </w:pPr>
      <w:r w:rsidRPr="000D096C">
        <w:rPr>
          <w:rFonts w:ascii="Times New Roman" w:hAnsi="Times New Roman" w:cs="Times New Roman"/>
          <w:sz w:val="24"/>
          <w:szCs w:val="24"/>
        </w:rPr>
        <w:t xml:space="preserve">(glykémie v mmol/l, inzulinémie v </w:t>
      </w:r>
      <w:r w:rsidRPr="000D096C">
        <w:rPr>
          <w:rFonts w:ascii="Times New Roman" w:hAnsi="Times New Roman" w:cs="Times New Roman"/>
          <w:bCs/>
          <w:sz w:val="24"/>
          <w:szCs w:val="24"/>
        </w:rPr>
        <w:t>mIU/l</w:t>
      </w:r>
      <w:r w:rsidRPr="000D096C">
        <w:rPr>
          <w:rFonts w:ascii="Times New Roman" w:hAnsi="Times New Roman" w:cs="Times New Roman"/>
          <w:b/>
          <w:bCs/>
          <w:sz w:val="24"/>
          <w:szCs w:val="24"/>
        </w:rPr>
        <w:t>)</w:t>
      </w:r>
    </w:p>
    <w:p w:rsidR="00DD257A" w:rsidRPr="000D096C" w:rsidRDefault="00124543" w:rsidP="00E319B2">
      <w:pPr>
        <w:pStyle w:val="Nadpis4"/>
      </w:pPr>
      <w:r w:rsidRPr="000D096C">
        <w:t>Další potenciální markery</w:t>
      </w:r>
    </w:p>
    <w:p w:rsidR="00DD257A" w:rsidRPr="000D096C" w:rsidRDefault="00DD257A" w:rsidP="004567D5">
      <w:pPr>
        <w:spacing w:line="360" w:lineRule="auto"/>
        <w:jc w:val="both"/>
        <w:rPr>
          <w:rFonts w:ascii="Times New Roman" w:hAnsi="Times New Roman" w:cs="Times New Roman"/>
          <w:bCs/>
          <w:sz w:val="24"/>
          <w:szCs w:val="24"/>
        </w:rPr>
      </w:pPr>
      <w:r w:rsidRPr="000D096C">
        <w:rPr>
          <w:rFonts w:ascii="Times New Roman" w:hAnsi="Times New Roman" w:cs="Times New Roman"/>
          <w:b/>
          <w:bCs/>
        </w:rPr>
        <w:tab/>
      </w:r>
      <w:r w:rsidRPr="000D096C">
        <w:rPr>
          <w:rFonts w:ascii="Times New Roman" w:hAnsi="Times New Roman" w:cs="Times New Roman"/>
          <w:bCs/>
          <w:sz w:val="24"/>
          <w:szCs w:val="24"/>
        </w:rPr>
        <w:t>Vzhledem ke</w:t>
      </w:r>
      <w:r w:rsidRPr="000D096C">
        <w:rPr>
          <w:rFonts w:ascii="Times New Roman" w:hAnsi="Times New Roman" w:cs="Times New Roman"/>
          <w:b/>
          <w:bCs/>
          <w:sz w:val="24"/>
          <w:szCs w:val="24"/>
        </w:rPr>
        <w:t xml:space="preserve"> </w:t>
      </w:r>
      <w:r w:rsidRPr="000D096C">
        <w:rPr>
          <w:rFonts w:ascii="Times New Roman" w:hAnsi="Times New Roman" w:cs="Times New Roman"/>
          <w:bCs/>
          <w:sz w:val="24"/>
          <w:szCs w:val="24"/>
        </w:rPr>
        <w:t xml:space="preserve">komplexnosti patogeneze metabolických poruch mohou být hypoteticky s IR asociovány </w:t>
      </w:r>
      <w:r w:rsidR="00DF1889" w:rsidRPr="000D096C">
        <w:rPr>
          <w:rFonts w:ascii="Times New Roman" w:hAnsi="Times New Roman" w:cs="Times New Roman"/>
          <w:bCs/>
          <w:sz w:val="24"/>
          <w:szCs w:val="24"/>
        </w:rPr>
        <w:t xml:space="preserve">i </w:t>
      </w:r>
      <w:r w:rsidRPr="000D096C">
        <w:rPr>
          <w:rFonts w:ascii="Times New Roman" w:hAnsi="Times New Roman" w:cs="Times New Roman"/>
          <w:bCs/>
          <w:sz w:val="24"/>
          <w:szCs w:val="24"/>
        </w:rPr>
        <w:t xml:space="preserve">některé prediktivní modely, byť jsou primárně odvozené od </w:t>
      </w:r>
      <w:r w:rsidRPr="000D096C">
        <w:rPr>
          <w:rFonts w:ascii="Times New Roman" w:hAnsi="Times New Roman" w:cs="Times New Roman"/>
          <w:bCs/>
          <w:sz w:val="24"/>
          <w:szCs w:val="24"/>
        </w:rPr>
        <w:lastRenderedPageBreak/>
        <w:t>lipidového metabolismu.</w:t>
      </w:r>
      <w:r w:rsidR="00B105D6" w:rsidRPr="000D096C">
        <w:rPr>
          <w:rFonts w:ascii="Times New Roman" w:hAnsi="Times New Roman" w:cs="Times New Roman"/>
          <w:bCs/>
          <w:sz w:val="24"/>
          <w:szCs w:val="24"/>
        </w:rPr>
        <w:t xml:space="preserve"> Konkrétně by se mohlo jednat o </w:t>
      </w:r>
      <w:r w:rsidR="00283503">
        <w:rPr>
          <w:rFonts w:ascii="Times New Roman" w:hAnsi="Times New Roman" w:cs="Times New Roman"/>
          <w:bCs/>
          <w:sz w:val="24"/>
          <w:szCs w:val="24"/>
        </w:rPr>
        <w:t>visceral adiposity index (</w:t>
      </w:r>
      <w:r w:rsidR="00B105D6" w:rsidRPr="000D096C">
        <w:rPr>
          <w:rFonts w:ascii="Times New Roman" w:hAnsi="Times New Roman" w:cs="Times New Roman"/>
          <w:bCs/>
          <w:sz w:val="24"/>
          <w:szCs w:val="24"/>
        </w:rPr>
        <w:t>VAI</w:t>
      </w:r>
      <w:r w:rsidR="00283503">
        <w:rPr>
          <w:rFonts w:ascii="Times New Roman" w:hAnsi="Times New Roman" w:cs="Times New Roman"/>
          <w:bCs/>
          <w:sz w:val="24"/>
          <w:szCs w:val="24"/>
        </w:rPr>
        <w:t>)</w:t>
      </w:r>
      <w:r w:rsidR="00B105D6" w:rsidRPr="000D096C">
        <w:rPr>
          <w:rFonts w:ascii="Times New Roman" w:hAnsi="Times New Roman" w:cs="Times New Roman"/>
          <w:bCs/>
          <w:sz w:val="24"/>
          <w:szCs w:val="24"/>
        </w:rPr>
        <w:t xml:space="preserve"> nebo </w:t>
      </w:r>
      <w:r w:rsidR="00283503">
        <w:rPr>
          <w:rFonts w:ascii="Times New Roman" w:hAnsi="Times New Roman" w:cs="Times New Roman"/>
          <w:bCs/>
          <w:sz w:val="24"/>
          <w:szCs w:val="24"/>
        </w:rPr>
        <w:t>a</w:t>
      </w:r>
      <w:r w:rsidR="00283503" w:rsidRPr="00283503">
        <w:rPr>
          <w:rFonts w:ascii="Times New Roman" w:hAnsi="Times New Roman" w:cs="Times New Roman"/>
          <w:bCs/>
          <w:sz w:val="24"/>
          <w:szCs w:val="24"/>
        </w:rPr>
        <w:t>terogenní index plazmy</w:t>
      </w:r>
      <w:r w:rsidR="00283503">
        <w:rPr>
          <w:rFonts w:ascii="Times New Roman" w:hAnsi="Times New Roman" w:cs="Times New Roman"/>
          <w:bCs/>
          <w:sz w:val="24"/>
          <w:szCs w:val="24"/>
        </w:rPr>
        <w:t xml:space="preserve"> (</w:t>
      </w:r>
      <w:r w:rsidR="00B105D6" w:rsidRPr="000D096C">
        <w:rPr>
          <w:rFonts w:ascii="Times New Roman" w:hAnsi="Times New Roman" w:cs="Times New Roman"/>
          <w:bCs/>
          <w:sz w:val="24"/>
          <w:szCs w:val="24"/>
        </w:rPr>
        <w:t>AIP</w:t>
      </w:r>
      <w:r w:rsidR="00283503">
        <w:rPr>
          <w:rFonts w:ascii="Times New Roman" w:hAnsi="Times New Roman" w:cs="Times New Roman"/>
          <w:bCs/>
          <w:sz w:val="24"/>
          <w:szCs w:val="24"/>
        </w:rPr>
        <w:t>)</w:t>
      </w:r>
      <w:r w:rsidR="00DF1889" w:rsidRPr="000D096C">
        <w:rPr>
          <w:rFonts w:ascii="Times New Roman" w:hAnsi="Times New Roman" w:cs="Times New Roman"/>
          <w:bCs/>
          <w:sz w:val="24"/>
          <w:szCs w:val="24"/>
        </w:rPr>
        <w:t xml:space="preserve"> </w:t>
      </w:r>
      <w:r w:rsidR="00022457" w:rsidRPr="000D096C">
        <w:rPr>
          <w:rFonts w:ascii="Times New Roman" w:hAnsi="Times New Roman" w:cs="Times New Roman"/>
          <w:sz w:val="24"/>
          <w:szCs w:val="24"/>
        </w:rPr>
        <w:t>[3</w:t>
      </w:r>
      <w:r w:rsidR="000F324A" w:rsidRPr="000D096C">
        <w:rPr>
          <w:rFonts w:ascii="Times New Roman" w:hAnsi="Times New Roman" w:cs="Times New Roman"/>
          <w:sz w:val="24"/>
          <w:szCs w:val="24"/>
        </w:rPr>
        <w:t>3</w:t>
      </w:r>
      <w:r w:rsidR="00DF1889" w:rsidRPr="000D096C">
        <w:rPr>
          <w:rFonts w:ascii="Times New Roman" w:hAnsi="Times New Roman" w:cs="Times New Roman"/>
          <w:sz w:val="24"/>
          <w:szCs w:val="24"/>
        </w:rPr>
        <w:t>]</w:t>
      </w:r>
      <w:r w:rsidR="00B105D6" w:rsidRPr="000D096C">
        <w:rPr>
          <w:rFonts w:ascii="Times New Roman" w:hAnsi="Times New Roman" w:cs="Times New Roman"/>
          <w:bCs/>
          <w:sz w:val="24"/>
          <w:szCs w:val="24"/>
        </w:rPr>
        <w:t>.</w:t>
      </w:r>
    </w:p>
    <w:p w:rsidR="00B105D6" w:rsidRPr="000D096C" w:rsidRDefault="00B105D6" w:rsidP="004567D5">
      <w:pPr>
        <w:spacing w:line="360" w:lineRule="auto"/>
        <w:jc w:val="both"/>
        <w:rPr>
          <w:rFonts w:ascii="Times New Roman" w:hAnsi="Times New Roman" w:cs="Times New Roman"/>
          <w:b/>
          <w:bCs/>
          <w:sz w:val="24"/>
          <w:szCs w:val="24"/>
        </w:rPr>
      </w:pPr>
      <w:r w:rsidRPr="000D096C">
        <w:rPr>
          <w:rFonts w:ascii="Times New Roman" w:hAnsi="Times New Roman" w:cs="Times New Roman"/>
          <w:b/>
          <w:bCs/>
          <w:sz w:val="24"/>
          <w:szCs w:val="24"/>
        </w:rPr>
        <w:t>Visceral adiposity index</w:t>
      </w:r>
    </w:p>
    <w:p w:rsidR="00B105D6" w:rsidRPr="000D096C" w:rsidRDefault="00B105D6" w:rsidP="004567D5">
      <w:pPr>
        <w:spacing w:line="360" w:lineRule="auto"/>
        <w:jc w:val="both"/>
        <w:rPr>
          <w:rFonts w:ascii="Times New Roman" w:hAnsi="Times New Roman" w:cs="Times New Roman"/>
          <w:bCs/>
          <w:sz w:val="24"/>
          <w:szCs w:val="24"/>
        </w:rPr>
      </w:pPr>
      <w:r w:rsidRPr="000D096C">
        <w:rPr>
          <w:rFonts w:ascii="Times New Roman" w:hAnsi="Times New Roman" w:cs="Times New Roman"/>
          <w:bCs/>
          <w:sz w:val="24"/>
          <w:szCs w:val="24"/>
        </w:rPr>
        <w:tab/>
        <w:t>V posledních letech přibývá v literatuře informací o tomto relativně novém</w:t>
      </w:r>
      <w:r w:rsidR="00DF1889" w:rsidRPr="000D096C">
        <w:rPr>
          <w:rFonts w:ascii="Times New Roman" w:hAnsi="Times New Roman" w:cs="Times New Roman"/>
          <w:bCs/>
          <w:sz w:val="24"/>
          <w:szCs w:val="24"/>
        </w:rPr>
        <w:t xml:space="preserve"> </w:t>
      </w:r>
      <w:r w:rsidRPr="000D096C">
        <w:rPr>
          <w:rFonts w:ascii="Times New Roman" w:hAnsi="Times New Roman" w:cs="Times New Roman"/>
          <w:bCs/>
          <w:sz w:val="24"/>
          <w:szCs w:val="24"/>
        </w:rPr>
        <w:t>prediktivním modelu vycházejícím ze základních lipidových a antropometrických p</w:t>
      </w:r>
      <w:r w:rsidR="00DF1889" w:rsidRPr="000D096C">
        <w:rPr>
          <w:rFonts w:ascii="Times New Roman" w:hAnsi="Times New Roman" w:cs="Times New Roman"/>
          <w:bCs/>
          <w:sz w:val="24"/>
          <w:szCs w:val="24"/>
        </w:rPr>
        <w:t xml:space="preserve">arametrů. Tento index je spolehlivým indikátorem dysfunkce tukové tkáně, úzce patogeneticky svázané s rozvojem IR, a jeho zvýšení je v silné vazbě s kardiovaskulárním rizikem </w:t>
      </w:r>
      <w:r w:rsidR="00DF1889" w:rsidRPr="000D096C">
        <w:rPr>
          <w:rFonts w:ascii="Times New Roman" w:hAnsi="Times New Roman" w:cs="Times New Roman"/>
          <w:sz w:val="24"/>
          <w:szCs w:val="24"/>
        </w:rPr>
        <w:t>[</w:t>
      </w:r>
      <w:r w:rsidR="00022457" w:rsidRPr="000D096C">
        <w:rPr>
          <w:rFonts w:ascii="Times New Roman" w:hAnsi="Times New Roman" w:cs="Times New Roman"/>
          <w:sz w:val="24"/>
          <w:szCs w:val="24"/>
        </w:rPr>
        <w:t>3</w:t>
      </w:r>
      <w:r w:rsidR="000F324A" w:rsidRPr="000D096C">
        <w:rPr>
          <w:rFonts w:ascii="Times New Roman" w:hAnsi="Times New Roman" w:cs="Times New Roman"/>
          <w:sz w:val="24"/>
          <w:szCs w:val="24"/>
        </w:rPr>
        <w:t>4</w:t>
      </w:r>
      <w:r w:rsidR="00DF1889" w:rsidRPr="000D096C">
        <w:rPr>
          <w:rFonts w:ascii="Times New Roman" w:hAnsi="Times New Roman" w:cs="Times New Roman"/>
          <w:sz w:val="24"/>
          <w:szCs w:val="24"/>
        </w:rPr>
        <w:t>]</w:t>
      </w:r>
      <w:r w:rsidR="00DF1889" w:rsidRPr="000D096C">
        <w:rPr>
          <w:rFonts w:ascii="Times New Roman" w:hAnsi="Times New Roman" w:cs="Times New Roman"/>
          <w:bCs/>
          <w:sz w:val="24"/>
          <w:szCs w:val="24"/>
        </w:rPr>
        <w:t>.</w:t>
      </w:r>
    </w:p>
    <w:p w:rsidR="00DF1889" w:rsidRPr="000D096C" w:rsidRDefault="00DF1889" w:rsidP="004567D5">
      <w:pPr>
        <w:spacing w:line="360" w:lineRule="auto"/>
        <w:jc w:val="both"/>
        <w:rPr>
          <w:rFonts w:ascii="Times New Roman" w:hAnsi="Times New Roman" w:cs="Times New Roman"/>
          <w:bCs/>
          <w:sz w:val="24"/>
          <w:szCs w:val="24"/>
        </w:rPr>
      </w:pPr>
      <w:r w:rsidRPr="000D096C">
        <w:rPr>
          <w:rFonts w:ascii="Times New Roman" w:hAnsi="Times New Roman" w:cs="Times New Roman"/>
          <w:bCs/>
          <w:sz w:val="24"/>
          <w:szCs w:val="24"/>
        </w:rPr>
        <w:t>VAI je stanovován s využitím následujících vzorců pro obě pohlaví</w:t>
      </w:r>
      <w:r w:rsidR="00B972D4">
        <w:rPr>
          <w:rFonts w:ascii="Times New Roman" w:hAnsi="Times New Roman" w:cs="Times New Roman"/>
          <w:bCs/>
          <w:sz w:val="24"/>
          <w:szCs w:val="24"/>
        </w:rPr>
        <w:t xml:space="preserve"> </w:t>
      </w:r>
      <w:r w:rsidR="00B972D4" w:rsidRPr="000D096C">
        <w:rPr>
          <w:rFonts w:ascii="Times New Roman" w:hAnsi="Times New Roman" w:cs="Times New Roman"/>
          <w:sz w:val="24"/>
          <w:szCs w:val="24"/>
        </w:rPr>
        <w:t>[34]</w:t>
      </w:r>
      <w:r w:rsidRPr="000D096C">
        <w:rPr>
          <w:rFonts w:ascii="Times New Roman" w:hAnsi="Times New Roman" w:cs="Times New Roman"/>
          <w:bCs/>
          <w:sz w:val="24"/>
          <w:szCs w:val="24"/>
        </w:rPr>
        <w:t>:</w:t>
      </w:r>
    </w:p>
    <w:p w:rsidR="00DF1889" w:rsidRPr="000D096C" w:rsidRDefault="00DF1889" w:rsidP="004567D5">
      <w:pPr>
        <w:pStyle w:val="MDPI22heading2"/>
        <w:spacing w:line="360" w:lineRule="auto"/>
        <w:jc w:val="both"/>
        <w:rPr>
          <w:rFonts w:ascii="Times New Roman" w:hAnsi="Times New Roman"/>
          <w:color w:val="auto"/>
          <w:sz w:val="24"/>
          <w:szCs w:val="24"/>
          <w:lang w:val="cs-CZ"/>
        </w:rPr>
      </w:pPr>
      <w:bookmarkStart w:id="47" w:name="_Toc33432671"/>
      <w:bookmarkStart w:id="48" w:name="_Toc33432798"/>
      <w:bookmarkStart w:id="49" w:name="_Toc33432891"/>
      <w:bookmarkStart w:id="50" w:name="_Toc33433042"/>
      <w:bookmarkStart w:id="51" w:name="_Toc33433160"/>
      <w:bookmarkStart w:id="52" w:name="_Toc33436597"/>
      <w:bookmarkStart w:id="53" w:name="_Toc33869530"/>
      <m:oMathPara>
        <m:oMath>
          <m:r>
            <w:rPr>
              <w:rFonts w:ascii="Cambria Math" w:hAnsi="Cambria Math"/>
              <w:color w:val="auto"/>
              <w:sz w:val="24"/>
              <w:szCs w:val="24"/>
              <w:lang w:val="cs-CZ"/>
            </w:rPr>
            <m:t>VAI u žen=</m:t>
          </m:r>
          <m:d>
            <m:dPr>
              <m:ctrlPr>
                <w:rPr>
                  <w:rFonts w:ascii="Cambria Math" w:hAnsi="Cambria Math"/>
                  <w:color w:val="auto"/>
                  <w:sz w:val="24"/>
                  <w:szCs w:val="24"/>
                  <w:lang w:val="cs-CZ"/>
                </w:rPr>
              </m:ctrlPr>
            </m:dPr>
            <m:e>
              <m:f>
                <m:fPr>
                  <m:ctrlPr>
                    <w:rPr>
                      <w:rFonts w:ascii="Cambria Math" w:hAnsi="Cambria Math"/>
                      <w:color w:val="auto"/>
                      <w:sz w:val="24"/>
                      <w:szCs w:val="24"/>
                      <w:lang w:val="cs-CZ"/>
                    </w:rPr>
                  </m:ctrlPr>
                </m:fPr>
                <m:num>
                  <m:r>
                    <w:rPr>
                      <w:rFonts w:ascii="Cambria Math" w:hAnsi="Cambria Math"/>
                      <w:color w:val="auto"/>
                      <w:sz w:val="24"/>
                      <w:szCs w:val="24"/>
                      <w:lang w:val="cs-CZ"/>
                    </w:rPr>
                    <m:t>OP</m:t>
                  </m:r>
                </m:num>
                <m:den>
                  <m:r>
                    <w:rPr>
                      <w:rFonts w:ascii="Cambria Math" w:hAnsi="Cambria Math"/>
                      <w:color w:val="auto"/>
                      <w:sz w:val="24"/>
                      <w:szCs w:val="24"/>
                      <w:lang w:val="cs-CZ"/>
                    </w:rPr>
                    <m:t>36,58+</m:t>
                  </m:r>
                  <m:d>
                    <m:dPr>
                      <m:ctrlPr>
                        <w:rPr>
                          <w:rFonts w:ascii="Cambria Math" w:hAnsi="Cambria Math"/>
                          <w:color w:val="auto"/>
                          <w:sz w:val="24"/>
                          <w:szCs w:val="24"/>
                          <w:lang w:val="cs-CZ"/>
                        </w:rPr>
                      </m:ctrlPr>
                    </m:dPr>
                    <m:e>
                      <m:r>
                        <w:rPr>
                          <w:rFonts w:ascii="Cambria Math" w:hAnsi="Cambria Math"/>
                          <w:color w:val="auto"/>
                          <w:sz w:val="24"/>
                          <w:szCs w:val="24"/>
                          <w:lang w:val="cs-CZ"/>
                        </w:rPr>
                        <m:t>1,89 ×BMI</m:t>
                      </m:r>
                    </m:e>
                  </m:d>
                </m:den>
              </m:f>
            </m:e>
          </m:d>
          <m:r>
            <w:rPr>
              <w:rFonts w:ascii="Cambria Math" w:hAnsi="Cambria Math"/>
              <w:color w:val="auto"/>
              <w:sz w:val="24"/>
              <w:szCs w:val="24"/>
              <w:lang w:val="cs-CZ"/>
            </w:rPr>
            <m:t>×(</m:t>
          </m:r>
          <m:f>
            <m:fPr>
              <m:ctrlPr>
                <w:rPr>
                  <w:rFonts w:ascii="Cambria Math" w:hAnsi="Cambria Math"/>
                  <w:color w:val="auto"/>
                  <w:sz w:val="24"/>
                  <w:szCs w:val="24"/>
                  <w:lang w:val="cs-CZ"/>
                </w:rPr>
              </m:ctrlPr>
            </m:fPr>
            <m:num>
              <m:r>
                <w:rPr>
                  <w:rFonts w:ascii="Cambria Math" w:hAnsi="Cambria Math"/>
                  <w:color w:val="auto"/>
                  <w:sz w:val="24"/>
                  <w:szCs w:val="24"/>
                  <w:lang w:val="cs-CZ"/>
                </w:rPr>
                <m:t>TAG</m:t>
              </m:r>
            </m:num>
            <m:den>
              <m:r>
                <w:rPr>
                  <w:rFonts w:ascii="Cambria Math" w:hAnsi="Cambria Math"/>
                  <w:color w:val="auto"/>
                  <w:sz w:val="24"/>
                  <w:szCs w:val="24"/>
                  <w:lang w:val="cs-CZ"/>
                </w:rPr>
                <m:t>0,81</m:t>
              </m:r>
            </m:den>
          </m:f>
          <m:r>
            <w:rPr>
              <w:rFonts w:ascii="Cambria Math" w:hAnsi="Cambria Math"/>
              <w:color w:val="auto"/>
              <w:sz w:val="24"/>
              <w:szCs w:val="24"/>
              <w:lang w:val="cs-CZ"/>
            </w:rPr>
            <m:t>)×(</m:t>
          </m:r>
          <m:f>
            <m:fPr>
              <m:ctrlPr>
                <w:rPr>
                  <w:rFonts w:ascii="Cambria Math" w:hAnsi="Cambria Math"/>
                  <w:color w:val="auto"/>
                  <w:sz w:val="24"/>
                  <w:szCs w:val="24"/>
                  <w:lang w:val="cs-CZ"/>
                </w:rPr>
              </m:ctrlPr>
            </m:fPr>
            <m:num>
              <m:r>
                <w:rPr>
                  <w:rFonts w:ascii="Cambria Math" w:hAnsi="Cambria Math"/>
                  <w:color w:val="auto"/>
                  <w:sz w:val="24"/>
                  <w:szCs w:val="24"/>
                  <w:lang w:val="cs-CZ"/>
                </w:rPr>
                <m:t>1,52</m:t>
              </m:r>
            </m:num>
            <m:den>
              <m:r>
                <w:rPr>
                  <w:rFonts w:ascii="Cambria Math" w:hAnsi="Cambria Math"/>
                  <w:color w:val="auto"/>
                  <w:sz w:val="24"/>
                  <w:szCs w:val="24"/>
                  <w:lang w:val="cs-CZ"/>
                </w:rPr>
                <m:t>HDL</m:t>
              </m:r>
            </m:den>
          </m:f>
          <m:r>
            <w:rPr>
              <w:rFonts w:ascii="Cambria Math" w:hAnsi="Cambria Math"/>
              <w:color w:val="auto"/>
              <w:sz w:val="24"/>
              <w:szCs w:val="24"/>
              <w:lang w:val="cs-CZ"/>
            </w:rPr>
            <m:t>)</m:t>
          </m:r>
        </m:oMath>
      </m:oMathPara>
      <w:bookmarkEnd w:id="47"/>
      <w:bookmarkEnd w:id="48"/>
      <w:bookmarkEnd w:id="49"/>
      <w:bookmarkEnd w:id="50"/>
      <w:bookmarkEnd w:id="51"/>
      <w:bookmarkEnd w:id="52"/>
      <w:bookmarkEnd w:id="53"/>
    </w:p>
    <w:p w:rsidR="00DF1889" w:rsidRPr="000D096C" w:rsidRDefault="00DF1889" w:rsidP="004567D5">
      <w:pPr>
        <w:pStyle w:val="MDPI22heading2"/>
        <w:spacing w:line="360" w:lineRule="auto"/>
        <w:jc w:val="both"/>
        <w:rPr>
          <w:rFonts w:ascii="Times New Roman" w:hAnsi="Times New Roman"/>
          <w:color w:val="auto"/>
          <w:sz w:val="24"/>
          <w:szCs w:val="24"/>
          <w:lang w:val="cs-CZ"/>
        </w:rPr>
      </w:pPr>
      <w:bookmarkStart w:id="54" w:name="_Toc33432672"/>
      <w:bookmarkStart w:id="55" w:name="_Toc33432799"/>
      <w:bookmarkStart w:id="56" w:name="_Toc33432892"/>
      <w:bookmarkStart w:id="57" w:name="_Toc33433043"/>
      <w:bookmarkStart w:id="58" w:name="_Toc33433161"/>
      <w:bookmarkStart w:id="59" w:name="_Toc33436598"/>
      <w:bookmarkStart w:id="60" w:name="_Toc33869531"/>
      <m:oMathPara>
        <m:oMath>
          <m:r>
            <w:rPr>
              <w:rFonts w:ascii="Cambria Math" w:hAnsi="Cambria Math"/>
              <w:color w:val="auto"/>
              <w:sz w:val="24"/>
              <w:szCs w:val="24"/>
              <w:lang w:val="cs-CZ"/>
            </w:rPr>
            <m:t>VAI u mužů=</m:t>
          </m:r>
          <m:d>
            <m:dPr>
              <m:ctrlPr>
                <w:rPr>
                  <w:rFonts w:ascii="Cambria Math" w:hAnsi="Cambria Math"/>
                  <w:color w:val="auto"/>
                  <w:sz w:val="24"/>
                  <w:szCs w:val="24"/>
                  <w:lang w:val="cs-CZ"/>
                </w:rPr>
              </m:ctrlPr>
            </m:dPr>
            <m:e>
              <m:f>
                <m:fPr>
                  <m:ctrlPr>
                    <w:rPr>
                      <w:rFonts w:ascii="Cambria Math" w:hAnsi="Cambria Math"/>
                      <w:color w:val="auto"/>
                      <w:sz w:val="24"/>
                      <w:szCs w:val="24"/>
                      <w:lang w:val="cs-CZ"/>
                    </w:rPr>
                  </m:ctrlPr>
                </m:fPr>
                <m:num>
                  <m:r>
                    <w:rPr>
                      <w:rFonts w:ascii="Cambria Math" w:hAnsi="Cambria Math"/>
                      <w:color w:val="auto"/>
                      <w:sz w:val="24"/>
                      <w:szCs w:val="24"/>
                      <w:lang w:val="cs-CZ"/>
                    </w:rPr>
                    <m:t>OP</m:t>
                  </m:r>
                </m:num>
                <m:den>
                  <m:r>
                    <w:rPr>
                      <w:rFonts w:ascii="Cambria Math" w:hAnsi="Cambria Math"/>
                      <w:color w:val="auto"/>
                      <w:sz w:val="24"/>
                      <w:szCs w:val="24"/>
                      <w:lang w:val="cs-CZ"/>
                    </w:rPr>
                    <m:t>39,68+</m:t>
                  </m:r>
                  <m:d>
                    <m:dPr>
                      <m:ctrlPr>
                        <w:rPr>
                          <w:rFonts w:ascii="Cambria Math" w:hAnsi="Cambria Math"/>
                          <w:color w:val="auto"/>
                          <w:sz w:val="24"/>
                          <w:szCs w:val="24"/>
                          <w:lang w:val="cs-CZ"/>
                        </w:rPr>
                      </m:ctrlPr>
                    </m:dPr>
                    <m:e>
                      <m:r>
                        <w:rPr>
                          <w:rFonts w:ascii="Cambria Math" w:hAnsi="Cambria Math"/>
                          <w:color w:val="auto"/>
                          <w:sz w:val="24"/>
                          <w:szCs w:val="24"/>
                          <w:lang w:val="cs-CZ"/>
                        </w:rPr>
                        <m:t>1,88 ×BMI</m:t>
                      </m:r>
                    </m:e>
                  </m:d>
                </m:den>
              </m:f>
            </m:e>
          </m:d>
          <m:r>
            <w:rPr>
              <w:rFonts w:ascii="Cambria Math" w:hAnsi="Cambria Math"/>
              <w:color w:val="auto"/>
              <w:sz w:val="24"/>
              <w:szCs w:val="24"/>
              <w:lang w:val="cs-CZ"/>
            </w:rPr>
            <m:t>×(</m:t>
          </m:r>
          <m:f>
            <m:fPr>
              <m:ctrlPr>
                <w:rPr>
                  <w:rFonts w:ascii="Cambria Math" w:hAnsi="Cambria Math"/>
                  <w:color w:val="auto"/>
                  <w:sz w:val="24"/>
                  <w:szCs w:val="24"/>
                  <w:lang w:val="cs-CZ"/>
                </w:rPr>
              </m:ctrlPr>
            </m:fPr>
            <m:num>
              <m:r>
                <w:rPr>
                  <w:rFonts w:ascii="Cambria Math" w:hAnsi="Cambria Math"/>
                  <w:color w:val="auto"/>
                  <w:sz w:val="24"/>
                  <w:szCs w:val="24"/>
                  <w:lang w:val="cs-CZ"/>
                </w:rPr>
                <m:t>TAG</m:t>
              </m:r>
            </m:num>
            <m:den>
              <m:r>
                <w:rPr>
                  <w:rFonts w:ascii="Cambria Math" w:hAnsi="Cambria Math"/>
                  <w:color w:val="auto"/>
                  <w:sz w:val="24"/>
                  <w:szCs w:val="24"/>
                  <w:lang w:val="cs-CZ"/>
                </w:rPr>
                <m:t>1,03</m:t>
              </m:r>
            </m:den>
          </m:f>
          <m:r>
            <w:rPr>
              <w:rFonts w:ascii="Cambria Math" w:hAnsi="Cambria Math"/>
              <w:color w:val="auto"/>
              <w:sz w:val="24"/>
              <w:szCs w:val="24"/>
              <w:lang w:val="cs-CZ"/>
            </w:rPr>
            <m:t>)×(</m:t>
          </m:r>
          <m:f>
            <m:fPr>
              <m:ctrlPr>
                <w:rPr>
                  <w:rFonts w:ascii="Cambria Math" w:hAnsi="Cambria Math"/>
                  <w:color w:val="auto"/>
                  <w:sz w:val="24"/>
                  <w:szCs w:val="24"/>
                  <w:lang w:val="cs-CZ"/>
                </w:rPr>
              </m:ctrlPr>
            </m:fPr>
            <m:num>
              <m:r>
                <w:rPr>
                  <w:rFonts w:ascii="Cambria Math" w:hAnsi="Cambria Math"/>
                  <w:color w:val="auto"/>
                  <w:sz w:val="24"/>
                  <w:szCs w:val="24"/>
                  <w:lang w:val="cs-CZ"/>
                </w:rPr>
                <m:t>1,31</m:t>
              </m:r>
            </m:num>
            <m:den>
              <m:r>
                <w:rPr>
                  <w:rFonts w:ascii="Cambria Math" w:hAnsi="Cambria Math"/>
                  <w:color w:val="auto"/>
                  <w:sz w:val="24"/>
                  <w:szCs w:val="24"/>
                  <w:lang w:val="cs-CZ"/>
                </w:rPr>
                <m:t>HDL</m:t>
              </m:r>
            </m:den>
          </m:f>
          <m:r>
            <w:rPr>
              <w:rFonts w:ascii="Cambria Math" w:hAnsi="Cambria Math"/>
              <w:color w:val="auto"/>
              <w:sz w:val="24"/>
              <w:szCs w:val="24"/>
              <w:lang w:val="cs-CZ"/>
            </w:rPr>
            <m:t>)</m:t>
          </m:r>
        </m:oMath>
      </m:oMathPara>
      <w:bookmarkEnd w:id="54"/>
      <w:bookmarkEnd w:id="55"/>
      <w:bookmarkEnd w:id="56"/>
      <w:bookmarkEnd w:id="57"/>
      <w:bookmarkEnd w:id="58"/>
      <w:bookmarkEnd w:id="59"/>
      <w:bookmarkEnd w:id="60"/>
    </w:p>
    <w:p w:rsidR="00DF1889" w:rsidRPr="000D096C" w:rsidRDefault="00DF1889" w:rsidP="004567D5">
      <w:pPr>
        <w:spacing w:line="360" w:lineRule="auto"/>
        <w:jc w:val="both"/>
        <w:rPr>
          <w:rFonts w:ascii="Times New Roman" w:hAnsi="Times New Roman" w:cs="Times New Roman"/>
          <w:bCs/>
          <w:sz w:val="24"/>
          <w:szCs w:val="24"/>
        </w:rPr>
      </w:pPr>
      <w:r w:rsidRPr="000D096C">
        <w:rPr>
          <w:rFonts w:ascii="Times New Roman" w:hAnsi="Times New Roman" w:cs="Times New Roman"/>
          <w:bCs/>
          <w:sz w:val="24"/>
          <w:szCs w:val="24"/>
        </w:rPr>
        <w:t>(OP v cm, BMI v kg/m</w:t>
      </w:r>
      <w:r w:rsidRPr="000D096C">
        <w:rPr>
          <w:rFonts w:ascii="Times New Roman" w:hAnsi="Times New Roman" w:cs="Times New Roman"/>
          <w:bCs/>
          <w:sz w:val="24"/>
          <w:szCs w:val="24"/>
          <w:vertAlign w:val="superscript"/>
        </w:rPr>
        <w:t>2</w:t>
      </w:r>
      <w:r w:rsidRPr="000D096C">
        <w:rPr>
          <w:rFonts w:ascii="Times New Roman" w:hAnsi="Times New Roman" w:cs="Times New Roman"/>
          <w:bCs/>
          <w:sz w:val="24"/>
          <w:szCs w:val="24"/>
        </w:rPr>
        <w:t>, TAG v mmol/, HDL v mmol/l)</w:t>
      </w:r>
    </w:p>
    <w:p w:rsidR="00015B8C" w:rsidRPr="000D096C" w:rsidRDefault="000D48C6" w:rsidP="004567D5">
      <w:pP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At</w:t>
      </w:r>
      <w:r w:rsidR="00283503">
        <w:rPr>
          <w:rFonts w:ascii="Times New Roman" w:hAnsi="Times New Roman" w:cs="Times New Roman"/>
          <w:b/>
          <w:sz w:val="24"/>
          <w:szCs w:val="24"/>
        </w:rPr>
        <w:t>erogenní index plaz</w:t>
      </w:r>
      <w:r w:rsidR="00015B8C" w:rsidRPr="000D096C">
        <w:rPr>
          <w:rFonts w:ascii="Times New Roman" w:hAnsi="Times New Roman" w:cs="Times New Roman"/>
          <w:b/>
          <w:sz w:val="24"/>
          <w:szCs w:val="24"/>
        </w:rPr>
        <w:t>my</w:t>
      </w:r>
    </w:p>
    <w:p w:rsidR="00015B8C" w:rsidRPr="000D096C" w:rsidRDefault="00015B8C" w:rsidP="004567D5">
      <w:pPr>
        <w:pStyle w:val="Bezmezer"/>
        <w:spacing w:after="160" w:line="360" w:lineRule="auto"/>
        <w:ind w:firstLine="709"/>
        <w:jc w:val="both"/>
        <w:rPr>
          <w:rFonts w:ascii="Times New Roman" w:hAnsi="Times New Roman" w:cs="Times New Roman"/>
          <w:sz w:val="24"/>
          <w:szCs w:val="24"/>
          <w:shd w:val="clear" w:color="auto" w:fill="FFFFFF"/>
        </w:rPr>
      </w:pPr>
      <w:r w:rsidRPr="000D096C">
        <w:rPr>
          <w:rFonts w:ascii="Times New Roman" w:hAnsi="Times New Roman" w:cs="Times New Roman"/>
          <w:sz w:val="24"/>
          <w:szCs w:val="24"/>
          <w:shd w:val="clear" w:color="auto" w:fill="FFFFFF"/>
        </w:rPr>
        <w:t>S kardiometabolickým rizikem je asociován rovněž AIP</w:t>
      </w:r>
      <w:r w:rsidR="002F2BB6" w:rsidRPr="000D096C">
        <w:rPr>
          <w:rFonts w:ascii="Times New Roman" w:hAnsi="Times New Roman" w:cs="Times New Roman"/>
          <w:sz w:val="24"/>
          <w:szCs w:val="24"/>
          <w:shd w:val="clear" w:color="auto" w:fill="FFFFFF"/>
        </w:rPr>
        <w:t>. AIP reflek</w:t>
      </w:r>
      <w:r w:rsidRPr="000D096C">
        <w:rPr>
          <w:rFonts w:ascii="Times New Roman" w:hAnsi="Times New Roman" w:cs="Times New Roman"/>
          <w:sz w:val="24"/>
          <w:szCs w:val="24"/>
          <w:shd w:val="clear" w:color="auto" w:fill="FFFFFF"/>
        </w:rPr>
        <w:t>t</w:t>
      </w:r>
      <w:r w:rsidR="002F2BB6" w:rsidRPr="000D096C">
        <w:rPr>
          <w:rFonts w:ascii="Times New Roman" w:hAnsi="Times New Roman" w:cs="Times New Roman"/>
          <w:sz w:val="24"/>
          <w:szCs w:val="24"/>
          <w:shd w:val="clear" w:color="auto" w:fill="FFFFFF"/>
        </w:rPr>
        <w:t>uje</w:t>
      </w:r>
      <w:r w:rsidRPr="000D096C">
        <w:rPr>
          <w:rFonts w:ascii="Times New Roman" w:hAnsi="Times New Roman" w:cs="Times New Roman"/>
          <w:sz w:val="24"/>
          <w:szCs w:val="24"/>
          <w:shd w:val="clear" w:color="auto" w:fill="FFFFFF"/>
        </w:rPr>
        <w:t xml:space="preserve"> </w:t>
      </w:r>
      <w:r w:rsidR="002F2BB6" w:rsidRPr="000D096C">
        <w:rPr>
          <w:rFonts w:ascii="Times New Roman" w:hAnsi="Times New Roman" w:cs="Times New Roman"/>
          <w:sz w:val="24"/>
          <w:szCs w:val="24"/>
          <w:shd w:val="clear" w:color="auto" w:fill="FFFFFF"/>
        </w:rPr>
        <w:t>skutečn</w:t>
      </w:r>
      <w:r w:rsidR="000D48C6" w:rsidRPr="000D096C">
        <w:rPr>
          <w:rFonts w:ascii="Times New Roman" w:hAnsi="Times New Roman" w:cs="Times New Roman"/>
          <w:sz w:val="24"/>
          <w:szCs w:val="24"/>
          <w:shd w:val="clear" w:color="auto" w:fill="FFFFFF"/>
        </w:rPr>
        <w:t>ý vztah mezi protektivními a at</w:t>
      </w:r>
      <w:r w:rsidR="002F2BB6" w:rsidRPr="000D096C">
        <w:rPr>
          <w:rFonts w:ascii="Times New Roman" w:hAnsi="Times New Roman" w:cs="Times New Roman"/>
          <w:sz w:val="24"/>
          <w:szCs w:val="24"/>
          <w:shd w:val="clear" w:color="auto" w:fill="FFFFFF"/>
        </w:rPr>
        <w:t>erogenními lipoproteiny a je asoci</w:t>
      </w:r>
      <w:r w:rsidR="000D48C6" w:rsidRPr="000D096C">
        <w:rPr>
          <w:rFonts w:ascii="Times New Roman" w:hAnsi="Times New Roman" w:cs="Times New Roman"/>
          <w:sz w:val="24"/>
          <w:szCs w:val="24"/>
          <w:shd w:val="clear" w:color="auto" w:fill="FFFFFF"/>
        </w:rPr>
        <w:t>ován s velikostí pro- a anti-at</w:t>
      </w:r>
      <w:r w:rsidR="002F2BB6" w:rsidRPr="000D096C">
        <w:rPr>
          <w:rFonts w:ascii="Times New Roman" w:hAnsi="Times New Roman" w:cs="Times New Roman"/>
          <w:sz w:val="24"/>
          <w:szCs w:val="24"/>
          <w:shd w:val="clear" w:color="auto" w:fill="FFFFFF"/>
        </w:rPr>
        <w:t xml:space="preserve">erogenních lipoproteinových částic. </w:t>
      </w:r>
      <w:r w:rsidRPr="000D096C">
        <w:rPr>
          <w:rFonts w:ascii="Times New Roman" w:hAnsi="Times New Roman" w:cs="Times New Roman"/>
          <w:sz w:val="24"/>
          <w:szCs w:val="24"/>
          <w:shd w:val="clear" w:color="auto" w:fill="FFFFFF"/>
        </w:rPr>
        <w:t>Na rozdíl od HOMA výpočet VAI ani AIP nevyžaduje znalost pacientovy inzulinémie, vychází ze zcela běžných parametrů (sérové lipidy u AIP, obohacené o základní antropometrické údaje v případě VAI)</w:t>
      </w:r>
      <w:r w:rsidR="0002572D" w:rsidRPr="000D096C">
        <w:rPr>
          <w:rFonts w:ascii="Times New Roman" w:hAnsi="Times New Roman" w:cs="Times New Roman"/>
          <w:sz w:val="24"/>
          <w:szCs w:val="24"/>
          <w:shd w:val="clear" w:color="auto" w:fill="FFFFFF"/>
        </w:rPr>
        <w:t xml:space="preserve"> </w:t>
      </w:r>
      <w:r w:rsidR="0002572D" w:rsidRPr="000D096C">
        <w:rPr>
          <w:rFonts w:ascii="Times New Roman" w:hAnsi="Times New Roman" w:cs="Times New Roman"/>
          <w:sz w:val="24"/>
          <w:szCs w:val="24"/>
        </w:rPr>
        <w:t>[</w:t>
      </w:r>
      <w:r w:rsidR="00022457" w:rsidRPr="000D096C">
        <w:rPr>
          <w:rFonts w:ascii="Times New Roman" w:hAnsi="Times New Roman" w:cs="Times New Roman"/>
          <w:sz w:val="24"/>
          <w:szCs w:val="24"/>
        </w:rPr>
        <w:t>35</w:t>
      </w:r>
      <w:r w:rsidR="000F324A" w:rsidRPr="000D096C">
        <w:rPr>
          <w:rFonts w:ascii="Times New Roman" w:hAnsi="Times New Roman" w:cs="Times New Roman"/>
          <w:sz w:val="24"/>
          <w:szCs w:val="24"/>
        </w:rPr>
        <w:t>, 36</w:t>
      </w:r>
      <w:r w:rsidR="0002572D" w:rsidRPr="000D096C">
        <w:rPr>
          <w:rFonts w:ascii="Times New Roman" w:hAnsi="Times New Roman" w:cs="Times New Roman"/>
          <w:sz w:val="24"/>
          <w:szCs w:val="24"/>
        </w:rPr>
        <w:t>]</w:t>
      </w:r>
      <w:r w:rsidRPr="000D096C">
        <w:rPr>
          <w:rFonts w:ascii="Times New Roman" w:hAnsi="Times New Roman" w:cs="Times New Roman"/>
          <w:sz w:val="24"/>
          <w:szCs w:val="24"/>
          <w:shd w:val="clear" w:color="auto" w:fill="FFFFFF"/>
        </w:rPr>
        <w:t>.</w:t>
      </w:r>
    </w:p>
    <w:p w:rsidR="002F2BB6" w:rsidRPr="000D096C" w:rsidRDefault="002F2BB6" w:rsidP="004567D5">
      <w:pPr>
        <w:spacing w:line="360" w:lineRule="auto"/>
        <w:rPr>
          <w:rFonts w:ascii="Times New Roman" w:hAnsi="Times New Roman" w:cs="Times New Roman"/>
          <w:sz w:val="24"/>
          <w:szCs w:val="24"/>
          <w:shd w:val="clear" w:color="auto" w:fill="FFFFFF"/>
        </w:rPr>
      </w:pPr>
      <w:r w:rsidRPr="000D096C">
        <w:rPr>
          <w:rFonts w:ascii="Times New Roman" w:hAnsi="Times New Roman" w:cs="Times New Roman"/>
          <w:sz w:val="24"/>
          <w:szCs w:val="24"/>
          <w:shd w:val="clear" w:color="auto" w:fill="FFFFFF"/>
        </w:rPr>
        <w:t>AIP je stanovován s využitím následujícího vzorce</w:t>
      </w:r>
      <w:r w:rsidR="00B972D4">
        <w:rPr>
          <w:rFonts w:ascii="Times New Roman" w:hAnsi="Times New Roman" w:cs="Times New Roman"/>
          <w:sz w:val="24"/>
          <w:szCs w:val="24"/>
          <w:shd w:val="clear" w:color="auto" w:fill="FFFFFF"/>
        </w:rPr>
        <w:t xml:space="preserve"> </w:t>
      </w:r>
      <w:r w:rsidR="00B972D4" w:rsidRPr="000D096C">
        <w:rPr>
          <w:rFonts w:ascii="Times New Roman" w:hAnsi="Times New Roman" w:cs="Times New Roman"/>
          <w:sz w:val="24"/>
          <w:szCs w:val="24"/>
        </w:rPr>
        <w:t>[3</w:t>
      </w:r>
      <w:r w:rsidR="00B972D4">
        <w:rPr>
          <w:rFonts w:ascii="Times New Roman" w:hAnsi="Times New Roman" w:cs="Times New Roman"/>
          <w:sz w:val="24"/>
          <w:szCs w:val="24"/>
        </w:rPr>
        <w:t>6</w:t>
      </w:r>
      <w:r w:rsidR="00B972D4" w:rsidRPr="000D096C">
        <w:rPr>
          <w:rFonts w:ascii="Times New Roman" w:hAnsi="Times New Roman" w:cs="Times New Roman"/>
          <w:sz w:val="24"/>
          <w:szCs w:val="24"/>
        </w:rPr>
        <w:t>]</w:t>
      </w:r>
      <w:r w:rsidRPr="000D096C">
        <w:rPr>
          <w:rFonts w:ascii="Times New Roman" w:hAnsi="Times New Roman" w:cs="Times New Roman"/>
          <w:sz w:val="24"/>
          <w:szCs w:val="24"/>
          <w:shd w:val="clear" w:color="auto" w:fill="FFFFFF"/>
        </w:rPr>
        <w:t>:</w:t>
      </w:r>
    </w:p>
    <w:p w:rsidR="002F2BB6" w:rsidRPr="000D096C" w:rsidRDefault="002F2BB6" w:rsidP="004567D5">
      <w:pPr>
        <w:pStyle w:val="MDPI22heading2"/>
        <w:spacing w:line="360" w:lineRule="auto"/>
        <w:jc w:val="both"/>
        <w:rPr>
          <w:rFonts w:ascii="Times New Roman" w:hAnsi="Times New Roman"/>
          <w:color w:val="auto"/>
          <w:sz w:val="24"/>
          <w:szCs w:val="24"/>
          <w:lang w:val="cs-CZ"/>
        </w:rPr>
      </w:pPr>
      <w:bookmarkStart w:id="61" w:name="_Toc33432673"/>
      <w:bookmarkStart w:id="62" w:name="_Toc33432800"/>
      <w:bookmarkStart w:id="63" w:name="_Toc33432893"/>
      <w:bookmarkStart w:id="64" w:name="_Toc33433044"/>
      <w:bookmarkStart w:id="65" w:name="_Toc33433162"/>
      <w:bookmarkStart w:id="66" w:name="_Toc33436599"/>
      <w:bookmarkStart w:id="67" w:name="_Toc33869532"/>
      <m:oMathPara>
        <m:oMath>
          <m:r>
            <w:rPr>
              <w:rFonts w:ascii="Cambria Math" w:hAnsi="Cambria Math"/>
              <w:color w:val="auto"/>
              <w:sz w:val="24"/>
              <w:szCs w:val="24"/>
              <w:lang w:val="cs-CZ"/>
            </w:rPr>
            <m:t>AIP= log</m:t>
          </m:r>
          <m:f>
            <m:fPr>
              <m:ctrlPr>
                <w:rPr>
                  <w:rFonts w:ascii="Cambria Math" w:hAnsi="Cambria Math"/>
                  <w:color w:val="auto"/>
                  <w:sz w:val="24"/>
                  <w:szCs w:val="24"/>
                  <w:lang w:val="cs-CZ"/>
                </w:rPr>
              </m:ctrlPr>
            </m:fPr>
            <m:num>
              <m:r>
                <w:rPr>
                  <w:rFonts w:ascii="Cambria Math" w:hAnsi="Cambria Math"/>
                  <w:color w:val="auto"/>
                  <w:sz w:val="24"/>
                  <w:szCs w:val="24"/>
                  <w:lang w:val="cs-CZ"/>
                </w:rPr>
                <m:t>TAG</m:t>
              </m:r>
            </m:num>
            <m:den>
              <m:r>
                <w:rPr>
                  <w:rFonts w:ascii="Cambria Math" w:hAnsi="Cambria Math"/>
                  <w:color w:val="auto"/>
                  <w:sz w:val="24"/>
                  <w:szCs w:val="24"/>
                  <w:lang w:val="cs-CZ"/>
                </w:rPr>
                <m:t>HDL</m:t>
              </m:r>
            </m:den>
          </m:f>
        </m:oMath>
      </m:oMathPara>
      <w:bookmarkEnd w:id="61"/>
      <w:bookmarkEnd w:id="62"/>
      <w:bookmarkEnd w:id="63"/>
      <w:bookmarkEnd w:id="64"/>
      <w:bookmarkEnd w:id="65"/>
      <w:bookmarkEnd w:id="66"/>
      <w:bookmarkEnd w:id="67"/>
    </w:p>
    <w:p w:rsidR="002F2BB6" w:rsidRPr="000D096C" w:rsidRDefault="002F2BB6" w:rsidP="004567D5">
      <w:pPr>
        <w:spacing w:line="360" w:lineRule="auto"/>
        <w:rPr>
          <w:rFonts w:ascii="Times New Roman" w:hAnsi="Times New Roman" w:cs="Times New Roman"/>
          <w:sz w:val="24"/>
          <w:szCs w:val="24"/>
        </w:rPr>
      </w:pPr>
      <w:r w:rsidRPr="000D096C">
        <w:rPr>
          <w:rFonts w:ascii="Times New Roman" w:hAnsi="Times New Roman" w:cs="Times New Roman"/>
          <w:sz w:val="24"/>
          <w:szCs w:val="24"/>
        </w:rPr>
        <w:t>(TAG v mmol/l, HDL v mmol/l)</w:t>
      </w:r>
    </w:p>
    <w:p w:rsidR="000A5C52" w:rsidRPr="000D096C" w:rsidRDefault="00124543" w:rsidP="004567D5">
      <w:pPr>
        <w:pStyle w:val="Nadpis3"/>
        <w:spacing w:line="360" w:lineRule="auto"/>
        <w:rPr>
          <w:rFonts w:cs="Times New Roman"/>
        </w:rPr>
      </w:pPr>
      <w:bookmarkStart w:id="68" w:name="_Toc33432674"/>
      <w:bookmarkStart w:id="69" w:name="_Toc33432894"/>
      <w:bookmarkStart w:id="70" w:name="_Toc33869533"/>
      <w:r w:rsidRPr="000D096C">
        <w:rPr>
          <w:rFonts w:cs="Times New Roman"/>
        </w:rPr>
        <w:t>Prevence</w:t>
      </w:r>
      <w:bookmarkEnd w:id="68"/>
      <w:bookmarkEnd w:id="69"/>
      <w:bookmarkEnd w:id="70"/>
    </w:p>
    <w:p w:rsidR="000A5C52" w:rsidRPr="000D096C" w:rsidRDefault="000A5C52"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004E3FEF" w:rsidRPr="000D096C">
        <w:rPr>
          <w:rFonts w:ascii="Times New Roman" w:hAnsi="Times New Roman" w:cs="Times New Roman"/>
          <w:sz w:val="24"/>
          <w:szCs w:val="24"/>
        </w:rPr>
        <w:t xml:space="preserve">Primární prevence symptomů, které řadíme k syndromu IR, se skládá z praktické realizace zásad zdravého životního stylu. </w:t>
      </w:r>
      <w:r w:rsidRPr="000D096C">
        <w:rPr>
          <w:rFonts w:ascii="Times New Roman" w:hAnsi="Times New Roman" w:cs="Times New Roman"/>
          <w:sz w:val="24"/>
          <w:szCs w:val="24"/>
        </w:rPr>
        <w:t>Životní styl každého jedince je formován od útlého dětství zejména rodi</w:t>
      </w:r>
      <w:r w:rsidR="000D631C" w:rsidRPr="000D096C">
        <w:rPr>
          <w:rFonts w:ascii="Times New Roman" w:hAnsi="Times New Roman" w:cs="Times New Roman"/>
          <w:sz w:val="24"/>
          <w:szCs w:val="24"/>
        </w:rPr>
        <w:t xml:space="preserve">nným zázemím, blízkým okolím </w:t>
      </w:r>
      <w:r w:rsidRPr="000D096C">
        <w:rPr>
          <w:rFonts w:ascii="Times New Roman" w:hAnsi="Times New Roman" w:cs="Times New Roman"/>
          <w:sz w:val="24"/>
          <w:szCs w:val="24"/>
        </w:rPr>
        <w:t xml:space="preserve">i celou společností. Zvyklosti </w:t>
      </w:r>
      <w:r w:rsidRPr="000D096C">
        <w:rPr>
          <w:rFonts w:ascii="Times New Roman" w:hAnsi="Times New Roman" w:cs="Times New Roman"/>
          <w:sz w:val="24"/>
          <w:szCs w:val="24"/>
        </w:rPr>
        <w:lastRenderedPageBreak/>
        <w:t>a</w:t>
      </w:r>
      <w:r w:rsidR="00762125">
        <w:rPr>
          <w:rFonts w:ascii="Times New Roman" w:hAnsi="Times New Roman" w:cs="Times New Roman"/>
          <w:sz w:val="24"/>
          <w:szCs w:val="24"/>
        </w:rPr>
        <w:t> </w:t>
      </w:r>
      <w:r w:rsidRPr="000D096C">
        <w:rPr>
          <w:rFonts w:ascii="Times New Roman" w:hAnsi="Times New Roman" w:cs="Times New Roman"/>
          <w:sz w:val="24"/>
          <w:szCs w:val="24"/>
        </w:rPr>
        <w:t>návyky se postupně ustalují a</w:t>
      </w:r>
      <w:r w:rsidR="00BB3FFF">
        <w:rPr>
          <w:rFonts w:ascii="Times New Roman" w:hAnsi="Times New Roman" w:cs="Times New Roman"/>
          <w:sz w:val="24"/>
          <w:szCs w:val="24"/>
        </w:rPr>
        <w:t> </w:t>
      </w:r>
      <w:r w:rsidRPr="000D096C">
        <w:rPr>
          <w:rFonts w:ascii="Times New Roman" w:hAnsi="Times New Roman" w:cs="Times New Roman"/>
          <w:sz w:val="24"/>
          <w:szCs w:val="24"/>
        </w:rPr>
        <w:t xml:space="preserve">dospělý jedinec se dlouhodobě drží přibližně stabilního </w:t>
      </w:r>
      <w:r w:rsidR="000D631C" w:rsidRPr="000D096C">
        <w:rPr>
          <w:rFonts w:ascii="Times New Roman" w:hAnsi="Times New Roman" w:cs="Times New Roman"/>
          <w:sz w:val="24"/>
          <w:szCs w:val="24"/>
        </w:rPr>
        <w:t xml:space="preserve">stravovacího a pohybového </w:t>
      </w:r>
      <w:r w:rsidRPr="000D096C">
        <w:rPr>
          <w:rFonts w:ascii="Times New Roman" w:hAnsi="Times New Roman" w:cs="Times New Roman"/>
          <w:sz w:val="24"/>
          <w:szCs w:val="24"/>
        </w:rPr>
        <w:t xml:space="preserve">schématu. Aspekty životního stylu vstupují do interakce s genetickou výbavou, což jedince determinuje k metabolickému zdraví či nemoci. Prevence </w:t>
      </w:r>
      <w:r w:rsidR="000D631C" w:rsidRPr="000D096C">
        <w:rPr>
          <w:rFonts w:ascii="Times New Roman" w:hAnsi="Times New Roman" w:cs="Times New Roman"/>
          <w:sz w:val="24"/>
          <w:szCs w:val="24"/>
        </w:rPr>
        <w:t>rizikových faktorů</w:t>
      </w:r>
      <w:r w:rsidRPr="000D096C">
        <w:rPr>
          <w:rFonts w:ascii="Times New Roman" w:hAnsi="Times New Roman" w:cs="Times New Roman"/>
          <w:sz w:val="24"/>
          <w:szCs w:val="24"/>
        </w:rPr>
        <w:t xml:space="preserve"> chronických neinfekčních onemocnění patří k prioritám zdravotnictví.</w:t>
      </w:r>
      <w:r w:rsidR="00D850FE" w:rsidRPr="000D096C">
        <w:rPr>
          <w:rFonts w:ascii="Times New Roman" w:hAnsi="Times New Roman" w:cs="Times New Roman"/>
          <w:sz w:val="24"/>
          <w:szCs w:val="24"/>
        </w:rPr>
        <w:t xml:space="preserve"> Vzhledem k tomu, že základ životního stylu se formuje již v dětství, je nesmírně důležité směřovat primární prevenci již na dětskou populaci</w:t>
      </w:r>
      <w:r w:rsidR="00BA4448" w:rsidRPr="000D096C">
        <w:rPr>
          <w:rFonts w:ascii="Times New Roman" w:hAnsi="Times New Roman" w:cs="Times New Roman"/>
          <w:sz w:val="24"/>
          <w:szCs w:val="24"/>
        </w:rPr>
        <w:t xml:space="preserve"> [</w:t>
      </w:r>
      <w:r w:rsidR="009D36E7" w:rsidRPr="000D096C">
        <w:rPr>
          <w:rFonts w:ascii="Times New Roman" w:hAnsi="Times New Roman" w:cs="Times New Roman"/>
          <w:sz w:val="24"/>
          <w:szCs w:val="24"/>
        </w:rPr>
        <w:t>37</w:t>
      </w:r>
      <w:r w:rsidR="00BA4448" w:rsidRPr="000D096C">
        <w:rPr>
          <w:rFonts w:ascii="Times New Roman" w:hAnsi="Times New Roman" w:cs="Times New Roman"/>
          <w:sz w:val="24"/>
          <w:szCs w:val="24"/>
        </w:rPr>
        <w:t>]</w:t>
      </w:r>
      <w:r w:rsidR="00D850FE" w:rsidRPr="000D096C">
        <w:rPr>
          <w:rFonts w:ascii="Times New Roman" w:hAnsi="Times New Roman" w:cs="Times New Roman"/>
          <w:sz w:val="24"/>
          <w:szCs w:val="24"/>
        </w:rPr>
        <w:t>.</w:t>
      </w:r>
    </w:p>
    <w:p w:rsidR="000A5C52" w:rsidRPr="000D096C" w:rsidRDefault="000A5C52"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K </w:t>
      </w:r>
      <w:r w:rsidRPr="004E3FEF">
        <w:rPr>
          <w:rFonts w:ascii="Times New Roman" w:hAnsi="Times New Roman" w:cs="Times New Roman"/>
          <w:b/>
          <w:sz w:val="24"/>
          <w:szCs w:val="24"/>
        </w:rPr>
        <w:t>opatřením v rámci primární prevence</w:t>
      </w:r>
      <w:r w:rsidRPr="000D096C">
        <w:rPr>
          <w:rFonts w:ascii="Times New Roman" w:hAnsi="Times New Roman" w:cs="Times New Roman"/>
          <w:sz w:val="24"/>
          <w:szCs w:val="24"/>
        </w:rPr>
        <w:t xml:space="preserve"> patří</w:t>
      </w:r>
      <w:r w:rsidR="009D36E7" w:rsidRPr="000D096C">
        <w:rPr>
          <w:rFonts w:ascii="Times New Roman" w:hAnsi="Times New Roman" w:cs="Times New Roman"/>
          <w:sz w:val="24"/>
          <w:szCs w:val="24"/>
        </w:rPr>
        <w:t xml:space="preserve"> [37]</w:t>
      </w:r>
      <w:r w:rsidRPr="000D096C">
        <w:rPr>
          <w:rFonts w:ascii="Times New Roman" w:hAnsi="Times New Roman" w:cs="Times New Roman"/>
          <w:sz w:val="24"/>
          <w:szCs w:val="24"/>
        </w:rPr>
        <w:t>:</w:t>
      </w:r>
    </w:p>
    <w:p w:rsidR="000A5C52" w:rsidRPr="004E3FEF" w:rsidRDefault="00B8308A" w:rsidP="004567D5">
      <w:pPr>
        <w:pStyle w:val="Odstavecseseznamem"/>
        <w:numPr>
          <w:ilvl w:val="0"/>
          <w:numId w:val="6"/>
        </w:numPr>
        <w:spacing w:line="360" w:lineRule="auto"/>
        <w:jc w:val="both"/>
        <w:rPr>
          <w:rFonts w:ascii="Times New Roman" w:hAnsi="Times New Roman" w:cs="Times New Roman"/>
          <w:b/>
          <w:sz w:val="24"/>
          <w:szCs w:val="24"/>
        </w:rPr>
      </w:pPr>
      <w:r w:rsidRPr="004E3FEF">
        <w:rPr>
          <w:rFonts w:ascii="Times New Roman" w:hAnsi="Times New Roman" w:cs="Times New Roman"/>
          <w:b/>
          <w:sz w:val="24"/>
          <w:szCs w:val="24"/>
        </w:rPr>
        <w:t>optimální</w:t>
      </w:r>
      <w:r w:rsidR="00F80C90" w:rsidRPr="004E3FEF">
        <w:rPr>
          <w:rFonts w:ascii="Times New Roman" w:hAnsi="Times New Roman" w:cs="Times New Roman"/>
          <w:b/>
          <w:sz w:val="24"/>
          <w:szCs w:val="24"/>
        </w:rPr>
        <w:t xml:space="preserve"> </w:t>
      </w:r>
      <w:r w:rsidR="000D631C" w:rsidRPr="004E3FEF">
        <w:rPr>
          <w:rFonts w:ascii="Times New Roman" w:hAnsi="Times New Roman" w:cs="Times New Roman"/>
          <w:b/>
          <w:sz w:val="24"/>
          <w:szCs w:val="24"/>
        </w:rPr>
        <w:t>skladb</w:t>
      </w:r>
      <w:r w:rsidRPr="004E3FEF">
        <w:rPr>
          <w:rFonts w:ascii="Times New Roman" w:hAnsi="Times New Roman" w:cs="Times New Roman"/>
          <w:b/>
          <w:sz w:val="24"/>
          <w:szCs w:val="24"/>
        </w:rPr>
        <w:t>a</w:t>
      </w:r>
      <w:r w:rsidR="000D631C" w:rsidRPr="004E3FEF">
        <w:rPr>
          <w:rFonts w:ascii="Times New Roman" w:hAnsi="Times New Roman" w:cs="Times New Roman"/>
          <w:b/>
          <w:sz w:val="24"/>
          <w:szCs w:val="24"/>
        </w:rPr>
        <w:t xml:space="preserve"> a frekvence</w:t>
      </w:r>
      <w:r w:rsidR="00CF6E4C" w:rsidRPr="004E3FEF">
        <w:rPr>
          <w:rFonts w:ascii="Times New Roman" w:hAnsi="Times New Roman" w:cs="Times New Roman"/>
          <w:b/>
          <w:sz w:val="24"/>
          <w:szCs w:val="24"/>
        </w:rPr>
        <w:t xml:space="preserve"> potravy</w:t>
      </w:r>
    </w:p>
    <w:p w:rsidR="00CF6E4C" w:rsidRPr="000D096C" w:rsidRDefault="00CF6E4C" w:rsidP="00F80C90">
      <w:pPr>
        <w:pStyle w:val="Odstavecseseznamem"/>
        <w:numPr>
          <w:ilvl w:val="1"/>
          <w:numId w:val="6"/>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dosáhnutí energetické rovnováhy a normální hmotnosti</w:t>
      </w:r>
    </w:p>
    <w:p w:rsidR="00CF6E4C" w:rsidRPr="000D096C" w:rsidRDefault="00CF6E4C" w:rsidP="00F80C90">
      <w:pPr>
        <w:pStyle w:val="Odstavecseseznamem"/>
        <w:numPr>
          <w:ilvl w:val="1"/>
          <w:numId w:val="6"/>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omezení příjmu energie z tuků a posunutí spotřeby nasycených mastných kyselin směrem k nenasyceným</w:t>
      </w:r>
    </w:p>
    <w:p w:rsidR="00CF6E4C" w:rsidRPr="000D096C" w:rsidRDefault="00CF6E4C" w:rsidP="00F80C90">
      <w:pPr>
        <w:pStyle w:val="Odstavecseseznamem"/>
        <w:numPr>
          <w:ilvl w:val="1"/>
          <w:numId w:val="6"/>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navýšení konzumace vlákniny; zeleniny, ovoce, luštěnin, celozrnných obilovin a</w:t>
      </w:r>
      <w:r w:rsidR="00BB3FFF">
        <w:rPr>
          <w:rFonts w:ascii="Times New Roman" w:hAnsi="Times New Roman" w:cs="Times New Roman"/>
          <w:sz w:val="24"/>
          <w:szCs w:val="24"/>
        </w:rPr>
        <w:t> </w:t>
      </w:r>
      <w:r w:rsidRPr="000D096C">
        <w:rPr>
          <w:rFonts w:ascii="Times New Roman" w:hAnsi="Times New Roman" w:cs="Times New Roman"/>
          <w:sz w:val="24"/>
          <w:szCs w:val="24"/>
        </w:rPr>
        <w:t>ořechů</w:t>
      </w:r>
    </w:p>
    <w:p w:rsidR="00CF6E4C" w:rsidRPr="000D096C" w:rsidRDefault="00CF6E4C" w:rsidP="00F80C90">
      <w:pPr>
        <w:pStyle w:val="Odstavecseseznamem"/>
        <w:numPr>
          <w:ilvl w:val="1"/>
          <w:numId w:val="6"/>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omezení příjmu cukrů</w:t>
      </w:r>
    </w:p>
    <w:p w:rsidR="00CF6E4C" w:rsidRDefault="00CF6E4C" w:rsidP="004567D5">
      <w:pPr>
        <w:pStyle w:val="Odstavecseseznamem"/>
        <w:numPr>
          <w:ilvl w:val="0"/>
          <w:numId w:val="6"/>
        </w:numPr>
        <w:spacing w:line="360" w:lineRule="auto"/>
        <w:jc w:val="both"/>
        <w:rPr>
          <w:rFonts w:ascii="Times New Roman" w:hAnsi="Times New Roman" w:cs="Times New Roman"/>
          <w:sz w:val="24"/>
          <w:szCs w:val="24"/>
        </w:rPr>
      </w:pPr>
      <w:r w:rsidRPr="004E3FEF">
        <w:rPr>
          <w:rFonts w:ascii="Times New Roman" w:hAnsi="Times New Roman" w:cs="Times New Roman"/>
          <w:b/>
          <w:sz w:val="24"/>
          <w:szCs w:val="24"/>
        </w:rPr>
        <w:t>pravidelná, adekvátně intenzivní a vh</w:t>
      </w:r>
      <w:r w:rsidR="00040C96" w:rsidRPr="004E3FEF">
        <w:rPr>
          <w:rFonts w:ascii="Times New Roman" w:hAnsi="Times New Roman" w:cs="Times New Roman"/>
          <w:b/>
          <w:sz w:val="24"/>
          <w:szCs w:val="24"/>
        </w:rPr>
        <w:t>odně zvolená fyzická aktivita</w:t>
      </w:r>
      <w:r w:rsidR="00E66C8F" w:rsidRPr="004E3FEF">
        <w:rPr>
          <w:rFonts w:ascii="Times New Roman" w:hAnsi="Times New Roman" w:cs="Times New Roman"/>
          <w:b/>
          <w:sz w:val="24"/>
          <w:szCs w:val="24"/>
        </w:rPr>
        <w:t>.</w:t>
      </w:r>
      <w:r w:rsidR="00A56076">
        <w:rPr>
          <w:rFonts w:ascii="Times New Roman" w:hAnsi="Times New Roman" w:cs="Times New Roman"/>
          <w:sz w:val="24"/>
          <w:szCs w:val="24"/>
        </w:rPr>
        <w:t xml:space="preserve"> </w:t>
      </w:r>
      <w:r w:rsidR="00E66C8F">
        <w:rPr>
          <w:rFonts w:ascii="Times New Roman" w:hAnsi="Times New Roman" w:cs="Times New Roman"/>
          <w:sz w:val="24"/>
          <w:szCs w:val="24"/>
        </w:rPr>
        <w:t>I</w:t>
      </w:r>
      <w:r w:rsidR="00A56076" w:rsidRPr="00A56076">
        <w:rPr>
          <w:rFonts w:ascii="Times New Roman" w:hAnsi="Times New Roman" w:cs="Times New Roman"/>
          <w:sz w:val="24"/>
          <w:szCs w:val="24"/>
        </w:rPr>
        <w:t xml:space="preserve">ntenzita různých forem fyzické aktivity se </w:t>
      </w:r>
      <w:r w:rsidR="00BC6101">
        <w:rPr>
          <w:rFonts w:ascii="Times New Roman" w:hAnsi="Times New Roman" w:cs="Times New Roman"/>
          <w:sz w:val="24"/>
          <w:szCs w:val="24"/>
        </w:rPr>
        <w:t>mezi</w:t>
      </w:r>
      <w:r w:rsidR="00A56076">
        <w:rPr>
          <w:rFonts w:ascii="Times New Roman" w:hAnsi="Times New Roman" w:cs="Times New Roman"/>
          <w:sz w:val="24"/>
          <w:szCs w:val="24"/>
        </w:rPr>
        <w:t xml:space="preserve"> jedinci </w:t>
      </w:r>
      <w:r w:rsidR="00A56076" w:rsidRPr="00A56076">
        <w:rPr>
          <w:rFonts w:ascii="Times New Roman" w:hAnsi="Times New Roman" w:cs="Times New Roman"/>
          <w:sz w:val="24"/>
          <w:szCs w:val="24"/>
        </w:rPr>
        <w:t xml:space="preserve">liší. Aby </w:t>
      </w:r>
      <w:r w:rsidR="00A56076">
        <w:rPr>
          <w:rFonts w:ascii="Times New Roman" w:hAnsi="Times New Roman" w:cs="Times New Roman"/>
          <w:sz w:val="24"/>
          <w:szCs w:val="24"/>
        </w:rPr>
        <w:t>b</w:t>
      </w:r>
      <w:r w:rsidR="00A56076" w:rsidRPr="00A56076">
        <w:rPr>
          <w:rFonts w:ascii="Times New Roman" w:hAnsi="Times New Roman" w:cs="Times New Roman"/>
          <w:sz w:val="24"/>
          <w:szCs w:val="24"/>
        </w:rPr>
        <w:t xml:space="preserve">ylo </w:t>
      </w:r>
      <w:r w:rsidR="00A56076">
        <w:rPr>
          <w:rFonts w:ascii="Times New Roman" w:hAnsi="Times New Roman" w:cs="Times New Roman"/>
          <w:sz w:val="24"/>
          <w:szCs w:val="24"/>
        </w:rPr>
        <w:t xml:space="preserve">dosaženo benefitů pro </w:t>
      </w:r>
      <w:r w:rsidR="00A56076" w:rsidRPr="00A56076">
        <w:rPr>
          <w:rFonts w:ascii="Times New Roman" w:hAnsi="Times New Roman" w:cs="Times New Roman"/>
          <w:sz w:val="24"/>
          <w:szCs w:val="24"/>
        </w:rPr>
        <w:t>kardiorespir</w:t>
      </w:r>
      <w:r w:rsidR="00BC6101">
        <w:rPr>
          <w:rFonts w:ascii="Times New Roman" w:hAnsi="Times New Roman" w:cs="Times New Roman"/>
          <w:sz w:val="24"/>
          <w:szCs w:val="24"/>
        </w:rPr>
        <w:t>ační zdraví, mělo</w:t>
      </w:r>
      <w:r w:rsidR="00A56076">
        <w:rPr>
          <w:rFonts w:ascii="Times New Roman" w:hAnsi="Times New Roman" w:cs="Times New Roman"/>
          <w:sz w:val="24"/>
          <w:szCs w:val="24"/>
        </w:rPr>
        <w:t xml:space="preserve"> by být </w:t>
      </w:r>
      <w:r w:rsidR="00BC6101">
        <w:rPr>
          <w:rFonts w:ascii="Times New Roman" w:hAnsi="Times New Roman" w:cs="Times New Roman"/>
          <w:sz w:val="24"/>
          <w:szCs w:val="24"/>
        </w:rPr>
        <w:t xml:space="preserve">trvání každé fyzické aktivity </w:t>
      </w:r>
      <w:r w:rsidR="00A56076" w:rsidRPr="00A56076">
        <w:rPr>
          <w:rFonts w:ascii="Times New Roman" w:hAnsi="Times New Roman" w:cs="Times New Roman"/>
          <w:sz w:val="24"/>
          <w:szCs w:val="24"/>
        </w:rPr>
        <w:t>nejméně 10 minut.</w:t>
      </w:r>
      <w:r w:rsidR="00626E45">
        <w:rPr>
          <w:rFonts w:ascii="Times New Roman" w:hAnsi="Times New Roman" w:cs="Times New Roman"/>
          <w:sz w:val="24"/>
          <w:szCs w:val="24"/>
        </w:rPr>
        <w:t xml:space="preserve"> Doporučení pro f</w:t>
      </w:r>
      <w:r w:rsidR="00BC6101">
        <w:rPr>
          <w:rFonts w:ascii="Times New Roman" w:hAnsi="Times New Roman" w:cs="Times New Roman"/>
          <w:sz w:val="24"/>
          <w:szCs w:val="24"/>
        </w:rPr>
        <w:t>yzickou aktivitu dle WHO jsou odlišná</w:t>
      </w:r>
      <w:r w:rsidR="00626E45">
        <w:rPr>
          <w:rFonts w:ascii="Times New Roman" w:hAnsi="Times New Roman" w:cs="Times New Roman"/>
          <w:sz w:val="24"/>
          <w:szCs w:val="24"/>
        </w:rPr>
        <w:t xml:space="preserve"> pro věkové skupiny:</w:t>
      </w:r>
    </w:p>
    <w:p w:rsidR="00A56076" w:rsidRPr="00A56076" w:rsidRDefault="00A56076" w:rsidP="004567D5">
      <w:pPr>
        <w:spacing w:before="160" w:line="360" w:lineRule="auto"/>
        <w:ind w:firstLine="708"/>
        <w:jc w:val="both"/>
        <w:rPr>
          <w:rFonts w:ascii="Times New Roman" w:hAnsi="Times New Roman" w:cs="Times New Roman"/>
          <w:sz w:val="24"/>
          <w:szCs w:val="24"/>
        </w:rPr>
      </w:pPr>
      <w:r w:rsidRPr="00A56076">
        <w:rPr>
          <w:rFonts w:ascii="Times New Roman" w:hAnsi="Times New Roman" w:cs="Times New Roman"/>
          <w:sz w:val="24"/>
          <w:szCs w:val="24"/>
        </w:rPr>
        <w:t xml:space="preserve">Děti a adolescenti </w:t>
      </w:r>
      <w:r w:rsidRPr="004E3FEF">
        <w:rPr>
          <w:rFonts w:ascii="Times New Roman" w:hAnsi="Times New Roman" w:cs="Times New Roman"/>
          <w:b/>
          <w:sz w:val="24"/>
          <w:szCs w:val="24"/>
        </w:rPr>
        <w:t>ve věku 5-17 let</w:t>
      </w:r>
    </w:p>
    <w:p w:rsidR="00A56076" w:rsidRDefault="00A56076" w:rsidP="004567D5">
      <w:pPr>
        <w:pStyle w:val="Odstavecseseznamem"/>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Alespoň 60 minut fyzické aktivity střední nebo vyšší intenzity denně.</w:t>
      </w:r>
    </w:p>
    <w:p w:rsidR="00A56076" w:rsidRDefault="00A56076" w:rsidP="004567D5">
      <w:pPr>
        <w:pStyle w:val="Odstavecseseznamem"/>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Navýšení denního trvání fyzické ak</w:t>
      </w:r>
      <w:r w:rsidR="004E3FEF">
        <w:rPr>
          <w:rFonts w:ascii="Times New Roman" w:hAnsi="Times New Roman" w:cs="Times New Roman"/>
          <w:sz w:val="24"/>
          <w:szCs w:val="24"/>
        </w:rPr>
        <w:t>tivity</w:t>
      </w:r>
      <w:r>
        <w:rPr>
          <w:rFonts w:ascii="Times New Roman" w:hAnsi="Times New Roman" w:cs="Times New Roman"/>
          <w:sz w:val="24"/>
          <w:szCs w:val="24"/>
        </w:rPr>
        <w:t xml:space="preserve"> přináší zvýšení příznivých účinků na zdraví</w:t>
      </w:r>
      <w:r w:rsidR="00BC6101">
        <w:rPr>
          <w:rFonts w:ascii="Times New Roman" w:hAnsi="Times New Roman" w:cs="Times New Roman"/>
          <w:sz w:val="24"/>
          <w:szCs w:val="24"/>
        </w:rPr>
        <w:t>.</w:t>
      </w:r>
    </w:p>
    <w:p w:rsidR="00A56076" w:rsidRPr="00A56076" w:rsidRDefault="00A56076" w:rsidP="004567D5">
      <w:pPr>
        <w:pStyle w:val="Odstavecseseznamem"/>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Činnosti na posílení svalů a kostí alespoň třikrát týdně.</w:t>
      </w:r>
    </w:p>
    <w:p w:rsidR="00040C96" w:rsidRPr="00A56076" w:rsidRDefault="00040C96" w:rsidP="004567D5">
      <w:pPr>
        <w:spacing w:line="360" w:lineRule="auto"/>
        <w:ind w:left="372" w:firstLine="336"/>
        <w:jc w:val="both"/>
        <w:rPr>
          <w:rFonts w:ascii="Times New Roman" w:hAnsi="Times New Roman" w:cs="Times New Roman"/>
          <w:sz w:val="24"/>
          <w:szCs w:val="24"/>
        </w:rPr>
      </w:pPr>
      <w:r w:rsidRPr="00A56076">
        <w:rPr>
          <w:rFonts w:ascii="Times New Roman" w:hAnsi="Times New Roman" w:cs="Times New Roman"/>
          <w:sz w:val="24"/>
          <w:szCs w:val="24"/>
        </w:rPr>
        <w:t xml:space="preserve">Jedinci </w:t>
      </w:r>
      <w:r w:rsidRPr="004E3FEF">
        <w:rPr>
          <w:rFonts w:ascii="Times New Roman" w:hAnsi="Times New Roman" w:cs="Times New Roman"/>
          <w:b/>
          <w:sz w:val="24"/>
          <w:szCs w:val="24"/>
        </w:rPr>
        <w:t>ve věku 18-64 let</w:t>
      </w:r>
    </w:p>
    <w:p w:rsidR="00040C96" w:rsidRDefault="00040C96" w:rsidP="004567D5">
      <w:pPr>
        <w:pStyle w:val="Odstavecseseznamem"/>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Alespoň 150 minut fyzické aktivity se střední intenzitou týdně nebo 75 minut fyzické aktivity s vyšší intenzitou, </w:t>
      </w:r>
      <w:r w:rsidR="00BC6101">
        <w:rPr>
          <w:rFonts w:ascii="Times New Roman" w:hAnsi="Times New Roman" w:cs="Times New Roman"/>
          <w:sz w:val="24"/>
          <w:szCs w:val="24"/>
        </w:rPr>
        <w:t>popřípadě ekvivalentní kombinace</w:t>
      </w:r>
      <w:r>
        <w:rPr>
          <w:rFonts w:ascii="Times New Roman" w:hAnsi="Times New Roman" w:cs="Times New Roman"/>
          <w:sz w:val="24"/>
          <w:szCs w:val="24"/>
        </w:rPr>
        <w:t>.</w:t>
      </w:r>
    </w:p>
    <w:p w:rsidR="00040C96" w:rsidRDefault="00040C96" w:rsidP="004567D5">
      <w:pPr>
        <w:pStyle w:val="Odstavecseseznamem"/>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Pro zvýšení příznivých účinků na zdraví by měl</w:t>
      </w:r>
      <w:r w:rsidR="00A56076">
        <w:rPr>
          <w:rFonts w:ascii="Times New Roman" w:hAnsi="Times New Roman" w:cs="Times New Roman"/>
          <w:sz w:val="24"/>
          <w:szCs w:val="24"/>
        </w:rPr>
        <w:t>a</w:t>
      </w:r>
      <w:r w:rsidR="004E3FEF">
        <w:rPr>
          <w:rFonts w:ascii="Times New Roman" w:hAnsi="Times New Roman" w:cs="Times New Roman"/>
          <w:sz w:val="24"/>
          <w:szCs w:val="24"/>
        </w:rPr>
        <w:t xml:space="preserve"> být navýšena fyzická aktivita</w:t>
      </w:r>
      <w:r>
        <w:rPr>
          <w:rFonts w:ascii="Times New Roman" w:hAnsi="Times New Roman" w:cs="Times New Roman"/>
          <w:sz w:val="24"/>
          <w:szCs w:val="24"/>
        </w:rPr>
        <w:t xml:space="preserve"> střední intenzity až na 300 minut týdně.</w:t>
      </w:r>
    </w:p>
    <w:p w:rsidR="00040C96" w:rsidRDefault="00040C96" w:rsidP="004567D5">
      <w:pPr>
        <w:pStyle w:val="Odstavecseseznamem"/>
        <w:numPr>
          <w:ilvl w:val="1"/>
          <w:numId w:val="23"/>
        </w:numPr>
        <w:spacing w:line="360" w:lineRule="auto"/>
        <w:jc w:val="both"/>
        <w:rPr>
          <w:rFonts w:ascii="Times New Roman" w:hAnsi="Times New Roman" w:cs="Times New Roman"/>
          <w:sz w:val="24"/>
          <w:szCs w:val="24"/>
        </w:rPr>
      </w:pPr>
      <w:r w:rsidRPr="00040C96">
        <w:rPr>
          <w:rFonts w:ascii="Times New Roman" w:hAnsi="Times New Roman" w:cs="Times New Roman"/>
          <w:sz w:val="24"/>
          <w:szCs w:val="24"/>
        </w:rPr>
        <w:t>Činnosti na posíle</w:t>
      </w:r>
      <w:r>
        <w:rPr>
          <w:rFonts w:ascii="Times New Roman" w:hAnsi="Times New Roman" w:cs="Times New Roman"/>
          <w:sz w:val="24"/>
          <w:szCs w:val="24"/>
        </w:rPr>
        <w:t>ní svalů by měly být prováděny se zaměřením na</w:t>
      </w:r>
      <w:r w:rsidRPr="00040C96">
        <w:rPr>
          <w:rFonts w:ascii="Times New Roman" w:hAnsi="Times New Roman" w:cs="Times New Roman"/>
          <w:sz w:val="24"/>
          <w:szCs w:val="24"/>
        </w:rPr>
        <w:t xml:space="preserve"> velk</w:t>
      </w:r>
      <w:r>
        <w:rPr>
          <w:rFonts w:ascii="Times New Roman" w:hAnsi="Times New Roman" w:cs="Times New Roman"/>
          <w:sz w:val="24"/>
          <w:szCs w:val="24"/>
        </w:rPr>
        <w:t>é svalové</w:t>
      </w:r>
      <w:r w:rsidRPr="00040C96">
        <w:rPr>
          <w:rFonts w:ascii="Times New Roman" w:hAnsi="Times New Roman" w:cs="Times New Roman"/>
          <w:sz w:val="24"/>
          <w:szCs w:val="24"/>
        </w:rPr>
        <w:t xml:space="preserve"> skupin</w:t>
      </w:r>
      <w:r>
        <w:rPr>
          <w:rFonts w:ascii="Times New Roman" w:hAnsi="Times New Roman" w:cs="Times New Roman"/>
          <w:sz w:val="24"/>
          <w:szCs w:val="24"/>
        </w:rPr>
        <w:t>y</w:t>
      </w:r>
      <w:r w:rsidR="004E3FEF">
        <w:rPr>
          <w:rFonts w:ascii="Times New Roman" w:hAnsi="Times New Roman" w:cs="Times New Roman"/>
          <w:sz w:val="24"/>
          <w:szCs w:val="24"/>
        </w:rPr>
        <w:t xml:space="preserve"> 2 nebo více dnů</w:t>
      </w:r>
      <w:r w:rsidRPr="00040C96">
        <w:rPr>
          <w:rFonts w:ascii="Times New Roman" w:hAnsi="Times New Roman" w:cs="Times New Roman"/>
          <w:sz w:val="24"/>
          <w:szCs w:val="24"/>
        </w:rPr>
        <w:t xml:space="preserve"> v týdnu.</w:t>
      </w:r>
    </w:p>
    <w:p w:rsidR="00A56076" w:rsidRPr="00A56076" w:rsidRDefault="00A56076" w:rsidP="004567D5">
      <w:pPr>
        <w:spacing w:line="360" w:lineRule="auto"/>
        <w:ind w:firstLine="708"/>
        <w:jc w:val="both"/>
        <w:rPr>
          <w:rFonts w:ascii="Times New Roman" w:hAnsi="Times New Roman" w:cs="Times New Roman"/>
          <w:sz w:val="24"/>
          <w:szCs w:val="24"/>
        </w:rPr>
      </w:pPr>
      <w:r w:rsidRPr="00A56076">
        <w:rPr>
          <w:rFonts w:ascii="Times New Roman" w:hAnsi="Times New Roman" w:cs="Times New Roman"/>
          <w:sz w:val="24"/>
          <w:szCs w:val="24"/>
        </w:rPr>
        <w:lastRenderedPageBreak/>
        <w:t xml:space="preserve">Jedinci </w:t>
      </w:r>
      <w:r w:rsidRPr="004E3FEF">
        <w:rPr>
          <w:rFonts w:ascii="Times New Roman" w:hAnsi="Times New Roman" w:cs="Times New Roman"/>
          <w:b/>
          <w:sz w:val="24"/>
          <w:szCs w:val="24"/>
        </w:rPr>
        <w:t>ve věku 65 let a více</w:t>
      </w:r>
    </w:p>
    <w:p w:rsidR="00A56076" w:rsidRDefault="00A56076" w:rsidP="004567D5">
      <w:pPr>
        <w:pStyle w:val="Odstavecseseznamem"/>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Platí stejné zásady jako u mladších dospělých jedinců</w:t>
      </w:r>
      <w:r w:rsidR="003A4DBF">
        <w:rPr>
          <w:rFonts w:ascii="Times New Roman" w:hAnsi="Times New Roman" w:cs="Times New Roman"/>
          <w:sz w:val="24"/>
          <w:szCs w:val="24"/>
        </w:rPr>
        <w:t>.</w:t>
      </w:r>
    </w:p>
    <w:p w:rsidR="00A56076" w:rsidRDefault="00A56076" w:rsidP="004567D5">
      <w:pPr>
        <w:pStyle w:val="Odstavecseseznamem"/>
        <w:numPr>
          <w:ilvl w:val="1"/>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Osoby se sníženou mobilitou by měl</w:t>
      </w:r>
      <w:r w:rsidR="004E3FEF">
        <w:rPr>
          <w:rFonts w:ascii="Times New Roman" w:hAnsi="Times New Roman" w:cs="Times New Roman"/>
          <w:sz w:val="24"/>
          <w:szCs w:val="24"/>
        </w:rPr>
        <w:t>y vykonávat fyzickou aktivitu</w:t>
      </w:r>
      <w:r>
        <w:rPr>
          <w:rFonts w:ascii="Times New Roman" w:hAnsi="Times New Roman" w:cs="Times New Roman"/>
          <w:sz w:val="24"/>
          <w:szCs w:val="24"/>
        </w:rPr>
        <w:t xml:space="preserve"> zaměřenou na zlepšení rovnovány a prevenci pádů alespoň 3 dny v</w:t>
      </w:r>
      <w:r w:rsidR="00BC6101">
        <w:rPr>
          <w:rFonts w:ascii="Times New Roman" w:hAnsi="Times New Roman" w:cs="Times New Roman"/>
          <w:sz w:val="24"/>
          <w:szCs w:val="24"/>
        </w:rPr>
        <w:t> </w:t>
      </w:r>
      <w:r>
        <w:rPr>
          <w:rFonts w:ascii="Times New Roman" w:hAnsi="Times New Roman" w:cs="Times New Roman"/>
          <w:sz w:val="24"/>
          <w:szCs w:val="24"/>
        </w:rPr>
        <w:t>týdnu</w:t>
      </w:r>
      <w:r w:rsidR="00BC6101">
        <w:rPr>
          <w:rFonts w:ascii="Times New Roman" w:hAnsi="Times New Roman" w:cs="Times New Roman"/>
          <w:sz w:val="24"/>
          <w:szCs w:val="24"/>
        </w:rPr>
        <w:t xml:space="preserve"> </w:t>
      </w:r>
      <w:r w:rsidR="003A4DBF" w:rsidRPr="000D096C">
        <w:rPr>
          <w:rFonts w:ascii="Times New Roman" w:hAnsi="Times New Roman" w:cs="Times New Roman"/>
          <w:sz w:val="24"/>
          <w:szCs w:val="24"/>
        </w:rPr>
        <w:t>[38]</w:t>
      </w:r>
      <w:r w:rsidR="003A4DBF">
        <w:rPr>
          <w:rFonts w:ascii="Times New Roman" w:hAnsi="Times New Roman" w:cs="Times New Roman"/>
          <w:sz w:val="24"/>
          <w:szCs w:val="24"/>
        </w:rPr>
        <w:t>.</w:t>
      </w:r>
    </w:p>
    <w:p w:rsidR="007B7639" w:rsidRPr="000D096C" w:rsidRDefault="007B7639"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Vedle podpory a aplikace primárně preventivních opatření je neméně důležitá časná detekce potenciálních</w:t>
      </w:r>
      <w:r w:rsidR="00B8308A">
        <w:rPr>
          <w:rFonts w:ascii="Times New Roman" w:hAnsi="Times New Roman" w:cs="Times New Roman"/>
          <w:sz w:val="24"/>
          <w:szCs w:val="24"/>
        </w:rPr>
        <w:t xml:space="preserve"> kardiometabolicky</w:t>
      </w:r>
      <w:r w:rsidRPr="000D096C">
        <w:rPr>
          <w:rFonts w:ascii="Times New Roman" w:hAnsi="Times New Roman" w:cs="Times New Roman"/>
          <w:sz w:val="24"/>
          <w:szCs w:val="24"/>
        </w:rPr>
        <w:t xml:space="preserve"> rizikových jedinců v rámci preventivních prohlídek. Význam znalostí individuálního rizika a efekt cílené intervence na výskyt rizikových faktorů byl prokázán [</w:t>
      </w:r>
      <w:r w:rsidR="00C27BBC">
        <w:rPr>
          <w:rFonts w:ascii="Times New Roman" w:hAnsi="Times New Roman" w:cs="Times New Roman"/>
          <w:sz w:val="24"/>
          <w:szCs w:val="24"/>
        </w:rPr>
        <w:t>39</w:t>
      </w:r>
      <w:r w:rsidRPr="000D096C">
        <w:rPr>
          <w:rFonts w:ascii="Times New Roman" w:hAnsi="Times New Roman" w:cs="Times New Roman"/>
          <w:sz w:val="24"/>
          <w:szCs w:val="24"/>
        </w:rPr>
        <w:t>]</w:t>
      </w:r>
      <w:r w:rsidRPr="000D096C">
        <w:rPr>
          <w:rFonts w:ascii="Times New Roman" w:hAnsi="Times New Roman" w:cs="Times New Roman"/>
          <w:sz w:val="24"/>
          <w:szCs w:val="24"/>
          <w:shd w:val="clear" w:color="auto" w:fill="FFFFFF"/>
        </w:rPr>
        <w:t>. Při selhání úpravy životního stylu má v případě eliminace ovlivnitelných rizikových faktorů zásadní význam racionální farmakoterapie</w:t>
      </w:r>
      <w:r w:rsidR="00B6198B" w:rsidRPr="000D096C">
        <w:rPr>
          <w:rFonts w:ascii="Times New Roman" w:hAnsi="Times New Roman" w:cs="Times New Roman"/>
          <w:sz w:val="24"/>
          <w:szCs w:val="24"/>
          <w:shd w:val="clear" w:color="auto" w:fill="FFFFFF"/>
        </w:rPr>
        <w:t xml:space="preserve"> využívaná dle doporučených postupů.</w:t>
      </w:r>
      <w:r w:rsidR="00182BDB" w:rsidRPr="000D096C">
        <w:rPr>
          <w:rFonts w:ascii="Times New Roman" w:hAnsi="Times New Roman" w:cs="Times New Roman"/>
          <w:sz w:val="24"/>
          <w:szCs w:val="24"/>
          <w:shd w:val="clear" w:color="auto" w:fill="FFFFFF"/>
        </w:rPr>
        <w:t xml:space="preserve"> Vždy by však měla být doprovázena intenzivní snahou o nefarmakologické ovlivnění rizikových faktorů</w:t>
      </w:r>
      <w:r w:rsidR="00BA4448" w:rsidRPr="000D096C">
        <w:rPr>
          <w:rFonts w:ascii="Times New Roman" w:hAnsi="Times New Roman" w:cs="Times New Roman"/>
          <w:sz w:val="24"/>
          <w:szCs w:val="24"/>
          <w:shd w:val="clear" w:color="auto" w:fill="FFFFFF"/>
        </w:rPr>
        <w:t xml:space="preserve"> </w:t>
      </w:r>
      <w:r w:rsidR="00BA4448" w:rsidRPr="000D096C">
        <w:rPr>
          <w:rFonts w:ascii="Times New Roman" w:hAnsi="Times New Roman" w:cs="Times New Roman"/>
          <w:sz w:val="24"/>
          <w:szCs w:val="24"/>
        </w:rPr>
        <w:t>[22]</w:t>
      </w:r>
      <w:r w:rsidR="00182BDB" w:rsidRPr="000D096C">
        <w:rPr>
          <w:rFonts w:ascii="Times New Roman" w:hAnsi="Times New Roman" w:cs="Times New Roman"/>
          <w:sz w:val="24"/>
          <w:szCs w:val="24"/>
          <w:shd w:val="clear" w:color="auto" w:fill="FFFFFF"/>
        </w:rPr>
        <w:t>.</w:t>
      </w:r>
    </w:p>
    <w:p w:rsidR="007B7639" w:rsidRPr="000D096C" w:rsidRDefault="007B7639"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V rámci časné detekce rozvoje IR je nutné se zaměřit na</w:t>
      </w:r>
      <w:r w:rsidR="00BA4448" w:rsidRPr="000D096C">
        <w:rPr>
          <w:rFonts w:ascii="Times New Roman" w:hAnsi="Times New Roman" w:cs="Times New Roman"/>
          <w:sz w:val="24"/>
          <w:szCs w:val="24"/>
        </w:rPr>
        <w:t xml:space="preserve"> [5]:</w:t>
      </w:r>
    </w:p>
    <w:p w:rsidR="00BA4448" w:rsidRPr="000D096C" w:rsidRDefault="00BA4448" w:rsidP="004567D5">
      <w:pPr>
        <w:pStyle w:val="Odstavecseseznamem"/>
        <w:numPr>
          <w:ilvl w:val="0"/>
          <w:numId w:val="9"/>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rodinnou anamnézu obezity, T2DM, esenciální arteriální hypertenze</w:t>
      </w:r>
    </w:p>
    <w:p w:rsidR="00BA4448" w:rsidRPr="000D096C" w:rsidRDefault="00BA4448" w:rsidP="004567D5">
      <w:pPr>
        <w:pStyle w:val="Odstavecseseznamem"/>
        <w:numPr>
          <w:ilvl w:val="0"/>
          <w:numId w:val="9"/>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záchyt hraničních hodnot glykémie a TAG</w:t>
      </w:r>
    </w:p>
    <w:p w:rsidR="00BA4448" w:rsidRPr="000D096C" w:rsidRDefault="000D631C" w:rsidP="004567D5">
      <w:pPr>
        <w:pStyle w:val="Odstavecseseznamem"/>
        <w:numPr>
          <w:ilvl w:val="0"/>
          <w:numId w:val="9"/>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záchyt zvyšování OP</w:t>
      </w:r>
    </w:p>
    <w:p w:rsidR="00BA4448" w:rsidRPr="000D096C" w:rsidRDefault="00BA4448" w:rsidP="004567D5">
      <w:pPr>
        <w:pStyle w:val="Odstavecseseznamem"/>
        <w:numPr>
          <w:ilvl w:val="0"/>
          <w:numId w:val="9"/>
        </w:num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záchyt vyšší inzulinémie</w:t>
      </w:r>
    </w:p>
    <w:p w:rsidR="00CA4B3F" w:rsidRPr="000D096C" w:rsidRDefault="000D19A4" w:rsidP="00C97500">
      <w:pPr>
        <w:pStyle w:val="Nadpis2"/>
      </w:pPr>
      <w:bookmarkStart w:id="71" w:name="_Toc33432675"/>
      <w:bookmarkStart w:id="72" w:name="_Toc33432895"/>
      <w:bookmarkStart w:id="73" w:name="_Toc33869534"/>
      <w:r w:rsidRPr="000D096C">
        <w:t>Poruchy metabolismu glukózy</w:t>
      </w:r>
      <w:r w:rsidR="000A5C52" w:rsidRPr="000D096C">
        <w:t xml:space="preserve"> - prediabetes</w:t>
      </w:r>
      <w:bookmarkEnd w:id="71"/>
      <w:bookmarkEnd w:id="72"/>
      <w:bookmarkEnd w:id="73"/>
    </w:p>
    <w:p w:rsidR="000D19A4" w:rsidRPr="000D096C" w:rsidRDefault="000D19A4"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004142E3" w:rsidRPr="000D096C">
        <w:rPr>
          <w:rFonts w:ascii="Times New Roman" w:hAnsi="Times New Roman" w:cs="Times New Roman"/>
          <w:sz w:val="24"/>
          <w:szCs w:val="24"/>
        </w:rPr>
        <w:t>Pro poruchy metabolismu glukózy, vynecháme-li mé</w:t>
      </w:r>
      <w:r w:rsidR="004068E7" w:rsidRPr="000D096C">
        <w:rPr>
          <w:rFonts w:ascii="Times New Roman" w:hAnsi="Times New Roman" w:cs="Times New Roman"/>
          <w:sz w:val="24"/>
          <w:szCs w:val="24"/>
        </w:rPr>
        <w:t>ně časté formy DM</w:t>
      </w:r>
      <w:r w:rsidR="004142E3" w:rsidRPr="000D096C">
        <w:rPr>
          <w:rFonts w:ascii="Times New Roman" w:hAnsi="Times New Roman" w:cs="Times New Roman"/>
          <w:sz w:val="24"/>
          <w:szCs w:val="24"/>
        </w:rPr>
        <w:t>, je charakteristický velmi pozvolný, po desetiletí trvající rozvoj s patogenetickými mechanismy již naznačenými v předchozích kapitolách. K</w:t>
      </w:r>
      <w:r w:rsidR="00090909" w:rsidRPr="000D096C">
        <w:rPr>
          <w:rFonts w:ascii="Times New Roman" w:hAnsi="Times New Roman" w:cs="Times New Roman"/>
          <w:sz w:val="24"/>
          <w:szCs w:val="24"/>
        </w:rPr>
        <w:t>líčovou roli při vzniku poruch metabolismu glukózy</w:t>
      </w:r>
      <w:r w:rsidR="004142E3" w:rsidRPr="000D096C">
        <w:rPr>
          <w:rFonts w:ascii="Times New Roman" w:hAnsi="Times New Roman" w:cs="Times New Roman"/>
          <w:sz w:val="24"/>
          <w:szCs w:val="24"/>
        </w:rPr>
        <w:t xml:space="preserve"> hraje IR.</w:t>
      </w:r>
      <w:r w:rsidR="00F1573A" w:rsidRPr="000D096C">
        <w:rPr>
          <w:rFonts w:ascii="Times New Roman" w:hAnsi="Times New Roman" w:cs="Times New Roman"/>
          <w:sz w:val="24"/>
          <w:szCs w:val="24"/>
        </w:rPr>
        <w:t xml:space="preserve"> Proto je z preventivního hlediska důležité nezaměřovat se až na jedince s T2DM, ale upřít pozornost v podobě detekce a cílené intervence už na jedi</w:t>
      </w:r>
      <w:r w:rsidR="004068E7" w:rsidRPr="000D096C">
        <w:rPr>
          <w:rFonts w:ascii="Times New Roman" w:hAnsi="Times New Roman" w:cs="Times New Roman"/>
          <w:sz w:val="24"/>
          <w:szCs w:val="24"/>
        </w:rPr>
        <w:t>nce s prvotními metabolickými odchylkami</w:t>
      </w:r>
      <w:r w:rsidR="00F1573A" w:rsidRPr="000D096C">
        <w:rPr>
          <w:rFonts w:ascii="Times New Roman" w:hAnsi="Times New Roman" w:cs="Times New Roman"/>
          <w:sz w:val="24"/>
          <w:szCs w:val="24"/>
        </w:rPr>
        <w:t xml:space="preserve">. </w:t>
      </w:r>
      <w:r w:rsidR="00CE7663" w:rsidRPr="000D096C">
        <w:rPr>
          <w:rFonts w:ascii="Times New Roman" w:hAnsi="Times New Roman" w:cs="Times New Roman"/>
          <w:sz w:val="24"/>
          <w:szCs w:val="24"/>
        </w:rPr>
        <w:t>V tomto směru by neměl být podceňován význam prediabetu</w:t>
      </w:r>
      <w:r w:rsidR="002559DB" w:rsidRPr="000D096C">
        <w:rPr>
          <w:rFonts w:ascii="Times New Roman" w:hAnsi="Times New Roman" w:cs="Times New Roman"/>
          <w:sz w:val="24"/>
          <w:szCs w:val="24"/>
        </w:rPr>
        <w:t xml:space="preserve"> [</w:t>
      </w:r>
      <w:r w:rsidR="00C27BBC">
        <w:rPr>
          <w:rFonts w:ascii="Times New Roman" w:hAnsi="Times New Roman" w:cs="Times New Roman"/>
          <w:sz w:val="24"/>
          <w:szCs w:val="24"/>
        </w:rPr>
        <w:t>40</w:t>
      </w:r>
      <w:r w:rsidR="002559DB" w:rsidRPr="000D096C">
        <w:rPr>
          <w:rFonts w:ascii="Times New Roman" w:hAnsi="Times New Roman" w:cs="Times New Roman"/>
          <w:sz w:val="24"/>
          <w:szCs w:val="24"/>
        </w:rPr>
        <w:t>]</w:t>
      </w:r>
      <w:r w:rsidR="00CE7663" w:rsidRPr="000D096C">
        <w:rPr>
          <w:rFonts w:ascii="Times New Roman" w:hAnsi="Times New Roman" w:cs="Times New Roman"/>
          <w:sz w:val="24"/>
          <w:szCs w:val="24"/>
        </w:rPr>
        <w:t>.</w:t>
      </w:r>
      <w:r w:rsidR="00424A44" w:rsidRPr="000D096C">
        <w:rPr>
          <w:rFonts w:ascii="Times New Roman" w:hAnsi="Times New Roman" w:cs="Times New Roman"/>
          <w:sz w:val="24"/>
          <w:szCs w:val="24"/>
        </w:rPr>
        <w:t xml:space="preserve"> </w:t>
      </w:r>
      <w:r w:rsidR="004E138D">
        <w:rPr>
          <w:rFonts w:ascii="Times New Roman" w:hAnsi="Times New Roman" w:cs="Times New Roman"/>
          <w:sz w:val="24"/>
          <w:szCs w:val="24"/>
        </w:rPr>
        <w:t>B</w:t>
      </w:r>
      <w:r w:rsidR="00424A44" w:rsidRPr="000D096C">
        <w:rPr>
          <w:rFonts w:ascii="Times New Roman" w:hAnsi="Times New Roman" w:cs="Times New Roman"/>
          <w:sz w:val="24"/>
          <w:szCs w:val="24"/>
        </w:rPr>
        <w:t>ěhem doktorského studia jsem se na význam prediabetu jako samostatné nozologické jednotky zaměřil podrobněji.</w:t>
      </w:r>
    </w:p>
    <w:p w:rsidR="00AE1D39" w:rsidRPr="000D096C" w:rsidRDefault="00AE1D39" w:rsidP="004567D5">
      <w:pPr>
        <w:pStyle w:val="Nadpis3"/>
        <w:spacing w:line="360" w:lineRule="auto"/>
        <w:rPr>
          <w:rFonts w:cs="Times New Roman"/>
        </w:rPr>
      </w:pPr>
      <w:bookmarkStart w:id="74" w:name="_Toc33432676"/>
      <w:bookmarkStart w:id="75" w:name="_Toc33432896"/>
      <w:bookmarkStart w:id="76" w:name="_Toc33869535"/>
      <w:r w:rsidRPr="000D096C">
        <w:rPr>
          <w:rFonts w:cs="Times New Roman"/>
        </w:rPr>
        <w:t>Definice</w:t>
      </w:r>
      <w:bookmarkEnd w:id="74"/>
      <w:bookmarkEnd w:id="75"/>
      <w:bookmarkEnd w:id="76"/>
    </w:p>
    <w:p w:rsidR="00E62B1C" w:rsidRDefault="00AE1D39"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Prediabetes představuje v současné době samostatnou nozologickou jednotku charakterizovanou poruchou metabolismu glukózy nad hranicí normy a po</w:t>
      </w:r>
      <w:r w:rsidR="00670BE5" w:rsidRPr="000D096C">
        <w:rPr>
          <w:rFonts w:ascii="Times New Roman" w:hAnsi="Times New Roman" w:cs="Times New Roman"/>
          <w:sz w:val="24"/>
          <w:szCs w:val="24"/>
        </w:rPr>
        <w:t xml:space="preserve">d hranicí kritérií </w:t>
      </w:r>
      <w:r w:rsidR="00670BE5" w:rsidRPr="000D096C">
        <w:rPr>
          <w:rFonts w:ascii="Times New Roman" w:hAnsi="Times New Roman" w:cs="Times New Roman"/>
          <w:sz w:val="24"/>
          <w:szCs w:val="24"/>
        </w:rPr>
        <w:lastRenderedPageBreak/>
        <w:t>pro DM</w:t>
      </w:r>
      <w:r w:rsidRPr="000D096C">
        <w:rPr>
          <w:rFonts w:ascii="Times New Roman" w:hAnsi="Times New Roman" w:cs="Times New Roman"/>
          <w:sz w:val="24"/>
          <w:szCs w:val="24"/>
        </w:rPr>
        <w:t>. Ze samotného slova „prediabetes“ lze usuzovat na jeho význam v podobě označení stavu předcházejícího rozvoj</w:t>
      </w:r>
      <w:r w:rsidR="00670BE5" w:rsidRPr="000D096C">
        <w:rPr>
          <w:rFonts w:ascii="Times New Roman" w:hAnsi="Times New Roman" w:cs="Times New Roman"/>
          <w:sz w:val="24"/>
          <w:szCs w:val="24"/>
        </w:rPr>
        <w:t>i DM</w:t>
      </w:r>
      <w:r w:rsidRPr="000D096C">
        <w:rPr>
          <w:rFonts w:ascii="Times New Roman" w:hAnsi="Times New Roman" w:cs="Times New Roman"/>
          <w:sz w:val="24"/>
          <w:szCs w:val="24"/>
        </w:rPr>
        <w:t xml:space="preserve">, což ve většině případů skutečně platí, jak bude dokázáno níže. Na kvantitativní úrovni je však definice prediabetu celosvětově nejednotná s rozdílnými </w:t>
      </w:r>
      <w:r w:rsidR="009B5722" w:rsidRPr="000D096C">
        <w:rPr>
          <w:rFonts w:ascii="Times New Roman" w:hAnsi="Times New Roman" w:cs="Times New Roman"/>
          <w:sz w:val="24"/>
          <w:szCs w:val="24"/>
        </w:rPr>
        <w:t>kritérii jednotlivých odborných</w:t>
      </w:r>
      <w:r w:rsidRPr="000D096C">
        <w:rPr>
          <w:rFonts w:ascii="Times New Roman" w:hAnsi="Times New Roman" w:cs="Times New Roman"/>
          <w:sz w:val="24"/>
          <w:szCs w:val="24"/>
        </w:rPr>
        <w:t xml:space="preserve"> společností, což komplikuje srovnávání a</w:t>
      </w:r>
      <w:r w:rsidR="00762125">
        <w:rPr>
          <w:rFonts w:ascii="Times New Roman" w:hAnsi="Times New Roman" w:cs="Times New Roman"/>
          <w:sz w:val="24"/>
          <w:szCs w:val="24"/>
        </w:rPr>
        <w:t> </w:t>
      </w:r>
      <w:r w:rsidRPr="000D096C">
        <w:rPr>
          <w:rFonts w:ascii="Times New Roman" w:hAnsi="Times New Roman" w:cs="Times New Roman"/>
          <w:sz w:val="24"/>
          <w:szCs w:val="24"/>
        </w:rPr>
        <w:t xml:space="preserve">interpretaci údajů z různých částí světa, které tak ztrácejí přehlednost. Mezi společnostmi není ani jednotná shoda na označení „prediabetes,“ který </w:t>
      </w:r>
      <w:r w:rsidR="00313650" w:rsidRPr="000D096C">
        <w:rPr>
          <w:rFonts w:ascii="Times New Roman" w:hAnsi="Times New Roman" w:cs="Times New Roman"/>
          <w:sz w:val="24"/>
          <w:szCs w:val="24"/>
        </w:rPr>
        <w:t xml:space="preserve">je prosazován zejména </w:t>
      </w:r>
      <w:r w:rsidR="00D74931">
        <w:rPr>
          <w:rFonts w:ascii="Times New Roman" w:hAnsi="Times New Roman" w:cs="Times New Roman"/>
          <w:i/>
          <w:sz w:val="24"/>
          <w:szCs w:val="24"/>
        </w:rPr>
        <w:t>American d</w:t>
      </w:r>
      <w:r w:rsidRPr="004374B5">
        <w:rPr>
          <w:rFonts w:ascii="Times New Roman" w:hAnsi="Times New Roman" w:cs="Times New Roman"/>
          <w:i/>
          <w:sz w:val="24"/>
          <w:szCs w:val="24"/>
        </w:rPr>
        <w:t xml:space="preserve">iabetes </w:t>
      </w:r>
      <w:r w:rsidR="00D74931">
        <w:rPr>
          <w:rFonts w:ascii="Times New Roman" w:hAnsi="Times New Roman" w:cs="Times New Roman"/>
          <w:i/>
          <w:sz w:val="24"/>
          <w:szCs w:val="24"/>
        </w:rPr>
        <w:t>a</w:t>
      </w:r>
      <w:r w:rsidRPr="004374B5">
        <w:rPr>
          <w:rFonts w:ascii="Times New Roman" w:hAnsi="Times New Roman" w:cs="Times New Roman"/>
          <w:i/>
          <w:sz w:val="24"/>
          <w:szCs w:val="24"/>
        </w:rPr>
        <w:t>s</w:t>
      </w:r>
      <w:r w:rsidR="004374B5">
        <w:rPr>
          <w:rFonts w:ascii="Times New Roman" w:hAnsi="Times New Roman" w:cs="Times New Roman"/>
          <w:i/>
          <w:sz w:val="24"/>
          <w:szCs w:val="24"/>
        </w:rPr>
        <w:t>s</w:t>
      </w:r>
      <w:r w:rsidRPr="004374B5">
        <w:rPr>
          <w:rFonts w:ascii="Times New Roman" w:hAnsi="Times New Roman" w:cs="Times New Roman"/>
          <w:i/>
          <w:sz w:val="24"/>
          <w:szCs w:val="24"/>
        </w:rPr>
        <w:t>ociation</w:t>
      </w:r>
      <w:r w:rsidRPr="000D096C">
        <w:rPr>
          <w:rFonts w:ascii="Times New Roman" w:hAnsi="Times New Roman" w:cs="Times New Roman"/>
          <w:sz w:val="24"/>
          <w:szCs w:val="24"/>
        </w:rPr>
        <w:t xml:space="preserve"> (ADA) [</w:t>
      </w:r>
      <w:r w:rsidR="002559DB" w:rsidRPr="000D096C">
        <w:rPr>
          <w:rFonts w:ascii="Times New Roman" w:hAnsi="Times New Roman" w:cs="Times New Roman"/>
          <w:sz w:val="24"/>
          <w:szCs w:val="24"/>
        </w:rPr>
        <w:t>4</w:t>
      </w:r>
      <w:r w:rsidR="00C27BBC">
        <w:rPr>
          <w:rFonts w:ascii="Times New Roman" w:hAnsi="Times New Roman" w:cs="Times New Roman"/>
          <w:sz w:val="24"/>
          <w:szCs w:val="24"/>
        </w:rPr>
        <w:t>1</w:t>
      </w:r>
      <w:r w:rsidRPr="000D096C">
        <w:rPr>
          <w:rFonts w:ascii="Times New Roman" w:hAnsi="Times New Roman" w:cs="Times New Roman"/>
          <w:sz w:val="24"/>
          <w:szCs w:val="24"/>
        </w:rPr>
        <w:t>]. Světová zdravotnická organizace (WHO), preferující označení „</w:t>
      </w:r>
      <w:r w:rsidRPr="000D096C">
        <w:rPr>
          <w:rFonts w:ascii="Times New Roman" w:hAnsi="Times New Roman" w:cs="Times New Roman"/>
          <w:spacing w:val="2"/>
          <w:sz w:val="24"/>
          <w:szCs w:val="24"/>
          <w:shd w:val="clear" w:color="auto" w:fill="FCFCFC"/>
        </w:rPr>
        <w:t>intermediate hyperglycemia“,</w:t>
      </w:r>
      <w:r w:rsidRPr="000D096C">
        <w:rPr>
          <w:rFonts w:ascii="Times New Roman" w:hAnsi="Times New Roman" w:cs="Times New Roman"/>
          <w:sz w:val="24"/>
          <w:szCs w:val="24"/>
        </w:rPr>
        <w:t xml:space="preserve"> definuje prediabetes jako přítomnost alespoň jednoho z následujících stavů: 1. zvýšená glykémie nalačno (</w:t>
      </w:r>
      <w:r w:rsidR="00313650" w:rsidRPr="004374B5">
        <w:rPr>
          <w:rFonts w:ascii="Times New Roman" w:hAnsi="Times New Roman" w:cs="Times New Roman"/>
          <w:i/>
          <w:sz w:val="24"/>
          <w:szCs w:val="24"/>
        </w:rPr>
        <w:t>i</w:t>
      </w:r>
      <w:r w:rsidRPr="004374B5">
        <w:rPr>
          <w:rFonts w:ascii="Times New Roman" w:hAnsi="Times New Roman" w:cs="Times New Roman"/>
          <w:i/>
          <w:sz w:val="24"/>
          <w:szCs w:val="24"/>
        </w:rPr>
        <w:t>mpaired fasting glucose</w:t>
      </w:r>
      <w:r w:rsidRPr="000D096C">
        <w:rPr>
          <w:rFonts w:ascii="Times New Roman" w:hAnsi="Times New Roman" w:cs="Times New Roman"/>
          <w:sz w:val="24"/>
          <w:szCs w:val="24"/>
        </w:rPr>
        <w:t>, IFG), tedy stav charakterizovaný hodnotou lačné glykémie v intervalu 6,1 až 6,9 mmol/l a</w:t>
      </w:r>
      <w:r w:rsidR="00762125">
        <w:rPr>
          <w:rFonts w:ascii="Times New Roman" w:hAnsi="Times New Roman" w:cs="Times New Roman"/>
          <w:sz w:val="24"/>
          <w:szCs w:val="24"/>
        </w:rPr>
        <w:t> </w:t>
      </w:r>
      <w:r w:rsidRPr="000D096C">
        <w:rPr>
          <w:rFonts w:ascii="Times New Roman" w:hAnsi="Times New Roman" w:cs="Times New Roman"/>
          <w:sz w:val="24"/>
          <w:szCs w:val="24"/>
        </w:rPr>
        <w:t>současně (pokud měřeno) hodnotou glykémie ve 120. minutě standa</w:t>
      </w:r>
      <w:r w:rsidR="00C058FC">
        <w:rPr>
          <w:rFonts w:ascii="Times New Roman" w:hAnsi="Times New Roman" w:cs="Times New Roman"/>
          <w:sz w:val="24"/>
          <w:szCs w:val="24"/>
        </w:rPr>
        <w:t>rd</w:t>
      </w:r>
      <w:r w:rsidRPr="000D096C">
        <w:rPr>
          <w:rFonts w:ascii="Times New Roman" w:hAnsi="Times New Roman" w:cs="Times New Roman"/>
          <w:sz w:val="24"/>
          <w:szCs w:val="24"/>
        </w:rPr>
        <w:t>ního orálního glukózového tolerančního testu (OGTT) se 75 g glukózy do 7,8 mmol/l, 2. porušená glukózová tolerance (</w:t>
      </w:r>
      <w:r w:rsidR="00313650" w:rsidRPr="004374B5">
        <w:rPr>
          <w:rFonts w:ascii="Times New Roman" w:hAnsi="Times New Roman" w:cs="Times New Roman"/>
          <w:i/>
          <w:sz w:val="24"/>
          <w:szCs w:val="24"/>
        </w:rPr>
        <w:t>i</w:t>
      </w:r>
      <w:r w:rsidRPr="004374B5">
        <w:rPr>
          <w:rFonts w:ascii="Times New Roman" w:hAnsi="Times New Roman" w:cs="Times New Roman"/>
          <w:i/>
          <w:sz w:val="24"/>
          <w:szCs w:val="24"/>
        </w:rPr>
        <w:t>mpaired glucose tolerance</w:t>
      </w:r>
      <w:r w:rsidRPr="000D096C">
        <w:rPr>
          <w:rFonts w:ascii="Times New Roman" w:hAnsi="Times New Roman" w:cs="Times New Roman"/>
          <w:sz w:val="24"/>
          <w:szCs w:val="24"/>
        </w:rPr>
        <w:t>, IGT), tedy stav charakterizovaný hodnotou lačné glykémie pod 7 mmol/l a současně hodnotou glykémie ve 120.</w:t>
      </w:r>
      <w:r w:rsidR="00C058FC">
        <w:rPr>
          <w:rFonts w:ascii="Times New Roman" w:hAnsi="Times New Roman" w:cs="Times New Roman"/>
          <w:sz w:val="24"/>
          <w:szCs w:val="24"/>
        </w:rPr>
        <w:t xml:space="preserve"> </w:t>
      </w:r>
      <w:r w:rsidRPr="000D096C">
        <w:rPr>
          <w:rFonts w:ascii="Times New Roman" w:hAnsi="Times New Roman" w:cs="Times New Roman"/>
          <w:sz w:val="24"/>
          <w:szCs w:val="24"/>
        </w:rPr>
        <w:t>minutě standar</w:t>
      </w:r>
      <w:r w:rsidR="00C058FC">
        <w:rPr>
          <w:rFonts w:ascii="Times New Roman" w:hAnsi="Times New Roman" w:cs="Times New Roman"/>
          <w:sz w:val="24"/>
          <w:szCs w:val="24"/>
        </w:rPr>
        <w:t>d</w:t>
      </w:r>
      <w:r w:rsidRPr="000D096C">
        <w:rPr>
          <w:rFonts w:ascii="Times New Roman" w:hAnsi="Times New Roman" w:cs="Times New Roman"/>
          <w:sz w:val="24"/>
          <w:szCs w:val="24"/>
        </w:rPr>
        <w:t>ního OGTT v intervalu 7,8-11,0 mmol/l [</w:t>
      </w:r>
      <w:r w:rsidR="002559DB" w:rsidRPr="000D096C">
        <w:rPr>
          <w:rFonts w:ascii="Times New Roman" w:hAnsi="Times New Roman" w:cs="Times New Roman"/>
          <w:sz w:val="24"/>
          <w:szCs w:val="24"/>
        </w:rPr>
        <w:t>4</w:t>
      </w:r>
      <w:r w:rsidR="00C27BBC">
        <w:rPr>
          <w:rFonts w:ascii="Times New Roman" w:hAnsi="Times New Roman" w:cs="Times New Roman"/>
          <w:sz w:val="24"/>
          <w:szCs w:val="24"/>
        </w:rPr>
        <w:t>2</w:t>
      </w:r>
      <w:r w:rsidRPr="000D096C">
        <w:rPr>
          <w:rFonts w:ascii="Times New Roman" w:hAnsi="Times New Roman" w:cs="Times New Roman"/>
          <w:sz w:val="24"/>
          <w:szCs w:val="24"/>
        </w:rPr>
        <w:t xml:space="preserve">]. Definice prediabetu dle </w:t>
      </w:r>
      <w:r w:rsidR="00313650" w:rsidRPr="000D096C">
        <w:rPr>
          <w:rFonts w:ascii="Times New Roman" w:hAnsi="Times New Roman" w:cs="Times New Roman"/>
          <w:sz w:val="24"/>
          <w:szCs w:val="24"/>
        </w:rPr>
        <w:t>ADA</w:t>
      </w:r>
      <w:r w:rsidRPr="000D096C">
        <w:rPr>
          <w:rFonts w:ascii="Times New Roman" w:hAnsi="Times New Roman" w:cs="Times New Roman"/>
          <w:sz w:val="24"/>
          <w:szCs w:val="24"/>
        </w:rPr>
        <w:t xml:space="preserve"> se liší jednak v dolní hranici kritérií IFG, která je zde ohraničena hodnotami 5,6 až 6,9 mmol/l, dále (od roku 2010) v přítomnosti 3. možné podmínky pro diagnózu prediabetu, a to hladiny glykovaného hemoglobinu A1c (HbA1c) v rozmezí 39 až 47 mmol/mol [</w:t>
      </w:r>
      <w:r w:rsidR="002559DB" w:rsidRPr="000D096C">
        <w:rPr>
          <w:rFonts w:ascii="Times New Roman" w:hAnsi="Times New Roman" w:cs="Times New Roman"/>
          <w:sz w:val="24"/>
          <w:szCs w:val="24"/>
        </w:rPr>
        <w:t>4</w:t>
      </w:r>
      <w:r w:rsidR="00C27BBC">
        <w:rPr>
          <w:rFonts w:ascii="Times New Roman" w:hAnsi="Times New Roman" w:cs="Times New Roman"/>
          <w:sz w:val="24"/>
          <w:szCs w:val="24"/>
        </w:rPr>
        <w:t>3</w:t>
      </w:r>
      <w:r w:rsidRPr="000D096C">
        <w:rPr>
          <w:rFonts w:ascii="Times New Roman" w:hAnsi="Times New Roman" w:cs="Times New Roman"/>
          <w:sz w:val="24"/>
          <w:szCs w:val="24"/>
        </w:rPr>
        <w:t>]. Vedle IFG existují i rozdíly v mezních hodnotách pro HbA1c, jak dokládá například interval 42-47 mmol/mol užívaný v Kanadě [4</w:t>
      </w:r>
      <w:r w:rsidR="00C27BBC">
        <w:rPr>
          <w:rFonts w:ascii="Times New Roman" w:hAnsi="Times New Roman" w:cs="Times New Roman"/>
          <w:sz w:val="24"/>
          <w:szCs w:val="24"/>
        </w:rPr>
        <w:t>4</w:t>
      </w:r>
      <w:r w:rsidRPr="000D096C">
        <w:rPr>
          <w:rFonts w:ascii="Times New Roman" w:hAnsi="Times New Roman" w:cs="Times New Roman"/>
          <w:sz w:val="24"/>
          <w:szCs w:val="24"/>
        </w:rPr>
        <w:t>]</w:t>
      </w:r>
      <w:r w:rsidR="00A6218E" w:rsidRPr="000D096C">
        <w:rPr>
          <w:rFonts w:ascii="Times New Roman" w:hAnsi="Times New Roman" w:cs="Times New Roman"/>
          <w:sz w:val="24"/>
          <w:szCs w:val="24"/>
        </w:rPr>
        <w:t>.</w:t>
      </w:r>
      <w:r w:rsidR="00C058FC">
        <w:rPr>
          <w:rFonts w:ascii="Times New Roman" w:hAnsi="Times New Roman" w:cs="Times New Roman"/>
          <w:sz w:val="24"/>
          <w:szCs w:val="24"/>
        </w:rPr>
        <w:t xml:space="preserve"> V ČR</w:t>
      </w:r>
      <w:r w:rsidRPr="000D096C">
        <w:rPr>
          <w:rFonts w:ascii="Times New Roman" w:hAnsi="Times New Roman" w:cs="Times New Roman"/>
          <w:sz w:val="24"/>
          <w:szCs w:val="24"/>
        </w:rPr>
        <w:t xml:space="preserve"> je prediabetes definován jako přítomnost IFG dle ADA rozmezí a/nebo přítomnost IGT. Do budoucna se jeví jako alternativní diagnostické kritérium i </w:t>
      </w:r>
      <w:r w:rsidRPr="000D096C">
        <w:rPr>
          <w:rFonts w:ascii="Times New Roman" w:hAnsi="Times New Roman" w:cs="Times New Roman"/>
          <w:iCs/>
          <w:sz w:val="24"/>
          <w:szCs w:val="24"/>
        </w:rPr>
        <w:t>zvýše</w:t>
      </w:r>
      <w:r w:rsidR="00670BE5" w:rsidRPr="000D096C">
        <w:rPr>
          <w:rFonts w:ascii="Times New Roman" w:hAnsi="Times New Roman" w:cs="Times New Roman"/>
          <w:iCs/>
          <w:sz w:val="24"/>
          <w:szCs w:val="24"/>
        </w:rPr>
        <w:t>ní HbA1c v rozmezí</w:t>
      </w:r>
      <w:r w:rsidR="004E3FEF">
        <w:rPr>
          <w:rFonts w:ascii="Times New Roman" w:hAnsi="Times New Roman" w:cs="Times New Roman"/>
          <w:iCs/>
          <w:sz w:val="24"/>
          <w:szCs w:val="24"/>
        </w:rPr>
        <w:t xml:space="preserve"> 39-</w:t>
      </w:r>
      <w:r w:rsidRPr="000D096C">
        <w:rPr>
          <w:rFonts w:ascii="Times New Roman" w:hAnsi="Times New Roman" w:cs="Times New Roman"/>
          <w:iCs/>
          <w:sz w:val="24"/>
          <w:szCs w:val="24"/>
        </w:rPr>
        <w:t xml:space="preserve">47 mmol/mol </w:t>
      </w:r>
      <w:r w:rsidRPr="000D096C">
        <w:rPr>
          <w:rFonts w:ascii="Times New Roman" w:hAnsi="Times New Roman" w:cs="Times New Roman"/>
          <w:sz w:val="24"/>
          <w:szCs w:val="24"/>
        </w:rPr>
        <w:t>[4</w:t>
      </w:r>
      <w:r w:rsidR="00C27BBC">
        <w:rPr>
          <w:rFonts w:ascii="Times New Roman" w:hAnsi="Times New Roman" w:cs="Times New Roman"/>
          <w:sz w:val="24"/>
          <w:szCs w:val="24"/>
        </w:rPr>
        <w:t>5</w:t>
      </w:r>
      <w:r w:rsidRPr="000D096C">
        <w:rPr>
          <w:rFonts w:ascii="Times New Roman" w:hAnsi="Times New Roman" w:cs="Times New Roman"/>
          <w:sz w:val="24"/>
          <w:szCs w:val="24"/>
        </w:rPr>
        <w:t>].</w:t>
      </w:r>
      <w:r w:rsidR="002559DB" w:rsidRPr="000D096C">
        <w:rPr>
          <w:rFonts w:ascii="Times New Roman" w:hAnsi="Times New Roman" w:cs="Times New Roman"/>
          <w:sz w:val="24"/>
          <w:szCs w:val="24"/>
        </w:rPr>
        <w:t xml:space="preserve"> Uvedená diagnostic</w:t>
      </w:r>
      <w:r w:rsidR="002801C2">
        <w:rPr>
          <w:rFonts w:ascii="Times New Roman" w:hAnsi="Times New Roman" w:cs="Times New Roman"/>
          <w:sz w:val="24"/>
          <w:szCs w:val="24"/>
        </w:rPr>
        <w:t>ká kritéria prediabetu shrnuje tab.</w:t>
      </w:r>
      <w:r w:rsidR="002559DB" w:rsidRPr="000D096C">
        <w:rPr>
          <w:rFonts w:ascii="Times New Roman" w:hAnsi="Times New Roman" w:cs="Times New Roman"/>
          <w:sz w:val="24"/>
          <w:szCs w:val="24"/>
        </w:rPr>
        <w:t xml:space="preserve"> 1.</w:t>
      </w:r>
    </w:p>
    <w:p w:rsidR="00E62B1C" w:rsidRDefault="00E62B1C">
      <w:pPr>
        <w:rPr>
          <w:rFonts w:ascii="Times New Roman" w:hAnsi="Times New Roman" w:cs="Times New Roman"/>
          <w:sz w:val="24"/>
          <w:szCs w:val="24"/>
        </w:rPr>
      </w:pPr>
      <w:r>
        <w:rPr>
          <w:rFonts w:ascii="Times New Roman" w:hAnsi="Times New Roman" w:cs="Times New Roman"/>
          <w:sz w:val="24"/>
          <w:szCs w:val="24"/>
        </w:rPr>
        <w:br w:type="page"/>
      </w:r>
    </w:p>
    <w:p w:rsidR="002559DB" w:rsidRPr="000D096C" w:rsidRDefault="002559DB" w:rsidP="002F1555">
      <w:pPr>
        <w:pStyle w:val="Bezmezer"/>
        <w:spacing w:before="240" w:after="240" w:line="360" w:lineRule="auto"/>
        <w:jc w:val="both"/>
        <w:rPr>
          <w:rFonts w:ascii="Times New Roman" w:hAnsi="Times New Roman" w:cs="Times New Roman"/>
          <w:b/>
          <w:sz w:val="24"/>
          <w:szCs w:val="24"/>
        </w:rPr>
      </w:pPr>
      <w:r w:rsidRPr="000D096C">
        <w:rPr>
          <w:rFonts w:ascii="Times New Roman" w:hAnsi="Times New Roman" w:cs="Times New Roman"/>
          <w:b/>
          <w:sz w:val="24"/>
          <w:szCs w:val="24"/>
        </w:rPr>
        <w:lastRenderedPageBreak/>
        <w:t xml:space="preserve">Tabulka 1. </w:t>
      </w:r>
      <w:r w:rsidRPr="00B1324F">
        <w:rPr>
          <w:rFonts w:ascii="Times New Roman" w:hAnsi="Times New Roman" w:cs="Times New Roman"/>
          <w:sz w:val="24"/>
          <w:szCs w:val="24"/>
        </w:rPr>
        <w:t>Kritéria prediabetu definovaná různými odbornými společnostmi</w:t>
      </w:r>
    </w:p>
    <w:tbl>
      <w:tblPr>
        <w:tblpPr w:leftFromText="141" w:rightFromText="141" w:vertAnchor="text" w:tblpXSpec="center" w:tblpY="1"/>
        <w:tblOverlap w:val="never"/>
        <w:tblW w:w="9062" w:type="dxa"/>
        <w:jc w:val="center"/>
        <w:tblCellMar>
          <w:left w:w="70" w:type="dxa"/>
          <w:right w:w="70" w:type="dxa"/>
        </w:tblCellMar>
        <w:tblLook w:val="04A0" w:firstRow="1" w:lastRow="0" w:firstColumn="1" w:lastColumn="0" w:noHBand="0" w:noVBand="1"/>
      </w:tblPr>
      <w:tblGrid>
        <w:gridCol w:w="4240"/>
        <w:gridCol w:w="1280"/>
        <w:gridCol w:w="1200"/>
        <w:gridCol w:w="1200"/>
        <w:gridCol w:w="1142"/>
      </w:tblGrid>
      <w:tr w:rsidR="00A239A3" w:rsidRPr="000D096C" w:rsidTr="002559DB">
        <w:trPr>
          <w:trHeight w:val="360"/>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rPr>
                <w:rFonts w:ascii="Times New Roman" w:eastAsia="Times New Roman" w:hAnsi="Times New Roman" w:cs="Times New Roman"/>
                <w:b/>
                <w:bCs/>
                <w:sz w:val="24"/>
                <w:szCs w:val="24"/>
                <w:lang w:eastAsia="cs-CZ"/>
              </w:rPr>
            </w:pPr>
            <w:r w:rsidRPr="000D096C">
              <w:rPr>
                <w:rFonts w:ascii="Times New Roman" w:eastAsia="Times New Roman" w:hAnsi="Times New Roman" w:cs="Times New Roman"/>
                <w:b/>
                <w:bCs/>
                <w:sz w:val="24"/>
                <w:szCs w:val="24"/>
                <w:lang w:eastAsia="cs-CZ"/>
              </w:rPr>
              <w:t> </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rPr>
                <w:rFonts w:ascii="Times New Roman" w:eastAsia="Times New Roman" w:hAnsi="Times New Roman" w:cs="Times New Roman"/>
                <w:b/>
                <w:bCs/>
                <w:sz w:val="24"/>
                <w:szCs w:val="24"/>
                <w:lang w:eastAsia="cs-CZ"/>
              </w:rPr>
            </w:pPr>
            <w:r w:rsidRPr="000D096C">
              <w:rPr>
                <w:rFonts w:ascii="Times New Roman" w:eastAsia="Times New Roman" w:hAnsi="Times New Roman" w:cs="Times New Roman"/>
                <w:b/>
                <w:bCs/>
                <w:sz w:val="24"/>
                <w:szCs w:val="24"/>
                <w:lang w:eastAsia="cs-CZ"/>
              </w:rPr>
              <w:t>WHO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rPr>
                <w:rFonts w:ascii="Times New Roman" w:eastAsia="Times New Roman" w:hAnsi="Times New Roman" w:cs="Times New Roman"/>
                <w:b/>
                <w:bCs/>
                <w:sz w:val="24"/>
                <w:szCs w:val="24"/>
                <w:lang w:eastAsia="cs-CZ"/>
              </w:rPr>
            </w:pPr>
            <w:r w:rsidRPr="000D096C">
              <w:rPr>
                <w:rFonts w:ascii="Times New Roman" w:eastAsia="Times New Roman" w:hAnsi="Times New Roman" w:cs="Times New Roman"/>
                <w:b/>
                <w:bCs/>
                <w:sz w:val="24"/>
                <w:szCs w:val="24"/>
                <w:lang w:eastAsia="cs-CZ"/>
              </w:rPr>
              <w:t>ADA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rPr>
                <w:rFonts w:ascii="Times New Roman" w:eastAsia="Times New Roman" w:hAnsi="Times New Roman" w:cs="Times New Roman"/>
                <w:b/>
                <w:bCs/>
                <w:sz w:val="24"/>
                <w:szCs w:val="24"/>
                <w:lang w:eastAsia="cs-CZ"/>
              </w:rPr>
            </w:pPr>
            <w:r w:rsidRPr="000D096C">
              <w:rPr>
                <w:rFonts w:ascii="Times New Roman" w:eastAsia="Times New Roman" w:hAnsi="Times New Roman" w:cs="Times New Roman"/>
                <w:b/>
                <w:bCs/>
                <w:sz w:val="24"/>
                <w:szCs w:val="24"/>
                <w:lang w:eastAsia="cs-CZ"/>
              </w:rPr>
              <w:t>CDA</w:t>
            </w:r>
          </w:p>
        </w:tc>
        <w:tc>
          <w:tcPr>
            <w:tcW w:w="1142" w:type="dxa"/>
            <w:tcBorders>
              <w:top w:val="single" w:sz="4" w:space="0" w:color="auto"/>
              <w:left w:val="nil"/>
              <w:bottom w:val="single" w:sz="4" w:space="0" w:color="auto"/>
              <w:right w:val="single" w:sz="4" w:space="0" w:color="auto"/>
            </w:tcBorders>
            <w:vAlign w:val="center"/>
          </w:tcPr>
          <w:p w:rsidR="002559DB" w:rsidRPr="000D096C" w:rsidRDefault="002559DB" w:rsidP="004567D5">
            <w:pPr>
              <w:spacing w:after="0" w:line="360" w:lineRule="auto"/>
              <w:rPr>
                <w:rFonts w:ascii="Times New Roman" w:eastAsia="Times New Roman" w:hAnsi="Times New Roman" w:cs="Times New Roman"/>
                <w:b/>
                <w:bCs/>
                <w:sz w:val="24"/>
                <w:szCs w:val="24"/>
                <w:lang w:eastAsia="cs-CZ"/>
              </w:rPr>
            </w:pPr>
            <w:r w:rsidRPr="000D096C">
              <w:rPr>
                <w:rFonts w:ascii="Times New Roman" w:eastAsia="Times New Roman" w:hAnsi="Times New Roman" w:cs="Times New Roman"/>
                <w:b/>
                <w:bCs/>
                <w:sz w:val="24"/>
                <w:szCs w:val="24"/>
                <w:lang w:eastAsia="cs-CZ"/>
              </w:rPr>
              <w:t>ČR</w:t>
            </w:r>
          </w:p>
        </w:tc>
      </w:tr>
      <w:tr w:rsidR="00A239A3" w:rsidRPr="000D096C" w:rsidTr="002559DB">
        <w:trPr>
          <w:trHeight w:val="285"/>
          <w:jc w:val="center"/>
        </w:trPr>
        <w:tc>
          <w:tcPr>
            <w:tcW w:w="792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59DB" w:rsidRPr="000D096C" w:rsidRDefault="002559DB" w:rsidP="004567D5">
            <w:pPr>
              <w:spacing w:after="0" w:line="360" w:lineRule="auto"/>
              <w:rPr>
                <w:rFonts w:ascii="Times New Roman" w:eastAsia="Times New Roman" w:hAnsi="Times New Roman" w:cs="Times New Roman"/>
                <w:b/>
                <w:bCs/>
                <w:sz w:val="24"/>
                <w:szCs w:val="24"/>
                <w:lang w:eastAsia="cs-CZ"/>
              </w:rPr>
            </w:pPr>
            <w:r w:rsidRPr="000D096C">
              <w:rPr>
                <w:rFonts w:ascii="Times New Roman" w:eastAsia="Times New Roman" w:hAnsi="Times New Roman" w:cs="Times New Roman"/>
                <w:b/>
                <w:bCs/>
                <w:sz w:val="24"/>
                <w:szCs w:val="24"/>
                <w:lang w:eastAsia="cs-CZ"/>
              </w:rPr>
              <w:t>Alespoň jedna podmínka (řádek):</w:t>
            </w:r>
          </w:p>
        </w:tc>
        <w:tc>
          <w:tcPr>
            <w:tcW w:w="1142" w:type="dxa"/>
            <w:tcBorders>
              <w:top w:val="single" w:sz="4" w:space="0" w:color="auto"/>
              <w:left w:val="single" w:sz="4" w:space="0" w:color="auto"/>
              <w:bottom w:val="single" w:sz="4" w:space="0" w:color="auto"/>
              <w:right w:val="single" w:sz="4" w:space="0" w:color="000000"/>
            </w:tcBorders>
            <w:vAlign w:val="center"/>
          </w:tcPr>
          <w:p w:rsidR="002559DB" w:rsidRPr="000D096C" w:rsidRDefault="002559DB" w:rsidP="004567D5">
            <w:pPr>
              <w:spacing w:after="0" w:line="360" w:lineRule="auto"/>
              <w:rPr>
                <w:rFonts w:ascii="Times New Roman" w:eastAsia="Times New Roman" w:hAnsi="Times New Roman" w:cs="Times New Roman"/>
                <w:b/>
                <w:bCs/>
                <w:sz w:val="24"/>
                <w:szCs w:val="24"/>
                <w:lang w:eastAsia="cs-CZ"/>
              </w:rPr>
            </w:pPr>
          </w:p>
        </w:tc>
      </w:tr>
      <w:tr w:rsidR="000D096C" w:rsidRPr="000D096C" w:rsidTr="002559DB">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Glykémie nalačno (mmol/l)</w:t>
            </w:r>
          </w:p>
        </w:tc>
        <w:tc>
          <w:tcPr>
            <w:tcW w:w="1280" w:type="dxa"/>
            <w:tcBorders>
              <w:top w:val="nil"/>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6,1-6,9</w:t>
            </w:r>
          </w:p>
        </w:tc>
        <w:tc>
          <w:tcPr>
            <w:tcW w:w="1200" w:type="dxa"/>
            <w:tcBorders>
              <w:top w:val="nil"/>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5,6-6,9</w:t>
            </w:r>
          </w:p>
        </w:tc>
        <w:tc>
          <w:tcPr>
            <w:tcW w:w="1200" w:type="dxa"/>
            <w:tcBorders>
              <w:top w:val="nil"/>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6,1-6,9</w:t>
            </w:r>
          </w:p>
        </w:tc>
        <w:tc>
          <w:tcPr>
            <w:tcW w:w="1142" w:type="dxa"/>
            <w:tcBorders>
              <w:top w:val="nil"/>
              <w:left w:val="nil"/>
              <w:bottom w:val="single" w:sz="4" w:space="0" w:color="auto"/>
              <w:right w:val="single" w:sz="4" w:space="0" w:color="auto"/>
            </w:tcBorders>
            <w:vAlign w:val="center"/>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5,6-6,9</w:t>
            </w:r>
          </w:p>
        </w:tc>
      </w:tr>
      <w:tr w:rsidR="000D096C" w:rsidRPr="000D096C" w:rsidTr="002559DB">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120. minuta OGTT (mmol/l)</w:t>
            </w:r>
          </w:p>
        </w:tc>
        <w:tc>
          <w:tcPr>
            <w:tcW w:w="1280" w:type="dxa"/>
            <w:tcBorders>
              <w:top w:val="nil"/>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7,8-11,0</w:t>
            </w:r>
          </w:p>
        </w:tc>
        <w:tc>
          <w:tcPr>
            <w:tcW w:w="1200" w:type="dxa"/>
            <w:tcBorders>
              <w:top w:val="nil"/>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7,8-11,0</w:t>
            </w:r>
          </w:p>
        </w:tc>
        <w:tc>
          <w:tcPr>
            <w:tcW w:w="1200" w:type="dxa"/>
            <w:tcBorders>
              <w:top w:val="nil"/>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7,8-11,0</w:t>
            </w:r>
          </w:p>
        </w:tc>
        <w:tc>
          <w:tcPr>
            <w:tcW w:w="1142" w:type="dxa"/>
            <w:tcBorders>
              <w:top w:val="nil"/>
              <w:left w:val="nil"/>
              <w:bottom w:val="single" w:sz="4" w:space="0" w:color="auto"/>
              <w:right w:val="single" w:sz="4" w:space="0" w:color="auto"/>
            </w:tcBorders>
            <w:vAlign w:val="center"/>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7,8-11,0</w:t>
            </w:r>
          </w:p>
        </w:tc>
      </w:tr>
      <w:tr w:rsidR="000D096C" w:rsidRPr="000D096C" w:rsidTr="00121A9E">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Hemoglobin A1c (mmol/mol)</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 </w:t>
            </w:r>
          </w:p>
        </w:tc>
        <w:tc>
          <w:tcPr>
            <w:tcW w:w="1200" w:type="dxa"/>
            <w:tcBorders>
              <w:top w:val="nil"/>
              <w:left w:val="nil"/>
              <w:bottom w:val="single" w:sz="4" w:space="0" w:color="auto"/>
              <w:right w:val="single" w:sz="4" w:space="0" w:color="auto"/>
            </w:tcBorders>
            <w:shd w:val="clear" w:color="auto" w:fill="auto"/>
            <w:noWrap/>
            <w:vAlign w:val="center"/>
            <w:hideMark/>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39-47</w:t>
            </w:r>
          </w:p>
        </w:tc>
        <w:tc>
          <w:tcPr>
            <w:tcW w:w="1200" w:type="dxa"/>
            <w:tcBorders>
              <w:top w:val="nil"/>
              <w:left w:val="nil"/>
              <w:bottom w:val="single" w:sz="4" w:space="0" w:color="auto"/>
              <w:right w:val="single" w:sz="4" w:space="0" w:color="auto"/>
            </w:tcBorders>
            <w:shd w:val="clear" w:color="000000" w:fill="FFFFFF"/>
            <w:noWrap/>
            <w:vAlign w:val="center"/>
            <w:hideMark/>
          </w:tcPr>
          <w:p w:rsidR="002559DB" w:rsidRPr="000D096C" w:rsidRDefault="002559DB" w:rsidP="004567D5">
            <w:pPr>
              <w:spacing w:after="0" w:line="360" w:lineRule="auto"/>
              <w:jc w:val="center"/>
              <w:rPr>
                <w:rFonts w:ascii="Times New Roman" w:eastAsia="Times New Roman" w:hAnsi="Times New Roman" w:cs="Times New Roman"/>
                <w:sz w:val="24"/>
                <w:szCs w:val="24"/>
                <w:lang w:eastAsia="cs-CZ"/>
              </w:rPr>
            </w:pPr>
            <w:r w:rsidRPr="000D096C">
              <w:rPr>
                <w:rFonts w:ascii="Times New Roman" w:eastAsia="Times New Roman" w:hAnsi="Times New Roman" w:cs="Times New Roman"/>
                <w:sz w:val="24"/>
                <w:szCs w:val="24"/>
                <w:lang w:eastAsia="cs-CZ"/>
              </w:rPr>
              <w:t>42-47</w:t>
            </w:r>
          </w:p>
        </w:tc>
        <w:tc>
          <w:tcPr>
            <w:tcW w:w="1142" w:type="dxa"/>
            <w:tcBorders>
              <w:top w:val="nil"/>
              <w:left w:val="nil"/>
              <w:bottom w:val="single" w:sz="4" w:space="0" w:color="auto"/>
              <w:right w:val="single" w:sz="4" w:space="0" w:color="auto"/>
            </w:tcBorders>
            <w:shd w:val="clear" w:color="auto" w:fill="D9D9D9" w:themeFill="background1" w:themeFillShade="D9"/>
            <w:vAlign w:val="center"/>
          </w:tcPr>
          <w:p w:rsidR="002559DB" w:rsidRPr="000D096C" w:rsidRDefault="002559DB" w:rsidP="004567D5">
            <w:pPr>
              <w:spacing w:after="0" w:line="360" w:lineRule="auto"/>
              <w:jc w:val="center"/>
              <w:rPr>
                <w:rFonts w:ascii="Times New Roman" w:eastAsia="Times New Roman" w:hAnsi="Times New Roman" w:cs="Times New Roman"/>
                <w:i/>
                <w:sz w:val="24"/>
                <w:szCs w:val="24"/>
                <w:lang w:eastAsia="cs-CZ"/>
              </w:rPr>
            </w:pPr>
            <w:r w:rsidRPr="000D096C">
              <w:rPr>
                <w:rFonts w:ascii="Times New Roman" w:eastAsia="Times New Roman" w:hAnsi="Times New Roman" w:cs="Times New Roman"/>
                <w:i/>
                <w:sz w:val="24"/>
                <w:szCs w:val="24"/>
                <w:lang w:eastAsia="cs-CZ"/>
              </w:rPr>
              <w:t>39-47</w:t>
            </w:r>
          </w:p>
        </w:tc>
      </w:tr>
    </w:tbl>
    <w:p w:rsidR="005561E6" w:rsidRDefault="005561E6" w:rsidP="00E62B1C">
      <w:pPr>
        <w:pStyle w:val="Bezmezer"/>
        <w:spacing w:before="140" w:line="360" w:lineRule="auto"/>
        <w:jc w:val="both"/>
        <w:rPr>
          <w:rFonts w:ascii="Times New Roman" w:hAnsi="Times New Roman" w:cs="Times New Roman"/>
          <w:iCs/>
          <w:sz w:val="24"/>
          <w:szCs w:val="24"/>
        </w:rPr>
      </w:pPr>
      <w:r w:rsidRPr="000D096C">
        <w:rPr>
          <w:rFonts w:ascii="Times New Roman" w:eastAsia="Times New Roman" w:hAnsi="Times New Roman" w:cs="Times New Roman"/>
          <w:sz w:val="24"/>
          <w:szCs w:val="24"/>
          <w:lang w:eastAsia="cs-CZ"/>
        </w:rPr>
        <w:t xml:space="preserve">CDA - </w:t>
      </w:r>
      <w:r w:rsidRPr="004374B5">
        <w:rPr>
          <w:rFonts w:ascii="Times New Roman" w:eastAsia="Times New Roman" w:hAnsi="Times New Roman" w:cs="Times New Roman"/>
          <w:i/>
          <w:sz w:val="24"/>
          <w:szCs w:val="24"/>
          <w:lang w:eastAsia="cs-CZ"/>
        </w:rPr>
        <w:t xml:space="preserve">Canadian </w:t>
      </w:r>
      <w:r>
        <w:rPr>
          <w:rFonts w:ascii="Times New Roman" w:eastAsia="Times New Roman" w:hAnsi="Times New Roman" w:cs="Times New Roman"/>
          <w:i/>
          <w:sz w:val="24"/>
          <w:szCs w:val="24"/>
          <w:lang w:eastAsia="cs-CZ"/>
        </w:rPr>
        <w:t>d</w:t>
      </w:r>
      <w:r w:rsidRPr="004374B5">
        <w:rPr>
          <w:rFonts w:ascii="Times New Roman" w:eastAsia="Times New Roman" w:hAnsi="Times New Roman" w:cs="Times New Roman"/>
          <w:i/>
          <w:sz w:val="24"/>
          <w:szCs w:val="24"/>
          <w:lang w:eastAsia="cs-CZ"/>
        </w:rPr>
        <w:t xml:space="preserve">iabetes </w:t>
      </w:r>
      <w:r>
        <w:rPr>
          <w:rFonts w:ascii="Times New Roman" w:eastAsia="Times New Roman" w:hAnsi="Times New Roman" w:cs="Times New Roman"/>
          <w:i/>
          <w:sz w:val="24"/>
          <w:szCs w:val="24"/>
          <w:lang w:eastAsia="cs-CZ"/>
        </w:rPr>
        <w:t>a</w:t>
      </w:r>
      <w:r w:rsidRPr="004374B5">
        <w:rPr>
          <w:rFonts w:ascii="Times New Roman" w:eastAsia="Times New Roman" w:hAnsi="Times New Roman" w:cs="Times New Roman"/>
          <w:i/>
          <w:sz w:val="24"/>
          <w:szCs w:val="24"/>
          <w:lang w:eastAsia="cs-CZ"/>
        </w:rPr>
        <w:t>ssociation</w:t>
      </w:r>
    </w:p>
    <w:p w:rsidR="009B3144" w:rsidRPr="000D096C" w:rsidRDefault="00407D8F" w:rsidP="00C11C4E">
      <w:pPr>
        <w:pStyle w:val="Bezmezer"/>
        <w:spacing w:before="200" w:line="360" w:lineRule="auto"/>
        <w:ind w:firstLine="709"/>
        <w:jc w:val="both"/>
        <w:rPr>
          <w:rFonts w:ascii="Times New Roman" w:hAnsi="Times New Roman" w:cs="Times New Roman"/>
          <w:iCs/>
          <w:sz w:val="24"/>
          <w:szCs w:val="24"/>
        </w:rPr>
      </w:pPr>
      <w:r w:rsidRPr="000D096C">
        <w:rPr>
          <w:rFonts w:ascii="Times New Roman" w:hAnsi="Times New Roman" w:cs="Times New Roman"/>
          <w:iCs/>
          <w:sz w:val="24"/>
          <w:szCs w:val="24"/>
        </w:rPr>
        <w:t>Odborné společnosti uplatňující</w:t>
      </w:r>
      <w:r w:rsidR="009B5722" w:rsidRPr="000D096C">
        <w:rPr>
          <w:rFonts w:ascii="Times New Roman" w:hAnsi="Times New Roman" w:cs="Times New Roman"/>
          <w:iCs/>
          <w:sz w:val="24"/>
          <w:szCs w:val="24"/>
        </w:rPr>
        <w:t xml:space="preserve"> širší intervaly IFG (a kritéria HbA1c) vykazují vyšší prevalenci prediabetu a současně nižší míru jeho komplikací, jak bude ukázáno níže. Na druhou stranu užší IFG s vyšším dolním limitem</w:t>
      </w:r>
      <w:r w:rsidR="00084F6F" w:rsidRPr="000D096C">
        <w:rPr>
          <w:rFonts w:ascii="Times New Roman" w:hAnsi="Times New Roman" w:cs="Times New Roman"/>
          <w:iCs/>
          <w:sz w:val="24"/>
          <w:szCs w:val="24"/>
        </w:rPr>
        <w:t xml:space="preserve"> předznamenává</w:t>
      </w:r>
      <w:r w:rsidR="00FB1E6F" w:rsidRPr="000D096C">
        <w:rPr>
          <w:rFonts w:ascii="Times New Roman" w:hAnsi="Times New Roman" w:cs="Times New Roman"/>
          <w:iCs/>
          <w:sz w:val="24"/>
          <w:szCs w:val="24"/>
        </w:rPr>
        <w:t xml:space="preserve"> nižší výskyt prediabetu, který však vede ve </w:t>
      </w:r>
      <w:r w:rsidR="00D555C7" w:rsidRPr="000D096C">
        <w:rPr>
          <w:rFonts w:ascii="Times New Roman" w:hAnsi="Times New Roman" w:cs="Times New Roman"/>
          <w:iCs/>
          <w:sz w:val="24"/>
          <w:szCs w:val="24"/>
        </w:rPr>
        <w:t>vyšším procentu ke komplikacím.</w:t>
      </w:r>
      <w:r w:rsidR="00D555C7" w:rsidRPr="000D096C">
        <w:rPr>
          <w:rFonts w:ascii="Times New Roman" w:hAnsi="Times New Roman" w:cs="Times New Roman"/>
          <w:sz w:val="24"/>
          <w:szCs w:val="24"/>
        </w:rPr>
        <w:t xml:space="preserve"> </w:t>
      </w:r>
      <w:r w:rsidR="00084F6F" w:rsidRPr="000D096C">
        <w:rPr>
          <w:rFonts w:ascii="Times New Roman" w:hAnsi="Times New Roman" w:cs="Times New Roman"/>
          <w:iCs/>
          <w:sz w:val="24"/>
          <w:szCs w:val="24"/>
        </w:rPr>
        <w:t xml:space="preserve">Tyto </w:t>
      </w:r>
      <w:r w:rsidR="00C058FC">
        <w:rPr>
          <w:rFonts w:ascii="Times New Roman" w:hAnsi="Times New Roman" w:cs="Times New Roman"/>
          <w:iCs/>
          <w:sz w:val="24"/>
          <w:szCs w:val="24"/>
        </w:rPr>
        <w:t>okolnosti</w:t>
      </w:r>
      <w:r w:rsidR="00084F6F" w:rsidRPr="000D096C">
        <w:rPr>
          <w:rFonts w:ascii="Times New Roman" w:hAnsi="Times New Roman" w:cs="Times New Roman"/>
          <w:iCs/>
          <w:sz w:val="24"/>
          <w:szCs w:val="24"/>
        </w:rPr>
        <w:t xml:space="preserve"> podporují skutečnost</w:t>
      </w:r>
      <w:r w:rsidR="00FB1E6F" w:rsidRPr="000D096C">
        <w:rPr>
          <w:rFonts w:ascii="Times New Roman" w:hAnsi="Times New Roman" w:cs="Times New Roman"/>
          <w:iCs/>
          <w:sz w:val="24"/>
          <w:szCs w:val="24"/>
        </w:rPr>
        <w:t xml:space="preserve">, že rozvoj poruch metabolismu glukózy je dlouhodobě progredující </w:t>
      </w:r>
      <w:r w:rsidR="00084F6F" w:rsidRPr="000D096C">
        <w:rPr>
          <w:rFonts w:ascii="Times New Roman" w:hAnsi="Times New Roman" w:cs="Times New Roman"/>
          <w:iCs/>
          <w:sz w:val="24"/>
          <w:szCs w:val="24"/>
        </w:rPr>
        <w:t xml:space="preserve">spojitý </w:t>
      </w:r>
      <w:r w:rsidR="00FB1E6F" w:rsidRPr="000D096C">
        <w:rPr>
          <w:rFonts w:ascii="Times New Roman" w:hAnsi="Times New Roman" w:cs="Times New Roman"/>
          <w:iCs/>
          <w:sz w:val="24"/>
          <w:szCs w:val="24"/>
        </w:rPr>
        <w:t xml:space="preserve">proces, </w:t>
      </w:r>
      <w:r w:rsidR="00084F6F" w:rsidRPr="000D096C">
        <w:rPr>
          <w:rFonts w:ascii="Times New Roman" w:hAnsi="Times New Roman" w:cs="Times New Roman"/>
          <w:iCs/>
          <w:sz w:val="24"/>
          <w:szCs w:val="24"/>
        </w:rPr>
        <w:t>kdy v</w:t>
      </w:r>
      <w:r w:rsidR="00BB3FFF">
        <w:rPr>
          <w:rFonts w:ascii="Times New Roman" w:hAnsi="Times New Roman" w:cs="Times New Roman"/>
          <w:iCs/>
          <w:sz w:val="24"/>
          <w:szCs w:val="24"/>
        </w:rPr>
        <w:t> </w:t>
      </w:r>
      <w:r w:rsidR="00FB1E6F" w:rsidRPr="000D096C">
        <w:rPr>
          <w:rFonts w:ascii="Times New Roman" w:hAnsi="Times New Roman" w:cs="Times New Roman"/>
          <w:iCs/>
          <w:sz w:val="24"/>
          <w:szCs w:val="24"/>
        </w:rPr>
        <w:t xml:space="preserve">případě užších a do vyšších hladin </w:t>
      </w:r>
      <w:r w:rsidR="00C058FC">
        <w:rPr>
          <w:rFonts w:ascii="Times New Roman" w:hAnsi="Times New Roman" w:cs="Times New Roman"/>
          <w:iCs/>
          <w:sz w:val="24"/>
          <w:szCs w:val="24"/>
        </w:rPr>
        <w:t>kladených</w:t>
      </w:r>
      <w:r w:rsidR="00FB1E6F" w:rsidRPr="000D096C">
        <w:rPr>
          <w:rFonts w:ascii="Times New Roman" w:hAnsi="Times New Roman" w:cs="Times New Roman"/>
          <w:iCs/>
          <w:sz w:val="24"/>
          <w:szCs w:val="24"/>
        </w:rPr>
        <w:t xml:space="preserve"> rozmezí IFG jsou za prediabetiky diagnostik</w:t>
      </w:r>
      <w:r w:rsidR="008E5958" w:rsidRPr="000D096C">
        <w:rPr>
          <w:rFonts w:ascii="Times New Roman" w:hAnsi="Times New Roman" w:cs="Times New Roman"/>
          <w:iCs/>
          <w:sz w:val="24"/>
          <w:szCs w:val="24"/>
        </w:rPr>
        <w:t>ováni již jedinci blížící se</w:t>
      </w:r>
      <w:r w:rsidR="00FB1E6F" w:rsidRPr="000D096C">
        <w:rPr>
          <w:rFonts w:ascii="Times New Roman" w:hAnsi="Times New Roman" w:cs="Times New Roman"/>
          <w:iCs/>
          <w:sz w:val="24"/>
          <w:szCs w:val="24"/>
        </w:rPr>
        <w:t xml:space="preserve"> T2DM.</w:t>
      </w:r>
    </w:p>
    <w:p w:rsidR="00A67969" w:rsidRPr="000D096C" w:rsidRDefault="00A164E0" w:rsidP="004567D5">
      <w:pPr>
        <w:pStyle w:val="Nadpis3"/>
        <w:spacing w:line="360" w:lineRule="auto"/>
        <w:rPr>
          <w:rFonts w:cs="Times New Roman"/>
        </w:rPr>
      </w:pPr>
      <w:bookmarkStart w:id="77" w:name="_Toc33432677"/>
      <w:bookmarkStart w:id="78" w:name="_Toc33432897"/>
      <w:bookmarkStart w:id="79" w:name="_Toc33869536"/>
      <w:r w:rsidRPr="000D096C">
        <w:rPr>
          <w:rFonts w:cs="Times New Roman"/>
        </w:rPr>
        <w:t>Výskyt</w:t>
      </w:r>
      <w:bookmarkEnd w:id="77"/>
      <w:bookmarkEnd w:id="78"/>
      <w:bookmarkEnd w:id="79"/>
    </w:p>
    <w:p w:rsidR="00A67969" w:rsidRPr="000D096C" w:rsidRDefault="00A6218E"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 xml:space="preserve">Zatímco pro </w:t>
      </w:r>
      <w:r w:rsidR="00A270C3" w:rsidRPr="000D096C">
        <w:rPr>
          <w:rFonts w:ascii="Times New Roman" w:hAnsi="Times New Roman" w:cs="Times New Roman"/>
          <w:sz w:val="24"/>
          <w:szCs w:val="24"/>
        </w:rPr>
        <w:t>DM</w:t>
      </w:r>
      <w:r w:rsidR="00A67969" w:rsidRPr="000D096C">
        <w:rPr>
          <w:rFonts w:ascii="Times New Roman" w:hAnsi="Times New Roman" w:cs="Times New Roman"/>
          <w:sz w:val="24"/>
          <w:szCs w:val="24"/>
        </w:rPr>
        <w:t xml:space="preserve"> existují odhady celosvětové </w:t>
      </w:r>
      <w:r w:rsidRPr="000D096C">
        <w:rPr>
          <w:rFonts w:ascii="Times New Roman" w:hAnsi="Times New Roman" w:cs="Times New Roman"/>
          <w:sz w:val="24"/>
          <w:szCs w:val="24"/>
        </w:rPr>
        <w:t>prevalence (9,3</w:t>
      </w:r>
      <w:r w:rsidR="00A67969" w:rsidRPr="000D096C">
        <w:rPr>
          <w:rFonts w:ascii="Times New Roman" w:hAnsi="Times New Roman" w:cs="Times New Roman"/>
          <w:sz w:val="24"/>
          <w:szCs w:val="24"/>
        </w:rPr>
        <w:t xml:space="preserve"> % </w:t>
      </w:r>
      <w:r w:rsidRPr="000D096C">
        <w:rPr>
          <w:rFonts w:ascii="Times New Roman" w:hAnsi="Times New Roman" w:cs="Times New Roman"/>
          <w:sz w:val="24"/>
          <w:szCs w:val="24"/>
        </w:rPr>
        <w:t>dospělé populace dle odhadů z roku 2019</w:t>
      </w:r>
      <w:r w:rsidR="00A67969" w:rsidRPr="000D096C">
        <w:rPr>
          <w:rFonts w:ascii="Times New Roman" w:hAnsi="Times New Roman" w:cs="Times New Roman"/>
          <w:sz w:val="24"/>
          <w:szCs w:val="24"/>
        </w:rPr>
        <w:t>)</w:t>
      </w:r>
      <w:r w:rsidR="00C27BBC">
        <w:rPr>
          <w:rFonts w:ascii="Times New Roman" w:hAnsi="Times New Roman" w:cs="Times New Roman"/>
          <w:sz w:val="24"/>
          <w:szCs w:val="24"/>
        </w:rPr>
        <w:t xml:space="preserve"> [40</w:t>
      </w:r>
      <w:r w:rsidRPr="000D096C">
        <w:rPr>
          <w:rFonts w:ascii="Times New Roman" w:hAnsi="Times New Roman" w:cs="Times New Roman"/>
          <w:sz w:val="24"/>
          <w:szCs w:val="24"/>
        </w:rPr>
        <w:t>]</w:t>
      </w:r>
      <w:r w:rsidR="00A67969" w:rsidRPr="000D096C">
        <w:rPr>
          <w:rFonts w:ascii="Times New Roman" w:hAnsi="Times New Roman" w:cs="Times New Roman"/>
          <w:sz w:val="24"/>
          <w:szCs w:val="24"/>
        </w:rPr>
        <w:t>, relevantní odhad celosvětové prevalence prediabetu není k</w:t>
      </w:r>
      <w:r w:rsidR="00BB3FFF">
        <w:rPr>
          <w:rFonts w:ascii="Times New Roman" w:hAnsi="Times New Roman" w:cs="Times New Roman"/>
          <w:sz w:val="24"/>
          <w:szCs w:val="24"/>
        </w:rPr>
        <w:t> </w:t>
      </w:r>
      <w:r w:rsidR="00A67969" w:rsidRPr="000D096C">
        <w:rPr>
          <w:rFonts w:ascii="Times New Roman" w:hAnsi="Times New Roman" w:cs="Times New Roman"/>
          <w:sz w:val="24"/>
          <w:szCs w:val="24"/>
        </w:rPr>
        <w:t>dispozici. Podíl na tom jistě nesou chybějící</w:t>
      </w:r>
      <w:r w:rsidR="003667E0" w:rsidRPr="000D096C">
        <w:rPr>
          <w:rFonts w:ascii="Times New Roman" w:hAnsi="Times New Roman" w:cs="Times New Roman"/>
          <w:sz w:val="24"/>
          <w:szCs w:val="24"/>
        </w:rPr>
        <w:t xml:space="preserve"> celopopulační</w:t>
      </w:r>
      <w:r w:rsidR="00A67969" w:rsidRPr="000D096C">
        <w:rPr>
          <w:rFonts w:ascii="Times New Roman" w:hAnsi="Times New Roman" w:cs="Times New Roman"/>
          <w:sz w:val="24"/>
          <w:szCs w:val="24"/>
        </w:rPr>
        <w:t xml:space="preserve"> data z řady světových regionů spolu s globálně nejednotnými diagnostickými kritérii této nozologické jednotky. </w:t>
      </w:r>
      <w:r w:rsidR="00C058FC">
        <w:rPr>
          <w:rFonts w:ascii="Times New Roman" w:hAnsi="Times New Roman" w:cs="Times New Roman"/>
          <w:sz w:val="24"/>
          <w:szCs w:val="24"/>
        </w:rPr>
        <w:t>Nicméně v</w:t>
      </w:r>
      <w:r w:rsidR="00A67969" w:rsidRPr="000D096C">
        <w:rPr>
          <w:rFonts w:ascii="Times New Roman" w:hAnsi="Times New Roman" w:cs="Times New Roman"/>
          <w:sz w:val="24"/>
          <w:szCs w:val="24"/>
        </w:rPr>
        <w:t xml:space="preserve">ýskyt </w:t>
      </w:r>
      <w:r w:rsidR="00C058FC">
        <w:rPr>
          <w:rFonts w:ascii="Times New Roman" w:hAnsi="Times New Roman" w:cs="Times New Roman"/>
          <w:sz w:val="24"/>
          <w:szCs w:val="24"/>
        </w:rPr>
        <w:t xml:space="preserve">zjišťovaných </w:t>
      </w:r>
      <w:r w:rsidR="00A67969" w:rsidRPr="000D096C">
        <w:rPr>
          <w:rFonts w:ascii="Times New Roman" w:hAnsi="Times New Roman" w:cs="Times New Roman"/>
          <w:sz w:val="24"/>
          <w:szCs w:val="24"/>
        </w:rPr>
        <w:t>abnormalit glukozového metabolismu rapidně roste, a to jak v rozvinutýc</w:t>
      </w:r>
      <w:r w:rsidR="00953AAB" w:rsidRPr="000D096C">
        <w:rPr>
          <w:rFonts w:ascii="Times New Roman" w:hAnsi="Times New Roman" w:cs="Times New Roman"/>
          <w:sz w:val="24"/>
          <w:szCs w:val="24"/>
        </w:rPr>
        <w:t>h, tak rozvojových zemích světa [</w:t>
      </w:r>
      <w:r w:rsidR="002A2AFE" w:rsidRPr="000D096C">
        <w:rPr>
          <w:rFonts w:ascii="Times New Roman" w:hAnsi="Times New Roman" w:cs="Times New Roman"/>
          <w:sz w:val="24"/>
          <w:szCs w:val="24"/>
        </w:rPr>
        <w:t>4</w:t>
      </w:r>
      <w:r w:rsidR="00C27BBC">
        <w:rPr>
          <w:rFonts w:ascii="Times New Roman" w:hAnsi="Times New Roman" w:cs="Times New Roman"/>
          <w:sz w:val="24"/>
          <w:szCs w:val="24"/>
        </w:rPr>
        <w:t>6</w:t>
      </w:r>
      <w:r w:rsidR="00953AAB" w:rsidRPr="000D096C">
        <w:rPr>
          <w:rFonts w:ascii="Times New Roman" w:hAnsi="Times New Roman" w:cs="Times New Roman"/>
          <w:sz w:val="24"/>
          <w:szCs w:val="24"/>
        </w:rPr>
        <w:t xml:space="preserve">]. </w:t>
      </w:r>
      <w:r w:rsidR="00A67969" w:rsidRPr="000D096C">
        <w:rPr>
          <w:rFonts w:ascii="Times New Roman" w:hAnsi="Times New Roman" w:cs="Times New Roman"/>
          <w:sz w:val="24"/>
          <w:szCs w:val="24"/>
        </w:rPr>
        <w:t>Odhad celosvětové prevalence prediabetu pro rok 2030 počítá s více ne</w:t>
      </w:r>
      <w:r w:rsidR="00953AAB" w:rsidRPr="000D096C">
        <w:rPr>
          <w:rFonts w:ascii="Times New Roman" w:hAnsi="Times New Roman" w:cs="Times New Roman"/>
          <w:sz w:val="24"/>
          <w:szCs w:val="24"/>
        </w:rPr>
        <w:t>ž 470 miliony nemocnými jedinci [4</w:t>
      </w:r>
      <w:r w:rsidR="00C27BBC">
        <w:rPr>
          <w:rFonts w:ascii="Times New Roman" w:hAnsi="Times New Roman" w:cs="Times New Roman"/>
          <w:sz w:val="24"/>
          <w:szCs w:val="24"/>
        </w:rPr>
        <w:t>7</w:t>
      </w:r>
      <w:r w:rsidR="00953AAB" w:rsidRPr="000D096C">
        <w:rPr>
          <w:rFonts w:ascii="Times New Roman" w:hAnsi="Times New Roman" w:cs="Times New Roman"/>
          <w:sz w:val="24"/>
          <w:szCs w:val="24"/>
        </w:rPr>
        <w:t xml:space="preserve">]. </w:t>
      </w:r>
      <w:r w:rsidR="00A67969" w:rsidRPr="000D096C">
        <w:rPr>
          <w:rFonts w:ascii="Times New Roman" w:hAnsi="Times New Roman" w:cs="Times New Roman"/>
          <w:sz w:val="24"/>
          <w:szCs w:val="24"/>
        </w:rPr>
        <w:t>Zů</w:t>
      </w:r>
      <w:r w:rsidRPr="000D096C">
        <w:rPr>
          <w:rFonts w:ascii="Times New Roman" w:hAnsi="Times New Roman" w:cs="Times New Roman"/>
          <w:sz w:val="24"/>
          <w:szCs w:val="24"/>
        </w:rPr>
        <w:t>staneme-li na globální úrovni, 7,5</w:t>
      </w:r>
      <w:r w:rsidR="00A67969" w:rsidRPr="000D096C">
        <w:rPr>
          <w:rFonts w:ascii="Times New Roman" w:hAnsi="Times New Roman" w:cs="Times New Roman"/>
          <w:sz w:val="24"/>
          <w:szCs w:val="24"/>
        </w:rPr>
        <w:t xml:space="preserve"> % dospělých trpí </w:t>
      </w:r>
      <w:r w:rsidR="00A270C3" w:rsidRPr="000D096C">
        <w:rPr>
          <w:rFonts w:ascii="Times New Roman" w:hAnsi="Times New Roman" w:cs="Times New Roman"/>
          <w:sz w:val="24"/>
          <w:szCs w:val="24"/>
        </w:rPr>
        <w:t>IGT</w:t>
      </w:r>
      <w:r w:rsidR="00A67969" w:rsidRPr="000D096C">
        <w:rPr>
          <w:rFonts w:ascii="Times New Roman" w:hAnsi="Times New Roman" w:cs="Times New Roman"/>
          <w:sz w:val="24"/>
          <w:szCs w:val="24"/>
        </w:rPr>
        <w:t xml:space="preserve">, z čehož </w:t>
      </w:r>
      <w:r w:rsidRPr="000D096C">
        <w:rPr>
          <w:rFonts w:ascii="Times New Roman" w:hAnsi="Times New Roman" w:cs="Times New Roman"/>
          <w:sz w:val="24"/>
          <w:szCs w:val="24"/>
        </w:rPr>
        <w:t>více než</w:t>
      </w:r>
      <w:r w:rsidR="00A67969" w:rsidRPr="000D096C">
        <w:rPr>
          <w:rFonts w:ascii="Times New Roman" w:hAnsi="Times New Roman" w:cs="Times New Roman"/>
          <w:sz w:val="24"/>
          <w:szCs w:val="24"/>
        </w:rPr>
        <w:t xml:space="preserve"> 70 % jedinců žije v zemích se středním a nízkým p</w:t>
      </w:r>
      <w:r w:rsidR="00953AAB" w:rsidRPr="000D096C">
        <w:rPr>
          <w:rFonts w:ascii="Times New Roman" w:hAnsi="Times New Roman" w:cs="Times New Roman"/>
          <w:sz w:val="24"/>
          <w:szCs w:val="24"/>
        </w:rPr>
        <w:t>říjmem a polovina je mladší 50 let. Odhadovaný nárůst prevalence IGT</w:t>
      </w:r>
      <w:r w:rsidR="00A67969" w:rsidRPr="000D096C">
        <w:rPr>
          <w:rFonts w:ascii="Times New Roman" w:hAnsi="Times New Roman" w:cs="Times New Roman"/>
          <w:sz w:val="24"/>
          <w:szCs w:val="24"/>
        </w:rPr>
        <w:t xml:space="preserve"> je </w:t>
      </w:r>
      <w:r w:rsidR="00953AAB" w:rsidRPr="000D096C">
        <w:rPr>
          <w:rFonts w:ascii="Times New Roman" w:hAnsi="Times New Roman" w:cs="Times New Roman"/>
          <w:sz w:val="24"/>
          <w:szCs w:val="24"/>
        </w:rPr>
        <w:t>na 8,0 % do roku 2030 a 8,6 % do roku 2045 [</w:t>
      </w:r>
      <w:r w:rsidR="00C27BBC">
        <w:rPr>
          <w:rFonts w:ascii="Times New Roman" w:hAnsi="Times New Roman" w:cs="Times New Roman"/>
          <w:sz w:val="24"/>
          <w:szCs w:val="24"/>
        </w:rPr>
        <w:t>40</w:t>
      </w:r>
      <w:r w:rsidR="00953AAB" w:rsidRPr="000D096C">
        <w:rPr>
          <w:rFonts w:ascii="Times New Roman" w:hAnsi="Times New Roman" w:cs="Times New Roman"/>
          <w:sz w:val="24"/>
          <w:szCs w:val="24"/>
        </w:rPr>
        <w:t xml:space="preserve">]. </w:t>
      </w:r>
      <w:r w:rsidR="002801C2">
        <w:rPr>
          <w:rFonts w:ascii="Times New Roman" w:hAnsi="Times New Roman" w:cs="Times New Roman"/>
          <w:sz w:val="24"/>
          <w:szCs w:val="24"/>
        </w:rPr>
        <w:t>Obr.</w:t>
      </w:r>
      <w:r w:rsidR="00CC13F1" w:rsidRPr="000D096C">
        <w:rPr>
          <w:rFonts w:ascii="Times New Roman" w:hAnsi="Times New Roman" w:cs="Times New Roman"/>
          <w:sz w:val="24"/>
          <w:szCs w:val="24"/>
        </w:rPr>
        <w:t xml:space="preserve"> 2 ukazuje </w:t>
      </w:r>
      <w:r w:rsidR="00A270C3" w:rsidRPr="000D096C">
        <w:rPr>
          <w:rFonts w:ascii="Times New Roman" w:hAnsi="Times New Roman" w:cs="Times New Roman"/>
          <w:sz w:val="24"/>
          <w:szCs w:val="24"/>
        </w:rPr>
        <w:t xml:space="preserve">aktuální </w:t>
      </w:r>
      <w:r w:rsidR="00CC13F1" w:rsidRPr="000D096C">
        <w:rPr>
          <w:rFonts w:ascii="Times New Roman" w:hAnsi="Times New Roman" w:cs="Times New Roman"/>
          <w:sz w:val="24"/>
          <w:szCs w:val="24"/>
        </w:rPr>
        <w:t xml:space="preserve">prevalenci IGT v různých částech světa. </w:t>
      </w:r>
      <w:r w:rsidR="00A67969" w:rsidRPr="000D096C">
        <w:rPr>
          <w:rFonts w:ascii="Times New Roman" w:hAnsi="Times New Roman" w:cs="Times New Roman"/>
          <w:sz w:val="24"/>
          <w:szCs w:val="24"/>
        </w:rPr>
        <w:t>Globální prevalence IFG je odhadována na 5 %, nicméně tato hodnota je vzhledem ke dvěma užívaným diagnostickým</w:t>
      </w:r>
      <w:r w:rsidR="00A270C3" w:rsidRPr="000D096C">
        <w:rPr>
          <w:rFonts w:ascii="Times New Roman" w:hAnsi="Times New Roman" w:cs="Times New Roman"/>
          <w:sz w:val="24"/>
          <w:szCs w:val="24"/>
        </w:rPr>
        <w:t xml:space="preserve"> rozmezím</w:t>
      </w:r>
      <w:r w:rsidR="00953AAB" w:rsidRPr="000D096C">
        <w:rPr>
          <w:rFonts w:ascii="Times New Roman" w:hAnsi="Times New Roman" w:cs="Times New Roman"/>
          <w:sz w:val="24"/>
          <w:szCs w:val="24"/>
        </w:rPr>
        <w:t xml:space="preserve"> IFG spíše orientační [</w:t>
      </w:r>
      <w:r w:rsidR="002A2AFE" w:rsidRPr="000D096C">
        <w:rPr>
          <w:rFonts w:ascii="Times New Roman" w:hAnsi="Times New Roman" w:cs="Times New Roman"/>
          <w:sz w:val="24"/>
          <w:szCs w:val="24"/>
        </w:rPr>
        <w:t>4</w:t>
      </w:r>
      <w:r w:rsidR="00C27BBC">
        <w:rPr>
          <w:rFonts w:ascii="Times New Roman" w:hAnsi="Times New Roman" w:cs="Times New Roman"/>
          <w:sz w:val="24"/>
          <w:szCs w:val="24"/>
        </w:rPr>
        <w:t>8</w:t>
      </w:r>
      <w:r w:rsidR="00953AAB" w:rsidRPr="000D096C">
        <w:rPr>
          <w:rFonts w:ascii="Times New Roman" w:hAnsi="Times New Roman" w:cs="Times New Roman"/>
          <w:sz w:val="24"/>
          <w:szCs w:val="24"/>
        </w:rPr>
        <w:t xml:space="preserve">]. </w:t>
      </w:r>
      <w:r w:rsidR="00C058FC">
        <w:rPr>
          <w:rFonts w:ascii="Times New Roman" w:hAnsi="Times New Roman" w:cs="Times New Roman"/>
          <w:sz w:val="24"/>
          <w:szCs w:val="24"/>
        </w:rPr>
        <w:t xml:space="preserve">Celosvětově je </w:t>
      </w:r>
      <w:r w:rsidR="00A67969" w:rsidRPr="000D096C">
        <w:rPr>
          <w:rFonts w:ascii="Times New Roman" w:hAnsi="Times New Roman" w:cs="Times New Roman"/>
          <w:sz w:val="24"/>
          <w:szCs w:val="24"/>
        </w:rPr>
        <w:t>pozorován nárůst průměrných hodnot lačné glykémie. V roce 2008 byla průměrná globální věkově standardizovaná hodnota glykémie nalačno 5,5 mmol/l u mužů a 5,48 mmol/l u žen s nár</w:t>
      </w:r>
      <w:r w:rsidR="00953AAB" w:rsidRPr="000D096C">
        <w:rPr>
          <w:rFonts w:ascii="Times New Roman" w:hAnsi="Times New Roman" w:cs="Times New Roman"/>
          <w:sz w:val="24"/>
          <w:szCs w:val="24"/>
        </w:rPr>
        <w:t xml:space="preserve">ůstem o 0,1 mmol/l od roku 1980 </w:t>
      </w:r>
      <w:r w:rsidR="00953AAB" w:rsidRPr="000D096C">
        <w:rPr>
          <w:rFonts w:ascii="Times New Roman" w:hAnsi="Times New Roman" w:cs="Times New Roman"/>
          <w:sz w:val="24"/>
          <w:szCs w:val="24"/>
        </w:rPr>
        <w:lastRenderedPageBreak/>
        <w:t>[</w:t>
      </w:r>
      <w:r w:rsidR="002A2AFE" w:rsidRPr="000D096C">
        <w:rPr>
          <w:rFonts w:ascii="Times New Roman" w:hAnsi="Times New Roman" w:cs="Times New Roman"/>
          <w:sz w:val="24"/>
          <w:szCs w:val="24"/>
        </w:rPr>
        <w:t>4</w:t>
      </w:r>
      <w:r w:rsidR="00C27BBC">
        <w:rPr>
          <w:rFonts w:ascii="Times New Roman" w:hAnsi="Times New Roman" w:cs="Times New Roman"/>
          <w:sz w:val="24"/>
          <w:szCs w:val="24"/>
        </w:rPr>
        <w:t>6</w:t>
      </w:r>
      <w:r w:rsidR="00953AAB" w:rsidRPr="000D096C">
        <w:rPr>
          <w:rFonts w:ascii="Times New Roman" w:hAnsi="Times New Roman" w:cs="Times New Roman"/>
          <w:sz w:val="24"/>
          <w:szCs w:val="24"/>
        </w:rPr>
        <w:t>].</w:t>
      </w:r>
      <w:r w:rsidR="00462BBC" w:rsidRPr="000D096C">
        <w:rPr>
          <w:rFonts w:ascii="Times New Roman" w:hAnsi="Times New Roman" w:cs="Times New Roman"/>
          <w:sz w:val="24"/>
          <w:szCs w:val="24"/>
        </w:rPr>
        <w:t xml:space="preserve"> Mnohými studiemi je IGT považována za silnější prediktor kardiovaskulárního</w:t>
      </w:r>
      <w:r w:rsidR="00A67969" w:rsidRPr="000D096C">
        <w:rPr>
          <w:rFonts w:ascii="Times New Roman" w:hAnsi="Times New Roman" w:cs="Times New Roman"/>
          <w:sz w:val="24"/>
          <w:szCs w:val="24"/>
        </w:rPr>
        <w:t xml:space="preserve"> rizika </w:t>
      </w:r>
      <w:r w:rsidR="00462BBC" w:rsidRPr="000D096C">
        <w:rPr>
          <w:rFonts w:ascii="Times New Roman" w:hAnsi="Times New Roman" w:cs="Times New Roman"/>
          <w:sz w:val="24"/>
          <w:szCs w:val="24"/>
        </w:rPr>
        <w:t>než přítomnost IFG</w:t>
      </w:r>
      <w:r w:rsidR="00953AAB" w:rsidRPr="000D096C">
        <w:rPr>
          <w:rFonts w:ascii="Times New Roman" w:hAnsi="Times New Roman" w:cs="Times New Roman"/>
          <w:sz w:val="24"/>
          <w:szCs w:val="24"/>
        </w:rPr>
        <w:t xml:space="preserve"> [4</w:t>
      </w:r>
      <w:r w:rsidR="00C27BBC">
        <w:rPr>
          <w:rFonts w:ascii="Times New Roman" w:hAnsi="Times New Roman" w:cs="Times New Roman"/>
          <w:sz w:val="24"/>
          <w:szCs w:val="24"/>
        </w:rPr>
        <w:t>9</w:t>
      </w:r>
      <w:r w:rsidR="00953AAB" w:rsidRPr="000D096C">
        <w:rPr>
          <w:rFonts w:ascii="Times New Roman" w:hAnsi="Times New Roman" w:cs="Times New Roman"/>
          <w:sz w:val="24"/>
          <w:szCs w:val="24"/>
        </w:rPr>
        <w:t>].</w:t>
      </w:r>
    </w:p>
    <w:p w:rsidR="00C11C4E" w:rsidRDefault="00A67969"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Celopopulační reprezentativní data o výskytu prediabetu</w:t>
      </w:r>
      <w:r w:rsidR="00C058FC">
        <w:rPr>
          <w:rFonts w:ascii="Times New Roman" w:hAnsi="Times New Roman" w:cs="Times New Roman"/>
          <w:sz w:val="24"/>
          <w:szCs w:val="24"/>
        </w:rPr>
        <w:t xml:space="preserve"> a jeho dílčích složek na </w:t>
      </w:r>
      <w:r w:rsidRPr="000D096C">
        <w:rPr>
          <w:rFonts w:ascii="Times New Roman" w:hAnsi="Times New Roman" w:cs="Times New Roman"/>
          <w:sz w:val="24"/>
          <w:szCs w:val="24"/>
        </w:rPr>
        <w:t>území</w:t>
      </w:r>
      <w:r w:rsidR="00C058FC">
        <w:rPr>
          <w:rFonts w:ascii="Times New Roman" w:hAnsi="Times New Roman" w:cs="Times New Roman"/>
          <w:sz w:val="24"/>
          <w:szCs w:val="24"/>
        </w:rPr>
        <w:t xml:space="preserve"> ČR</w:t>
      </w:r>
      <w:r w:rsidRPr="000D096C">
        <w:rPr>
          <w:rFonts w:ascii="Times New Roman" w:hAnsi="Times New Roman" w:cs="Times New Roman"/>
          <w:sz w:val="24"/>
          <w:szCs w:val="24"/>
        </w:rPr>
        <w:t xml:space="preserve"> bohužel nejsou k dispozici. Je možné pouze odhadovat frekvenci výskytu prediabetu na základě každoročních hlášení Národního zdravotnického informačního systému. Z těchto hlášení vyplývá, že prevalence poruch glukózového metabolismu v Č</w:t>
      </w:r>
      <w:r w:rsidR="00C058FC">
        <w:rPr>
          <w:rFonts w:ascii="Times New Roman" w:hAnsi="Times New Roman" w:cs="Times New Roman"/>
          <w:sz w:val="24"/>
          <w:szCs w:val="24"/>
        </w:rPr>
        <w:t>R</w:t>
      </w:r>
      <w:r w:rsidRPr="000D096C">
        <w:rPr>
          <w:rFonts w:ascii="Times New Roman" w:hAnsi="Times New Roman" w:cs="Times New Roman"/>
          <w:sz w:val="24"/>
          <w:szCs w:val="24"/>
        </w:rPr>
        <w:t xml:space="preserve"> vykazuje v čase stoupající tendenci z 804 987 případů v roce 2007 na 927 830 v roce 2015. Roste i podíl IGT na těchto poruchách, a to z 6,</w:t>
      </w:r>
      <w:r w:rsidR="00FB3ED0" w:rsidRPr="000D096C">
        <w:rPr>
          <w:rFonts w:ascii="Times New Roman" w:hAnsi="Times New Roman" w:cs="Times New Roman"/>
          <w:sz w:val="24"/>
          <w:szCs w:val="24"/>
        </w:rPr>
        <w:t>2 %</w:t>
      </w:r>
      <w:r w:rsidR="00C27BBC">
        <w:rPr>
          <w:rFonts w:ascii="Times New Roman" w:hAnsi="Times New Roman" w:cs="Times New Roman"/>
          <w:sz w:val="24"/>
          <w:szCs w:val="24"/>
        </w:rPr>
        <w:t xml:space="preserve"> na 7,5 % mezi stejnými roky [50</w:t>
      </w:r>
      <w:r w:rsidR="00FB3ED0" w:rsidRPr="000D096C">
        <w:rPr>
          <w:rFonts w:ascii="Times New Roman" w:hAnsi="Times New Roman" w:cs="Times New Roman"/>
          <w:sz w:val="24"/>
          <w:szCs w:val="24"/>
        </w:rPr>
        <w:t>].</w:t>
      </w:r>
    </w:p>
    <w:p w:rsidR="00C11C4E" w:rsidRDefault="00C11C4E">
      <w:pPr>
        <w:rPr>
          <w:rFonts w:ascii="Times New Roman" w:hAnsi="Times New Roman" w:cs="Times New Roman"/>
          <w:sz w:val="24"/>
          <w:szCs w:val="24"/>
        </w:rPr>
      </w:pPr>
      <w:r>
        <w:rPr>
          <w:rFonts w:ascii="Times New Roman" w:hAnsi="Times New Roman" w:cs="Times New Roman"/>
          <w:sz w:val="24"/>
          <w:szCs w:val="24"/>
        </w:rPr>
        <w:br w:type="page"/>
      </w:r>
    </w:p>
    <w:p w:rsidR="005561E6" w:rsidRPr="005561E6" w:rsidRDefault="005561E6" w:rsidP="004567D5">
      <w:pPr>
        <w:spacing w:before="160" w:line="360" w:lineRule="auto"/>
        <w:jc w:val="both"/>
        <w:rPr>
          <w:rFonts w:ascii="Times New Roman" w:hAnsi="Times New Roman" w:cs="Times New Roman"/>
          <w:sz w:val="24"/>
          <w:szCs w:val="24"/>
        </w:rPr>
      </w:pPr>
      <w:r w:rsidRPr="000D096C">
        <w:rPr>
          <w:rFonts w:ascii="Times New Roman" w:hAnsi="Times New Roman" w:cs="Times New Roman"/>
          <w:b/>
          <w:noProof/>
          <w:lang w:eastAsia="cs-CZ"/>
        </w:rPr>
        <w:lastRenderedPageBreak/>
        <w:drawing>
          <wp:anchor distT="0" distB="0" distL="114300" distR="114300" simplePos="0" relativeHeight="251660800" behindDoc="1" locked="0" layoutInCell="1" allowOverlap="1" wp14:anchorId="4B2A7D8B" wp14:editId="381F0CB2">
            <wp:simplePos x="0" y="0"/>
            <wp:positionH relativeFrom="column">
              <wp:posOffset>1905</wp:posOffset>
            </wp:positionH>
            <wp:positionV relativeFrom="paragraph">
              <wp:posOffset>410210</wp:posOffset>
            </wp:positionV>
            <wp:extent cx="6141720" cy="3447415"/>
            <wp:effectExtent l="0" t="0" r="0" b="0"/>
            <wp:wrapTight wrapText="bothSides">
              <wp:wrapPolygon edited="0">
                <wp:start x="0" y="0"/>
                <wp:lineTo x="0" y="21485"/>
                <wp:lineTo x="21506" y="21485"/>
                <wp:lineTo x="2150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T 20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1720" cy="3447415"/>
                    </a:xfrm>
                    <a:prstGeom prst="rect">
                      <a:avLst/>
                    </a:prstGeom>
                  </pic:spPr>
                </pic:pic>
              </a:graphicData>
            </a:graphic>
            <wp14:sizeRelH relativeFrom="page">
              <wp14:pctWidth>0</wp14:pctWidth>
            </wp14:sizeRelH>
            <wp14:sizeRelV relativeFrom="page">
              <wp14:pctHeight>0</wp14:pctHeight>
            </wp14:sizeRelV>
          </wp:anchor>
        </w:drawing>
      </w:r>
      <w:r w:rsidR="00CC13F1" w:rsidRPr="000D096C">
        <w:rPr>
          <w:rFonts w:ascii="Times New Roman" w:hAnsi="Times New Roman" w:cs="Times New Roman"/>
          <w:b/>
          <w:sz w:val="24"/>
          <w:szCs w:val="24"/>
        </w:rPr>
        <w:t xml:space="preserve">Obrázek 2. </w:t>
      </w:r>
      <w:r w:rsidR="00CC13F1" w:rsidRPr="000D096C">
        <w:rPr>
          <w:rFonts w:ascii="Times New Roman" w:hAnsi="Times New Roman" w:cs="Times New Roman"/>
          <w:sz w:val="24"/>
          <w:szCs w:val="24"/>
        </w:rPr>
        <w:t>Prevalence porušené glukózové tolerance</w:t>
      </w:r>
      <w:r w:rsidR="00C27BBC">
        <w:rPr>
          <w:rFonts w:ascii="Times New Roman" w:hAnsi="Times New Roman" w:cs="Times New Roman"/>
          <w:sz w:val="24"/>
          <w:szCs w:val="24"/>
        </w:rPr>
        <w:t xml:space="preserve"> adjustované na věk ve světě [40</w:t>
      </w:r>
      <w:r w:rsidR="00CC13F1" w:rsidRPr="000D096C">
        <w:rPr>
          <w:rFonts w:ascii="Times New Roman" w:hAnsi="Times New Roman" w:cs="Times New Roman"/>
          <w:sz w:val="24"/>
          <w:szCs w:val="24"/>
        </w:rPr>
        <w:t>]</w:t>
      </w:r>
    </w:p>
    <w:p w:rsidR="00CC13F1" w:rsidRPr="000D096C" w:rsidRDefault="00CC13F1" w:rsidP="004567D5">
      <w:pPr>
        <w:spacing w:line="360" w:lineRule="auto"/>
        <w:jc w:val="both"/>
        <w:rPr>
          <w:rFonts w:ascii="Times New Roman" w:hAnsi="Times New Roman" w:cs="Times New Roman"/>
          <w:b/>
        </w:rPr>
      </w:pPr>
    </w:p>
    <w:p w:rsidR="001B3DEE" w:rsidRPr="000D096C" w:rsidRDefault="001B3DEE" w:rsidP="004567D5">
      <w:pPr>
        <w:pStyle w:val="Nadpis3"/>
        <w:spacing w:line="360" w:lineRule="auto"/>
        <w:rPr>
          <w:rFonts w:cs="Times New Roman"/>
        </w:rPr>
      </w:pPr>
      <w:bookmarkStart w:id="80" w:name="_Toc33432678"/>
      <w:bookmarkStart w:id="81" w:name="_Toc33432898"/>
      <w:bookmarkStart w:id="82" w:name="_Toc33869537"/>
      <w:r w:rsidRPr="000D096C">
        <w:rPr>
          <w:rFonts w:cs="Times New Roman"/>
        </w:rPr>
        <w:t>Přechod prediabetu do diabetes mellitus</w:t>
      </w:r>
      <w:bookmarkEnd w:id="80"/>
      <w:bookmarkEnd w:id="81"/>
      <w:bookmarkEnd w:id="82"/>
    </w:p>
    <w:p w:rsidR="001B3DEE" w:rsidRPr="000D096C" w:rsidRDefault="001B3DEE" w:rsidP="004567D5">
      <w:pPr>
        <w:pStyle w:val="Bezmezer"/>
        <w:spacing w:line="360" w:lineRule="auto"/>
        <w:ind w:firstLine="709"/>
        <w:jc w:val="both"/>
        <w:rPr>
          <w:rFonts w:ascii="Times New Roman" w:hAnsi="Times New Roman" w:cs="Times New Roman"/>
          <w:sz w:val="24"/>
          <w:szCs w:val="24"/>
        </w:rPr>
      </w:pPr>
      <w:r w:rsidRPr="000D096C">
        <w:rPr>
          <w:rFonts w:ascii="Times New Roman" w:hAnsi="Times New Roman" w:cs="Times New Roman"/>
          <w:sz w:val="24"/>
          <w:szCs w:val="24"/>
        </w:rPr>
        <w:t>Prediabetes je</w:t>
      </w:r>
      <w:r w:rsidR="000F0524" w:rsidRPr="000D096C">
        <w:rPr>
          <w:rFonts w:ascii="Times New Roman" w:hAnsi="Times New Roman" w:cs="Times New Roman"/>
          <w:sz w:val="24"/>
          <w:szCs w:val="24"/>
        </w:rPr>
        <w:t xml:space="preserve"> rizikový faktor pro vznik T2DM</w:t>
      </w:r>
      <w:r w:rsidRPr="000D096C">
        <w:rPr>
          <w:rFonts w:ascii="Times New Roman" w:hAnsi="Times New Roman" w:cs="Times New Roman"/>
          <w:sz w:val="24"/>
          <w:szCs w:val="24"/>
        </w:rPr>
        <w:t>. Okolo 70 % pacien</w:t>
      </w:r>
      <w:r w:rsidR="00843FF6" w:rsidRPr="000D096C">
        <w:rPr>
          <w:rFonts w:ascii="Times New Roman" w:hAnsi="Times New Roman" w:cs="Times New Roman"/>
          <w:sz w:val="24"/>
          <w:szCs w:val="24"/>
        </w:rPr>
        <w:t>tů s prediabetem postupně</w:t>
      </w:r>
      <w:r w:rsidR="00C058FC">
        <w:rPr>
          <w:rFonts w:ascii="Times New Roman" w:hAnsi="Times New Roman" w:cs="Times New Roman"/>
          <w:sz w:val="24"/>
          <w:szCs w:val="24"/>
        </w:rPr>
        <w:t xml:space="preserve"> postihne</w:t>
      </w:r>
      <w:r w:rsidRPr="000D096C">
        <w:rPr>
          <w:rFonts w:ascii="Times New Roman" w:hAnsi="Times New Roman" w:cs="Times New Roman"/>
          <w:sz w:val="24"/>
          <w:szCs w:val="24"/>
        </w:rPr>
        <w:t xml:space="preserve"> </w:t>
      </w:r>
      <w:r w:rsidR="00C27BBC">
        <w:rPr>
          <w:rFonts w:ascii="Times New Roman" w:hAnsi="Times New Roman" w:cs="Times New Roman"/>
          <w:sz w:val="24"/>
          <w:szCs w:val="24"/>
        </w:rPr>
        <w:t>T2DM [51</w:t>
      </w:r>
      <w:r w:rsidR="000F0524" w:rsidRPr="000D096C">
        <w:rPr>
          <w:rFonts w:ascii="Times New Roman" w:hAnsi="Times New Roman" w:cs="Times New Roman"/>
          <w:sz w:val="24"/>
          <w:szCs w:val="24"/>
        </w:rPr>
        <w:t>].</w:t>
      </w:r>
      <w:r w:rsidRPr="000D096C">
        <w:rPr>
          <w:rFonts w:ascii="Times New Roman" w:hAnsi="Times New Roman" w:cs="Times New Roman"/>
          <w:sz w:val="24"/>
          <w:szCs w:val="24"/>
        </w:rPr>
        <w:t xml:space="preserve"> Údaje o roční incidenci přechodu prediabetu do stádia DM vykazují nemalý rozptyl a závisí jak na užitých diagnostických kritériích prediabetu, tak na podmínkách, popř. intervencích na vyšetřovaných jedincích. Pokud se zaměříme na data o</w:t>
      </w:r>
      <w:r w:rsidR="00BB3FFF">
        <w:rPr>
          <w:rFonts w:ascii="Times New Roman" w:hAnsi="Times New Roman" w:cs="Times New Roman"/>
          <w:sz w:val="24"/>
          <w:szCs w:val="24"/>
        </w:rPr>
        <w:t> </w:t>
      </w:r>
      <w:r w:rsidRPr="000D096C">
        <w:rPr>
          <w:rFonts w:ascii="Times New Roman" w:hAnsi="Times New Roman" w:cs="Times New Roman"/>
          <w:sz w:val="24"/>
          <w:szCs w:val="24"/>
        </w:rPr>
        <w:t>prediabeticích bez cílené intervence, tak rozsáhlá meta-an</w:t>
      </w:r>
      <w:r w:rsidR="00843FF6" w:rsidRPr="000D096C">
        <w:rPr>
          <w:rFonts w:ascii="Times New Roman" w:hAnsi="Times New Roman" w:cs="Times New Roman"/>
          <w:sz w:val="24"/>
          <w:szCs w:val="24"/>
        </w:rPr>
        <w:t>alýza prospektivních studií</w:t>
      </w:r>
      <w:r w:rsidR="00762125">
        <w:rPr>
          <w:rFonts w:ascii="Times New Roman" w:hAnsi="Times New Roman" w:cs="Times New Roman"/>
          <w:sz w:val="24"/>
          <w:szCs w:val="24"/>
        </w:rPr>
        <w:t> </w:t>
      </w:r>
      <w:r w:rsidR="00843FF6" w:rsidRPr="000D096C">
        <w:rPr>
          <w:rFonts w:ascii="Times New Roman" w:hAnsi="Times New Roman" w:cs="Times New Roman"/>
          <w:sz w:val="24"/>
          <w:szCs w:val="24"/>
        </w:rPr>
        <w:t>(n</w:t>
      </w:r>
      <w:r w:rsidR="00762125">
        <w:rPr>
          <w:rFonts w:ascii="Times New Roman" w:hAnsi="Times New Roman" w:cs="Times New Roman"/>
          <w:sz w:val="24"/>
          <w:szCs w:val="24"/>
        </w:rPr>
        <w:t> </w:t>
      </w:r>
      <w:r w:rsidR="00843FF6" w:rsidRPr="000D096C">
        <w:rPr>
          <w:rFonts w:ascii="Times New Roman" w:hAnsi="Times New Roman" w:cs="Times New Roman"/>
          <w:sz w:val="24"/>
          <w:szCs w:val="24"/>
        </w:rPr>
        <w:t>=</w:t>
      </w:r>
      <w:r w:rsidR="00762125">
        <w:rPr>
          <w:rFonts w:ascii="Times New Roman" w:hAnsi="Times New Roman" w:cs="Times New Roman"/>
          <w:sz w:val="24"/>
          <w:szCs w:val="24"/>
        </w:rPr>
        <w:t> </w:t>
      </w:r>
      <w:r w:rsidRPr="000D096C">
        <w:rPr>
          <w:rFonts w:ascii="Times New Roman" w:hAnsi="Times New Roman" w:cs="Times New Roman"/>
          <w:sz w:val="24"/>
          <w:szCs w:val="24"/>
        </w:rPr>
        <w:t>29</w:t>
      </w:r>
      <w:r w:rsidR="001A63D1">
        <w:rPr>
          <w:rFonts w:ascii="Times New Roman" w:hAnsi="Times New Roman" w:cs="Times New Roman"/>
          <w:sz w:val="24"/>
          <w:szCs w:val="24"/>
        </w:rPr>
        <w:t xml:space="preserve"> </w:t>
      </w:r>
      <w:r w:rsidR="00843FF6" w:rsidRPr="000D096C">
        <w:rPr>
          <w:rFonts w:ascii="Times New Roman" w:hAnsi="Times New Roman" w:cs="Times New Roman"/>
          <w:sz w:val="24"/>
          <w:szCs w:val="24"/>
        </w:rPr>
        <w:t>475</w:t>
      </w:r>
      <w:r w:rsidRPr="000D096C">
        <w:rPr>
          <w:rFonts w:ascii="Times New Roman" w:hAnsi="Times New Roman" w:cs="Times New Roman"/>
          <w:sz w:val="24"/>
          <w:szCs w:val="24"/>
        </w:rPr>
        <w:t xml:space="preserve">) z let 1979 až 2004 uvádí incidenci tohoto přechodu u jedinců s izolovanou IFG </w:t>
      </w:r>
      <w:r w:rsidR="00843FF6" w:rsidRPr="000D096C">
        <w:rPr>
          <w:rFonts w:ascii="Times New Roman" w:hAnsi="Times New Roman" w:cs="Times New Roman"/>
          <w:sz w:val="24"/>
          <w:szCs w:val="24"/>
        </w:rPr>
        <w:t xml:space="preserve">(WHO kritéria) </w:t>
      </w:r>
      <w:r w:rsidRPr="000D096C">
        <w:rPr>
          <w:rFonts w:ascii="Times New Roman" w:hAnsi="Times New Roman" w:cs="Times New Roman"/>
          <w:sz w:val="24"/>
          <w:szCs w:val="24"/>
        </w:rPr>
        <w:t>6</w:t>
      </w:r>
      <w:r w:rsidR="000F0524" w:rsidRPr="000D096C">
        <w:rPr>
          <w:rFonts w:ascii="Times New Roman" w:hAnsi="Times New Roman" w:cs="Times New Roman"/>
          <w:sz w:val="24"/>
          <w:szCs w:val="24"/>
        </w:rPr>
        <w:t>,1</w:t>
      </w:r>
      <w:r w:rsidRPr="000D096C">
        <w:rPr>
          <w:rFonts w:ascii="Times New Roman" w:hAnsi="Times New Roman" w:cs="Times New Roman"/>
          <w:sz w:val="24"/>
          <w:szCs w:val="24"/>
        </w:rPr>
        <w:t>-9</w:t>
      </w:r>
      <w:r w:rsidR="000F0524" w:rsidRPr="000D096C">
        <w:rPr>
          <w:rFonts w:ascii="Times New Roman" w:hAnsi="Times New Roman" w:cs="Times New Roman"/>
          <w:sz w:val="24"/>
          <w:szCs w:val="24"/>
        </w:rPr>
        <w:t>,2</w:t>
      </w:r>
      <w:r w:rsidRPr="000D096C">
        <w:rPr>
          <w:rFonts w:ascii="Times New Roman" w:hAnsi="Times New Roman" w:cs="Times New Roman"/>
          <w:sz w:val="24"/>
          <w:szCs w:val="24"/>
        </w:rPr>
        <w:t xml:space="preserve"> %, </w:t>
      </w:r>
      <w:r w:rsidR="00C058FC">
        <w:rPr>
          <w:rFonts w:ascii="Times New Roman" w:hAnsi="Times New Roman" w:cs="Times New Roman"/>
          <w:sz w:val="24"/>
          <w:szCs w:val="24"/>
        </w:rPr>
        <w:t xml:space="preserve">s </w:t>
      </w:r>
      <w:r w:rsidRPr="000D096C">
        <w:rPr>
          <w:rFonts w:ascii="Times New Roman" w:hAnsi="Times New Roman" w:cs="Times New Roman"/>
          <w:sz w:val="24"/>
          <w:szCs w:val="24"/>
        </w:rPr>
        <w:t>izolovanou IGT 4</w:t>
      </w:r>
      <w:r w:rsidR="000F0524" w:rsidRPr="000D096C">
        <w:rPr>
          <w:rFonts w:ascii="Times New Roman" w:hAnsi="Times New Roman" w:cs="Times New Roman"/>
          <w:sz w:val="24"/>
          <w:szCs w:val="24"/>
        </w:rPr>
        <w:t>,4</w:t>
      </w:r>
      <w:r w:rsidRPr="000D096C">
        <w:rPr>
          <w:rFonts w:ascii="Times New Roman" w:hAnsi="Times New Roman" w:cs="Times New Roman"/>
          <w:sz w:val="24"/>
          <w:szCs w:val="24"/>
        </w:rPr>
        <w:t>-6</w:t>
      </w:r>
      <w:r w:rsidR="000F0524" w:rsidRPr="000D096C">
        <w:rPr>
          <w:rFonts w:ascii="Times New Roman" w:hAnsi="Times New Roman" w:cs="Times New Roman"/>
          <w:sz w:val="24"/>
          <w:szCs w:val="24"/>
        </w:rPr>
        <w:t>,4</w:t>
      </w:r>
      <w:r w:rsidRPr="000D096C">
        <w:rPr>
          <w:rFonts w:ascii="Times New Roman" w:hAnsi="Times New Roman" w:cs="Times New Roman"/>
          <w:sz w:val="24"/>
          <w:szCs w:val="24"/>
        </w:rPr>
        <w:t xml:space="preserve"> % a pro kombinovaný výskyt obou poruch 10-15 %. Sumarizace těchto dat přináší zjištění, že roční incidence progr</w:t>
      </w:r>
      <w:r w:rsidR="000F0524" w:rsidRPr="000D096C">
        <w:rPr>
          <w:rFonts w:ascii="Times New Roman" w:hAnsi="Times New Roman" w:cs="Times New Roman"/>
          <w:sz w:val="24"/>
          <w:szCs w:val="24"/>
        </w:rPr>
        <w:t>es</w:t>
      </w:r>
      <w:r w:rsidR="00C27BBC">
        <w:rPr>
          <w:rFonts w:ascii="Times New Roman" w:hAnsi="Times New Roman" w:cs="Times New Roman"/>
          <w:sz w:val="24"/>
          <w:szCs w:val="24"/>
        </w:rPr>
        <w:t>e prediabetu do DM je 5-10 % [52</w:t>
      </w:r>
      <w:r w:rsidR="000F0524" w:rsidRPr="000D096C">
        <w:rPr>
          <w:rFonts w:ascii="Times New Roman" w:hAnsi="Times New Roman" w:cs="Times New Roman"/>
          <w:sz w:val="24"/>
          <w:szCs w:val="24"/>
        </w:rPr>
        <w:t>].</w:t>
      </w:r>
      <w:r w:rsidRPr="000D096C">
        <w:rPr>
          <w:rFonts w:ascii="Times New Roman" w:hAnsi="Times New Roman" w:cs="Times New Roman"/>
          <w:sz w:val="24"/>
          <w:szCs w:val="24"/>
        </w:rPr>
        <w:t xml:space="preserve"> Riziko konverze p</w:t>
      </w:r>
      <w:r w:rsidR="000F0524" w:rsidRPr="000D096C">
        <w:rPr>
          <w:rFonts w:ascii="Times New Roman" w:hAnsi="Times New Roman" w:cs="Times New Roman"/>
          <w:sz w:val="24"/>
          <w:szCs w:val="24"/>
        </w:rPr>
        <w:t>rediabetu do rozvinutého T2DM</w:t>
      </w:r>
      <w:r w:rsidRPr="000D096C">
        <w:rPr>
          <w:rFonts w:ascii="Times New Roman" w:hAnsi="Times New Roman" w:cs="Times New Roman"/>
          <w:sz w:val="24"/>
          <w:szCs w:val="24"/>
        </w:rPr>
        <w:t xml:space="preserve"> není rozložené rovnoměrně v rámci diagnostických intervalů prediabetu, ale směrem k horní </w:t>
      </w:r>
      <w:r w:rsidR="000F0524" w:rsidRPr="000D096C">
        <w:rPr>
          <w:rFonts w:ascii="Times New Roman" w:hAnsi="Times New Roman" w:cs="Times New Roman"/>
          <w:sz w:val="24"/>
          <w:szCs w:val="24"/>
        </w:rPr>
        <w:t>hranicím IGT a</w:t>
      </w:r>
      <w:r w:rsidR="00BB3FFF">
        <w:rPr>
          <w:rFonts w:ascii="Times New Roman" w:hAnsi="Times New Roman" w:cs="Times New Roman"/>
          <w:sz w:val="24"/>
          <w:szCs w:val="24"/>
        </w:rPr>
        <w:t> </w:t>
      </w:r>
      <w:r w:rsidR="00C27BBC">
        <w:rPr>
          <w:rFonts w:ascii="Times New Roman" w:hAnsi="Times New Roman" w:cs="Times New Roman"/>
          <w:sz w:val="24"/>
          <w:szCs w:val="24"/>
        </w:rPr>
        <w:t>IFG roste [53, 54</w:t>
      </w:r>
      <w:r w:rsidR="000F0524" w:rsidRPr="000D096C">
        <w:rPr>
          <w:rFonts w:ascii="Times New Roman" w:hAnsi="Times New Roman" w:cs="Times New Roman"/>
          <w:sz w:val="24"/>
          <w:szCs w:val="24"/>
        </w:rPr>
        <w:t>].</w:t>
      </w:r>
      <w:r w:rsidRPr="000D096C">
        <w:rPr>
          <w:rFonts w:ascii="Times New Roman" w:hAnsi="Times New Roman" w:cs="Times New Roman"/>
          <w:sz w:val="24"/>
          <w:szCs w:val="24"/>
        </w:rPr>
        <w:t xml:space="preserve"> Mezi prediktory progrese prediabetu do </w:t>
      </w:r>
      <w:r w:rsidR="000F0524" w:rsidRPr="000D096C">
        <w:rPr>
          <w:rFonts w:ascii="Times New Roman" w:hAnsi="Times New Roman" w:cs="Times New Roman"/>
          <w:sz w:val="24"/>
          <w:szCs w:val="24"/>
        </w:rPr>
        <w:t>T2</w:t>
      </w:r>
      <w:r w:rsidRPr="000D096C">
        <w:rPr>
          <w:rFonts w:ascii="Times New Roman" w:hAnsi="Times New Roman" w:cs="Times New Roman"/>
          <w:sz w:val="24"/>
          <w:szCs w:val="24"/>
        </w:rPr>
        <w:t>DM</w:t>
      </w:r>
      <w:r w:rsidR="000F0524" w:rsidRPr="000D096C">
        <w:rPr>
          <w:rFonts w:ascii="Times New Roman" w:hAnsi="Times New Roman" w:cs="Times New Roman"/>
          <w:sz w:val="24"/>
          <w:szCs w:val="24"/>
        </w:rPr>
        <w:t xml:space="preserve"> patří přírůstek na váze, </w:t>
      </w:r>
      <w:r w:rsidRPr="000D096C">
        <w:rPr>
          <w:rFonts w:ascii="Times New Roman" w:hAnsi="Times New Roman" w:cs="Times New Roman"/>
          <w:sz w:val="24"/>
          <w:szCs w:val="24"/>
        </w:rPr>
        <w:t xml:space="preserve">progrese </w:t>
      </w:r>
      <w:r w:rsidR="000F0524" w:rsidRPr="000D096C">
        <w:rPr>
          <w:rFonts w:ascii="Times New Roman" w:hAnsi="Times New Roman" w:cs="Times New Roman"/>
          <w:sz w:val="24"/>
          <w:szCs w:val="24"/>
        </w:rPr>
        <w:t>IR</w:t>
      </w:r>
      <w:r w:rsidR="00843FF6" w:rsidRPr="000D096C">
        <w:rPr>
          <w:rFonts w:ascii="Times New Roman" w:hAnsi="Times New Roman" w:cs="Times New Roman"/>
          <w:sz w:val="24"/>
          <w:szCs w:val="24"/>
        </w:rPr>
        <w:t>, pokles sekrece inzulí</w:t>
      </w:r>
      <w:r w:rsidRPr="000D096C">
        <w:rPr>
          <w:rFonts w:ascii="Times New Roman" w:hAnsi="Times New Roman" w:cs="Times New Roman"/>
          <w:sz w:val="24"/>
          <w:szCs w:val="24"/>
        </w:rPr>
        <w:t>nu, nepříznivý adipokinový profil a dalš</w:t>
      </w:r>
      <w:r w:rsidR="000F0524" w:rsidRPr="000D096C">
        <w:rPr>
          <w:rFonts w:ascii="Times New Roman" w:hAnsi="Times New Roman" w:cs="Times New Roman"/>
          <w:sz w:val="24"/>
          <w:szCs w:val="24"/>
        </w:rPr>
        <w:t>í [5</w:t>
      </w:r>
      <w:r w:rsidR="00C27BBC">
        <w:rPr>
          <w:rFonts w:ascii="Times New Roman" w:hAnsi="Times New Roman" w:cs="Times New Roman"/>
          <w:sz w:val="24"/>
          <w:szCs w:val="24"/>
        </w:rPr>
        <w:t>5</w:t>
      </w:r>
      <w:r w:rsidR="000F0524" w:rsidRPr="000D096C">
        <w:rPr>
          <w:rFonts w:ascii="Times New Roman" w:hAnsi="Times New Roman" w:cs="Times New Roman"/>
          <w:sz w:val="24"/>
          <w:szCs w:val="24"/>
        </w:rPr>
        <w:t>].</w:t>
      </w:r>
      <w:r w:rsidRPr="000D096C">
        <w:rPr>
          <w:rFonts w:ascii="Times New Roman" w:hAnsi="Times New Roman" w:cs="Times New Roman"/>
          <w:sz w:val="24"/>
          <w:szCs w:val="24"/>
        </w:rPr>
        <w:t xml:space="preserve">  </w:t>
      </w:r>
    </w:p>
    <w:p w:rsidR="001B3DEE" w:rsidRPr="000D096C" w:rsidRDefault="001B3DEE" w:rsidP="004567D5">
      <w:pP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 xml:space="preserve">Řada provedených studií prokázala snížení incidence progrese prediabetu do DM jak po režimových, tak farmakologických </w:t>
      </w:r>
      <w:r w:rsidR="000F0524" w:rsidRPr="000D096C">
        <w:rPr>
          <w:rFonts w:ascii="Times New Roman" w:hAnsi="Times New Roman" w:cs="Times New Roman"/>
          <w:sz w:val="24"/>
          <w:szCs w:val="24"/>
        </w:rPr>
        <w:t>opatřeních [</w:t>
      </w:r>
      <w:r w:rsidR="00C27BBC">
        <w:rPr>
          <w:rFonts w:ascii="Times New Roman" w:hAnsi="Times New Roman" w:cs="Times New Roman"/>
          <w:sz w:val="24"/>
          <w:szCs w:val="24"/>
        </w:rPr>
        <w:t>56</w:t>
      </w:r>
      <w:r w:rsidR="000F0524" w:rsidRPr="000D096C">
        <w:rPr>
          <w:rFonts w:ascii="Times New Roman" w:hAnsi="Times New Roman" w:cs="Times New Roman"/>
          <w:sz w:val="24"/>
          <w:szCs w:val="24"/>
        </w:rPr>
        <w:t>].</w:t>
      </w:r>
      <w:r w:rsidRPr="000D096C">
        <w:rPr>
          <w:rFonts w:ascii="Times New Roman" w:hAnsi="Times New Roman" w:cs="Times New Roman"/>
          <w:sz w:val="24"/>
          <w:szCs w:val="24"/>
        </w:rPr>
        <w:t xml:space="preserve"> Některé studie rovněž dokládají </w:t>
      </w:r>
      <w:r w:rsidRPr="000D096C">
        <w:rPr>
          <w:rFonts w:ascii="Times New Roman" w:hAnsi="Times New Roman" w:cs="Times New Roman"/>
          <w:sz w:val="24"/>
          <w:szCs w:val="24"/>
        </w:rPr>
        <w:lastRenderedPageBreak/>
        <w:t>i</w:t>
      </w:r>
      <w:r w:rsidR="00BB3FFF">
        <w:rPr>
          <w:rFonts w:ascii="Times New Roman" w:hAnsi="Times New Roman" w:cs="Times New Roman"/>
          <w:sz w:val="24"/>
          <w:szCs w:val="24"/>
        </w:rPr>
        <w:t> </w:t>
      </w:r>
      <w:r w:rsidRPr="000D096C">
        <w:rPr>
          <w:rFonts w:ascii="Times New Roman" w:hAnsi="Times New Roman" w:cs="Times New Roman"/>
          <w:sz w:val="24"/>
          <w:szCs w:val="24"/>
        </w:rPr>
        <w:t>možný reverzní proces přechodu z prokázaného stádia prediabetu do stavu normoglykémie</w:t>
      </w:r>
      <w:r w:rsidR="000F0524" w:rsidRPr="000D096C">
        <w:rPr>
          <w:rFonts w:ascii="Times New Roman" w:hAnsi="Times New Roman" w:cs="Times New Roman"/>
          <w:sz w:val="24"/>
          <w:szCs w:val="24"/>
        </w:rPr>
        <w:t xml:space="preserve"> při účinné intervenci [</w:t>
      </w:r>
      <w:r w:rsidR="00C27BBC">
        <w:rPr>
          <w:rFonts w:ascii="Times New Roman" w:hAnsi="Times New Roman" w:cs="Times New Roman"/>
          <w:sz w:val="24"/>
          <w:szCs w:val="24"/>
        </w:rPr>
        <w:t>47</w:t>
      </w:r>
      <w:r w:rsidR="000F0524" w:rsidRPr="000D096C">
        <w:rPr>
          <w:rFonts w:ascii="Times New Roman" w:hAnsi="Times New Roman" w:cs="Times New Roman"/>
          <w:sz w:val="24"/>
          <w:szCs w:val="24"/>
        </w:rPr>
        <w:t>].</w:t>
      </w:r>
    </w:p>
    <w:p w:rsidR="00A45198" w:rsidRPr="000D096C" w:rsidRDefault="00A45198" w:rsidP="004567D5">
      <w:pPr>
        <w:pStyle w:val="Nadpis3"/>
        <w:spacing w:line="360" w:lineRule="auto"/>
        <w:rPr>
          <w:rFonts w:cs="Times New Roman"/>
        </w:rPr>
      </w:pPr>
      <w:bookmarkStart w:id="83" w:name="_Toc33432679"/>
      <w:bookmarkStart w:id="84" w:name="_Toc33432899"/>
      <w:bookmarkStart w:id="85" w:name="_Toc33869538"/>
      <w:r w:rsidRPr="000D096C">
        <w:rPr>
          <w:rFonts w:cs="Times New Roman"/>
        </w:rPr>
        <w:t>Prediabetes a zvýšené riziko dalších nemocí</w:t>
      </w:r>
      <w:bookmarkEnd w:id="83"/>
      <w:bookmarkEnd w:id="84"/>
      <w:bookmarkEnd w:id="85"/>
    </w:p>
    <w:p w:rsidR="00A45198" w:rsidRPr="000D096C" w:rsidRDefault="00A164E0" w:rsidP="00E319B2">
      <w:pPr>
        <w:pStyle w:val="Nadpis4"/>
      </w:pPr>
      <w:r w:rsidRPr="000D096C">
        <w:t>Kardiovaskulární onemocnění</w:t>
      </w:r>
    </w:p>
    <w:p w:rsidR="00A45198" w:rsidRPr="000D096C" w:rsidRDefault="00424A44" w:rsidP="004567D5">
      <w:pPr>
        <w:pStyle w:val="Bezmezer"/>
        <w:spacing w:line="360" w:lineRule="auto"/>
        <w:ind w:firstLine="708"/>
        <w:jc w:val="both"/>
        <w:rPr>
          <w:rStyle w:val="apple-converted-space"/>
          <w:rFonts w:ascii="Times New Roman" w:hAnsi="Times New Roman" w:cs="Times New Roman"/>
          <w:sz w:val="24"/>
          <w:szCs w:val="24"/>
        </w:rPr>
      </w:pPr>
      <w:r w:rsidRPr="000D096C">
        <w:rPr>
          <w:rFonts w:ascii="Times New Roman" w:hAnsi="Times New Roman" w:cs="Times New Roman"/>
          <w:sz w:val="24"/>
          <w:szCs w:val="24"/>
        </w:rPr>
        <w:t>Předpokládá se, že v roce 2019 zemřelo přes 4 miliony lidí na stavy zapříčiněné DM, z čehož největší část zemřela na kardiovaskulární choroby</w:t>
      </w:r>
      <w:r w:rsidR="00C27BBC">
        <w:rPr>
          <w:rFonts w:ascii="Times New Roman" w:hAnsi="Times New Roman" w:cs="Times New Roman"/>
          <w:sz w:val="24"/>
          <w:szCs w:val="24"/>
        </w:rPr>
        <w:t xml:space="preserve"> [40</w:t>
      </w:r>
      <w:r w:rsidR="00B619AE" w:rsidRPr="000D096C">
        <w:rPr>
          <w:rFonts w:ascii="Times New Roman" w:hAnsi="Times New Roman" w:cs="Times New Roman"/>
          <w:sz w:val="24"/>
          <w:szCs w:val="24"/>
        </w:rPr>
        <w:t>]</w:t>
      </w:r>
      <w:r w:rsidRPr="000D096C">
        <w:rPr>
          <w:rFonts w:ascii="Times New Roman" w:hAnsi="Times New Roman" w:cs="Times New Roman"/>
          <w:sz w:val="24"/>
          <w:szCs w:val="24"/>
        </w:rPr>
        <w:t>. Celkové</w:t>
      </w:r>
      <w:r w:rsidR="00A45198" w:rsidRPr="000D096C">
        <w:rPr>
          <w:rFonts w:ascii="Times New Roman" w:hAnsi="Times New Roman" w:cs="Times New Roman"/>
          <w:sz w:val="24"/>
          <w:szCs w:val="24"/>
        </w:rPr>
        <w:t xml:space="preserve"> r</w:t>
      </w:r>
      <w:r w:rsidRPr="000D096C">
        <w:rPr>
          <w:rFonts w:ascii="Times New Roman" w:hAnsi="Times New Roman" w:cs="Times New Roman"/>
          <w:sz w:val="24"/>
          <w:szCs w:val="24"/>
        </w:rPr>
        <w:t>iziko kardiovaskulárních onemocnění je u diabetiků 2-4x vyšší než u osob bez DM</w:t>
      </w:r>
      <w:r w:rsidR="00C27BBC">
        <w:rPr>
          <w:rFonts w:ascii="Times New Roman" w:hAnsi="Times New Roman" w:cs="Times New Roman"/>
          <w:sz w:val="24"/>
          <w:szCs w:val="24"/>
        </w:rPr>
        <w:t xml:space="preserve"> [57</w:t>
      </w:r>
      <w:r w:rsidR="00B619AE" w:rsidRPr="000D096C">
        <w:rPr>
          <w:rFonts w:ascii="Times New Roman" w:hAnsi="Times New Roman" w:cs="Times New Roman"/>
          <w:sz w:val="24"/>
          <w:szCs w:val="24"/>
        </w:rPr>
        <w:t>].</w:t>
      </w:r>
      <w:r w:rsidRPr="000D096C">
        <w:rPr>
          <w:rFonts w:ascii="Times New Roman" w:hAnsi="Times New Roman" w:cs="Times New Roman"/>
          <w:sz w:val="24"/>
          <w:szCs w:val="24"/>
        </w:rPr>
        <w:t xml:space="preserve"> Nicméně zvýšené riziko kardiovaskulárních</w:t>
      </w:r>
      <w:r w:rsidR="00A45198" w:rsidRPr="000D096C">
        <w:rPr>
          <w:rFonts w:ascii="Times New Roman" w:hAnsi="Times New Roman" w:cs="Times New Roman"/>
          <w:sz w:val="24"/>
          <w:szCs w:val="24"/>
        </w:rPr>
        <w:t xml:space="preserve"> chorob se objevuje již ve stádiu prediabetu, jak bylo prokázáno velkým počtem studií. Odhaduje se, že přítomno</w:t>
      </w:r>
      <w:r w:rsidRPr="000D096C">
        <w:rPr>
          <w:rFonts w:ascii="Times New Roman" w:hAnsi="Times New Roman" w:cs="Times New Roman"/>
          <w:sz w:val="24"/>
          <w:szCs w:val="24"/>
        </w:rPr>
        <w:t>st prediabetu zvyšuje riziko kardiovaskulárních</w:t>
      </w:r>
      <w:r w:rsidR="00A45198" w:rsidRPr="000D096C">
        <w:rPr>
          <w:rFonts w:ascii="Times New Roman" w:hAnsi="Times New Roman" w:cs="Times New Roman"/>
          <w:sz w:val="24"/>
          <w:szCs w:val="24"/>
        </w:rPr>
        <w:t xml:space="preserve"> chorob oproti zdravým osobám zhruba o 20 %</w:t>
      </w:r>
      <w:r w:rsidR="00C27BBC">
        <w:rPr>
          <w:rFonts w:ascii="Times New Roman" w:hAnsi="Times New Roman" w:cs="Times New Roman"/>
          <w:sz w:val="24"/>
          <w:szCs w:val="24"/>
        </w:rPr>
        <w:t xml:space="preserve"> [58</w:t>
      </w:r>
      <w:r w:rsidR="00B619AE" w:rsidRPr="000D096C">
        <w:rPr>
          <w:rFonts w:ascii="Times New Roman" w:hAnsi="Times New Roman" w:cs="Times New Roman"/>
          <w:sz w:val="24"/>
          <w:szCs w:val="24"/>
        </w:rPr>
        <w:t>]</w:t>
      </w:r>
      <w:r w:rsidR="00A45198" w:rsidRPr="000D096C">
        <w:rPr>
          <w:rFonts w:ascii="Times New Roman" w:hAnsi="Times New Roman" w:cs="Times New Roman"/>
          <w:sz w:val="24"/>
          <w:szCs w:val="24"/>
        </w:rPr>
        <w:t>, což potvrzuje i</w:t>
      </w:r>
      <w:r w:rsidR="00BB3FFF">
        <w:rPr>
          <w:rFonts w:ascii="Times New Roman" w:hAnsi="Times New Roman" w:cs="Times New Roman"/>
          <w:sz w:val="24"/>
          <w:szCs w:val="24"/>
        </w:rPr>
        <w:t> </w:t>
      </w:r>
      <w:r w:rsidR="00A45198" w:rsidRPr="000D096C">
        <w:rPr>
          <w:rFonts w:ascii="Times New Roman" w:hAnsi="Times New Roman" w:cs="Times New Roman"/>
          <w:sz w:val="24"/>
          <w:szCs w:val="24"/>
        </w:rPr>
        <w:t>rozsáhlá meta-analýza prospektivních st</w:t>
      </w:r>
      <w:r w:rsidRPr="000D096C">
        <w:rPr>
          <w:rFonts w:ascii="Times New Roman" w:hAnsi="Times New Roman" w:cs="Times New Roman"/>
          <w:sz w:val="24"/>
          <w:szCs w:val="24"/>
        </w:rPr>
        <w:t>udií zahrnujících celkem přes 1</w:t>
      </w:r>
      <w:r w:rsidR="00C058FC">
        <w:rPr>
          <w:rFonts w:ascii="Times New Roman" w:hAnsi="Times New Roman" w:cs="Times New Roman"/>
          <w:sz w:val="24"/>
          <w:szCs w:val="24"/>
        </w:rPr>
        <w:t> </w:t>
      </w:r>
      <w:r w:rsidRPr="000D096C">
        <w:rPr>
          <w:rFonts w:ascii="Times New Roman" w:hAnsi="Times New Roman" w:cs="Times New Roman"/>
          <w:sz w:val="24"/>
          <w:szCs w:val="24"/>
        </w:rPr>
        <w:t>600</w:t>
      </w:r>
      <w:r w:rsidR="00C058FC">
        <w:rPr>
          <w:rFonts w:ascii="Times New Roman" w:hAnsi="Times New Roman" w:cs="Times New Roman"/>
          <w:sz w:val="24"/>
          <w:szCs w:val="24"/>
        </w:rPr>
        <w:t xml:space="preserve"> </w:t>
      </w:r>
      <w:r w:rsidR="00A45198" w:rsidRPr="000D096C">
        <w:rPr>
          <w:rFonts w:ascii="Times New Roman" w:hAnsi="Times New Roman" w:cs="Times New Roman"/>
          <w:sz w:val="24"/>
          <w:szCs w:val="24"/>
        </w:rPr>
        <w:t>000 účastníků, která prokáz</w:t>
      </w:r>
      <w:r w:rsidRPr="000D096C">
        <w:rPr>
          <w:rFonts w:ascii="Times New Roman" w:hAnsi="Times New Roman" w:cs="Times New Roman"/>
          <w:sz w:val="24"/>
          <w:szCs w:val="24"/>
        </w:rPr>
        <w:t xml:space="preserve">ala relativní riziko </w:t>
      </w:r>
      <w:r w:rsidR="00684C4B" w:rsidRPr="000D096C">
        <w:rPr>
          <w:rFonts w:ascii="Times New Roman" w:hAnsi="Times New Roman" w:cs="Times New Roman"/>
          <w:sz w:val="24"/>
          <w:szCs w:val="24"/>
        </w:rPr>
        <w:t xml:space="preserve">(RR) </w:t>
      </w:r>
      <w:r w:rsidRPr="000D096C">
        <w:rPr>
          <w:rFonts w:ascii="Times New Roman" w:hAnsi="Times New Roman" w:cs="Times New Roman"/>
          <w:sz w:val="24"/>
          <w:szCs w:val="24"/>
        </w:rPr>
        <w:t>celkové kardiovaskulární</w:t>
      </w:r>
      <w:r w:rsidR="00A45198" w:rsidRPr="000D096C">
        <w:rPr>
          <w:rFonts w:ascii="Times New Roman" w:hAnsi="Times New Roman" w:cs="Times New Roman"/>
          <w:sz w:val="24"/>
          <w:szCs w:val="24"/>
        </w:rPr>
        <w:t xml:space="preserve"> morbidity pro </w:t>
      </w:r>
      <w:r w:rsidR="001C4F20" w:rsidRPr="000D096C">
        <w:rPr>
          <w:rFonts w:ascii="Times New Roman" w:hAnsi="Times New Roman" w:cs="Times New Roman"/>
          <w:sz w:val="24"/>
          <w:szCs w:val="24"/>
        </w:rPr>
        <w:t>jedince s</w:t>
      </w:r>
      <w:r w:rsidR="00BB3FFF">
        <w:rPr>
          <w:rFonts w:ascii="Times New Roman" w:hAnsi="Times New Roman" w:cs="Times New Roman"/>
          <w:sz w:val="24"/>
          <w:szCs w:val="24"/>
        </w:rPr>
        <w:t> </w:t>
      </w:r>
      <w:r w:rsidR="00271ABC" w:rsidRPr="000D096C">
        <w:rPr>
          <w:rFonts w:ascii="Times New Roman" w:hAnsi="Times New Roman" w:cs="Times New Roman"/>
          <w:sz w:val="24"/>
          <w:szCs w:val="24"/>
        </w:rPr>
        <w:t xml:space="preserve">izolovanou IFG  dle </w:t>
      </w:r>
      <w:r w:rsidR="00A45198" w:rsidRPr="000D096C">
        <w:rPr>
          <w:rFonts w:ascii="Times New Roman" w:hAnsi="Times New Roman" w:cs="Times New Roman"/>
          <w:sz w:val="24"/>
          <w:szCs w:val="24"/>
        </w:rPr>
        <w:t>ADA kritéri</w:t>
      </w:r>
      <w:r w:rsidR="00271ABC" w:rsidRPr="000D096C">
        <w:rPr>
          <w:rFonts w:ascii="Times New Roman" w:hAnsi="Times New Roman" w:cs="Times New Roman"/>
          <w:sz w:val="24"/>
          <w:szCs w:val="24"/>
        </w:rPr>
        <w:t>í</w:t>
      </w:r>
      <w:r w:rsidR="00A45198" w:rsidRPr="000D096C">
        <w:rPr>
          <w:rFonts w:ascii="Times New Roman" w:hAnsi="Times New Roman" w:cs="Times New Roman"/>
          <w:sz w:val="24"/>
          <w:szCs w:val="24"/>
        </w:rPr>
        <w:t xml:space="preserve"> 1,13, pro IFG </w:t>
      </w:r>
      <w:r w:rsidR="00271ABC" w:rsidRPr="000D096C">
        <w:rPr>
          <w:rFonts w:ascii="Times New Roman" w:hAnsi="Times New Roman" w:cs="Times New Roman"/>
          <w:sz w:val="24"/>
          <w:szCs w:val="24"/>
        </w:rPr>
        <w:t xml:space="preserve">dle </w:t>
      </w:r>
      <w:r w:rsidR="00A45198" w:rsidRPr="000D096C">
        <w:rPr>
          <w:rFonts w:ascii="Times New Roman" w:hAnsi="Times New Roman" w:cs="Times New Roman"/>
          <w:sz w:val="24"/>
          <w:szCs w:val="24"/>
        </w:rPr>
        <w:t>WHO kritéri</w:t>
      </w:r>
      <w:r w:rsidR="00271ABC" w:rsidRPr="000D096C">
        <w:rPr>
          <w:rFonts w:ascii="Times New Roman" w:hAnsi="Times New Roman" w:cs="Times New Roman"/>
          <w:sz w:val="24"/>
          <w:szCs w:val="24"/>
        </w:rPr>
        <w:t>í</w:t>
      </w:r>
      <w:r w:rsidR="00A45198" w:rsidRPr="000D096C">
        <w:rPr>
          <w:rFonts w:ascii="Times New Roman" w:hAnsi="Times New Roman" w:cs="Times New Roman"/>
          <w:sz w:val="24"/>
          <w:szCs w:val="24"/>
        </w:rPr>
        <w:t xml:space="preserve"> 1,26</w:t>
      </w:r>
      <w:r w:rsidR="00271ABC" w:rsidRPr="000D096C">
        <w:rPr>
          <w:rFonts w:ascii="Times New Roman" w:hAnsi="Times New Roman" w:cs="Times New Roman"/>
          <w:sz w:val="24"/>
          <w:szCs w:val="24"/>
        </w:rPr>
        <w:t xml:space="preserve">, </w:t>
      </w:r>
      <w:r w:rsidR="00A45198" w:rsidRPr="000D096C">
        <w:rPr>
          <w:rFonts w:ascii="Times New Roman" w:hAnsi="Times New Roman" w:cs="Times New Roman"/>
          <w:sz w:val="24"/>
          <w:szCs w:val="24"/>
        </w:rPr>
        <w:t xml:space="preserve">pro IGT 1,3 a pro celkovou mortalitu </w:t>
      </w:r>
      <w:r w:rsidR="001C4F20" w:rsidRPr="000D096C">
        <w:rPr>
          <w:rFonts w:ascii="Times New Roman" w:hAnsi="Times New Roman" w:cs="Times New Roman"/>
          <w:sz w:val="24"/>
          <w:szCs w:val="24"/>
        </w:rPr>
        <w:t xml:space="preserve">ve stejných skupinách </w:t>
      </w:r>
      <w:r w:rsidR="00A45198" w:rsidRPr="000D096C">
        <w:rPr>
          <w:rFonts w:ascii="Times New Roman" w:hAnsi="Times New Roman" w:cs="Times New Roman"/>
          <w:sz w:val="24"/>
          <w:szCs w:val="24"/>
        </w:rPr>
        <w:t>1,13,</w:t>
      </w:r>
      <w:r w:rsidR="001C4F20" w:rsidRPr="000D096C">
        <w:rPr>
          <w:rFonts w:ascii="Times New Roman" w:hAnsi="Times New Roman" w:cs="Times New Roman"/>
          <w:sz w:val="24"/>
          <w:szCs w:val="24"/>
        </w:rPr>
        <w:t xml:space="preserve"> 1,13 a</w:t>
      </w:r>
      <w:r w:rsidR="00A45198" w:rsidRPr="000D096C">
        <w:rPr>
          <w:rFonts w:ascii="Times New Roman" w:hAnsi="Times New Roman" w:cs="Times New Roman"/>
          <w:sz w:val="24"/>
          <w:szCs w:val="24"/>
        </w:rPr>
        <w:t xml:space="preserve"> 1,32</w:t>
      </w:r>
      <w:r w:rsidR="00C27BBC">
        <w:rPr>
          <w:rFonts w:ascii="Times New Roman" w:hAnsi="Times New Roman" w:cs="Times New Roman"/>
          <w:sz w:val="24"/>
          <w:szCs w:val="24"/>
        </w:rPr>
        <w:t xml:space="preserve"> [59</w:t>
      </w:r>
      <w:r w:rsidR="00B619AE" w:rsidRPr="000D096C">
        <w:rPr>
          <w:rFonts w:ascii="Times New Roman" w:hAnsi="Times New Roman" w:cs="Times New Roman"/>
          <w:sz w:val="24"/>
          <w:szCs w:val="24"/>
        </w:rPr>
        <w:t>]</w:t>
      </w:r>
      <w:r w:rsidR="00A45198" w:rsidRPr="000D096C">
        <w:rPr>
          <w:rFonts w:ascii="Times New Roman" w:hAnsi="Times New Roman" w:cs="Times New Roman"/>
          <w:sz w:val="24"/>
          <w:szCs w:val="24"/>
        </w:rPr>
        <w:t>. Obdobně jako u rizika přech</w:t>
      </w:r>
      <w:r w:rsidR="001C4F20" w:rsidRPr="000D096C">
        <w:rPr>
          <w:rFonts w:ascii="Times New Roman" w:hAnsi="Times New Roman" w:cs="Times New Roman"/>
          <w:sz w:val="24"/>
          <w:szCs w:val="24"/>
        </w:rPr>
        <w:t>odu prediabetu do stádia T2DM</w:t>
      </w:r>
      <w:r w:rsidR="00A45198" w:rsidRPr="000D096C">
        <w:rPr>
          <w:rFonts w:ascii="Times New Roman" w:hAnsi="Times New Roman" w:cs="Times New Roman"/>
          <w:sz w:val="24"/>
          <w:szCs w:val="24"/>
        </w:rPr>
        <w:t xml:space="preserve"> se i </w:t>
      </w:r>
      <w:r w:rsidR="001C4F20" w:rsidRPr="000D096C">
        <w:rPr>
          <w:rFonts w:ascii="Times New Roman" w:hAnsi="Times New Roman" w:cs="Times New Roman"/>
          <w:sz w:val="24"/>
          <w:szCs w:val="24"/>
        </w:rPr>
        <w:t xml:space="preserve">kardiovaskulární </w:t>
      </w:r>
      <w:r w:rsidR="00A45198" w:rsidRPr="000D096C">
        <w:rPr>
          <w:rFonts w:ascii="Times New Roman" w:hAnsi="Times New Roman" w:cs="Times New Roman"/>
          <w:sz w:val="24"/>
          <w:szCs w:val="24"/>
        </w:rPr>
        <w:t>riziko zvyšuje směrem k hor</w:t>
      </w:r>
      <w:r w:rsidR="001C4F20" w:rsidRPr="000D096C">
        <w:rPr>
          <w:rFonts w:ascii="Times New Roman" w:hAnsi="Times New Roman" w:cs="Times New Roman"/>
          <w:sz w:val="24"/>
          <w:szCs w:val="24"/>
        </w:rPr>
        <w:t>ním hranicím diagnostických rozmezí</w:t>
      </w:r>
      <w:r w:rsidR="00A45198" w:rsidRPr="000D096C">
        <w:rPr>
          <w:rFonts w:ascii="Times New Roman" w:hAnsi="Times New Roman" w:cs="Times New Roman"/>
          <w:sz w:val="24"/>
          <w:szCs w:val="24"/>
        </w:rPr>
        <w:t xml:space="preserve"> IGT a IFG</w:t>
      </w:r>
      <w:r w:rsidR="00C27BBC">
        <w:rPr>
          <w:rFonts w:ascii="Times New Roman" w:hAnsi="Times New Roman" w:cs="Times New Roman"/>
          <w:sz w:val="24"/>
          <w:szCs w:val="24"/>
        </w:rPr>
        <w:t xml:space="preserve"> [60</w:t>
      </w:r>
      <w:r w:rsidR="00B619AE" w:rsidRPr="000D096C">
        <w:rPr>
          <w:rFonts w:ascii="Times New Roman" w:hAnsi="Times New Roman" w:cs="Times New Roman"/>
          <w:sz w:val="24"/>
          <w:szCs w:val="24"/>
        </w:rPr>
        <w:t>]</w:t>
      </w:r>
      <w:r w:rsidR="00A45198" w:rsidRPr="000D096C">
        <w:rPr>
          <w:rFonts w:ascii="Times New Roman" w:hAnsi="Times New Roman" w:cs="Times New Roman"/>
          <w:sz w:val="24"/>
          <w:szCs w:val="24"/>
        </w:rPr>
        <w:t>. Někteří autoři dokonce</w:t>
      </w:r>
      <w:r w:rsidR="00A45198" w:rsidRPr="000D096C">
        <w:rPr>
          <w:rStyle w:val="apple-converted-space"/>
          <w:rFonts w:ascii="Times New Roman" w:hAnsi="Times New Roman" w:cs="Times New Roman"/>
          <w:sz w:val="24"/>
          <w:szCs w:val="24"/>
        </w:rPr>
        <w:t xml:space="preserve"> přináší důkazy o</w:t>
      </w:r>
      <w:r w:rsidR="00BB3FFF">
        <w:rPr>
          <w:rStyle w:val="apple-converted-space"/>
          <w:rFonts w:ascii="Times New Roman" w:hAnsi="Times New Roman" w:cs="Times New Roman"/>
          <w:sz w:val="24"/>
          <w:szCs w:val="24"/>
        </w:rPr>
        <w:t> </w:t>
      </w:r>
      <w:r w:rsidR="00A45198" w:rsidRPr="000D096C">
        <w:rPr>
          <w:rStyle w:val="apple-converted-space"/>
          <w:rFonts w:ascii="Times New Roman" w:hAnsi="Times New Roman" w:cs="Times New Roman"/>
          <w:sz w:val="24"/>
          <w:szCs w:val="24"/>
        </w:rPr>
        <w:t>zvýšeném riziku kardiovaskulárních chorob již ve stádiu normoglykémie těsně pod hranicí prediabetu</w:t>
      </w:r>
      <w:r w:rsidR="00B619AE" w:rsidRPr="000D096C">
        <w:rPr>
          <w:rStyle w:val="apple-converted-space"/>
          <w:rFonts w:ascii="Times New Roman" w:hAnsi="Times New Roman" w:cs="Times New Roman"/>
          <w:sz w:val="24"/>
          <w:szCs w:val="24"/>
        </w:rPr>
        <w:t xml:space="preserve"> </w:t>
      </w:r>
      <w:r w:rsidR="00C27BBC">
        <w:rPr>
          <w:rFonts w:ascii="Times New Roman" w:hAnsi="Times New Roman" w:cs="Times New Roman"/>
          <w:sz w:val="24"/>
          <w:szCs w:val="24"/>
        </w:rPr>
        <w:t>[61</w:t>
      </w:r>
      <w:r w:rsidR="00B619AE" w:rsidRPr="000D096C">
        <w:rPr>
          <w:rFonts w:ascii="Times New Roman" w:hAnsi="Times New Roman" w:cs="Times New Roman"/>
          <w:sz w:val="24"/>
          <w:szCs w:val="24"/>
        </w:rPr>
        <w:t>]</w:t>
      </w:r>
      <w:r w:rsidR="00A45198" w:rsidRPr="000D096C">
        <w:rPr>
          <w:rStyle w:val="apple-converted-space"/>
          <w:rFonts w:ascii="Times New Roman" w:hAnsi="Times New Roman" w:cs="Times New Roman"/>
          <w:sz w:val="24"/>
          <w:szCs w:val="24"/>
        </w:rPr>
        <w:t xml:space="preserve">. </w:t>
      </w:r>
      <w:r w:rsidR="001C4F20" w:rsidRPr="000D096C">
        <w:rPr>
          <w:rStyle w:val="apple-converted-space"/>
          <w:rFonts w:ascii="Times New Roman" w:hAnsi="Times New Roman" w:cs="Times New Roman"/>
          <w:sz w:val="24"/>
          <w:szCs w:val="24"/>
        </w:rPr>
        <w:t>Prospektivní studie zahrnující 18</w:t>
      </w:r>
      <w:r w:rsidR="00C058FC">
        <w:rPr>
          <w:rStyle w:val="apple-converted-space"/>
          <w:rFonts w:ascii="Times New Roman" w:hAnsi="Times New Roman" w:cs="Times New Roman"/>
          <w:sz w:val="24"/>
          <w:szCs w:val="24"/>
        </w:rPr>
        <w:t xml:space="preserve"> </w:t>
      </w:r>
      <w:r w:rsidR="001C4F20" w:rsidRPr="000D096C">
        <w:rPr>
          <w:rStyle w:val="apple-converted-space"/>
          <w:rFonts w:ascii="Times New Roman" w:hAnsi="Times New Roman" w:cs="Times New Roman"/>
          <w:sz w:val="24"/>
          <w:szCs w:val="24"/>
        </w:rPr>
        <w:t xml:space="preserve">034 osob prokázala zvýšené </w:t>
      </w:r>
      <w:r w:rsidR="00271ABC" w:rsidRPr="000D096C">
        <w:rPr>
          <w:rStyle w:val="apple-converted-space"/>
          <w:rFonts w:ascii="Times New Roman" w:hAnsi="Times New Roman" w:cs="Times New Roman"/>
          <w:sz w:val="24"/>
          <w:szCs w:val="24"/>
        </w:rPr>
        <w:t>RR</w:t>
      </w:r>
      <w:r w:rsidR="001C4F20" w:rsidRPr="000D096C">
        <w:rPr>
          <w:rStyle w:val="apple-converted-space"/>
          <w:rFonts w:ascii="Times New Roman" w:hAnsi="Times New Roman" w:cs="Times New Roman"/>
          <w:sz w:val="24"/>
          <w:szCs w:val="24"/>
        </w:rPr>
        <w:t xml:space="preserve"> kardiovaskulární</w:t>
      </w:r>
      <w:r w:rsidR="00A45198" w:rsidRPr="000D096C">
        <w:rPr>
          <w:rStyle w:val="apple-converted-space"/>
          <w:rFonts w:ascii="Times New Roman" w:hAnsi="Times New Roman" w:cs="Times New Roman"/>
          <w:sz w:val="24"/>
          <w:szCs w:val="24"/>
        </w:rPr>
        <w:t xml:space="preserve"> morbidity </w:t>
      </w:r>
      <w:r w:rsidR="00271ABC" w:rsidRPr="000D096C">
        <w:rPr>
          <w:rFonts w:ascii="Times New Roman" w:hAnsi="Times New Roman" w:cs="Times New Roman"/>
          <w:sz w:val="24"/>
          <w:szCs w:val="24"/>
        </w:rPr>
        <w:t>1,53 (95 %</w:t>
      </w:r>
      <w:r w:rsidR="00D74931">
        <w:rPr>
          <w:rFonts w:ascii="Times New Roman" w:hAnsi="Times New Roman" w:cs="Times New Roman"/>
          <w:sz w:val="24"/>
          <w:szCs w:val="24"/>
        </w:rPr>
        <w:t xml:space="preserve"> konfidenční interval</w:t>
      </w:r>
      <w:r w:rsidR="00271ABC" w:rsidRPr="000D096C">
        <w:rPr>
          <w:rFonts w:ascii="Times New Roman" w:hAnsi="Times New Roman" w:cs="Times New Roman"/>
          <w:sz w:val="24"/>
          <w:szCs w:val="24"/>
        </w:rPr>
        <w:t xml:space="preserve"> </w:t>
      </w:r>
      <w:r w:rsidR="00D74931">
        <w:rPr>
          <w:rFonts w:ascii="Times New Roman" w:hAnsi="Times New Roman" w:cs="Times New Roman"/>
          <w:sz w:val="24"/>
          <w:szCs w:val="24"/>
        </w:rPr>
        <w:t>[</w:t>
      </w:r>
      <w:r w:rsidR="00271ABC" w:rsidRPr="000D096C">
        <w:rPr>
          <w:rFonts w:ascii="Times New Roman" w:hAnsi="Times New Roman" w:cs="Times New Roman"/>
          <w:sz w:val="24"/>
          <w:szCs w:val="24"/>
        </w:rPr>
        <w:t>KI</w:t>
      </w:r>
      <w:r w:rsidR="00D74931">
        <w:rPr>
          <w:rFonts w:ascii="Times New Roman" w:hAnsi="Times New Roman" w:cs="Times New Roman"/>
          <w:sz w:val="24"/>
          <w:szCs w:val="24"/>
        </w:rPr>
        <w:t>]</w:t>
      </w:r>
      <w:r w:rsidR="00C27BBC">
        <w:rPr>
          <w:rFonts w:ascii="Times New Roman" w:hAnsi="Times New Roman" w:cs="Times New Roman"/>
          <w:sz w:val="24"/>
          <w:szCs w:val="24"/>
        </w:rPr>
        <w:t xml:space="preserve"> 1,22-1,</w:t>
      </w:r>
      <w:r w:rsidR="00A45198" w:rsidRPr="000D096C">
        <w:rPr>
          <w:rFonts w:ascii="Times New Roman" w:hAnsi="Times New Roman" w:cs="Times New Roman"/>
          <w:sz w:val="24"/>
          <w:szCs w:val="24"/>
        </w:rPr>
        <w:t xml:space="preserve">91) </w:t>
      </w:r>
      <w:r w:rsidR="001C4F20" w:rsidRPr="000D096C">
        <w:rPr>
          <w:rStyle w:val="apple-converted-space"/>
          <w:rFonts w:ascii="Times New Roman" w:hAnsi="Times New Roman" w:cs="Times New Roman"/>
          <w:sz w:val="24"/>
          <w:szCs w:val="24"/>
        </w:rPr>
        <w:t>u jedinců s lačnou glykémií</w:t>
      </w:r>
      <w:r w:rsidR="00A45198" w:rsidRPr="000D096C">
        <w:rPr>
          <w:rStyle w:val="apple-converted-space"/>
          <w:rFonts w:ascii="Times New Roman" w:hAnsi="Times New Roman" w:cs="Times New Roman"/>
          <w:sz w:val="24"/>
          <w:szCs w:val="24"/>
        </w:rPr>
        <w:t xml:space="preserve"> 5,3-5,5 mmol/l</w:t>
      </w:r>
      <w:r w:rsidR="001C4F20" w:rsidRPr="000D096C">
        <w:rPr>
          <w:rStyle w:val="apple-converted-space"/>
          <w:rFonts w:ascii="Times New Roman" w:hAnsi="Times New Roman" w:cs="Times New Roman"/>
          <w:sz w:val="24"/>
          <w:szCs w:val="24"/>
        </w:rPr>
        <w:t xml:space="preserve"> ve srovnání s jedinci s glykémií</w:t>
      </w:r>
      <w:r w:rsidR="00A45198" w:rsidRPr="000D096C">
        <w:rPr>
          <w:rStyle w:val="apple-converted-space"/>
          <w:rFonts w:ascii="Times New Roman" w:hAnsi="Times New Roman" w:cs="Times New Roman"/>
          <w:sz w:val="24"/>
          <w:szCs w:val="24"/>
        </w:rPr>
        <w:t xml:space="preserve"> 4,4 mmol/l</w:t>
      </w:r>
      <w:r w:rsidR="00B619AE" w:rsidRPr="000D096C">
        <w:rPr>
          <w:rStyle w:val="apple-converted-space"/>
          <w:rFonts w:ascii="Times New Roman" w:hAnsi="Times New Roman" w:cs="Times New Roman"/>
          <w:sz w:val="24"/>
          <w:szCs w:val="24"/>
        </w:rPr>
        <w:t xml:space="preserve"> </w:t>
      </w:r>
      <w:r w:rsidR="00C27BBC">
        <w:rPr>
          <w:rFonts w:ascii="Times New Roman" w:hAnsi="Times New Roman" w:cs="Times New Roman"/>
          <w:sz w:val="24"/>
          <w:szCs w:val="24"/>
        </w:rPr>
        <w:t>[62</w:t>
      </w:r>
      <w:r w:rsidR="00B619AE" w:rsidRPr="000D096C">
        <w:rPr>
          <w:rFonts w:ascii="Times New Roman" w:hAnsi="Times New Roman" w:cs="Times New Roman"/>
          <w:sz w:val="24"/>
          <w:szCs w:val="24"/>
        </w:rPr>
        <w:t>]</w:t>
      </w:r>
      <w:r w:rsidR="00A45198" w:rsidRPr="000D096C">
        <w:rPr>
          <w:rStyle w:val="apple-converted-space"/>
          <w:rFonts w:ascii="Times New Roman" w:hAnsi="Times New Roman" w:cs="Times New Roman"/>
          <w:sz w:val="24"/>
          <w:szCs w:val="24"/>
        </w:rPr>
        <w:t>.</w:t>
      </w:r>
    </w:p>
    <w:p w:rsidR="00A45198" w:rsidRPr="000D096C" w:rsidRDefault="00A45198" w:rsidP="004567D5">
      <w:pPr>
        <w:pStyle w:val="Bezmezer"/>
        <w:spacing w:line="360" w:lineRule="auto"/>
        <w:ind w:firstLine="708"/>
        <w:jc w:val="both"/>
        <w:rPr>
          <w:rStyle w:val="apple-converted-space"/>
          <w:rFonts w:ascii="Times New Roman" w:hAnsi="Times New Roman" w:cs="Times New Roman"/>
          <w:sz w:val="24"/>
          <w:szCs w:val="24"/>
        </w:rPr>
      </w:pPr>
      <w:r w:rsidRPr="000D096C">
        <w:rPr>
          <w:rStyle w:val="apple-converted-space"/>
          <w:rFonts w:ascii="Times New Roman" w:hAnsi="Times New Roman" w:cs="Times New Roman"/>
          <w:sz w:val="24"/>
          <w:szCs w:val="24"/>
        </w:rPr>
        <w:t>Rozsáhlá studie složená z 10 evropských kohortových skupin potvrdila přítomnost IGT jako nezávislého pre</w:t>
      </w:r>
      <w:r w:rsidR="00462BBC" w:rsidRPr="000D096C">
        <w:rPr>
          <w:rStyle w:val="apple-converted-space"/>
          <w:rFonts w:ascii="Times New Roman" w:hAnsi="Times New Roman" w:cs="Times New Roman"/>
          <w:sz w:val="24"/>
          <w:szCs w:val="24"/>
        </w:rPr>
        <w:t xml:space="preserve">diktivního faktoru celkové </w:t>
      </w:r>
      <w:r w:rsidR="001A63D1">
        <w:rPr>
          <w:rStyle w:val="apple-converted-space"/>
          <w:rFonts w:ascii="Times New Roman" w:hAnsi="Times New Roman" w:cs="Times New Roman"/>
          <w:sz w:val="24"/>
          <w:szCs w:val="24"/>
        </w:rPr>
        <w:t>i</w:t>
      </w:r>
      <w:r w:rsidR="00462BBC" w:rsidRPr="000D096C">
        <w:rPr>
          <w:rStyle w:val="apple-converted-space"/>
          <w:rFonts w:ascii="Times New Roman" w:hAnsi="Times New Roman" w:cs="Times New Roman"/>
          <w:sz w:val="24"/>
          <w:szCs w:val="24"/>
        </w:rPr>
        <w:t xml:space="preserve"> kardiovaskulární</w:t>
      </w:r>
      <w:r w:rsidRPr="000D096C">
        <w:rPr>
          <w:rStyle w:val="apple-converted-space"/>
          <w:rFonts w:ascii="Times New Roman" w:hAnsi="Times New Roman" w:cs="Times New Roman"/>
          <w:sz w:val="24"/>
          <w:szCs w:val="24"/>
        </w:rPr>
        <w:t xml:space="preserve"> mor</w:t>
      </w:r>
      <w:r w:rsidR="00271ABC" w:rsidRPr="000D096C">
        <w:rPr>
          <w:rStyle w:val="apple-converted-space"/>
          <w:rFonts w:ascii="Times New Roman" w:hAnsi="Times New Roman" w:cs="Times New Roman"/>
          <w:sz w:val="24"/>
          <w:szCs w:val="24"/>
        </w:rPr>
        <w:t>tality. Tento vztah však neplatil</w:t>
      </w:r>
      <w:r w:rsidRPr="000D096C">
        <w:rPr>
          <w:rStyle w:val="apple-converted-space"/>
          <w:rFonts w:ascii="Times New Roman" w:hAnsi="Times New Roman" w:cs="Times New Roman"/>
          <w:sz w:val="24"/>
          <w:szCs w:val="24"/>
        </w:rPr>
        <w:t xml:space="preserve"> pro samotnou IFG</w:t>
      </w:r>
      <w:r w:rsidR="00462BBC" w:rsidRPr="000D096C">
        <w:rPr>
          <w:rStyle w:val="apple-converted-space"/>
          <w:rFonts w:ascii="Times New Roman" w:hAnsi="Times New Roman" w:cs="Times New Roman"/>
          <w:sz w:val="24"/>
          <w:szCs w:val="24"/>
        </w:rPr>
        <w:t xml:space="preserve"> (WHO kritéria)</w:t>
      </w:r>
      <w:r w:rsidR="007A4E12" w:rsidRPr="000D096C">
        <w:rPr>
          <w:rStyle w:val="apple-converted-space"/>
          <w:rFonts w:ascii="Times New Roman" w:hAnsi="Times New Roman" w:cs="Times New Roman"/>
          <w:sz w:val="24"/>
          <w:szCs w:val="24"/>
        </w:rPr>
        <w:t xml:space="preserve"> </w:t>
      </w:r>
      <w:r w:rsidR="00C27BBC">
        <w:rPr>
          <w:rFonts w:ascii="Times New Roman" w:hAnsi="Times New Roman" w:cs="Times New Roman"/>
          <w:sz w:val="24"/>
          <w:szCs w:val="24"/>
        </w:rPr>
        <w:t>[63</w:t>
      </w:r>
      <w:r w:rsidR="007A4E12" w:rsidRPr="000D096C">
        <w:rPr>
          <w:rFonts w:ascii="Times New Roman" w:hAnsi="Times New Roman" w:cs="Times New Roman"/>
          <w:sz w:val="24"/>
          <w:szCs w:val="24"/>
        </w:rPr>
        <w:t>]</w:t>
      </w:r>
      <w:r w:rsidRPr="000D096C">
        <w:rPr>
          <w:rStyle w:val="apple-converted-space"/>
          <w:rFonts w:ascii="Times New Roman" w:hAnsi="Times New Roman" w:cs="Times New Roman"/>
          <w:sz w:val="24"/>
          <w:szCs w:val="24"/>
        </w:rPr>
        <w:t>. Obdobná zjištění přinesla i</w:t>
      </w:r>
      <w:r w:rsidR="00762125">
        <w:rPr>
          <w:rStyle w:val="apple-converted-space"/>
          <w:rFonts w:ascii="Times New Roman" w:hAnsi="Times New Roman" w:cs="Times New Roman"/>
          <w:sz w:val="24"/>
          <w:szCs w:val="24"/>
        </w:rPr>
        <w:t> </w:t>
      </w:r>
      <w:r w:rsidRPr="000D096C">
        <w:rPr>
          <w:rFonts w:ascii="Times New Roman" w:hAnsi="Times New Roman" w:cs="Times New Roman"/>
          <w:sz w:val="24"/>
          <w:szCs w:val="24"/>
        </w:rPr>
        <w:t>Hoorn Study z</w:t>
      </w:r>
      <w:r w:rsidR="007A4E12" w:rsidRPr="000D096C">
        <w:rPr>
          <w:rFonts w:ascii="Times New Roman" w:hAnsi="Times New Roman" w:cs="Times New Roman"/>
          <w:sz w:val="24"/>
          <w:szCs w:val="24"/>
        </w:rPr>
        <w:t> </w:t>
      </w:r>
      <w:r w:rsidRPr="000D096C">
        <w:rPr>
          <w:rFonts w:ascii="Times New Roman" w:hAnsi="Times New Roman" w:cs="Times New Roman"/>
          <w:sz w:val="24"/>
          <w:szCs w:val="24"/>
        </w:rPr>
        <w:t>Nizozemska</w:t>
      </w:r>
      <w:r w:rsidR="00C27BBC">
        <w:rPr>
          <w:rFonts w:ascii="Times New Roman" w:hAnsi="Times New Roman" w:cs="Times New Roman"/>
          <w:sz w:val="24"/>
          <w:szCs w:val="24"/>
        </w:rPr>
        <w:t xml:space="preserve"> [64</w:t>
      </w:r>
      <w:r w:rsidR="007A4E12" w:rsidRPr="000D096C">
        <w:rPr>
          <w:rFonts w:ascii="Times New Roman" w:hAnsi="Times New Roman" w:cs="Times New Roman"/>
          <w:sz w:val="24"/>
          <w:szCs w:val="24"/>
        </w:rPr>
        <w:t>]</w:t>
      </w:r>
      <w:r w:rsidR="00462BBC" w:rsidRPr="000D096C">
        <w:rPr>
          <w:rFonts w:ascii="Times New Roman" w:hAnsi="Times New Roman" w:cs="Times New Roman"/>
          <w:sz w:val="24"/>
          <w:szCs w:val="24"/>
        </w:rPr>
        <w:t xml:space="preserve"> a pro kardiovaskulární</w:t>
      </w:r>
      <w:r w:rsidRPr="000D096C">
        <w:rPr>
          <w:rFonts w:ascii="Times New Roman" w:hAnsi="Times New Roman" w:cs="Times New Roman"/>
          <w:sz w:val="24"/>
          <w:szCs w:val="24"/>
        </w:rPr>
        <w:t xml:space="preserve"> morbiditu Framingham Offspring Study</w:t>
      </w:r>
      <w:r w:rsidR="00C27BBC">
        <w:rPr>
          <w:rFonts w:ascii="Times New Roman" w:hAnsi="Times New Roman" w:cs="Times New Roman"/>
          <w:sz w:val="24"/>
          <w:szCs w:val="24"/>
        </w:rPr>
        <w:t xml:space="preserve"> [65</w:t>
      </w:r>
      <w:r w:rsidR="007A4E12" w:rsidRPr="000D096C">
        <w:rPr>
          <w:rFonts w:ascii="Times New Roman" w:hAnsi="Times New Roman" w:cs="Times New Roman"/>
          <w:sz w:val="24"/>
          <w:szCs w:val="24"/>
        </w:rPr>
        <w:t>]</w:t>
      </w:r>
      <w:r w:rsidR="00462BBC" w:rsidRPr="000D096C">
        <w:rPr>
          <w:rFonts w:ascii="Times New Roman" w:hAnsi="Times New Roman" w:cs="Times New Roman"/>
          <w:sz w:val="24"/>
          <w:szCs w:val="24"/>
        </w:rPr>
        <w:t>, finská studie od Lind a kol</w:t>
      </w:r>
      <w:r w:rsidRPr="000D096C">
        <w:rPr>
          <w:rFonts w:ascii="Times New Roman" w:hAnsi="Times New Roman" w:cs="Times New Roman"/>
          <w:sz w:val="24"/>
          <w:szCs w:val="24"/>
        </w:rPr>
        <w:t>.</w:t>
      </w:r>
      <w:r w:rsidR="00C27BBC">
        <w:rPr>
          <w:rFonts w:ascii="Times New Roman" w:hAnsi="Times New Roman" w:cs="Times New Roman"/>
          <w:sz w:val="24"/>
          <w:szCs w:val="24"/>
        </w:rPr>
        <w:t xml:space="preserve"> [66</w:t>
      </w:r>
      <w:r w:rsidR="007A4E12" w:rsidRPr="000D096C">
        <w:rPr>
          <w:rFonts w:ascii="Times New Roman" w:hAnsi="Times New Roman" w:cs="Times New Roman"/>
          <w:sz w:val="24"/>
          <w:szCs w:val="24"/>
        </w:rPr>
        <w:t>]</w:t>
      </w:r>
      <w:r w:rsidRPr="000D096C">
        <w:rPr>
          <w:rFonts w:ascii="Times New Roman" w:hAnsi="Times New Roman" w:cs="Times New Roman"/>
          <w:sz w:val="24"/>
          <w:szCs w:val="24"/>
        </w:rPr>
        <w:t xml:space="preserve"> nebo japonská studie Funagata</w:t>
      </w:r>
      <w:r w:rsidR="00C27BBC">
        <w:rPr>
          <w:rFonts w:ascii="Times New Roman" w:hAnsi="Times New Roman" w:cs="Times New Roman"/>
          <w:sz w:val="24"/>
          <w:szCs w:val="24"/>
        </w:rPr>
        <w:t xml:space="preserve"> [67</w:t>
      </w:r>
      <w:r w:rsidR="007A4E12" w:rsidRPr="000D096C">
        <w:rPr>
          <w:rFonts w:ascii="Times New Roman" w:hAnsi="Times New Roman" w:cs="Times New Roman"/>
          <w:sz w:val="24"/>
          <w:szCs w:val="24"/>
        </w:rPr>
        <w:t>]</w:t>
      </w:r>
      <w:r w:rsidRPr="000D096C">
        <w:rPr>
          <w:rFonts w:ascii="Times New Roman" w:hAnsi="Times New Roman" w:cs="Times New Roman"/>
          <w:sz w:val="24"/>
          <w:szCs w:val="24"/>
        </w:rPr>
        <w:t>. Na druhé straně na</w:t>
      </w:r>
      <w:r w:rsidR="00462BBC" w:rsidRPr="000D096C">
        <w:rPr>
          <w:rFonts w:ascii="Times New Roman" w:hAnsi="Times New Roman" w:cs="Times New Roman"/>
          <w:sz w:val="24"/>
          <w:szCs w:val="24"/>
        </w:rPr>
        <w:t>příklad meta-analýza Forda a kol</w:t>
      </w:r>
      <w:r w:rsidRPr="000D096C">
        <w:rPr>
          <w:rFonts w:ascii="Times New Roman" w:hAnsi="Times New Roman" w:cs="Times New Roman"/>
          <w:sz w:val="24"/>
          <w:szCs w:val="24"/>
        </w:rPr>
        <w:t xml:space="preserve">. neprokázala rozdíl </w:t>
      </w:r>
      <w:r w:rsidR="00271ABC" w:rsidRPr="000D096C">
        <w:rPr>
          <w:rFonts w:ascii="Times New Roman" w:hAnsi="Times New Roman" w:cs="Times New Roman"/>
          <w:sz w:val="24"/>
          <w:szCs w:val="24"/>
        </w:rPr>
        <w:t>mezi</w:t>
      </w:r>
      <w:r w:rsidR="00462BBC" w:rsidRPr="000D096C">
        <w:rPr>
          <w:rFonts w:ascii="Times New Roman" w:hAnsi="Times New Roman" w:cs="Times New Roman"/>
          <w:sz w:val="24"/>
          <w:szCs w:val="24"/>
        </w:rPr>
        <w:t xml:space="preserve"> IFG a IGT </w:t>
      </w:r>
      <w:r w:rsidR="00271ABC" w:rsidRPr="000D096C">
        <w:rPr>
          <w:rFonts w:ascii="Times New Roman" w:hAnsi="Times New Roman" w:cs="Times New Roman"/>
          <w:sz w:val="24"/>
          <w:szCs w:val="24"/>
        </w:rPr>
        <w:t xml:space="preserve">v predikci </w:t>
      </w:r>
      <w:r w:rsidR="00462BBC" w:rsidRPr="000D096C">
        <w:rPr>
          <w:rFonts w:ascii="Times New Roman" w:hAnsi="Times New Roman" w:cs="Times New Roman"/>
          <w:sz w:val="24"/>
          <w:szCs w:val="24"/>
        </w:rPr>
        <w:t>rizik</w:t>
      </w:r>
      <w:r w:rsidR="00271ABC" w:rsidRPr="000D096C">
        <w:rPr>
          <w:rFonts w:ascii="Times New Roman" w:hAnsi="Times New Roman" w:cs="Times New Roman"/>
          <w:sz w:val="24"/>
          <w:szCs w:val="24"/>
        </w:rPr>
        <w:t>a</w:t>
      </w:r>
      <w:r w:rsidR="00462BBC" w:rsidRPr="000D096C">
        <w:rPr>
          <w:rFonts w:ascii="Times New Roman" w:hAnsi="Times New Roman" w:cs="Times New Roman"/>
          <w:sz w:val="24"/>
          <w:szCs w:val="24"/>
        </w:rPr>
        <w:t xml:space="preserve"> kardiovaskulárních</w:t>
      </w:r>
      <w:r w:rsidR="00C27BBC">
        <w:rPr>
          <w:rFonts w:ascii="Times New Roman" w:hAnsi="Times New Roman" w:cs="Times New Roman"/>
          <w:sz w:val="24"/>
          <w:szCs w:val="24"/>
        </w:rPr>
        <w:t xml:space="preserve"> chorob [68</w:t>
      </w:r>
      <w:r w:rsidR="007A4E12" w:rsidRPr="000D096C">
        <w:rPr>
          <w:rFonts w:ascii="Times New Roman" w:hAnsi="Times New Roman" w:cs="Times New Roman"/>
          <w:sz w:val="24"/>
          <w:szCs w:val="24"/>
        </w:rPr>
        <w:t xml:space="preserve">]. </w:t>
      </w:r>
      <w:r w:rsidRPr="000D096C">
        <w:rPr>
          <w:rFonts w:ascii="Times New Roman" w:hAnsi="Times New Roman" w:cs="Times New Roman"/>
          <w:sz w:val="24"/>
          <w:szCs w:val="24"/>
        </w:rPr>
        <w:t>V</w:t>
      </w:r>
      <w:r w:rsidRPr="000D096C">
        <w:rPr>
          <w:rStyle w:val="apple-converted-space"/>
          <w:rFonts w:ascii="Times New Roman" w:hAnsi="Times New Roman" w:cs="Times New Roman"/>
          <w:sz w:val="24"/>
          <w:szCs w:val="24"/>
        </w:rPr>
        <w:t xml:space="preserve">edle IFG a IGT panuje relativní shoda ohledně prediktivní síly zvýšeného glykovaného hemoglobinu, jež se zdá být minimálně stejně tak </w:t>
      </w:r>
      <w:r w:rsidR="001A63D1">
        <w:rPr>
          <w:rStyle w:val="apple-converted-space"/>
          <w:rFonts w:ascii="Times New Roman" w:hAnsi="Times New Roman" w:cs="Times New Roman"/>
          <w:sz w:val="24"/>
          <w:szCs w:val="24"/>
        </w:rPr>
        <w:t>velká jako v případě zmiňovaných</w:t>
      </w:r>
      <w:r w:rsidRPr="000D096C">
        <w:rPr>
          <w:rStyle w:val="apple-converted-space"/>
          <w:rFonts w:ascii="Times New Roman" w:hAnsi="Times New Roman" w:cs="Times New Roman"/>
          <w:sz w:val="24"/>
          <w:szCs w:val="24"/>
        </w:rPr>
        <w:t xml:space="preserve"> dvou poruch, a to jak v pří</w:t>
      </w:r>
      <w:r w:rsidR="00462BBC" w:rsidRPr="000D096C">
        <w:rPr>
          <w:rStyle w:val="apple-converted-space"/>
          <w:rFonts w:ascii="Times New Roman" w:hAnsi="Times New Roman" w:cs="Times New Roman"/>
          <w:sz w:val="24"/>
          <w:szCs w:val="24"/>
        </w:rPr>
        <w:t>padě vztahu tohoto markeru a</w:t>
      </w:r>
      <w:r w:rsidR="00BB3FFF">
        <w:rPr>
          <w:rStyle w:val="apple-converted-space"/>
          <w:rFonts w:ascii="Times New Roman" w:hAnsi="Times New Roman" w:cs="Times New Roman"/>
          <w:sz w:val="24"/>
          <w:szCs w:val="24"/>
        </w:rPr>
        <w:t> </w:t>
      </w:r>
      <w:r w:rsidR="00462BBC" w:rsidRPr="000D096C">
        <w:rPr>
          <w:rStyle w:val="apple-converted-space"/>
          <w:rFonts w:ascii="Times New Roman" w:hAnsi="Times New Roman" w:cs="Times New Roman"/>
          <w:sz w:val="24"/>
          <w:szCs w:val="24"/>
        </w:rPr>
        <w:t>kardiovaskulární</w:t>
      </w:r>
      <w:r w:rsidRPr="000D096C">
        <w:rPr>
          <w:rStyle w:val="apple-converted-space"/>
          <w:rFonts w:ascii="Times New Roman" w:hAnsi="Times New Roman" w:cs="Times New Roman"/>
          <w:sz w:val="24"/>
          <w:szCs w:val="24"/>
        </w:rPr>
        <w:t xml:space="preserve"> morbidity</w:t>
      </w:r>
      <w:r w:rsidR="007A4E12" w:rsidRPr="000D096C">
        <w:rPr>
          <w:rStyle w:val="apple-converted-space"/>
          <w:rFonts w:ascii="Times New Roman" w:hAnsi="Times New Roman" w:cs="Times New Roman"/>
          <w:sz w:val="24"/>
          <w:szCs w:val="24"/>
        </w:rPr>
        <w:t xml:space="preserve"> </w:t>
      </w:r>
      <w:r w:rsidR="00C27BBC">
        <w:rPr>
          <w:rFonts w:ascii="Times New Roman" w:hAnsi="Times New Roman" w:cs="Times New Roman"/>
          <w:sz w:val="24"/>
          <w:szCs w:val="24"/>
        </w:rPr>
        <w:t>[69, 70</w:t>
      </w:r>
      <w:r w:rsidR="007A4E12" w:rsidRPr="000D096C">
        <w:rPr>
          <w:rFonts w:ascii="Times New Roman" w:hAnsi="Times New Roman" w:cs="Times New Roman"/>
          <w:sz w:val="24"/>
          <w:szCs w:val="24"/>
        </w:rPr>
        <w:t>]</w:t>
      </w:r>
      <w:r w:rsidRPr="000D096C">
        <w:rPr>
          <w:rStyle w:val="apple-converted-space"/>
          <w:rFonts w:ascii="Times New Roman" w:hAnsi="Times New Roman" w:cs="Times New Roman"/>
          <w:sz w:val="24"/>
          <w:szCs w:val="24"/>
        </w:rPr>
        <w:t>, tak i mortality</w:t>
      </w:r>
      <w:r w:rsidR="007A4E12" w:rsidRPr="000D096C">
        <w:rPr>
          <w:rStyle w:val="apple-converted-space"/>
          <w:rFonts w:ascii="Times New Roman" w:hAnsi="Times New Roman" w:cs="Times New Roman"/>
          <w:sz w:val="24"/>
          <w:szCs w:val="24"/>
        </w:rPr>
        <w:t xml:space="preserve"> </w:t>
      </w:r>
      <w:r w:rsidR="00C27BBC">
        <w:rPr>
          <w:rFonts w:ascii="Times New Roman" w:hAnsi="Times New Roman" w:cs="Times New Roman"/>
          <w:sz w:val="24"/>
          <w:szCs w:val="24"/>
        </w:rPr>
        <w:t>[71</w:t>
      </w:r>
      <w:r w:rsidR="007A4E12" w:rsidRPr="000D096C">
        <w:rPr>
          <w:rFonts w:ascii="Times New Roman" w:hAnsi="Times New Roman" w:cs="Times New Roman"/>
          <w:sz w:val="24"/>
          <w:szCs w:val="24"/>
        </w:rPr>
        <w:t>]</w:t>
      </w:r>
      <w:r w:rsidRPr="000D096C">
        <w:rPr>
          <w:rStyle w:val="apple-converted-space"/>
          <w:rFonts w:ascii="Times New Roman" w:hAnsi="Times New Roman" w:cs="Times New Roman"/>
          <w:sz w:val="24"/>
          <w:szCs w:val="24"/>
        </w:rPr>
        <w:t>.</w:t>
      </w:r>
    </w:p>
    <w:p w:rsidR="00917BD1" w:rsidRPr="00C76B18" w:rsidRDefault="00917BD1" w:rsidP="00C76B18">
      <w:pPr>
        <w:pStyle w:val="Nadpis5"/>
        <w:rPr>
          <w:rStyle w:val="apple-converted-space"/>
        </w:rPr>
      </w:pPr>
      <w:r w:rsidRPr="00C76B18">
        <w:rPr>
          <w:rStyle w:val="apple-converted-space"/>
        </w:rPr>
        <w:lastRenderedPageBreak/>
        <w:t>Makrovaskulární komplikace</w:t>
      </w:r>
    </w:p>
    <w:p w:rsidR="00A45198" w:rsidRPr="000D096C" w:rsidRDefault="00A45198" w:rsidP="004567D5">
      <w:pPr>
        <w:pStyle w:val="Bezmezer"/>
        <w:spacing w:line="360" w:lineRule="auto"/>
        <w:ind w:firstLine="708"/>
        <w:jc w:val="both"/>
        <w:rPr>
          <w:rStyle w:val="apple-converted-space"/>
          <w:rFonts w:ascii="Times New Roman" w:hAnsi="Times New Roman" w:cs="Times New Roman"/>
          <w:sz w:val="24"/>
          <w:szCs w:val="24"/>
        </w:rPr>
      </w:pPr>
      <w:r w:rsidRPr="000D096C">
        <w:rPr>
          <w:rStyle w:val="apple-converted-space"/>
          <w:rFonts w:ascii="Times New Roman" w:hAnsi="Times New Roman" w:cs="Times New Roman"/>
          <w:sz w:val="24"/>
          <w:szCs w:val="24"/>
        </w:rPr>
        <w:t>Při rozvoji makrovaskulárních komplikací u diabetiků hraje z pa</w:t>
      </w:r>
      <w:r w:rsidR="00271ABC" w:rsidRPr="000D096C">
        <w:rPr>
          <w:rStyle w:val="apple-converted-space"/>
          <w:rFonts w:ascii="Times New Roman" w:hAnsi="Times New Roman" w:cs="Times New Roman"/>
          <w:sz w:val="24"/>
          <w:szCs w:val="24"/>
        </w:rPr>
        <w:t>togenetického hlediska zásadní</w:t>
      </w:r>
      <w:r w:rsidRPr="000D096C">
        <w:rPr>
          <w:rStyle w:val="apple-converted-space"/>
          <w:rFonts w:ascii="Times New Roman" w:hAnsi="Times New Roman" w:cs="Times New Roman"/>
          <w:sz w:val="24"/>
          <w:szCs w:val="24"/>
        </w:rPr>
        <w:t xml:space="preserve"> roli akcelerace </w:t>
      </w:r>
      <w:r w:rsidR="00917BD1" w:rsidRPr="000D096C">
        <w:rPr>
          <w:rStyle w:val="apple-converted-space"/>
          <w:rFonts w:ascii="Times New Roman" w:hAnsi="Times New Roman" w:cs="Times New Roman"/>
          <w:sz w:val="24"/>
          <w:szCs w:val="24"/>
        </w:rPr>
        <w:t xml:space="preserve">tepenných </w:t>
      </w:r>
      <w:r w:rsidRPr="000D096C">
        <w:rPr>
          <w:rStyle w:val="apple-converted-space"/>
          <w:rFonts w:ascii="Times New Roman" w:hAnsi="Times New Roman" w:cs="Times New Roman"/>
          <w:sz w:val="24"/>
          <w:szCs w:val="24"/>
        </w:rPr>
        <w:t>ater</w:t>
      </w:r>
      <w:r w:rsidR="00917BD1" w:rsidRPr="000D096C">
        <w:rPr>
          <w:rStyle w:val="apple-converted-space"/>
          <w:rFonts w:ascii="Times New Roman" w:hAnsi="Times New Roman" w:cs="Times New Roman"/>
          <w:sz w:val="24"/>
          <w:szCs w:val="24"/>
        </w:rPr>
        <w:t xml:space="preserve">osklerotických změn </w:t>
      </w:r>
      <w:r w:rsidR="00C76B18">
        <w:rPr>
          <w:rFonts w:ascii="Times New Roman" w:hAnsi="Times New Roman" w:cs="Times New Roman"/>
          <w:sz w:val="24"/>
          <w:szCs w:val="24"/>
        </w:rPr>
        <w:t>[72</w:t>
      </w:r>
      <w:r w:rsidR="00917BD1" w:rsidRPr="000D096C">
        <w:rPr>
          <w:rFonts w:ascii="Times New Roman" w:hAnsi="Times New Roman" w:cs="Times New Roman"/>
          <w:sz w:val="24"/>
          <w:szCs w:val="24"/>
        </w:rPr>
        <w:t>]</w:t>
      </w:r>
      <w:r w:rsidRPr="000D096C">
        <w:rPr>
          <w:rStyle w:val="apple-converted-space"/>
          <w:rFonts w:ascii="Times New Roman" w:hAnsi="Times New Roman" w:cs="Times New Roman"/>
          <w:sz w:val="24"/>
          <w:szCs w:val="24"/>
        </w:rPr>
        <w:t xml:space="preserve">. Dnes však již máme spolehlivé důkazy o akceleraci tohoto degenerativního procesu </w:t>
      </w:r>
      <w:r w:rsidR="00917BD1" w:rsidRPr="000D096C">
        <w:rPr>
          <w:rStyle w:val="apple-converted-space"/>
          <w:rFonts w:ascii="Times New Roman" w:hAnsi="Times New Roman" w:cs="Times New Roman"/>
          <w:sz w:val="24"/>
          <w:szCs w:val="24"/>
        </w:rPr>
        <w:t xml:space="preserve">již ve stádiu prediabetu, a to </w:t>
      </w:r>
      <w:r w:rsidRPr="000D096C">
        <w:rPr>
          <w:rStyle w:val="apple-converted-space"/>
          <w:rFonts w:ascii="Times New Roman" w:hAnsi="Times New Roman" w:cs="Times New Roman"/>
          <w:sz w:val="24"/>
          <w:szCs w:val="24"/>
        </w:rPr>
        <w:t>jak na molekulární</w:t>
      </w:r>
      <w:r w:rsidR="00917BD1" w:rsidRPr="000D096C">
        <w:rPr>
          <w:rStyle w:val="apple-converted-space"/>
          <w:rFonts w:ascii="Times New Roman" w:hAnsi="Times New Roman" w:cs="Times New Roman"/>
          <w:sz w:val="24"/>
          <w:szCs w:val="24"/>
        </w:rPr>
        <w:t xml:space="preserve"> </w:t>
      </w:r>
      <w:r w:rsidR="00917BD1" w:rsidRPr="000D096C">
        <w:rPr>
          <w:rFonts w:ascii="Times New Roman" w:hAnsi="Times New Roman" w:cs="Times New Roman"/>
          <w:sz w:val="24"/>
          <w:szCs w:val="24"/>
        </w:rPr>
        <w:t>[7</w:t>
      </w:r>
      <w:r w:rsidR="00C76B18">
        <w:rPr>
          <w:rFonts w:ascii="Times New Roman" w:hAnsi="Times New Roman" w:cs="Times New Roman"/>
          <w:sz w:val="24"/>
          <w:szCs w:val="24"/>
        </w:rPr>
        <w:t>3</w:t>
      </w:r>
      <w:r w:rsidR="00917BD1" w:rsidRPr="000D096C">
        <w:rPr>
          <w:rFonts w:ascii="Times New Roman" w:hAnsi="Times New Roman" w:cs="Times New Roman"/>
          <w:sz w:val="24"/>
          <w:szCs w:val="24"/>
        </w:rPr>
        <w:t>]</w:t>
      </w:r>
      <w:r w:rsidRPr="000D096C">
        <w:rPr>
          <w:rStyle w:val="apple-converted-space"/>
          <w:rFonts w:ascii="Times New Roman" w:hAnsi="Times New Roman" w:cs="Times New Roman"/>
          <w:sz w:val="24"/>
          <w:szCs w:val="24"/>
        </w:rPr>
        <w:t xml:space="preserve">, tak i na klinické úrovni </w:t>
      </w:r>
      <w:r w:rsidR="00917BD1" w:rsidRPr="000D096C">
        <w:rPr>
          <w:rFonts w:ascii="Times New Roman" w:hAnsi="Times New Roman" w:cs="Times New Roman"/>
          <w:sz w:val="24"/>
          <w:szCs w:val="24"/>
        </w:rPr>
        <w:t>[7</w:t>
      </w:r>
      <w:r w:rsidR="00C76B18">
        <w:rPr>
          <w:rFonts w:ascii="Times New Roman" w:hAnsi="Times New Roman" w:cs="Times New Roman"/>
          <w:sz w:val="24"/>
          <w:szCs w:val="24"/>
        </w:rPr>
        <w:t>4</w:t>
      </w:r>
      <w:r w:rsidR="00917BD1" w:rsidRPr="000D096C">
        <w:rPr>
          <w:rFonts w:ascii="Times New Roman" w:hAnsi="Times New Roman" w:cs="Times New Roman"/>
          <w:sz w:val="24"/>
          <w:szCs w:val="24"/>
        </w:rPr>
        <w:t>]</w:t>
      </w:r>
      <w:r w:rsidRPr="000D096C">
        <w:rPr>
          <w:rStyle w:val="apple-converted-space"/>
          <w:rFonts w:ascii="Times New Roman" w:hAnsi="Times New Roman" w:cs="Times New Roman"/>
          <w:sz w:val="24"/>
          <w:szCs w:val="24"/>
        </w:rPr>
        <w:t xml:space="preserve">. K těmto degenerativním procesům pak v reálné praxi značně přispívá současná přítomnost více rizikových faktorů s navzájem potenciáčním efektem, velmi často </w:t>
      </w:r>
      <w:r w:rsidR="00917BD1" w:rsidRPr="000D096C">
        <w:rPr>
          <w:rStyle w:val="apple-converted-space"/>
          <w:rFonts w:ascii="Times New Roman" w:hAnsi="Times New Roman" w:cs="Times New Roman"/>
          <w:sz w:val="24"/>
          <w:szCs w:val="24"/>
        </w:rPr>
        <w:t xml:space="preserve">sdružených v rámci MetS </w:t>
      </w:r>
      <w:r w:rsidR="00917BD1" w:rsidRPr="000D096C">
        <w:rPr>
          <w:rFonts w:ascii="Times New Roman" w:hAnsi="Times New Roman" w:cs="Times New Roman"/>
          <w:sz w:val="24"/>
          <w:szCs w:val="24"/>
        </w:rPr>
        <w:t>[7</w:t>
      </w:r>
      <w:r w:rsidR="00C76B18">
        <w:rPr>
          <w:rFonts w:ascii="Times New Roman" w:hAnsi="Times New Roman" w:cs="Times New Roman"/>
          <w:sz w:val="24"/>
          <w:szCs w:val="24"/>
        </w:rPr>
        <w:t>5</w:t>
      </w:r>
      <w:r w:rsidR="00917BD1" w:rsidRPr="000D096C">
        <w:rPr>
          <w:rFonts w:ascii="Times New Roman" w:hAnsi="Times New Roman" w:cs="Times New Roman"/>
          <w:sz w:val="24"/>
          <w:szCs w:val="24"/>
        </w:rPr>
        <w:t>]</w:t>
      </w:r>
      <w:r w:rsidR="00917BD1" w:rsidRPr="000D096C">
        <w:rPr>
          <w:rStyle w:val="apple-converted-space"/>
          <w:rFonts w:ascii="Times New Roman" w:hAnsi="Times New Roman" w:cs="Times New Roman"/>
          <w:sz w:val="24"/>
          <w:szCs w:val="24"/>
        </w:rPr>
        <w:t>.</w:t>
      </w:r>
    </w:p>
    <w:p w:rsidR="00917BD1" w:rsidRPr="000D096C" w:rsidRDefault="00917BD1" w:rsidP="004567D5">
      <w:pPr>
        <w:pStyle w:val="Bezmezer"/>
        <w:spacing w:before="160" w:after="160" w:line="360" w:lineRule="auto"/>
        <w:jc w:val="both"/>
        <w:rPr>
          <w:rStyle w:val="apple-converted-space"/>
          <w:rFonts w:ascii="Times New Roman" w:hAnsi="Times New Roman" w:cs="Times New Roman"/>
          <w:b/>
          <w:sz w:val="24"/>
          <w:szCs w:val="24"/>
        </w:rPr>
      </w:pPr>
      <w:r w:rsidRPr="000D096C">
        <w:rPr>
          <w:rStyle w:val="apple-converted-space"/>
          <w:rFonts w:ascii="Times New Roman" w:hAnsi="Times New Roman" w:cs="Times New Roman"/>
          <w:b/>
          <w:sz w:val="24"/>
          <w:szCs w:val="24"/>
        </w:rPr>
        <w:t>Ischemická choroba srdeční</w:t>
      </w:r>
    </w:p>
    <w:p w:rsidR="00A45198" w:rsidRPr="000D096C" w:rsidRDefault="00A45198" w:rsidP="004567D5">
      <w:pPr>
        <w:pStyle w:val="Bezmezer"/>
        <w:spacing w:line="360" w:lineRule="auto"/>
        <w:ind w:firstLine="708"/>
        <w:jc w:val="both"/>
        <w:rPr>
          <w:rStyle w:val="apple-converted-space"/>
          <w:rFonts w:ascii="Times New Roman" w:hAnsi="Times New Roman" w:cs="Times New Roman"/>
          <w:sz w:val="24"/>
          <w:szCs w:val="24"/>
        </w:rPr>
      </w:pPr>
      <w:r w:rsidRPr="000D096C">
        <w:rPr>
          <w:rStyle w:val="apple-converted-space"/>
          <w:rFonts w:ascii="Times New Roman" w:hAnsi="Times New Roman" w:cs="Times New Roman"/>
          <w:sz w:val="24"/>
          <w:szCs w:val="24"/>
        </w:rPr>
        <w:t>Existují studie prokazující vyšší prevalenci prediabetu u pacientů s</w:t>
      </w:r>
      <w:r w:rsidR="00926A59" w:rsidRPr="000D096C">
        <w:rPr>
          <w:rStyle w:val="apple-converted-space"/>
          <w:rFonts w:ascii="Times New Roman" w:hAnsi="Times New Roman" w:cs="Times New Roman"/>
          <w:sz w:val="24"/>
          <w:szCs w:val="24"/>
        </w:rPr>
        <w:t> ICHS a navíc některé prospektivní práce dokázaly zvýšené riziko ICHS u prediabetiků. Meta-anal</w:t>
      </w:r>
      <w:r w:rsidR="001A63D1">
        <w:rPr>
          <w:rStyle w:val="apple-converted-space"/>
          <w:rFonts w:ascii="Times New Roman" w:hAnsi="Times New Roman" w:cs="Times New Roman"/>
          <w:sz w:val="24"/>
          <w:szCs w:val="24"/>
        </w:rPr>
        <w:t>ý</w:t>
      </w:r>
      <w:r w:rsidR="00926A59" w:rsidRPr="000D096C">
        <w:rPr>
          <w:rStyle w:val="apple-converted-space"/>
          <w:rFonts w:ascii="Times New Roman" w:hAnsi="Times New Roman" w:cs="Times New Roman"/>
          <w:sz w:val="24"/>
          <w:szCs w:val="24"/>
        </w:rPr>
        <w:t xml:space="preserve">za </w:t>
      </w:r>
      <w:r w:rsidR="00684C4B" w:rsidRPr="000D096C">
        <w:rPr>
          <w:rStyle w:val="apple-converted-space"/>
          <w:rFonts w:ascii="Times New Roman" w:hAnsi="Times New Roman" w:cs="Times New Roman"/>
          <w:sz w:val="24"/>
          <w:szCs w:val="24"/>
        </w:rPr>
        <w:t>prospektivních koho</w:t>
      </w:r>
      <w:r w:rsidR="001A63D1">
        <w:rPr>
          <w:rStyle w:val="apple-converted-space"/>
          <w:rFonts w:ascii="Times New Roman" w:hAnsi="Times New Roman" w:cs="Times New Roman"/>
          <w:sz w:val="24"/>
          <w:szCs w:val="24"/>
        </w:rPr>
        <w:t>r</w:t>
      </w:r>
      <w:r w:rsidR="00684C4B" w:rsidRPr="000D096C">
        <w:rPr>
          <w:rStyle w:val="apple-converted-space"/>
          <w:rFonts w:ascii="Times New Roman" w:hAnsi="Times New Roman" w:cs="Times New Roman"/>
          <w:sz w:val="24"/>
          <w:szCs w:val="24"/>
        </w:rPr>
        <w:t>tových studií (n</w:t>
      </w:r>
      <w:r w:rsidR="001A63D1">
        <w:rPr>
          <w:rStyle w:val="apple-converted-space"/>
          <w:rFonts w:ascii="Times New Roman" w:hAnsi="Times New Roman" w:cs="Times New Roman"/>
          <w:sz w:val="24"/>
          <w:szCs w:val="24"/>
        </w:rPr>
        <w:t xml:space="preserve"> </w:t>
      </w:r>
      <w:r w:rsidR="00684C4B" w:rsidRPr="000D096C">
        <w:rPr>
          <w:rStyle w:val="apple-converted-space"/>
          <w:rFonts w:ascii="Times New Roman" w:hAnsi="Times New Roman" w:cs="Times New Roman"/>
          <w:sz w:val="24"/>
          <w:szCs w:val="24"/>
        </w:rPr>
        <w:t>=</w:t>
      </w:r>
      <w:r w:rsidR="001A63D1">
        <w:rPr>
          <w:rStyle w:val="apple-converted-space"/>
          <w:rFonts w:ascii="Times New Roman" w:hAnsi="Times New Roman" w:cs="Times New Roman"/>
          <w:sz w:val="24"/>
          <w:szCs w:val="24"/>
        </w:rPr>
        <w:t xml:space="preserve"> </w:t>
      </w:r>
      <w:r w:rsidR="00684C4B" w:rsidRPr="000D096C">
        <w:rPr>
          <w:rStyle w:val="apple-converted-space"/>
          <w:rFonts w:ascii="Times New Roman" w:hAnsi="Times New Roman" w:cs="Times New Roman"/>
          <w:sz w:val="24"/>
          <w:szCs w:val="24"/>
        </w:rPr>
        <w:t>527</w:t>
      </w:r>
      <w:r w:rsidR="001A63D1">
        <w:rPr>
          <w:rStyle w:val="apple-converted-space"/>
          <w:rFonts w:ascii="Times New Roman" w:hAnsi="Times New Roman" w:cs="Times New Roman"/>
          <w:sz w:val="24"/>
          <w:szCs w:val="24"/>
        </w:rPr>
        <w:t xml:space="preserve"> </w:t>
      </w:r>
      <w:r w:rsidR="00684C4B" w:rsidRPr="000D096C">
        <w:rPr>
          <w:rStyle w:val="apple-converted-space"/>
          <w:rFonts w:ascii="Times New Roman" w:hAnsi="Times New Roman" w:cs="Times New Roman"/>
          <w:sz w:val="24"/>
          <w:szCs w:val="24"/>
        </w:rPr>
        <w:t>021) odhalila zvýšené riziko ICHS u jedinců s IFG definovanou</w:t>
      </w:r>
      <w:r w:rsidR="009A4A0E" w:rsidRPr="000D096C">
        <w:rPr>
          <w:rStyle w:val="apple-converted-space"/>
          <w:rFonts w:ascii="Times New Roman" w:hAnsi="Times New Roman" w:cs="Times New Roman"/>
          <w:sz w:val="24"/>
          <w:szCs w:val="24"/>
        </w:rPr>
        <w:t xml:space="preserve"> </w:t>
      </w:r>
      <w:r w:rsidR="00271ABC" w:rsidRPr="000D096C">
        <w:rPr>
          <w:rStyle w:val="apple-converted-space"/>
          <w:rFonts w:ascii="Times New Roman" w:hAnsi="Times New Roman" w:cs="Times New Roman"/>
          <w:sz w:val="24"/>
          <w:szCs w:val="24"/>
        </w:rPr>
        <w:t>dle ADA, respektive dle WHO kritérií v podobě zvýšeného RR 1,11 (95 % KI 1,02-1,21</w:t>
      </w:r>
      <w:r w:rsidR="006F3A8C" w:rsidRPr="000D096C">
        <w:rPr>
          <w:rStyle w:val="apple-converted-space"/>
          <w:rFonts w:ascii="Times New Roman" w:hAnsi="Times New Roman" w:cs="Times New Roman"/>
          <w:sz w:val="24"/>
          <w:szCs w:val="24"/>
        </w:rPr>
        <w:t>), respektive 1,18 (95 % KI 1,1-1,28)</w:t>
      </w:r>
      <w:r w:rsidR="00271ABC" w:rsidRPr="000D096C">
        <w:rPr>
          <w:rStyle w:val="apple-converted-space"/>
          <w:rFonts w:ascii="Times New Roman" w:hAnsi="Times New Roman" w:cs="Times New Roman"/>
          <w:sz w:val="24"/>
          <w:szCs w:val="24"/>
        </w:rPr>
        <w:t xml:space="preserve"> </w:t>
      </w:r>
      <w:r w:rsidR="009A4A0E" w:rsidRPr="000D096C">
        <w:rPr>
          <w:rFonts w:ascii="Times New Roman" w:hAnsi="Times New Roman" w:cs="Times New Roman"/>
          <w:sz w:val="24"/>
          <w:szCs w:val="24"/>
        </w:rPr>
        <w:t>[7</w:t>
      </w:r>
      <w:r w:rsidR="00C76B18">
        <w:rPr>
          <w:rFonts w:ascii="Times New Roman" w:hAnsi="Times New Roman" w:cs="Times New Roman"/>
          <w:sz w:val="24"/>
          <w:szCs w:val="24"/>
        </w:rPr>
        <w:t>6</w:t>
      </w:r>
      <w:r w:rsidR="009A4A0E" w:rsidRPr="000D096C">
        <w:rPr>
          <w:rFonts w:ascii="Times New Roman" w:hAnsi="Times New Roman" w:cs="Times New Roman"/>
          <w:sz w:val="24"/>
          <w:szCs w:val="24"/>
        </w:rPr>
        <w:t>]</w:t>
      </w:r>
      <w:r w:rsidR="00684C4B" w:rsidRPr="000D096C">
        <w:rPr>
          <w:rStyle w:val="apple-converted-space"/>
          <w:rFonts w:ascii="Times New Roman" w:hAnsi="Times New Roman" w:cs="Times New Roman"/>
          <w:sz w:val="24"/>
          <w:szCs w:val="24"/>
        </w:rPr>
        <w:t xml:space="preserve">. Prediabetes nejenže hraje roli ve zvýšení rizika ICHS, ale mnohé studie </w:t>
      </w:r>
      <w:r w:rsidR="006F3A8C" w:rsidRPr="000D096C">
        <w:rPr>
          <w:rStyle w:val="apple-converted-space"/>
          <w:rFonts w:ascii="Times New Roman" w:hAnsi="Times New Roman" w:cs="Times New Roman"/>
          <w:sz w:val="24"/>
          <w:szCs w:val="24"/>
        </w:rPr>
        <w:t>též potvrdil</w:t>
      </w:r>
      <w:r w:rsidR="001A63D1">
        <w:rPr>
          <w:rStyle w:val="apple-converted-space"/>
          <w:rFonts w:ascii="Times New Roman" w:hAnsi="Times New Roman" w:cs="Times New Roman"/>
          <w:sz w:val="24"/>
          <w:szCs w:val="24"/>
        </w:rPr>
        <w:t>y</w:t>
      </w:r>
      <w:r w:rsidR="006F3A8C" w:rsidRPr="000D096C">
        <w:rPr>
          <w:rStyle w:val="apple-converted-space"/>
          <w:rFonts w:ascii="Times New Roman" w:hAnsi="Times New Roman" w:cs="Times New Roman"/>
          <w:sz w:val="24"/>
          <w:szCs w:val="24"/>
        </w:rPr>
        <w:t xml:space="preserve"> jeho negativní vliv na prognózu</w:t>
      </w:r>
      <w:r w:rsidR="001A63D1">
        <w:rPr>
          <w:rStyle w:val="apple-converted-space"/>
          <w:rFonts w:ascii="Times New Roman" w:hAnsi="Times New Roman" w:cs="Times New Roman"/>
          <w:sz w:val="24"/>
          <w:szCs w:val="24"/>
        </w:rPr>
        <w:t xml:space="preserve"> ICHS (četnost recidiv a hladinu</w:t>
      </w:r>
      <w:r w:rsidR="009A4A0E" w:rsidRPr="000D096C">
        <w:rPr>
          <w:rStyle w:val="apple-converted-space"/>
          <w:rFonts w:ascii="Times New Roman" w:hAnsi="Times New Roman" w:cs="Times New Roman"/>
          <w:sz w:val="24"/>
          <w:szCs w:val="24"/>
        </w:rPr>
        <w:t xml:space="preserve"> mortality) ve srov</w:t>
      </w:r>
      <w:r w:rsidR="006F3A8C" w:rsidRPr="000D096C">
        <w:rPr>
          <w:rStyle w:val="apple-converted-space"/>
          <w:rFonts w:ascii="Times New Roman" w:hAnsi="Times New Roman" w:cs="Times New Roman"/>
          <w:sz w:val="24"/>
          <w:szCs w:val="24"/>
        </w:rPr>
        <w:t xml:space="preserve">nání s normoglykemickými jedinci </w:t>
      </w:r>
      <w:r w:rsidR="009A4A0E" w:rsidRPr="000D096C">
        <w:rPr>
          <w:rFonts w:ascii="Times New Roman" w:hAnsi="Times New Roman" w:cs="Times New Roman"/>
          <w:sz w:val="24"/>
          <w:szCs w:val="24"/>
        </w:rPr>
        <w:t>[7</w:t>
      </w:r>
      <w:r w:rsidR="00C76B18">
        <w:rPr>
          <w:rFonts w:ascii="Times New Roman" w:hAnsi="Times New Roman" w:cs="Times New Roman"/>
          <w:sz w:val="24"/>
          <w:szCs w:val="24"/>
        </w:rPr>
        <w:t>7</w:t>
      </w:r>
      <w:r w:rsidR="009A4A0E" w:rsidRPr="000D096C">
        <w:rPr>
          <w:rFonts w:ascii="Times New Roman" w:hAnsi="Times New Roman" w:cs="Times New Roman"/>
          <w:sz w:val="24"/>
          <w:szCs w:val="24"/>
        </w:rPr>
        <w:t>]</w:t>
      </w:r>
      <w:r w:rsidR="009A4A0E" w:rsidRPr="000D096C">
        <w:rPr>
          <w:rStyle w:val="apple-converted-space"/>
          <w:rFonts w:ascii="Times New Roman" w:hAnsi="Times New Roman" w:cs="Times New Roman"/>
          <w:sz w:val="24"/>
          <w:szCs w:val="24"/>
        </w:rPr>
        <w:t>.</w:t>
      </w:r>
    </w:p>
    <w:p w:rsidR="009A4A0E" w:rsidRPr="000D096C" w:rsidRDefault="009A4A0E" w:rsidP="004567D5">
      <w:pPr>
        <w:pStyle w:val="Bezmezer"/>
        <w:spacing w:before="160" w:after="160" w:line="360" w:lineRule="auto"/>
        <w:jc w:val="both"/>
        <w:rPr>
          <w:rFonts w:ascii="Times New Roman" w:hAnsi="Times New Roman" w:cs="Times New Roman"/>
          <w:b/>
          <w:sz w:val="24"/>
          <w:szCs w:val="24"/>
        </w:rPr>
      </w:pPr>
      <w:r w:rsidRPr="000D096C">
        <w:rPr>
          <w:rStyle w:val="apple-converted-space"/>
          <w:rFonts w:ascii="Times New Roman" w:hAnsi="Times New Roman" w:cs="Times New Roman"/>
          <w:b/>
          <w:sz w:val="24"/>
          <w:szCs w:val="24"/>
        </w:rPr>
        <w:t>Cévní mozkové příhody</w:t>
      </w:r>
    </w:p>
    <w:p w:rsidR="00A45198" w:rsidRPr="000D096C" w:rsidRDefault="00A45198"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Prevalence prediabetu u pacientů s cévní mozkovou příhodou (CMP) nebo tranzitorní ischemickou atakou je v akutní fázi průměrně 37 %, s</w:t>
      </w:r>
      <w:r w:rsidR="00717A8E" w:rsidRPr="000D096C">
        <w:rPr>
          <w:rFonts w:ascii="Times New Roman" w:hAnsi="Times New Roman" w:cs="Times New Roman"/>
          <w:sz w:val="24"/>
          <w:szCs w:val="24"/>
        </w:rPr>
        <w:t> </w:t>
      </w:r>
      <w:r w:rsidRPr="000D096C">
        <w:rPr>
          <w:rFonts w:ascii="Times New Roman" w:hAnsi="Times New Roman" w:cs="Times New Roman"/>
          <w:sz w:val="24"/>
          <w:szCs w:val="24"/>
        </w:rPr>
        <w:t>nejnižší</w:t>
      </w:r>
      <w:r w:rsidR="00717A8E" w:rsidRPr="000D096C">
        <w:rPr>
          <w:rFonts w:ascii="Times New Roman" w:hAnsi="Times New Roman" w:cs="Times New Roman"/>
          <w:sz w:val="24"/>
          <w:szCs w:val="24"/>
        </w:rPr>
        <w:t xml:space="preserve"> reportovanou</w:t>
      </w:r>
      <w:r w:rsidRPr="000D096C">
        <w:rPr>
          <w:rFonts w:ascii="Times New Roman" w:hAnsi="Times New Roman" w:cs="Times New Roman"/>
          <w:sz w:val="24"/>
          <w:szCs w:val="24"/>
        </w:rPr>
        <w:t xml:space="preserve"> hodnotou 29 % z Číny a nejvyšší 53 % z USA, což je opět zjevně více než je prevalence prediabetu v běžné popu</w:t>
      </w:r>
      <w:r w:rsidR="00C76B18">
        <w:rPr>
          <w:rFonts w:ascii="Times New Roman" w:hAnsi="Times New Roman" w:cs="Times New Roman"/>
          <w:sz w:val="24"/>
          <w:szCs w:val="24"/>
        </w:rPr>
        <w:t>laci [48</w:t>
      </w:r>
      <w:r w:rsidR="007A6A21" w:rsidRPr="000D096C">
        <w:rPr>
          <w:rFonts w:ascii="Times New Roman" w:hAnsi="Times New Roman" w:cs="Times New Roman"/>
          <w:sz w:val="24"/>
          <w:szCs w:val="24"/>
        </w:rPr>
        <w:t xml:space="preserve">]. </w:t>
      </w:r>
      <w:r w:rsidRPr="000D096C">
        <w:rPr>
          <w:rFonts w:ascii="Times New Roman" w:hAnsi="Times New Roman" w:cs="Times New Roman"/>
          <w:sz w:val="24"/>
          <w:szCs w:val="24"/>
        </w:rPr>
        <w:t>V rozsáhlé meta-an</w:t>
      </w:r>
      <w:r w:rsidR="00717A8E" w:rsidRPr="000D096C">
        <w:rPr>
          <w:rFonts w:ascii="Times New Roman" w:hAnsi="Times New Roman" w:cs="Times New Roman"/>
          <w:sz w:val="24"/>
          <w:szCs w:val="24"/>
        </w:rPr>
        <w:t>alýze kohortových studií (n</w:t>
      </w:r>
      <w:r w:rsidR="001A63D1">
        <w:rPr>
          <w:rFonts w:ascii="Times New Roman" w:hAnsi="Times New Roman" w:cs="Times New Roman"/>
          <w:sz w:val="24"/>
          <w:szCs w:val="24"/>
        </w:rPr>
        <w:t xml:space="preserve"> </w:t>
      </w:r>
      <w:r w:rsidR="00717A8E" w:rsidRPr="000D096C">
        <w:rPr>
          <w:rFonts w:ascii="Times New Roman" w:hAnsi="Times New Roman" w:cs="Times New Roman"/>
          <w:sz w:val="24"/>
          <w:szCs w:val="24"/>
        </w:rPr>
        <w:t>=</w:t>
      </w:r>
      <w:r w:rsidR="001A63D1">
        <w:rPr>
          <w:rFonts w:ascii="Times New Roman" w:hAnsi="Times New Roman" w:cs="Times New Roman"/>
          <w:sz w:val="24"/>
          <w:szCs w:val="24"/>
        </w:rPr>
        <w:t xml:space="preserve"> </w:t>
      </w:r>
      <w:r w:rsidR="00717A8E" w:rsidRPr="000D096C">
        <w:rPr>
          <w:rFonts w:ascii="Times New Roman" w:hAnsi="Times New Roman" w:cs="Times New Roman"/>
          <w:sz w:val="24"/>
          <w:szCs w:val="24"/>
        </w:rPr>
        <w:t>760</w:t>
      </w:r>
      <w:r w:rsidR="001A63D1">
        <w:rPr>
          <w:rFonts w:ascii="Times New Roman" w:hAnsi="Times New Roman" w:cs="Times New Roman"/>
          <w:sz w:val="24"/>
          <w:szCs w:val="24"/>
        </w:rPr>
        <w:t xml:space="preserve"> </w:t>
      </w:r>
      <w:r w:rsidRPr="000D096C">
        <w:rPr>
          <w:rFonts w:ascii="Times New Roman" w:hAnsi="Times New Roman" w:cs="Times New Roman"/>
          <w:sz w:val="24"/>
          <w:szCs w:val="24"/>
        </w:rPr>
        <w:t xml:space="preserve">925) byla po adjustaci na běžné rizikové faktory zjištěna nezávislá asociace mezi IGT, případně kombinací IFG </w:t>
      </w:r>
      <w:r w:rsidR="00717A8E" w:rsidRPr="000D096C">
        <w:rPr>
          <w:rFonts w:ascii="Times New Roman" w:hAnsi="Times New Roman" w:cs="Times New Roman"/>
          <w:sz w:val="24"/>
          <w:szCs w:val="24"/>
        </w:rPr>
        <w:t xml:space="preserve">(ADA kritéria) </w:t>
      </w:r>
      <w:r w:rsidR="001A63D1">
        <w:rPr>
          <w:rFonts w:ascii="Times New Roman" w:hAnsi="Times New Roman" w:cs="Times New Roman"/>
          <w:sz w:val="24"/>
          <w:szCs w:val="24"/>
        </w:rPr>
        <w:t>a IGT</w:t>
      </w:r>
      <w:r w:rsidRPr="000D096C">
        <w:rPr>
          <w:rFonts w:ascii="Times New Roman" w:hAnsi="Times New Roman" w:cs="Times New Roman"/>
          <w:sz w:val="24"/>
          <w:szCs w:val="24"/>
        </w:rPr>
        <w:t xml:space="preserve"> a zvýšeným rizikem budoucí CMP (RR 1,2,</w:t>
      </w:r>
      <w:r w:rsidR="00717A8E" w:rsidRPr="000D096C">
        <w:rPr>
          <w:rFonts w:ascii="Times New Roman" w:hAnsi="Times New Roman" w:cs="Times New Roman"/>
          <w:sz w:val="24"/>
          <w:szCs w:val="24"/>
        </w:rPr>
        <w:t xml:space="preserve"> 95 % KI</w:t>
      </w:r>
      <w:r w:rsidRPr="000D096C">
        <w:rPr>
          <w:rFonts w:ascii="Times New Roman" w:hAnsi="Times New Roman" w:cs="Times New Roman"/>
          <w:sz w:val="24"/>
          <w:szCs w:val="24"/>
        </w:rPr>
        <w:t xml:space="preserve"> 1,07 – 1,35)</w:t>
      </w:r>
      <w:r w:rsidR="007A6A21" w:rsidRPr="000D096C">
        <w:rPr>
          <w:rFonts w:ascii="Times New Roman" w:hAnsi="Times New Roman" w:cs="Times New Roman"/>
          <w:sz w:val="24"/>
          <w:szCs w:val="24"/>
        </w:rPr>
        <w:t xml:space="preserve"> [7</w:t>
      </w:r>
      <w:r w:rsidR="00C76B18">
        <w:rPr>
          <w:rFonts w:ascii="Times New Roman" w:hAnsi="Times New Roman" w:cs="Times New Roman"/>
          <w:sz w:val="24"/>
          <w:szCs w:val="24"/>
        </w:rPr>
        <w:t>8</w:t>
      </w:r>
      <w:r w:rsidR="007A6A21" w:rsidRPr="000D096C">
        <w:rPr>
          <w:rFonts w:ascii="Times New Roman" w:hAnsi="Times New Roman" w:cs="Times New Roman"/>
          <w:sz w:val="24"/>
          <w:szCs w:val="24"/>
        </w:rPr>
        <w:t>].</w:t>
      </w:r>
      <w:r w:rsidRPr="000D096C">
        <w:rPr>
          <w:rFonts w:ascii="Times New Roman" w:hAnsi="Times New Roman" w:cs="Times New Roman"/>
          <w:sz w:val="24"/>
          <w:szCs w:val="24"/>
        </w:rPr>
        <w:t xml:space="preserve"> Prediabetes, zejména přítomnost IGT je většinou studií považován za nezávislý rizikový faktor vzniku CMP a za silný prediktor její </w:t>
      </w:r>
      <w:r w:rsidR="00717A8E" w:rsidRPr="000D096C">
        <w:rPr>
          <w:rFonts w:ascii="Times New Roman" w:hAnsi="Times New Roman" w:cs="Times New Roman"/>
          <w:sz w:val="24"/>
          <w:szCs w:val="24"/>
        </w:rPr>
        <w:t xml:space="preserve">zvýšené </w:t>
      </w:r>
      <w:r w:rsidRPr="000D096C">
        <w:rPr>
          <w:rFonts w:ascii="Times New Roman" w:hAnsi="Times New Roman" w:cs="Times New Roman"/>
          <w:sz w:val="24"/>
          <w:szCs w:val="24"/>
        </w:rPr>
        <w:t>recidivity</w:t>
      </w:r>
      <w:r w:rsidR="007A6A21" w:rsidRPr="000D096C">
        <w:rPr>
          <w:rFonts w:ascii="Times New Roman" w:hAnsi="Times New Roman" w:cs="Times New Roman"/>
          <w:sz w:val="24"/>
          <w:szCs w:val="24"/>
        </w:rPr>
        <w:t xml:space="preserve"> [4</w:t>
      </w:r>
      <w:r w:rsidR="00C76B18">
        <w:rPr>
          <w:rFonts w:ascii="Times New Roman" w:hAnsi="Times New Roman" w:cs="Times New Roman"/>
          <w:sz w:val="24"/>
          <w:szCs w:val="24"/>
        </w:rPr>
        <w:t>8</w:t>
      </w:r>
      <w:r w:rsidR="007A6A21" w:rsidRPr="000D096C">
        <w:rPr>
          <w:rFonts w:ascii="Times New Roman" w:hAnsi="Times New Roman" w:cs="Times New Roman"/>
          <w:sz w:val="24"/>
          <w:szCs w:val="24"/>
        </w:rPr>
        <w:t>]</w:t>
      </w:r>
      <w:r w:rsidRPr="000D096C">
        <w:rPr>
          <w:rFonts w:ascii="Times New Roman" w:hAnsi="Times New Roman" w:cs="Times New Roman"/>
          <w:sz w:val="24"/>
          <w:szCs w:val="24"/>
        </w:rPr>
        <w:t>. Vedle zvýšené</w:t>
      </w:r>
      <w:r w:rsidR="00717A8E" w:rsidRPr="000D096C">
        <w:rPr>
          <w:rFonts w:ascii="Times New Roman" w:hAnsi="Times New Roman" w:cs="Times New Roman"/>
          <w:sz w:val="24"/>
          <w:szCs w:val="24"/>
        </w:rPr>
        <w:t>ho rizika vzniku CMP u prediabetiků</w:t>
      </w:r>
      <w:r w:rsidRPr="000D096C">
        <w:rPr>
          <w:rFonts w:ascii="Times New Roman" w:hAnsi="Times New Roman" w:cs="Times New Roman"/>
          <w:sz w:val="24"/>
          <w:szCs w:val="24"/>
        </w:rPr>
        <w:t xml:space="preserve"> známe, stejně jako u</w:t>
      </w:r>
      <w:r w:rsidR="00762125">
        <w:rPr>
          <w:rFonts w:ascii="Times New Roman" w:hAnsi="Times New Roman" w:cs="Times New Roman"/>
          <w:sz w:val="24"/>
          <w:szCs w:val="24"/>
        </w:rPr>
        <w:t> </w:t>
      </w:r>
      <w:r w:rsidR="00717A8E" w:rsidRPr="000D096C">
        <w:rPr>
          <w:rFonts w:ascii="Times New Roman" w:hAnsi="Times New Roman" w:cs="Times New Roman"/>
          <w:sz w:val="24"/>
          <w:szCs w:val="24"/>
        </w:rPr>
        <w:t>ICHS</w:t>
      </w:r>
      <w:r w:rsidRPr="000D096C">
        <w:rPr>
          <w:rFonts w:ascii="Times New Roman" w:hAnsi="Times New Roman" w:cs="Times New Roman"/>
          <w:sz w:val="24"/>
          <w:szCs w:val="24"/>
        </w:rPr>
        <w:t xml:space="preserve">, také jeho vliv na horší prognózu </w:t>
      </w:r>
      <w:r w:rsidR="00870F2E" w:rsidRPr="000D096C">
        <w:rPr>
          <w:rFonts w:ascii="Times New Roman" w:hAnsi="Times New Roman" w:cs="Times New Roman"/>
          <w:sz w:val="24"/>
          <w:szCs w:val="24"/>
        </w:rPr>
        <w:t>(přetrvávající neurologický</w:t>
      </w:r>
      <w:r w:rsidR="00717A8E" w:rsidRPr="000D096C">
        <w:rPr>
          <w:rFonts w:ascii="Times New Roman" w:hAnsi="Times New Roman" w:cs="Times New Roman"/>
          <w:sz w:val="24"/>
          <w:szCs w:val="24"/>
        </w:rPr>
        <w:t xml:space="preserve"> deficit) </w:t>
      </w:r>
      <w:r w:rsidRPr="000D096C">
        <w:rPr>
          <w:rFonts w:ascii="Times New Roman" w:hAnsi="Times New Roman" w:cs="Times New Roman"/>
          <w:sz w:val="24"/>
          <w:szCs w:val="24"/>
        </w:rPr>
        <w:t>pacientů po prodělané příhodě</w:t>
      </w:r>
      <w:r w:rsidR="007A6A21" w:rsidRPr="000D096C">
        <w:rPr>
          <w:rFonts w:ascii="Times New Roman" w:hAnsi="Times New Roman" w:cs="Times New Roman"/>
          <w:sz w:val="24"/>
          <w:szCs w:val="24"/>
        </w:rPr>
        <w:t xml:space="preserve"> [7</w:t>
      </w:r>
      <w:r w:rsidR="00C76B18">
        <w:rPr>
          <w:rFonts w:ascii="Times New Roman" w:hAnsi="Times New Roman" w:cs="Times New Roman"/>
          <w:sz w:val="24"/>
          <w:szCs w:val="24"/>
        </w:rPr>
        <w:t>9</w:t>
      </w:r>
      <w:r w:rsidR="007A6A21" w:rsidRPr="000D096C">
        <w:rPr>
          <w:rFonts w:ascii="Times New Roman" w:hAnsi="Times New Roman" w:cs="Times New Roman"/>
          <w:sz w:val="24"/>
          <w:szCs w:val="24"/>
        </w:rPr>
        <w:t>]</w:t>
      </w:r>
      <w:r w:rsidRPr="000D096C">
        <w:rPr>
          <w:rFonts w:ascii="Times New Roman" w:hAnsi="Times New Roman" w:cs="Times New Roman"/>
          <w:sz w:val="24"/>
          <w:szCs w:val="24"/>
        </w:rPr>
        <w:t>.</w:t>
      </w:r>
    </w:p>
    <w:p w:rsidR="005F029D" w:rsidRPr="000D096C" w:rsidRDefault="005F029D" w:rsidP="00C76B18">
      <w:pPr>
        <w:pStyle w:val="Nadpis5"/>
      </w:pPr>
      <w:r w:rsidRPr="000D096C">
        <w:lastRenderedPageBreak/>
        <w:t>Mikrovaskulární komplikace</w:t>
      </w:r>
    </w:p>
    <w:p w:rsidR="00C11C4E" w:rsidRDefault="00A45198" w:rsidP="004567D5">
      <w:pPr>
        <w:pStyle w:val="FormtovanvHTML"/>
        <w:shd w:val="clear" w:color="auto" w:fill="FFFFFF"/>
        <w:spacing w:line="360" w:lineRule="auto"/>
        <w:jc w:val="both"/>
        <w:rPr>
          <w:rFonts w:ascii="Times New Roman" w:hAnsi="Times New Roman" w:cs="Times New Roman"/>
          <w:sz w:val="24"/>
          <w:szCs w:val="24"/>
        </w:rPr>
      </w:pPr>
      <w:r w:rsidRPr="000D096C">
        <w:rPr>
          <w:rFonts w:ascii="Times New Roman" w:hAnsi="Times New Roman" w:cs="Times New Roman"/>
          <w:sz w:val="22"/>
          <w:szCs w:val="22"/>
        </w:rPr>
        <w:tab/>
      </w:r>
      <w:r w:rsidRPr="000D096C">
        <w:rPr>
          <w:rFonts w:ascii="Times New Roman" w:hAnsi="Times New Roman" w:cs="Times New Roman"/>
          <w:sz w:val="24"/>
          <w:szCs w:val="24"/>
        </w:rPr>
        <w:t>Vedle nesporného podílu prediabetu na</w:t>
      </w:r>
      <w:r w:rsidR="005F029D" w:rsidRPr="000D096C">
        <w:rPr>
          <w:rFonts w:ascii="Times New Roman" w:hAnsi="Times New Roman" w:cs="Times New Roman"/>
          <w:sz w:val="24"/>
          <w:szCs w:val="24"/>
        </w:rPr>
        <w:t xml:space="preserve"> vzniku</w:t>
      </w:r>
      <w:r w:rsidRPr="000D096C">
        <w:rPr>
          <w:rFonts w:ascii="Times New Roman" w:hAnsi="Times New Roman" w:cs="Times New Roman"/>
          <w:sz w:val="24"/>
          <w:szCs w:val="24"/>
        </w:rPr>
        <w:t xml:space="preserve"> makrovaskulární</w:t>
      </w:r>
      <w:r w:rsidR="000822CE" w:rsidRPr="000D096C">
        <w:rPr>
          <w:rFonts w:ascii="Times New Roman" w:hAnsi="Times New Roman" w:cs="Times New Roman"/>
          <w:sz w:val="24"/>
          <w:szCs w:val="24"/>
        </w:rPr>
        <w:t>ch komplikací existují i důkazy</w:t>
      </w:r>
      <w:r w:rsidRPr="000D096C">
        <w:rPr>
          <w:rFonts w:ascii="Times New Roman" w:hAnsi="Times New Roman" w:cs="Times New Roman"/>
          <w:sz w:val="24"/>
          <w:szCs w:val="24"/>
        </w:rPr>
        <w:t xml:space="preserve"> o podílu prediabetu na rozvoji dlouhodobých mikrovaskulárních změn dobře</w:t>
      </w:r>
      <w:r w:rsidR="001A63D1">
        <w:rPr>
          <w:rFonts w:ascii="Times New Roman" w:hAnsi="Times New Roman" w:cs="Times New Roman"/>
          <w:sz w:val="24"/>
          <w:szCs w:val="24"/>
        </w:rPr>
        <w:t>,</w:t>
      </w:r>
      <w:r w:rsidRPr="000D096C">
        <w:rPr>
          <w:rFonts w:ascii="Times New Roman" w:hAnsi="Times New Roman" w:cs="Times New Roman"/>
          <w:sz w:val="24"/>
          <w:szCs w:val="24"/>
        </w:rPr>
        <w:t xml:space="preserve"> známých u jedinců s rozvinutým DM – retinopatie, nefropatie a neuropatie</w:t>
      </w:r>
      <w:r w:rsidR="005F029D" w:rsidRPr="000D096C">
        <w:rPr>
          <w:rFonts w:ascii="Times New Roman" w:hAnsi="Times New Roman" w:cs="Times New Roman"/>
          <w:sz w:val="24"/>
          <w:szCs w:val="24"/>
        </w:rPr>
        <w:t xml:space="preserve"> [5</w:t>
      </w:r>
      <w:r w:rsidR="00C76B18">
        <w:rPr>
          <w:rFonts w:ascii="Times New Roman" w:hAnsi="Times New Roman" w:cs="Times New Roman"/>
          <w:sz w:val="24"/>
          <w:szCs w:val="24"/>
        </w:rPr>
        <w:t>5</w:t>
      </w:r>
      <w:r w:rsidR="005F029D" w:rsidRPr="000D096C">
        <w:rPr>
          <w:rFonts w:ascii="Times New Roman" w:hAnsi="Times New Roman" w:cs="Times New Roman"/>
          <w:sz w:val="24"/>
          <w:szCs w:val="24"/>
        </w:rPr>
        <w:t>]</w:t>
      </w:r>
      <w:r w:rsidR="009B21F3" w:rsidRPr="000D096C">
        <w:rPr>
          <w:rFonts w:ascii="Times New Roman" w:hAnsi="Times New Roman" w:cs="Times New Roman"/>
          <w:sz w:val="24"/>
          <w:szCs w:val="24"/>
        </w:rPr>
        <w:t>.</w:t>
      </w:r>
    </w:p>
    <w:p w:rsidR="009B21F3" w:rsidRPr="000D096C" w:rsidRDefault="009B21F3" w:rsidP="004567D5">
      <w:pPr>
        <w:pStyle w:val="FormtovanvHTML"/>
        <w:shd w:val="clear" w:color="auto" w:fill="FFFFFF"/>
        <w:spacing w:before="160" w:after="160"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Retinopatie</w:t>
      </w:r>
    </w:p>
    <w:p w:rsidR="00AC1310" w:rsidRPr="000D096C" w:rsidRDefault="009B21F3" w:rsidP="004567D5">
      <w:pPr>
        <w:pStyle w:val="FormtovanvHTML"/>
        <w:shd w:val="clear" w:color="auto" w:fill="FFFFFF"/>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Řadou</w:t>
      </w:r>
      <w:r w:rsidR="00A45198" w:rsidRPr="000D096C">
        <w:rPr>
          <w:rFonts w:ascii="Times New Roman" w:hAnsi="Times New Roman" w:cs="Times New Roman"/>
          <w:sz w:val="24"/>
          <w:szCs w:val="24"/>
        </w:rPr>
        <w:t xml:space="preserve"> studií byla prokázána asociace mezi prediabetem a retinopatií, závěry se</w:t>
      </w:r>
      <w:r w:rsidRPr="000D096C">
        <w:rPr>
          <w:rFonts w:ascii="Times New Roman" w:hAnsi="Times New Roman" w:cs="Times New Roman"/>
          <w:sz w:val="24"/>
          <w:szCs w:val="24"/>
        </w:rPr>
        <w:t xml:space="preserve"> však</w:t>
      </w:r>
      <w:r w:rsidR="00A45198" w:rsidRPr="000D096C">
        <w:rPr>
          <w:rFonts w:ascii="Times New Roman" w:hAnsi="Times New Roman" w:cs="Times New Roman"/>
          <w:sz w:val="24"/>
          <w:szCs w:val="24"/>
        </w:rPr>
        <w:t xml:space="preserve"> značně liší v závislosti na použitých metodách</w:t>
      </w:r>
      <w:r w:rsidR="00C76B18">
        <w:rPr>
          <w:rFonts w:ascii="Times New Roman" w:hAnsi="Times New Roman" w:cs="Times New Roman"/>
          <w:sz w:val="24"/>
          <w:szCs w:val="24"/>
        </w:rPr>
        <w:t xml:space="preserve"> [80</w:t>
      </w:r>
      <w:r w:rsidR="00173D39" w:rsidRPr="000D096C">
        <w:rPr>
          <w:rFonts w:ascii="Times New Roman" w:hAnsi="Times New Roman" w:cs="Times New Roman"/>
          <w:sz w:val="24"/>
          <w:szCs w:val="24"/>
        </w:rPr>
        <w:t>]</w:t>
      </w:r>
      <w:r w:rsidR="00A45198" w:rsidRPr="000D096C">
        <w:rPr>
          <w:rFonts w:ascii="Times New Roman" w:hAnsi="Times New Roman" w:cs="Times New Roman"/>
          <w:sz w:val="24"/>
          <w:szCs w:val="24"/>
        </w:rPr>
        <w:t xml:space="preserve">. Na základě zjištění </w:t>
      </w:r>
      <w:r w:rsidR="00A45198" w:rsidRPr="000D096C">
        <w:rPr>
          <w:rFonts w:ascii="Times New Roman" w:hAnsi="Times New Roman" w:cs="Times New Roman"/>
          <w:i/>
          <w:sz w:val="24"/>
          <w:szCs w:val="24"/>
        </w:rPr>
        <w:t>Diabetes prevention program</w:t>
      </w:r>
      <w:r w:rsidR="00A45198" w:rsidRPr="000D096C">
        <w:rPr>
          <w:rFonts w:ascii="Times New Roman" w:hAnsi="Times New Roman" w:cs="Times New Roman"/>
          <w:sz w:val="24"/>
          <w:szCs w:val="24"/>
        </w:rPr>
        <w:t xml:space="preserve"> má zhruba 8 % prediabetiků klinické známky retinopatie</w:t>
      </w:r>
      <w:r w:rsidR="00C76B18">
        <w:rPr>
          <w:rFonts w:ascii="Times New Roman" w:hAnsi="Times New Roman" w:cs="Times New Roman"/>
          <w:sz w:val="24"/>
          <w:szCs w:val="24"/>
        </w:rPr>
        <w:t xml:space="preserve"> [81</w:t>
      </w:r>
      <w:r w:rsidR="00173D39" w:rsidRPr="000D096C">
        <w:rPr>
          <w:rFonts w:ascii="Times New Roman" w:hAnsi="Times New Roman" w:cs="Times New Roman"/>
          <w:sz w:val="24"/>
          <w:szCs w:val="24"/>
        </w:rPr>
        <w:t>]</w:t>
      </w:r>
      <w:r w:rsidR="00A45198" w:rsidRPr="000D096C">
        <w:rPr>
          <w:rFonts w:ascii="Times New Roman" w:hAnsi="Times New Roman" w:cs="Times New Roman"/>
          <w:sz w:val="24"/>
          <w:szCs w:val="24"/>
        </w:rPr>
        <w:t>. V rámci dílčích podjednotek prediabetu jsou spolehlivé důkazy pouze pro asociac</w:t>
      </w:r>
      <w:r w:rsidR="00505EF2" w:rsidRPr="000D096C">
        <w:rPr>
          <w:rFonts w:ascii="Times New Roman" w:hAnsi="Times New Roman" w:cs="Times New Roman"/>
          <w:sz w:val="24"/>
          <w:szCs w:val="24"/>
        </w:rPr>
        <w:t>i retinopatie s IGT, jak dokázala</w:t>
      </w:r>
      <w:r w:rsidR="00A45198" w:rsidRPr="000D096C">
        <w:rPr>
          <w:rFonts w:ascii="Times New Roman" w:hAnsi="Times New Roman" w:cs="Times New Roman"/>
          <w:sz w:val="24"/>
          <w:szCs w:val="24"/>
        </w:rPr>
        <w:t xml:space="preserve"> po adjustaci na</w:t>
      </w:r>
      <w:r w:rsidRPr="000D096C">
        <w:rPr>
          <w:rFonts w:ascii="Times New Roman" w:hAnsi="Times New Roman" w:cs="Times New Roman"/>
          <w:sz w:val="24"/>
          <w:szCs w:val="24"/>
        </w:rPr>
        <w:t xml:space="preserve"> běžné rizikové faktory</w:t>
      </w:r>
      <w:r w:rsidR="00A45198" w:rsidRPr="000D096C">
        <w:rPr>
          <w:rFonts w:ascii="Times New Roman" w:hAnsi="Times New Roman" w:cs="Times New Roman"/>
          <w:sz w:val="24"/>
          <w:szCs w:val="24"/>
        </w:rPr>
        <w:t xml:space="preserve"> studie</w:t>
      </w:r>
      <w:r w:rsidRPr="000D096C">
        <w:rPr>
          <w:rFonts w:ascii="Times New Roman" w:hAnsi="Times New Roman" w:cs="Times New Roman"/>
          <w:sz w:val="24"/>
          <w:szCs w:val="24"/>
        </w:rPr>
        <w:t xml:space="preserve"> Funagata (</w:t>
      </w:r>
      <w:r w:rsidR="00D74931">
        <w:rPr>
          <w:rFonts w:ascii="Times New Roman" w:hAnsi="Times New Roman" w:cs="Times New Roman"/>
          <w:sz w:val="24"/>
          <w:szCs w:val="24"/>
        </w:rPr>
        <w:t>odds ratio [</w:t>
      </w:r>
      <w:r w:rsidRPr="000D096C">
        <w:rPr>
          <w:rFonts w:ascii="Times New Roman" w:hAnsi="Times New Roman" w:cs="Times New Roman"/>
          <w:sz w:val="24"/>
          <w:szCs w:val="24"/>
          <w:shd w:val="clear" w:color="auto" w:fill="FFFFFF"/>
        </w:rPr>
        <w:t>OR</w:t>
      </w:r>
      <w:r w:rsidR="00D74931">
        <w:rPr>
          <w:rFonts w:ascii="Times New Roman" w:hAnsi="Times New Roman" w:cs="Times New Roman"/>
          <w:sz w:val="24"/>
          <w:szCs w:val="24"/>
          <w:shd w:val="clear" w:color="auto" w:fill="FFFFFF"/>
        </w:rPr>
        <w:t>]</w:t>
      </w:r>
      <w:r w:rsidRPr="000D096C">
        <w:rPr>
          <w:rFonts w:ascii="Times New Roman" w:hAnsi="Times New Roman" w:cs="Times New Roman"/>
          <w:sz w:val="24"/>
          <w:szCs w:val="24"/>
          <w:shd w:val="clear" w:color="auto" w:fill="FFFFFF"/>
        </w:rPr>
        <w:t xml:space="preserve"> 1,63, 95 % KI</w:t>
      </w:r>
      <w:r w:rsidR="00A45198" w:rsidRPr="000D096C">
        <w:rPr>
          <w:rFonts w:ascii="Times New Roman" w:hAnsi="Times New Roman" w:cs="Times New Roman"/>
          <w:sz w:val="24"/>
          <w:szCs w:val="24"/>
          <w:shd w:val="clear" w:color="auto" w:fill="FFFFFF"/>
        </w:rPr>
        <w:t xml:space="preserve"> 1</w:t>
      </w:r>
      <w:r w:rsidR="00D74931">
        <w:rPr>
          <w:rFonts w:ascii="Times New Roman" w:hAnsi="Times New Roman" w:cs="Times New Roman"/>
          <w:sz w:val="24"/>
          <w:szCs w:val="24"/>
          <w:shd w:val="clear" w:color="auto" w:fill="FFFFFF"/>
        </w:rPr>
        <w:t>,07-</w:t>
      </w:r>
      <w:r w:rsidR="001A63D1">
        <w:rPr>
          <w:rFonts w:ascii="Times New Roman" w:hAnsi="Times New Roman" w:cs="Times New Roman"/>
          <w:sz w:val="24"/>
          <w:szCs w:val="24"/>
          <w:shd w:val="clear" w:color="auto" w:fill="FFFFFF"/>
        </w:rPr>
        <w:t>2,</w:t>
      </w:r>
      <w:r w:rsidR="00A45198" w:rsidRPr="000D096C">
        <w:rPr>
          <w:rFonts w:ascii="Times New Roman" w:hAnsi="Times New Roman" w:cs="Times New Roman"/>
          <w:sz w:val="24"/>
          <w:szCs w:val="24"/>
          <w:shd w:val="clear" w:color="auto" w:fill="FFFFFF"/>
        </w:rPr>
        <w:t>49), zatímco vztah IFG a retinopatie nebyl statisticky významný</w:t>
      </w:r>
      <w:r w:rsidR="00173D39" w:rsidRPr="000D096C">
        <w:rPr>
          <w:rFonts w:ascii="Times New Roman" w:hAnsi="Times New Roman" w:cs="Times New Roman"/>
          <w:sz w:val="24"/>
          <w:szCs w:val="24"/>
          <w:shd w:val="clear" w:color="auto" w:fill="FFFFFF"/>
        </w:rPr>
        <w:t xml:space="preserve"> </w:t>
      </w:r>
      <w:r w:rsidR="00C76B18">
        <w:rPr>
          <w:rFonts w:ascii="Times New Roman" w:hAnsi="Times New Roman" w:cs="Times New Roman"/>
          <w:sz w:val="24"/>
          <w:szCs w:val="24"/>
        </w:rPr>
        <w:t>[82</w:t>
      </w:r>
      <w:r w:rsidR="00173D39" w:rsidRPr="000D096C">
        <w:rPr>
          <w:rFonts w:ascii="Times New Roman" w:hAnsi="Times New Roman" w:cs="Times New Roman"/>
          <w:sz w:val="24"/>
          <w:szCs w:val="24"/>
        </w:rPr>
        <w:t>]</w:t>
      </w:r>
      <w:r w:rsidR="00A45198" w:rsidRPr="000D096C">
        <w:rPr>
          <w:rFonts w:ascii="Times New Roman" w:hAnsi="Times New Roman" w:cs="Times New Roman"/>
          <w:sz w:val="24"/>
          <w:szCs w:val="24"/>
          <w:shd w:val="clear" w:color="auto" w:fill="FFFFFF"/>
        </w:rPr>
        <w:t xml:space="preserve">. </w:t>
      </w:r>
      <w:r w:rsidR="00A45198" w:rsidRPr="000D096C">
        <w:rPr>
          <w:rFonts w:ascii="Times New Roman" w:hAnsi="Times New Roman" w:cs="Times New Roman"/>
          <w:sz w:val="24"/>
          <w:szCs w:val="24"/>
        </w:rPr>
        <w:t>Důkazy o jasném a</w:t>
      </w:r>
      <w:r w:rsidR="00BB3FFF">
        <w:rPr>
          <w:rFonts w:ascii="Times New Roman" w:hAnsi="Times New Roman" w:cs="Times New Roman"/>
          <w:sz w:val="24"/>
          <w:szCs w:val="24"/>
        </w:rPr>
        <w:t> </w:t>
      </w:r>
      <w:r w:rsidR="001A63D1">
        <w:rPr>
          <w:rFonts w:ascii="Times New Roman" w:hAnsi="Times New Roman" w:cs="Times New Roman"/>
          <w:sz w:val="24"/>
          <w:szCs w:val="24"/>
        </w:rPr>
        <w:t>konzistentním glyke</w:t>
      </w:r>
      <w:r w:rsidR="00A45198" w:rsidRPr="000D096C">
        <w:rPr>
          <w:rFonts w:ascii="Times New Roman" w:hAnsi="Times New Roman" w:cs="Times New Roman"/>
          <w:sz w:val="24"/>
          <w:szCs w:val="24"/>
        </w:rPr>
        <w:t>m</w:t>
      </w:r>
      <w:r w:rsidR="00505EF2" w:rsidRPr="000D096C">
        <w:rPr>
          <w:rFonts w:ascii="Times New Roman" w:hAnsi="Times New Roman" w:cs="Times New Roman"/>
          <w:sz w:val="24"/>
          <w:szCs w:val="24"/>
        </w:rPr>
        <w:t xml:space="preserve">ickém prahu pod hranicí DM </w:t>
      </w:r>
      <w:r w:rsidR="00A45198" w:rsidRPr="000D096C">
        <w:rPr>
          <w:rFonts w:ascii="Times New Roman" w:hAnsi="Times New Roman" w:cs="Times New Roman"/>
          <w:sz w:val="24"/>
          <w:szCs w:val="24"/>
        </w:rPr>
        <w:t>pro přítomnost nebo výskyt retinopatie v</w:t>
      </w:r>
      <w:r w:rsidR="00BB3FFF">
        <w:rPr>
          <w:rFonts w:ascii="Times New Roman" w:hAnsi="Times New Roman" w:cs="Times New Roman"/>
          <w:sz w:val="24"/>
          <w:szCs w:val="24"/>
        </w:rPr>
        <w:t> </w:t>
      </w:r>
      <w:r w:rsidR="00A45198" w:rsidRPr="000D096C">
        <w:rPr>
          <w:rFonts w:ascii="Times New Roman" w:hAnsi="Times New Roman" w:cs="Times New Roman"/>
          <w:sz w:val="24"/>
          <w:szCs w:val="24"/>
        </w:rPr>
        <w:t>různých populacích nepřinesla ani rozsáhlejší analýza</w:t>
      </w:r>
      <w:r w:rsidR="00ED68C4" w:rsidRPr="000D096C">
        <w:rPr>
          <w:rFonts w:ascii="Times New Roman" w:hAnsi="Times New Roman" w:cs="Times New Roman"/>
          <w:sz w:val="24"/>
          <w:szCs w:val="24"/>
        </w:rPr>
        <w:t xml:space="preserve"> 3 průřezových studií Wong</w:t>
      </w:r>
      <w:r w:rsidR="00505EF2" w:rsidRPr="000D096C">
        <w:rPr>
          <w:rFonts w:ascii="Times New Roman" w:hAnsi="Times New Roman" w:cs="Times New Roman"/>
          <w:sz w:val="24"/>
          <w:szCs w:val="24"/>
        </w:rPr>
        <w:t>a</w:t>
      </w:r>
      <w:r w:rsidR="00ED68C4" w:rsidRPr="000D096C">
        <w:rPr>
          <w:rFonts w:ascii="Times New Roman" w:hAnsi="Times New Roman" w:cs="Times New Roman"/>
          <w:sz w:val="24"/>
          <w:szCs w:val="24"/>
        </w:rPr>
        <w:t xml:space="preserve"> a kol</w:t>
      </w:r>
      <w:r w:rsidR="00A45198" w:rsidRPr="000D096C">
        <w:rPr>
          <w:rFonts w:ascii="Times New Roman" w:hAnsi="Times New Roman" w:cs="Times New Roman"/>
          <w:sz w:val="24"/>
          <w:szCs w:val="24"/>
        </w:rPr>
        <w:t>. (n</w:t>
      </w:r>
      <w:r w:rsidR="001A63D1">
        <w:rPr>
          <w:rFonts w:ascii="Times New Roman" w:hAnsi="Times New Roman" w:cs="Times New Roman"/>
          <w:sz w:val="24"/>
          <w:szCs w:val="24"/>
        </w:rPr>
        <w:t xml:space="preserve"> </w:t>
      </w:r>
      <w:r w:rsidR="00A45198" w:rsidRPr="000D096C">
        <w:rPr>
          <w:rFonts w:ascii="Times New Roman" w:hAnsi="Times New Roman" w:cs="Times New Roman"/>
          <w:sz w:val="24"/>
          <w:szCs w:val="24"/>
        </w:rPr>
        <w:t>=</w:t>
      </w:r>
      <w:r w:rsidR="001A63D1">
        <w:rPr>
          <w:rFonts w:ascii="Times New Roman" w:hAnsi="Times New Roman" w:cs="Times New Roman"/>
          <w:sz w:val="24"/>
          <w:szCs w:val="24"/>
        </w:rPr>
        <w:t xml:space="preserve"> </w:t>
      </w:r>
      <w:r w:rsidR="00A45198" w:rsidRPr="000D096C">
        <w:rPr>
          <w:rFonts w:ascii="Times New Roman" w:hAnsi="Times New Roman" w:cs="Times New Roman"/>
          <w:sz w:val="24"/>
          <w:szCs w:val="24"/>
        </w:rPr>
        <w:t>11</w:t>
      </w:r>
      <w:r w:rsidR="001A63D1">
        <w:rPr>
          <w:rFonts w:ascii="Times New Roman" w:hAnsi="Times New Roman" w:cs="Times New Roman"/>
          <w:sz w:val="24"/>
          <w:szCs w:val="24"/>
        </w:rPr>
        <w:t xml:space="preserve"> </w:t>
      </w:r>
      <w:r w:rsidR="00A45198" w:rsidRPr="000D096C">
        <w:rPr>
          <w:rFonts w:ascii="Times New Roman" w:hAnsi="Times New Roman" w:cs="Times New Roman"/>
          <w:sz w:val="24"/>
          <w:szCs w:val="24"/>
        </w:rPr>
        <w:t>423)</w:t>
      </w:r>
      <w:r w:rsidR="00C76B18">
        <w:rPr>
          <w:rFonts w:ascii="Times New Roman" w:hAnsi="Times New Roman" w:cs="Times New Roman"/>
          <w:sz w:val="24"/>
          <w:szCs w:val="24"/>
        </w:rPr>
        <w:t xml:space="preserve"> [83</w:t>
      </w:r>
      <w:r w:rsidR="00173D39" w:rsidRPr="000D096C">
        <w:rPr>
          <w:rFonts w:ascii="Times New Roman" w:hAnsi="Times New Roman" w:cs="Times New Roman"/>
          <w:sz w:val="24"/>
          <w:szCs w:val="24"/>
        </w:rPr>
        <w:t>]</w:t>
      </w:r>
      <w:r w:rsidR="00ED68C4" w:rsidRPr="000D096C">
        <w:rPr>
          <w:rFonts w:ascii="Times New Roman" w:hAnsi="Times New Roman" w:cs="Times New Roman"/>
          <w:sz w:val="24"/>
          <w:szCs w:val="24"/>
        </w:rPr>
        <w:t>. Cheng a kol</w:t>
      </w:r>
      <w:r w:rsidR="00A45198" w:rsidRPr="000D096C">
        <w:rPr>
          <w:rFonts w:ascii="Times New Roman" w:hAnsi="Times New Roman" w:cs="Times New Roman"/>
          <w:sz w:val="24"/>
          <w:szCs w:val="24"/>
        </w:rPr>
        <w:t>. ve své stu</w:t>
      </w:r>
      <w:r w:rsidRPr="000D096C">
        <w:rPr>
          <w:rFonts w:ascii="Times New Roman" w:hAnsi="Times New Roman" w:cs="Times New Roman"/>
          <w:sz w:val="24"/>
          <w:szCs w:val="24"/>
        </w:rPr>
        <w:t>dii u jedinců bez ant</w:t>
      </w:r>
      <w:r w:rsidR="0096431F" w:rsidRPr="000D096C">
        <w:rPr>
          <w:rFonts w:ascii="Times New Roman" w:hAnsi="Times New Roman" w:cs="Times New Roman"/>
          <w:sz w:val="24"/>
          <w:szCs w:val="24"/>
        </w:rPr>
        <w:t>idiabetické medikace vyhodnotili</w:t>
      </w:r>
      <w:r w:rsidRPr="000D096C">
        <w:rPr>
          <w:rFonts w:ascii="Times New Roman" w:hAnsi="Times New Roman" w:cs="Times New Roman"/>
          <w:sz w:val="24"/>
          <w:szCs w:val="24"/>
        </w:rPr>
        <w:t xml:space="preserve"> </w:t>
      </w:r>
      <w:r w:rsidR="00A45198" w:rsidRPr="000D096C">
        <w:rPr>
          <w:rFonts w:ascii="Times New Roman" w:hAnsi="Times New Roman" w:cs="Times New Roman"/>
          <w:sz w:val="24"/>
          <w:szCs w:val="24"/>
        </w:rPr>
        <w:t>HbA1c jako spolehlivější prediktor</w:t>
      </w:r>
      <w:r w:rsidR="00505EF2" w:rsidRPr="000D096C">
        <w:rPr>
          <w:rFonts w:ascii="Times New Roman" w:hAnsi="Times New Roman" w:cs="Times New Roman"/>
          <w:sz w:val="24"/>
          <w:szCs w:val="24"/>
        </w:rPr>
        <w:t xml:space="preserve"> retinopatie než</w:t>
      </w:r>
      <w:r w:rsidR="001A63D1">
        <w:rPr>
          <w:rFonts w:ascii="Times New Roman" w:hAnsi="Times New Roman" w:cs="Times New Roman"/>
          <w:sz w:val="24"/>
          <w:szCs w:val="24"/>
        </w:rPr>
        <w:t xml:space="preserve"> jakým je</w:t>
      </w:r>
      <w:r w:rsidR="00505EF2" w:rsidRPr="000D096C">
        <w:rPr>
          <w:rFonts w:ascii="Times New Roman" w:hAnsi="Times New Roman" w:cs="Times New Roman"/>
          <w:sz w:val="24"/>
          <w:szCs w:val="24"/>
        </w:rPr>
        <w:t xml:space="preserve"> lačná glykémie</w:t>
      </w:r>
      <w:r w:rsidR="00A45198" w:rsidRPr="000D096C">
        <w:rPr>
          <w:rFonts w:ascii="Times New Roman" w:hAnsi="Times New Roman" w:cs="Times New Roman"/>
          <w:sz w:val="24"/>
          <w:szCs w:val="24"/>
        </w:rPr>
        <w:t xml:space="preserve"> s výrazným nárůstem prevalence r</w:t>
      </w:r>
      <w:r w:rsidRPr="000D096C">
        <w:rPr>
          <w:rFonts w:ascii="Times New Roman" w:hAnsi="Times New Roman" w:cs="Times New Roman"/>
          <w:sz w:val="24"/>
          <w:szCs w:val="24"/>
        </w:rPr>
        <w:t>etinopatie od hodnot HbA1C 37 mmol/mol</w:t>
      </w:r>
      <w:r w:rsidR="00A45198" w:rsidRPr="000D096C">
        <w:rPr>
          <w:rFonts w:ascii="Times New Roman" w:hAnsi="Times New Roman" w:cs="Times New Roman"/>
          <w:sz w:val="24"/>
          <w:szCs w:val="24"/>
        </w:rPr>
        <w:t xml:space="preserve"> a více</w:t>
      </w:r>
      <w:r w:rsidR="00C76B18">
        <w:rPr>
          <w:rFonts w:ascii="Times New Roman" w:hAnsi="Times New Roman" w:cs="Times New Roman"/>
          <w:sz w:val="24"/>
          <w:szCs w:val="24"/>
        </w:rPr>
        <w:t xml:space="preserve"> [84</w:t>
      </w:r>
      <w:r w:rsidR="00173D39" w:rsidRPr="000D096C">
        <w:rPr>
          <w:rFonts w:ascii="Times New Roman" w:hAnsi="Times New Roman" w:cs="Times New Roman"/>
          <w:sz w:val="24"/>
          <w:szCs w:val="24"/>
        </w:rPr>
        <w:t>]</w:t>
      </w:r>
      <w:r w:rsidR="00A45198" w:rsidRPr="000D096C">
        <w:rPr>
          <w:rFonts w:ascii="Times New Roman" w:hAnsi="Times New Roman" w:cs="Times New Roman"/>
          <w:sz w:val="24"/>
          <w:szCs w:val="24"/>
        </w:rPr>
        <w:t>.</w:t>
      </w:r>
    </w:p>
    <w:p w:rsidR="00AC1310" w:rsidRPr="000D096C" w:rsidRDefault="00AC1310" w:rsidP="004567D5">
      <w:pPr>
        <w:pStyle w:val="FormtovanvHTML"/>
        <w:shd w:val="clear" w:color="auto" w:fill="FFFFFF"/>
        <w:spacing w:before="160" w:after="160"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Nefropatie</w:t>
      </w:r>
    </w:p>
    <w:p w:rsidR="00A45198" w:rsidRPr="000D096C" w:rsidRDefault="00A45198" w:rsidP="004567D5">
      <w:pPr>
        <w:pStyle w:val="FormtovanvHTML"/>
        <w:shd w:val="clear" w:color="auto" w:fill="FFFFFF"/>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V případě vlivu prediabetu na rozvoj nefropatie jsou důkazy přesvědčivější. Studie prokázaly, že až jedna třetina jedinců trpí chronickým renálním selháním (</w:t>
      </w:r>
      <w:r w:rsidR="00C87F2C" w:rsidRPr="00C87F2C">
        <w:rPr>
          <w:rFonts w:ascii="Times New Roman" w:hAnsi="Times New Roman" w:cs="Times New Roman"/>
          <w:i/>
          <w:sz w:val="24"/>
          <w:szCs w:val="24"/>
        </w:rPr>
        <w:t>ch</w:t>
      </w:r>
      <w:r w:rsidR="00C87F2C">
        <w:rPr>
          <w:rFonts w:ascii="Times New Roman" w:hAnsi="Times New Roman" w:cs="Times New Roman"/>
          <w:i/>
          <w:sz w:val="24"/>
          <w:szCs w:val="24"/>
        </w:rPr>
        <w:t>r</w:t>
      </w:r>
      <w:r w:rsidR="00C87F2C" w:rsidRPr="00C87F2C">
        <w:rPr>
          <w:rFonts w:ascii="Times New Roman" w:hAnsi="Times New Roman" w:cs="Times New Roman"/>
          <w:i/>
          <w:sz w:val="24"/>
          <w:szCs w:val="24"/>
        </w:rPr>
        <w:t>onic kidney disease</w:t>
      </w:r>
      <w:r w:rsidR="00C87F2C">
        <w:rPr>
          <w:rFonts w:ascii="Times New Roman" w:hAnsi="Times New Roman" w:cs="Times New Roman"/>
          <w:sz w:val="24"/>
          <w:szCs w:val="24"/>
        </w:rPr>
        <w:t xml:space="preserve">, </w:t>
      </w:r>
      <w:r w:rsidRPr="000D096C">
        <w:rPr>
          <w:rFonts w:ascii="Times New Roman" w:hAnsi="Times New Roman" w:cs="Times New Roman"/>
          <w:sz w:val="24"/>
          <w:szCs w:val="24"/>
        </w:rPr>
        <w:t>CKD) již v okamžiku diagnózy DM. Výzkum zahrnující 6</w:t>
      </w:r>
      <w:r w:rsidR="00C87F2C">
        <w:rPr>
          <w:rFonts w:ascii="Times New Roman" w:hAnsi="Times New Roman" w:cs="Times New Roman"/>
          <w:sz w:val="24"/>
          <w:szCs w:val="24"/>
        </w:rPr>
        <w:t xml:space="preserve"> </w:t>
      </w:r>
      <w:r w:rsidRPr="000D096C">
        <w:rPr>
          <w:rFonts w:ascii="Times New Roman" w:hAnsi="Times New Roman" w:cs="Times New Roman"/>
          <w:sz w:val="24"/>
          <w:szCs w:val="24"/>
        </w:rPr>
        <w:t>453 dospělých Američanů bez DM ukázal, že prevalence CKD (</w:t>
      </w:r>
      <w:r w:rsidR="002F7AEA" w:rsidRPr="000D096C">
        <w:rPr>
          <w:rFonts w:ascii="Times New Roman" w:hAnsi="Times New Roman" w:cs="Times New Roman"/>
          <w:sz w:val="24"/>
          <w:szCs w:val="24"/>
        </w:rPr>
        <w:t>glomerulární filtrace [</w:t>
      </w:r>
      <w:r w:rsidRPr="000D096C">
        <w:rPr>
          <w:rFonts w:ascii="Times New Roman" w:hAnsi="Times New Roman" w:cs="Times New Roman"/>
          <w:sz w:val="24"/>
          <w:szCs w:val="24"/>
        </w:rPr>
        <w:t>GF</w:t>
      </w:r>
      <w:r w:rsidR="002F7AEA" w:rsidRPr="000D096C">
        <w:rPr>
          <w:rFonts w:ascii="Times New Roman" w:hAnsi="Times New Roman" w:cs="Times New Roman"/>
          <w:sz w:val="24"/>
          <w:szCs w:val="24"/>
        </w:rPr>
        <w:t>]</w:t>
      </w:r>
      <w:r w:rsidRPr="000D096C">
        <w:rPr>
          <w:rFonts w:ascii="Times New Roman" w:hAnsi="Times New Roman" w:cs="Times New Roman"/>
          <w:sz w:val="24"/>
          <w:szCs w:val="24"/>
        </w:rPr>
        <w:t xml:space="preserve"> menší než 60</w:t>
      </w:r>
      <w:r w:rsidR="002F7AEA" w:rsidRPr="000D096C">
        <w:rPr>
          <w:rFonts w:ascii="Times New Roman" w:hAnsi="Times New Roman" w:cs="Times New Roman"/>
          <w:sz w:val="24"/>
          <w:szCs w:val="24"/>
        </w:rPr>
        <w:t xml:space="preserve"> </w:t>
      </w:r>
      <w:r w:rsidRPr="000D096C">
        <w:rPr>
          <w:rFonts w:ascii="Times New Roman" w:hAnsi="Times New Roman" w:cs="Times New Roman"/>
          <w:sz w:val="24"/>
          <w:szCs w:val="24"/>
        </w:rPr>
        <w:t>ml/min/1,73 m</w:t>
      </w:r>
      <w:r w:rsidRPr="000D096C">
        <w:rPr>
          <w:rFonts w:ascii="Times New Roman" w:hAnsi="Times New Roman" w:cs="Times New Roman"/>
          <w:sz w:val="24"/>
          <w:szCs w:val="24"/>
          <w:vertAlign w:val="superscript"/>
        </w:rPr>
        <w:t>2</w:t>
      </w:r>
      <w:r w:rsidRPr="000D096C">
        <w:rPr>
          <w:rFonts w:ascii="Times New Roman" w:hAnsi="Times New Roman" w:cs="Times New Roman"/>
          <w:sz w:val="24"/>
          <w:szCs w:val="24"/>
        </w:rPr>
        <w:t xml:space="preserve"> tělesného povrchu) </w:t>
      </w:r>
      <w:r w:rsidR="00A9117D" w:rsidRPr="000D096C">
        <w:rPr>
          <w:rFonts w:ascii="Times New Roman" w:hAnsi="Times New Roman" w:cs="Times New Roman"/>
          <w:sz w:val="24"/>
          <w:szCs w:val="24"/>
        </w:rPr>
        <w:t>vzrostla z 1,2 % u jedinců s glykémií nalačno</w:t>
      </w:r>
      <w:r w:rsidRPr="000D096C">
        <w:rPr>
          <w:rFonts w:ascii="Times New Roman" w:hAnsi="Times New Roman" w:cs="Times New Roman"/>
          <w:sz w:val="24"/>
          <w:szCs w:val="24"/>
        </w:rPr>
        <w:t xml:space="preserve"> 4,9-5,3 mmol/</w:t>
      </w:r>
      <w:r w:rsidR="00A9117D" w:rsidRPr="000D096C">
        <w:rPr>
          <w:rFonts w:ascii="Times New Roman" w:hAnsi="Times New Roman" w:cs="Times New Roman"/>
          <w:sz w:val="24"/>
          <w:szCs w:val="24"/>
        </w:rPr>
        <w:t>l na 4 % u jedinců s lačnou glykémií</w:t>
      </w:r>
      <w:r w:rsidR="002F7AEA" w:rsidRPr="000D096C">
        <w:rPr>
          <w:rFonts w:ascii="Times New Roman" w:hAnsi="Times New Roman" w:cs="Times New Roman"/>
          <w:sz w:val="24"/>
          <w:szCs w:val="24"/>
        </w:rPr>
        <w:t xml:space="preserve"> nad 5,7</w:t>
      </w:r>
      <w:r w:rsidRPr="000D096C">
        <w:rPr>
          <w:rFonts w:ascii="Times New Roman" w:hAnsi="Times New Roman" w:cs="Times New Roman"/>
          <w:sz w:val="24"/>
          <w:szCs w:val="24"/>
        </w:rPr>
        <w:t xml:space="preserve"> mmol/l</w:t>
      </w:r>
      <w:r w:rsidR="00C76B18">
        <w:rPr>
          <w:rFonts w:ascii="Times New Roman" w:hAnsi="Times New Roman" w:cs="Times New Roman"/>
          <w:sz w:val="24"/>
          <w:szCs w:val="24"/>
        </w:rPr>
        <w:t xml:space="preserve"> [85</w:t>
      </w:r>
      <w:r w:rsidR="00A9117D" w:rsidRPr="000D096C">
        <w:rPr>
          <w:rFonts w:ascii="Times New Roman" w:hAnsi="Times New Roman" w:cs="Times New Roman"/>
          <w:sz w:val="24"/>
          <w:szCs w:val="24"/>
        </w:rPr>
        <w:t>]</w:t>
      </w:r>
      <w:r w:rsidRPr="000D096C">
        <w:rPr>
          <w:rFonts w:ascii="Times New Roman" w:hAnsi="Times New Roman" w:cs="Times New Roman"/>
          <w:sz w:val="24"/>
          <w:szCs w:val="24"/>
        </w:rPr>
        <w:t>.</w:t>
      </w:r>
      <w:r w:rsidR="00A9117D" w:rsidRPr="000D096C">
        <w:rPr>
          <w:rFonts w:ascii="Times New Roman" w:hAnsi="Times New Roman" w:cs="Times New Roman"/>
          <w:sz w:val="24"/>
          <w:szCs w:val="24"/>
        </w:rPr>
        <w:t xml:space="preserve"> </w:t>
      </w:r>
      <w:r w:rsidRPr="000D096C">
        <w:rPr>
          <w:rFonts w:ascii="Times New Roman" w:hAnsi="Times New Roman" w:cs="Times New Roman"/>
          <w:sz w:val="24"/>
          <w:szCs w:val="24"/>
        </w:rPr>
        <w:t>Z meta-anal</w:t>
      </w:r>
      <w:r w:rsidR="002F7AEA" w:rsidRPr="000D096C">
        <w:rPr>
          <w:rFonts w:ascii="Times New Roman" w:hAnsi="Times New Roman" w:cs="Times New Roman"/>
          <w:sz w:val="24"/>
          <w:szCs w:val="24"/>
        </w:rPr>
        <w:t>ýzy 8 kohortových studií (n</w:t>
      </w:r>
      <w:r w:rsidR="00C87F2C">
        <w:rPr>
          <w:rFonts w:ascii="Times New Roman" w:hAnsi="Times New Roman" w:cs="Times New Roman"/>
          <w:sz w:val="24"/>
          <w:szCs w:val="24"/>
        </w:rPr>
        <w:t xml:space="preserve"> </w:t>
      </w:r>
      <w:r w:rsidR="002F7AEA" w:rsidRPr="000D096C">
        <w:rPr>
          <w:rFonts w:ascii="Times New Roman" w:hAnsi="Times New Roman" w:cs="Times New Roman"/>
          <w:sz w:val="24"/>
          <w:szCs w:val="24"/>
        </w:rPr>
        <w:t>=</w:t>
      </w:r>
      <w:r w:rsidR="00C87F2C">
        <w:rPr>
          <w:rFonts w:ascii="Times New Roman" w:hAnsi="Times New Roman" w:cs="Times New Roman"/>
          <w:sz w:val="24"/>
          <w:szCs w:val="24"/>
        </w:rPr>
        <w:t xml:space="preserve"> </w:t>
      </w:r>
      <w:r w:rsidR="002F7AEA" w:rsidRPr="000D096C">
        <w:rPr>
          <w:rFonts w:ascii="Times New Roman" w:hAnsi="Times New Roman" w:cs="Times New Roman"/>
          <w:sz w:val="24"/>
          <w:szCs w:val="24"/>
        </w:rPr>
        <w:t>185</w:t>
      </w:r>
      <w:r w:rsidR="00C87F2C">
        <w:rPr>
          <w:rFonts w:ascii="Times New Roman" w:hAnsi="Times New Roman" w:cs="Times New Roman"/>
          <w:sz w:val="24"/>
          <w:szCs w:val="24"/>
        </w:rPr>
        <w:t xml:space="preserve"> </w:t>
      </w:r>
      <w:r w:rsidRPr="000D096C">
        <w:rPr>
          <w:rFonts w:ascii="Times New Roman" w:hAnsi="Times New Roman" w:cs="Times New Roman"/>
          <w:sz w:val="24"/>
          <w:szCs w:val="24"/>
        </w:rPr>
        <w:t>4</w:t>
      </w:r>
      <w:r w:rsidR="0096431F" w:rsidRPr="000D096C">
        <w:rPr>
          <w:rFonts w:ascii="Times New Roman" w:hAnsi="Times New Roman" w:cs="Times New Roman"/>
          <w:sz w:val="24"/>
          <w:szCs w:val="24"/>
        </w:rPr>
        <w:t>52) vyplynulo</w:t>
      </w:r>
      <w:r w:rsidR="002F7AEA" w:rsidRPr="000D096C">
        <w:rPr>
          <w:rFonts w:ascii="Times New Roman" w:hAnsi="Times New Roman" w:cs="Times New Roman"/>
          <w:sz w:val="24"/>
          <w:szCs w:val="24"/>
        </w:rPr>
        <w:t>, že RR</w:t>
      </w:r>
      <w:r w:rsidRPr="000D096C">
        <w:rPr>
          <w:rFonts w:ascii="Times New Roman" w:hAnsi="Times New Roman" w:cs="Times New Roman"/>
          <w:sz w:val="24"/>
          <w:szCs w:val="24"/>
        </w:rPr>
        <w:t xml:space="preserve"> vniku výše definovaného CKD je u</w:t>
      </w:r>
      <w:r w:rsidR="00762125">
        <w:rPr>
          <w:rFonts w:ascii="Times New Roman" w:hAnsi="Times New Roman" w:cs="Times New Roman"/>
          <w:sz w:val="24"/>
          <w:szCs w:val="24"/>
        </w:rPr>
        <w:t> </w:t>
      </w:r>
      <w:r w:rsidRPr="000D096C">
        <w:rPr>
          <w:rFonts w:ascii="Times New Roman" w:hAnsi="Times New Roman" w:cs="Times New Roman"/>
          <w:sz w:val="24"/>
          <w:szCs w:val="24"/>
        </w:rPr>
        <w:t xml:space="preserve">jedinců </w:t>
      </w:r>
      <w:r w:rsidR="002F7AEA" w:rsidRPr="000D096C">
        <w:rPr>
          <w:rFonts w:ascii="Times New Roman" w:hAnsi="Times New Roman" w:cs="Times New Roman"/>
          <w:sz w:val="24"/>
          <w:szCs w:val="24"/>
        </w:rPr>
        <w:t>s IFG (ADA kritéria) 1,12 (95 % KI</w:t>
      </w:r>
      <w:r w:rsidRPr="000D096C">
        <w:rPr>
          <w:rFonts w:ascii="Times New Roman" w:hAnsi="Times New Roman" w:cs="Times New Roman"/>
          <w:sz w:val="24"/>
          <w:szCs w:val="24"/>
        </w:rPr>
        <w:t xml:space="preserve"> 1,02-1,21)</w:t>
      </w:r>
      <w:r w:rsidR="00A9117D" w:rsidRPr="000D096C">
        <w:rPr>
          <w:rFonts w:ascii="Times New Roman" w:hAnsi="Times New Roman" w:cs="Times New Roman"/>
          <w:sz w:val="24"/>
          <w:szCs w:val="24"/>
        </w:rPr>
        <w:t xml:space="preserve"> [</w:t>
      </w:r>
      <w:r w:rsidR="00C76B18">
        <w:rPr>
          <w:rFonts w:ascii="Times New Roman" w:hAnsi="Times New Roman" w:cs="Times New Roman"/>
          <w:sz w:val="24"/>
          <w:szCs w:val="24"/>
        </w:rPr>
        <w:t>86</w:t>
      </w:r>
      <w:r w:rsidR="00A9117D" w:rsidRPr="000D096C">
        <w:rPr>
          <w:rFonts w:ascii="Times New Roman" w:hAnsi="Times New Roman" w:cs="Times New Roman"/>
          <w:sz w:val="24"/>
          <w:szCs w:val="24"/>
        </w:rPr>
        <w:t>]</w:t>
      </w:r>
      <w:r w:rsidRPr="000D096C">
        <w:rPr>
          <w:rFonts w:ascii="Times New Roman" w:hAnsi="Times New Roman" w:cs="Times New Roman"/>
          <w:sz w:val="24"/>
          <w:szCs w:val="24"/>
        </w:rPr>
        <w:t>. Poruchy glukozového metabolismu</w:t>
      </w:r>
      <w:r w:rsidR="002F7AEA" w:rsidRPr="000D096C">
        <w:rPr>
          <w:rFonts w:ascii="Times New Roman" w:hAnsi="Times New Roman" w:cs="Times New Roman"/>
          <w:sz w:val="24"/>
          <w:szCs w:val="24"/>
        </w:rPr>
        <w:t xml:space="preserve"> mají prokázaný vliv na výši GF</w:t>
      </w:r>
      <w:r w:rsidRPr="000D096C">
        <w:rPr>
          <w:rFonts w:ascii="Times New Roman" w:hAnsi="Times New Roman" w:cs="Times New Roman"/>
          <w:sz w:val="24"/>
          <w:szCs w:val="24"/>
        </w:rPr>
        <w:t>. To dokazuje například Framinghamská studie, kde jedinci s prediabetem iniciá</w:t>
      </w:r>
      <w:r w:rsidR="002F7AEA" w:rsidRPr="000D096C">
        <w:rPr>
          <w:rFonts w:ascii="Times New Roman" w:hAnsi="Times New Roman" w:cs="Times New Roman"/>
          <w:sz w:val="24"/>
          <w:szCs w:val="24"/>
        </w:rPr>
        <w:t>lně bez CKD po období 7 let vykazovali pokles GF o 9</w:t>
      </w:r>
      <w:r w:rsidRPr="000D096C">
        <w:rPr>
          <w:rFonts w:ascii="Times New Roman" w:hAnsi="Times New Roman" w:cs="Times New Roman"/>
          <w:sz w:val="24"/>
          <w:szCs w:val="24"/>
        </w:rPr>
        <w:t xml:space="preserve"> ml/min/1,73 m</w:t>
      </w:r>
      <w:r w:rsidRPr="000D096C">
        <w:rPr>
          <w:rFonts w:ascii="Times New Roman" w:hAnsi="Times New Roman" w:cs="Times New Roman"/>
          <w:sz w:val="24"/>
          <w:szCs w:val="24"/>
          <w:vertAlign w:val="superscript"/>
        </w:rPr>
        <w:t>2</w:t>
      </w:r>
      <w:r w:rsidRPr="000D096C">
        <w:rPr>
          <w:rFonts w:ascii="Times New Roman" w:hAnsi="Times New Roman" w:cs="Times New Roman"/>
          <w:sz w:val="24"/>
          <w:szCs w:val="24"/>
        </w:rPr>
        <w:t xml:space="preserve"> tělesného povrchu</w:t>
      </w:r>
      <w:r w:rsidR="00A9117D" w:rsidRPr="000D096C">
        <w:rPr>
          <w:rFonts w:ascii="Times New Roman" w:hAnsi="Times New Roman" w:cs="Times New Roman"/>
          <w:sz w:val="24"/>
          <w:szCs w:val="24"/>
        </w:rPr>
        <w:t xml:space="preserve"> [</w:t>
      </w:r>
      <w:r w:rsidR="00C76B18">
        <w:rPr>
          <w:rFonts w:ascii="Times New Roman" w:hAnsi="Times New Roman" w:cs="Times New Roman"/>
          <w:sz w:val="24"/>
          <w:szCs w:val="24"/>
        </w:rPr>
        <w:t>87</w:t>
      </w:r>
      <w:r w:rsidR="00A9117D" w:rsidRPr="000D096C">
        <w:rPr>
          <w:rFonts w:ascii="Times New Roman" w:hAnsi="Times New Roman" w:cs="Times New Roman"/>
          <w:sz w:val="24"/>
          <w:szCs w:val="24"/>
        </w:rPr>
        <w:t>]</w:t>
      </w:r>
      <w:r w:rsidRPr="000D096C">
        <w:rPr>
          <w:rFonts w:ascii="Times New Roman" w:hAnsi="Times New Roman" w:cs="Times New Roman"/>
          <w:sz w:val="24"/>
          <w:szCs w:val="24"/>
        </w:rPr>
        <w:t>. I zde je však nutné zmínit</w:t>
      </w:r>
      <w:r w:rsidR="002F7AEA" w:rsidRPr="000D096C">
        <w:rPr>
          <w:rFonts w:ascii="Times New Roman" w:hAnsi="Times New Roman" w:cs="Times New Roman"/>
          <w:sz w:val="24"/>
          <w:szCs w:val="24"/>
        </w:rPr>
        <w:t xml:space="preserve"> možné zkreslení vlivem</w:t>
      </w:r>
      <w:r w:rsidRPr="000D096C">
        <w:rPr>
          <w:rFonts w:ascii="Times New Roman" w:hAnsi="Times New Roman" w:cs="Times New Roman"/>
          <w:sz w:val="24"/>
          <w:szCs w:val="24"/>
        </w:rPr>
        <w:t xml:space="preserve"> </w:t>
      </w:r>
      <w:r w:rsidR="00C87F2C">
        <w:rPr>
          <w:rFonts w:ascii="Times New Roman" w:hAnsi="Times New Roman" w:cs="Times New Roman"/>
          <w:sz w:val="24"/>
          <w:szCs w:val="24"/>
        </w:rPr>
        <w:t xml:space="preserve">sdružování </w:t>
      </w:r>
      <w:r w:rsidRPr="000D096C">
        <w:rPr>
          <w:rFonts w:ascii="Times New Roman" w:hAnsi="Times New Roman" w:cs="Times New Roman"/>
          <w:sz w:val="24"/>
          <w:szCs w:val="24"/>
        </w:rPr>
        <w:t>rizikových faktorů společně přispívajících k CKD.</w:t>
      </w:r>
    </w:p>
    <w:p w:rsidR="002F7AEA" w:rsidRPr="000D096C" w:rsidRDefault="002F7AEA" w:rsidP="004567D5">
      <w:pPr>
        <w:pStyle w:val="FormtovanvHTML"/>
        <w:shd w:val="clear" w:color="auto" w:fill="FFFFFF"/>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Některé studie též demonstrují asociaci hyperglykémie pod hranicí DM se zvýšeným rizikem vzniku albuminurie, která je považována za prv</w:t>
      </w:r>
      <w:r w:rsidR="00C87F2C">
        <w:rPr>
          <w:rFonts w:ascii="Times New Roman" w:hAnsi="Times New Roman" w:cs="Times New Roman"/>
          <w:sz w:val="24"/>
          <w:szCs w:val="24"/>
        </w:rPr>
        <w:t xml:space="preserve">otní znak diabetické </w:t>
      </w:r>
      <w:r w:rsidR="00C87F2C">
        <w:rPr>
          <w:rFonts w:ascii="Times New Roman" w:hAnsi="Times New Roman" w:cs="Times New Roman"/>
          <w:sz w:val="24"/>
          <w:szCs w:val="24"/>
        </w:rPr>
        <w:lastRenderedPageBreak/>
        <w:t>nefropatie,</w:t>
      </w:r>
      <w:r w:rsidR="00A9117D" w:rsidRPr="000D096C">
        <w:rPr>
          <w:rFonts w:ascii="Times New Roman" w:hAnsi="Times New Roman" w:cs="Times New Roman"/>
          <w:sz w:val="24"/>
          <w:szCs w:val="24"/>
        </w:rPr>
        <w:t xml:space="preserve"> </w:t>
      </w:r>
      <w:r w:rsidR="00C87F2C">
        <w:rPr>
          <w:rFonts w:ascii="Times New Roman" w:hAnsi="Times New Roman" w:cs="Times New Roman"/>
          <w:sz w:val="24"/>
          <w:szCs w:val="24"/>
        </w:rPr>
        <w:t>a</w:t>
      </w:r>
      <w:r w:rsidR="00A9117D" w:rsidRPr="000D096C">
        <w:rPr>
          <w:rFonts w:ascii="Times New Roman" w:hAnsi="Times New Roman" w:cs="Times New Roman"/>
          <w:sz w:val="24"/>
          <w:szCs w:val="24"/>
        </w:rPr>
        <w:t>čkoliv přesná mez glykémie nalačno pro jasné zvýšení tohoto rizika identifikována nebyla. V korejské průřezové studii (n</w:t>
      </w:r>
      <w:r w:rsidR="00C87F2C">
        <w:rPr>
          <w:rFonts w:ascii="Times New Roman" w:hAnsi="Times New Roman" w:cs="Times New Roman"/>
          <w:sz w:val="24"/>
          <w:szCs w:val="24"/>
        </w:rPr>
        <w:t xml:space="preserve"> </w:t>
      </w:r>
      <w:r w:rsidR="00A9117D" w:rsidRPr="000D096C">
        <w:rPr>
          <w:rFonts w:ascii="Times New Roman" w:hAnsi="Times New Roman" w:cs="Times New Roman"/>
          <w:sz w:val="24"/>
          <w:szCs w:val="24"/>
        </w:rPr>
        <w:t>=</w:t>
      </w:r>
      <w:r w:rsidR="00C87F2C">
        <w:rPr>
          <w:rFonts w:ascii="Times New Roman" w:hAnsi="Times New Roman" w:cs="Times New Roman"/>
          <w:sz w:val="24"/>
          <w:szCs w:val="24"/>
        </w:rPr>
        <w:t xml:space="preserve"> </w:t>
      </w:r>
      <w:r w:rsidR="00A9117D" w:rsidRPr="000D096C">
        <w:rPr>
          <w:rFonts w:ascii="Times New Roman" w:hAnsi="Times New Roman" w:cs="Times New Roman"/>
          <w:sz w:val="24"/>
          <w:szCs w:val="24"/>
        </w:rPr>
        <w:t>5</w:t>
      </w:r>
      <w:r w:rsidR="00C87F2C">
        <w:rPr>
          <w:rFonts w:ascii="Times New Roman" w:hAnsi="Times New Roman" w:cs="Times New Roman"/>
          <w:sz w:val="24"/>
          <w:szCs w:val="24"/>
        </w:rPr>
        <w:t xml:space="preserve"> </w:t>
      </w:r>
      <w:r w:rsidR="00A9117D" w:rsidRPr="000D096C">
        <w:rPr>
          <w:rFonts w:ascii="Times New Roman" w:hAnsi="Times New Roman" w:cs="Times New Roman"/>
          <w:sz w:val="24"/>
          <w:szCs w:val="24"/>
        </w:rPr>
        <w:t xml:space="preserve">202) rozdělili jedince na základě jejich lačných glykémií </w:t>
      </w:r>
      <w:r w:rsidR="00D322CE" w:rsidRPr="000D096C">
        <w:rPr>
          <w:rFonts w:ascii="Times New Roman" w:hAnsi="Times New Roman" w:cs="Times New Roman"/>
          <w:sz w:val="24"/>
          <w:szCs w:val="24"/>
        </w:rPr>
        <w:t>do 5 skupin: &lt;</w:t>
      </w:r>
      <w:r w:rsidR="003F77A7">
        <w:rPr>
          <w:rFonts w:ascii="Times New Roman" w:hAnsi="Times New Roman" w:cs="Times New Roman"/>
          <w:sz w:val="24"/>
          <w:szCs w:val="24"/>
        </w:rPr>
        <w:t xml:space="preserve"> </w:t>
      </w:r>
      <w:r w:rsidR="00D322CE" w:rsidRPr="000D096C">
        <w:rPr>
          <w:rFonts w:ascii="Times New Roman" w:hAnsi="Times New Roman" w:cs="Times New Roman"/>
          <w:sz w:val="24"/>
          <w:szCs w:val="24"/>
        </w:rPr>
        <w:t>5,0, 5,0-5,5, 5,6-</w:t>
      </w:r>
      <w:r w:rsidR="00A9117D" w:rsidRPr="000D096C">
        <w:rPr>
          <w:rFonts w:ascii="Times New Roman" w:hAnsi="Times New Roman" w:cs="Times New Roman"/>
          <w:sz w:val="24"/>
          <w:szCs w:val="24"/>
        </w:rPr>
        <w:t>6,0, 6,1-6,9 a ≥</w:t>
      </w:r>
      <w:r w:rsidR="003F77A7">
        <w:rPr>
          <w:rFonts w:ascii="Times New Roman" w:hAnsi="Times New Roman" w:cs="Times New Roman"/>
          <w:sz w:val="24"/>
          <w:szCs w:val="24"/>
        </w:rPr>
        <w:t xml:space="preserve"> </w:t>
      </w:r>
      <w:r w:rsidR="00A9117D" w:rsidRPr="000D096C">
        <w:rPr>
          <w:rFonts w:ascii="Times New Roman" w:hAnsi="Times New Roman" w:cs="Times New Roman"/>
          <w:sz w:val="24"/>
          <w:szCs w:val="24"/>
        </w:rPr>
        <w:t>7,0 mmol/l. V uvedených skupinách byl výskyt albuminurie 4,1 %, 6,0 %, 7,6 %, 12,3 % a 23,4 %, což naznačuje rozdíly v riziku albuminurie i v </w:t>
      </w:r>
      <w:r w:rsidR="0096431F" w:rsidRPr="000D096C">
        <w:rPr>
          <w:rFonts w:ascii="Times New Roman" w:hAnsi="Times New Roman" w:cs="Times New Roman"/>
          <w:sz w:val="24"/>
          <w:szCs w:val="24"/>
        </w:rPr>
        <w:t>rámci diagnostického rozmezí IFG</w:t>
      </w:r>
      <w:r w:rsidR="00A9117D" w:rsidRPr="000D096C">
        <w:rPr>
          <w:rFonts w:ascii="Times New Roman" w:hAnsi="Times New Roman" w:cs="Times New Roman"/>
          <w:sz w:val="24"/>
          <w:szCs w:val="24"/>
        </w:rPr>
        <w:t xml:space="preserve"> [</w:t>
      </w:r>
      <w:r w:rsidR="00C76B18">
        <w:rPr>
          <w:rFonts w:ascii="Times New Roman" w:hAnsi="Times New Roman" w:cs="Times New Roman"/>
          <w:sz w:val="24"/>
          <w:szCs w:val="24"/>
        </w:rPr>
        <w:t>88</w:t>
      </w:r>
      <w:r w:rsidR="00A9117D" w:rsidRPr="000D096C">
        <w:rPr>
          <w:rFonts w:ascii="Times New Roman" w:hAnsi="Times New Roman" w:cs="Times New Roman"/>
          <w:sz w:val="24"/>
          <w:szCs w:val="24"/>
        </w:rPr>
        <w:t>].</w:t>
      </w:r>
    </w:p>
    <w:p w:rsidR="00A9117D" w:rsidRPr="000D096C" w:rsidRDefault="00A9117D" w:rsidP="004567D5">
      <w:pPr>
        <w:pStyle w:val="FormtovanvHTML"/>
        <w:shd w:val="clear" w:color="auto" w:fill="FFFFFF"/>
        <w:spacing w:before="160" w:after="160"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Neuropatie</w:t>
      </w:r>
    </w:p>
    <w:p w:rsidR="00A45198" w:rsidRPr="000D096C" w:rsidRDefault="00A45198" w:rsidP="004567D5">
      <w:pPr>
        <w:pStyle w:val="FormtovanvHTML"/>
        <w:shd w:val="clear" w:color="auto" w:fill="FFFFFF"/>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Zatímco periferní neuropatie (PN) bývala tradičně považována za pozdní komplikaci diabetu, přibývají důkazy o jejím spoje</w:t>
      </w:r>
      <w:r w:rsidR="008610BB">
        <w:rPr>
          <w:rFonts w:ascii="Times New Roman" w:hAnsi="Times New Roman" w:cs="Times New Roman"/>
          <w:sz w:val="24"/>
          <w:szCs w:val="24"/>
        </w:rPr>
        <w:t>ní již s prediabetem. Zhruba 25-</w:t>
      </w:r>
      <w:r w:rsidRPr="000D096C">
        <w:rPr>
          <w:rFonts w:ascii="Times New Roman" w:hAnsi="Times New Roman" w:cs="Times New Roman"/>
          <w:sz w:val="24"/>
          <w:szCs w:val="24"/>
        </w:rPr>
        <w:t>62 % jedinců s idiopatickou PN má prediabetes a 11</w:t>
      </w:r>
      <w:r w:rsidR="008610BB">
        <w:rPr>
          <w:rFonts w:ascii="Times New Roman" w:hAnsi="Times New Roman" w:cs="Times New Roman"/>
          <w:sz w:val="24"/>
          <w:szCs w:val="24"/>
        </w:rPr>
        <w:t>-</w:t>
      </w:r>
      <w:r w:rsidRPr="000D096C">
        <w:rPr>
          <w:rFonts w:ascii="Times New Roman" w:hAnsi="Times New Roman" w:cs="Times New Roman"/>
          <w:sz w:val="24"/>
          <w:szCs w:val="24"/>
        </w:rPr>
        <w:t>25 % jedinců s prediabetem trpí PN, 13</w:t>
      </w:r>
      <w:r w:rsidR="008610BB">
        <w:rPr>
          <w:rFonts w:ascii="Times New Roman" w:hAnsi="Times New Roman" w:cs="Times New Roman"/>
          <w:sz w:val="24"/>
          <w:szCs w:val="24"/>
        </w:rPr>
        <w:t>-</w:t>
      </w:r>
      <w:r w:rsidRPr="000D096C">
        <w:rPr>
          <w:rFonts w:ascii="Times New Roman" w:hAnsi="Times New Roman" w:cs="Times New Roman"/>
          <w:sz w:val="24"/>
          <w:szCs w:val="24"/>
        </w:rPr>
        <w:t>21 % neuropatickými bolestmi</w:t>
      </w:r>
      <w:r w:rsidR="00C76B18">
        <w:rPr>
          <w:rFonts w:ascii="Times New Roman" w:hAnsi="Times New Roman" w:cs="Times New Roman"/>
          <w:sz w:val="24"/>
          <w:szCs w:val="24"/>
        </w:rPr>
        <w:t xml:space="preserve"> [89</w:t>
      </w:r>
      <w:r w:rsidR="00032CDD" w:rsidRPr="000D096C">
        <w:rPr>
          <w:rFonts w:ascii="Times New Roman" w:hAnsi="Times New Roman" w:cs="Times New Roman"/>
          <w:sz w:val="24"/>
          <w:szCs w:val="24"/>
        </w:rPr>
        <w:t>]</w:t>
      </w:r>
      <w:r w:rsidRPr="000D096C">
        <w:rPr>
          <w:rFonts w:ascii="Times New Roman" w:hAnsi="Times New Roman" w:cs="Times New Roman"/>
          <w:sz w:val="24"/>
          <w:szCs w:val="24"/>
        </w:rPr>
        <w:t xml:space="preserve">. Jako u některých výše zmíněných </w:t>
      </w:r>
      <w:r w:rsidR="00EC7C81" w:rsidRPr="000D096C">
        <w:rPr>
          <w:rFonts w:ascii="Times New Roman" w:hAnsi="Times New Roman" w:cs="Times New Roman"/>
          <w:sz w:val="24"/>
          <w:szCs w:val="24"/>
        </w:rPr>
        <w:t>komplikací</w:t>
      </w:r>
      <w:r w:rsidR="004E138D">
        <w:rPr>
          <w:rFonts w:ascii="Times New Roman" w:hAnsi="Times New Roman" w:cs="Times New Roman"/>
          <w:sz w:val="24"/>
          <w:szCs w:val="24"/>
        </w:rPr>
        <w:t xml:space="preserve"> i v případě</w:t>
      </w:r>
      <w:r w:rsidRPr="000D096C">
        <w:rPr>
          <w:rFonts w:ascii="Times New Roman" w:hAnsi="Times New Roman" w:cs="Times New Roman"/>
          <w:sz w:val="24"/>
          <w:szCs w:val="24"/>
        </w:rPr>
        <w:t xml:space="preserve"> PN existu</w:t>
      </w:r>
      <w:r w:rsidR="00EC7C81" w:rsidRPr="000D096C">
        <w:rPr>
          <w:rFonts w:ascii="Times New Roman" w:hAnsi="Times New Roman" w:cs="Times New Roman"/>
          <w:sz w:val="24"/>
          <w:szCs w:val="24"/>
        </w:rPr>
        <w:t>jí důkazy o její vzestupné prevalenci</w:t>
      </w:r>
      <w:r w:rsidRPr="000D096C">
        <w:rPr>
          <w:rFonts w:ascii="Times New Roman" w:hAnsi="Times New Roman" w:cs="Times New Roman"/>
          <w:sz w:val="24"/>
          <w:szCs w:val="24"/>
        </w:rPr>
        <w:t xml:space="preserve"> od normoglykemiků přes jedince s IFG, IGT až k</w:t>
      </w:r>
      <w:r w:rsidR="00032CDD" w:rsidRPr="000D096C">
        <w:rPr>
          <w:rFonts w:ascii="Times New Roman" w:hAnsi="Times New Roman" w:cs="Times New Roman"/>
          <w:sz w:val="24"/>
          <w:szCs w:val="24"/>
        </w:rPr>
        <w:t> </w:t>
      </w:r>
      <w:r w:rsidRPr="000D096C">
        <w:rPr>
          <w:rFonts w:ascii="Times New Roman" w:hAnsi="Times New Roman" w:cs="Times New Roman"/>
          <w:sz w:val="24"/>
          <w:szCs w:val="24"/>
        </w:rPr>
        <w:t>diabetikům</w:t>
      </w:r>
      <w:r w:rsidR="00C76B18">
        <w:rPr>
          <w:rFonts w:ascii="Times New Roman" w:hAnsi="Times New Roman" w:cs="Times New Roman"/>
          <w:sz w:val="24"/>
          <w:szCs w:val="24"/>
        </w:rPr>
        <w:t xml:space="preserve"> [90</w:t>
      </w:r>
      <w:r w:rsidR="00032CDD" w:rsidRPr="000D096C">
        <w:rPr>
          <w:rFonts w:ascii="Times New Roman" w:hAnsi="Times New Roman" w:cs="Times New Roman"/>
          <w:sz w:val="24"/>
          <w:szCs w:val="24"/>
        </w:rPr>
        <w:t>]</w:t>
      </w:r>
      <w:r w:rsidRPr="000D096C">
        <w:rPr>
          <w:rFonts w:ascii="Times New Roman" w:hAnsi="Times New Roman" w:cs="Times New Roman"/>
          <w:sz w:val="24"/>
          <w:szCs w:val="24"/>
        </w:rPr>
        <w:t>.</w:t>
      </w:r>
      <w:r w:rsidR="00032CDD" w:rsidRPr="000D096C">
        <w:rPr>
          <w:rFonts w:ascii="Times New Roman" w:hAnsi="Times New Roman" w:cs="Times New Roman"/>
          <w:sz w:val="24"/>
          <w:szCs w:val="24"/>
        </w:rPr>
        <w:t xml:space="preserve"> </w:t>
      </w:r>
      <w:r w:rsidRPr="000D096C">
        <w:rPr>
          <w:rFonts w:ascii="Times New Roman" w:hAnsi="Times New Roman" w:cs="Times New Roman"/>
          <w:sz w:val="24"/>
          <w:szCs w:val="24"/>
        </w:rPr>
        <w:t>Ve studii MONICA/KORA zahrnující 195 d</w:t>
      </w:r>
      <w:r w:rsidR="00EC7C81" w:rsidRPr="000D096C">
        <w:rPr>
          <w:rFonts w:ascii="Times New Roman" w:hAnsi="Times New Roman" w:cs="Times New Roman"/>
          <w:sz w:val="24"/>
          <w:szCs w:val="24"/>
        </w:rPr>
        <w:t xml:space="preserve">iabetiků a 198 kontrol, </w:t>
      </w:r>
      <w:r w:rsidRPr="000D096C">
        <w:rPr>
          <w:rFonts w:ascii="Times New Roman" w:hAnsi="Times New Roman" w:cs="Times New Roman"/>
          <w:sz w:val="24"/>
          <w:szCs w:val="24"/>
        </w:rPr>
        <w:t>rozdělených dle výsledků OGTT</w:t>
      </w:r>
      <w:r w:rsidR="00EC7C81" w:rsidRPr="000D096C">
        <w:rPr>
          <w:rFonts w:ascii="Times New Roman" w:hAnsi="Times New Roman" w:cs="Times New Roman"/>
          <w:sz w:val="24"/>
          <w:szCs w:val="24"/>
        </w:rPr>
        <w:t>,</w:t>
      </w:r>
      <w:r w:rsidRPr="000D096C">
        <w:rPr>
          <w:rFonts w:ascii="Times New Roman" w:hAnsi="Times New Roman" w:cs="Times New Roman"/>
          <w:sz w:val="24"/>
          <w:szCs w:val="24"/>
        </w:rPr>
        <w:t xml:space="preserve"> byla PN odhalena u 28 % diabetiků, 13 % jedinců s IGT, 11,3 % s IFG </w:t>
      </w:r>
      <w:r w:rsidR="00EC7C81" w:rsidRPr="000D096C">
        <w:rPr>
          <w:rFonts w:ascii="Times New Roman" w:hAnsi="Times New Roman" w:cs="Times New Roman"/>
          <w:sz w:val="24"/>
          <w:szCs w:val="24"/>
        </w:rPr>
        <w:t xml:space="preserve">(ADA kritéria) </w:t>
      </w:r>
      <w:r w:rsidRPr="000D096C">
        <w:rPr>
          <w:rFonts w:ascii="Times New Roman" w:hAnsi="Times New Roman" w:cs="Times New Roman"/>
          <w:sz w:val="24"/>
          <w:szCs w:val="24"/>
        </w:rPr>
        <w:t>a 7,4 % normoglykemiků.</w:t>
      </w:r>
      <w:r w:rsidR="00032CDD" w:rsidRPr="000D096C">
        <w:rPr>
          <w:rFonts w:ascii="Times New Roman" w:hAnsi="Times New Roman" w:cs="Times New Roman"/>
          <w:sz w:val="24"/>
          <w:szCs w:val="24"/>
        </w:rPr>
        <w:t xml:space="preserve"> </w:t>
      </w:r>
      <w:r w:rsidR="00EC7C81" w:rsidRPr="000D096C">
        <w:rPr>
          <w:rFonts w:ascii="Times New Roman" w:hAnsi="Times New Roman" w:cs="Times New Roman"/>
          <w:sz w:val="24"/>
          <w:szCs w:val="24"/>
        </w:rPr>
        <w:t>P</w:t>
      </w:r>
      <w:r w:rsidRPr="000D096C">
        <w:rPr>
          <w:rFonts w:ascii="Times New Roman" w:hAnsi="Times New Roman" w:cs="Times New Roman"/>
          <w:sz w:val="24"/>
          <w:szCs w:val="24"/>
        </w:rPr>
        <w:t>řítomnost neuropatických bolestí</w:t>
      </w:r>
      <w:r w:rsidR="00EC7C81" w:rsidRPr="000D096C">
        <w:rPr>
          <w:rFonts w:ascii="Times New Roman" w:hAnsi="Times New Roman" w:cs="Times New Roman"/>
          <w:sz w:val="24"/>
          <w:szCs w:val="24"/>
        </w:rPr>
        <w:t xml:space="preserve"> byla ve stejných skupinách 13,3 %</w:t>
      </w:r>
      <w:r w:rsidRPr="000D096C">
        <w:rPr>
          <w:rFonts w:ascii="Times New Roman" w:hAnsi="Times New Roman" w:cs="Times New Roman"/>
          <w:sz w:val="24"/>
          <w:szCs w:val="24"/>
        </w:rPr>
        <w:t>, 8,7 %</w:t>
      </w:r>
      <w:r w:rsidR="00EC7C81" w:rsidRPr="000D096C">
        <w:rPr>
          <w:rFonts w:ascii="Times New Roman" w:hAnsi="Times New Roman" w:cs="Times New Roman"/>
          <w:sz w:val="24"/>
          <w:szCs w:val="24"/>
        </w:rPr>
        <w:t>, 4,2 % a 1,2 %</w:t>
      </w:r>
      <w:r w:rsidR="003F77A7">
        <w:rPr>
          <w:rFonts w:ascii="Times New Roman" w:hAnsi="Times New Roman" w:cs="Times New Roman"/>
          <w:sz w:val="24"/>
          <w:szCs w:val="24"/>
        </w:rPr>
        <w:t xml:space="preserve"> [91</w:t>
      </w:r>
      <w:r w:rsidR="00032CDD" w:rsidRPr="000D096C">
        <w:rPr>
          <w:rFonts w:ascii="Times New Roman" w:hAnsi="Times New Roman" w:cs="Times New Roman"/>
          <w:sz w:val="24"/>
          <w:szCs w:val="24"/>
        </w:rPr>
        <w:t>]</w:t>
      </w:r>
      <w:r w:rsidRPr="000D096C">
        <w:rPr>
          <w:rFonts w:ascii="Times New Roman" w:hAnsi="Times New Roman" w:cs="Times New Roman"/>
          <w:sz w:val="24"/>
          <w:szCs w:val="24"/>
        </w:rPr>
        <w:t>. Z kvalitativního hlediska je PN u prediabetiků mírnější, spojená zejména se senzitivním deficitem a minimálním poškozením motorických funkcí</w:t>
      </w:r>
      <w:r w:rsidR="003F77A7">
        <w:rPr>
          <w:rFonts w:ascii="Times New Roman" w:hAnsi="Times New Roman" w:cs="Times New Roman"/>
          <w:sz w:val="24"/>
          <w:szCs w:val="24"/>
        </w:rPr>
        <w:t xml:space="preserve"> [89</w:t>
      </w:r>
      <w:r w:rsidR="00032CDD" w:rsidRPr="000D096C">
        <w:rPr>
          <w:rFonts w:ascii="Times New Roman" w:hAnsi="Times New Roman" w:cs="Times New Roman"/>
          <w:sz w:val="24"/>
          <w:szCs w:val="24"/>
        </w:rPr>
        <w:t>]</w:t>
      </w:r>
      <w:r w:rsidRPr="000D096C">
        <w:rPr>
          <w:rFonts w:ascii="Times New Roman" w:hAnsi="Times New Roman" w:cs="Times New Roman"/>
          <w:sz w:val="24"/>
          <w:szCs w:val="24"/>
        </w:rPr>
        <w:t>.</w:t>
      </w:r>
      <w:r w:rsidR="00EC7C81" w:rsidRPr="000D096C">
        <w:rPr>
          <w:rFonts w:ascii="Times New Roman" w:hAnsi="Times New Roman" w:cs="Times New Roman"/>
          <w:sz w:val="24"/>
          <w:szCs w:val="24"/>
        </w:rPr>
        <w:t xml:space="preserve"> </w:t>
      </w:r>
      <w:r w:rsidR="00D322CE" w:rsidRPr="000D096C">
        <w:rPr>
          <w:rFonts w:ascii="Times New Roman" w:hAnsi="Times New Roman" w:cs="Times New Roman"/>
          <w:sz w:val="24"/>
          <w:szCs w:val="24"/>
        </w:rPr>
        <w:t>U diabetiků jsou z</w:t>
      </w:r>
      <w:r w:rsidR="00EC7C81" w:rsidRPr="000D096C">
        <w:rPr>
          <w:rFonts w:ascii="Times New Roman" w:hAnsi="Times New Roman" w:cs="Times New Roman"/>
          <w:sz w:val="24"/>
          <w:szCs w:val="24"/>
        </w:rPr>
        <w:t>tráta plantární citlivosti a mechanický stres považovány za rozhodující faktory při vzniku kožních defektů typických pro své obtížné a</w:t>
      </w:r>
      <w:r w:rsidR="00BB3FFF">
        <w:rPr>
          <w:rFonts w:ascii="Times New Roman" w:hAnsi="Times New Roman" w:cs="Times New Roman"/>
          <w:sz w:val="24"/>
          <w:szCs w:val="24"/>
        </w:rPr>
        <w:t> </w:t>
      </w:r>
      <w:r w:rsidR="00EC7C81" w:rsidRPr="000D096C">
        <w:rPr>
          <w:rFonts w:ascii="Times New Roman" w:hAnsi="Times New Roman" w:cs="Times New Roman"/>
          <w:sz w:val="24"/>
          <w:szCs w:val="24"/>
        </w:rPr>
        <w:t xml:space="preserve">dlouhé hojení, mnohdy spojených se vznikem vážných vředových komplikací (diabetická noha). </w:t>
      </w:r>
      <w:r w:rsidR="005654CB" w:rsidRPr="000D096C">
        <w:rPr>
          <w:rFonts w:ascii="Times New Roman" w:hAnsi="Times New Roman" w:cs="Times New Roman"/>
          <w:sz w:val="24"/>
          <w:szCs w:val="24"/>
        </w:rPr>
        <w:t>U prediabetiků byl nalezen poškozený vzorec vadné distribuce plan</w:t>
      </w:r>
      <w:r w:rsidR="00C87F2C">
        <w:rPr>
          <w:rFonts w:ascii="Times New Roman" w:hAnsi="Times New Roman" w:cs="Times New Roman"/>
          <w:sz w:val="24"/>
          <w:szCs w:val="24"/>
        </w:rPr>
        <w:t>tárního tlaku podobný tomu u dia</w:t>
      </w:r>
      <w:r w:rsidR="005654CB" w:rsidRPr="000D096C">
        <w:rPr>
          <w:rFonts w:ascii="Times New Roman" w:hAnsi="Times New Roman" w:cs="Times New Roman"/>
          <w:sz w:val="24"/>
          <w:szCs w:val="24"/>
        </w:rPr>
        <w:t>betiků</w:t>
      </w:r>
      <w:r w:rsidR="003F77A7">
        <w:rPr>
          <w:rFonts w:ascii="Times New Roman" w:hAnsi="Times New Roman" w:cs="Times New Roman"/>
          <w:sz w:val="24"/>
          <w:szCs w:val="24"/>
        </w:rPr>
        <w:t xml:space="preserve"> [92</w:t>
      </w:r>
      <w:r w:rsidR="00032CDD" w:rsidRPr="000D096C">
        <w:rPr>
          <w:rFonts w:ascii="Times New Roman" w:hAnsi="Times New Roman" w:cs="Times New Roman"/>
          <w:sz w:val="24"/>
          <w:szCs w:val="24"/>
        </w:rPr>
        <w:t>]</w:t>
      </w:r>
      <w:r w:rsidR="005654CB" w:rsidRPr="000D096C">
        <w:rPr>
          <w:rFonts w:ascii="Times New Roman" w:hAnsi="Times New Roman" w:cs="Times New Roman"/>
          <w:sz w:val="24"/>
          <w:szCs w:val="24"/>
        </w:rPr>
        <w:t>.</w:t>
      </w:r>
    </w:p>
    <w:p w:rsidR="00A45198" w:rsidRPr="000D096C" w:rsidRDefault="00A164E0" w:rsidP="00C4374C">
      <w:pPr>
        <w:pStyle w:val="Nadpis4"/>
      </w:pPr>
      <w:r w:rsidRPr="000D096C">
        <w:t>Onkol</w:t>
      </w:r>
      <w:bookmarkStart w:id="86" w:name="_GoBack"/>
      <w:bookmarkEnd w:id="86"/>
      <w:r w:rsidRPr="000D096C">
        <w:t>ogická onemocnění</w:t>
      </w:r>
    </w:p>
    <w:p w:rsidR="00A45198" w:rsidRPr="000D096C" w:rsidRDefault="00A45198"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Prediabetes je rovněž spo</w:t>
      </w:r>
      <w:r w:rsidR="00D44978" w:rsidRPr="000D096C">
        <w:rPr>
          <w:rFonts w:ascii="Times New Roman" w:hAnsi="Times New Roman" w:cs="Times New Roman"/>
          <w:sz w:val="24"/>
          <w:szCs w:val="24"/>
        </w:rPr>
        <w:t xml:space="preserve">jený se zvýšeným </w:t>
      </w:r>
      <w:r w:rsidRPr="000D096C">
        <w:rPr>
          <w:rFonts w:ascii="Times New Roman" w:hAnsi="Times New Roman" w:cs="Times New Roman"/>
          <w:sz w:val="24"/>
          <w:szCs w:val="24"/>
        </w:rPr>
        <w:t>rizikem</w:t>
      </w:r>
      <w:r w:rsidR="00D44978" w:rsidRPr="000D096C">
        <w:rPr>
          <w:rFonts w:ascii="Times New Roman" w:hAnsi="Times New Roman" w:cs="Times New Roman"/>
          <w:sz w:val="24"/>
          <w:szCs w:val="24"/>
        </w:rPr>
        <w:t xml:space="preserve"> onkologických onemocnění. Prediabetici </w:t>
      </w:r>
      <w:r w:rsidRPr="000D096C">
        <w:rPr>
          <w:rFonts w:ascii="Times New Roman" w:hAnsi="Times New Roman" w:cs="Times New Roman"/>
          <w:sz w:val="24"/>
          <w:szCs w:val="24"/>
        </w:rPr>
        <w:t>mají oproti normoglykemickým jedincům přibližně o 15 % zvýšenou pravděpodobnost, že onemocní karcinomem (diabetici zhruba o 20-25</w:t>
      </w:r>
      <w:r w:rsidR="00C87F2C">
        <w:rPr>
          <w:rFonts w:ascii="Times New Roman" w:hAnsi="Times New Roman" w:cs="Times New Roman"/>
          <w:sz w:val="24"/>
          <w:szCs w:val="24"/>
        </w:rPr>
        <w:t xml:space="preserve"> </w:t>
      </w:r>
      <w:r w:rsidRPr="000D096C">
        <w:rPr>
          <w:rFonts w:ascii="Times New Roman" w:hAnsi="Times New Roman" w:cs="Times New Roman"/>
          <w:sz w:val="24"/>
          <w:szCs w:val="24"/>
        </w:rPr>
        <w:t>%), a přibližně o 13</w:t>
      </w:r>
      <w:r w:rsidR="006054C1" w:rsidRPr="000D096C">
        <w:rPr>
          <w:rFonts w:ascii="Times New Roman" w:hAnsi="Times New Roman" w:cs="Times New Roman"/>
          <w:sz w:val="24"/>
          <w:szCs w:val="24"/>
        </w:rPr>
        <w:t xml:space="preserve"> </w:t>
      </w:r>
      <w:r w:rsidRPr="000D096C">
        <w:rPr>
          <w:rFonts w:ascii="Times New Roman" w:hAnsi="Times New Roman" w:cs="Times New Roman"/>
          <w:sz w:val="24"/>
          <w:szCs w:val="24"/>
        </w:rPr>
        <w:t>% vyšší</w:t>
      </w:r>
      <w:r w:rsidR="006054C1" w:rsidRPr="000D096C">
        <w:rPr>
          <w:rFonts w:ascii="Times New Roman" w:hAnsi="Times New Roman" w:cs="Times New Roman"/>
          <w:sz w:val="24"/>
          <w:szCs w:val="24"/>
        </w:rPr>
        <w:t xml:space="preserve"> mortalitu v důsledku nádorových</w:t>
      </w:r>
      <w:r w:rsidRPr="000D096C">
        <w:rPr>
          <w:rFonts w:ascii="Times New Roman" w:hAnsi="Times New Roman" w:cs="Times New Roman"/>
          <w:sz w:val="24"/>
          <w:szCs w:val="24"/>
        </w:rPr>
        <w:t xml:space="preserve"> onemocnění</w:t>
      </w:r>
      <w:r w:rsidR="003F77A7">
        <w:rPr>
          <w:rFonts w:ascii="Times New Roman" w:hAnsi="Times New Roman" w:cs="Times New Roman"/>
          <w:sz w:val="24"/>
          <w:szCs w:val="24"/>
        </w:rPr>
        <w:t xml:space="preserve"> [93, 94</w:t>
      </w:r>
      <w:r w:rsidR="00DC47BC" w:rsidRPr="000D096C">
        <w:rPr>
          <w:rFonts w:ascii="Times New Roman" w:hAnsi="Times New Roman" w:cs="Times New Roman"/>
          <w:sz w:val="24"/>
          <w:szCs w:val="24"/>
        </w:rPr>
        <w:t>]</w:t>
      </w:r>
      <w:r w:rsidRPr="000D096C">
        <w:rPr>
          <w:rFonts w:ascii="Times New Roman" w:hAnsi="Times New Roman" w:cs="Times New Roman"/>
          <w:sz w:val="24"/>
          <w:szCs w:val="24"/>
        </w:rPr>
        <w:t>.</w:t>
      </w:r>
      <w:r w:rsidR="00DC47BC" w:rsidRPr="000D096C">
        <w:rPr>
          <w:rFonts w:ascii="Times New Roman" w:hAnsi="Times New Roman" w:cs="Times New Roman"/>
          <w:sz w:val="24"/>
          <w:szCs w:val="24"/>
        </w:rPr>
        <w:t xml:space="preserve"> </w:t>
      </w:r>
      <w:r w:rsidR="00D44978" w:rsidRPr="000D096C">
        <w:rPr>
          <w:rFonts w:ascii="Times New Roman" w:hAnsi="Times New Roman" w:cs="Times New Roman"/>
          <w:sz w:val="24"/>
          <w:szCs w:val="24"/>
        </w:rPr>
        <w:t>Prediabetes a onkologická onemocnění mají mnoho společných aspektů a jsou spojeny jak biologicky, tak epidemiologicky. Pro obě jednotky je typická obvykle dlouhá patogeneze od prvotních patofyziologických změn a řada společných rizikových faktorů, jako je věk, výživa, kouření nebo obezita. Zvýšení rizika onkologických</w:t>
      </w:r>
      <w:r w:rsidRPr="000D096C">
        <w:rPr>
          <w:rFonts w:ascii="Times New Roman" w:hAnsi="Times New Roman" w:cs="Times New Roman"/>
          <w:sz w:val="24"/>
          <w:szCs w:val="24"/>
        </w:rPr>
        <w:t xml:space="preserve"> onemocnění </w:t>
      </w:r>
      <w:r w:rsidR="00D44978" w:rsidRPr="000D096C">
        <w:rPr>
          <w:rFonts w:ascii="Times New Roman" w:hAnsi="Times New Roman" w:cs="Times New Roman"/>
          <w:sz w:val="24"/>
          <w:szCs w:val="24"/>
        </w:rPr>
        <w:t xml:space="preserve">u poruch metabolismu glukózy </w:t>
      </w:r>
      <w:r w:rsidRPr="000D096C">
        <w:rPr>
          <w:rFonts w:ascii="Times New Roman" w:hAnsi="Times New Roman" w:cs="Times New Roman"/>
          <w:sz w:val="24"/>
          <w:szCs w:val="24"/>
        </w:rPr>
        <w:t>je d</w:t>
      </w:r>
      <w:r w:rsidR="006054C1" w:rsidRPr="000D096C">
        <w:rPr>
          <w:rFonts w:ascii="Times New Roman" w:hAnsi="Times New Roman" w:cs="Times New Roman"/>
          <w:sz w:val="24"/>
          <w:szCs w:val="24"/>
        </w:rPr>
        <w:t>áno kombinací několika</w:t>
      </w:r>
      <w:r w:rsidRPr="000D096C">
        <w:rPr>
          <w:rFonts w:ascii="Times New Roman" w:hAnsi="Times New Roman" w:cs="Times New Roman"/>
          <w:sz w:val="24"/>
          <w:szCs w:val="24"/>
        </w:rPr>
        <w:t xml:space="preserve"> patof</w:t>
      </w:r>
      <w:r w:rsidR="00D44978" w:rsidRPr="000D096C">
        <w:rPr>
          <w:rFonts w:ascii="Times New Roman" w:hAnsi="Times New Roman" w:cs="Times New Roman"/>
          <w:sz w:val="24"/>
          <w:szCs w:val="24"/>
        </w:rPr>
        <w:t xml:space="preserve">yziologických mechanismů, např. </w:t>
      </w:r>
      <w:r w:rsidRPr="000D096C">
        <w:rPr>
          <w:rFonts w:ascii="Times New Roman" w:hAnsi="Times New Roman" w:cs="Times New Roman"/>
          <w:sz w:val="24"/>
          <w:szCs w:val="24"/>
        </w:rPr>
        <w:t>nárůst</w:t>
      </w:r>
      <w:r w:rsidR="006054C1" w:rsidRPr="000D096C">
        <w:rPr>
          <w:rFonts w:ascii="Times New Roman" w:hAnsi="Times New Roman" w:cs="Times New Roman"/>
          <w:sz w:val="24"/>
          <w:szCs w:val="24"/>
        </w:rPr>
        <w:t>em</w:t>
      </w:r>
      <w:r w:rsidR="00D44978" w:rsidRPr="000D096C">
        <w:rPr>
          <w:rFonts w:ascii="Times New Roman" w:hAnsi="Times New Roman" w:cs="Times New Roman"/>
          <w:sz w:val="24"/>
          <w:szCs w:val="24"/>
        </w:rPr>
        <w:t xml:space="preserve"> oxidačního</w:t>
      </w:r>
      <w:r w:rsidRPr="000D096C">
        <w:rPr>
          <w:rFonts w:ascii="Times New Roman" w:hAnsi="Times New Roman" w:cs="Times New Roman"/>
          <w:sz w:val="24"/>
          <w:szCs w:val="24"/>
        </w:rPr>
        <w:t xml:space="preserve"> stresu</w:t>
      </w:r>
      <w:r w:rsidR="00077447" w:rsidRPr="000D096C">
        <w:rPr>
          <w:rFonts w:ascii="Times New Roman" w:hAnsi="Times New Roman" w:cs="Times New Roman"/>
          <w:sz w:val="24"/>
          <w:szCs w:val="24"/>
        </w:rPr>
        <w:t>,</w:t>
      </w:r>
      <w:r w:rsidRPr="000D096C">
        <w:rPr>
          <w:rFonts w:ascii="Times New Roman" w:hAnsi="Times New Roman" w:cs="Times New Roman"/>
          <w:sz w:val="24"/>
          <w:szCs w:val="24"/>
        </w:rPr>
        <w:t xml:space="preserve"> mitózu stimulující</w:t>
      </w:r>
      <w:r w:rsidR="006054C1" w:rsidRPr="000D096C">
        <w:rPr>
          <w:rFonts w:ascii="Times New Roman" w:hAnsi="Times New Roman" w:cs="Times New Roman"/>
          <w:sz w:val="24"/>
          <w:szCs w:val="24"/>
        </w:rPr>
        <w:t>m</w:t>
      </w:r>
      <w:r w:rsidRPr="000D096C">
        <w:rPr>
          <w:rFonts w:ascii="Times New Roman" w:hAnsi="Times New Roman" w:cs="Times New Roman"/>
          <w:sz w:val="24"/>
          <w:szCs w:val="24"/>
        </w:rPr>
        <w:t xml:space="preserve"> efekt</w:t>
      </w:r>
      <w:r w:rsidR="006054C1" w:rsidRPr="000D096C">
        <w:rPr>
          <w:rFonts w:ascii="Times New Roman" w:hAnsi="Times New Roman" w:cs="Times New Roman"/>
          <w:sz w:val="24"/>
          <w:szCs w:val="24"/>
        </w:rPr>
        <w:t>em</w:t>
      </w:r>
      <w:r w:rsidRPr="000D096C">
        <w:rPr>
          <w:rFonts w:ascii="Times New Roman" w:hAnsi="Times New Roman" w:cs="Times New Roman"/>
          <w:sz w:val="24"/>
          <w:szCs w:val="24"/>
        </w:rPr>
        <w:t xml:space="preserve"> hyperinzulinémie</w:t>
      </w:r>
      <w:r w:rsidR="006054C1" w:rsidRPr="000D096C">
        <w:rPr>
          <w:rFonts w:ascii="Times New Roman" w:hAnsi="Times New Roman" w:cs="Times New Roman"/>
          <w:sz w:val="24"/>
          <w:szCs w:val="24"/>
        </w:rPr>
        <w:t>, změnami</w:t>
      </w:r>
      <w:r w:rsidR="00077447" w:rsidRPr="000D096C">
        <w:rPr>
          <w:rFonts w:ascii="Times New Roman" w:hAnsi="Times New Roman" w:cs="Times New Roman"/>
          <w:sz w:val="24"/>
          <w:szCs w:val="24"/>
        </w:rPr>
        <w:t xml:space="preserve"> </w:t>
      </w:r>
      <w:r w:rsidR="00077447" w:rsidRPr="000D096C">
        <w:rPr>
          <w:rFonts w:ascii="Times New Roman" w:hAnsi="Times New Roman" w:cs="Times New Roman"/>
          <w:sz w:val="24"/>
          <w:szCs w:val="24"/>
        </w:rPr>
        <w:lastRenderedPageBreak/>
        <w:t>v</w:t>
      </w:r>
      <w:r w:rsidR="00762125">
        <w:rPr>
          <w:rFonts w:ascii="Times New Roman" w:hAnsi="Times New Roman" w:cs="Times New Roman"/>
          <w:sz w:val="24"/>
          <w:szCs w:val="24"/>
        </w:rPr>
        <w:t> </w:t>
      </w:r>
      <w:r w:rsidR="00077447" w:rsidRPr="000D096C">
        <w:rPr>
          <w:rFonts w:ascii="Times New Roman" w:hAnsi="Times New Roman" w:cs="Times New Roman"/>
          <w:sz w:val="24"/>
          <w:szCs w:val="24"/>
        </w:rPr>
        <w:t>hladinách insulin-like growth</w:t>
      </w:r>
      <w:r w:rsidR="006054C1" w:rsidRPr="000D096C">
        <w:rPr>
          <w:rFonts w:ascii="Times New Roman" w:hAnsi="Times New Roman" w:cs="Times New Roman"/>
          <w:sz w:val="24"/>
          <w:szCs w:val="24"/>
        </w:rPr>
        <w:t xml:space="preserve"> faktoru 1, chronickým</w:t>
      </w:r>
      <w:r w:rsidR="00077447" w:rsidRPr="000D096C">
        <w:rPr>
          <w:rFonts w:ascii="Times New Roman" w:hAnsi="Times New Roman" w:cs="Times New Roman"/>
          <w:sz w:val="24"/>
          <w:szCs w:val="24"/>
        </w:rPr>
        <w:t xml:space="preserve"> subklinický</w:t>
      </w:r>
      <w:r w:rsidR="006054C1" w:rsidRPr="000D096C">
        <w:rPr>
          <w:rFonts w:ascii="Times New Roman" w:hAnsi="Times New Roman" w:cs="Times New Roman"/>
          <w:sz w:val="24"/>
          <w:szCs w:val="24"/>
        </w:rPr>
        <w:t>m</w:t>
      </w:r>
      <w:r w:rsidR="00077447" w:rsidRPr="000D096C">
        <w:rPr>
          <w:rFonts w:ascii="Times New Roman" w:hAnsi="Times New Roman" w:cs="Times New Roman"/>
          <w:sz w:val="24"/>
          <w:szCs w:val="24"/>
        </w:rPr>
        <w:t xml:space="preserve"> zánět</w:t>
      </w:r>
      <w:r w:rsidR="006054C1" w:rsidRPr="000D096C">
        <w:rPr>
          <w:rFonts w:ascii="Times New Roman" w:hAnsi="Times New Roman" w:cs="Times New Roman"/>
          <w:sz w:val="24"/>
          <w:szCs w:val="24"/>
        </w:rPr>
        <w:t>em, odchylkami</w:t>
      </w:r>
      <w:r w:rsidR="00077447" w:rsidRPr="000D096C">
        <w:rPr>
          <w:rFonts w:ascii="Times New Roman" w:hAnsi="Times New Roman" w:cs="Times New Roman"/>
          <w:sz w:val="24"/>
          <w:szCs w:val="24"/>
        </w:rPr>
        <w:t xml:space="preserve"> v pohlavních hormonech (zvláště estrogenu) a adi</w:t>
      </w:r>
      <w:r w:rsidR="008610BB">
        <w:rPr>
          <w:rFonts w:ascii="Times New Roman" w:hAnsi="Times New Roman" w:cs="Times New Roman"/>
          <w:sz w:val="24"/>
          <w:szCs w:val="24"/>
        </w:rPr>
        <w:t>pok</w:t>
      </w:r>
      <w:r w:rsidR="00077447" w:rsidRPr="000D096C">
        <w:rPr>
          <w:rFonts w:ascii="Times New Roman" w:hAnsi="Times New Roman" w:cs="Times New Roman"/>
          <w:sz w:val="24"/>
          <w:szCs w:val="24"/>
        </w:rPr>
        <w:t>inech</w:t>
      </w:r>
      <w:r w:rsidR="003F77A7">
        <w:rPr>
          <w:rFonts w:ascii="Times New Roman" w:hAnsi="Times New Roman" w:cs="Times New Roman"/>
          <w:sz w:val="24"/>
          <w:szCs w:val="24"/>
        </w:rPr>
        <w:t xml:space="preserve"> [95</w:t>
      </w:r>
      <w:r w:rsidR="00DC47BC" w:rsidRPr="000D096C">
        <w:rPr>
          <w:rFonts w:ascii="Times New Roman" w:hAnsi="Times New Roman" w:cs="Times New Roman"/>
          <w:sz w:val="24"/>
          <w:szCs w:val="24"/>
        </w:rPr>
        <w:t>]</w:t>
      </w:r>
      <w:r w:rsidR="00077447" w:rsidRPr="000D096C">
        <w:rPr>
          <w:rFonts w:ascii="Times New Roman" w:hAnsi="Times New Roman" w:cs="Times New Roman"/>
          <w:sz w:val="24"/>
          <w:szCs w:val="24"/>
        </w:rPr>
        <w:t>.</w:t>
      </w:r>
      <w:r w:rsidRPr="000D096C">
        <w:rPr>
          <w:rFonts w:ascii="Times New Roman" w:hAnsi="Times New Roman" w:cs="Times New Roman"/>
          <w:sz w:val="24"/>
          <w:szCs w:val="24"/>
        </w:rPr>
        <w:t xml:space="preserve"> </w:t>
      </w:r>
    </w:p>
    <w:p w:rsidR="00A45198" w:rsidRPr="000D096C" w:rsidRDefault="00F8566F" w:rsidP="004567D5">
      <w:pPr>
        <w:pStyle w:val="Bezmezer"/>
        <w:spacing w:line="360" w:lineRule="auto"/>
        <w:ind w:firstLine="708"/>
        <w:jc w:val="both"/>
        <w:rPr>
          <w:rFonts w:ascii="Times New Roman" w:hAnsi="Times New Roman" w:cs="Times New Roman"/>
          <w:sz w:val="24"/>
          <w:szCs w:val="24"/>
          <w:shd w:val="clear" w:color="auto" w:fill="FFFFFF"/>
        </w:rPr>
      </w:pPr>
      <w:r w:rsidRPr="000D096C">
        <w:rPr>
          <w:rFonts w:ascii="Times New Roman" w:hAnsi="Times New Roman" w:cs="Times New Roman"/>
          <w:sz w:val="24"/>
          <w:szCs w:val="24"/>
        </w:rPr>
        <w:t>Epidemiologicky byl v</w:t>
      </w:r>
      <w:r w:rsidR="00A45198" w:rsidRPr="000D096C">
        <w:rPr>
          <w:rFonts w:ascii="Times New Roman" w:hAnsi="Times New Roman" w:cs="Times New Roman"/>
          <w:sz w:val="24"/>
          <w:szCs w:val="24"/>
        </w:rPr>
        <w:t xml:space="preserve">liv prediabetu </w:t>
      </w:r>
      <w:r w:rsidRPr="000D096C">
        <w:rPr>
          <w:rFonts w:ascii="Times New Roman" w:hAnsi="Times New Roman" w:cs="Times New Roman"/>
          <w:sz w:val="24"/>
          <w:szCs w:val="24"/>
        </w:rPr>
        <w:t xml:space="preserve">prokázán na zvýšení </w:t>
      </w:r>
      <w:r w:rsidR="00A45198" w:rsidRPr="000D096C">
        <w:rPr>
          <w:rFonts w:ascii="Times New Roman" w:hAnsi="Times New Roman" w:cs="Times New Roman"/>
          <w:sz w:val="24"/>
          <w:szCs w:val="24"/>
        </w:rPr>
        <w:t xml:space="preserve">rizika </w:t>
      </w:r>
      <w:r w:rsidRPr="000D096C">
        <w:rPr>
          <w:rFonts w:ascii="Times New Roman" w:hAnsi="Times New Roman" w:cs="Times New Roman"/>
          <w:sz w:val="24"/>
          <w:szCs w:val="24"/>
        </w:rPr>
        <w:t xml:space="preserve">nádorového bujení </w:t>
      </w:r>
      <w:r w:rsidR="00A45198" w:rsidRPr="000D096C">
        <w:rPr>
          <w:rFonts w:ascii="Times New Roman" w:hAnsi="Times New Roman" w:cs="Times New Roman"/>
          <w:sz w:val="24"/>
          <w:szCs w:val="24"/>
        </w:rPr>
        <w:t>u</w:t>
      </w:r>
      <w:r w:rsidR="00BB3FFF">
        <w:rPr>
          <w:rFonts w:ascii="Times New Roman" w:hAnsi="Times New Roman" w:cs="Times New Roman"/>
          <w:sz w:val="24"/>
          <w:szCs w:val="24"/>
        </w:rPr>
        <w:t> </w:t>
      </w:r>
      <w:r w:rsidR="00A45198" w:rsidRPr="000D096C">
        <w:rPr>
          <w:rFonts w:ascii="Times New Roman" w:hAnsi="Times New Roman" w:cs="Times New Roman"/>
          <w:sz w:val="24"/>
          <w:szCs w:val="24"/>
        </w:rPr>
        <w:t>tkáně prsu, pankreatu, kolorekta, jater, endometria a žaludku</w:t>
      </w:r>
      <w:r w:rsidR="003F77A7">
        <w:rPr>
          <w:rFonts w:ascii="Times New Roman" w:hAnsi="Times New Roman" w:cs="Times New Roman"/>
          <w:sz w:val="24"/>
          <w:szCs w:val="24"/>
        </w:rPr>
        <w:t xml:space="preserve"> [95</w:t>
      </w:r>
      <w:r w:rsidR="00DC47BC" w:rsidRPr="000D096C">
        <w:rPr>
          <w:rFonts w:ascii="Times New Roman" w:hAnsi="Times New Roman" w:cs="Times New Roman"/>
          <w:sz w:val="24"/>
          <w:szCs w:val="24"/>
        </w:rPr>
        <w:t>]</w:t>
      </w:r>
      <w:r w:rsidR="00A45198" w:rsidRPr="000D096C">
        <w:rPr>
          <w:rFonts w:ascii="Times New Roman" w:hAnsi="Times New Roman" w:cs="Times New Roman"/>
          <w:sz w:val="24"/>
          <w:szCs w:val="24"/>
        </w:rPr>
        <w:t xml:space="preserve">. </w:t>
      </w:r>
      <w:r w:rsidR="00A45198" w:rsidRPr="000D096C">
        <w:rPr>
          <w:rFonts w:ascii="Times New Roman" w:hAnsi="Times New Roman" w:cs="Times New Roman"/>
          <w:sz w:val="24"/>
          <w:szCs w:val="24"/>
          <w:shd w:val="clear" w:color="auto" w:fill="FFFFFF"/>
        </w:rPr>
        <w:t>U karcinomu prsu zvyšuje přítomnost prediabetu šanci na jeho vznik zhruba dvojnásobně, jak dokládají studi</w:t>
      </w:r>
      <w:r w:rsidR="002A7DC2" w:rsidRPr="000D096C">
        <w:rPr>
          <w:rFonts w:ascii="Times New Roman" w:hAnsi="Times New Roman" w:cs="Times New Roman"/>
          <w:sz w:val="24"/>
          <w:szCs w:val="24"/>
          <w:shd w:val="clear" w:color="auto" w:fill="FFFFFF"/>
        </w:rPr>
        <w:t>e případů a</w:t>
      </w:r>
      <w:r w:rsidR="00BB3FFF">
        <w:rPr>
          <w:rFonts w:ascii="Times New Roman" w:hAnsi="Times New Roman" w:cs="Times New Roman"/>
          <w:sz w:val="24"/>
          <w:szCs w:val="24"/>
          <w:shd w:val="clear" w:color="auto" w:fill="FFFFFF"/>
        </w:rPr>
        <w:t> </w:t>
      </w:r>
      <w:r w:rsidR="002A7DC2" w:rsidRPr="000D096C">
        <w:rPr>
          <w:rFonts w:ascii="Times New Roman" w:hAnsi="Times New Roman" w:cs="Times New Roman"/>
          <w:sz w:val="24"/>
          <w:szCs w:val="24"/>
          <w:shd w:val="clear" w:color="auto" w:fill="FFFFFF"/>
        </w:rPr>
        <w:t>kontrol Crispo a kol</w:t>
      </w:r>
      <w:r w:rsidR="00A45198" w:rsidRPr="000D096C">
        <w:rPr>
          <w:rFonts w:ascii="Times New Roman" w:hAnsi="Times New Roman" w:cs="Times New Roman"/>
          <w:sz w:val="24"/>
          <w:szCs w:val="24"/>
          <w:shd w:val="clear" w:color="auto" w:fill="FFFFFF"/>
        </w:rPr>
        <w:t>.</w:t>
      </w:r>
      <w:r w:rsidRPr="000D096C">
        <w:rPr>
          <w:rFonts w:ascii="Times New Roman" w:hAnsi="Times New Roman" w:cs="Times New Roman"/>
          <w:sz w:val="24"/>
          <w:szCs w:val="24"/>
          <w:shd w:val="clear" w:color="auto" w:fill="FFFFFF"/>
        </w:rPr>
        <w:t xml:space="preserve"> (OR 1,94, 95% KI</w:t>
      </w:r>
      <w:r w:rsidR="00A45198" w:rsidRPr="000D096C">
        <w:rPr>
          <w:rFonts w:ascii="Times New Roman" w:hAnsi="Times New Roman" w:cs="Times New Roman"/>
          <w:sz w:val="24"/>
          <w:szCs w:val="24"/>
          <w:shd w:val="clear" w:color="auto" w:fill="FFFFFF"/>
        </w:rPr>
        <w:t xml:space="preserve"> 1,32-2,87)</w:t>
      </w:r>
      <w:r w:rsidR="006054C1" w:rsidRPr="000D096C">
        <w:rPr>
          <w:rFonts w:ascii="Times New Roman" w:hAnsi="Times New Roman" w:cs="Times New Roman"/>
          <w:sz w:val="24"/>
          <w:szCs w:val="24"/>
          <w:shd w:val="clear" w:color="auto" w:fill="FFFFFF"/>
        </w:rPr>
        <w:t xml:space="preserve"> nebo</w:t>
      </w:r>
      <w:r w:rsidR="002A7DC2" w:rsidRPr="000D096C">
        <w:rPr>
          <w:rFonts w:ascii="Times New Roman" w:hAnsi="Times New Roman" w:cs="Times New Roman"/>
          <w:sz w:val="24"/>
          <w:szCs w:val="24"/>
          <w:shd w:val="clear" w:color="auto" w:fill="FFFFFF"/>
        </w:rPr>
        <w:t xml:space="preserve"> Salinas-Martínez s kol</w:t>
      </w:r>
      <w:r w:rsidR="00A45198" w:rsidRPr="000D096C">
        <w:rPr>
          <w:rFonts w:ascii="Times New Roman" w:hAnsi="Times New Roman" w:cs="Times New Roman"/>
          <w:sz w:val="24"/>
          <w:szCs w:val="24"/>
          <w:shd w:val="clear" w:color="auto" w:fill="FFFFFF"/>
        </w:rPr>
        <w:t>. (</w:t>
      </w:r>
      <w:r w:rsidRPr="000D096C">
        <w:rPr>
          <w:rFonts w:ascii="Times New Roman" w:hAnsi="Times New Roman" w:cs="Times New Roman"/>
          <w:sz w:val="24"/>
          <w:szCs w:val="24"/>
        </w:rPr>
        <w:t>OR 2</w:t>
      </w:r>
      <w:r w:rsidR="008610BB">
        <w:rPr>
          <w:rFonts w:ascii="Times New Roman" w:hAnsi="Times New Roman" w:cs="Times New Roman"/>
          <w:sz w:val="24"/>
          <w:szCs w:val="24"/>
        </w:rPr>
        <w:t>,</w:t>
      </w:r>
      <w:r w:rsidRPr="000D096C">
        <w:rPr>
          <w:rFonts w:ascii="Times New Roman" w:hAnsi="Times New Roman" w:cs="Times New Roman"/>
          <w:sz w:val="24"/>
          <w:szCs w:val="24"/>
        </w:rPr>
        <w:t>08, 95% KI</w:t>
      </w:r>
      <w:r w:rsidR="00A45198" w:rsidRPr="000D096C">
        <w:rPr>
          <w:rFonts w:ascii="Times New Roman" w:hAnsi="Times New Roman" w:cs="Times New Roman"/>
          <w:sz w:val="24"/>
          <w:szCs w:val="24"/>
        </w:rPr>
        <w:t xml:space="preserve"> 1</w:t>
      </w:r>
      <w:r w:rsidR="008610BB">
        <w:rPr>
          <w:rFonts w:ascii="Times New Roman" w:hAnsi="Times New Roman" w:cs="Times New Roman"/>
          <w:sz w:val="24"/>
          <w:szCs w:val="24"/>
        </w:rPr>
        <w:t>,</w:t>
      </w:r>
      <w:r w:rsidR="00A45198" w:rsidRPr="000D096C">
        <w:rPr>
          <w:rFonts w:ascii="Times New Roman" w:hAnsi="Times New Roman" w:cs="Times New Roman"/>
          <w:sz w:val="24"/>
          <w:szCs w:val="24"/>
        </w:rPr>
        <w:t>10–3</w:t>
      </w:r>
      <w:r w:rsidR="008610BB">
        <w:rPr>
          <w:rFonts w:ascii="Times New Roman" w:hAnsi="Times New Roman" w:cs="Times New Roman"/>
          <w:sz w:val="24"/>
          <w:szCs w:val="24"/>
        </w:rPr>
        <w:t>,</w:t>
      </w:r>
      <w:r w:rsidR="00A45198" w:rsidRPr="000D096C">
        <w:rPr>
          <w:rFonts w:ascii="Times New Roman" w:hAnsi="Times New Roman" w:cs="Times New Roman"/>
          <w:sz w:val="24"/>
          <w:szCs w:val="24"/>
        </w:rPr>
        <w:t>96)</w:t>
      </w:r>
      <w:r w:rsidR="003F77A7">
        <w:rPr>
          <w:rFonts w:ascii="Times New Roman" w:hAnsi="Times New Roman" w:cs="Times New Roman"/>
          <w:sz w:val="24"/>
          <w:szCs w:val="24"/>
        </w:rPr>
        <w:t xml:space="preserve"> [96, 97</w:t>
      </w:r>
      <w:r w:rsidR="00DC47BC" w:rsidRPr="000D096C">
        <w:rPr>
          <w:rFonts w:ascii="Times New Roman" w:hAnsi="Times New Roman" w:cs="Times New Roman"/>
          <w:sz w:val="24"/>
          <w:szCs w:val="24"/>
        </w:rPr>
        <w:t>]</w:t>
      </w:r>
      <w:r w:rsidR="00A45198" w:rsidRPr="000D096C">
        <w:rPr>
          <w:rFonts w:ascii="Times New Roman" w:hAnsi="Times New Roman" w:cs="Times New Roman"/>
          <w:sz w:val="24"/>
          <w:szCs w:val="24"/>
        </w:rPr>
        <w:t xml:space="preserve">. </w:t>
      </w:r>
      <w:r w:rsidR="00A45198" w:rsidRPr="000D096C">
        <w:rPr>
          <w:rFonts w:ascii="Times New Roman" w:hAnsi="Times New Roman" w:cs="Times New Roman"/>
          <w:sz w:val="24"/>
          <w:szCs w:val="24"/>
          <w:shd w:val="clear" w:color="auto" w:fill="FFFFFF"/>
        </w:rPr>
        <w:t>V případě karcinomu pa</w:t>
      </w:r>
      <w:r w:rsidRPr="000D096C">
        <w:rPr>
          <w:rFonts w:ascii="Times New Roman" w:hAnsi="Times New Roman" w:cs="Times New Roman"/>
          <w:sz w:val="24"/>
          <w:szCs w:val="24"/>
          <w:shd w:val="clear" w:color="auto" w:fill="FFFFFF"/>
        </w:rPr>
        <w:t>nkreatu bylo meta-analýzou pěti</w:t>
      </w:r>
      <w:r w:rsidR="00A45198" w:rsidRPr="000D096C">
        <w:rPr>
          <w:rFonts w:ascii="Times New Roman" w:hAnsi="Times New Roman" w:cs="Times New Roman"/>
          <w:sz w:val="24"/>
          <w:szCs w:val="24"/>
          <w:shd w:val="clear" w:color="auto" w:fill="FFFFFF"/>
        </w:rPr>
        <w:t xml:space="preserve"> studií</w:t>
      </w:r>
      <w:r w:rsidRPr="000D096C">
        <w:rPr>
          <w:rFonts w:ascii="Times New Roman" w:hAnsi="Times New Roman" w:cs="Times New Roman"/>
          <w:sz w:val="24"/>
          <w:szCs w:val="24"/>
          <w:shd w:val="clear" w:color="auto" w:fill="FFFFFF"/>
        </w:rPr>
        <w:t xml:space="preserve"> (n</w:t>
      </w:r>
      <w:r w:rsidR="008610BB">
        <w:rPr>
          <w:rFonts w:ascii="Times New Roman" w:hAnsi="Times New Roman" w:cs="Times New Roman"/>
          <w:sz w:val="24"/>
          <w:szCs w:val="24"/>
          <w:shd w:val="clear" w:color="auto" w:fill="FFFFFF"/>
        </w:rPr>
        <w:t xml:space="preserve"> </w:t>
      </w:r>
      <w:r w:rsidRPr="000D096C">
        <w:rPr>
          <w:rFonts w:ascii="Times New Roman" w:hAnsi="Times New Roman" w:cs="Times New Roman"/>
          <w:sz w:val="24"/>
          <w:szCs w:val="24"/>
          <w:shd w:val="clear" w:color="auto" w:fill="FFFFFF"/>
        </w:rPr>
        <w:t>=</w:t>
      </w:r>
      <w:r w:rsidR="008610BB">
        <w:rPr>
          <w:rFonts w:ascii="Times New Roman" w:hAnsi="Times New Roman" w:cs="Times New Roman"/>
          <w:sz w:val="24"/>
          <w:szCs w:val="24"/>
          <w:shd w:val="clear" w:color="auto" w:fill="FFFFFF"/>
        </w:rPr>
        <w:t xml:space="preserve"> </w:t>
      </w:r>
      <w:r w:rsidRPr="000D096C">
        <w:rPr>
          <w:rFonts w:ascii="Times New Roman" w:hAnsi="Times New Roman" w:cs="Times New Roman"/>
          <w:sz w:val="24"/>
          <w:szCs w:val="24"/>
          <w:shd w:val="clear" w:color="auto" w:fill="FFFFFF"/>
        </w:rPr>
        <w:t>576)</w:t>
      </w:r>
      <w:r w:rsidR="00A45198" w:rsidRPr="000D096C">
        <w:rPr>
          <w:rFonts w:ascii="Times New Roman" w:hAnsi="Times New Roman" w:cs="Times New Roman"/>
          <w:sz w:val="24"/>
          <w:szCs w:val="24"/>
          <w:shd w:val="clear" w:color="auto" w:fill="FFFFFF"/>
        </w:rPr>
        <w:t xml:space="preserve"> zjištěno lineární zvýšení rizika tohoto onemocnění o 13</w:t>
      </w:r>
      <w:r w:rsidR="008610BB">
        <w:rPr>
          <w:rFonts w:ascii="Times New Roman" w:hAnsi="Times New Roman" w:cs="Times New Roman"/>
          <w:sz w:val="24"/>
          <w:szCs w:val="24"/>
          <w:shd w:val="clear" w:color="auto" w:fill="FFFFFF"/>
        </w:rPr>
        <w:t xml:space="preserve"> </w:t>
      </w:r>
      <w:r w:rsidR="00A45198" w:rsidRPr="000D096C">
        <w:rPr>
          <w:rFonts w:ascii="Times New Roman" w:hAnsi="Times New Roman" w:cs="Times New Roman"/>
          <w:sz w:val="24"/>
          <w:szCs w:val="24"/>
          <w:shd w:val="clear" w:color="auto" w:fill="FFFFFF"/>
        </w:rPr>
        <w:t>%</w:t>
      </w:r>
      <w:r w:rsidRPr="000D096C">
        <w:rPr>
          <w:rFonts w:ascii="Times New Roman" w:hAnsi="Times New Roman" w:cs="Times New Roman"/>
          <w:sz w:val="24"/>
          <w:szCs w:val="24"/>
          <w:shd w:val="clear" w:color="auto" w:fill="FFFFFF"/>
        </w:rPr>
        <w:t xml:space="preserve"> (RR 1,13, 95 % KI 1,08-1,019)</w:t>
      </w:r>
      <w:r w:rsidR="00A45198" w:rsidRPr="000D096C">
        <w:rPr>
          <w:rFonts w:ascii="Times New Roman" w:hAnsi="Times New Roman" w:cs="Times New Roman"/>
          <w:sz w:val="24"/>
          <w:szCs w:val="24"/>
          <w:shd w:val="clear" w:color="auto" w:fill="FFFFFF"/>
        </w:rPr>
        <w:t xml:space="preserve"> při navýšení lačné glykémie o každý 1 mmol/l</w:t>
      </w:r>
      <w:r w:rsidR="00DC47BC" w:rsidRPr="000D096C">
        <w:rPr>
          <w:rFonts w:ascii="Times New Roman" w:hAnsi="Times New Roman" w:cs="Times New Roman"/>
          <w:sz w:val="24"/>
          <w:szCs w:val="24"/>
          <w:shd w:val="clear" w:color="auto" w:fill="FFFFFF"/>
        </w:rPr>
        <w:t xml:space="preserve"> </w:t>
      </w:r>
      <w:r w:rsidR="003F77A7">
        <w:rPr>
          <w:rFonts w:ascii="Times New Roman" w:hAnsi="Times New Roman" w:cs="Times New Roman"/>
          <w:sz w:val="24"/>
          <w:szCs w:val="24"/>
        </w:rPr>
        <w:t>[98</w:t>
      </w:r>
      <w:r w:rsidR="00DC47BC" w:rsidRPr="000D096C">
        <w:rPr>
          <w:rFonts w:ascii="Times New Roman" w:hAnsi="Times New Roman" w:cs="Times New Roman"/>
          <w:sz w:val="24"/>
          <w:szCs w:val="24"/>
        </w:rPr>
        <w:t>]</w:t>
      </w:r>
      <w:r w:rsidR="00A45198" w:rsidRPr="000D096C">
        <w:rPr>
          <w:rFonts w:ascii="Times New Roman" w:hAnsi="Times New Roman" w:cs="Times New Roman"/>
          <w:sz w:val="24"/>
          <w:szCs w:val="24"/>
          <w:shd w:val="clear" w:color="auto" w:fill="FFFFFF"/>
        </w:rPr>
        <w:t>.</w:t>
      </w:r>
      <w:r w:rsidR="00A45198" w:rsidRPr="000D096C">
        <w:rPr>
          <w:rFonts w:ascii="Times New Roman" w:hAnsi="Times New Roman" w:cs="Times New Roman"/>
          <w:sz w:val="24"/>
          <w:szCs w:val="24"/>
        </w:rPr>
        <w:t xml:space="preserve"> Rozsáhlá meta-analýza </w:t>
      </w:r>
      <w:r w:rsidR="00A45198" w:rsidRPr="000D096C">
        <w:rPr>
          <w:rFonts w:ascii="Times New Roman" w:hAnsi="Times New Roman" w:cs="Times New Roman"/>
          <w:sz w:val="24"/>
          <w:szCs w:val="24"/>
          <w:shd w:val="clear" w:color="auto" w:fill="FFFFFF"/>
        </w:rPr>
        <w:t>prospektivních studií</w:t>
      </w:r>
      <w:r w:rsidRPr="000D096C">
        <w:rPr>
          <w:rFonts w:ascii="Times New Roman" w:hAnsi="Times New Roman" w:cs="Times New Roman"/>
          <w:sz w:val="24"/>
          <w:szCs w:val="24"/>
          <w:shd w:val="clear" w:color="auto" w:fill="FFFFFF"/>
        </w:rPr>
        <w:t xml:space="preserve"> </w:t>
      </w:r>
      <w:r w:rsidRPr="000D096C">
        <w:rPr>
          <w:rFonts w:ascii="Times New Roman" w:hAnsi="Times New Roman" w:cs="Times New Roman"/>
          <w:sz w:val="24"/>
          <w:szCs w:val="24"/>
        </w:rPr>
        <w:t>(n</w:t>
      </w:r>
      <w:r w:rsidR="008610BB">
        <w:rPr>
          <w:rFonts w:ascii="Times New Roman" w:hAnsi="Times New Roman" w:cs="Times New Roman"/>
          <w:sz w:val="24"/>
          <w:szCs w:val="24"/>
        </w:rPr>
        <w:t xml:space="preserve"> </w:t>
      </w:r>
      <w:r w:rsidRPr="000D096C">
        <w:rPr>
          <w:rFonts w:ascii="Times New Roman" w:hAnsi="Times New Roman" w:cs="Times New Roman"/>
          <w:sz w:val="24"/>
          <w:szCs w:val="24"/>
        </w:rPr>
        <w:t>=</w:t>
      </w:r>
      <w:r w:rsidR="008610BB">
        <w:rPr>
          <w:rFonts w:ascii="Times New Roman" w:hAnsi="Times New Roman" w:cs="Times New Roman"/>
          <w:sz w:val="24"/>
          <w:szCs w:val="24"/>
        </w:rPr>
        <w:t xml:space="preserve"> </w:t>
      </w:r>
      <w:r w:rsidRPr="000D096C">
        <w:rPr>
          <w:rFonts w:ascii="Times New Roman" w:hAnsi="Times New Roman" w:cs="Times New Roman"/>
          <w:sz w:val="24"/>
          <w:szCs w:val="24"/>
          <w:shd w:val="clear" w:color="auto" w:fill="FFFFFF"/>
        </w:rPr>
        <w:t>4</w:t>
      </w:r>
      <w:r w:rsidR="008610BB">
        <w:rPr>
          <w:rFonts w:ascii="Times New Roman" w:hAnsi="Times New Roman" w:cs="Times New Roman"/>
          <w:sz w:val="24"/>
          <w:szCs w:val="24"/>
          <w:shd w:val="clear" w:color="auto" w:fill="FFFFFF"/>
        </w:rPr>
        <w:t xml:space="preserve"> </w:t>
      </w:r>
      <w:r w:rsidRPr="000D096C">
        <w:rPr>
          <w:rFonts w:ascii="Times New Roman" w:hAnsi="Times New Roman" w:cs="Times New Roman"/>
          <w:sz w:val="24"/>
          <w:szCs w:val="24"/>
          <w:shd w:val="clear" w:color="auto" w:fill="FFFFFF"/>
        </w:rPr>
        <w:t>462</w:t>
      </w:r>
      <w:r w:rsidR="008610BB">
        <w:rPr>
          <w:rFonts w:ascii="Times New Roman" w:hAnsi="Times New Roman" w:cs="Times New Roman"/>
          <w:sz w:val="24"/>
          <w:szCs w:val="24"/>
          <w:shd w:val="clear" w:color="auto" w:fill="FFFFFF"/>
        </w:rPr>
        <w:t xml:space="preserve"> </w:t>
      </w:r>
      <w:r w:rsidRPr="000D096C">
        <w:rPr>
          <w:rFonts w:ascii="Times New Roman" w:hAnsi="Times New Roman" w:cs="Times New Roman"/>
          <w:sz w:val="24"/>
          <w:szCs w:val="24"/>
          <w:shd w:val="clear" w:color="auto" w:fill="FFFFFF"/>
        </w:rPr>
        <w:t>151)</w:t>
      </w:r>
      <w:r w:rsidR="006054C1" w:rsidRPr="000D096C">
        <w:rPr>
          <w:rFonts w:ascii="Times New Roman" w:hAnsi="Times New Roman" w:cs="Times New Roman"/>
          <w:sz w:val="24"/>
          <w:szCs w:val="24"/>
          <w:shd w:val="clear" w:color="auto" w:fill="FFFFFF"/>
        </w:rPr>
        <w:t xml:space="preserve"> prokázala</w:t>
      </w:r>
      <w:r w:rsidR="00A45198" w:rsidRPr="000D096C">
        <w:rPr>
          <w:rFonts w:ascii="Times New Roman" w:hAnsi="Times New Roman" w:cs="Times New Roman"/>
          <w:sz w:val="24"/>
          <w:szCs w:val="24"/>
          <w:shd w:val="clear" w:color="auto" w:fill="FFFFFF"/>
        </w:rPr>
        <w:t xml:space="preserve"> významnou lineární závislost mezi hodnotou lačné glykémie a rizikem vzniku</w:t>
      </w:r>
      <w:r w:rsidR="006054C1" w:rsidRPr="000D096C">
        <w:rPr>
          <w:rFonts w:ascii="Times New Roman" w:hAnsi="Times New Roman" w:cs="Times New Roman"/>
          <w:sz w:val="24"/>
          <w:szCs w:val="24"/>
          <w:shd w:val="clear" w:color="auto" w:fill="FFFFFF"/>
        </w:rPr>
        <w:t xml:space="preserve"> kolorektálního karcinomu. Každých</w:t>
      </w:r>
      <w:r w:rsidR="00A45198" w:rsidRPr="000D096C">
        <w:rPr>
          <w:rFonts w:ascii="Times New Roman" w:hAnsi="Times New Roman" w:cs="Times New Roman"/>
          <w:sz w:val="24"/>
          <w:szCs w:val="24"/>
          <w:shd w:val="clear" w:color="auto" w:fill="FFFFFF"/>
        </w:rPr>
        <w:t xml:space="preserve"> 1,11 mmol/l lačné glykémie představuje zvýšení rizika kolorektálního karcinomu o 1,5</w:t>
      </w:r>
      <w:r w:rsidR="008610BB">
        <w:rPr>
          <w:rFonts w:ascii="Times New Roman" w:hAnsi="Times New Roman" w:cs="Times New Roman"/>
          <w:sz w:val="24"/>
          <w:szCs w:val="24"/>
          <w:shd w:val="clear" w:color="auto" w:fill="FFFFFF"/>
        </w:rPr>
        <w:t xml:space="preserve"> </w:t>
      </w:r>
      <w:r w:rsidR="00A45198" w:rsidRPr="000D096C">
        <w:rPr>
          <w:rFonts w:ascii="Times New Roman" w:hAnsi="Times New Roman" w:cs="Times New Roman"/>
          <w:sz w:val="24"/>
          <w:szCs w:val="24"/>
          <w:shd w:val="clear" w:color="auto" w:fill="FFFFFF"/>
        </w:rPr>
        <w:t>%</w:t>
      </w:r>
      <w:r w:rsidRPr="000D096C">
        <w:rPr>
          <w:rFonts w:ascii="Times New Roman" w:hAnsi="Times New Roman" w:cs="Times New Roman"/>
          <w:sz w:val="24"/>
          <w:szCs w:val="24"/>
          <w:shd w:val="clear" w:color="auto" w:fill="FFFFFF"/>
        </w:rPr>
        <w:t xml:space="preserve"> (RR 1,015, 95 % KI 1,012-1,019)</w:t>
      </w:r>
      <w:r w:rsidR="00DC47BC" w:rsidRPr="000D096C">
        <w:rPr>
          <w:rFonts w:ascii="Times New Roman" w:hAnsi="Times New Roman" w:cs="Times New Roman"/>
          <w:sz w:val="24"/>
          <w:szCs w:val="24"/>
          <w:shd w:val="clear" w:color="auto" w:fill="FFFFFF"/>
        </w:rPr>
        <w:t xml:space="preserve"> </w:t>
      </w:r>
      <w:r w:rsidR="003F77A7">
        <w:rPr>
          <w:rFonts w:ascii="Times New Roman" w:hAnsi="Times New Roman" w:cs="Times New Roman"/>
          <w:sz w:val="24"/>
          <w:szCs w:val="24"/>
        </w:rPr>
        <w:t>[99</w:t>
      </w:r>
      <w:r w:rsidR="00DC47BC" w:rsidRPr="000D096C">
        <w:rPr>
          <w:rFonts w:ascii="Times New Roman" w:hAnsi="Times New Roman" w:cs="Times New Roman"/>
          <w:sz w:val="24"/>
          <w:szCs w:val="24"/>
        </w:rPr>
        <w:t>]</w:t>
      </w:r>
      <w:r w:rsidR="00A45198" w:rsidRPr="000D096C">
        <w:rPr>
          <w:rFonts w:ascii="Times New Roman" w:hAnsi="Times New Roman" w:cs="Times New Roman"/>
          <w:sz w:val="24"/>
          <w:szCs w:val="24"/>
          <w:shd w:val="clear" w:color="auto" w:fill="FFFFFF"/>
        </w:rPr>
        <w:t>.</w:t>
      </w:r>
      <w:r w:rsidRPr="000D096C">
        <w:rPr>
          <w:rFonts w:ascii="Times New Roman" w:hAnsi="Times New Roman" w:cs="Times New Roman"/>
          <w:sz w:val="24"/>
          <w:szCs w:val="24"/>
          <w:shd w:val="clear" w:color="auto" w:fill="FFFFFF"/>
        </w:rPr>
        <w:t xml:space="preserve"> </w:t>
      </w:r>
      <w:r w:rsidR="002A7DC2" w:rsidRPr="000D096C">
        <w:rPr>
          <w:rFonts w:ascii="Times New Roman" w:hAnsi="Times New Roman" w:cs="Times New Roman"/>
          <w:sz w:val="24"/>
          <w:szCs w:val="24"/>
          <w:shd w:val="clear" w:color="auto" w:fill="FFFFFF"/>
        </w:rPr>
        <w:t>Meta-analýza Xu a kol. (n</w:t>
      </w:r>
      <w:r w:rsidR="00762125">
        <w:rPr>
          <w:rFonts w:ascii="Times New Roman" w:hAnsi="Times New Roman" w:cs="Times New Roman"/>
          <w:sz w:val="24"/>
          <w:szCs w:val="24"/>
          <w:shd w:val="clear" w:color="auto" w:fill="FFFFFF"/>
        </w:rPr>
        <w:t> </w:t>
      </w:r>
      <w:r w:rsidR="002A7DC2" w:rsidRPr="000D096C">
        <w:rPr>
          <w:rFonts w:ascii="Times New Roman" w:hAnsi="Times New Roman" w:cs="Times New Roman"/>
          <w:sz w:val="24"/>
          <w:szCs w:val="24"/>
          <w:shd w:val="clear" w:color="auto" w:fill="FFFFFF"/>
        </w:rPr>
        <w:t>=</w:t>
      </w:r>
      <w:r w:rsidR="00762125">
        <w:rPr>
          <w:rFonts w:ascii="Times New Roman" w:hAnsi="Times New Roman" w:cs="Times New Roman"/>
          <w:sz w:val="24"/>
          <w:szCs w:val="24"/>
          <w:shd w:val="clear" w:color="auto" w:fill="FFFFFF"/>
        </w:rPr>
        <w:t> </w:t>
      </w:r>
      <w:r w:rsidR="002A7DC2" w:rsidRPr="000D096C">
        <w:rPr>
          <w:rFonts w:ascii="Times New Roman" w:hAnsi="Times New Roman" w:cs="Times New Roman"/>
          <w:sz w:val="24"/>
          <w:szCs w:val="24"/>
          <w:shd w:val="clear" w:color="auto" w:fill="FFFFFF"/>
        </w:rPr>
        <w:t>1</w:t>
      </w:r>
      <w:r w:rsidR="00762125">
        <w:rPr>
          <w:rFonts w:ascii="Times New Roman" w:hAnsi="Times New Roman" w:cs="Times New Roman"/>
          <w:sz w:val="24"/>
          <w:szCs w:val="24"/>
          <w:shd w:val="clear" w:color="auto" w:fill="FFFFFF"/>
        </w:rPr>
        <w:t> </w:t>
      </w:r>
      <w:r w:rsidR="002A7DC2" w:rsidRPr="000D096C">
        <w:rPr>
          <w:rFonts w:ascii="Times New Roman" w:hAnsi="Times New Roman" w:cs="Times New Roman"/>
          <w:sz w:val="24"/>
          <w:szCs w:val="24"/>
          <w:shd w:val="clear" w:color="auto" w:fill="FFFFFF"/>
        </w:rPr>
        <w:t>384</w:t>
      </w:r>
      <w:r w:rsidR="008610BB">
        <w:rPr>
          <w:rFonts w:ascii="Times New Roman" w:hAnsi="Times New Roman" w:cs="Times New Roman"/>
          <w:sz w:val="24"/>
          <w:szCs w:val="24"/>
          <w:shd w:val="clear" w:color="auto" w:fill="FFFFFF"/>
        </w:rPr>
        <w:t xml:space="preserve"> </w:t>
      </w:r>
      <w:r w:rsidR="002A7DC2" w:rsidRPr="000D096C">
        <w:rPr>
          <w:rFonts w:ascii="Times New Roman" w:hAnsi="Times New Roman" w:cs="Times New Roman"/>
          <w:sz w:val="24"/>
          <w:szCs w:val="24"/>
          <w:shd w:val="clear" w:color="auto" w:fill="FFFFFF"/>
        </w:rPr>
        <w:t>594) kvantifikovala vazbu mezi prediabetem a karcinomem j</w:t>
      </w:r>
      <w:r w:rsidR="0028218E">
        <w:rPr>
          <w:rFonts w:ascii="Times New Roman" w:hAnsi="Times New Roman" w:cs="Times New Roman"/>
          <w:sz w:val="24"/>
          <w:szCs w:val="24"/>
          <w:shd w:val="clear" w:color="auto" w:fill="FFFFFF"/>
        </w:rPr>
        <w:t>ater (hazard ratio 1,21, 95 % KI</w:t>
      </w:r>
      <w:r w:rsidR="002A7DC2" w:rsidRPr="000D096C">
        <w:rPr>
          <w:rFonts w:ascii="Times New Roman" w:hAnsi="Times New Roman" w:cs="Times New Roman"/>
          <w:sz w:val="24"/>
          <w:szCs w:val="24"/>
          <w:shd w:val="clear" w:color="auto" w:fill="FFFFFF"/>
        </w:rPr>
        <w:t xml:space="preserve"> 1,13-1,30)</w:t>
      </w:r>
      <w:r w:rsidR="00DC47BC" w:rsidRPr="000D096C">
        <w:rPr>
          <w:rFonts w:ascii="Times New Roman" w:hAnsi="Times New Roman" w:cs="Times New Roman"/>
          <w:sz w:val="24"/>
          <w:szCs w:val="24"/>
          <w:shd w:val="clear" w:color="auto" w:fill="FFFFFF"/>
        </w:rPr>
        <w:t xml:space="preserve"> </w:t>
      </w:r>
      <w:r w:rsidR="003F77A7">
        <w:rPr>
          <w:rFonts w:ascii="Times New Roman" w:hAnsi="Times New Roman" w:cs="Times New Roman"/>
          <w:sz w:val="24"/>
          <w:szCs w:val="24"/>
        </w:rPr>
        <w:t>[100</w:t>
      </w:r>
      <w:r w:rsidR="00DC47BC" w:rsidRPr="000D096C">
        <w:rPr>
          <w:rFonts w:ascii="Times New Roman" w:hAnsi="Times New Roman" w:cs="Times New Roman"/>
          <w:sz w:val="24"/>
          <w:szCs w:val="24"/>
        </w:rPr>
        <w:t>]</w:t>
      </w:r>
      <w:r w:rsidR="002A7DC2" w:rsidRPr="000D096C">
        <w:rPr>
          <w:rFonts w:ascii="Times New Roman" w:hAnsi="Times New Roman" w:cs="Times New Roman"/>
          <w:sz w:val="24"/>
          <w:szCs w:val="24"/>
          <w:shd w:val="clear" w:color="auto" w:fill="FFFFFF"/>
        </w:rPr>
        <w:t xml:space="preserve">. </w:t>
      </w:r>
      <w:r w:rsidR="00A45198" w:rsidRPr="000D096C">
        <w:rPr>
          <w:rFonts w:ascii="Times New Roman" w:hAnsi="Times New Roman" w:cs="Times New Roman"/>
          <w:sz w:val="24"/>
          <w:szCs w:val="24"/>
          <w:shd w:val="clear" w:color="auto" w:fill="FFFFFF"/>
        </w:rPr>
        <w:t>Množství dostupných dat o vztahu prediabetu a</w:t>
      </w:r>
      <w:r w:rsidR="00762125">
        <w:rPr>
          <w:rFonts w:ascii="Times New Roman" w:hAnsi="Times New Roman" w:cs="Times New Roman"/>
          <w:sz w:val="24"/>
          <w:szCs w:val="24"/>
          <w:shd w:val="clear" w:color="auto" w:fill="FFFFFF"/>
        </w:rPr>
        <w:t> </w:t>
      </w:r>
      <w:r w:rsidR="00A45198" w:rsidRPr="000D096C">
        <w:rPr>
          <w:rFonts w:ascii="Times New Roman" w:hAnsi="Times New Roman" w:cs="Times New Roman"/>
          <w:sz w:val="24"/>
          <w:szCs w:val="24"/>
          <w:shd w:val="clear" w:color="auto" w:fill="FFFFFF"/>
        </w:rPr>
        <w:t xml:space="preserve">onkologických onemocnění je vzhledem k rozmanitosti a rozsahu problematiky těchto onemocnění v porovnání s výše uvedenými </w:t>
      </w:r>
      <w:r w:rsidRPr="000D096C">
        <w:rPr>
          <w:rFonts w:ascii="Times New Roman" w:hAnsi="Times New Roman" w:cs="Times New Roman"/>
          <w:sz w:val="24"/>
          <w:szCs w:val="24"/>
          <w:shd w:val="clear" w:color="auto" w:fill="FFFFFF"/>
        </w:rPr>
        <w:t xml:space="preserve">(kardiovaskulárními) </w:t>
      </w:r>
      <w:r w:rsidR="00A45198" w:rsidRPr="000D096C">
        <w:rPr>
          <w:rFonts w:ascii="Times New Roman" w:hAnsi="Times New Roman" w:cs="Times New Roman"/>
          <w:sz w:val="24"/>
          <w:szCs w:val="24"/>
          <w:shd w:val="clear" w:color="auto" w:fill="FFFFFF"/>
        </w:rPr>
        <w:t>konsekvencemi prediabetu relativně malé a vyžaduje další výzkum, který by mohl přinést cenné informace</w:t>
      </w:r>
      <w:r w:rsidR="008610BB">
        <w:rPr>
          <w:rFonts w:ascii="Times New Roman" w:hAnsi="Times New Roman" w:cs="Times New Roman"/>
          <w:sz w:val="24"/>
          <w:szCs w:val="24"/>
          <w:shd w:val="clear" w:color="auto" w:fill="FFFFFF"/>
        </w:rPr>
        <w:t>.</w:t>
      </w:r>
    </w:p>
    <w:p w:rsidR="00E8095A" w:rsidRPr="000D096C" w:rsidRDefault="005C3970" w:rsidP="004567D5">
      <w:pPr>
        <w:pStyle w:val="Nadpis3"/>
        <w:spacing w:line="360" w:lineRule="auto"/>
        <w:rPr>
          <w:rFonts w:cs="Times New Roman"/>
          <w:shd w:val="clear" w:color="auto" w:fill="FFFFFF"/>
        </w:rPr>
      </w:pPr>
      <w:bookmarkStart w:id="87" w:name="_Toc33432680"/>
      <w:bookmarkStart w:id="88" w:name="_Toc33432900"/>
      <w:bookmarkStart w:id="89" w:name="_Toc33869539"/>
      <w:r w:rsidRPr="000D096C">
        <w:rPr>
          <w:rFonts w:cs="Times New Roman"/>
          <w:shd w:val="clear" w:color="auto" w:fill="FFFFFF"/>
        </w:rPr>
        <w:t>Detekce poruch metabolismu glukózy</w:t>
      </w:r>
      <w:bookmarkEnd w:id="87"/>
      <w:bookmarkEnd w:id="88"/>
      <w:bookmarkEnd w:id="89"/>
    </w:p>
    <w:p w:rsidR="00E8095A" w:rsidRPr="000D096C" w:rsidRDefault="00E8095A" w:rsidP="004567D5">
      <w:pPr>
        <w:pStyle w:val="Bezmezer"/>
        <w:spacing w:before="160" w:after="160" w:line="360" w:lineRule="auto"/>
        <w:jc w:val="both"/>
        <w:rPr>
          <w:rFonts w:ascii="Times New Roman" w:hAnsi="Times New Roman" w:cs="Times New Roman"/>
          <w:sz w:val="24"/>
          <w:szCs w:val="24"/>
          <w:shd w:val="clear" w:color="auto" w:fill="FFFFFF"/>
        </w:rPr>
      </w:pPr>
      <w:r w:rsidRPr="000D096C">
        <w:rPr>
          <w:rFonts w:ascii="Times New Roman" w:hAnsi="Times New Roman" w:cs="Times New Roman"/>
          <w:shd w:val="clear" w:color="auto" w:fill="FFFFFF"/>
        </w:rPr>
        <w:tab/>
      </w:r>
      <w:r w:rsidRPr="000D096C">
        <w:rPr>
          <w:rFonts w:ascii="Times New Roman" w:hAnsi="Times New Roman" w:cs="Times New Roman"/>
          <w:sz w:val="24"/>
          <w:szCs w:val="24"/>
          <w:shd w:val="clear" w:color="auto" w:fill="FFFFFF"/>
        </w:rPr>
        <w:t>Pro včasné odhalení poruch metabolismu glukózy je nanejvýš důležité provádět pravidelné preventivní prohlídky se zaměřením nejen na biochemické stanovení hladiny glykémie nalačno, ale i na celkové zhodnocení rizik vycházejících</w:t>
      </w:r>
      <w:r w:rsidR="00A66B64" w:rsidRPr="000D096C">
        <w:rPr>
          <w:rFonts w:ascii="Times New Roman" w:hAnsi="Times New Roman" w:cs="Times New Roman"/>
          <w:sz w:val="24"/>
          <w:szCs w:val="24"/>
          <w:shd w:val="clear" w:color="auto" w:fill="FFFFFF"/>
        </w:rPr>
        <w:t xml:space="preserve"> mimojiné</w:t>
      </w:r>
      <w:r w:rsidRPr="000D096C">
        <w:rPr>
          <w:rFonts w:ascii="Times New Roman" w:hAnsi="Times New Roman" w:cs="Times New Roman"/>
          <w:sz w:val="24"/>
          <w:szCs w:val="24"/>
          <w:shd w:val="clear" w:color="auto" w:fill="FFFFFF"/>
        </w:rPr>
        <w:t xml:space="preserve"> z antropometrických parametrů </w:t>
      </w:r>
      <w:r w:rsidR="003667E0" w:rsidRPr="000D096C">
        <w:rPr>
          <w:rFonts w:ascii="Times New Roman" w:hAnsi="Times New Roman" w:cs="Times New Roman"/>
          <w:sz w:val="24"/>
          <w:szCs w:val="24"/>
          <w:shd w:val="clear" w:color="auto" w:fill="FFFFFF"/>
        </w:rPr>
        <w:t xml:space="preserve">(zvláště OP) </w:t>
      </w:r>
      <w:r w:rsidRPr="000D096C">
        <w:rPr>
          <w:rFonts w:ascii="Times New Roman" w:hAnsi="Times New Roman" w:cs="Times New Roman"/>
          <w:sz w:val="24"/>
          <w:szCs w:val="24"/>
          <w:shd w:val="clear" w:color="auto" w:fill="FFFFFF"/>
        </w:rPr>
        <w:t xml:space="preserve">a anamnézy pacienta. Otázkou dalšího výzkumu je vyhodnocení efektivity analýzy HbA1c v primární </w:t>
      </w:r>
      <w:r w:rsidR="00571E4F" w:rsidRPr="000D096C">
        <w:rPr>
          <w:rFonts w:ascii="Times New Roman" w:hAnsi="Times New Roman" w:cs="Times New Roman"/>
          <w:sz w:val="24"/>
          <w:szCs w:val="24"/>
          <w:shd w:val="clear" w:color="auto" w:fill="FFFFFF"/>
        </w:rPr>
        <w:t>prevenci</w:t>
      </w:r>
      <w:r w:rsidRPr="000D096C">
        <w:rPr>
          <w:rFonts w:ascii="Times New Roman" w:hAnsi="Times New Roman" w:cs="Times New Roman"/>
          <w:sz w:val="24"/>
          <w:szCs w:val="24"/>
          <w:shd w:val="clear" w:color="auto" w:fill="FFFFFF"/>
        </w:rPr>
        <w:t>.</w:t>
      </w:r>
      <w:r w:rsidR="00571E4F" w:rsidRPr="000D096C">
        <w:rPr>
          <w:rFonts w:ascii="Times New Roman" w:hAnsi="Times New Roman" w:cs="Times New Roman"/>
          <w:sz w:val="24"/>
          <w:szCs w:val="24"/>
          <w:shd w:val="clear" w:color="auto" w:fill="FFFFFF"/>
        </w:rPr>
        <w:t xml:space="preserve"> Stejně tak stanovení IR pomocí nepřímých metod</w:t>
      </w:r>
      <w:r w:rsidR="008C3066" w:rsidRPr="000D096C">
        <w:rPr>
          <w:rFonts w:ascii="Times New Roman" w:hAnsi="Times New Roman" w:cs="Times New Roman"/>
          <w:sz w:val="24"/>
          <w:szCs w:val="24"/>
          <w:shd w:val="clear" w:color="auto" w:fill="FFFFFF"/>
        </w:rPr>
        <w:t xml:space="preserve"> (HOMA</w:t>
      </w:r>
      <w:r w:rsidR="00A66B64" w:rsidRPr="000D096C">
        <w:rPr>
          <w:rFonts w:ascii="Times New Roman" w:hAnsi="Times New Roman" w:cs="Times New Roman"/>
          <w:sz w:val="24"/>
          <w:szCs w:val="24"/>
          <w:shd w:val="clear" w:color="auto" w:fill="FFFFFF"/>
        </w:rPr>
        <w:t>-IR</w:t>
      </w:r>
      <w:r w:rsidR="008C3066" w:rsidRPr="000D096C">
        <w:rPr>
          <w:rFonts w:ascii="Times New Roman" w:hAnsi="Times New Roman" w:cs="Times New Roman"/>
          <w:sz w:val="24"/>
          <w:szCs w:val="24"/>
          <w:shd w:val="clear" w:color="auto" w:fill="FFFFFF"/>
        </w:rPr>
        <w:t>)</w:t>
      </w:r>
      <w:r w:rsidR="00571E4F" w:rsidRPr="000D096C">
        <w:rPr>
          <w:rFonts w:ascii="Times New Roman" w:hAnsi="Times New Roman" w:cs="Times New Roman"/>
          <w:sz w:val="24"/>
          <w:szCs w:val="24"/>
          <w:shd w:val="clear" w:color="auto" w:fill="FFFFFF"/>
        </w:rPr>
        <w:t xml:space="preserve"> </w:t>
      </w:r>
      <w:r w:rsidR="005C3970" w:rsidRPr="000D096C">
        <w:rPr>
          <w:rFonts w:ascii="Times New Roman" w:hAnsi="Times New Roman" w:cs="Times New Roman"/>
          <w:sz w:val="24"/>
          <w:szCs w:val="24"/>
          <w:shd w:val="clear" w:color="auto" w:fill="FFFFFF"/>
        </w:rPr>
        <w:t xml:space="preserve">by mohlo být v raném záchytu poruch metabolismu glukózy efektivní. </w:t>
      </w:r>
      <w:r w:rsidR="009C39BE" w:rsidRPr="000D096C">
        <w:rPr>
          <w:rFonts w:ascii="Times New Roman" w:hAnsi="Times New Roman" w:cs="Times New Roman"/>
          <w:sz w:val="24"/>
          <w:szCs w:val="24"/>
          <w:shd w:val="clear" w:color="auto" w:fill="FFFFFF"/>
        </w:rPr>
        <w:t xml:space="preserve">Rovněž detekce adipokinů by mohla přinést přínos v odhalování rizikových jedinců. V tomto smyslu se jeví jako slibný biomarker adiponectin, jehož pokles hraje důležitou roli v rozvoji IR, T2DM a MetS. Navíc sérové hodnoty tohoto hormonu tukové tkáně nejsou závislé na aktuálním lačnění </w:t>
      </w:r>
      <w:r w:rsidR="009C39BE" w:rsidRPr="000D096C">
        <w:rPr>
          <w:rFonts w:ascii="Times New Roman" w:hAnsi="Times New Roman" w:cs="Times New Roman"/>
          <w:sz w:val="24"/>
          <w:szCs w:val="24"/>
        </w:rPr>
        <w:t>[</w:t>
      </w:r>
      <w:r w:rsidR="00BE634B" w:rsidRPr="000D096C">
        <w:rPr>
          <w:rFonts w:ascii="Times New Roman" w:hAnsi="Times New Roman" w:cs="Times New Roman"/>
          <w:sz w:val="24"/>
          <w:szCs w:val="24"/>
        </w:rPr>
        <w:t>22</w:t>
      </w:r>
      <w:r w:rsidR="009C39BE" w:rsidRPr="000D096C">
        <w:rPr>
          <w:rFonts w:ascii="Times New Roman" w:hAnsi="Times New Roman" w:cs="Times New Roman"/>
          <w:sz w:val="24"/>
          <w:szCs w:val="24"/>
        </w:rPr>
        <w:t>]</w:t>
      </w:r>
      <w:r w:rsidR="009C39BE" w:rsidRPr="000D096C">
        <w:rPr>
          <w:rFonts w:ascii="Times New Roman" w:hAnsi="Times New Roman" w:cs="Times New Roman"/>
          <w:sz w:val="24"/>
          <w:szCs w:val="24"/>
          <w:shd w:val="clear" w:color="auto" w:fill="FFFFFF"/>
        </w:rPr>
        <w:t xml:space="preserve">. Analytické studie prokázaly </w:t>
      </w:r>
      <w:r w:rsidR="008C3066" w:rsidRPr="000D096C">
        <w:rPr>
          <w:rFonts w:ascii="Times New Roman" w:hAnsi="Times New Roman" w:cs="Times New Roman"/>
          <w:sz w:val="24"/>
          <w:szCs w:val="24"/>
          <w:shd w:val="clear" w:color="auto" w:fill="FFFFFF"/>
        </w:rPr>
        <w:t xml:space="preserve">schopnost homeostatických indexů a adiponectinu predikovat začátek poruch metabolismu glukózy </w:t>
      </w:r>
      <w:r w:rsidR="008C3066" w:rsidRPr="000D096C">
        <w:rPr>
          <w:rFonts w:ascii="Times New Roman" w:hAnsi="Times New Roman" w:cs="Times New Roman"/>
          <w:sz w:val="24"/>
          <w:szCs w:val="24"/>
        </w:rPr>
        <w:t>[</w:t>
      </w:r>
      <w:r w:rsidR="00BE634B" w:rsidRPr="000D096C">
        <w:rPr>
          <w:rFonts w:ascii="Times New Roman" w:hAnsi="Times New Roman" w:cs="Times New Roman"/>
          <w:sz w:val="24"/>
          <w:szCs w:val="24"/>
        </w:rPr>
        <w:t>10</w:t>
      </w:r>
      <w:r w:rsidR="003F77A7">
        <w:rPr>
          <w:rFonts w:ascii="Times New Roman" w:hAnsi="Times New Roman" w:cs="Times New Roman"/>
          <w:sz w:val="24"/>
          <w:szCs w:val="24"/>
        </w:rPr>
        <w:t>1</w:t>
      </w:r>
      <w:r w:rsidR="008C3066" w:rsidRPr="000D096C">
        <w:rPr>
          <w:rFonts w:ascii="Times New Roman" w:hAnsi="Times New Roman" w:cs="Times New Roman"/>
          <w:sz w:val="24"/>
          <w:szCs w:val="24"/>
        </w:rPr>
        <w:t>].</w:t>
      </w:r>
      <w:r w:rsidR="008C3066" w:rsidRPr="000D096C">
        <w:rPr>
          <w:rFonts w:ascii="Times New Roman" w:hAnsi="Times New Roman" w:cs="Times New Roman"/>
          <w:sz w:val="24"/>
          <w:szCs w:val="24"/>
          <w:shd w:val="clear" w:color="auto" w:fill="FFFFFF"/>
        </w:rPr>
        <w:t xml:space="preserve"> </w:t>
      </w:r>
      <w:r w:rsidR="009C39BE" w:rsidRPr="000D096C">
        <w:rPr>
          <w:rFonts w:ascii="Times New Roman" w:hAnsi="Times New Roman" w:cs="Times New Roman"/>
          <w:sz w:val="24"/>
          <w:szCs w:val="24"/>
          <w:shd w:val="clear" w:color="auto" w:fill="FFFFFF"/>
        </w:rPr>
        <w:t>Vzhledem ke komplexní a provázané patog</w:t>
      </w:r>
      <w:r w:rsidR="00FE42C1" w:rsidRPr="000D096C">
        <w:rPr>
          <w:rFonts w:ascii="Times New Roman" w:hAnsi="Times New Roman" w:cs="Times New Roman"/>
          <w:sz w:val="24"/>
          <w:szCs w:val="24"/>
          <w:shd w:val="clear" w:color="auto" w:fill="FFFFFF"/>
        </w:rPr>
        <w:t>enezi poruch glukózového metabolismu</w:t>
      </w:r>
      <w:r w:rsidR="009C39BE" w:rsidRPr="000D096C">
        <w:rPr>
          <w:rFonts w:ascii="Times New Roman" w:hAnsi="Times New Roman" w:cs="Times New Roman"/>
          <w:sz w:val="24"/>
          <w:szCs w:val="24"/>
          <w:shd w:val="clear" w:color="auto" w:fill="FFFFFF"/>
        </w:rPr>
        <w:t xml:space="preserve"> a</w:t>
      </w:r>
      <w:r w:rsidR="00BB3FFF">
        <w:rPr>
          <w:rFonts w:ascii="Times New Roman" w:hAnsi="Times New Roman" w:cs="Times New Roman"/>
          <w:sz w:val="24"/>
          <w:szCs w:val="24"/>
          <w:shd w:val="clear" w:color="auto" w:fill="FFFFFF"/>
        </w:rPr>
        <w:t> </w:t>
      </w:r>
      <w:r w:rsidR="009C39BE" w:rsidRPr="000D096C">
        <w:rPr>
          <w:rFonts w:ascii="Times New Roman" w:hAnsi="Times New Roman" w:cs="Times New Roman"/>
          <w:sz w:val="24"/>
          <w:szCs w:val="24"/>
          <w:shd w:val="clear" w:color="auto" w:fill="FFFFFF"/>
        </w:rPr>
        <w:t xml:space="preserve">komponent MetS by analýza IR a adipokinů mohla </w:t>
      </w:r>
      <w:r w:rsidR="009C39BE" w:rsidRPr="000D096C">
        <w:rPr>
          <w:rFonts w:ascii="Times New Roman" w:hAnsi="Times New Roman" w:cs="Times New Roman"/>
          <w:sz w:val="24"/>
          <w:szCs w:val="24"/>
          <w:shd w:val="clear" w:color="auto" w:fill="FFFFFF"/>
        </w:rPr>
        <w:lastRenderedPageBreak/>
        <w:t>přispívat k časnému záchytu osob v budoucnu zvýšeně ohrožených kardiometabolickými onemocněními. Cílenou prevencí by pak mohl být jejich vznik účinně zvrácen.</w:t>
      </w:r>
      <w:r w:rsidR="002801C2">
        <w:rPr>
          <w:rFonts w:ascii="Times New Roman" w:hAnsi="Times New Roman" w:cs="Times New Roman"/>
          <w:sz w:val="24"/>
          <w:szCs w:val="24"/>
          <w:shd w:val="clear" w:color="auto" w:fill="FFFFFF"/>
        </w:rPr>
        <w:t xml:space="preserve"> Obr.</w:t>
      </w:r>
      <w:r w:rsidR="008C3066" w:rsidRPr="000D096C">
        <w:rPr>
          <w:rFonts w:ascii="Times New Roman" w:hAnsi="Times New Roman" w:cs="Times New Roman"/>
          <w:sz w:val="24"/>
          <w:szCs w:val="24"/>
          <w:shd w:val="clear" w:color="auto" w:fill="FFFFFF"/>
        </w:rPr>
        <w:t xml:space="preserve"> 3 zobrazuje vývoj poruch metabolismu glukózy v čase se zaměřením na biomarkery jednotlivých fází.</w:t>
      </w:r>
    </w:p>
    <w:p w:rsidR="00C95481" w:rsidRPr="000D096C" w:rsidRDefault="00752773" w:rsidP="004567D5">
      <w:pPr>
        <w:spacing w:before="160" w:line="360" w:lineRule="auto"/>
        <w:jc w:val="both"/>
        <w:rPr>
          <w:rFonts w:ascii="Times New Roman" w:hAnsi="Times New Roman" w:cs="Times New Roman"/>
          <w:b/>
          <w:sz w:val="24"/>
          <w:szCs w:val="24"/>
        </w:rPr>
      </w:pPr>
      <w:r w:rsidRPr="000D096C">
        <w:rPr>
          <w:rFonts w:ascii="Times New Roman" w:hAnsi="Times New Roman" w:cs="Times New Roman"/>
          <w:noProof/>
          <w:sz w:val="24"/>
          <w:szCs w:val="24"/>
          <w:shd w:val="clear" w:color="auto" w:fill="FFFFFF"/>
          <w:lang w:eastAsia="cs-CZ"/>
        </w:rPr>
        <w:drawing>
          <wp:anchor distT="0" distB="0" distL="114300" distR="114300" simplePos="0" relativeHeight="251653632" behindDoc="1" locked="0" layoutInCell="1" allowOverlap="1">
            <wp:simplePos x="0" y="0"/>
            <wp:positionH relativeFrom="column">
              <wp:posOffset>-3810</wp:posOffset>
            </wp:positionH>
            <wp:positionV relativeFrom="paragraph">
              <wp:posOffset>653415</wp:posOffset>
            </wp:positionV>
            <wp:extent cx="5762625" cy="2466975"/>
            <wp:effectExtent l="19050" t="0" r="9525" b="0"/>
            <wp:wrapTight wrapText="bothSides">
              <wp:wrapPolygon edited="0">
                <wp:start x="-71" y="0"/>
                <wp:lineTo x="-71" y="21517"/>
                <wp:lineTo x="21636" y="21517"/>
                <wp:lineTo x="21636" y="0"/>
                <wp:lineTo x="-71"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 Basic summary of developement of glucose metabolism disorders with their biomarke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2625" cy="2466975"/>
                    </a:xfrm>
                    <a:prstGeom prst="rect">
                      <a:avLst/>
                    </a:prstGeom>
                  </pic:spPr>
                </pic:pic>
              </a:graphicData>
            </a:graphic>
          </wp:anchor>
        </w:drawing>
      </w:r>
      <w:r w:rsidR="00C95481" w:rsidRPr="000D096C">
        <w:rPr>
          <w:rFonts w:ascii="Times New Roman" w:hAnsi="Times New Roman" w:cs="Times New Roman"/>
          <w:b/>
          <w:sz w:val="24"/>
          <w:szCs w:val="24"/>
        </w:rPr>
        <w:t xml:space="preserve">Obrázek 3. </w:t>
      </w:r>
      <w:r w:rsidR="00C95481" w:rsidRPr="000D096C">
        <w:rPr>
          <w:rFonts w:ascii="Times New Roman" w:hAnsi="Times New Roman" w:cs="Times New Roman"/>
          <w:sz w:val="24"/>
          <w:szCs w:val="24"/>
        </w:rPr>
        <w:t>Základní shrnutí vývoje poruch metabolismu glukózy a jejich biomarkery</w:t>
      </w:r>
      <w:r w:rsidR="00E71E1D" w:rsidRPr="000D096C">
        <w:rPr>
          <w:rFonts w:ascii="Times New Roman" w:hAnsi="Times New Roman" w:cs="Times New Roman"/>
          <w:sz w:val="24"/>
          <w:szCs w:val="24"/>
        </w:rPr>
        <w:t xml:space="preserve"> (popis v angličtině)</w:t>
      </w:r>
      <w:r w:rsidR="00DD0F80">
        <w:rPr>
          <w:rFonts w:ascii="Times New Roman" w:hAnsi="Times New Roman" w:cs="Times New Roman"/>
          <w:sz w:val="24"/>
          <w:szCs w:val="24"/>
        </w:rPr>
        <w:t xml:space="preserve"> </w:t>
      </w:r>
      <w:r w:rsidR="003F77A7" w:rsidRPr="003F77A7">
        <w:rPr>
          <w:rFonts w:ascii="Times New Roman" w:hAnsi="Times New Roman" w:cs="Times New Roman"/>
          <w:sz w:val="24"/>
          <w:szCs w:val="24"/>
        </w:rPr>
        <w:t>[102</w:t>
      </w:r>
      <w:r w:rsidR="00DD0F80" w:rsidRPr="003F77A7">
        <w:rPr>
          <w:rFonts w:ascii="Times New Roman" w:hAnsi="Times New Roman" w:cs="Times New Roman"/>
          <w:sz w:val="24"/>
          <w:szCs w:val="24"/>
        </w:rPr>
        <w:t>]</w:t>
      </w:r>
    </w:p>
    <w:p w:rsidR="00A3679A" w:rsidRDefault="00AB6994" w:rsidP="002F155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FPG – glykémie nalačno</w:t>
      </w:r>
    </w:p>
    <w:p w:rsidR="005561E6" w:rsidRPr="005561E6" w:rsidRDefault="005561E6" w:rsidP="002F1555">
      <w:pPr>
        <w:spacing w:line="360" w:lineRule="auto"/>
        <w:jc w:val="both"/>
        <w:rPr>
          <w:rFonts w:ascii="Times New Roman" w:hAnsi="Times New Roman" w:cs="Times New Roman"/>
          <w:sz w:val="2"/>
          <w:szCs w:val="2"/>
        </w:rPr>
      </w:pPr>
    </w:p>
    <w:p w:rsidR="003667E0" w:rsidRPr="000D096C" w:rsidRDefault="003667E0" w:rsidP="004567D5">
      <w:pPr>
        <w:pStyle w:val="Nadpis3"/>
        <w:spacing w:line="360" w:lineRule="auto"/>
        <w:rPr>
          <w:rFonts w:cs="Times New Roman"/>
        </w:rPr>
      </w:pPr>
      <w:bookmarkStart w:id="90" w:name="_Toc33432681"/>
      <w:bookmarkStart w:id="91" w:name="_Toc33432901"/>
      <w:bookmarkStart w:id="92" w:name="_Toc33869540"/>
      <w:r w:rsidRPr="000D096C">
        <w:rPr>
          <w:rFonts w:cs="Times New Roman"/>
        </w:rPr>
        <w:t>Prevence</w:t>
      </w:r>
      <w:bookmarkEnd w:id="90"/>
      <w:bookmarkEnd w:id="91"/>
      <w:bookmarkEnd w:id="92"/>
      <w:r w:rsidR="00E71E1D" w:rsidRPr="000D096C">
        <w:rPr>
          <w:rFonts w:cs="Times New Roman"/>
        </w:rPr>
        <w:tab/>
      </w:r>
    </w:p>
    <w:p w:rsidR="006A7BAB" w:rsidRPr="000D096C" w:rsidRDefault="00E71E1D" w:rsidP="004567D5">
      <w:pPr>
        <w:spacing w:before="160"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Rozvoj</w:t>
      </w:r>
      <w:r w:rsidR="00FE42C1" w:rsidRPr="000D096C">
        <w:rPr>
          <w:rFonts w:ascii="Times New Roman" w:hAnsi="Times New Roman" w:cs="Times New Roman"/>
          <w:sz w:val="24"/>
          <w:szCs w:val="24"/>
        </w:rPr>
        <w:t xml:space="preserve"> a progrese</w:t>
      </w:r>
      <w:r w:rsidRPr="000D096C">
        <w:rPr>
          <w:rFonts w:ascii="Times New Roman" w:hAnsi="Times New Roman" w:cs="Times New Roman"/>
          <w:sz w:val="24"/>
          <w:szCs w:val="24"/>
        </w:rPr>
        <w:t xml:space="preserve"> poruch metabolismu glukózy trvá desetiletí, což poskytuje dostatek času k diagnostice a zavedení adekvátních opatření. Implementace zásad zdravého životního stylu (pravidelná fyzická aktiv</w:t>
      </w:r>
      <w:r w:rsidR="00377535">
        <w:rPr>
          <w:rFonts w:ascii="Times New Roman" w:hAnsi="Times New Roman" w:cs="Times New Roman"/>
          <w:sz w:val="24"/>
          <w:szCs w:val="24"/>
        </w:rPr>
        <w:t>ita, vyvážená strava</w:t>
      </w:r>
      <w:r w:rsidR="00FE42C1" w:rsidRPr="000D096C">
        <w:rPr>
          <w:rFonts w:ascii="Times New Roman" w:hAnsi="Times New Roman" w:cs="Times New Roman"/>
          <w:sz w:val="24"/>
          <w:szCs w:val="24"/>
        </w:rPr>
        <w:t xml:space="preserve"> atd.</w:t>
      </w:r>
      <w:r w:rsidRPr="000D096C">
        <w:rPr>
          <w:rFonts w:ascii="Times New Roman" w:hAnsi="Times New Roman" w:cs="Times New Roman"/>
          <w:sz w:val="24"/>
          <w:szCs w:val="24"/>
        </w:rPr>
        <w:t xml:space="preserve">) má v opatřeních zaměřených na zastavení či zpomalení progrese </w:t>
      </w:r>
      <w:r w:rsidR="00377535">
        <w:rPr>
          <w:rFonts w:ascii="Times New Roman" w:hAnsi="Times New Roman" w:cs="Times New Roman"/>
          <w:sz w:val="24"/>
          <w:szCs w:val="24"/>
        </w:rPr>
        <w:t xml:space="preserve">nejen prediabetu, ale všech </w:t>
      </w:r>
      <w:r w:rsidRPr="000D096C">
        <w:rPr>
          <w:rFonts w:ascii="Times New Roman" w:hAnsi="Times New Roman" w:cs="Times New Roman"/>
          <w:sz w:val="24"/>
          <w:szCs w:val="24"/>
        </w:rPr>
        <w:t xml:space="preserve">metabolických onemocnění zásadní postavení. </w:t>
      </w:r>
      <w:r w:rsidR="00861A38" w:rsidRPr="000D096C">
        <w:rPr>
          <w:rFonts w:ascii="Times New Roman" w:hAnsi="Times New Roman" w:cs="Times New Roman"/>
          <w:sz w:val="24"/>
          <w:szCs w:val="24"/>
        </w:rPr>
        <w:t>Nicméně dosažení praktické realizace těchto zásad v obecné populaci a zejména u</w:t>
      </w:r>
      <w:r w:rsidR="00BB3FFF">
        <w:rPr>
          <w:rFonts w:ascii="Times New Roman" w:hAnsi="Times New Roman" w:cs="Times New Roman"/>
          <w:sz w:val="24"/>
          <w:szCs w:val="24"/>
        </w:rPr>
        <w:t> </w:t>
      </w:r>
      <w:r w:rsidR="00861A38" w:rsidRPr="000D096C">
        <w:rPr>
          <w:rFonts w:ascii="Times New Roman" w:hAnsi="Times New Roman" w:cs="Times New Roman"/>
          <w:sz w:val="24"/>
          <w:szCs w:val="24"/>
        </w:rPr>
        <w:t>o</w:t>
      </w:r>
      <w:r w:rsidR="003667E0" w:rsidRPr="000D096C">
        <w:rPr>
          <w:rFonts w:ascii="Times New Roman" w:hAnsi="Times New Roman" w:cs="Times New Roman"/>
          <w:sz w:val="24"/>
          <w:szCs w:val="24"/>
        </w:rPr>
        <w:t>sob v riziku je velmi obtížné. Značný v</w:t>
      </w:r>
      <w:r w:rsidR="00861A38" w:rsidRPr="000D096C">
        <w:rPr>
          <w:rFonts w:ascii="Times New Roman" w:hAnsi="Times New Roman" w:cs="Times New Roman"/>
          <w:sz w:val="24"/>
          <w:szCs w:val="24"/>
        </w:rPr>
        <w:t xml:space="preserve">ýznam v tomto směru má systematická výchova </w:t>
      </w:r>
      <w:r w:rsidR="003667E0" w:rsidRPr="000D096C">
        <w:rPr>
          <w:rFonts w:ascii="Times New Roman" w:hAnsi="Times New Roman" w:cs="Times New Roman"/>
          <w:sz w:val="24"/>
          <w:szCs w:val="24"/>
        </w:rPr>
        <w:t xml:space="preserve">ke zdravému životnímu stylu již od </w:t>
      </w:r>
      <w:r w:rsidR="00861A38" w:rsidRPr="000D096C">
        <w:rPr>
          <w:rFonts w:ascii="Times New Roman" w:hAnsi="Times New Roman" w:cs="Times New Roman"/>
          <w:sz w:val="24"/>
          <w:szCs w:val="24"/>
        </w:rPr>
        <w:t>dět</w:t>
      </w:r>
      <w:r w:rsidR="003667E0" w:rsidRPr="000D096C">
        <w:rPr>
          <w:rFonts w:ascii="Times New Roman" w:hAnsi="Times New Roman" w:cs="Times New Roman"/>
          <w:sz w:val="24"/>
          <w:szCs w:val="24"/>
        </w:rPr>
        <w:t>ského věku.</w:t>
      </w:r>
      <w:r w:rsidR="00861A38" w:rsidRPr="000D096C">
        <w:rPr>
          <w:rFonts w:ascii="Times New Roman" w:hAnsi="Times New Roman" w:cs="Times New Roman"/>
          <w:sz w:val="24"/>
          <w:szCs w:val="24"/>
        </w:rPr>
        <w:t xml:space="preserve"> </w:t>
      </w:r>
      <w:r w:rsidR="003667E0" w:rsidRPr="000D096C">
        <w:rPr>
          <w:rFonts w:ascii="Times New Roman" w:hAnsi="Times New Roman" w:cs="Times New Roman"/>
          <w:sz w:val="24"/>
          <w:szCs w:val="24"/>
        </w:rPr>
        <w:t xml:space="preserve">Preventivní opatření mohou být rozdělena na celopolulační a individualizovaná. Individualizovaná opatření se opírají o správný výběr takových jedinců nebo skupin jedinců, u nichž lze při vhodně, obvykle na základě predikovaného rizika, nastavených opatřeních očekávat </w:t>
      </w:r>
      <w:r w:rsidR="00EB439B" w:rsidRPr="000D096C">
        <w:rPr>
          <w:rFonts w:ascii="Times New Roman" w:hAnsi="Times New Roman" w:cs="Times New Roman"/>
          <w:sz w:val="24"/>
          <w:szCs w:val="24"/>
        </w:rPr>
        <w:t>největší benefit</w:t>
      </w:r>
      <w:r w:rsidR="003667E0" w:rsidRPr="000D096C">
        <w:rPr>
          <w:rFonts w:ascii="Times New Roman" w:hAnsi="Times New Roman" w:cs="Times New Roman"/>
          <w:sz w:val="24"/>
          <w:szCs w:val="24"/>
        </w:rPr>
        <w:t xml:space="preserve">. </w:t>
      </w:r>
      <w:r w:rsidR="00EB439B" w:rsidRPr="000D096C">
        <w:rPr>
          <w:rFonts w:ascii="Times New Roman" w:hAnsi="Times New Roman" w:cs="Times New Roman"/>
          <w:sz w:val="24"/>
          <w:szCs w:val="24"/>
        </w:rPr>
        <w:t xml:space="preserve">Zlepšování přístupu k programům zaměřeným na úpravu životního stylu a vzdělávání poskytovatelů zdravotní péče o prevenci a léčbě založené na důkazech </w:t>
      </w:r>
      <w:r w:rsidR="00FE42C1" w:rsidRPr="000D096C">
        <w:rPr>
          <w:rFonts w:ascii="Times New Roman" w:hAnsi="Times New Roman" w:cs="Times New Roman"/>
          <w:sz w:val="24"/>
          <w:szCs w:val="24"/>
        </w:rPr>
        <w:t xml:space="preserve">zlepšuje výsledky </w:t>
      </w:r>
      <w:r w:rsidR="00EB439B" w:rsidRPr="000D096C">
        <w:rPr>
          <w:rFonts w:ascii="Times New Roman" w:hAnsi="Times New Roman" w:cs="Times New Roman"/>
          <w:sz w:val="24"/>
          <w:szCs w:val="24"/>
        </w:rPr>
        <w:t xml:space="preserve">v prevenci poruch glukózového metabolismu jak </w:t>
      </w:r>
      <w:r w:rsidR="00EB439B" w:rsidRPr="000D096C">
        <w:rPr>
          <w:rFonts w:ascii="Times New Roman" w:hAnsi="Times New Roman" w:cs="Times New Roman"/>
          <w:sz w:val="24"/>
          <w:szCs w:val="24"/>
        </w:rPr>
        <w:lastRenderedPageBreak/>
        <w:t>na straně pacientů, tak na straně zdravotníků</w:t>
      </w:r>
      <w:r w:rsidR="003F77A7">
        <w:rPr>
          <w:rFonts w:ascii="Times New Roman" w:hAnsi="Times New Roman" w:cs="Times New Roman"/>
          <w:sz w:val="24"/>
          <w:szCs w:val="24"/>
        </w:rPr>
        <w:t xml:space="preserve"> [103</w:t>
      </w:r>
      <w:r w:rsidR="00D55998" w:rsidRPr="000D096C">
        <w:rPr>
          <w:rFonts w:ascii="Times New Roman" w:hAnsi="Times New Roman" w:cs="Times New Roman"/>
          <w:sz w:val="24"/>
          <w:szCs w:val="24"/>
        </w:rPr>
        <w:t>]</w:t>
      </w:r>
      <w:r w:rsidR="00EB439B" w:rsidRPr="000D096C">
        <w:rPr>
          <w:rFonts w:ascii="Times New Roman" w:hAnsi="Times New Roman" w:cs="Times New Roman"/>
          <w:sz w:val="24"/>
          <w:szCs w:val="24"/>
        </w:rPr>
        <w:t>. Pro zpomale</w:t>
      </w:r>
      <w:r w:rsidR="00FE42C1" w:rsidRPr="000D096C">
        <w:rPr>
          <w:rFonts w:ascii="Times New Roman" w:hAnsi="Times New Roman" w:cs="Times New Roman"/>
          <w:sz w:val="24"/>
          <w:szCs w:val="24"/>
        </w:rPr>
        <w:t>ní progrese prediabetu a</w:t>
      </w:r>
      <w:r w:rsidR="00762125">
        <w:rPr>
          <w:rFonts w:ascii="Times New Roman" w:hAnsi="Times New Roman" w:cs="Times New Roman"/>
          <w:sz w:val="24"/>
          <w:szCs w:val="24"/>
        </w:rPr>
        <w:t> </w:t>
      </w:r>
      <w:r w:rsidR="00FE42C1" w:rsidRPr="000D096C">
        <w:rPr>
          <w:rFonts w:ascii="Times New Roman" w:hAnsi="Times New Roman" w:cs="Times New Roman"/>
          <w:sz w:val="24"/>
          <w:szCs w:val="24"/>
        </w:rPr>
        <w:t>zlepšení prognózy</w:t>
      </w:r>
      <w:r w:rsidR="00EB439B" w:rsidRPr="000D096C">
        <w:rPr>
          <w:rFonts w:ascii="Times New Roman" w:hAnsi="Times New Roman" w:cs="Times New Roman"/>
          <w:sz w:val="24"/>
          <w:szCs w:val="24"/>
        </w:rPr>
        <w:t xml:space="preserve"> je v řadě zemí doporučováno podávání nižších dávek metforminu. Základem efektivní prevence a léčby poruch metabolismu glukózy je </w:t>
      </w:r>
      <w:r w:rsidR="003903D4" w:rsidRPr="000D096C">
        <w:rPr>
          <w:rFonts w:ascii="Times New Roman" w:hAnsi="Times New Roman" w:cs="Times New Roman"/>
          <w:sz w:val="24"/>
          <w:szCs w:val="24"/>
        </w:rPr>
        <w:t>fungující síť praktických lékařů úzce spolupracující s diabetology a dalšími specialisty</w:t>
      </w:r>
      <w:r w:rsidR="00D55998" w:rsidRPr="000D096C">
        <w:rPr>
          <w:rFonts w:ascii="Times New Roman" w:hAnsi="Times New Roman" w:cs="Times New Roman"/>
          <w:sz w:val="24"/>
          <w:szCs w:val="24"/>
        </w:rPr>
        <w:t xml:space="preserve"> [10</w:t>
      </w:r>
      <w:r w:rsidR="003F77A7">
        <w:rPr>
          <w:rFonts w:ascii="Times New Roman" w:hAnsi="Times New Roman" w:cs="Times New Roman"/>
          <w:sz w:val="24"/>
          <w:szCs w:val="24"/>
        </w:rPr>
        <w:t>4</w:t>
      </w:r>
      <w:r w:rsidR="00D55998" w:rsidRPr="000D096C">
        <w:rPr>
          <w:rFonts w:ascii="Times New Roman" w:hAnsi="Times New Roman" w:cs="Times New Roman"/>
          <w:sz w:val="24"/>
          <w:szCs w:val="24"/>
        </w:rPr>
        <w:t>]</w:t>
      </w:r>
      <w:r w:rsidR="003903D4" w:rsidRPr="000D096C">
        <w:rPr>
          <w:rFonts w:ascii="Times New Roman" w:hAnsi="Times New Roman" w:cs="Times New Roman"/>
          <w:sz w:val="24"/>
          <w:szCs w:val="24"/>
        </w:rPr>
        <w:t>.</w:t>
      </w:r>
    </w:p>
    <w:p w:rsidR="003667E0" w:rsidRPr="000D096C" w:rsidRDefault="006A7BAB" w:rsidP="004567D5">
      <w:pPr>
        <w:spacing w:line="360" w:lineRule="auto"/>
        <w:rPr>
          <w:rFonts w:ascii="Times New Roman" w:hAnsi="Times New Roman" w:cs="Times New Roman"/>
        </w:rPr>
      </w:pPr>
      <w:r w:rsidRPr="000D096C">
        <w:rPr>
          <w:rFonts w:ascii="Times New Roman" w:hAnsi="Times New Roman" w:cs="Times New Roman"/>
        </w:rPr>
        <w:br w:type="page"/>
      </w:r>
    </w:p>
    <w:p w:rsidR="005C28B2" w:rsidRPr="000D096C" w:rsidRDefault="00E01578" w:rsidP="004567D5">
      <w:pPr>
        <w:pStyle w:val="Nadpis1"/>
      </w:pPr>
      <w:bookmarkStart w:id="93" w:name="_Toc33432682"/>
      <w:bookmarkStart w:id="94" w:name="_Toc33432902"/>
      <w:bookmarkStart w:id="95" w:name="_Toc33869541"/>
      <w:r w:rsidRPr="000D096C">
        <w:lastRenderedPageBreak/>
        <w:t>Analytická část</w:t>
      </w:r>
      <w:bookmarkEnd w:id="93"/>
      <w:bookmarkEnd w:id="94"/>
      <w:bookmarkEnd w:id="95"/>
    </w:p>
    <w:p w:rsidR="00A72028" w:rsidRPr="000D096C" w:rsidRDefault="00A72028" w:rsidP="00C97500">
      <w:pPr>
        <w:pStyle w:val="Nadpis2"/>
      </w:pPr>
      <w:bookmarkStart w:id="96" w:name="_Toc33432683"/>
      <w:bookmarkStart w:id="97" w:name="_Toc33432903"/>
      <w:bookmarkStart w:id="98" w:name="_Toc33869542"/>
      <w:r w:rsidRPr="000D096C">
        <w:t>V</w:t>
      </w:r>
      <w:r w:rsidR="003F7BD4" w:rsidRPr="000D096C">
        <w:t>ýchodiska</w:t>
      </w:r>
      <w:r w:rsidR="00B250D3" w:rsidRPr="000D096C">
        <w:t xml:space="preserve"> a</w:t>
      </w:r>
      <w:r w:rsidRPr="000D096C">
        <w:t xml:space="preserve"> cíle</w:t>
      </w:r>
      <w:bookmarkEnd w:id="96"/>
      <w:bookmarkEnd w:id="97"/>
      <w:bookmarkEnd w:id="98"/>
    </w:p>
    <w:p w:rsidR="00E01578" w:rsidRPr="000D096C" w:rsidRDefault="003F7BD4" w:rsidP="005561E6">
      <w:pPr>
        <w:spacing w:after="0" w:line="360" w:lineRule="auto"/>
        <w:ind w:firstLine="709"/>
        <w:jc w:val="both"/>
        <w:rPr>
          <w:rFonts w:ascii="Times New Roman" w:hAnsi="Times New Roman" w:cs="Times New Roman"/>
          <w:sz w:val="24"/>
          <w:szCs w:val="24"/>
        </w:rPr>
      </w:pPr>
      <w:r w:rsidRPr="000D096C">
        <w:rPr>
          <w:rFonts w:ascii="Times New Roman" w:hAnsi="Times New Roman" w:cs="Times New Roman"/>
          <w:sz w:val="24"/>
          <w:szCs w:val="24"/>
        </w:rPr>
        <w:t xml:space="preserve">Současný systém preventivních prohlídek </w:t>
      </w:r>
      <w:r w:rsidR="00D6246A" w:rsidRPr="000D096C">
        <w:rPr>
          <w:rFonts w:ascii="Times New Roman" w:hAnsi="Times New Roman" w:cs="Times New Roman"/>
          <w:sz w:val="24"/>
          <w:szCs w:val="24"/>
        </w:rPr>
        <w:t>realizovaný</w:t>
      </w:r>
      <w:r w:rsidR="004E138D">
        <w:rPr>
          <w:rFonts w:ascii="Times New Roman" w:hAnsi="Times New Roman" w:cs="Times New Roman"/>
          <w:sz w:val="24"/>
          <w:szCs w:val="24"/>
        </w:rPr>
        <w:t xml:space="preserve"> v rámci</w:t>
      </w:r>
      <w:r w:rsidRPr="000D096C">
        <w:rPr>
          <w:rFonts w:ascii="Times New Roman" w:hAnsi="Times New Roman" w:cs="Times New Roman"/>
          <w:sz w:val="24"/>
          <w:szCs w:val="24"/>
        </w:rPr>
        <w:t xml:space="preserve"> primární péče a jasně definovaný zákonem je zacílen na širok</w:t>
      </w:r>
      <w:r w:rsidR="00D6246A" w:rsidRPr="000D096C">
        <w:rPr>
          <w:rFonts w:ascii="Times New Roman" w:hAnsi="Times New Roman" w:cs="Times New Roman"/>
          <w:sz w:val="24"/>
          <w:szCs w:val="24"/>
        </w:rPr>
        <w:t>ou</w:t>
      </w:r>
      <w:r w:rsidRPr="000D096C">
        <w:rPr>
          <w:rFonts w:ascii="Times New Roman" w:hAnsi="Times New Roman" w:cs="Times New Roman"/>
          <w:sz w:val="24"/>
          <w:szCs w:val="24"/>
        </w:rPr>
        <w:t xml:space="preserve"> škál</w:t>
      </w:r>
      <w:r w:rsidR="00D6246A" w:rsidRPr="000D096C">
        <w:rPr>
          <w:rFonts w:ascii="Times New Roman" w:hAnsi="Times New Roman" w:cs="Times New Roman"/>
          <w:sz w:val="24"/>
          <w:szCs w:val="24"/>
        </w:rPr>
        <w:t>u</w:t>
      </w:r>
      <w:r w:rsidRPr="000D096C">
        <w:rPr>
          <w:rFonts w:ascii="Times New Roman" w:hAnsi="Times New Roman" w:cs="Times New Roman"/>
          <w:sz w:val="24"/>
          <w:szCs w:val="24"/>
        </w:rPr>
        <w:t xml:space="preserve"> všeobecně uznávaných rizikových faktorů</w:t>
      </w:r>
      <w:r w:rsidR="006A7BAB" w:rsidRPr="000D096C">
        <w:rPr>
          <w:rFonts w:ascii="Times New Roman" w:hAnsi="Times New Roman" w:cs="Times New Roman"/>
          <w:sz w:val="24"/>
          <w:szCs w:val="24"/>
        </w:rPr>
        <w:t xml:space="preserve"> </w:t>
      </w:r>
      <w:r w:rsidR="00D127E9">
        <w:rPr>
          <w:rFonts w:ascii="Times New Roman" w:hAnsi="Times New Roman" w:cs="Times New Roman"/>
          <w:sz w:val="24"/>
          <w:szCs w:val="24"/>
        </w:rPr>
        <w:t xml:space="preserve">kardiometabolických onemocnění </w:t>
      </w:r>
      <w:r w:rsidR="003F77A7">
        <w:rPr>
          <w:rFonts w:ascii="Times New Roman" w:hAnsi="Times New Roman" w:cs="Times New Roman"/>
          <w:sz w:val="24"/>
          <w:szCs w:val="24"/>
        </w:rPr>
        <w:t>[105</w:t>
      </w:r>
      <w:r w:rsidR="006A7BAB" w:rsidRPr="000D096C">
        <w:rPr>
          <w:rFonts w:ascii="Times New Roman" w:hAnsi="Times New Roman" w:cs="Times New Roman"/>
          <w:sz w:val="24"/>
          <w:szCs w:val="24"/>
        </w:rPr>
        <w:t>]</w:t>
      </w:r>
      <w:r w:rsidRPr="000D096C">
        <w:rPr>
          <w:rFonts w:ascii="Times New Roman" w:hAnsi="Times New Roman" w:cs="Times New Roman"/>
          <w:sz w:val="24"/>
          <w:szCs w:val="24"/>
        </w:rPr>
        <w:t xml:space="preserve">. Jejich </w:t>
      </w:r>
      <w:r w:rsidR="00D6246A" w:rsidRPr="000D096C">
        <w:rPr>
          <w:rFonts w:ascii="Times New Roman" w:hAnsi="Times New Roman" w:cs="Times New Roman"/>
          <w:sz w:val="24"/>
          <w:szCs w:val="24"/>
        </w:rPr>
        <w:t>včasné odhalován</w:t>
      </w:r>
      <w:r w:rsidR="00D54B9F" w:rsidRPr="000D096C">
        <w:rPr>
          <w:rFonts w:ascii="Times New Roman" w:hAnsi="Times New Roman" w:cs="Times New Roman"/>
          <w:sz w:val="24"/>
          <w:szCs w:val="24"/>
        </w:rPr>
        <w:t>í při řádném dodržování preventivních prohlídek umožňuje provádění cílených intervencí, ať už v podobě úpravy životního stylu či farmakologických opatření, jež vedou ke snížení výskytu komplikací zkracujících život či snižujících jeho kvalitu.</w:t>
      </w:r>
      <w:r w:rsidR="00FF5C37" w:rsidRPr="000D096C">
        <w:rPr>
          <w:rFonts w:ascii="Times New Roman" w:hAnsi="Times New Roman" w:cs="Times New Roman"/>
          <w:sz w:val="24"/>
          <w:szCs w:val="24"/>
        </w:rPr>
        <w:t xml:space="preserve"> Snaha o </w:t>
      </w:r>
      <w:r w:rsidR="003D0A50" w:rsidRPr="000D096C">
        <w:rPr>
          <w:rFonts w:ascii="Times New Roman" w:hAnsi="Times New Roman" w:cs="Times New Roman"/>
          <w:sz w:val="24"/>
          <w:szCs w:val="24"/>
        </w:rPr>
        <w:t>přesnou a co nejčasnější identifikaci</w:t>
      </w:r>
      <w:r w:rsidR="00FF5C37" w:rsidRPr="000D096C">
        <w:rPr>
          <w:rFonts w:ascii="Times New Roman" w:hAnsi="Times New Roman" w:cs="Times New Roman"/>
          <w:sz w:val="24"/>
          <w:szCs w:val="24"/>
        </w:rPr>
        <w:t xml:space="preserve"> rizikových jedinců</w:t>
      </w:r>
      <w:r w:rsidR="00D127E9">
        <w:rPr>
          <w:rFonts w:ascii="Times New Roman" w:hAnsi="Times New Roman" w:cs="Times New Roman"/>
          <w:sz w:val="24"/>
          <w:szCs w:val="24"/>
        </w:rPr>
        <w:t xml:space="preserve"> </w:t>
      </w:r>
      <w:r w:rsidR="00D127E9" w:rsidRPr="000D096C">
        <w:rPr>
          <w:rFonts w:ascii="Times New Roman" w:hAnsi="Times New Roman" w:cs="Times New Roman"/>
          <w:sz w:val="24"/>
          <w:szCs w:val="24"/>
        </w:rPr>
        <w:t>pro různá onemocnění</w:t>
      </w:r>
      <w:r w:rsidR="00FF5C37" w:rsidRPr="000D096C">
        <w:rPr>
          <w:rFonts w:ascii="Times New Roman" w:hAnsi="Times New Roman" w:cs="Times New Roman"/>
          <w:sz w:val="24"/>
          <w:szCs w:val="24"/>
        </w:rPr>
        <w:t xml:space="preserve"> je v prevenci civilizačních onemocnění stěž</w:t>
      </w:r>
      <w:r w:rsidR="002003D8" w:rsidRPr="000D096C">
        <w:rPr>
          <w:rFonts w:ascii="Times New Roman" w:hAnsi="Times New Roman" w:cs="Times New Roman"/>
          <w:sz w:val="24"/>
          <w:szCs w:val="24"/>
        </w:rPr>
        <w:t>ejní</w:t>
      </w:r>
      <w:r w:rsidR="00FF5C37" w:rsidRPr="000D096C">
        <w:rPr>
          <w:rFonts w:ascii="Times New Roman" w:hAnsi="Times New Roman" w:cs="Times New Roman"/>
          <w:sz w:val="24"/>
          <w:szCs w:val="24"/>
        </w:rPr>
        <w:t xml:space="preserve">. Z uvedené patofyziologie vyplývá, že IR </w:t>
      </w:r>
      <w:r w:rsidR="00D77C03" w:rsidRPr="000D096C">
        <w:rPr>
          <w:rFonts w:ascii="Times New Roman" w:hAnsi="Times New Roman" w:cs="Times New Roman"/>
          <w:sz w:val="24"/>
          <w:szCs w:val="24"/>
        </w:rPr>
        <w:t xml:space="preserve">časově předchází vzniku biochemických odchylek, na jejichž odhalování jsou preventivní prohlídky zaměřeny. Proto by </w:t>
      </w:r>
      <w:r w:rsidR="00102A44" w:rsidRPr="000D096C">
        <w:rPr>
          <w:rFonts w:ascii="Times New Roman" w:hAnsi="Times New Roman" w:cs="Times New Roman"/>
          <w:sz w:val="24"/>
          <w:szCs w:val="24"/>
        </w:rPr>
        <w:t>zařazení detekce IR do rutinní</w:t>
      </w:r>
      <w:r w:rsidR="00D77C03" w:rsidRPr="000D096C">
        <w:rPr>
          <w:rFonts w:ascii="Times New Roman" w:hAnsi="Times New Roman" w:cs="Times New Roman"/>
          <w:sz w:val="24"/>
          <w:szCs w:val="24"/>
        </w:rPr>
        <w:t xml:space="preserve"> praxe mohlo vést k odhalování jedinců s velmi časnými metabolickými změnami, kteří z pohledu aktuálně nastavené náplně biochemických analýz v rámci preventivních prohlídek nejsou </w:t>
      </w:r>
      <w:r w:rsidR="00102A44" w:rsidRPr="000D096C">
        <w:rPr>
          <w:rFonts w:ascii="Times New Roman" w:hAnsi="Times New Roman" w:cs="Times New Roman"/>
          <w:sz w:val="24"/>
          <w:szCs w:val="24"/>
        </w:rPr>
        <w:t>označován</w:t>
      </w:r>
      <w:r w:rsidR="00D77C03" w:rsidRPr="000D096C">
        <w:rPr>
          <w:rFonts w:ascii="Times New Roman" w:hAnsi="Times New Roman" w:cs="Times New Roman"/>
          <w:sz w:val="24"/>
          <w:szCs w:val="24"/>
        </w:rPr>
        <w:t xml:space="preserve">i </w:t>
      </w:r>
      <w:r w:rsidR="00102A44" w:rsidRPr="000D096C">
        <w:rPr>
          <w:rFonts w:ascii="Times New Roman" w:hAnsi="Times New Roman" w:cs="Times New Roman"/>
          <w:sz w:val="24"/>
          <w:szCs w:val="24"/>
        </w:rPr>
        <w:t>za rizikové. Identifikace takových jedinců by pak otevírala prostor k individualizovanému působení na úpravu životního stylu vedoucímu k efektivnějšímu oddálení vzniku onemocnění a jejich komplikací.</w:t>
      </w:r>
      <w:r w:rsidR="002003D8" w:rsidRPr="000D096C">
        <w:rPr>
          <w:rFonts w:ascii="Times New Roman" w:hAnsi="Times New Roman" w:cs="Times New Roman"/>
          <w:sz w:val="24"/>
          <w:szCs w:val="24"/>
        </w:rPr>
        <w:t xml:space="preserve"> Uvedené </w:t>
      </w:r>
      <w:r w:rsidR="0040227D" w:rsidRPr="000D096C">
        <w:rPr>
          <w:rFonts w:ascii="Times New Roman" w:hAnsi="Times New Roman" w:cs="Times New Roman"/>
          <w:sz w:val="24"/>
          <w:szCs w:val="24"/>
        </w:rPr>
        <w:t>nepřímé metody detekce IR</w:t>
      </w:r>
      <w:r w:rsidR="002003D8" w:rsidRPr="000D096C">
        <w:rPr>
          <w:rFonts w:ascii="Times New Roman" w:hAnsi="Times New Roman" w:cs="Times New Roman"/>
          <w:sz w:val="24"/>
          <w:szCs w:val="24"/>
        </w:rPr>
        <w:t xml:space="preserve"> však pro svoji nutnost analýzy</w:t>
      </w:r>
      <w:r w:rsidR="0040227D" w:rsidRPr="000D096C">
        <w:rPr>
          <w:rFonts w:ascii="Times New Roman" w:hAnsi="Times New Roman" w:cs="Times New Roman"/>
          <w:sz w:val="24"/>
          <w:szCs w:val="24"/>
        </w:rPr>
        <w:t xml:space="preserve"> pacientovy lačné inzulinémie zůstávají při současných cenách a finan</w:t>
      </w:r>
      <w:r w:rsidR="00D127E9">
        <w:rPr>
          <w:rFonts w:ascii="Times New Roman" w:hAnsi="Times New Roman" w:cs="Times New Roman"/>
          <w:sz w:val="24"/>
          <w:szCs w:val="24"/>
        </w:rPr>
        <w:t>čn</w:t>
      </w:r>
      <w:r w:rsidR="0040227D" w:rsidRPr="000D096C">
        <w:rPr>
          <w:rFonts w:ascii="Times New Roman" w:hAnsi="Times New Roman" w:cs="Times New Roman"/>
          <w:sz w:val="24"/>
          <w:szCs w:val="24"/>
        </w:rPr>
        <w:t>ích možnostech primární</w:t>
      </w:r>
      <w:r w:rsidR="00BC49CB" w:rsidRPr="000D096C">
        <w:rPr>
          <w:rFonts w:ascii="Times New Roman" w:hAnsi="Times New Roman" w:cs="Times New Roman"/>
          <w:sz w:val="24"/>
          <w:szCs w:val="24"/>
        </w:rPr>
        <w:t xml:space="preserve"> zdravotní péči nedostupné.</w:t>
      </w:r>
    </w:p>
    <w:p w:rsidR="008F62E0" w:rsidRPr="000D096C" w:rsidRDefault="003F7BD4" w:rsidP="005561E6">
      <w:pPr>
        <w:spacing w:after="0" w:line="360" w:lineRule="auto"/>
        <w:ind w:firstLine="709"/>
        <w:jc w:val="both"/>
        <w:rPr>
          <w:rFonts w:ascii="Times New Roman" w:hAnsi="Times New Roman" w:cs="Times New Roman"/>
          <w:sz w:val="24"/>
          <w:szCs w:val="24"/>
        </w:rPr>
      </w:pPr>
      <w:r w:rsidRPr="000D096C">
        <w:rPr>
          <w:rFonts w:ascii="Times New Roman" w:hAnsi="Times New Roman" w:cs="Times New Roman"/>
          <w:sz w:val="24"/>
          <w:szCs w:val="24"/>
        </w:rPr>
        <w:t xml:space="preserve">Cílem práce </w:t>
      </w:r>
      <w:r w:rsidR="000C61E8" w:rsidRPr="000D096C">
        <w:rPr>
          <w:rFonts w:ascii="Times New Roman" w:hAnsi="Times New Roman" w:cs="Times New Roman"/>
          <w:sz w:val="24"/>
          <w:szCs w:val="24"/>
        </w:rPr>
        <w:t>bylo</w:t>
      </w:r>
      <w:r w:rsidR="002003D8" w:rsidRPr="000D096C">
        <w:rPr>
          <w:rFonts w:ascii="Times New Roman" w:hAnsi="Times New Roman" w:cs="Times New Roman"/>
          <w:sz w:val="24"/>
          <w:szCs w:val="24"/>
        </w:rPr>
        <w:t xml:space="preserve"> proto</w:t>
      </w:r>
      <w:r w:rsidR="000C61E8" w:rsidRPr="000D096C">
        <w:rPr>
          <w:rFonts w:ascii="Times New Roman" w:hAnsi="Times New Roman" w:cs="Times New Roman"/>
          <w:sz w:val="24"/>
          <w:szCs w:val="24"/>
        </w:rPr>
        <w:t xml:space="preserve"> prozkoumat možnosti stanovení</w:t>
      </w:r>
      <w:r w:rsidRPr="000D096C">
        <w:rPr>
          <w:rFonts w:ascii="Times New Roman" w:hAnsi="Times New Roman" w:cs="Times New Roman"/>
          <w:sz w:val="24"/>
          <w:szCs w:val="24"/>
        </w:rPr>
        <w:t xml:space="preserve"> </w:t>
      </w:r>
      <w:r w:rsidR="00976C5E" w:rsidRPr="000D096C">
        <w:rPr>
          <w:rFonts w:ascii="Times New Roman" w:hAnsi="Times New Roman" w:cs="Times New Roman"/>
          <w:sz w:val="24"/>
          <w:szCs w:val="24"/>
        </w:rPr>
        <w:t>úrovně</w:t>
      </w:r>
      <w:r w:rsidR="000C61E8" w:rsidRPr="000D096C">
        <w:rPr>
          <w:rFonts w:ascii="Times New Roman" w:hAnsi="Times New Roman" w:cs="Times New Roman"/>
          <w:sz w:val="24"/>
          <w:szCs w:val="24"/>
        </w:rPr>
        <w:t xml:space="preserve"> rozvoje</w:t>
      </w:r>
      <w:r w:rsidR="00A72028" w:rsidRPr="000D096C">
        <w:rPr>
          <w:rFonts w:ascii="Times New Roman" w:hAnsi="Times New Roman" w:cs="Times New Roman"/>
          <w:sz w:val="24"/>
          <w:szCs w:val="24"/>
        </w:rPr>
        <w:t> </w:t>
      </w:r>
      <w:r w:rsidRPr="000D096C">
        <w:rPr>
          <w:rFonts w:ascii="Times New Roman" w:hAnsi="Times New Roman" w:cs="Times New Roman"/>
          <w:sz w:val="24"/>
          <w:szCs w:val="24"/>
        </w:rPr>
        <w:t>IR</w:t>
      </w:r>
      <w:r w:rsidR="00A72028" w:rsidRPr="000D096C">
        <w:rPr>
          <w:rFonts w:ascii="Times New Roman" w:hAnsi="Times New Roman" w:cs="Times New Roman"/>
          <w:sz w:val="24"/>
          <w:szCs w:val="24"/>
        </w:rPr>
        <w:t xml:space="preserve"> </w:t>
      </w:r>
      <w:r w:rsidRPr="000D096C">
        <w:rPr>
          <w:rFonts w:ascii="Times New Roman" w:hAnsi="Times New Roman" w:cs="Times New Roman"/>
          <w:sz w:val="24"/>
          <w:szCs w:val="24"/>
        </w:rPr>
        <w:t>v běžné klinické</w:t>
      </w:r>
      <w:r w:rsidR="00A72028" w:rsidRPr="000D096C">
        <w:rPr>
          <w:rFonts w:ascii="Times New Roman" w:hAnsi="Times New Roman" w:cs="Times New Roman"/>
          <w:sz w:val="24"/>
          <w:szCs w:val="24"/>
        </w:rPr>
        <w:t xml:space="preserve"> praxi pomocí rutinně vyšetřovaných parametrů</w:t>
      </w:r>
      <w:r w:rsidR="00976C5E" w:rsidRPr="000D096C">
        <w:rPr>
          <w:rFonts w:ascii="Times New Roman" w:hAnsi="Times New Roman" w:cs="Times New Roman"/>
          <w:sz w:val="24"/>
          <w:szCs w:val="24"/>
        </w:rPr>
        <w:t xml:space="preserve"> a </w:t>
      </w:r>
      <w:r w:rsidR="000C61E8" w:rsidRPr="000D096C">
        <w:rPr>
          <w:rFonts w:ascii="Times New Roman" w:hAnsi="Times New Roman" w:cs="Times New Roman"/>
          <w:sz w:val="24"/>
          <w:szCs w:val="24"/>
        </w:rPr>
        <w:t xml:space="preserve">tedy </w:t>
      </w:r>
      <w:r w:rsidR="006D45BC" w:rsidRPr="000D096C">
        <w:rPr>
          <w:rFonts w:ascii="Times New Roman" w:hAnsi="Times New Roman" w:cs="Times New Roman"/>
          <w:sz w:val="24"/>
          <w:szCs w:val="24"/>
        </w:rPr>
        <w:t>současně identifikovat ty parametry</w:t>
      </w:r>
      <w:r w:rsidR="00976C5E" w:rsidRPr="000D096C">
        <w:rPr>
          <w:rFonts w:ascii="Times New Roman" w:hAnsi="Times New Roman" w:cs="Times New Roman"/>
          <w:sz w:val="24"/>
          <w:szCs w:val="24"/>
        </w:rPr>
        <w:t xml:space="preserve">, které jsou s rozvojem </w:t>
      </w:r>
      <w:r w:rsidR="000C61E8" w:rsidRPr="000D096C">
        <w:rPr>
          <w:rFonts w:ascii="Times New Roman" w:hAnsi="Times New Roman" w:cs="Times New Roman"/>
          <w:sz w:val="24"/>
          <w:szCs w:val="24"/>
        </w:rPr>
        <w:t>IR nejvíce spjaty</w:t>
      </w:r>
      <w:r w:rsidR="006D45BC" w:rsidRPr="000D096C">
        <w:rPr>
          <w:rFonts w:ascii="Times New Roman" w:hAnsi="Times New Roman" w:cs="Times New Roman"/>
          <w:sz w:val="24"/>
          <w:szCs w:val="24"/>
        </w:rPr>
        <w:t>.</w:t>
      </w:r>
    </w:p>
    <w:p w:rsidR="00152E02" w:rsidRPr="000D096C" w:rsidRDefault="002003D8" w:rsidP="004567D5">
      <w:pPr>
        <w:spacing w:after="0" w:line="360" w:lineRule="auto"/>
        <w:ind w:firstLine="709"/>
        <w:jc w:val="both"/>
        <w:rPr>
          <w:rFonts w:ascii="Times New Roman" w:hAnsi="Times New Roman" w:cs="Times New Roman"/>
          <w:sz w:val="24"/>
          <w:szCs w:val="24"/>
        </w:rPr>
      </w:pPr>
      <w:r w:rsidRPr="000D096C">
        <w:rPr>
          <w:rFonts w:ascii="Times New Roman" w:hAnsi="Times New Roman" w:cs="Times New Roman"/>
          <w:sz w:val="24"/>
          <w:szCs w:val="24"/>
        </w:rPr>
        <w:t>Konkrétně pak v</w:t>
      </w:r>
      <w:r w:rsidR="004E138D">
        <w:rPr>
          <w:rFonts w:ascii="Times New Roman" w:hAnsi="Times New Roman" w:cs="Times New Roman"/>
          <w:sz w:val="24"/>
          <w:szCs w:val="24"/>
        </w:rPr>
        <w:t> a</w:t>
      </w:r>
      <w:r w:rsidR="00E06824" w:rsidRPr="000D096C">
        <w:rPr>
          <w:rFonts w:ascii="Times New Roman" w:hAnsi="Times New Roman" w:cs="Times New Roman"/>
          <w:sz w:val="24"/>
          <w:szCs w:val="24"/>
        </w:rPr>
        <w:t xml:space="preserve">nalytické </w:t>
      </w:r>
      <w:r w:rsidRPr="000D096C">
        <w:rPr>
          <w:rFonts w:ascii="Times New Roman" w:hAnsi="Times New Roman" w:cs="Times New Roman"/>
          <w:sz w:val="24"/>
          <w:szCs w:val="24"/>
        </w:rPr>
        <w:t>části A bylo záměrem zhodnotit vztah mezi vše</w:t>
      </w:r>
      <w:r w:rsidR="00F62A55" w:rsidRPr="000D096C">
        <w:rPr>
          <w:rFonts w:ascii="Times New Roman" w:hAnsi="Times New Roman" w:cs="Times New Roman"/>
          <w:sz w:val="24"/>
          <w:szCs w:val="24"/>
        </w:rPr>
        <w:t>mi</w:t>
      </w:r>
      <w:r w:rsidRPr="000D096C">
        <w:rPr>
          <w:rFonts w:ascii="Times New Roman" w:hAnsi="Times New Roman" w:cs="Times New Roman"/>
          <w:sz w:val="24"/>
          <w:szCs w:val="24"/>
        </w:rPr>
        <w:t xml:space="preserve"> rutinně </w:t>
      </w:r>
      <w:r w:rsidR="00F62A55" w:rsidRPr="000D096C">
        <w:rPr>
          <w:rFonts w:ascii="Times New Roman" w:hAnsi="Times New Roman" w:cs="Times New Roman"/>
          <w:sz w:val="24"/>
          <w:szCs w:val="24"/>
        </w:rPr>
        <w:t>stanovovanými parametry, vč. některých prediktivních modelů, a </w:t>
      </w:r>
      <w:r w:rsidR="00D627C4" w:rsidRPr="000D096C">
        <w:rPr>
          <w:rFonts w:ascii="Times New Roman" w:hAnsi="Times New Roman" w:cs="Times New Roman"/>
          <w:sz w:val="24"/>
          <w:szCs w:val="24"/>
        </w:rPr>
        <w:t xml:space="preserve">homeostatickými </w:t>
      </w:r>
      <w:r w:rsidR="00F62A55" w:rsidRPr="000D096C">
        <w:rPr>
          <w:rFonts w:ascii="Times New Roman" w:hAnsi="Times New Roman" w:cs="Times New Roman"/>
          <w:sz w:val="24"/>
          <w:szCs w:val="24"/>
        </w:rPr>
        <w:t xml:space="preserve">indexy HOMA-IR a HOMA-β s ohledem na přítomnost MetS. </w:t>
      </w:r>
    </w:p>
    <w:p w:rsidR="008F62E0" w:rsidRPr="000D096C" w:rsidRDefault="00E06824" w:rsidP="004567D5">
      <w:pP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Analytická č</w:t>
      </w:r>
      <w:r w:rsidR="00F62A55" w:rsidRPr="000D096C">
        <w:rPr>
          <w:rFonts w:ascii="Times New Roman" w:hAnsi="Times New Roman" w:cs="Times New Roman"/>
          <w:sz w:val="24"/>
          <w:szCs w:val="24"/>
        </w:rPr>
        <w:t xml:space="preserve">ást B byla </w:t>
      </w:r>
      <w:r w:rsidR="001B10FE" w:rsidRPr="000D096C">
        <w:rPr>
          <w:rFonts w:ascii="Times New Roman" w:hAnsi="Times New Roman" w:cs="Times New Roman"/>
          <w:sz w:val="24"/>
          <w:szCs w:val="24"/>
        </w:rPr>
        <w:t>zaměřena na</w:t>
      </w:r>
      <w:r w:rsidR="00F62A55" w:rsidRPr="000D096C">
        <w:rPr>
          <w:rFonts w:ascii="Times New Roman" w:hAnsi="Times New Roman" w:cs="Times New Roman"/>
          <w:sz w:val="24"/>
          <w:szCs w:val="24"/>
        </w:rPr>
        <w:t xml:space="preserve"> prediktivní model VAI</w:t>
      </w:r>
      <w:r w:rsidR="001B10FE" w:rsidRPr="000D096C">
        <w:rPr>
          <w:rFonts w:ascii="Times New Roman" w:hAnsi="Times New Roman" w:cs="Times New Roman"/>
          <w:sz w:val="24"/>
          <w:szCs w:val="24"/>
        </w:rPr>
        <w:t xml:space="preserve">. Cílem bylo zhodnotit vztah VAI jednak k indexu HOMA-IR a jednak k samotnému MetS spolu se stanovením hraničních hodnot VAI, </w:t>
      </w:r>
      <w:r w:rsidR="0030256B" w:rsidRPr="000D096C">
        <w:rPr>
          <w:rFonts w:ascii="Times New Roman" w:hAnsi="Times New Roman" w:cs="Times New Roman"/>
          <w:sz w:val="24"/>
          <w:szCs w:val="24"/>
        </w:rPr>
        <w:t xml:space="preserve">jež by odpovídaly určitým hodnotám HOMA-IR a </w:t>
      </w:r>
      <w:r w:rsidR="001B10FE" w:rsidRPr="000D096C">
        <w:rPr>
          <w:rFonts w:ascii="Times New Roman" w:hAnsi="Times New Roman" w:cs="Times New Roman"/>
          <w:sz w:val="24"/>
          <w:szCs w:val="24"/>
        </w:rPr>
        <w:t>jež by signalizovaly stupně rozvoje metabolické dysfunkce dle počtu přítomných komponent MetS.</w:t>
      </w:r>
    </w:p>
    <w:p w:rsidR="00D47010" w:rsidRPr="000D096C" w:rsidRDefault="005C28B2" w:rsidP="00C97500">
      <w:pPr>
        <w:pStyle w:val="Nadpis2"/>
      </w:pPr>
      <w:bookmarkStart w:id="99" w:name="_Toc33432684"/>
      <w:bookmarkStart w:id="100" w:name="_Toc33432904"/>
      <w:bookmarkStart w:id="101" w:name="_Toc33869543"/>
      <w:r w:rsidRPr="000D096C">
        <w:lastRenderedPageBreak/>
        <w:t xml:space="preserve">Analytická část A – </w:t>
      </w:r>
      <w:r w:rsidR="00D627C4" w:rsidRPr="000D096C">
        <w:t>Vztah mezi rutinně stanovovanými markery a homeostatickými indexy</w:t>
      </w:r>
      <w:bookmarkEnd w:id="99"/>
      <w:bookmarkEnd w:id="100"/>
      <w:bookmarkEnd w:id="101"/>
    </w:p>
    <w:p w:rsidR="005C28B2" w:rsidRPr="000D096C" w:rsidRDefault="00D627C4" w:rsidP="004567D5">
      <w:pPr>
        <w:pStyle w:val="Nadpis3"/>
        <w:spacing w:line="360" w:lineRule="auto"/>
        <w:rPr>
          <w:rFonts w:cs="Times New Roman"/>
        </w:rPr>
      </w:pPr>
      <w:bookmarkStart w:id="102" w:name="_Toc33432685"/>
      <w:bookmarkStart w:id="103" w:name="_Toc33432905"/>
      <w:bookmarkStart w:id="104" w:name="_Toc33869544"/>
      <w:r w:rsidRPr="000D096C">
        <w:rPr>
          <w:rFonts w:cs="Times New Roman"/>
        </w:rPr>
        <w:t>Metodika</w:t>
      </w:r>
      <w:bookmarkEnd w:id="102"/>
      <w:bookmarkEnd w:id="103"/>
      <w:bookmarkEnd w:id="104"/>
    </w:p>
    <w:p w:rsidR="00D627C4" w:rsidRPr="000D096C" w:rsidRDefault="00960572" w:rsidP="00E319B2">
      <w:pPr>
        <w:pStyle w:val="Nadpis4"/>
      </w:pPr>
      <w:r w:rsidRPr="000D096C">
        <w:t>Soubor</w:t>
      </w:r>
    </w:p>
    <w:p w:rsidR="0021164F" w:rsidRDefault="00960572" w:rsidP="005561E6">
      <w:pPr>
        <w:spacing w:after="0" w:line="360" w:lineRule="auto"/>
        <w:ind w:firstLine="709"/>
        <w:jc w:val="both"/>
        <w:rPr>
          <w:rFonts w:ascii="Times New Roman" w:hAnsi="Times New Roman" w:cs="Times New Roman"/>
          <w:sz w:val="24"/>
          <w:szCs w:val="24"/>
        </w:rPr>
      </w:pPr>
      <w:r w:rsidRPr="000D096C">
        <w:rPr>
          <w:rFonts w:ascii="Times New Roman" w:hAnsi="Times New Roman" w:cs="Times New Roman"/>
          <w:sz w:val="24"/>
          <w:szCs w:val="24"/>
        </w:rPr>
        <w:t>Studovaný soubor se skládal ze dvou skupin jedinců lišících se přítomností Me</w:t>
      </w:r>
      <w:r w:rsidR="006A7BAB" w:rsidRPr="000D096C">
        <w:rPr>
          <w:rFonts w:ascii="Times New Roman" w:hAnsi="Times New Roman" w:cs="Times New Roman"/>
          <w:sz w:val="24"/>
          <w:szCs w:val="24"/>
        </w:rPr>
        <w:t xml:space="preserve">tS, definovaného dle kritérií </w:t>
      </w:r>
      <w:r w:rsidR="001340EB" w:rsidRPr="000D096C">
        <w:rPr>
          <w:rFonts w:ascii="Times New Roman" w:hAnsi="Times New Roman" w:cs="Times New Roman"/>
          <w:sz w:val="24"/>
          <w:szCs w:val="24"/>
        </w:rPr>
        <w:t>IDF</w:t>
      </w:r>
      <w:r w:rsidR="006A7BAB" w:rsidRPr="000D096C">
        <w:rPr>
          <w:rFonts w:ascii="Times New Roman" w:hAnsi="Times New Roman" w:cs="Times New Roman"/>
          <w:sz w:val="24"/>
          <w:szCs w:val="24"/>
        </w:rPr>
        <w:t xml:space="preserve"> z roku 2005</w:t>
      </w:r>
      <w:r w:rsidR="001340EB" w:rsidRPr="000D096C">
        <w:rPr>
          <w:rFonts w:ascii="Times New Roman" w:hAnsi="Times New Roman" w:cs="Times New Roman"/>
          <w:sz w:val="24"/>
          <w:szCs w:val="24"/>
        </w:rPr>
        <w:t xml:space="preserve"> </w:t>
      </w:r>
      <w:r w:rsidR="00AB6994" w:rsidRPr="000D096C">
        <w:rPr>
          <w:rFonts w:ascii="Times New Roman" w:hAnsi="Times New Roman" w:cs="Times New Roman"/>
          <w:sz w:val="24"/>
          <w:szCs w:val="24"/>
        </w:rPr>
        <w:t>(kapitola 1.2.2</w:t>
      </w:r>
      <w:r w:rsidR="006A7BAB" w:rsidRPr="000D096C">
        <w:rPr>
          <w:rFonts w:ascii="Times New Roman" w:hAnsi="Times New Roman" w:cs="Times New Roman"/>
          <w:sz w:val="24"/>
          <w:szCs w:val="24"/>
        </w:rPr>
        <w:t>)</w:t>
      </w:r>
      <w:r w:rsidR="006A7BAB" w:rsidRPr="000D096C">
        <w:rPr>
          <w:rFonts w:ascii="Times New Roman" w:hAnsi="Times New Roman" w:cs="Times New Roman"/>
          <w:b/>
          <w:i/>
          <w:sz w:val="24"/>
          <w:szCs w:val="24"/>
        </w:rPr>
        <w:t xml:space="preserve"> </w:t>
      </w:r>
      <w:r w:rsidR="006A7BAB" w:rsidRPr="000D096C">
        <w:rPr>
          <w:rFonts w:ascii="Times New Roman" w:hAnsi="Times New Roman" w:cs="Times New Roman"/>
          <w:sz w:val="24"/>
          <w:szCs w:val="24"/>
        </w:rPr>
        <w:t>[8]</w:t>
      </w:r>
      <w:r w:rsidRPr="000D096C">
        <w:rPr>
          <w:rFonts w:ascii="Times New Roman" w:hAnsi="Times New Roman" w:cs="Times New Roman"/>
          <w:sz w:val="24"/>
          <w:szCs w:val="24"/>
        </w:rPr>
        <w:t xml:space="preserve">. </w:t>
      </w:r>
      <w:r w:rsidR="00FB3B71" w:rsidRPr="000D096C">
        <w:rPr>
          <w:rFonts w:ascii="Times New Roman" w:hAnsi="Times New Roman" w:cs="Times New Roman"/>
          <w:sz w:val="24"/>
          <w:szCs w:val="24"/>
        </w:rPr>
        <w:t xml:space="preserve">Jedinci ze skupiny s MetS (MetS skupina) byli rekrutováni </w:t>
      </w:r>
      <w:r w:rsidR="00C973D1" w:rsidRPr="000D096C">
        <w:rPr>
          <w:rFonts w:ascii="Times New Roman" w:hAnsi="Times New Roman" w:cs="Times New Roman"/>
          <w:sz w:val="24"/>
          <w:szCs w:val="24"/>
        </w:rPr>
        <w:t xml:space="preserve">od března 2017 do září 2018 </w:t>
      </w:r>
      <w:r w:rsidR="00FB3B71" w:rsidRPr="000D096C">
        <w:rPr>
          <w:rFonts w:ascii="Times New Roman" w:hAnsi="Times New Roman" w:cs="Times New Roman"/>
          <w:sz w:val="24"/>
          <w:szCs w:val="24"/>
        </w:rPr>
        <w:t xml:space="preserve">ve dvou ordinacích </w:t>
      </w:r>
      <w:r w:rsidR="0030256B" w:rsidRPr="000D096C">
        <w:rPr>
          <w:rFonts w:ascii="Times New Roman" w:hAnsi="Times New Roman" w:cs="Times New Roman"/>
          <w:sz w:val="24"/>
          <w:szCs w:val="24"/>
        </w:rPr>
        <w:t xml:space="preserve">všeobecných </w:t>
      </w:r>
      <w:r w:rsidR="00FB3B71" w:rsidRPr="000D096C">
        <w:rPr>
          <w:rFonts w:ascii="Times New Roman" w:hAnsi="Times New Roman" w:cs="Times New Roman"/>
          <w:sz w:val="24"/>
          <w:szCs w:val="24"/>
        </w:rPr>
        <w:t>praktických lékařů v Pardubickém kraji. MetS skupina čítala 188 osob (115 žen a 73 mužů) s průměrným věkem 56 let. U těchto osob byly provedeny níže uvedené laboratorní rozbory a ve stejný den proběhlo měření antropometrických parametrů (výška, vá</w:t>
      </w:r>
      <w:r w:rsidR="00A61003" w:rsidRPr="000D096C">
        <w:rPr>
          <w:rFonts w:ascii="Times New Roman" w:hAnsi="Times New Roman" w:cs="Times New Roman"/>
          <w:sz w:val="24"/>
          <w:szCs w:val="24"/>
        </w:rPr>
        <w:t>ha, obvod pasu) a TK</w:t>
      </w:r>
      <w:r w:rsidR="00FB3B71" w:rsidRPr="000D096C">
        <w:rPr>
          <w:rFonts w:ascii="Times New Roman" w:hAnsi="Times New Roman" w:cs="Times New Roman"/>
          <w:sz w:val="24"/>
          <w:szCs w:val="24"/>
        </w:rPr>
        <w:t xml:space="preserve"> (průměr ze tří měře</w:t>
      </w:r>
      <w:r w:rsidR="00B83657" w:rsidRPr="000D096C">
        <w:rPr>
          <w:rFonts w:ascii="Times New Roman" w:hAnsi="Times New Roman" w:cs="Times New Roman"/>
          <w:sz w:val="24"/>
          <w:szCs w:val="24"/>
        </w:rPr>
        <w:t>ní provedených dle doporučení České společnosti pro hypertenzi</w:t>
      </w:r>
      <w:r w:rsidR="00FB3B71" w:rsidRPr="000D096C">
        <w:rPr>
          <w:rFonts w:ascii="Times New Roman" w:hAnsi="Times New Roman" w:cs="Times New Roman"/>
          <w:sz w:val="24"/>
          <w:szCs w:val="24"/>
        </w:rPr>
        <w:t>)</w:t>
      </w:r>
      <w:r w:rsidR="007B01F9" w:rsidRPr="000D096C">
        <w:rPr>
          <w:rFonts w:ascii="Times New Roman" w:hAnsi="Times New Roman" w:cs="Times New Roman"/>
          <w:sz w:val="24"/>
          <w:szCs w:val="24"/>
        </w:rPr>
        <w:t xml:space="preserve"> </w:t>
      </w:r>
      <w:r w:rsidR="003F77A7">
        <w:rPr>
          <w:rFonts w:ascii="Times New Roman" w:hAnsi="Times New Roman" w:cs="Times New Roman"/>
          <w:sz w:val="24"/>
          <w:szCs w:val="24"/>
        </w:rPr>
        <w:t>[106</w:t>
      </w:r>
      <w:r w:rsidR="006A7BAB" w:rsidRPr="000D096C">
        <w:rPr>
          <w:rFonts w:ascii="Times New Roman" w:hAnsi="Times New Roman" w:cs="Times New Roman"/>
          <w:sz w:val="24"/>
          <w:szCs w:val="24"/>
        </w:rPr>
        <w:t>]</w:t>
      </w:r>
      <w:r w:rsidR="00B83657" w:rsidRPr="000D096C">
        <w:rPr>
          <w:rFonts w:ascii="Times New Roman" w:hAnsi="Times New Roman" w:cs="Times New Roman"/>
          <w:sz w:val="24"/>
          <w:szCs w:val="24"/>
        </w:rPr>
        <w:t xml:space="preserve">. Ze získaných údajů byly následně </w:t>
      </w:r>
      <w:r w:rsidR="00913A61" w:rsidRPr="000D096C">
        <w:rPr>
          <w:rFonts w:ascii="Times New Roman" w:hAnsi="Times New Roman" w:cs="Times New Roman"/>
          <w:sz w:val="24"/>
          <w:szCs w:val="24"/>
        </w:rPr>
        <w:t xml:space="preserve">u každé osoby </w:t>
      </w:r>
      <w:r w:rsidR="00B83657" w:rsidRPr="000D096C">
        <w:rPr>
          <w:rFonts w:ascii="Times New Roman" w:hAnsi="Times New Roman" w:cs="Times New Roman"/>
          <w:sz w:val="24"/>
          <w:szCs w:val="24"/>
        </w:rPr>
        <w:t>vypočítány AIP, BMI, homeostatické indexy HOMA-IR a HOMA-β a VAI</w:t>
      </w:r>
      <w:r w:rsidR="00913A61" w:rsidRPr="000D096C">
        <w:rPr>
          <w:rFonts w:ascii="Times New Roman" w:hAnsi="Times New Roman" w:cs="Times New Roman"/>
          <w:sz w:val="24"/>
          <w:szCs w:val="24"/>
        </w:rPr>
        <w:t xml:space="preserve">. </w:t>
      </w:r>
    </w:p>
    <w:p w:rsidR="00960572" w:rsidRPr="000D096C" w:rsidRDefault="005535DE" w:rsidP="004567D5">
      <w:pP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K MetS skupině byla mačováním na základě věku a pohlaví vytvořena kontrolní skupina 188 jedinců bez MetS. Tito jedinci byli vybráni z</w:t>
      </w:r>
      <w:r w:rsidR="00470EDC" w:rsidRPr="000D096C">
        <w:rPr>
          <w:rFonts w:ascii="Times New Roman" w:hAnsi="Times New Roman" w:cs="Times New Roman"/>
          <w:sz w:val="24"/>
          <w:szCs w:val="24"/>
        </w:rPr>
        <w:t> </w:t>
      </w:r>
      <w:r w:rsidRPr="000D096C">
        <w:rPr>
          <w:rFonts w:ascii="Times New Roman" w:hAnsi="Times New Roman" w:cs="Times New Roman"/>
          <w:sz w:val="24"/>
          <w:szCs w:val="24"/>
        </w:rPr>
        <w:t>databáze</w:t>
      </w:r>
      <w:r w:rsidR="00470EDC" w:rsidRPr="000D096C">
        <w:rPr>
          <w:rFonts w:ascii="Times New Roman" w:hAnsi="Times New Roman" w:cs="Times New Roman"/>
          <w:sz w:val="24"/>
          <w:szCs w:val="24"/>
        </w:rPr>
        <w:t xml:space="preserve"> záznamů</w:t>
      </w:r>
      <w:r w:rsidRPr="000D096C">
        <w:rPr>
          <w:rFonts w:ascii="Times New Roman" w:hAnsi="Times New Roman" w:cs="Times New Roman"/>
          <w:sz w:val="24"/>
          <w:szCs w:val="24"/>
        </w:rPr>
        <w:t xml:space="preserve"> </w:t>
      </w:r>
      <w:r w:rsidR="00470EDC" w:rsidRPr="000D096C">
        <w:rPr>
          <w:rFonts w:ascii="Times New Roman" w:hAnsi="Times New Roman" w:cs="Times New Roman"/>
          <w:sz w:val="24"/>
          <w:szCs w:val="24"/>
        </w:rPr>
        <w:t xml:space="preserve">687 </w:t>
      </w:r>
      <w:r w:rsidR="0021164F">
        <w:rPr>
          <w:rFonts w:ascii="Times New Roman" w:hAnsi="Times New Roman" w:cs="Times New Roman"/>
          <w:sz w:val="24"/>
          <w:szCs w:val="24"/>
        </w:rPr>
        <w:t>prvních návštěv</w:t>
      </w:r>
      <w:r w:rsidRPr="000D096C">
        <w:rPr>
          <w:rFonts w:ascii="Times New Roman" w:hAnsi="Times New Roman" w:cs="Times New Roman"/>
          <w:sz w:val="24"/>
          <w:szCs w:val="24"/>
        </w:rPr>
        <w:t xml:space="preserve"> pacientů </w:t>
      </w:r>
      <w:r w:rsidR="00470EDC" w:rsidRPr="000D096C">
        <w:rPr>
          <w:rFonts w:ascii="Times New Roman" w:hAnsi="Times New Roman" w:cs="Times New Roman"/>
          <w:sz w:val="24"/>
          <w:szCs w:val="24"/>
        </w:rPr>
        <w:t>v</w:t>
      </w:r>
      <w:r w:rsidR="0021164F">
        <w:rPr>
          <w:rFonts w:ascii="Times New Roman" w:hAnsi="Times New Roman" w:cs="Times New Roman"/>
          <w:sz w:val="24"/>
          <w:szCs w:val="24"/>
        </w:rPr>
        <w:t> metabolické ambulanci</w:t>
      </w:r>
      <w:r w:rsidRPr="000D096C">
        <w:rPr>
          <w:rFonts w:ascii="Times New Roman" w:hAnsi="Times New Roman" w:cs="Times New Roman"/>
          <w:sz w:val="24"/>
          <w:szCs w:val="24"/>
        </w:rPr>
        <w:t xml:space="preserve"> III. interní kliniky Fakultní nemocnice Olomouc. </w:t>
      </w:r>
      <w:r w:rsidR="00822E7E" w:rsidRPr="000D096C">
        <w:rPr>
          <w:rFonts w:ascii="Times New Roman" w:hAnsi="Times New Roman" w:cs="Times New Roman"/>
          <w:sz w:val="24"/>
          <w:szCs w:val="24"/>
        </w:rPr>
        <w:t xml:space="preserve">Sběr dat do výchozí databáze pro sestavení kontrolní skupiny probíhal za standardních podmínek shodných s výše uvedeným postupem u MetS skupiny v období března 2010 do listopadu 2018. </w:t>
      </w:r>
      <w:r w:rsidRPr="000D096C">
        <w:rPr>
          <w:rFonts w:ascii="Times New Roman" w:hAnsi="Times New Roman" w:cs="Times New Roman"/>
          <w:sz w:val="24"/>
          <w:szCs w:val="24"/>
        </w:rPr>
        <w:t xml:space="preserve">Žádný z jedinců v obou skupinách nebyl léčen perorálními antidiabetiky ani inzulínem. </w:t>
      </w:r>
      <w:r w:rsidR="000213BD" w:rsidRPr="000D096C">
        <w:rPr>
          <w:rFonts w:ascii="Times New Roman" w:hAnsi="Times New Roman" w:cs="Times New Roman"/>
          <w:sz w:val="24"/>
          <w:szCs w:val="24"/>
        </w:rPr>
        <w:t>Všichni jedinci podepsali po edukaci informovaný souhlas s účastí na projektu.</w:t>
      </w:r>
    </w:p>
    <w:p w:rsidR="00F33CBB" w:rsidRPr="000D096C" w:rsidRDefault="00F33CBB" w:rsidP="00E319B2">
      <w:pPr>
        <w:pStyle w:val="Nadpis4"/>
      </w:pPr>
      <w:r w:rsidRPr="000D096C">
        <w:t>Laboratorní analýza</w:t>
      </w:r>
    </w:p>
    <w:p w:rsidR="00C532E7" w:rsidRPr="000D096C" w:rsidRDefault="00C532E7"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 xml:space="preserve">Všechny laboratoře, v nichž probíhaly analýzy v rámci této práce, jsou akreditovány podle normy ČSN EN ISO 15189:2013. V MetS skupině byly odběry žilní krve prováděny vždy ráno po 12 hodinovém lačnění v jednom odběrovém místě akreditované laboratoře MeDiLa spol. s r.o. Zde byly při zachování standardních podmínek vyšetřovány následující biochemické parametry: glukóza, </w:t>
      </w:r>
      <w:r w:rsidR="00693DB2">
        <w:rPr>
          <w:rFonts w:ascii="Times New Roman" w:hAnsi="Times New Roman" w:cs="Times New Roman"/>
          <w:sz w:val="24"/>
          <w:szCs w:val="24"/>
        </w:rPr>
        <w:t>celkový cholesterol (</w:t>
      </w:r>
      <w:r w:rsidRPr="000D096C">
        <w:rPr>
          <w:rFonts w:ascii="Times New Roman" w:hAnsi="Times New Roman" w:cs="Times New Roman"/>
          <w:sz w:val="24"/>
          <w:szCs w:val="24"/>
        </w:rPr>
        <w:t>TC</w:t>
      </w:r>
      <w:r w:rsidR="00693DB2">
        <w:rPr>
          <w:rFonts w:ascii="Times New Roman" w:hAnsi="Times New Roman" w:cs="Times New Roman"/>
          <w:sz w:val="24"/>
          <w:szCs w:val="24"/>
        </w:rPr>
        <w:t>)</w:t>
      </w:r>
      <w:r w:rsidR="00EA0A4A">
        <w:rPr>
          <w:rFonts w:ascii="Times New Roman" w:hAnsi="Times New Roman" w:cs="Times New Roman"/>
          <w:sz w:val="24"/>
          <w:szCs w:val="24"/>
        </w:rPr>
        <w:t>, LDL, HDL</w:t>
      </w:r>
      <w:r w:rsidRPr="000D096C">
        <w:rPr>
          <w:rFonts w:ascii="Times New Roman" w:hAnsi="Times New Roman" w:cs="Times New Roman"/>
          <w:sz w:val="24"/>
          <w:szCs w:val="24"/>
        </w:rPr>
        <w:t>, T</w:t>
      </w:r>
      <w:r w:rsidR="00D36397" w:rsidRPr="000D096C">
        <w:rPr>
          <w:rFonts w:ascii="Times New Roman" w:hAnsi="Times New Roman" w:cs="Times New Roman"/>
          <w:sz w:val="24"/>
          <w:szCs w:val="24"/>
        </w:rPr>
        <w:t>A</w:t>
      </w:r>
      <w:r w:rsidRPr="000D096C">
        <w:rPr>
          <w:rFonts w:ascii="Times New Roman" w:hAnsi="Times New Roman" w:cs="Times New Roman"/>
          <w:sz w:val="24"/>
          <w:szCs w:val="24"/>
        </w:rPr>
        <w:t>G</w:t>
      </w:r>
      <w:r w:rsidR="00D36397" w:rsidRPr="000D096C">
        <w:rPr>
          <w:rFonts w:ascii="Times New Roman" w:hAnsi="Times New Roman" w:cs="Times New Roman"/>
          <w:sz w:val="24"/>
          <w:szCs w:val="24"/>
        </w:rPr>
        <w:t xml:space="preserve">, </w:t>
      </w:r>
      <w:r w:rsidR="00C240FF">
        <w:rPr>
          <w:rFonts w:ascii="Times New Roman" w:hAnsi="Times New Roman" w:cs="Times New Roman"/>
          <w:sz w:val="24"/>
          <w:szCs w:val="24"/>
        </w:rPr>
        <w:t>kyselina močová (</w:t>
      </w:r>
      <w:r w:rsidR="00D36397" w:rsidRPr="000D096C">
        <w:rPr>
          <w:rFonts w:ascii="Times New Roman" w:hAnsi="Times New Roman" w:cs="Times New Roman"/>
          <w:sz w:val="24"/>
          <w:szCs w:val="24"/>
        </w:rPr>
        <w:t>KM</w:t>
      </w:r>
      <w:r w:rsidR="00C240FF">
        <w:rPr>
          <w:rFonts w:ascii="Times New Roman" w:hAnsi="Times New Roman" w:cs="Times New Roman"/>
          <w:sz w:val="24"/>
          <w:szCs w:val="24"/>
        </w:rPr>
        <w:t>)</w:t>
      </w:r>
      <w:r w:rsidRPr="000D096C">
        <w:rPr>
          <w:rFonts w:ascii="Times New Roman" w:hAnsi="Times New Roman" w:cs="Times New Roman"/>
          <w:sz w:val="24"/>
          <w:szCs w:val="24"/>
        </w:rPr>
        <w:t xml:space="preserve">, ALT a AST. Uvedené parametry byly stanovovány na analyzátoru Architect C16000i (výrobce Abbott Laboratories, Illinois, USA) metodou </w:t>
      </w:r>
      <w:r w:rsidRPr="000D096C">
        <w:rPr>
          <w:rFonts w:ascii="Times New Roman" w:hAnsi="Times New Roman" w:cs="Times New Roman"/>
          <w:sz w:val="24"/>
          <w:szCs w:val="24"/>
        </w:rPr>
        <w:lastRenderedPageBreak/>
        <w:t xml:space="preserve">absorpční fotometrie s využitím čerstvého séra v den krevního odběru. Za účelem stanovení sérové koncentrace inzulínu docházelo k hlubokému zamražení séra maximálně do 2 hodin po odběru krve. </w:t>
      </w:r>
      <w:r w:rsidR="00D36397" w:rsidRPr="000D096C">
        <w:rPr>
          <w:rFonts w:ascii="Times New Roman" w:hAnsi="Times New Roman" w:cs="Times New Roman"/>
          <w:sz w:val="24"/>
          <w:szCs w:val="24"/>
        </w:rPr>
        <w:t xml:space="preserve">Sérum bylo skladováno </w:t>
      </w:r>
      <w:r w:rsidR="000E2CF0" w:rsidRPr="000D096C">
        <w:rPr>
          <w:rFonts w:ascii="Times New Roman" w:hAnsi="Times New Roman" w:cs="Times New Roman"/>
          <w:sz w:val="24"/>
          <w:szCs w:val="24"/>
        </w:rPr>
        <w:t>při teplotě</w:t>
      </w:r>
      <w:r w:rsidR="00D36397" w:rsidRPr="000D096C">
        <w:rPr>
          <w:rFonts w:ascii="Times New Roman" w:hAnsi="Times New Roman" w:cs="Times New Roman"/>
          <w:sz w:val="24"/>
          <w:szCs w:val="24"/>
        </w:rPr>
        <w:t xml:space="preserve"> -80 °C. </w:t>
      </w:r>
      <w:r w:rsidRPr="000D096C">
        <w:rPr>
          <w:rFonts w:ascii="Times New Roman" w:hAnsi="Times New Roman" w:cs="Times New Roman"/>
          <w:sz w:val="24"/>
          <w:szCs w:val="24"/>
        </w:rPr>
        <w:t>Vlastní analýza koncentrace inzulínu byla prováděna vždy do 7 dnů od odběru krve na Ústavu klinické biochemie a diagnostiky Fakultní nemocnice v Hradci Králové na přístroji Architect i1000SR (výrobce Abbott Laboratories, Illinois, USA) metodou c</w:t>
      </w:r>
      <w:r w:rsidR="000E2CF0" w:rsidRPr="000D096C">
        <w:rPr>
          <w:rFonts w:ascii="Times New Roman" w:hAnsi="Times New Roman" w:cs="Times New Roman"/>
          <w:sz w:val="24"/>
          <w:szCs w:val="24"/>
        </w:rPr>
        <w:t>hemiluminiscenční</w:t>
      </w:r>
      <w:r w:rsidRPr="000D096C">
        <w:rPr>
          <w:rFonts w:ascii="Times New Roman" w:hAnsi="Times New Roman" w:cs="Times New Roman"/>
          <w:sz w:val="24"/>
          <w:szCs w:val="24"/>
        </w:rPr>
        <w:t xml:space="preserve"> </w:t>
      </w:r>
      <w:r w:rsidR="0021164F">
        <w:rPr>
          <w:rFonts w:ascii="Times New Roman" w:hAnsi="Times New Roman" w:cs="Times New Roman"/>
          <w:sz w:val="24"/>
          <w:szCs w:val="24"/>
        </w:rPr>
        <w:t>mikro</w:t>
      </w:r>
      <w:r w:rsidR="000E2CF0" w:rsidRPr="000D096C">
        <w:rPr>
          <w:rFonts w:ascii="Times New Roman" w:hAnsi="Times New Roman" w:cs="Times New Roman"/>
          <w:sz w:val="24"/>
          <w:szCs w:val="24"/>
        </w:rPr>
        <w:t xml:space="preserve">částicové </w:t>
      </w:r>
      <w:r w:rsidRPr="000D096C">
        <w:rPr>
          <w:rFonts w:ascii="Times New Roman" w:hAnsi="Times New Roman" w:cs="Times New Roman"/>
          <w:sz w:val="24"/>
          <w:szCs w:val="24"/>
        </w:rPr>
        <w:t>i</w:t>
      </w:r>
      <w:r w:rsidR="000E2CF0" w:rsidRPr="000D096C">
        <w:rPr>
          <w:rFonts w:ascii="Times New Roman" w:hAnsi="Times New Roman" w:cs="Times New Roman"/>
          <w:sz w:val="24"/>
          <w:szCs w:val="24"/>
        </w:rPr>
        <w:t>munoanalýzy</w:t>
      </w:r>
      <w:r w:rsidRPr="000D096C">
        <w:rPr>
          <w:rFonts w:ascii="Times New Roman" w:hAnsi="Times New Roman" w:cs="Times New Roman"/>
          <w:sz w:val="24"/>
          <w:szCs w:val="24"/>
        </w:rPr>
        <w:t>.</w:t>
      </w:r>
      <w:r w:rsidR="00934717" w:rsidRPr="000D096C">
        <w:rPr>
          <w:rFonts w:ascii="Times New Roman" w:hAnsi="Times New Roman" w:cs="Times New Roman"/>
          <w:sz w:val="24"/>
          <w:szCs w:val="24"/>
        </w:rPr>
        <w:t xml:space="preserve"> V kontrolní skupině byly rovněž při zachování standardních podmínek </w:t>
      </w:r>
      <w:r w:rsidR="008376EC" w:rsidRPr="000D096C">
        <w:rPr>
          <w:rFonts w:ascii="Times New Roman" w:hAnsi="Times New Roman" w:cs="Times New Roman"/>
          <w:sz w:val="24"/>
          <w:szCs w:val="24"/>
        </w:rPr>
        <w:t>provedeny</w:t>
      </w:r>
      <w:r w:rsidR="00934717" w:rsidRPr="000D096C">
        <w:rPr>
          <w:rFonts w:ascii="Times New Roman" w:hAnsi="Times New Roman" w:cs="Times New Roman"/>
          <w:sz w:val="24"/>
          <w:szCs w:val="24"/>
        </w:rPr>
        <w:t xml:space="preserve"> </w:t>
      </w:r>
      <w:r w:rsidR="008376EC" w:rsidRPr="000D096C">
        <w:rPr>
          <w:rFonts w:ascii="Times New Roman" w:hAnsi="Times New Roman" w:cs="Times New Roman"/>
          <w:sz w:val="24"/>
          <w:szCs w:val="24"/>
        </w:rPr>
        <w:t>stejné rozbory</w:t>
      </w:r>
      <w:r w:rsidR="00934717" w:rsidRPr="000D096C">
        <w:rPr>
          <w:rFonts w:ascii="Times New Roman" w:hAnsi="Times New Roman" w:cs="Times New Roman"/>
          <w:sz w:val="24"/>
          <w:szCs w:val="24"/>
        </w:rPr>
        <w:t>, a to na</w:t>
      </w:r>
      <w:r w:rsidR="008376EC" w:rsidRPr="000D096C">
        <w:rPr>
          <w:rFonts w:ascii="Times New Roman" w:hAnsi="Times New Roman" w:cs="Times New Roman"/>
          <w:sz w:val="24"/>
          <w:szCs w:val="24"/>
        </w:rPr>
        <w:t xml:space="preserve"> Oddělení klinické biochemie</w:t>
      </w:r>
      <w:r w:rsidR="00934717" w:rsidRPr="000D096C">
        <w:rPr>
          <w:rFonts w:ascii="Times New Roman" w:hAnsi="Times New Roman" w:cs="Times New Roman"/>
          <w:sz w:val="24"/>
          <w:szCs w:val="24"/>
        </w:rPr>
        <w:t xml:space="preserve"> Fakultní nemocnice Olomouc s využitím přístroje Cobas 8000 analyzer (výrobce Roche, Mannheim, Německo)</w:t>
      </w:r>
      <w:r w:rsidR="006126C0" w:rsidRPr="000D096C">
        <w:rPr>
          <w:rFonts w:ascii="Times New Roman" w:hAnsi="Times New Roman" w:cs="Times New Roman"/>
          <w:sz w:val="24"/>
          <w:szCs w:val="24"/>
        </w:rPr>
        <w:t xml:space="preserve"> enzymatickými metodami</w:t>
      </w:r>
      <w:r w:rsidR="00934717" w:rsidRPr="000D096C">
        <w:rPr>
          <w:rFonts w:ascii="Times New Roman" w:hAnsi="Times New Roman" w:cs="Times New Roman"/>
          <w:sz w:val="24"/>
          <w:szCs w:val="24"/>
        </w:rPr>
        <w:t>. Sérová koncentrace inzulínu byla stanovována pomocí komerčně dostupných setů využívajících specifických protilátek (výrobce Immunotech, Marseille, Fra</w:t>
      </w:r>
      <w:r w:rsidR="00AE0566" w:rsidRPr="000D096C">
        <w:rPr>
          <w:rFonts w:ascii="Times New Roman" w:hAnsi="Times New Roman" w:cs="Times New Roman"/>
          <w:sz w:val="24"/>
          <w:szCs w:val="24"/>
        </w:rPr>
        <w:t>ncie) metodou imunoradiometrické</w:t>
      </w:r>
      <w:r w:rsidR="00934717" w:rsidRPr="000D096C">
        <w:rPr>
          <w:rFonts w:ascii="Times New Roman" w:hAnsi="Times New Roman" w:cs="Times New Roman"/>
          <w:sz w:val="24"/>
          <w:szCs w:val="24"/>
        </w:rPr>
        <w:t xml:space="preserve"> analýzy.</w:t>
      </w:r>
    </w:p>
    <w:p w:rsidR="00D627C4" w:rsidRPr="000D096C" w:rsidRDefault="008376EC" w:rsidP="00E319B2">
      <w:pPr>
        <w:pStyle w:val="Nadpis4"/>
      </w:pPr>
      <w:r w:rsidRPr="000D096C">
        <w:t>Statistická analýza</w:t>
      </w:r>
    </w:p>
    <w:p w:rsidR="008376EC" w:rsidRPr="000D096C" w:rsidRDefault="00AE0566"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Statistické zpracování bylo provedeno</w:t>
      </w:r>
      <w:r w:rsidR="00AE3A1A" w:rsidRPr="000D096C">
        <w:rPr>
          <w:rFonts w:ascii="Times New Roman" w:hAnsi="Times New Roman" w:cs="Times New Roman"/>
          <w:sz w:val="24"/>
          <w:szCs w:val="24"/>
        </w:rPr>
        <w:t xml:space="preserve"> s využitím počítačového prostředí R (</w:t>
      </w:r>
      <w:r w:rsidR="00D6105E">
        <w:rPr>
          <w:rFonts w:ascii="Times New Roman" w:hAnsi="Times New Roman" w:cs="Times New Roman"/>
          <w:i/>
          <w:sz w:val="24"/>
          <w:szCs w:val="24"/>
        </w:rPr>
        <w:t>R</w:t>
      </w:r>
      <w:r w:rsidR="00762125">
        <w:rPr>
          <w:rFonts w:ascii="Times New Roman" w:hAnsi="Times New Roman" w:cs="Times New Roman"/>
          <w:i/>
          <w:sz w:val="24"/>
          <w:szCs w:val="24"/>
        </w:rPr>
        <w:t> </w:t>
      </w:r>
      <w:r w:rsidR="00D6105E">
        <w:rPr>
          <w:rFonts w:ascii="Times New Roman" w:hAnsi="Times New Roman" w:cs="Times New Roman"/>
          <w:i/>
          <w:sz w:val="24"/>
          <w:szCs w:val="24"/>
        </w:rPr>
        <w:t>foundation for statistical c</w:t>
      </w:r>
      <w:r w:rsidR="00AE3A1A" w:rsidRPr="00D6105E">
        <w:rPr>
          <w:rFonts w:ascii="Times New Roman" w:hAnsi="Times New Roman" w:cs="Times New Roman"/>
          <w:i/>
          <w:sz w:val="24"/>
          <w:szCs w:val="24"/>
        </w:rPr>
        <w:t>omputing</w:t>
      </w:r>
      <w:r w:rsidR="00AE3A1A" w:rsidRPr="000D096C">
        <w:rPr>
          <w:rFonts w:ascii="Times New Roman" w:hAnsi="Times New Roman" w:cs="Times New Roman"/>
          <w:sz w:val="24"/>
          <w:szCs w:val="24"/>
        </w:rPr>
        <w:t xml:space="preserve">, Austria; http://www.r-project.org/). Všechny zkoumané numerické proměnné byly charakterizovány popisnou statistikou. </w:t>
      </w:r>
      <w:r w:rsidR="004A3C4D" w:rsidRPr="000D096C">
        <w:rPr>
          <w:rFonts w:ascii="Times New Roman" w:hAnsi="Times New Roman" w:cs="Times New Roman"/>
          <w:sz w:val="24"/>
          <w:szCs w:val="24"/>
        </w:rPr>
        <w:t xml:space="preserve">Mann–Whitneyův test byl použit pro stanovení statistické významnosti rozdílů proměnných mezi skupinami, Shapirův-Wilkův test pro určení rozložení dat. Hodnoty zkoumaných parametrů vykazovaly normální nebo téměř normální rozložení. </w:t>
      </w:r>
      <w:r w:rsidR="00AE3A1A" w:rsidRPr="000D096C">
        <w:rPr>
          <w:rFonts w:ascii="Times New Roman" w:hAnsi="Times New Roman" w:cs="Times New Roman"/>
          <w:sz w:val="24"/>
          <w:szCs w:val="24"/>
        </w:rPr>
        <w:t>Korelace vybraných proměnných byly kvantifikovány pomocí Pearsonova korelačního koeficientu (r) s</w:t>
      </w:r>
      <w:r w:rsidR="00762125">
        <w:rPr>
          <w:rFonts w:ascii="Times New Roman" w:hAnsi="Times New Roman" w:cs="Times New Roman"/>
          <w:sz w:val="24"/>
          <w:szCs w:val="24"/>
        </w:rPr>
        <w:t> </w:t>
      </w:r>
      <w:r w:rsidR="00AE3A1A" w:rsidRPr="000D096C">
        <w:rPr>
          <w:rFonts w:ascii="Times New Roman" w:hAnsi="Times New Roman" w:cs="Times New Roman"/>
          <w:sz w:val="24"/>
          <w:szCs w:val="24"/>
        </w:rPr>
        <w:t xml:space="preserve">uvedením hladiny významnosti (p). </w:t>
      </w:r>
      <w:r w:rsidR="0062276D">
        <w:rPr>
          <w:rFonts w:ascii="Times New Roman" w:hAnsi="Times New Roman" w:cs="Times New Roman"/>
          <w:sz w:val="24"/>
          <w:szCs w:val="24"/>
        </w:rPr>
        <w:t>Podle absolutní</w:t>
      </w:r>
      <w:r w:rsidR="000713A5">
        <w:rPr>
          <w:rFonts w:ascii="Times New Roman" w:hAnsi="Times New Roman" w:cs="Times New Roman"/>
          <w:sz w:val="24"/>
          <w:szCs w:val="24"/>
        </w:rPr>
        <w:t>ch</w:t>
      </w:r>
      <w:r w:rsidR="0062276D">
        <w:rPr>
          <w:rFonts w:ascii="Times New Roman" w:hAnsi="Times New Roman" w:cs="Times New Roman"/>
          <w:sz w:val="24"/>
          <w:szCs w:val="24"/>
        </w:rPr>
        <w:t xml:space="preserve"> hodnot korelačních koeficientů </w:t>
      </w:r>
      <w:r w:rsidR="000713A5">
        <w:rPr>
          <w:rFonts w:ascii="Times New Roman" w:hAnsi="Times New Roman" w:cs="Times New Roman"/>
          <w:sz w:val="24"/>
          <w:szCs w:val="24"/>
        </w:rPr>
        <w:t>jsou</w:t>
      </w:r>
      <w:r w:rsidR="0062276D">
        <w:rPr>
          <w:rFonts w:ascii="Times New Roman" w:hAnsi="Times New Roman" w:cs="Times New Roman"/>
          <w:sz w:val="24"/>
          <w:szCs w:val="24"/>
        </w:rPr>
        <w:t xml:space="preserve"> korelace</w:t>
      </w:r>
      <w:r w:rsidR="000713A5">
        <w:rPr>
          <w:rFonts w:ascii="Times New Roman" w:hAnsi="Times New Roman" w:cs="Times New Roman"/>
          <w:sz w:val="24"/>
          <w:szCs w:val="24"/>
        </w:rPr>
        <w:t xml:space="preserve"> v textu</w:t>
      </w:r>
      <w:r w:rsidR="0062276D">
        <w:rPr>
          <w:rFonts w:ascii="Times New Roman" w:hAnsi="Times New Roman" w:cs="Times New Roman"/>
          <w:sz w:val="24"/>
          <w:szCs w:val="24"/>
        </w:rPr>
        <w:t xml:space="preserve"> označ</w:t>
      </w:r>
      <w:r w:rsidR="000713A5">
        <w:rPr>
          <w:rFonts w:ascii="Times New Roman" w:hAnsi="Times New Roman" w:cs="Times New Roman"/>
          <w:sz w:val="24"/>
          <w:szCs w:val="24"/>
        </w:rPr>
        <w:t>ovány</w:t>
      </w:r>
      <w:r w:rsidR="0062276D">
        <w:rPr>
          <w:rFonts w:ascii="Times New Roman" w:hAnsi="Times New Roman" w:cs="Times New Roman"/>
          <w:sz w:val="24"/>
          <w:szCs w:val="24"/>
        </w:rPr>
        <w:t xml:space="preserve"> jako velmi slabé (r = 0,0-0,19), slabé (r = 0,2-0,39), středně silné (r = 0,4-0,59), silné (r = 0,6-0,79) a velmi silné (r = 0,8-1</w:t>
      </w:r>
      <w:r w:rsidR="000713A5">
        <w:rPr>
          <w:rFonts w:ascii="Times New Roman" w:hAnsi="Times New Roman" w:cs="Times New Roman"/>
          <w:sz w:val="24"/>
          <w:szCs w:val="24"/>
        </w:rPr>
        <w:t>,0</w:t>
      </w:r>
      <w:r w:rsidR="0062276D">
        <w:rPr>
          <w:rFonts w:ascii="Times New Roman" w:hAnsi="Times New Roman" w:cs="Times New Roman"/>
          <w:sz w:val="24"/>
          <w:szCs w:val="24"/>
        </w:rPr>
        <w:t>) [</w:t>
      </w:r>
      <w:r w:rsidR="00CD78C3">
        <w:rPr>
          <w:rFonts w:ascii="Times New Roman" w:hAnsi="Times New Roman" w:cs="Times New Roman"/>
          <w:sz w:val="24"/>
          <w:szCs w:val="24"/>
        </w:rPr>
        <w:t>107</w:t>
      </w:r>
      <w:r w:rsidR="0062276D">
        <w:rPr>
          <w:rFonts w:ascii="Times New Roman" w:hAnsi="Times New Roman" w:cs="Times New Roman"/>
          <w:sz w:val="24"/>
          <w:szCs w:val="24"/>
        </w:rPr>
        <w:t xml:space="preserve">]. </w:t>
      </w:r>
      <w:r w:rsidR="00AE3A1A" w:rsidRPr="000D096C">
        <w:rPr>
          <w:rFonts w:ascii="Times New Roman" w:hAnsi="Times New Roman" w:cs="Times New Roman"/>
          <w:sz w:val="24"/>
          <w:szCs w:val="24"/>
        </w:rPr>
        <w:t>Vícerozměrnou lineární regresí byly zkoumány vztahy vyšetřovaných parametrů, včetně VAI a AIP, jakožto regresorů závisle proměnných HOMA-IR a HOMA-β. Výsledky regresní analýzy jsou prezentovány v podobě lineárních koeficientů (β).</w:t>
      </w:r>
      <w:r w:rsidR="00906D58" w:rsidRPr="000D096C">
        <w:rPr>
          <w:rFonts w:ascii="Times New Roman" w:hAnsi="Times New Roman" w:cs="Times New Roman"/>
          <w:sz w:val="24"/>
          <w:szCs w:val="24"/>
        </w:rPr>
        <w:t xml:space="preserve"> Hladina významnosti byla stanovena na 5 % (P hodnoty nižší než 0,05 značí statistickou významnost). Extrémní hodnoty glykémií a</w:t>
      </w:r>
      <w:r w:rsidR="00BB3FFF">
        <w:rPr>
          <w:rFonts w:ascii="Times New Roman" w:hAnsi="Times New Roman" w:cs="Times New Roman"/>
          <w:sz w:val="24"/>
          <w:szCs w:val="24"/>
        </w:rPr>
        <w:t> </w:t>
      </w:r>
      <w:r w:rsidR="00906D58" w:rsidRPr="000D096C">
        <w:rPr>
          <w:rFonts w:ascii="Times New Roman" w:hAnsi="Times New Roman" w:cs="Times New Roman"/>
          <w:sz w:val="24"/>
          <w:szCs w:val="24"/>
        </w:rPr>
        <w:t>inzulinémií byly odhaleny a vyloučeny me</w:t>
      </w:r>
      <w:r w:rsidR="00B66A26" w:rsidRPr="000D096C">
        <w:rPr>
          <w:rFonts w:ascii="Times New Roman" w:hAnsi="Times New Roman" w:cs="Times New Roman"/>
          <w:sz w:val="24"/>
          <w:szCs w:val="24"/>
        </w:rPr>
        <w:t>todou vnitřních a vnějších hradeb</w:t>
      </w:r>
      <w:r w:rsidR="00906D58" w:rsidRPr="000D096C">
        <w:rPr>
          <w:rFonts w:ascii="Times New Roman" w:hAnsi="Times New Roman" w:cs="Times New Roman"/>
          <w:sz w:val="24"/>
          <w:szCs w:val="24"/>
        </w:rPr>
        <w:t xml:space="preserve">. Pro výpočet </w:t>
      </w:r>
      <w:r w:rsidR="00D6105E">
        <w:rPr>
          <w:rFonts w:ascii="Times New Roman" w:hAnsi="Times New Roman" w:cs="Times New Roman"/>
          <w:sz w:val="24"/>
          <w:szCs w:val="24"/>
        </w:rPr>
        <w:t xml:space="preserve">indexů byly využity </w:t>
      </w:r>
      <w:r w:rsidR="00906D58" w:rsidRPr="000D096C">
        <w:rPr>
          <w:rFonts w:ascii="Times New Roman" w:hAnsi="Times New Roman" w:cs="Times New Roman"/>
          <w:sz w:val="24"/>
          <w:szCs w:val="24"/>
        </w:rPr>
        <w:t xml:space="preserve">vzorce </w:t>
      </w:r>
      <w:r w:rsidR="00AB6994" w:rsidRPr="000D096C">
        <w:rPr>
          <w:rFonts w:ascii="Times New Roman" w:hAnsi="Times New Roman" w:cs="Times New Roman"/>
          <w:sz w:val="24"/>
          <w:szCs w:val="24"/>
        </w:rPr>
        <w:t>z kapitol 1.3.3.2 a 1.3.3.3</w:t>
      </w:r>
      <w:r w:rsidR="0002572D" w:rsidRPr="000D096C">
        <w:rPr>
          <w:rFonts w:ascii="Times New Roman" w:hAnsi="Times New Roman" w:cs="Times New Roman"/>
          <w:sz w:val="24"/>
          <w:szCs w:val="24"/>
        </w:rPr>
        <w:t>.</w:t>
      </w:r>
      <w:r w:rsidR="00906D58" w:rsidRPr="000D096C">
        <w:rPr>
          <w:rFonts w:ascii="Times New Roman" w:hAnsi="Times New Roman" w:cs="Times New Roman"/>
          <w:sz w:val="24"/>
          <w:szCs w:val="24"/>
        </w:rPr>
        <w:t xml:space="preserve"> </w:t>
      </w:r>
    </w:p>
    <w:p w:rsidR="00D627C4" w:rsidRPr="000D096C" w:rsidRDefault="001340EB" w:rsidP="004567D5">
      <w:pPr>
        <w:pStyle w:val="Nadpis3"/>
        <w:spacing w:line="360" w:lineRule="auto"/>
        <w:rPr>
          <w:rFonts w:cs="Times New Roman"/>
        </w:rPr>
      </w:pPr>
      <w:bookmarkStart w:id="105" w:name="_Toc33432686"/>
      <w:bookmarkStart w:id="106" w:name="_Toc33432906"/>
      <w:bookmarkStart w:id="107" w:name="_Toc33869545"/>
      <w:r w:rsidRPr="000D096C">
        <w:rPr>
          <w:rFonts w:cs="Times New Roman"/>
        </w:rPr>
        <w:lastRenderedPageBreak/>
        <w:t>Výsledky</w:t>
      </w:r>
      <w:bookmarkEnd w:id="105"/>
      <w:bookmarkEnd w:id="106"/>
      <w:bookmarkEnd w:id="107"/>
    </w:p>
    <w:p w:rsidR="001340EB" w:rsidRPr="000D096C" w:rsidRDefault="001340EB" w:rsidP="00E319B2">
      <w:pPr>
        <w:pStyle w:val="Nadpis4"/>
      </w:pPr>
      <w:r w:rsidRPr="000D096C">
        <w:t xml:space="preserve">Charakteristika studované populace </w:t>
      </w:r>
    </w:p>
    <w:p w:rsidR="00C11C4E" w:rsidRDefault="00315262"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Sledované</w:t>
      </w:r>
      <w:r w:rsidR="001340EB" w:rsidRPr="000D096C">
        <w:rPr>
          <w:rFonts w:ascii="Times New Roman" w:hAnsi="Times New Roman" w:cs="Times New Roman"/>
          <w:sz w:val="24"/>
          <w:szCs w:val="24"/>
        </w:rPr>
        <w:t xml:space="preserve"> metabolické a klinické charakteristiky jsou vyjádřeny ve formě průměru všech hodnot s uvedením dolní a horní hran</w:t>
      </w:r>
      <w:r w:rsidR="00D74931">
        <w:rPr>
          <w:rFonts w:ascii="Times New Roman" w:hAnsi="Times New Roman" w:cs="Times New Roman"/>
          <w:sz w:val="24"/>
          <w:szCs w:val="24"/>
        </w:rPr>
        <w:t>ice 95 % KI</w:t>
      </w:r>
      <w:r w:rsidR="002801C2">
        <w:rPr>
          <w:rFonts w:ascii="Times New Roman" w:hAnsi="Times New Roman" w:cs="Times New Roman"/>
          <w:sz w:val="24"/>
          <w:szCs w:val="24"/>
        </w:rPr>
        <w:t xml:space="preserve"> (tab.</w:t>
      </w:r>
      <w:r w:rsidR="0027702E" w:rsidRPr="000D096C">
        <w:rPr>
          <w:rFonts w:ascii="Times New Roman" w:hAnsi="Times New Roman" w:cs="Times New Roman"/>
          <w:sz w:val="24"/>
          <w:szCs w:val="24"/>
        </w:rPr>
        <w:t xml:space="preserve"> 2</w:t>
      </w:r>
      <w:r w:rsidR="001340EB" w:rsidRPr="000D096C">
        <w:rPr>
          <w:rFonts w:ascii="Times New Roman" w:hAnsi="Times New Roman" w:cs="Times New Roman"/>
          <w:sz w:val="24"/>
          <w:szCs w:val="24"/>
        </w:rPr>
        <w:t xml:space="preserve">). Je zřejmé, že většina parametrů </w:t>
      </w:r>
      <w:r w:rsidR="00362617" w:rsidRPr="000D096C">
        <w:rPr>
          <w:rFonts w:ascii="Times New Roman" w:hAnsi="Times New Roman" w:cs="Times New Roman"/>
          <w:sz w:val="24"/>
          <w:szCs w:val="24"/>
        </w:rPr>
        <w:t xml:space="preserve">určujících </w:t>
      </w:r>
      <w:r w:rsidR="001340EB" w:rsidRPr="000D096C">
        <w:rPr>
          <w:rFonts w:ascii="Times New Roman" w:hAnsi="Times New Roman" w:cs="Times New Roman"/>
          <w:sz w:val="24"/>
          <w:szCs w:val="24"/>
        </w:rPr>
        <w:t>MetS byla</w:t>
      </w:r>
      <w:r w:rsidR="00362617" w:rsidRPr="000D096C">
        <w:rPr>
          <w:rFonts w:ascii="Times New Roman" w:hAnsi="Times New Roman" w:cs="Times New Roman"/>
          <w:sz w:val="24"/>
          <w:szCs w:val="24"/>
        </w:rPr>
        <w:t xml:space="preserve"> v</w:t>
      </w:r>
      <w:r w:rsidR="001340EB" w:rsidRPr="000D096C">
        <w:rPr>
          <w:rFonts w:ascii="Times New Roman" w:hAnsi="Times New Roman" w:cs="Times New Roman"/>
          <w:sz w:val="24"/>
          <w:szCs w:val="24"/>
        </w:rPr>
        <w:t xml:space="preserve"> </w:t>
      </w:r>
      <w:r w:rsidRPr="000D096C">
        <w:rPr>
          <w:rFonts w:ascii="Times New Roman" w:hAnsi="Times New Roman" w:cs="Times New Roman"/>
          <w:sz w:val="24"/>
          <w:szCs w:val="24"/>
        </w:rPr>
        <w:t xml:space="preserve">MetS skupině </w:t>
      </w:r>
      <w:r w:rsidR="001340EB" w:rsidRPr="000D096C">
        <w:rPr>
          <w:rFonts w:ascii="Times New Roman" w:hAnsi="Times New Roman" w:cs="Times New Roman"/>
          <w:sz w:val="24"/>
          <w:szCs w:val="24"/>
        </w:rPr>
        <w:t>hraniční nebo abnormální. Průměrné hodnoty OP (105,7 cm u žen a 112,9 cm u mužů) se nacházely v pásmu obezity</w:t>
      </w:r>
      <w:r w:rsidR="0021164F">
        <w:rPr>
          <w:rFonts w:ascii="Times New Roman" w:hAnsi="Times New Roman" w:cs="Times New Roman"/>
          <w:sz w:val="24"/>
          <w:szCs w:val="24"/>
        </w:rPr>
        <w:t xml:space="preserve"> (dle IDF kritérií). Jednalo se </w:t>
      </w:r>
      <w:r w:rsidR="001340EB" w:rsidRPr="000D096C">
        <w:rPr>
          <w:rFonts w:ascii="Times New Roman" w:hAnsi="Times New Roman" w:cs="Times New Roman"/>
          <w:sz w:val="24"/>
          <w:szCs w:val="24"/>
        </w:rPr>
        <w:t>o jedince s centrálním (viscerálním) typem obezity. Z dalších diagnostických kritérií MetS byl častý výskyt glykémie ≥ 5,6 mmol/l, konkrétně u 49,6 % žen a 56,2 % mužů. Glykémii ≥ 7 mmol/l mělo 8,7 %</w:t>
      </w:r>
      <w:r w:rsidR="000A7B0E" w:rsidRPr="000D096C">
        <w:rPr>
          <w:rFonts w:ascii="Times New Roman" w:hAnsi="Times New Roman" w:cs="Times New Roman"/>
          <w:sz w:val="24"/>
          <w:szCs w:val="24"/>
        </w:rPr>
        <w:t xml:space="preserve"> žen a 9,6 % mužů.</w:t>
      </w:r>
      <w:r w:rsidR="001340EB" w:rsidRPr="000D096C">
        <w:rPr>
          <w:rFonts w:ascii="Times New Roman" w:hAnsi="Times New Roman" w:cs="Times New Roman"/>
          <w:sz w:val="24"/>
          <w:szCs w:val="24"/>
        </w:rPr>
        <w:t xml:space="preserve"> Z</w:t>
      </w:r>
      <w:r w:rsidR="002801C2">
        <w:rPr>
          <w:rFonts w:ascii="Times New Roman" w:hAnsi="Times New Roman" w:cs="Times New Roman"/>
          <w:sz w:val="24"/>
          <w:szCs w:val="24"/>
        </w:rPr>
        <w:t> t</w:t>
      </w:r>
      <w:r w:rsidR="001340EB" w:rsidRPr="000D096C">
        <w:rPr>
          <w:rFonts w:ascii="Times New Roman" w:hAnsi="Times New Roman" w:cs="Times New Roman"/>
          <w:sz w:val="24"/>
          <w:szCs w:val="24"/>
        </w:rPr>
        <w:t>ab</w:t>
      </w:r>
      <w:r w:rsidR="002801C2">
        <w:rPr>
          <w:rFonts w:ascii="Times New Roman" w:hAnsi="Times New Roman" w:cs="Times New Roman"/>
          <w:sz w:val="24"/>
          <w:szCs w:val="24"/>
        </w:rPr>
        <w:t>.</w:t>
      </w:r>
      <w:r w:rsidR="001B4449" w:rsidRPr="000D096C">
        <w:rPr>
          <w:rFonts w:ascii="Times New Roman" w:hAnsi="Times New Roman" w:cs="Times New Roman"/>
          <w:sz w:val="24"/>
          <w:szCs w:val="24"/>
        </w:rPr>
        <w:t xml:space="preserve"> 2</w:t>
      </w:r>
      <w:r w:rsidR="001340EB" w:rsidRPr="000D096C">
        <w:rPr>
          <w:rFonts w:ascii="Times New Roman" w:hAnsi="Times New Roman" w:cs="Times New Roman"/>
          <w:sz w:val="24"/>
          <w:szCs w:val="24"/>
        </w:rPr>
        <w:t xml:space="preserve"> vyplývá, že průměrné hodnoty </w:t>
      </w:r>
      <w:r w:rsidR="000A7B0E" w:rsidRPr="000D096C">
        <w:rPr>
          <w:rFonts w:ascii="Times New Roman" w:hAnsi="Times New Roman" w:cs="Times New Roman"/>
          <w:sz w:val="24"/>
          <w:szCs w:val="24"/>
        </w:rPr>
        <w:t xml:space="preserve">systolického </w:t>
      </w:r>
      <w:r w:rsidR="00A61003" w:rsidRPr="000D096C">
        <w:rPr>
          <w:rFonts w:ascii="Times New Roman" w:hAnsi="Times New Roman" w:cs="Times New Roman"/>
          <w:sz w:val="24"/>
          <w:szCs w:val="24"/>
        </w:rPr>
        <w:t>TK</w:t>
      </w:r>
      <w:r w:rsidR="001340EB" w:rsidRPr="000D096C">
        <w:rPr>
          <w:rFonts w:ascii="Times New Roman" w:hAnsi="Times New Roman" w:cs="Times New Roman"/>
          <w:sz w:val="24"/>
          <w:szCs w:val="24"/>
        </w:rPr>
        <w:t xml:space="preserve"> byly mírně nad diagnostickou hranicí M</w:t>
      </w:r>
      <w:r w:rsidR="000A7B0E" w:rsidRPr="000D096C">
        <w:rPr>
          <w:rFonts w:ascii="Times New Roman" w:hAnsi="Times New Roman" w:cs="Times New Roman"/>
          <w:sz w:val="24"/>
          <w:szCs w:val="24"/>
        </w:rPr>
        <w:t>et</w:t>
      </w:r>
      <w:r w:rsidR="001340EB" w:rsidRPr="000D096C">
        <w:rPr>
          <w:rFonts w:ascii="Times New Roman" w:hAnsi="Times New Roman" w:cs="Times New Roman"/>
          <w:sz w:val="24"/>
          <w:szCs w:val="24"/>
        </w:rPr>
        <w:t xml:space="preserve">S, zatímco průměrné hodnoty </w:t>
      </w:r>
      <w:r w:rsidR="000A7B0E" w:rsidRPr="000D096C">
        <w:rPr>
          <w:rFonts w:ascii="Times New Roman" w:hAnsi="Times New Roman" w:cs="Times New Roman"/>
          <w:sz w:val="24"/>
          <w:szCs w:val="24"/>
        </w:rPr>
        <w:t xml:space="preserve">diastolického </w:t>
      </w:r>
      <w:r w:rsidR="00A61003" w:rsidRPr="000D096C">
        <w:rPr>
          <w:rFonts w:ascii="Times New Roman" w:hAnsi="Times New Roman" w:cs="Times New Roman"/>
          <w:sz w:val="24"/>
          <w:szCs w:val="24"/>
        </w:rPr>
        <w:t>TK</w:t>
      </w:r>
      <w:r w:rsidR="001340EB" w:rsidRPr="000D096C">
        <w:rPr>
          <w:rFonts w:ascii="Times New Roman" w:hAnsi="Times New Roman" w:cs="Times New Roman"/>
          <w:sz w:val="24"/>
          <w:szCs w:val="24"/>
        </w:rPr>
        <w:t xml:space="preserve"> byly pod touto hranicí. Z průměrných hodnot lipidových parametrů obsažených v definici M</w:t>
      </w:r>
      <w:r w:rsidR="000A7B0E" w:rsidRPr="000D096C">
        <w:rPr>
          <w:rFonts w:ascii="Times New Roman" w:hAnsi="Times New Roman" w:cs="Times New Roman"/>
          <w:sz w:val="24"/>
          <w:szCs w:val="24"/>
        </w:rPr>
        <w:t>et</w:t>
      </w:r>
      <w:r w:rsidR="001340EB" w:rsidRPr="000D096C">
        <w:rPr>
          <w:rFonts w:ascii="Times New Roman" w:hAnsi="Times New Roman" w:cs="Times New Roman"/>
          <w:sz w:val="24"/>
          <w:szCs w:val="24"/>
        </w:rPr>
        <w:t>S byla abnormální pouze hodnota T</w:t>
      </w:r>
      <w:r w:rsidR="000A7B0E" w:rsidRPr="000D096C">
        <w:rPr>
          <w:rFonts w:ascii="Times New Roman" w:hAnsi="Times New Roman" w:cs="Times New Roman"/>
          <w:sz w:val="24"/>
          <w:szCs w:val="24"/>
        </w:rPr>
        <w:t>A</w:t>
      </w:r>
      <w:r w:rsidR="001340EB" w:rsidRPr="000D096C">
        <w:rPr>
          <w:rFonts w:ascii="Times New Roman" w:hAnsi="Times New Roman" w:cs="Times New Roman"/>
          <w:sz w:val="24"/>
          <w:szCs w:val="24"/>
        </w:rPr>
        <w:t>G u mužů</w:t>
      </w:r>
      <w:r w:rsidR="000A7B0E" w:rsidRPr="000D096C">
        <w:rPr>
          <w:rFonts w:ascii="Times New Roman" w:hAnsi="Times New Roman" w:cs="Times New Roman"/>
          <w:sz w:val="24"/>
          <w:szCs w:val="24"/>
        </w:rPr>
        <w:t xml:space="preserve"> (1,81 mmol/l)</w:t>
      </w:r>
      <w:r w:rsidR="001340EB" w:rsidRPr="000D096C">
        <w:rPr>
          <w:rFonts w:ascii="Times New Roman" w:hAnsi="Times New Roman" w:cs="Times New Roman"/>
          <w:sz w:val="24"/>
          <w:szCs w:val="24"/>
        </w:rPr>
        <w:t>. Je však třeba zmínit, že v</w:t>
      </w:r>
      <w:r w:rsidR="000A7B0E" w:rsidRPr="000D096C">
        <w:rPr>
          <w:rFonts w:ascii="Times New Roman" w:hAnsi="Times New Roman" w:cs="Times New Roman"/>
          <w:sz w:val="24"/>
          <w:szCs w:val="24"/>
        </w:rPr>
        <w:t> MetS skupině</w:t>
      </w:r>
      <w:r w:rsidR="001340EB" w:rsidRPr="000D096C">
        <w:rPr>
          <w:rFonts w:ascii="Times New Roman" w:hAnsi="Times New Roman" w:cs="Times New Roman"/>
          <w:sz w:val="24"/>
          <w:szCs w:val="24"/>
        </w:rPr>
        <w:t xml:space="preserve"> byla rozšířená dlouhodobá antihypertenzní a hypolipidemická léčba (statiny i fibráty).</w:t>
      </w:r>
      <w:r w:rsidR="000A7B0E" w:rsidRPr="000D096C">
        <w:rPr>
          <w:rFonts w:ascii="Times New Roman" w:hAnsi="Times New Roman" w:cs="Times New Roman"/>
          <w:sz w:val="24"/>
          <w:szCs w:val="24"/>
        </w:rPr>
        <w:t xml:space="preserve"> V kontrolní skupině byly všechny parametry MetS normální s výjimkou OP u žen (80,2 cm). Všechny testované parametry se statisticky významně lišily mezi skupinami </w:t>
      </w:r>
      <w:r w:rsidR="00EA0A4A">
        <w:rPr>
          <w:rFonts w:ascii="Times New Roman" w:hAnsi="Times New Roman" w:cs="Times New Roman"/>
          <w:sz w:val="24"/>
          <w:szCs w:val="24"/>
        </w:rPr>
        <w:t>s výjimkou TC a LDL</w:t>
      </w:r>
      <w:r w:rsidR="002801C2">
        <w:rPr>
          <w:rFonts w:ascii="Times New Roman" w:hAnsi="Times New Roman" w:cs="Times New Roman"/>
          <w:sz w:val="24"/>
          <w:szCs w:val="24"/>
        </w:rPr>
        <w:t xml:space="preserve"> (tab. </w:t>
      </w:r>
      <w:r w:rsidR="0027702E" w:rsidRPr="000D096C">
        <w:rPr>
          <w:rFonts w:ascii="Times New Roman" w:hAnsi="Times New Roman" w:cs="Times New Roman"/>
          <w:sz w:val="24"/>
          <w:szCs w:val="24"/>
        </w:rPr>
        <w:t>2</w:t>
      </w:r>
      <w:r w:rsidR="000A7B0E" w:rsidRPr="000D096C">
        <w:rPr>
          <w:rFonts w:ascii="Times New Roman" w:hAnsi="Times New Roman" w:cs="Times New Roman"/>
          <w:sz w:val="24"/>
          <w:szCs w:val="24"/>
        </w:rPr>
        <w:t>).</w:t>
      </w:r>
    </w:p>
    <w:p w:rsidR="00C11C4E" w:rsidRDefault="00C11C4E">
      <w:pPr>
        <w:rPr>
          <w:rFonts w:ascii="Times New Roman" w:hAnsi="Times New Roman" w:cs="Times New Roman"/>
          <w:sz w:val="24"/>
          <w:szCs w:val="24"/>
        </w:rPr>
      </w:pPr>
      <w:r>
        <w:rPr>
          <w:rFonts w:ascii="Times New Roman" w:hAnsi="Times New Roman" w:cs="Times New Roman"/>
          <w:sz w:val="24"/>
          <w:szCs w:val="24"/>
        </w:rPr>
        <w:br w:type="page"/>
      </w:r>
    </w:p>
    <w:p w:rsidR="00CA1C0D" w:rsidRPr="000D096C" w:rsidRDefault="00A209E6" w:rsidP="002F1555">
      <w:pPr>
        <w:pStyle w:val="Bezmezer"/>
        <w:spacing w:after="240" w:line="360" w:lineRule="auto"/>
        <w:jc w:val="both"/>
        <w:rPr>
          <w:rFonts w:ascii="Times New Roman" w:hAnsi="Times New Roman" w:cs="Times New Roman"/>
          <w:b/>
          <w:sz w:val="24"/>
          <w:szCs w:val="24"/>
        </w:rPr>
      </w:pPr>
      <w:r w:rsidRPr="000D096C">
        <w:rPr>
          <w:rFonts w:ascii="Times New Roman" w:hAnsi="Times New Roman" w:cs="Times New Roman"/>
          <w:b/>
          <w:sz w:val="24"/>
          <w:szCs w:val="24"/>
        </w:rPr>
        <w:lastRenderedPageBreak/>
        <w:t>Tabulka 2</w:t>
      </w:r>
      <w:r w:rsidR="00CA1C0D" w:rsidRPr="000D096C">
        <w:rPr>
          <w:rFonts w:ascii="Times New Roman" w:hAnsi="Times New Roman" w:cs="Times New Roman"/>
          <w:b/>
          <w:sz w:val="24"/>
          <w:szCs w:val="24"/>
        </w:rPr>
        <w:t xml:space="preserve">. </w:t>
      </w:r>
      <w:r w:rsidR="007B222F" w:rsidRPr="000D096C">
        <w:rPr>
          <w:rFonts w:ascii="Times New Roman" w:hAnsi="Times New Roman" w:cs="Times New Roman"/>
          <w:sz w:val="24"/>
          <w:szCs w:val="24"/>
        </w:rPr>
        <w:t>Základní</w:t>
      </w:r>
      <w:r w:rsidR="00CA1C0D" w:rsidRPr="000D096C">
        <w:rPr>
          <w:rFonts w:ascii="Times New Roman" w:hAnsi="Times New Roman" w:cs="Times New Roman"/>
          <w:sz w:val="24"/>
          <w:szCs w:val="24"/>
        </w:rPr>
        <w:t xml:space="preserve"> charakteristiky </w:t>
      </w:r>
      <w:r w:rsidR="007B222F" w:rsidRPr="000D096C">
        <w:rPr>
          <w:rFonts w:ascii="Times New Roman" w:hAnsi="Times New Roman" w:cs="Times New Roman"/>
          <w:sz w:val="24"/>
          <w:szCs w:val="24"/>
        </w:rPr>
        <w:t xml:space="preserve">studované populace </w:t>
      </w:r>
    </w:p>
    <w:tbl>
      <w:tblPr>
        <w:tblpPr w:leftFromText="141" w:rightFromText="141" w:vertAnchor="text" w:tblpY="1"/>
        <w:tblOverlap w:val="neve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4"/>
        <w:gridCol w:w="2551"/>
        <w:gridCol w:w="1276"/>
        <w:gridCol w:w="2693"/>
      </w:tblGrid>
      <w:tr w:rsidR="00A239A3" w:rsidRPr="000D096C" w:rsidTr="00267EF1">
        <w:trPr>
          <w:trHeight w:val="300"/>
        </w:trPr>
        <w:tc>
          <w:tcPr>
            <w:tcW w:w="2764" w:type="dxa"/>
            <w:shd w:val="clear" w:color="auto" w:fill="auto"/>
            <w:noWrap/>
            <w:vAlign w:val="center"/>
            <w:hideMark/>
          </w:tcPr>
          <w:p w:rsidR="00CA1C0D" w:rsidRPr="000D096C" w:rsidRDefault="00CA1C0D" w:rsidP="004567D5">
            <w:pPr>
              <w:spacing w:after="0" w:line="360" w:lineRule="auto"/>
              <w:jc w:val="both"/>
              <w:rPr>
                <w:rFonts w:ascii="Times New Roman" w:eastAsia="Times New Roman" w:hAnsi="Times New Roman" w:cs="Times New Roman"/>
                <w:b/>
                <w:sz w:val="24"/>
                <w:szCs w:val="24"/>
                <w:lang w:eastAsia="cs-CZ"/>
              </w:rPr>
            </w:pPr>
            <w:r w:rsidRPr="000D096C">
              <w:rPr>
                <w:rFonts w:ascii="Times New Roman" w:eastAsia="Times New Roman" w:hAnsi="Times New Roman" w:cs="Times New Roman"/>
                <w:b/>
                <w:sz w:val="24"/>
                <w:szCs w:val="24"/>
                <w:lang w:eastAsia="cs-CZ"/>
              </w:rPr>
              <w:t>Charakteristiky</w:t>
            </w:r>
          </w:p>
        </w:tc>
        <w:tc>
          <w:tcPr>
            <w:tcW w:w="2551" w:type="dxa"/>
            <w:shd w:val="clear" w:color="auto" w:fill="auto"/>
            <w:noWrap/>
            <w:vAlign w:val="center"/>
            <w:hideMark/>
          </w:tcPr>
          <w:p w:rsidR="00CA1C0D" w:rsidRDefault="00CA1C0D" w:rsidP="004567D5">
            <w:pPr>
              <w:spacing w:after="0" w:line="360" w:lineRule="auto"/>
              <w:jc w:val="both"/>
              <w:rPr>
                <w:rFonts w:ascii="Times New Roman" w:eastAsia="Times New Roman" w:hAnsi="Times New Roman" w:cs="Times New Roman"/>
                <w:b/>
                <w:bCs/>
                <w:sz w:val="24"/>
                <w:szCs w:val="24"/>
                <w:lang w:eastAsia="cs-CZ"/>
              </w:rPr>
            </w:pPr>
            <w:r w:rsidRPr="000D096C">
              <w:rPr>
                <w:rFonts w:ascii="Times New Roman" w:eastAsia="Times New Roman" w:hAnsi="Times New Roman" w:cs="Times New Roman"/>
                <w:b/>
                <w:bCs/>
                <w:sz w:val="24"/>
                <w:szCs w:val="24"/>
                <w:lang w:eastAsia="cs-CZ"/>
              </w:rPr>
              <w:t>MetS skupina</w:t>
            </w:r>
          </w:p>
          <w:p w:rsidR="00385D46" w:rsidRPr="003D0A2B" w:rsidRDefault="00385D46" w:rsidP="004567D5">
            <w:pPr>
              <w:spacing w:after="0" w:line="360" w:lineRule="auto"/>
              <w:jc w:val="both"/>
              <w:rPr>
                <w:rFonts w:ascii="Times New Roman" w:eastAsia="Times New Roman" w:hAnsi="Times New Roman" w:cs="Times New Roman"/>
                <w:bCs/>
                <w:sz w:val="24"/>
                <w:szCs w:val="24"/>
                <w:lang w:eastAsia="cs-CZ"/>
              </w:rPr>
            </w:pPr>
            <w:r w:rsidRPr="003D0A2B">
              <w:rPr>
                <w:rFonts w:ascii="Times New Roman" w:eastAsia="Times New Roman" w:hAnsi="Times New Roman" w:cs="Times New Roman"/>
                <w:bCs/>
                <w:sz w:val="24"/>
                <w:szCs w:val="24"/>
                <w:lang w:eastAsia="cs-CZ"/>
              </w:rPr>
              <w:t xml:space="preserve">Průměrná hodnota </w:t>
            </w:r>
            <w:r w:rsidRPr="003D0A2B">
              <w:rPr>
                <w:rFonts w:ascii="Times New Roman" w:eastAsia="Times New Roman" w:hAnsi="Times New Roman" w:cs="Times New Roman"/>
                <w:bCs/>
                <w:sz w:val="24"/>
                <w:szCs w:val="24"/>
                <w:lang w:eastAsia="cs-CZ"/>
              </w:rPr>
              <w:br/>
              <w:t>(95 % KI průměrné hodnoty)</w:t>
            </w:r>
          </w:p>
        </w:tc>
        <w:tc>
          <w:tcPr>
            <w:tcW w:w="1276" w:type="dxa"/>
            <w:shd w:val="clear" w:color="auto" w:fill="auto"/>
            <w:noWrap/>
            <w:vAlign w:val="center"/>
            <w:hideMark/>
          </w:tcPr>
          <w:p w:rsidR="00CA1C0D" w:rsidRPr="000D096C" w:rsidRDefault="00CA1C0D" w:rsidP="004567D5">
            <w:pPr>
              <w:spacing w:after="0" w:line="360" w:lineRule="auto"/>
              <w:jc w:val="both"/>
              <w:rPr>
                <w:rFonts w:ascii="Times New Roman" w:eastAsia="Times New Roman" w:hAnsi="Times New Roman" w:cs="Times New Roman"/>
                <w:b/>
                <w:bCs/>
                <w:sz w:val="24"/>
                <w:szCs w:val="24"/>
                <w:lang w:eastAsia="cs-CZ"/>
              </w:rPr>
            </w:pPr>
            <w:r w:rsidRPr="000D096C">
              <w:rPr>
                <w:rFonts w:ascii="Times New Roman" w:eastAsia="Times New Roman" w:hAnsi="Times New Roman" w:cs="Times New Roman"/>
                <w:b/>
                <w:bCs/>
                <w:sz w:val="24"/>
                <w:szCs w:val="24"/>
                <w:lang w:eastAsia="cs-CZ"/>
              </w:rPr>
              <w:t>p-hodnota</w:t>
            </w:r>
          </w:p>
        </w:tc>
        <w:tc>
          <w:tcPr>
            <w:tcW w:w="2693" w:type="dxa"/>
            <w:shd w:val="clear" w:color="auto" w:fill="auto"/>
            <w:noWrap/>
            <w:vAlign w:val="center"/>
            <w:hideMark/>
          </w:tcPr>
          <w:p w:rsidR="00CA1C0D" w:rsidRDefault="00CA1C0D" w:rsidP="004567D5">
            <w:pPr>
              <w:spacing w:after="0" w:line="360" w:lineRule="auto"/>
              <w:jc w:val="both"/>
              <w:rPr>
                <w:rFonts w:ascii="Times New Roman" w:eastAsia="Times New Roman" w:hAnsi="Times New Roman" w:cs="Times New Roman"/>
                <w:b/>
                <w:bCs/>
                <w:sz w:val="24"/>
                <w:szCs w:val="24"/>
                <w:lang w:eastAsia="cs-CZ"/>
              </w:rPr>
            </w:pPr>
            <w:r w:rsidRPr="000D096C">
              <w:rPr>
                <w:rFonts w:ascii="Times New Roman" w:eastAsia="Times New Roman" w:hAnsi="Times New Roman" w:cs="Times New Roman"/>
                <w:b/>
                <w:bCs/>
                <w:sz w:val="24"/>
                <w:szCs w:val="24"/>
                <w:lang w:eastAsia="cs-CZ"/>
              </w:rPr>
              <w:t>Kontrolní skupina</w:t>
            </w:r>
          </w:p>
          <w:p w:rsidR="00385D46" w:rsidRPr="003D0A2B" w:rsidRDefault="00385D46" w:rsidP="004567D5">
            <w:pPr>
              <w:spacing w:after="0" w:line="360" w:lineRule="auto"/>
              <w:jc w:val="both"/>
              <w:rPr>
                <w:rFonts w:ascii="Times New Roman" w:eastAsia="Times New Roman" w:hAnsi="Times New Roman" w:cs="Times New Roman"/>
                <w:bCs/>
                <w:sz w:val="24"/>
                <w:szCs w:val="24"/>
                <w:lang w:eastAsia="cs-CZ"/>
              </w:rPr>
            </w:pPr>
            <w:r w:rsidRPr="003D0A2B">
              <w:rPr>
                <w:rFonts w:ascii="Times New Roman" w:eastAsia="Times New Roman" w:hAnsi="Times New Roman" w:cs="Times New Roman"/>
                <w:bCs/>
                <w:sz w:val="24"/>
                <w:szCs w:val="24"/>
                <w:lang w:eastAsia="cs-CZ"/>
              </w:rPr>
              <w:t xml:space="preserve">Průměrná hodnota </w:t>
            </w:r>
            <w:r w:rsidRPr="003D0A2B">
              <w:rPr>
                <w:rFonts w:ascii="Times New Roman" w:eastAsia="Times New Roman" w:hAnsi="Times New Roman" w:cs="Times New Roman"/>
                <w:bCs/>
                <w:sz w:val="24"/>
                <w:szCs w:val="24"/>
                <w:lang w:eastAsia="cs-CZ"/>
              </w:rPr>
              <w:br/>
              <w:t>(95 % KI průměrné hodnoty)</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lang w:eastAsia="cs-CZ"/>
              </w:rPr>
              <w:t>N (ženy, muži)</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188 (115, 73)</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188 (115, 73)</w:t>
            </w:r>
          </w:p>
        </w:tc>
      </w:tr>
      <w:tr w:rsidR="000D096C" w:rsidRPr="000D096C" w:rsidTr="00267EF1">
        <w:trPr>
          <w:trHeight w:val="300"/>
        </w:trPr>
        <w:tc>
          <w:tcPr>
            <w:tcW w:w="2764" w:type="dxa"/>
            <w:shd w:val="clear" w:color="auto" w:fill="auto"/>
            <w:noWrap/>
            <w:vAlign w:val="center"/>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rPr>
              <w:t>Věk (roky)</w:t>
            </w:r>
            <w:r w:rsidRPr="00267EF1">
              <w:rPr>
                <w:rFonts w:ascii="Times New Roman" w:hAnsi="Times New Roman" w:cs="Times New Roman"/>
                <w:b/>
                <w:sz w:val="24"/>
                <w:szCs w:val="24"/>
              </w:rPr>
              <w:tab/>
            </w:r>
          </w:p>
        </w:tc>
        <w:tc>
          <w:tcPr>
            <w:tcW w:w="2551" w:type="dxa"/>
            <w:shd w:val="clear" w:color="auto" w:fill="auto"/>
            <w:noWrap/>
            <w:vAlign w:val="center"/>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56,26 (54,24; 58,28)</w:t>
            </w:r>
          </w:p>
        </w:tc>
        <w:tc>
          <w:tcPr>
            <w:tcW w:w="1276" w:type="dxa"/>
            <w:shd w:val="clear" w:color="auto" w:fill="auto"/>
            <w:noWrap/>
            <w:vAlign w:val="center"/>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0,269</w:t>
            </w:r>
          </w:p>
        </w:tc>
        <w:tc>
          <w:tcPr>
            <w:tcW w:w="2693" w:type="dxa"/>
            <w:shd w:val="clear" w:color="auto" w:fill="auto"/>
            <w:noWrap/>
            <w:vAlign w:val="center"/>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54,72 (52,90; 56,55)</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lang w:eastAsia="cs-CZ"/>
              </w:rPr>
              <w:t>OP (cm)</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108,47 (106,27; 110,67)</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85,13 (83,66; 86,59)</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lang w:eastAsia="cs-CZ"/>
              </w:rPr>
              <w:t xml:space="preserve">BMI </w:t>
            </w:r>
            <w:r w:rsidRPr="00267EF1">
              <w:rPr>
                <w:rFonts w:ascii="Times New Roman" w:hAnsi="Times New Roman" w:cs="Times New Roman"/>
                <w:b/>
                <w:sz w:val="24"/>
                <w:szCs w:val="24"/>
              </w:rPr>
              <w:t>(kg/m²)</w:t>
            </w:r>
            <w:r w:rsidRPr="00267EF1">
              <w:rPr>
                <w:rFonts w:ascii="Times New Roman" w:hAnsi="Times New Roman" w:cs="Times New Roman"/>
                <w:b/>
                <w:sz w:val="24"/>
                <w:szCs w:val="24"/>
              </w:rPr>
              <w:tab/>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30,69 (30,00; 31,38)</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25,31 (24,83; 25,79)</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rPr>
              <w:t>Glukóza (mmol/l)</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5,86 (5,70; 6,03)</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4,99 (4,90; 5,07)</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rPr>
              <w:t>TC (mmol/l)</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5,41 (5,25; 5,58)</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0,677</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5,37 (5,26; 5,49)</w:t>
            </w:r>
          </w:p>
        </w:tc>
      </w:tr>
      <w:tr w:rsidR="000D096C" w:rsidRPr="000D096C" w:rsidTr="00267EF1">
        <w:trPr>
          <w:trHeight w:val="300"/>
        </w:trPr>
        <w:tc>
          <w:tcPr>
            <w:tcW w:w="2764" w:type="dxa"/>
            <w:shd w:val="clear" w:color="auto" w:fill="auto"/>
            <w:noWrap/>
            <w:vAlign w:val="center"/>
          </w:tcPr>
          <w:p w:rsidR="00CA1C0D" w:rsidRPr="00267EF1" w:rsidRDefault="00EA0A4A" w:rsidP="00267EF1">
            <w:pPr>
              <w:pStyle w:val="Bezmezer"/>
              <w:spacing w:line="360" w:lineRule="auto"/>
              <w:rPr>
                <w:rFonts w:ascii="Times New Roman" w:hAnsi="Times New Roman" w:cs="Times New Roman"/>
                <w:b/>
                <w:sz w:val="24"/>
                <w:szCs w:val="24"/>
                <w:lang w:eastAsia="cs-CZ"/>
              </w:rPr>
            </w:pPr>
            <w:r>
              <w:rPr>
                <w:rFonts w:ascii="Times New Roman" w:hAnsi="Times New Roman" w:cs="Times New Roman"/>
                <w:b/>
                <w:sz w:val="24"/>
                <w:szCs w:val="24"/>
              </w:rPr>
              <w:t>HDL</w:t>
            </w:r>
            <w:r w:rsidR="00CA1C0D" w:rsidRPr="00267EF1">
              <w:rPr>
                <w:rFonts w:ascii="Times New Roman" w:hAnsi="Times New Roman" w:cs="Times New Roman"/>
                <w:b/>
                <w:sz w:val="24"/>
                <w:szCs w:val="24"/>
              </w:rPr>
              <w:t xml:space="preserve"> (mmol/l)</w:t>
            </w:r>
          </w:p>
        </w:tc>
        <w:tc>
          <w:tcPr>
            <w:tcW w:w="2551" w:type="dxa"/>
            <w:shd w:val="clear" w:color="auto" w:fill="auto"/>
            <w:noWrap/>
            <w:vAlign w:val="center"/>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1,29 (1,25; 1,34)</w:t>
            </w:r>
          </w:p>
        </w:tc>
        <w:tc>
          <w:tcPr>
            <w:tcW w:w="1276" w:type="dxa"/>
            <w:shd w:val="clear" w:color="auto" w:fill="auto"/>
            <w:noWrap/>
            <w:vAlign w:val="center"/>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1,56 (1,51; 1,62)</w:t>
            </w:r>
          </w:p>
        </w:tc>
      </w:tr>
      <w:tr w:rsidR="000D096C" w:rsidRPr="000D096C" w:rsidTr="00267EF1">
        <w:trPr>
          <w:trHeight w:val="300"/>
        </w:trPr>
        <w:tc>
          <w:tcPr>
            <w:tcW w:w="2764" w:type="dxa"/>
            <w:shd w:val="clear" w:color="auto" w:fill="auto"/>
            <w:noWrap/>
            <w:vAlign w:val="center"/>
            <w:hideMark/>
          </w:tcPr>
          <w:p w:rsidR="00CA1C0D" w:rsidRPr="00267EF1" w:rsidRDefault="00EA0A4A" w:rsidP="00267EF1">
            <w:pPr>
              <w:pStyle w:val="Bezmezer"/>
              <w:spacing w:line="360" w:lineRule="auto"/>
              <w:rPr>
                <w:rFonts w:ascii="Times New Roman" w:hAnsi="Times New Roman" w:cs="Times New Roman"/>
                <w:b/>
                <w:sz w:val="24"/>
                <w:szCs w:val="24"/>
                <w:lang w:eastAsia="cs-CZ"/>
              </w:rPr>
            </w:pPr>
            <w:r>
              <w:rPr>
                <w:rFonts w:ascii="Times New Roman" w:hAnsi="Times New Roman" w:cs="Times New Roman"/>
                <w:b/>
                <w:sz w:val="24"/>
                <w:szCs w:val="24"/>
              </w:rPr>
              <w:t>LDL</w:t>
            </w:r>
            <w:r w:rsidR="00CA1C0D" w:rsidRPr="00267EF1">
              <w:rPr>
                <w:rFonts w:ascii="Times New Roman" w:hAnsi="Times New Roman" w:cs="Times New Roman"/>
                <w:b/>
                <w:sz w:val="24"/>
                <w:szCs w:val="24"/>
              </w:rPr>
              <w:t xml:space="preserve"> (mmol/l)</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3,36 (3,21; 3,50)</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0,168</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3,23 (3,11; 3,34)</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rPr>
              <w:t>TAG (mmol/l)</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1,51 (1,40; 1,63)</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0,007</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1,32 (1,24; 1,41)</w:t>
            </w:r>
          </w:p>
        </w:tc>
      </w:tr>
      <w:tr w:rsidR="000D096C" w:rsidRPr="000D096C" w:rsidTr="00267EF1">
        <w:trPr>
          <w:trHeight w:val="300"/>
        </w:trPr>
        <w:tc>
          <w:tcPr>
            <w:tcW w:w="2764" w:type="dxa"/>
            <w:shd w:val="clear" w:color="auto" w:fill="auto"/>
            <w:noWrap/>
            <w:vAlign w:val="center"/>
            <w:hideMark/>
          </w:tcPr>
          <w:p w:rsidR="00CA1C0D" w:rsidRPr="00267EF1" w:rsidRDefault="005E39AD" w:rsidP="00267EF1">
            <w:pPr>
              <w:pStyle w:val="Bezmezer"/>
              <w:spacing w:line="360" w:lineRule="auto"/>
              <w:rPr>
                <w:rFonts w:ascii="Times New Roman" w:hAnsi="Times New Roman" w:cs="Times New Roman"/>
                <w:b/>
                <w:sz w:val="24"/>
                <w:szCs w:val="24"/>
                <w:lang w:eastAsia="cs-CZ"/>
              </w:rPr>
            </w:pPr>
            <w:r>
              <w:rPr>
                <w:rFonts w:ascii="Times New Roman" w:hAnsi="Times New Roman" w:cs="Times New Roman"/>
                <w:b/>
                <w:sz w:val="24"/>
                <w:szCs w:val="24"/>
                <w:lang w:eastAsia="cs-CZ"/>
              </w:rPr>
              <w:t>KM</w:t>
            </w:r>
            <w:r w:rsidR="00CA1C0D" w:rsidRPr="00267EF1">
              <w:rPr>
                <w:rFonts w:ascii="Times New Roman" w:hAnsi="Times New Roman" w:cs="Times New Roman"/>
                <w:b/>
                <w:sz w:val="24"/>
                <w:szCs w:val="24"/>
                <w:lang w:eastAsia="cs-CZ"/>
              </w:rPr>
              <w:t xml:space="preserve"> (µ</w:t>
            </w:r>
            <w:r w:rsidR="00CA1C0D" w:rsidRPr="00267EF1">
              <w:rPr>
                <w:rFonts w:ascii="Times New Roman" w:hAnsi="Times New Roman" w:cs="Times New Roman"/>
                <w:b/>
                <w:sz w:val="24"/>
                <w:szCs w:val="24"/>
              </w:rPr>
              <w:t>mol/l)</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340,87 (329,87; 351,87)</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281,56 (272,89; 290,24)</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lang w:eastAsia="cs-CZ"/>
              </w:rPr>
              <w:t>ALT (µkat/l)</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0,57 (0,54; 0,60)</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0,42 (0,40; 0,45)</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lang w:eastAsia="cs-CZ"/>
              </w:rPr>
              <w:t>AST (µkat/l)</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0,42 (0,40; 0,44)</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0,35 (0,33; 0,37)</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rPr>
              <w:t>Inzulín (mIU/l)</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12,86 (11,27; 14,46)</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7,17 (6,62; 7,73)</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rPr>
              <w:t>Systolický TK (mmHg)</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141,35 (139,09; 143,60)</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126,80 (125,98; 127,62)</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rPr>
              <w:t>Diastolický TK (mmHg)</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82,00 (80,59; 83,41)</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76,54 (75,65; 77,42)</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lang w:eastAsia="cs-CZ"/>
              </w:rPr>
              <w:t>HOMA-IR</w:t>
            </w:r>
          </w:p>
        </w:tc>
        <w:tc>
          <w:tcPr>
            <w:tcW w:w="2551"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2,72 (2,48; 2,98)</w:t>
            </w:r>
          </w:p>
        </w:tc>
        <w:tc>
          <w:tcPr>
            <w:tcW w:w="1276"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&lt;0,001</w:t>
            </w:r>
          </w:p>
        </w:tc>
        <w:tc>
          <w:tcPr>
            <w:tcW w:w="2693"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1,37 (1,26; 1,49)</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lang w:eastAsia="cs-CZ"/>
              </w:rPr>
              <w:t>HOMA-β</w:t>
            </w:r>
          </w:p>
        </w:tc>
        <w:tc>
          <w:tcPr>
            <w:tcW w:w="2551" w:type="dxa"/>
            <w:shd w:val="clear" w:color="auto" w:fill="auto"/>
            <w:noWrap/>
            <w:vAlign w:val="center"/>
            <w:hideMark/>
          </w:tcPr>
          <w:p w:rsidR="00CA1C0D" w:rsidRPr="00267EF1" w:rsidRDefault="003B7832"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97,48 (89,38; 106,</w:t>
            </w:r>
            <w:r w:rsidR="00CA1C0D" w:rsidRPr="00267EF1">
              <w:rPr>
                <w:rFonts w:ascii="Times New Roman" w:hAnsi="Times New Roman" w:cs="Times New Roman"/>
                <w:sz w:val="24"/>
                <w:szCs w:val="24"/>
                <w:lang w:eastAsia="cs-CZ"/>
              </w:rPr>
              <w:t>32)</w:t>
            </w:r>
          </w:p>
        </w:tc>
        <w:tc>
          <w:tcPr>
            <w:tcW w:w="1276" w:type="dxa"/>
            <w:shd w:val="clear" w:color="auto" w:fill="auto"/>
            <w:noWrap/>
            <w:vAlign w:val="center"/>
            <w:hideMark/>
          </w:tcPr>
          <w:p w:rsidR="00CA1C0D" w:rsidRPr="00267EF1" w:rsidRDefault="003B7832"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w:t>
            </w:r>
            <w:r w:rsidR="00CA1C0D" w:rsidRPr="00267EF1">
              <w:rPr>
                <w:rFonts w:ascii="Times New Roman" w:hAnsi="Times New Roman" w:cs="Times New Roman"/>
                <w:sz w:val="24"/>
                <w:szCs w:val="24"/>
              </w:rPr>
              <w:t>001</w:t>
            </w:r>
          </w:p>
        </w:tc>
        <w:tc>
          <w:tcPr>
            <w:tcW w:w="2693" w:type="dxa"/>
            <w:shd w:val="clear" w:color="auto" w:fill="auto"/>
            <w:noWrap/>
            <w:vAlign w:val="center"/>
            <w:hideMark/>
          </w:tcPr>
          <w:p w:rsidR="00CA1C0D" w:rsidRPr="00267EF1" w:rsidRDefault="003B7832"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89,82 (82,26; 98,</w:t>
            </w:r>
            <w:r w:rsidR="00CA1C0D" w:rsidRPr="00267EF1">
              <w:rPr>
                <w:rFonts w:ascii="Times New Roman" w:hAnsi="Times New Roman" w:cs="Times New Roman"/>
                <w:sz w:val="24"/>
                <w:szCs w:val="24"/>
              </w:rPr>
              <w:t>08)</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lang w:eastAsia="cs-CZ"/>
              </w:rPr>
              <w:t>VAI</w:t>
            </w:r>
          </w:p>
        </w:tc>
        <w:tc>
          <w:tcPr>
            <w:tcW w:w="2551" w:type="dxa"/>
            <w:shd w:val="clear" w:color="auto" w:fill="auto"/>
            <w:noWrap/>
            <w:vAlign w:val="center"/>
            <w:hideMark/>
          </w:tcPr>
          <w:p w:rsidR="00CA1C0D" w:rsidRPr="00267EF1" w:rsidRDefault="003B7832"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2,19 (2,00; 2,</w:t>
            </w:r>
            <w:r w:rsidR="00CA1C0D" w:rsidRPr="00267EF1">
              <w:rPr>
                <w:rFonts w:ascii="Times New Roman" w:hAnsi="Times New Roman" w:cs="Times New Roman"/>
                <w:sz w:val="24"/>
                <w:szCs w:val="24"/>
                <w:lang w:eastAsia="cs-CZ"/>
              </w:rPr>
              <w:t>40)</w:t>
            </w:r>
          </w:p>
        </w:tc>
        <w:tc>
          <w:tcPr>
            <w:tcW w:w="1276" w:type="dxa"/>
            <w:shd w:val="clear" w:color="auto" w:fill="auto"/>
            <w:noWrap/>
            <w:vAlign w:val="center"/>
            <w:hideMark/>
          </w:tcPr>
          <w:p w:rsidR="00CA1C0D" w:rsidRPr="00267EF1" w:rsidRDefault="003B7832"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rPr>
              <w:t>&lt;0,</w:t>
            </w:r>
            <w:r w:rsidR="00CA1C0D" w:rsidRPr="00267EF1">
              <w:rPr>
                <w:rFonts w:ascii="Times New Roman" w:hAnsi="Times New Roman" w:cs="Times New Roman"/>
                <w:sz w:val="24"/>
                <w:szCs w:val="24"/>
              </w:rPr>
              <w:t>001</w:t>
            </w:r>
          </w:p>
        </w:tc>
        <w:tc>
          <w:tcPr>
            <w:tcW w:w="2693" w:type="dxa"/>
            <w:shd w:val="clear" w:color="auto" w:fill="auto"/>
            <w:noWrap/>
            <w:vAlign w:val="center"/>
            <w:hideMark/>
          </w:tcPr>
          <w:p w:rsidR="00CA1C0D" w:rsidRPr="00267EF1" w:rsidRDefault="003B7832"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1,40 (1,28; 1,</w:t>
            </w:r>
            <w:r w:rsidR="00CA1C0D" w:rsidRPr="00267EF1">
              <w:rPr>
                <w:rFonts w:ascii="Times New Roman" w:hAnsi="Times New Roman" w:cs="Times New Roman"/>
                <w:sz w:val="24"/>
                <w:szCs w:val="24"/>
              </w:rPr>
              <w:t>52)</w:t>
            </w:r>
          </w:p>
        </w:tc>
      </w:tr>
      <w:tr w:rsidR="000D096C" w:rsidRPr="000D096C" w:rsidTr="00267EF1">
        <w:trPr>
          <w:trHeight w:val="300"/>
        </w:trPr>
        <w:tc>
          <w:tcPr>
            <w:tcW w:w="2764" w:type="dxa"/>
            <w:shd w:val="clear" w:color="auto" w:fill="auto"/>
            <w:noWrap/>
            <w:vAlign w:val="center"/>
            <w:hideMark/>
          </w:tcPr>
          <w:p w:rsidR="00CA1C0D" w:rsidRPr="00267EF1" w:rsidRDefault="00CA1C0D" w:rsidP="00267EF1">
            <w:pPr>
              <w:pStyle w:val="Bezmezer"/>
              <w:spacing w:line="360" w:lineRule="auto"/>
              <w:rPr>
                <w:rFonts w:ascii="Times New Roman" w:hAnsi="Times New Roman" w:cs="Times New Roman"/>
                <w:b/>
                <w:sz w:val="24"/>
                <w:szCs w:val="24"/>
                <w:lang w:eastAsia="cs-CZ"/>
              </w:rPr>
            </w:pPr>
            <w:r w:rsidRPr="00267EF1">
              <w:rPr>
                <w:rFonts w:ascii="Times New Roman" w:hAnsi="Times New Roman" w:cs="Times New Roman"/>
                <w:b/>
                <w:sz w:val="24"/>
                <w:szCs w:val="24"/>
                <w:lang w:eastAsia="cs-CZ"/>
              </w:rPr>
              <w:t>AIP</w:t>
            </w:r>
          </w:p>
        </w:tc>
        <w:tc>
          <w:tcPr>
            <w:tcW w:w="2551" w:type="dxa"/>
            <w:shd w:val="clear" w:color="auto" w:fill="auto"/>
            <w:noWrap/>
            <w:vAlign w:val="center"/>
            <w:hideMark/>
          </w:tcPr>
          <w:p w:rsidR="00CA1C0D" w:rsidRPr="00267EF1" w:rsidRDefault="003B7832" w:rsidP="00267EF1">
            <w:pPr>
              <w:pStyle w:val="Bezmezer"/>
              <w:spacing w:line="360" w:lineRule="auto"/>
              <w:rPr>
                <w:rFonts w:ascii="Times New Roman" w:hAnsi="Times New Roman" w:cs="Times New Roman"/>
                <w:sz w:val="24"/>
                <w:szCs w:val="24"/>
                <w:lang w:eastAsia="cs-CZ"/>
              </w:rPr>
            </w:pPr>
            <w:r w:rsidRPr="00267EF1">
              <w:rPr>
                <w:rFonts w:ascii="Times New Roman" w:hAnsi="Times New Roman" w:cs="Times New Roman"/>
                <w:sz w:val="24"/>
                <w:szCs w:val="24"/>
                <w:lang w:eastAsia="cs-CZ"/>
              </w:rPr>
              <w:t>0,08 (0,04; 0,</w:t>
            </w:r>
            <w:r w:rsidR="00CA1C0D" w:rsidRPr="00267EF1">
              <w:rPr>
                <w:rFonts w:ascii="Times New Roman" w:hAnsi="Times New Roman" w:cs="Times New Roman"/>
                <w:sz w:val="24"/>
                <w:szCs w:val="24"/>
                <w:lang w:eastAsia="cs-CZ"/>
              </w:rPr>
              <w:t>12)</w:t>
            </w:r>
          </w:p>
        </w:tc>
        <w:tc>
          <w:tcPr>
            <w:tcW w:w="1276" w:type="dxa"/>
            <w:shd w:val="clear" w:color="auto" w:fill="auto"/>
            <w:noWrap/>
            <w:vAlign w:val="center"/>
            <w:hideMark/>
          </w:tcPr>
          <w:p w:rsidR="00CA1C0D" w:rsidRPr="00267EF1" w:rsidRDefault="003B7832"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&lt;0,</w:t>
            </w:r>
            <w:r w:rsidR="00CA1C0D" w:rsidRPr="00267EF1">
              <w:rPr>
                <w:rFonts w:ascii="Times New Roman" w:hAnsi="Times New Roman" w:cs="Times New Roman"/>
                <w:sz w:val="24"/>
                <w:szCs w:val="24"/>
              </w:rPr>
              <w:t>001</w:t>
            </w:r>
          </w:p>
        </w:tc>
        <w:tc>
          <w:tcPr>
            <w:tcW w:w="2693" w:type="dxa"/>
            <w:shd w:val="clear" w:color="auto" w:fill="auto"/>
            <w:noWrap/>
            <w:vAlign w:val="center"/>
            <w:hideMark/>
          </w:tcPr>
          <w:p w:rsidR="00CA1C0D" w:rsidRPr="00267EF1" w:rsidRDefault="003B7832"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-0,06 (-0,10; -0,</w:t>
            </w:r>
            <w:r w:rsidR="00CA1C0D" w:rsidRPr="00267EF1">
              <w:rPr>
                <w:rFonts w:ascii="Times New Roman" w:hAnsi="Times New Roman" w:cs="Times New Roman"/>
                <w:sz w:val="24"/>
                <w:szCs w:val="24"/>
              </w:rPr>
              <w:t>02)</w:t>
            </w:r>
          </w:p>
        </w:tc>
      </w:tr>
    </w:tbl>
    <w:p w:rsidR="000E229D" w:rsidRPr="000D096C" w:rsidRDefault="000E229D" w:rsidP="00E319B2">
      <w:pPr>
        <w:pStyle w:val="Nadpis4"/>
      </w:pPr>
      <w:r w:rsidRPr="000D096C">
        <w:t>Korelační analýza</w:t>
      </w:r>
    </w:p>
    <w:p w:rsidR="000E229D" w:rsidRPr="000D096C" w:rsidRDefault="000E229D"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V MetS skupině byly nejvyšší hodnoty korelačních koeficientů zaznamenány mezi OP a markery IR, a to konkrétně korelace OP s HOMA-IR (r = 0,57), HOMA-β (r = 0,39), respektive</w:t>
      </w:r>
      <w:r w:rsidR="00362617" w:rsidRPr="000D096C">
        <w:rPr>
          <w:rFonts w:ascii="Times New Roman" w:hAnsi="Times New Roman" w:cs="Times New Roman"/>
          <w:sz w:val="24"/>
          <w:szCs w:val="24"/>
        </w:rPr>
        <w:t xml:space="preserve"> se samotnou inzulinémií (r = 0,</w:t>
      </w:r>
      <w:r w:rsidRPr="000D096C">
        <w:rPr>
          <w:rFonts w:ascii="Times New Roman" w:hAnsi="Times New Roman" w:cs="Times New Roman"/>
          <w:sz w:val="24"/>
          <w:szCs w:val="24"/>
        </w:rPr>
        <w:t>56), jak ukazuje</w:t>
      </w:r>
      <w:r w:rsidR="002801C2">
        <w:rPr>
          <w:rFonts w:ascii="Times New Roman" w:hAnsi="Times New Roman" w:cs="Times New Roman"/>
          <w:sz w:val="24"/>
          <w:szCs w:val="24"/>
        </w:rPr>
        <w:t xml:space="preserve"> tab.</w:t>
      </w:r>
      <w:r w:rsidR="001B3DEE" w:rsidRPr="000D096C">
        <w:rPr>
          <w:rFonts w:ascii="Times New Roman" w:hAnsi="Times New Roman" w:cs="Times New Roman"/>
          <w:sz w:val="24"/>
          <w:szCs w:val="24"/>
        </w:rPr>
        <w:t xml:space="preserve"> </w:t>
      </w:r>
      <w:r w:rsidR="0027702E" w:rsidRPr="000D096C">
        <w:rPr>
          <w:rFonts w:ascii="Times New Roman" w:hAnsi="Times New Roman" w:cs="Times New Roman"/>
          <w:sz w:val="24"/>
          <w:szCs w:val="24"/>
        </w:rPr>
        <w:t>3</w:t>
      </w:r>
      <w:r w:rsidR="002801C2">
        <w:rPr>
          <w:rFonts w:ascii="Times New Roman" w:hAnsi="Times New Roman" w:cs="Times New Roman"/>
          <w:sz w:val="24"/>
          <w:szCs w:val="24"/>
        </w:rPr>
        <w:t xml:space="preserve"> a obr.</w:t>
      </w:r>
      <w:r w:rsidR="001B3DEE" w:rsidRPr="000D096C">
        <w:rPr>
          <w:rFonts w:ascii="Times New Roman" w:hAnsi="Times New Roman" w:cs="Times New Roman"/>
          <w:sz w:val="24"/>
          <w:szCs w:val="24"/>
        </w:rPr>
        <w:t xml:space="preserve"> 4</w:t>
      </w:r>
      <w:r w:rsidR="00DC1DFF">
        <w:rPr>
          <w:rFonts w:ascii="Times New Roman" w:hAnsi="Times New Roman" w:cs="Times New Roman"/>
          <w:sz w:val="24"/>
          <w:szCs w:val="24"/>
        </w:rPr>
        <w:t>.</w:t>
      </w:r>
      <w:r w:rsidRPr="000D096C">
        <w:rPr>
          <w:rFonts w:ascii="Times New Roman" w:hAnsi="Times New Roman" w:cs="Times New Roman"/>
          <w:sz w:val="24"/>
          <w:szCs w:val="24"/>
        </w:rPr>
        <w:t xml:space="preserve"> OP však koreloval jen </w:t>
      </w:r>
      <w:r w:rsidR="0062276D">
        <w:rPr>
          <w:rFonts w:ascii="Times New Roman" w:hAnsi="Times New Roman" w:cs="Times New Roman"/>
          <w:sz w:val="24"/>
          <w:szCs w:val="24"/>
        </w:rPr>
        <w:t xml:space="preserve">velmi </w:t>
      </w:r>
      <w:r w:rsidRPr="000D096C">
        <w:rPr>
          <w:rFonts w:ascii="Times New Roman" w:hAnsi="Times New Roman" w:cs="Times New Roman"/>
          <w:sz w:val="24"/>
          <w:szCs w:val="24"/>
        </w:rPr>
        <w:t>slabě se samotnou glykémií (r = 0,19). Podobné korelace jako u OP, jen s celkově nižšími hodnotami korelačních koeficientů, byly zjištěny i pro BMI. Homeostatické indexy i</w:t>
      </w:r>
      <w:r w:rsidR="00BB3FFF">
        <w:rPr>
          <w:rFonts w:ascii="Times New Roman" w:hAnsi="Times New Roman" w:cs="Times New Roman"/>
          <w:sz w:val="24"/>
          <w:szCs w:val="24"/>
        </w:rPr>
        <w:t> </w:t>
      </w:r>
      <w:r w:rsidRPr="000D096C">
        <w:rPr>
          <w:rFonts w:ascii="Times New Roman" w:hAnsi="Times New Roman" w:cs="Times New Roman"/>
          <w:sz w:val="24"/>
          <w:szCs w:val="24"/>
        </w:rPr>
        <w:t xml:space="preserve">inzulinémie korelovaly významně rovněž s jaterními </w:t>
      </w:r>
      <w:r w:rsidRPr="000D096C">
        <w:rPr>
          <w:rFonts w:ascii="Times New Roman" w:hAnsi="Times New Roman" w:cs="Times New Roman"/>
          <w:sz w:val="24"/>
          <w:szCs w:val="24"/>
        </w:rPr>
        <w:lastRenderedPageBreak/>
        <w:t>transaminázami, konkrétně nejsilněji v případech vztahů ALT s inzulinémií (r = 0,44) a</w:t>
      </w:r>
      <w:r w:rsidR="00762125">
        <w:rPr>
          <w:rFonts w:ascii="Times New Roman" w:hAnsi="Times New Roman" w:cs="Times New Roman"/>
          <w:sz w:val="24"/>
          <w:szCs w:val="24"/>
        </w:rPr>
        <w:t> </w:t>
      </w:r>
      <w:r w:rsidRPr="000D096C">
        <w:rPr>
          <w:rFonts w:ascii="Times New Roman" w:hAnsi="Times New Roman" w:cs="Times New Roman"/>
          <w:sz w:val="24"/>
          <w:szCs w:val="24"/>
        </w:rPr>
        <w:t>ALT s HOMA-IR (r = 0,41). Statisticky významně korelovaly i hodnoty systolickéh</w:t>
      </w:r>
      <w:r w:rsidR="00A61003" w:rsidRPr="000D096C">
        <w:rPr>
          <w:rFonts w:ascii="Times New Roman" w:hAnsi="Times New Roman" w:cs="Times New Roman"/>
          <w:sz w:val="24"/>
          <w:szCs w:val="24"/>
        </w:rPr>
        <w:t>o, respektive diastolického TK</w:t>
      </w:r>
      <w:r w:rsidRPr="000D096C">
        <w:rPr>
          <w:rFonts w:ascii="Times New Roman" w:hAnsi="Times New Roman" w:cs="Times New Roman"/>
          <w:sz w:val="24"/>
          <w:szCs w:val="24"/>
        </w:rPr>
        <w:t xml:space="preserve"> s indexem HOMA-IR (r = 0,37, respektive r = 0,34), samotnou inzulinémií (r = 0,32, respektive r = 0,31) a</w:t>
      </w:r>
      <w:r w:rsidR="00BB3FFF">
        <w:rPr>
          <w:rFonts w:ascii="Times New Roman" w:hAnsi="Times New Roman" w:cs="Times New Roman"/>
          <w:sz w:val="24"/>
          <w:szCs w:val="24"/>
        </w:rPr>
        <w:t> </w:t>
      </w:r>
      <w:r w:rsidRPr="000D096C">
        <w:rPr>
          <w:rFonts w:ascii="Times New Roman" w:hAnsi="Times New Roman" w:cs="Times New Roman"/>
          <w:sz w:val="24"/>
          <w:szCs w:val="24"/>
        </w:rPr>
        <w:t>glykémií (r = 0,33, respektive r</w:t>
      </w:r>
      <w:r w:rsidR="00762125">
        <w:rPr>
          <w:rFonts w:ascii="Times New Roman" w:hAnsi="Times New Roman" w:cs="Times New Roman"/>
          <w:sz w:val="24"/>
          <w:szCs w:val="24"/>
        </w:rPr>
        <w:t> </w:t>
      </w:r>
      <w:r w:rsidRPr="000D096C">
        <w:rPr>
          <w:rFonts w:ascii="Times New Roman" w:hAnsi="Times New Roman" w:cs="Times New Roman"/>
          <w:sz w:val="24"/>
          <w:szCs w:val="24"/>
        </w:rPr>
        <w:t>=</w:t>
      </w:r>
      <w:r w:rsidR="00762125">
        <w:rPr>
          <w:rFonts w:ascii="Times New Roman" w:hAnsi="Times New Roman" w:cs="Times New Roman"/>
          <w:sz w:val="24"/>
          <w:szCs w:val="24"/>
        </w:rPr>
        <w:t> </w:t>
      </w:r>
      <w:r w:rsidRPr="000D096C">
        <w:rPr>
          <w:rFonts w:ascii="Times New Roman" w:hAnsi="Times New Roman" w:cs="Times New Roman"/>
          <w:sz w:val="24"/>
          <w:szCs w:val="24"/>
        </w:rPr>
        <w:t>0,22). Mezi parametry přímo nesouvisejícími s IR byla zaznamenána statisticky vysoce významná (p &lt; 0,001) korelace mezi OP, respektive BMI a</w:t>
      </w:r>
      <w:r w:rsidR="00BB3FFF">
        <w:rPr>
          <w:rFonts w:ascii="Times New Roman" w:hAnsi="Times New Roman" w:cs="Times New Roman"/>
          <w:sz w:val="24"/>
          <w:szCs w:val="24"/>
        </w:rPr>
        <w:t> </w:t>
      </w:r>
      <w:r w:rsidRPr="000D096C">
        <w:rPr>
          <w:rFonts w:ascii="Times New Roman" w:hAnsi="Times New Roman" w:cs="Times New Roman"/>
          <w:sz w:val="24"/>
          <w:szCs w:val="24"/>
        </w:rPr>
        <w:t>hodnotami systolického (r</w:t>
      </w:r>
      <w:r w:rsidR="00762125">
        <w:rPr>
          <w:rFonts w:ascii="Times New Roman" w:hAnsi="Times New Roman" w:cs="Times New Roman"/>
          <w:sz w:val="24"/>
          <w:szCs w:val="24"/>
        </w:rPr>
        <w:t> </w:t>
      </w:r>
      <w:r w:rsidRPr="000D096C">
        <w:rPr>
          <w:rFonts w:ascii="Times New Roman" w:hAnsi="Times New Roman" w:cs="Times New Roman"/>
          <w:sz w:val="24"/>
          <w:szCs w:val="24"/>
        </w:rPr>
        <w:t>=</w:t>
      </w:r>
      <w:r w:rsidR="00762125">
        <w:rPr>
          <w:rFonts w:ascii="Times New Roman" w:hAnsi="Times New Roman" w:cs="Times New Roman"/>
          <w:sz w:val="24"/>
          <w:szCs w:val="24"/>
        </w:rPr>
        <w:t> </w:t>
      </w:r>
      <w:r w:rsidRPr="000D096C">
        <w:rPr>
          <w:rFonts w:ascii="Times New Roman" w:hAnsi="Times New Roman" w:cs="Times New Roman"/>
          <w:sz w:val="24"/>
          <w:szCs w:val="24"/>
        </w:rPr>
        <w:t>0,42, respekt</w:t>
      </w:r>
      <w:r w:rsidR="00362617" w:rsidRPr="000D096C">
        <w:rPr>
          <w:rFonts w:ascii="Times New Roman" w:hAnsi="Times New Roman" w:cs="Times New Roman"/>
          <w:sz w:val="24"/>
          <w:szCs w:val="24"/>
        </w:rPr>
        <w:t>ive r = 0,31) i diastolického TK</w:t>
      </w:r>
      <w:r w:rsidRPr="000D096C">
        <w:rPr>
          <w:rFonts w:ascii="Times New Roman" w:hAnsi="Times New Roman" w:cs="Times New Roman"/>
          <w:sz w:val="24"/>
          <w:szCs w:val="24"/>
        </w:rPr>
        <w:t xml:space="preserve"> (r = 0,45, res</w:t>
      </w:r>
      <w:r w:rsidR="00EA0A4A">
        <w:rPr>
          <w:rFonts w:ascii="Times New Roman" w:hAnsi="Times New Roman" w:cs="Times New Roman"/>
          <w:sz w:val="24"/>
          <w:szCs w:val="24"/>
        </w:rPr>
        <w:t>pektive r = 0,36) a HDL</w:t>
      </w:r>
      <w:r w:rsidR="00DC1DFF">
        <w:rPr>
          <w:rFonts w:ascii="Times New Roman" w:hAnsi="Times New Roman" w:cs="Times New Roman"/>
          <w:sz w:val="24"/>
          <w:szCs w:val="24"/>
        </w:rPr>
        <w:t xml:space="preserve"> (r</w:t>
      </w:r>
      <w:r w:rsidR="00762125">
        <w:rPr>
          <w:rFonts w:ascii="Times New Roman" w:hAnsi="Times New Roman" w:cs="Times New Roman"/>
          <w:sz w:val="24"/>
          <w:szCs w:val="24"/>
        </w:rPr>
        <w:t> </w:t>
      </w:r>
      <w:r w:rsidR="00DC1DFF">
        <w:rPr>
          <w:rFonts w:ascii="Times New Roman" w:hAnsi="Times New Roman" w:cs="Times New Roman"/>
          <w:sz w:val="24"/>
          <w:szCs w:val="24"/>
        </w:rPr>
        <w:t>=</w:t>
      </w:r>
      <w:r w:rsidR="00762125">
        <w:rPr>
          <w:rFonts w:ascii="Times New Roman" w:hAnsi="Times New Roman" w:cs="Times New Roman"/>
          <w:sz w:val="24"/>
          <w:szCs w:val="24"/>
        </w:rPr>
        <w:t> </w:t>
      </w:r>
      <w:r w:rsidR="00DC1DFF">
        <w:rPr>
          <w:rFonts w:ascii="Times New Roman" w:hAnsi="Times New Roman" w:cs="Times New Roman"/>
          <w:sz w:val="24"/>
          <w:szCs w:val="24"/>
        </w:rPr>
        <w:t>-</w:t>
      </w:r>
      <w:r w:rsidRPr="000D096C">
        <w:rPr>
          <w:rFonts w:ascii="Times New Roman" w:hAnsi="Times New Roman" w:cs="Times New Roman"/>
          <w:sz w:val="24"/>
          <w:szCs w:val="24"/>
        </w:rPr>
        <w:t>0,34, respektive, r = -0,32). Korelace VAI a AIP s parametr</w:t>
      </w:r>
      <w:r w:rsidR="00362617" w:rsidRPr="000D096C">
        <w:rPr>
          <w:rFonts w:ascii="Times New Roman" w:hAnsi="Times New Roman" w:cs="Times New Roman"/>
          <w:sz w:val="24"/>
          <w:szCs w:val="24"/>
        </w:rPr>
        <w:t xml:space="preserve">y vstupujícími do jejich výpočtů byly dle očekávání </w:t>
      </w:r>
      <w:r w:rsidR="0062276D">
        <w:rPr>
          <w:rFonts w:ascii="Times New Roman" w:hAnsi="Times New Roman" w:cs="Times New Roman"/>
          <w:sz w:val="24"/>
          <w:szCs w:val="24"/>
        </w:rPr>
        <w:t xml:space="preserve">velmi </w:t>
      </w:r>
      <w:r w:rsidR="00362617" w:rsidRPr="000D096C">
        <w:rPr>
          <w:rFonts w:ascii="Times New Roman" w:hAnsi="Times New Roman" w:cs="Times New Roman"/>
          <w:sz w:val="24"/>
          <w:szCs w:val="24"/>
        </w:rPr>
        <w:t>silné a statisticky významné</w:t>
      </w:r>
      <w:r w:rsidRPr="000D096C">
        <w:rPr>
          <w:rFonts w:ascii="Times New Roman" w:hAnsi="Times New Roman" w:cs="Times New Roman"/>
          <w:sz w:val="24"/>
          <w:szCs w:val="24"/>
        </w:rPr>
        <w:t>. Z parametrů, kter</w:t>
      </w:r>
      <w:r w:rsidR="00C02D7A" w:rsidRPr="000D096C">
        <w:rPr>
          <w:rFonts w:ascii="Times New Roman" w:hAnsi="Times New Roman" w:cs="Times New Roman"/>
          <w:sz w:val="24"/>
          <w:szCs w:val="24"/>
        </w:rPr>
        <w:t>é nevstupují do stanovení VAI a AIP, byly</w:t>
      </w:r>
      <w:r w:rsidRPr="000D096C">
        <w:rPr>
          <w:rFonts w:ascii="Times New Roman" w:hAnsi="Times New Roman" w:cs="Times New Roman"/>
          <w:sz w:val="24"/>
          <w:szCs w:val="24"/>
        </w:rPr>
        <w:t xml:space="preserve"> korelace nej</w:t>
      </w:r>
      <w:r w:rsidR="00A61003" w:rsidRPr="000D096C">
        <w:rPr>
          <w:rFonts w:ascii="Times New Roman" w:hAnsi="Times New Roman" w:cs="Times New Roman"/>
          <w:sz w:val="24"/>
          <w:szCs w:val="24"/>
        </w:rPr>
        <w:t>silnější u hodnot TK</w:t>
      </w:r>
      <w:r w:rsidRPr="000D096C">
        <w:rPr>
          <w:rFonts w:ascii="Times New Roman" w:hAnsi="Times New Roman" w:cs="Times New Roman"/>
          <w:sz w:val="24"/>
          <w:szCs w:val="24"/>
        </w:rPr>
        <w:t xml:space="preserve"> a KM.</w:t>
      </w:r>
    </w:p>
    <w:p w:rsidR="00815108" w:rsidRDefault="00100BCE"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V kontrolní skupině byly</w:t>
      </w:r>
      <w:r w:rsidR="00EF613C" w:rsidRPr="000D096C">
        <w:rPr>
          <w:rFonts w:ascii="Times New Roman" w:hAnsi="Times New Roman" w:cs="Times New Roman"/>
          <w:sz w:val="24"/>
          <w:szCs w:val="24"/>
        </w:rPr>
        <w:t xml:space="preserve"> asociace antropometrických parametrů s homeostatickými indexy obecně slabší než v MetS skupině </w:t>
      </w:r>
      <w:r w:rsidR="0055541E" w:rsidRPr="000D096C">
        <w:rPr>
          <w:rFonts w:ascii="Times New Roman" w:hAnsi="Times New Roman" w:cs="Times New Roman"/>
          <w:sz w:val="24"/>
          <w:szCs w:val="24"/>
        </w:rPr>
        <w:t xml:space="preserve">bez výraznějšího rozdílu </w:t>
      </w:r>
      <w:r w:rsidR="00EF613C" w:rsidRPr="000D096C">
        <w:rPr>
          <w:rFonts w:ascii="Times New Roman" w:hAnsi="Times New Roman" w:cs="Times New Roman"/>
          <w:sz w:val="24"/>
          <w:szCs w:val="24"/>
        </w:rPr>
        <w:t xml:space="preserve">mezi </w:t>
      </w:r>
      <w:r w:rsidR="0055541E" w:rsidRPr="000D096C">
        <w:rPr>
          <w:rFonts w:ascii="Times New Roman" w:hAnsi="Times New Roman" w:cs="Times New Roman"/>
          <w:sz w:val="24"/>
          <w:szCs w:val="24"/>
        </w:rPr>
        <w:t xml:space="preserve">asociacemi </w:t>
      </w:r>
      <w:r w:rsidR="00EF613C" w:rsidRPr="000D096C">
        <w:rPr>
          <w:rFonts w:ascii="Times New Roman" w:hAnsi="Times New Roman" w:cs="Times New Roman"/>
          <w:sz w:val="24"/>
          <w:szCs w:val="24"/>
        </w:rPr>
        <w:t>OP a</w:t>
      </w:r>
      <w:r w:rsidR="00BB3FFF">
        <w:rPr>
          <w:rFonts w:ascii="Times New Roman" w:hAnsi="Times New Roman" w:cs="Times New Roman"/>
          <w:sz w:val="24"/>
          <w:szCs w:val="24"/>
        </w:rPr>
        <w:t> </w:t>
      </w:r>
      <w:r w:rsidR="00EF613C" w:rsidRPr="000D096C">
        <w:rPr>
          <w:rFonts w:ascii="Times New Roman" w:hAnsi="Times New Roman" w:cs="Times New Roman"/>
          <w:sz w:val="24"/>
          <w:szCs w:val="24"/>
        </w:rPr>
        <w:t>BMI</w:t>
      </w:r>
      <w:r w:rsidR="0055541E" w:rsidRPr="000D096C">
        <w:rPr>
          <w:rFonts w:ascii="Times New Roman" w:hAnsi="Times New Roman" w:cs="Times New Roman"/>
          <w:sz w:val="24"/>
          <w:szCs w:val="24"/>
        </w:rPr>
        <w:t xml:space="preserve"> </w:t>
      </w:r>
      <w:r w:rsidR="002801C2">
        <w:rPr>
          <w:rFonts w:ascii="Times New Roman" w:hAnsi="Times New Roman" w:cs="Times New Roman"/>
          <w:sz w:val="24"/>
          <w:szCs w:val="24"/>
        </w:rPr>
        <w:t>(tab.</w:t>
      </w:r>
      <w:r w:rsidR="00EF613C" w:rsidRPr="000D096C">
        <w:rPr>
          <w:rFonts w:ascii="Times New Roman" w:hAnsi="Times New Roman" w:cs="Times New Roman"/>
          <w:sz w:val="24"/>
          <w:szCs w:val="24"/>
        </w:rPr>
        <w:t xml:space="preserve"> </w:t>
      </w:r>
      <w:r w:rsidR="0027702E" w:rsidRPr="000D096C">
        <w:rPr>
          <w:rFonts w:ascii="Times New Roman" w:hAnsi="Times New Roman" w:cs="Times New Roman"/>
          <w:sz w:val="24"/>
          <w:szCs w:val="24"/>
        </w:rPr>
        <w:t>3</w:t>
      </w:r>
      <w:r w:rsidR="00EF613C" w:rsidRPr="000D096C">
        <w:rPr>
          <w:rFonts w:ascii="Times New Roman" w:hAnsi="Times New Roman" w:cs="Times New Roman"/>
          <w:sz w:val="24"/>
          <w:szCs w:val="24"/>
        </w:rPr>
        <w:t>)</w:t>
      </w:r>
      <w:r w:rsidR="0055541E" w:rsidRPr="000D096C">
        <w:rPr>
          <w:rFonts w:ascii="Times New Roman" w:hAnsi="Times New Roman" w:cs="Times New Roman"/>
          <w:sz w:val="24"/>
          <w:szCs w:val="24"/>
        </w:rPr>
        <w:t>. Byly zaznamenány středně silné korelace mezi oběma homeostatickými indexy, inzulinémií a ALT i AST s nejvyšším zaznamenaným korelačním koeficientem mezi HOMA-IR a AL</w:t>
      </w:r>
      <w:r w:rsidR="002801C2">
        <w:rPr>
          <w:rFonts w:ascii="Times New Roman" w:hAnsi="Times New Roman" w:cs="Times New Roman"/>
          <w:sz w:val="24"/>
          <w:szCs w:val="24"/>
        </w:rPr>
        <w:t>T (r = 0,57)</w:t>
      </w:r>
      <w:r w:rsidR="00F11457">
        <w:rPr>
          <w:rFonts w:ascii="Times New Roman" w:hAnsi="Times New Roman" w:cs="Times New Roman"/>
          <w:sz w:val="24"/>
          <w:szCs w:val="24"/>
        </w:rPr>
        <w:t>.</w:t>
      </w:r>
      <w:r w:rsidR="0055541E" w:rsidRPr="000D096C">
        <w:rPr>
          <w:rFonts w:ascii="Times New Roman" w:hAnsi="Times New Roman" w:cs="Times New Roman"/>
          <w:sz w:val="24"/>
          <w:szCs w:val="24"/>
        </w:rPr>
        <w:t xml:space="preserve"> </w:t>
      </w:r>
      <w:r w:rsidR="00F11457">
        <w:rPr>
          <w:rFonts w:ascii="Times New Roman" w:hAnsi="Times New Roman" w:cs="Times New Roman"/>
          <w:sz w:val="24"/>
          <w:szCs w:val="24"/>
        </w:rPr>
        <w:t>Na obr. 5 a 6 v</w:t>
      </w:r>
      <w:r w:rsidR="00F11457" w:rsidRPr="000D096C">
        <w:rPr>
          <w:rFonts w:ascii="Times New Roman" w:hAnsi="Times New Roman" w:cs="Times New Roman"/>
          <w:sz w:val="24"/>
          <w:szCs w:val="24"/>
        </w:rPr>
        <w:t xml:space="preserve">yobrazené asociace homeostatických indexů byly podobné vždy pro obě </w:t>
      </w:r>
      <w:r w:rsidR="00F11457">
        <w:rPr>
          <w:rFonts w:ascii="Times New Roman" w:hAnsi="Times New Roman" w:cs="Times New Roman"/>
          <w:sz w:val="24"/>
          <w:szCs w:val="24"/>
        </w:rPr>
        <w:t xml:space="preserve">vyšetřované </w:t>
      </w:r>
      <w:r w:rsidR="00F11457" w:rsidRPr="000D096C">
        <w:rPr>
          <w:rFonts w:ascii="Times New Roman" w:hAnsi="Times New Roman" w:cs="Times New Roman"/>
          <w:sz w:val="24"/>
          <w:szCs w:val="24"/>
        </w:rPr>
        <w:t>transaminázy v dané skupině (MetS vs. kontroly), ale mezi skupinami byly zjevné rozdíly. Korelace byly obecně silnější a</w:t>
      </w:r>
      <w:r w:rsidR="00762125">
        <w:rPr>
          <w:rFonts w:ascii="Times New Roman" w:hAnsi="Times New Roman" w:cs="Times New Roman"/>
          <w:sz w:val="24"/>
          <w:szCs w:val="24"/>
        </w:rPr>
        <w:t> </w:t>
      </w:r>
      <w:r w:rsidR="00F11457" w:rsidRPr="000D096C">
        <w:rPr>
          <w:rFonts w:ascii="Times New Roman" w:hAnsi="Times New Roman" w:cs="Times New Roman"/>
          <w:sz w:val="24"/>
          <w:szCs w:val="24"/>
        </w:rPr>
        <w:t>významnější v případě HOMA-IR.</w:t>
      </w:r>
      <w:r w:rsidR="00F11457">
        <w:rPr>
          <w:rFonts w:ascii="Times New Roman" w:hAnsi="Times New Roman" w:cs="Times New Roman"/>
          <w:sz w:val="24"/>
          <w:szCs w:val="24"/>
        </w:rPr>
        <w:t xml:space="preserve"> </w:t>
      </w:r>
      <w:r w:rsidR="0055541E" w:rsidRPr="000D096C">
        <w:rPr>
          <w:rFonts w:ascii="Times New Roman" w:hAnsi="Times New Roman" w:cs="Times New Roman"/>
          <w:sz w:val="24"/>
          <w:szCs w:val="24"/>
        </w:rPr>
        <w:t>Z</w:t>
      </w:r>
      <w:r w:rsidR="00197543" w:rsidRPr="000D096C">
        <w:rPr>
          <w:rFonts w:ascii="Times New Roman" w:hAnsi="Times New Roman" w:cs="Times New Roman"/>
          <w:sz w:val="24"/>
          <w:szCs w:val="24"/>
        </w:rPr>
        <w:t>a zmínku stojí rovněž vazba KM</w:t>
      </w:r>
      <w:r w:rsidR="0055541E" w:rsidRPr="000D096C">
        <w:rPr>
          <w:rFonts w:ascii="Times New Roman" w:hAnsi="Times New Roman" w:cs="Times New Roman"/>
          <w:sz w:val="24"/>
          <w:szCs w:val="24"/>
        </w:rPr>
        <w:t xml:space="preserve"> jak </w:t>
      </w:r>
      <w:r w:rsidR="00197543" w:rsidRPr="000D096C">
        <w:rPr>
          <w:rFonts w:ascii="Times New Roman" w:hAnsi="Times New Roman" w:cs="Times New Roman"/>
          <w:sz w:val="24"/>
          <w:szCs w:val="24"/>
        </w:rPr>
        <w:t xml:space="preserve">s </w:t>
      </w:r>
      <w:r w:rsidR="0055541E" w:rsidRPr="000D096C">
        <w:rPr>
          <w:rFonts w:ascii="Times New Roman" w:hAnsi="Times New Roman" w:cs="Times New Roman"/>
          <w:sz w:val="24"/>
          <w:szCs w:val="24"/>
        </w:rPr>
        <w:t>inzulinémií (r</w:t>
      </w:r>
      <w:r w:rsidR="00762125">
        <w:rPr>
          <w:rFonts w:ascii="Times New Roman" w:hAnsi="Times New Roman" w:cs="Times New Roman"/>
          <w:sz w:val="24"/>
          <w:szCs w:val="24"/>
        </w:rPr>
        <w:t> </w:t>
      </w:r>
      <w:r w:rsidR="0055541E" w:rsidRPr="000D096C">
        <w:rPr>
          <w:rFonts w:ascii="Times New Roman" w:hAnsi="Times New Roman" w:cs="Times New Roman"/>
          <w:sz w:val="24"/>
          <w:szCs w:val="24"/>
        </w:rPr>
        <w:t xml:space="preserve">= 0,46) tak </w:t>
      </w:r>
      <w:r w:rsidR="00197543" w:rsidRPr="000D096C">
        <w:rPr>
          <w:rFonts w:ascii="Times New Roman" w:hAnsi="Times New Roman" w:cs="Times New Roman"/>
          <w:sz w:val="24"/>
          <w:szCs w:val="24"/>
        </w:rPr>
        <w:t xml:space="preserve">s </w:t>
      </w:r>
      <w:r w:rsidR="00E12161">
        <w:rPr>
          <w:rFonts w:ascii="Times New Roman" w:hAnsi="Times New Roman" w:cs="Times New Roman"/>
          <w:sz w:val="24"/>
          <w:szCs w:val="24"/>
        </w:rPr>
        <w:t>HOMA-IR (r = 0,44).</w:t>
      </w:r>
    </w:p>
    <w:p w:rsidR="00815108" w:rsidRDefault="00815108">
      <w:pPr>
        <w:rPr>
          <w:rFonts w:ascii="Times New Roman" w:hAnsi="Times New Roman" w:cs="Times New Roman"/>
          <w:sz w:val="24"/>
          <w:szCs w:val="24"/>
        </w:rPr>
      </w:pPr>
      <w:r>
        <w:rPr>
          <w:rFonts w:ascii="Times New Roman" w:hAnsi="Times New Roman" w:cs="Times New Roman"/>
          <w:sz w:val="24"/>
          <w:szCs w:val="24"/>
        </w:rPr>
        <w:br w:type="page"/>
      </w:r>
    </w:p>
    <w:p w:rsidR="00C42F08" w:rsidRPr="000D096C" w:rsidRDefault="0027702E" w:rsidP="002F1555">
      <w:pPr>
        <w:pStyle w:val="Bezmezer"/>
        <w:spacing w:before="160" w:after="240" w:line="360" w:lineRule="auto"/>
        <w:jc w:val="both"/>
        <w:rPr>
          <w:rFonts w:ascii="Times New Roman" w:hAnsi="Times New Roman" w:cs="Times New Roman"/>
          <w:b/>
          <w:sz w:val="24"/>
          <w:szCs w:val="24"/>
        </w:rPr>
      </w:pPr>
      <w:r w:rsidRPr="000D096C">
        <w:rPr>
          <w:rFonts w:ascii="Times New Roman" w:hAnsi="Times New Roman" w:cs="Times New Roman"/>
          <w:b/>
          <w:sz w:val="24"/>
          <w:szCs w:val="24"/>
        </w:rPr>
        <w:lastRenderedPageBreak/>
        <w:t>Tabulka 3</w:t>
      </w:r>
      <w:r w:rsidR="00C42F08" w:rsidRPr="000D096C">
        <w:rPr>
          <w:rFonts w:ascii="Times New Roman" w:hAnsi="Times New Roman" w:cs="Times New Roman"/>
          <w:b/>
          <w:sz w:val="24"/>
          <w:szCs w:val="24"/>
        </w:rPr>
        <w:t xml:space="preserve">. </w:t>
      </w:r>
      <w:r w:rsidR="003C4041" w:rsidRPr="000D096C">
        <w:rPr>
          <w:rFonts w:ascii="Times New Roman" w:hAnsi="Times New Roman" w:cs="Times New Roman"/>
          <w:sz w:val="24"/>
          <w:szCs w:val="24"/>
        </w:rPr>
        <w:t>Pearsonovy</w:t>
      </w:r>
      <w:r w:rsidR="00C42F08" w:rsidRPr="000D096C">
        <w:rPr>
          <w:rFonts w:ascii="Times New Roman" w:hAnsi="Times New Roman" w:cs="Times New Roman"/>
          <w:sz w:val="24"/>
          <w:szCs w:val="24"/>
        </w:rPr>
        <w:t xml:space="preserve"> korelační koeficient</w:t>
      </w:r>
      <w:r w:rsidR="003C4041" w:rsidRPr="000D096C">
        <w:rPr>
          <w:rFonts w:ascii="Times New Roman" w:hAnsi="Times New Roman" w:cs="Times New Roman"/>
          <w:sz w:val="24"/>
          <w:szCs w:val="24"/>
        </w:rPr>
        <w:t>y</w:t>
      </w:r>
      <w:r w:rsidR="00C42F08" w:rsidRPr="000D096C">
        <w:rPr>
          <w:rFonts w:ascii="Times New Roman" w:hAnsi="Times New Roman" w:cs="Times New Roman"/>
          <w:sz w:val="24"/>
          <w:szCs w:val="24"/>
        </w:rPr>
        <w:t xml:space="preserve"> (r) mezi zkoumanými proměnnými v MetS skupine/kontrolní skupině</w:t>
      </w:r>
      <w:r w:rsidR="007B54D3" w:rsidRPr="000D096C">
        <w:rPr>
          <w:rFonts w:ascii="Times New Roman" w:hAnsi="Times New Roman" w:cs="Times New Roman"/>
          <w:sz w:val="24"/>
          <w:szCs w:val="24"/>
        </w:rPr>
        <w:t xml:space="preserve"> s uvedením statistické významnosti (p)</w:t>
      </w:r>
    </w:p>
    <w:tbl>
      <w:tblPr>
        <w:tblStyle w:val="Mkatabulky"/>
        <w:tblW w:w="0" w:type="auto"/>
        <w:tblLayout w:type="fixed"/>
        <w:tblLook w:val="04A0" w:firstRow="1" w:lastRow="0" w:firstColumn="1" w:lastColumn="0" w:noHBand="0" w:noVBand="1"/>
      </w:tblPr>
      <w:tblGrid>
        <w:gridCol w:w="1809"/>
        <w:gridCol w:w="1134"/>
        <w:gridCol w:w="1134"/>
        <w:gridCol w:w="1367"/>
        <w:gridCol w:w="1327"/>
        <w:gridCol w:w="1204"/>
        <w:gridCol w:w="1313"/>
      </w:tblGrid>
      <w:tr w:rsidR="00066B6F" w:rsidRPr="00267EF1" w:rsidTr="00D5537F">
        <w:tc>
          <w:tcPr>
            <w:tcW w:w="1809" w:type="dxa"/>
          </w:tcPr>
          <w:p w:rsidR="00C42F08" w:rsidRPr="00267EF1" w:rsidRDefault="00C42F08" w:rsidP="00267EF1">
            <w:pPr>
              <w:pStyle w:val="Bezmezer"/>
              <w:spacing w:line="360" w:lineRule="auto"/>
              <w:rPr>
                <w:rFonts w:ascii="Times New Roman" w:hAnsi="Times New Roman" w:cs="Times New Roman"/>
                <w:b/>
                <w:sz w:val="24"/>
                <w:szCs w:val="24"/>
              </w:rPr>
            </w:pPr>
            <w:r w:rsidRPr="00267EF1">
              <w:rPr>
                <w:rFonts w:ascii="Times New Roman" w:hAnsi="Times New Roman" w:cs="Times New Roman"/>
                <w:b/>
                <w:sz w:val="24"/>
                <w:szCs w:val="24"/>
              </w:rPr>
              <w:t>Proměnné</w:t>
            </w:r>
          </w:p>
        </w:tc>
        <w:tc>
          <w:tcPr>
            <w:tcW w:w="1134" w:type="dxa"/>
          </w:tcPr>
          <w:p w:rsidR="00C42F08" w:rsidRPr="00267EF1" w:rsidRDefault="00C42F08" w:rsidP="00267EF1">
            <w:pPr>
              <w:pStyle w:val="Bezmezer"/>
              <w:spacing w:line="360" w:lineRule="auto"/>
              <w:rPr>
                <w:rFonts w:ascii="Times New Roman" w:hAnsi="Times New Roman" w:cs="Times New Roman"/>
                <w:b/>
                <w:sz w:val="24"/>
                <w:szCs w:val="24"/>
              </w:rPr>
            </w:pPr>
            <w:r w:rsidRPr="00267EF1">
              <w:rPr>
                <w:rFonts w:ascii="Times New Roman" w:hAnsi="Times New Roman" w:cs="Times New Roman"/>
                <w:b/>
                <w:sz w:val="24"/>
                <w:szCs w:val="24"/>
              </w:rPr>
              <w:t>Glukóza</w:t>
            </w:r>
          </w:p>
        </w:tc>
        <w:tc>
          <w:tcPr>
            <w:tcW w:w="1134" w:type="dxa"/>
          </w:tcPr>
          <w:p w:rsidR="00C42F08" w:rsidRPr="00267EF1" w:rsidRDefault="00C42F08" w:rsidP="00267EF1">
            <w:pPr>
              <w:pStyle w:val="Bezmezer"/>
              <w:spacing w:line="360" w:lineRule="auto"/>
              <w:rPr>
                <w:rFonts w:ascii="Times New Roman" w:hAnsi="Times New Roman" w:cs="Times New Roman"/>
                <w:b/>
                <w:sz w:val="24"/>
                <w:szCs w:val="24"/>
              </w:rPr>
            </w:pPr>
            <w:r w:rsidRPr="00267EF1">
              <w:rPr>
                <w:rFonts w:ascii="Times New Roman" w:hAnsi="Times New Roman" w:cs="Times New Roman"/>
                <w:b/>
                <w:sz w:val="24"/>
                <w:szCs w:val="24"/>
              </w:rPr>
              <w:t>Inzulín</w:t>
            </w:r>
          </w:p>
        </w:tc>
        <w:tc>
          <w:tcPr>
            <w:tcW w:w="1367" w:type="dxa"/>
          </w:tcPr>
          <w:p w:rsidR="00C42F08" w:rsidRPr="00267EF1" w:rsidRDefault="00C42F08" w:rsidP="00267EF1">
            <w:pPr>
              <w:pStyle w:val="Bezmezer"/>
              <w:spacing w:line="360" w:lineRule="auto"/>
              <w:rPr>
                <w:rFonts w:ascii="Times New Roman" w:hAnsi="Times New Roman" w:cs="Times New Roman"/>
                <w:b/>
                <w:sz w:val="24"/>
                <w:szCs w:val="24"/>
              </w:rPr>
            </w:pPr>
            <w:r w:rsidRPr="00267EF1">
              <w:rPr>
                <w:rFonts w:ascii="Times New Roman" w:hAnsi="Times New Roman" w:cs="Times New Roman"/>
                <w:b/>
                <w:sz w:val="24"/>
                <w:szCs w:val="24"/>
              </w:rPr>
              <w:t>HOMA-IR</w:t>
            </w:r>
          </w:p>
        </w:tc>
        <w:tc>
          <w:tcPr>
            <w:tcW w:w="1327" w:type="dxa"/>
          </w:tcPr>
          <w:p w:rsidR="00C42F08" w:rsidRPr="00267EF1" w:rsidRDefault="00C42F08" w:rsidP="00267EF1">
            <w:pPr>
              <w:pStyle w:val="Bezmezer"/>
              <w:spacing w:line="360" w:lineRule="auto"/>
              <w:rPr>
                <w:rFonts w:ascii="Times New Roman" w:hAnsi="Times New Roman" w:cs="Times New Roman"/>
                <w:b/>
                <w:sz w:val="24"/>
                <w:szCs w:val="24"/>
              </w:rPr>
            </w:pPr>
            <w:r w:rsidRPr="00267EF1">
              <w:rPr>
                <w:rFonts w:ascii="Times New Roman" w:hAnsi="Times New Roman" w:cs="Times New Roman"/>
                <w:b/>
                <w:sz w:val="24"/>
                <w:szCs w:val="24"/>
              </w:rPr>
              <w:t>HOMA-β</w:t>
            </w:r>
          </w:p>
        </w:tc>
        <w:tc>
          <w:tcPr>
            <w:tcW w:w="1204" w:type="dxa"/>
          </w:tcPr>
          <w:p w:rsidR="00C42F08" w:rsidRPr="00267EF1" w:rsidRDefault="00C42F08" w:rsidP="00267EF1">
            <w:pPr>
              <w:pStyle w:val="Bezmezer"/>
              <w:spacing w:line="360" w:lineRule="auto"/>
              <w:rPr>
                <w:rFonts w:ascii="Times New Roman" w:hAnsi="Times New Roman" w:cs="Times New Roman"/>
                <w:b/>
                <w:sz w:val="24"/>
                <w:szCs w:val="24"/>
              </w:rPr>
            </w:pPr>
            <w:r w:rsidRPr="00267EF1">
              <w:rPr>
                <w:rFonts w:ascii="Times New Roman" w:hAnsi="Times New Roman" w:cs="Times New Roman"/>
                <w:b/>
                <w:sz w:val="24"/>
                <w:szCs w:val="24"/>
              </w:rPr>
              <w:t>VAI</w:t>
            </w:r>
          </w:p>
        </w:tc>
        <w:tc>
          <w:tcPr>
            <w:tcW w:w="1313" w:type="dxa"/>
          </w:tcPr>
          <w:p w:rsidR="00C42F08" w:rsidRPr="00267EF1" w:rsidRDefault="00C42F08" w:rsidP="00267EF1">
            <w:pPr>
              <w:pStyle w:val="Bezmezer"/>
              <w:spacing w:line="360" w:lineRule="auto"/>
              <w:rPr>
                <w:rFonts w:ascii="Times New Roman" w:hAnsi="Times New Roman" w:cs="Times New Roman"/>
                <w:b/>
                <w:sz w:val="24"/>
                <w:szCs w:val="24"/>
              </w:rPr>
            </w:pPr>
            <w:r w:rsidRPr="00267EF1">
              <w:rPr>
                <w:rFonts w:ascii="Times New Roman" w:hAnsi="Times New Roman" w:cs="Times New Roman"/>
                <w:b/>
                <w:sz w:val="24"/>
                <w:szCs w:val="24"/>
              </w:rPr>
              <w:t>AIP</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OP</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0,19*</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/0,22*</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0,56**</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/0,35**</w:t>
            </w:r>
          </w:p>
        </w:tc>
        <w:tc>
          <w:tcPr>
            <w:tcW w:w="136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0,57**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/0,36**</w:t>
            </w:r>
          </w:p>
        </w:tc>
        <w:tc>
          <w:tcPr>
            <w:tcW w:w="132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0,39**</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/0,06</w:t>
            </w:r>
          </w:p>
        </w:tc>
        <w:tc>
          <w:tcPr>
            <w:tcW w:w="120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0,22*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/0,26**</w:t>
            </w:r>
          </w:p>
        </w:tc>
        <w:tc>
          <w:tcPr>
            <w:tcW w:w="1313"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0,30**</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/0,4**</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BMI</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0,10</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/0,18*</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0,43**</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/0,37**</w:t>
            </w:r>
          </w:p>
        </w:tc>
        <w:tc>
          <w:tcPr>
            <w:tcW w:w="136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0,42**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/0,37**</w:t>
            </w:r>
          </w:p>
        </w:tc>
        <w:tc>
          <w:tcPr>
            <w:tcW w:w="132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0,33**</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/0,07</w:t>
            </w:r>
          </w:p>
        </w:tc>
        <w:tc>
          <w:tcPr>
            <w:tcW w:w="120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0,16*</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/0,16*</w:t>
            </w:r>
          </w:p>
        </w:tc>
        <w:tc>
          <w:tcPr>
            <w:tcW w:w="1313"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0,23*</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/0,29**</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TC</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-0,05</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/0,01*</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0,08</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/0,24**</w:t>
            </w:r>
          </w:p>
        </w:tc>
        <w:tc>
          <w:tcPr>
            <w:tcW w:w="136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0,08</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/0,26**</w:t>
            </w:r>
          </w:p>
        </w:tc>
        <w:tc>
          <w:tcPr>
            <w:tcW w:w="132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0,06</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/0,05</w:t>
            </w:r>
          </w:p>
        </w:tc>
        <w:tc>
          <w:tcPr>
            <w:tcW w:w="120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0,21*</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/0,21*</w:t>
            </w:r>
          </w:p>
        </w:tc>
        <w:tc>
          <w:tcPr>
            <w:tcW w:w="1313"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0,16*</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/0,19*</w:t>
            </w:r>
          </w:p>
        </w:tc>
      </w:tr>
      <w:tr w:rsidR="00066B6F" w:rsidRPr="000D096C" w:rsidTr="00D5537F">
        <w:tc>
          <w:tcPr>
            <w:tcW w:w="1809" w:type="dxa"/>
          </w:tcPr>
          <w:p w:rsidR="00C42F08" w:rsidRPr="00D5537F" w:rsidRDefault="00EA0A4A" w:rsidP="00267EF1">
            <w:pPr>
              <w:pStyle w:val="Bezmezer"/>
              <w:spacing w:line="360" w:lineRule="auto"/>
              <w:rPr>
                <w:rFonts w:ascii="Times New Roman" w:hAnsi="Times New Roman" w:cs="Times New Roman"/>
                <w:b/>
                <w:sz w:val="24"/>
                <w:szCs w:val="24"/>
              </w:rPr>
            </w:pPr>
            <w:r>
              <w:rPr>
                <w:rFonts w:ascii="Times New Roman" w:hAnsi="Times New Roman" w:cs="Times New Roman"/>
                <w:b/>
                <w:sz w:val="24"/>
                <w:szCs w:val="24"/>
              </w:rPr>
              <w:t>HDL</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/-0,05</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/-0,17*</w:t>
            </w:r>
          </w:p>
        </w:tc>
        <w:tc>
          <w:tcPr>
            <w:tcW w:w="136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-0,15*</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/-0,15*</w:t>
            </w:r>
          </w:p>
        </w:tc>
        <w:tc>
          <w:tcPr>
            <w:tcW w:w="132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-0,22*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/0,02</w:t>
            </w:r>
          </w:p>
        </w:tc>
        <w:tc>
          <w:tcPr>
            <w:tcW w:w="120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-0,42**</w:t>
            </w:r>
            <w:r w:rsidR="00D5537F">
              <w:rPr>
                <w:rFonts w:ascii="Times New Roman" w:hAnsi="Times New Roman" w:cs="Times New Roman"/>
                <w:sz w:val="24"/>
                <w:szCs w:val="24"/>
              </w:rPr>
              <w:br/>
            </w:r>
            <w:r w:rsidRPr="00267EF1">
              <w:rPr>
                <w:rFonts w:ascii="Times New Roman" w:hAnsi="Times New Roman" w:cs="Times New Roman"/>
                <w:sz w:val="24"/>
                <w:szCs w:val="24"/>
              </w:rPr>
              <w:t>/-0,47**</w:t>
            </w:r>
          </w:p>
        </w:tc>
        <w:tc>
          <w:tcPr>
            <w:tcW w:w="1313"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-0,64**</w:t>
            </w:r>
            <w:r w:rsidR="00D5537F">
              <w:rPr>
                <w:rFonts w:ascii="Times New Roman" w:hAnsi="Times New Roman" w:cs="Times New Roman"/>
                <w:sz w:val="24"/>
                <w:szCs w:val="24"/>
              </w:rPr>
              <w:br/>
            </w:r>
            <w:r w:rsidRPr="00267EF1">
              <w:rPr>
                <w:rFonts w:ascii="Times New Roman" w:hAnsi="Times New Roman" w:cs="Times New Roman"/>
                <w:sz w:val="24"/>
                <w:szCs w:val="24"/>
              </w:rPr>
              <w:t>/-0,69**</w:t>
            </w:r>
          </w:p>
        </w:tc>
      </w:tr>
      <w:tr w:rsidR="00066B6F" w:rsidRPr="000D096C" w:rsidTr="00D5537F">
        <w:tc>
          <w:tcPr>
            <w:tcW w:w="1809" w:type="dxa"/>
          </w:tcPr>
          <w:p w:rsidR="00C42F08" w:rsidRPr="00D5537F" w:rsidRDefault="00EA0A4A" w:rsidP="00267EF1">
            <w:pPr>
              <w:pStyle w:val="Bezmezer"/>
              <w:spacing w:line="360" w:lineRule="auto"/>
              <w:rPr>
                <w:rFonts w:ascii="Times New Roman" w:hAnsi="Times New Roman" w:cs="Times New Roman"/>
                <w:b/>
                <w:sz w:val="24"/>
                <w:szCs w:val="24"/>
              </w:rPr>
            </w:pPr>
            <w:r>
              <w:rPr>
                <w:rFonts w:ascii="Times New Roman" w:hAnsi="Times New Roman" w:cs="Times New Roman"/>
                <w:b/>
                <w:sz w:val="24"/>
                <w:szCs w:val="24"/>
              </w:rPr>
              <w:t>LDL</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/0,16*</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/0,18*</w:t>
            </w:r>
          </w:p>
        </w:tc>
        <w:tc>
          <w:tcPr>
            <w:tcW w:w="136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/0,20*</w:t>
            </w:r>
          </w:p>
        </w:tc>
        <w:tc>
          <w:tcPr>
            <w:tcW w:w="132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0,13</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/0,01</w:t>
            </w:r>
          </w:p>
        </w:tc>
        <w:tc>
          <w:tcPr>
            <w:tcW w:w="120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0,28**</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/0,17*</w:t>
            </w:r>
          </w:p>
        </w:tc>
        <w:tc>
          <w:tcPr>
            <w:tcW w:w="1313"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0,29**</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/0,20*</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TAG</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0,06</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/-0,01</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0,19*</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/0,25**</w:t>
            </w:r>
          </w:p>
        </w:tc>
        <w:tc>
          <w:tcPr>
            <w:tcW w:w="136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0,19*</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/0,21*</w:t>
            </w:r>
          </w:p>
        </w:tc>
        <w:tc>
          <w:tcPr>
            <w:tcW w:w="132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0,14</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/0,13</w:t>
            </w:r>
          </w:p>
        </w:tc>
        <w:tc>
          <w:tcPr>
            <w:tcW w:w="120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0,92**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/0,94**</w:t>
            </w:r>
          </w:p>
        </w:tc>
        <w:tc>
          <w:tcPr>
            <w:tcW w:w="1313"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0,79**</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/0,82**</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KM</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0,01</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/0,14</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0,20*</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/0,46**</w:t>
            </w:r>
          </w:p>
        </w:tc>
        <w:tc>
          <w:tcPr>
            <w:tcW w:w="136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0,18*</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/0,44**</w:t>
            </w:r>
          </w:p>
        </w:tc>
        <w:tc>
          <w:tcPr>
            <w:tcW w:w="132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0,17*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/0,19*</w:t>
            </w:r>
          </w:p>
        </w:tc>
        <w:tc>
          <w:tcPr>
            <w:tcW w:w="120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0,30**</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/0,16*</w:t>
            </w:r>
          </w:p>
        </w:tc>
        <w:tc>
          <w:tcPr>
            <w:tcW w:w="1313"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0,41**</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/0,31**</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ALT</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0,03</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/0,22*</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0,44*</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/0,56**</w:t>
            </w:r>
          </w:p>
        </w:tc>
        <w:tc>
          <w:tcPr>
            <w:tcW w:w="136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0,41**</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/0,57**</w:t>
            </w:r>
          </w:p>
        </w:tc>
        <w:tc>
          <w:tcPr>
            <w:tcW w:w="132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0,36**</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/0,19*</w:t>
            </w:r>
          </w:p>
        </w:tc>
        <w:tc>
          <w:tcPr>
            <w:tcW w:w="120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0,22*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/0,17*</w:t>
            </w:r>
          </w:p>
        </w:tc>
        <w:tc>
          <w:tcPr>
            <w:tcW w:w="1313"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0,30**</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/0,27**</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AST</w:t>
            </w:r>
          </w:p>
        </w:tc>
        <w:tc>
          <w:tcPr>
            <w:tcW w:w="113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10</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21*</w:t>
            </w:r>
          </w:p>
        </w:tc>
        <w:tc>
          <w:tcPr>
            <w:tcW w:w="113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31</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55**</w:t>
            </w:r>
          </w:p>
        </w:tc>
        <w:tc>
          <w:tcPr>
            <w:tcW w:w="1367"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31**</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56**</w:t>
            </w:r>
          </w:p>
        </w:tc>
        <w:tc>
          <w:tcPr>
            <w:tcW w:w="1327"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A178AC" w:rsidRPr="00267EF1">
              <w:rPr>
                <w:rFonts w:ascii="Times New Roman" w:hAnsi="Times New Roman" w:cs="Times New Roman"/>
                <w:sz w:val="24"/>
                <w:szCs w:val="24"/>
              </w:rPr>
              <w:t>,</w:t>
            </w:r>
            <w:r w:rsidRPr="00267EF1">
              <w:rPr>
                <w:rFonts w:ascii="Times New Roman" w:hAnsi="Times New Roman" w:cs="Times New Roman"/>
                <w:sz w:val="24"/>
                <w:szCs w:val="24"/>
              </w:rPr>
              <w:t>21*</w:t>
            </w:r>
            <w:r w:rsidR="002806B1" w:rsidRPr="00267EF1">
              <w:rPr>
                <w:rFonts w:ascii="Times New Roman" w:hAnsi="Times New Roman" w:cs="Times New Roman"/>
                <w:sz w:val="24"/>
                <w:szCs w:val="24"/>
              </w:rPr>
              <w:br/>
            </w:r>
            <w:r w:rsidR="00A178AC" w:rsidRPr="00267EF1">
              <w:rPr>
                <w:rFonts w:ascii="Times New Roman" w:hAnsi="Times New Roman" w:cs="Times New Roman"/>
                <w:sz w:val="24"/>
                <w:szCs w:val="24"/>
              </w:rPr>
              <w:t>/0,</w:t>
            </w:r>
            <w:r w:rsidRPr="00267EF1">
              <w:rPr>
                <w:rFonts w:ascii="Times New Roman" w:hAnsi="Times New Roman" w:cs="Times New Roman"/>
                <w:sz w:val="24"/>
                <w:szCs w:val="24"/>
              </w:rPr>
              <w:t>18*</w:t>
            </w:r>
          </w:p>
        </w:tc>
        <w:tc>
          <w:tcPr>
            <w:tcW w:w="120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17*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16*</w:t>
            </w:r>
          </w:p>
        </w:tc>
        <w:tc>
          <w:tcPr>
            <w:tcW w:w="1313"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24*</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27**</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Systolický TK</w:t>
            </w:r>
          </w:p>
        </w:tc>
        <w:tc>
          <w:tcPr>
            <w:tcW w:w="113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33**</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05</w:t>
            </w:r>
          </w:p>
        </w:tc>
        <w:tc>
          <w:tcPr>
            <w:tcW w:w="113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18*</w:t>
            </w:r>
          </w:p>
        </w:tc>
        <w:tc>
          <w:tcPr>
            <w:tcW w:w="1367"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17*</w:t>
            </w:r>
          </w:p>
        </w:tc>
        <w:tc>
          <w:tcPr>
            <w:tcW w:w="1327"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12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10</w:t>
            </w:r>
          </w:p>
        </w:tc>
        <w:tc>
          <w:tcPr>
            <w:tcW w:w="120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06</w:t>
            </w:r>
          </w:p>
        </w:tc>
        <w:tc>
          <w:tcPr>
            <w:tcW w:w="1313"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32**</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10</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Diastolický TK</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A178AC" w:rsidRPr="00267EF1">
              <w:rPr>
                <w:rFonts w:ascii="Times New Roman" w:hAnsi="Times New Roman" w:cs="Times New Roman"/>
                <w:sz w:val="24"/>
                <w:szCs w:val="24"/>
              </w:rPr>
              <w:t>,</w:t>
            </w:r>
            <w:r w:rsidRPr="00267EF1">
              <w:rPr>
                <w:rFonts w:ascii="Times New Roman" w:hAnsi="Times New Roman" w:cs="Times New Roman"/>
                <w:sz w:val="24"/>
                <w:szCs w:val="24"/>
              </w:rPr>
              <w:t>22*</w:t>
            </w:r>
            <w:r w:rsidR="002806B1" w:rsidRPr="00267EF1">
              <w:rPr>
                <w:rFonts w:ascii="Times New Roman" w:hAnsi="Times New Roman" w:cs="Times New Roman"/>
                <w:sz w:val="24"/>
                <w:szCs w:val="24"/>
              </w:rPr>
              <w:br/>
            </w:r>
            <w:r w:rsidR="00A178AC" w:rsidRPr="00267EF1">
              <w:rPr>
                <w:rFonts w:ascii="Times New Roman" w:hAnsi="Times New Roman" w:cs="Times New Roman"/>
                <w:sz w:val="24"/>
                <w:szCs w:val="24"/>
              </w:rPr>
              <w:t>/0,</w:t>
            </w:r>
            <w:r w:rsidRPr="00267EF1">
              <w:rPr>
                <w:rFonts w:ascii="Times New Roman" w:hAnsi="Times New Roman" w:cs="Times New Roman"/>
                <w:sz w:val="24"/>
                <w:szCs w:val="24"/>
              </w:rPr>
              <w:t>02</w:t>
            </w:r>
          </w:p>
        </w:tc>
        <w:tc>
          <w:tcPr>
            <w:tcW w:w="113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31**</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22*</w:t>
            </w:r>
          </w:p>
        </w:tc>
        <w:tc>
          <w:tcPr>
            <w:tcW w:w="1367"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34**</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2*</w:t>
            </w:r>
          </w:p>
        </w:tc>
        <w:tc>
          <w:tcPr>
            <w:tcW w:w="1327"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16*</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18*</w:t>
            </w:r>
          </w:p>
        </w:tc>
        <w:tc>
          <w:tcPr>
            <w:tcW w:w="120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29**</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03</w:t>
            </w:r>
          </w:p>
        </w:tc>
        <w:tc>
          <w:tcPr>
            <w:tcW w:w="1313"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33**</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09</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VAI</w:t>
            </w:r>
          </w:p>
        </w:tc>
        <w:tc>
          <w:tcPr>
            <w:tcW w:w="113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08</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01</w:t>
            </w:r>
          </w:p>
        </w:tc>
        <w:tc>
          <w:tcPr>
            <w:tcW w:w="113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24**</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26**</w:t>
            </w:r>
          </w:p>
        </w:tc>
        <w:tc>
          <w:tcPr>
            <w:tcW w:w="1367"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24**</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21*</w:t>
            </w:r>
          </w:p>
        </w:tc>
        <w:tc>
          <w:tcPr>
            <w:tcW w:w="1327"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20*</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12</w:t>
            </w:r>
          </w:p>
        </w:tc>
        <w:tc>
          <w:tcPr>
            <w:tcW w:w="120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w:t>
            </w:r>
          </w:p>
        </w:tc>
        <w:tc>
          <w:tcPr>
            <w:tcW w:w="1313"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87**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86**</w:t>
            </w:r>
          </w:p>
        </w:tc>
      </w:tr>
      <w:tr w:rsidR="00066B6F" w:rsidRPr="000D096C" w:rsidTr="00D5537F">
        <w:tc>
          <w:tcPr>
            <w:tcW w:w="1809" w:type="dxa"/>
          </w:tcPr>
          <w:p w:rsidR="00C42F08" w:rsidRPr="00D5537F" w:rsidRDefault="00C42F08" w:rsidP="00267EF1">
            <w:pPr>
              <w:pStyle w:val="Bezmezer"/>
              <w:spacing w:line="360" w:lineRule="auto"/>
              <w:rPr>
                <w:rFonts w:ascii="Times New Roman" w:hAnsi="Times New Roman" w:cs="Times New Roman"/>
                <w:b/>
                <w:sz w:val="24"/>
                <w:szCs w:val="24"/>
              </w:rPr>
            </w:pPr>
            <w:r w:rsidRPr="00D5537F">
              <w:rPr>
                <w:rFonts w:ascii="Times New Roman" w:hAnsi="Times New Roman" w:cs="Times New Roman"/>
                <w:b/>
                <w:sz w:val="24"/>
                <w:szCs w:val="24"/>
              </w:rPr>
              <w:t>AIP</w:t>
            </w:r>
          </w:p>
        </w:tc>
        <w:tc>
          <w:tcPr>
            <w:tcW w:w="113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09</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05</w:t>
            </w:r>
          </w:p>
        </w:tc>
        <w:tc>
          <w:tcPr>
            <w:tcW w:w="1134"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A178AC" w:rsidRPr="00267EF1">
              <w:rPr>
                <w:rFonts w:ascii="Times New Roman" w:hAnsi="Times New Roman" w:cs="Times New Roman"/>
                <w:sz w:val="24"/>
                <w:szCs w:val="24"/>
              </w:rPr>
              <w:t>,</w:t>
            </w:r>
            <w:r w:rsidRPr="00267EF1">
              <w:rPr>
                <w:rFonts w:ascii="Times New Roman" w:hAnsi="Times New Roman" w:cs="Times New Roman"/>
                <w:sz w:val="24"/>
                <w:szCs w:val="24"/>
              </w:rPr>
              <w:t>27**</w:t>
            </w:r>
            <w:r w:rsidR="002806B1" w:rsidRPr="00267EF1">
              <w:rPr>
                <w:rFonts w:ascii="Times New Roman" w:hAnsi="Times New Roman" w:cs="Times New Roman"/>
                <w:sz w:val="24"/>
                <w:szCs w:val="24"/>
              </w:rPr>
              <w:br/>
            </w:r>
            <w:r w:rsidR="00A178AC" w:rsidRPr="00267EF1">
              <w:rPr>
                <w:rFonts w:ascii="Times New Roman" w:hAnsi="Times New Roman" w:cs="Times New Roman"/>
                <w:sz w:val="24"/>
                <w:szCs w:val="24"/>
              </w:rPr>
              <w:t>/0,</w:t>
            </w:r>
            <w:r w:rsidRPr="00267EF1">
              <w:rPr>
                <w:rFonts w:ascii="Times New Roman" w:hAnsi="Times New Roman" w:cs="Times New Roman"/>
                <w:sz w:val="24"/>
                <w:szCs w:val="24"/>
              </w:rPr>
              <w:t>26**</w:t>
            </w:r>
          </w:p>
        </w:tc>
        <w:tc>
          <w:tcPr>
            <w:tcW w:w="1367"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27**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26*</w:t>
            </w:r>
          </w:p>
        </w:tc>
        <w:tc>
          <w:tcPr>
            <w:tcW w:w="1327"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25**</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06</w:t>
            </w:r>
          </w:p>
        </w:tc>
        <w:tc>
          <w:tcPr>
            <w:tcW w:w="1204" w:type="dxa"/>
          </w:tcPr>
          <w:p w:rsidR="00C42F08" w:rsidRPr="00267EF1" w:rsidRDefault="00A178AC"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0,</w:t>
            </w:r>
            <w:r w:rsidR="00C42F08" w:rsidRPr="00267EF1">
              <w:rPr>
                <w:rFonts w:ascii="Times New Roman" w:hAnsi="Times New Roman" w:cs="Times New Roman"/>
                <w:sz w:val="24"/>
                <w:szCs w:val="24"/>
              </w:rPr>
              <w:t>87**</w:t>
            </w:r>
            <w:r w:rsidR="002806B1" w:rsidRPr="00267EF1">
              <w:rPr>
                <w:rFonts w:ascii="Times New Roman" w:hAnsi="Times New Roman" w:cs="Times New Roman"/>
                <w:sz w:val="24"/>
                <w:szCs w:val="24"/>
              </w:rPr>
              <w:br/>
            </w:r>
            <w:r w:rsidRPr="00267EF1">
              <w:rPr>
                <w:rFonts w:ascii="Times New Roman" w:hAnsi="Times New Roman" w:cs="Times New Roman"/>
                <w:sz w:val="24"/>
                <w:szCs w:val="24"/>
              </w:rPr>
              <w:t>/0,</w:t>
            </w:r>
            <w:r w:rsidR="00C42F08" w:rsidRPr="00267EF1">
              <w:rPr>
                <w:rFonts w:ascii="Times New Roman" w:hAnsi="Times New Roman" w:cs="Times New Roman"/>
                <w:sz w:val="24"/>
                <w:szCs w:val="24"/>
              </w:rPr>
              <w:t>86**</w:t>
            </w:r>
          </w:p>
        </w:tc>
        <w:tc>
          <w:tcPr>
            <w:tcW w:w="1313" w:type="dxa"/>
          </w:tcPr>
          <w:p w:rsidR="00C42F08" w:rsidRPr="00267EF1" w:rsidRDefault="00C42F08" w:rsidP="00267EF1">
            <w:pPr>
              <w:pStyle w:val="Bezmezer"/>
              <w:spacing w:line="360" w:lineRule="auto"/>
              <w:rPr>
                <w:rFonts w:ascii="Times New Roman" w:hAnsi="Times New Roman" w:cs="Times New Roman"/>
                <w:sz w:val="24"/>
                <w:szCs w:val="24"/>
              </w:rPr>
            </w:pPr>
            <w:r w:rsidRPr="00267EF1">
              <w:rPr>
                <w:rFonts w:ascii="Times New Roman" w:hAnsi="Times New Roman" w:cs="Times New Roman"/>
                <w:sz w:val="24"/>
                <w:szCs w:val="24"/>
              </w:rPr>
              <w:t>-</w:t>
            </w:r>
          </w:p>
        </w:tc>
      </w:tr>
    </w:tbl>
    <w:p w:rsidR="00C42F08" w:rsidRPr="000D096C" w:rsidRDefault="00C42F08"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*p &lt; 0,05</w:t>
      </w:r>
      <w:r w:rsidR="00C12792" w:rsidRPr="000D096C">
        <w:rPr>
          <w:rFonts w:ascii="Times New Roman" w:hAnsi="Times New Roman" w:cs="Times New Roman"/>
          <w:sz w:val="24"/>
          <w:szCs w:val="24"/>
        </w:rPr>
        <w:t>;</w:t>
      </w:r>
      <w:r w:rsidRPr="000D096C">
        <w:rPr>
          <w:rFonts w:ascii="Times New Roman" w:hAnsi="Times New Roman" w:cs="Times New Roman"/>
          <w:sz w:val="24"/>
          <w:szCs w:val="24"/>
        </w:rPr>
        <w:t xml:space="preserve"> **p &lt; 0,001</w:t>
      </w:r>
    </w:p>
    <w:p w:rsidR="00C42F08" w:rsidRPr="000D096C" w:rsidRDefault="00C42F08" w:rsidP="004567D5">
      <w:pPr>
        <w:pStyle w:val="Bezmezer"/>
        <w:spacing w:line="360" w:lineRule="auto"/>
        <w:jc w:val="both"/>
        <w:rPr>
          <w:rFonts w:ascii="Times New Roman" w:hAnsi="Times New Roman" w:cs="Times New Roman"/>
          <w:sz w:val="24"/>
          <w:szCs w:val="24"/>
        </w:rPr>
      </w:pPr>
    </w:p>
    <w:p w:rsidR="00815108" w:rsidRDefault="00815108">
      <w:pPr>
        <w:rPr>
          <w:rFonts w:ascii="Times New Roman" w:hAnsi="Times New Roman" w:cs="Times New Roman"/>
          <w:b/>
          <w:sz w:val="24"/>
          <w:szCs w:val="24"/>
        </w:rPr>
      </w:pPr>
      <w:r>
        <w:rPr>
          <w:rFonts w:ascii="Times New Roman" w:hAnsi="Times New Roman" w:cs="Times New Roman"/>
          <w:b/>
          <w:sz w:val="24"/>
          <w:szCs w:val="24"/>
        </w:rPr>
        <w:br w:type="page"/>
      </w:r>
    </w:p>
    <w:p w:rsidR="00815108" w:rsidRDefault="001B3DEE"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b/>
          <w:sz w:val="24"/>
          <w:szCs w:val="24"/>
        </w:rPr>
        <w:lastRenderedPageBreak/>
        <w:t>Obrázek 4</w:t>
      </w:r>
      <w:r w:rsidR="003868AD" w:rsidRPr="000D096C">
        <w:rPr>
          <w:rFonts w:ascii="Times New Roman" w:hAnsi="Times New Roman" w:cs="Times New Roman"/>
          <w:b/>
          <w:sz w:val="24"/>
          <w:szCs w:val="24"/>
        </w:rPr>
        <w:t>.</w:t>
      </w:r>
      <w:r w:rsidR="003868AD" w:rsidRPr="000D096C">
        <w:rPr>
          <w:rFonts w:ascii="Times New Roman" w:hAnsi="Times New Roman" w:cs="Times New Roman"/>
          <w:sz w:val="24"/>
          <w:szCs w:val="24"/>
        </w:rPr>
        <w:t xml:space="preserve"> </w:t>
      </w:r>
      <w:r w:rsidR="00E77853" w:rsidRPr="000D096C">
        <w:rPr>
          <w:rFonts w:ascii="Times New Roman" w:hAnsi="Times New Roman" w:cs="Times New Roman"/>
          <w:sz w:val="24"/>
          <w:szCs w:val="24"/>
        </w:rPr>
        <w:t>Bodové d</w:t>
      </w:r>
      <w:r w:rsidR="003868AD" w:rsidRPr="000D096C">
        <w:rPr>
          <w:rFonts w:ascii="Times New Roman" w:hAnsi="Times New Roman" w:cs="Times New Roman"/>
          <w:sz w:val="24"/>
          <w:szCs w:val="24"/>
        </w:rPr>
        <w:t>iagramy zobrazující korelaci OP s HOMA-IR (A) a HOMA-β (B) jak v</w:t>
      </w:r>
      <w:r w:rsidR="00BB3FFF">
        <w:rPr>
          <w:rFonts w:ascii="Times New Roman" w:hAnsi="Times New Roman" w:cs="Times New Roman"/>
          <w:sz w:val="24"/>
          <w:szCs w:val="24"/>
        </w:rPr>
        <w:t> </w:t>
      </w:r>
      <w:r w:rsidR="003868AD" w:rsidRPr="000D096C">
        <w:rPr>
          <w:rFonts w:ascii="Times New Roman" w:hAnsi="Times New Roman" w:cs="Times New Roman"/>
          <w:sz w:val="24"/>
          <w:szCs w:val="24"/>
        </w:rPr>
        <w:t>MetS skupině (červeně), tak v kontrolní skupině (modře) s 95 % konfidenčními pásy vždy pro medián proměnné na ose y při dané hodnotě proměnné na ose x. Srovnání obou skupin naznačuje, že korelace b</w:t>
      </w:r>
      <w:r w:rsidR="00D9789F">
        <w:rPr>
          <w:rFonts w:ascii="Times New Roman" w:hAnsi="Times New Roman" w:cs="Times New Roman"/>
          <w:sz w:val="24"/>
          <w:szCs w:val="24"/>
        </w:rPr>
        <w:t>yly silnější u jedinců s MetS.</w:t>
      </w:r>
      <w:r w:rsidR="003868AD" w:rsidRPr="000D096C">
        <w:rPr>
          <w:rFonts w:ascii="Times New Roman" w:hAnsi="Times New Roman" w:cs="Times New Roman"/>
          <w:sz w:val="24"/>
          <w:szCs w:val="24"/>
        </w:rPr>
        <w:t xml:space="preserve"> Asociace OP s HOMA-β u</w:t>
      </w:r>
      <w:r w:rsidR="00762125">
        <w:rPr>
          <w:rFonts w:ascii="Times New Roman" w:hAnsi="Times New Roman" w:cs="Times New Roman"/>
          <w:sz w:val="24"/>
          <w:szCs w:val="24"/>
        </w:rPr>
        <w:t> </w:t>
      </w:r>
      <w:r w:rsidR="003868AD" w:rsidRPr="000D096C">
        <w:rPr>
          <w:rFonts w:ascii="Times New Roman" w:hAnsi="Times New Roman" w:cs="Times New Roman"/>
          <w:sz w:val="24"/>
          <w:szCs w:val="24"/>
        </w:rPr>
        <w:t>kontrol (B) byla mezi zbývajícími nejméně významná.</w:t>
      </w:r>
    </w:p>
    <w:p w:rsidR="00F655A8" w:rsidRDefault="00D9789F">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6704" behindDoc="1" locked="0" layoutInCell="1" allowOverlap="1">
            <wp:simplePos x="0" y="0"/>
            <wp:positionH relativeFrom="column">
              <wp:posOffset>811530</wp:posOffset>
            </wp:positionH>
            <wp:positionV relativeFrom="paragraph">
              <wp:posOffset>31787</wp:posOffset>
            </wp:positionV>
            <wp:extent cx="3785870" cy="7591425"/>
            <wp:effectExtent l="19050" t="0" r="5080" b="0"/>
            <wp:wrapTight wrapText="bothSides">
              <wp:wrapPolygon edited="0">
                <wp:start x="-109" y="0"/>
                <wp:lineTo x="-109" y="21573"/>
                <wp:lineTo x="21629" y="21573"/>
                <wp:lineTo x="21629" y="0"/>
                <wp:lineTo x="-109" y="0"/>
              </wp:wrapPolygon>
            </wp:wrapTight>
            <wp:docPr id="8" name="Obrázek 7"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1" cstate="print"/>
                    <a:stretch>
                      <a:fillRect/>
                    </a:stretch>
                  </pic:blipFill>
                  <pic:spPr>
                    <a:xfrm>
                      <a:off x="0" y="0"/>
                      <a:ext cx="3785870" cy="7591425"/>
                    </a:xfrm>
                    <a:prstGeom prst="rect">
                      <a:avLst/>
                    </a:prstGeom>
                  </pic:spPr>
                </pic:pic>
              </a:graphicData>
            </a:graphic>
          </wp:anchor>
        </w:drawing>
      </w:r>
    </w:p>
    <w:p w:rsidR="00F655A8" w:rsidRDefault="00F655A8">
      <w:pPr>
        <w:rPr>
          <w:rFonts w:ascii="Times New Roman" w:hAnsi="Times New Roman" w:cs="Times New Roman"/>
          <w:sz w:val="24"/>
          <w:szCs w:val="24"/>
        </w:rPr>
      </w:pPr>
    </w:p>
    <w:p w:rsidR="00F655A8" w:rsidRDefault="00F655A8">
      <w:pPr>
        <w:rPr>
          <w:rFonts w:ascii="Times New Roman" w:hAnsi="Times New Roman" w:cs="Times New Roman"/>
          <w:sz w:val="24"/>
          <w:szCs w:val="24"/>
        </w:rPr>
      </w:pPr>
    </w:p>
    <w:p w:rsidR="00F655A8" w:rsidRDefault="00F655A8">
      <w:pPr>
        <w:rPr>
          <w:rFonts w:ascii="Times New Roman" w:hAnsi="Times New Roman" w:cs="Times New Roman"/>
          <w:sz w:val="24"/>
          <w:szCs w:val="24"/>
        </w:rPr>
      </w:pPr>
    </w:p>
    <w:p w:rsidR="00F655A8" w:rsidRDefault="00F655A8">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D9789F" w:rsidRDefault="00D9789F">
      <w:pPr>
        <w:rPr>
          <w:rFonts w:ascii="Times New Roman" w:hAnsi="Times New Roman" w:cs="Times New Roman"/>
          <w:sz w:val="24"/>
          <w:szCs w:val="24"/>
        </w:rPr>
      </w:pPr>
    </w:p>
    <w:p w:rsidR="00267EF1" w:rsidRDefault="00305038"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b/>
          <w:sz w:val="24"/>
          <w:szCs w:val="24"/>
        </w:rPr>
        <w:lastRenderedPageBreak/>
        <w:t xml:space="preserve">Obrázek </w:t>
      </w:r>
      <w:r w:rsidR="001B3DEE" w:rsidRPr="000D096C">
        <w:rPr>
          <w:rFonts w:ascii="Times New Roman" w:hAnsi="Times New Roman" w:cs="Times New Roman"/>
          <w:b/>
          <w:sz w:val="24"/>
          <w:szCs w:val="24"/>
        </w:rPr>
        <w:t>5</w:t>
      </w:r>
      <w:r w:rsidR="003F3ABF" w:rsidRPr="000D096C">
        <w:rPr>
          <w:rFonts w:ascii="Times New Roman" w:hAnsi="Times New Roman" w:cs="Times New Roman"/>
          <w:b/>
          <w:sz w:val="24"/>
          <w:szCs w:val="24"/>
        </w:rPr>
        <w:t>.</w:t>
      </w:r>
      <w:r w:rsidR="003F3ABF" w:rsidRPr="000D096C">
        <w:rPr>
          <w:rFonts w:ascii="Times New Roman" w:hAnsi="Times New Roman" w:cs="Times New Roman"/>
          <w:sz w:val="24"/>
          <w:szCs w:val="24"/>
        </w:rPr>
        <w:t xml:space="preserve"> </w:t>
      </w:r>
      <w:r w:rsidR="00E77853" w:rsidRPr="000D096C">
        <w:rPr>
          <w:rFonts w:ascii="Times New Roman" w:hAnsi="Times New Roman" w:cs="Times New Roman"/>
          <w:sz w:val="24"/>
          <w:szCs w:val="24"/>
        </w:rPr>
        <w:t>Bodové diagram</w:t>
      </w:r>
      <w:r w:rsidR="00C3347D">
        <w:rPr>
          <w:rFonts w:ascii="Times New Roman" w:hAnsi="Times New Roman" w:cs="Times New Roman"/>
          <w:sz w:val="24"/>
          <w:szCs w:val="24"/>
        </w:rPr>
        <w:t>y</w:t>
      </w:r>
      <w:r w:rsidR="00E77853" w:rsidRPr="000D096C">
        <w:rPr>
          <w:rFonts w:ascii="Times New Roman" w:hAnsi="Times New Roman" w:cs="Times New Roman"/>
          <w:sz w:val="24"/>
          <w:szCs w:val="24"/>
        </w:rPr>
        <w:t xml:space="preserve"> zobrazující korelace </w:t>
      </w:r>
      <w:r w:rsidR="00F11457">
        <w:rPr>
          <w:rFonts w:ascii="Times New Roman" w:hAnsi="Times New Roman" w:cs="Times New Roman"/>
          <w:sz w:val="24"/>
          <w:szCs w:val="24"/>
        </w:rPr>
        <w:t xml:space="preserve">HOMA-IR s </w:t>
      </w:r>
      <w:r w:rsidR="00E77853" w:rsidRPr="000D096C">
        <w:rPr>
          <w:rFonts w:ascii="Times New Roman" w:hAnsi="Times New Roman" w:cs="Times New Roman"/>
          <w:sz w:val="24"/>
          <w:szCs w:val="24"/>
        </w:rPr>
        <w:t xml:space="preserve">ALT </w:t>
      </w:r>
      <w:r w:rsidR="00F11457">
        <w:rPr>
          <w:rFonts w:ascii="Times New Roman" w:hAnsi="Times New Roman" w:cs="Times New Roman"/>
          <w:sz w:val="24"/>
          <w:szCs w:val="24"/>
        </w:rPr>
        <w:t>(A) a AST (B)</w:t>
      </w:r>
      <w:r w:rsidR="00153719" w:rsidRPr="000D096C">
        <w:rPr>
          <w:rFonts w:ascii="Times New Roman" w:hAnsi="Times New Roman" w:cs="Times New Roman"/>
          <w:sz w:val="24"/>
          <w:szCs w:val="24"/>
        </w:rPr>
        <w:t xml:space="preserve"> </w:t>
      </w:r>
      <w:r w:rsidR="00E77853" w:rsidRPr="000D096C">
        <w:rPr>
          <w:rFonts w:ascii="Times New Roman" w:hAnsi="Times New Roman" w:cs="Times New Roman"/>
          <w:sz w:val="24"/>
          <w:szCs w:val="24"/>
        </w:rPr>
        <w:t>jak v</w:t>
      </w:r>
      <w:r w:rsidR="00762125">
        <w:rPr>
          <w:rFonts w:ascii="Times New Roman" w:hAnsi="Times New Roman" w:cs="Times New Roman"/>
          <w:sz w:val="24"/>
          <w:szCs w:val="24"/>
        </w:rPr>
        <w:t> </w:t>
      </w:r>
      <w:r w:rsidR="00E77853" w:rsidRPr="000D096C">
        <w:rPr>
          <w:rFonts w:ascii="Times New Roman" w:hAnsi="Times New Roman" w:cs="Times New Roman"/>
          <w:sz w:val="24"/>
          <w:szCs w:val="24"/>
        </w:rPr>
        <w:t>MetS skupině (červeně), tak v</w:t>
      </w:r>
      <w:r w:rsidR="00BB3FFF">
        <w:rPr>
          <w:rFonts w:ascii="Times New Roman" w:hAnsi="Times New Roman" w:cs="Times New Roman"/>
          <w:sz w:val="24"/>
          <w:szCs w:val="24"/>
        </w:rPr>
        <w:t> </w:t>
      </w:r>
      <w:r w:rsidR="00E77853" w:rsidRPr="000D096C">
        <w:rPr>
          <w:rFonts w:ascii="Times New Roman" w:hAnsi="Times New Roman" w:cs="Times New Roman"/>
          <w:sz w:val="24"/>
          <w:szCs w:val="24"/>
        </w:rPr>
        <w:t>kontrolní skupině (modře) s 95 % konfidenčními pásy vždy pro medián proměnné na ose y při dané hodnotě proměnné na ose x.</w:t>
      </w:r>
    </w:p>
    <w:p w:rsidR="00267EF1" w:rsidRDefault="00D9789F">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4656" behindDoc="1" locked="0" layoutInCell="1" allowOverlap="1">
            <wp:simplePos x="0" y="0"/>
            <wp:positionH relativeFrom="column">
              <wp:posOffset>738370</wp:posOffset>
            </wp:positionH>
            <wp:positionV relativeFrom="paragraph">
              <wp:posOffset>73025</wp:posOffset>
            </wp:positionV>
            <wp:extent cx="3933825" cy="7905750"/>
            <wp:effectExtent l="19050" t="0" r="9525" b="0"/>
            <wp:wrapTight wrapText="bothSides">
              <wp:wrapPolygon edited="0">
                <wp:start x="-105" y="0"/>
                <wp:lineTo x="-105" y="21548"/>
                <wp:lineTo x="21652" y="21548"/>
                <wp:lineTo x="21652" y="0"/>
                <wp:lineTo x="-105" y="0"/>
              </wp:wrapPolygon>
            </wp:wrapTight>
            <wp:docPr id="5" name="Obrázek 4" descr="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jpg"/>
                    <pic:cNvPicPr/>
                  </pic:nvPicPr>
                  <pic:blipFill>
                    <a:blip r:embed="rId12" cstate="print"/>
                    <a:stretch>
                      <a:fillRect/>
                    </a:stretch>
                  </pic:blipFill>
                  <pic:spPr>
                    <a:xfrm>
                      <a:off x="0" y="0"/>
                      <a:ext cx="3933825" cy="7905750"/>
                    </a:xfrm>
                    <a:prstGeom prst="rect">
                      <a:avLst/>
                    </a:prstGeom>
                  </pic:spPr>
                </pic:pic>
              </a:graphicData>
            </a:graphic>
          </wp:anchor>
        </w:drawing>
      </w:r>
      <w:r w:rsidR="00267EF1">
        <w:rPr>
          <w:rFonts w:ascii="Times New Roman" w:hAnsi="Times New Roman" w:cs="Times New Roman"/>
          <w:sz w:val="24"/>
          <w:szCs w:val="24"/>
        </w:rPr>
        <w:br w:type="page"/>
      </w:r>
    </w:p>
    <w:p w:rsidR="00DC1DFF" w:rsidRDefault="00D9789F" w:rsidP="00DC1DFF">
      <w:pPr>
        <w:spacing w:line="360" w:lineRule="auto"/>
        <w:rPr>
          <w:rFonts w:ascii="Times New Roman" w:hAnsi="Times New Roman" w:cs="Times New Roman"/>
          <w:sz w:val="24"/>
          <w:szCs w:val="24"/>
        </w:rPr>
      </w:pPr>
      <w:r>
        <w:rPr>
          <w:rFonts w:ascii="Times New Roman" w:hAnsi="Times New Roman" w:cs="Times New Roman"/>
          <w:b/>
          <w:noProof/>
          <w:sz w:val="24"/>
          <w:szCs w:val="24"/>
          <w:lang w:eastAsia="cs-CZ"/>
        </w:rPr>
        <w:lastRenderedPageBreak/>
        <w:drawing>
          <wp:anchor distT="0" distB="0" distL="114300" distR="114300" simplePos="0" relativeHeight="251655680" behindDoc="1" locked="0" layoutInCell="1" allowOverlap="1">
            <wp:simplePos x="0" y="0"/>
            <wp:positionH relativeFrom="column">
              <wp:posOffset>745891</wp:posOffset>
            </wp:positionH>
            <wp:positionV relativeFrom="paragraph">
              <wp:posOffset>879450</wp:posOffset>
            </wp:positionV>
            <wp:extent cx="3921125" cy="7905750"/>
            <wp:effectExtent l="19050" t="0" r="3175" b="0"/>
            <wp:wrapTight wrapText="bothSides">
              <wp:wrapPolygon edited="0">
                <wp:start x="-105" y="0"/>
                <wp:lineTo x="-105" y="21548"/>
                <wp:lineTo x="21617" y="21548"/>
                <wp:lineTo x="21617" y="0"/>
                <wp:lineTo x="-105" y="0"/>
              </wp:wrapPolygon>
            </wp:wrapTight>
            <wp:docPr id="6" name="Obrázek 5"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13" cstate="print"/>
                    <a:stretch>
                      <a:fillRect/>
                    </a:stretch>
                  </pic:blipFill>
                  <pic:spPr>
                    <a:xfrm>
                      <a:off x="0" y="0"/>
                      <a:ext cx="3921125" cy="7905750"/>
                    </a:xfrm>
                    <a:prstGeom prst="rect">
                      <a:avLst/>
                    </a:prstGeom>
                  </pic:spPr>
                </pic:pic>
              </a:graphicData>
            </a:graphic>
          </wp:anchor>
        </w:drawing>
      </w:r>
      <w:r w:rsidR="00DC1DFF" w:rsidRPr="000D096C">
        <w:rPr>
          <w:rFonts w:ascii="Times New Roman" w:hAnsi="Times New Roman" w:cs="Times New Roman"/>
          <w:b/>
          <w:sz w:val="24"/>
          <w:szCs w:val="24"/>
        </w:rPr>
        <w:t xml:space="preserve">Obrázek </w:t>
      </w:r>
      <w:r w:rsidR="00DC1DFF">
        <w:rPr>
          <w:rFonts w:ascii="Times New Roman" w:hAnsi="Times New Roman" w:cs="Times New Roman"/>
          <w:b/>
          <w:sz w:val="24"/>
          <w:szCs w:val="24"/>
        </w:rPr>
        <w:t>6</w:t>
      </w:r>
      <w:r w:rsidR="00DC1DFF" w:rsidRPr="000D096C">
        <w:rPr>
          <w:rFonts w:ascii="Times New Roman" w:hAnsi="Times New Roman" w:cs="Times New Roman"/>
          <w:b/>
          <w:sz w:val="24"/>
          <w:szCs w:val="24"/>
        </w:rPr>
        <w:t>.</w:t>
      </w:r>
      <w:r w:rsidR="00DC1DFF" w:rsidRPr="000D096C">
        <w:rPr>
          <w:rFonts w:ascii="Times New Roman" w:hAnsi="Times New Roman" w:cs="Times New Roman"/>
          <w:sz w:val="24"/>
          <w:szCs w:val="24"/>
        </w:rPr>
        <w:t xml:space="preserve"> Bodové diagram</w:t>
      </w:r>
      <w:r w:rsidR="00C3347D">
        <w:rPr>
          <w:rFonts w:ascii="Times New Roman" w:hAnsi="Times New Roman" w:cs="Times New Roman"/>
          <w:sz w:val="24"/>
          <w:szCs w:val="24"/>
        </w:rPr>
        <w:t>y</w:t>
      </w:r>
      <w:r w:rsidR="00DC1DFF" w:rsidRPr="000D096C">
        <w:rPr>
          <w:rFonts w:ascii="Times New Roman" w:hAnsi="Times New Roman" w:cs="Times New Roman"/>
          <w:sz w:val="24"/>
          <w:szCs w:val="24"/>
        </w:rPr>
        <w:t xml:space="preserve"> zobrazující korelace</w:t>
      </w:r>
      <w:r w:rsidR="00F11457">
        <w:rPr>
          <w:rFonts w:ascii="Times New Roman" w:hAnsi="Times New Roman" w:cs="Times New Roman"/>
          <w:sz w:val="24"/>
          <w:szCs w:val="24"/>
        </w:rPr>
        <w:t xml:space="preserve"> </w:t>
      </w:r>
      <w:r w:rsidR="00F11457" w:rsidRPr="000D096C">
        <w:rPr>
          <w:rFonts w:ascii="Times New Roman" w:hAnsi="Times New Roman" w:cs="Times New Roman"/>
          <w:sz w:val="24"/>
          <w:szCs w:val="24"/>
        </w:rPr>
        <w:t>HOMA-β</w:t>
      </w:r>
      <w:r w:rsidR="00DC1DFF" w:rsidRPr="000D096C">
        <w:rPr>
          <w:rFonts w:ascii="Times New Roman" w:hAnsi="Times New Roman" w:cs="Times New Roman"/>
          <w:sz w:val="24"/>
          <w:szCs w:val="24"/>
        </w:rPr>
        <w:t xml:space="preserve"> </w:t>
      </w:r>
      <w:r w:rsidR="00F11457">
        <w:rPr>
          <w:rFonts w:ascii="Times New Roman" w:hAnsi="Times New Roman" w:cs="Times New Roman"/>
          <w:sz w:val="24"/>
          <w:szCs w:val="24"/>
        </w:rPr>
        <w:t>s </w:t>
      </w:r>
      <w:r w:rsidR="00DC1DFF" w:rsidRPr="000D096C">
        <w:rPr>
          <w:rFonts w:ascii="Times New Roman" w:hAnsi="Times New Roman" w:cs="Times New Roman"/>
          <w:sz w:val="24"/>
          <w:szCs w:val="24"/>
        </w:rPr>
        <w:t>ALT</w:t>
      </w:r>
      <w:r w:rsidR="00F11457">
        <w:rPr>
          <w:rFonts w:ascii="Times New Roman" w:hAnsi="Times New Roman" w:cs="Times New Roman"/>
          <w:sz w:val="24"/>
          <w:szCs w:val="24"/>
        </w:rPr>
        <w:t xml:space="preserve"> (A) a AST (B)</w:t>
      </w:r>
      <w:r w:rsidR="00DC1DFF" w:rsidRPr="000D096C">
        <w:rPr>
          <w:rFonts w:ascii="Times New Roman" w:hAnsi="Times New Roman" w:cs="Times New Roman"/>
          <w:sz w:val="24"/>
          <w:szCs w:val="24"/>
        </w:rPr>
        <w:t xml:space="preserve"> jak v</w:t>
      </w:r>
      <w:r w:rsidR="00762125">
        <w:rPr>
          <w:rFonts w:ascii="Times New Roman" w:hAnsi="Times New Roman" w:cs="Times New Roman"/>
          <w:sz w:val="24"/>
          <w:szCs w:val="24"/>
        </w:rPr>
        <w:t> </w:t>
      </w:r>
      <w:r w:rsidR="00DC1DFF" w:rsidRPr="000D096C">
        <w:rPr>
          <w:rFonts w:ascii="Times New Roman" w:hAnsi="Times New Roman" w:cs="Times New Roman"/>
          <w:sz w:val="24"/>
          <w:szCs w:val="24"/>
        </w:rPr>
        <w:t>MetS skupině (červeně), tak v</w:t>
      </w:r>
      <w:r w:rsidR="00DC1DFF">
        <w:rPr>
          <w:rFonts w:ascii="Times New Roman" w:hAnsi="Times New Roman" w:cs="Times New Roman"/>
          <w:sz w:val="24"/>
          <w:szCs w:val="24"/>
        </w:rPr>
        <w:t> </w:t>
      </w:r>
      <w:r w:rsidR="00DC1DFF" w:rsidRPr="000D096C">
        <w:rPr>
          <w:rFonts w:ascii="Times New Roman" w:hAnsi="Times New Roman" w:cs="Times New Roman"/>
          <w:sz w:val="24"/>
          <w:szCs w:val="24"/>
        </w:rPr>
        <w:t>kontrolní skupině (modře) s 95 % konfidenčními pásy vždy pro medián proměnné na ose y při dané hodnotě proměnné na ose x.</w:t>
      </w:r>
    </w:p>
    <w:p w:rsidR="00DC1DFF" w:rsidRDefault="00DC1DFF">
      <w:pPr>
        <w:rPr>
          <w:rFonts w:ascii="Times New Roman" w:hAnsi="Times New Roman" w:cs="Times New Roman"/>
          <w:sz w:val="24"/>
          <w:szCs w:val="24"/>
        </w:rPr>
      </w:pPr>
    </w:p>
    <w:p w:rsidR="00DC1DFF" w:rsidRDefault="00DC1DFF">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700C3D" w:rsidRDefault="00700C3D">
      <w:pPr>
        <w:rPr>
          <w:rFonts w:ascii="Times New Roman" w:hAnsi="Times New Roman" w:cs="Times New Roman"/>
          <w:sz w:val="24"/>
          <w:szCs w:val="24"/>
        </w:rPr>
      </w:pPr>
    </w:p>
    <w:p w:rsidR="00DC1DFF" w:rsidRDefault="00DC1DFF">
      <w:pPr>
        <w:rPr>
          <w:rFonts w:ascii="Times New Roman" w:hAnsi="Times New Roman" w:cs="Times New Roman"/>
          <w:sz w:val="24"/>
          <w:szCs w:val="24"/>
        </w:rPr>
      </w:pPr>
    </w:p>
    <w:p w:rsidR="00DC1DFF" w:rsidRDefault="00DC1DFF">
      <w:pPr>
        <w:rPr>
          <w:rFonts w:ascii="Times New Roman" w:hAnsi="Times New Roman" w:cs="Times New Roman"/>
          <w:sz w:val="24"/>
          <w:szCs w:val="24"/>
        </w:rPr>
      </w:pPr>
    </w:p>
    <w:p w:rsidR="00DC1DFF" w:rsidRDefault="00DC1DFF">
      <w:pPr>
        <w:rPr>
          <w:rFonts w:ascii="Times New Roman" w:hAnsi="Times New Roman" w:cs="Times New Roman"/>
          <w:sz w:val="24"/>
          <w:szCs w:val="24"/>
        </w:rPr>
      </w:pPr>
    </w:p>
    <w:p w:rsidR="000E229D" w:rsidRPr="000D096C" w:rsidRDefault="00017A9D" w:rsidP="00E319B2">
      <w:pPr>
        <w:pStyle w:val="Nadpis4"/>
        <w:rPr>
          <w:sz w:val="24"/>
          <w:szCs w:val="24"/>
        </w:rPr>
      </w:pPr>
      <w:r w:rsidRPr="000D096C">
        <w:lastRenderedPageBreak/>
        <w:t>Regresní analýza</w:t>
      </w:r>
    </w:p>
    <w:p w:rsidR="00267EF1" w:rsidRDefault="00017A9D"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Zhodnocení vlivu jednotlivých prediktorů HOMA je vyjádřeno pomocí m</w:t>
      </w:r>
      <w:r w:rsidR="00E12161">
        <w:rPr>
          <w:rFonts w:ascii="Times New Roman" w:hAnsi="Times New Roman" w:cs="Times New Roman"/>
          <w:sz w:val="24"/>
          <w:szCs w:val="24"/>
        </w:rPr>
        <w:t>odelu</w:t>
      </w:r>
      <w:r w:rsidRPr="000D096C">
        <w:rPr>
          <w:rFonts w:ascii="Times New Roman" w:hAnsi="Times New Roman" w:cs="Times New Roman"/>
          <w:sz w:val="24"/>
          <w:szCs w:val="24"/>
        </w:rPr>
        <w:t xml:space="preserve"> vícerozměrné lineární regrese, která prostřednictvím lineárních koeficientů (β) ukazuje důsledek jednotkové</w:t>
      </w:r>
      <w:r w:rsidR="00A15066" w:rsidRPr="000D096C">
        <w:rPr>
          <w:rFonts w:ascii="Times New Roman" w:hAnsi="Times New Roman" w:cs="Times New Roman"/>
          <w:sz w:val="24"/>
          <w:szCs w:val="24"/>
        </w:rPr>
        <w:t xml:space="preserve"> změny těchto prediktorů na oba zkoumané homeostatické indexy</w:t>
      </w:r>
      <w:r w:rsidR="002801C2">
        <w:rPr>
          <w:rFonts w:ascii="Times New Roman" w:hAnsi="Times New Roman" w:cs="Times New Roman"/>
          <w:sz w:val="24"/>
          <w:szCs w:val="24"/>
        </w:rPr>
        <w:t xml:space="preserve"> (tab.</w:t>
      </w:r>
      <w:r w:rsidRPr="000D096C">
        <w:rPr>
          <w:rFonts w:ascii="Times New Roman" w:hAnsi="Times New Roman" w:cs="Times New Roman"/>
          <w:sz w:val="24"/>
          <w:szCs w:val="24"/>
        </w:rPr>
        <w:t xml:space="preserve"> </w:t>
      </w:r>
      <w:r w:rsidR="0027702E" w:rsidRPr="000D096C">
        <w:rPr>
          <w:rFonts w:ascii="Times New Roman" w:hAnsi="Times New Roman" w:cs="Times New Roman"/>
          <w:sz w:val="24"/>
          <w:szCs w:val="24"/>
        </w:rPr>
        <w:t>4</w:t>
      </w:r>
      <w:r w:rsidRPr="000D096C">
        <w:rPr>
          <w:rFonts w:ascii="Times New Roman" w:hAnsi="Times New Roman" w:cs="Times New Roman"/>
          <w:sz w:val="24"/>
          <w:szCs w:val="24"/>
        </w:rPr>
        <w:t>).  V případě HOMA-IR bylo dosaženo statisticky významných výsledků pro jeho vztah s OP, ALT a systolický</w:t>
      </w:r>
      <w:r w:rsidR="00A15066" w:rsidRPr="000D096C">
        <w:rPr>
          <w:rFonts w:ascii="Times New Roman" w:hAnsi="Times New Roman" w:cs="Times New Roman"/>
          <w:sz w:val="24"/>
          <w:szCs w:val="24"/>
        </w:rPr>
        <w:t>m TK</w:t>
      </w:r>
      <w:r w:rsidRPr="000D096C">
        <w:rPr>
          <w:rFonts w:ascii="Times New Roman" w:hAnsi="Times New Roman" w:cs="Times New Roman"/>
          <w:sz w:val="24"/>
          <w:szCs w:val="24"/>
        </w:rPr>
        <w:t>. Rovněž pro index HOMA-β se jako statisticky významný prediktor ukázal OP a ALT a na rozdíl od indexu HOMA-IR byl statisticky významný i</w:t>
      </w:r>
      <w:r w:rsidR="00BB3FFF">
        <w:rPr>
          <w:rFonts w:ascii="Times New Roman" w:hAnsi="Times New Roman" w:cs="Times New Roman"/>
          <w:sz w:val="24"/>
          <w:szCs w:val="24"/>
        </w:rPr>
        <w:t> </w:t>
      </w:r>
      <w:r w:rsidRPr="000D096C">
        <w:rPr>
          <w:rFonts w:ascii="Times New Roman" w:hAnsi="Times New Roman" w:cs="Times New Roman"/>
          <w:sz w:val="24"/>
          <w:szCs w:val="24"/>
        </w:rPr>
        <w:t xml:space="preserve">výsledek pro jeho inverzní závislost na věku. Pro oba homeostatické indexy byla významným prediktorem přítomnost MetS. Vzroste-li tedy například OP o jednotku, vzroste HOMA-IR průměrně o </w:t>
      </w:r>
      <w:r w:rsidR="00AF72D1" w:rsidRPr="000D096C">
        <w:rPr>
          <w:rFonts w:ascii="Times New Roman" w:hAnsi="Times New Roman" w:cs="Times New Roman"/>
          <w:sz w:val="24"/>
          <w:szCs w:val="24"/>
        </w:rPr>
        <w:t>0,1 (p &lt; 0,001) a HOMA-β</w:t>
      </w:r>
      <w:r w:rsidRPr="000D096C">
        <w:rPr>
          <w:rFonts w:ascii="Times New Roman" w:hAnsi="Times New Roman" w:cs="Times New Roman"/>
          <w:sz w:val="24"/>
          <w:szCs w:val="24"/>
        </w:rPr>
        <w:t xml:space="preserve"> o 1,97 (p = 0,032). Stoupne-li ALT o</w:t>
      </w:r>
      <w:r w:rsidR="00BB3FFF">
        <w:rPr>
          <w:rFonts w:ascii="Times New Roman" w:hAnsi="Times New Roman" w:cs="Times New Roman"/>
          <w:sz w:val="24"/>
          <w:szCs w:val="24"/>
        </w:rPr>
        <w:t> </w:t>
      </w:r>
      <w:r w:rsidRPr="000D096C">
        <w:rPr>
          <w:rFonts w:ascii="Times New Roman" w:hAnsi="Times New Roman" w:cs="Times New Roman"/>
          <w:sz w:val="24"/>
          <w:szCs w:val="24"/>
        </w:rPr>
        <w:t>jednotku, HOMA-IR se zvětší o 2,28 (p &lt; 0,001) a HOMA-β o 99,49 (p = 0,004). S každým rokem věku klesne HOMA-β průměrně o 1,31 (p = 0,004).</w:t>
      </w:r>
    </w:p>
    <w:p w:rsidR="00267EF1" w:rsidRDefault="00267EF1">
      <w:pPr>
        <w:rPr>
          <w:rFonts w:ascii="Times New Roman" w:hAnsi="Times New Roman" w:cs="Times New Roman"/>
          <w:sz w:val="24"/>
          <w:szCs w:val="24"/>
        </w:rPr>
      </w:pPr>
      <w:r>
        <w:rPr>
          <w:rFonts w:ascii="Times New Roman" w:hAnsi="Times New Roman" w:cs="Times New Roman"/>
          <w:sz w:val="24"/>
          <w:szCs w:val="24"/>
        </w:rPr>
        <w:br w:type="page"/>
      </w:r>
    </w:p>
    <w:p w:rsidR="007E230E" w:rsidRPr="000D096C" w:rsidRDefault="0027702E" w:rsidP="002F1555">
      <w:pPr>
        <w:pStyle w:val="Bezmezer"/>
        <w:spacing w:after="240" w:line="360" w:lineRule="auto"/>
        <w:jc w:val="both"/>
        <w:rPr>
          <w:rFonts w:ascii="Times New Roman" w:hAnsi="Times New Roman" w:cs="Times New Roman"/>
          <w:b/>
          <w:sz w:val="24"/>
          <w:szCs w:val="24"/>
        </w:rPr>
      </w:pPr>
      <w:r w:rsidRPr="000D096C">
        <w:rPr>
          <w:rFonts w:ascii="Times New Roman" w:hAnsi="Times New Roman" w:cs="Times New Roman"/>
          <w:b/>
          <w:sz w:val="24"/>
          <w:szCs w:val="24"/>
        </w:rPr>
        <w:lastRenderedPageBreak/>
        <w:t>Tabulka 4</w:t>
      </w:r>
      <w:r w:rsidR="007E230E" w:rsidRPr="000D096C">
        <w:rPr>
          <w:rFonts w:ascii="Times New Roman" w:hAnsi="Times New Roman" w:cs="Times New Roman"/>
          <w:b/>
          <w:sz w:val="24"/>
          <w:szCs w:val="24"/>
        </w:rPr>
        <w:t xml:space="preserve">. </w:t>
      </w:r>
      <w:r w:rsidR="00AF72D1" w:rsidRPr="000D096C">
        <w:rPr>
          <w:rFonts w:ascii="Times New Roman" w:hAnsi="Times New Roman" w:cs="Times New Roman"/>
          <w:sz w:val="24"/>
          <w:szCs w:val="24"/>
        </w:rPr>
        <w:t>Efekt jednotkové změny</w:t>
      </w:r>
      <w:r w:rsidR="007E230E" w:rsidRPr="000D096C">
        <w:rPr>
          <w:rFonts w:ascii="Times New Roman" w:hAnsi="Times New Roman" w:cs="Times New Roman"/>
          <w:sz w:val="24"/>
          <w:szCs w:val="24"/>
        </w:rPr>
        <w:t xml:space="preserve"> nezávisle proměnných na závisle proměnné HOMA-IR a</w:t>
      </w:r>
      <w:r w:rsidR="00BB3FFF">
        <w:rPr>
          <w:rFonts w:ascii="Times New Roman" w:hAnsi="Times New Roman" w:cs="Times New Roman"/>
          <w:sz w:val="24"/>
          <w:szCs w:val="24"/>
        </w:rPr>
        <w:t> </w:t>
      </w:r>
      <w:r w:rsidR="007E230E" w:rsidRPr="000D096C">
        <w:rPr>
          <w:rFonts w:ascii="Times New Roman" w:hAnsi="Times New Roman" w:cs="Times New Roman"/>
          <w:sz w:val="24"/>
          <w:szCs w:val="24"/>
        </w:rPr>
        <w:t>HOMA-β</w:t>
      </w:r>
    </w:p>
    <w:tbl>
      <w:tblPr>
        <w:tblStyle w:val="Mkatabulky"/>
        <w:tblW w:w="9322" w:type="dxa"/>
        <w:tblLayout w:type="fixed"/>
        <w:tblLook w:val="04A0" w:firstRow="1" w:lastRow="0" w:firstColumn="1" w:lastColumn="0" w:noHBand="0" w:noVBand="1"/>
      </w:tblPr>
      <w:tblGrid>
        <w:gridCol w:w="1384"/>
        <w:gridCol w:w="992"/>
        <w:gridCol w:w="993"/>
        <w:gridCol w:w="992"/>
        <w:gridCol w:w="992"/>
        <w:gridCol w:w="992"/>
        <w:gridCol w:w="993"/>
        <w:gridCol w:w="992"/>
        <w:gridCol w:w="992"/>
      </w:tblGrid>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Nezávisle proměnné</w:t>
            </w:r>
          </w:p>
        </w:tc>
        <w:tc>
          <w:tcPr>
            <w:tcW w:w="1985" w:type="dxa"/>
            <w:gridSpan w:val="2"/>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Lineární koeficient (β)</w:t>
            </w:r>
          </w:p>
        </w:tc>
        <w:tc>
          <w:tcPr>
            <w:tcW w:w="1984" w:type="dxa"/>
            <w:gridSpan w:val="2"/>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Standardní odchylka</w:t>
            </w:r>
          </w:p>
        </w:tc>
        <w:tc>
          <w:tcPr>
            <w:tcW w:w="1985" w:type="dxa"/>
            <w:gridSpan w:val="2"/>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t-hodnota</w:t>
            </w:r>
          </w:p>
        </w:tc>
        <w:tc>
          <w:tcPr>
            <w:tcW w:w="1984" w:type="dxa"/>
            <w:gridSpan w:val="2"/>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p-hodnota</w:t>
            </w:r>
          </w:p>
        </w:tc>
      </w:tr>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p>
        </w:tc>
        <w:tc>
          <w:tcPr>
            <w:tcW w:w="992" w:type="dxa"/>
          </w:tcPr>
          <w:p w:rsidR="007E230E" w:rsidRPr="000D096C" w:rsidRDefault="007E230E"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HOMA-IR</w:t>
            </w:r>
          </w:p>
        </w:tc>
        <w:tc>
          <w:tcPr>
            <w:tcW w:w="993" w:type="dxa"/>
          </w:tcPr>
          <w:p w:rsidR="007E230E" w:rsidRPr="000D096C" w:rsidRDefault="007E230E"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HOMA-β</w:t>
            </w:r>
          </w:p>
        </w:tc>
        <w:tc>
          <w:tcPr>
            <w:tcW w:w="992" w:type="dxa"/>
          </w:tcPr>
          <w:p w:rsidR="007E230E" w:rsidRPr="000D096C" w:rsidRDefault="007E230E"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HOMA-IR</w:t>
            </w:r>
          </w:p>
        </w:tc>
        <w:tc>
          <w:tcPr>
            <w:tcW w:w="992" w:type="dxa"/>
          </w:tcPr>
          <w:p w:rsidR="007E230E" w:rsidRPr="000D096C" w:rsidRDefault="007E230E"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HOMA-β</w:t>
            </w:r>
          </w:p>
        </w:tc>
        <w:tc>
          <w:tcPr>
            <w:tcW w:w="992" w:type="dxa"/>
          </w:tcPr>
          <w:p w:rsidR="007E230E" w:rsidRPr="000D096C" w:rsidRDefault="007E230E"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HOMA-IR</w:t>
            </w:r>
          </w:p>
        </w:tc>
        <w:tc>
          <w:tcPr>
            <w:tcW w:w="993" w:type="dxa"/>
          </w:tcPr>
          <w:p w:rsidR="007E230E" w:rsidRPr="000D096C" w:rsidRDefault="007E230E"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HOMA-β</w:t>
            </w:r>
          </w:p>
        </w:tc>
        <w:tc>
          <w:tcPr>
            <w:tcW w:w="992" w:type="dxa"/>
          </w:tcPr>
          <w:p w:rsidR="007E230E" w:rsidRPr="000D096C" w:rsidRDefault="007E230E"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HOMA-IR</w:t>
            </w:r>
          </w:p>
        </w:tc>
        <w:tc>
          <w:tcPr>
            <w:tcW w:w="992" w:type="dxa"/>
          </w:tcPr>
          <w:p w:rsidR="007E230E" w:rsidRPr="000D096C" w:rsidRDefault="007E230E"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HOMA-β</w:t>
            </w:r>
          </w:p>
        </w:tc>
      </w:tr>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i/>
                <w:sz w:val="24"/>
                <w:szCs w:val="24"/>
              </w:rPr>
            </w:pPr>
            <w:r w:rsidRPr="000D096C">
              <w:rPr>
                <w:rFonts w:ascii="Times New Roman" w:hAnsi="Times New Roman" w:cs="Times New Roman"/>
                <w:b/>
                <w:i/>
                <w:sz w:val="24"/>
                <w:szCs w:val="24"/>
              </w:rPr>
              <w:t>Intercept</w:t>
            </w:r>
          </w:p>
        </w:tc>
        <w:tc>
          <w:tcPr>
            <w:tcW w:w="992" w:type="dxa"/>
          </w:tcPr>
          <w:p w:rsidR="007E230E" w:rsidRPr="000D096C" w:rsidRDefault="007E230E" w:rsidP="004567D5">
            <w:pPr>
              <w:pStyle w:val="Bezmezer"/>
              <w:spacing w:line="360" w:lineRule="auto"/>
              <w:rPr>
                <w:rFonts w:ascii="Times New Roman" w:hAnsi="Times New Roman" w:cs="Times New Roman"/>
                <w:i/>
                <w:sz w:val="24"/>
                <w:szCs w:val="24"/>
              </w:rPr>
            </w:pPr>
            <w:r w:rsidRPr="000D096C">
              <w:rPr>
                <w:rFonts w:ascii="Times New Roman" w:hAnsi="Times New Roman" w:cs="Times New Roman"/>
                <w:i/>
                <w:sz w:val="24"/>
                <w:szCs w:val="24"/>
              </w:rPr>
              <w:t>-10,44</w:t>
            </w:r>
          </w:p>
        </w:tc>
        <w:tc>
          <w:tcPr>
            <w:tcW w:w="993" w:type="dxa"/>
          </w:tcPr>
          <w:p w:rsidR="007E230E" w:rsidRPr="000D096C" w:rsidRDefault="007E230E" w:rsidP="004567D5">
            <w:pPr>
              <w:pStyle w:val="Bezmezer"/>
              <w:spacing w:line="360" w:lineRule="auto"/>
              <w:rPr>
                <w:rFonts w:ascii="Times New Roman" w:hAnsi="Times New Roman" w:cs="Times New Roman"/>
                <w:i/>
                <w:sz w:val="24"/>
                <w:szCs w:val="24"/>
              </w:rPr>
            </w:pPr>
            <w:r w:rsidRPr="000D096C">
              <w:rPr>
                <w:rFonts w:ascii="Times New Roman" w:hAnsi="Times New Roman" w:cs="Times New Roman"/>
                <w:i/>
                <w:sz w:val="24"/>
                <w:szCs w:val="24"/>
              </w:rPr>
              <w:t>-147,1</w:t>
            </w:r>
          </w:p>
        </w:tc>
        <w:tc>
          <w:tcPr>
            <w:tcW w:w="992" w:type="dxa"/>
          </w:tcPr>
          <w:p w:rsidR="007E230E" w:rsidRPr="000D096C" w:rsidRDefault="007E230E" w:rsidP="004567D5">
            <w:pPr>
              <w:pStyle w:val="Bezmezer"/>
              <w:spacing w:line="360" w:lineRule="auto"/>
              <w:rPr>
                <w:rFonts w:ascii="Times New Roman" w:hAnsi="Times New Roman" w:cs="Times New Roman"/>
                <w:i/>
                <w:sz w:val="24"/>
                <w:szCs w:val="24"/>
              </w:rPr>
            </w:pPr>
            <w:r w:rsidRPr="000D096C">
              <w:rPr>
                <w:rFonts w:ascii="Times New Roman" w:hAnsi="Times New Roman" w:cs="Times New Roman"/>
                <w:i/>
                <w:sz w:val="24"/>
                <w:szCs w:val="24"/>
              </w:rPr>
              <w:t>1,34</w:t>
            </w:r>
          </w:p>
        </w:tc>
        <w:tc>
          <w:tcPr>
            <w:tcW w:w="992" w:type="dxa"/>
          </w:tcPr>
          <w:p w:rsidR="007E230E" w:rsidRPr="000D096C" w:rsidRDefault="007E230E" w:rsidP="004567D5">
            <w:pPr>
              <w:pStyle w:val="Bezmezer"/>
              <w:spacing w:line="360" w:lineRule="auto"/>
              <w:rPr>
                <w:rFonts w:ascii="Times New Roman" w:hAnsi="Times New Roman" w:cs="Times New Roman"/>
                <w:i/>
                <w:sz w:val="24"/>
                <w:szCs w:val="24"/>
              </w:rPr>
            </w:pPr>
            <w:r w:rsidRPr="000D096C">
              <w:rPr>
                <w:rFonts w:ascii="Times New Roman" w:hAnsi="Times New Roman" w:cs="Times New Roman"/>
                <w:i/>
                <w:sz w:val="24"/>
                <w:szCs w:val="24"/>
              </w:rPr>
              <w:t>81,11</w:t>
            </w:r>
          </w:p>
        </w:tc>
        <w:tc>
          <w:tcPr>
            <w:tcW w:w="992" w:type="dxa"/>
          </w:tcPr>
          <w:p w:rsidR="007E230E" w:rsidRPr="000D096C" w:rsidRDefault="007E230E" w:rsidP="004567D5">
            <w:pPr>
              <w:pStyle w:val="Bezmezer"/>
              <w:spacing w:line="360" w:lineRule="auto"/>
              <w:rPr>
                <w:rFonts w:ascii="Times New Roman" w:hAnsi="Times New Roman" w:cs="Times New Roman"/>
                <w:i/>
                <w:sz w:val="24"/>
                <w:szCs w:val="24"/>
              </w:rPr>
            </w:pPr>
            <w:r w:rsidRPr="000D096C">
              <w:rPr>
                <w:rFonts w:ascii="Times New Roman" w:hAnsi="Times New Roman" w:cs="Times New Roman"/>
                <w:i/>
                <w:sz w:val="24"/>
                <w:szCs w:val="24"/>
              </w:rPr>
              <w:t>-7,81</w:t>
            </w:r>
          </w:p>
        </w:tc>
        <w:tc>
          <w:tcPr>
            <w:tcW w:w="993" w:type="dxa"/>
          </w:tcPr>
          <w:p w:rsidR="007E230E" w:rsidRPr="000D096C" w:rsidRDefault="007E230E" w:rsidP="004567D5">
            <w:pPr>
              <w:pStyle w:val="Bezmezer"/>
              <w:spacing w:line="360" w:lineRule="auto"/>
              <w:rPr>
                <w:rFonts w:ascii="Times New Roman" w:hAnsi="Times New Roman" w:cs="Times New Roman"/>
                <w:i/>
                <w:sz w:val="24"/>
                <w:szCs w:val="24"/>
              </w:rPr>
            </w:pPr>
            <w:r w:rsidRPr="000D096C">
              <w:rPr>
                <w:rFonts w:ascii="Times New Roman" w:hAnsi="Times New Roman" w:cs="Times New Roman"/>
                <w:i/>
                <w:sz w:val="24"/>
                <w:szCs w:val="24"/>
              </w:rPr>
              <w:t>-1,81</w:t>
            </w:r>
          </w:p>
        </w:tc>
        <w:tc>
          <w:tcPr>
            <w:tcW w:w="992" w:type="dxa"/>
          </w:tcPr>
          <w:p w:rsidR="007E230E" w:rsidRPr="000D096C" w:rsidRDefault="007E230E" w:rsidP="004567D5">
            <w:pPr>
              <w:pStyle w:val="Bezmezer"/>
              <w:spacing w:line="360" w:lineRule="auto"/>
              <w:rPr>
                <w:rFonts w:ascii="Times New Roman" w:hAnsi="Times New Roman" w:cs="Times New Roman"/>
                <w:i/>
                <w:sz w:val="24"/>
                <w:szCs w:val="24"/>
              </w:rPr>
            </w:pPr>
            <w:r w:rsidRPr="000D096C">
              <w:rPr>
                <w:rFonts w:ascii="Times New Roman" w:hAnsi="Times New Roman" w:cs="Times New Roman"/>
                <w:i/>
                <w:sz w:val="24"/>
                <w:szCs w:val="24"/>
              </w:rPr>
              <w:t>&lt;0,001</w:t>
            </w:r>
          </w:p>
        </w:tc>
        <w:tc>
          <w:tcPr>
            <w:tcW w:w="992" w:type="dxa"/>
          </w:tcPr>
          <w:p w:rsidR="007E230E" w:rsidRPr="000D096C" w:rsidRDefault="007E230E" w:rsidP="004567D5">
            <w:pPr>
              <w:pStyle w:val="Bezmezer"/>
              <w:spacing w:line="360" w:lineRule="auto"/>
              <w:rPr>
                <w:rFonts w:ascii="Times New Roman" w:hAnsi="Times New Roman" w:cs="Times New Roman"/>
                <w:i/>
                <w:sz w:val="24"/>
                <w:szCs w:val="24"/>
              </w:rPr>
            </w:pPr>
            <w:r w:rsidRPr="000D096C">
              <w:rPr>
                <w:rFonts w:ascii="Times New Roman" w:hAnsi="Times New Roman" w:cs="Times New Roman"/>
                <w:i/>
                <w:sz w:val="24"/>
                <w:szCs w:val="24"/>
              </w:rPr>
              <w:t>0,071</w:t>
            </w:r>
          </w:p>
        </w:tc>
      </w:tr>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M</w:t>
            </w:r>
            <w:r w:rsidR="0089478E" w:rsidRPr="000D096C">
              <w:rPr>
                <w:rFonts w:ascii="Times New Roman" w:hAnsi="Times New Roman" w:cs="Times New Roman"/>
                <w:b/>
                <w:sz w:val="24"/>
                <w:szCs w:val="24"/>
              </w:rPr>
              <w:t>et</w:t>
            </w:r>
            <w:r w:rsidRPr="000D096C">
              <w:rPr>
                <w:rFonts w:ascii="Times New Roman" w:hAnsi="Times New Roman" w:cs="Times New Roman"/>
                <w:b/>
                <w:sz w:val="24"/>
                <w:szCs w:val="24"/>
              </w:rPr>
              <w:t>S+</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0,73</w:t>
            </w:r>
          </w:p>
        </w:tc>
        <w:tc>
          <w:tcPr>
            <w:tcW w:w="993"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-43,92</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0,28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17,26</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2,58</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-2,55</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0,010</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0,011</w:t>
            </w:r>
          </w:p>
        </w:tc>
      </w:tr>
      <w:tr w:rsidR="00A239A3" w:rsidRPr="000D096C" w:rsidTr="00FA5D93">
        <w:tc>
          <w:tcPr>
            <w:tcW w:w="1384" w:type="dxa"/>
          </w:tcPr>
          <w:p w:rsidR="007E230E" w:rsidRPr="000D096C" w:rsidRDefault="0089478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Věk</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-0,02</w:t>
            </w:r>
          </w:p>
        </w:tc>
        <w:tc>
          <w:tcPr>
            <w:tcW w:w="993"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-1,31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0,45</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-1,47</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-2,9</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0,139</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0,004</w:t>
            </w:r>
          </w:p>
        </w:tc>
      </w:tr>
      <w:tr w:rsidR="00A239A3" w:rsidRPr="000D096C" w:rsidTr="00FA5D93">
        <w:tc>
          <w:tcPr>
            <w:tcW w:w="1384" w:type="dxa"/>
          </w:tcPr>
          <w:p w:rsidR="007E230E" w:rsidRPr="000D096C" w:rsidRDefault="0089478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OP</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0,10</w:t>
            </w:r>
          </w:p>
        </w:tc>
        <w:tc>
          <w:tcPr>
            <w:tcW w:w="993"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1,97</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0,02</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0,91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6,34</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2,16</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&lt;0,001</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0,032</w:t>
            </w:r>
          </w:p>
        </w:tc>
      </w:tr>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BMI</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-0,06</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-0,04</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0,04</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2,47</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-1,45</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-0,02</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0,147</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0,990</w:t>
            </w:r>
          </w:p>
        </w:tc>
      </w:tr>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T</w:t>
            </w:r>
            <w:r w:rsidR="0089478E" w:rsidRPr="000D096C">
              <w:rPr>
                <w:rFonts w:ascii="Times New Roman" w:hAnsi="Times New Roman" w:cs="Times New Roman"/>
                <w:b/>
                <w:sz w:val="24"/>
                <w:szCs w:val="24"/>
              </w:rPr>
              <w:t>C</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-0,21</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5,88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0,25</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15,05</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-0,84</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0,39</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0,402</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0,696</w:t>
            </w:r>
          </w:p>
        </w:tc>
      </w:tr>
      <w:tr w:rsidR="00A239A3" w:rsidRPr="000D096C" w:rsidTr="00FA5D93">
        <w:tc>
          <w:tcPr>
            <w:tcW w:w="1384" w:type="dxa"/>
          </w:tcPr>
          <w:p w:rsidR="007E230E" w:rsidRPr="000D096C" w:rsidRDefault="00EA0A4A" w:rsidP="004567D5">
            <w:pPr>
              <w:pStyle w:val="Bezmezer"/>
              <w:spacing w:line="360" w:lineRule="auto"/>
              <w:jc w:val="both"/>
              <w:rPr>
                <w:rFonts w:ascii="Times New Roman" w:hAnsi="Times New Roman" w:cs="Times New Roman"/>
                <w:b/>
                <w:sz w:val="24"/>
                <w:szCs w:val="24"/>
              </w:rPr>
            </w:pPr>
            <w:r>
              <w:rPr>
                <w:rFonts w:ascii="Times New Roman" w:hAnsi="Times New Roman" w:cs="Times New Roman"/>
                <w:b/>
                <w:sz w:val="24"/>
                <w:szCs w:val="24"/>
              </w:rPr>
              <w:t>HDL</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-1,05</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31,78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0,58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35,28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-1,82</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0,90</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0,070</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0,368</w:t>
            </w:r>
          </w:p>
        </w:tc>
      </w:tr>
      <w:tr w:rsidR="00A239A3" w:rsidRPr="000D096C" w:rsidTr="00FA5D93">
        <w:tc>
          <w:tcPr>
            <w:tcW w:w="1384" w:type="dxa"/>
          </w:tcPr>
          <w:p w:rsidR="007E230E" w:rsidRPr="000D096C" w:rsidRDefault="00EA0A4A" w:rsidP="004567D5">
            <w:pPr>
              <w:pStyle w:val="Bezmezer"/>
              <w:spacing w:line="360" w:lineRule="auto"/>
              <w:jc w:val="both"/>
              <w:rPr>
                <w:rFonts w:ascii="Times New Roman" w:hAnsi="Times New Roman" w:cs="Times New Roman"/>
                <w:b/>
                <w:sz w:val="24"/>
                <w:szCs w:val="24"/>
              </w:rPr>
            </w:pPr>
            <w:r>
              <w:rPr>
                <w:rFonts w:ascii="Times New Roman" w:hAnsi="Times New Roman" w:cs="Times New Roman"/>
                <w:b/>
                <w:sz w:val="24"/>
                <w:szCs w:val="24"/>
              </w:rPr>
              <w:t>LDL</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0,38</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-4,73</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0,26</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15,51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1,50</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0,135</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0,761</w:t>
            </w:r>
          </w:p>
        </w:tc>
      </w:tr>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T</w:t>
            </w:r>
            <w:r w:rsidR="0089478E" w:rsidRPr="000D096C">
              <w:rPr>
                <w:rFonts w:ascii="Times New Roman" w:hAnsi="Times New Roman" w:cs="Times New Roman"/>
                <w:b/>
                <w:sz w:val="24"/>
                <w:szCs w:val="24"/>
              </w:rPr>
              <w:t>AG</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-0,15</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-14,17</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0,33</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19,81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-0,45</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-0,72</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0,651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0,475</w:t>
            </w:r>
          </w:p>
        </w:tc>
      </w:tr>
      <w:tr w:rsidR="00A239A3" w:rsidRPr="000D096C" w:rsidTr="00FA5D93">
        <w:tc>
          <w:tcPr>
            <w:tcW w:w="1384" w:type="dxa"/>
          </w:tcPr>
          <w:p w:rsidR="007E230E" w:rsidRPr="000D096C" w:rsidRDefault="0089478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KM</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-0,01</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0,10</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0,10</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-1,18</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0,99</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0,239</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0,321</w:t>
            </w:r>
          </w:p>
        </w:tc>
      </w:tr>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ALT</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2,28</w:t>
            </w:r>
          </w:p>
        </w:tc>
        <w:tc>
          <w:tcPr>
            <w:tcW w:w="993"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99,49</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0,57</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34,54</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4,02</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2,88</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&lt;0,001</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0,004</w:t>
            </w:r>
          </w:p>
        </w:tc>
      </w:tr>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AST</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0,12</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-46,93</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0,91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55,42</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0,14</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-0,85</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0,888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0,398</w:t>
            </w:r>
          </w:p>
        </w:tc>
      </w:tr>
      <w:tr w:rsidR="00A239A3" w:rsidRPr="000D096C" w:rsidTr="00FA5D93">
        <w:tc>
          <w:tcPr>
            <w:tcW w:w="1384" w:type="dxa"/>
          </w:tcPr>
          <w:p w:rsidR="007E230E" w:rsidRPr="000D096C" w:rsidRDefault="0089478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Systolický TK</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0,04</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0,64</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3,69</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-0,49</w:t>
            </w:r>
          </w:p>
        </w:tc>
        <w:tc>
          <w:tcPr>
            <w:tcW w:w="992" w:type="dxa"/>
          </w:tcPr>
          <w:p w:rsidR="007E230E" w:rsidRPr="000D096C" w:rsidRDefault="007E230E" w:rsidP="004567D5">
            <w:pPr>
              <w:pStyle w:val="Bezmezer"/>
              <w:spacing w:line="360" w:lineRule="auto"/>
              <w:rPr>
                <w:rFonts w:ascii="Times New Roman" w:hAnsi="Times New Roman" w:cs="Times New Roman"/>
                <w:b/>
                <w:sz w:val="24"/>
                <w:szCs w:val="24"/>
              </w:rPr>
            </w:pPr>
            <w:r w:rsidRPr="000D096C">
              <w:rPr>
                <w:rFonts w:ascii="Times New Roman" w:hAnsi="Times New Roman" w:cs="Times New Roman"/>
                <w:b/>
                <w:sz w:val="24"/>
                <w:szCs w:val="24"/>
              </w:rPr>
              <w:t>&lt;0,001</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0,628</w:t>
            </w:r>
          </w:p>
        </w:tc>
      </w:tr>
      <w:tr w:rsidR="00A239A3" w:rsidRPr="000D096C" w:rsidTr="00FA5D93">
        <w:tc>
          <w:tcPr>
            <w:tcW w:w="1384" w:type="dxa"/>
          </w:tcPr>
          <w:p w:rsidR="007E230E" w:rsidRPr="000D096C" w:rsidRDefault="0089478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Diastolický TK</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-0,01</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0,72</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0,02</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0,96</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-0,87</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0,75</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0,385</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0,452</w:t>
            </w:r>
          </w:p>
        </w:tc>
      </w:tr>
      <w:tr w:rsidR="00A239A3"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VAI</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0,10</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11,98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0,23</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13,88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0,45</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0,86</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0,656</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0,389</w:t>
            </w:r>
          </w:p>
        </w:tc>
      </w:tr>
      <w:tr w:rsidR="007E230E" w:rsidRPr="000D096C" w:rsidTr="00FA5D93">
        <w:tc>
          <w:tcPr>
            <w:tcW w:w="1384" w:type="dxa"/>
          </w:tcPr>
          <w:p w:rsidR="007E230E" w:rsidRPr="000D096C" w:rsidRDefault="007E230E" w:rsidP="004567D5">
            <w:pPr>
              <w:pStyle w:val="Bezmezer"/>
              <w:spacing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AIP</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0,79</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27,74</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0,96</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58,18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0,83</w:t>
            </w:r>
          </w:p>
        </w:tc>
        <w:tc>
          <w:tcPr>
            <w:tcW w:w="993"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0,48</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0,410</w:t>
            </w:r>
          </w:p>
        </w:tc>
        <w:tc>
          <w:tcPr>
            <w:tcW w:w="992" w:type="dxa"/>
          </w:tcPr>
          <w:p w:rsidR="007E230E" w:rsidRPr="000D096C" w:rsidRDefault="007E230E" w:rsidP="004567D5">
            <w:pPr>
              <w:pStyle w:val="Bezmezer"/>
              <w:spacing w:line="360" w:lineRule="auto"/>
              <w:rPr>
                <w:rFonts w:ascii="Times New Roman" w:hAnsi="Times New Roman" w:cs="Times New Roman"/>
                <w:sz w:val="24"/>
                <w:szCs w:val="24"/>
              </w:rPr>
            </w:pPr>
            <w:r w:rsidRPr="000D096C">
              <w:rPr>
                <w:rFonts w:ascii="Times New Roman" w:hAnsi="Times New Roman" w:cs="Times New Roman"/>
                <w:sz w:val="24"/>
                <w:szCs w:val="24"/>
              </w:rPr>
              <w:t>0,634</w:t>
            </w:r>
          </w:p>
        </w:tc>
      </w:tr>
    </w:tbl>
    <w:p w:rsidR="00881CF4" w:rsidRPr="000D096C" w:rsidRDefault="00881CF4" w:rsidP="004567D5">
      <w:pPr>
        <w:pStyle w:val="Nadpis3"/>
        <w:spacing w:line="360" w:lineRule="auto"/>
        <w:rPr>
          <w:rFonts w:cs="Times New Roman"/>
        </w:rPr>
      </w:pPr>
      <w:bookmarkStart w:id="108" w:name="_Toc33432687"/>
      <w:bookmarkStart w:id="109" w:name="_Toc33432907"/>
      <w:bookmarkStart w:id="110" w:name="_Toc33869546"/>
      <w:r w:rsidRPr="000D096C">
        <w:rPr>
          <w:rFonts w:cs="Times New Roman"/>
        </w:rPr>
        <w:t>Diskuze</w:t>
      </w:r>
      <w:bookmarkEnd w:id="108"/>
      <w:bookmarkEnd w:id="109"/>
      <w:bookmarkEnd w:id="110"/>
    </w:p>
    <w:p w:rsidR="00561023" w:rsidRPr="000D096C" w:rsidRDefault="00561023"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 xml:space="preserve">Dosažené výsledky korelační i regresní analýzy demonstrují silný vztah </w:t>
      </w:r>
      <w:r w:rsidR="00F6287F" w:rsidRPr="000D096C">
        <w:rPr>
          <w:rFonts w:ascii="Times New Roman" w:hAnsi="Times New Roman" w:cs="Times New Roman"/>
          <w:sz w:val="24"/>
          <w:szCs w:val="24"/>
        </w:rPr>
        <w:t>OP a</w:t>
      </w:r>
      <w:r w:rsidR="00762125">
        <w:rPr>
          <w:rFonts w:ascii="Times New Roman" w:hAnsi="Times New Roman" w:cs="Times New Roman"/>
          <w:sz w:val="24"/>
          <w:szCs w:val="24"/>
        </w:rPr>
        <w:t> </w:t>
      </w:r>
      <w:r w:rsidR="00F6287F" w:rsidRPr="000D096C">
        <w:rPr>
          <w:rFonts w:ascii="Times New Roman" w:hAnsi="Times New Roman" w:cs="Times New Roman"/>
          <w:sz w:val="24"/>
          <w:szCs w:val="24"/>
        </w:rPr>
        <w:t>markerů IR</w:t>
      </w:r>
      <w:r w:rsidRPr="000D096C">
        <w:rPr>
          <w:rFonts w:ascii="Times New Roman" w:hAnsi="Times New Roman" w:cs="Times New Roman"/>
          <w:sz w:val="24"/>
          <w:szCs w:val="24"/>
        </w:rPr>
        <w:t>. Stejného výsledku regresní analýzy však nebylo dosaženo v případě BMI. Schopnost OP predikovat IR může být užitečnou skutečností zejména z pohledu lékaře primární zdravotní péče, vezmeme-li v úvah</w:t>
      </w:r>
      <w:r w:rsidR="00F6287F" w:rsidRPr="000D096C">
        <w:rPr>
          <w:rFonts w:ascii="Times New Roman" w:hAnsi="Times New Roman" w:cs="Times New Roman"/>
          <w:sz w:val="24"/>
          <w:szCs w:val="24"/>
        </w:rPr>
        <w:t>u naprostou nenáročnost jeho měření</w:t>
      </w:r>
      <w:r w:rsidRPr="000D096C">
        <w:rPr>
          <w:rFonts w:ascii="Times New Roman" w:hAnsi="Times New Roman" w:cs="Times New Roman"/>
          <w:sz w:val="24"/>
          <w:szCs w:val="24"/>
        </w:rPr>
        <w:t>. Naše výsledky jsou ve shodě se závě</w:t>
      </w:r>
      <w:r w:rsidR="0011005D" w:rsidRPr="000D096C">
        <w:rPr>
          <w:rFonts w:ascii="Times New Roman" w:hAnsi="Times New Roman" w:cs="Times New Roman"/>
          <w:sz w:val="24"/>
          <w:szCs w:val="24"/>
        </w:rPr>
        <w:t>rem průřezové studie Huang a kol</w:t>
      </w:r>
      <w:r w:rsidRPr="000D096C">
        <w:rPr>
          <w:rFonts w:ascii="Times New Roman" w:hAnsi="Times New Roman" w:cs="Times New Roman"/>
          <w:sz w:val="24"/>
          <w:szCs w:val="24"/>
        </w:rPr>
        <w:t xml:space="preserve">., která na souboru 144 jedinců s T2DM pomocí regresní analýzy vyhodnotila OP na rozdíl od BMI jako </w:t>
      </w:r>
      <w:r w:rsidRPr="000D096C">
        <w:rPr>
          <w:rFonts w:ascii="Times New Roman" w:hAnsi="Times New Roman" w:cs="Times New Roman"/>
          <w:sz w:val="24"/>
          <w:szCs w:val="24"/>
        </w:rPr>
        <w:lastRenderedPageBreak/>
        <w:t>statisticky významný prediktor HOMA-IR</w:t>
      </w:r>
      <w:r w:rsidR="003F77A7">
        <w:rPr>
          <w:rFonts w:ascii="Times New Roman" w:hAnsi="Times New Roman" w:cs="Times New Roman"/>
          <w:sz w:val="24"/>
          <w:szCs w:val="24"/>
        </w:rPr>
        <w:t xml:space="preserve"> [10</w:t>
      </w:r>
      <w:r w:rsidR="00CD78C3">
        <w:rPr>
          <w:rFonts w:ascii="Times New Roman" w:hAnsi="Times New Roman" w:cs="Times New Roman"/>
          <w:sz w:val="24"/>
          <w:szCs w:val="24"/>
        </w:rPr>
        <w:t>8</w:t>
      </w:r>
      <w:r w:rsidR="009E719F" w:rsidRPr="000D096C">
        <w:rPr>
          <w:rFonts w:ascii="Times New Roman" w:hAnsi="Times New Roman" w:cs="Times New Roman"/>
          <w:sz w:val="24"/>
          <w:szCs w:val="24"/>
        </w:rPr>
        <w:t xml:space="preserve">]. </w:t>
      </w:r>
      <w:r w:rsidR="00792841" w:rsidRPr="000D096C">
        <w:rPr>
          <w:rFonts w:ascii="Times New Roman" w:hAnsi="Times New Roman" w:cs="Times New Roman"/>
          <w:sz w:val="24"/>
          <w:szCs w:val="24"/>
        </w:rPr>
        <w:t>Z dosažených výsledků vyplývá, že silnější a statisticky významnější korelace OP s homeostatickými indexy i samotnou inzulinémií jsou u jedinců s</w:t>
      </w:r>
      <w:r w:rsidR="00F6287F" w:rsidRPr="000D096C">
        <w:rPr>
          <w:rFonts w:ascii="Times New Roman" w:hAnsi="Times New Roman" w:cs="Times New Roman"/>
          <w:sz w:val="24"/>
          <w:szCs w:val="24"/>
        </w:rPr>
        <w:t xml:space="preserve"> přítomným </w:t>
      </w:r>
      <w:r w:rsidR="00792841" w:rsidRPr="000D096C">
        <w:rPr>
          <w:rFonts w:ascii="Times New Roman" w:hAnsi="Times New Roman" w:cs="Times New Roman"/>
          <w:sz w:val="24"/>
          <w:szCs w:val="24"/>
        </w:rPr>
        <w:t>MetS než v případě jeho absence</w:t>
      </w:r>
      <w:r w:rsidR="002801C2">
        <w:rPr>
          <w:rFonts w:ascii="Times New Roman" w:hAnsi="Times New Roman" w:cs="Times New Roman"/>
          <w:sz w:val="24"/>
          <w:szCs w:val="24"/>
        </w:rPr>
        <w:t xml:space="preserve"> (tab.</w:t>
      </w:r>
      <w:r w:rsidR="00C97A52" w:rsidRPr="000D096C">
        <w:rPr>
          <w:rFonts w:ascii="Times New Roman" w:hAnsi="Times New Roman" w:cs="Times New Roman"/>
          <w:sz w:val="24"/>
          <w:szCs w:val="24"/>
        </w:rPr>
        <w:t xml:space="preserve"> </w:t>
      </w:r>
      <w:r w:rsidR="0027702E" w:rsidRPr="000D096C">
        <w:rPr>
          <w:rFonts w:ascii="Times New Roman" w:hAnsi="Times New Roman" w:cs="Times New Roman"/>
          <w:sz w:val="24"/>
          <w:szCs w:val="24"/>
        </w:rPr>
        <w:t>3</w:t>
      </w:r>
      <w:r w:rsidR="002801C2">
        <w:rPr>
          <w:rFonts w:ascii="Times New Roman" w:hAnsi="Times New Roman" w:cs="Times New Roman"/>
          <w:sz w:val="24"/>
          <w:szCs w:val="24"/>
        </w:rPr>
        <w:t>, obr.</w:t>
      </w:r>
      <w:r w:rsidR="00C97A52" w:rsidRPr="000D096C">
        <w:rPr>
          <w:rFonts w:ascii="Times New Roman" w:hAnsi="Times New Roman" w:cs="Times New Roman"/>
          <w:sz w:val="24"/>
          <w:szCs w:val="24"/>
        </w:rPr>
        <w:t xml:space="preserve"> </w:t>
      </w:r>
      <w:r w:rsidR="001B3DEE" w:rsidRPr="000D096C">
        <w:rPr>
          <w:rFonts w:ascii="Times New Roman" w:hAnsi="Times New Roman" w:cs="Times New Roman"/>
          <w:sz w:val="24"/>
          <w:szCs w:val="24"/>
        </w:rPr>
        <w:t>4</w:t>
      </w:r>
      <w:r w:rsidR="00C97A52" w:rsidRPr="000D096C">
        <w:rPr>
          <w:rFonts w:ascii="Times New Roman" w:hAnsi="Times New Roman" w:cs="Times New Roman"/>
          <w:sz w:val="24"/>
          <w:szCs w:val="24"/>
        </w:rPr>
        <w:t>)</w:t>
      </w:r>
      <w:r w:rsidR="00792841" w:rsidRPr="000D096C">
        <w:rPr>
          <w:rFonts w:ascii="Times New Roman" w:hAnsi="Times New Roman" w:cs="Times New Roman"/>
          <w:sz w:val="24"/>
          <w:szCs w:val="24"/>
        </w:rPr>
        <w:t>.</w:t>
      </w:r>
    </w:p>
    <w:p w:rsidR="00561023" w:rsidRPr="000D096C" w:rsidRDefault="00561023"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Jednotné referenční meze pro HOMA</w:t>
      </w:r>
      <w:r w:rsidR="00B03809" w:rsidRPr="000D096C">
        <w:rPr>
          <w:rFonts w:ascii="Times New Roman" w:hAnsi="Times New Roman" w:cs="Times New Roman"/>
          <w:sz w:val="24"/>
          <w:szCs w:val="24"/>
        </w:rPr>
        <w:t>-IR</w:t>
      </w:r>
      <w:r w:rsidRPr="000D096C">
        <w:rPr>
          <w:rFonts w:ascii="Times New Roman" w:hAnsi="Times New Roman" w:cs="Times New Roman"/>
          <w:sz w:val="24"/>
          <w:szCs w:val="24"/>
        </w:rPr>
        <w:t xml:space="preserve"> ne</w:t>
      </w:r>
      <w:r w:rsidR="00B03809" w:rsidRPr="000D096C">
        <w:rPr>
          <w:rFonts w:ascii="Times New Roman" w:hAnsi="Times New Roman" w:cs="Times New Roman"/>
          <w:sz w:val="24"/>
          <w:szCs w:val="24"/>
        </w:rPr>
        <w:t>jsou</w:t>
      </w:r>
      <w:r w:rsidRPr="000D096C">
        <w:rPr>
          <w:rFonts w:ascii="Times New Roman" w:hAnsi="Times New Roman" w:cs="Times New Roman"/>
          <w:sz w:val="24"/>
          <w:szCs w:val="24"/>
        </w:rPr>
        <w:t xml:space="preserve"> definovány. Z práce Tang a kol</w:t>
      </w:r>
      <w:r w:rsidR="009E719F" w:rsidRPr="000D096C">
        <w:rPr>
          <w:rFonts w:ascii="Times New Roman" w:hAnsi="Times New Roman" w:cs="Times New Roman"/>
          <w:sz w:val="24"/>
          <w:szCs w:val="24"/>
        </w:rPr>
        <w:t>.</w:t>
      </w:r>
      <w:r w:rsidRPr="000D096C">
        <w:rPr>
          <w:rFonts w:ascii="Times New Roman" w:hAnsi="Times New Roman" w:cs="Times New Roman"/>
          <w:sz w:val="24"/>
          <w:szCs w:val="24"/>
        </w:rPr>
        <w:t xml:space="preserve"> vyplývá, že hraniční hodnoty HOMA-IR vykazují rozdíly v závislosti na geografické oblasti a</w:t>
      </w:r>
      <w:r w:rsidR="00BB3FFF">
        <w:rPr>
          <w:rFonts w:ascii="Times New Roman" w:hAnsi="Times New Roman" w:cs="Times New Roman"/>
          <w:sz w:val="24"/>
          <w:szCs w:val="24"/>
        </w:rPr>
        <w:t> </w:t>
      </w:r>
      <w:r w:rsidRPr="000D096C">
        <w:rPr>
          <w:rFonts w:ascii="Times New Roman" w:hAnsi="Times New Roman" w:cs="Times New Roman"/>
          <w:sz w:val="24"/>
          <w:szCs w:val="24"/>
        </w:rPr>
        <w:t>konkrétní studované populaci</w:t>
      </w:r>
      <w:r w:rsidR="009E719F" w:rsidRPr="000D096C">
        <w:rPr>
          <w:rFonts w:ascii="Times New Roman" w:hAnsi="Times New Roman" w:cs="Times New Roman"/>
          <w:sz w:val="24"/>
          <w:szCs w:val="24"/>
        </w:rPr>
        <w:t>.</w:t>
      </w:r>
      <w:r w:rsidR="008F3777" w:rsidRPr="000D096C">
        <w:rPr>
          <w:rFonts w:ascii="Times New Roman" w:hAnsi="Times New Roman" w:cs="Times New Roman"/>
          <w:sz w:val="24"/>
          <w:szCs w:val="24"/>
        </w:rPr>
        <w:t xml:space="preserve"> U</w:t>
      </w:r>
      <w:r w:rsidRPr="000D096C">
        <w:rPr>
          <w:rFonts w:ascii="Times New Roman" w:hAnsi="Times New Roman" w:cs="Times New Roman"/>
          <w:sz w:val="24"/>
          <w:szCs w:val="24"/>
        </w:rPr>
        <w:t xml:space="preserve"> různ</w:t>
      </w:r>
      <w:r w:rsidR="008F3777" w:rsidRPr="000D096C">
        <w:rPr>
          <w:rFonts w:ascii="Times New Roman" w:hAnsi="Times New Roman" w:cs="Times New Roman"/>
          <w:sz w:val="24"/>
          <w:szCs w:val="24"/>
        </w:rPr>
        <w:t>ých evropských</w:t>
      </w:r>
      <w:r w:rsidRPr="000D096C">
        <w:rPr>
          <w:rFonts w:ascii="Times New Roman" w:hAnsi="Times New Roman" w:cs="Times New Roman"/>
          <w:sz w:val="24"/>
          <w:szCs w:val="24"/>
        </w:rPr>
        <w:t xml:space="preserve"> </w:t>
      </w:r>
      <w:r w:rsidR="009943E6" w:rsidRPr="000D096C">
        <w:rPr>
          <w:rFonts w:ascii="Times New Roman" w:hAnsi="Times New Roman" w:cs="Times New Roman"/>
          <w:sz w:val="24"/>
          <w:szCs w:val="24"/>
        </w:rPr>
        <w:t>národů je</w:t>
      </w:r>
      <w:r w:rsidRPr="000D096C">
        <w:rPr>
          <w:rFonts w:ascii="Times New Roman" w:hAnsi="Times New Roman" w:cs="Times New Roman"/>
          <w:sz w:val="24"/>
          <w:szCs w:val="24"/>
        </w:rPr>
        <w:t xml:space="preserve"> </w:t>
      </w:r>
      <w:r w:rsidR="009943E6" w:rsidRPr="000D096C">
        <w:rPr>
          <w:rFonts w:ascii="Times New Roman" w:hAnsi="Times New Roman" w:cs="Times New Roman"/>
          <w:sz w:val="24"/>
          <w:szCs w:val="24"/>
        </w:rPr>
        <w:t xml:space="preserve">pro odlišení rozvinuté IR uváděno </w:t>
      </w:r>
      <w:r w:rsidRPr="000D096C">
        <w:rPr>
          <w:rFonts w:ascii="Times New Roman" w:hAnsi="Times New Roman" w:cs="Times New Roman"/>
          <w:sz w:val="24"/>
          <w:szCs w:val="24"/>
        </w:rPr>
        <w:t xml:space="preserve">rozpětí </w:t>
      </w:r>
      <w:r w:rsidR="009943E6" w:rsidRPr="000D096C">
        <w:rPr>
          <w:rFonts w:ascii="Times New Roman" w:hAnsi="Times New Roman" w:cs="Times New Roman"/>
          <w:sz w:val="24"/>
          <w:szCs w:val="24"/>
        </w:rPr>
        <w:t xml:space="preserve">mezních hodnot </w:t>
      </w:r>
      <w:r w:rsidRPr="000D096C">
        <w:rPr>
          <w:rFonts w:ascii="Times New Roman" w:hAnsi="Times New Roman" w:cs="Times New Roman"/>
          <w:sz w:val="24"/>
          <w:szCs w:val="24"/>
        </w:rPr>
        <w:t>HOMA-IR 2,0-3,8</w:t>
      </w:r>
      <w:r w:rsidR="003F77A7">
        <w:rPr>
          <w:rFonts w:ascii="Times New Roman" w:hAnsi="Times New Roman" w:cs="Times New Roman"/>
          <w:sz w:val="24"/>
          <w:szCs w:val="24"/>
        </w:rPr>
        <w:t xml:space="preserve"> [10</w:t>
      </w:r>
      <w:r w:rsidR="00CD78C3">
        <w:rPr>
          <w:rFonts w:ascii="Times New Roman" w:hAnsi="Times New Roman" w:cs="Times New Roman"/>
          <w:sz w:val="24"/>
          <w:szCs w:val="24"/>
        </w:rPr>
        <w:t>9</w:t>
      </w:r>
      <w:r w:rsidR="009E719F" w:rsidRPr="000D096C">
        <w:rPr>
          <w:rFonts w:ascii="Times New Roman" w:hAnsi="Times New Roman" w:cs="Times New Roman"/>
          <w:sz w:val="24"/>
          <w:szCs w:val="24"/>
        </w:rPr>
        <w:t>]</w:t>
      </w:r>
      <w:r w:rsidRPr="000D096C">
        <w:rPr>
          <w:rFonts w:ascii="Times New Roman" w:hAnsi="Times New Roman" w:cs="Times New Roman"/>
          <w:sz w:val="24"/>
          <w:szCs w:val="24"/>
        </w:rPr>
        <w:t>. Námi dosažený průměrný výsledek HOMA-IR 2,72</w:t>
      </w:r>
      <w:r w:rsidR="008F3777" w:rsidRPr="000D096C">
        <w:rPr>
          <w:rFonts w:ascii="Times New Roman" w:hAnsi="Times New Roman" w:cs="Times New Roman"/>
          <w:sz w:val="24"/>
          <w:szCs w:val="24"/>
        </w:rPr>
        <w:t xml:space="preserve"> v MetS skupině se statisticky významně lišil od průměrné hodnoty HOMA-IR</w:t>
      </w:r>
      <w:r w:rsidRPr="000D096C">
        <w:rPr>
          <w:rFonts w:ascii="Times New Roman" w:hAnsi="Times New Roman" w:cs="Times New Roman"/>
          <w:sz w:val="24"/>
          <w:szCs w:val="24"/>
        </w:rPr>
        <w:t xml:space="preserve"> </w:t>
      </w:r>
      <w:r w:rsidR="008F3777" w:rsidRPr="000D096C">
        <w:rPr>
          <w:rFonts w:ascii="Times New Roman" w:hAnsi="Times New Roman" w:cs="Times New Roman"/>
          <w:sz w:val="24"/>
          <w:szCs w:val="24"/>
        </w:rPr>
        <w:t>1,37 zjištěný v kontrolní skupině</w:t>
      </w:r>
      <w:r w:rsidRPr="000D096C">
        <w:rPr>
          <w:rFonts w:ascii="Times New Roman" w:hAnsi="Times New Roman" w:cs="Times New Roman"/>
          <w:sz w:val="24"/>
          <w:szCs w:val="24"/>
        </w:rPr>
        <w:t>. Ying a kol. na skupině 3636 mužů</w:t>
      </w:r>
      <w:r w:rsidR="008F3777" w:rsidRPr="000D096C">
        <w:rPr>
          <w:rFonts w:ascii="Times New Roman" w:hAnsi="Times New Roman" w:cs="Times New Roman"/>
          <w:sz w:val="24"/>
          <w:szCs w:val="24"/>
        </w:rPr>
        <w:t xml:space="preserve"> demonstroval</w:t>
      </w:r>
      <w:r w:rsidR="009E719F" w:rsidRPr="000D096C">
        <w:rPr>
          <w:rFonts w:ascii="Times New Roman" w:hAnsi="Times New Roman" w:cs="Times New Roman"/>
          <w:sz w:val="24"/>
          <w:szCs w:val="24"/>
        </w:rPr>
        <w:t>i</w:t>
      </w:r>
      <w:r w:rsidRPr="000D096C">
        <w:rPr>
          <w:rFonts w:ascii="Times New Roman" w:hAnsi="Times New Roman" w:cs="Times New Roman"/>
          <w:sz w:val="24"/>
          <w:szCs w:val="24"/>
        </w:rPr>
        <w:t xml:space="preserve"> fakt, že s počtem splněných komponent M</w:t>
      </w:r>
      <w:r w:rsidR="008F3777" w:rsidRPr="000D096C">
        <w:rPr>
          <w:rFonts w:ascii="Times New Roman" w:hAnsi="Times New Roman" w:cs="Times New Roman"/>
          <w:sz w:val="24"/>
          <w:szCs w:val="24"/>
        </w:rPr>
        <w:t>et</w:t>
      </w:r>
      <w:r w:rsidRPr="000D096C">
        <w:rPr>
          <w:rFonts w:ascii="Times New Roman" w:hAnsi="Times New Roman" w:cs="Times New Roman"/>
          <w:sz w:val="24"/>
          <w:szCs w:val="24"/>
        </w:rPr>
        <w:t>S roste hodnota indexu HOMA-IR. Pro muže splňující 3 a více komponent M</w:t>
      </w:r>
      <w:r w:rsidR="008F3777" w:rsidRPr="000D096C">
        <w:rPr>
          <w:rFonts w:ascii="Times New Roman" w:hAnsi="Times New Roman" w:cs="Times New Roman"/>
          <w:sz w:val="24"/>
          <w:szCs w:val="24"/>
        </w:rPr>
        <w:t>etS uvedl</w:t>
      </w:r>
      <w:r w:rsidRPr="000D096C">
        <w:rPr>
          <w:rFonts w:ascii="Times New Roman" w:hAnsi="Times New Roman" w:cs="Times New Roman"/>
          <w:sz w:val="24"/>
          <w:szCs w:val="24"/>
        </w:rPr>
        <w:t xml:space="preserve"> hodnotu HOMA-IR 2,64</w:t>
      </w:r>
      <w:r w:rsidR="003F77A7">
        <w:rPr>
          <w:rFonts w:ascii="Times New Roman" w:hAnsi="Times New Roman" w:cs="Times New Roman"/>
          <w:sz w:val="24"/>
          <w:szCs w:val="24"/>
        </w:rPr>
        <w:t xml:space="preserve"> [1</w:t>
      </w:r>
      <w:r w:rsidR="00CD78C3">
        <w:rPr>
          <w:rFonts w:ascii="Times New Roman" w:hAnsi="Times New Roman" w:cs="Times New Roman"/>
          <w:sz w:val="24"/>
          <w:szCs w:val="24"/>
        </w:rPr>
        <w:t>10</w:t>
      </w:r>
      <w:r w:rsidR="009E719F" w:rsidRPr="000D096C">
        <w:rPr>
          <w:rFonts w:ascii="Times New Roman" w:hAnsi="Times New Roman" w:cs="Times New Roman"/>
          <w:sz w:val="24"/>
          <w:szCs w:val="24"/>
        </w:rPr>
        <w:t>]</w:t>
      </w:r>
      <w:r w:rsidRPr="000D096C">
        <w:rPr>
          <w:rFonts w:ascii="Times New Roman" w:hAnsi="Times New Roman" w:cs="Times New Roman"/>
          <w:sz w:val="24"/>
          <w:szCs w:val="24"/>
        </w:rPr>
        <w:t xml:space="preserve">. V případě mužů </w:t>
      </w:r>
      <w:r w:rsidR="008F3777" w:rsidRPr="000D096C">
        <w:rPr>
          <w:rFonts w:ascii="Times New Roman" w:hAnsi="Times New Roman" w:cs="Times New Roman"/>
          <w:sz w:val="24"/>
          <w:szCs w:val="24"/>
        </w:rPr>
        <w:t xml:space="preserve">s MetS v </w:t>
      </w:r>
      <w:r w:rsidRPr="000D096C">
        <w:rPr>
          <w:rFonts w:ascii="Times New Roman" w:hAnsi="Times New Roman" w:cs="Times New Roman"/>
          <w:sz w:val="24"/>
          <w:szCs w:val="24"/>
        </w:rPr>
        <w:t>předkládané prác</w:t>
      </w:r>
      <w:r w:rsidR="008F3777" w:rsidRPr="000D096C">
        <w:rPr>
          <w:rFonts w:ascii="Times New Roman" w:hAnsi="Times New Roman" w:cs="Times New Roman"/>
          <w:sz w:val="24"/>
          <w:szCs w:val="24"/>
        </w:rPr>
        <w:t>i</w:t>
      </w:r>
      <w:r w:rsidRPr="000D096C">
        <w:rPr>
          <w:rFonts w:ascii="Times New Roman" w:hAnsi="Times New Roman" w:cs="Times New Roman"/>
          <w:sz w:val="24"/>
          <w:szCs w:val="24"/>
        </w:rPr>
        <w:t xml:space="preserve"> byla průměrná výše indexu HOMA-IR 2,98.</w:t>
      </w:r>
    </w:p>
    <w:p w:rsidR="00561023" w:rsidRPr="000D096C" w:rsidRDefault="008153CD"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Průřezová studie Garg a kol</w:t>
      </w:r>
      <w:r w:rsidR="00561023" w:rsidRPr="000D096C">
        <w:rPr>
          <w:rFonts w:ascii="Times New Roman" w:hAnsi="Times New Roman" w:cs="Times New Roman"/>
          <w:sz w:val="24"/>
          <w:szCs w:val="24"/>
        </w:rPr>
        <w:t>. na 50 jedincích s M</w:t>
      </w:r>
      <w:r w:rsidR="005C248A" w:rsidRPr="000D096C">
        <w:rPr>
          <w:rFonts w:ascii="Times New Roman" w:hAnsi="Times New Roman" w:cs="Times New Roman"/>
          <w:sz w:val="24"/>
          <w:szCs w:val="24"/>
        </w:rPr>
        <w:t>etS (IDF kritéria</w:t>
      </w:r>
      <w:r w:rsidR="00561023" w:rsidRPr="000D096C">
        <w:rPr>
          <w:rFonts w:ascii="Times New Roman" w:hAnsi="Times New Roman" w:cs="Times New Roman"/>
          <w:sz w:val="24"/>
          <w:szCs w:val="24"/>
        </w:rPr>
        <w:t xml:space="preserve"> jako v </w:t>
      </w:r>
      <w:r w:rsidR="0021164F">
        <w:rPr>
          <w:rFonts w:ascii="Times New Roman" w:hAnsi="Times New Roman" w:cs="Times New Roman"/>
          <w:sz w:val="24"/>
          <w:szCs w:val="24"/>
        </w:rPr>
        <w:t>této</w:t>
      </w:r>
      <w:r w:rsidR="00561023" w:rsidRPr="000D096C">
        <w:rPr>
          <w:rFonts w:ascii="Times New Roman" w:hAnsi="Times New Roman" w:cs="Times New Roman"/>
          <w:sz w:val="24"/>
          <w:szCs w:val="24"/>
        </w:rPr>
        <w:t xml:space="preserve"> </w:t>
      </w:r>
      <w:r w:rsidR="005C248A" w:rsidRPr="000D096C">
        <w:rPr>
          <w:rFonts w:ascii="Times New Roman" w:hAnsi="Times New Roman" w:cs="Times New Roman"/>
          <w:sz w:val="24"/>
          <w:szCs w:val="24"/>
        </w:rPr>
        <w:t>práci</w:t>
      </w:r>
      <w:r w:rsidR="00561023" w:rsidRPr="000D096C">
        <w:rPr>
          <w:rFonts w:ascii="Times New Roman" w:hAnsi="Times New Roman" w:cs="Times New Roman"/>
          <w:sz w:val="24"/>
          <w:szCs w:val="24"/>
        </w:rPr>
        <w:t>) a 24 zdravých kontrolách prokázala nižší hodnotu HOMA-β u M</w:t>
      </w:r>
      <w:r w:rsidR="005C248A" w:rsidRPr="000D096C">
        <w:rPr>
          <w:rFonts w:ascii="Times New Roman" w:hAnsi="Times New Roman" w:cs="Times New Roman"/>
          <w:sz w:val="24"/>
          <w:szCs w:val="24"/>
        </w:rPr>
        <w:t>et</w:t>
      </w:r>
      <w:r w:rsidRPr="000D096C">
        <w:rPr>
          <w:rFonts w:ascii="Times New Roman" w:hAnsi="Times New Roman" w:cs="Times New Roman"/>
          <w:sz w:val="24"/>
          <w:szCs w:val="24"/>
        </w:rPr>
        <w:t>S oproti kontrolám (66,80 vs. 144,</w:t>
      </w:r>
      <w:r w:rsidR="00561023" w:rsidRPr="000D096C">
        <w:rPr>
          <w:rFonts w:ascii="Times New Roman" w:hAnsi="Times New Roman" w:cs="Times New Roman"/>
          <w:sz w:val="24"/>
          <w:szCs w:val="24"/>
        </w:rPr>
        <w:t>27)</w:t>
      </w:r>
      <w:r w:rsidR="00CD78C3">
        <w:rPr>
          <w:rFonts w:ascii="Times New Roman" w:hAnsi="Times New Roman" w:cs="Times New Roman"/>
          <w:sz w:val="24"/>
          <w:szCs w:val="24"/>
        </w:rPr>
        <w:t xml:space="preserve"> [111</w:t>
      </w:r>
      <w:r w:rsidR="009E719F" w:rsidRPr="000D096C">
        <w:rPr>
          <w:rFonts w:ascii="Times New Roman" w:hAnsi="Times New Roman" w:cs="Times New Roman"/>
          <w:sz w:val="24"/>
          <w:szCs w:val="24"/>
        </w:rPr>
        <w:t>]</w:t>
      </w:r>
      <w:r w:rsidR="00561023" w:rsidRPr="000D096C">
        <w:rPr>
          <w:rFonts w:ascii="Times New Roman" w:hAnsi="Times New Roman" w:cs="Times New Roman"/>
          <w:sz w:val="24"/>
          <w:szCs w:val="24"/>
        </w:rPr>
        <w:t>. Průměrná hodnota HOMA-β v naší studované populaci byla 97,48</w:t>
      </w:r>
      <w:r w:rsidR="005C248A" w:rsidRPr="000D096C">
        <w:rPr>
          <w:rFonts w:ascii="Times New Roman" w:hAnsi="Times New Roman" w:cs="Times New Roman"/>
          <w:sz w:val="24"/>
          <w:szCs w:val="24"/>
        </w:rPr>
        <w:t xml:space="preserve"> u</w:t>
      </w:r>
      <w:r w:rsidR="00BB3FFF">
        <w:rPr>
          <w:rFonts w:ascii="Times New Roman" w:hAnsi="Times New Roman" w:cs="Times New Roman"/>
          <w:sz w:val="24"/>
          <w:szCs w:val="24"/>
        </w:rPr>
        <w:t> </w:t>
      </w:r>
      <w:r w:rsidR="005C248A" w:rsidRPr="000D096C">
        <w:rPr>
          <w:rFonts w:ascii="Times New Roman" w:hAnsi="Times New Roman" w:cs="Times New Roman"/>
          <w:sz w:val="24"/>
          <w:szCs w:val="24"/>
        </w:rPr>
        <w:t>jedinců s a 89,82 u jedinců bez MetS</w:t>
      </w:r>
      <w:r w:rsidR="00561023" w:rsidRPr="000D096C">
        <w:rPr>
          <w:rFonts w:ascii="Times New Roman" w:hAnsi="Times New Roman" w:cs="Times New Roman"/>
          <w:sz w:val="24"/>
          <w:szCs w:val="24"/>
        </w:rPr>
        <w:t xml:space="preserve">. Jinými slovy v naší populaci byla sekrece inzulínu méně alterovaná </w:t>
      </w:r>
      <w:r w:rsidR="005C248A" w:rsidRPr="000D096C">
        <w:rPr>
          <w:rFonts w:ascii="Times New Roman" w:hAnsi="Times New Roman" w:cs="Times New Roman"/>
          <w:sz w:val="24"/>
          <w:szCs w:val="24"/>
        </w:rPr>
        <w:t>u jedinců s MetS</w:t>
      </w:r>
      <w:r w:rsidR="00561023" w:rsidRPr="000D096C">
        <w:rPr>
          <w:rFonts w:ascii="Times New Roman" w:hAnsi="Times New Roman" w:cs="Times New Roman"/>
          <w:sz w:val="24"/>
          <w:szCs w:val="24"/>
        </w:rPr>
        <w:t>. Tomu odpovídá i vyšší průměrná inzulinémie 12,9 mU/l v</w:t>
      </w:r>
      <w:r w:rsidR="005C248A" w:rsidRPr="000D096C">
        <w:rPr>
          <w:rFonts w:ascii="Times New Roman" w:hAnsi="Times New Roman" w:cs="Times New Roman"/>
          <w:sz w:val="24"/>
          <w:szCs w:val="24"/>
        </w:rPr>
        <w:t> MetS skupině oproti 7,17</w:t>
      </w:r>
      <w:r w:rsidR="00561023" w:rsidRPr="000D096C">
        <w:rPr>
          <w:rFonts w:ascii="Times New Roman" w:hAnsi="Times New Roman" w:cs="Times New Roman"/>
          <w:sz w:val="24"/>
          <w:szCs w:val="24"/>
        </w:rPr>
        <w:t xml:space="preserve"> mU/l ve </w:t>
      </w:r>
      <w:r w:rsidR="005C248A" w:rsidRPr="000D096C">
        <w:rPr>
          <w:rFonts w:ascii="Times New Roman" w:hAnsi="Times New Roman" w:cs="Times New Roman"/>
          <w:sz w:val="24"/>
          <w:szCs w:val="24"/>
        </w:rPr>
        <w:t>skupině kontrol</w:t>
      </w:r>
      <w:r w:rsidR="00561023" w:rsidRPr="000D096C">
        <w:rPr>
          <w:rFonts w:ascii="Times New Roman" w:hAnsi="Times New Roman" w:cs="Times New Roman"/>
          <w:sz w:val="24"/>
          <w:szCs w:val="24"/>
        </w:rPr>
        <w:t xml:space="preserve">. Mexická studie u 190 </w:t>
      </w:r>
      <w:r w:rsidR="007C31A1" w:rsidRPr="000D096C">
        <w:rPr>
          <w:rFonts w:ascii="Times New Roman" w:hAnsi="Times New Roman" w:cs="Times New Roman"/>
          <w:sz w:val="24"/>
          <w:szCs w:val="24"/>
        </w:rPr>
        <w:t>jedinců splňujících kritéria</w:t>
      </w:r>
      <w:r w:rsidR="00561023" w:rsidRPr="000D096C">
        <w:rPr>
          <w:rFonts w:ascii="Times New Roman" w:hAnsi="Times New Roman" w:cs="Times New Roman"/>
          <w:sz w:val="24"/>
          <w:szCs w:val="24"/>
        </w:rPr>
        <w:t xml:space="preserve"> M</w:t>
      </w:r>
      <w:r w:rsidR="007C31A1" w:rsidRPr="000D096C">
        <w:rPr>
          <w:rFonts w:ascii="Times New Roman" w:hAnsi="Times New Roman" w:cs="Times New Roman"/>
          <w:sz w:val="24"/>
          <w:szCs w:val="24"/>
        </w:rPr>
        <w:t>et</w:t>
      </w:r>
      <w:r w:rsidR="00561023" w:rsidRPr="000D096C">
        <w:rPr>
          <w:rFonts w:ascii="Times New Roman" w:hAnsi="Times New Roman" w:cs="Times New Roman"/>
          <w:sz w:val="24"/>
          <w:szCs w:val="24"/>
        </w:rPr>
        <w:t>S (NCEP ATP III</w:t>
      </w:r>
      <w:r w:rsidRPr="000D096C">
        <w:rPr>
          <w:rFonts w:ascii="Times New Roman" w:hAnsi="Times New Roman" w:cs="Times New Roman"/>
          <w:sz w:val="24"/>
          <w:szCs w:val="24"/>
        </w:rPr>
        <w:t xml:space="preserve"> kritéria</w:t>
      </w:r>
      <w:r w:rsidR="00561023" w:rsidRPr="000D096C">
        <w:rPr>
          <w:rFonts w:ascii="Times New Roman" w:hAnsi="Times New Roman" w:cs="Times New Roman"/>
          <w:sz w:val="24"/>
          <w:szCs w:val="24"/>
        </w:rPr>
        <w:t>) zaznamenala průměrnou hodnotu HOMA-β 115,2 spolu s</w:t>
      </w:r>
      <w:r w:rsidRPr="000D096C">
        <w:rPr>
          <w:rFonts w:ascii="Times New Roman" w:hAnsi="Times New Roman" w:cs="Times New Roman"/>
          <w:sz w:val="24"/>
          <w:szCs w:val="24"/>
        </w:rPr>
        <w:t>e zhoršující se funkcí</w:t>
      </w:r>
      <w:r w:rsidR="007C31A1" w:rsidRPr="000D096C">
        <w:rPr>
          <w:rFonts w:ascii="Times New Roman" w:hAnsi="Times New Roman" w:cs="Times New Roman"/>
          <w:sz w:val="24"/>
          <w:szCs w:val="24"/>
        </w:rPr>
        <w:t xml:space="preserve"> </w:t>
      </w:r>
      <w:r w:rsidR="00561023" w:rsidRPr="000D096C">
        <w:rPr>
          <w:rFonts w:ascii="Times New Roman" w:hAnsi="Times New Roman" w:cs="Times New Roman"/>
          <w:sz w:val="24"/>
          <w:szCs w:val="24"/>
        </w:rPr>
        <w:t>β-</w:t>
      </w:r>
      <w:r w:rsidR="007C31A1" w:rsidRPr="000D096C">
        <w:rPr>
          <w:rFonts w:ascii="Times New Roman" w:hAnsi="Times New Roman" w:cs="Times New Roman"/>
          <w:sz w:val="24"/>
          <w:szCs w:val="24"/>
        </w:rPr>
        <w:t>buněk</w:t>
      </w:r>
      <w:r w:rsidR="00561023" w:rsidRPr="000D096C">
        <w:rPr>
          <w:rFonts w:ascii="Times New Roman" w:hAnsi="Times New Roman" w:cs="Times New Roman"/>
          <w:sz w:val="24"/>
          <w:szCs w:val="24"/>
        </w:rPr>
        <w:t xml:space="preserve"> </w:t>
      </w:r>
      <w:r w:rsidRPr="000D096C">
        <w:rPr>
          <w:rFonts w:ascii="Times New Roman" w:hAnsi="Times New Roman" w:cs="Times New Roman"/>
          <w:sz w:val="24"/>
          <w:szCs w:val="24"/>
        </w:rPr>
        <w:t>při rostoucím počtu</w:t>
      </w:r>
      <w:r w:rsidR="007C31A1" w:rsidRPr="000D096C">
        <w:rPr>
          <w:rFonts w:ascii="Times New Roman" w:hAnsi="Times New Roman" w:cs="Times New Roman"/>
          <w:sz w:val="24"/>
          <w:szCs w:val="24"/>
        </w:rPr>
        <w:t xml:space="preserve"> přítomných komponent MetS</w:t>
      </w:r>
      <w:r w:rsidR="00561023" w:rsidRPr="000D096C">
        <w:rPr>
          <w:rFonts w:ascii="Times New Roman" w:hAnsi="Times New Roman" w:cs="Times New Roman"/>
          <w:sz w:val="24"/>
          <w:szCs w:val="24"/>
        </w:rPr>
        <w:t>. Jedinci s M</w:t>
      </w:r>
      <w:r w:rsidR="007C31A1" w:rsidRPr="000D096C">
        <w:rPr>
          <w:rFonts w:ascii="Times New Roman" w:hAnsi="Times New Roman" w:cs="Times New Roman"/>
          <w:sz w:val="24"/>
          <w:szCs w:val="24"/>
        </w:rPr>
        <w:t>et</w:t>
      </w:r>
      <w:r w:rsidR="00561023" w:rsidRPr="000D096C">
        <w:rPr>
          <w:rFonts w:ascii="Times New Roman" w:hAnsi="Times New Roman" w:cs="Times New Roman"/>
          <w:sz w:val="24"/>
          <w:szCs w:val="24"/>
        </w:rPr>
        <w:t>S měli průměrnou inzulinémii 11,9 mU/l</w:t>
      </w:r>
      <w:r w:rsidR="003F77A7">
        <w:rPr>
          <w:rFonts w:ascii="Times New Roman" w:hAnsi="Times New Roman" w:cs="Times New Roman"/>
          <w:sz w:val="24"/>
          <w:szCs w:val="24"/>
        </w:rPr>
        <w:t xml:space="preserve"> [11</w:t>
      </w:r>
      <w:r w:rsidR="00CD78C3">
        <w:rPr>
          <w:rFonts w:ascii="Times New Roman" w:hAnsi="Times New Roman" w:cs="Times New Roman"/>
          <w:sz w:val="24"/>
          <w:szCs w:val="24"/>
        </w:rPr>
        <w:t>2</w:t>
      </w:r>
      <w:r w:rsidR="009E719F" w:rsidRPr="000D096C">
        <w:rPr>
          <w:rFonts w:ascii="Times New Roman" w:hAnsi="Times New Roman" w:cs="Times New Roman"/>
          <w:sz w:val="24"/>
          <w:szCs w:val="24"/>
        </w:rPr>
        <w:t>]</w:t>
      </w:r>
      <w:r w:rsidR="00561023" w:rsidRPr="000D096C">
        <w:rPr>
          <w:rFonts w:ascii="Times New Roman" w:hAnsi="Times New Roman" w:cs="Times New Roman"/>
          <w:sz w:val="24"/>
          <w:szCs w:val="24"/>
        </w:rPr>
        <w:t>. Významným pozitivním prediktorem HOMA-β v našem souboru pacientů byl</w:t>
      </w:r>
      <w:r w:rsidR="007C31A1" w:rsidRPr="000D096C">
        <w:rPr>
          <w:rFonts w:ascii="Times New Roman" w:hAnsi="Times New Roman" w:cs="Times New Roman"/>
          <w:sz w:val="24"/>
          <w:szCs w:val="24"/>
        </w:rPr>
        <w:t>y</w:t>
      </w:r>
      <w:r w:rsidR="00561023" w:rsidRPr="000D096C">
        <w:rPr>
          <w:rFonts w:ascii="Times New Roman" w:hAnsi="Times New Roman" w:cs="Times New Roman"/>
          <w:sz w:val="24"/>
          <w:szCs w:val="24"/>
        </w:rPr>
        <w:t xml:space="preserve"> </w:t>
      </w:r>
      <w:r w:rsidR="007C31A1" w:rsidRPr="000D096C">
        <w:rPr>
          <w:rFonts w:ascii="Times New Roman" w:hAnsi="Times New Roman" w:cs="Times New Roman"/>
          <w:sz w:val="24"/>
          <w:szCs w:val="24"/>
        </w:rPr>
        <w:t>OP</w:t>
      </w:r>
      <w:r w:rsidRPr="000D096C">
        <w:rPr>
          <w:rFonts w:ascii="Times New Roman" w:hAnsi="Times New Roman" w:cs="Times New Roman"/>
          <w:sz w:val="24"/>
          <w:szCs w:val="24"/>
        </w:rPr>
        <w:t xml:space="preserve"> a ALT. Jednalo se tedy pravděpodobně o </w:t>
      </w:r>
      <w:r w:rsidR="00561023" w:rsidRPr="000D096C">
        <w:rPr>
          <w:rFonts w:ascii="Times New Roman" w:hAnsi="Times New Roman" w:cs="Times New Roman"/>
          <w:sz w:val="24"/>
          <w:szCs w:val="24"/>
        </w:rPr>
        <w:t>jedince s perzistující funkční rezervou pankreatu, u</w:t>
      </w:r>
      <w:r w:rsidR="00762125">
        <w:rPr>
          <w:rFonts w:ascii="Times New Roman" w:hAnsi="Times New Roman" w:cs="Times New Roman"/>
          <w:sz w:val="24"/>
          <w:szCs w:val="24"/>
        </w:rPr>
        <w:t> </w:t>
      </w:r>
      <w:r w:rsidR="00561023" w:rsidRPr="000D096C">
        <w:rPr>
          <w:rFonts w:ascii="Times New Roman" w:hAnsi="Times New Roman" w:cs="Times New Roman"/>
          <w:sz w:val="24"/>
          <w:szCs w:val="24"/>
        </w:rPr>
        <w:t xml:space="preserve">kterých zmnožení inzulín-dependentní </w:t>
      </w:r>
      <w:r w:rsidRPr="000D096C">
        <w:rPr>
          <w:rFonts w:ascii="Times New Roman" w:hAnsi="Times New Roman" w:cs="Times New Roman"/>
          <w:sz w:val="24"/>
          <w:szCs w:val="24"/>
        </w:rPr>
        <w:t>viscerální tukové tkáně indukovalo</w:t>
      </w:r>
      <w:r w:rsidR="00561023" w:rsidRPr="000D096C">
        <w:rPr>
          <w:rFonts w:ascii="Times New Roman" w:hAnsi="Times New Roman" w:cs="Times New Roman"/>
          <w:sz w:val="24"/>
          <w:szCs w:val="24"/>
        </w:rPr>
        <w:t xml:space="preserve"> zvýšenou produkci inzulínu. Inverzní asociace</w:t>
      </w:r>
      <w:r w:rsidR="007C31A1" w:rsidRPr="000D096C">
        <w:rPr>
          <w:rFonts w:ascii="Times New Roman" w:hAnsi="Times New Roman" w:cs="Times New Roman"/>
          <w:sz w:val="24"/>
          <w:szCs w:val="24"/>
        </w:rPr>
        <w:t xml:space="preserve"> HOMA-β</w:t>
      </w:r>
      <w:r w:rsidR="00561023" w:rsidRPr="000D096C">
        <w:rPr>
          <w:rFonts w:ascii="Times New Roman" w:hAnsi="Times New Roman" w:cs="Times New Roman"/>
          <w:sz w:val="24"/>
          <w:szCs w:val="24"/>
        </w:rPr>
        <w:t xml:space="preserve"> s věkem potvrzuje nepřekvapivý pokles endokrinní funkce pankreatu během života</w:t>
      </w:r>
      <w:r w:rsidR="003F77A7">
        <w:rPr>
          <w:rFonts w:ascii="Times New Roman" w:hAnsi="Times New Roman" w:cs="Times New Roman"/>
          <w:sz w:val="24"/>
          <w:szCs w:val="24"/>
        </w:rPr>
        <w:t xml:space="preserve"> [11</w:t>
      </w:r>
      <w:r w:rsidR="005B3559">
        <w:rPr>
          <w:rFonts w:ascii="Times New Roman" w:hAnsi="Times New Roman" w:cs="Times New Roman"/>
          <w:sz w:val="24"/>
          <w:szCs w:val="24"/>
        </w:rPr>
        <w:t>3</w:t>
      </w:r>
      <w:r w:rsidR="009E719F" w:rsidRPr="000D096C">
        <w:rPr>
          <w:rFonts w:ascii="Times New Roman" w:hAnsi="Times New Roman" w:cs="Times New Roman"/>
          <w:sz w:val="24"/>
          <w:szCs w:val="24"/>
        </w:rPr>
        <w:t>]</w:t>
      </w:r>
      <w:r w:rsidR="00561023" w:rsidRPr="000D096C">
        <w:rPr>
          <w:rFonts w:ascii="Times New Roman" w:hAnsi="Times New Roman" w:cs="Times New Roman"/>
          <w:sz w:val="24"/>
          <w:szCs w:val="24"/>
        </w:rPr>
        <w:t>.</w:t>
      </w:r>
    </w:p>
    <w:p w:rsidR="00561023" w:rsidRPr="000D096C" w:rsidRDefault="00561023"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V procesu patogeneze IR hrají důležitou roli játra a jejich dysfunkce</w:t>
      </w:r>
      <w:r w:rsidR="00F44B34" w:rsidRPr="000D096C">
        <w:rPr>
          <w:rFonts w:ascii="Times New Roman" w:hAnsi="Times New Roman" w:cs="Times New Roman"/>
          <w:sz w:val="24"/>
          <w:szCs w:val="24"/>
        </w:rPr>
        <w:t xml:space="preserve"> spojená s</w:t>
      </w:r>
      <w:r w:rsidR="00BB3FFF">
        <w:rPr>
          <w:rFonts w:ascii="Times New Roman" w:hAnsi="Times New Roman" w:cs="Times New Roman"/>
          <w:sz w:val="24"/>
          <w:szCs w:val="24"/>
        </w:rPr>
        <w:t> </w:t>
      </w:r>
      <w:r w:rsidR="00F44B34" w:rsidRPr="000D096C">
        <w:rPr>
          <w:rFonts w:ascii="Times New Roman" w:hAnsi="Times New Roman" w:cs="Times New Roman"/>
          <w:sz w:val="24"/>
          <w:szCs w:val="24"/>
        </w:rPr>
        <w:t>neadekvátním účinkem inzulínu na jaterní tkáň, kdy postprandiální zvýšení inzulinémie nevede k potlačení glukoneogeneze</w:t>
      </w:r>
      <w:r w:rsidR="00861B48" w:rsidRPr="000D096C">
        <w:rPr>
          <w:rFonts w:ascii="Times New Roman" w:hAnsi="Times New Roman" w:cs="Times New Roman"/>
          <w:sz w:val="24"/>
          <w:szCs w:val="24"/>
        </w:rPr>
        <w:t xml:space="preserve"> a</w:t>
      </w:r>
      <w:r w:rsidR="00FC7260" w:rsidRPr="000D096C">
        <w:rPr>
          <w:rFonts w:ascii="Times New Roman" w:hAnsi="Times New Roman" w:cs="Times New Roman"/>
          <w:sz w:val="24"/>
          <w:szCs w:val="24"/>
        </w:rPr>
        <w:t xml:space="preserve"> k</w:t>
      </w:r>
      <w:r w:rsidR="00861B48" w:rsidRPr="000D096C">
        <w:rPr>
          <w:rFonts w:ascii="Times New Roman" w:hAnsi="Times New Roman" w:cs="Times New Roman"/>
          <w:sz w:val="24"/>
          <w:szCs w:val="24"/>
        </w:rPr>
        <w:t xml:space="preserve"> ukládání glukózy v podobě jaterního glykogenu.</w:t>
      </w:r>
      <w:r w:rsidRPr="000D096C">
        <w:rPr>
          <w:rFonts w:ascii="Times New Roman" w:hAnsi="Times New Roman" w:cs="Times New Roman"/>
          <w:sz w:val="24"/>
          <w:szCs w:val="24"/>
        </w:rPr>
        <w:t xml:space="preserve"> </w:t>
      </w:r>
      <w:r w:rsidR="008153CD" w:rsidRPr="000D096C">
        <w:rPr>
          <w:rFonts w:ascii="Times New Roman" w:hAnsi="Times New Roman" w:cs="Times New Roman"/>
          <w:sz w:val="24"/>
          <w:szCs w:val="24"/>
        </w:rPr>
        <w:t>Odchylky v markerech</w:t>
      </w:r>
      <w:r w:rsidRPr="000D096C">
        <w:rPr>
          <w:rFonts w:ascii="Times New Roman" w:hAnsi="Times New Roman" w:cs="Times New Roman"/>
          <w:sz w:val="24"/>
          <w:szCs w:val="24"/>
        </w:rPr>
        <w:t xml:space="preserve"> </w:t>
      </w:r>
      <w:r w:rsidR="00312932" w:rsidRPr="000D096C">
        <w:rPr>
          <w:rFonts w:ascii="Times New Roman" w:hAnsi="Times New Roman" w:cs="Times New Roman"/>
          <w:sz w:val="24"/>
          <w:szCs w:val="24"/>
        </w:rPr>
        <w:t>jaterních funkcí</w:t>
      </w:r>
      <w:r w:rsidRPr="000D096C">
        <w:rPr>
          <w:rFonts w:ascii="Times New Roman" w:hAnsi="Times New Roman" w:cs="Times New Roman"/>
          <w:sz w:val="24"/>
          <w:szCs w:val="24"/>
        </w:rPr>
        <w:t xml:space="preserve">, </w:t>
      </w:r>
      <w:r w:rsidR="00312932" w:rsidRPr="000D096C">
        <w:rPr>
          <w:rFonts w:ascii="Times New Roman" w:hAnsi="Times New Roman" w:cs="Times New Roman"/>
          <w:sz w:val="24"/>
          <w:szCs w:val="24"/>
        </w:rPr>
        <w:t xml:space="preserve">zvláště </w:t>
      </w:r>
      <w:r w:rsidRPr="000D096C">
        <w:rPr>
          <w:rFonts w:ascii="Times New Roman" w:hAnsi="Times New Roman" w:cs="Times New Roman"/>
          <w:sz w:val="24"/>
          <w:szCs w:val="24"/>
        </w:rPr>
        <w:t xml:space="preserve">ALT, </w:t>
      </w:r>
      <w:r w:rsidR="0016472F" w:rsidRPr="000D096C">
        <w:rPr>
          <w:rFonts w:ascii="Times New Roman" w:hAnsi="Times New Roman" w:cs="Times New Roman"/>
          <w:sz w:val="24"/>
          <w:szCs w:val="24"/>
        </w:rPr>
        <w:t>mohou signalizovat přítomnost</w:t>
      </w:r>
      <w:r w:rsidRPr="000D096C">
        <w:rPr>
          <w:rFonts w:ascii="Times New Roman" w:hAnsi="Times New Roman" w:cs="Times New Roman"/>
          <w:sz w:val="24"/>
          <w:szCs w:val="24"/>
        </w:rPr>
        <w:t xml:space="preserve"> T2DM </w:t>
      </w:r>
      <w:r w:rsidR="0016472F" w:rsidRPr="000D096C">
        <w:rPr>
          <w:rFonts w:ascii="Times New Roman" w:hAnsi="Times New Roman" w:cs="Times New Roman"/>
          <w:sz w:val="24"/>
          <w:szCs w:val="24"/>
        </w:rPr>
        <w:t xml:space="preserve">v různých </w:t>
      </w:r>
      <w:r w:rsidR="008153CD" w:rsidRPr="000D096C">
        <w:rPr>
          <w:rFonts w:ascii="Times New Roman" w:hAnsi="Times New Roman" w:cs="Times New Roman"/>
          <w:sz w:val="24"/>
          <w:szCs w:val="24"/>
        </w:rPr>
        <w:t>populacích</w:t>
      </w:r>
      <w:r w:rsidR="003F77A7">
        <w:rPr>
          <w:rFonts w:ascii="Times New Roman" w:hAnsi="Times New Roman" w:cs="Times New Roman"/>
          <w:sz w:val="24"/>
          <w:szCs w:val="24"/>
        </w:rPr>
        <w:t xml:space="preserve"> [11</w:t>
      </w:r>
      <w:r w:rsidR="005B3559">
        <w:rPr>
          <w:rFonts w:ascii="Times New Roman" w:hAnsi="Times New Roman" w:cs="Times New Roman"/>
          <w:sz w:val="24"/>
          <w:szCs w:val="24"/>
        </w:rPr>
        <w:t>4</w:t>
      </w:r>
      <w:r w:rsidR="009E719F" w:rsidRPr="000D096C">
        <w:rPr>
          <w:rFonts w:ascii="Times New Roman" w:hAnsi="Times New Roman" w:cs="Times New Roman"/>
          <w:sz w:val="24"/>
          <w:szCs w:val="24"/>
        </w:rPr>
        <w:t>]</w:t>
      </w:r>
      <w:r w:rsidRPr="000D096C">
        <w:rPr>
          <w:rFonts w:ascii="Times New Roman" w:hAnsi="Times New Roman" w:cs="Times New Roman"/>
          <w:sz w:val="24"/>
          <w:szCs w:val="24"/>
        </w:rPr>
        <w:t>. Na souboru 1</w:t>
      </w:r>
      <w:r w:rsidR="003F77A7">
        <w:rPr>
          <w:rFonts w:ascii="Times New Roman" w:hAnsi="Times New Roman" w:cs="Times New Roman"/>
          <w:sz w:val="24"/>
          <w:szCs w:val="24"/>
        </w:rPr>
        <w:t xml:space="preserve"> </w:t>
      </w:r>
      <w:r w:rsidRPr="000D096C">
        <w:rPr>
          <w:rFonts w:ascii="Times New Roman" w:hAnsi="Times New Roman" w:cs="Times New Roman"/>
          <w:sz w:val="24"/>
          <w:szCs w:val="24"/>
        </w:rPr>
        <w:t xml:space="preserve">309 zdravých jedinců, jejichž IR byla kvantifikována </w:t>
      </w:r>
      <w:r w:rsidR="00DD0F80">
        <w:rPr>
          <w:rFonts w:ascii="Times New Roman" w:hAnsi="Times New Roman" w:cs="Times New Roman"/>
          <w:sz w:val="24"/>
          <w:szCs w:val="24"/>
        </w:rPr>
        <w:t>c</w:t>
      </w:r>
      <w:r w:rsidRPr="000D096C">
        <w:rPr>
          <w:rFonts w:ascii="Times New Roman" w:hAnsi="Times New Roman" w:cs="Times New Roman"/>
          <w:sz w:val="24"/>
          <w:szCs w:val="24"/>
        </w:rPr>
        <w:t xml:space="preserve">lampovou technikou, bylo zjištěno, že </w:t>
      </w:r>
      <w:r w:rsidR="0016472F" w:rsidRPr="000D096C">
        <w:rPr>
          <w:rFonts w:ascii="Times New Roman" w:hAnsi="Times New Roman" w:cs="Times New Roman"/>
          <w:sz w:val="24"/>
          <w:szCs w:val="24"/>
        </w:rPr>
        <w:t>zvýšená</w:t>
      </w:r>
      <w:r w:rsidRPr="000D096C">
        <w:rPr>
          <w:rFonts w:ascii="Times New Roman" w:hAnsi="Times New Roman" w:cs="Times New Roman"/>
          <w:sz w:val="24"/>
          <w:szCs w:val="24"/>
        </w:rPr>
        <w:t xml:space="preserve"> ALT </w:t>
      </w:r>
      <w:r w:rsidR="00173150" w:rsidRPr="000D096C">
        <w:rPr>
          <w:rFonts w:ascii="Times New Roman" w:hAnsi="Times New Roman" w:cs="Times New Roman"/>
          <w:sz w:val="24"/>
          <w:szCs w:val="24"/>
        </w:rPr>
        <w:t xml:space="preserve">je </w:t>
      </w:r>
      <w:r w:rsidRPr="000D096C">
        <w:rPr>
          <w:rFonts w:ascii="Times New Roman" w:hAnsi="Times New Roman" w:cs="Times New Roman"/>
          <w:sz w:val="24"/>
          <w:szCs w:val="24"/>
        </w:rPr>
        <w:t>biomarker</w:t>
      </w:r>
      <w:r w:rsidR="00173150" w:rsidRPr="000D096C">
        <w:rPr>
          <w:rFonts w:ascii="Times New Roman" w:hAnsi="Times New Roman" w:cs="Times New Roman"/>
          <w:sz w:val="24"/>
          <w:szCs w:val="24"/>
        </w:rPr>
        <w:t>em</w:t>
      </w:r>
      <w:r w:rsidRPr="000D096C">
        <w:rPr>
          <w:rFonts w:ascii="Times New Roman" w:hAnsi="Times New Roman" w:cs="Times New Roman"/>
          <w:sz w:val="24"/>
          <w:szCs w:val="24"/>
        </w:rPr>
        <w:t xml:space="preserve"> IR </w:t>
      </w:r>
      <w:r w:rsidR="00790A8E" w:rsidRPr="000D096C">
        <w:rPr>
          <w:rFonts w:ascii="Times New Roman" w:hAnsi="Times New Roman" w:cs="Times New Roman"/>
          <w:sz w:val="24"/>
          <w:szCs w:val="24"/>
        </w:rPr>
        <w:t>spolu se současně</w:t>
      </w:r>
      <w:r w:rsidR="00173150" w:rsidRPr="000D096C">
        <w:rPr>
          <w:rFonts w:ascii="Times New Roman" w:hAnsi="Times New Roman" w:cs="Times New Roman"/>
          <w:sz w:val="24"/>
          <w:szCs w:val="24"/>
        </w:rPr>
        <w:t xml:space="preserve"> zvýšenou inzulínovou sekrecí a </w:t>
      </w:r>
      <w:r w:rsidR="00790A8E" w:rsidRPr="000D096C">
        <w:rPr>
          <w:rFonts w:ascii="Times New Roman" w:hAnsi="Times New Roman" w:cs="Times New Roman"/>
          <w:sz w:val="24"/>
          <w:szCs w:val="24"/>
        </w:rPr>
        <w:t>sníženou jaterní clearance inzulínu</w:t>
      </w:r>
      <w:r w:rsidR="005B3559">
        <w:rPr>
          <w:rFonts w:ascii="Times New Roman" w:hAnsi="Times New Roman" w:cs="Times New Roman"/>
          <w:sz w:val="24"/>
          <w:szCs w:val="24"/>
        </w:rPr>
        <w:t xml:space="preserve"> </w:t>
      </w:r>
      <w:r w:rsidR="005B3559">
        <w:rPr>
          <w:rFonts w:ascii="Times New Roman" w:hAnsi="Times New Roman" w:cs="Times New Roman"/>
          <w:sz w:val="24"/>
          <w:szCs w:val="24"/>
        </w:rPr>
        <w:lastRenderedPageBreak/>
        <w:t>[115</w:t>
      </w:r>
      <w:r w:rsidR="009E719F" w:rsidRPr="000D096C">
        <w:rPr>
          <w:rFonts w:ascii="Times New Roman" w:hAnsi="Times New Roman" w:cs="Times New Roman"/>
          <w:sz w:val="24"/>
          <w:szCs w:val="24"/>
        </w:rPr>
        <w:t>]</w:t>
      </w:r>
      <w:r w:rsidRPr="000D096C">
        <w:rPr>
          <w:rFonts w:ascii="Times New Roman" w:hAnsi="Times New Roman" w:cs="Times New Roman"/>
          <w:sz w:val="24"/>
          <w:szCs w:val="24"/>
        </w:rPr>
        <w:t xml:space="preserve">. Tomu odpovídá náš nález pozitivní vazby ALT a HOMA-IR i ALT a HOMA-β. </w:t>
      </w:r>
      <w:r w:rsidR="00790A8E" w:rsidRPr="000D096C">
        <w:rPr>
          <w:rFonts w:ascii="Times New Roman" w:hAnsi="Times New Roman" w:cs="Times New Roman"/>
          <w:sz w:val="24"/>
          <w:szCs w:val="24"/>
        </w:rPr>
        <w:t>Studie Siment</w:t>
      </w:r>
      <w:r w:rsidR="004217B5" w:rsidRPr="000D096C">
        <w:rPr>
          <w:rFonts w:ascii="Times New Roman" w:hAnsi="Times New Roman" w:cs="Times New Roman"/>
          <w:sz w:val="24"/>
          <w:szCs w:val="24"/>
        </w:rPr>
        <w:t>al-Mendia a kol</w:t>
      </w:r>
      <w:r w:rsidR="00790A8E" w:rsidRPr="000D096C">
        <w:rPr>
          <w:rFonts w:ascii="Times New Roman" w:hAnsi="Times New Roman" w:cs="Times New Roman"/>
          <w:sz w:val="24"/>
          <w:szCs w:val="24"/>
        </w:rPr>
        <w:t>. u</w:t>
      </w:r>
      <w:r w:rsidRPr="000D096C">
        <w:rPr>
          <w:rFonts w:ascii="Times New Roman" w:hAnsi="Times New Roman" w:cs="Times New Roman"/>
          <w:sz w:val="24"/>
          <w:szCs w:val="24"/>
        </w:rPr>
        <w:t xml:space="preserve"> 1</w:t>
      </w:r>
      <w:r w:rsidR="00BE78E2">
        <w:rPr>
          <w:rFonts w:ascii="Times New Roman" w:hAnsi="Times New Roman" w:cs="Times New Roman"/>
          <w:sz w:val="24"/>
          <w:szCs w:val="24"/>
        </w:rPr>
        <w:t xml:space="preserve"> </w:t>
      </w:r>
      <w:r w:rsidRPr="000D096C">
        <w:rPr>
          <w:rFonts w:ascii="Times New Roman" w:hAnsi="Times New Roman" w:cs="Times New Roman"/>
          <w:sz w:val="24"/>
          <w:szCs w:val="24"/>
        </w:rPr>
        <w:t xml:space="preserve">732 </w:t>
      </w:r>
      <w:r w:rsidR="00790A8E" w:rsidRPr="000D096C">
        <w:rPr>
          <w:rFonts w:ascii="Times New Roman" w:hAnsi="Times New Roman" w:cs="Times New Roman"/>
          <w:sz w:val="24"/>
          <w:szCs w:val="24"/>
        </w:rPr>
        <w:t xml:space="preserve">dospělých ve věku </w:t>
      </w:r>
      <w:r w:rsidRPr="000D096C">
        <w:rPr>
          <w:rFonts w:ascii="Times New Roman" w:hAnsi="Times New Roman" w:cs="Times New Roman"/>
          <w:sz w:val="24"/>
          <w:szCs w:val="24"/>
        </w:rPr>
        <w:t xml:space="preserve">18-23 </w:t>
      </w:r>
      <w:r w:rsidR="00790A8E" w:rsidRPr="000D096C">
        <w:rPr>
          <w:rFonts w:ascii="Times New Roman" w:hAnsi="Times New Roman" w:cs="Times New Roman"/>
          <w:sz w:val="24"/>
          <w:szCs w:val="24"/>
        </w:rPr>
        <w:t>let s normální hmotnost</w:t>
      </w:r>
      <w:r w:rsidR="008153CD" w:rsidRPr="000D096C">
        <w:rPr>
          <w:rFonts w:ascii="Times New Roman" w:hAnsi="Times New Roman" w:cs="Times New Roman"/>
          <w:sz w:val="24"/>
          <w:szCs w:val="24"/>
        </w:rPr>
        <w:t>í</w:t>
      </w:r>
      <w:r w:rsidR="00790A8E" w:rsidRPr="000D096C">
        <w:rPr>
          <w:rFonts w:ascii="Times New Roman" w:hAnsi="Times New Roman" w:cs="Times New Roman"/>
          <w:sz w:val="24"/>
          <w:szCs w:val="24"/>
        </w:rPr>
        <w:t xml:space="preserve"> pomocí logistické regrese </w:t>
      </w:r>
      <w:r w:rsidR="00D6652A" w:rsidRPr="000D096C">
        <w:rPr>
          <w:rFonts w:ascii="Times New Roman" w:hAnsi="Times New Roman" w:cs="Times New Roman"/>
          <w:sz w:val="24"/>
          <w:szCs w:val="24"/>
        </w:rPr>
        <w:t>odhalila</w:t>
      </w:r>
      <w:r w:rsidR="008153CD" w:rsidRPr="000D096C">
        <w:rPr>
          <w:rFonts w:ascii="Times New Roman" w:hAnsi="Times New Roman" w:cs="Times New Roman"/>
          <w:sz w:val="24"/>
          <w:szCs w:val="24"/>
        </w:rPr>
        <w:t>, že zvýšení hladiny ALT, ale nikoliv AST bylo významně spojeno s</w:t>
      </w:r>
      <w:r w:rsidR="00BB3FFF">
        <w:rPr>
          <w:rFonts w:ascii="Times New Roman" w:hAnsi="Times New Roman" w:cs="Times New Roman"/>
          <w:sz w:val="24"/>
          <w:szCs w:val="24"/>
        </w:rPr>
        <w:t> </w:t>
      </w:r>
      <w:r w:rsidR="008153CD" w:rsidRPr="000D096C">
        <w:rPr>
          <w:rFonts w:ascii="Times New Roman" w:hAnsi="Times New Roman" w:cs="Times New Roman"/>
          <w:sz w:val="24"/>
          <w:szCs w:val="24"/>
        </w:rPr>
        <w:t>rozvinutou</w:t>
      </w:r>
      <w:r w:rsidR="00790A8E" w:rsidRPr="000D096C">
        <w:rPr>
          <w:rFonts w:ascii="Times New Roman" w:hAnsi="Times New Roman" w:cs="Times New Roman"/>
          <w:sz w:val="24"/>
          <w:szCs w:val="24"/>
        </w:rPr>
        <w:t xml:space="preserve"> </w:t>
      </w:r>
      <w:r w:rsidRPr="000D096C">
        <w:rPr>
          <w:rFonts w:ascii="Times New Roman" w:hAnsi="Times New Roman" w:cs="Times New Roman"/>
          <w:sz w:val="24"/>
          <w:szCs w:val="24"/>
        </w:rPr>
        <w:t>IR</w:t>
      </w:r>
      <w:r w:rsidR="005B3559">
        <w:rPr>
          <w:rFonts w:ascii="Times New Roman" w:hAnsi="Times New Roman" w:cs="Times New Roman"/>
          <w:sz w:val="24"/>
          <w:szCs w:val="24"/>
        </w:rPr>
        <w:t xml:space="preserve"> [116</w:t>
      </w:r>
      <w:r w:rsidR="009E719F" w:rsidRPr="000D096C">
        <w:rPr>
          <w:rFonts w:ascii="Times New Roman" w:hAnsi="Times New Roman" w:cs="Times New Roman"/>
          <w:sz w:val="24"/>
          <w:szCs w:val="24"/>
        </w:rPr>
        <w:t>]</w:t>
      </w:r>
      <w:r w:rsidRPr="000D096C">
        <w:rPr>
          <w:rFonts w:ascii="Times New Roman" w:hAnsi="Times New Roman" w:cs="Times New Roman"/>
          <w:sz w:val="24"/>
          <w:szCs w:val="24"/>
        </w:rPr>
        <w:t>. Stejné zjištění vyplývá i</w:t>
      </w:r>
      <w:r w:rsidR="00790A8E" w:rsidRPr="000D096C">
        <w:rPr>
          <w:rFonts w:ascii="Times New Roman" w:hAnsi="Times New Roman" w:cs="Times New Roman"/>
          <w:sz w:val="24"/>
          <w:szCs w:val="24"/>
        </w:rPr>
        <w:t xml:space="preserve"> z regresního modelu v předkládané práci</w:t>
      </w:r>
      <w:r w:rsidRPr="000D096C">
        <w:rPr>
          <w:rFonts w:ascii="Times New Roman" w:hAnsi="Times New Roman" w:cs="Times New Roman"/>
          <w:sz w:val="24"/>
          <w:szCs w:val="24"/>
        </w:rPr>
        <w:t>.</w:t>
      </w:r>
    </w:p>
    <w:p w:rsidR="00561023" w:rsidRPr="000D096C" w:rsidRDefault="00561023"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 xml:space="preserve">AIP je asociován s obezitou i zvýšeným kardiovaskulárním rizikem. </w:t>
      </w:r>
      <w:r w:rsidR="00D6652A" w:rsidRPr="000D096C">
        <w:rPr>
          <w:rFonts w:ascii="Times New Roman" w:hAnsi="Times New Roman" w:cs="Times New Roman"/>
          <w:sz w:val="24"/>
          <w:szCs w:val="24"/>
        </w:rPr>
        <w:t xml:space="preserve">Pearsonova korelační analýza </w:t>
      </w:r>
      <w:r w:rsidRPr="000D096C">
        <w:rPr>
          <w:rFonts w:ascii="Times New Roman" w:hAnsi="Times New Roman" w:cs="Times New Roman"/>
          <w:sz w:val="24"/>
          <w:szCs w:val="24"/>
        </w:rPr>
        <w:t>5</w:t>
      </w:r>
      <w:r w:rsidR="003F77A7">
        <w:rPr>
          <w:rFonts w:ascii="Times New Roman" w:hAnsi="Times New Roman" w:cs="Times New Roman"/>
          <w:sz w:val="24"/>
          <w:szCs w:val="24"/>
        </w:rPr>
        <w:t xml:space="preserve"> </w:t>
      </w:r>
      <w:r w:rsidRPr="000D096C">
        <w:rPr>
          <w:rFonts w:ascii="Times New Roman" w:hAnsi="Times New Roman" w:cs="Times New Roman"/>
          <w:sz w:val="24"/>
          <w:szCs w:val="24"/>
        </w:rPr>
        <w:t xml:space="preserve">351 </w:t>
      </w:r>
      <w:r w:rsidR="00D6652A" w:rsidRPr="000D096C">
        <w:rPr>
          <w:rFonts w:ascii="Times New Roman" w:hAnsi="Times New Roman" w:cs="Times New Roman"/>
          <w:sz w:val="24"/>
          <w:szCs w:val="24"/>
        </w:rPr>
        <w:t xml:space="preserve">mužů středního věku žijících v jihovýchodní Číně ukázala pozitivní korelaci </w:t>
      </w:r>
      <w:r w:rsidRPr="000D096C">
        <w:rPr>
          <w:rFonts w:ascii="Times New Roman" w:hAnsi="Times New Roman" w:cs="Times New Roman"/>
          <w:sz w:val="24"/>
          <w:szCs w:val="24"/>
        </w:rPr>
        <w:t xml:space="preserve">AIP </w:t>
      </w:r>
      <w:r w:rsidR="00D6652A" w:rsidRPr="000D096C">
        <w:rPr>
          <w:rFonts w:ascii="Times New Roman" w:hAnsi="Times New Roman" w:cs="Times New Roman"/>
          <w:sz w:val="24"/>
          <w:szCs w:val="24"/>
        </w:rPr>
        <w:t>s OP</w:t>
      </w:r>
      <w:r w:rsidR="008153CD" w:rsidRPr="000D096C">
        <w:rPr>
          <w:rFonts w:ascii="Times New Roman" w:hAnsi="Times New Roman" w:cs="Times New Roman"/>
          <w:sz w:val="24"/>
          <w:szCs w:val="24"/>
        </w:rPr>
        <w:t xml:space="preserve"> (r = 0,</w:t>
      </w:r>
      <w:r w:rsidRPr="000D096C">
        <w:rPr>
          <w:rFonts w:ascii="Times New Roman" w:hAnsi="Times New Roman" w:cs="Times New Roman"/>
          <w:sz w:val="24"/>
          <w:szCs w:val="24"/>
        </w:rPr>
        <w:t>37</w:t>
      </w:r>
      <w:r w:rsidR="004217B5" w:rsidRPr="000D096C">
        <w:rPr>
          <w:rFonts w:ascii="Times New Roman" w:hAnsi="Times New Roman" w:cs="Times New Roman"/>
          <w:sz w:val="24"/>
          <w:szCs w:val="24"/>
        </w:rPr>
        <w:t>, p &lt; 0,001)</w:t>
      </w:r>
      <w:r w:rsidR="005B3559">
        <w:rPr>
          <w:rFonts w:ascii="Times New Roman" w:hAnsi="Times New Roman" w:cs="Times New Roman"/>
          <w:sz w:val="24"/>
          <w:szCs w:val="24"/>
        </w:rPr>
        <w:t xml:space="preserve"> [117</w:t>
      </w:r>
      <w:r w:rsidR="009E719F" w:rsidRPr="000D096C">
        <w:rPr>
          <w:rFonts w:ascii="Times New Roman" w:hAnsi="Times New Roman" w:cs="Times New Roman"/>
          <w:sz w:val="24"/>
          <w:szCs w:val="24"/>
        </w:rPr>
        <w:t>]</w:t>
      </w:r>
      <w:r w:rsidR="004217B5" w:rsidRPr="000D096C">
        <w:rPr>
          <w:rFonts w:ascii="Times New Roman" w:hAnsi="Times New Roman" w:cs="Times New Roman"/>
          <w:sz w:val="24"/>
          <w:szCs w:val="24"/>
        </w:rPr>
        <w:t>. Ve studii Li a kol</w:t>
      </w:r>
      <w:r w:rsidRPr="000D096C">
        <w:rPr>
          <w:rFonts w:ascii="Times New Roman" w:hAnsi="Times New Roman" w:cs="Times New Roman"/>
          <w:sz w:val="24"/>
          <w:szCs w:val="24"/>
        </w:rPr>
        <w:t>. bylo 2</w:t>
      </w:r>
      <w:r w:rsidR="003F77A7">
        <w:rPr>
          <w:rFonts w:ascii="Times New Roman" w:hAnsi="Times New Roman" w:cs="Times New Roman"/>
          <w:sz w:val="24"/>
          <w:szCs w:val="24"/>
        </w:rPr>
        <w:t xml:space="preserve"> </w:t>
      </w:r>
      <w:r w:rsidRPr="000D096C">
        <w:rPr>
          <w:rFonts w:ascii="Times New Roman" w:hAnsi="Times New Roman" w:cs="Times New Roman"/>
          <w:sz w:val="24"/>
          <w:szCs w:val="24"/>
        </w:rPr>
        <w:t>523 jedinců s T2DM</w:t>
      </w:r>
      <w:r w:rsidR="00D6652A" w:rsidRPr="000D096C">
        <w:rPr>
          <w:rFonts w:ascii="Times New Roman" w:hAnsi="Times New Roman" w:cs="Times New Roman"/>
          <w:sz w:val="24"/>
          <w:szCs w:val="24"/>
        </w:rPr>
        <w:t xml:space="preserve"> neléčených hypolipidemiky</w:t>
      </w:r>
      <w:r w:rsidRPr="000D096C">
        <w:rPr>
          <w:rFonts w:ascii="Times New Roman" w:hAnsi="Times New Roman" w:cs="Times New Roman"/>
          <w:sz w:val="24"/>
          <w:szCs w:val="24"/>
        </w:rPr>
        <w:t xml:space="preserve"> rozděleno do tercilů dle hodnoty AIP. HOMA-IR vykazoval signifikantní nárůst mezi tercily. </w:t>
      </w:r>
      <w:r w:rsidR="00D6652A" w:rsidRPr="000D096C">
        <w:rPr>
          <w:rFonts w:ascii="Times New Roman" w:hAnsi="Times New Roman" w:cs="Times New Roman"/>
          <w:sz w:val="24"/>
          <w:szCs w:val="24"/>
        </w:rPr>
        <w:t>Vícerozměrná logistická regrese</w:t>
      </w:r>
      <w:r w:rsidRPr="000D096C">
        <w:rPr>
          <w:rFonts w:ascii="Times New Roman" w:hAnsi="Times New Roman" w:cs="Times New Roman"/>
          <w:sz w:val="24"/>
          <w:szCs w:val="24"/>
        </w:rPr>
        <w:t xml:space="preserve"> </w:t>
      </w:r>
      <w:r w:rsidR="00D6652A" w:rsidRPr="000D096C">
        <w:rPr>
          <w:rFonts w:ascii="Times New Roman" w:hAnsi="Times New Roman" w:cs="Times New Roman"/>
          <w:sz w:val="24"/>
          <w:szCs w:val="24"/>
        </w:rPr>
        <w:t>prokázala, že OP, HOMA-IR,</w:t>
      </w:r>
      <w:r w:rsidR="00A61003" w:rsidRPr="000D096C">
        <w:rPr>
          <w:rFonts w:ascii="Times New Roman" w:hAnsi="Times New Roman" w:cs="Times New Roman"/>
          <w:sz w:val="24"/>
          <w:szCs w:val="24"/>
        </w:rPr>
        <w:t xml:space="preserve"> lačná glykémie, systolický TK</w:t>
      </w:r>
      <w:r w:rsidR="00D6652A" w:rsidRPr="000D096C">
        <w:rPr>
          <w:rFonts w:ascii="Times New Roman" w:hAnsi="Times New Roman" w:cs="Times New Roman"/>
          <w:sz w:val="24"/>
          <w:szCs w:val="24"/>
        </w:rPr>
        <w:t xml:space="preserve"> a KM jsou</w:t>
      </w:r>
      <w:r w:rsidRPr="000D096C">
        <w:rPr>
          <w:rFonts w:ascii="Times New Roman" w:hAnsi="Times New Roman" w:cs="Times New Roman"/>
          <w:sz w:val="24"/>
          <w:szCs w:val="24"/>
        </w:rPr>
        <w:t xml:space="preserve"> </w:t>
      </w:r>
      <w:r w:rsidR="00D6652A" w:rsidRPr="000D096C">
        <w:rPr>
          <w:rFonts w:ascii="Times New Roman" w:hAnsi="Times New Roman" w:cs="Times New Roman"/>
          <w:sz w:val="24"/>
          <w:szCs w:val="24"/>
        </w:rPr>
        <w:t xml:space="preserve">nezávislé prediktory </w:t>
      </w:r>
      <w:r w:rsidRPr="000D096C">
        <w:rPr>
          <w:rFonts w:ascii="Times New Roman" w:hAnsi="Times New Roman" w:cs="Times New Roman"/>
          <w:sz w:val="24"/>
          <w:szCs w:val="24"/>
        </w:rPr>
        <w:t>AIP</w:t>
      </w:r>
      <w:r w:rsidR="003F77A7">
        <w:rPr>
          <w:rFonts w:ascii="Times New Roman" w:hAnsi="Times New Roman" w:cs="Times New Roman"/>
          <w:sz w:val="24"/>
          <w:szCs w:val="24"/>
        </w:rPr>
        <w:t xml:space="preserve"> [11</w:t>
      </w:r>
      <w:r w:rsidR="005B3559">
        <w:rPr>
          <w:rFonts w:ascii="Times New Roman" w:hAnsi="Times New Roman" w:cs="Times New Roman"/>
          <w:sz w:val="24"/>
          <w:szCs w:val="24"/>
        </w:rPr>
        <w:t>8</w:t>
      </w:r>
      <w:r w:rsidR="009E719F" w:rsidRPr="000D096C">
        <w:rPr>
          <w:rFonts w:ascii="Times New Roman" w:hAnsi="Times New Roman" w:cs="Times New Roman"/>
          <w:sz w:val="24"/>
          <w:szCs w:val="24"/>
        </w:rPr>
        <w:t>]</w:t>
      </w:r>
      <w:r w:rsidRPr="000D096C">
        <w:rPr>
          <w:rFonts w:ascii="Times New Roman" w:hAnsi="Times New Roman" w:cs="Times New Roman"/>
          <w:sz w:val="24"/>
          <w:szCs w:val="24"/>
        </w:rPr>
        <w:t xml:space="preserve">. V rámci naší </w:t>
      </w:r>
      <w:r w:rsidR="00D6652A" w:rsidRPr="000D096C">
        <w:rPr>
          <w:rFonts w:ascii="Times New Roman" w:hAnsi="Times New Roman" w:cs="Times New Roman"/>
          <w:sz w:val="24"/>
          <w:szCs w:val="24"/>
        </w:rPr>
        <w:t>práce bylo zaznamenán</w:t>
      </w:r>
      <w:r w:rsidR="00DE5250" w:rsidRPr="000D096C">
        <w:rPr>
          <w:rFonts w:ascii="Times New Roman" w:hAnsi="Times New Roman" w:cs="Times New Roman"/>
          <w:sz w:val="24"/>
          <w:szCs w:val="24"/>
        </w:rPr>
        <w:t>o</w:t>
      </w:r>
      <w:r w:rsidR="00D6652A" w:rsidRPr="000D096C">
        <w:rPr>
          <w:rFonts w:ascii="Times New Roman" w:hAnsi="Times New Roman" w:cs="Times New Roman"/>
          <w:sz w:val="24"/>
          <w:szCs w:val="24"/>
        </w:rPr>
        <w:t xml:space="preserve"> několik spíše slabších, avšak</w:t>
      </w:r>
      <w:r w:rsidRPr="000D096C">
        <w:rPr>
          <w:rFonts w:ascii="Times New Roman" w:hAnsi="Times New Roman" w:cs="Times New Roman"/>
          <w:sz w:val="24"/>
          <w:szCs w:val="24"/>
        </w:rPr>
        <w:t xml:space="preserve"> stat</w:t>
      </w:r>
      <w:r w:rsidR="00DE5250" w:rsidRPr="000D096C">
        <w:rPr>
          <w:rFonts w:ascii="Times New Roman" w:hAnsi="Times New Roman" w:cs="Times New Roman"/>
          <w:sz w:val="24"/>
          <w:szCs w:val="24"/>
        </w:rPr>
        <w:t>isticky vysoce významných</w:t>
      </w:r>
      <w:r w:rsidR="00D6652A" w:rsidRPr="000D096C">
        <w:rPr>
          <w:rFonts w:ascii="Times New Roman" w:hAnsi="Times New Roman" w:cs="Times New Roman"/>
          <w:sz w:val="24"/>
          <w:szCs w:val="24"/>
        </w:rPr>
        <w:t xml:space="preserve"> korelací</w:t>
      </w:r>
      <w:r w:rsidR="002801C2">
        <w:rPr>
          <w:rFonts w:ascii="Times New Roman" w:hAnsi="Times New Roman" w:cs="Times New Roman"/>
          <w:sz w:val="24"/>
          <w:szCs w:val="24"/>
        </w:rPr>
        <w:t xml:space="preserve"> AIP (t</w:t>
      </w:r>
      <w:r w:rsidRPr="000D096C">
        <w:rPr>
          <w:rFonts w:ascii="Times New Roman" w:hAnsi="Times New Roman" w:cs="Times New Roman"/>
          <w:sz w:val="24"/>
          <w:szCs w:val="24"/>
        </w:rPr>
        <w:t>ab</w:t>
      </w:r>
      <w:r w:rsidR="002801C2">
        <w:rPr>
          <w:rFonts w:ascii="Times New Roman" w:hAnsi="Times New Roman" w:cs="Times New Roman"/>
          <w:sz w:val="24"/>
          <w:szCs w:val="24"/>
        </w:rPr>
        <w:t>.</w:t>
      </w:r>
      <w:r w:rsidR="001B4449" w:rsidRPr="000D096C">
        <w:rPr>
          <w:rFonts w:ascii="Times New Roman" w:hAnsi="Times New Roman" w:cs="Times New Roman"/>
          <w:sz w:val="24"/>
          <w:szCs w:val="24"/>
        </w:rPr>
        <w:t xml:space="preserve"> 3</w:t>
      </w:r>
      <w:r w:rsidRPr="000D096C">
        <w:rPr>
          <w:rFonts w:ascii="Times New Roman" w:hAnsi="Times New Roman" w:cs="Times New Roman"/>
          <w:sz w:val="24"/>
          <w:szCs w:val="24"/>
        </w:rPr>
        <w:t>). Regresní analýzou</w:t>
      </w:r>
      <w:r w:rsidR="00C9157F" w:rsidRPr="000D096C">
        <w:rPr>
          <w:rFonts w:ascii="Times New Roman" w:hAnsi="Times New Roman" w:cs="Times New Roman"/>
          <w:sz w:val="24"/>
          <w:szCs w:val="24"/>
        </w:rPr>
        <w:t xml:space="preserve"> ale ne</w:t>
      </w:r>
      <w:r w:rsidRPr="000D096C">
        <w:rPr>
          <w:rFonts w:ascii="Times New Roman" w:hAnsi="Times New Roman" w:cs="Times New Roman"/>
          <w:sz w:val="24"/>
          <w:szCs w:val="24"/>
        </w:rPr>
        <w:t>byla prokázána schopnost AIP predikovat HOMA-IR</w:t>
      </w:r>
      <w:r w:rsidR="002801C2">
        <w:rPr>
          <w:rFonts w:ascii="Times New Roman" w:hAnsi="Times New Roman" w:cs="Times New Roman"/>
          <w:sz w:val="24"/>
          <w:szCs w:val="24"/>
        </w:rPr>
        <w:t xml:space="preserve"> (tab.</w:t>
      </w:r>
      <w:r w:rsidR="001B4449" w:rsidRPr="000D096C">
        <w:rPr>
          <w:rFonts w:ascii="Times New Roman" w:hAnsi="Times New Roman" w:cs="Times New Roman"/>
          <w:sz w:val="24"/>
          <w:szCs w:val="24"/>
        </w:rPr>
        <w:t xml:space="preserve"> 4</w:t>
      </w:r>
      <w:r w:rsidRPr="000D096C">
        <w:rPr>
          <w:rFonts w:ascii="Times New Roman" w:hAnsi="Times New Roman" w:cs="Times New Roman"/>
          <w:sz w:val="24"/>
          <w:szCs w:val="24"/>
        </w:rPr>
        <w:t>).</w:t>
      </w:r>
    </w:p>
    <w:p w:rsidR="00561023" w:rsidRPr="000D096C" w:rsidRDefault="0087681A"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 xml:space="preserve">Průřezová studie čítající </w:t>
      </w:r>
      <w:r w:rsidR="00561023" w:rsidRPr="000D096C">
        <w:rPr>
          <w:rFonts w:ascii="Times New Roman" w:hAnsi="Times New Roman" w:cs="Times New Roman"/>
          <w:sz w:val="24"/>
          <w:szCs w:val="24"/>
        </w:rPr>
        <w:t>1</w:t>
      </w:r>
      <w:r w:rsidR="003F77A7">
        <w:rPr>
          <w:rFonts w:ascii="Times New Roman" w:hAnsi="Times New Roman" w:cs="Times New Roman"/>
          <w:sz w:val="24"/>
          <w:szCs w:val="24"/>
        </w:rPr>
        <w:t xml:space="preserve"> </w:t>
      </w:r>
      <w:r w:rsidR="00561023" w:rsidRPr="000D096C">
        <w:rPr>
          <w:rFonts w:ascii="Times New Roman" w:hAnsi="Times New Roman" w:cs="Times New Roman"/>
          <w:sz w:val="24"/>
          <w:szCs w:val="24"/>
        </w:rPr>
        <w:t>834</w:t>
      </w:r>
      <w:r w:rsidRPr="000D096C">
        <w:rPr>
          <w:rFonts w:ascii="Times New Roman" w:hAnsi="Times New Roman" w:cs="Times New Roman"/>
          <w:sz w:val="24"/>
          <w:szCs w:val="24"/>
        </w:rPr>
        <w:t xml:space="preserve"> dospělých Číňanů s normálním OP</w:t>
      </w:r>
      <w:r w:rsidR="00561023" w:rsidRPr="000D096C">
        <w:rPr>
          <w:rFonts w:ascii="Times New Roman" w:hAnsi="Times New Roman" w:cs="Times New Roman"/>
          <w:sz w:val="24"/>
          <w:szCs w:val="24"/>
        </w:rPr>
        <w:t xml:space="preserve"> </w:t>
      </w:r>
      <w:r w:rsidRPr="000D096C">
        <w:rPr>
          <w:rFonts w:ascii="Times New Roman" w:hAnsi="Times New Roman" w:cs="Times New Roman"/>
          <w:sz w:val="24"/>
          <w:szCs w:val="24"/>
        </w:rPr>
        <w:t xml:space="preserve">hodnotila korelaci mezi VAI a </w:t>
      </w:r>
      <w:r w:rsidR="00561023" w:rsidRPr="000D096C">
        <w:rPr>
          <w:rFonts w:ascii="Times New Roman" w:hAnsi="Times New Roman" w:cs="Times New Roman"/>
          <w:sz w:val="24"/>
          <w:szCs w:val="24"/>
        </w:rPr>
        <w:t xml:space="preserve">HOMA-IR. VAI </w:t>
      </w:r>
      <w:r w:rsidRPr="000D096C">
        <w:rPr>
          <w:rFonts w:ascii="Times New Roman" w:hAnsi="Times New Roman" w:cs="Times New Roman"/>
          <w:sz w:val="24"/>
          <w:szCs w:val="24"/>
        </w:rPr>
        <w:t xml:space="preserve">se postupně zvyšoval mezi kvartily HOMA-IR </w:t>
      </w:r>
      <w:r w:rsidR="00561023" w:rsidRPr="000D096C">
        <w:rPr>
          <w:rFonts w:ascii="Times New Roman" w:hAnsi="Times New Roman" w:cs="Times New Roman"/>
          <w:sz w:val="24"/>
          <w:szCs w:val="24"/>
        </w:rPr>
        <w:t>a</w:t>
      </w:r>
      <w:r w:rsidR="00762125">
        <w:rPr>
          <w:rFonts w:ascii="Times New Roman" w:hAnsi="Times New Roman" w:cs="Times New Roman"/>
          <w:sz w:val="24"/>
          <w:szCs w:val="24"/>
        </w:rPr>
        <w:t> </w:t>
      </w:r>
      <w:r w:rsidRPr="000D096C">
        <w:rPr>
          <w:rFonts w:ascii="Times New Roman" w:hAnsi="Times New Roman" w:cs="Times New Roman"/>
          <w:sz w:val="24"/>
          <w:szCs w:val="24"/>
        </w:rPr>
        <w:t xml:space="preserve">korelační analýza prokázala </w:t>
      </w:r>
      <w:r w:rsidR="00DE5250" w:rsidRPr="000D096C">
        <w:rPr>
          <w:rFonts w:ascii="Times New Roman" w:hAnsi="Times New Roman" w:cs="Times New Roman"/>
          <w:sz w:val="24"/>
          <w:szCs w:val="24"/>
        </w:rPr>
        <w:t xml:space="preserve">jejich </w:t>
      </w:r>
      <w:r w:rsidRPr="000D096C">
        <w:rPr>
          <w:rFonts w:ascii="Times New Roman" w:hAnsi="Times New Roman" w:cs="Times New Roman"/>
          <w:sz w:val="24"/>
          <w:szCs w:val="24"/>
        </w:rPr>
        <w:t>pozitivní vazbu</w:t>
      </w:r>
      <w:r w:rsidR="00561023" w:rsidRPr="000D096C">
        <w:rPr>
          <w:rFonts w:ascii="Times New Roman" w:hAnsi="Times New Roman" w:cs="Times New Roman"/>
          <w:sz w:val="24"/>
          <w:szCs w:val="24"/>
        </w:rPr>
        <w:t xml:space="preserve">. </w:t>
      </w:r>
      <w:r w:rsidR="00DE5250" w:rsidRPr="000D096C">
        <w:rPr>
          <w:rFonts w:ascii="Times New Roman" w:hAnsi="Times New Roman" w:cs="Times New Roman"/>
          <w:sz w:val="24"/>
          <w:szCs w:val="24"/>
        </w:rPr>
        <w:t>Logistická</w:t>
      </w:r>
      <w:r w:rsidRPr="000D096C">
        <w:rPr>
          <w:rFonts w:ascii="Times New Roman" w:hAnsi="Times New Roman" w:cs="Times New Roman"/>
          <w:sz w:val="24"/>
          <w:szCs w:val="24"/>
        </w:rPr>
        <w:t xml:space="preserve"> </w:t>
      </w:r>
      <w:r w:rsidR="00DE5250" w:rsidRPr="000D096C">
        <w:rPr>
          <w:rFonts w:ascii="Times New Roman" w:hAnsi="Times New Roman" w:cs="Times New Roman"/>
          <w:sz w:val="24"/>
          <w:szCs w:val="24"/>
        </w:rPr>
        <w:t>regrese</w:t>
      </w:r>
      <w:r w:rsidRPr="000D096C">
        <w:rPr>
          <w:rFonts w:ascii="Times New Roman" w:hAnsi="Times New Roman" w:cs="Times New Roman"/>
          <w:sz w:val="24"/>
          <w:szCs w:val="24"/>
        </w:rPr>
        <w:t xml:space="preserve"> dokonce potvrdila roli zvýšeného VAI jakožto hlavního rizikového faktoru pro zvýšení HOMA-IR u obou pohlaví</w:t>
      </w:r>
      <w:r w:rsidR="009E719F" w:rsidRPr="000D096C">
        <w:rPr>
          <w:rFonts w:ascii="Times New Roman" w:hAnsi="Times New Roman" w:cs="Times New Roman"/>
          <w:sz w:val="24"/>
          <w:szCs w:val="24"/>
        </w:rPr>
        <w:t xml:space="preserve"> [11</w:t>
      </w:r>
      <w:r w:rsidR="005B3559">
        <w:rPr>
          <w:rFonts w:ascii="Times New Roman" w:hAnsi="Times New Roman" w:cs="Times New Roman"/>
          <w:sz w:val="24"/>
          <w:szCs w:val="24"/>
        </w:rPr>
        <w:t>9</w:t>
      </w:r>
      <w:r w:rsidR="009E719F" w:rsidRPr="000D096C">
        <w:rPr>
          <w:rFonts w:ascii="Times New Roman" w:hAnsi="Times New Roman" w:cs="Times New Roman"/>
          <w:sz w:val="24"/>
          <w:szCs w:val="24"/>
        </w:rPr>
        <w:t>]</w:t>
      </w:r>
      <w:r w:rsidR="00561023" w:rsidRPr="000D096C">
        <w:rPr>
          <w:rFonts w:ascii="Times New Roman" w:hAnsi="Times New Roman" w:cs="Times New Roman"/>
          <w:sz w:val="24"/>
          <w:szCs w:val="24"/>
        </w:rPr>
        <w:t>. Regresní analýzou provedenou v prezentované</w:t>
      </w:r>
      <w:r w:rsidRPr="000D096C">
        <w:rPr>
          <w:rFonts w:ascii="Times New Roman" w:hAnsi="Times New Roman" w:cs="Times New Roman"/>
          <w:sz w:val="24"/>
          <w:szCs w:val="24"/>
        </w:rPr>
        <w:t xml:space="preserve"> práci</w:t>
      </w:r>
      <w:r w:rsidR="00561023" w:rsidRPr="000D096C">
        <w:rPr>
          <w:rFonts w:ascii="Times New Roman" w:hAnsi="Times New Roman" w:cs="Times New Roman"/>
          <w:sz w:val="24"/>
          <w:szCs w:val="24"/>
        </w:rPr>
        <w:t xml:space="preserve"> významná závislost HOMA-IR na VAI potvrzena nebyla, pouze statisticky vysoce </w:t>
      </w:r>
      <w:r w:rsidR="00EA0A4A">
        <w:rPr>
          <w:rFonts w:ascii="Times New Roman" w:hAnsi="Times New Roman" w:cs="Times New Roman"/>
          <w:sz w:val="24"/>
          <w:szCs w:val="24"/>
        </w:rPr>
        <w:t>významné korelace VAI s LDL</w:t>
      </w:r>
      <w:r w:rsidRPr="000D096C">
        <w:rPr>
          <w:rFonts w:ascii="Times New Roman" w:hAnsi="Times New Roman" w:cs="Times New Roman"/>
          <w:sz w:val="24"/>
          <w:szCs w:val="24"/>
        </w:rPr>
        <w:t>, KM</w:t>
      </w:r>
      <w:r w:rsidR="00561023" w:rsidRPr="000D096C">
        <w:rPr>
          <w:rFonts w:ascii="Times New Roman" w:hAnsi="Times New Roman" w:cs="Times New Roman"/>
          <w:sz w:val="24"/>
          <w:szCs w:val="24"/>
        </w:rPr>
        <w:t xml:space="preserve"> </w:t>
      </w:r>
      <w:r w:rsidR="00A61003" w:rsidRPr="000D096C">
        <w:rPr>
          <w:rFonts w:ascii="Times New Roman" w:hAnsi="Times New Roman" w:cs="Times New Roman"/>
          <w:sz w:val="24"/>
          <w:szCs w:val="24"/>
        </w:rPr>
        <w:t>a TK</w:t>
      </w:r>
      <w:r w:rsidR="00561023" w:rsidRPr="000D096C">
        <w:rPr>
          <w:rFonts w:ascii="Times New Roman" w:hAnsi="Times New Roman" w:cs="Times New Roman"/>
          <w:sz w:val="24"/>
          <w:szCs w:val="24"/>
        </w:rPr>
        <w:t xml:space="preserve"> </w:t>
      </w:r>
      <w:r w:rsidRPr="000D096C">
        <w:rPr>
          <w:rFonts w:ascii="Times New Roman" w:hAnsi="Times New Roman" w:cs="Times New Roman"/>
          <w:sz w:val="24"/>
          <w:szCs w:val="24"/>
        </w:rPr>
        <w:t>u</w:t>
      </w:r>
      <w:r w:rsidR="00BB3FFF">
        <w:rPr>
          <w:rFonts w:ascii="Times New Roman" w:hAnsi="Times New Roman" w:cs="Times New Roman"/>
          <w:sz w:val="24"/>
          <w:szCs w:val="24"/>
        </w:rPr>
        <w:t> </w:t>
      </w:r>
      <w:r w:rsidRPr="000D096C">
        <w:rPr>
          <w:rFonts w:ascii="Times New Roman" w:hAnsi="Times New Roman" w:cs="Times New Roman"/>
          <w:sz w:val="24"/>
          <w:szCs w:val="24"/>
        </w:rPr>
        <w:t xml:space="preserve">jedinců s MetS </w:t>
      </w:r>
      <w:r w:rsidR="002801C2">
        <w:rPr>
          <w:rFonts w:ascii="Times New Roman" w:hAnsi="Times New Roman" w:cs="Times New Roman"/>
          <w:sz w:val="24"/>
          <w:szCs w:val="24"/>
        </w:rPr>
        <w:t>(t</w:t>
      </w:r>
      <w:r w:rsidR="00561023" w:rsidRPr="000D096C">
        <w:rPr>
          <w:rFonts w:ascii="Times New Roman" w:hAnsi="Times New Roman" w:cs="Times New Roman"/>
          <w:sz w:val="24"/>
          <w:szCs w:val="24"/>
        </w:rPr>
        <w:t>ab</w:t>
      </w:r>
      <w:r w:rsidR="002801C2">
        <w:rPr>
          <w:rFonts w:ascii="Times New Roman" w:hAnsi="Times New Roman" w:cs="Times New Roman"/>
          <w:sz w:val="24"/>
          <w:szCs w:val="24"/>
        </w:rPr>
        <w:t>.</w:t>
      </w:r>
      <w:r w:rsidR="002F17EA" w:rsidRPr="000D096C">
        <w:rPr>
          <w:rFonts w:ascii="Times New Roman" w:hAnsi="Times New Roman" w:cs="Times New Roman"/>
          <w:sz w:val="24"/>
          <w:szCs w:val="24"/>
        </w:rPr>
        <w:t xml:space="preserve"> </w:t>
      </w:r>
      <w:r w:rsidR="001B4449" w:rsidRPr="000D096C">
        <w:rPr>
          <w:rFonts w:ascii="Times New Roman" w:hAnsi="Times New Roman" w:cs="Times New Roman"/>
          <w:sz w:val="24"/>
          <w:szCs w:val="24"/>
        </w:rPr>
        <w:t>3</w:t>
      </w:r>
      <w:r w:rsidR="00561023" w:rsidRPr="000D096C">
        <w:rPr>
          <w:rFonts w:ascii="Times New Roman" w:hAnsi="Times New Roman" w:cs="Times New Roman"/>
          <w:sz w:val="24"/>
          <w:szCs w:val="24"/>
        </w:rPr>
        <w:t>).</w:t>
      </w:r>
    </w:p>
    <w:p w:rsidR="00561023" w:rsidRPr="000D096C" w:rsidRDefault="00561023" w:rsidP="004567D5">
      <w:pPr>
        <w:pStyle w:val="Bezmezer"/>
        <w:spacing w:line="360" w:lineRule="auto"/>
        <w:ind w:firstLine="708"/>
        <w:jc w:val="both"/>
        <w:rPr>
          <w:rFonts w:ascii="Times New Roman" w:hAnsi="Times New Roman" w:cs="Times New Roman"/>
          <w:sz w:val="24"/>
          <w:szCs w:val="24"/>
        </w:rPr>
      </w:pPr>
      <w:r w:rsidRPr="000D096C">
        <w:rPr>
          <w:rFonts w:ascii="Times New Roman" w:hAnsi="Times New Roman" w:cs="Times New Roman"/>
          <w:sz w:val="24"/>
          <w:szCs w:val="24"/>
        </w:rPr>
        <w:t xml:space="preserve">Tato práce má své limitace. Mezi ně patří skutečnost, že </w:t>
      </w:r>
      <w:r w:rsidR="004E138D">
        <w:rPr>
          <w:rFonts w:ascii="Times New Roman" w:hAnsi="Times New Roman" w:cs="Times New Roman"/>
          <w:sz w:val="24"/>
          <w:szCs w:val="24"/>
        </w:rPr>
        <w:t>vycházela</w:t>
      </w:r>
      <w:r w:rsidRPr="000D096C">
        <w:rPr>
          <w:rFonts w:ascii="Times New Roman" w:hAnsi="Times New Roman" w:cs="Times New Roman"/>
          <w:sz w:val="24"/>
          <w:szCs w:val="24"/>
        </w:rPr>
        <w:t xml:space="preserve"> z jednorázových laboratorních měření, čímž mohlo dojít ke zkreslení vlivem přirozené intraindividuální variability vyšetřovaných parametrů, dobře známé například u lačné glykémie</w:t>
      </w:r>
      <w:r w:rsidR="00DE5250" w:rsidRPr="000D096C">
        <w:rPr>
          <w:rFonts w:ascii="Times New Roman" w:hAnsi="Times New Roman" w:cs="Times New Roman"/>
          <w:sz w:val="24"/>
          <w:szCs w:val="24"/>
        </w:rPr>
        <w:t xml:space="preserve"> </w:t>
      </w:r>
      <w:r w:rsidR="005B3559">
        <w:rPr>
          <w:rFonts w:ascii="Times New Roman" w:hAnsi="Times New Roman" w:cs="Times New Roman"/>
          <w:sz w:val="24"/>
          <w:szCs w:val="24"/>
        </w:rPr>
        <w:t>[120</w:t>
      </w:r>
      <w:r w:rsidR="009E719F" w:rsidRPr="000D096C">
        <w:rPr>
          <w:rFonts w:ascii="Times New Roman" w:hAnsi="Times New Roman" w:cs="Times New Roman"/>
          <w:sz w:val="24"/>
          <w:szCs w:val="24"/>
        </w:rPr>
        <w:t>]</w:t>
      </w:r>
      <w:r w:rsidRPr="000D096C">
        <w:rPr>
          <w:rFonts w:ascii="Times New Roman" w:hAnsi="Times New Roman" w:cs="Times New Roman"/>
          <w:sz w:val="24"/>
          <w:szCs w:val="24"/>
        </w:rPr>
        <w:t>.</w:t>
      </w:r>
      <w:r w:rsidR="00B4399B" w:rsidRPr="000D096C">
        <w:rPr>
          <w:rFonts w:ascii="Times New Roman" w:hAnsi="Times New Roman" w:cs="Times New Roman"/>
          <w:sz w:val="24"/>
          <w:szCs w:val="24"/>
        </w:rPr>
        <w:t xml:space="preserve"> Další limitací je rozšíření dlouhodobé antihypertenzní a hypolipidemické léčby zejména v MetS skupině s jejím možným ovlivněním hodnot sérových </w:t>
      </w:r>
      <w:r w:rsidR="00D27298" w:rsidRPr="000D096C">
        <w:rPr>
          <w:rFonts w:ascii="Times New Roman" w:hAnsi="Times New Roman" w:cs="Times New Roman"/>
          <w:sz w:val="24"/>
          <w:szCs w:val="24"/>
        </w:rPr>
        <w:t xml:space="preserve">lipidů a hodnot </w:t>
      </w:r>
      <w:r w:rsidR="00A61003" w:rsidRPr="000D096C">
        <w:rPr>
          <w:rFonts w:ascii="Times New Roman" w:hAnsi="Times New Roman" w:cs="Times New Roman"/>
          <w:sz w:val="24"/>
          <w:szCs w:val="24"/>
        </w:rPr>
        <w:t>TK</w:t>
      </w:r>
      <w:r w:rsidR="00973443">
        <w:rPr>
          <w:rFonts w:ascii="Times New Roman" w:hAnsi="Times New Roman" w:cs="Times New Roman"/>
          <w:sz w:val="24"/>
          <w:szCs w:val="24"/>
        </w:rPr>
        <w:t xml:space="preserve"> (detailněji v kapitole 2.3.3)</w:t>
      </w:r>
      <w:r w:rsidR="00D27298" w:rsidRPr="000D096C">
        <w:rPr>
          <w:rFonts w:ascii="Times New Roman" w:hAnsi="Times New Roman" w:cs="Times New Roman"/>
          <w:sz w:val="24"/>
          <w:szCs w:val="24"/>
        </w:rPr>
        <w:t>.</w:t>
      </w:r>
    </w:p>
    <w:p w:rsidR="00017A9D" w:rsidRPr="000D096C" w:rsidRDefault="008D2DEE" w:rsidP="004567D5">
      <w:pPr>
        <w:pStyle w:val="Nadpis3"/>
        <w:spacing w:line="360" w:lineRule="auto"/>
        <w:rPr>
          <w:rFonts w:cs="Times New Roman"/>
        </w:rPr>
      </w:pPr>
      <w:bookmarkStart w:id="111" w:name="_Toc33432688"/>
      <w:bookmarkStart w:id="112" w:name="_Toc33432908"/>
      <w:bookmarkStart w:id="113" w:name="_Toc33869547"/>
      <w:r w:rsidRPr="000D096C">
        <w:rPr>
          <w:rFonts w:cs="Times New Roman"/>
        </w:rPr>
        <w:t>Shrnutí výsledků</w:t>
      </w:r>
      <w:bookmarkEnd w:id="111"/>
      <w:bookmarkEnd w:id="112"/>
      <w:bookmarkEnd w:id="113"/>
    </w:p>
    <w:p w:rsidR="008D2DEE" w:rsidRPr="000D096C" w:rsidRDefault="008D2DEE" w:rsidP="004567D5">
      <w:pPr>
        <w:spacing w:line="360" w:lineRule="auto"/>
        <w:ind w:firstLine="578"/>
        <w:jc w:val="both"/>
        <w:rPr>
          <w:rFonts w:ascii="Times New Roman" w:hAnsi="Times New Roman" w:cs="Times New Roman"/>
          <w:sz w:val="24"/>
          <w:szCs w:val="24"/>
        </w:rPr>
      </w:pPr>
      <w:r w:rsidRPr="000D096C">
        <w:rPr>
          <w:rFonts w:ascii="Times New Roman" w:hAnsi="Times New Roman" w:cs="Times New Roman"/>
          <w:sz w:val="24"/>
          <w:szCs w:val="24"/>
        </w:rPr>
        <w:t>Korelační i regresní analýza prokázala významnou asociaci některých rutinně vyšetřovaných parametrů a homeostatických indexů. V</w:t>
      </w:r>
      <w:r w:rsidR="00A61003" w:rsidRPr="000D096C">
        <w:rPr>
          <w:rFonts w:ascii="Times New Roman" w:hAnsi="Times New Roman" w:cs="Times New Roman"/>
          <w:sz w:val="24"/>
          <w:szCs w:val="24"/>
        </w:rPr>
        <w:t>edle systolického TK</w:t>
      </w:r>
      <w:r w:rsidRPr="000D096C">
        <w:rPr>
          <w:rFonts w:ascii="Times New Roman" w:hAnsi="Times New Roman" w:cs="Times New Roman"/>
          <w:sz w:val="24"/>
          <w:szCs w:val="24"/>
        </w:rPr>
        <w:t xml:space="preserve"> by</w:t>
      </w:r>
      <w:r w:rsidR="004F48C6" w:rsidRPr="000D096C">
        <w:rPr>
          <w:rFonts w:ascii="Times New Roman" w:hAnsi="Times New Roman" w:cs="Times New Roman"/>
          <w:sz w:val="24"/>
          <w:szCs w:val="24"/>
        </w:rPr>
        <w:t>ly významným prediktorem</w:t>
      </w:r>
      <w:r w:rsidRPr="000D096C">
        <w:rPr>
          <w:rFonts w:ascii="Times New Roman" w:hAnsi="Times New Roman" w:cs="Times New Roman"/>
          <w:sz w:val="24"/>
          <w:szCs w:val="24"/>
        </w:rPr>
        <w:t xml:space="preserve"> HOMA-IR i ALT a OP, u něhož bylo v regresní analýze dosaženo nejvyšší statistické významnosti. Vazba OP k HOMA-</w:t>
      </w:r>
      <w:r w:rsidR="00E64B38" w:rsidRPr="000D096C">
        <w:rPr>
          <w:rFonts w:ascii="Times New Roman" w:hAnsi="Times New Roman" w:cs="Times New Roman"/>
          <w:sz w:val="24"/>
          <w:szCs w:val="24"/>
        </w:rPr>
        <w:t>IR je</w:t>
      </w:r>
      <w:r w:rsidRPr="000D096C">
        <w:rPr>
          <w:rFonts w:ascii="Times New Roman" w:hAnsi="Times New Roman" w:cs="Times New Roman"/>
          <w:sz w:val="24"/>
          <w:szCs w:val="24"/>
        </w:rPr>
        <w:t xml:space="preserve"> silnější</w:t>
      </w:r>
      <w:r w:rsidR="00E64B38" w:rsidRPr="000D096C">
        <w:rPr>
          <w:rFonts w:ascii="Times New Roman" w:hAnsi="Times New Roman" w:cs="Times New Roman"/>
          <w:sz w:val="24"/>
          <w:szCs w:val="24"/>
        </w:rPr>
        <w:t xml:space="preserve"> v přítomnosti </w:t>
      </w:r>
      <w:r w:rsidR="00E64B38" w:rsidRPr="000D096C">
        <w:rPr>
          <w:rFonts w:ascii="Times New Roman" w:hAnsi="Times New Roman" w:cs="Times New Roman"/>
          <w:sz w:val="24"/>
          <w:szCs w:val="24"/>
        </w:rPr>
        <w:lastRenderedPageBreak/>
        <w:t>MetS</w:t>
      </w:r>
      <w:r w:rsidRPr="000D096C">
        <w:rPr>
          <w:rFonts w:ascii="Times New Roman" w:hAnsi="Times New Roman" w:cs="Times New Roman"/>
          <w:sz w:val="24"/>
          <w:szCs w:val="24"/>
        </w:rPr>
        <w:t xml:space="preserve">, jak naznačilo srovnání výsledků </w:t>
      </w:r>
      <w:r w:rsidR="00E64B38" w:rsidRPr="000D096C">
        <w:rPr>
          <w:rFonts w:ascii="Times New Roman" w:hAnsi="Times New Roman" w:cs="Times New Roman"/>
          <w:sz w:val="24"/>
          <w:szCs w:val="24"/>
        </w:rPr>
        <w:t xml:space="preserve">korelační analýzy </w:t>
      </w:r>
      <w:r w:rsidRPr="000D096C">
        <w:rPr>
          <w:rFonts w:ascii="Times New Roman" w:hAnsi="Times New Roman" w:cs="Times New Roman"/>
          <w:sz w:val="24"/>
          <w:szCs w:val="24"/>
        </w:rPr>
        <w:t xml:space="preserve">mezi oběma studovanými skupinami. </w:t>
      </w:r>
      <w:r w:rsidR="00E64B38" w:rsidRPr="000D096C">
        <w:rPr>
          <w:rFonts w:ascii="Times New Roman" w:hAnsi="Times New Roman" w:cs="Times New Roman"/>
          <w:sz w:val="24"/>
          <w:szCs w:val="24"/>
        </w:rPr>
        <w:t xml:space="preserve">Proto cílené zhodnocení těchto běžných a snadno dostupných parametrů může složit k odhadu </w:t>
      </w:r>
      <w:r w:rsidR="004F48C6" w:rsidRPr="000D096C">
        <w:rPr>
          <w:rFonts w:ascii="Times New Roman" w:hAnsi="Times New Roman" w:cs="Times New Roman"/>
          <w:sz w:val="24"/>
          <w:szCs w:val="24"/>
        </w:rPr>
        <w:t xml:space="preserve">stupně </w:t>
      </w:r>
      <w:r w:rsidR="00E64B38" w:rsidRPr="000D096C">
        <w:rPr>
          <w:rFonts w:ascii="Times New Roman" w:hAnsi="Times New Roman" w:cs="Times New Roman"/>
          <w:sz w:val="24"/>
          <w:szCs w:val="24"/>
        </w:rPr>
        <w:t>rozvoje IR bez nutnosti nákladnější analýzy hladiny inzulínu v krvi.</w:t>
      </w:r>
      <w:r w:rsidR="00E90440" w:rsidRPr="000D096C">
        <w:rPr>
          <w:rFonts w:ascii="Times New Roman" w:hAnsi="Times New Roman" w:cs="Times New Roman"/>
          <w:sz w:val="24"/>
          <w:szCs w:val="24"/>
        </w:rPr>
        <w:t xml:space="preserve"> Pozitivními prediktory HOMA-β byly OP a ALT, inverzní vztah s tímto homeo</w:t>
      </w:r>
      <w:r w:rsidR="004F48C6" w:rsidRPr="000D096C">
        <w:rPr>
          <w:rFonts w:ascii="Times New Roman" w:hAnsi="Times New Roman" w:cs="Times New Roman"/>
          <w:sz w:val="24"/>
          <w:szCs w:val="24"/>
        </w:rPr>
        <w:t>statickým indexem byl potvrzen pro věk</w:t>
      </w:r>
      <w:r w:rsidR="00E90440" w:rsidRPr="000D096C">
        <w:rPr>
          <w:rFonts w:ascii="Times New Roman" w:hAnsi="Times New Roman" w:cs="Times New Roman"/>
          <w:sz w:val="24"/>
          <w:szCs w:val="24"/>
        </w:rPr>
        <w:t xml:space="preserve"> studovaných jedinců.</w:t>
      </w:r>
    </w:p>
    <w:p w:rsidR="00776666" w:rsidRPr="000D096C" w:rsidRDefault="00D47010" w:rsidP="00C97500">
      <w:pPr>
        <w:pStyle w:val="Nadpis2"/>
      </w:pPr>
      <w:bookmarkStart w:id="114" w:name="_Toc33432689"/>
      <w:bookmarkStart w:id="115" w:name="_Toc33432909"/>
      <w:bookmarkStart w:id="116" w:name="_Toc33869548"/>
      <w:r w:rsidRPr="000D096C">
        <w:t xml:space="preserve">Analytická část B – </w:t>
      </w:r>
      <w:r w:rsidR="0088437C" w:rsidRPr="000D096C">
        <w:t xml:space="preserve">Vztah </w:t>
      </w:r>
      <w:r w:rsidR="009D0199" w:rsidRPr="000D096C">
        <w:t>v</w:t>
      </w:r>
      <w:r w:rsidR="0088437C" w:rsidRPr="000D096C">
        <w:t>isceral adiposity index</w:t>
      </w:r>
      <w:r w:rsidR="004E138D">
        <w:t>u</w:t>
      </w:r>
      <w:r w:rsidR="0088437C" w:rsidRPr="000D096C">
        <w:t xml:space="preserve"> a</w:t>
      </w:r>
      <w:r w:rsidR="00762125">
        <w:t> </w:t>
      </w:r>
      <w:r w:rsidR="0088437C" w:rsidRPr="000D096C">
        <w:t>homeostatického indexu HOMA-IR</w:t>
      </w:r>
      <w:bookmarkEnd w:id="114"/>
      <w:bookmarkEnd w:id="115"/>
      <w:bookmarkEnd w:id="116"/>
    </w:p>
    <w:p w:rsidR="00D47010" w:rsidRPr="000D096C" w:rsidRDefault="00D47010" w:rsidP="004567D5">
      <w:pPr>
        <w:pStyle w:val="Nadpis3"/>
        <w:spacing w:line="360" w:lineRule="auto"/>
        <w:rPr>
          <w:rFonts w:cs="Times New Roman"/>
        </w:rPr>
      </w:pPr>
      <w:bookmarkStart w:id="117" w:name="_Toc33432690"/>
      <w:bookmarkStart w:id="118" w:name="_Toc33432910"/>
      <w:bookmarkStart w:id="119" w:name="_Toc33869549"/>
      <w:r w:rsidRPr="000D096C">
        <w:rPr>
          <w:rFonts w:cs="Times New Roman"/>
        </w:rPr>
        <w:t>Metodika</w:t>
      </w:r>
      <w:bookmarkEnd w:id="117"/>
      <w:bookmarkEnd w:id="118"/>
      <w:bookmarkEnd w:id="119"/>
    </w:p>
    <w:p w:rsidR="00D47010" w:rsidRPr="000D096C" w:rsidRDefault="00D47010" w:rsidP="00E319B2">
      <w:pPr>
        <w:pStyle w:val="Nadpis4"/>
      </w:pPr>
      <w:r w:rsidRPr="000D096C">
        <w:t>Soubor</w:t>
      </w:r>
    </w:p>
    <w:p w:rsidR="00D47010" w:rsidRPr="000D096C" w:rsidRDefault="00D47010"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00C973D1" w:rsidRPr="000D096C">
        <w:rPr>
          <w:rFonts w:ascii="Times New Roman" w:hAnsi="Times New Roman" w:cs="Times New Roman"/>
          <w:sz w:val="24"/>
          <w:szCs w:val="24"/>
        </w:rPr>
        <w:t xml:space="preserve">Pro naplnění uvedených cílů byly </w:t>
      </w:r>
      <w:r w:rsidR="00077708" w:rsidRPr="000D096C">
        <w:rPr>
          <w:rFonts w:ascii="Times New Roman" w:hAnsi="Times New Roman" w:cs="Times New Roman"/>
          <w:sz w:val="24"/>
          <w:szCs w:val="24"/>
        </w:rPr>
        <w:t xml:space="preserve">vstupně </w:t>
      </w:r>
      <w:r w:rsidR="00C973D1" w:rsidRPr="000D096C">
        <w:rPr>
          <w:rFonts w:ascii="Times New Roman" w:hAnsi="Times New Roman" w:cs="Times New Roman"/>
          <w:sz w:val="24"/>
          <w:szCs w:val="24"/>
        </w:rPr>
        <w:t xml:space="preserve">využity stejné soubory osob jako </w:t>
      </w:r>
      <w:r w:rsidR="004E138D">
        <w:rPr>
          <w:rFonts w:ascii="Times New Roman" w:hAnsi="Times New Roman" w:cs="Times New Roman"/>
          <w:sz w:val="24"/>
          <w:szCs w:val="24"/>
        </w:rPr>
        <w:t>v a</w:t>
      </w:r>
      <w:r w:rsidR="00C973D1" w:rsidRPr="000D096C">
        <w:rPr>
          <w:rFonts w:ascii="Times New Roman" w:hAnsi="Times New Roman" w:cs="Times New Roman"/>
          <w:sz w:val="24"/>
          <w:szCs w:val="24"/>
        </w:rPr>
        <w:t>nalytické části A. Šlo tedy jak o</w:t>
      </w:r>
      <w:r w:rsidR="00470EDC" w:rsidRPr="000D096C">
        <w:rPr>
          <w:rFonts w:ascii="Times New Roman" w:hAnsi="Times New Roman" w:cs="Times New Roman"/>
          <w:sz w:val="24"/>
          <w:szCs w:val="24"/>
        </w:rPr>
        <w:t xml:space="preserve"> 188 jedinců</w:t>
      </w:r>
      <w:r w:rsidR="00C973D1" w:rsidRPr="000D096C">
        <w:rPr>
          <w:rFonts w:ascii="Times New Roman" w:hAnsi="Times New Roman" w:cs="Times New Roman"/>
          <w:sz w:val="24"/>
          <w:szCs w:val="24"/>
        </w:rPr>
        <w:t xml:space="preserve"> s MetS</w:t>
      </w:r>
      <w:r w:rsidR="00470EDC" w:rsidRPr="000D096C">
        <w:rPr>
          <w:rFonts w:ascii="Times New Roman" w:hAnsi="Times New Roman" w:cs="Times New Roman"/>
          <w:sz w:val="24"/>
          <w:szCs w:val="24"/>
        </w:rPr>
        <w:t xml:space="preserve"> rekrutovaných</w:t>
      </w:r>
      <w:r w:rsidR="00077708" w:rsidRPr="000D096C">
        <w:rPr>
          <w:rFonts w:ascii="Times New Roman" w:hAnsi="Times New Roman" w:cs="Times New Roman"/>
          <w:sz w:val="24"/>
          <w:szCs w:val="24"/>
        </w:rPr>
        <w:t xml:space="preserve"> ve dvou </w:t>
      </w:r>
      <w:r w:rsidR="00C973D1" w:rsidRPr="000D096C">
        <w:rPr>
          <w:rFonts w:ascii="Times New Roman" w:hAnsi="Times New Roman" w:cs="Times New Roman"/>
          <w:sz w:val="24"/>
          <w:szCs w:val="24"/>
        </w:rPr>
        <w:t xml:space="preserve">ordinacích </w:t>
      </w:r>
      <w:r w:rsidR="007B01F9" w:rsidRPr="000D096C">
        <w:rPr>
          <w:rFonts w:ascii="Times New Roman" w:hAnsi="Times New Roman" w:cs="Times New Roman"/>
          <w:sz w:val="24"/>
          <w:szCs w:val="24"/>
        </w:rPr>
        <w:t xml:space="preserve">všeobecných </w:t>
      </w:r>
      <w:r w:rsidR="00C973D1" w:rsidRPr="000D096C">
        <w:rPr>
          <w:rFonts w:ascii="Times New Roman" w:hAnsi="Times New Roman" w:cs="Times New Roman"/>
          <w:sz w:val="24"/>
          <w:szCs w:val="24"/>
        </w:rPr>
        <w:t xml:space="preserve">praktických lékařů v Pardubickém </w:t>
      </w:r>
      <w:r w:rsidR="001314A7" w:rsidRPr="000D096C">
        <w:rPr>
          <w:rFonts w:ascii="Times New Roman" w:hAnsi="Times New Roman" w:cs="Times New Roman"/>
          <w:sz w:val="24"/>
          <w:szCs w:val="24"/>
        </w:rPr>
        <w:t xml:space="preserve">kraji, tak o </w:t>
      </w:r>
      <w:r w:rsidR="00470EDC" w:rsidRPr="000D096C">
        <w:rPr>
          <w:rFonts w:ascii="Times New Roman" w:hAnsi="Times New Roman" w:cs="Times New Roman"/>
          <w:sz w:val="24"/>
          <w:szCs w:val="24"/>
        </w:rPr>
        <w:t xml:space="preserve">687 </w:t>
      </w:r>
      <w:r w:rsidR="001314A7" w:rsidRPr="000D096C">
        <w:rPr>
          <w:rFonts w:ascii="Times New Roman" w:hAnsi="Times New Roman" w:cs="Times New Roman"/>
          <w:sz w:val="24"/>
          <w:szCs w:val="24"/>
        </w:rPr>
        <w:t>ambulantní</w:t>
      </w:r>
      <w:r w:rsidR="00470EDC" w:rsidRPr="000D096C">
        <w:rPr>
          <w:rFonts w:ascii="Times New Roman" w:hAnsi="Times New Roman" w:cs="Times New Roman"/>
          <w:sz w:val="24"/>
          <w:szCs w:val="24"/>
        </w:rPr>
        <w:t>ch pacientů</w:t>
      </w:r>
      <w:r w:rsidR="00973443">
        <w:rPr>
          <w:rFonts w:ascii="Times New Roman" w:hAnsi="Times New Roman" w:cs="Times New Roman"/>
          <w:sz w:val="24"/>
          <w:szCs w:val="24"/>
        </w:rPr>
        <w:t xml:space="preserve"> III. i</w:t>
      </w:r>
      <w:r w:rsidR="001314A7" w:rsidRPr="000D096C">
        <w:rPr>
          <w:rFonts w:ascii="Times New Roman" w:hAnsi="Times New Roman" w:cs="Times New Roman"/>
          <w:sz w:val="24"/>
          <w:szCs w:val="24"/>
        </w:rPr>
        <w:t>nterní klin</w:t>
      </w:r>
      <w:r w:rsidR="00022E19" w:rsidRPr="000D096C">
        <w:rPr>
          <w:rFonts w:ascii="Times New Roman" w:hAnsi="Times New Roman" w:cs="Times New Roman"/>
          <w:sz w:val="24"/>
          <w:szCs w:val="24"/>
        </w:rPr>
        <w:t>iky Fakultní nemocnice Olomouc</w:t>
      </w:r>
      <w:r w:rsidR="001314A7" w:rsidRPr="000D096C">
        <w:rPr>
          <w:rFonts w:ascii="Times New Roman" w:hAnsi="Times New Roman" w:cs="Times New Roman"/>
          <w:sz w:val="24"/>
          <w:szCs w:val="24"/>
        </w:rPr>
        <w:t xml:space="preserve">. Ze záznamů </w:t>
      </w:r>
      <w:r w:rsidR="0081079A" w:rsidRPr="000D096C">
        <w:rPr>
          <w:rFonts w:ascii="Times New Roman" w:hAnsi="Times New Roman" w:cs="Times New Roman"/>
          <w:sz w:val="24"/>
          <w:szCs w:val="24"/>
        </w:rPr>
        <w:t xml:space="preserve">všech </w:t>
      </w:r>
      <w:r w:rsidR="001314A7" w:rsidRPr="000D096C">
        <w:rPr>
          <w:rFonts w:ascii="Times New Roman" w:hAnsi="Times New Roman" w:cs="Times New Roman"/>
          <w:sz w:val="24"/>
          <w:szCs w:val="24"/>
        </w:rPr>
        <w:t xml:space="preserve">osob, u nichž byly </w:t>
      </w:r>
      <w:r w:rsidR="0081079A" w:rsidRPr="000D096C">
        <w:rPr>
          <w:rFonts w:ascii="Times New Roman" w:hAnsi="Times New Roman" w:cs="Times New Roman"/>
          <w:sz w:val="24"/>
          <w:szCs w:val="24"/>
        </w:rPr>
        <w:t>známy</w:t>
      </w:r>
      <w:r w:rsidR="004F48C6" w:rsidRPr="000D096C">
        <w:rPr>
          <w:rFonts w:ascii="Times New Roman" w:hAnsi="Times New Roman" w:cs="Times New Roman"/>
          <w:sz w:val="24"/>
          <w:szCs w:val="24"/>
        </w:rPr>
        <w:t xml:space="preserve"> pro následnou analýzu nezbytné</w:t>
      </w:r>
      <w:r w:rsidR="00C87DA6" w:rsidRPr="000D096C">
        <w:rPr>
          <w:rFonts w:ascii="Times New Roman" w:hAnsi="Times New Roman" w:cs="Times New Roman"/>
          <w:sz w:val="24"/>
          <w:szCs w:val="24"/>
        </w:rPr>
        <w:t xml:space="preserve"> údaje</w:t>
      </w:r>
      <w:r w:rsidR="008A6B91" w:rsidRPr="000D096C">
        <w:rPr>
          <w:rFonts w:ascii="Times New Roman" w:hAnsi="Times New Roman" w:cs="Times New Roman"/>
          <w:sz w:val="24"/>
          <w:szCs w:val="24"/>
        </w:rPr>
        <w:t>,</w:t>
      </w:r>
      <w:r w:rsidR="001314A7" w:rsidRPr="000D096C">
        <w:rPr>
          <w:rFonts w:ascii="Times New Roman" w:hAnsi="Times New Roman" w:cs="Times New Roman"/>
          <w:sz w:val="24"/>
          <w:szCs w:val="24"/>
        </w:rPr>
        <w:t xml:space="preserve"> byla sestavena databá</w:t>
      </w:r>
      <w:r w:rsidR="00983A66" w:rsidRPr="000D096C">
        <w:rPr>
          <w:rFonts w:ascii="Times New Roman" w:hAnsi="Times New Roman" w:cs="Times New Roman"/>
          <w:sz w:val="24"/>
          <w:szCs w:val="24"/>
        </w:rPr>
        <w:t xml:space="preserve">ze zahrnující </w:t>
      </w:r>
      <w:r w:rsidR="00E17F07" w:rsidRPr="000D096C">
        <w:rPr>
          <w:rFonts w:ascii="Times New Roman" w:hAnsi="Times New Roman" w:cs="Times New Roman"/>
          <w:sz w:val="24"/>
          <w:szCs w:val="24"/>
        </w:rPr>
        <w:t>783 osob (357 žen a</w:t>
      </w:r>
      <w:r w:rsidR="001314A7" w:rsidRPr="000D096C">
        <w:rPr>
          <w:rFonts w:ascii="Times New Roman" w:hAnsi="Times New Roman" w:cs="Times New Roman"/>
          <w:sz w:val="24"/>
          <w:szCs w:val="24"/>
        </w:rPr>
        <w:t xml:space="preserve"> 426 mužů)</w:t>
      </w:r>
      <w:r w:rsidR="00983A66" w:rsidRPr="000D096C">
        <w:rPr>
          <w:rFonts w:ascii="Times New Roman" w:hAnsi="Times New Roman" w:cs="Times New Roman"/>
          <w:sz w:val="24"/>
          <w:szCs w:val="24"/>
        </w:rPr>
        <w:t xml:space="preserve">. </w:t>
      </w:r>
      <w:r w:rsidR="00822E7E" w:rsidRPr="000D096C">
        <w:rPr>
          <w:rFonts w:ascii="Times New Roman" w:hAnsi="Times New Roman" w:cs="Times New Roman"/>
          <w:sz w:val="24"/>
          <w:szCs w:val="24"/>
        </w:rPr>
        <w:t xml:space="preserve">Průměrný věk osob v databázi byl 46 let. </w:t>
      </w:r>
      <w:r w:rsidR="00723BA1" w:rsidRPr="000D096C">
        <w:rPr>
          <w:rFonts w:ascii="Times New Roman" w:hAnsi="Times New Roman" w:cs="Times New Roman"/>
          <w:sz w:val="24"/>
          <w:szCs w:val="24"/>
        </w:rPr>
        <w:t>Antropometrická měření i</w:t>
      </w:r>
      <w:r w:rsidR="00762125">
        <w:rPr>
          <w:rFonts w:ascii="Times New Roman" w:hAnsi="Times New Roman" w:cs="Times New Roman"/>
          <w:sz w:val="24"/>
          <w:szCs w:val="24"/>
        </w:rPr>
        <w:t> </w:t>
      </w:r>
      <w:r w:rsidR="00723BA1" w:rsidRPr="000D096C">
        <w:rPr>
          <w:rFonts w:ascii="Times New Roman" w:hAnsi="Times New Roman" w:cs="Times New Roman"/>
          <w:sz w:val="24"/>
          <w:szCs w:val="24"/>
        </w:rPr>
        <w:t>odběr krve probíhal</w:t>
      </w:r>
      <w:r w:rsidR="00302484" w:rsidRPr="000D096C">
        <w:rPr>
          <w:rFonts w:ascii="Times New Roman" w:hAnsi="Times New Roman" w:cs="Times New Roman"/>
          <w:sz w:val="24"/>
          <w:szCs w:val="24"/>
        </w:rPr>
        <w:t>y</w:t>
      </w:r>
      <w:r w:rsidR="00723BA1" w:rsidRPr="000D096C">
        <w:rPr>
          <w:rFonts w:ascii="Times New Roman" w:hAnsi="Times New Roman" w:cs="Times New Roman"/>
          <w:sz w:val="24"/>
          <w:szCs w:val="24"/>
        </w:rPr>
        <w:t xml:space="preserve"> způsobem pospaným v </w:t>
      </w:r>
      <w:r w:rsidR="00F54861">
        <w:rPr>
          <w:rFonts w:ascii="Times New Roman" w:hAnsi="Times New Roman" w:cs="Times New Roman"/>
          <w:sz w:val="24"/>
          <w:szCs w:val="24"/>
        </w:rPr>
        <w:t>a</w:t>
      </w:r>
      <w:r w:rsidR="00723BA1" w:rsidRPr="000D096C">
        <w:rPr>
          <w:rFonts w:ascii="Times New Roman" w:hAnsi="Times New Roman" w:cs="Times New Roman"/>
          <w:sz w:val="24"/>
          <w:szCs w:val="24"/>
        </w:rPr>
        <w:t xml:space="preserve">nalytické části A. </w:t>
      </w:r>
      <w:r w:rsidR="006426FF" w:rsidRPr="000D096C">
        <w:rPr>
          <w:rFonts w:ascii="Times New Roman" w:hAnsi="Times New Roman" w:cs="Times New Roman"/>
          <w:sz w:val="24"/>
          <w:szCs w:val="24"/>
        </w:rPr>
        <w:t>Na základě p</w:t>
      </w:r>
      <w:r w:rsidR="005E2A5B" w:rsidRPr="000D096C">
        <w:rPr>
          <w:rFonts w:ascii="Times New Roman" w:hAnsi="Times New Roman" w:cs="Times New Roman"/>
          <w:sz w:val="24"/>
          <w:szCs w:val="24"/>
        </w:rPr>
        <w:t>očtu komponent MetS s využitím IDF harmonizované</w:t>
      </w:r>
      <w:r w:rsidR="006426FF" w:rsidRPr="000D096C">
        <w:rPr>
          <w:rFonts w:ascii="Times New Roman" w:hAnsi="Times New Roman" w:cs="Times New Roman"/>
          <w:sz w:val="24"/>
          <w:szCs w:val="24"/>
        </w:rPr>
        <w:t xml:space="preserve"> </w:t>
      </w:r>
      <w:r w:rsidR="005E2A5B" w:rsidRPr="000D096C">
        <w:rPr>
          <w:rFonts w:ascii="Times New Roman" w:hAnsi="Times New Roman" w:cs="Times New Roman"/>
          <w:sz w:val="24"/>
          <w:szCs w:val="24"/>
        </w:rPr>
        <w:t xml:space="preserve">definice z roku 2009 </w:t>
      </w:r>
      <w:r w:rsidR="00AB6994" w:rsidRPr="000D096C">
        <w:rPr>
          <w:rFonts w:ascii="Times New Roman" w:hAnsi="Times New Roman" w:cs="Times New Roman"/>
          <w:sz w:val="24"/>
          <w:szCs w:val="24"/>
        </w:rPr>
        <w:t>(kapitola 1.2.2</w:t>
      </w:r>
      <w:r w:rsidR="006426FF" w:rsidRPr="000D096C">
        <w:rPr>
          <w:rFonts w:ascii="Times New Roman" w:hAnsi="Times New Roman" w:cs="Times New Roman"/>
          <w:sz w:val="24"/>
          <w:szCs w:val="24"/>
        </w:rPr>
        <w:t>)</w:t>
      </w:r>
      <w:r w:rsidR="005E2A5B" w:rsidRPr="000D096C">
        <w:rPr>
          <w:rFonts w:ascii="Times New Roman" w:hAnsi="Times New Roman" w:cs="Times New Roman"/>
          <w:sz w:val="24"/>
          <w:szCs w:val="24"/>
        </w:rPr>
        <w:t xml:space="preserve"> [7]</w:t>
      </w:r>
      <w:r w:rsidR="006426FF" w:rsidRPr="000D096C">
        <w:rPr>
          <w:rFonts w:ascii="Times New Roman" w:hAnsi="Times New Roman" w:cs="Times New Roman"/>
          <w:sz w:val="24"/>
          <w:szCs w:val="24"/>
        </w:rPr>
        <w:t xml:space="preserve"> byly všechny osoby databáze rozděleny do třech násedujícíh skupin: Skupina A (žádná nebo jedna </w:t>
      </w:r>
      <w:r w:rsidR="0030721E" w:rsidRPr="000D096C">
        <w:rPr>
          <w:rFonts w:ascii="Times New Roman" w:hAnsi="Times New Roman" w:cs="Times New Roman"/>
          <w:sz w:val="24"/>
          <w:szCs w:val="24"/>
        </w:rPr>
        <w:t xml:space="preserve">přítomná </w:t>
      </w:r>
      <w:r w:rsidR="006426FF" w:rsidRPr="000D096C">
        <w:rPr>
          <w:rFonts w:ascii="Times New Roman" w:hAnsi="Times New Roman" w:cs="Times New Roman"/>
          <w:sz w:val="24"/>
          <w:szCs w:val="24"/>
        </w:rPr>
        <w:t xml:space="preserve">komponenta), Skupina B (dvě komponenty), Skupina C (alespoň tři komponenty = MetS). </w:t>
      </w:r>
    </w:p>
    <w:p w:rsidR="00D47010" w:rsidRPr="000D096C" w:rsidRDefault="00D47010" w:rsidP="00E319B2">
      <w:pPr>
        <w:pStyle w:val="Nadpis4"/>
      </w:pPr>
      <w:r w:rsidRPr="000D096C">
        <w:t>Laboratorní analýza</w:t>
      </w:r>
    </w:p>
    <w:p w:rsidR="00165B7F" w:rsidRPr="000D096C" w:rsidRDefault="00165B7F" w:rsidP="004567D5">
      <w:pPr>
        <w:spacing w:line="360" w:lineRule="auto"/>
        <w:jc w:val="both"/>
        <w:rPr>
          <w:rFonts w:ascii="Times New Roman" w:hAnsi="Times New Roman" w:cs="Times New Roman"/>
          <w:sz w:val="24"/>
          <w:szCs w:val="24"/>
        </w:rPr>
      </w:pPr>
      <w:r w:rsidRPr="000D096C">
        <w:rPr>
          <w:rFonts w:ascii="Times New Roman" w:hAnsi="Times New Roman" w:cs="Times New Roman"/>
          <w:b/>
        </w:rPr>
        <w:tab/>
      </w:r>
      <w:r w:rsidR="00B5584E" w:rsidRPr="000D096C">
        <w:rPr>
          <w:rFonts w:ascii="Times New Roman" w:hAnsi="Times New Roman" w:cs="Times New Roman"/>
          <w:sz w:val="24"/>
          <w:szCs w:val="24"/>
        </w:rPr>
        <w:t xml:space="preserve">Popsána v </w:t>
      </w:r>
      <w:r w:rsidR="00F54861">
        <w:rPr>
          <w:rFonts w:ascii="Times New Roman" w:hAnsi="Times New Roman" w:cs="Times New Roman"/>
          <w:sz w:val="24"/>
          <w:szCs w:val="24"/>
        </w:rPr>
        <w:t>a</w:t>
      </w:r>
      <w:r w:rsidR="00B5584E" w:rsidRPr="000D096C">
        <w:rPr>
          <w:rFonts w:ascii="Times New Roman" w:hAnsi="Times New Roman" w:cs="Times New Roman"/>
          <w:sz w:val="24"/>
          <w:szCs w:val="24"/>
        </w:rPr>
        <w:t>nalytické části A</w:t>
      </w:r>
      <w:r w:rsidR="00AD5F4F">
        <w:rPr>
          <w:rFonts w:ascii="Times New Roman" w:hAnsi="Times New Roman" w:cs="Times New Roman"/>
          <w:sz w:val="24"/>
          <w:szCs w:val="24"/>
        </w:rPr>
        <w:t>, v kapitole 2.2.1.2</w:t>
      </w:r>
      <w:r w:rsidR="00B5584E" w:rsidRPr="000D096C">
        <w:rPr>
          <w:rFonts w:ascii="Times New Roman" w:hAnsi="Times New Roman" w:cs="Times New Roman"/>
          <w:sz w:val="24"/>
          <w:szCs w:val="24"/>
        </w:rPr>
        <w:t>.</w:t>
      </w:r>
      <w:r w:rsidR="00685399" w:rsidRPr="000D096C">
        <w:rPr>
          <w:rFonts w:ascii="Times New Roman" w:hAnsi="Times New Roman" w:cs="Times New Roman"/>
          <w:sz w:val="24"/>
          <w:szCs w:val="24"/>
        </w:rPr>
        <w:t xml:space="preserve"> V této části bylo navíc pracováno s </w:t>
      </w:r>
      <w:r w:rsidR="00890488">
        <w:rPr>
          <w:rFonts w:ascii="Times New Roman" w:hAnsi="Times New Roman" w:cs="Times New Roman"/>
          <w:sz w:val="24"/>
          <w:szCs w:val="24"/>
        </w:rPr>
        <w:t>údajem o hladině Apo</w:t>
      </w:r>
      <w:r w:rsidR="00685399" w:rsidRPr="000D096C">
        <w:rPr>
          <w:rFonts w:ascii="Times New Roman" w:hAnsi="Times New Roman" w:cs="Times New Roman"/>
          <w:sz w:val="24"/>
          <w:szCs w:val="24"/>
        </w:rPr>
        <w:t>B, jenž byl stanovován</w:t>
      </w:r>
      <w:r w:rsidR="000E351E" w:rsidRPr="000D096C">
        <w:rPr>
          <w:rFonts w:ascii="Times New Roman" w:hAnsi="Times New Roman" w:cs="Times New Roman"/>
          <w:sz w:val="24"/>
          <w:szCs w:val="24"/>
        </w:rPr>
        <w:t xml:space="preserve"> pomocí komerčně dostupných setů</w:t>
      </w:r>
      <w:r w:rsidR="00685399" w:rsidRPr="000D096C">
        <w:rPr>
          <w:rFonts w:ascii="Times New Roman" w:hAnsi="Times New Roman" w:cs="Times New Roman"/>
          <w:sz w:val="24"/>
          <w:szCs w:val="24"/>
        </w:rPr>
        <w:t xml:space="preserve"> </w:t>
      </w:r>
      <w:r w:rsidR="000E351E" w:rsidRPr="000D096C">
        <w:rPr>
          <w:rFonts w:ascii="Times New Roman" w:hAnsi="Times New Roman" w:cs="Times New Roman"/>
          <w:sz w:val="24"/>
          <w:szCs w:val="24"/>
        </w:rPr>
        <w:t>Tina</w:t>
      </w:r>
      <w:r w:rsidR="002607F4" w:rsidRPr="000D096C">
        <w:rPr>
          <w:rFonts w:ascii="Times New Roman" w:hAnsi="Times New Roman" w:cs="Times New Roman"/>
          <w:sz w:val="24"/>
          <w:szCs w:val="24"/>
        </w:rPr>
        <w:t>-</w:t>
      </w:r>
      <w:r w:rsidR="000E351E" w:rsidRPr="000D096C">
        <w:rPr>
          <w:rFonts w:ascii="Times New Roman" w:hAnsi="Times New Roman" w:cs="Times New Roman"/>
          <w:sz w:val="24"/>
          <w:szCs w:val="24"/>
        </w:rPr>
        <w:t xml:space="preserve">Quant Apo B (výrobce Roche, Mannheim, Německo) </w:t>
      </w:r>
      <w:r w:rsidR="00685399" w:rsidRPr="000D096C">
        <w:rPr>
          <w:rFonts w:ascii="Times New Roman" w:hAnsi="Times New Roman" w:cs="Times New Roman"/>
          <w:sz w:val="24"/>
          <w:szCs w:val="24"/>
        </w:rPr>
        <w:t>imunoturbidimetricky</w:t>
      </w:r>
      <w:r w:rsidR="000E351E" w:rsidRPr="000D096C">
        <w:rPr>
          <w:rFonts w:ascii="Times New Roman" w:hAnsi="Times New Roman" w:cs="Times New Roman"/>
          <w:sz w:val="24"/>
          <w:szCs w:val="24"/>
        </w:rPr>
        <w:t>.</w:t>
      </w:r>
    </w:p>
    <w:p w:rsidR="00D47010" w:rsidRPr="000D096C" w:rsidRDefault="00D47010" w:rsidP="00E319B2">
      <w:pPr>
        <w:pStyle w:val="Nadpis4"/>
      </w:pPr>
      <w:r w:rsidRPr="000D096C">
        <w:t>Statistická analýza</w:t>
      </w:r>
    </w:p>
    <w:p w:rsidR="00B5584E" w:rsidRPr="000D096C" w:rsidRDefault="00B5584E" w:rsidP="004567D5">
      <w:pPr>
        <w:spacing w:line="360" w:lineRule="auto"/>
        <w:jc w:val="both"/>
        <w:rPr>
          <w:rFonts w:ascii="Times New Roman" w:hAnsi="Times New Roman" w:cs="Times New Roman"/>
          <w:sz w:val="24"/>
          <w:szCs w:val="24"/>
        </w:rPr>
      </w:pPr>
      <w:r w:rsidRPr="000D096C">
        <w:rPr>
          <w:rFonts w:ascii="Times New Roman" w:hAnsi="Times New Roman" w:cs="Times New Roman"/>
          <w:b/>
        </w:rPr>
        <w:tab/>
      </w:r>
      <w:r w:rsidR="0062158E" w:rsidRPr="000D096C">
        <w:rPr>
          <w:rFonts w:ascii="Times New Roman" w:hAnsi="Times New Roman" w:cs="Times New Roman"/>
          <w:sz w:val="24"/>
          <w:szCs w:val="24"/>
        </w:rPr>
        <w:t xml:space="preserve">Statistická analýza dat byla provedena s pomocí softwaru IBM SPSS Statistics, verze 22 (SPSS, Chicago, USA). </w:t>
      </w:r>
      <w:r w:rsidR="00107783" w:rsidRPr="000D096C">
        <w:rPr>
          <w:rFonts w:ascii="Times New Roman" w:hAnsi="Times New Roman" w:cs="Times New Roman"/>
          <w:sz w:val="24"/>
          <w:szCs w:val="24"/>
        </w:rPr>
        <w:t xml:space="preserve">Všechny zkoumané numerické proměnné byly </w:t>
      </w:r>
      <w:r w:rsidR="00107783" w:rsidRPr="000D096C">
        <w:rPr>
          <w:rFonts w:ascii="Times New Roman" w:hAnsi="Times New Roman" w:cs="Times New Roman"/>
          <w:sz w:val="24"/>
          <w:szCs w:val="24"/>
        </w:rPr>
        <w:lastRenderedPageBreak/>
        <w:t xml:space="preserve">charakterizovány popisnou statistikou. Kruskalův-Wallisův a Dunnův test byly použity pro stanovení statistické významnosti rozdílů proměnných mezi skupinami, Shapirův-Wilkův test pro určení rozložení dat. Z důvodu dominujícího zešikmení dat zprava </w:t>
      </w:r>
      <w:r w:rsidR="0084102B" w:rsidRPr="000D096C">
        <w:rPr>
          <w:rFonts w:ascii="Times New Roman" w:hAnsi="Times New Roman" w:cs="Times New Roman"/>
          <w:sz w:val="24"/>
          <w:szCs w:val="24"/>
        </w:rPr>
        <w:t>byly korelace vybraných proměnných kvantifikovány Spearmanovým korelačním koeficientem.</w:t>
      </w:r>
      <w:r w:rsidR="0062276D">
        <w:rPr>
          <w:rFonts w:ascii="Times New Roman" w:hAnsi="Times New Roman" w:cs="Times New Roman"/>
          <w:sz w:val="24"/>
          <w:szCs w:val="24"/>
        </w:rPr>
        <w:t xml:space="preserve"> Označování síly korelací </w:t>
      </w:r>
      <w:r w:rsidR="000713A5">
        <w:rPr>
          <w:rFonts w:ascii="Times New Roman" w:hAnsi="Times New Roman" w:cs="Times New Roman"/>
          <w:sz w:val="24"/>
          <w:szCs w:val="24"/>
        </w:rPr>
        <w:t xml:space="preserve">v textu </w:t>
      </w:r>
      <w:r w:rsidR="0062276D">
        <w:rPr>
          <w:rFonts w:ascii="Times New Roman" w:hAnsi="Times New Roman" w:cs="Times New Roman"/>
          <w:sz w:val="24"/>
          <w:szCs w:val="24"/>
        </w:rPr>
        <w:t>d</w:t>
      </w:r>
      <w:r w:rsidR="000713A5">
        <w:rPr>
          <w:rFonts w:ascii="Times New Roman" w:hAnsi="Times New Roman" w:cs="Times New Roman"/>
          <w:sz w:val="24"/>
          <w:szCs w:val="24"/>
        </w:rPr>
        <w:t>le absolutních hodnot korelačních</w:t>
      </w:r>
      <w:r w:rsidR="0062276D">
        <w:rPr>
          <w:rFonts w:ascii="Times New Roman" w:hAnsi="Times New Roman" w:cs="Times New Roman"/>
          <w:sz w:val="24"/>
          <w:szCs w:val="24"/>
        </w:rPr>
        <w:t xml:space="preserve"> koeficient</w:t>
      </w:r>
      <w:r w:rsidR="000713A5">
        <w:rPr>
          <w:rFonts w:ascii="Times New Roman" w:hAnsi="Times New Roman" w:cs="Times New Roman"/>
          <w:sz w:val="24"/>
          <w:szCs w:val="24"/>
        </w:rPr>
        <w:t>ů je shodné s</w:t>
      </w:r>
      <w:r w:rsidR="0062276D">
        <w:rPr>
          <w:rFonts w:ascii="Times New Roman" w:hAnsi="Times New Roman" w:cs="Times New Roman"/>
          <w:sz w:val="24"/>
          <w:szCs w:val="24"/>
        </w:rPr>
        <w:t xml:space="preserve"> analytick</w:t>
      </w:r>
      <w:r w:rsidR="000713A5">
        <w:rPr>
          <w:rFonts w:ascii="Times New Roman" w:hAnsi="Times New Roman" w:cs="Times New Roman"/>
          <w:sz w:val="24"/>
          <w:szCs w:val="24"/>
        </w:rPr>
        <w:t>ou částí</w:t>
      </w:r>
      <w:r w:rsidR="0062276D">
        <w:rPr>
          <w:rFonts w:ascii="Times New Roman" w:hAnsi="Times New Roman" w:cs="Times New Roman"/>
          <w:sz w:val="24"/>
          <w:szCs w:val="24"/>
        </w:rPr>
        <w:t xml:space="preserve"> A (popsáno v kapitole 2.2.1.3).</w:t>
      </w:r>
      <w:r w:rsidR="0084102B" w:rsidRPr="000D096C">
        <w:rPr>
          <w:rFonts w:ascii="Times New Roman" w:hAnsi="Times New Roman" w:cs="Times New Roman"/>
          <w:sz w:val="24"/>
          <w:szCs w:val="24"/>
        </w:rPr>
        <w:t xml:space="preserve"> </w:t>
      </w:r>
      <w:r w:rsidR="0089143F" w:rsidRPr="000D096C">
        <w:rPr>
          <w:rFonts w:ascii="Times New Roman" w:hAnsi="Times New Roman" w:cs="Times New Roman"/>
          <w:sz w:val="24"/>
          <w:szCs w:val="24"/>
        </w:rPr>
        <w:t>Mezní hodnoty VAI byly zjištěny užitím maximálního součtu jejich senzitivity a specificity, přičemž jak senzitivitě, tak specificitě byla přidělena stejná relativní váha. Jinými slovy bylo pro každou mezní hodnotu hledáno maximum Youdenova indexu jakožto funkce senzitivity a specificity</w:t>
      </w:r>
      <w:r w:rsidR="00C15420" w:rsidRPr="000D096C">
        <w:rPr>
          <w:rFonts w:ascii="Times New Roman" w:hAnsi="Times New Roman" w:cs="Times New Roman"/>
          <w:sz w:val="24"/>
          <w:szCs w:val="24"/>
        </w:rPr>
        <w:t xml:space="preserve"> </w:t>
      </w:r>
      <w:r w:rsidR="005B3559">
        <w:rPr>
          <w:rFonts w:ascii="Times New Roman" w:hAnsi="Times New Roman" w:cs="Times New Roman"/>
          <w:sz w:val="24"/>
          <w:szCs w:val="24"/>
        </w:rPr>
        <w:t>[121</w:t>
      </w:r>
      <w:r w:rsidR="009C0F05" w:rsidRPr="000D096C">
        <w:rPr>
          <w:rFonts w:ascii="Times New Roman" w:hAnsi="Times New Roman" w:cs="Times New Roman"/>
          <w:sz w:val="24"/>
          <w:szCs w:val="24"/>
        </w:rPr>
        <w:t>]</w:t>
      </w:r>
      <w:r w:rsidR="0089143F" w:rsidRPr="000D096C">
        <w:rPr>
          <w:rFonts w:ascii="Times New Roman" w:hAnsi="Times New Roman" w:cs="Times New Roman"/>
          <w:sz w:val="24"/>
          <w:szCs w:val="24"/>
        </w:rPr>
        <w:t>. Přesnost a prediktivní schopnost mezních hodnot byly ověřeny výp</w:t>
      </w:r>
      <w:r w:rsidR="00665D3C">
        <w:rPr>
          <w:rFonts w:ascii="Times New Roman" w:hAnsi="Times New Roman" w:cs="Times New Roman"/>
          <w:sz w:val="24"/>
          <w:szCs w:val="24"/>
        </w:rPr>
        <w:t xml:space="preserve">očtem plochy </w:t>
      </w:r>
      <w:r w:rsidR="00107EB3">
        <w:rPr>
          <w:rFonts w:ascii="Times New Roman" w:hAnsi="Times New Roman" w:cs="Times New Roman"/>
          <w:sz w:val="24"/>
          <w:szCs w:val="24"/>
        </w:rPr>
        <w:t>(</w:t>
      </w:r>
      <w:r w:rsidR="00107EB3" w:rsidRPr="00107EB3">
        <w:rPr>
          <w:rFonts w:ascii="Times New Roman" w:hAnsi="Times New Roman" w:cs="Times New Roman"/>
          <w:i/>
          <w:sz w:val="24"/>
          <w:szCs w:val="24"/>
        </w:rPr>
        <w:t>are</w:t>
      </w:r>
      <w:r w:rsidR="00107EB3">
        <w:rPr>
          <w:rFonts w:ascii="Times New Roman" w:hAnsi="Times New Roman" w:cs="Times New Roman"/>
          <w:i/>
          <w:sz w:val="24"/>
          <w:szCs w:val="24"/>
        </w:rPr>
        <w:t>a</w:t>
      </w:r>
      <w:r w:rsidR="00107EB3" w:rsidRPr="00107EB3">
        <w:rPr>
          <w:rFonts w:ascii="Times New Roman" w:hAnsi="Times New Roman" w:cs="Times New Roman"/>
          <w:i/>
          <w:sz w:val="24"/>
          <w:szCs w:val="24"/>
        </w:rPr>
        <w:t xml:space="preserve"> under curve</w:t>
      </w:r>
      <w:r w:rsidR="00107EB3">
        <w:rPr>
          <w:rFonts w:ascii="Times New Roman" w:hAnsi="Times New Roman" w:cs="Times New Roman"/>
          <w:sz w:val="24"/>
          <w:szCs w:val="24"/>
        </w:rPr>
        <w:t xml:space="preserve">, AUC) </w:t>
      </w:r>
      <w:r w:rsidR="00665D3C">
        <w:rPr>
          <w:rFonts w:ascii="Times New Roman" w:hAnsi="Times New Roman" w:cs="Times New Roman"/>
          <w:sz w:val="24"/>
          <w:szCs w:val="24"/>
        </w:rPr>
        <w:t>pod ROC (</w:t>
      </w:r>
      <w:r w:rsidR="00107EB3">
        <w:rPr>
          <w:rFonts w:ascii="Times New Roman" w:hAnsi="Times New Roman" w:cs="Times New Roman"/>
          <w:i/>
          <w:sz w:val="24"/>
          <w:szCs w:val="24"/>
        </w:rPr>
        <w:t>r</w:t>
      </w:r>
      <w:r w:rsidR="00665D3C" w:rsidRPr="00665D3C">
        <w:rPr>
          <w:rFonts w:ascii="Times New Roman" w:hAnsi="Times New Roman" w:cs="Times New Roman"/>
          <w:i/>
          <w:sz w:val="24"/>
          <w:szCs w:val="24"/>
        </w:rPr>
        <w:t>eceiver operating c</w:t>
      </w:r>
      <w:r w:rsidR="0089143F" w:rsidRPr="00665D3C">
        <w:rPr>
          <w:rFonts w:ascii="Times New Roman" w:hAnsi="Times New Roman" w:cs="Times New Roman"/>
          <w:i/>
          <w:sz w:val="24"/>
          <w:szCs w:val="24"/>
        </w:rPr>
        <w:t>haracteristic</w:t>
      </w:r>
      <w:r w:rsidR="0089143F" w:rsidRPr="000D096C">
        <w:rPr>
          <w:rFonts w:ascii="Times New Roman" w:hAnsi="Times New Roman" w:cs="Times New Roman"/>
          <w:sz w:val="24"/>
          <w:szCs w:val="24"/>
        </w:rPr>
        <w:t xml:space="preserve">) křivkou. </w:t>
      </w:r>
      <w:r w:rsidR="001E636B" w:rsidRPr="000D096C">
        <w:rPr>
          <w:rFonts w:ascii="Times New Roman" w:hAnsi="Times New Roman" w:cs="Times New Roman"/>
          <w:sz w:val="24"/>
          <w:szCs w:val="24"/>
        </w:rPr>
        <w:t xml:space="preserve">Pro stanovení statisticky významných prediktorů indexu HOMA-IR byla uplatněna logistická regresní analýza typu „dopředné selekce“ </w:t>
      </w:r>
      <w:r w:rsidR="00BB17E6" w:rsidRPr="000D096C">
        <w:rPr>
          <w:rFonts w:ascii="Times New Roman" w:hAnsi="Times New Roman" w:cs="Times New Roman"/>
          <w:sz w:val="24"/>
          <w:szCs w:val="24"/>
        </w:rPr>
        <w:t>(</w:t>
      </w:r>
      <w:r w:rsidR="001E636B" w:rsidRPr="003900A9">
        <w:rPr>
          <w:rFonts w:ascii="Times New Roman" w:hAnsi="Times New Roman" w:cs="Times New Roman"/>
          <w:i/>
          <w:sz w:val="24"/>
          <w:szCs w:val="24"/>
        </w:rPr>
        <w:t>stepwise forward</w:t>
      </w:r>
      <w:r w:rsidR="00BB17E6" w:rsidRPr="000D096C">
        <w:rPr>
          <w:rFonts w:ascii="Times New Roman" w:hAnsi="Times New Roman" w:cs="Times New Roman"/>
          <w:sz w:val="24"/>
          <w:szCs w:val="24"/>
        </w:rPr>
        <w:t>)</w:t>
      </w:r>
      <w:r w:rsidR="001E636B" w:rsidRPr="000D096C">
        <w:rPr>
          <w:rFonts w:ascii="Times New Roman" w:hAnsi="Times New Roman" w:cs="Times New Roman"/>
          <w:sz w:val="24"/>
          <w:szCs w:val="24"/>
        </w:rPr>
        <w:t>.</w:t>
      </w:r>
      <w:r w:rsidR="00C44BE4" w:rsidRPr="000D096C">
        <w:rPr>
          <w:rFonts w:ascii="Times New Roman" w:hAnsi="Times New Roman" w:cs="Times New Roman"/>
          <w:sz w:val="24"/>
          <w:szCs w:val="24"/>
        </w:rPr>
        <w:t xml:space="preserve"> Vzhledem k již zmíněné nejednotné referenční hodnotě indexu HOMA-IR signalizující rozvinutou IR bylo pra</w:t>
      </w:r>
      <w:r w:rsidR="008B195E" w:rsidRPr="000D096C">
        <w:rPr>
          <w:rFonts w:ascii="Times New Roman" w:hAnsi="Times New Roman" w:cs="Times New Roman"/>
          <w:sz w:val="24"/>
          <w:szCs w:val="24"/>
        </w:rPr>
        <w:t>cováno s minimální a maximální hodnotou</w:t>
      </w:r>
      <w:r w:rsidR="00C44BE4" w:rsidRPr="000D096C">
        <w:rPr>
          <w:rFonts w:ascii="Times New Roman" w:hAnsi="Times New Roman" w:cs="Times New Roman"/>
          <w:sz w:val="24"/>
          <w:szCs w:val="24"/>
        </w:rPr>
        <w:t xml:space="preserve"> </w:t>
      </w:r>
      <w:r w:rsidR="008B195E" w:rsidRPr="000D096C">
        <w:rPr>
          <w:rFonts w:ascii="Times New Roman" w:hAnsi="Times New Roman" w:cs="Times New Roman"/>
          <w:sz w:val="24"/>
          <w:szCs w:val="24"/>
        </w:rPr>
        <w:t>identifikovanou</w:t>
      </w:r>
      <w:r w:rsidR="00C44BE4" w:rsidRPr="000D096C">
        <w:rPr>
          <w:rFonts w:ascii="Times New Roman" w:hAnsi="Times New Roman" w:cs="Times New Roman"/>
          <w:sz w:val="24"/>
          <w:szCs w:val="24"/>
        </w:rPr>
        <w:t xml:space="preserve"> rozsáhlými populačními studiemi v různých evropských národech, konkrétně hodnotami 2,0 a 3,8</w:t>
      </w:r>
      <w:r w:rsidR="009943E6" w:rsidRPr="000D096C">
        <w:rPr>
          <w:rFonts w:ascii="Times New Roman" w:hAnsi="Times New Roman" w:cs="Times New Roman"/>
          <w:sz w:val="24"/>
          <w:szCs w:val="24"/>
        </w:rPr>
        <w:t xml:space="preserve"> (jak </w:t>
      </w:r>
      <w:r w:rsidR="009C0F05" w:rsidRPr="000D096C">
        <w:rPr>
          <w:rFonts w:ascii="Times New Roman" w:hAnsi="Times New Roman" w:cs="Times New Roman"/>
          <w:sz w:val="24"/>
          <w:szCs w:val="24"/>
        </w:rPr>
        <w:t xml:space="preserve">již </w:t>
      </w:r>
      <w:r w:rsidR="009943E6" w:rsidRPr="000D096C">
        <w:rPr>
          <w:rFonts w:ascii="Times New Roman" w:hAnsi="Times New Roman" w:cs="Times New Roman"/>
          <w:sz w:val="24"/>
          <w:szCs w:val="24"/>
        </w:rPr>
        <w:t>bylo uved</w:t>
      </w:r>
      <w:r w:rsidR="00AB6994" w:rsidRPr="000D096C">
        <w:rPr>
          <w:rFonts w:ascii="Times New Roman" w:hAnsi="Times New Roman" w:cs="Times New Roman"/>
          <w:sz w:val="24"/>
          <w:szCs w:val="24"/>
        </w:rPr>
        <w:t>eno v kapitole 2.2.3</w:t>
      </w:r>
      <w:r w:rsidR="009943E6" w:rsidRPr="000D096C">
        <w:rPr>
          <w:rFonts w:ascii="Times New Roman" w:hAnsi="Times New Roman" w:cs="Times New Roman"/>
          <w:sz w:val="24"/>
          <w:szCs w:val="24"/>
        </w:rPr>
        <w:t>)</w:t>
      </w:r>
      <w:r w:rsidR="005B3559">
        <w:rPr>
          <w:rFonts w:ascii="Times New Roman" w:hAnsi="Times New Roman" w:cs="Times New Roman"/>
          <w:sz w:val="24"/>
          <w:szCs w:val="24"/>
        </w:rPr>
        <w:t xml:space="preserve"> [109</w:t>
      </w:r>
      <w:r w:rsidR="009C0F05" w:rsidRPr="000D096C">
        <w:rPr>
          <w:rFonts w:ascii="Times New Roman" w:hAnsi="Times New Roman" w:cs="Times New Roman"/>
          <w:sz w:val="24"/>
          <w:szCs w:val="24"/>
        </w:rPr>
        <w:t>]</w:t>
      </w:r>
      <w:r w:rsidR="00C44BE4" w:rsidRPr="000D096C">
        <w:rPr>
          <w:rFonts w:ascii="Times New Roman" w:hAnsi="Times New Roman" w:cs="Times New Roman"/>
          <w:sz w:val="24"/>
          <w:szCs w:val="24"/>
        </w:rPr>
        <w:t>.</w:t>
      </w:r>
      <w:r w:rsidR="00D24352" w:rsidRPr="000D096C">
        <w:rPr>
          <w:rFonts w:ascii="Times New Roman" w:hAnsi="Times New Roman" w:cs="Times New Roman"/>
          <w:sz w:val="24"/>
          <w:szCs w:val="24"/>
        </w:rPr>
        <w:t xml:space="preserve"> </w:t>
      </w:r>
      <w:r w:rsidR="0030721E" w:rsidRPr="000D096C">
        <w:rPr>
          <w:rFonts w:ascii="Times New Roman" w:hAnsi="Times New Roman" w:cs="Times New Roman"/>
          <w:sz w:val="24"/>
          <w:szCs w:val="24"/>
        </w:rPr>
        <w:t>Hladina významnosti byla i</w:t>
      </w:r>
      <w:r w:rsidR="00BB3FFF">
        <w:rPr>
          <w:rFonts w:ascii="Times New Roman" w:hAnsi="Times New Roman" w:cs="Times New Roman"/>
          <w:sz w:val="24"/>
          <w:szCs w:val="24"/>
        </w:rPr>
        <w:t> </w:t>
      </w:r>
      <w:r w:rsidR="0030721E" w:rsidRPr="000D096C">
        <w:rPr>
          <w:rFonts w:ascii="Times New Roman" w:hAnsi="Times New Roman" w:cs="Times New Roman"/>
          <w:sz w:val="24"/>
          <w:szCs w:val="24"/>
        </w:rPr>
        <w:t xml:space="preserve">v této části stanovena na 5 %. </w:t>
      </w:r>
      <w:r w:rsidR="00D24352" w:rsidRPr="000D096C">
        <w:rPr>
          <w:rFonts w:ascii="Times New Roman" w:hAnsi="Times New Roman" w:cs="Times New Roman"/>
          <w:sz w:val="24"/>
          <w:szCs w:val="24"/>
        </w:rPr>
        <w:t>Indexy HOMA-IR, AIP a VAI byly vypočítány pomocí vzorc</w:t>
      </w:r>
      <w:r w:rsidR="00E557B8" w:rsidRPr="000D096C">
        <w:rPr>
          <w:rFonts w:ascii="Times New Roman" w:hAnsi="Times New Roman" w:cs="Times New Roman"/>
          <w:sz w:val="24"/>
          <w:szCs w:val="24"/>
        </w:rPr>
        <w:t xml:space="preserve">ů uvedených </w:t>
      </w:r>
      <w:r w:rsidR="00AB6994" w:rsidRPr="000D096C">
        <w:rPr>
          <w:rFonts w:ascii="Times New Roman" w:hAnsi="Times New Roman" w:cs="Times New Roman"/>
          <w:sz w:val="24"/>
          <w:szCs w:val="24"/>
        </w:rPr>
        <w:t>v kapitolách 1.3.3.2 a 1.3.3.3.</w:t>
      </w:r>
    </w:p>
    <w:p w:rsidR="00D47010" w:rsidRPr="000D096C" w:rsidRDefault="00D47010" w:rsidP="004567D5">
      <w:pPr>
        <w:pStyle w:val="Nadpis3"/>
        <w:spacing w:line="360" w:lineRule="auto"/>
        <w:rPr>
          <w:rFonts w:cs="Times New Roman"/>
        </w:rPr>
      </w:pPr>
      <w:bookmarkStart w:id="120" w:name="_Toc33432691"/>
      <w:bookmarkStart w:id="121" w:name="_Toc33432911"/>
      <w:bookmarkStart w:id="122" w:name="_Toc33869550"/>
      <w:r w:rsidRPr="000D096C">
        <w:rPr>
          <w:rFonts w:cs="Times New Roman"/>
        </w:rPr>
        <w:t>Výsledky</w:t>
      </w:r>
      <w:bookmarkEnd w:id="120"/>
      <w:bookmarkEnd w:id="121"/>
      <w:bookmarkEnd w:id="122"/>
    </w:p>
    <w:p w:rsidR="009B2468" w:rsidRPr="000D096C" w:rsidRDefault="009B2468" w:rsidP="00E319B2">
      <w:pPr>
        <w:pStyle w:val="Nadpis4"/>
      </w:pPr>
      <w:r w:rsidRPr="000D096C">
        <w:t>Charakteristika studované populace</w:t>
      </w:r>
    </w:p>
    <w:p w:rsidR="00267EF1" w:rsidRDefault="009B2468"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008B195E" w:rsidRPr="000D096C">
        <w:rPr>
          <w:rFonts w:ascii="Times New Roman" w:hAnsi="Times New Roman" w:cs="Times New Roman"/>
          <w:sz w:val="24"/>
          <w:szCs w:val="24"/>
        </w:rPr>
        <w:t>Průměrné hodnoty zkoumaných proměnných v jednotlivých</w:t>
      </w:r>
      <w:r w:rsidRPr="000D096C">
        <w:rPr>
          <w:rFonts w:ascii="Times New Roman" w:hAnsi="Times New Roman" w:cs="Times New Roman"/>
          <w:sz w:val="24"/>
          <w:szCs w:val="24"/>
        </w:rPr>
        <w:t xml:space="preserve"> výše definovaných sku</w:t>
      </w:r>
      <w:r w:rsidR="002801C2">
        <w:rPr>
          <w:rFonts w:ascii="Times New Roman" w:hAnsi="Times New Roman" w:cs="Times New Roman"/>
          <w:sz w:val="24"/>
          <w:szCs w:val="24"/>
        </w:rPr>
        <w:t>pinách jsou uvedeny v tab.</w:t>
      </w:r>
      <w:r w:rsidR="00927BBA" w:rsidRPr="000D096C">
        <w:rPr>
          <w:rFonts w:ascii="Times New Roman" w:hAnsi="Times New Roman" w:cs="Times New Roman"/>
          <w:sz w:val="24"/>
          <w:szCs w:val="24"/>
        </w:rPr>
        <w:t xml:space="preserve"> </w:t>
      </w:r>
      <w:r w:rsidR="0027702E" w:rsidRPr="000D096C">
        <w:rPr>
          <w:rFonts w:ascii="Times New Roman" w:hAnsi="Times New Roman" w:cs="Times New Roman"/>
          <w:sz w:val="24"/>
          <w:szCs w:val="24"/>
        </w:rPr>
        <w:t>5</w:t>
      </w:r>
      <w:r w:rsidRPr="000D096C">
        <w:rPr>
          <w:rFonts w:ascii="Times New Roman" w:hAnsi="Times New Roman" w:cs="Times New Roman"/>
          <w:sz w:val="24"/>
          <w:szCs w:val="24"/>
        </w:rPr>
        <w:t xml:space="preserve">. Je zřejmé, že </w:t>
      </w:r>
      <w:r w:rsidR="00AC4431" w:rsidRPr="000D096C">
        <w:rPr>
          <w:rFonts w:ascii="Times New Roman" w:hAnsi="Times New Roman" w:cs="Times New Roman"/>
          <w:sz w:val="24"/>
          <w:szCs w:val="24"/>
        </w:rPr>
        <w:t>hodnoty antropometrických i</w:t>
      </w:r>
      <w:r w:rsidR="00762125">
        <w:rPr>
          <w:rFonts w:ascii="Times New Roman" w:hAnsi="Times New Roman" w:cs="Times New Roman"/>
          <w:sz w:val="24"/>
          <w:szCs w:val="24"/>
        </w:rPr>
        <w:t> </w:t>
      </w:r>
      <w:r w:rsidR="00AC4431" w:rsidRPr="000D096C">
        <w:rPr>
          <w:rFonts w:ascii="Times New Roman" w:hAnsi="Times New Roman" w:cs="Times New Roman"/>
          <w:sz w:val="24"/>
          <w:szCs w:val="24"/>
        </w:rPr>
        <w:t xml:space="preserve">biochemických </w:t>
      </w:r>
      <w:r w:rsidRPr="000D096C">
        <w:rPr>
          <w:rFonts w:ascii="Times New Roman" w:hAnsi="Times New Roman" w:cs="Times New Roman"/>
          <w:sz w:val="24"/>
          <w:szCs w:val="24"/>
        </w:rPr>
        <w:t xml:space="preserve">parametrů se zhoršovaly mezi skupinami s rostoucím počtem </w:t>
      </w:r>
      <w:r w:rsidR="00AC4431" w:rsidRPr="000D096C">
        <w:rPr>
          <w:rFonts w:ascii="Times New Roman" w:hAnsi="Times New Roman" w:cs="Times New Roman"/>
          <w:sz w:val="24"/>
          <w:szCs w:val="24"/>
        </w:rPr>
        <w:t xml:space="preserve">komponent MetS. Ve Skupině A vykazovaly zkoumané parametry </w:t>
      </w:r>
      <w:r w:rsidRPr="000D096C">
        <w:rPr>
          <w:rFonts w:ascii="Times New Roman" w:hAnsi="Times New Roman" w:cs="Times New Roman"/>
          <w:sz w:val="24"/>
          <w:szCs w:val="24"/>
        </w:rPr>
        <w:t>normální nebo hraniční</w:t>
      </w:r>
      <w:r w:rsidR="00AC4431" w:rsidRPr="000D096C">
        <w:rPr>
          <w:rFonts w:ascii="Times New Roman" w:hAnsi="Times New Roman" w:cs="Times New Roman"/>
          <w:sz w:val="24"/>
          <w:szCs w:val="24"/>
        </w:rPr>
        <w:t xml:space="preserve"> hodnoty</w:t>
      </w:r>
      <w:r w:rsidRPr="000D096C">
        <w:rPr>
          <w:rFonts w:ascii="Times New Roman" w:hAnsi="Times New Roman" w:cs="Times New Roman"/>
          <w:sz w:val="24"/>
          <w:szCs w:val="24"/>
        </w:rPr>
        <w:t xml:space="preserve">, zatímco ve Skupině C </w:t>
      </w:r>
      <w:r w:rsidR="00AC4431" w:rsidRPr="000D096C">
        <w:rPr>
          <w:rFonts w:ascii="Times New Roman" w:hAnsi="Times New Roman" w:cs="Times New Roman"/>
          <w:sz w:val="24"/>
          <w:szCs w:val="24"/>
        </w:rPr>
        <w:t>šlo již o hodnoty jednoznačně abnormální</w:t>
      </w:r>
      <w:r w:rsidRPr="000D096C">
        <w:rPr>
          <w:rFonts w:ascii="Times New Roman" w:hAnsi="Times New Roman" w:cs="Times New Roman"/>
          <w:sz w:val="24"/>
          <w:szCs w:val="24"/>
        </w:rPr>
        <w:t>. Všechny rozdíly proměnných mezi skupinami dosáhly statistické významnosti s</w:t>
      </w:r>
      <w:r w:rsidR="00EA0A4A">
        <w:rPr>
          <w:rFonts w:ascii="Times New Roman" w:hAnsi="Times New Roman" w:cs="Times New Roman"/>
          <w:sz w:val="24"/>
          <w:szCs w:val="24"/>
        </w:rPr>
        <w:t> výjimkou TC a LDL</w:t>
      </w:r>
      <w:r w:rsidR="002801C2">
        <w:rPr>
          <w:rFonts w:ascii="Times New Roman" w:hAnsi="Times New Roman" w:cs="Times New Roman"/>
          <w:sz w:val="24"/>
          <w:szCs w:val="24"/>
        </w:rPr>
        <w:t xml:space="preserve"> (tab.</w:t>
      </w:r>
      <w:r w:rsidR="00927BBA" w:rsidRPr="000D096C">
        <w:rPr>
          <w:rFonts w:ascii="Times New Roman" w:hAnsi="Times New Roman" w:cs="Times New Roman"/>
          <w:sz w:val="24"/>
          <w:szCs w:val="24"/>
        </w:rPr>
        <w:t xml:space="preserve"> </w:t>
      </w:r>
      <w:r w:rsidR="0027702E" w:rsidRPr="000D096C">
        <w:rPr>
          <w:rFonts w:ascii="Times New Roman" w:hAnsi="Times New Roman" w:cs="Times New Roman"/>
          <w:sz w:val="24"/>
          <w:szCs w:val="24"/>
        </w:rPr>
        <w:t>5</w:t>
      </w:r>
      <w:r w:rsidR="00AC4431" w:rsidRPr="000D096C">
        <w:rPr>
          <w:rFonts w:ascii="Times New Roman" w:hAnsi="Times New Roman" w:cs="Times New Roman"/>
          <w:sz w:val="24"/>
          <w:szCs w:val="24"/>
        </w:rPr>
        <w:t>). Dle průměrů</w:t>
      </w:r>
      <w:r w:rsidRPr="000D096C">
        <w:rPr>
          <w:rFonts w:ascii="Times New Roman" w:hAnsi="Times New Roman" w:cs="Times New Roman"/>
          <w:sz w:val="24"/>
          <w:szCs w:val="24"/>
        </w:rPr>
        <w:t xml:space="preserve"> OP i BMI byla Skupina A složena s jedinců s normální hmotností, zatímco Skupina C z jedinců obézních. Ve studované populaci rostl s počtem splněných komponent MetS významně i průmě</w:t>
      </w:r>
      <w:r w:rsidR="002801C2">
        <w:rPr>
          <w:rFonts w:ascii="Times New Roman" w:hAnsi="Times New Roman" w:cs="Times New Roman"/>
          <w:sz w:val="24"/>
          <w:szCs w:val="24"/>
        </w:rPr>
        <w:t>rný věk. Spodní řádky tab.</w:t>
      </w:r>
      <w:r w:rsidR="0027702E" w:rsidRPr="000D096C">
        <w:rPr>
          <w:rFonts w:ascii="Times New Roman" w:hAnsi="Times New Roman" w:cs="Times New Roman"/>
          <w:sz w:val="24"/>
          <w:szCs w:val="24"/>
        </w:rPr>
        <w:t xml:space="preserve"> 5</w:t>
      </w:r>
      <w:r w:rsidRPr="000D096C">
        <w:rPr>
          <w:rFonts w:ascii="Times New Roman" w:hAnsi="Times New Roman" w:cs="Times New Roman"/>
          <w:sz w:val="24"/>
          <w:szCs w:val="24"/>
        </w:rPr>
        <w:t xml:space="preserve"> demonstrují signifikantně se zvyšující hodnoty indexů HOMA-IR a VAI mezi skupinami. Průměrná hodnota HOMA-IR </w:t>
      </w:r>
      <w:r w:rsidRPr="000D096C">
        <w:rPr>
          <w:rFonts w:ascii="Times New Roman" w:hAnsi="Times New Roman" w:cs="Times New Roman"/>
          <w:sz w:val="24"/>
          <w:szCs w:val="24"/>
        </w:rPr>
        <w:lastRenderedPageBreak/>
        <w:t xml:space="preserve">ve </w:t>
      </w:r>
      <w:r w:rsidR="00092F51">
        <w:rPr>
          <w:rFonts w:ascii="Times New Roman" w:hAnsi="Times New Roman" w:cs="Times New Roman"/>
          <w:sz w:val="24"/>
          <w:szCs w:val="24"/>
        </w:rPr>
        <w:t>Skupině A byla pod spodním a ve S</w:t>
      </w:r>
      <w:r w:rsidRPr="000D096C">
        <w:rPr>
          <w:rFonts w:ascii="Times New Roman" w:hAnsi="Times New Roman" w:cs="Times New Roman"/>
          <w:sz w:val="24"/>
          <w:szCs w:val="24"/>
        </w:rPr>
        <w:t>kupině C nad horním limitem indexu definovaným v metodice práce</w:t>
      </w:r>
      <w:r w:rsidR="00092F51">
        <w:rPr>
          <w:rFonts w:ascii="Times New Roman" w:hAnsi="Times New Roman" w:cs="Times New Roman"/>
          <w:sz w:val="24"/>
          <w:szCs w:val="24"/>
        </w:rPr>
        <w:t xml:space="preserve"> (kapitola 2.3.1.3)</w:t>
      </w:r>
      <w:r w:rsidRPr="000D096C">
        <w:rPr>
          <w:rFonts w:ascii="Times New Roman" w:hAnsi="Times New Roman" w:cs="Times New Roman"/>
          <w:sz w:val="24"/>
          <w:szCs w:val="24"/>
        </w:rPr>
        <w:t>.</w:t>
      </w:r>
    </w:p>
    <w:p w:rsidR="007B222F" w:rsidRPr="000D096C" w:rsidRDefault="007B222F" w:rsidP="002F1555">
      <w:pPr>
        <w:pStyle w:val="MDPI41tablecaption"/>
        <w:spacing w:before="160" w:after="240" w:line="360" w:lineRule="auto"/>
        <w:ind w:left="0"/>
        <w:jc w:val="left"/>
        <w:rPr>
          <w:rFonts w:ascii="Times New Roman" w:hAnsi="Times New Roman"/>
          <w:b/>
          <w:color w:val="auto"/>
          <w:sz w:val="24"/>
          <w:szCs w:val="24"/>
          <w:lang w:val="cs-CZ"/>
        </w:rPr>
      </w:pPr>
      <w:r w:rsidRPr="000D096C">
        <w:rPr>
          <w:rFonts w:ascii="Times New Roman" w:hAnsi="Times New Roman"/>
          <w:b/>
          <w:color w:val="auto"/>
          <w:sz w:val="24"/>
          <w:szCs w:val="24"/>
          <w:lang w:val="cs-CZ"/>
        </w:rPr>
        <w:t>Tab</w:t>
      </w:r>
      <w:r w:rsidR="00927BBA" w:rsidRPr="000D096C">
        <w:rPr>
          <w:rFonts w:ascii="Times New Roman" w:hAnsi="Times New Roman"/>
          <w:b/>
          <w:color w:val="auto"/>
          <w:sz w:val="24"/>
          <w:szCs w:val="24"/>
          <w:lang w:val="cs-CZ"/>
        </w:rPr>
        <w:t>ulka</w:t>
      </w:r>
      <w:r w:rsidR="001B4449" w:rsidRPr="000D096C">
        <w:rPr>
          <w:rFonts w:ascii="Times New Roman" w:hAnsi="Times New Roman"/>
          <w:b/>
          <w:color w:val="auto"/>
          <w:sz w:val="24"/>
          <w:szCs w:val="24"/>
          <w:lang w:val="cs-CZ"/>
        </w:rPr>
        <w:t xml:space="preserve"> 5</w:t>
      </w:r>
      <w:r w:rsidRPr="000D096C">
        <w:rPr>
          <w:rFonts w:ascii="Times New Roman" w:hAnsi="Times New Roman"/>
          <w:b/>
          <w:color w:val="auto"/>
          <w:sz w:val="24"/>
          <w:szCs w:val="24"/>
          <w:lang w:val="cs-CZ"/>
        </w:rPr>
        <w:t xml:space="preserve">. </w:t>
      </w:r>
      <w:r w:rsidRPr="000D096C">
        <w:rPr>
          <w:rFonts w:ascii="Times New Roman" w:hAnsi="Times New Roman"/>
          <w:color w:val="auto"/>
          <w:sz w:val="24"/>
          <w:szCs w:val="24"/>
          <w:lang w:val="cs-CZ"/>
        </w:rPr>
        <w:t>Základní chara</w:t>
      </w:r>
      <w:r w:rsidR="00F51E7A">
        <w:rPr>
          <w:rFonts w:ascii="Times New Roman" w:hAnsi="Times New Roman"/>
          <w:color w:val="auto"/>
          <w:sz w:val="24"/>
          <w:szCs w:val="24"/>
          <w:lang w:val="cs-CZ"/>
        </w:rPr>
        <w:t>kteristiky studované populace</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5"/>
        <w:gridCol w:w="2403"/>
        <w:gridCol w:w="2403"/>
        <w:gridCol w:w="2403"/>
      </w:tblGrid>
      <w:tr w:rsidR="00A239A3" w:rsidRPr="000D096C" w:rsidTr="00FA5D93">
        <w:trPr>
          <w:jc w:val="center"/>
        </w:trPr>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Charakteristiky</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Skupina A</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Skupina B</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Skupina C</w:t>
            </w:r>
          </w:p>
        </w:tc>
      </w:tr>
      <w:tr w:rsidR="000D096C" w:rsidRPr="000D096C" w:rsidTr="00FA5D93">
        <w:trPr>
          <w:jc w:val="center"/>
        </w:trPr>
        <w:tc>
          <w:tcPr>
            <w:tcW w:w="0" w:type="auto"/>
            <w:shd w:val="clear" w:color="auto" w:fill="auto"/>
            <w:noWrap/>
            <w:vAlign w:val="center"/>
          </w:tcPr>
          <w:p w:rsidR="007B222F" w:rsidRPr="00D5537F" w:rsidRDefault="007B222F" w:rsidP="00D5537F">
            <w:pPr>
              <w:pStyle w:val="Bezmezer"/>
              <w:spacing w:line="360" w:lineRule="auto"/>
              <w:rPr>
                <w:rFonts w:ascii="Times New Roman" w:hAnsi="Times New Roman" w:cs="Times New Roman"/>
                <w:b/>
                <w:sz w:val="24"/>
                <w:szCs w:val="24"/>
                <w:lang w:eastAsia="cs-CZ"/>
              </w:rPr>
            </w:pP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Průměr ± SD (medián)</w:t>
            </w:r>
          </w:p>
        </w:tc>
        <w:tc>
          <w:tcPr>
            <w:tcW w:w="0" w:type="auto"/>
            <w:shd w:val="clear" w:color="auto" w:fill="auto"/>
            <w:noWrap/>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Průměr ± SD (medián)</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Průměr ± SD (medián)</w:t>
            </w:r>
          </w:p>
        </w:tc>
      </w:tr>
      <w:tr w:rsidR="000D096C" w:rsidRPr="000D096C" w:rsidTr="00FA5D93">
        <w:trPr>
          <w:jc w:val="center"/>
        </w:trPr>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Počet (</w:t>
            </w:r>
            <w:r w:rsidR="00FA5D93" w:rsidRPr="00D5537F">
              <w:rPr>
                <w:rFonts w:ascii="Times New Roman" w:hAnsi="Times New Roman" w:cs="Times New Roman"/>
                <w:b/>
                <w:sz w:val="24"/>
                <w:szCs w:val="24"/>
                <w:lang w:eastAsia="cs-CZ"/>
              </w:rPr>
              <w:t>ženy, muži</w:t>
            </w:r>
            <w:r w:rsidRPr="00D5537F">
              <w:rPr>
                <w:rFonts w:ascii="Times New Roman" w:hAnsi="Times New Roman" w:cs="Times New Roman"/>
                <w:b/>
                <w:sz w:val="24"/>
                <w:szCs w:val="24"/>
                <w:lang w:eastAsia="cs-CZ"/>
              </w:rPr>
              <w:t>)</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256 (164,</w:t>
            </w:r>
            <w:r w:rsidR="00FA5D93" w:rsidRPr="00D5537F">
              <w:rPr>
                <w:rFonts w:ascii="Times New Roman" w:hAnsi="Times New Roman" w:cs="Times New Roman"/>
                <w:sz w:val="24"/>
                <w:szCs w:val="24"/>
                <w:lang w:eastAsia="cs-CZ"/>
              </w:rPr>
              <w:t xml:space="preserve"> </w:t>
            </w:r>
            <w:r w:rsidRPr="00D5537F">
              <w:rPr>
                <w:rFonts w:ascii="Times New Roman" w:hAnsi="Times New Roman" w:cs="Times New Roman"/>
                <w:sz w:val="24"/>
                <w:szCs w:val="24"/>
                <w:lang w:eastAsia="cs-CZ"/>
              </w:rPr>
              <w:t>92)</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301 (153, 148)</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226 (109,</w:t>
            </w:r>
            <w:r w:rsidR="00FA5D93" w:rsidRPr="00D5537F">
              <w:rPr>
                <w:rFonts w:ascii="Times New Roman" w:hAnsi="Times New Roman" w:cs="Times New Roman"/>
                <w:sz w:val="24"/>
                <w:szCs w:val="24"/>
                <w:lang w:eastAsia="cs-CZ"/>
              </w:rPr>
              <w:t xml:space="preserve"> </w:t>
            </w:r>
            <w:r w:rsidRPr="00D5537F">
              <w:rPr>
                <w:rFonts w:ascii="Times New Roman" w:hAnsi="Times New Roman" w:cs="Times New Roman"/>
                <w:sz w:val="24"/>
                <w:szCs w:val="24"/>
                <w:lang w:eastAsia="cs-CZ"/>
              </w:rPr>
              <w:t>117)</w:t>
            </w:r>
          </w:p>
        </w:tc>
      </w:tr>
      <w:tr w:rsidR="000D096C" w:rsidRPr="000D096C" w:rsidTr="00FA5D93">
        <w:trPr>
          <w:jc w:val="center"/>
        </w:trPr>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Věk (roky)</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41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 ± 14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6 (39</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46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 ± 14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5 (47</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52</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8 ± 12</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1 (54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w:t>
            </w:r>
          </w:p>
        </w:tc>
      </w:tr>
      <w:tr w:rsidR="000D096C" w:rsidRPr="000D096C" w:rsidTr="00FA5D93">
        <w:trPr>
          <w:jc w:val="center"/>
        </w:trPr>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Glukóza (mmol/l)</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78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44 (4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80)</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5</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11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66 (5</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07)</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5</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92 ±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24 (5</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80)</w:t>
            </w:r>
          </w:p>
        </w:tc>
      </w:tr>
      <w:tr w:rsidR="000D096C" w:rsidRPr="000D096C" w:rsidTr="00FA5D93">
        <w:trPr>
          <w:jc w:val="center"/>
        </w:trPr>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 xml:space="preserve">Inzulín (mIU/l) </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53 ± 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45 (6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00)</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8</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29 ± 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40 (7</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40)</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15</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26 ± 10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96 (13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70)</w:t>
            </w:r>
          </w:p>
        </w:tc>
      </w:tr>
      <w:tr w:rsidR="000D096C" w:rsidRPr="000D096C" w:rsidTr="00FA5D93">
        <w:trPr>
          <w:jc w:val="center"/>
        </w:trPr>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TC (mmol/l)*</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5</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87 ±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39 (5</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81)</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34 ±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49 (6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34)</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67 ±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92 (6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33)</w:t>
            </w:r>
          </w:p>
        </w:tc>
      </w:tr>
      <w:tr w:rsidR="000D096C" w:rsidRPr="000D096C" w:rsidTr="00FA5D93">
        <w:trPr>
          <w:jc w:val="center"/>
        </w:trPr>
        <w:tc>
          <w:tcPr>
            <w:tcW w:w="0" w:type="auto"/>
            <w:shd w:val="clear" w:color="auto" w:fill="auto"/>
            <w:noWrap/>
            <w:vAlign w:val="center"/>
            <w:hideMark/>
          </w:tcPr>
          <w:p w:rsidR="007B222F" w:rsidRPr="00D5537F" w:rsidRDefault="00EA0A4A" w:rsidP="00D5537F">
            <w:pPr>
              <w:pStyle w:val="Bezmezer"/>
              <w:spacing w:line="360" w:lineRule="auto"/>
              <w:rPr>
                <w:rFonts w:ascii="Times New Roman" w:hAnsi="Times New Roman" w:cs="Times New Roman"/>
                <w:b/>
                <w:sz w:val="24"/>
                <w:szCs w:val="24"/>
                <w:lang w:eastAsia="cs-CZ"/>
              </w:rPr>
            </w:pPr>
            <w:r>
              <w:rPr>
                <w:rFonts w:ascii="Times New Roman" w:hAnsi="Times New Roman" w:cs="Times New Roman"/>
                <w:b/>
                <w:sz w:val="24"/>
                <w:szCs w:val="24"/>
                <w:lang w:eastAsia="cs-CZ"/>
              </w:rPr>
              <w:t>HDL</w:t>
            </w:r>
            <w:r w:rsidR="007B222F" w:rsidRPr="00D5537F">
              <w:rPr>
                <w:rFonts w:ascii="Times New Roman" w:hAnsi="Times New Roman" w:cs="Times New Roman"/>
                <w:b/>
                <w:sz w:val="24"/>
                <w:szCs w:val="24"/>
                <w:lang w:eastAsia="cs-CZ"/>
              </w:rPr>
              <w:t xml:space="preserve"> (mmol/l)</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78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43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71)</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41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37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35)</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14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34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09)</w:t>
            </w:r>
          </w:p>
        </w:tc>
      </w:tr>
      <w:tr w:rsidR="000D096C" w:rsidRPr="000D096C" w:rsidTr="00FA5D93">
        <w:trPr>
          <w:jc w:val="center"/>
        </w:trPr>
        <w:tc>
          <w:tcPr>
            <w:tcW w:w="0" w:type="auto"/>
            <w:shd w:val="clear" w:color="auto" w:fill="auto"/>
            <w:noWrap/>
            <w:vAlign w:val="center"/>
            <w:hideMark/>
          </w:tcPr>
          <w:p w:rsidR="007B222F" w:rsidRPr="00D5537F" w:rsidRDefault="00EA0A4A" w:rsidP="00D5537F">
            <w:pPr>
              <w:pStyle w:val="Bezmezer"/>
              <w:spacing w:line="360" w:lineRule="auto"/>
              <w:rPr>
                <w:rFonts w:ascii="Times New Roman" w:hAnsi="Times New Roman" w:cs="Times New Roman"/>
                <w:b/>
                <w:sz w:val="24"/>
                <w:szCs w:val="24"/>
                <w:lang w:eastAsia="cs-CZ"/>
              </w:rPr>
            </w:pPr>
            <w:r>
              <w:rPr>
                <w:rFonts w:ascii="Times New Roman" w:hAnsi="Times New Roman" w:cs="Times New Roman"/>
                <w:b/>
                <w:sz w:val="24"/>
                <w:szCs w:val="24"/>
                <w:lang w:eastAsia="cs-CZ"/>
              </w:rPr>
              <w:t>LDL</w:t>
            </w:r>
            <w:r w:rsidR="007B222F" w:rsidRPr="00D5537F">
              <w:rPr>
                <w:rFonts w:ascii="Times New Roman" w:hAnsi="Times New Roman" w:cs="Times New Roman"/>
                <w:b/>
                <w:sz w:val="24"/>
                <w:szCs w:val="24"/>
                <w:lang w:eastAsia="cs-CZ"/>
              </w:rPr>
              <w:t xml:space="preserve"> (mmol/l)**</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58 ±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32 (3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47)</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87 ±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32 (3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78)</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89 ±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60 (3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76)</w:t>
            </w:r>
          </w:p>
        </w:tc>
      </w:tr>
      <w:tr w:rsidR="000D096C" w:rsidRPr="000D096C" w:rsidTr="00FA5D93">
        <w:trPr>
          <w:jc w:val="center"/>
        </w:trPr>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TAG (mmol/l)</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10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38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09)</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2</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48 ± 2</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49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86)</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31 ± 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67 (2</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70)</w:t>
            </w:r>
          </w:p>
        </w:tc>
      </w:tr>
      <w:tr w:rsidR="000D096C" w:rsidRPr="000D096C" w:rsidTr="00FA5D93">
        <w:trPr>
          <w:jc w:val="center"/>
        </w:trPr>
        <w:tc>
          <w:tcPr>
            <w:tcW w:w="0" w:type="auto"/>
            <w:shd w:val="clear" w:color="auto" w:fill="auto"/>
            <w:noWrap/>
            <w:vAlign w:val="center"/>
          </w:tcPr>
          <w:p w:rsidR="007B222F" w:rsidRPr="00D5537F" w:rsidRDefault="00890488" w:rsidP="00890488">
            <w:pPr>
              <w:pStyle w:val="Bezmezer"/>
              <w:spacing w:line="360" w:lineRule="auto"/>
              <w:rPr>
                <w:rFonts w:ascii="Times New Roman" w:hAnsi="Times New Roman" w:cs="Times New Roman"/>
                <w:b/>
                <w:sz w:val="24"/>
                <w:szCs w:val="24"/>
                <w:lang w:eastAsia="cs-CZ"/>
              </w:rPr>
            </w:pPr>
            <w:r>
              <w:rPr>
                <w:rFonts w:ascii="Times New Roman" w:hAnsi="Times New Roman" w:cs="Times New Roman"/>
                <w:b/>
                <w:sz w:val="24"/>
                <w:szCs w:val="24"/>
                <w:lang w:eastAsia="cs-CZ"/>
              </w:rPr>
              <w:t>Apo</w:t>
            </w:r>
            <w:r w:rsidR="007B222F" w:rsidRPr="00D5537F">
              <w:rPr>
                <w:rFonts w:ascii="Times New Roman" w:hAnsi="Times New Roman" w:cs="Times New Roman"/>
                <w:b/>
                <w:sz w:val="24"/>
                <w:szCs w:val="24"/>
                <w:lang w:eastAsia="cs-CZ"/>
              </w:rPr>
              <w:t>B (g/l)</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05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32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03)</w:t>
            </w:r>
          </w:p>
        </w:tc>
        <w:tc>
          <w:tcPr>
            <w:tcW w:w="0" w:type="auto"/>
            <w:shd w:val="clear" w:color="auto" w:fill="auto"/>
            <w:noWrap/>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21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34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19)</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31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40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26)</w:t>
            </w:r>
          </w:p>
        </w:tc>
      </w:tr>
      <w:tr w:rsidR="000D096C" w:rsidRPr="000D096C" w:rsidTr="00FA5D93">
        <w:trPr>
          <w:jc w:val="center"/>
        </w:trPr>
        <w:tc>
          <w:tcPr>
            <w:tcW w:w="0" w:type="auto"/>
            <w:shd w:val="clear" w:color="auto" w:fill="auto"/>
            <w:noWrap/>
            <w:vAlign w:val="center"/>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OP (cm)</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79</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 ± 9</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 (79</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w:t>
            </w:r>
          </w:p>
        </w:tc>
        <w:tc>
          <w:tcPr>
            <w:tcW w:w="0" w:type="auto"/>
            <w:shd w:val="clear" w:color="auto" w:fill="auto"/>
            <w:noWrap/>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89</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 ± 12</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 (90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106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 ± 14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 (104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w:t>
            </w:r>
          </w:p>
        </w:tc>
      </w:tr>
      <w:tr w:rsidR="000D096C" w:rsidRPr="000D096C" w:rsidTr="00FA5D93">
        <w:trPr>
          <w:jc w:val="center"/>
        </w:trPr>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BMI (kg/m²)</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23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5 ± 2</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9 (23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26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 ± 3</w:t>
            </w:r>
            <w:r w:rsidR="00FA5D93" w:rsidRPr="00D5537F">
              <w:rPr>
                <w:rFonts w:ascii="Times New Roman" w:hAnsi="Times New Roman" w:cs="Times New Roman"/>
                <w:sz w:val="24"/>
                <w:szCs w:val="24"/>
                <w:lang w:eastAsia="cs-CZ"/>
              </w:rPr>
              <w:t>,8</w:t>
            </w:r>
            <w:r w:rsidRPr="00D5537F">
              <w:rPr>
                <w:rFonts w:ascii="Times New Roman" w:hAnsi="Times New Roman" w:cs="Times New Roman"/>
                <w:sz w:val="24"/>
                <w:szCs w:val="24"/>
                <w:lang w:eastAsia="cs-CZ"/>
              </w:rPr>
              <w:t xml:space="preserve"> (26</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31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 ± 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 (30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6)</w:t>
            </w:r>
          </w:p>
        </w:tc>
      </w:tr>
      <w:tr w:rsidR="000D096C" w:rsidRPr="000D096C" w:rsidTr="00FA5D93">
        <w:trPr>
          <w:jc w:val="center"/>
        </w:trPr>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HOMA-IR</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40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77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26)</w:t>
            </w:r>
          </w:p>
        </w:tc>
        <w:tc>
          <w:tcPr>
            <w:tcW w:w="0" w:type="auto"/>
            <w:shd w:val="clear" w:color="auto" w:fill="auto"/>
            <w:noWrap/>
            <w:vAlign w:val="center"/>
            <w:hideMark/>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89 ±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06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68)</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07 ± 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35 (3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42)</w:t>
            </w:r>
          </w:p>
        </w:tc>
      </w:tr>
      <w:tr w:rsidR="000D096C" w:rsidRPr="000D096C" w:rsidTr="00FA5D93">
        <w:trPr>
          <w:jc w:val="center"/>
        </w:trPr>
        <w:tc>
          <w:tcPr>
            <w:tcW w:w="0" w:type="auto"/>
            <w:shd w:val="clear" w:color="auto" w:fill="auto"/>
            <w:noWrap/>
            <w:vAlign w:val="center"/>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VAI</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04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46 (1</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01)</w:t>
            </w:r>
          </w:p>
        </w:tc>
        <w:tc>
          <w:tcPr>
            <w:tcW w:w="0" w:type="auto"/>
            <w:shd w:val="clear" w:color="auto" w:fill="auto"/>
            <w:noWrap/>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3</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15 ± 5</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02 (2</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10)</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7</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17 ± 9</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35 (4</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25)</w:t>
            </w:r>
          </w:p>
        </w:tc>
      </w:tr>
      <w:tr w:rsidR="000D096C" w:rsidRPr="000D096C" w:rsidTr="00FA5D93">
        <w:trPr>
          <w:jc w:val="center"/>
        </w:trPr>
        <w:tc>
          <w:tcPr>
            <w:tcW w:w="0" w:type="auto"/>
            <w:shd w:val="clear" w:color="auto" w:fill="auto"/>
            <w:noWrap/>
            <w:vAlign w:val="center"/>
          </w:tcPr>
          <w:p w:rsidR="007B222F" w:rsidRPr="00D5537F" w:rsidRDefault="007B222F" w:rsidP="00D5537F">
            <w:pPr>
              <w:pStyle w:val="Bezmezer"/>
              <w:spacing w:line="360" w:lineRule="auto"/>
              <w:rPr>
                <w:rFonts w:ascii="Times New Roman" w:hAnsi="Times New Roman" w:cs="Times New Roman"/>
                <w:b/>
                <w:sz w:val="24"/>
                <w:szCs w:val="24"/>
                <w:lang w:eastAsia="cs-CZ"/>
              </w:rPr>
            </w:pPr>
            <w:r w:rsidRPr="00D5537F">
              <w:rPr>
                <w:rFonts w:ascii="Times New Roman" w:hAnsi="Times New Roman" w:cs="Times New Roman"/>
                <w:b/>
                <w:sz w:val="24"/>
                <w:szCs w:val="24"/>
                <w:lang w:eastAsia="cs-CZ"/>
              </w:rPr>
              <w:t>AIP</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23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21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36)</w:t>
            </w:r>
          </w:p>
        </w:tc>
        <w:tc>
          <w:tcPr>
            <w:tcW w:w="0" w:type="auto"/>
            <w:shd w:val="clear" w:color="auto" w:fill="auto"/>
            <w:noWrap/>
            <w:vAlign w:val="center"/>
          </w:tcPr>
          <w:p w:rsidR="007B222F" w:rsidRPr="00D5537F" w:rsidRDefault="007B222F" w:rsidP="00D5537F">
            <w:pPr>
              <w:pStyle w:val="Bezmezer"/>
              <w:spacing w:line="360" w:lineRule="auto"/>
              <w:rPr>
                <w:rFonts w:ascii="Times New Roman" w:hAnsi="Times New Roman" w:cs="Times New Roman"/>
                <w:sz w:val="24"/>
                <w:szCs w:val="24"/>
              </w:rPr>
            </w:pPr>
            <w:r w:rsidRPr="00D5537F">
              <w:rPr>
                <w:rFonts w:ascii="Times New Roman" w:hAnsi="Times New Roman" w:cs="Times New Roman"/>
                <w:sz w:val="24"/>
                <w:szCs w:val="24"/>
                <w:lang w:eastAsia="cs-CZ"/>
              </w:rPr>
              <w:t>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16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33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03)</w:t>
            </w:r>
          </w:p>
        </w:tc>
        <w:tc>
          <w:tcPr>
            <w:tcW w:w="0" w:type="auto"/>
            <w:shd w:val="clear" w:color="auto" w:fill="auto"/>
            <w:vAlign w:val="center"/>
          </w:tcPr>
          <w:p w:rsidR="007B222F" w:rsidRPr="00D5537F" w:rsidRDefault="007B222F" w:rsidP="00D5537F">
            <w:pPr>
              <w:pStyle w:val="Bezmezer"/>
              <w:spacing w:line="360" w:lineRule="auto"/>
              <w:rPr>
                <w:rFonts w:ascii="Times New Roman" w:hAnsi="Times New Roman" w:cs="Times New Roman"/>
                <w:sz w:val="24"/>
                <w:szCs w:val="24"/>
                <w:lang w:eastAsia="cs-CZ"/>
              </w:rPr>
            </w:pPr>
            <w:r w:rsidRPr="00D5537F">
              <w:rPr>
                <w:rFonts w:ascii="Times New Roman" w:hAnsi="Times New Roman" w:cs="Times New Roman"/>
                <w:sz w:val="24"/>
                <w:szCs w:val="24"/>
                <w:lang w:eastAsia="cs-CZ"/>
              </w:rPr>
              <w:t>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47 ±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37 (0</w:t>
            </w:r>
            <w:r w:rsidR="00FA5D93" w:rsidRPr="00D5537F">
              <w:rPr>
                <w:rFonts w:ascii="Times New Roman" w:hAnsi="Times New Roman" w:cs="Times New Roman"/>
                <w:sz w:val="24"/>
                <w:szCs w:val="24"/>
                <w:lang w:eastAsia="cs-CZ"/>
              </w:rPr>
              <w:t>,</w:t>
            </w:r>
            <w:r w:rsidRPr="00D5537F">
              <w:rPr>
                <w:rFonts w:ascii="Times New Roman" w:hAnsi="Times New Roman" w:cs="Times New Roman"/>
                <w:sz w:val="24"/>
                <w:szCs w:val="24"/>
                <w:lang w:eastAsia="cs-CZ"/>
              </w:rPr>
              <w:t>23)</w:t>
            </w:r>
          </w:p>
        </w:tc>
      </w:tr>
    </w:tbl>
    <w:p w:rsidR="00BC7A07" w:rsidRPr="000D096C" w:rsidRDefault="00BC7A07"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 xml:space="preserve">Statistická významnost (p) rozdílů mezi skupinami </w:t>
      </w:r>
      <w:r w:rsidR="007D059B" w:rsidRPr="000D096C">
        <w:rPr>
          <w:rFonts w:ascii="Times New Roman" w:hAnsi="Times New Roman" w:cs="Times New Roman"/>
          <w:sz w:val="24"/>
          <w:szCs w:val="24"/>
        </w:rPr>
        <w:t xml:space="preserve">byla </w:t>
      </w:r>
      <w:r w:rsidRPr="000D096C">
        <w:rPr>
          <w:rFonts w:ascii="Times New Roman" w:hAnsi="Times New Roman" w:cs="Times New Roman"/>
          <w:sz w:val="24"/>
          <w:szCs w:val="24"/>
        </w:rPr>
        <w:t xml:space="preserve">&lt; </w:t>
      </w:r>
      <w:r w:rsidR="007D059B" w:rsidRPr="000D096C">
        <w:rPr>
          <w:rFonts w:ascii="Times New Roman" w:hAnsi="Times New Roman" w:cs="Times New Roman"/>
          <w:sz w:val="24"/>
          <w:szCs w:val="24"/>
        </w:rPr>
        <w:t>0,</w:t>
      </w:r>
      <w:r w:rsidRPr="000D096C">
        <w:rPr>
          <w:rFonts w:ascii="Times New Roman" w:hAnsi="Times New Roman" w:cs="Times New Roman"/>
          <w:sz w:val="24"/>
          <w:szCs w:val="24"/>
        </w:rPr>
        <w:t>001, pokud není uvedeno jinak</w:t>
      </w:r>
    </w:p>
    <w:p w:rsidR="007B222F" w:rsidRPr="000D096C" w:rsidRDefault="00C12792"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*p (Skupina A vs. Skupina B) = 0,002, p (Skupina B vs. Skupina C) = 0,612; **p (Skupina A vs. Skupina B) = 0,029, p (Skupina B vs. Skupina C) = 1.</w:t>
      </w:r>
    </w:p>
    <w:p w:rsidR="009B2468" w:rsidRPr="000D096C" w:rsidRDefault="00865B37" w:rsidP="00E319B2">
      <w:pPr>
        <w:pStyle w:val="Nadpis4"/>
      </w:pPr>
      <w:r w:rsidRPr="000D096C">
        <w:t>Hraniční body</w:t>
      </w:r>
      <w:r w:rsidR="0088437C" w:rsidRPr="000D096C">
        <w:t xml:space="preserve"> </w:t>
      </w:r>
      <w:r w:rsidR="009D0199" w:rsidRPr="000D096C">
        <w:t>v</w:t>
      </w:r>
      <w:r w:rsidR="0088437C" w:rsidRPr="000D096C">
        <w:t>isceral adiposity index</w:t>
      </w:r>
    </w:p>
    <w:p w:rsidR="00267EF1" w:rsidRDefault="009B2468"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 xml:space="preserve">Všechny </w:t>
      </w:r>
      <w:r w:rsidR="00723FB2" w:rsidRPr="000D096C">
        <w:rPr>
          <w:rFonts w:ascii="Times New Roman" w:hAnsi="Times New Roman" w:cs="Times New Roman"/>
          <w:sz w:val="24"/>
          <w:szCs w:val="24"/>
        </w:rPr>
        <w:t>stanovené</w:t>
      </w:r>
      <w:r w:rsidRPr="000D096C">
        <w:rPr>
          <w:rFonts w:ascii="Times New Roman" w:hAnsi="Times New Roman" w:cs="Times New Roman"/>
          <w:sz w:val="24"/>
          <w:szCs w:val="24"/>
        </w:rPr>
        <w:t xml:space="preserve"> hranič</w:t>
      </w:r>
      <w:r w:rsidR="002801C2">
        <w:rPr>
          <w:rFonts w:ascii="Times New Roman" w:hAnsi="Times New Roman" w:cs="Times New Roman"/>
          <w:sz w:val="24"/>
          <w:szCs w:val="24"/>
        </w:rPr>
        <w:t>ní body VAI zobrazuje tab.</w:t>
      </w:r>
      <w:r w:rsidR="00927BBA" w:rsidRPr="000D096C">
        <w:rPr>
          <w:rFonts w:ascii="Times New Roman" w:hAnsi="Times New Roman" w:cs="Times New Roman"/>
          <w:sz w:val="24"/>
          <w:szCs w:val="24"/>
        </w:rPr>
        <w:t xml:space="preserve"> </w:t>
      </w:r>
      <w:r w:rsidR="0027702E" w:rsidRPr="000D096C">
        <w:rPr>
          <w:rFonts w:ascii="Times New Roman" w:hAnsi="Times New Roman" w:cs="Times New Roman"/>
          <w:sz w:val="24"/>
          <w:szCs w:val="24"/>
        </w:rPr>
        <w:t>6</w:t>
      </w:r>
      <w:r w:rsidRPr="000D096C">
        <w:rPr>
          <w:rFonts w:ascii="Times New Roman" w:hAnsi="Times New Roman" w:cs="Times New Roman"/>
          <w:sz w:val="24"/>
          <w:szCs w:val="24"/>
        </w:rPr>
        <w:t>. Mezní hodnota VAI odděl</w:t>
      </w:r>
      <w:r w:rsidR="00723FB2" w:rsidRPr="000D096C">
        <w:rPr>
          <w:rFonts w:ascii="Times New Roman" w:hAnsi="Times New Roman" w:cs="Times New Roman"/>
          <w:sz w:val="24"/>
          <w:szCs w:val="24"/>
        </w:rPr>
        <w:t>ující jedince s</w:t>
      </w:r>
      <w:r w:rsidRPr="000D096C">
        <w:rPr>
          <w:rFonts w:ascii="Times New Roman" w:hAnsi="Times New Roman" w:cs="Times New Roman"/>
          <w:sz w:val="24"/>
          <w:szCs w:val="24"/>
        </w:rPr>
        <w:t xml:space="preserve"> MetS (Skupina C) od ostatních (Skupina A a B) bez ohledu na pohlaví byla 2,</w:t>
      </w:r>
      <w:r w:rsidR="009329F1" w:rsidRPr="000D096C">
        <w:rPr>
          <w:rFonts w:ascii="Times New Roman" w:hAnsi="Times New Roman" w:cs="Times New Roman"/>
          <w:sz w:val="24"/>
          <w:szCs w:val="24"/>
        </w:rPr>
        <w:t>37 se senzitivitou 0,86 a specif</w:t>
      </w:r>
      <w:r w:rsidRPr="000D096C">
        <w:rPr>
          <w:rFonts w:ascii="Times New Roman" w:hAnsi="Times New Roman" w:cs="Times New Roman"/>
          <w:sz w:val="24"/>
          <w:szCs w:val="24"/>
        </w:rPr>
        <w:t xml:space="preserve">icitou 0,78. </w:t>
      </w:r>
      <w:r w:rsidR="009329F1" w:rsidRPr="000D096C">
        <w:rPr>
          <w:rFonts w:ascii="Times New Roman" w:hAnsi="Times New Roman" w:cs="Times New Roman"/>
          <w:sz w:val="24"/>
          <w:szCs w:val="24"/>
        </w:rPr>
        <w:t xml:space="preserve">Plocha pod ROC křivkou pro tuto hodnotu VAI byla </w:t>
      </w:r>
      <w:r w:rsidR="00107EB3">
        <w:rPr>
          <w:rFonts w:ascii="Times New Roman" w:hAnsi="Times New Roman" w:cs="Times New Roman"/>
          <w:sz w:val="24"/>
          <w:szCs w:val="24"/>
        </w:rPr>
        <w:t>0,878 (95 % KI</w:t>
      </w:r>
      <w:r w:rsidRPr="000D096C">
        <w:rPr>
          <w:rFonts w:ascii="Times New Roman" w:hAnsi="Times New Roman" w:cs="Times New Roman"/>
          <w:sz w:val="24"/>
          <w:szCs w:val="24"/>
        </w:rPr>
        <w:t xml:space="preserve"> 0,853-0,903). Hraniční hodno</w:t>
      </w:r>
      <w:r w:rsidR="009329F1" w:rsidRPr="000D096C">
        <w:rPr>
          <w:rFonts w:ascii="Times New Roman" w:hAnsi="Times New Roman" w:cs="Times New Roman"/>
          <w:sz w:val="24"/>
          <w:szCs w:val="24"/>
        </w:rPr>
        <w:t>ty VAI identifikující jedince na</w:t>
      </w:r>
      <w:r w:rsidRPr="000D096C">
        <w:rPr>
          <w:rFonts w:ascii="Times New Roman" w:hAnsi="Times New Roman" w:cs="Times New Roman"/>
          <w:sz w:val="24"/>
          <w:szCs w:val="24"/>
        </w:rPr>
        <w:t xml:space="preserve"> zvoleném spodním, respektive horním limitu HOMA-IR byla 1,89, respektive 2,37. Součet senzitivity a specificit</w:t>
      </w:r>
      <w:r w:rsidR="009329F1" w:rsidRPr="000D096C">
        <w:rPr>
          <w:rFonts w:ascii="Times New Roman" w:hAnsi="Times New Roman" w:cs="Times New Roman"/>
          <w:sz w:val="24"/>
          <w:szCs w:val="24"/>
        </w:rPr>
        <w:t>y pro tyto dva hraniční body</w:t>
      </w:r>
      <w:r w:rsidRPr="000D096C">
        <w:rPr>
          <w:rFonts w:ascii="Times New Roman" w:hAnsi="Times New Roman" w:cs="Times New Roman"/>
          <w:sz w:val="24"/>
          <w:szCs w:val="24"/>
        </w:rPr>
        <w:t xml:space="preserve"> byl podobný, ale celkově nižší než v případě hraniční hodnoty pro odlišení MetS. To</w:t>
      </w:r>
      <w:r w:rsidR="00092F51">
        <w:rPr>
          <w:rFonts w:ascii="Times New Roman" w:hAnsi="Times New Roman" w:cs="Times New Roman"/>
          <w:sz w:val="24"/>
          <w:szCs w:val="24"/>
        </w:rPr>
        <w:t>též</w:t>
      </w:r>
      <w:r w:rsidRPr="000D096C">
        <w:rPr>
          <w:rFonts w:ascii="Times New Roman" w:hAnsi="Times New Roman" w:cs="Times New Roman"/>
          <w:sz w:val="24"/>
          <w:szCs w:val="24"/>
        </w:rPr>
        <w:t xml:space="preserve"> platí pro jejich plochy pod </w:t>
      </w:r>
      <w:r w:rsidRPr="000D096C">
        <w:rPr>
          <w:rFonts w:ascii="Times New Roman" w:hAnsi="Times New Roman" w:cs="Times New Roman"/>
          <w:sz w:val="24"/>
          <w:szCs w:val="24"/>
        </w:rPr>
        <w:lastRenderedPageBreak/>
        <w:t>ROC křivkami. Vysoké negativní prediktivní hodnoty patrné u všech uvedených mezních hodnot podporují jejich vysokou specificitu.</w:t>
      </w:r>
    </w:p>
    <w:p w:rsidR="00927BBA" w:rsidRPr="000D096C" w:rsidRDefault="00927BBA" w:rsidP="002F1555">
      <w:pPr>
        <w:pStyle w:val="MDPI41tablecaption"/>
        <w:spacing w:after="240" w:line="360" w:lineRule="auto"/>
        <w:ind w:left="0"/>
        <w:rPr>
          <w:rFonts w:ascii="Times New Roman" w:hAnsi="Times New Roman"/>
          <w:b/>
          <w:color w:val="auto"/>
          <w:sz w:val="24"/>
          <w:szCs w:val="24"/>
          <w:lang w:val="cs-CZ"/>
        </w:rPr>
      </w:pPr>
      <w:r w:rsidRPr="000D096C">
        <w:rPr>
          <w:rFonts w:ascii="Times New Roman" w:hAnsi="Times New Roman"/>
          <w:b/>
          <w:color w:val="auto"/>
          <w:sz w:val="24"/>
          <w:szCs w:val="24"/>
          <w:lang w:val="cs-CZ"/>
        </w:rPr>
        <w:t xml:space="preserve">Tabulka </w:t>
      </w:r>
      <w:r w:rsidR="0027702E" w:rsidRPr="000D096C">
        <w:rPr>
          <w:rFonts w:ascii="Times New Roman" w:hAnsi="Times New Roman"/>
          <w:b/>
          <w:color w:val="auto"/>
          <w:sz w:val="24"/>
          <w:szCs w:val="24"/>
          <w:lang w:val="cs-CZ"/>
        </w:rPr>
        <w:t>6</w:t>
      </w:r>
      <w:r w:rsidRPr="000D096C">
        <w:rPr>
          <w:rFonts w:ascii="Times New Roman" w:hAnsi="Times New Roman"/>
          <w:b/>
          <w:color w:val="auto"/>
          <w:sz w:val="24"/>
          <w:szCs w:val="24"/>
          <w:lang w:val="cs-CZ"/>
        </w:rPr>
        <w:t xml:space="preserve">. </w:t>
      </w:r>
      <w:r w:rsidRPr="000D096C">
        <w:rPr>
          <w:rFonts w:ascii="Times New Roman" w:hAnsi="Times New Roman"/>
          <w:color w:val="auto"/>
          <w:sz w:val="24"/>
          <w:szCs w:val="24"/>
          <w:lang w:val="cs-CZ"/>
        </w:rPr>
        <w:t>Hraniční hodnoty</w:t>
      </w:r>
      <w:r w:rsidRPr="000D096C">
        <w:rPr>
          <w:rFonts w:ascii="Times New Roman" w:hAnsi="Times New Roman"/>
          <w:b/>
          <w:color w:val="auto"/>
          <w:sz w:val="24"/>
          <w:szCs w:val="24"/>
          <w:lang w:val="cs-CZ"/>
        </w:rPr>
        <w:t xml:space="preserve"> </w:t>
      </w:r>
      <w:r w:rsidRPr="000D096C">
        <w:rPr>
          <w:rFonts w:ascii="Times New Roman" w:hAnsi="Times New Roman"/>
          <w:color w:val="auto"/>
          <w:sz w:val="24"/>
          <w:szCs w:val="24"/>
          <w:lang w:val="cs-CZ"/>
        </w:rPr>
        <w:t xml:space="preserve">VAI maximalizující součet senzitivity a specificity pro </w:t>
      </w:r>
      <w:r w:rsidR="00723FB2" w:rsidRPr="000D096C">
        <w:rPr>
          <w:rFonts w:ascii="Times New Roman" w:hAnsi="Times New Roman"/>
          <w:color w:val="auto"/>
          <w:sz w:val="24"/>
          <w:szCs w:val="24"/>
          <w:lang w:val="cs-CZ"/>
        </w:rPr>
        <w:t xml:space="preserve">cílové parametry - </w:t>
      </w:r>
      <w:r w:rsidRPr="000D096C">
        <w:rPr>
          <w:rFonts w:ascii="Times New Roman" w:hAnsi="Times New Roman"/>
          <w:color w:val="auto"/>
          <w:sz w:val="24"/>
          <w:szCs w:val="24"/>
          <w:lang w:val="cs-CZ"/>
        </w:rPr>
        <w:t xml:space="preserve">MetS a </w:t>
      </w:r>
      <w:r w:rsidR="00AE29D1" w:rsidRPr="000D096C">
        <w:rPr>
          <w:rFonts w:ascii="Times New Roman" w:hAnsi="Times New Roman"/>
          <w:color w:val="auto"/>
          <w:sz w:val="24"/>
          <w:szCs w:val="24"/>
          <w:lang w:val="cs-CZ"/>
        </w:rPr>
        <w:t xml:space="preserve">stanovené hodnoty </w:t>
      </w:r>
      <w:r w:rsidRPr="000D096C">
        <w:rPr>
          <w:rFonts w:ascii="Times New Roman" w:hAnsi="Times New Roman"/>
          <w:color w:val="auto"/>
          <w:sz w:val="24"/>
          <w:szCs w:val="24"/>
          <w:lang w:val="cs-CZ"/>
        </w:rPr>
        <w:t>HOMA-IR</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3"/>
        <w:gridCol w:w="1521"/>
        <w:gridCol w:w="1199"/>
        <w:gridCol w:w="1199"/>
        <w:gridCol w:w="681"/>
        <w:gridCol w:w="681"/>
        <w:gridCol w:w="2038"/>
      </w:tblGrid>
      <w:tr w:rsidR="00A239A3" w:rsidRPr="000D096C" w:rsidTr="0030256B">
        <w:trPr>
          <w:jc w:val="center"/>
        </w:trPr>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eastAsia="Times New Roman" w:hAnsi="Times New Roman" w:cs="Times New Roman"/>
                <w:b/>
                <w:bCs/>
                <w:lang w:eastAsia="cs-CZ"/>
              </w:rPr>
            </w:pPr>
            <w:r w:rsidRPr="000D096C">
              <w:rPr>
                <w:rFonts w:ascii="Times New Roman" w:eastAsia="Times New Roman" w:hAnsi="Times New Roman" w:cs="Times New Roman"/>
                <w:b/>
                <w:bCs/>
                <w:lang w:eastAsia="cs-CZ"/>
              </w:rPr>
              <w:t>Cílový parametr</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eastAsia="Times New Roman" w:hAnsi="Times New Roman" w:cs="Times New Roman"/>
                <w:b/>
                <w:bCs/>
                <w:lang w:eastAsia="cs-CZ"/>
              </w:rPr>
            </w:pPr>
            <w:r w:rsidRPr="000D096C">
              <w:rPr>
                <w:rFonts w:ascii="Times New Roman" w:eastAsia="Times New Roman" w:hAnsi="Times New Roman" w:cs="Times New Roman"/>
                <w:b/>
                <w:bCs/>
                <w:lang w:eastAsia="cs-CZ"/>
              </w:rPr>
              <w:t>Hodnota VAI</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eastAsia="Times New Roman" w:hAnsi="Times New Roman" w:cs="Times New Roman"/>
                <w:b/>
                <w:bCs/>
                <w:lang w:eastAsia="cs-CZ"/>
              </w:rPr>
            </w:pPr>
            <w:r w:rsidRPr="000D096C">
              <w:rPr>
                <w:rFonts w:ascii="Times New Roman" w:eastAsia="Times New Roman" w:hAnsi="Times New Roman" w:cs="Times New Roman"/>
                <w:b/>
                <w:bCs/>
                <w:lang w:eastAsia="cs-CZ"/>
              </w:rPr>
              <w:t>Sensitivita</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eastAsia="Times New Roman" w:hAnsi="Times New Roman" w:cs="Times New Roman"/>
                <w:b/>
                <w:bCs/>
                <w:lang w:eastAsia="cs-CZ"/>
              </w:rPr>
            </w:pPr>
            <w:r w:rsidRPr="000D096C">
              <w:rPr>
                <w:rFonts w:ascii="Times New Roman" w:eastAsia="Times New Roman" w:hAnsi="Times New Roman" w:cs="Times New Roman"/>
                <w:b/>
                <w:bCs/>
                <w:lang w:eastAsia="cs-CZ"/>
              </w:rPr>
              <w:t>Specificita</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eastAsia="Times New Roman" w:hAnsi="Times New Roman" w:cs="Times New Roman"/>
                <w:b/>
                <w:bCs/>
                <w:lang w:eastAsia="cs-CZ"/>
              </w:rPr>
            </w:pPr>
            <w:r w:rsidRPr="000D096C">
              <w:rPr>
                <w:rFonts w:ascii="Times New Roman" w:eastAsia="Times New Roman" w:hAnsi="Times New Roman" w:cs="Times New Roman"/>
                <w:b/>
                <w:bCs/>
                <w:lang w:eastAsia="cs-CZ"/>
              </w:rPr>
              <w:t>PPH</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eastAsia="Times New Roman" w:hAnsi="Times New Roman" w:cs="Times New Roman"/>
                <w:b/>
                <w:bCs/>
                <w:lang w:eastAsia="cs-CZ"/>
              </w:rPr>
            </w:pPr>
            <w:r w:rsidRPr="000D096C">
              <w:rPr>
                <w:rFonts w:ascii="Times New Roman" w:eastAsia="Times New Roman" w:hAnsi="Times New Roman" w:cs="Times New Roman"/>
                <w:b/>
                <w:bCs/>
                <w:lang w:eastAsia="cs-CZ"/>
              </w:rPr>
              <w:t>NPH</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eastAsia="Times New Roman" w:hAnsi="Times New Roman" w:cs="Times New Roman"/>
                <w:b/>
                <w:bCs/>
                <w:lang w:eastAsia="cs-CZ"/>
              </w:rPr>
            </w:pPr>
            <w:r w:rsidRPr="000D096C">
              <w:rPr>
                <w:rFonts w:ascii="Times New Roman" w:eastAsia="Times New Roman" w:hAnsi="Times New Roman" w:cs="Times New Roman"/>
                <w:b/>
                <w:bCs/>
                <w:lang w:eastAsia="cs-CZ"/>
              </w:rPr>
              <w:t>AUC (95% KI)</w:t>
            </w:r>
          </w:p>
        </w:tc>
      </w:tr>
      <w:tr w:rsidR="000D096C" w:rsidRPr="000D096C" w:rsidTr="0030256B">
        <w:trPr>
          <w:jc w:val="center"/>
        </w:trPr>
        <w:tc>
          <w:tcPr>
            <w:tcW w:w="0" w:type="auto"/>
            <w:shd w:val="clear" w:color="auto" w:fill="auto"/>
            <w:noWrap/>
            <w:vAlign w:val="center"/>
            <w:hideMark/>
          </w:tcPr>
          <w:p w:rsidR="00927BBA" w:rsidRPr="00D5537F" w:rsidRDefault="00927BBA" w:rsidP="00D5537F">
            <w:pPr>
              <w:autoSpaceDE w:val="0"/>
              <w:autoSpaceDN w:val="0"/>
              <w:adjustRightInd w:val="0"/>
              <w:snapToGrid w:val="0"/>
              <w:spacing w:after="0" w:line="360" w:lineRule="auto"/>
              <w:rPr>
                <w:rFonts w:ascii="Times New Roman" w:hAnsi="Times New Roman" w:cs="Times New Roman"/>
                <w:b/>
                <w:lang w:eastAsia="cs-CZ"/>
              </w:rPr>
            </w:pPr>
            <w:r w:rsidRPr="00D5537F">
              <w:rPr>
                <w:rFonts w:ascii="Times New Roman" w:hAnsi="Times New Roman" w:cs="Times New Roman"/>
                <w:b/>
                <w:lang w:eastAsia="cs-CZ"/>
              </w:rPr>
              <w:t>MetS</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2,372</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0,863</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0,781</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0,615</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0,933</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0,878 (0,853-0,903)</w:t>
            </w:r>
          </w:p>
        </w:tc>
      </w:tr>
      <w:tr w:rsidR="000D096C" w:rsidRPr="000D096C" w:rsidTr="0030256B">
        <w:trPr>
          <w:jc w:val="center"/>
        </w:trPr>
        <w:tc>
          <w:tcPr>
            <w:tcW w:w="0" w:type="auto"/>
            <w:shd w:val="clear" w:color="auto" w:fill="auto"/>
            <w:noWrap/>
            <w:vAlign w:val="center"/>
            <w:hideMark/>
          </w:tcPr>
          <w:p w:rsidR="00927BBA" w:rsidRPr="00D5537F" w:rsidRDefault="00927BBA" w:rsidP="00D5537F">
            <w:pPr>
              <w:autoSpaceDE w:val="0"/>
              <w:autoSpaceDN w:val="0"/>
              <w:adjustRightInd w:val="0"/>
              <w:snapToGrid w:val="0"/>
              <w:spacing w:after="0" w:line="360" w:lineRule="auto"/>
              <w:rPr>
                <w:rFonts w:ascii="Times New Roman" w:hAnsi="Times New Roman" w:cs="Times New Roman"/>
                <w:b/>
                <w:lang w:eastAsia="cs-CZ"/>
              </w:rPr>
            </w:pPr>
            <w:r w:rsidRPr="00D5537F">
              <w:rPr>
                <w:rFonts w:ascii="Times New Roman" w:hAnsi="Times New Roman" w:cs="Times New Roman"/>
                <w:b/>
                <w:lang w:eastAsia="cs-CZ"/>
              </w:rPr>
              <w:t>HOMA-IR = 2,0</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1,894</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0,738</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0,684</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0,634</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0,779</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0,770 (0,735-0,804)</w:t>
            </w:r>
          </w:p>
        </w:tc>
      </w:tr>
      <w:tr w:rsidR="000D096C" w:rsidRPr="000D096C" w:rsidTr="0030256B">
        <w:trPr>
          <w:jc w:val="center"/>
        </w:trPr>
        <w:tc>
          <w:tcPr>
            <w:tcW w:w="0" w:type="auto"/>
            <w:shd w:val="clear" w:color="auto" w:fill="auto"/>
            <w:noWrap/>
            <w:vAlign w:val="center"/>
            <w:hideMark/>
          </w:tcPr>
          <w:p w:rsidR="00927BBA" w:rsidRPr="00D5537F" w:rsidRDefault="00927BBA" w:rsidP="00D5537F">
            <w:pPr>
              <w:autoSpaceDE w:val="0"/>
              <w:autoSpaceDN w:val="0"/>
              <w:adjustRightInd w:val="0"/>
              <w:snapToGrid w:val="0"/>
              <w:spacing w:after="0" w:line="360" w:lineRule="auto"/>
              <w:rPr>
                <w:rFonts w:ascii="Times New Roman" w:hAnsi="Times New Roman" w:cs="Times New Roman"/>
                <w:b/>
                <w:lang w:eastAsia="cs-CZ"/>
              </w:rPr>
            </w:pPr>
            <w:r w:rsidRPr="00D5537F">
              <w:rPr>
                <w:rFonts w:ascii="Times New Roman" w:hAnsi="Times New Roman" w:cs="Times New Roman"/>
                <w:b/>
                <w:lang w:eastAsia="cs-CZ"/>
              </w:rPr>
              <w:t>HOMA-IR = 3,8</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2,372</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0,785</w:t>
            </w:r>
          </w:p>
        </w:tc>
        <w:tc>
          <w:tcPr>
            <w:tcW w:w="0" w:type="auto"/>
            <w:shd w:val="clear" w:color="auto" w:fill="auto"/>
            <w:noWrap/>
            <w:vAlign w:val="center"/>
            <w:hideMark/>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0,662</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0,294</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0,945</w:t>
            </w:r>
          </w:p>
        </w:tc>
        <w:tc>
          <w:tcPr>
            <w:tcW w:w="0" w:type="auto"/>
            <w:shd w:val="clear" w:color="auto" w:fill="auto"/>
            <w:vAlign w:val="center"/>
          </w:tcPr>
          <w:p w:rsidR="00927BBA" w:rsidRPr="000D096C" w:rsidRDefault="00927BBA" w:rsidP="00D5537F">
            <w:pPr>
              <w:autoSpaceDE w:val="0"/>
              <w:autoSpaceDN w:val="0"/>
              <w:adjustRightInd w:val="0"/>
              <w:snapToGrid w:val="0"/>
              <w:spacing w:after="0" w:line="360" w:lineRule="auto"/>
              <w:rPr>
                <w:rFonts w:ascii="Times New Roman" w:hAnsi="Times New Roman" w:cs="Times New Roman"/>
                <w:lang w:eastAsia="cs-CZ"/>
              </w:rPr>
            </w:pPr>
            <w:r w:rsidRPr="000D096C">
              <w:rPr>
                <w:rFonts w:ascii="Times New Roman" w:hAnsi="Times New Roman" w:cs="Times New Roman"/>
                <w:lang w:eastAsia="cs-CZ"/>
              </w:rPr>
              <w:t>0,765 (0,721-0,808)</w:t>
            </w:r>
          </w:p>
        </w:tc>
      </w:tr>
    </w:tbl>
    <w:p w:rsidR="009B2468" w:rsidRPr="000D096C" w:rsidRDefault="009B2468" w:rsidP="00E319B2">
      <w:pPr>
        <w:pStyle w:val="Nadpis4"/>
      </w:pPr>
      <w:r w:rsidRPr="000D096C">
        <w:t>Korelační analýza</w:t>
      </w:r>
    </w:p>
    <w:p w:rsidR="00D5537F" w:rsidRDefault="0027702E"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002801C2">
        <w:rPr>
          <w:rFonts w:ascii="Times New Roman" w:hAnsi="Times New Roman" w:cs="Times New Roman"/>
          <w:sz w:val="24"/>
          <w:szCs w:val="24"/>
        </w:rPr>
        <w:t>Tab.</w:t>
      </w:r>
      <w:r w:rsidRPr="000D096C">
        <w:rPr>
          <w:rFonts w:ascii="Times New Roman" w:hAnsi="Times New Roman" w:cs="Times New Roman"/>
          <w:sz w:val="24"/>
          <w:szCs w:val="24"/>
        </w:rPr>
        <w:t xml:space="preserve"> 7</w:t>
      </w:r>
      <w:r w:rsidR="009B2468" w:rsidRPr="000D096C">
        <w:rPr>
          <w:rFonts w:ascii="Times New Roman" w:hAnsi="Times New Roman" w:cs="Times New Roman"/>
          <w:sz w:val="24"/>
          <w:szCs w:val="24"/>
        </w:rPr>
        <w:t xml:space="preserve"> uvádí korelační koeficienty mezi vyšetřovanými p</w:t>
      </w:r>
      <w:r w:rsidR="00723FB2" w:rsidRPr="000D096C">
        <w:rPr>
          <w:rFonts w:ascii="Times New Roman" w:hAnsi="Times New Roman" w:cs="Times New Roman"/>
          <w:sz w:val="24"/>
          <w:szCs w:val="24"/>
        </w:rPr>
        <w:t>arametry. Vynecháme-li proměnné</w:t>
      </w:r>
      <w:r w:rsidR="009B2468" w:rsidRPr="000D096C">
        <w:rPr>
          <w:rFonts w:ascii="Times New Roman" w:hAnsi="Times New Roman" w:cs="Times New Roman"/>
          <w:sz w:val="24"/>
          <w:szCs w:val="24"/>
        </w:rPr>
        <w:t xml:space="preserve"> obsažené ve výpočtu VAI, tak nejsilnější korelace VAI byly zaznamenány s HOMA-IR (r = 0,51) a inzulinémií (r</w:t>
      </w:r>
      <w:r w:rsidR="00723FB2" w:rsidRPr="000D096C">
        <w:rPr>
          <w:rFonts w:ascii="Times New Roman" w:hAnsi="Times New Roman" w:cs="Times New Roman"/>
          <w:sz w:val="24"/>
          <w:szCs w:val="24"/>
        </w:rPr>
        <w:t xml:space="preserve"> </w:t>
      </w:r>
      <w:r w:rsidR="009B2468" w:rsidRPr="000D096C">
        <w:rPr>
          <w:rFonts w:ascii="Times New Roman" w:hAnsi="Times New Roman" w:cs="Times New Roman"/>
          <w:sz w:val="24"/>
          <w:szCs w:val="24"/>
        </w:rPr>
        <w:t>= 0,49). Korelace VAI s glykémií byla slabší (r</w:t>
      </w:r>
      <w:r w:rsidR="00762125">
        <w:rPr>
          <w:rFonts w:ascii="Times New Roman" w:hAnsi="Times New Roman" w:cs="Times New Roman"/>
          <w:sz w:val="24"/>
          <w:szCs w:val="24"/>
        </w:rPr>
        <w:t> </w:t>
      </w:r>
      <w:r w:rsidR="009B2468" w:rsidRPr="000D096C">
        <w:rPr>
          <w:rFonts w:ascii="Times New Roman" w:hAnsi="Times New Roman" w:cs="Times New Roman"/>
          <w:sz w:val="24"/>
          <w:szCs w:val="24"/>
        </w:rPr>
        <w:t>=</w:t>
      </w:r>
      <w:r w:rsidR="00762125">
        <w:rPr>
          <w:rFonts w:ascii="Times New Roman" w:hAnsi="Times New Roman" w:cs="Times New Roman"/>
          <w:sz w:val="24"/>
          <w:szCs w:val="24"/>
        </w:rPr>
        <w:t> </w:t>
      </w:r>
      <w:r w:rsidR="009B2468" w:rsidRPr="000D096C">
        <w:rPr>
          <w:rFonts w:ascii="Times New Roman" w:hAnsi="Times New Roman" w:cs="Times New Roman"/>
          <w:sz w:val="24"/>
          <w:szCs w:val="24"/>
        </w:rPr>
        <w:t>0,31). Nejsilnější korelace hodnot</w:t>
      </w:r>
      <w:r w:rsidR="00723FB2" w:rsidRPr="000D096C">
        <w:rPr>
          <w:rFonts w:ascii="Times New Roman" w:hAnsi="Times New Roman" w:cs="Times New Roman"/>
          <w:sz w:val="24"/>
          <w:szCs w:val="24"/>
        </w:rPr>
        <w:t xml:space="preserve"> glykémie byla s</w:t>
      </w:r>
      <w:r w:rsidR="009B2468" w:rsidRPr="000D096C">
        <w:rPr>
          <w:rFonts w:ascii="Times New Roman" w:hAnsi="Times New Roman" w:cs="Times New Roman"/>
          <w:sz w:val="24"/>
          <w:szCs w:val="24"/>
        </w:rPr>
        <w:t xml:space="preserve"> OP (r = 0,48). </w:t>
      </w:r>
      <w:r w:rsidR="00723FB2" w:rsidRPr="000D096C">
        <w:rPr>
          <w:rFonts w:ascii="Times New Roman" w:hAnsi="Times New Roman" w:cs="Times New Roman"/>
          <w:sz w:val="24"/>
          <w:szCs w:val="24"/>
        </w:rPr>
        <w:t>Rovněž n</w:t>
      </w:r>
      <w:r w:rsidR="009B2468" w:rsidRPr="000D096C">
        <w:rPr>
          <w:rFonts w:ascii="Times New Roman" w:hAnsi="Times New Roman" w:cs="Times New Roman"/>
          <w:sz w:val="24"/>
          <w:szCs w:val="24"/>
        </w:rPr>
        <w:t xml:space="preserve">ejsilnější korelace HOMA-IR </w:t>
      </w:r>
      <w:r w:rsidR="00723FB2" w:rsidRPr="000D096C">
        <w:rPr>
          <w:rFonts w:ascii="Times New Roman" w:hAnsi="Times New Roman" w:cs="Times New Roman"/>
          <w:sz w:val="24"/>
          <w:szCs w:val="24"/>
        </w:rPr>
        <w:t>byla</w:t>
      </w:r>
      <w:r w:rsidR="00AA23E2" w:rsidRPr="000D096C">
        <w:rPr>
          <w:rFonts w:ascii="Times New Roman" w:hAnsi="Times New Roman" w:cs="Times New Roman"/>
          <w:sz w:val="24"/>
          <w:szCs w:val="24"/>
        </w:rPr>
        <w:t xml:space="preserve"> </w:t>
      </w:r>
      <w:r w:rsidR="00723FB2" w:rsidRPr="000D096C">
        <w:rPr>
          <w:rFonts w:ascii="Times New Roman" w:hAnsi="Times New Roman" w:cs="Times New Roman"/>
          <w:sz w:val="24"/>
          <w:szCs w:val="24"/>
        </w:rPr>
        <w:t>zaregistrována</w:t>
      </w:r>
      <w:r w:rsidR="009B2468" w:rsidRPr="000D096C">
        <w:rPr>
          <w:rFonts w:ascii="Times New Roman" w:hAnsi="Times New Roman" w:cs="Times New Roman"/>
          <w:sz w:val="24"/>
          <w:szCs w:val="24"/>
        </w:rPr>
        <w:t xml:space="preserve"> s OP (r = 0,54), </w:t>
      </w:r>
      <w:r w:rsidR="00723FB2" w:rsidRPr="000D096C">
        <w:rPr>
          <w:rFonts w:ascii="Times New Roman" w:hAnsi="Times New Roman" w:cs="Times New Roman"/>
          <w:sz w:val="24"/>
          <w:szCs w:val="24"/>
        </w:rPr>
        <w:t xml:space="preserve">dále pak s </w:t>
      </w:r>
      <w:r w:rsidR="009B2468" w:rsidRPr="000D096C">
        <w:rPr>
          <w:rFonts w:ascii="Times New Roman" w:hAnsi="Times New Roman" w:cs="Times New Roman"/>
          <w:sz w:val="24"/>
          <w:szCs w:val="24"/>
        </w:rPr>
        <w:t>BMI (r = 0,53), AIP (r</w:t>
      </w:r>
      <w:r w:rsidR="00762125">
        <w:rPr>
          <w:rFonts w:ascii="Times New Roman" w:hAnsi="Times New Roman" w:cs="Times New Roman"/>
          <w:sz w:val="24"/>
          <w:szCs w:val="24"/>
        </w:rPr>
        <w:t> </w:t>
      </w:r>
      <w:r w:rsidR="00EA0A4A">
        <w:rPr>
          <w:rFonts w:ascii="Times New Roman" w:hAnsi="Times New Roman" w:cs="Times New Roman"/>
          <w:sz w:val="24"/>
          <w:szCs w:val="24"/>
        </w:rPr>
        <w:t>= 0,49), TAG (r = 0,44) a HDL</w:t>
      </w:r>
      <w:r w:rsidR="009B2468" w:rsidRPr="000D096C">
        <w:rPr>
          <w:rFonts w:ascii="Times New Roman" w:hAnsi="Times New Roman" w:cs="Times New Roman"/>
          <w:sz w:val="24"/>
          <w:szCs w:val="24"/>
        </w:rPr>
        <w:t xml:space="preserve"> (r = -0,43). Všechny tyto středně silné korelace dosáhly statistické významnosti. Jinými slovy HOMA-IR byl více asociován s O</w:t>
      </w:r>
      <w:r w:rsidR="002801C2">
        <w:rPr>
          <w:rFonts w:ascii="Times New Roman" w:hAnsi="Times New Roman" w:cs="Times New Roman"/>
          <w:sz w:val="24"/>
          <w:szCs w:val="24"/>
        </w:rPr>
        <w:t>P a BMI než s VAI (obr.</w:t>
      </w:r>
      <w:r w:rsidR="00076D52">
        <w:rPr>
          <w:rFonts w:ascii="Times New Roman" w:hAnsi="Times New Roman" w:cs="Times New Roman"/>
          <w:sz w:val="24"/>
          <w:szCs w:val="24"/>
        </w:rPr>
        <w:t xml:space="preserve"> 7</w:t>
      </w:r>
      <w:r w:rsidR="009B2468" w:rsidRPr="000D096C">
        <w:rPr>
          <w:rFonts w:ascii="Times New Roman" w:hAnsi="Times New Roman" w:cs="Times New Roman"/>
          <w:sz w:val="24"/>
          <w:szCs w:val="24"/>
        </w:rPr>
        <w:t xml:space="preserve">). Korelace mezi žádnými jinými proměnnými v celém souboru nedosáhly střední nebo vyšší síly s výjimkou několika </w:t>
      </w:r>
      <w:r w:rsidR="0062276D">
        <w:rPr>
          <w:rFonts w:ascii="Times New Roman" w:hAnsi="Times New Roman" w:cs="Times New Roman"/>
          <w:sz w:val="24"/>
          <w:szCs w:val="24"/>
        </w:rPr>
        <w:t xml:space="preserve">silných až velmi </w:t>
      </w:r>
      <w:r w:rsidR="009B2468" w:rsidRPr="000D096C">
        <w:rPr>
          <w:rFonts w:ascii="Times New Roman" w:hAnsi="Times New Roman" w:cs="Times New Roman"/>
          <w:sz w:val="24"/>
          <w:szCs w:val="24"/>
        </w:rPr>
        <w:t>silný</w:t>
      </w:r>
      <w:r w:rsidR="0062276D">
        <w:rPr>
          <w:rFonts w:ascii="Times New Roman" w:hAnsi="Times New Roman" w:cs="Times New Roman"/>
          <w:sz w:val="24"/>
          <w:szCs w:val="24"/>
        </w:rPr>
        <w:t>ch</w:t>
      </w:r>
      <w:r w:rsidR="009B2468" w:rsidRPr="000D096C">
        <w:rPr>
          <w:rFonts w:ascii="Times New Roman" w:hAnsi="Times New Roman" w:cs="Times New Roman"/>
          <w:sz w:val="24"/>
          <w:szCs w:val="24"/>
        </w:rPr>
        <w:t xml:space="preserve"> korelací mezi lipidovými parametry, konkrétně</w:t>
      </w:r>
      <w:r w:rsidR="00EA0A4A">
        <w:rPr>
          <w:rFonts w:ascii="Times New Roman" w:hAnsi="Times New Roman" w:cs="Times New Roman"/>
          <w:sz w:val="24"/>
          <w:szCs w:val="24"/>
        </w:rPr>
        <w:t xml:space="preserve"> nejsilněji koreloval TC s LDL</w:t>
      </w:r>
      <w:r w:rsidR="009B2468" w:rsidRPr="000D096C">
        <w:rPr>
          <w:rFonts w:ascii="Times New Roman" w:hAnsi="Times New Roman" w:cs="Times New Roman"/>
          <w:sz w:val="24"/>
          <w:szCs w:val="24"/>
        </w:rPr>
        <w:t xml:space="preserve"> (</w:t>
      </w:r>
      <w:r w:rsidR="00DA4561" w:rsidRPr="000D096C">
        <w:rPr>
          <w:rFonts w:ascii="Times New Roman" w:hAnsi="Times New Roman" w:cs="Times New Roman"/>
          <w:sz w:val="24"/>
          <w:szCs w:val="24"/>
        </w:rPr>
        <w:t>r = 0,83) a ApoB (r</w:t>
      </w:r>
      <w:r w:rsidR="00762125">
        <w:rPr>
          <w:rFonts w:ascii="Times New Roman" w:hAnsi="Times New Roman" w:cs="Times New Roman"/>
          <w:sz w:val="24"/>
          <w:szCs w:val="24"/>
        </w:rPr>
        <w:t> </w:t>
      </w:r>
      <w:r w:rsidR="00DA4561" w:rsidRPr="000D096C">
        <w:rPr>
          <w:rFonts w:ascii="Times New Roman" w:hAnsi="Times New Roman" w:cs="Times New Roman"/>
          <w:sz w:val="24"/>
          <w:szCs w:val="24"/>
        </w:rPr>
        <w:t>=</w:t>
      </w:r>
      <w:r w:rsidR="00762125">
        <w:rPr>
          <w:rFonts w:ascii="Times New Roman" w:hAnsi="Times New Roman" w:cs="Times New Roman"/>
          <w:sz w:val="24"/>
          <w:szCs w:val="24"/>
        </w:rPr>
        <w:t> </w:t>
      </w:r>
      <w:r w:rsidR="00DA4561" w:rsidRPr="000D096C">
        <w:rPr>
          <w:rFonts w:ascii="Times New Roman" w:hAnsi="Times New Roman" w:cs="Times New Roman"/>
          <w:sz w:val="24"/>
          <w:szCs w:val="24"/>
        </w:rPr>
        <w:t>0,81).</w:t>
      </w:r>
      <w:r w:rsidR="002801C2">
        <w:rPr>
          <w:rFonts w:ascii="Times New Roman" w:hAnsi="Times New Roman" w:cs="Times New Roman"/>
          <w:sz w:val="24"/>
          <w:szCs w:val="24"/>
        </w:rPr>
        <w:t xml:space="preserve"> Z tab.</w:t>
      </w:r>
      <w:r w:rsidR="00DA4561" w:rsidRPr="000D096C">
        <w:rPr>
          <w:rFonts w:ascii="Times New Roman" w:hAnsi="Times New Roman" w:cs="Times New Roman"/>
          <w:sz w:val="24"/>
          <w:szCs w:val="24"/>
        </w:rPr>
        <w:t xml:space="preserve"> </w:t>
      </w:r>
      <w:r w:rsidRPr="000D096C">
        <w:rPr>
          <w:rFonts w:ascii="Times New Roman" w:hAnsi="Times New Roman" w:cs="Times New Roman"/>
          <w:sz w:val="24"/>
          <w:szCs w:val="24"/>
        </w:rPr>
        <w:t>7</w:t>
      </w:r>
      <w:r w:rsidR="000713A5">
        <w:rPr>
          <w:rFonts w:ascii="Times New Roman" w:hAnsi="Times New Roman" w:cs="Times New Roman"/>
          <w:sz w:val="24"/>
          <w:szCs w:val="24"/>
        </w:rPr>
        <w:t xml:space="preserve"> patrné velmi</w:t>
      </w:r>
      <w:r w:rsidR="009B2468" w:rsidRPr="000D096C">
        <w:rPr>
          <w:rFonts w:ascii="Times New Roman" w:hAnsi="Times New Roman" w:cs="Times New Roman"/>
          <w:sz w:val="24"/>
          <w:szCs w:val="24"/>
        </w:rPr>
        <w:t xml:space="preserve"> silné korelace mezi VAI a AIP (r = 0,98) nejsou vzhledem k přítomnosti stejných pr</w:t>
      </w:r>
      <w:r w:rsidR="003C4041" w:rsidRPr="000D096C">
        <w:rPr>
          <w:rFonts w:ascii="Times New Roman" w:hAnsi="Times New Roman" w:cs="Times New Roman"/>
          <w:sz w:val="24"/>
          <w:szCs w:val="24"/>
        </w:rPr>
        <w:t>oměnných ve výpočtu překvapivé.</w:t>
      </w:r>
    </w:p>
    <w:p w:rsidR="00D5537F" w:rsidRDefault="00D5537F">
      <w:pPr>
        <w:rPr>
          <w:rFonts w:ascii="Times New Roman" w:hAnsi="Times New Roman" w:cs="Times New Roman"/>
          <w:sz w:val="24"/>
          <w:szCs w:val="24"/>
        </w:rPr>
      </w:pPr>
      <w:r>
        <w:rPr>
          <w:rFonts w:ascii="Times New Roman" w:hAnsi="Times New Roman" w:cs="Times New Roman"/>
          <w:sz w:val="24"/>
          <w:szCs w:val="24"/>
        </w:rPr>
        <w:br w:type="page"/>
      </w:r>
    </w:p>
    <w:p w:rsidR="003C4041" w:rsidRPr="000D096C" w:rsidRDefault="003C4041" w:rsidP="002F1555">
      <w:pPr>
        <w:pStyle w:val="MDPI41tablecaption"/>
        <w:spacing w:after="240" w:line="360" w:lineRule="auto"/>
        <w:ind w:left="0"/>
        <w:rPr>
          <w:rFonts w:ascii="Times New Roman" w:hAnsi="Times New Roman"/>
          <w:color w:val="auto"/>
          <w:sz w:val="24"/>
          <w:szCs w:val="24"/>
          <w:lang w:val="cs-CZ"/>
        </w:rPr>
      </w:pPr>
      <w:r w:rsidRPr="000D096C">
        <w:rPr>
          <w:rFonts w:ascii="Times New Roman" w:hAnsi="Times New Roman"/>
          <w:b/>
          <w:color w:val="auto"/>
          <w:sz w:val="24"/>
          <w:szCs w:val="24"/>
          <w:lang w:val="cs-CZ"/>
        </w:rPr>
        <w:lastRenderedPageBreak/>
        <w:t xml:space="preserve">Tabulka </w:t>
      </w:r>
      <w:r w:rsidR="0027702E" w:rsidRPr="000D096C">
        <w:rPr>
          <w:rFonts w:ascii="Times New Roman" w:hAnsi="Times New Roman"/>
          <w:b/>
          <w:color w:val="auto"/>
          <w:sz w:val="24"/>
          <w:szCs w:val="24"/>
          <w:lang w:val="cs-CZ"/>
        </w:rPr>
        <w:t>7</w:t>
      </w:r>
      <w:r w:rsidRPr="000D096C">
        <w:rPr>
          <w:rFonts w:ascii="Times New Roman" w:hAnsi="Times New Roman"/>
          <w:b/>
          <w:color w:val="auto"/>
          <w:sz w:val="24"/>
          <w:szCs w:val="24"/>
          <w:lang w:val="cs-CZ"/>
        </w:rPr>
        <w:t xml:space="preserve">. </w:t>
      </w:r>
      <w:r w:rsidRPr="000D096C">
        <w:rPr>
          <w:rFonts w:ascii="Times New Roman" w:hAnsi="Times New Roman"/>
          <w:color w:val="auto"/>
          <w:sz w:val="24"/>
          <w:szCs w:val="24"/>
          <w:lang w:val="cs-CZ"/>
        </w:rPr>
        <w:t xml:space="preserve">Spearmanovy korelační koeficienty (r) mezi zkoumanými proměnnými </w:t>
      </w:r>
      <w:r w:rsidR="007B54D3" w:rsidRPr="000D096C">
        <w:rPr>
          <w:rFonts w:ascii="Times New Roman" w:hAnsi="Times New Roman"/>
          <w:color w:val="auto"/>
          <w:sz w:val="24"/>
          <w:szCs w:val="24"/>
          <w:lang w:val="cs-CZ"/>
        </w:rPr>
        <w:t>s</w:t>
      </w:r>
      <w:r w:rsidR="00BB3FFF">
        <w:rPr>
          <w:rFonts w:ascii="Times New Roman" w:hAnsi="Times New Roman"/>
          <w:color w:val="auto"/>
          <w:sz w:val="24"/>
          <w:szCs w:val="24"/>
          <w:lang w:val="cs-CZ"/>
        </w:rPr>
        <w:t> </w:t>
      </w:r>
      <w:r w:rsidR="007B54D3" w:rsidRPr="000D096C">
        <w:rPr>
          <w:rFonts w:ascii="Times New Roman" w:hAnsi="Times New Roman"/>
          <w:color w:val="auto"/>
          <w:sz w:val="24"/>
          <w:szCs w:val="24"/>
          <w:lang w:val="cs-CZ"/>
        </w:rPr>
        <w:t xml:space="preserve">uvedením statistické významnosti </w:t>
      </w:r>
      <w:r w:rsidRPr="000D096C">
        <w:rPr>
          <w:rFonts w:ascii="Times New Roman" w:hAnsi="Times New Roman"/>
          <w:color w:val="auto"/>
          <w:sz w:val="24"/>
          <w:szCs w:val="24"/>
          <w:lang w:val="cs-CZ"/>
        </w:rPr>
        <w: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076"/>
        <w:gridCol w:w="1076"/>
        <w:gridCol w:w="1076"/>
        <w:gridCol w:w="1336"/>
      </w:tblGrid>
      <w:tr w:rsidR="00A239A3" w:rsidRPr="000D096C" w:rsidTr="0030256B">
        <w:trPr>
          <w:jc w:val="center"/>
        </w:trPr>
        <w:tc>
          <w:tcPr>
            <w:tcW w:w="0" w:type="auto"/>
            <w:shd w:val="clear" w:color="auto" w:fill="auto"/>
            <w:vAlign w:val="center"/>
          </w:tcPr>
          <w:p w:rsidR="003C4041" w:rsidRPr="00D5537F" w:rsidRDefault="003C4041" w:rsidP="00D5537F">
            <w:pPr>
              <w:pStyle w:val="Bezmezer"/>
              <w:autoSpaceDE w:val="0"/>
              <w:autoSpaceDN w:val="0"/>
              <w:adjustRightInd w:val="0"/>
              <w:snapToGrid w:val="0"/>
              <w:spacing w:line="360" w:lineRule="auto"/>
              <w:rPr>
                <w:rFonts w:ascii="Times New Roman" w:hAnsi="Times New Roman" w:cs="Times New Roman"/>
                <w:b/>
                <w:sz w:val="24"/>
                <w:szCs w:val="24"/>
              </w:rPr>
            </w:pPr>
            <w:r w:rsidRPr="00D5537F">
              <w:rPr>
                <w:rFonts w:ascii="Times New Roman" w:hAnsi="Times New Roman" w:cs="Times New Roman"/>
                <w:b/>
                <w:sz w:val="24"/>
                <w:szCs w:val="24"/>
              </w:rPr>
              <w:t>Charakteristiky</w:t>
            </w:r>
          </w:p>
        </w:tc>
        <w:tc>
          <w:tcPr>
            <w:tcW w:w="0" w:type="auto"/>
            <w:shd w:val="clear" w:color="auto" w:fill="auto"/>
            <w:vAlign w:val="center"/>
          </w:tcPr>
          <w:p w:rsidR="003C4041" w:rsidRPr="00D5537F" w:rsidRDefault="003C4041" w:rsidP="00D5537F">
            <w:pPr>
              <w:pStyle w:val="Bezmezer"/>
              <w:autoSpaceDE w:val="0"/>
              <w:autoSpaceDN w:val="0"/>
              <w:adjustRightInd w:val="0"/>
              <w:snapToGrid w:val="0"/>
              <w:spacing w:line="360" w:lineRule="auto"/>
              <w:rPr>
                <w:rFonts w:ascii="Times New Roman" w:hAnsi="Times New Roman" w:cs="Times New Roman"/>
                <w:b/>
                <w:sz w:val="24"/>
                <w:szCs w:val="24"/>
              </w:rPr>
            </w:pPr>
            <w:r w:rsidRPr="00D5537F">
              <w:rPr>
                <w:rFonts w:ascii="Times New Roman" w:hAnsi="Times New Roman" w:cs="Times New Roman"/>
                <w:b/>
                <w:sz w:val="24"/>
                <w:szCs w:val="24"/>
              </w:rPr>
              <w:t>VAI</w:t>
            </w:r>
          </w:p>
        </w:tc>
        <w:tc>
          <w:tcPr>
            <w:tcW w:w="0" w:type="auto"/>
            <w:shd w:val="clear" w:color="auto" w:fill="auto"/>
            <w:vAlign w:val="center"/>
          </w:tcPr>
          <w:p w:rsidR="003C4041" w:rsidRPr="00D5537F" w:rsidRDefault="003C4041" w:rsidP="00D5537F">
            <w:pPr>
              <w:pStyle w:val="Bezmezer"/>
              <w:autoSpaceDE w:val="0"/>
              <w:autoSpaceDN w:val="0"/>
              <w:adjustRightInd w:val="0"/>
              <w:snapToGrid w:val="0"/>
              <w:spacing w:line="360" w:lineRule="auto"/>
              <w:rPr>
                <w:rFonts w:ascii="Times New Roman" w:hAnsi="Times New Roman" w:cs="Times New Roman"/>
                <w:b/>
                <w:sz w:val="24"/>
                <w:szCs w:val="24"/>
              </w:rPr>
            </w:pPr>
            <w:r w:rsidRPr="00D5537F">
              <w:rPr>
                <w:rFonts w:ascii="Times New Roman" w:hAnsi="Times New Roman" w:cs="Times New Roman"/>
                <w:b/>
                <w:sz w:val="24"/>
                <w:szCs w:val="24"/>
              </w:rPr>
              <w:t>Glucose</w:t>
            </w:r>
          </w:p>
        </w:tc>
        <w:tc>
          <w:tcPr>
            <w:tcW w:w="0" w:type="auto"/>
            <w:shd w:val="clear" w:color="auto" w:fill="auto"/>
            <w:vAlign w:val="center"/>
          </w:tcPr>
          <w:p w:rsidR="003C4041" w:rsidRPr="00D5537F" w:rsidRDefault="003C4041" w:rsidP="00D5537F">
            <w:pPr>
              <w:pStyle w:val="Bezmezer"/>
              <w:autoSpaceDE w:val="0"/>
              <w:autoSpaceDN w:val="0"/>
              <w:adjustRightInd w:val="0"/>
              <w:snapToGrid w:val="0"/>
              <w:spacing w:line="360" w:lineRule="auto"/>
              <w:rPr>
                <w:rFonts w:ascii="Times New Roman" w:hAnsi="Times New Roman" w:cs="Times New Roman"/>
                <w:b/>
                <w:sz w:val="24"/>
                <w:szCs w:val="24"/>
              </w:rPr>
            </w:pPr>
            <w:r w:rsidRPr="00D5537F">
              <w:rPr>
                <w:rFonts w:ascii="Times New Roman" w:hAnsi="Times New Roman" w:cs="Times New Roman"/>
                <w:b/>
                <w:sz w:val="24"/>
                <w:szCs w:val="24"/>
              </w:rPr>
              <w:t>Insulin</w:t>
            </w:r>
          </w:p>
        </w:tc>
        <w:tc>
          <w:tcPr>
            <w:tcW w:w="0" w:type="auto"/>
            <w:shd w:val="clear" w:color="auto" w:fill="auto"/>
            <w:vAlign w:val="center"/>
          </w:tcPr>
          <w:p w:rsidR="003C4041" w:rsidRPr="00D5537F" w:rsidRDefault="003C4041" w:rsidP="00D5537F">
            <w:pPr>
              <w:pStyle w:val="Bezmezer"/>
              <w:autoSpaceDE w:val="0"/>
              <w:autoSpaceDN w:val="0"/>
              <w:adjustRightInd w:val="0"/>
              <w:snapToGrid w:val="0"/>
              <w:spacing w:line="360" w:lineRule="auto"/>
              <w:rPr>
                <w:rFonts w:ascii="Times New Roman" w:hAnsi="Times New Roman" w:cs="Times New Roman"/>
                <w:b/>
                <w:sz w:val="24"/>
                <w:szCs w:val="24"/>
              </w:rPr>
            </w:pPr>
            <w:r w:rsidRPr="00D5537F">
              <w:rPr>
                <w:rFonts w:ascii="Times New Roman" w:hAnsi="Times New Roman" w:cs="Times New Roman"/>
                <w:b/>
                <w:sz w:val="24"/>
                <w:szCs w:val="24"/>
              </w:rPr>
              <w:t>HOMA-IR</w:t>
            </w:r>
          </w:p>
        </w:tc>
      </w:tr>
      <w:tr w:rsidR="000D096C" w:rsidRPr="000D096C" w:rsidTr="0030256B">
        <w:trPr>
          <w:jc w:val="center"/>
        </w:trPr>
        <w:tc>
          <w:tcPr>
            <w:tcW w:w="0" w:type="auto"/>
            <w:shd w:val="clear" w:color="auto" w:fill="auto"/>
            <w:vAlign w:val="center"/>
          </w:tcPr>
          <w:p w:rsidR="003C4041" w:rsidRPr="00D5537F" w:rsidRDefault="007B54D3" w:rsidP="00D5537F">
            <w:pPr>
              <w:autoSpaceDE w:val="0"/>
              <w:autoSpaceDN w:val="0"/>
              <w:adjustRightInd w:val="0"/>
              <w:snapToGrid w:val="0"/>
              <w:spacing w:after="0" w:line="360" w:lineRule="auto"/>
              <w:rPr>
                <w:rFonts w:ascii="Times New Roman" w:hAnsi="Times New Roman" w:cs="Times New Roman"/>
                <w:b/>
                <w:sz w:val="24"/>
                <w:szCs w:val="24"/>
              </w:rPr>
            </w:pPr>
            <w:r w:rsidRPr="00D5537F">
              <w:rPr>
                <w:rFonts w:ascii="Times New Roman" w:hAnsi="Times New Roman" w:cs="Times New Roman"/>
                <w:b/>
                <w:sz w:val="24"/>
                <w:szCs w:val="24"/>
              </w:rPr>
              <w:t>Věk</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171**</w:t>
            </w:r>
          </w:p>
        </w:tc>
        <w:tc>
          <w:tcPr>
            <w:tcW w:w="0" w:type="auto"/>
            <w:shd w:val="clear" w:color="auto" w:fill="auto"/>
            <w:vAlign w:val="center"/>
          </w:tcPr>
          <w:p w:rsidR="003C4041" w:rsidRPr="00D5537F" w:rsidRDefault="007B54D3"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3C4041" w:rsidRPr="00D5537F">
              <w:rPr>
                <w:rFonts w:ascii="Times New Roman" w:hAnsi="Times New Roman" w:cs="Times New Roman"/>
                <w:sz w:val="24"/>
                <w:szCs w:val="24"/>
              </w:rPr>
              <w:t>346**</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081*</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150**</w:t>
            </w:r>
          </w:p>
        </w:tc>
      </w:tr>
      <w:tr w:rsidR="000D096C" w:rsidRPr="000D096C" w:rsidTr="0030256B">
        <w:trPr>
          <w:jc w:val="center"/>
        </w:trPr>
        <w:tc>
          <w:tcPr>
            <w:tcW w:w="0" w:type="auto"/>
            <w:shd w:val="clear" w:color="auto" w:fill="auto"/>
            <w:vAlign w:val="center"/>
          </w:tcPr>
          <w:p w:rsidR="003C4041" w:rsidRPr="00D5537F" w:rsidRDefault="007B54D3"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sidRPr="00D5537F">
              <w:rPr>
                <w:rFonts w:ascii="Times New Roman" w:hAnsi="Times New Roman" w:cs="Times New Roman"/>
                <w:b/>
                <w:bCs/>
                <w:sz w:val="24"/>
                <w:szCs w:val="24"/>
                <w:lang w:eastAsia="cs-CZ"/>
              </w:rPr>
              <w:t>Glukóza</w:t>
            </w:r>
            <w:r w:rsidR="003C4041" w:rsidRPr="00D5537F">
              <w:rPr>
                <w:rFonts w:ascii="Times New Roman" w:hAnsi="Times New Roman" w:cs="Times New Roman"/>
                <w:b/>
                <w:bCs/>
                <w:sz w:val="24"/>
                <w:szCs w:val="24"/>
                <w:lang w:eastAsia="cs-CZ"/>
              </w:rPr>
              <w:t xml:space="preserve"> </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313**</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359**</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528**</w:t>
            </w:r>
          </w:p>
        </w:tc>
      </w:tr>
      <w:tr w:rsidR="000D096C" w:rsidRPr="000D096C" w:rsidTr="0030256B">
        <w:trPr>
          <w:jc w:val="center"/>
        </w:trPr>
        <w:tc>
          <w:tcPr>
            <w:tcW w:w="0" w:type="auto"/>
            <w:shd w:val="clear" w:color="auto" w:fill="auto"/>
            <w:vAlign w:val="center"/>
          </w:tcPr>
          <w:p w:rsidR="003C4041" w:rsidRPr="00D5537F" w:rsidRDefault="007B54D3"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sidRPr="00D5537F">
              <w:rPr>
                <w:rFonts w:ascii="Times New Roman" w:hAnsi="Times New Roman" w:cs="Times New Roman"/>
                <w:b/>
                <w:bCs/>
                <w:sz w:val="24"/>
                <w:szCs w:val="24"/>
                <w:lang w:eastAsia="cs-CZ"/>
              </w:rPr>
              <w:t>Inzulín</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485**</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359**</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978**</w:t>
            </w:r>
          </w:p>
        </w:tc>
      </w:tr>
      <w:tr w:rsidR="000D096C" w:rsidRPr="000D096C" w:rsidTr="0030256B">
        <w:trPr>
          <w:jc w:val="center"/>
        </w:trPr>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sidRPr="00D5537F">
              <w:rPr>
                <w:rFonts w:ascii="Times New Roman" w:hAnsi="Times New Roman" w:cs="Times New Roman"/>
                <w:b/>
                <w:bCs/>
                <w:sz w:val="24"/>
                <w:szCs w:val="24"/>
                <w:lang w:eastAsia="cs-CZ"/>
              </w:rPr>
              <w:t>T</w:t>
            </w:r>
            <w:r w:rsidR="007B54D3" w:rsidRPr="00D5537F">
              <w:rPr>
                <w:rFonts w:ascii="Times New Roman" w:hAnsi="Times New Roman" w:cs="Times New Roman"/>
                <w:b/>
                <w:bCs/>
                <w:sz w:val="24"/>
                <w:szCs w:val="24"/>
                <w:lang w:eastAsia="cs-CZ"/>
              </w:rPr>
              <w:t>C</w:t>
            </w:r>
            <w:r w:rsidRPr="00D5537F">
              <w:rPr>
                <w:rFonts w:ascii="Times New Roman" w:hAnsi="Times New Roman" w:cs="Times New Roman"/>
                <w:b/>
                <w:bCs/>
                <w:sz w:val="24"/>
                <w:szCs w:val="24"/>
                <w:lang w:eastAsia="cs-CZ"/>
              </w:rPr>
              <w:t xml:space="preserve"> </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304**</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083*</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039</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047</w:t>
            </w:r>
          </w:p>
        </w:tc>
      </w:tr>
      <w:tr w:rsidR="000D096C" w:rsidRPr="000D096C" w:rsidTr="0030256B">
        <w:trPr>
          <w:jc w:val="center"/>
        </w:trPr>
        <w:tc>
          <w:tcPr>
            <w:tcW w:w="0" w:type="auto"/>
            <w:shd w:val="clear" w:color="auto" w:fill="auto"/>
            <w:vAlign w:val="center"/>
          </w:tcPr>
          <w:p w:rsidR="003C4041" w:rsidRPr="00D5537F" w:rsidRDefault="00EA0A4A"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Pr>
                <w:rFonts w:ascii="Times New Roman" w:hAnsi="Times New Roman" w:cs="Times New Roman"/>
                <w:b/>
                <w:bCs/>
                <w:sz w:val="24"/>
                <w:szCs w:val="24"/>
                <w:lang w:eastAsia="cs-CZ"/>
              </w:rPr>
              <w:t>HDL</w:t>
            </w:r>
            <w:r w:rsidR="003C4041" w:rsidRPr="00D5537F">
              <w:rPr>
                <w:rFonts w:ascii="Times New Roman" w:hAnsi="Times New Roman" w:cs="Times New Roman"/>
                <w:b/>
                <w:bCs/>
                <w:sz w:val="24"/>
                <w:szCs w:val="24"/>
                <w:lang w:eastAsia="cs-CZ"/>
              </w:rPr>
              <w:t xml:space="preserve"> </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730**</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252**</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410**</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426**</w:t>
            </w:r>
          </w:p>
        </w:tc>
      </w:tr>
      <w:tr w:rsidR="000D096C" w:rsidRPr="000D096C" w:rsidTr="0030256B">
        <w:trPr>
          <w:jc w:val="center"/>
        </w:trPr>
        <w:tc>
          <w:tcPr>
            <w:tcW w:w="0" w:type="auto"/>
            <w:shd w:val="clear" w:color="auto" w:fill="auto"/>
            <w:vAlign w:val="center"/>
          </w:tcPr>
          <w:p w:rsidR="003C4041" w:rsidRPr="00D5537F" w:rsidRDefault="00EA0A4A"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Pr>
                <w:rFonts w:ascii="Times New Roman" w:hAnsi="Times New Roman" w:cs="Times New Roman"/>
                <w:b/>
                <w:bCs/>
                <w:sz w:val="24"/>
                <w:szCs w:val="24"/>
                <w:lang w:eastAsia="cs-CZ"/>
              </w:rPr>
              <w:t>LDL</w:t>
            </w:r>
            <w:r w:rsidR="003C4041" w:rsidRPr="00D5537F">
              <w:rPr>
                <w:rFonts w:ascii="Times New Roman" w:hAnsi="Times New Roman" w:cs="Times New Roman"/>
                <w:b/>
                <w:bCs/>
                <w:sz w:val="24"/>
                <w:szCs w:val="24"/>
                <w:lang w:eastAsia="cs-CZ"/>
              </w:rPr>
              <w:t xml:space="preserve"> </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136**</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065</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012</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005</w:t>
            </w:r>
          </w:p>
        </w:tc>
      </w:tr>
      <w:tr w:rsidR="000D096C" w:rsidRPr="000D096C" w:rsidTr="0030256B">
        <w:trPr>
          <w:jc w:val="center"/>
        </w:trPr>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sidRPr="00D5537F">
              <w:rPr>
                <w:rFonts w:ascii="Times New Roman" w:hAnsi="Times New Roman" w:cs="Times New Roman"/>
                <w:b/>
                <w:bCs/>
                <w:sz w:val="24"/>
                <w:szCs w:val="24"/>
                <w:lang w:eastAsia="cs-CZ"/>
              </w:rPr>
              <w:t>T</w:t>
            </w:r>
            <w:r w:rsidR="007B54D3" w:rsidRPr="00D5537F">
              <w:rPr>
                <w:rFonts w:ascii="Times New Roman" w:hAnsi="Times New Roman" w:cs="Times New Roman"/>
                <w:b/>
                <w:bCs/>
                <w:sz w:val="24"/>
                <w:szCs w:val="24"/>
                <w:lang w:eastAsia="cs-CZ"/>
              </w:rPr>
              <w:t>AG</w:t>
            </w:r>
            <w:r w:rsidRPr="00D5537F">
              <w:rPr>
                <w:rFonts w:ascii="Times New Roman" w:hAnsi="Times New Roman" w:cs="Times New Roman"/>
                <w:b/>
                <w:bCs/>
                <w:sz w:val="24"/>
                <w:szCs w:val="24"/>
                <w:lang w:eastAsia="cs-CZ"/>
              </w:rPr>
              <w:t xml:space="preserve"> </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938**</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273**</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430**</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444**</w:t>
            </w:r>
          </w:p>
        </w:tc>
      </w:tr>
      <w:tr w:rsidR="000D096C" w:rsidRPr="000D096C" w:rsidTr="0030256B">
        <w:trPr>
          <w:jc w:val="center"/>
        </w:trPr>
        <w:tc>
          <w:tcPr>
            <w:tcW w:w="0" w:type="auto"/>
            <w:shd w:val="clear" w:color="auto" w:fill="auto"/>
            <w:vAlign w:val="center"/>
          </w:tcPr>
          <w:p w:rsidR="003C4041" w:rsidRPr="00D5537F" w:rsidRDefault="00890488" w:rsidP="00890488">
            <w:pPr>
              <w:autoSpaceDE w:val="0"/>
              <w:autoSpaceDN w:val="0"/>
              <w:adjustRightInd w:val="0"/>
              <w:snapToGrid w:val="0"/>
              <w:spacing w:after="0" w:line="360" w:lineRule="auto"/>
              <w:rPr>
                <w:rFonts w:ascii="Times New Roman" w:hAnsi="Times New Roman" w:cs="Times New Roman"/>
                <w:b/>
                <w:bCs/>
                <w:sz w:val="24"/>
                <w:szCs w:val="24"/>
                <w:lang w:eastAsia="cs-CZ"/>
              </w:rPr>
            </w:pPr>
            <w:r>
              <w:rPr>
                <w:rFonts w:ascii="Times New Roman" w:hAnsi="Times New Roman" w:cs="Times New Roman"/>
                <w:b/>
                <w:bCs/>
                <w:sz w:val="24"/>
                <w:szCs w:val="24"/>
                <w:lang w:eastAsia="cs-CZ"/>
              </w:rPr>
              <w:t>Apo</w:t>
            </w:r>
            <w:r w:rsidR="003C4041" w:rsidRPr="00D5537F">
              <w:rPr>
                <w:rFonts w:ascii="Times New Roman" w:hAnsi="Times New Roman" w:cs="Times New Roman"/>
                <w:b/>
                <w:bCs/>
                <w:sz w:val="24"/>
                <w:szCs w:val="24"/>
                <w:lang w:eastAsia="cs-CZ"/>
              </w:rPr>
              <w:t xml:space="preserve">B </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385**</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134**</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132**</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150**</w:t>
            </w:r>
          </w:p>
        </w:tc>
      </w:tr>
      <w:tr w:rsidR="000D096C" w:rsidRPr="000D096C" w:rsidTr="0030256B">
        <w:trPr>
          <w:jc w:val="center"/>
        </w:trPr>
        <w:tc>
          <w:tcPr>
            <w:tcW w:w="0" w:type="auto"/>
            <w:shd w:val="clear" w:color="auto" w:fill="auto"/>
            <w:vAlign w:val="center"/>
          </w:tcPr>
          <w:p w:rsidR="003C4041" w:rsidRPr="00D5537F" w:rsidRDefault="007B54D3"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sidRPr="00D5537F">
              <w:rPr>
                <w:rFonts w:ascii="Times New Roman" w:hAnsi="Times New Roman" w:cs="Times New Roman"/>
                <w:b/>
                <w:bCs/>
                <w:sz w:val="24"/>
                <w:szCs w:val="24"/>
                <w:lang w:eastAsia="cs-CZ"/>
              </w:rPr>
              <w:t>OP</w:t>
            </w:r>
            <w:r w:rsidR="003C4041" w:rsidRPr="00D5537F">
              <w:rPr>
                <w:rFonts w:ascii="Times New Roman" w:hAnsi="Times New Roman" w:cs="Times New Roman"/>
                <w:b/>
                <w:bCs/>
                <w:sz w:val="24"/>
                <w:szCs w:val="24"/>
                <w:lang w:eastAsia="cs-CZ"/>
              </w:rPr>
              <w:t xml:space="preserve"> </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535**</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477**</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487**</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538**</w:t>
            </w:r>
          </w:p>
        </w:tc>
      </w:tr>
      <w:tr w:rsidR="000D096C" w:rsidRPr="000D096C" w:rsidTr="0030256B">
        <w:trPr>
          <w:jc w:val="center"/>
        </w:trPr>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sidRPr="00D5537F">
              <w:rPr>
                <w:rFonts w:ascii="Times New Roman" w:hAnsi="Times New Roman" w:cs="Times New Roman"/>
                <w:b/>
                <w:bCs/>
                <w:sz w:val="24"/>
                <w:szCs w:val="24"/>
                <w:lang w:eastAsia="cs-CZ"/>
              </w:rPr>
              <w:t xml:space="preserve">BMI </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496**</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449**</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490**</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534**</w:t>
            </w:r>
          </w:p>
        </w:tc>
      </w:tr>
      <w:tr w:rsidR="000D096C" w:rsidRPr="000D096C" w:rsidTr="0030256B">
        <w:trPr>
          <w:jc w:val="center"/>
        </w:trPr>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sidRPr="00D5537F">
              <w:rPr>
                <w:rFonts w:ascii="Times New Roman" w:hAnsi="Times New Roman" w:cs="Times New Roman"/>
                <w:b/>
                <w:bCs/>
                <w:sz w:val="24"/>
                <w:szCs w:val="24"/>
                <w:lang w:eastAsia="cs-CZ"/>
              </w:rPr>
              <w:t>VAI</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313**</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485**</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506**</w:t>
            </w:r>
          </w:p>
        </w:tc>
      </w:tr>
      <w:tr w:rsidR="000D096C" w:rsidRPr="000D096C" w:rsidTr="0030256B">
        <w:trPr>
          <w:jc w:val="center"/>
        </w:trPr>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b/>
                <w:bCs/>
                <w:sz w:val="24"/>
                <w:szCs w:val="24"/>
                <w:lang w:eastAsia="cs-CZ"/>
              </w:rPr>
            </w:pPr>
            <w:r w:rsidRPr="00D5537F">
              <w:rPr>
                <w:rFonts w:ascii="Times New Roman" w:hAnsi="Times New Roman" w:cs="Times New Roman"/>
                <w:b/>
                <w:bCs/>
                <w:sz w:val="24"/>
                <w:szCs w:val="24"/>
                <w:lang w:eastAsia="cs-CZ"/>
              </w:rPr>
              <w:t>AIP</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975**</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300**</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470**</w:t>
            </w:r>
          </w:p>
        </w:tc>
        <w:tc>
          <w:tcPr>
            <w:tcW w:w="0" w:type="auto"/>
            <w:shd w:val="clear" w:color="auto" w:fill="auto"/>
            <w:vAlign w:val="center"/>
          </w:tcPr>
          <w:p w:rsidR="003C4041" w:rsidRPr="00D5537F" w:rsidRDefault="003C4041" w:rsidP="00D5537F">
            <w:pPr>
              <w:autoSpaceDE w:val="0"/>
              <w:autoSpaceDN w:val="0"/>
              <w:adjustRightInd w:val="0"/>
              <w:snapToGrid w:val="0"/>
              <w:spacing w:after="0" w:line="360" w:lineRule="auto"/>
              <w:rPr>
                <w:rFonts w:ascii="Times New Roman" w:hAnsi="Times New Roman" w:cs="Times New Roman"/>
                <w:sz w:val="24"/>
                <w:szCs w:val="24"/>
              </w:rPr>
            </w:pPr>
            <w:r w:rsidRPr="00D5537F">
              <w:rPr>
                <w:rFonts w:ascii="Times New Roman" w:hAnsi="Times New Roman" w:cs="Times New Roman"/>
                <w:sz w:val="24"/>
                <w:szCs w:val="24"/>
              </w:rPr>
              <w:t>0</w:t>
            </w:r>
            <w:r w:rsidR="007B54D3" w:rsidRPr="00D5537F">
              <w:rPr>
                <w:rFonts w:ascii="Times New Roman" w:hAnsi="Times New Roman" w:cs="Times New Roman"/>
                <w:sz w:val="24"/>
                <w:szCs w:val="24"/>
              </w:rPr>
              <w:t>,</w:t>
            </w:r>
            <w:r w:rsidRPr="00D5537F">
              <w:rPr>
                <w:rFonts w:ascii="Times New Roman" w:hAnsi="Times New Roman" w:cs="Times New Roman"/>
                <w:sz w:val="24"/>
                <w:szCs w:val="24"/>
              </w:rPr>
              <w:t>488**</w:t>
            </w:r>
          </w:p>
        </w:tc>
      </w:tr>
    </w:tbl>
    <w:p w:rsidR="0086654E" w:rsidRDefault="003C4041" w:rsidP="004567D5">
      <w:pPr>
        <w:pStyle w:val="MDPI43tablefooter"/>
        <w:spacing w:line="360" w:lineRule="auto"/>
        <w:ind w:right="425"/>
        <w:rPr>
          <w:rFonts w:ascii="Times New Roman" w:hAnsi="Times New Roman"/>
          <w:color w:val="auto"/>
          <w:sz w:val="24"/>
          <w:szCs w:val="24"/>
          <w:lang w:val="cs-CZ"/>
        </w:rPr>
      </w:pPr>
      <w:r w:rsidRPr="000D096C">
        <w:rPr>
          <w:rStyle w:val="highlight"/>
          <w:rFonts w:ascii="Times New Roman" w:hAnsi="Times New Roman"/>
          <w:color w:val="auto"/>
          <w:sz w:val="24"/>
          <w:szCs w:val="24"/>
          <w:lang w:val="cs-CZ"/>
        </w:rPr>
        <w:t>*</w:t>
      </w:r>
      <w:r w:rsidRPr="000D096C">
        <w:rPr>
          <w:rFonts w:ascii="Times New Roman" w:hAnsi="Times New Roman"/>
          <w:color w:val="auto"/>
          <w:sz w:val="24"/>
          <w:szCs w:val="24"/>
          <w:lang w:val="cs-CZ"/>
        </w:rPr>
        <w:t>p &lt; 0,05; **p &lt; 0,01</w:t>
      </w:r>
    </w:p>
    <w:p w:rsidR="0086654E" w:rsidRDefault="0086654E" w:rsidP="0086654E">
      <w:pPr>
        <w:rPr>
          <w:rFonts w:eastAsia="Times New Roman" w:cs="Times New Roman"/>
          <w:lang w:eastAsia="de-DE" w:bidi="en-US"/>
        </w:rPr>
      </w:pPr>
      <w:r>
        <w:br w:type="page"/>
      </w:r>
    </w:p>
    <w:p w:rsidR="00064465" w:rsidRDefault="00DD4C7C" w:rsidP="004567D5">
      <w:pPr>
        <w:spacing w:line="360" w:lineRule="auto"/>
        <w:rPr>
          <w:rFonts w:ascii="Times New Roman" w:hAnsi="Times New Roman" w:cs="Times New Roman"/>
          <w:sz w:val="24"/>
          <w:szCs w:val="24"/>
          <w:lang w:eastAsia="de-DE" w:bidi="en-US"/>
        </w:rPr>
      </w:pPr>
      <w:r>
        <w:rPr>
          <w:rFonts w:ascii="Times New Roman" w:hAnsi="Times New Roman" w:cs="Times New Roman"/>
          <w:b/>
          <w:noProof/>
          <w:sz w:val="24"/>
          <w:szCs w:val="24"/>
          <w:lang w:eastAsia="cs-CZ"/>
        </w:rPr>
        <w:lastRenderedPageBreak/>
        <w:drawing>
          <wp:anchor distT="0" distB="0" distL="114300" distR="114300" simplePos="0" relativeHeight="251658752" behindDoc="1" locked="0" layoutInCell="1" allowOverlap="1">
            <wp:simplePos x="0" y="0"/>
            <wp:positionH relativeFrom="column">
              <wp:posOffset>1111885</wp:posOffset>
            </wp:positionH>
            <wp:positionV relativeFrom="paragraph">
              <wp:posOffset>3329940</wp:posOffset>
            </wp:positionV>
            <wp:extent cx="3181350" cy="2743200"/>
            <wp:effectExtent l="19050" t="0" r="0" b="0"/>
            <wp:wrapTight wrapText="bothSides">
              <wp:wrapPolygon edited="0">
                <wp:start x="-129" y="0"/>
                <wp:lineTo x="-129" y="21450"/>
                <wp:lineTo x="21600" y="21450"/>
                <wp:lineTo x="21600" y="0"/>
                <wp:lineTo x="-129" y="0"/>
              </wp:wrapPolygon>
            </wp:wrapTight>
            <wp:docPr id="1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2743200"/>
                    </a:xfrm>
                    <a:prstGeom prst="rect">
                      <a:avLst/>
                    </a:prstGeom>
                    <a:noFill/>
                  </pic:spPr>
                </pic:pic>
              </a:graphicData>
            </a:graphic>
          </wp:anchor>
        </w:drawing>
      </w:r>
      <w:r>
        <w:rPr>
          <w:rFonts w:ascii="Times New Roman" w:hAnsi="Times New Roman" w:cs="Times New Roman"/>
          <w:b/>
          <w:noProof/>
          <w:sz w:val="24"/>
          <w:szCs w:val="24"/>
          <w:lang w:eastAsia="cs-CZ"/>
        </w:rPr>
        <w:drawing>
          <wp:anchor distT="0" distB="0" distL="114300" distR="114300" simplePos="0" relativeHeight="251659776" behindDoc="1" locked="0" layoutInCell="1" allowOverlap="1">
            <wp:simplePos x="0" y="0"/>
            <wp:positionH relativeFrom="column">
              <wp:posOffset>1111885</wp:posOffset>
            </wp:positionH>
            <wp:positionV relativeFrom="paragraph">
              <wp:posOffset>6073140</wp:posOffset>
            </wp:positionV>
            <wp:extent cx="3181350" cy="2743200"/>
            <wp:effectExtent l="19050" t="0" r="0" b="0"/>
            <wp:wrapSquare wrapText="bothSides"/>
            <wp:docPr id="3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350" cy="2743200"/>
                    </a:xfrm>
                    <a:prstGeom prst="rect">
                      <a:avLst/>
                    </a:prstGeom>
                    <a:noFill/>
                  </pic:spPr>
                </pic:pic>
              </a:graphicData>
            </a:graphic>
          </wp:anchor>
        </w:drawing>
      </w:r>
      <w:r w:rsidR="00076D52">
        <w:rPr>
          <w:rFonts w:ascii="Times New Roman" w:hAnsi="Times New Roman" w:cs="Times New Roman"/>
          <w:b/>
          <w:noProof/>
          <w:sz w:val="24"/>
          <w:szCs w:val="24"/>
          <w:lang w:eastAsia="cs-CZ"/>
        </w:rPr>
        <w:drawing>
          <wp:anchor distT="0" distB="0" distL="114300" distR="114300" simplePos="0" relativeHeight="251657728" behindDoc="1" locked="0" layoutInCell="1" allowOverlap="1">
            <wp:simplePos x="0" y="0"/>
            <wp:positionH relativeFrom="column">
              <wp:posOffset>1111885</wp:posOffset>
            </wp:positionH>
            <wp:positionV relativeFrom="paragraph">
              <wp:posOffset>567690</wp:posOffset>
            </wp:positionV>
            <wp:extent cx="3181350" cy="2762250"/>
            <wp:effectExtent l="19050" t="0" r="0" b="0"/>
            <wp:wrapTight wrapText="bothSides">
              <wp:wrapPolygon edited="0">
                <wp:start x="-129" y="0"/>
                <wp:lineTo x="-129" y="21451"/>
                <wp:lineTo x="21600" y="21451"/>
                <wp:lineTo x="21600" y="0"/>
                <wp:lineTo x="-129" y="0"/>
              </wp:wrapPolygon>
            </wp:wrapTight>
            <wp:docPr id="1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350" cy="2762250"/>
                    </a:xfrm>
                    <a:prstGeom prst="rect">
                      <a:avLst/>
                    </a:prstGeom>
                    <a:noFill/>
                  </pic:spPr>
                </pic:pic>
              </a:graphicData>
            </a:graphic>
          </wp:anchor>
        </w:drawing>
      </w:r>
      <w:r w:rsidR="00064465" w:rsidRPr="00092F51">
        <w:rPr>
          <w:rFonts w:ascii="Times New Roman" w:hAnsi="Times New Roman" w:cs="Times New Roman"/>
          <w:b/>
          <w:sz w:val="24"/>
          <w:szCs w:val="24"/>
          <w:lang w:eastAsia="de-DE" w:bidi="en-US"/>
        </w:rPr>
        <w:t xml:space="preserve">Obrázek </w:t>
      </w:r>
      <w:r w:rsidR="00A83E00">
        <w:rPr>
          <w:rFonts w:ascii="Times New Roman" w:hAnsi="Times New Roman" w:cs="Times New Roman"/>
          <w:b/>
          <w:sz w:val="24"/>
          <w:szCs w:val="24"/>
          <w:lang w:eastAsia="de-DE" w:bidi="en-US"/>
        </w:rPr>
        <w:t>7</w:t>
      </w:r>
      <w:r w:rsidR="00064465" w:rsidRPr="000D096C">
        <w:rPr>
          <w:rFonts w:ascii="Times New Roman" w:hAnsi="Times New Roman" w:cs="Times New Roman"/>
          <w:sz w:val="24"/>
          <w:szCs w:val="24"/>
          <w:lang w:eastAsia="de-DE" w:bidi="en-US"/>
        </w:rPr>
        <w:t>.</w:t>
      </w:r>
      <w:r w:rsidR="00C90F9F" w:rsidRPr="000D096C">
        <w:rPr>
          <w:rFonts w:ascii="Times New Roman" w:hAnsi="Times New Roman" w:cs="Times New Roman"/>
          <w:sz w:val="24"/>
          <w:szCs w:val="24"/>
        </w:rPr>
        <w:t xml:space="preserve"> Bodové diagramy zobrazující korelace </w:t>
      </w:r>
      <w:r w:rsidR="00C90F9F" w:rsidRPr="000D096C">
        <w:rPr>
          <w:rFonts w:ascii="Times New Roman" w:hAnsi="Times New Roman" w:cs="Times New Roman"/>
          <w:sz w:val="24"/>
          <w:szCs w:val="24"/>
          <w:lang w:eastAsia="de-DE" w:bidi="en-US"/>
        </w:rPr>
        <w:t>HOMA-IR s VAI, OP a BMI s uvedením hodnoty korelačních koeficientů (r)</w:t>
      </w:r>
    </w:p>
    <w:p w:rsidR="0086654E" w:rsidRDefault="0086654E"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076D52" w:rsidRDefault="00076D52" w:rsidP="004567D5">
      <w:pPr>
        <w:spacing w:line="360" w:lineRule="auto"/>
        <w:rPr>
          <w:rFonts w:ascii="Times New Roman" w:hAnsi="Times New Roman" w:cs="Times New Roman"/>
          <w:sz w:val="24"/>
          <w:szCs w:val="24"/>
          <w:lang w:eastAsia="de-DE" w:bidi="en-US"/>
        </w:rPr>
      </w:pPr>
    </w:p>
    <w:p w:rsidR="009B2468" w:rsidRPr="000D096C" w:rsidRDefault="009B2468" w:rsidP="00E319B2">
      <w:pPr>
        <w:pStyle w:val="Nadpis4"/>
      </w:pPr>
      <w:r w:rsidRPr="000D096C">
        <w:lastRenderedPageBreak/>
        <w:t>Regresní analýza</w:t>
      </w:r>
      <w:r w:rsidR="00EC1D81" w:rsidRPr="000D096C">
        <w:t xml:space="preserve"> – predikce HOMA-IR</w:t>
      </w:r>
    </w:p>
    <w:p w:rsidR="00D47010" w:rsidRPr="000D096C" w:rsidRDefault="009B2468"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Logistickou regresí byla zkoumána prediktivní schopnost všech vyšetřovaných para</w:t>
      </w:r>
      <w:r w:rsidR="002801C2">
        <w:rPr>
          <w:rFonts w:ascii="Times New Roman" w:hAnsi="Times New Roman" w:cs="Times New Roman"/>
          <w:sz w:val="24"/>
          <w:szCs w:val="24"/>
        </w:rPr>
        <w:t>metrů uvedených v tab.</w:t>
      </w:r>
      <w:r w:rsidR="00DA4561" w:rsidRPr="000D096C">
        <w:rPr>
          <w:rFonts w:ascii="Times New Roman" w:hAnsi="Times New Roman" w:cs="Times New Roman"/>
          <w:sz w:val="24"/>
          <w:szCs w:val="24"/>
        </w:rPr>
        <w:t xml:space="preserve"> </w:t>
      </w:r>
      <w:r w:rsidR="001B4449" w:rsidRPr="000D096C">
        <w:rPr>
          <w:rFonts w:ascii="Times New Roman" w:hAnsi="Times New Roman" w:cs="Times New Roman"/>
          <w:sz w:val="24"/>
          <w:szCs w:val="24"/>
        </w:rPr>
        <w:t>5</w:t>
      </w:r>
      <w:r w:rsidR="00BE447E" w:rsidRPr="000D096C">
        <w:rPr>
          <w:rFonts w:ascii="Times New Roman" w:hAnsi="Times New Roman" w:cs="Times New Roman"/>
          <w:sz w:val="24"/>
          <w:szCs w:val="24"/>
        </w:rPr>
        <w:t xml:space="preserve"> ve vztahu k</w:t>
      </w:r>
      <w:r w:rsidRPr="000D096C">
        <w:rPr>
          <w:rFonts w:ascii="Times New Roman" w:hAnsi="Times New Roman" w:cs="Times New Roman"/>
          <w:sz w:val="24"/>
          <w:szCs w:val="24"/>
        </w:rPr>
        <w:t xml:space="preserve"> index</w:t>
      </w:r>
      <w:r w:rsidR="00BE447E" w:rsidRPr="000D096C">
        <w:rPr>
          <w:rFonts w:ascii="Times New Roman" w:hAnsi="Times New Roman" w:cs="Times New Roman"/>
          <w:sz w:val="24"/>
          <w:szCs w:val="24"/>
        </w:rPr>
        <w:t>u</w:t>
      </w:r>
      <w:r w:rsidRPr="000D096C">
        <w:rPr>
          <w:rFonts w:ascii="Times New Roman" w:hAnsi="Times New Roman" w:cs="Times New Roman"/>
          <w:sz w:val="24"/>
          <w:szCs w:val="24"/>
        </w:rPr>
        <w:t xml:space="preserve"> HOMA-IR, jakožto</w:t>
      </w:r>
      <w:r w:rsidR="00BE447E" w:rsidRPr="000D096C">
        <w:rPr>
          <w:rFonts w:ascii="Times New Roman" w:hAnsi="Times New Roman" w:cs="Times New Roman"/>
          <w:sz w:val="24"/>
          <w:szCs w:val="24"/>
        </w:rPr>
        <w:t xml:space="preserve"> jejich</w:t>
      </w:r>
      <w:r w:rsidRPr="000D096C">
        <w:rPr>
          <w:rFonts w:ascii="Times New Roman" w:hAnsi="Times New Roman" w:cs="Times New Roman"/>
          <w:sz w:val="24"/>
          <w:szCs w:val="24"/>
        </w:rPr>
        <w:t xml:space="preserve"> závisle proměnné. Touto cestou nebyl zjiště</w:t>
      </w:r>
      <w:r w:rsidR="00BE447E" w:rsidRPr="000D096C">
        <w:rPr>
          <w:rFonts w:ascii="Times New Roman" w:hAnsi="Times New Roman" w:cs="Times New Roman"/>
          <w:sz w:val="24"/>
          <w:szCs w:val="24"/>
        </w:rPr>
        <w:t>n žádný významný prediktor jak uvedeného</w:t>
      </w:r>
      <w:r w:rsidRPr="000D096C">
        <w:rPr>
          <w:rFonts w:ascii="Times New Roman" w:hAnsi="Times New Roman" w:cs="Times New Roman"/>
          <w:sz w:val="24"/>
          <w:szCs w:val="24"/>
        </w:rPr>
        <w:t xml:space="preserve"> dolního</w:t>
      </w:r>
      <w:r w:rsidR="00A83BA4" w:rsidRPr="000D096C">
        <w:rPr>
          <w:rFonts w:ascii="Times New Roman" w:hAnsi="Times New Roman" w:cs="Times New Roman"/>
          <w:sz w:val="24"/>
          <w:szCs w:val="24"/>
        </w:rPr>
        <w:t xml:space="preserve"> (HOMA-IR = 2,0)</w:t>
      </w:r>
      <w:r w:rsidRPr="000D096C">
        <w:rPr>
          <w:rFonts w:ascii="Times New Roman" w:hAnsi="Times New Roman" w:cs="Times New Roman"/>
          <w:sz w:val="24"/>
          <w:szCs w:val="24"/>
        </w:rPr>
        <w:t>, tak horního</w:t>
      </w:r>
      <w:r w:rsidR="00A83BA4" w:rsidRPr="000D096C">
        <w:rPr>
          <w:rFonts w:ascii="Times New Roman" w:hAnsi="Times New Roman" w:cs="Times New Roman"/>
          <w:sz w:val="24"/>
          <w:szCs w:val="24"/>
        </w:rPr>
        <w:t xml:space="preserve"> (HOMA-IR = 3,8)</w:t>
      </w:r>
      <w:r w:rsidRPr="000D096C">
        <w:rPr>
          <w:rFonts w:ascii="Times New Roman" w:hAnsi="Times New Roman" w:cs="Times New Roman"/>
          <w:sz w:val="24"/>
          <w:szCs w:val="24"/>
        </w:rPr>
        <w:t xml:space="preserve"> limitu HOMA-IR </w:t>
      </w:r>
      <w:r w:rsidR="00BE447E" w:rsidRPr="000D096C">
        <w:rPr>
          <w:rFonts w:ascii="Times New Roman" w:hAnsi="Times New Roman" w:cs="Times New Roman"/>
          <w:sz w:val="24"/>
          <w:szCs w:val="24"/>
        </w:rPr>
        <w:t>pro rozvinutou IR.</w:t>
      </w:r>
    </w:p>
    <w:p w:rsidR="00EC1D81" w:rsidRPr="000D096C" w:rsidRDefault="00EC1D81" w:rsidP="004567D5">
      <w:pPr>
        <w:pStyle w:val="Nadpis3"/>
        <w:spacing w:line="360" w:lineRule="auto"/>
        <w:rPr>
          <w:rFonts w:cs="Times New Roman"/>
        </w:rPr>
      </w:pPr>
      <w:bookmarkStart w:id="123" w:name="_Toc33432692"/>
      <w:bookmarkStart w:id="124" w:name="_Toc33432912"/>
      <w:bookmarkStart w:id="125" w:name="_Toc33869551"/>
      <w:r w:rsidRPr="000D096C">
        <w:rPr>
          <w:rFonts w:cs="Times New Roman"/>
        </w:rPr>
        <w:t>Diskuze</w:t>
      </w:r>
      <w:bookmarkEnd w:id="123"/>
      <w:bookmarkEnd w:id="124"/>
      <w:bookmarkEnd w:id="125"/>
    </w:p>
    <w:p w:rsidR="00E64B38" w:rsidRPr="000D096C" w:rsidRDefault="00EC1D81"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rPr>
        <w:tab/>
      </w:r>
      <w:r w:rsidR="00477A0E" w:rsidRPr="000D096C">
        <w:rPr>
          <w:rFonts w:ascii="Times New Roman" w:hAnsi="Times New Roman" w:cs="Times New Roman"/>
          <w:sz w:val="24"/>
          <w:szCs w:val="24"/>
        </w:rPr>
        <w:t xml:space="preserve">Výsledky korelační analýzy dokazují asociaci VAI a HOMA-IR, ačkoli logistická regrese silnější předpovědní roli VAI </w:t>
      </w:r>
      <w:r w:rsidR="009E2F8C" w:rsidRPr="000D096C">
        <w:rPr>
          <w:rFonts w:ascii="Times New Roman" w:hAnsi="Times New Roman" w:cs="Times New Roman"/>
          <w:sz w:val="24"/>
          <w:szCs w:val="24"/>
        </w:rPr>
        <w:t xml:space="preserve">pro HOMA-IR </w:t>
      </w:r>
      <w:r w:rsidR="00477A0E" w:rsidRPr="000D096C">
        <w:rPr>
          <w:rFonts w:ascii="Times New Roman" w:hAnsi="Times New Roman" w:cs="Times New Roman"/>
          <w:sz w:val="24"/>
          <w:szCs w:val="24"/>
        </w:rPr>
        <w:t>mezi ostatními zkoumanými parametry neukázala. Hodnota VAI se statisticky významně zvyšovala s rostoucím počtem přítomných komponent MetS</w:t>
      </w:r>
      <w:r w:rsidR="005747CB" w:rsidRPr="000D096C">
        <w:rPr>
          <w:rFonts w:ascii="Times New Roman" w:hAnsi="Times New Roman" w:cs="Times New Roman"/>
          <w:sz w:val="24"/>
          <w:szCs w:val="24"/>
        </w:rPr>
        <w:t>, což demonstruje schopnost tohoto indexu odrážet úroveň metabolických odchylek spojených s</w:t>
      </w:r>
      <w:r w:rsidR="009E2F8C" w:rsidRPr="000D096C">
        <w:rPr>
          <w:rFonts w:ascii="Times New Roman" w:hAnsi="Times New Roman" w:cs="Times New Roman"/>
          <w:sz w:val="24"/>
          <w:szCs w:val="24"/>
        </w:rPr>
        <w:t> </w:t>
      </w:r>
      <w:r w:rsidR="005747CB" w:rsidRPr="000D096C">
        <w:rPr>
          <w:rFonts w:ascii="Times New Roman" w:hAnsi="Times New Roman" w:cs="Times New Roman"/>
          <w:sz w:val="24"/>
          <w:szCs w:val="24"/>
        </w:rPr>
        <w:t>MetS</w:t>
      </w:r>
      <w:r w:rsidR="009E2F8C" w:rsidRPr="000D096C">
        <w:rPr>
          <w:rFonts w:ascii="Times New Roman" w:hAnsi="Times New Roman" w:cs="Times New Roman"/>
          <w:sz w:val="24"/>
          <w:szCs w:val="24"/>
        </w:rPr>
        <w:t>.</w:t>
      </w:r>
      <w:r w:rsidR="005747CB" w:rsidRPr="000D096C">
        <w:rPr>
          <w:rFonts w:ascii="Times New Roman" w:hAnsi="Times New Roman" w:cs="Times New Roman"/>
          <w:sz w:val="24"/>
          <w:szCs w:val="24"/>
        </w:rPr>
        <w:t xml:space="preserve"> Mezní bod indexu pro odlišení jedinců splňujících diagnostická kritéria MetS byl v naší práci 2,37 se senzitivitou 0,86 a</w:t>
      </w:r>
      <w:r w:rsidR="00762125">
        <w:rPr>
          <w:rFonts w:ascii="Times New Roman" w:hAnsi="Times New Roman" w:cs="Times New Roman"/>
          <w:sz w:val="24"/>
          <w:szCs w:val="24"/>
        </w:rPr>
        <w:t> </w:t>
      </w:r>
      <w:r w:rsidR="005747CB" w:rsidRPr="000D096C">
        <w:rPr>
          <w:rFonts w:ascii="Times New Roman" w:hAnsi="Times New Roman" w:cs="Times New Roman"/>
          <w:sz w:val="24"/>
          <w:szCs w:val="24"/>
        </w:rPr>
        <w:t>specificitou 0,78. Ve studii s 92 jedinci s nadváhou a o</w:t>
      </w:r>
      <w:r w:rsidR="0011005D" w:rsidRPr="000D096C">
        <w:rPr>
          <w:rFonts w:ascii="Times New Roman" w:hAnsi="Times New Roman" w:cs="Times New Roman"/>
          <w:sz w:val="24"/>
          <w:szCs w:val="24"/>
        </w:rPr>
        <w:t>bezitou provedené Pekgorem a kol</w:t>
      </w:r>
      <w:r w:rsidR="005747CB" w:rsidRPr="000D096C">
        <w:rPr>
          <w:rFonts w:ascii="Times New Roman" w:hAnsi="Times New Roman" w:cs="Times New Roman"/>
          <w:sz w:val="24"/>
          <w:szCs w:val="24"/>
        </w:rPr>
        <w:t>. byl tento bod stanoven na 2,21 (s</w:t>
      </w:r>
      <w:r w:rsidR="00BB3FFF">
        <w:rPr>
          <w:rFonts w:ascii="Times New Roman" w:hAnsi="Times New Roman" w:cs="Times New Roman"/>
          <w:sz w:val="24"/>
          <w:szCs w:val="24"/>
        </w:rPr>
        <w:t> </w:t>
      </w:r>
      <w:r w:rsidR="005747CB" w:rsidRPr="000D096C">
        <w:rPr>
          <w:rFonts w:ascii="Times New Roman" w:hAnsi="Times New Roman" w:cs="Times New Roman"/>
          <w:sz w:val="24"/>
          <w:szCs w:val="24"/>
        </w:rPr>
        <w:t>uplatněním stejných IDF kritérií MetS). Jak senzitivita (0,76), tak specificita (0,69) se lišily zhruba o 10 % od našich výsledků. Závěry našich prací se výrazněji liší v hraničním bodě pro rozvi</w:t>
      </w:r>
      <w:r w:rsidR="0011005D" w:rsidRPr="000D096C">
        <w:rPr>
          <w:rFonts w:ascii="Times New Roman" w:hAnsi="Times New Roman" w:cs="Times New Roman"/>
          <w:sz w:val="24"/>
          <w:szCs w:val="24"/>
        </w:rPr>
        <w:t>nutou IR, jež byl Pekgorem a kol</w:t>
      </w:r>
      <w:r w:rsidR="005747CB" w:rsidRPr="000D096C">
        <w:rPr>
          <w:rFonts w:ascii="Times New Roman" w:hAnsi="Times New Roman" w:cs="Times New Roman"/>
          <w:sz w:val="24"/>
          <w:szCs w:val="24"/>
        </w:rPr>
        <w:t>. definován hodnotou VAI 2,31 se senzitivitou 0,69 a</w:t>
      </w:r>
      <w:r w:rsidR="00BB3FFF">
        <w:rPr>
          <w:rFonts w:ascii="Times New Roman" w:hAnsi="Times New Roman" w:cs="Times New Roman"/>
          <w:sz w:val="24"/>
          <w:szCs w:val="24"/>
        </w:rPr>
        <w:t> </w:t>
      </w:r>
      <w:r w:rsidR="005747CB" w:rsidRPr="000D096C">
        <w:rPr>
          <w:rFonts w:ascii="Times New Roman" w:hAnsi="Times New Roman" w:cs="Times New Roman"/>
          <w:sz w:val="24"/>
          <w:szCs w:val="24"/>
        </w:rPr>
        <w:t xml:space="preserve">specificitou 0,64. Zmíněna však musí být skutečnost, že autoři pracovali s odlišnou hraniční hodnotou indexu HOMA-IR, a to 2,5. </w:t>
      </w:r>
      <w:r w:rsidR="00886214" w:rsidRPr="000D096C">
        <w:rPr>
          <w:rFonts w:ascii="Times New Roman" w:hAnsi="Times New Roman" w:cs="Times New Roman"/>
          <w:sz w:val="24"/>
          <w:szCs w:val="24"/>
        </w:rPr>
        <w:t xml:space="preserve">Mezní hodnoty VAI pro stanovené limity HOMA-IR 2,0, respektive 3,8 byly v naší práci 1,89, respektive 2,37 se senzitivitami i specificitami pouze lehce vyššími </w:t>
      </w:r>
      <w:r w:rsidR="00247FE3" w:rsidRPr="000D096C">
        <w:rPr>
          <w:rFonts w:ascii="Times New Roman" w:hAnsi="Times New Roman" w:cs="Times New Roman"/>
          <w:sz w:val="24"/>
          <w:szCs w:val="24"/>
        </w:rPr>
        <w:t>než tomu by</w:t>
      </w:r>
      <w:r w:rsidR="0011005D" w:rsidRPr="000D096C">
        <w:rPr>
          <w:rFonts w:ascii="Times New Roman" w:hAnsi="Times New Roman" w:cs="Times New Roman"/>
          <w:sz w:val="24"/>
          <w:szCs w:val="24"/>
        </w:rPr>
        <w:t>lo v případě studie Pekgor a kol</w:t>
      </w:r>
      <w:r w:rsidR="00797B01">
        <w:rPr>
          <w:rFonts w:ascii="Times New Roman" w:hAnsi="Times New Roman" w:cs="Times New Roman"/>
          <w:sz w:val="24"/>
          <w:szCs w:val="24"/>
        </w:rPr>
        <w:t xml:space="preserve"> [12</w:t>
      </w:r>
      <w:r w:rsidR="005B3559">
        <w:rPr>
          <w:rFonts w:ascii="Times New Roman" w:hAnsi="Times New Roman" w:cs="Times New Roman"/>
          <w:sz w:val="24"/>
          <w:szCs w:val="24"/>
        </w:rPr>
        <w:t>2</w:t>
      </w:r>
      <w:r w:rsidR="009C0F05" w:rsidRPr="000D096C">
        <w:rPr>
          <w:rFonts w:ascii="Times New Roman" w:hAnsi="Times New Roman" w:cs="Times New Roman"/>
          <w:sz w:val="24"/>
          <w:szCs w:val="24"/>
        </w:rPr>
        <w:t>]</w:t>
      </w:r>
      <w:r w:rsidR="00247FE3" w:rsidRPr="000D096C">
        <w:rPr>
          <w:rFonts w:ascii="Times New Roman" w:hAnsi="Times New Roman" w:cs="Times New Roman"/>
          <w:sz w:val="24"/>
          <w:szCs w:val="24"/>
        </w:rPr>
        <w:t>. Pomineme-li skutečnost, že je celá situace značně komplikovaná absencí jednotných referenčních mezí indexu HOMA-IR, relativně vysoké a</w:t>
      </w:r>
      <w:r w:rsidR="00762125">
        <w:rPr>
          <w:rFonts w:ascii="Times New Roman" w:hAnsi="Times New Roman" w:cs="Times New Roman"/>
          <w:sz w:val="24"/>
          <w:szCs w:val="24"/>
        </w:rPr>
        <w:t> </w:t>
      </w:r>
      <w:r w:rsidR="00247FE3" w:rsidRPr="000D096C">
        <w:rPr>
          <w:rFonts w:ascii="Times New Roman" w:hAnsi="Times New Roman" w:cs="Times New Roman"/>
          <w:sz w:val="24"/>
          <w:szCs w:val="24"/>
        </w:rPr>
        <w:t>podobné hodnoty senzitivit a specificit naznačují potenciál</w:t>
      </w:r>
      <w:r w:rsidR="004C7737" w:rsidRPr="000D096C">
        <w:rPr>
          <w:rFonts w:ascii="Times New Roman" w:hAnsi="Times New Roman" w:cs="Times New Roman"/>
          <w:sz w:val="24"/>
          <w:szCs w:val="24"/>
        </w:rPr>
        <w:t xml:space="preserve"> VAI detekovat různou</w:t>
      </w:r>
      <w:r w:rsidR="00247FE3" w:rsidRPr="000D096C">
        <w:rPr>
          <w:rFonts w:ascii="Times New Roman" w:hAnsi="Times New Roman" w:cs="Times New Roman"/>
          <w:sz w:val="24"/>
          <w:szCs w:val="24"/>
        </w:rPr>
        <w:t xml:space="preserve"> úroveň IR</w:t>
      </w:r>
      <w:r w:rsidR="004C7737" w:rsidRPr="000D096C">
        <w:rPr>
          <w:rFonts w:ascii="Times New Roman" w:hAnsi="Times New Roman" w:cs="Times New Roman"/>
          <w:sz w:val="24"/>
          <w:szCs w:val="24"/>
        </w:rPr>
        <w:t>,</w:t>
      </w:r>
      <w:r w:rsidR="00247FE3" w:rsidRPr="000D096C">
        <w:rPr>
          <w:rFonts w:ascii="Times New Roman" w:hAnsi="Times New Roman" w:cs="Times New Roman"/>
          <w:sz w:val="24"/>
          <w:szCs w:val="24"/>
        </w:rPr>
        <w:t xml:space="preserve"> vyjádřenou prostřednictvím indexu HOMA-IR.</w:t>
      </w:r>
      <w:r w:rsidR="00103263" w:rsidRPr="000D096C">
        <w:rPr>
          <w:rFonts w:ascii="Times New Roman" w:hAnsi="Times New Roman" w:cs="Times New Roman"/>
          <w:sz w:val="24"/>
          <w:szCs w:val="24"/>
        </w:rPr>
        <w:t xml:space="preserve"> Negativní předpovědní hodnoty hraničních bodů VAI byly v předkládané práci zvláště vysoké. Okolo 95 % jed</w:t>
      </w:r>
      <w:r w:rsidR="004C7737" w:rsidRPr="000D096C">
        <w:rPr>
          <w:rFonts w:ascii="Times New Roman" w:hAnsi="Times New Roman" w:cs="Times New Roman"/>
          <w:sz w:val="24"/>
          <w:szCs w:val="24"/>
        </w:rPr>
        <w:t>inců s hodnotou VAI pod 2,37 jak nedosahovalo</w:t>
      </w:r>
      <w:r w:rsidR="00103263" w:rsidRPr="000D096C">
        <w:rPr>
          <w:rFonts w:ascii="Times New Roman" w:hAnsi="Times New Roman" w:cs="Times New Roman"/>
          <w:sz w:val="24"/>
          <w:szCs w:val="24"/>
        </w:rPr>
        <w:t xml:space="preserve"> kritérií MetS</w:t>
      </w:r>
      <w:r w:rsidR="004C7737" w:rsidRPr="000D096C">
        <w:rPr>
          <w:rFonts w:ascii="Times New Roman" w:hAnsi="Times New Roman" w:cs="Times New Roman"/>
          <w:sz w:val="24"/>
          <w:szCs w:val="24"/>
        </w:rPr>
        <w:t>, tak</w:t>
      </w:r>
      <w:r w:rsidR="00103263" w:rsidRPr="000D096C">
        <w:rPr>
          <w:rFonts w:ascii="Times New Roman" w:hAnsi="Times New Roman" w:cs="Times New Roman"/>
          <w:sz w:val="24"/>
          <w:szCs w:val="24"/>
        </w:rPr>
        <w:t xml:space="preserve"> nemělo hodnotu HOMA-IR nad 3,8.</w:t>
      </w:r>
    </w:p>
    <w:p w:rsidR="006F30B0" w:rsidRPr="000D096C" w:rsidRDefault="006F30B0"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r>
      <w:r w:rsidR="0011005D" w:rsidRPr="000D096C">
        <w:rPr>
          <w:rFonts w:ascii="Times New Roman" w:hAnsi="Times New Roman" w:cs="Times New Roman"/>
          <w:sz w:val="24"/>
          <w:szCs w:val="24"/>
        </w:rPr>
        <w:t>Studie od Amata a kol</w:t>
      </w:r>
      <w:r w:rsidR="00FB1FCB" w:rsidRPr="000D096C">
        <w:rPr>
          <w:rFonts w:ascii="Times New Roman" w:hAnsi="Times New Roman" w:cs="Times New Roman"/>
          <w:sz w:val="24"/>
          <w:szCs w:val="24"/>
        </w:rPr>
        <w:t>. provedená na 1</w:t>
      </w:r>
      <w:r w:rsidR="003D161E">
        <w:rPr>
          <w:rFonts w:ascii="Times New Roman" w:hAnsi="Times New Roman" w:cs="Times New Roman"/>
          <w:sz w:val="24"/>
          <w:szCs w:val="24"/>
        </w:rPr>
        <w:t xml:space="preserve"> </w:t>
      </w:r>
      <w:r w:rsidR="00FB1FCB" w:rsidRPr="000D096C">
        <w:rPr>
          <w:rFonts w:ascii="Times New Roman" w:hAnsi="Times New Roman" w:cs="Times New Roman"/>
          <w:sz w:val="24"/>
          <w:szCs w:val="24"/>
        </w:rPr>
        <w:t>764 pacientech v primární zdravotní péči cílila na stanovení hraničních bodů VAI pro odlišení jedinců s MetS (</w:t>
      </w:r>
      <w:r w:rsidR="00CC18B3" w:rsidRPr="000D096C">
        <w:rPr>
          <w:rFonts w:ascii="Times New Roman" w:hAnsi="Times New Roman" w:cs="Times New Roman"/>
          <w:sz w:val="24"/>
          <w:szCs w:val="24"/>
        </w:rPr>
        <w:t xml:space="preserve">kritéria </w:t>
      </w:r>
      <w:r w:rsidR="00FB1FCB" w:rsidRPr="000D096C">
        <w:rPr>
          <w:rFonts w:ascii="Times New Roman" w:hAnsi="Times New Roman" w:cs="Times New Roman"/>
          <w:sz w:val="24"/>
          <w:szCs w:val="24"/>
        </w:rPr>
        <w:t>NCEP-ATP III)</w:t>
      </w:r>
      <w:r w:rsidR="00CC18B3" w:rsidRPr="000D096C">
        <w:rPr>
          <w:rFonts w:ascii="Times New Roman" w:hAnsi="Times New Roman" w:cs="Times New Roman"/>
          <w:sz w:val="24"/>
          <w:szCs w:val="24"/>
        </w:rPr>
        <w:t xml:space="preserve"> </w:t>
      </w:r>
      <w:r w:rsidR="00FB1FCB" w:rsidRPr="000D096C">
        <w:rPr>
          <w:rFonts w:ascii="Times New Roman" w:hAnsi="Times New Roman" w:cs="Times New Roman"/>
          <w:sz w:val="24"/>
          <w:szCs w:val="24"/>
        </w:rPr>
        <w:t>s</w:t>
      </w:r>
      <w:r w:rsidR="00BB3FFF">
        <w:rPr>
          <w:rFonts w:ascii="Times New Roman" w:hAnsi="Times New Roman" w:cs="Times New Roman"/>
          <w:sz w:val="24"/>
          <w:szCs w:val="24"/>
        </w:rPr>
        <w:t> </w:t>
      </w:r>
      <w:r w:rsidR="00FB1FCB" w:rsidRPr="000D096C">
        <w:rPr>
          <w:rFonts w:ascii="Times New Roman" w:hAnsi="Times New Roman" w:cs="Times New Roman"/>
          <w:sz w:val="24"/>
          <w:szCs w:val="24"/>
        </w:rPr>
        <w:t>ohledem na věkové kvartily. Pro jedince ve věku ≥ 42 a &lt; 52 let, což zhruba odpovídá jedincům v naší práci, byla stanovena hraniční hodnota VAI 1,92 se senzitivitou 0,91 a</w:t>
      </w:r>
      <w:r w:rsidR="00BB3FFF">
        <w:rPr>
          <w:rFonts w:ascii="Times New Roman" w:hAnsi="Times New Roman" w:cs="Times New Roman"/>
          <w:sz w:val="24"/>
          <w:szCs w:val="24"/>
        </w:rPr>
        <w:t> </w:t>
      </w:r>
      <w:r w:rsidR="00FB1FCB" w:rsidRPr="000D096C">
        <w:rPr>
          <w:rFonts w:ascii="Times New Roman" w:hAnsi="Times New Roman" w:cs="Times New Roman"/>
          <w:sz w:val="24"/>
          <w:szCs w:val="24"/>
        </w:rPr>
        <w:t>specificitou 0,73. Vyšší hraniční hodnoty podobné těm z prezentovan</w:t>
      </w:r>
      <w:r w:rsidR="00222A28" w:rsidRPr="000D096C">
        <w:rPr>
          <w:rFonts w:ascii="Times New Roman" w:hAnsi="Times New Roman" w:cs="Times New Roman"/>
          <w:sz w:val="24"/>
          <w:szCs w:val="24"/>
        </w:rPr>
        <w:t xml:space="preserve">é práce </w:t>
      </w:r>
      <w:r w:rsidR="00222A28" w:rsidRPr="000D096C">
        <w:rPr>
          <w:rFonts w:ascii="Times New Roman" w:hAnsi="Times New Roman" w:cs="Times New Roman"/>
          <w:sz w:val="24"/>
          <w:szCs w:val="24"/>
        </w:rPr>
        <w:lastRenderedPageBreak/>
        <w:t>a</w:t>
      </w:r>
      <w:r w:rsidR="00762125">
        <w:rPr>
          <w:rFonts w:ascii="Times New Roman" w:hAnsi="Times New Roman" w:cs="Times New Roman"/>
          <w:sz w:val="24"/>
          <w:szCs w:val="24"/>
        </w:rPr>
        <w:t> </w:t>
      </w:r>
      <w:r w:rsidR="00CC18B3" w:rsidRPr="000D096C">
        <w:rPr>
          <w:rFonts w:ascii="Times New Roman" w:hAnsi="Times New Roman" w:cs="Times New Roman"/>
          <w:sz w:val="24"/>
          <w:szCs w:val="24"/>
        </w:rPr>
        <w:t>studie</w:t>
      </w:r>
      <w:r w:rsidR="0011005D" w:rsidRPr="000D096C">
        <w:rPr>
          <w:rFonts w:ascii="Times New Roman" w:hAnsi="Times New Roman" w:cs="Times New Roman"/>
          <w:sz w:val="24"/>
          <w:szCs w:val="24"/>
        </w:rPr>
        <w:t xml:space="preserve"> od Pekgor a kol</w:t>
      </w:r>
      <w:r w:rsidR="00FB1FCB" w:rsidRPr="000D096C">
        <w:rPr>
          <w:rFonts w:ascii="Times New Roman" w:hAnsi="Times New Roman" w:cs="Times New Roman"/>
          <w:sz w:val="24"/>
          <w:szCs w:val="24"/>
        </w:rPr>
        <w:t xml:space="preserve">. byly dosaženy v nižších </w:t>
      </w:r>
      <w:r w:rsidR="0011005D" w:rsidRPr="000D096C">
        <w:rPr>
          <w:rFonts w:ascii="Times New Roman" w:hAnsi="Times New Roman" w:cs="Times New Roman"/>
          <w:sz w:val="24"/>
          <w:szCs w:val="24"/>
        </w:rPr>
        <w:t>věkových kvartilech</w:t>
      </w:r>
      <w:r w:rsidR="00797B01">
        <w:rPr>
          <w:rFonts w:ascii="Times New Roman" w:hAnsi="Times New Roman" w:cs="Times New Roman"/>
          <w:sz w:val="24"/>
          <w:szCs w:val="24"/>
        </w:rPr>
        <w:t xml:space="preserve"> [12</w:t>
      </w:r>
      <w:r w:rsidR="005B3559">
        <w:rPr>
          <w:rFonts w:ascii="Times New Roman" w:hAnsi="Times New Roman" w:cs="Times New Roman"/>
          <w:sz w:val="24"/>
          <w:szCs w:val="24"/>
        </w:rPr>
        <w:t>2</w:t>
      </w:r>
      <w:r w:rsidR="00797B01">
        <w:rPr>
          <w:rFonts w:ascii="Times New Roman" w:hAnsi="Times New Roman" w:cs="Times New Roman"/>
          <w:sz w:val="24"/>
          <w:szCs w:val="24"/>
        </w:rPr>
        <w:t>, 12</w:t>
      </w:r>
      <w:r w:rsidR="005B3559">
        <w:rPr>
          <w:rFonts w:ascii="Times New Roman" w:hAnsi="Times New Roman" w:cs="Times New Roman"/>
          <w:sz w:val="24"/>
          <w:szCs w:val="24"/>
        </w:rPr>
        <w:t>3</w:t>
      </w:r>
      <w:r w:rsidR="009C0F05" w:rsidRPr="000D096C">
        <w:rPr>
          <w:rFonts w:ascii="Times New Roman" w:hAnsi="Times New Roman" w:cs="Times New Roman"/>
          <w:sz w:val="24"/>
          <w:szCs w:val="24"/>
        </w:rPr>
        <w:t>]</w:t>
      </w:r>
      <w:r w:rsidR="0011005D" w:rsidRPr="000D096C">
        <w:rPr>
          <w:rFonts w:ascii="Times New Roman" w:hAnsi="Times New Roman" w:cs="Times New Roman"/>
          <w:sz w:val="24"/>
          <w:szCs w:val="24"/>
        </w:rPr>
        <w:t>. Amato a</w:t>
      </w:r>
      <w:r w:rsidR="00762125">
        <w:rPr>
          <w:rFonts w:ascii="Times New Roman" w:hAnsi="Times New Roman" w:cs="Times New Roman"/>
          <w:sz w:val="24"/>
          <w:szCs w:val="24"/>
        </w:rPr>
        <w:t> </w:t>
      </w:r>
      <w:r w:rsidR="0011005D" w:rsidRPr="000D096C">
        <w:rPr>
          <w:rFonts w:ascii="Times New Roman" w:hAnsi="Times New Roman" w:cs="Times New Roman"/>
          <w:sz w:val="24"/>
          <w:szCs w:val="24"/>
        </w:rPr>
        <w:t>kol</w:t>
      </w:r>
      <w:r w:rsidR="00FB1FCB" w:rsidRPr="000D096C">
        <w:rPr>
          <w:rFonts w:ascii="Times New Roman" w:hAnsi="Times New Roman" w:cs="Times New Roman"/>
          <w:sz w:val="24"/>
          <w:szCs w:val="24"/>
        </w:rPr>
        <w:t>. v jiné s</w:t>
      </w:r>
      <w:r w:rsidR="002505A0" w:rsidRPr="000D096C">
        <w:rPr>
          <w:rFonts w:ascii="Times New Roman" w:hAnsi="Times New Roman" w:cs="Times New Roman"/>
          <w:sz w:val="24"/>
          <w:szCs w:val="24"/>
        </w:rPr>
        <w:t>vé studii zahrnující 91 pacientů</w:t>
      </w:r>
      <w:r w:rsidR="00FB1FCB" w:rsidRPr="000D096C">
        <w:rPr>
          <w:rFonts w:ascii="Times New Roman" w:hAnsi="Times New Roman" w:cs="Times New Roman"/>
          <w:sz w:val="24"/>
          <w:szCs w:val="24"/>
        </w:rPr>
        <w:t xml:space="preserve"> s T2DM definovali hodnotu VAI </w:t>
      </w:r>
      <w:r w:rsidR="00222A28" w:rsidRPr="000D096C">
        <w:rPr>
          <w:rFonts w:ascii="Times New Roman" w:hAnsi="Times New Roman" w:cs="Times New Roman"/>
          <w:sz w:val="24"/>
          <w:szCs w:val="24"/>
        </w:rPr>
        <w:t>2,0 signalizující diabetes</w:t>
      </w:r>
      <w:r w:rsidR="00FB1FCB" w:rsidRPr="000D096C">
        <w:rPr>
          <w:rFonts w:ascii="Times New Roman" w:hAnsi="Times New Roman" w:cs="Times New Roman"/>
          <w:sz w:val="24"/>
          <w:szCs w:val="24"/>
        </w:rPr>
        <w:t>.</w:t>
      </w:r>
      <w:r w:rsidR="002505A0" w:rsidRPr="000D096C">
        <w:rPr>
          <w:rFonts w:ascii="Times New Roman" w:hAnsi="Times New Roman" w:cs="Times New Roman"/>
          <w:sz w:val="24"/>
          <w:szCs w:val="24"/>
        </w:rPr>
        <w:t xml:space="preserve"> Senzitivita (0,65) byla v tomto případě nižší než u hraničního bo</w:t>
      </w:r>
      <w:r w:rsidR="00222A28" w:rsidRPr="000D096C">
        <w:rPr>
          <w:rFonts w:ascii="Times New Roman" w:hAnsi="Times New Roman" w:cs="Times New Roman"/>
          <w:sz w:val="24"/>
          <w:szCs w:val="24"/>
        </w:rPr>
        <w:t xml:space="preserve">du pro MetS z předchozí uvedené </w:t>
      </w:r>
      <w:r w:rsidR="002505A0" w:rsidRPr="000D096C">
        <w:rPr>
          <w:rFonts w:ascii="Times New Roman" w:hAnsi="Times New Roman" w:cs="Times New Roman"/>
          <w:sz w:val="24"/>
          <w:szCs w:val="24"/>
        </w:rPr>
        <w:t>studie stejných autorů, ale specificita (0,81) byla naopak vyšš</w:t>
      </w:r>
      <w:r w:rsidR="0011005D" w:rsidRPr="000D096C">
        <w:rPr>
          <w:rFonts w:ascii="Times New Roman" w:hAnsi="Times New Roman" w:cs="Times New Roman"/>
          <w:sz w:val="24"/>
          <w:szCs w:val="24"/>
        </w:rPr>
        <w:t>í. U pacientů s T2DM Amato a kol</w:t>
      </w:r>
      <w:r w:rsidR="00222A28" w:rsidRPr="000D096C">
        <w:rPr>
          <w:rFonts w:ascii="Times New Roman" w:hAnsi="Times New Roman" w:cs="Times New Roman"/>
          <w:sz w:val="24"/>
          <w:szCs w:val="24"/>
        </w:rPr>
        <w:t>. zdůrazňují</w:t>
      </w:r>
      <w:r w:rsidR="002505A0" w:rsidRPr="000D096C">
        <w:rPr>
          <w:rFonts w:ascii="Times New Roman" w:hAnsi="Times New Roman" w:cs="Times New Roman"/>
          <w:sz w:val="24"/>
          <w:szCs w:val="24"/>
        </w:rPr>
        <w:t xml:space="preserve"> přítomnost dysfunkce tukové tkáně rezultující ve zvýšení hodnoty indexu VAI. Navíc autoři dokládají významné korelace mezi VAI a hladinami některých adipokinů</w:t>
      </w:r>
      <w:r w:rsidR="00797B01">
        <w:rPr>
          <w:rFonts w:ascii="Times New Roman" w:hAnsi="Times New Roman" w:cs="Times New Roman"/>
          <w:sz w:val="24"/>
          <w:szCs w:val="24"/>
        </w:rPr>
        <w:t xml:space="preserve"> [12</w:t>
      </w:r>
      <w:r w:rsidR="005B3559">
        <w:rPr>
          <w:rFonts w:ascii="Times New Roman" w:hAnsi="Times New Roman" w:cs="Times New Roman"/>
          <w:sz w:val="24"/>
          <w:szCs w:val="24"/>
        </w:rPr>
        <w:t>4</w:t>
      </w:r>
      <w:r w:rsidR="009C0F05" w:rsidRPr="000D096C">
        <w:rPr>
          <w:rFonts w:ascii="Times New Roman" w:hAnsi="Times New Roman" w:cs="Times New Roman"/>
          <w:sz w:val="24"/>
          <w:szCs w:val="24"/>
        </w:rPr>
        <w:t>]</w:t>
      </w:r>
      <w:r w:rsidR="002505A0" w:rsidRPr="000D096C">
        <w:rPr>
          <w:rFonts w:ascii="Times New Roman" w:hAnsi="Times New Roman" w:cs="Times New Roman"/>
          <w:sz w:val="24"/>
          <w:szCs w:val="24"/>
        </w:rPr>
        <w:t>. Ve studii zahr</w:t>
      </w:r>
      <w:r w:rsidR="0011005D" w:rsidRPr="000D096C">
        <w:rPr>
          <w:rFonts w:ascii="Times New Roman" w:hAnsi="Times New Roman" w:cs="Times New Roman"/>
          <w:sz w:val="24"/>
          <w:szCs w:val="24"/>
        </w:rPr>
        <w:t>nující 2</w:t>
      </w:r>
      <w:r w:rsidR="00797B01">
        <w:rPr>
          <w:rFonts w:ascii="Times New Roman" w:hAnsi="Times New Roman" w:cs="Times New Roman"/>
          <w:sz w:val="24"/>
          <w:szCs w:val="24"/>
        </w:rPr>
        <w:t xml:space="preserve"> </w:t>
      </w:r>
      <w:r w:rsidR="0011005D" w:rsidRPr="000D096C">
        <w:rPr>
          <w:rFonts w:ascii="Times New Roman" w:hAnsi="Times New Roman" w:cs="Times New Roman"/>
          <w:sz w:val="24"/>
          <w:szCs w:val="24"/>
        </w:rPr>
        <w:t>754 jedinců od Liu a kol</w:t>
      </w:r>
      <w:r w:rsidR="002505A0" w:rsidRPr="000D096C">
        <w:rPr>
          <w:rFonts w:ascii="Times New Roman" w:hAnsi="Times New Roman" w:cs="Times New Roman"/>
          <w:sz w:val="24"/>
          <w:szCs w:val="24"/>
        </w:rPr>
        <w:t>. v regresním modelu VAI vykazoval mezi všemi běžnými parametry se vztahem k obezitě jako jediný významnou asociaci jak s přítomností prediabetu, tak T2DM u obou pohlaví</w:t>
      </w:r>
      <w:r w:rsidR="00797B01">
        <w:rPr>
          <w:rFonts w:ascii="Times New Roman" w:hAnsi="Times New Roman" w:cs="Times New Roman"/>
          <w:sz w:val="24"/>
          <w:szCs w:val="24"/>
        </w:rPr>
        <w:t xml:space="preserve"> [12</w:t>
      </w:r>
      <w:r w:rsidR="005B3559">
        <w:rPr>
          <w:rFonts w:ascii="Times New Roman" w:hAnsi="Times New Roman" w:cs="Times New Roman"/>
          <w:sz w:val="24"/>
          <w:szCs w:val="24"/>
        </w:rPr>
        <w:t>5</w:t>
      </w:r>
      <w:r w:rsidR="009C0F05" w:rsidRPr="000D096C">
        <w:rPr>
          <w:rFonts w:ascii="Times New Roman" w:hAnsi="Times New Roman" w:cs="Times New Roman"/>
          <w:sz w:val="24"/>
          <w:szCs w:val="24"/>
        </w:rPr>
        <w:t>]</w:t>
      </w:r>
      <w:r w:rsidR="002505A0" w:rsidRPr="000D096C">
        <w:rPr>
          <w:rFonts w:ascii="Times New Roman" w:hAnsi="Times New Roman" w:cs="Times New Roman"/>
          <w:sz w:val="24"/>
          <w:szCs w:val="24"/>
        </w:rPr>
        <w:t>.</w:t>
      </w:r>
    </w:p>
    <w:p w:rsidR="00E64B38" w:rsidRPr="000D096C" w:rsidRDefault="00D37CD5"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t>Korelace mezi markery glukózového metab</w:t>
      </w:r>
      <w:r w:rsidR="004E138D">
        <w:rPr>
          <w:rFonts w:ascii="Times New Roman" w:hAnsi="Times New Roman" w:cs="Times New Roman"/>
          <w:sz w:val="24"/>
          <w:szCs w:val="24"/>
        </w:rPr>
        <w:t>olismus a VAI byly zobrazeny v</w:t>
      </w:r>
      <w:r w:rsidR="002801C2">
        <w:rPr>
          <w:rFonts w:ascii="Times New Roman" w:hAnsi="Times New Roman" w:cs="Times New Roman"/>
          <w:sz w:val="24"/>
          <w:szCs w:val="24"/>
        </w:rPr>
        <w:t> </w:t>
      </w:r>
      <w:r w:rsidR="004E138D">
        <w:rPr>
          <w:rFonts w:ascii="Times New Roman" w:hAnsi="Times New Roman" w:cs="Times New Roman"/>
          <w:sz w:val="24"/>
          <w:szCs w:val="24"/>
        </w:rPr>
        <w:t>t</w:t>
      </w:r>
      <w:r w:rsidR="002801C2">
        <w:rPr>
          <w:rFonts w:ascii="Times New Roman" w:hAnsi="Times New Roman" w:cs="Times New Roman"/>
          <w:sz w:val="24"/>
          <w:szCs w:val="24"/>
        </w:rPr>
        <w:t>ab.</w:t>
      </w:r>
      <w:r w:rsidRPr="000D096C">
        <w:rPr>
          <w:rFonts w:ascii="Times New Roman" w:hAnsi="Times New Roman" w:cs="Times New Roman"/>
          <w:sz w:val="24"/>
          <w:szCs w:val="24"/>
        </w:rPr>
        <w:t xml:space="preserve"> </w:t>
      </w:r>
      <w:r w:rsidR="001B4449" w:rsidRPr="000D096C">
        <w:rPr>
          <w:rFonts w:ascii="Times New Roman" w:hAnsi="Times New Roman" w:cs="Times New Roman"/>
          <w:sz w:val="24"/>
          <w:szCs w:val="24"/>
        </w:rPr>
        <w:t>7</w:t>
      </w:r>
      <w:r w:rsidR="00DA4561" w:rsidRPr="000D096C">
        <w:rPr>
          <w:rFonts w:ascii="Times New Roman" w:hAnsi="Times New Roman" w:cs="Times New Roman"/>
          <w:sz w:val="24"/>
          <w:szCs w:val="24"/>
        </w:rPr>
        <w:t xml:space="preserve"> </w:t>
      </w:r>
      <w:r w:rsidRPr="000D096C">
        <w:rPr>
          <w:rFonts w:ascii="Times New Roman" w:hAnsi="Times New Roman" w:cs="Times New Roman"/>
          <w:sz w:val="24"/>
          <w:szCs w:val="24"/>
        </w:rPr>
        <w:t xml:space="preserve">s nejvyššími dosaženými korelačními koeficienty </w:t>
      </w:r>
      <w:r w:rsidR="00000599" w:rsidRPr="000D096C">
        <w:rPr>
          <w:rFonts w:ascii="Times New Roman" w:hAnsi="Times New Roman" w:cs="Times New Roman"/>
          <w:sz w:val="24"/>
          <w:szCs w:val="24"/>
        </w:rPr>
        <w:t>zkoumaného indexu s HOMA-IR (r</w:t>
      </w:r>
      <w:r w:rsidR="00A77665">
        <w:rPr>
          <w:rFonts w:ascii="Times New Roman" w:hAnsi="Times New Roman" w:cs="Times New Roman"/>
          <w:sz w:val="24"/>
          <w:szCs w:val="24"/>
        </w:rPr>
        <w:t> </w:t>
      </w:r>
      <w:r w:rsidR="00000599" w:rsidRPr="000D096C">
        <w:rPr>
          <w:rFonts w:ascii="Times New Roman" w:hAnsi="Times New Roman" w:cs="Times New Roman"/>
          <w:sz w:val="24"/>
          <w:szCs w:val="24"/>
        </w:rPr>
        <w:t>=</w:t>
      </w:r>
      <w:r w:rsidR="00A77665">
        <w:rPr>
          <w:rFonts w:ascii="Times New Roman" w:hAnsi="Times New Roman" w:cs="Times New Roman"/>
          <w:sz w:val="24"/>
          <w:szCs w:val="24"/>
        </w:rPr>
        <w:t> </w:t>
      </w:r>
      <w:r w:rsidR="00000599" w:rsidRPr="000D096C">
        <w:rPr>
          <w:rFonts w:ascii="Times New Roman" w:hAnsi="Times New Roman" w:cs="Times New Roman"/>
          <w:sz w:val="24"/>
          <w:szCs w:val="24"/>
        </w:rPr>
        <w:t>0,51) a inzulinémií (r = 0,49). Korelace VAI s glykémií byla slabší (r = 0,31). Stejný jev, kdy nejsilnější korelace VAI byly zaznamenány s HOMA-IR, respektive inzulinémií, reportovali v</w:t>
      </w:r>
      <w:r w:rsidR="0011005D" w:rsidRPr="000D096C">
        <w:rPr>
          <w:rFonts w:ascii="Times New Roman" w:hAnsi="Times New Roman" w:cs="Times New Roman"/>
          <w:sz w:val="24"/>
          <w:szCs w:val="24"/>
        </w:rPr>
        <w:t>e svých studiích též Amato a kol</w:t>
      </w:r>
      <w:r w:rsidR="00000599" w:rsidRPr="000D096C">
        <w:rPr>
          <w:rFonts w:ascii="Times New Roman" w:hAnsi="Times New Roman" w:cs="Times New Roman"/>
          <w:sz w:val="24"/>
          <w:szCs w:val="24"/>
        </w:rPr>
        <w:t>. mezi pacienty s T2DM (r = 0,32, respektive r = 0,33) a</w:t>
      </w:r>
      <w:r w:rsidR="00BB3FFF">
        <w:rPr>
          <w:rFonts w:ascii="Times New Roman" w:hAnsi="Times New Roman" w:cs="Times New Roman"/>
          <w:sz w:val="24"/>
          <w:szCs w:val="24"/>
        </w:rPr>
        <w:t> </w:t>
      </w:r>
      <w:r w:rsidR="00000599" w:rsidRPr="000D096C">
        <w:rPr>
          <w:rFonts w:ascii="Times New Roman" w:hAnsi="Times New Roman" w:cs="Times New Roman"/>
          <w:sz w:val="24"/>
          <w:szCs w:val="24"/>
        </w:rPr>
        <w:t>Jabłonowska-Liet</w:t>
      </w:r>
      <w:r w:rsidR="0011005D" w:rsidRPr="000D096C">
        <w:rPr>
          <w:rFonts w:ascii="Times New Roman" w:hAnsi="Times New Roman" w:cs="Times New Roman"/>
          <w:sz w:val="24"/>
          <w:szCs w:val="24"/>
        </w:rPr>
        <w:t>z a kol</w:t>
      </w:r>
      <w:r w:rsidR="00000599" w:rsidRPr="000D096C">
        <w:rPr>
          <w:rFonts w:ascii="Times New Roman" w:hAnsi="Times New Roman" w:cs="Times New Roman"/>
          <w:sz w:val="24"/>
          <w:szCs w:val="24"/>
        </w:rPr>
        <w:t>. mezi 106 obézními osobami (r = 0,46, respektive r</w:t>
      </w:r>
      <w:r w:rsidR="00A77665">
        <w:rPr>
          <w:rFonts w:ascii="Times New Roman" w:hAnsi="Times New Roman" w:cs="Times New Roman"/>
          <w:sz w:val="24"/>
          <w:szCs w:val="24"/>
        </w:rPr>
        <w:t> </w:t>
      </w:r>
      <w:r w:rsidR="00000599" w:rsidRPr="000D096C">
        <w:rPr>
          <w:rFonts w:ascii="Times New Roman" w:hAnsi="Times New Roman" w:cs="Times New Roman"/>
          <w:sz w:val="24"/>
          <w:szCs w:val="24"/>
        </w:rPr>
        <w:t>=</w:t>
      </w:r>
      <w:r w:rsidR="00A77665">
        <w:rPr>
          <w:rFonts w:ascii="Times New Roman" w:hAnsi="Times New Roman" w:cs="Times New Roman"/>
          <w:sz w:val="24"/>
          <w:szCs w:val="24"/>
        </w:rPr>
        <w:t> </w:t>
      </w:r>
      <w:r w:rsidR="00000599" w:rsidRPr="000D096C">
        <w:rPr>
          <w:rFonts w:ascii="Times New Roman" w:hAnsi="Times New Roman" w:cs="Times New Roman"/>
          <w:sz w:val="24"/>
          <w:szCs w:val="24"/>
        </w:rPr>
        <w:t>0,44). V těchto dvou uvedených studiích byly korelační koeficienty mezi VAI a</w:t>
      </w:r>
      <w:r w:rsidR="00A77665">
        <w:rPr>
          <w:rFonts w:ascii="Times New Roman" w:hAnsi="Times New Roman" w:cs="Times New Roman"/>
          <w:sz w:val="24"/>
          <w:szCs w:val="24"/>
        </w:rPr>
        <w:t> </w:t>
      </w:r>
      <w:r w:rsidR="00000599" w:rsidRPr="000D096C">
        <w:rPr>
          <w:rFonts w:ascii="Times New Roman" w:hAnsi="Times New Roman" w:cs="Times New Roman"/>
          <w:sz w:val="24"/>
          <w:szCs w:val="24"/>
        </w:rPr>
        <w:t>glykémií pouze 0,03 a 0,37</w:t>
      </w:r>
      <w:r w:rsidR="009C0F05" w:rsidRPr="000D096C">
        <w:rPr>
          <w:rFonts w:ascii="Times New Roman" w:hAnsi="Times New Roman" w:cs="Times New Roman"/>
          <w:sz w:val="24"/>
          <w:szCs w:val="24"/>
        </w:rPr>
        <w:t xml:space="preserve"> [</w:t>
      </w:r>
      <w:r w:rsidR="006A4B4C" w:rsidRPr="000D096C">
        <w:rPr>
          <w:rFonts w:ascii="Times New Roman" w:hAnsi="Times New Roman" w:cs="Times New Roman"/>
          <w:sz w:val="24"/>
          <w:szCs w:val="24"/>
        </w:rPr>
        <w:t>12</w:t>
      </w:r>
      <w:r w:rsidR="005B3559">
        <w:rPr>
          <w:rFonts w:ascii="Times New Roman" w:hAnsi="Times New Roman" w:cs="Times New Roman"/>
          <w:sz w:val="24"/>
          <w:szCs w:val="24"/>
        </w:rPr>
        <w:t>4</w:t>
      </w:r>
      <w:r w:rsidR="006A4B4C" w:rsidRPr="000D096C">
        <w:rPr>
          <w:rFonts w:ascii="Times New Roman" w:hAnsi="Times New Roman" w:cs="Times New Roman"/>
          <w:sz w:val="24"/>
          <w:szCs w:val="24"/>
        </w:rPr>
        <w:t>, 12</w:t>
      </w:r>
      <w:r w:rsidR="005B3559">
        <w:rPr>
          <w:rFonts w:ascii="Times New Roman" w:hAnsi="Times New Roman" w:cs="Times New Roman"/>
          <w:sz w:val="24"/>
          <w:szCs w:val="24"/>
        </w:rPr>
        <w:t>6</w:t>
      </w:r>
      <w:r w:rsidR="009C0F05" w:rsidRPr="000D096C">
        <w:rPr>
          <w:rFonts w:ascii="Times New Roman" w:hAnsi="Times New Roman" w:cs="Times New Roman"/>
          <w:sz w:val="24"/>
          <w:szCs w:val="24"/>
        </w:rPr>
        <w:t>]</w:t>
      </w:r>
      <w:r w:rsidR="00000599" w:rsidRPr="000D096C">
        <w:rPr>
          <w:rFonts w:ascii="Times New Roman" w:hAnsi="Times New Roman" w:cs="Times New Roman"/>
          <w:sz w:val="24"/>
          <w:szCs w:val="24"/>
        </w:rPr>
        <w:t>. Tento trend zjevně vyšších korelací VAI s HOMA-IR a inzulinémií oproti glykémii by m</w:t>
      </w:r>
      <w:r w:rsidR="009A6CA9" w:rsidRPr="000D096C">
        <w:rPr>
          <w:rFonts w:ascii="Times New Roman" w:hAnsi="Times New Roman" w:cs="Times New Roman"/>
          <w:sz w:val="24"/>
          <w:szCs w:val="24"/>
        </w:rPr>
        <w:t>ohl být částečně vysvětlen</w:t>
      </w:r>
      <w:r w:rsidR="00824F4E" w:rsidRPr="000D096C">
        <w:rPr>
          <w:rFonts w:ascii="Times New Roman" w:hAnsi="Times New Roman" w:cs="Times New Roman"/>
          <w:sz w:val="24"/>
          <w:szCs w:val="24"/>
        </w:rPr>
        <w:t xml:space="preserve"> popisovanou</w:t>
      </w:r>
      <w:r w:rsidR="00000599" w:rsidRPr="000D096C">
        <w:rPr>
          <w:rFonts w:ascii="Times New Roman" w:hAnsi="Times New Roman" w:cs="Times New Roman"/>
          <w:sz w:val="24"/>
          <w:szCs w:val="24"/>
        </w:rPr>
        <w:t xml:space="preserve"> intraindividuální variabilitou hodnot glykémie, zvláště pak u jedinců s poruchami metabolismu glukózy</w:t>
      </w:r>
      <w:r w:rsidR="00797B01">
        <w:rPr>
          <w:rFonts w:ascii="Times New Roman" w:hAnsi="Times New Roman" w:cs="Times New Roman"/>
          <w:sz w:val="24"/>
          <w:szCs w:val="24"/>
        </w:rPr>
        <w:t xml:space="preserve"> [1</w:t>
      </w:r>
      <w:r w:rsidR="005B3559">
        <w:rPr>
          <w:rFonts w:ascii="Times New Roman" w:hAnsi="Times New Roman" w:cs="Times New Roman"/>
          <w:sz w:val="24"/>
          <w:szCs w:val="24"/>
        </w:rPr>
        <w:t>20</w:t>
      </w:r>
      <w:r w:rsidR="00797B01">
        <w:rPr>
          <w:rFonts w:ascii="Times New Roman" w:hAnsi="Times New Roman" w:cs="Times New Roman"/>
          <w:sz w:val="24"/>
          <w:szCs w:val="24"/>
        </w:rPr>
        <w:t>, 12</w:t>
      </w:r>
      <w:r w:rsidR="005B3559">
        <w:rPr>
          <w:rFonts w:ascii="Times New Roman" w:hAnsi="Times New Roman" w:cs="Times New Roman"/>
          <w:sz w:val="24"/>
          <w:szCs w:val="24"/>
        </w:rPr>
        <w:t>7</w:t>
      </w:r>
      <w:r w:rsidR="006A4B4C" w:rsidRPr="000D096C">
        <w:rPr>
          <w:rFonts w:ascii="Times New Roman" w:hAnsi="Times New Roman" w:cs="Times New Roman"/>
          <w:sz w:val="24"/>
          <w:szCs w:val="24"/>
        </w:rPr>
        <w:t>]</w:t>
      </w:r>
      <w:r w:rsidR="00000599" w:rsidRPr="000D096C">
        <w:rPr>
          <w:rFonts w:ascii="Times New Roman" w:hAnsi="Times New Roman" w:cs="Times New Roman"/>
          <w:sz w:val="24"/>
          <w:szCs w:val="24"/>
        </w:rPr>
        <w:t>.</w:t>
      </w:r>
    </w:p>
    <w:p w:rsidR="00BB24F7" w:rsidRPr="000D096C" w:rsidRDefault="00BB24F7" w:rsidP="00E319B2">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t>VAI byl navržen primárně jako indikátor distribuce a funkce tukové tkáně, který však nepřímo vyjadřuje i kardiometabolické riziko. Jak dysfunkce tukové tkáně, tak IR jsou klíčové patogenetické mechanismy MetS a tím pádem i kardiovaskulárních onemocnění. To potvrzuje i významná korelace VAI, odrážejícího dysfunkci tukové tkáně, s indexem HOMA-IR, odrážejícího úroveň IR. V předchozím odstavci uvedená s</w:t>
      </w:r>
      <w:r w:rsidR="0011005D" w:rsidRPr="000D096C">
        <w:rPr>
          <w:rFonts w:ascii="Times New Roman" w:hAnsi="Times New Roman" w:cs="Times New Roman"/>
          <w:sz w:val="24"/>
          <w:szCs w:val="24"/>
        </w:rPr>
        <w:t>tudie od Jabłonowska-Lietz a</w:t>
      </w:r>
      <w:r w:rsidR="00BB3FFF">
        <w:rPr>
          <w:rFonts w:ascii="Times New Roman" w:hAnsi="Times New Roman" w:cs="Times New Roman"/>
          <w:sz w:val="24"/>
          <w:szCs w:val="24"/>
        </w:rPr>
        <w:t> </w:t>
      </w:r>
      <w:r w:rsidR="0011005D" w:rsidRPr="000D096C">
        <w:rPr>
          <w:rFonts w:ascii="Times New Roman" w:hAnsi="Times New Roman" w:cs="Times New Roman"/>
          <w:sz w:val="24"/>
          <w:szCs w:val="24"/>
        </w:rPr>
        <w:t>kol</w:t>
      </w:r>
      <w:r w:rsidRPr="000D096C">
        <w:rPr>
          <w:rFonts w:ascii="Times New Roman" w:hAnsi="Times New Roman" w:cs="Times New Roman"/>
          <w:sz w:val="24"/>
          <w:szCs w:val="24"/>
        </w:rPr>
        <w:t xml:space="preserve">. ukázala významnou korelaci mezi VAI a </w:t>
      </w:r>
      <w:r w:rsidR="00577BB3" w:rsidRPr="000D096C">
        <w:rPr>
          <w:rFonts w:ascii="Times New Roman" w:hAnsi="Times New Roman" w:cs="Times New Roman"/>
          <w:sz w:val="24"/>
          <w:szCs w:val="24"/>
        </w:rPr>
        <w:t xml:space="preserve">indexem </w:t>
      </w:r>
      <w:r w:rsidRPr="009C2B45">
        <w:rPr>
          <w:rFonts w:ascii="Times New Roman" w:hAnsi="Times New Roman" w:cs="Times New Roman"/>
          <w:i/>
          <w:sz w:val="24"/>
          <w:szCs w:val="24"/>
        </w:rPr>
        <w:t>visceral adipose tissu</w:t>
      </w:r>
      <w:r w:rsidR="00577BB3" w:rsidRPr="009C2B45">
        <w:rPr>
          <w:rFonts w:ascii="Times New Roman" w:hAnsi="Times New Roman" w:cs="Times New Roman"/>
          <w:i/>
          <w:sz w:val="24"/>
          <w:szCs w:val="24"/>
        </w:rPr>
        <w:t>e</w:t>
      </w:r>
      <w:r w:rsidRPr="000D096C">
        <w:rPr>
          <w:rFonts w:ascii="Times New Roman" w:hAnsi="Times New Roman" w:cs="Times New Roman"/>
          <w:sz w:val="24"/>
          <w:szCs w:val="24"/>
        </w:rPr>
        <w:t xml:space="preserve"> (VAT) měřeným pomocí bioelektrické impedance. VAT je silně asociován s rizikem kardiovaskulárních onemocnění a metabolických poruch</w:t>
      </w:r>
      <w:r w:rsidR="005B3559">
        <w:rPr>
          <w:rFonts w:ascii="Times New Roman" w:hAnsi="Times New Roman" w:cs="Times New Roman"/>
          <w:sz w:val="24"/>
          <w:szCs w:val="24"/>
        </w:rPr>
        <w:t xml:space="preserve"> [126</w:t>
      </w:r>
      <w:r w:rsidR="006A4B4C" w:rsidRPr="000D096C">
        <w:rPr>
          <w:rFonts w:ascii="Times New Roman" w:hAnsi="Times New Roman" w:cs="Times New Roman"/>
          <w:sz w:val="24"/>
          <w:szCs w:val="24"/>
        </w:rPr>
        <w:t>]</w:t>
      </w:r>
      <w:r w:rsidRPr="000D096C">
        <w:rPr>
          <w:rFonts w:ascii="Times New Roman" w:hAnsi="Times New Roman" w:cs="Times New Roman"/>
          <w:sz w:val="24"/>
          <w:szCs w:val="24"/>
        </w:rPr>
        <w:t>.</w:t>
      </w:r>
    </w:p>
    <w:p w:rsidR="00E64B38" w:rsidRPr="000D096C" w:rsidRDefault="00BB24F7"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t xml:space="preserve"> </w:t>
      </w:r>
      <w:r w:rsidR="005C08DB" w:rsidRPr="000D096C">
        <w:rPr>
          <w:rFonts w:ascii="Times New Roman" w:hAnsi="Times New Roman" w:cs="Times New Roman"/>
          <w:sz w:val="24"/>
          <w:szCs w:val="24"/>
        </w:rPr>
        <w:t xml:space="preserve">Některé studie </w:t>
      </w:r>
      <w:r w:rsidR="00FC690C" w:rsidRPr="000D096C">
        <w:rPr>
          <w:rFonts w:ascii="Times New Roman" w:hAnsi="Times New Roman" w:cs="Times New Roman"/>
          <w:sz w:val="24"/>
          <w:szCs w:val="24"/>
        </w:rPr>
        <w:t>zmiňují schopnost VAI detekovat a hodnotit různé formy aterosklerózy. Studie Li a kol. ukázala těsnou asociaci VAI a zvýšeného rizika intrakraniální tepenných stenóz na podkladě aterosklerózy v souboru 450 čínských žen středního a vyššího věku</w:t>
      </w:r>
      <w:r w:rsidR="00797B01">
        <w:rPr>
          <w:rFonts w:ascii="Times New Roman" w:hAnsi="Times New Roman" w:cs="Times New Roman"/>
          <w:sz w:val="24"/>
          <w:szCs w:val="24"/>
        </w:rPr>
        <w:t xml:space="preserve"> [12</w:t>
      </w:r>
      <w:r w:rsidR="005B3559">
        <w:rPr>
          <w:rFonts w:ascii="Times New Roman" w:hAnsi="Times New Roman" w:cs="Times New Roman"/>
          <w:sz w:val="24"/>
          <w:szCs w:val="24"/>
        </w:rPr>
        <w:t>8</w:t>
      </w:r>
      <w:r w:rsidR="006A4B4C" w:rsidRPr="000D096C">
        <w:rPr>
          <w:rFonts w:ascii="Times New Roman" w:hAnsi="Times New Roman" w:cs="Times New Roman"/>
          <w:sz w:val="24"/>
          <w:szCs w:val="24"/>
        </w:rPr>
        <w:t>]</w:t>
      </w:r>
      <w:r w:rsidR="00FC690C" w:rsidRPr="000D096C">
        <w:rPr>
          <w:rFonts w:ascii="Times New Roman" w:hAnsi="Times New Roman" w:cs="Times New Roman"/>
          <w:sz w:val="24"/>
          <w:szCs w:val="24"/>
        </w:rPr>
        <w:t xml:space="preserve">. Randrianarisoa a kol. ve své studii 731 dospělých jedinců středního věku prokázali korelaci VAI s tloušťkou komplexu intimy-medie karotických </w:t>
      </w:r>
      <w:r w:rsidR="00FC690C" w:rsidRPr="000D096C">
        <w:rPr>
          <w:rFonts w:ascii="Times New Roman" w:hAnsi="Times New Roman" w:cs="Times New Roman"/>
          <w:sz w:val="24"/>
          <w:szCs w:val="24"/>
        </w:rPr>
        <w:lastRenderedPageBreak/>
        <w:t xml:space="preserve">tepen nezávisle na ostatních kardiovaskulárních rizikových faktorech. </w:t>
      </w:r>
      <w:r w:rsidR="00460D00" w:rsidRPr="000D096C">
        <w:rPr>
          <w:rFonts w:ascii="Times New Roman" w:hAnsi="Times New Roman" w:cs="Times New Roman"/>
          <w:sz w:val="24"/>
          <w:szCs w:val="24"/>
        </w:rPr>
        <w:t>Ve stejné studii byl pak v modelu vícerozměrné regresní analýzy potvrzen VAI jako nezá</w:t>
      </w:r>
      <w:r w:rsidR="00971452" w:rsidRPr="000D096C">
        <w:rPr>
          <w:rFonts w:ascii="Times New Roman" w:hAnsi="Times New Roman" w:cs="Times New Roman"/>
          <w:sz w:val="24"/>
          <w:szCs w:val="24"/>
        </w:rPr>
        <w:t>vislý prediktor indexu HOMA-IR</w:t>
      </w:r>
      <w:r w:rsidR="00797B01">
        <w:rPr>
          <w:rFonts w:ascii="Times New Roman" w:hAnsi="Times New Roman" w:cs="Times New Roman"/>
          <w:sz w:val="24"/>
          <w:szCs w:val="24"/>
        </w:rPr>
        <w:t xml:space="preserve"> [12</w:t>
      </w:r>
      <w:r w:rsidR="005B3559">
        <w:rPr>
          <w:rFonts w:ascii="Times New Roman" w:hAnsi="Times New Roman" w:cs="Times New Roman"/>
          <w:sz w:val="24"/>
          <w:szCs w:val="24"/>
        </w:rPr>
        <w:t>9</w:t>
      </w:r>
      <w:r w:rsidR="006A4B4C" w:rsidRPr="000D096C">
        <w:rPr>
          <w:rFonts w:ascii="Times New Roman" w:hAnsi="Times New Roman" w:cs="Times New Roman"/>
          <w:sz w:val="24"/>
          <w:szCs w:val="24"/>
        </w:rPr>
        <w:t>]</w:t>
      </w:r>
      <w:r w:rsidR="00971452" w:rsidRPr="000D096C">
        <w:rPr>
          <w:rFonts w:ascii="Times New Roman" w:hAnsi="Times New Roman" w:cs="Times New Roman"/>
          <w:sz w:val="24"/>
          <w:szCs w:val="24"/>
        </w:rPr>
        <w:t xml:space="preserve">. </w:t>
      </w:r>
      <w:r w:rsidR="00460D00" w:rsidRPr="000D096C">
        <w:rPr>
          <w:rFonts w:ascii="Times New Roman" w:hAnsi="Times New Roman" w:cs="Times New Roman"/>
          <w:sz w:val="24"/>
          <w:szCs w:val="24"/>
        </w:rPr>
        <w:t>Rovněž na podkladě regresní analýzy ve své studii 200 pacientů s akutním koronárním</w:t>
      </w:r>
      <w:r w:rsidR="00971452" w:rsidRPr="000D096C">
        <w:rPr>
          <w:rFonts w:ascii="Times New Roman" w:hAnsi="Times New Roman" w:cs="Times New Roman"/>
          <w:sz w:val="24"/>
          <w:szCs w:val="24"/>
        </w:rPr>
        <w:t xml:space="preserve"> syndromem Biswas a kol. potvrdili</w:t>
      </w:r>
      <w:r w:rsidR="00460D00" w:rsidRPr="000D096C">
        <w:rPr>
          <w:rFonts w:ascii="Times New Roman" w:hAnsi="Times New Roman" w:cs="Times New Roman"/>
          <w:sz w:val="24"/>
          <w:szCs w:val="24"/>
        </w:rPr>
        <w:t xml:space="preserve"> dobrou předpovědní roli VAI při odhadu postižení koronárních tepen objektivizovaném angiografickým vyšetřením. Vzhledem k nenáročnosti stanovení VAI a jeho možnému automatickému výpočtu softwarem by tento index mohl sloužit jako nástroj detekce pacientů v riziku jak metabolických, tak aterosklerotických komplikací</w:t>
      </w:r>
      <w:r w:rsidR="00797B01">
        <w:rPr>
          <w:rFonts w:ascii="Times New Roman" w:hAnsi="Times New Roman" w:cs="Times New Roman"/>
          <w:sz w:val="24"/>
          <w:szCs w:val="24"/>
        </w:rPr>
        <w:t xml:space="preserve"> [1</w:t>
      </w:r>
      <w:r w:rsidR="005B3559">
        <w:rPr>
          <w:rFonts w:ascii="Times New Roman" w:hAnsi="Times New Roman" w:cs="Times New Roman"/>
          <w:sz w:val="24"/>
          <w:szCs w:val="24"/>
        </w:rPr>
        <w:t>30</w:t>
      </w:r>
      <w:r w:rsidR="006A4B4C" w:rsidRPr="000D096C">
        <w:rPr>
          <w:rFonts w:ascii="Times New Roman" w:hAnsi="Times New Roman" w:cs="Times New Roman"/>
          <w:sz w:val="24"/>
          <w:szCs w:val="24"/>
        </w:rPr>
        <w:t>]</w:t>
      </w:r>
      <w:r w:rsidR="00460D00" w:rsidRPr="000D096C">
        <w:rPr>
          <w:rFonts w:ascii="Times New Roman" w:hAnsi="Times New Roman" w:cs="Times New Roman"/>
          <w:sz w:val="24"/>
          <w:szCs w:val="24"/>
        </w:rPr>
        <w:t>.</w:t>
      </w:r>
    </w:p>
    <w:p w:rsidR="00481FCE" w:rsidRPr="000D096C" w:rsidRDefault="00481FCE"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r>
      <w:r w:rsidR="0090764D" w:rsidRPr="000D096C">
        <w:rPr>
          <w:rFonts w:ascii="Times New Roman" w:hAnsi="Times New Roman" w:cs="Times New Roman"/>
          <w:sz w:val="24"/>
          <w:szCs w:val="24"/>
        </w:rPr>
        <w:t xml:space="preserve">Jak je patrné z uvedených vzorců, </w:t>
      </w:r>
      <w:r w:rsidR="0042016E" w:rsidRPr="000D096C">
        <w:rPr>
          <w:rFonts w:ascii="Times New Roman" w:hAnsi="Times New Roman" w:cs="Times New Roman"/>
          <w:sz w:val="24"/>
          <w:szCs w:val="24"/>
        </w:rPr>
        <w:t>AIP vychází ze stejných parametrů</w:t>
      </w:r>
      <w:r w:rsidR="0090764D" w:rsidRPr="000D096C">
        <w:rPr>
          <w:rFonts w:ascii="Times New Roman" w:hAnsi="Times New Roman" w:cs="Times New Roman"/>
          <w:sz w:val="24"/>
          <w:szCs w:val="24"/>
        </w:rPr>
        <w:t xml:space="preserve"> jako VAI, ačkoli korelace VAI s HOMA-IR byly lehce silnější n</w:t>
      </w:r>
      <w:r w:rsidR="0042016E" w:rsidRPr="000D096C">
        <w:rPr>
          <w:rFonts w:ascii="Times New Roman" w:hAnsi="Times New Roman" w:cs="Times New Roman"/>
          <w:sz w:val="24"/>
          <w:szCs w:val="24"/>
        </w:rPr>
        <w:t>ež korelace AIP s HOMA-IR. Lze tedy konstatovat, že</w:t>
      </w:r>
      <w:r w:rsidR="0090764D" w:rsidRPr="000D096C">
        <w:rPr>
          <w:rFonts w:ascii="Times New Roman" w:hAnsi="Times New Roman" w:cs="Times New Roman"/>
          <w:sz w:val="24"/>
          <w:szCs w:val="24"/>
        </w:rPr>
        <w:t xml:space="preserve"> zahrnutí více parametrů do výpočtu VAI přináší těsnější asociaci s IR. V literatuře jsou též dostupné studie podporující vztah současné přítomnosti zvýšených </w:t>
      </w:r>
      <w:r w:rsidR="0042016E" w:rsidRPr="000D096C">
        <w:rPr>
          <w:rFonts w:ascii="Times New Roman" w:hAnsi="Times New Roman" w:cs="Times New Roman"/>
          <w:sz w:val="24"/>
          <w:szCs w:val="24"/>
        </w:rPr>
        <w:t xml:space="preserve">hodnot </w:t>
      </w:r>
      <w:r w:rsidR="0090764D" w:rsidRPr="000D096C">
        <w:rPr>
          <w:rFonts w:ascii="Times New Roman" w:hAnsi="Times New Roman" w:cs="Times New Roman"/>
          <w:sz w:val="24"/>
          <w:szCs w:val="24"/>
        </w:rPr>
        <w:t>TAG a OP, stavu nazývaného hypertrig</w:t>
      </w:r>
      <w:r w:rsidR="000D01A2" w:rsidRPr="000D096C">
        <w:rPr>
          <w:rFonts w:ascii="Times New Roman" w:hAnsi="Times New Roman" w:cs="Times New Roman"/>
          <w:sz w:val="24"/>
          <w:szCs w:val="24"/>
        </w:rPr>
        <w:t>lyceridemický pas, s úrovní IR</w:t>
      </w:r>
      <w:r w:rsidR="00797B01">
        <w:rPr>
          <w:rFonts w:ascii="Times New Roman" w:hAnsi="Times New Roman" w:cs="Times New Roman"/>
          <w:sz w:val="24"/>
          <w:szCs w:val="24"/>
        </w:rPr>
        <w:t xml:space="preserve"> [13</w:t>
      </w:r>
      <w:r w:rsidR="005B3559">
        <w:rPr>
          <w:rFonts w:ascii="Times New Roman" w:hAnsi="Times New Roman" w:cs="Times New Roman"/>
          <w:sz w:val="24"/>
          <w:szCs w:val="24"/>
        </w:rPr>
        <w:t>1</w:t>
      </w:r>
      <w:r w:rsidR="006A4B4C" w:rsidRPr="000D096C">
        <w:rPr>
          <w:rFonts w:ascii="Times New Roman" w:hAnsi="Times New Roman" w:cs="Times New Roman"/>
          <w:sz w:val="24"/>
          <w:szCs w:val="24"/>
        </w:rPr>
        <w:t>]</w:t>
      </w:r>
      <w:r w:rsidR="000D01A2" w:rsidRPr="000D096C">
        <w:rPr>
          <w:rFonts w:ascii="Times New Roman" w:hAnsi="Times New Roman" w:cs="Times New Roman"/>
          <w:sz w:val="24"/>
          <w:szCs w:val="24"/>
        </w:rPr>
        <w:t>.</w:t>
      </w:r>
    </w:p>
    <w:p w:rsidR="000D01A2" w:rsidRPr="000D096C" w:rsidRDefault="000D01A2"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t xml:space="preserve">V posledních letech přibývá studií zabývajících se konceptem </w:t>
      </w:r>
      <w:r w:rsidR="001A01B9" w:rsidRPr="000D096C">
        <w:rPr>
          <w:rFonts w:ascii="Times New Roman" w:hAnsi="Times New Roman" w:cs="Times New Roman"/>
          <w:sz w:val="24"/>
          <w:szCs w:val="24"/>
        </w:rPr>
        <w:t>metabolicky zdravé obezity</w:t>
      </w:r>
      <w:r w:rsidRPr="000D096C">
        <w:rPr>
          <w:rFonts w:ascii="Times New Roman" w:hAnsi="Times New Roman" w:cs="Times New Roman"/>
          <w:sz w:val="24"/>
          <w:szCs w:val="24"/>
        </w:rPr>
        <w:t>. Tyto práce přináší zjištění, že i při přetrvávajících normálních laboratorních hodnotách zůstává obezita rizikovým faktorem pro kardiovaskulární a metabolická onemocněn</w:t>
      </w:r>
      <w:r w:rsidR="001A01B9" w:rsidRPr="000D096C">
        <w:rPr>
          <w:rFonts w:ascii="Times New Roman" w:hAnsi="Times New Roman" w:cs="Times New Roman"/>
          <w:sz w:val="24"/>
          <w:szCs w:val="24"/>
        </w:rPr>
        <w:t>í a že značná část jedinců s metabolicky zdravou obezitou pozvolna</w:t>
      </w:r>
      <w:r w:rsidRPr="000D096C">
        <w:rPr>
          <w:rFonts w:ascii="Times New Roman" w:hAnsi="Times New Roman" w:cs="Times New Roman"/>
          <w:sz w:val="24"/>
          <w:szCs w:val="24"/>
        </w:rPr>
        <w:t xml:space="preserve"> v čase konvertuje do nezdravého fenotypu obezity</w:t>
      </w:r>
      <w:r w:rsidR="006A4B4C" w:rsidRPr="000D096C">
        <w:rPr>
          <w:rFonts w:ascii="Times New Roman" w:hAnsi="Times New Roman" w:cs="Times New Roman"/>
          <w:sz w:val="24"/>
          <w:szCs w:val="24"/>
        </w:rPr>
        <w:t xml:space="preserve"> [17, 18]</w:t>
      </w:r>
      <w:r w:rsidRPr="000D096C">
        <w:rPr>
          <w:rFonts w:ascii="Times New Roman" w:hAnsi="Times New Roman" w:cs="Times New Roman"/>
          <w:sz w:val="24"/>
          <w:szCs w:val="24"/>
        </w:rPr>
        <w:t>. Jak již bylo zmíněno,</w:t>
      </w:r>
      <w:r w:rsidR="00E57B41" w:rsidRPr="000D096C">
        <w:rPr>
          <w:rFonts w:ascii="Times New Roman" w:hAnsi="Times New Roman" w:cs="Times New Roman"/>
          <w:sz w:val="24"/>
          <w:szCs w:val="24"/>
        </w:rPr>
        <w:t xml:space="preserve"> některá definiční kritéria metabolicky zdravé obezity</w:t>
      </w:r>
      <w:r w:rsidRPr="000D096C">
        <w:rPr>
          <w:rFonts w:ascii="Times New Roman" w:hAnsi="Times New Roman" w:cs="Times New Roman"/>
          <w:sz w:val="24"/>
          <w:szCs w:val="24"/>
        </w:rPr>
        <w:t xml:space="preserve"> zahrnují i HOMA-IR. Liu a kol. ve své studii apli</w:t>
      </w:r>
      <w:r w:rsidR="00E57B41" w:rsidRPr="000D096C">
        <w:rPr>
          <w:rFonts w:ascii="Times New Roman" w:hAnsi="Times New Roman" w:cs="Times New Roman"/>
          <w:sz w:val="24"/>
          <w:szCs w:val="24"/>
        </w:rPr>
        <w:t>kovali 5 rozdílných kritérií metabolicky zdravé obezity</w:t>
      </w:r>
      <w:r w:rsidRPr="000D096C">
        <w:rPr>
          <w:rFonts w:ascii="Times New Roman" w:hAnsi="Times New Roman" w:cs="Times New Roman"/>
          <w:sz w:val="24"/>
          <w:szCs w:val="24"/>
        </w:rPr>
        <w:t xml:space="preserve"> u 4</w:t>
      </w:r>
      <w:r w:rsidR="003D161E">
        <w:rPr>
          <w:rFonts w:ascii="Times New Roman" w:hAnsi="Times New Roman" w:cs="Times New Roman"/>
          <w:sz w:val="24"/>
          <w:szCs w:val="24"/>
        </w:rPr>
        <w:t xml:space="preserve"> </w:t>
      </w:r>
      <w:r w:rsidRPr="000D096C">
        <w:rPr>
          <w:rFonts w:ascii="Times New Roman" w:hAnsi="Times New Roman" w:cs="Times New Roman"/>
          <w:sz w:val="24"/>
          <w:szCs w:val="24"/>
        </w:rPr>
        <w:t xml:space="preserve">757 dospělých obecné populace a </w:t>
      </w:r>
      <w:r w:rsidR="00E57B41" w:rsidRPr="000D096C">
        <w:rPr>
          <w:rFonts w:ascii="Times New Roman" w:hAnsi="Times New Roman" w:cs="Times New Roman"/>
          <w:sz w:val="24"/>
          <w:szCs w:val="24"/>
        </w:rPr>
        <w:t>zjistili nejnižší prevalenci tohoto stavu</w:t>
      </w:r>
      <w:r w:rsidRPr="000D096C">
        <w:rPr>
          <w:rFonts w:ascii="Times New Roman" w:hAnsi="Times New Roman" w:cs="Times New Roman"/>
          <w:sz w:val="24"/>
          <w:szCs w:val="24"/>
        </w:rPr>
        <w:t xml:space="preserve"> (4,2 %) při využit</w:t>
      </w:r>
      <w:r w:rsidR="00E57B41" w:rsidRPr="000D096C">
        <w:rPr>
          <w:rFonts w:ascii="Times New Roman" w:hAnsi="Times New Roman" w:cs="Times New Roman"/>
          <w:sz w:val="24"/>
          <w:szCs w:val="24"/>
        </w:rPr>
        <w:t>í kritérií zahrnujících HOMA-IR</w:t>
      </w:r>
      <w:r w:rsidRPr="000D096C">
        <w:rPr>
          <w:rFonts w:ascii="Times New Roman" w:hAnsi="Times New Roman" w:cs="Times New Roman"/>
          <w:sz w:val="24"/>
          <w:szCs w:val="24"/>
        </w:rPr>
        <w:t xml:space="preserve"> (≤ 1,95)</w:t>
      </w:r>
      <w:r w:rsidR="006A4B4C" w:rsidRPr="000D096C">
        <w:rPr>
          <w:rFonts w:ascii="Times New Roman" w:hAnsi="Times New Roman" w:cs="Times New Roman"/>
          <w:sz w:val="24"/>
          <w:szCs w:val="24"/>
        </w:rPr>
        <w:t xml:space="preserve"> [19]</w:t>
      </w:r>
      <w:r w:rsidRPr="000D096C">
        <w:rPr>
          <w:rFonts w:ascii="Times New Roman" w:hAnsi="Times New Roman" w:cs="Times New Roman"/>
          <w:sz w:val="24"/>
          <w:szCs w:val="24"/>
        </w:rPr>
        <w:t>. Rovněž</w:t>
      </w:r>
      <w:r w:rsidR="00682CFA" w:rsidRPr="000D096C">
        <w:rPr>
          <w:rFonts w:ascii="Times New Roman" w:hAnsi="Times New Roman" w:cs="Times New Roman"/>
          <w:sz w:val="24"/>
          <w:szCs w:val="24"/>
        </w:rPr>
        <w:t xml:space="preserve"> u adolescentů se prevalence metabolicky zdravé obezity snižuje, je-li IR součástí diagnostických</w:t>
      </w:r>
      <w:r w:rsidRPr="000D096C">
        <w:rPr>
          <w:rFonts w:ascii="Times New Roman" w:hAnsi="Times New Roman" w:cs="Times New Roman"/>
          <w:sz w:val="24"/>
          <w:szCs w:val="24"/>
        </w:rPr>
        <w:t xml:space="preserve"> kritérií</w:t>
      </w:r>
      <w:r w:rsidR="00797B01">
        <w:rPr>
          <w:rFonts w:ascii="Times New Roman" w:hAnsi="Times New Roman" w:cs="Times New Roman"/>
          <w:sz w:val="24"/>
          <w:szCs w:val="24"/>
        </w:rPr>
        <w:t xml:space="preserve"> [13</w:t>
      </w:r>
      <w:r w:rsidR="005B3559">
        <w:rPr>
          <w:rFonts w:ascii="Times New Roman" w:hAnsi="Times New Roman" w:cs="Times New Roman"/>
          <w:sz w:val="24"/>
          <w:szCs w:val="24"/>
        </w:rPr>
        <w:t>2</w:t>
      </w:r>
      <w:r w:rsidR="0073116E" w:rsidRPr="000D096C">
        <w:rPr>
          <w:rFonts w:ascii="Times New Roman" w:hAnsi="Times New Roman" w:cs="Times New Roman"/>
          <w:sz w:val="24"/>
          <w:szCs w:val="24"/>
        </w:rPr>
        <w:t>]</w:t>
      </w:r>
      <w:r w:rsidRPr="000D096C">
        <w:rPr>
          <w:rFonts w:ascii="Times New Roman" w:hAnsi="Times New Roman" w:cs="Times New Roman"/>
          <w:sz w:val="24"/>
          <w:szCs w:val="24"/>
        </w:rPr>
        <w:t>.</w:t>
      </w:r>
      <w:r w:rsidR="003E4607" w:rsidRPr="000D096C">
        <w:rPr>
          <w:rFonts w:ascii="Times New Roman" w:hAnsi="Times New Roman" w:cs="Times New Roman"/>
          <w:sz w:val="24"/>
          <w:szCs w:val="24"/>
        </w:rPr>
        <w:t xml:space="preserve"> Celkově je IR důležitou součástí fenotypu obezity a</w:t>
      </w:r>
      <w:r w:rsidR="00BB3FFF">
        <w:rPr>
          <w:rFonts w:ascii="Times New Roman" w:hAnsi="Times New Roman" w:cs="Times New Roman"/>
          <w:sz w:val="24"/>
          <w:szCs w:val="24"/>
        </w:rPr>
        <w:t> </w:t>
      </w:r>
      <w:r w:rsidR="003E4607" w:rsidRPr="000D096C">
        <w:rPr>
          <w:rFonts w:ascii="Times New Roman" w:hAnsi="Times New Roman" w:cs="Times New Roman"/>
          <w:sz w:val="24"/>
          <w:szCs w:val="24"/>
        </w:rPr>
        <w:t>hraje roli v jejích komplikacích. VAI pro svoji vazbu k IR může být užitečnou pomůckou ke zhodnocení fenotypu obezity.</w:t>
      </w:r>
    </w:p>
    <w:p w:rsidR="003E4607" w:rsidRPr="000D096C" w:rsidRDefault="00FB19DE" w:rsidP="004567D5">
      <w:pPr>
        <w:spacing w:line="360" w:lineRule="auto"/>
        <w:jc w:val="both"/>
        <w:rPr>
          <w:rFonts w:ascii="Times New Roman" w:hAnsi="Times New Roman" w:cs="Times New Roman"/>
          <w:sz w:val="24"/>
          <w:szCs w:val="24"/>
        </w:rPr>
      </w:pPr>
      <w:r w:rsidRPr="000D096C">
        <w:rPr>
          <w:rFonts w:ascii="Times New Roman" w:hAnsi="Times New Roman" w:cs="Times New Roman"/>
          <w:sz w:val="24"/>
          <w:szCs w:val="24"/>
        </w:rPr>
        <w:tab/>
        <w:t xml:space="preserve">Tato práce má své limitace obdobné těm </w:t>
      </w:r>
      <w:r w:rsidR="000C67BC" w:rsidRPr="000D096C">
        <w:rPr>
          <w:rFonts w:ascii="Times New Roman" w:hAnsi="Times New Roman" w:cs="Times New Roman"/>
          <w:sz w:val="24"/>
          <w:szCs w:val="24"/>
        </w:rPr>
        <w:t xml:space="preserve">uvedeným v </w:t>
      </w:r>
      <w:r w:rsidR="00F54861">
        <w:rPr>
          <w:rFonts w:ascii="Times New Roman" w:hAnsi="Times New Roman" w:cs="Times New Roman"/>
          <w:sz w:val="24"/>
          <w:szCs w:val="24"/>
        </w:rPr>
        <w:t>a</w:t>
      </w:r>
      <w:r w:rsidR="000C67BC" w:rsidRPr="000D096C">
        <w:rPr>
          <w:rFonts w:ascii="Times New Roman" w:hAnsi="Times New Roman" w:cs="Times New Roman"/>
          <w:sz w:val="24"/>
          <w:szCs w:val="24"/>
        </w:rPr>
        <w:t>nalytické</w:t>
      </w:r>
      <w:r w:rsidR="00C41886" w:rsidRPr="000D096C">
        <w:rPr>
          <w:rFonts w:ascii="Times New Roman" w:hAnsi="Times New Roman" w:cs="Times New Roman"/>
          <w:sz w:val="24"/>
          <w:szCs w:val="24"/>
        </w:rPr>
        <w:t xml:space="preserve"> části A.</w:t>
      </w:r>
      <w:r w:rsidR="00D27298" w:rsidRPr="000D096C">
        <w:rPr>
          <w:rFonts w:ascii="Times New Roman" w:hAnsi="Times New Roman" w:cs="Times New Roman"/>
          <w:sz w:val="24"/>
          <w:szCs w:val="24"/>
        </w:rPr>
        <w:t xml:space="preserve"> Dosažené výsledky mohly být ovlivněny hypolipidemickou terapií zkoumaných jedinců, </w:t>
      </w:r>
      <w:r w:rsidR="005409CD" w:rsidRPr="000D096C">
        <w:rPr>
          <w:rFonts w:ascii="Times New Roman" w:hAnsi="Times New Roman" w:cs="Times New Roman"/>
          <w:sz w:val="24"/>
          <w:szCs w:val="24"/>
        </w:rPr>
        <w:t>zejména protože</w:t>
      </w:r>
      <w:r w:rsidR="00EA0A4A">
        <w:rPr>
          <w:rFonts w:ascii="Times New Roman" w:hAnsi="Times New Roman" w:cs="Times New Roman"/>
          <w:sz w:val="24"/>
          <w:szCs w:val="24"/>
        </w:rPr>
        <w:t xml:space="preserve"> TAG a HDL</w:t>
      </w:r>
      <w:r w:rsidR="00D27298" w:rsidRPr="000D096C">
        <w:rPr>
          <w:rFonts w:ascii="Times New Roman" w:hAnsi="Times New Roman" w:cs="Times New Roman"/>
          <w:sz w:val="24"/>
          <w:szCs w:val="24"/>
        </w:rPr>
        <w:t xml:space="preserve"> jsou součástí výpočtu VAI. Konkrétně</w:t>
      </w:r>
      <w:r w:rsidR="00AA0F35" w:rsidRPr="000D096C">
        <w:rPr>
          <w:rFonts w:ascii="Times New Roman" w:hAnsi="Times New Roman" w:cs="Times New Roman"/>
          <w:sz w:val="24"/>
          <w:szCs w:val="24"/>
        </w:rPr>
        <w:t xml:space="preserve"> byla</w:t>
      </w:r>
      <w:r w:rsidR="00D27298" w:rsidRPr="000D096C">
        <w:rPr>
          <w:rFonts w:ascii="Times New Roman" w:hAnsi="Times New Roman" w:cs="Times New Roman"/>
          <w:sz w:val="24"/>
          <w:szCs w:val="24"/>
        </w:rPr>
        <w:t xml:space="preserve"> hypolipidemick</w:t>
      </w:r>
      <w:r w:rsidR="005409CD" w:rsidRPr="000D096C">
        <w:rPr>
          <w:rFonts w:ascii="Times New Roman" w:hAnsi="Times New Roman" w:cs="Times New Roman"/>
          <w:sz w:val="24"/>
          <w:szCs w:val="24"/>
        </w:rPr>
        <w:t>á</w:t>
      </w:r>
      <w:r w:rsidR="00D27298" w:rsidRPr="000D096C">
        <w:rPr>
          <w:rFonts w:ascii="Times New Roman" w:hAnsi="Times New Roman" w:cs="Times New Roman"/>
          <w:sz w:val="24"/>
          <w:szCs w:val="24"/>
        </w:rPr>
        <w:t xml:space="preserve"> farmakoterapie </w:t>
      </w:r>
      <w:r w:rsidR="00AA0F35" w:rsidRPr="000D096C">
        <w:rPr>
          <w:rFonts w:ascii="Times New Roman" w:hAnsi="Times New Roman" w:cs="Times New Roman"/>
          <w:sz w:val="24"/>
          <w:szCs w:val="24"/>
        </w:rPr>
        <w:t>v čase odběrů přítomná</w:t>
      </w:r>
      <w:r w:rsidR="00D27298" w:rsidRPr="000D096C">
        <w:rPr>
          <w:rFonts w:ascii="Times New Roman" w:hAnsi="Times New Roman" w:cs="Times New Roman"/>
          <w:sz w:val="24"/>
          <w:szCs w:val="24"/>
        </w:rPr>
        <w:t xml:space="preserve"> u </w:t>
      </w:r>
      <w:r w:rsidR="00B36AFA" w:rsidRPr="000D096C">
        <w:rPr>
          <w:rFonts w:ascii="Times New Roman" w:hAnsi="Times New Roman" w:cs="Times New Roman"/>
          <w:sz w:val="24"/>
          <w:szCs w:val="24"/>
        </w:rPr>
        <w:t>14 % jedinců Skupiny A, 16 % jedinců Skupiny B a</w:t>
      </w:r>
      <w:r w:rsidR="00BB3FFF">
        <w:rPr>
          <w:rFonts w:ascii="Times New Roman" w:hAnsi="Times New Roman" w:cs="Times New Roman"/>
          <w:sz w:val="24"/>
          <w:szCs w:val="24"/>
        </w:rPr>
        <w:t> </w:t>
      </w:r>
      <w:r w:rsidR="00B36AFA" w:rsidRPr="000D096C">
        <w:rPr>
          <w:rFonts w:ascii="Times New Roman" w:hAnsi="Times New Roman" w:cs="Times New Roman"/>
          <w:sz w:val="24"/>
          <w:szCs w:val="24"/>
        </w:rPr>
        <w:t xml:space="preserve">22 % </w:t>
      </w:r>
      <w:r w:rsidR="00AA0F35" w:rsidRPr="000D096C">
        <w:rPr>
          <w:rFonts w:ascii="Times New Roman" w:hAnsi="Times New Roman" w:cs="Times New Roman"/>
          <w:sz w:val="24"/>
          <w:szCs w:val="24"/>
        </w:rPr>
        <w:t>jedinců</w:t>
      </w:r>
      <w:r w:rsidR="00B36AFA" w:rsidRPr="000D096C">
        <w:rPr>
          <w:rFonts w:ascii="Times New Roman" w:hAnsi="Times New Roman" w:cs="Times New Roman"/>
          <w:sz w:val="24"/>
          <w:szCs w:val="24"/>
        </w:rPr>
        <w:t xml:space="preserve"> Skupiny C.</w:t>
      </w:r>
      <w:r w:rsidR="00CD3E7E" w:rsidRPr="00CD3E7E">
        <w:rPr>
          <w:rFonts w:ascii="Times New Roman" w:hAnsi="Times New Roman" w:cs="Times New Roman"/>
          <w:sz w:val="24"/>
          <w:szCs w:val="24"/>
        </w:rPr>
        <w:t xml:space="preserve"> </w:t>
      </w:r>
      <w:r w:rsidR="00CD3E7E" w:rsidRPr="000D096C">
        <w:rPr>
          <w:rFonts w:ascii="Times New Roman" w:hAnsi="Times New Roman" w:cs="Times New Roman"/>
          <w:sz w:val="24"/>
          <w:szCs w:val="24"/>
        </w:rPr>
        <w:t xml:space="preserve">Limitací celé analytické </w:t>
      </w:r>
      <w:r w:rsidR="00CD3E7E" w:rsidRPr="00F0514A">
        <w:rPr>
          <w:rFonts w:ascii="Times New Roman" w:hAnsi="Times New Roman" w:cs="Times New Roman"/>
          <w:sz w:val="24"/>
          <w:szCs w:val="24"/>
        </w:rPr>
        <w:t>části je skutečnost, že v části A a B byla využita, byť jen mírně se lišící, tak přesto odlišná definice MetS, což omezuje možnosti srovnání výsledků obou částí.</w:t>
      </w:r>
      <w:r w:rsidR="00B02463" w:rsidRPr="00F0514A">
        <w:rPr>
          <w:rFonts w:ascii="Times New Roman" w:hAnsi="Times New Roman" w:cs="Times New Roman"/>
          <w:sz w:val="24"/>
          <w:szCs w:val="24"/>
        </w:rPr>
        <w:t xml:space="preserve"> Důvodem bylo postupné rozšiřování</w:t>
      </w:r>
      <w:r w:rsidR="00CD3E7E" w:rsidRPr="00F0514A">
        <w:rPr>
          <w:rFonts w:ascii="Times New Roman" w:hAnsi="Times New Roman" w:cs="Times New Roman"/>
          <w:sz w:val="24"/>
          <w:szCs w:val="24"/>
        </w:rPr>
        <w:t xml:space="preserve"> práce, kdy nejprve bylo započato sestavování souboru pacientů splňujících IDF kritéria </w:t>
      </w:r>
      <w:r w:rsidR="00B02463" w:rsidRPr="00F0514A">
        <w:rPr>
          <w:rFonts w:ascii="Times New Roman" w:hAnsi="Times New Roman" w:cs="Times New Roman"/>
          <w:sz w:val="24"/>
          <w:szCs w:val="24"/>
        </w:rPr>
        <w:t xml:space="preserve">MetS </w:t>
      </w:r>
      <w:r w:rsidR="00CD3E7E" w:rsidRPr="00F0514A">
        <w:rPr>
          <w:rFonts w:ascii="Times New Roman" w:hAnsi="Times New Roman" w:cs="Times New Roman"/>
          <w:sz w:val="24"/>
          <w:szCs w:val="24"/>
        </w:rPr>
        <w:t>z roku 2005 v ordinacích praktických lékařů</w:t>
      </w:r>
      <w:r w:rsidR="00B02463" w:rsidRPr="00F0514A">
        <w:rPr>
          <w:rFonts w:ascii="Times New Roman" w:hAnsi="Times New Roman" w:cs="Times New Roman"/>
          <w:sz w:val="24"/>
          <w:szCs w:val="24"/>
        </w:rPr>
        <w:t xml:space="preserve">. Až v průběhu sestavování tohoto souboru byla </w:t>
      </w:r>
      <w:r w:rsidR="00B02463" w:rsidRPr="00F0514A">
        <w:rPr>
          <w:rFonts w:ascii="Times New Roman" w:hAnsi="Times New Roman" w:cs="Times New Roman"/>
          <w:sz w:val="24"/>
          <w:szCs w:val="24"/>
        </w:rPr>
        <w:lastRenderedPageBreak/>
        <w:t>v rámci analytické části A zvolena metoda mačování s jedinci bez MetS za využití databáze pacientů uvedené metabolické poradny. Pro realizaci analytické části B, včetně stanovení hraničních bodů VAI pro různý počet přítomných komponent MetS, pak byla zvolena harmonizovaná definice MetS dle IDF z roku 2009.</w:t>
      </w:r>
    </w:p>
    <w:p w:rsidR="000C67BC" w:rsidRPr="000D096C" w:rsidRDefault="00FA7D45" w:rsidP="004567D5">
      <w:pPr>
        <w:pStyle w:val="Nadpis3"/>
        <w:spacing w:line="360" w:lineRule="auto"/>
        <w:rPr>
          <w:rFonts w:cs="Times New Roman"/>
        </w:rPr>
      </w:pPr>
      <w:bookmarkStart w:id="126" w:name="_Toc33432693"/>
      <w:bookmarkStart w:id="127" w:name="_Toc33432913"/>
      <w:bookmarkStart w:id="128" w:name="_Toc33869552"/>
      <w:r w:rsidRPr="000D096C">
        <w:rPr>
          <w:rFonts w:cs="Times New Roman"/>
        </w:rPr>
        <w:t>Shrnutí výsledků</w:t>
      </w:r>
      <w:bookmarkEnd w:id="126"/>
      <w:bookmarkEnd w:id="127"/>
      <w:bookmarkEnd w:id="128"/>
    </w:p>
    <w:p w:rsidR="00C30BAB" w:rsidRPr="000D096C" w:rsidRDefault="00FA7D45" w:rsidP="004567D5">
      <w:pPr>
        <w:spacing w:line="360" w:lineRule="auto"/>
        <w:jc w:val="both"/>
        <w:rPr>
          <w:rFonts w:ascii="Times New Roman" w:hAnsi="Times New Roman" w:cs="Times New Roman"/>
          <w:sz w:val="24"/>
          <w:szCs w:val="24"/>
        </w:rPr>
      </w:pPr>
      <w:r w:rsidRPr="000D096C">
        <w:rPr>
          <w:rFonts w:ascii="Times New Roman" w:hAnsi="Times New Roman" w:cs="Times New Roman"/>
        </w:rPr>
        <w:tab/>
      </w:r>
      <w:r w:rsidRPr="000D096C">
        <w:rPr>
          <w:rFonts w:ascii="Times New Roman" w:hAnsi="Times New Roman" w:cs="Times New Roman"/>
          <w:sz w:val="24"/>
          <w:szCs w:val="24"/>
        </w:rPr>
        <w:t>Vzhledem k nenáročnosti stanovení OP a BMI i d</w:t>
      </w:r>
      <w:r w:rsidR="00EA0A4A">
        <w:rPr>
          <w:rFonts w:ascii="Times New Roman" w:hAnsi="Times New Roman" w:cs="Times New Roman"/>
          <w:sz w:val="24"/>
          <w:szCs w:val="24"/>
        </w:rPr>
        <w:t>osažitelnosti hodnot TAG a HDL</w:t>
      </w:r>
      <w:r w:rsidRPr="000D096C">
        <w:rPr>
          <w:rFonts w:ascii="Times New Roman" w:hAnsi="Times New Roman" w:cs="Times New Roman"/>
          <w:sz w:val="24"/>
          <w:szCs w:val="24"/>
        </w:rPr>
        <w:t xml:space="preserve"> je možné považovat VAI za jednoduchý nástroj ke zhodnocení dysfunkce tukové tkáně a</w:t>
      </w:r>
      <w:r w:rsidR="00A77665">
        <w:rPr>
          <w:rFonts w:ascii="Times New Roman" w:hAnsi="Times New Roman" w:cs="Times New Roman"/>
          <w:sz w:val="24"/>
          <w:szCs w:val="24"/>
        </w:rPr>
        <w:t> </w:t>
      </w:r>
      <w:r w:rsidRPr="000D096C">
        <w:rPr>
          <w:rFonts w:ascii="Times New Roman" w:hAnsi="Times New Roman" w:cs="Times New Roman"/>
          <w:sz w:val="24"/>
          <w:szCs w:val="24"/>
        </w:rPr>
        <w:t>s ní spojeného kardiometabolick</w:t>
      </w:r>
      <w:r w:rsidR="008F348F" w:rsidRPr="000D096C">
        <w:rPr>
          <w:rFonts w:ascii="Times New Roman" w:hAnsi="Times New Roman" w:cs="Times New Roman"/>
          <w:sz w:val="24"/>
          <w:szCs w:val="24"/>
        </w:rPr>
        <w:t>ého rizika u širokého spektra pacientů, zejména těch bez zjevného MetS.</w:t>
      </w:r>
      <w:r w:rsidR="00907A7A" w:rsidRPr="000D096C">
        <w:rPr>
          <w:rFonts w:ascii="Times New Roman" w:hAnsi="Times New Roman" w:cs="Times New Roman"/>
          <w:sz w:val="24"/>
          <w:szCs w:val="24"/>
        </w:rPr>
        <w:t xml:space="preserve"> </w:t>
      </w:r>
      <w:r w:rsidR="006341A4" w:rsidRPr="000D096C">
        <w:rPr>
          <w:rFonts w:ascii="Times New Roman" w:hAnsi="Times New Roman" w:cs="Times New Roman"/>
          <w:sz w:val="24"/>
          <w:szCs w:val="24"/>
        </w:rPr>
        <w:t xml:space="preserve">Navíc </w:t>
      </w:r>
      <w:r w:rsidR="009A000C" w:rsidRPr="000D096C">
        <w:rPr>
          <w:rFonts w:ascii="Times New Roman" w:hAnsi="Times New Roman" w:cs="Times New Roman"/>
          <w:sz w:val="24"/>
          <w:szCs w:val="24"/>
        </w:rPr>
        <w:t xml:space="preserve">VAI může být </w:t>
      </w:r>
      <w:r w:rsidR="00CD3E7E">
        <w:rPr>
          <w:rFonts w:ascii="Times New Roman" w:hAnsi="Times New Roman" w:cs="Times New Roman"/>
          <w:sz w:val="24"/>
          <w:szCs w:val="24"/>
        </w:rPr>
        <w:t>vy</w:t>
      </w:r>
      <w:r w:rsidR="009A000C" w:rsidRPr="000D096C">
        <w:rPr>
          <w:rFonts w:ascii="Times New Roman" w:hAnsi="Times New Roman" w:cs="Times New Roman"/>
          <w:sz w:val="24"/>
          <w:szCs w:val="24"/>
        </w:rPr>
        <w:t>počítán automaticky s užitím medicínských softwarů. Vysoká senzitivita a specificita získaných výsledků hraničních bodů VAI oteví</w:t>
      </w:r>
      <w:r w:rsidR="006341A4" w:rsidRPr="000D096C">
        <w:rPr>
          <w:rFonts w:ascii="Times New Roman" w:hAnsi="Times New Roman" w:cs="Times New Roman"/>
          <w:sz w:val="24"/>
          <w:szCs w:val="24"/>
        </w:rPr>
        <w:t xml:space="preserve">rá cestu k rozšířenému </w:t>
      </w:r>
      <w:r w:rsidR="00290C4F" w:rsidRPr="000D096C">
        <w:rPr>
          <w:rFonts w:ascii="Times New Roman" w:hAnsi="Times New Roman" w:cs="Times New Roman"/>
          <w:sz w:val="24"/>
          <w:szCs w:val="24"/>
        </w:rPr>
        <w:t>uplatnění</w:t>
      </w:r>
      <w:r w:rsidR="009A000C" w:rsidRPr="000D096C">
        <w:rPr>
          <w:rFonts w:ascii="Times New Roman" w:hAnsi="Times New Roman" w:cs="Times New Roman"/>
          <w:sz w:val="24"/>
          <w:szCs w:val="24"/>
        </w:rPr>
        <w:t xml:space="preserve"> VAI v běžné klinické praxi pro identifikaci jedinců s vysokým kardiometabolickým rizikem vhodných k</w:t>
      </w:r>
      <w:r w:rsidR="00201B6A" w:rsidRPr="000D096C">
        <w:rPr>
          <w:rFonts w:ascii="Times New Roman" w:hAnsi="Times New Roman" w:cs="Times New Roman"/>
          <w:sz w:val="24"/>
          <w:szCs w:val="24"/>
        </w:rPr>
        <w:t> </w:t>
      </w:r>
      <w:r w:rsidR="009A000C" w:rsidRPr="000D096C">
        <w:rPr>
          <w:rFonts w:ascii="Times New Roman" w:hAnsi="Times New Roman" w:cs="Times New Roman"/>
          <w:sz w:val="24"/>
          <w:szCs w:val="24"/>
        </w:rPr>
        <w:t>cílené</w:t>
      </w:r>
      <w:r w:rsidR="00201B6A" w:rsidRPr="000D096C">
        <w:rPr>
          <w:rFonts w:ascii="Times New Roman" w:hAnsi="Times New Roman" w:cs="Times New Roman"/>
          <w:sz w:val="24"/>
          <w:szCs w:val="24"/>
        </w:rPr>
        <w:t xml:space="preserve"> </w:t>
      </w:r>
      <w:r w:rsidR="005E7222" w:rsidRPr="000D096C">
        <w:rPr>
          <w:rFonts w:ascii="Times New Roman" w:hAnsi="Times New Roman" w:cs="Times New Roman"/>
          <w:sz w:val="24"/>
          <w:szCs w:val="24"/>
        </w:rPr>
        <w:t>intervenci.</w:t>
      </w:r>
      <w:r w:rsidR="006341A4" w:rsidRPr="000D096C">
        <w:rPr>
          <w:rFonts w:ascii="Times New Roman" w:hAnsi="Times New Roman" w:cs="Times New Roman"/>
          <w:sz w:val="24"/>
          <w:szCs w:val="24"/>
        </w:rPr>
        <w:t xml:space="preserve"> I když korelační analýza potvrdila významnou vazbu VAI a HOMA-IR, logistickou regresí</w:t>
      </w:r>
      <w:r w:rsidR="00084680" w:rsidRPr="000D096C">
        <w:rPr>
          <w:rFonts w:ascii="Times New Roman" w:hAnsi="Times New Roman" w:cs="Times New Roman"/>
          <w:sz w:val="24"/>
          <w:szCs w:val="24"/>
        </w:rPr>
        <w:t xml:space="preserve"> </w:t>
      </w:r>
      <w:r w:rsidR="006341A4" w:rsidRPr="000D096C">
        <w:rPr>
          <w:rFonts w:ascii="Times New Roman" w:hAnsi="Times New Roman" w:cs="Times New Roman"/>
          <w:sz w:val="24"/>
          <w:szCs w:val="24"/>
        </w:rPr>
        <w:t>jejich asociace</w:t>
      </w:r>
      <w:r w:rsidR="00084680" w:rsidRPr="000D096C">
        <w:rPr>
          <w:rFonts w:ascii="Times New Roman" w:hAnsi="Times New Roman" w:cs="Times New Roman"/>
          <w:sz w:val="24"/>
          <w:szCs w:val="24"/>
        </w:rPr>
        <w:t xml:space="preserve"> prokázána nebyla</w:t>
      </w:r>
      <w:r w:rsidR="006341A4" w:rsidRPr="000D096C">
        <w:rPr>
          <w:rFonts w:ascii="Times New Roman" w:hAnsi="Times New Roman" w:cs="Times New Roman"/>
          <w:sz w:val="24"/>
          <w:szCs w:val="24"/>
        </w:rPr>
        <w:t>.</w:t>
      </w:r>
    </w:p>
    <w:p w:rsidR="00C30BAB" w:rsidRPr="000D096C" w:rsidRDefault="00C30BAB" w:rsidP="004567D5">
      <w:pPr>
        <w:spacing w:line="360" w:lineRule="auto"/>
        <w:rPr>
          <w:rFonts w:ascii="Times New Roman" w:hAnsi="Times New Roman" w:cs="Times New Roman"/>
        </w:rPr>
      </w:pPr>
      <w:r w:rsidRPr="000D096C">
        <w:rPr>
          <w:rFonts w:ascii="Times New Roman" w:hAnsi="Times New Roman" w:cs="Times New Roman"/>
        </w:rPr>
        <w:br w:type="page"/>
      </w:r>
    </w:p>
    <w:p w:rsidR="00E64B38" w:rsidRPr="000D096C" w:rsidRDefault="003044A8" w:rsidP="004567D5">
      <w:pPr>
        <w:pStyle w:val="Nadpis1"/>
      </w:pPr>
      <w:r w:rsidRPr="000D096C">
        <w:lastRenderedPageBreak/>
        <w:t xml:space="preserve"> </w:t>
      </w:r>
      <w:bookmarkStart w:id="129" w:name="_Toc33869553"/>
      <w:r w:rsidR="00321504">
        <w:t>Závěr</w:t>
      </w:r>
      <w:bookmarkEnd w:id="129"/>
    </w:p>
    <w:p w:rsidR="00321504" w:rsidRDefault="00A739D2"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sz w:val="24"/>
          <w:szCs w:val="24"/>
        </w:rPr>
        <w:tab/>
      </w:r>
      <w:r w:rsidR="00321504">
        <w:rPr>
          <w:rFonts w:ascii="Times New Roman" w:hAnsi="Times New Roman" w:cs="Times New Roman"/>
          <w:sz w:val="24"/>
          <w:szCs w:val="24"/>
        </w:rPr>
        <w:t>Z analytické části vyplývá, že n</w:t>
      </w:r>
      <w:r w:rsidR="00321504" w:rsidRPr="000D096C">
        <w:rPr>
          <w:rFonts w:ascii="Times New Roman" w:hAnsi="Times New Roman" w:cs="Times New Roman"/>
          <w:sz w:val="24"/>
          <w:szCs w:val="24"/>
        </w:rPr>
        <w:t>ěkteré běžně stanovované antropometrické a</w:t>
      </w:r>
      <w:r w:rsidR="00BB3FFF">
        <w:rPr>
          <w:rFonts w:ascii="Times New Roman" w:hAnsi="Times New Roman" w:cs="Times New Roman"/>
          <w:sz w:val="24"/>
          <w:szCs w:val="24"/>
        </w:rPr>
        <w:t> </w:t>
      </w:r>
      <w:r w:rsidR="00321504" w:rsidRPr="000D096C">
        <w:rPr>
          <w:rFonts w:ascii="Times New Roman" w:hAnsi="Times New Roman" w:cs="Times New Roman"/>
          <w:sz w:val="24"/>
          <w:szCs w:val="24"/>
        </w:rPr>
        <w:t>laboratorní parametry vykazují významné asociace k homeostatickým indexům. Cílené zhodnocení takových parametrů může sloužit k odhadu úrovně IR bez nutnosti analýzy hladiny inzulínu, jež pro svoji cenu stále zůstává pro plošné a frekventní užití v primární péči spíše nedostupná. V případě indexu HOMA-IR, reflektujícího pokles senzitivity periferních tkání k inzulínu, jde o 3 parametry: OP, ALT a systolický TK. Zejména prediktivní schopnost OP by pro absolutní nenáročnost jeho stanovení neměla být podceňována. Prediktivní schopnost VAI ve vztahu k indexu HOMA-IR prokázána nebyla. Avšak vysoké hodnoty senzitivity a specificity hraničních bodů VAI signalizujících jak MetS, tak určité hodnoty HOMA-IR naznačují potenciál VAI pro jeho využití při hodnocení dysfunkce tukové tkáně a</w:t>
      </w:r>
      <w:r w:rsidR="00BB3FFF">
        <w:rPr>
          <w:rFonts w:ascii="Times New Roman" w:hAnsi="Times New Roman" w:cs="Times New Roman"/>
          <w:sz w:val="24"/>
          <w:szCs w:val="24"/>
        </w:rPr>
        <w:t> </w:t>
      </w:r>
      <w:r w:rsidR="00321504" w:rsidRPr="000D096C">
        <w:rPr>
          <w:rFonts w:ascii="Times New Roman" w:hAnsi="Times New Roman" w:cs="Times New Roman"/>
          <w:sz w:val="24"/>
          <w:szCs w:val="24"/>
        </w:rPr>
        <w:t>s ní spojeného kardiometabolického rizika. Většina sledovaných rizikových faktorů vykazovala silnější korelace s hodnotami inzulinémie než glykémie. Po dalším ověření se mohou tato zjištění stát užitečným preventivním nástrojem, zvláště v primární zdravotní péči. Výsledky jsou platné pro evr</w:t>
      </w:r>
      <w:r w:rsidR="00CD3E7E">
        <w:rPr>
          <w:rFonts w:ascii="Times New Roman" w:hAnsi="Times New Roman" w:cs="Times New Roman"/>
          <w:sz w:val="24"/>
          <w:szCs w:val="24"/>
        </w:rPr>
        <w:t>opskou populaci středního věku.</w:t>
      </w:r>
    </w:p>
    <w:p w:rsidR="00C30BAB" w:rsidRPr="000D096C" w:rsidRDefault="00321504" w:rsidP="004567D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Problematika chronických neinfekčních onemocnění je vzhledem k nynější epidemiologické situaci, kdy tato onemocnění postihují vysoké procento populace, velmi aktuální. Proto je zásadní věnovat se jí nejen na úrovni praktické realizace zejména preventivních opatření, ale též na úrovni výzkumu. Naprosto zásadní roli </w:t>
      </w:r>
      <w:r w:rsidR="004E138D">
        <w:rPr>
          <w:rFonts w:ascii="Times New Roman" w:hAnsi="Times New Roman" w:cs="Times New Roman"/>
          <w:sz w:val="24"/>
          <w:szCs w:val="24"/>
        </w:rPr>
        <w:t>v této problematice</w:t>
      </w:r>
      <w:r>
        <w:rPr>
          <w:rFonts w:ascii="Times New Roman" w:hAnsi="Times New Roman" w:cs="Times New Roman"/>
          <w:sz w:val="24"/>
          <w:szCs w:val="24"/>
        </w:rPr>
        <w:t xml:space="preserve"> hraj</w:t>
      </w:r>
      <w:r w:rsidR="00CD3E7E">
        <w:rPr>
          <w:rFonts w:ascii="Times New Roman" w:hAnsi="Times New Roman" w:cs="Times New Roman"/>
          <w:sz w:val="24"/>
          <w:szCs w:val="24"/>
        </w:rPr>
        <w:t>e životní styl, jenž je v rukou</w:t>
      </w:r>
      <w:r>
        <w:rPr>
          <w:rFonts w:ascii="Times New Roman" w:hAnsi="Times New Roman" w:cs="Times New Roman"/>
          <w:sz w:val="24"/>
          <w:szCs w:val="24"/>
        </w:rPr>
        <w:t xml:space="preserve"> každého z nás.</w:t>
      </w:r>
    </w:p>
    <w:p w:rsidR="00C30BAB" w:rsidRPr="000D096C" w:rsidRDefault="00C30BAB" w:rsidP="004567D5">
      <w:pPr>
        <w:spacing w:line="360" w:lineRule="auto"/>
        <w:rPr>
          <w:rFonts w:ascii="Times New Roman" w:hAnsi="Times New Roman" w:cs="Times New Roman"/>
        </w:rPr>
      </w:pPr>
      <w:r w:rsidRPr="000D096C">
        <w:rPr>
          <w:rFonts w:ascii="Times New Roman" w:hAnsi="Times New Roman" w:cs="Times New Roman"/>
        </w:rPr>
        <w:br w:type="page"/>
      </w:r>
    </w:p>
    <w:p w:rsidR="003044A8" w:rsidRPr="000D096C" w:rsidRDefault="00321504" w:rsidP="004567D5">
      <w:pPr>
        <w:pStyle w:val="Nadpis1"/>
      </w:pPr>
      <w:bookmarkStart w:id="130" w:name="_Toc33869554"/>
      <w:r>
        <w:lastRenderedPageBreak/>
        <w:t>Conclusion</w:t>
      </w:r>
      <w:bookmarkEnd w:id="130"/>
    </w:p>
    <w:p w:rsidR="00321504" w:rsidRDefault="00321504" w:rsidP="004567D5">
      <w:pPr>
        <w:spacing w:after="0" w:line="360" w:lineRule="auto"/>
        <w:ind w:firstLine="431"/>
        <w:jc w:val="both"/>
        <w:rPr>
          <w:rFonts w:ascii="Times New Roman" w:hAnsi="Times New Roman" w:cs="Times New Roman"/>
          <w:sz w:val="24"/>
          <w:szCs w:val="24"/>
          <w:lang w:val="en-US"/>
        </w:rPr>
      </w:pPr>
      <w:r w:rsidRPr="00862F06">
        <w:rPr>
          <w:rFonts w:ascii="Times New Roman" w:hAnsi="Times New Roman" w:cs="Times New Roman"/>
          <w:sz w:val="24"/>
          <w:szCs w:val="24"/>
          <w:lang w:val="en-US"/>
        </w:rPr>
        <w:t>The analytical part shows that some commonly determin</w:t>
      </w:r>
      <w:r>
        <w:rPr>
          <w:rFonts w:ascii="Times New Roman" w:hAnsi="Times New Roman" w:cs="Times New Roman"/>
          <w:sz w:val="24"/>
          <w:szCs w:val="24"/>
          <w:lang w:val="en-US"/>
        </w:rPr>
        <w:t>ed anthropometric and biochemical</w:t>
      </w:r>
      <w:r w:rsidRPr="00862F06">
        <w:rPr>
          <w:rFonts w:ascii="Times New Roman" w:hAnsi="Times New Roman" w:cs="Times New Roman"/>
          <w:sz w:val="24"/>
          <w:szCs w:val="24"/>
          <w:lang w:val="en-US"/>
        </w:rPr>
        <w:t xml:space="preserve"> parameters </w:t>
      </w:r>
      <w:r w:rsidR="00CC0EA0">
        <w:rPr>
          <w:rFonts w:ascii="Times New Roman" w:hAnsi="Times New Roman" w:cs="Times New Roman"/>
          <w:sz w:val="24"/>
          <w:szCs w:val="24"/>
          <w:lang w:val="en-US"/>
        </w:rPr>
        <w:t>show significant associations with</w:t>
      </w:r>
      <w:r w:rsidRPr="00862F06">
        <w:rPr>
          <w:rFonts w:ascii="Times New Roman" w:hAnsi="Times New Roman" w:cs="Times New Roman"/>
          <w:sz w:val="24"/>
          <w:szCs w:val="24"/>
          <w:lang w:val="en-US"/>
        </w:rPr>
        <w:t xml:space="preserve"> homeostatic indices. Targeted evaluation of such parameters can be used to estimate IR levels </w:t>
      </w:r>
      <w:r>
        <w:rPr>
          <w:rFonts w:ascii="Times New Roman" w:hAnsi="Times New Roman" w:cs="Times New Roman"/>
          <w:sz w:val="24"/>
          <w:szCs w:val="24"/>
          <w:lang w:val="en-US"/>
        </w:rPr>
        <w:t>without the need to analyze</w:t>
      </w:r>
      <w:r w:rsidRPr="00862F06">
        <w:rPr>
          <w:rFonts w:ascii="Times New Roman" w:hAnsi="Times New Roman" w:cs="Times New Roman"/>
          <w:sz w:val="24"/>
          <w:szCs w:val="24"/>
          <w:lang w:val="en-US"/>
        </w:rPr>
        <w:t xml:space="preserve"> insulin</w:t>
      </w:r>
      <w:r w:rsidR="00CC0EA0">
        <w:rPr>
          <w:rFonts w:ascii="Times New Roman" w:hAnsi="Times New Roman" w:cs="Times New Roman"/>
          <w:sz w:val="24"/>
          <w:szCs w:val="24"/>
          <w:lang w:val="en-US"/>
        </w:rPr>
        <w:t xml:space="preserve"> levels</w:t>
      </w:r>
      <w:r w:rsidRPr="00862F06">
        <w:rPr>
          <w:rFonts w:ascii="Times New Roman" w:hAnsi="Times New Roman" w:cs="Times New Roman"/>
          <w:sz w:val="24"/>
          <w:szCs w:val="24"/>
          <w:lang w:val="en-US"/>
        </w:rPr>
        <w:t xml:space="preserve">, which at its cost still remains </w:t>
      </w:r>
      <w:r>
        <w:rPr>
          <w:rFonts w:ascii="Times New Roman" w:hAnsi="Times New Roman" w:cs="Times New Roman"/>
          <w:sz w:val="24"/>
          <w:szCs w:val="24"/>
          <w:lang w:val="en-US"/>
        </w:rPr>
        <w:t xml:space="preserve">rather </w:t>
      </w:r>
      <w:r w:rsidRPr="00862F06">
        <w:rPr>
          <w:rFonts w:ascii="Times New Roman" w:hAnsi="Times New Roman" w:cs="Times New Roman"/>
          <w:sz w:val="24"/>
          <w:szCs w:val="24"/>
          <w:lang w:val="en-US"/>
        </w:rPr>
        <w:t>unavailable for general and fr</w:t>
      </w:r>
      <w:r>
        <w:rPr>
          <w:rFonts w:ascii="Times New Roman" w:hAnsi="Times New Roman" w:cs="Times New Roman"/>
          <w:sz w:val="24"/>
          <w:szCs w:val="24"/>
          <w:lang w:val="en-US"/>
        </w:rPr>
        <w:t>equent use in primary care. HOMA-IR,</w:t>
      </w:r>
      <w:r w:rsidRPr="00862F06">
        <w:rPr>
          <w:rFonts w:ascii="Times New Roman" w:hAnsi="Times New Roman" w:cs="Times New Roman"/>
          <w:sz w:val="24"/>
          <w:szCs w:val="24"/>
          <w:lang w:val="en-US"/>
        </w:rPr>
        <w:t xml:space="preserve"> reflecting the decrease in insulin sen</w:t>
      </w:r>
      <w:r>
        <w:rPr>
          <w:rFonts w:ascii="Times New Roman" w:hAnsi="Times New Roman" w:cs="Times New Roman"/>
          <w:sz w:val="24"/>
          <w:szCs w:val="24"/>
          <w:lang w:val="en-US"/>
        </w:rPr>
        <w:t xml:space="preserve">sitivity of peripheral tissues, </w:t>
      </w:r>
      <w:r w:rsidRPr="00862F06">
        <w:rPr>
          <w:rFonts w:ascii="Times New Roman" w:hAnsi="Times New Roman" w:cs="Times New Roman"/>
          <w:sz w:val="24"/>
          <w:szCs w:val="24"/>
          <w:lang w:val="en-US"/>
        </w:rPr>
        <w:t>is</w:t>
      </w:r>
      <w:r w:rsidR="00100AA2">
        <w:rPr>
          <w:rFonts w:ascii="Times New Roman" w:hAnsi="Times New Roman" w:cs="Times New Roman"/>
          <w:sz w:val="24"/>
          <w:szCs w:val="24"/>
          <w:lang w:val="en-US"/>
        </w:rPr>
        <w:t xml:space="preserve"> predicted</w:t>
      </w:r>
      <w:r>
        <w:rPr>
          <w:rFonts w:ascii="Times New Roman" w:hAnsi="Times New Roman" w:cs="Times New Roman"/>
          <w:sz w:val="24"/>
          <w:szCs w:val="24"/>
          <w:lang w:val="en-US"/>
        </w:rPr>
        <w:t xml:space="preserve"> by 3 p</w:t>
      </w:r>
      <w:r w:rsidR="00100AA2">
        <w:rPr>
          <w:rFonts w:ascii="Times New Roman" w:hAnsi="Times New Roman" w:cs="Times New Roman"/>
          <w:sz w:val="24"/>
          <w:szCs w:val="24"/>
          <w:lang w:val="en-US"/>
        </w:rPr>
        <w:t>arameters: WC</w:t>
      </w:r>
      <w:r w:rsidRPr="00862F06">
        <w:rPr>
          <w:rFonts w:ascii="Times New Roman" w:hAnsi="Times New Roman" w:cs="Times New Roman"/>
          <w:sz w:val="24"/>
          <w:szCs w:val="24"/>
          <w:lang w:val="en-US"/>
        </w:rPr>
        <w:t>, ALT and systolic BP. In particula</w:t>
      </w:r>
      <w:r>
        <w:rPr>
          <w:rFonts w:ascii="Times New Roman" w:hAnsi="Times New Roman" w:cs="Times New Roman"/>
          <w:sz w:val="24"/>
          <w:szCs w:val="24"/>
          <w:lang w:val="en-US"/>
        </w:rPr>
        <w:t>r, the predictive ability of WC</w:t>
      </w:r>
      <w:r w:rsidRPr="00862F06">
        <w:rPr>
          <w:rFonts w:ascii="Times New Roman" w:hAnsi="Times New Roman" w:cs="Times New Roman"/>
          <w:sz w:val="24"/>
          <w:szCs w:val="24"/>
          <w:lang w:val="en-US"/>
        </w:rPr>
        <w:t xml:space="preserve"> should not be underestimated due to the absolute undemanding nature of its determination. The predictive a</w:t>
      </w:r>
      <w:r>
        <w:rPr>
          <w:rFonts w:ascii="Times New Roman" w:hAnsi="Times New Roman" w:cs="Times New Roman"/>
          <w:sz w:val="24"/>
          <w:szCs w:val="24"/>
          <w:lang w:val="en-US"/>
        </w:rPr>
        <w:t>bility of VAI in relation to HOMA-IR has not been proved</w:t>
      </w:r>
      <w:r w:rsidRPr="00862F06">
        <w:rPr>
          <w:rFonts w:ascii="Times New Roman" w:hAnsi="Times New Roman" w:cs="Times New Roman"/>
          <w:sz w:val="24"/>
          <w:szCs w:val="24"/>
          <w:lang w:val="en-US"/>
        </w:rPr>
        <w:t>. However, high levels of sensitivity and specificity of VAI cu</w:t>
      </w:r>
      <w:r w:rsidR="00100AA2">
        <w:rPr>
          <w:rFonts w:ascii="Times New Roman" w:hAnsi="Times New Roman" w:cs="Times New Roman"/>
          <w:sz w:val="24"/>
          <w:szCs w:val="24"/>
          <w:lang w:val="en-US"/>
        </w:rPr>
        <w:t>t-off points signaling both metabolic syndrome</w:t>
      </w:r>
      <w:r w:rsidRPr="00862F06">
        <w:rPr>
          <w:rFonts w:ascii="Times New Roman" w:hAnsi="Times New Roman" w:cs="Times New Roman"/>
          <w:sz w:val="24"/>
          <w:szCs w:val="24"/>
          <w:lang w:val="en-US"/>
        </w:rPr>
        <w:t xml:space="preserve"> and certain HOMA-IR values ​​indicate the potential of VAI for its use in assessing adipose tissue dysfunction and the associated cardiometabolic risk. Most of t</w:t>
      </w:r>
      <w:r>
        <w:rPr>
          <w:rFonts w:ascii="Times New Roman" w:hAnsi="Times New Roman" w:cs="Times New Roman"/>
          <w:sz w:val="24"/>
          <w:szCs w:val="24"/>
          <w:lang w:val="en-US"/>
        </w:rPr>
        <w:t>he risk factors studied showed</w:t>
      </w:r>
      <w:r w:rsidRPr="00862F06">
        <w:rPr>
          <w:rFonts w:ascii="Times New Roman" w:hAnsi="Times New Roman" w:cs="Times New Roman"/>
          <w:sz w:val="24"/>
          <w:szCs w:val="24"/>
          <w:lang w:val="en-US"/>
        </w:rPr>
        <w:t xml:space="preserve"> stronger correlation</w:t>
      </w:r>
      <w:r>
        <w:rPr>
          <w:rFonts w:ascii="Times New Roman" w:hAnsi="Times New Roman" w:cs="Times New Roman"/>
          <w:sz w:val="24"/>
          <w:szCs w:val="24"/>
          <w:lang w:val="en-US"/>
        </w:rPr>
        <w:t>s</w:t>
      </w:r>
      <w:r w:rsidR="00100AA2">
        <w:rPr>
          <w:rFonts w:ascii="Times New Roman" w:hAnsi="Times New Roman" w:cs="Times New Roman"/>
          <w:sz w:val="24"/>
          <w:szCs w:val="24"/>
          <w:lang w:val="en-US"/>
        </w:rPr>
        <w:t xml:space="preserve"> with insulinae</w:t>
      </w:r>
      <w:r w:rsidRPr="00862F06">
        <w:rPr>
          <w:rFonts w:ascii="Times New Roman" w:hAnsi="Times New Roman" w:cs="Times New Roman"/>
          <w:sz w:val="24"/>
          <w:szCs w:val="24"/>
          <w:lang w:val="en-US"/>
        </w:rPr>
        <w:t>mia than glycaemia. Upon further verification, these finding</w:t>
      </w:r>
      <w:r w:rsidR="00100AA2">
        <w:rPr>
          <w:rFonts w:ascii="Times New Roman" w:hAnsi="Times New Roman" w:cs="Times New Roman"/>
          <w:sz w:val="24"/>
          <w:szCs w:val="24"/>
          <w:lang w:val="en-US"/>
        </w:rPr>
        <w:t>s can become a useful prevention</w:t>
      </w:r>
      <w:r w:rsidRPr="00862F06">
        <w:rPr>
          <w:rFonts w:ascii="Times New Roman" w:hAnsi="Times New Roman" w:cs="Times New Roman"/>
          <w:sz w:val="24"/>
          <w:szCs w:val="24"/>
          <w:lang w:val="en-US"/>
        </w:rPr>
        <w:t xml:space="preserve"> tool, especially in primary health care. The results ar</w:t>
      </w:r>
      <w:r>
        <w:rPr>
          <w:rFonts w:ascii="Times New Roman" w:hAnsi="Times New Roman" w:cs="Times New Roman"/>
          <w:sz w:val="24"/>
          <w:szCs w:val="24"/>
          <w:lang w:val="en-US"/>
        </w:rPr>
        <w:t>e valid for</w:t>
      </w:r>
      <w:r w:rsidRPr="00862F06">
        <w:rPr>
          <w:rFonts w:ascii="Times New Roman" w:hAnsi="Times New Roman" w:cs="Times New Roman"/>
          <w:sz w:val="24"/>
          <w:szCs w:val="24"/>
          <w:lang w:val="en-US"/>
        </w:rPr>
        <w:t xml:space="preserve"> </w:t>
      </w:r>
      <w:r w:rsidR="00CD3E7E">
        <w:rPr>
          <w:rFonts w:ascii="Times New Roman" w:hAnsi="Times New Roman" w:cs="Times New Roman"/>
          <w:sz w:val="24"/>
          <w:szCs w:val="24"/>
          <w:lang w:val="en-US"/>
        </w:rPr>
        <w:t>European middle age population.</w:t>
      </w:r>
    </w:p>
    <w:p w:rsidR="00C30BAB" w:rsidRPr="000D096C" w:rsidRDefault="00321504" w:rsidP="004567D5">
      <w:pPr>
        <w:spacing w:line="360" w:lineRule="auto"/>
        <w:ind w:firstLine="431"/>
        <w:jc w:val="both"/>
        <w:rPr>
          <w:rFonts w:ascii="Times New Roman" w:hAnsi="Times New Roman" w:cs="Times New Roman"/>
          <w:sz w:val="24"/>
          <w:szCs w:val="24"/>
          <w:lang w:val="en-US"/>
        </w:rPr>
      </w:pPr>
      <w:r w:rsidRPr="00862F06">
        <w:rPr>
          <w:rFonts w:ascii="Times New Roman" w:hAnsi="Times New Roman" w:cs="Times New Roman"/>
          <w:sz w:val="24"/>
          <w:szCs w:val="24"/>
          <w:lang w:val="en-US"/>
        </w:rPr>
        <w:t>The issue of chronic non-inf</w:t>
      </w:r>
      <w:r>
        <w:rPr>
          <w:rFonts w:ascii="Times New Roman" w:hAnsi="Times New Roman" w:cs="Times New Roman"/>
          <w:sz w:val="24"/>
          <w:szCs w:val="24"/>
          <w:lang w:val="en-US"/>
        </w:rPr>
        <w:t>ectious diseases is up-to-date</w:t>
      </w:r>
      <w:r w:rsidRPr="00862F06">
        <w:rPr>
          <w:rFonts w:ascii="Times New Roman" w:hAnsi="Times New Roman" w:cs="Times New Roman"/>
          <w:sz w:val="24"/>
          <w:szCs w:val="24"/>
          <w:lang w:val="en-US"/>
        </w:rPr>
        <w:t xml:space="preserve"> due to the current epide</w:t>
      </w:r>
      <w:r w:rsidR="00100AA2">
        <w:rPr>
          <w:rFonts w:ascii="Times New Roman" w:hAnsi="Times New Roman" w:cs="Times New Roman"/>
          <w:sz w:val="24"/>
          <w:szCs w:val="24"/>
          <w:lang w:val="en-US"/>
        </w:rPr>
        <w:t>miological situation, when the</w:t>
      </w:r>
      <w:r w:rsidRPr="00862F06">
        <w:rPr>
          <w:rFonts w:ascii="Times New Roman" w:hAnsi="Times New Roman" w:cs="Times New Roman"/>
          <w:sz w:val="24"/>
          <w:szCs w:val="24"/>
          <w:lang w:val="en-US"/>
        </w:rPr>
        <w:t xml:space="preserve"> diseases</w:t>
      </w:r>
      <w:r>
        <w:rPr>
          <w:rFonts w:ascii="Times New Roman" w:hAnsi="Times New Roman" w:cs="Times New Roman"/>
          <w:sz w:val="24"/>
          <w:szCs w:val="24"/>
          <w:lang w:val="en-US"/>
        </w:rPr>
        <w:t xml:space="preserve"> affect a high percentage of</w:t>
      </w:r>
      <w:r w:rsidRPr="00862F06">
        <w:rPr>
          <w:rFonts w:ascii="Times New Roman" w:hAnsi="Times New Roman" w:cs="Times New Roman"/>
          <w:sz w:val="24"/>
          <w:szCs w:val="24"/>
          <w:lang w:val="en-US"/>
        </w:rPr>
        <w:t xml:space="preserve"> population. It is therefore essential to focus not only on practical implementation of preventive measures, but also on</w:t>
      </w:r>
      <w:r w:rsidR="00100AA2">
        <w:rPr>
          <w:rFonts w:ascii="Times New Roman" w:hAnsi="Times New Roman" w:cs="Times New Roman"/>
          <w:sz w:val="24"/>
          <w:szCs w:val="24"/>
          <w:lang w:val="en-US"/>
        </w:rPr>
        <w:t xml:space="preserve"> the</w:t>
      </w:r>
      <w:r w:rsidRPr="00862F06">
        <w:rPr>
          <w:rFonts w:ascii="Times New Roman" w:hAnsi="Times New Roman" w:cs="Times New Roman"/>
          <w:sz w:val="24"/>
          <w:szCs w:val="24"/>
          <w:lang w:val="en-US"/>
        </w:rPr>
        <w:t xml:space="preserve"> research. T</w:t>
      </w:r>
      <w:r w:rsidR="00100AA2">
        <w:rPr>
          <w:rFonts w:ascii="Times New Roman" w:hAnsi="Times New Roman" w:cs="Times New Roman"/>
          <w:sz w:val="24"/>
          <w:szCs w:val="24"/>
          <w:lang w:val="en-US"/>
        </w:rPr>
        <w:t>he lifestyle that is in</w:t>
      </w:r>
      <w:r w:rsidRPr="00862F06">
        <w:rPr>
          <w:rFonts w:ascii="Times New Roman" w:hAnsi="Times New Roman" w:cs="Times New Roman"/>
          <w:sz w:val="24"/>
          <w:szCs w:val="24"/>
          <w:lang w:val="en-US"/>
        </w:rPr>
        <w:t xml:space="preserve"> hands of each of us plays a crucial role here.</w:t>
      </w:r>
    </w:p>
    <w:p w:rsidR="00C30BAB" w:rsidRPr="000D096C" w:rsidRDefault="00C30BAB" w:rsidP="004567D5">
      <w:pPr>
        <w:spacing w:line="360" w:lineRule="auto"/>
        <w:rPr>
          <w:rFonts w:ascii="Times New Roman" w:hAnsi="Times New Roman" w:cs="Times New Roman"/>
          <w:sz w:val="24"/>
          <w:szCs w:val="24"/>
          <w:lang w:val="en-US"/>
        </w:rPr>
      </w:pPr>
      <w:r w:rsidRPr="000D096C">
        <w:rPr>
          <w:rFonts w:ascii="Times New Roman" w:hAnsi="Times New Roman" w:cs="Times New Roman"/>
          <w:sz w:val="24"/>
          <w:szCs w:val="24"/>
          <w:lang w:val="en-US"/>
        </w:rPr>
        <w:br w:type="page"/>
      </w:r>
    </w:p>
    <w:p w:rsidR="003044A8" w:rsidRPr="000D096C" w:rsidRDefault="003044A8" w:rsidP="004567D5">
      <w:pPr>
        <w:pStyle w:val="Nadpis1"/>
      </w:pPr>
      <w:bookmarkStart w:id="131" w:name="_Toc33432696"/>
      <w:bookmarkStart w:id="132" w:name="_Toc33432916"/>
      <w:bookmarkStart w:id="133" w:name="_Toc33869555"/>
      <w:r w:rsidRPr="000D096C">
        <w:lastRenderedPageBreak/>
        <w:t>Seznam zkratek</w:t>
      </w:r>
      <w:bookmarkEnd w:id="131"/>
      <w:bookmarkEnd w:id="132"/>
      <w:bookmarkEnd w:id="133"/>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ADA</w:t>
      </w:r>
      <w:r>
        <w:rPr>
          <w:rFonts w:ascii="Times New Roman" w:hAnsi="Times New Roman" w:cs="Times New Roman"/>
          <w:sz w:val="24"/>
          <w:szCs w:val="24"/>
        </w:rPr>
        <w:tab/>
      </w:r>
      <w:r>
        <w:rPr>
          <w:rFonts w:ascii="Times New Roman" w:hAnsi="Times New Roman" w:cs="Times New Roman"/>
          <w:sz w:val="24"/>
          <w:szCs w:val="24"/>
        </w:rPr>
        <w:tab/>
        <w:t>American diabetes a</w:t>
      </w:r>
      <w:r w:rsidRPr="00EA0A4A">
        <w:rPr>
          <w:rFonts w:ascii="Times New Roman" w:hAnsi="Times New Roman" w:cs="Times New Roman"/>
          <w:sz w:val="24"/>
          <w:szCs w:val="24"/>
        </w:rPr>
        <w:t>ssociation</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AIP</w:t>
      </w:r>
      <w:r>
        <w:rPr>
          <w:rFonts w:ascii="Times New Roman" w:hAnsi="Times New Roman" w:cs="Times New Roman"/>
          <w:sz w:val="24"/>
          <w:szCs w:val="24"/>
        </w:rPr>
        <w:tab/>
      </w:r>
      <w:r>
        <w:rPr>
          <w:rFonts w:ascii="Times New Roman" w:hAnsi="Times New Roman" w:cs="Times New Roman"/>
          <w:sz w:val="24"/>
          <w:szCs w:val="24"/>
        </w:rPr>
        <w:tab/>
        <w:t>aterogenní index plazmy</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ALT</w:t>
      </w:r>
      <w:r>
        <w:rPr>
          <w:rFonts w:ascii="Times New Roman" w:hAnsi="Times New Roman" w:cs="Times New Roman"/>
          <w:sz w:val="24"/>
          <w:szCs w:val="24"/>
        </w:rPr>
        <w:tab/>
      </w:r>
      <w:r>
        <w:rPr>
          <w:rFonts w:ascii="Times New Roman" w:hAnsi="Times New Roman" w:cs="Times New Roman"/>
          <w:sz w:val="24"/>
          <w:szCs w:val="24"/>
        </w:rPr>
        <w:tab/>
      </w:r>
      <w:r w:rsidRPr="00D71EDD">
        <w:rPr>
          <w:rFonts w:ascii="Times New Roman" w:hAnsi="Times New Roman" w:cs="Times New Roman"/>
          <w:sz w:val="24"/>
          <w:szCs w:val="24"/>
        </w:rPr>
        <w:t>alaninaminotransferáz</w:t>
      </w:r>
      <w:r w:rsidR="0015663E">
        <w:rPr>
          <w:rFonts w:ascii="Times New Roman" w:hAnsi="Times New Roman" w:cs="Times New Roman"/>
          <w:sz w:val="24"/>
          <w:szCs w:val="24"/>
        </w:rPr>
        <w:t>a</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ApoB</w:t>
      </w:r>
      <w:r>
        <w:rPr>
          <w:rFonts w:ascii="Times New Roman" w:hAnsi="Times New Roman" w:cs="Times New Roman"/>
          <w:sz w:val="24"/>
          <w:szCs w:val="24"/>
        </w:rPr>
        <w:tab/>
      </w:r>
      <w:r>
        <w:rPr>
          <w:rFonts w:ascii="Times New Roman" w:hAnsi="Times New Roman" w:cs="Times New Roman"/>
          <w:sz w:val="24"/>
          <w:szCs w:val="24"/>
        </w:rPr>
        <w:tab/>
        <w:t>apolipoprotein B</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AST</w:t>
      </w:r>
      <w:r w:rsidR="0015663E">
        <w:rPr>
          <w:rFonts w:ascii="Times New Roman" w:hAnsi="Times New Roman" w:cs="Times New Roman"/>
          <w:sz w:val="24"/>
          <w:szCs w:val="24"/>
        </w:rPr>
        <w:tab/>
      </w:r>
      <w:r w:rsidR="0015663E">
        <w:rPr>
          <w:rFonts w:ascii="Times New Roman" w:hAnsi="Times New Roman" w:cs="Times New Roman"/>
          <w:sz w:val="24"/>
          <w:szCs w:val="24"/>
        </w:rPr>
        <w:tab/>
        <w:t>aspartátaminotransferáza</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AT 2</w:t>
      </w:r>
      <w:r>
        <w:rPr>
          <w:rFonts w:ascii="Times New Roman" w:hAnsi="Times New Roman" w:cs="Times New Roman"/>
          <w:sz w:val="24"/>
          <w:szCs w:val="24"/>
        </w:rPr>
        <w:tab/>
      </w:r>
      <w:r>
        <w:rPr>
          <w:rFonts w:ascii="Times New Roman" w:hAnsi="Times New Roman" w:cs="Times New Roman"/>
          <w:sz w:val="24"/>
          <w:szCs w:val="24"/>
        </w:rPr>
        <w:tab/>
      </w:r>
      <w:r w:rsidRPr="00EA0A4A">
        <w:rPr>
          <w:rFonts w:ascii="Times New Roman" w:hAnsi="Times New Roman" w:cs="Times New Roman"/>
          <w:sz w:val="24"/>
          <w:szCs w:val="24"/>
        </w:rPr>
        <w:t>angiotensin II</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ATP</w:t>
      </w:r>
      <w:r>
        <w:rPr>
          <w:rFonts w:ascii="Times New Roman" w:hAnsi="Times New Roman" w:cs="Times New Roman"/>
          <w:sz w:val="24"/>
          <w:szCs w:val="24"/>
        </w:rPr>
        <w:tab/>
      </w:r>
      <w:r>
        <w:rPr>
          <w:rFonts w:ascii="Times New Roman" w:hAnsi="Times New Roman" w:cs="Times New Roman"/>
          <w:sz w:val="24"/>
          <w:szCs w:val="24"/>
        </w:rPr>
        <w:tab/>
        <w:t>Adult treatment p</w:t>
      </w:r>
      <w:r w:rsidRPr="00EA0A4A">
        <w:rPr>
          <w:rFonts w:ascii="Times New Roman" w:hAnsi="Times New Roman" w:cs="Times New Roman"/>
          <w:sz w:val="24"/>
          <w:szCs w:val="24"/>
        </w:rPr>
        <w:t>anel</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AUC</w:t>
      </w:r>
      <w:r>
        <w:rPr>
          <w:rFonts w:ascii="Times New Roman" w:hAnsi="Times New Roman" w:cs="Times New Roman"/>
          <w:sz w:val="24"/>
          <w:szCs w:val="24"/>
        </w:rPr>
        <w:tab/>
      </w:r>
      <w:r>
        <w:rPr>
          <w:rFonts w:ascii="Times New Roman" w:hAnsi="Times New Roman" w:cs="Times New Roman"/>
          <w:sz w:val="24"/>
          <w:szCs w:val="24"/>
        </w:rPr>
        <w:tab/>
        <w:t>area under (the) curve</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BMI</w:t>
      </w:r>
      <w:r>
        <w:rPr>
          <w:rFonts w:ascii="Times New Roman" w:hAnsi="Times New Roman" w:cs="Times New Roman"/>
          <w:sz w:val="24"/>
          <w:szCs w:val="24"/>
        </w:rPr>
        <w:tab/>
      </w:r>
      <w:r>
        <w:rPr>
          <w:rFonts w:ascii="Times New Roman" w:hAnsi="Times New Roman" w:cs="Times New Roman"/>
          <w:sz w:val="24"/>
          <w:szCs w:val="24"/>
        </w:rPr>
        <w:tab/>
        <w:t>body mass index</w:t>
      </w:r>
    </w:p>
    <w:p w:rsidR="00EA0A4A" w:rsidRPr="00EA0A4A" w:rsidRDefault="00EA0A4A" w:rsidP="00EA0A4A">
      <w:pPr>
        <w:pStyle w:val="Bezmezer"/>
        <w:spacing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CDA</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t>Canadian diabetes a</w:t>
      </w:r>
      <w:r w:rsidRPr="00EA0A4A">
        <w:rPr>
          <w:rFonts w:ascii="Times New Roman" w:eastAsia="Times New Roman" w:hAnsi="Times New Roman" w:cs="Times New Roman"/>
          <w:sz w:val="24"/>
          <w:szCs w:val="24"/>
          <w:lang w:eastAsia="cs-CZ"/>
        </w:rPr>
        <w:t>ssociation</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CKD</w:t>
      </w:r>
      <w:r>
        <w:rPr>
          <w:rFonts w:ascii="Times New Roman" w:hAnsi="Times New Roman" w:cs="Times New Roman"/>
          <w:sz w:val="24"/>
          <w:szCs w:val="24"/>
        </w:rPr>
        <w:tab/>
      </w:r>
      <w:r>
        <w:rPr>
          <w:rFonts w:ascii="Times New Roman" w:hAnsi="Times New Roman" w:cs="Times New Roman"/>
          <w:sz w:val="24"/>
          <w:szCs w:val="24"/>
        </w:rPr>
        <w:tab/>
      </w:r>
      <w:r w:rsidRPr="00EA0A4A">
        <w:rPr>
          <w:rFonts w:ascii="Times New Roman" w:hAnsi="Times New Roman" w:cs="Times New Roman"/>
          <w:sz w:val="24"/>
          <w:szCs w:val="24"/>
        </w:rPr>
        <w:t>chronic kidney disease</w:t>
      </w:r>
    </w:p>
    <w:p w:rsidR="00EA0A4A" w:rsidRPr="00EA0A4A" w:rsidRDefault="00EA0A4A" w:rsidP="00EA0A4A">
      <w:pPr>
        <w:pStyle w:val="Bezmezer"/>
        <w:spacing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CMP</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sidRPr="00EA0A4A">
        <w:rPr>
          <w:rFonts w:ascii="Times New Roman" w:eastAsia="Times New Roman" w:hAnsi="Times New Roman" w:cs="Times New Roman"/>
          <w:sz w:val="24"/>
          <w:szCs w:val="24"/>
          <w:lang w:eastAsia="cs-CZ"/>
        </w:rPr>
        <w:t>cévní mozková příhoda</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CRP</w:t>
      </w:r>
      <w:r>
        <w:rPr>
          <w:rFonts w:ascii="Times New Roman" w:hAnsi="Times New Roman" w:cs="Times New Roman"/>
          <w:sz w:val="24"/>
          <w:szCs w:val="24"/>
        </w:rPr>
        <w:tab/>
      </w:r>
      <w:r>
        <w:rPr>
          <w:rFonts w:ascii="Times New Roman" w:hAnsi="Times New Roman" w:cs="Times New Roman"/>
          <w:sz w:val="24"/>
          <w:szCs w:val="24"/>
        </w:rPr>
        <w:tab/>
      </w:r>
      <w:r w:rsidRPr="00EA0A4A">
        <w:rPr>
          <w:rFonts w:ascii="Times New Roman" w:hAnsi="Times New Roman" w:cs="Times New Roman"/>
          <w:sz w:val="24"/>
          <w:szCs w:val="24"/>
        </w:rPr>
        <w:t>C-reaktivní protein</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DM</w:t>
      </w:r>
      <w:r>
        <w:rPr>
          <w:rFonts w:ascii="Times New Roman" w:hAnsi="Times New Roman" w:cs="Times New Roman"/>
          <w:sz w:val="24"/>
          <w:szCs w:val="24"/>
        </w:rPr>
        <w:tab/>
      </w:r>
      <w:r>
        <w:rPr>
          <w:rFonts w:ascii="Times New Roman" w:hAnsi="Times New Roman" w:cs="Times New Roman"/>
          <w:sz w:val="24"/>
          <w:szCs w:val="24"/>
        </w:rPr>
        <w:tab/>
        <w:t>diabetes mellitus</w:t>
      </w:r>
    </w:p>
    <w:p w:rsidR="00EA0A4A" w:rsidRPr="00EA0A4A" w:rsidRDefault="00EA0A4A" w:rsidP="00EA0A4A">
      <w:pPr>
        <w:pStyle w:val="Bezmezer"/>
        <w:spacing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FPG</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sidR="0015663E">
        <w:rPr>
          <w:rFonts w:ascii="Times New Roman" w:eastAsia="Times New Roman" w:hAnsi="Times New Roman" w:cs="Times New Roman"/>
          <w:sz w:val="24"/>
          <w:szCs w:val="24"/>
          <w:lang w:eastAsia="cs-CZ"/>
        </w:rPr>
        <w:t>fasting plasma gluc</w:t>
      </w:r>
      <w:r w:rsidRPr="00EA0A4A">
        <w:rPr>
          <w:rFonts w:ascii="Times New Roman" w:eastAsia="Times New Roman" w:hAnsi="Times New Roman" w:cs="Times New Roman"/>
          <w:sz w:val="24"/>
          <w:szCs w:val="24"/>
          <w:lang w:eastAsia="cs-CZ"/>
        </w:rPr>
        <w:t>ose</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GF</w:t>
      </w:r>
      <w:r>
        <w:rPr>
          <w:rFonts w:ascii="Times New Roman" w:hAnsi="Times New Roman" w:cs="Times New Roman"/>
          <w:sz w:val="24"/>
          <w:szCs w:val="24"/>
        </w:rPr>
        <w:tab/>
      </w:r>
      <w:r>
        <w:rPr>
          <w:rFonts w:ascii="Times New Roman" w:hAnsi="Times New Roman" w:cs="Times New Roman"/>
          <w:sz w:val="24"/>
          <w:szCs w:val="24"/>
        </w:rPr>
        <w:tab/>
      </w:r>
      <w:r w:rsidRPr="00EA0A4A">
        <w:rPr>
          <w:rFonts w:ascii="Times New Roman" w:hAnsi="Times New Roman" w:cs="Times New Roman"/>
          <w:sz w:val="24"/>
          <w:szCs w:val="24"/>
        </w:rPr>
        <w:t>glomerulární filtrace</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GLUT</w:t>
      </w:r>
      <w:r>
        <w:rPr>
          <w:rFonts w:ascii="Times New Roman" w:hAnsi="Times New Roman" w:cs="Times New Roman"/>
          <w:sz w:val="24"/>
          <w:szCs w:val="24"/>
        </w:rPr>
        <w:tab/>
      </w:r>
      <w:r>
        <w:rPr>
          <w:rFonts w:ascii="Times New Roman" w:hAnsi="Times New Roman" w:cs="Times New Roman"/>
          <w:sz w:val="24"/>
          <w:szCs w:val="24"/>
        </w:rPr>
        <w:tab/>
      </w:r>
      <w:r w:rsidRPr="00EA0A4A">
        <w:rPr>
          <w:rFonts w:ascii="Times New Roman" w:hAnsi="Times New Roman" w:cs="Times New Roman"/>
          <w:sz w:val="24"/>
          <w:szCs w:val="24"/>
        </w:rPr>
        <w:t>transportér glukózy</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HbA1c</w:t>
      </w:r>
      <w:r>
        <w:rPr>
          <w:rFonts w:ascii="Times New Roman" w:hAnsi="Times New Roman" w:cs="Times New Roman"/>
          <w:sz w:val="24"/>
          <w:szCs w:val="24"/>
        </w:rPr>
        <w:tab/>
      </w:r>
      <w:r>
        <w:rPr>
          <w:rFonts w:ascii="Times New Roman" w:hAnsi="Times New Roman" w:cs="Times New Roman"/>
          <w:sz w:val="24"/>
          <w:szCs w:val="24"/>
        </w:rPr>
        <w:tab/>
      </w:r>
      <w:r w:rsidRPr="00EA0A4A">
        <w:rPr>
          <w:rFonts w:ascii="Times New Roman" w:hAnsi="Times New Roman" w:cs="Times New Roman"/>
          <w:sz w:val="24"/>
          <w:szCs w:val="24"/>
        </w:rPr>
        <w:t>hemoglobin A1c</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HDL</w:t>
      </w:r>
      <w:r>
        <w:rPr>
          <w:rFonts w:ascii="Times New Roman" w:hAnsi="Times New Roman" w:cs="Times New Roman"/>
          <w:sz w:val="24"/>
          <w:szCs w:val="24"/>
        </w:rPr>
        <w:tab/>
      </w:r>
      <w:r>
        <w:rPr>
          <w:rFonts w:ascii="Times New Roman" w:hAnsi="Times New Roman" w:cs="Times New Roman"/>
          <w:sz w:val="24"/>
          <w:szCs w:val="24"/>
        </w:rPr>
        <w:tab/>
      </w:r>
      <w:r w:rsidRPr="00EA0A4A">
        <w:rPr>
          <w:rFonts w:ascii="Times New Roman" w:hAnsi="Times New Roman" w:cs="Times New Roman"/>
          <w:sz w:val="24"/>
          <w:szCs w:val="24"/>
        </w:rPr>
        <w:t>lipoproteiny o vysoké hustotě</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HOMA</w:t>
      </w:r>
      <w:r w:rsidRPr="00EA0A4A">
        <w:rPr>
          <w:rFonts w:ascii="Times New Roman" w:hAnsi="Times New Roman" w:cs="Times New Roman"/>
          <w:sz w:val="24"/>
          <w:szCs w:val="24"/>
        </w:rPr>
        <w:tab/>
        <w:t>homeostasis model assessment</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IDF</w:t>
      </w:r>
      <w:r>
        <w:rPr>
          <w:rFonts w:ascii="Times New Roman" w:hAnsi="Times New Roman" w:cs="Times New Roman"/>
          <w:sz w:val="24"/>
          <w:szCs w:val="24"/>
        </w:rPr>
        <w:tab/>
      </w:r>
      <w:r>
        <w:rPr>
          <w:rFonts w:ascii="Times New Roman" w:hAnsi="Times New Roman" w:cs="Times New Roman"/>
          <w:sz w:val="24"/>
          <w:szCs w:val="24"/>
        </w:rPr>
        <w:tab/>
        <w:t>International diabetes f</w:t>
      </w:r>
      <w:r w:rsidRPr="00EA0A4A">
        <w:rPr>
          <w:rFonts w:ascii="Times New Roman" w:hAnsi="Times New Roman" w:cs="Times New Roman"/>
          <w:sz w:val="24"/>
          <w:szCs w:val="24"/>
        </w:rPr>
        <w:t>ederation</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 xml:space="preserve">IFG </w:t>
      </w:r>
      <w:r>
        <w:rPr>
          <w:rFonts w:ascii="Times New Roman" w:hAnsi="Times New Roman" w:cs="Times New Roman"/>
          <w:sz w:val="24"/>
          <w:szCs w:val="24"/>
        </w:rPr>
        <w:tab/>
      </w:r>
      <w:r>
        <w:rPr>
          <w:rFonts w:ascii="Times New Roman" w:hAnsi="Times New Roman" w:cs="Times New Roman"/>
          <w:sz w:val="24"/>
          <w:szCs w:val="24"/>
        </w:rPr>
        <w:tab/>
      </w:r>
      <w:r w:rsidRPr="00EA0A4A">
        <w:rPr>
          <w:rFonts w:ascii="Times New Roman" w:hAnsi="Times New Roman" w:cs="Times New Roman"/>
          <w:sz w:val="24"/>
          <w:szCs w:val="24"/>
        </w:rPr>
        <w:t>im</w:t>
      </w:r>
      <w:r>
        <w:rPr>
          <w:rFonts w:ascii="Times New Roman" w:hAnsi="Times New Roman" w:cs="Times New Roman"/>
          <w:sz w:val="24"/>
          <w:szCs w:val="24"/>
        </w:rPr>
        <w:t>paired fasting gluc</w:t>
      </w:r>
      <w:r w:rsidRPr="00EA0A4A">
        <w:rPr>
          <w:rFonts w:ascii="Times New Roman" w:hAnsi="Times New Roman" w:cs="Times New Roman"/>
          <w:sz w:val="24"/>
          <w:szCs w:val="24"/>
        </w:rPr>
        <w:t>ose</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IGT</w:t>
      </w:r>
      <w:r>
        <w:rPr>
          <w:rFonts w:ascii="Times New Roman" w:hAnsi="Times New Roman" w:cs="Times New Roman"/>
          <w:sz w:val="24"/>
          <w:szCs w:val="24"/>
        </w:rPr>
        <w:tab/>
      </w:r>
      <w:r>
        <w:rPr>
          <w:rFonts w:ascii="Times New Roman" w:hAnsi="Times New Roman" w:cs="Times New Roman"/>
          <w:sz w:val="24"/>
          <w:szCs w:val="24"/>
        </w:rPr>
        <w:tab/>
      </w:r>
      <w:r w:rsidRPr="00EA0A4A">
        <w:rPr>
          <w:rFonts w:ascii="Times New Roman" w:hAnsi="Times New Roman" w:cs="Times New Roman"/>
          <w:sz w:val="24"/>
          <w:szCs w:val="24"/>
        </w:rPr>
        <w:t>impaired glucose tolerance</w:t>
      </w:r>
    </w:p>
    <w:p w:rsidR="00EA0A4A" w:rsidRPr="00EA0A4A" w:rsidRDefault="00D1543E" w:rsidP="00EA0A4A">
      <w:pPr>
        <w:pStyle w:val="Bezmezer"/>
        <w:spacing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ICHS</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sidR="00EA0A4A" w:rsidRPr="00EA0A4A">
        <w:rPr>
          <w:rFonts w:ascii="Times New Roman" w:eastAsia="Times New Roman" w:hAnsi="Times New Roman" w:cs="Times New Roman"/>
          <w:sz w:val="24"/>
          <w:szCs w:val="24"/>
          <w:lang w:eastAsia="cs-CZ"/>
        </w:rPr>
        <w:t>ischemická choroba srdeční</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IL</w:t>
      </w:r>
      <w:r>
        <w:rPr>
          <w:rFonts w:ascii="Times New Roman" w:hAnsi="Times New Roman" w:cs="Times New Roman"/>
          <w:sz w:val="24"/>
          <w:szCs w:val="24"/>
        </w:rPr>
        <w:tab/>
      </w:r>
      <w:r>
        <w:rPr>
          <w:rFonts w:ascii="Times New Roman" w:hAnsi="Times New Roman" w:cs="Times New Roman"/>
          <w:sz w:val="24"/>
          <w:szCs w:val="24"/>
        </w:rPr>
        <w:tab/>
      </w:r>
      <w:r w:rsidR="00D1543E">
        <w:rPr>
          <w:rFonts w:ascii="Times New Roman" w:hAnsi="Times New Roman" w:cs="Times New Roman"/>
          <w:sz w:val="24"/>
          <w:szCs w:val="24"/>
        </w:rPr>
        <w:t>interleukin</w:t>
      </w:r>
    </w:p>
    <w:p w:rsidR="00EA0A4A" w:rsidRPr="00EA0A4A" w:rsidRDefault="00D1543E" w:rsidP="00EA0A4A">
      <w:pPr>
        <w:pStyle w:val="Bezmezer"/>
        <w:spacing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KI</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sidR="00EA0A4A" w:rsidRPr="00EA0A4A">
        <w:rPr>
          <w:rFonts w:ascii="Times New Roman" w:eastAsia="Times New Roman" w:hAnsi="Times New Roman" w:cs="Times New Roman"/>
          <w:sz w:val="24"/>
          <w:szCs w:val="24"/>
          <w:lang w:eastAsia="cs-CZ"/>
        </w:rPr>
        <w:t>konfidenční interval</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KM</w:t>
      </w:r>
      <w:r w:rsidR="00D1543E">
        <w:rPr>
          <w:rFonts w:ascii="Times New Roman" w:hAnsi="Times New Roman" w:cs="Times New Roman"/>
          <w:sz w:val="24"/>
          <w:szCs w:val="24"/>
        </w:rPr>
        <w:tab/>
      </w:r>
      <w:r w:rsidR="00D1543E">
        <w:rPr>
          <w:rFonts w:ascii="Times New Roman" w:hAnsi="Times New Roman" w:cs="Times New Roman"/>
          <w:sz w:val="24"/>
          <w:szCs w:val="24"/>
        </w:rPr>
        <w:tab/>
        <w:t>kyselina močová</w:t>
      </w:r>
    </w:p>
    <w:p w:rsidR="00EA0A4A" w:rsidRPr="00EA0A4A" w:rsidRDefault="00EA0A4A"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LDL</w:t>
      </w:r>
      <w:r>
        <w:rPr>
          <w:rFonts w:ascii="Times New Roman" w:hAnsi="Times New Roman" w:cs="Times New Roman"/>
          <w:sz w:val="24"/>
          <w:szCs w:val="24"/>
        </w:rPr>
        <w:tab/>
      </w:r>
      <w:r>
        <w:rPr>
          <w:rFonts w:ascii="Times New Roman" w:hAnsi="Times New Roman" w:cs="Times New Roman"/>
          <w:sz w:val="24"/>
          <w:szCs w:val="24"/>
        </w:rPr>
        <w:tab/>
        <w:t>lipoproteiny o nízké</w:t>
      </w:r>
      <w:r w:rsidRPr="00EA0A4A">
        <w:rPr>
          <w:rFonts w:ascii="Times New Roman" w:hAnsi="Times New Roman" w:cs="Times New Roman"/>
          <w:sz w:val="24"/>
          <w:szCs w:val="24"/>
        </w:rPr>
        <w:t xml:space="preserve"> hustotě</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MetS</w:t>
      </w:r>
      <w:r w:rsidR="00D1543E">
        <w:rPr>
          <w:rFonts w:ascii="Times New Roman" w:hAnsi="Times New Roman" w:cs="Times New Roman"/>
          <w:sz w:val="24"/>
          <w:szCs w:val="24"/>
        </w:rPr>
        <w:tab/>
      </w:r>
      <w:r w:rsidR="00D1543E">
        <w:rPr>
          <w:rFonts w:ascii="Times New Roman" w:hAnsi="Times New Roman" w:cs="Times New Roman"/>
          <w:sz w:val="24"/>
          <w:szCs w:val="24"/>
        </w:rPr>
        <w:tab/>
        <w:t>metabolický syndrom</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NAFLD</w:t>
      </w:r>
      <w:r>
        <w:rPr>
          <w:rFonts w:ascii="Times New Roman" w:hAnsi="Times New Roman" w:cs="Times New Roman"/>
          <w:sz w:val="24"/>
          <w:szCs w:val="24"/>
        </w:rPr>
        <w:tab/>
      </w:r>
      <w:r w:rsidR="00EA0A4A" w:rsidRPr="00EA0A4A">
        <w:rPr>
          <w:rFonts w:ascii="Times New Roman" w:hAnsi="Times New Roman" w:cs="Times New Roman"/>
          <w:sz w:val="24"/>
          <w:szCs w:val="24"/>
        </w:rPr>
        <w:t>alcoholic fatty liver disease</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NCEP</w:t>
      </w:r>
      <w:r>
        <w:rPr>
          <w:rFonts w:ascii="Times New Roman" w:hAnsi="Times New Roman" w:cs="Times New Roman"/>
          <w:sz w:val="24"/>
          <w:szCs w:val="24"/>
        </w:rPr>
        <w:tab/>
      </w:r>
      <w:r>
        <w:rPr>
          <w:rFonts w:ascii="Times New Roman" w:hAnsi="Times New Roman" w:cs="Times New Roman"/>
          <w:sz w:val="24"/>
          <w:szCs w:val="24"/>
        </w:rPr>
        <w:tab/>
        <w:t>National cholesterol education p</w:t>
      </w:r>
      <w:r w:rsidR="00EA0A4A" w:rsidRPr="00EA0A4A">
        <w:rPr>
          <w:rFonts w:ascii="Times New Roman" w:hAnsi="Times New Roman" w:cs="Times New Roman"/>
          <w:sz w:val="24"/>
          <w:szCs w:val="24"/>
        </w:rPr>
        <w:t>rogram</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lastRenderedPageBreak/>
        <w:t>OGTT</w:t>
      </w:r>
      <w:r>
        <w:rPr>
          <w:rFonts w:ascii="Times New Roman" w:hAnsi="Times New Roman" w:cs="Times New Roman"/>
          <w:sz w:val="24"/>
          <w:szCs w:val="24"/>
        </w:rPr>
        <w:tab/>
      </w:r>
      <w:r>
        <w:rPr>
          <w:rFonts w:ascii="Times New Roman" w:hAnsi="Times New Roman" w:cs="Times New Roman"/>
          <w:sz w:val="24"/>
          <w:szCs w:val="24"/>
        </w:rPr>
        <w:tab/>
      </w:r>
      <w:r w:rsidR="00EA0A4A" w:rsidRPr="00EA0A4A">
        <w:rPr>
          <w:rFonts w:ascii="Times New Roman" w:hAnsi="Times New Roman" w:cs="Times New Roman"/>
          <w:sz w:val="24"/>
          <w:szCs w:val="24"/>
        </w:rPr>
        <w:t>orální glukózový toleranční test</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OP</w:t>
      </w:r>
      <w:r w:rsidR="00D1543E">
        <w:rPr>
          <w:rFonts w:ascii="Times New Roman" w:hAnsi="Times New Roman" w:cs="Times New Roman"/>
          <w:sz w:val="24"/>
          <w:szCs w:val="24"/>
        </w:rPr>
        <w:tab/>
      </w:r>
      <w:r w:rsidR="00D1543E">
        <w:rPr>
          <w:rFonts w:ascii="Times New Roman" w:hAnsi="Times New Roman" w:cs="Times New Roman"/>
          <w:sz w:val="24"/>
          <w:szCs w:val="24"/>
        </w:rPr>
        <w:tab/>
        <w:t>obvod pasu</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OR</w:t>
      </w:r>
      <w:r>
        <w:rPr>
          <w:rFonts w:ascii="Times New Roman" w:hAnsi="Times New Roman" w:cs="Times New Roman"/>
          <w:sz w:val="24"/>
          <w:szCs w:val="24"/>
        </w:rPr>
        <w:tab/>
      </w:r>
      <w:r>
        <w:rPr>
          <w:rFonts w:ascii="Times New Roman" w:hAnsi="Times New Roman" w:cs="Times New Roman"/>
          <w:sz w:val="24"/>
          <w:szCs w:val="24"/>
        </w:rPr>
        <w:tab/>
      </w:r>
      <w:r w:rsidR="00EA0A4A" w:rsidRPr="00EA0A4A">
        <w:rPr>
          <w:rFonts w:ascii="Times New Roman" w:hAnsi="Times New Roman" w:cs="Times New Roman"/>
          <w:sz w:val="24"/>
          <w:szCs w:val="24"/>
        </w:rPr>
        <w:t>odds ratio</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PN</w:t>
      </w:r>
      <w:r>
        <w:rPr>
          <w:rFonts w:ascii="Times New Roman" w:hAnsi="Times New Roman" w:cs="Times New Roman"/>
          <w:sz w:val="24"/>
          <w:szCs w:val="24"/>
        </w:rPr>
        <w:tab/>
      </w:r>
      <w:r>
        <w:rPr>
          <w:rFonts w:ascii="Times New Roman" w:hAnsi="Times New Roman" w:cs="Times New Roman"/>
          <w:sz w:val="24"/>
          <w:szCs w:val="24"/>
        </w:rPr>
        <w:tab/>
      </w:r>
      <w:r w:rsidR="00EA0A4A" w:rsidRPr="00EA0A4A">
        <w:rPr>
          <w:rFonts w:ascii="Times New Roman" w:hAnsi="Times New Roman" w:cs="Times New Roman"/>
          <w:sz w:val="24"/>
          <w:szCs w:val="24"/>
        </w:rPr>
        <w:t>periferní neuropatie</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QUICKI</w:t>
      </w:r>
      <w:r>
        <w:rPr>
          <w:rFonts w:ascii="Times New Roman" w:hAnsi="Times New Roman" w:cs="Times New Roman"/>
          <w:sz w:val="24"/>
          <w:szCs w:val="24"/>
        </w:rPr>
        <w:tab/>
      </w:r>
      <w:r w:rsidR="00EA0A4A" w:rsidRPr="00EA0A4A">
        <w:rPr>
          <w:rFonts w:ascii="Times New Roman" w:hAnsi="Times New Roman" w:cs="Times New Roman"/>
          <w:sz w:val="24"/>
          <w:szCs w:val="24"/>
        </w:rPr>
        <w:t>quantitative insulin sensitivity check index</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RAAS</w:t>
      </w:r>
      <w:r>
        <w:rPr>
          <w:rFonts w:ascii="Times New Roman" w:hAnsi="Times New Roman" w:cs="Times New Roman"/>
          <w:sz w:val="24"/>
          <w:szCs w:val="24"/>
        </w:rPr>
        <w:tab/>
      </w:r>
      <w:r>
        <w:rPr>
          <w:rFonts w:ascii="Times New Roman" w:hAnsi="Times New Roman" w:cs="Times New Roman"/>
          <w:sz w:val="24"/>
          <w:szCs w:val="24"/>
        </w:rPr>
        <w:tab/>
      </w:r>
      <w:r w:rsidR="00EA0A4A" w:rsidRPr="00EA0A4A">
        <w:rPr>
          <w:rFonts w:ascii="Times New Roman" w:hAnsi="Times New Roman" w:cs="Times New Roman"/>
          <w:sz w:val="24"/>
          <w:szCs w:val="24"/>
        </w:rPr>
        <w:t>renin-angiotenzin aldosteronový systém</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RO</w:t>
      </w:r>
      <w:r w:rsidR="00D1543E">
        <w:rPr>
          <w:rFonts w:ascii="Times New Roman" w:hAnsi="Times New Roman" w:cs="Times New Roman"/>
          <w:sz w:val="24"/>
          <w:szCs w:val="24"/>
        </w:rPr>
        <w:t>C</w:t>
      </w:r>
      <w:r w:rsidR="00D1543E">
        <w:rPr>
          <w:rFonts w:ascii="Times New Roman" w:hAnsi="Times New Roman" w:cs="Times New Roman"/>
          <w:sz w:val="24"/>
          <w:szCs w:val="24"/>
        </w:rPr>
        <w:tab/>
      </w:r>
      <w:r w:rsidR="00D1543E">
        <w:rPr>
          <w:rFonts w:ascii="Times New Roman" w:hAnsi="Times New Roman" w:cs="Times New Roman"/>
          <w:sz w:val="24"/>
          <w:szCs w:val="24"/>
        </w:rPr>
        <w:tab/>
      </w:r>
      <w:r w:rsidRPr="00EA0A4A">
        <w:rPr>
          <w:rFonts w:ascii="Times New Roman" w:hAnsi="Times New Roman" w:cs="Times New Roman"/>
          <w:sz w:val="24"/>
          <w:szCs w:val="24"/>
        </w:rPr>
        <w:t>receiver operating characteristic</w:t>
      </w:r>
    </w:p>
    <w:p w:rsidR="00EA0A4A" w:rsidRPr="00EA0A4A" w:rsidRDefault="00D1543E" w:rsidP="00EA0A4A">
      <w:pPr>
        <w:pStyle w:val="Bezmezer"/>
        <w:spacing w:line="36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RR</w:t>
      </w:r>
      <w:r>
        <w:rPr>
          <w:rFonts w:ascii="Times New Roman" w:eastAsia="Times New Roman" w:hAnsi="Times New Roman" w:cs="Times New Roman"/>
          <w:sz w:val="24"/>
          <w:szCs w:val="24"/>
          <w:lang w:eastAsia="cs-CZ"/>
        </w:rPr>
        <w:tab/>
      </w:r>
      <w:r>
        <w:rPr>
          <w:rFonts w:ascii="Times New Roman" w:eastAsia="Times New Roman" w:hAnsi="Times New Roman" w:cs="Times New Roman"/>
          <w:sz w:val="24"/>
          <w:szCs w:val="24"/>
          <w:lang w:eastAsia="cs-CZ"/>
        </w:rPr>
        <w:tab/>
      </w:r>
      <w:r w:rsidR="0015663E">
        <w:rPr>
          <w:rFonts w:ascii="Times New Roman" w:eastAsia="Times New Roman" w:hAnsi="Times New Roman" w:cs="Times New Roman"/>
          <w:sz w:val="24"/>
          <w:szCs w:val="24"/>
          <w:lang w:eastAsia="cs-CZ"/>
        </w:rPr>
        <w:t>relativní riziko</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SD</w:t>
      </w:r>
      <w:r w:rsidR="00D1543E">
        <w:rPr>
          <w:rFonts w:ascii="Times New Roman" w:hAnsi="Times New Roman" w:cs="Times New Roman"/>
          <w:sz w:val="24"/>
          <w:szCs w:val="24"/>
        </w:rPr>
        <w:tab/>
      </w:r>
      <w:r w:rsidR="00D1543E">
        <w:rPr>
          <w:rFonts w:ascii="Times New Roman" w:hAnsi="Times New Roman" w:cs="Times New Roman"/>
          <w:sz w:val="24"/>
          <w:szCs w:val="24"/>
        </w:rPr>
        <w:tab/>
        <w:t>směrodatná odchylka</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T2DM</w:t>
      </w:r>
      <w:r w:rsidR="00D1543E">
        <w:rPr>
          <w:rFonts w:ascii="Times New Roman" w:hAnsi="Times New Roman" w:cs="Times New Roman"/>
          <w:sz w:val="24"/>
          <w:szCs w:val="24"/>
        </w:rPr>
        <w:tab/>
      </w:r>
      <w:r w:rsidR="00D1543E">
        <w:rPr>
          <w:rFonts w:ascii="Times New Roman" w:hAnsi="Times New Roman" w:cs="Times New Roman"/>
          <w:sz w:val="24"/>
          <w:szCs w:val="24"/>
        </w:rPr>
        <w:tab/>
        <w:t>diabetes mellitus 2. typu</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TAG</w:t>
      </w:r>
      <w:r w:rsidR="00D1543E">
        <w:rPr>
          <w:rFonts w:ascii="Times New Roman" w:hAnsi="Times New Roman" w:cs="Times New Roman"/>
          <w:sz w:val="24"/>
          <w:szCs w:val="24"/>
        </w:rPr>
        <w:tab/>
      </w:r>
      <w:r w:rsidR="00D1543E">
        <w:rPr>
          <w:rFonts w:ascii="Times New Roman" w:hAnsi="Times New Roman" w:cs="Times New Roman"/>
          <w:sz w:val="24"/>
          <w:szCs w:val="24"/>
        </w:rPr>
        <w:tab/>
        <w:t>triacylglyceroly</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TC</w:t>
      </w:r>
      <w:r w:rsidR="00D1543E">
        <w:rPr>
          <w:rFonts w:ascii="Times New Roman" w:hAnsi="Times New Roman" w:cs="Times New Roman"/>
          <w:sz w:val="24"/>
          <w:szCs w:val="24"/>
        </w:rPr>
        <w:tab/>
      </w:r>
      <w:r w:rsidR="00D1543E">
        <w:rPr>
          <w:rFonts w:ascii="Times New Roman" w:hAnsi="Times New Roman" w:cs="Times New Roman"/>
          <w:sz w:val="24"/>
          <w:szCs w:val="24"/>
        </w:rPr>
        <w:tab/>
        <w:t>celkový cholesterol</w:t>
      </w:r>
    </w:p>
    <w:p w:rsidR="00EA0A4A" w:rsidRPr="00EA0A4A" w:rsidRDefault="00EA0A4A" w:rsidP="00EA0A4A">
      <w:pPr>
        <w:pStyle w:val="Bezmezer"/>
        <w:spacing w:line="360" w:lineRule="auto"/>
        <w:rPr>
          <w:rFonts w:ascii="Times New Roman" w:hAnsi="Times New Roman" w:cs="Times New Roman"/>
          <w:sz w:val="24"/>
          <w:szCs w:val="24"/>
        </w:rPr>
      </w:pPr>
      <w:r w:rsidRPr="00EA0A4A">
        <w:rPr>
          <w:rFonts w:ascii="Times New Roman" w:hAnsi="Times New Roman" w:cs="Times New Roman"/>
          <w:sz w:val="24"/>
          <w:szCs w:val="24"/>
        </w:rPr>
        <w:t>TK</w:t>
      </w:r>
      <w:r w:rsidR="00D1543E">
        <w:rPr>
          <w:rFonts w:ascii="Times New Roman" w:hAnsi="Times New Roman" w:cs="Times New Roman"/>
          <w:sz w:val="24"/>
          <w:szCs w:val="24"/>
        </w:rPr>
        <w:tab/>
      </w:r>
      <w:r w:rsidR="00D1543E">
        <w:rPr>
          <w:rFonts w:ascii="Times New Roman" w:hAnsi="Times New Roman" w:cs="Times New Roman"/>
          <w:sz w:val="24"/>
          <w:szCs w:val="24"/>
        </w:rPr>
        <w:tab/>
        <w:t>krevní tlak</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TNF</w:t>
      </w:r>
      <w:r>
        <w:rPr>
          <w:rFonts w:ascii="Times New Roman" w:hAnsi="Times New Roman" w:cs="Times New Roman"/>
          <w:sz w:val="24"/>
          <w:szCs w:val="24"/>
        </w:rPr>
        <w:tab/>
      </w:r>
      <w:r>
        <w:rPr>
          <w:rFonts w:ascii="Times New Roman" w:hAnsi="Times New Roman" w:cs="Times New Roman"/>
          <w:sz w:val="24"/>
          <w:szCs w:val="24"/>
        </w:rPr>
        <w:tab/>
      </w:r>
      <w:r w:rsidR="00EA0A4A" w:rsidRPr="00EA0A4A">
        <w:rPr>
          <w:rFonts w:ascii="Times New Roman" w:hAnsi="Times New Roman" w:cs="Times New Roman"/>
          <w:sz w:val="24"/>
          <w:szCs w:val="24"/>
        </w:rPr>
        <w:t>tumor nekrotizující faktor</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VAI</w:t>
      </w:r>
      <w:r>
        <w:rPr>
          <w:rFonts w:ascii="Times New Roman" w:hAnsi="Times New Roman" w:cs="Times New Roman"/>
          <w:sz w:val="24"/>
          <w:szCs w:val="24"/>
        </w:rPr>
        <w:tab/>
      </w:r>
      <w:r>
        <w:rPr>
          <w:rFonts w:ascii="Times New Roman" w:hAnsi="Times New Roman" w:cs="Times New Roman"/>
          <w:sz w:val="24"/>
          <w:szCs w:val="24"/>
        </w:rPr>
        <w:tab/>
        <w:t>visceral adiposity index</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VAT</w:t>
      </w:r>
      <w:r>
        <w:rPr>
          <w:rFonts w:ascii="Times New Roman" w:hAnsi="Times New Roman" w:cs="Times New Roman"/>
          <w:sz w:val="24"/>
          <w:szCs w:val="24"/>
        </w:rPr>
        <w:tab/>
      </w:r>
      <w:r>
        <w:rPr>
          <w:rFonts w:ascii="Times New Roman" w:hAnsi="Times New Roman" w:cs="Times New Roman"/>
          <w:sz w:val="24"/>
          <w:szCs w:val="24"/>
        </w:rPr>
        <w:tab/>
      </w:r>
      <w:r w:rsidR="00EA0A4A" w:rsidRPr="00EA0A4A">
        <w:rPr>
          <w:rFonts w:ascii="Times New Roman" w:hAnsi="Times New Roman" w:cs="Times New Roman"/>
          <w:sz w:val="24"/>
          <w:szCs w:val="24"/>
        </w:rPr>
        <w:t>visceral adipose tissue</w:t>
      </w:r>
    </w:p>
    <w:p w:rsidR="00EA0A4A" w:rsidRPr="00EA0A4A" w:rsidRDefault="00D1543E" w:rsidP="00EA0A4A">
      <w:pPr>
        <w:pStyle w:val="Bezmezer"/>
        <w:spacing w:line="360" w:lineRule="auto"/>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World health o</w:t>
      </w:r>
      <w:r w:rsidR="00EA0A4A" w:rsidRPr="00EA0A4A">
        <w:rPr>
          <w:rFonts w:ascii="Times New Roman" w:hAnsi="Times New Roman" w:cs="Times New Roman"/>
          <w:sz w:val="24"/>
          <w:szCs w:val="24"/>
        </w:rPr>
        <w:t>rganization</w:t>
      </w:r>
    </w:p>
    <w:p w:rsidR="00835944" w:rsidRPr="000D096C" w:rsidRDefault="00835944" w:rsidP="004567D5">
      <w:pPr>
        <w:spacing w:line="360" w:lineRule="auto"/>
        <w:rPr>
          <w:rFonts w:ascii="Times New Roman" w:hAnsi="Times New Roman" w:cs="Times New Roman"/>
        </w:rPr>
      </w:pPr>
    </w:p>
    <w:p w:rsidR="00835944" w:rsidRPr="000D096C" w:rsidRDefault="00835944" w:rsidP="004567D5">
      <w:pPr>
        <w:spacing w:line="360" w:lineRule="auto"/>
        <w:rPr>
          <w:rFonts w:ascii="Times New Roman" w:hAnsi="Times New Roman" w:cs="Times New Roman"/>
        </w:rPr>
      </w:pPr>
      <w:r w:rsidRPr="000D096C">
        <w:rPr>
          <w:rFonts w:ascii="Times New Roman" w:hAnsi="Times New Roman" w:cs="Times New Roman"/>
        </w:rPr>
        <w:br w:type="page"/>
      </w:r>
    </w:p>
    <w:p w:rsidR="003044A8" w:rsidRPr="000D096C" w:rsidRDefault="003044A8" w:rsidP="004567D5">
      <w:pPr>
        <w:pStyle w:val="Nadpis1"/>
      </w:pPr>
      <w:bookmarkStart w:id="134" w:name="_Toc33432697"/>
      <w:bookmarkStart w:id="135" w:name="_Toc33432917"/>
      <w:bookmarkStart w:id="136" w:name="_Toc33869556"/>
      <w:r w:rsidRPr="000D096C">
        <w:lastRenderedPageBreak/>
        <w:t>Seznam tabulek a obrázků</w:t>
      </w:r>
      <w:bookmarkEnd w:id="134"/>
      <w:bookmarkEnd w:id="135"/>
      <w:bookmarkEnd w:id="136"/>
    </w:p>
    <w:p w:rsidR="00835944" w:rsidRPr="000D096C" w:rsidRDefault="00835944" w:rsidP="00C97500">
      <w:pPr>
        <w:pStyle w:val="Nadpis2"/>
      </w:pPr>
      <w:bookmarkStart w:id="137" w:name="_Toc33869557"/>
      <w:r w:rsidRPr="000D096C">
        <w:t>Seznam tabulek</w:t>
      </w:r>
      <w:bookmarkEnd w:id="137"/>
    </w:p>
    <w:p w:rsidR="00835944" w:rsidRPr="000D096C" w:rsidRDefault="00835944" w:rsidP="004567D5">
      <w:pPr>
        <w:pStyle w:val="Bezmezer"/>
        <w:spacing w:line="360" w:lineRule="auto"/>
        <w:jc w:val="both"/>
        <w:rPr>
          <w:rFonts w:ascii="Times New Roman" w:hAnsi="Times New Roman" w:cs="Times New Roman"/>
          <w:sz w:val="24"/>
          <w:szCs w:val="24"/>
        </w:rPr>
      </w:pPr>
      <w:r w:rsidRPr="000D096C">
        <w:rPr>
          <w:rFonts w:ascii="Times New Roman" w:hAnsi="Times New Roman" w:cs="Times New Roman"/>
          <w:b/>
          <w:sz w:val="24"/>
          <w:szCs w:val="24"/>
        </w:rPr>
        <w:t xml:space="preserve">Tabulka 1. </w:t>
      </w:r>
      <w:r w:rsidR="00AB7350">
        <w:rPr>
          <w:rFonts w:ascii="Times New Roman" w:hAnsi="Times New Roman" w:cs="Times New Roman"/>
          <w:b/>
          <w:sz w:val="24"/>
          <w:szCs w:val="24"/>
        </w:rPr>
        <w:tab/>
      </w:r>
      <w:r w:rsidRPr="000D096C">
        <w:rPr>
          <w:rFonts w:ascii="Times New Roman" w:hAnsi="Times New Roman" w:cs="Times New Roman"/>
          <w:sz w:val="24"/>
          <w:szCs w:val="24"/>
        </w:rPr>
        <w:t>Kritéria prediabetu definovaná různými odbornými společnostmi</w:t>
      </w:r>
    </w:p>
    <w:p w:rsidR="00835944" w:rsidRPr="000D096C" w:rsidRDefault="00835944" w:rsidP="00AB7350">
      <w:pPr>
        <w:pStyle w:val="Bezmezer"/>
        <w:spacing w:line="360" w:lineRule="auto"/>
        <w:ind w:left="1416" w:hanging="1416"/>
        <w:jc w:val="both"/>
        <w:rPr>
          <w:rFonts w:ascii="Times New Roman" w:hAnsi="Times New Roman" w:cs="Times New Roman"/>
          <w:b/>
          <w:sz w:val="24"/>
          <w:szCs w:val="24"/>
        </w:rPr>
      </w:pPr>
      <w:r w:rsidRPr="000D096C">
        <w:rPr>
          <w:rFonts w:ascii="Times New Roman" w:hAnsi="Times New Roman" w:cs="Times New Roman"/>
          <w:b/>
          <w:sz w:val="24"/>
          <w:szCs w:val="24"/>
        </w:rPr>
        <w:t xml:space="preserve">Tabulka 2. </w:t>
      </w:r>
      <w:r w:rsidR="00AB7350">
        <w:rPr>
          <w:rFonts w:ascii="Times New Roman" w:hAnsi="Times New Roman" w:cs="Times New Roman"/>
          <w:b/>
          <w:sz w:val="24"/>
          <w:szCs w:val="24"/>
        </w:rPr>
        <w:tab/>
      </w:r>
      <w:r w:rsidRPr="000D096C">
        <w:rPr>
          <w:rFonts w:ascii="Times New Roman" w:hAnsi="Times New Roman" w:cs="Times New Roman"/>
          <w:sz w:val="24"/>
          <w:szCs w:val="24"/>
        </w:rPr>
        <w:t>Základní cha</w:t>
      </w:r>
      <w:r w:rsidR="00F51E7A">
        <w:rPr>
          <w:rFonts w:ascii="Times New Roman" w:hAnsi="Times New Roman" w:cs="Times New Roman"/>
          <w:sz w:val="24"/>
          <w:szCs w:val="24"/>
        </w:rPr>
        <w:t>rakteristiky studované populace</w:t>
      </w:r>
    </w:p>
    <w:p w:rsidR="00835944" w:rsidRPr="000D096C" w:rsidRDefault="00835944" w:rsidP="00AB7350">
      <w:pPr>
        <w:pStyle w:val="Bezmezer"/>
        <w:spacing w:line="360" w:lineRule="auto"/>
        <w:ind w:left="1416" w:hanging="1416"/>
        <w:jc w:val="both"/>
        <w:rPr>
          <w:rFonts w:ascii="Times New Roman" w:hAnsi="Times New Roman" w:cs="Times New Roman"/>
          <w:b/>
          <w:sz w:val="24"/>
          <w:szCs w:val="24"/>
        </w:rPr>
      </w:pPr>
      <w:r w:rsidRPr="000D096C">
        <w:rPr>
          <w:rFonts w:ascii="Times New Roman" w:hAnsi="Times New Roman" w:cs="Times New Roman"/>
          <w:b/>
          <w:sz w:val="24"/>
          <w:szCs w:val="24"/>
        </w:rPr>
        <w:t xml:space="preserve">Tabulka 3. </w:t>
      </w:r>
      <w:r w:rsidR="00AB7350">
        <w:rPr>
          <w:rFonts w:ascii="Times New Roman" w:hAnsi="Times New Roman" w:cs="Times New Roman"/>
          <w:b/>
          <w:sz w:val="24"/>
          <w:szCs w:val="24"/>
        </w:rPr>
        <w:tab/>
      </w:r>
      <w:r w:rsidRPr="000D096C">
        <w:rPr>
          <w:rFonts w:ascii="Times New Roman" w:hAnsi="Times New Roman" w:cs="Times New Roman"/>
          <w:sz w:val="24"/>
          <w:szCs w:val="24"/>
        </w:rPr>
        <w:t>Pearsonovy korelační koeficienty (r) mezi zkoumanými proměnnými v</w:t>
      </w:r>
      <w:r w:rsidR="00A77665">
        <w:rPr>
          <w:rFonts w:ascii="Times New Roman" w:hAnsi="Times New Roman" w:cs="Times New Roman"/>
          <w:sz w:val="24"/>
          <w:szCs w:val="24"/>
        </w:rPr>
        <w:t> </w:t>
      </w:r>
      <w:r w:rsidRPr="000D096C">
        <w:rPr>
          <w:rFonts w:ascii="Times New Roman" w:hAnsi="Times New Roman" w:cs="Times New Roman"/>
          <w:sz w:val="24"/>
          <w:szCs w:val="24"/>
        </w:rPr>
        <w:t>MetS skupine/kontrolní skupině s uvedením statistické významnosti (p)</w:t>
      </w:r>
    </w:p>
    <w:p w:rsidR="00835944" w:rsidRPr="000D096C" w:rsidRDefault="00835944" w:rsidP="00AB7350">
      <w:pPr>
        <w:pStyle w:val="Bezmezer"/>
        <w:spacing w:line="360" w:lineRule="auto"/>
        <w:ind w:left="1416" w:hanging="1416"/>
        <w:jc w:val="both"/>
        <w:rPr>
          <w:rFonts w:ascii="Times New Roman" w:hAnsi="Times New Roman" w:cs="Times New Roman"/>
          <w:b/>
          <w:sz w:val="24"/>
          <w:szCs w:val="24"/>
        </w:rPr>
      </w:pPr>
      <w:r w:rsidRPr="000D096C">
        <w:rPr>
          <w:rFonts w:ascii="Times New Roman" w:hAnsi="Times New Roman" w:cs="Times New Roman"/>
          <w:b/>
          <w:sz w:val="24"/>
          <w:szCs w:val="24"/>
        </w:rPr>
        <w:t>Tabulka 4.</w:t>
      </w:r>
      <w:r w:rsidR="00AB7350">
        <w:rPr>
          <w:rFonts w:ascii="Times New Roman" w:hAnsi="Times New Roman" w:cs="Times New Roman"/>
          <w:b/>
          <w:sz w:val="24"/>
          <w:szCs w:val="24"/>
        </w:rPr>
        <w:tab/>
      </w:r>
      <w:r w:rsidRPr="000D096C">
        <w:rPr>
          <w:rFonts w:ascii="Times New Roman" w:hAnsi="Times New Roman" w:cs="Times New Roman"/>
          <w:sz w:val="24"/>
          <w:szCs w:val="24"/>
        </w:rPr>
        <w:t>Efekt jednotkové změny nezávisle proměnných na závisle proměnné HOMA-IR a HOMA-β</w:t>
      </w:r>
    </w:p>
    <w:p w:rsidR="00835944" w:rsidRPr="000D096C" w:rsidRDefault="00835944" w:rsidP="004567D5">
      <w:pPr>
        <w:pStyle w:val="MDPI41tablecaption"/>
        <w:spacing w:before="0" w:after="0" w:line="360" w:lineRule="auto"/>
        <w:ind w:left="0"/>
        <w:rPr>
          <w:rFonts w:ascii="Times New Roman" w:hAnsi="Times New Roman"/>
          <w:b/>
          <w:color w:val="auto"/>
          <w:sz w:val="24"/>
          <w:szCs w:val="24"/>
          <w:lang w:val="cs-CZ"/>
        </w:rPr>
      </w:pPr>
      <w:r w:rsidRPr="000D096C">
        <w:rPr>
          <w:rFonts w:ascii="Times New Roman" w:hAnsi="Times New Roman"/>
          <w:b/>
          <w:color w:val="auto"/>
          <w:sz w:val="24"/>
          <w:szCs w:val="24"/>
          <w:lang w:val="cs-CZ"/>
        </w:rPr>
        <w:t xml:space="preserve">Tabulka 5. </w:t>
      </w:r>
      <w:r w:rsidR="00AB7350">
        <w:rPr>
          <w:rFonts w:ascii="Times New Roman" w:hAnsi="Times New Roman"/>
          <w:b/>
          <w:color w:val="auto"/>
          <w:sz w:val="24"/>
          <w:szCs w:val="24"/>
          <w:lang w:val="cs-CZ"/>
        </w:rPr>
        <w:tab/>
      </w:r>
      <w:r w:rsidRPr="000D096C">
        <w:rPr>
          <w:rFonts w:ascii="Times New Roman" w:hAnsi="Times New Roman"/>
          <w:color w:val="auto"/>
          <w:sz w:val="24"/>
          <w:szCs w:val="24"/>
          <w:lang w:val="cs-CZ"/>
        </w:rPr>
        <w:t>Základní cha</w:t>
      </w:r>
      <w:r w:rsidR="00F51E7A">
        <w:rPr>
          <w:rFonts w:ascii="Times New Roman" w:hAnsi="Times New Roman"/>
          <w:color w:val="auto"/>
          <w:sz w:val="24"/>
          <w:szCs w:val="24"/>
          <w:lang w:val="cs-CZ"/>
        </w:rPr>
        <w:t>rakteristiky studované populace</w:t>
      </w:r>
    </w:p>
    <w:p w:rsidR="00835944" w:rsidRPr="000D096C" w:rsidRDefault="00835944" w:rsidP="00AB7350">
      <w:pPr>
        <w:spacing w:after="0" w:line="360" w:lineRule="auto"/>
        <w:ind w:left="1416" w:hanging="1416"/>
        <w:jc w:val="both"/>
        <w:rPr>
          <w:rFonts w:ascii="Times New Roman" w:hAnsi="Times New Roman" w:cs="Times New Roman"/>
          <w:sz w:val="24"/>
          <w:szCs w:val="24"/>
        </w:rPr>
      </w:pPr>
      <w:r w:rsidRPr="000D096C">
        <w:rPr>
          <w:rFonts w:ascii="Times New Roman" w:hAnsi="Times New Roman" w:cs="Times New Roman"/>
          <w:b/>
          <w:sz w:val="24"/>
          <w:szCs w:val="24"/>
        </w:rPr>
        <w:t xml:space="preserve">Tabulka 6. </w:t>
      </w:r>
      <w:r w:rsidR="00AB7350">
        <w:rPr>
          <w:rFonts w:ascii="Times New Roman" w:hAnsi="Times New Roman" w:cs="Times New Roman"/>
          <w:b/>
          <w:sz w:val="24"/>
          <w:szCs w:val="24"/>
        </w:rPr>
        <w:tab/>
      </w:r>
      <w:r w:rsidRPr="000D096C">
        <w:rPr>
          <w:rFonts w:ascii="Times New Roman" w:hAnsi="Times New Roman" w:cs="Times New Roman"/>
          <w:sz w:val="24"/>
          <w:szCs w:val="24"/>
        </w:rPr>
        <w:t>Hraniční hodnoty</w:t>
      </w:r>
      <w:r w:rsidRPr="000D096C">
        <w:rPr>
          <w:rFonts w:ascii="Times New Roman" w:hAnsi="Times New Roman" w:cs="Times New Roman"/>
          <w:b/>
          <w:sz w:val="24"/>
          <w:szCs w:val="24"/>
        </w:rPr>
        <w:t xml:space="preserve"> </w:t>
      </w:r>
      <w:r w:rsidRPr="000D096C">
        <w:rPr>
          <w:rFonts w:ascii="Times New Roman" w:hAnsi="Times New Roman" w:cs="Times New Roman"/>
          <w:sz w:val="24"/>
          <w:szCs w:val="24"/>
        </w:rPr>
        <w:t>VAI maximalizující součet senzitivity a specificity pro cílové parametry - MetS a stanovené hodnoty HOMA-IR</w:t>
      </w:r>
    </w:p>
    <w:p w:rsidR="00835944" w:rsidRPr="000D096C" w:rsidRDefault="00835944" w:rsidP="00AB7350">
      <w:pPr>
        <w:pStyle w:val="MDPI41tablecaption"/>
        <w:spacing w:before="0" w:after="0" w:line="360" w:lineRule="auto"/>
        <w:ind w:left="1416" w:hanging="1416"/>
        <w:rPr>
          <w:rFonts w:ascii="Times New Roman" w:hAnsi="Times New Roman"/>
          <w:color w:val="auto"/>
          <w:sz w:val="24"/>
          <w:szCs w:val="24"/>
          <w:lang w:val="cs-CZ"/>
        </w:rPr>
      </w:pPr>
      <w:r w:rsidRPr="000D096C">
        <w:rPr>
          <w:rFonts w:ascii="Times New Roman" w:hAnsi="Times New Roman"/>
          <w:b/>
          <w:color w:val="auto"/>
          <w:sz w:val="24"/>
          <w:szCs w:val="24"/>
          <w:lang w:val="cs-CZ"/>
        </w:rPr>
        <w:t xml:space="preserve">Tabulka 7. </w:t>
      </w:r>
      <w:r w:rsidR="00AB7350">
        <w:rPr>
          <w:rFonts w:ascii="Times New Roman" w:hAnsi="Times New Roman"/>
          <w:b/>
          <w:color w:val="auto"/>
          <w:sz w:val="24"/>
          <w:szCs w:val="24"/>
          <w:lang w:val="cs-CZ"/>
        </w:rPr>
        <w:tab/>
      </w:r>
      <w:r w:rsidRPr="000D096C">
        <w:rPr>
          <w:rFonts w:ascii="Times New Roman" w:hAnsi="Times New Roman"/>
          <w:color w:val="auto"/>
          <w:sz w:val="24"/>
          <w:szCs w:val="24"/>
          <w:lang w:val="cs-CZ"/>
        </w:rPr>
        <w:t>Spearmanovy korelační koeficienty (r) mezi zkoumanými proměnnými s uvedením statistické významnosti (p)</w:t>
      </w:r>
    </w:p>
    <w:p w:rsidR="00835944" w:rsidRPr="000D096C" w:rsidRDefault="00835944" w:rsidP="00C97500">
      <w:pPr>
        <w:pStyle w:val="Nadpis2"/>
      </w:pPr>
      <w:bookmarkStart w:id="138" w:name="_Toc33869558"/>
      <w:r w:rsidRPr="000D096C">
        <w:t>Seznam obrázků</w:t>
      </w:r>
      <w:bookmarkEnd w:id="138"/>
    </w:p>
    <w:p w:rsidR="00835944" w:rsidRPr="000D096C" w:rsidRDefault="00835944" w:rsidP="004567D5">
      <w:pPr>
        <w:spacing w:after="0" w:line="360" w:lineRule="auto"/>
        <w:jc w:val="both"/>
        <w:rPr>
          <w:rFonts w:ascii="Times New Roman" w:hAnsi="Times New Roman" w:cs="Times New Roman"/>
          <w:b/>
          <w:sz w:val="24"/>
          <w:szCs w:val="24"/>
        </w:rPr>
      </w:pPr>
      <w:r w:rsidRPr="000D096C">
        <w:rPr>
          <w:rFonts w:ascii="Times New Roman" w:hAnsi="Times New Roman" w:cs="Times New Roman"/>
          <w:b/>
          <w:sz w:val="24"/>
          <w:szCs w:val="24"/>
        </w:rPr>
        <w:t xml:space="preserve">Obrázek 1. </w:t>
      </w:r>
      <w:r w:rsidR="00AB7350">
        <w:rPr>
          <w:rFonts w:ascii="Times New Roman" w:hAnsi="Times New Roman" w:cs="Times New Roman"/>
          <w:b/>
          <w:sz w:val="24"/>
          <w:szCs w:val="24"/>
        </w:rPr>
        <w:tab/>
      </w:r>
      <w:r w:rsidRPr="000D096C">
        <w:rPr>
          <w:rFonts w:ascii="Times New Roman" w:hAnsi="Times New Roman" w:cs="Times New Roman"/>
          <w:sz w:val="24"/>
          <w:szCs w:val="24"/>
        </w:rPr>
        <w:t>Shrnutí patogeneze metabolického syndromu</w:t>
      </w:r>
    </w:p>
    <w:p w:rsidR="00835944" w:rsidRPr="000D096C" w:rsidRDefault="00835944" w:rsidP="004567D5">
      <w:pPr>
        <w:spacing w:after="0" w:line="360" w:lineRule="auto"/>
        <w:jc w:val="both"/>
        <w:rPr>
          <w:rFonts w:ascii="Times New Roman" w:hAnsi="Times New Roman" w:cs="Times New Roman"/>
          <w:sz w:val="24"/>
          <w:szCs w:val="24"/>
        </w:rPr>
      </w:pPr>
      <w:r w:rsidRPr="000D096C">
        <w:rPr>
          <w:rFonts w:ascii="Times New Roman" w:hAnsi="Times New Roman" w:cs="Times New Roman"/>
          <w:b/>
          <w:sz w:val="24"/>
          <w:szCs w:val="24"/>
        </w:rPr>
        <w:t xml:space="preserve">Obrázek 2. </w:t>
      </w:r>
      <w:r w:rsidR="00AB7350">
        <w:rPr>
          <w:rFonts w:ascii="Times New Roman" w:hAnsi="Times New Roman" w:cs="Times New Roman"/>
          <w:b/>
          <w:sz w:val="24"/>
          <w:szCs w:val="24"/>
        </w:rPr>
        <w:tab/>
      </w:r>
      <w:r w:rsidRPr="000D096C">
        <w:rPr>
          <w:rFonts w:ascii="Times New Roman" w:hAnsi="Times New Roman" w:cs="Times New Roman"/>
          <w:sz w:val="24"/>
          <w:szCs w:val="24"/>
        </w:rPr>
        <w:t>Prevalence porušené glukózové tolerance</w:t>
      </w:r>
      <w:r w:rsidR="00F51E7A">
        <w:rPr>
          <w:rFonts w:ascii="Times New Roman" w:hAnsi="Times New Roman" w:cs="Times New Roman"/>
          <w:sz w:val="24"/>
          <w:szCs w:val="24"/>
        </w:rPr>
        <w:t xml:space="preserve"> adjustované na věk ve světě [40</w:t>
      </w:r>
      <w:r w:rsidRPr="000D096C">
        <w:rPr>
          <w:rFonts w:ascii="Times New Roman" w:hAnsi="Times New Roman" w:cs="Times New Roman"/>
          <w:sz w:val="24"/>
          <w:szCs w:val="24"/>
        </w:rPr>
        <w:t>]</w:t>
      </w:r>
    </w:p>
    <w:p w:rsidR="00835944" w:rsidRPr="000D096C" w:rsidRDefault="00835944" w:rsidP="00AB7350">
      <w:pPr>
        <w:spacing w:after="0" w:line="360" w:lineRule="auto"/>
        <w:ind w:left="1416" w:hanging="1416"/>
        <w:jc w:val="both"/>
        <w:rPr>
          <w:rFonts w:ascii="Times New Roman" w:hAnsi="Times New Roman" w:cs="Times New Roman"/>
          <w:b/>
          <w:sz w:val="24"/>
          <w:szCs w:val="24"/>
        </w:rPr>
      </w:pPr>
      <w:r w:rsidRPr="000D096C">
        <w:rPr>
          <w:rFonts w:ascii="Times New Roman" w:hAnsi="Times New Roman" w:cs="Times New Roman"/>
          <w:b/>
          <w:sz w:val="24"/>
          <w:szCs w:val="24"/>
        </w:rPr>
        <w:t xml:space="preserve">Obrázek 3. </w:t>
      </w:r>
      <w:r w:rsidR="00AB7350">
        <w:rPr>
          <w:rFonts w:ascii="Times New Roman" w:hAnsi="Times New Roman" w:cs="Times New Roman"/>
          <w:b/>
          <w:sz w:val="24"/>
          <w:szCs w:val="24"/>
        </w:rPr>
        <w:tab/>
      </w:r>
      <w:r w:rsidRPr="000D096C">
        <w:rPr>
          <w:rFonts w:ascii="Times New Roman" w:hAnsi="Times New Roman" w:cs="Times New Roman"/>
          <w:sz w:val="24"/>
          <w:szCs w:val="24"/>
        </w:rPr>
        <w:t>Základní shrnutí vývoje poruch metabolismu glukózy a jejich biomarkery (popis v angličtině)</w:t>
      </w:r>
      <w:r w:rsidR="00F51E7A">
        <w:rPr>
          <w:rFonts w:ascii="Times New Roman" w:hAnsi="Times New Roman" w:cs="Times New Roman"/>
          <w:sz w:val="24"/>
          <w:szCs w:val="24"/>
        </w:rPr>
        <w:t xml:space="preserve"> </w:t>
      </w:r>
      <w:r w:rsidR="00F51E7A" w:rsidRPr="003F77A7">
        <w:rPr>
          <w:rFonts w:ascii="Times New Roman" w:hAnsi="Times New Roman" w:cs="Times New Roman"/>
          <w:sz w:val="24"/>
          <w:szCs w:val="24"/>
        </w:rPr>
        <w:t>[102]</w:t>
      </w:r>
    </w:p>
    <w:p w:rsidR="00835944" w:rsidRPr="000D096C" w:rsidRDefault="00835944" w:rsidP="00AB7350">
      <w:pPr>
        <w:spacing w:after="0" w:line="360" w:lineRule="auto"/>
        <w:ind w:left="1416" w:hanging="1416"/>
        <w:jc w:val="both"/>
        <w:rPr>
          <w:rFonts w:ascii="Times New Roman" w:hAnsi="Times New Roman" w:cs="Times New Roman"/>
          <w:sz w:val="24"/>
          <w:szCs w:val="24"/>
        </w:rPr>
      </w:pPr>
      <w:r w:rsidRPr="000D096C">
        <w:rPr>
          <w:rFonts w:ascii="Times New Roman" w:hAnsi="Times New Roman" w:cs="Times New Roman"/>
          <w:b/>
          <w:sz w:val="24"/>
          <w:szCs w:val="24"/>
        </w:rPr>
        <w:t>Obrázek 4.</w:t>
      </w:r>
      <w:r w:rsidRPr="000D096C">
        <w:rPr>
          <w:rFonts w:ascii="Times New Roman" w:hAnsi="Times New Roman" w:cs="Times New Roman"/>
          <w:sz w:val="24"/>
          <w:szCs w:val="24"/>
        </w:rPr>
        <w:t xml:space="preserve"> </w:t>
      </w:r>
      <w:r w:rsidR="00AB7350">
        <w:rPr>
          <w:rFonts w:ascii="Times New Roman" w:hAnsi="Times New Roman" w:cs="Times New Roman"/>
          <w:sz w:val="24"/>
          <w:szCs w:val="24"/>
        </w:rPr>
        <w:tab/>
      </w:r>
      <w:r w:rsidRPr="000D096C">
        <w:rPr>
          <w:rFonts w:ascii="Times New Roman" w:hAnsi="Times New Roman" w:cs="Times New Roman"/>
          <w:sz w:val="24"/>
          <w:szCs w:val="24"/>
        </w:rPr>
        <w:t>Bodové diagramy zobrazující korelaci OP s HOMA-IR (A) a HOMA-β (B) jak v MetS skupině (červeně), tak v kontrolní skupině (modře)</w:t>
      </w:r>
    </w:p>
    <w:p w:rsidR="00C3347D" w:rsidRDefault="00C3347D" w:rsidP="00AB7350">
      <w:pPr>
        <w:pStyle w:val="Bezmezer"/>
        <w:spacing w:line="360" w:lineRule="auto"/>
        <w:ind w:left="1416" w:hanging="1416"/>
        <w:jc w:val="both"/>
        <w:rPr>
          <w:rFonts w:ascii="Times New Roman" w:hAnsi="Times New Roman" w:cs="Times New Roman"/>
          <w:sz w:val="24"/>
          <w:szCs w:val="24"/>
        </w:rPr>
      </w:pPr>
      <w:r w:rsidRPr="000D096C">
        <w:rPr>
          <w:rFonts w:ascii="Times New Roman" w:hAnsi="Times New Roman" w:cs="Times New Roman"/>
          <w:b/>
          <w:sz w:val="24"/>
          <w:szCs w:val="24"/>
        </w:rPr>
        <w:t>Obrázek 5.</w:t>
      </w:r>
      <w:r w:rsidRPr="000D096C">
        <w:rPr>
          <w:rFonts w:ascii="Times New Roman" w:hAnsi="Times New Roman" w:cs="Times New Roman"/>
          <w:sz w:val="24"/>
          <w:szCs w:val="24"/>
        </w:rPr>
        <w:t xml:space="preserve"> </w:t>
      </w:r>
      <w:r w:rsidR="00AB7350">
        <w:rPr>
          <w:rFonts w:ascii="Times New Roman" w:hAnsi="Times New Roman" w:cs="Times New Roman"/>
          <w:sz w:val="24"/>
          <w:szCs w:val="24"/>
        </w:rPr>
        <w:tab/>
      </w:r>
      <w:r w:rsidRPr="000D096C">
        <w:rPr>
          <w:rFonts w:ascii="Times New Roman" w:hAnsi="Times New Roman" w:cs="Times New Roman"/>
          <w:sz w:val="24"/>
          <w:szCs w:val="24"/>
        </w:rPr>
        <w:t>Bodové diagram</w:t>
      </w:r>
      <w:r>
        <w:rPr>
          <w:rFonts w:ascii="Times New Roman" w:hAnsi="Times New Roman" w:cs="Times New Roman"/>
          <w:sz w:val="24"/>
          <w:szCs w:val="24"/>
        </w:rPr>
        <w:t>y</w:t>
      </w:r>
      <w:r w:rsidRPr="000D096C">
        <w:rPr>
          <w:rFonts w:ascii="Times New Roman" w:hAnsi="Times New Roman" w:cs="Times New Roman"/>
          <w:sz w:val="24"/>
          <w:szCs w:val="24"/>
        </w:rPr>
        <w:t xml:space="preserve"> zobrazující korelace </w:t>
      </w:r>
      <w:r>
        <w:rPr>
          <w:rFonts w:ascii="Times New Roman" w:hAnsi="Times New Roman" w:cs="Times New Roman"/>
          <w:sz w:val="24"/>
          <w:szCs w:val="24"/>
        </w:rPr>
        <w:t xml:space="preserve">HOMA-IR s </w:t>
      </w:r>
      <w:r w:rsidRPr="000D096C">
        <w:rPr>
          <w:rFonts w:ascii="Times New Roman" w:hAnsi="Times New Roman" w:cs="Times New Roman"/>
          <w:sz w:val="24"/>
          <w:szCs w:val="24"/>
        </w:rPr>
        <w:t xml:space="preserve">ALT </w:t>
      </w:r>
      <w:r>
        <w:rPr>
          <w:rFonts w:ascii="Times New Roman" w:hAnsi="Times New Roman" w:cs="Times New Roman"/>
          <w:sz w:val="24"/>
          <w:szCs w:val="24"/>
        </w:rPr>
        <w:t>(A) a AST (B)</w:t>
      </w:r>
      <w:r w:rsidRPr="000D096C">
        <w:rPr>
          <w:rFonts w:ascii="Times New Roman" w:hAnsi="Times New Roman" w:cs="Times New Roman"/>
          <w:sz w:val="24"/>
          <w:szCs w:val="24"/>
        </w:rPr>
        <w:t xml:space="preserve"> jak v MetS skupině (červeně), tak v</w:t>
      </w:r>
      <w:r>
        <w:rPr>
          <w:rFonts w:ascii="Times New Roman" w:hAnsi="Times New Roman" w:cs="Times New Roman"/>
          <w:sz w:val="24"/>
          <w:szCs w:val="24"/>
        </w:rPr>
        <w:t> </w:t>
      </w:r>
      <w:r w:rsidRPr="000D096C">
        <w:rPr>
          <w:rFonts w:ascii="Times New Roman" w:hAnsi="Times New Roman" w:cs="Times New Roman"/>
          <w:sz w:val="24"/>
          <w:szCs w:val="24"/>
        </w:rPr>
        <w:t>kontrolní skupině (modře)</w:t>
      </w:r>
    </w:p>
    <w:p w:rsidR="00C3347D" w:rsidRDefault="00C3347D" w:rsidP="00AB7350">
      <w:pPr>
        <w:pStyle w:val="Bezmezer"/>
        <w:spacing w:line="360" w:lineRule="auto"/>
        <w:ind w:left="1416" w:hanging="1416"/>
        <w:jc w:val="both"/>
        <w:rPr>
          <w:rFonts w:ascii="Times New Roman" w:hAnsi="Times New Roman" w:cs="Times New Roman"/>
          <w:sz w:val="24"/>
          <w:szCs w:val="24"/>
        </w:rPr>
      </w:pPr>
      <w:r w:rsidRPr="000D096C">
        <w:rPr>
          <w:rFonts w:ascii="Times New Roman" w:hAnsi="Times New Roman" w:cs="Times New Roman"/>
          <w:b/>
          <w:sz w:val="24"/>
          <w:szCs w:val="24"/>
        </w:rPr>
        <w:t xml:space="preserve">Obrázek </w:t>
      </w:r>
      <w:r>
        <w:rPr>
          <w:rFonts w:ascii="Times New Roman" w:hAnsi="Times New Roman" w:cs="Times New Roman"/>
          <w:b/>
          <w:sz w:val="24"/>
          <w:szCs w:val="24"/>
        </w:rPr>
        <w:t>6</w:t>
      </w:r>
      <w:r w:rsidRPr="000D096C">
        <w:rPr>
          <w:rFonts w:ascii="Times New Roman" w:hAnsi="Times New Roman" w:cs="Times New Roman"/>
          <w:b/>
          <w:sz w:val="24"/>
          <w:szCs w:val="24"/>
        </w:rPr>
        <w:t>.</w:t>
      </w:r>
      <w:r w:rsidRPr="000D096C">
        <w:rPr>
          <w:rFonts w:ascii="Times New Roman" w:hAnsi="Times New Roman" w:cs="Times New Roman"/>
          <w:sz w:val="24"/>
          <w:szCs w:val="24"/>
        </w:rPr>
        <w:t xml:space="preserve"> </w:t>
      </w:r>
      <w:r w:rsidR="00AB7350">
        <w:rPr>
          <w:rFonts w:ascii="Times New Roman" w:hAnsi="Times New Roman" w:cs="Times New Roman"/>
          <w:sz w:val="24"/>
          <w:szCs w:val="24"/>
        </w:rPr>
        <w:tab/>
      </w:r>
      <w:r w:rsidRPr="000D096C">
        <w:rPr>
          <w:rFonts w:ascii="Times New Roman" w:hAnsi="Times New Roman" w:cs="Times New Roman"/>
          <w:sz w:val="24"/>
          <w:szCs w:val="24"/>
        </w:rPr>
        <w:t>Bodové diagram</w:t>
      </w:r>
      <w:r>
        <w:rPr>
          <w:rFonts w:ascii="Times New Roman" w:hAnsi="Times New Roman" w:cs="Times New Roman"/>
          <w:sz w:val="24"/>
          <w:szCs w:val="24"/>
        </w:rPr>
        <w:t>y</w:t>
      </w:r>
      <w:r w:rsidRPr="000D096C">
        <w:rPr>
          <w:rFonts w:ascii="Times New Roman" w:hAnsi="Times New Roman" w:cs="Times New Roman"/>
          <w:sz w:val="24"/>
          <w:szCs w:val="24"/>
        </w:rPr>
        <w:t xml:space="preserve"> zobrazující korelace</w:t>
      </w:r>
      <w:r>
        <w:rPr>
          <w:rFonts w:ascii="Times New Roman" w:hAnsi="Times New Roman" w:cs="Times New Roman"/>
          <w:sz w:val="24"/>
          <w:szCs w:val="24"/>
        </w:rPr>
        <w:t xml:space="preserve"> </w:t>
      </w:r>
      <w:r w:rsidRPr="000D096C">
        <w:rPr>
          <w:rFonts w:ascii="Times New Roman" w:hAnsi="Times New Roman" w:cs="Times New Roman"/>
          <w:sz w:val="24"/>
          <w:szCs w:val="24"/>
        </w:rPr>
        <w:t xml:space="preserve">HOMA-β </w:t>
      </w:r>
      <w:r>
        <w:rPr>
          <w:rFonts w:ascii="Times New Roman" w:hAnsi="Times New Roman" w:cs="Times New Roman"/>
          <w:sz w:val="24"/>
          <w:szCs w:val="24"/>
        </w:rPr>
        <w:t>s </w:t>
      </w:r>
      <w:r w:rsidRPr="000D096C">
        <w:rPr>
          <w:rFonts w:ascii="Times New Roman" w:hAnsi="Times New Roman" w:cs="Times New Roman"/>
          <w:sz w:val="24"/>
          <w:szCs w:val="24"/>
        </w:rPr>
        <w:t>ALT</w:t>
      </w:r>
      <w:r>
        <w:rPr>
          <w:rFonts w:ascii="Times New Roman" w:hAnsi="Times New Roman" w:cs="Times New Roman"/>
          <w:sz w:val="24"/>
          <w:szCs w:val="24"/>
        </w:rPr>
        <w:t xml:space="preserve"> (A) a AST (B)</w:t>
      </w:r>
      <w:r w:rsidRPr="000D096C">
        <w:rPr>
          <w:rFonts w:ascii="Times New Roman" w:hAnsi="Times New Roman" w:cs="Times New Roman"/>
          <w:sz w:val="24"/>
          <w:szCs w:val="24"/>
        </w:rPr>
        <w:t xml:space="preserve"> jak v MetS skupině (červeně), tak v</w:t>
      </w:r>
      <w:r>
        <w:rPr>
          <w:rFonts w:ascii="Times New Roman" w:hAnsi="Times New Roman" w:cs="Times New Roman"/>
          <w:sz w:val="24"/>
          <w:szCs w:val="24"/>
        </w:rPr>
        <w:t> </w:t>
      </w:r>
      <w:r w:rsidRPr="000D096C">
        <w:rPr>
          <w:rFonts w:ascii="Times New Roman" w:hAnsi="Times New Roman" w:cs="Times New Roman"/>
          <w:sz w:val="24"/>
          <w:szCs w:val="24"/>
        </w:rPr>
        <w:t>kontrolní skupině (modře)</w:t>
      </w:r>
    </w:p>
    <w:p w:rsidR="00AB7350" w:rsidRDefault="00C3347D" w:rsidP="00AB7350">
      <w:pPr>
        <w:pStyle w:val="Bezmezer"/>
        <w:spacing w:line="360" w:lineRule="auto"/>
        <w:ind w:left="1416" w:hanging="1416"/>
        <w:jc w:val="both"/>
        <w:rPr>
          <w:rFonts w:ascii="Times New Roman" w:hAnsi="Times New Roman" w:cs="Times New Roman"/>
          <w:sz w:val="24"/>
          <w:szCs w:val="24"/>
          <w:lang w:eastAsia="de-DE" w:bidi="en-US"/>
        </w:rPr>
      </w:pPr>
      <w:r w:rsidRPr="00B1324F">
        <w:rPr>
          <w:rFonts w:ascii="Times New Roman" w:hAnsi="Times New Roman" w:cs="Times New Roman"/>
          <w:b/>
          <w:sz w:val="24"/>
          <w:szCs w:val="24"/>
          <w:lang w:eastAsia="de-DE" w:bidi="en-US"/>
        </w:rPr>
        <w:t>Obrázek 7.</w:t>
      </w:r>
      <w:r w:rsidR="00AB7350">
        <w:rPr>
          <w:rFonts w:ascii="Times New Roman" w:hAnsi="Times New Roman" w:cs="Times New Roman"/>
          <w:sz w:val="24"/>
          <w:szCs w:val="24"/>
        </w:rPr>
        <w:tab/>
      </w:r>
      <w:r w:rsidRPr="000D096C">
        <w:rPr>
          <w:rFonts w:ascii="Times New Roman" w:hAnsi="Times New Roman" w:cs="Times New Roman"/>
          <w:sz w:val="24"/>
          <w:szCs w:val="24"/>
        </w:rPr>
        <w:t xml:space="preserve">Bodové diagramy zobrazující korelace </w:t>
      </w:r>
      <w:r w:rsidRPr="000D096C">
        <w:rPr>
          <w:rFonts w:ascii="Times New Roman" w:hAnsi="Times New Roman" w:cs="Times New Roman"/>
          <w:sz w:val="24"/>
          <w:szCs w:val="24"/>
          <w:lang w:eastAsia="de-DE" w:bidi="en-US"/>
        </w:rPr>
        <w:t>HOMA-IR s VAI, OP a BMI s uvedením hodnoty korelačních koeficientů (r)</w:t>
      </w:r>
    </w:p>
    <w:p w:rsidR="00AB7350" w:rsidRDefault="00AB7350">
      <w:pPr>
        <w:rPr>
          <w:rFonts w:ascii="Times New Roman" w:hAnsi="Times New Roman" w:cs="Times New Roman"/>
          <w:sz w:val="24"/>
          <w:szCs w:val="24"/>
          <w:lang w:eastAsia="de-DE" w:bidi="en-US"/>
        </w:rPr>
      </w:pPr>
      <w:r>
        <w:rPr>
          <w:rFonts w:ascii="Times New Roman" w:hAnsi="Times New Roman" w:cs="Times New Roman"/>
          <w:sz w:val="24"/>
          <w:szCs w:val="24"/>
          <w:lang w:eastAsia="de-DE" w:bidi="en-US"/>
        </w:rPr>
        <w:br w:type="page"/>
      </w:r>
    </w:p>
    <w:p w:rsidR="00E117AC" w:rsidRPr="000D096C" w:rsidRDefault="003044A8" w:rsidP="004567D5">
      <w:pPr>
        <w:pStyle w:val="Nadpis1"/>
      </w:pPr>
      <w:bookmarkStart w:id="139" w:name="_Toc33432698"/>
      <w:bookmarkStart w:id="140" w:name="_Toc33432918"/>
      <w:bookmarkStart w:id="141" w:name="_Toc33869559"/>
      <w:r w:rsidRPr="000D096C">
        <w:lastRenderedPageBreak/>
        <w:t>Literatura</w:t>
      </w:r>
      <w:bookmarkEnd w:id="139"/>
      <w:bookmarkEnd w:id="140"/>
      <w:bookmarkEnd w:id="141"/>
    </w:p>
    <w:p w:rsidR="00E1188B" w:rsidRPr="00C97500" w:rsidRDefault="003A4DBF" w:rsidP="00C97500">
      <w:pPr>
        <w:pStyle w:val="Odstavecseseznamem"/>
        <w:numPr>
          <w:ilvl w:val="0"/>
          <w:numId w:val="5"/>
        </w:numPr>
        <w:spacing w:line="360" w:lineRule="auto"/>
        <w:jc w:val="both"/>
        <w:rPr>
          <w:rFonts w:ascii="Times New Roman" w:hAnsi="Times New Roman" w:cs="Times New Roman"/>
          <w:sz w:val="24"/>
          <w:szCs w:val="24"/>
        </w:rPr>
      </w:pPr>
      <w:r>
        <w:rPr>
          <w:rStyle w:val="Hypertextovodkaz"/>
          <w:rFonts w:ascii="Times New Roman" w:hAnsi="Times New Roman" w:cs="Times New Roman"/>
          <w:color w:val="auto"/>
          <w:sz w:val="24"/>
          <w:szCs w:val="24"/>
          <w:u w:val="none"/>
        </w:rPr>
        <w:t>World Health Organization.</w:t>
      </w:r>
      <w:r w:rsidR="00A239A3" w:rsidRPr="00C97500">
        <w:rPr>
          <w:rStyle w:val="Hypertextovodkaz"/>
          <w:rFonts w:ascii="Times New Roman" w:hAnsi="Times New Roman" w:cs="Times New Roman"/>
          <w:color w:val="auto"/>
          <w:sz w:val="24"/>
          <w:szCs w:val="24"/>
          <w:u w:val="none"/>
        </w:rPr>
        <w:t xml:space="preserve"> The top 10 causes of death. </w:t>
      </w:r>
      <w:r w:rsidR="009907FF" w:rsidRPr="00C97500">
        <w:rPr>
          <w:rStyle w:val="Hypertextovodkaz"/>
          <w:rFonts w:ascii="Times New Roman" w:hAnsi="Times New Roman" w:cs="Times New Roman"/>
          <w:color w:val="auto"/>
          <w:sz w:val="24"/>
          <w:szCs w:val="24"/>
          <w:u w:val="none"/>
        </w:rPr>
        <w:t xml:space="preserve">2018. </w:t>
      </w:r>
      <w:r w:rsidR="00A239A3" w:rsidRPr="00C97500">
        <w:rPr>
          <w:rStyle w:val="Hypertextovodkaz"/>
          <w:rFonts w:ascii="Times New Roman" w:hAnsi="Times New Roman" w:cs="Times New Roman"/>
          <w:color w:val="auto"/>
          <w:sz w:val="24"/>
          <w:szCs w:val="24"/>
          <w:u w:val="none"/>
        </w:rPr>
        <w:t xml:space="preserve">Dostupné z: </w:t>
      </w:r>
      <w:r w:rsidR="00E1188B" w:rsidRPr="00C97500">
        <w:rPr>
          <w:rStyle w:val="Hypertextovodkaz"/>
          <w:rFonts w:ascii="Times New Roman" w:hAnsi="Times New Roman" w:cs="Times New Roman"/>
          <w:color w:val="auto"/>
          <w:sz w:val="24"/>
          <w:szCs w:val="24"/>
          <w:u w:val="none"/>
        </w:rPr>
        <w:t>https://www.who.int/en/news-room/fact-sheets/detail/the-top-10-causes-of-death</w:t>
      </w:r>
      <w:r w:rsidR="00A239A3" w:rsidRPr="00C97500">
        <w:rPr>
          <w:rStyle w:val="Hypertextovodkaz"/>
          <w:rFonts w:ascii="Times New Roman" w:hAnsi="Times New Roman" w:cs="Times New Roman"/>
          <w:color w:val="auto"/>
          <w:sz w:val="24"/>
          <w:szCs w:val="24"/>
          <w:u w:val="none"/>
        </w:rPr>
        <w:t>.</w:t>
      </w:r>
    </w:p>
    <w:p w:rsidR="00E1188B" w:rsidRPr="00C97500" w:rsidRDefault="00A239A3"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Ministerstvo zdravotnictví České republiky. </w:t>
      </w:r>
      <w:r w:rsidR="00821EBE" w:rsidRPr="00C97500">
        <w:rPr>
          <w:rFonts w:ascii="Times New Roman" w:hAnsi="Times New Roman" w:cs="Times New Roman"/>
          <w:sz w:val="24"/>
          <w:szCs w:val="24"/>
        </w:rPr>
        <w:t>Zpráva o zdraví obyvatel České republiky</w:t>
      </w:r>
      <w:r w:rsidRPr="00C97500">
        <w:rPr>
          <w:rFonts w:ascii="Times New Roman" w:hAnsi="Times New Roman" w:cs="Times New Roman"/>
          <w:sz w:val="24"/>
          <w:szCs w:val="24"/>
        </w:rPr>
        <w:t>.</w:t>
      </w:r>
      <w:r w:rsidR="009907FF" w:rsidRPr="00C97500">
        <w:rPr>
          <w:rFonts w:ascii="Times New Roman" w:hAnsi="Times New Roman" w:cs="Times New Roman"/>
          <w:sz w:val="24"/>
          <w:szCs w:val="24"/>
        </w:rPr>
        <w:t xml:space="preserve"> 2014.</w:t>
      </w:r>
      <w:r w:rsidRPr="00C97500">
        <w:rPr>
          <w:rFonts w:ascii="Times New Roman" w:hAnsi="Times New Roman" w:cs="Times New Roman"/>
          <w:sz w:val="24"/>
          <w:szCs w:val="24"/>
        </w:rPr>
        <w:t xml:space="preserve"> Dostupné z: </w:t>
      </w:r>
      <w:r w:rsidR="00821EBE" w:rsidRPr="00C97500">
        <w:rPr>
          <w:rFonts w:ascii="Times New Roman" w:hAnsi="Times New Roman" w:cs="Times New Roman"/>
          <w:sz w:val="24"/>
          <w:szCs w:val="24"/>
        </w:rPr>
        <w:t>http://www.mzcr.cz/verejne/dokumenty/zprava-o-zdravi-obyvatel-ceske-republiky2014-_9420_3016_5.html.</w:t>
      </w:r>
    </w:p>
    <w:p w:rsidR="00E1188B" w:rsidRPr="00C97500" w:rsidRDefault="00821EB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 xml:space="preserve">Češka </w:t>
      </w:r>
      <w:r w:rsidR="00A239A3" w:rsidRPr="00C97500">
        <w:rPr>
          <w:rFonts w:ascii="Times New Roman" w:hAnsi="Times New Roman" w:cs="Times New Roman"/>
          <w:sz w:val="24"/>
          <w:szCs w:val="24"/>
          <w:shd w:val="clear" w:color="auto" w:fill="FFFFFF"/>
        </w:rPr>
        <w:t xml:space="preserve">R. </w:t>
      </w:r>
      <w:r w:rsidRPr="00C97500">
        <w:rPr>
          <w:rFonts w:ascii="Times New Roman" w:hAnsi="Times New Roman" w:cs="Times New Roman"/>
          <w:sz w:val="24"/>
          <w:szCs w:val="24"/>
          <w:shd w:val="clear" w:color="auto" w:fill="FFFFFF"/>
        </w:rPr>
        <w:t>Interna - 2., aktualizované vydání</w:t>
      </w:r>
      <w:r w:rsidR="00A239A3" w:rsidRPr="00C97500">
        <w:rPr>
          <w:rFonts w:ascii="Times New Roman" w:hAnsi="Times New Roman" w:cs="Times New Roman"/>
          <w:sz w:val="24"/>
          <w:szCs w:val="24"/>
          <w:shd w:val="clear" w:color="auto" w:fill="FFFFFF"/>
        </w:rPr>
        <w:t>. </w:t>
      </w:r>
      <w:r w:rsidRPr="00C97500">
        <w:rPr>
          <w:rFonts w:ascii="Times New Roman" w:hAnsi="Times New Roman" w:cs="Times New Roman"/>
          <w:iCs/>
          <w:sz w:val="24"/>
          <w:szCs w:val="24"/>
          <w:shd w:val="clear" w:color="auto" w:fill="FFFFFF"/>
        </w:rPr>
        <w:t>Praha: Triton;</w:t>
      </w:r>
      <w:r w:rsidRPr="00C97500">
        <w:rPr>
          <w:rFonts w:ascii="Times New Roman" w:hAnsi="Times New Roman" w:cs="Times New Roman"/>
          <w:sz w:val="24"/>
          <w:szCs w:val="24"/>
          <w:shd w:val="clear" w:color="auto" w:fill="FFFFFF"/>
        </w:rPr>
        <w:t xml:space="preserve"> 2015. ISBN</w:t>
      </w:r>
      <w:r w:rsidRPr="00C97500">
        <w:rPr>
          <w:rFonts w:ascii="Times New Roman" w:hAnsi="Times New Roman" w:cs="Times New Roman"/>
          <w:sz w:val="24"/>
          <w:szCs w:val="24"/>
          <w:shd w:val="clear" w:color="auto" w:fill="FFFFFF"/>
        </w:rPr>
        <w:tab/>
        <w:t>978-80-7387-885-6.</w:t>
      </w:r>
    </w:p>
    <w:p w:rsidR="00E1188B" w:rsidRPr="00C97500" w:rsidRDefault="00A239A3" w:rsidP="00C97500">
      <w:pPr>
        <w:pStyle w:val="Odstavecseseznamem"/>
        <w:numPr>
          <w:ilvl w:val="0"/>
          <w:numId w:val="5"/>
        </w:numPr>
        <w:spacing w:line="360" w:lineRule="auto"/>
        <w:jc w:val="both"/>
        <w:rPr>
          <w:rStyle w:val="Hypertextovodkaz"/>
          <w:rFonts w:ascii="Times New Roman" w:hAnsi="Times New Roman" w:cs="Times New Roman"/>
          <w:color w:val="auto"/>
          <w:sz w:val="24"/>
          <w:szCs w:val="24"/>
          <w:u w:val="none"/>
        </w:rPr>
      </w:pPr>
      <w:r w:rsidRPr="00C97500">
        <w:rPr>
          <w:rStyle w:val="Hypertextovodkaz"/>
          <w:rFonts w:ascii="Times New Roman" w:hAnsi="Times New Roman" w:cs="Times New Roman"/>
          <w:color w:val="auto"/>
          <w:sz w:val="24"/>
          <w:szCs w:val="24"/>
          <w:u w:val="none"/>
        </w:rPr>
        <w:t xml:space="preserve">Státní zdravotní ústav. Zdravotní stav české populace – výsledky studie EHES 2014. </w:t>
      </w:r>
      <w:r w:rsidR="009907FF" w:rsidRPr="00C97500">
        <w:rPr>
          <w:rStyle w:val="Hypertextovodkaz"/>
          <w:rFonts w:ascii="Times New Roman" w:hAnsi="Times New Roman" w:cs="Times New Roman"/>
          <w:color w:val="auto"/>
          <w:sz w:val="24"/>
          <w:szCs w:val="24"/>
          <w:u w:val="none"/>
        </w:rPr>
        <w:t xml:space="preserve">2014. </w:t>
      </w:r>
      <w:r w:rsidRPr="00C97500">
        <w:rPr>
          <w:rStyle w:val="Hypertextovodkaz"/>
          <w:rFonts w:ascii="Times New Roman" w:hAnsi="Times New Roman" w:cs="Times New Roman"/>
          <w:color w:val="auto"/>
          <w:sz w:val="24"/>
          <w:szCs w:val="24"/>
          <w:u w:val="none"/>
        </w:rPr>
        <w:t xml:space="preserve">Dostupné z: </w:t>
      </w:r>
      <w:hyperlink r:id="rId17" w:history="1">
        <w:r w:rsidR="00E1188B" w:rsidRPr="00C97500">
          <w:rPr>
            <w:rStyle w:val="Hypertextovodkaz"/>
            <w:rFonts w:ascii="Times New Roman" w:hAnsi="Times New Roman" w:cs="Times New Roman"/>
            <w:color w:val="auto"/>
            <w:sz w:val="24"/>
            <w:szCs w:val="24"/>
            <w:u w:val="none"/>
          </w:rPr>
          <w:t>http://www.szu.cz/ehes2014</w:t>
        </w:r>
      </w:hyperlink>
      <w:r w:rsidRPr="00C97500">
        <w:rPr>
          <w:rStyle w:val="Hypertextovodkaz"/>
          <w:rFonts w:ascii="Times New Roman" w:hAnsi="Times New Roman" w:cs="Times New Roman"/>
          <w:color w:val="auto"/>
          <w:sz w:val="24"/>
          <w:szCs w:val="24"/>
          <w:u w:val="none"/>
        </w:rPr>
        <w:t>.</w:t>
      </w:r>
    </w:p>
    <w:p w:rsidR="00D46B5A" w:rsidRPr="00C97500" w:rsidRDefault="00821EB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Horáková D</w:t>
      </w:r>
      <w:r w:rsidR="00A239A3" w:rsidRPr="00C97500">
        <w:rPr>
          <w:rFonts w:ascii="Times New Roman" w:hAnsi="Times New Roman" w:cs="Times New Roman"/>
          <w:sz w:val="24"/>
          <w:szCs w:val="24"/>
        </w:rPr>
        <w:t>. Epidemiologie inzulínové rezistence. Olomouc: Univerzita Palacké</w:t>
      </w:r>
      <w:r w:rsidRPr="00C97500">
        <w:rPr>
          <w:rFonts w:ascii="Times New Roman" w:hAnsi="Times New Roman" w:cs="Times New Roman"/>
          <w:sz w:val="24"/>
          <w:szCs w:val="24"/>
        </w:rPr>
        <w:t>ho v Olomouci;</w:t>
      </w:r>
      <w:r w:rsidR="00A239A3" w:rsidRPr="00C97500">
        <w:rPr>
          <w:rFonts w:ascii="Times New Roman" w:hAnsi="Times New Roman" w:cs="Times New Roman"/>
          <w:sz w:val="24"/>
          <w:szCs w:val="24"/>
        </w:rPr>
        <w:t xml:space="preserve"> 2013. ISBN 978-80-244-3599-2.</w:t>
      </w:r>
    </w:p>
    <w:p w:rsidR="00D46B5A" w:rsidRPr="00C97500" w:rsidRDefault="00821EB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Kassi E, Pervanidou P, Kaltsas G, Chrousos G.</w:t>
      </w:r>
      <w:r w:rsidR="00A239A3" w:rsidRPr="00C97500">
        <w:rPr>
          <w:rFonts w:ascii="Times New Roman" w:hAnsi="Times New Roman" w:cs="Times New Roman"/>
          <w:sz w:val="24"/>
          <w:szCs w:val="24"/>
        </w:rPr>
        <w:t xml:space="preserve"> Metabolic syndrome: definitions and controversies. BMC Med</w:t>
      </w:r>
      <w:r w:rsidRPr="00C97500">
        <w:rPr>
          <w:rFonts w:ascii="Times New Roman" w:hAnsi="Times New Roman" w:cs="Times New Roman"/>
          <w:sz w:val="24"/>
          <w:szCs w:val="24"/>
        </w:rPr>
        <w:t xml:space="preserve"> 2011;</w:t>
      </w:r>
      <w:r w:rsidR="00A239A3" w:rsidRPr="00C97500">
        <w:rPr>
          <w:rFonts w:ascii="Times New Roman" w:hAnsi="Times New Roman" w:cs="Times New Roman"/>
          <w:sz w:val="24"/>
          <w:szCs w:val="24"/>
        </w:rPr>
        <w:t>9:48.</w:t>
      </w:r>
    </w:p>
    <w:p w:rsidR="00D46B5A" w:rsidRPr="00C97500" w:rsidRDefault="00821EB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Alberti KG, Eckel RH, Grundy SM, Zimmet PZ, Cleeman JI, Donato KA, Fruchart JC, </w:t>
      </w:r>
      <w:r w:rsidR="005D41EA" w:rsidRPr="00C97500">
        <w:rPr>
          <w:rFonts w:ascii="Times New Roman" w:hAnsi="Times New Roman" w:cs="Times New Roman"/>
          <w:sz w:val="24"/>
          <w:szCs w:val="24"/>
        </w:rPr>
        <w:t>James WP, Loria CM, Smith SC Jr. Harmonizing the metabolic syndrome: a joint interim statement of the Int</w:t>
      </w:r>
      <w:r w:rsidR="006D214E" w:rsidRPr="00C97500">
        <w:rPr>
          <w:rFonts w:ascii="Times New Roman" w:hAnsi="Times New Roman" w:cs="Times New Roman"/>
          <w:sz w:val="24"/>
          <w:szCs w:val="24"/>
        </w:rPr>
        <w:t>ernational Diabetes Federation task f</w:t>
      </w:r>
      <w:r w:rsidR="005D41EA" w:rsidRPr="00C97500">
        <w:rPr>
          <w:rFonts w:ascii="Times New Roman" w:hAnsi="Times New Roman" w:cs="Times New Roman"/>
          <w:sz w:val="24"/>
          <w:szCs w:val="24"/>
        </w:rPr>
        <w:t xml:space="preserve">orce on </w:t>
      </w:r>
      <w:r w:rsidR="006D214E" w:rsidRPr="00C97500">
        <w:rPr>
          <w:rFonts w:ascii="Times New Roman" w:hAnsi="Times New Roman" w:cs="Times New Roman"/>
          <w:sz w:val="24"/>
          <w:szCs w:val="24"/>
        </w:rPr>
        <w:t>epidemiology and p</w:t>
      </w:r>
      <w:r w:rsidR="005D41EA" w:rsidRPr="00C97500">
        <w:rPr>
          <w:rFonts w:ascii="Times New Roman" w:hAnsi="Times New Roman" w:cs="Times New Roman"/>
          <w:sz w:val="24"/>
          <w:szCs w:val="24"/>
        </w:rPr>
        <w:t>revention; National Heart, Lung, and Blood Institute; American Heart Association; World Heart Federation; International Atherosclerosis Society; and International Association for the Study of Obesity</w:t>
      </w:r>
      <w:r w:rsidR="00AE62EE" w:rsidRPr="00C97500">
        <w:rPr>
          <w:rFonts w:ascii="Times New Roman" w:hAnsi="Times New Roman" w:cs="Times New Roman"/>
          <w:sz w:val="24"/>
          <w:szCs w:val="24"/>
        </w:rPr>
        <w:t>. Circulation 2009</w:t>
      </w:r>
      <w:r w:rsidR="005D41EA" w:rsidRPr="00C97500">
        <w:rPr>
          <w:rFonts w:ascii="Times New Roman" w:hAnsi="Times New Roman" w:cs="Times New Roman"/>
          <w:sz w:val="24"/>
          <w:szCs w:val="24"/>
        </w:rPr>
        <w:t>;120(16):1640-5.</w:t>
      </w:r>
    </w:p>
    <w:p w:rsidR="00D46B5A" w:rsidRPr="00C97500" w:rsidRDefault="005D41EA"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Alberti KG, Zimmet P, Shaw J.</w:t>
      </w:r>
      <w:r w:rsidR="00AE62EE" w:rsidRPr="00C97500">
        <w:rPr>
          <w:rFonts w:ascii="Times New Roman" w:hAnsi="Times New Roman" w:cs="Times New Roman"/>
          <w:sz w:val="24"/>
          <w:szCs w:val="24"/>
        </w:rPr>
        <w:t xml:space="preserve"> The metabolic syndrome - a new </w:t>
      </w:r>
      <w:r w:rsidRPr="00C97500">
        <w:rPr>
          <w:rFonts w:ascii="Times New Roman" w:hAnsi="Times New Roman" w:cs="Times New Roman"/>
          <w:sz w:val="24"/>
          <w:szCs w:val="24"/>
        </w:rPr>
        <w:t>worldwide definition. Lancet 2005;366(9491):1059-62.</w:t>
      </w:r>
    </w:p>
    <w:p w:rsidR="00D46B5A" w:rsidRPr="00C97500" w:rsidRDefault="005D41EA" w:rsidP="00C97500">
      <w:pPr>
        <w:pStyle w:val="Odstavecseseznamem"/>
        <w:numPr>
          <w:ilvl w:val="0"/>
          <w:numId w:val="5"/>
        </w:numPr>
        <w:spacing w:line="360" w:lineRule="auto"/>
        <w:jc w:val="both"/>
        <w:rPr>
          <w:rStyle w:val="Hypertextovodkaz"/>
          <w:rFonts w:ascii="Times New Roman" w:hAnsi="Times New Roman" w:cs="Times New Roman"/>
          <w:color w:val="auto"/>
          <w:sz w:val="24"/>
          <w:szCs w:val="24"/>
          <w:u w:val="none"/>
        </w:rPr>
      </w:pPr>
      <w:r w:rsidRPr="00C97500">
        <w:rPr>
          <w:rStyle w:val="Hypertextovodkaz"/>
          <w:rFonts w:ascii="Times New Roman" w:hAnsi="Times New Roman" w:cs="Times New Roman"/>
          <w:color w:val="auto"/>
          <w:sz w:val="24"/>
          <w:szCs w:val="24"/>
          <w:u w:val="none"/>
        </w:rPr>
        <w:t>Onesi SO, Ignatius UE</w:t>
      </w:r>
      <w:r w:rsidR="00AB6994" w:rsidRPr="00C97500">
        <w:rPr>
          <w:rStyle w:val="Hypertextovodkaz"/>
          <w:rFonts w:ascii="Times New Roman" w:hAnsi="Times New Roman" w:cs="Times New Roman"/>
          <w:color w:val="auto"/>
          <w:sz w:val="24"/>
          <w:szCs w:val="24"/>
          <w:u w:val="none"/>
        </w:rPr>
        <w:t>.  Metabolic syndro</w:t>
      </w:r>
      <w:r w:rsidR="006D214E" w:rsidRPr="00C97500">
        <w:rPr>
          <w:rStyle w:val="Hypertextovodkaz"/>
          <w:rFonts w:ascii="Times New Roman" w:hAnsi="Times New Roman" w:cs="Times New Roman"/>
          <w:color w:val="auto"/>
          <w:sz w:val="24"/>
          <w:szCs w:val="24"/>
          <w:u w:val="none"/>
        </w:rPr>
        <w:t>me: p</w:t>
      </w:r>
      <w:r w:rsidR="00AB6994" w:rsidRPr="00C97500">
        <w:rPr>
          <w:rStyle w:val="Hypertextovodkaz"/>
          <w:rFonts w:ascii="Times New Roman" w:hAnsi="Times New Roman" w:cs="Times New Roman"/>
          <w:color w:val="auto"/>
          <w:sz w:val="24"/>
          <w:szCs w:val="24"/>
          <w:u w:val="none"/>
        </w:rPr>
        <w:t xml:space="preserve">erformance of five different diagnostic criterias. </w:t>
      </w:r>
      <w:r w:rsidRPr="00C97500">
        <w:rPr>
          <w:rStyle w:val="Hypertextovodkaz"/>
          <w:rFonts w:ascii="Times New Roman" w:hAnsi="Times New Roman" w:cs="Times New Roman"/>
          <w:color w:val="auto"/>
          <w:sz w:val="24"/>
          <w:szCs w:val="24"/>
          <w:u w:val="none"/>
        </w:rPr>
        <w:t>Indian J Endocrinol Metab 2014;18(4):496-501.</w:t>
      </w:r>
    </w:p>
    <w:p w:rsidR="00D46B5A" w:rsidRPr="00C97500" w:rsidRDefault="005D41EA"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Rochlani Y, Pothineni NV, Kovelamudi S, Mehta JL.</w:t>
      </w:r>
      <w:r w:rsidR="00E136EC" w:rsidRPr="00C97500">
        <w:rPr>
          <w:rFonts w:ascii="Times New Roman" w:hAnsi="Times New Roman" w:cs="Times New Roman"/>
          <w:sz w:val="24"/>
          <w:szCs w:val="24"/>
          <w:shd w:val="clear" w:color="auto" w:fill="FFFFFF"/>
        </w:rPr>
        <w:t xml:space="preserve"> Metabolic syndrome: pathophysiology, management, and modulation by natural compounds. </w:t>
      </w:r>
      <w:r w:rsidRPr="00C97500">
        <w:rPr>
          <w:rFonts w:ascii="Times New Roman" w:hAnsi="Times New Roman" w:cs="Times New Roman"/>
          <w:sz w:val="24"/>
          <w:szCs w:val="24"/>
          <w:shd w:val="clear" w:color="auto" w:fill="FFFFFF"/>
        </w:rPr>
        <w:t>Ther Adv Cardiovasc Dis 2017;11(8):215-25</w:t>
      </w:r>
      <w:r w:rsidR="00E136EC" w:rsidRPr="00C97500">
        <w:rPr>
          <w:rFonts w:ascii="Times New Roman" w:hAnsi="Times New Roman" w:cs="Times New Roman"/>
          <w:sz w:val="24"/>
          <w:szCs w:val="24"/>
          <w:shd w:val="clear" w:color="auto" w:fill="FFFFFF"/>
        </w:rPr>
        <w:t>.</w:t>
      </w:r>
    </w:p>
    <w:p w:rsidR="00D46B5A" w:rsidRPr="00C97500" w:rsidRDefault="005D41EA"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Svačina</w:t>
      </w:r>
      <w:r w:rsidR="00E136EC" w:rsidRPr="00C97500">
        <w:rPr>
          <w:rFonts w:ascii="Times New Roman" w:hAnsi="Times New Roman" w:cs="Times New Roman"/>
          <w:sz w:val="24"/>
          <w:szCs w:val="24"/>
          <w:shd w:val="clear" w:color="auto" w:fill="FFFFFF"/>
        </w:rPr>
        <w:t xml:space="preserve"> Š. Current views on metabolic syndrome. </w:t>
      </w:r>
      <w:r w:rsidRPr="00C97500">
        <w:rPr>
          <w:rFonts w:ascii="Times New Roman" w:hAnsi="Times New Roman" w:cs="Times New Roman"/>
          <w:sz w:val="24"/>
          <w:szCs w:val="24"/>
          <w:shd w:val="clear" w:color="auto" w:fill="FFFFFF"/>
        </w:rPr>
        <w:t>Vnitr Lek 2019;64(12):1156-9</w:t>
      </w:r>
      <w:r w:rsidR="00E136EC" w:rsidRPr="00C97500">
        <w:rPr>
          <w:rFonts w:ascii="Times New Roman" w:hAnsi="Times New Roman" w:cs="Times New Roman"/>
          <w:sz w:val="24"/>
          <w:szCs w:val="24"/>
          <w:shd w:val="clear" w:color="auto" w:fill="FFFFFF"/>
        </w:rPr>
        <w:t>.</w:t>
      </w:r>
    </w:p>
    <w:p w:rsidR="00D46B5A" w:rsidRPr="00C97500" w:rsidRDefault="00B57B6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Haluzík M. Hormony tukové tkáně. Postgraduální medicína 2010</w:t>
      </w:r>
      <w:r w:rsidR="005D41EA" w:rsidRPr="00C97500">
        <w:rPr>
          <w:rFonts w:ascii="Times New Roman" w:hAnsi="Times New Roman" w:cs="Times New Roman"/>
          <w:sz w:val="24"/>
          <w:szCs w:val="24"/>
          <w:shd w:val="clear" w:color="auto" w:fill="FFFFFF"/>
        </w:rPr>
        <w:t>;</w:t>
      </w:r>
      <w:r w:rsidRPr="00C97500">
        <w:rPr>
          <w:rFonts w:ascii="Times New Roman" w:hAnsi="Times New Roman" w:cs="Times New Roman"/>
          <w:sz w:val="24"/>
          <w:szCs w:val="24"/>
          <w:shd w:val="clear" w:color="auto" w:fill="FFFFFF"/>
        </w:rPr>
        <w:t>1-1</w:t>
      </w:r>
      <w:r w:rsidR="005D41EA" w:rsidRPr="00C97500">
        <w:rPr>
          <w:rFonts w:ascii="Times New Roman" w:hAnsi="Times New Roman" w:cs="Times New Roman"/>
          <w:sz w:val="24"/>
          <w:szCs w:val="24"/>
          <w:shd w:val="clear" w:color="auto" w:fill="FFFFFF"/>
        </w:rPr>
        <w:t>1</w:t>
      </w:r>
      <w:r w:rsidRPr="00C97500">
        <w:rPr>
          <w:rFonts w:ascii="Times New Roman" w:hAnsi="Times New Roman" w:cs="Times New Roman"/>
          <w:sz w:val="24"/>
          <w:szCs w:val="24"/>
          <w:shd w:val="clear" w:color="auto" w:fill="FFFFFF"/>
        </w:rPr>
        <w:t>.</w:t>
      </w:r>
    </w:p>
    <w:p w:rsidR="00D46B5A" w:rsidRPr="00C97500" w:rsidRDefault="005D41EA"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 xml:space="preserve">Horáková D, Azeem K, Benešová R, Pastucha D, Horák V, Dumbrovská L, Martínek A, Novotný D, Švagera Z, Hobzová M, Galuszková D, Janout V, </w:t>
      </w:r>
      <w:r w:rsidRPr="00C97500">
        <w:rPr>
          <w:rFonts w:ascii="Times New Roman" w:hAnsi="Times New Roman" w:cs="Times New Roman"/>
          <w:sz w:val="24"/>
          <w:szCs w:val="24"/>
          <w:shd w:val="clear" w:color="auto" w:fill="FFFFFF"/>
        </w:rPr>
        <w:lastRenderedPageBreak/>
        <w:t>Doněvská S, Vrbková J, Kollárová H.</w:t>
      </w:r>
      <w:r w:rsidR="00B57B61" w:rsidRPr="00C97500">
        <w:rPr>
          <w:rFonts w:ascii="Times New Roman" w:hAnsi="Times New Roman" w:cs="Times New Roman"/>
          <w:sz w:val="24"/>
          <w:szCs w:val="24"/>
          <w:shd w:val="clear" w:color="auto" w:fill="FFFFFF"/>
        </w:rPr>
        <w:t xml:space="preserve"> Total and high molecular weight adiponectin levels and prediction of cardiovascular risk in diabetic patients. </w:t>
      </w:r>
      <w:r w:rsidR="00465F36" w:rsidRPr="00C97500">
        <w:rPr>
          <w:rFonts w:ascii="Times New Roman" w:hAnsi="Times New Roman" w:cs="Times New Roman"/>
          <w:sz w:val="24"/>
          <w:szCs w:val="24"/>
          <w:shd w:val="clear" w:color="auto" w:fill="FFFFFF"/>
        </w:rPr>
        <w:t>Int J Endocrinol 2015;2015:545068.</w:t>
      </w:r>
    </w:p>
    <w:p w:rsidR="00D46B5A" w:rsidRPr="00C97500" w:rsidRDefault="00465F36"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Horáková D, Štěpánek L, Nágelová R, Pastucha D, Azeem K, Kollárová H.</w:t>
      </w:r>
      <w:r w:rsidR="00B57B61" w:rsidRPr="00C97500">
        <w:rPr>
          <w:rFonts w:ascii="Times New Roman" w:hAnsi="Times New Roman" w:cs="Times New Roman"/>
          <w:sz w:val="24"/>
          <w:szCs w:val="24"/>
          <w:shd w:val="clear" w:color="auto" w:fill="FFFFFF"/>
        </w:rPr>
        <w:t xml:space="preserve"> </w:t>
      </w:r>
      <w:r w:rsidRPr="00C97500">
        <w:rPr>
          <w:rFonts w:ascii="Times New Roman" w:hAnsi="Times New Roman" w:cs="Times New Roman"/>
          <w:sz w:val="24"/>
          <w:szCs w:val="24"/>
          <w:shd w:val="clear" w:color="auto" w:fill="FFFFFF"/>
        </w:rPr>
        <w:t>Total and high-molecular-weight adiponectin levels and prediction of insulin resistance</w:t>
      </w:r>
      <w:r w:rsidR="00B57B61" w:rsidRPr="00C97500">
        <w:rPr>
          <w:rFonts w:ascii="Times New Roman" w:hAnsi="Times New Roman" w:cs="Times New Roman"/>
          <w:sz w:val="24"/>
          <w:szCs w:val="24"/>
          <w:shd w:val="clear" w:color="auto" w:fill="FFFFFF"/>
        </w:rPr>
        <w:t>. </w:t>
      </w:r>
      <w:r w:rsidRPr="00C97500">
        <w:rPr>
          <w:rFonts w:ascii="Times New Roman" w:hAnsi="Times New Roman" w:cs="Times New Roman"/>
          <w:sz w:val="24"/>
          <w:szCs w:val="24"/>
          <w:shd w:val="clear" w:color="auto" w:fill="FFFFFF"/>
        </w:rPr>
        <w:t>Endokrynol Pol 2018;69(4):375</w:t>
      </w:r>
      <w:r w:rsidR="009907FF" w:rsidRPr="00C97500">
        <w:rPr>
          <w:rFonts w:ascii="Times New Roman" w:hAnsi="Times New Roman" w:cs="Times New Roman"/>
          <w:sz w:val="24"/>
          <w:szCs w:val="24"/>
        </w:rPr>
        <w:t>-</w:t>
      </w:r>
      <w:r w:rsidRPr="00C97500">
        <w:rPr>
          <w:rFonts w:ascii="Times New Roman" w:hAnsi="Times New Roman" w:cs="Times New Roman"/>
          <w:sz w:val="24"/>
          <w:szCs w:val="24"/>
          <w:shd w:val="clear" w:color="auto" w:fill="FFFFFF"/>
        </w:rPr>
        <w:t>80.</w:t>
      </w:r>
    </w:p>
    <w:p w:rsidR="00D46B5A" w:rsidRPr="00C97500" w:rsidRDefault="00465F36"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Oussaada SM, van Galen KA, Cooiman MI, Kleinendorst L, Hazebroek EJ, van Haelst MM, Ter Horst KW, Serlie MJ</w:t>
      </w:r>
      <w:r w:rsidR="004E606B" w:rsidRPr="00C97500">
        <w:rPr>
          <w:rFonts w:ascii="Times New Roman" w:hAnsi="Times New Roman" w:cs="Times New Roman"/>
          <w:sz w:val="24"/>
          <w:szCs w:val="24"/>
          <w:shd w:val="clear" w:color="auto" w:fill="FFFFFF"/>
        </w:rPr>
        <w:t>. The pathogenesis of obesity. </w:t>
      </w:r>
      <w:r w:rsidR="004E606B" w:rsidRPr="00C97500">
        <w:rPr>
          <w:rFonts w:ascii="Times New Roman" w:hAnsi="Times New Roman" w:cs="Times New Roman"/>
          <w:iCs/>
          <w:sz w:val="24"/>
          <w:szCs w:val="24"/>
          <w:shd w:val="clear" w:color="auto" w:fill="FFFFFF"/>
        </w:rPr>
        <w:t>Metabolism</w:t>
      </w:r>
      <w:r w:rsidR="004E606B" w:rsidRPr="00C97500">
        <w:rPr>
          <w:rFonts w:ascii="Times New Roman" w:hAnsi="Times New Roman" w:cs="Times New Roman"/>
          <w:sz w:val="24"/>
          <w:szCs w:val="24"/>
          <w:shd w:val="clear" w:color="auto" w:fill="FFFFFF"/>
        </w:rPr>
        <w:t xml:space="preserve"> 2019</w:t>
      </w:r>
      <w:r w:rsidRPr="00C97500">
        <w:rPr>
          <w:rFonts w:ascii="Times New Roman" w:hAnsi="Times New Roman" w:cs="Times New Roman"/>
          <w:sz w:val="24"/>
          <w:szCs w:val="24"/>
          <w:shd w:val="clear" w:color="auto" w:fill="FFFFFF"/>
        </w:rPr>
        <w:t>;</w:t>
      </w:r>
      <w:r w:rsidR="004E606B" w:rsidRPr="00C97500">
        <w:rPr>
          <w:rFonts w:ascii="Times New Roman" w:hAnsi="Times New Roman" w:cs="Times New Roman"/>
          <w:sz w:val="24"/>
          <w:szCs w:val="24"/>
          <w:shd w:val="clear" w:color="auto" w:fill="FFFFFF"/>
        </w:rPr>
        <w:t>92:26-36.</w:t>
      </w:r>
    </w:p>
    <w:p w:rsidR="00D46B5A" w:rsidRPr="00C97500" w:rsidRDefault="00465F36"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Xu H, Li X, Adams H, Kubena K, Guo S.</w:t>
      </w:r>
      <w:r w:rsidR="00710751" w:rsidRPr="00C97500">
        <w:rPr>
          <w:rFonts w:ascii="Times New Roman" w:hAnsi="Times New Roman" w:cs="Times New Roman"/>
          <w:sz w:val="24"/>
          <w:szCs w:val="24"/>
          <w:shd w:val="clear" w:color="auto" w:fill="FFFFFF"/>
        </w:rPr>
        <w:t xml:space="preserve"> Etiology of </w:t>
      </w:r>
      <w:r w:rsidRPr="00C97500">
        <w:rPr>
          <w:rFonts w:ascii="Times New Roman" w:hAnsi="Times New Roman" w:cs="Times New Roman"/>
          <w:sz w:val="24"/>
          <w:szCs w:val="24"/>
          <w:shd w:val="clear" w:color="auto" w:fill="FFFFFF"/>
        </w:rPr>
        <w:t>m</w:t>
      </w:r>
      <w:r w:rsidR="00710751" w:rsidRPr="00C97500">
        <w:rPr>
          <w:rFonts w:ascii="Times New Roman" w:hAnsi="Times New Roman" w:cs="Times New Roman"/>
          <w:sz w:val="24"/>
          <w:szCs w:val="24"/>
          <w:shd w:val="clear" w:color="auto" w:fill="FFFFFF"/>
        </w:rPr>
        <w:t xml:space="preserve">etabolic syndrome and dietary intervention. </w:t>
      </w:r>
      <w:r w:rsidRPr="00C97500">
        <w:rPr>
          <w:rFonts w:ascii="Times New Roman" w:hAnsi="Times New Roman" w:cs="Times New Roman"/>
          <w:sz w:val="24"/>
          <w:szCs w:val="24"/>
          <w:shd w:val="clear" w:color="auto" w:fill="FFFFFF"/>
        </w:rPr>
        <w:t>Int J Mol Sci 2018;20(1):E128.</w:t>
      </w:r>
    </w:p>
    <w:p w:rsidR="00D46B5A" w:rsidRPr="00C97500" w:rsidRDefault="00465F36"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Eckel N, Li Y, Kuxhaus O, Stefan N, Hu FB, Schulze MB</w:t>
      </w:r>
      <w:r w:rsidR="00710751" w:rsidRPr="00C97500">
        <w:rPr>
          <w:rFonts w:ascii="Times New Roman" w:hAnsi="Times New Roman" w:cs="Times New Roman"/>
          <w:sz w:val="24"/>
          <w:szCs w:val="24"/>
          <w:shd w:val="clear" w:color="auto" w:fill="FFFFFF"/>
        </w:rPr>
        <w:t xml:space="preserve">. </w:t>
      </w:r>
      <w:r w:rsidRPr="00C97500">
        <w:rPr>
          <w:rFonts w:ascii="Times New Roman" w:hAnsi="Times New Roman" w:cs="Times New Roman"/>
          <w:sz w:val="24"/>
          <w:szCs w:val="24"/>
          <w:shd w:val="clear" w:color="auto" w:fill="FFFFFF"/>
        </w:rPr>
        <w:t>Transition from metabolic healthy to unhealthy phenotypes and association with cardiovascular disease risk across BMI categories in 90 257 women (the Nurses' health study): 30 year follow-up from a prospective cohort study</w:t>
      </w:r>
      <w:r w:rsidR="00710751" w:rsidRPr="00C97500">
        <w:rPr>
          <w:rFonts w:ascii="Times New Roman" w:hAnsi="Times New Roman" w:cs="Times New Roman"/>
          <w:sz w:val="24"/>
          <w:szCs w:val="24"/>
          <w:shd w:val="clear" w:color="auto" w:fill="FFFFFF"/>
        </w:rPr>
        <w:t>. Lancet Diabetes Endocrinol 2018</w:t>
      </w:r>
      <w:r w:rsidRPr="00C97500">
        <w:rPr>
          <w:rFonts w:ascii="Times New Roman" w:hAnsi="Times New Roman" w:cs="Times New Roman"/>
          <w:sz w:val="24"/>
          <w:szCs w:val="24"/>
          <w:shd w:val="clear" w:color="auto" w:fill="FFFFFF"/>
        </w:rPr>
        <w:t>;</w:t>
      </w:r>
      <w:r w:rsidR="00710751" w:rsidRPr="00C97500">
        <w:rPr>
          <w:rFonts w:ascii="Times New Roman" w:hAnsi="Times New Roman" w:cs="Times New Roman"/>
          <w:sz w:val="24"/>
          <w:szCs w:val="24"/>
          <w:shd w:val="clear" w:color="auto" w:fill="FFFFFF"/>
        </w:rPr>
        <w:t>6</w:t>
      </w:r>
      <w:r w:rsidRPr="00C97500">
        <w:rPr>
          <w:rFonts w:ascii="Times New Roman" w:hAnsi="Times New Roman" w:cs="Times New Roman"/>
          <w:sz w:val="24"/>
          <w:szCs w:val="24"/>
          <w:shd w:val="clear" w:color="auto" w:fill="FFFFFF"/>
        </w:rPr>
        <w:t>(9):714</w:t>
      </w:r>
      <w:r w:rsidR="009907FF" w:rsidRPr="00C97500">
        <w:rPr>
          <w:rFonts w:ascii="Times New Roman" w:hAnsi="Times New Roman" w:cs="Times New Roman"/>
          <w:sz w:val="24"/>
          <w:szCs w:val="24"/>
        </w:rPr>
        <w:t>-</w:t>
      </w:r>
      <w:r w:rsidR="00710751" w:rsidRPr="00C97500">
        <w:rPr>
          <w:rFonts w:ascii="Times New Roman" w:hAnsi="Times New Roman" w:cs="Times New Roman"/>
          <w:sz w:val="24"/>
          <w:szCs w:val="24"/>
          <w:shd w:val="clear" w:color="auto" w:fill="FFFFFF"/>
        </w:rPr>
        <w:t>24.</w:t>
      </w:r>
    </w:p>
    <w:p w:rsidR="00D46B5A" w:rsidRPr="00C97500" w:rsidRDefault="0071075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Kramer CK</w:t>
      </w:r>
      <w:r w:rsidR="00465F36" w:rsidRPr="00C97500">
        <w:rPr>
          <w:rFonts w:ascii="Times New Roman" w:hAnsi="Times New Roman" w:cs="Times New Roman"/>
          <w:sz w:val="24"/>
          <w:szCs w:val="24"/>
          <w:shd w:val="clear" w:color="auto" w:fill="FFFFFF"/>
        </w:rPr>
        <w:t>,</w:t>
      </w:r>
      <w:r w:rsidRPr="00C97500">
        <w:rPr>
          <w:rFonts w:ascii="Times New Roman" w:hAnsi="Times New Roman" w:cs="Times New Roman"/>
          <w:sz w:val="24"/>
          <w:szCs w:val="24"/>
          <w:shd w:val="clear" w:color="auto" w:fill="FFFFFF"/>
        </w:rPr>
        <w:t xml:space="preserve"> Zinman B</w:t>
      </w:r>
      <w:r w:rsidR="00465F36" w:rsidRPr="00C97500">
        <w:rPr>
          <w:rFonts w:ascii="Times New Roman" w:hAnsi="Times New Roman" w:cs="Times New Roman"/>
          <w:sz w:val="24"/>
          <w:szCs w:val="24"/>
          <w:shd w:val="clear" w:color="auto" w:fill="FFFFFF"/>
        </w:rPr>
        <w:t>,</w:t>
      </w:r>
      <w:r w:rsidRPr="00C97500">
        <w:rPr>
          <w:rFonts w:ascii="Times New Roman" w:hAnsi="Times New Roman" w:cs="Times New Roman"/>
          <w:sz w:val="24"/>
          <w:szCs w:val="24"/>
          <w:shd w:val="clear" w:color="auto" w:fill="FFFFFF"/>
        </w:rPr>
        <w:t xml:space="preserve"> Retnakaran R. Are metabolically healthy overweight and obesity benign conditions? A systemati</w:t>
      </w:r>
      <w:r w:rsidR="00465F36" w:rsidRPr="00C97500">
        <w:rPr>
          <w:rFonts w:ascii="Times New Roman" w:hAnsi="Times New Roman" w:cs="Times New Roman"/>
          <w:sz w:val="24"/>
          <w:szCs w:val="24"/>
          <w:shd w:val="clear" w:color="auto" w:fill="FFFFFF"/>
        </w:rPr>
        <w:t>c review and meta-analysis. Ann</w:t>
      </w:r>
      <w:r w:rsidRPr="00C97500">
        <w:rPr>
          <w:rFonts w:ascii="Times New Roman" w:hAnsi="Times New Roman" w:cs="Times New Roman"/>
          <w:sz w:val="24"/>
          <w:szCs w:val="24"/>
          <w:shd w:val="clear" w:color="auto" w:fill="FFFFFF"/>
        </w:rPr>
        <w:t xml:space="preserve"> Intern Med 2013</w:t>
      </w:r>
      <w:r w:rsidR="00465F36" w:rsidRPr="00C97500">
        <w:rPr>
          <w:rFonts w:ascii="Times New Roman" w:hAnsi="Times New Roman" w:cs="Times New Roman"/>
          <w:sz w:val="24"/>
          <w:szCs w:val="24"/>
          <w:shd w:val="clear" w:color="auto" w:fill="FFFFFF"/>
        </w:rPr>
        <w:t>;</w:t>
      </w:r>
      <w:r w:rsidRPr="00C97500">
        <w:rPr>
          <w:rFonts w:ascii="Times New Roman" w:hAnsi="Times New Roman" w:cs="Times New Roman"/>
          <w:sz w:val="24"/>
          <w:szCs w:val="24"/>
          <w:shd w:val="clear" w:color="auto" w:fill="FFFFFF"/>
        </w:rPr>
        <w:t>159</w:t>
      </w:r>
      <w:r w:rsidR="00465F36" w:rsidRPr="00C97500">
        <w:rPr>
          <w:rFonts w:ascii="Times New Roman" w:hAnsi="Times New Roman" w:cs="Times New Roman"/>
          <w:sz w:val="24"/>
          <w:szCs w:val="24"/>
          <w:shd w:val="clear" w:color="auto" w:fill="FFFFFF"/>
        </w:rPr>
        <w:t>(11):</w:t>
      </w:r>
      <w:r w:rsidRPr="00C97500">
        <w:rPr>
          <w:rFonts w:ascii="Times New Roman" w:hAnsi="Times New Roman" w:cs="Times New Roman"/>
          <w:sz w:val="24"/>
          <w:szCs w:val="24"/>
          <w:shd w:val="clear" w:color="auto" w:fill="FFFFFF"/>
        </w:rPr>
        <w:t>758</w:t>
      </w:r>
      <w:r w:rsidR="009907FF" w:rsidRPr="00C97500">
        <w:rPr>
          <w:rFonts w:ascii="Times New Roman" w:hAnsi="Times New Roman" w:cs="Times New Roman"/>
          <w:sz w:val="24"/>
          <w:szCs w:val="24"/>
        </w:rPr>
        <w:t>-</w:t>
      </w:r>
      <w:r w:rsidRPr="00C97500">
        <w:rPr>
          <w:rFonts w:ascii="Times New Roman" w:hAnsi="Times New Roman" w:cs="Times New Roman"/>
          <w:sz w:val="24"/>
          <w:szCs w:val="24"/>
          <w:shd w:val="clear" w:color="auto" w:fill="FFFFFF"/>
        </w:rPr>
        <w:t>69.</w:t>
      </w:r>
    </w:p>
    <w:p w:rsidR="00D46B5A" w:rsidRPr="00C97500" w:rsidRDefault="0024025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Liu C, Wang C, Guan S, Liu H, Wu X, Zhang Z, Gu X, Zhang Y, Zhao Y, Tse LA, Fang X</w:t>
      </w:r>
      <w:r w:rsidR="00710751" w:rsidRPr="00C97500">
        <w:rPr>
          <w:rFonts w:ascii="Times New Roman" w:hAnsi="Times New Roman" w:cs="Times New Roman"/>
          <w:sz w:val="24"/>
          <w:szCs w:val="24"/>
          <w:shd w:val="clear" w:color="auto" w:fill="FFFFFF"/>
        </w:rPr>
        <w:t>. The prevalence of metabolically healthy and unhealthy obesity according to di</w:t>
      </w:r>
      <w:r w:rsidRPr="00C97500">
        <w:rPr>
          <w:rFonts w:ascii="Times New Roman" w:hAnsi="Times New Roman" w:cs="Times New Roman"/>
          <w:sz w:val="24"/>
          <w:szCs w:val="24"/>
          <w:shd w:val="clear" w:color="auto" w:fill="FFFFFF"/>
        </w:rPr>
        <w:t>ff</w:t>
      </w:r>
      <w:r w:rsidR="00710751" w:rsidRPr="00C97500">
        <w:rPr>
          <w:rFonts w:ascii="Times New Roman" w:hAnsi="Times New Roman" w:cs="Times New Roman"/>
          <w:sz w:val="24"/>
          <w:szCs w:val="24"/>
          <w:shd w:val="clear" w:color="auto" w:fill="FFFFFF"/>
        </w:rPr>
        <w:t>erent criteria. Obes Facts 2019</w:t>
      </w:r>
      <w:r w:rsidRPr="00C97500">
        <w:rPr>
          <w:rFonts w:ascii="Times New Roman" w:hAnsi="Times New Roman" w:cs="Times New Roman"/>
          <w:sz w:val="24"/>
          <w:szCs w:val="24"/>
          <w:shd w:val="clear" w:color="auto" w:fill="FFFFFF"/>
        </w:rPr>
        <w:t>;1</w:t>
      </w:r>
      <w:r w:rsidR="00710751" w:rsidRPr="00C97500">
        <w:rPr>
          <w:rFonts w:ascii="Times New Roman" w:hAnsi="Times New Roman" w:cs="Times New Roman"/>
          <w:sz w:val="24"/>
          <w:szCs w:val="24"/>
          <w:shd w:val="clear" w:color="auto" w:fill="FFFFFF"/>
        </w:rPr>
        <w:t>2</w:t>
      </w:r>
      <w:r w:rsidRPr="00C97500">
        <w:rPr>
          <w:rFonts w:ascii="Times New Roman" w:hAnsi="Times New Roman" w:cs="Times New Roman"/>
          <w:sz w:val="24"/>
          <w:szCs w:val="24"/>
          <w:shd w:val="clear" w:color="auto" w:fill="FFFFFF"/>
        </w:rPr>
        <w:t>(1):</w:t>
      </w:r>
      <w:r w:rsidR="00710751" w:rsidRPr="00C97500">
        <w:rPr>
          <w:rFonts w:ascii="Times New Roman" w:hAnsi="Times New Roman" w:cs="Times New Roman"/>
          <w:sz w:val="24"/>
          <w:szCs w:val="24"/>
          <w:shd w:val="clear" w:color="auto" w:fill="FFFFFF"/>
        </w:rPr>
        <w:t>78</w:t>
      </w:r>
      <w:r w:rsidR="009907FF" w:rsidRPr="00C97500">
        <w:rPr>
          <w:rFonts w:ascii="Times New Roman" w:hAnsi="Times New Roman" w:cs="Times New Roman"/>
          <w:sz w:val="24"/>
          <w:szCs w:val="24"/>
        </w:rPr>
        <w:t>-</w:t>
      </w:r>
      <w:r w:rsidR="00710751" w:rsidRPr="00C97500">
        <w:rPr>
          <w:rFonts w:ascii="Times New Roman" w:hAnsi="Times New Roman" w:cs="Times New Roman"/>
          <w:sz w:val="24"/>
          <w:szCs w:val="24"/>
          <w:shd w:val="clear" w:color="auto" w:fill="FFFFFF"/>
        </w:rPr>
        <w:t>90.</w:t>
      </w:r>
    </w:p>
    <w:p w:rsidR="00D46B5A" w:rsidRPr="00C97500" w:rsidRDefault="007725EB"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 xml:space="preserve">Svačina Š. Poruchy metabolismu a výživy. </w:t>
      </w:r>
      <w:r w:rsidR="00D325E0" w:rsidRPr="00C97500">
        <w:rPr>
          <w:rFonts w:ascii="Times New Roman" w:hAnsi="Times New Roman" w:cs="Times New Roman"/>
          <w:sz w:val="24"/>
          <w:szCs w:val="24"/>
          <w:shd w:val="clear" w:color="auto" w:fill="FFFFFF"/>
        </w:rPr>
        <w:t xml:space="preserve">Praha: </w:t>
      </w:r>
      <w:r w:rsidRPr="00C97500">
        <w:rPr>
          <w:rFonts w:ascii="Times New Roman" w:hAnsi="Times New Roman" w:cs="Times New Roman"/>
          <w:sz w:val="24"/>
          <w:szCs w:val="24"/>
          <w:shd w:val="clear" w:color="auto" w:fill="FFFFFF"/>
        </w:rPr>
        <w:t>Galen</w:t>
      </w:r>
      <w:r w:rsidR="00D325E0" w:rsidRPr="00C97500">
        <w:rPr>
          <w:rFonts w:ascii="Times New Roman" w:hAnsi="Times New Roman" w:cs="Times New Roman"/>
          <w:sz w:val="24"/>
          <w:szCs w:val="24"/>
          <w:shd w:val="clear" w:color="auto" w:fill="FFFFFF"/>
        </w:rPr>
        <w:t>; 2010</w:t>
      </w:r>
      <w:r w:rsidRPr="00C97500">
        <w:rPr>
          <w:rFonts w:ascii="Times New Roman" w:hAnsi="Times New Roman" w:cs="Times New Roman"/>
          <w:sz w:val="24"/>
          <w:szCs w:val="24"/>
          <w:shd w:val="clear" w:color="auto" w:fill="FFFFFF"/>
        </w:rPr>
        <w:t>.</w:t>
      </w:r>
      <w:r w:rsidR="00D325E0" w:rsidRPr="00C97500">
        <w:rPr>
          <w:rFonts w:ascii="Times New Roman" w:hAnsi="Times New Roman" w:cs="Times New Roman"/>
          <w:sz w:val="24"/>
          <w:szCs w:val="24"/>
          <w:shd w:val="clear" w:color="auto" w:fill="FFFFFF"/>
        </w:rPr>
        <w:t xml:space="preserve"> ISBN 978-80-7262-676</w:t>
      </w:r>
      <w:r w:rsidR="009907FF" w:rsidRPr="00C97500">
        <w:rPr>
          <w:rFonts w:ascii="Times New Roman" w:hAnsi="Times New Roman" w:cs="Times New Roman"/>
          <w:sz w:val="24"/>
          <w:szCs w:val="24"/>
        </w:rPr>
        <w:t>-</w:t>
      </w:r>
      <w:r w:rsidR="00D325E0" w:rsidRPr="00C97500">
        <w:rPr>
          <w:rFonts w:ascii="Times New Roman" w:hAnsi="Times New Roman" w:cs="Times New Roman"/>
          <w:sz w:val="24"/>
          <w:szCs w:val="24"/>
          <w:shd w:val="clear" w:color="auto" w:fill="FFFFFF"/>
        </w:rPr>
        <w:t>2.</w:t>
      </w:r>
    </w:p>
    <w:p w:rsidR="00D46B5A" w:rsidRPr="00C97500" w:rsidRDefault="005D3D5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 xml:space="preserve">Státní zdravotní ústav. Výskyt nadváhy a obezity. </w:t>
      </w:r>
      <w:r w:rsidR="009907FF" w:rsidRPr="00C97500">
        <w:rPr>
          <w:rFonts w:ascii="Times New Roman" w:hAnsi="Times New Roman" w:cs="Times New Roman"/>
          <w:sz w:val="24"/>
          <w:szCs w:val="24"/>
          <w:shd w:val="clear" w:color="auto" w:fill="FFFFFF"/>
        </w:rPr>
        <w:t xml:space="preserve">2018. </w:t>
      </w:r>
      <w:r w:rsidRPr="00C97500">
        <w:rPr>
          <w:rFonts w:ascii="Times New Roman" w:hAnsi="Times New Roman" w:cs="Times New Roman"/>
          <w:sz w:val="24"/>
          <w:szCs w:val="24"/>
          <w:shd w:val="clear" w:color="auto" w:fill="FFFFFF"/>
        </w:rPr>
        <w:t xml:space="preserve">Dotsupné z: </w:t>
      </w:r>
      <w:r w:rsidRPr="00C97500">
        <w:rPr>
          <w:rFonts w:ascii="Times New Roman" w:hAnsi="Times New Roman" w:cs="Times New Roman"/>
          <w:sz w:val="24"/>
          <w:szCs w:val="24"/>
        </w:rPr>
        <w:t>http://www.szu.cz/uploads/documents/chzp/info_listy/Vyskyt_nadvahy_a_obezity_2018.pdf</w:t>
      </w:r>
      <w:r w:rsidR="009907FF" w:rsidRPr="00C97500">
        <w:rPr>
          <w:rFonts w:ascii="Times New Roman" w:hAnsi="Times New Roman" w:cs="Times New Roman"/>
          <w:sz w:val="24"/>
          <w:szCs w:val="24"/>
        </w:rPr>
        <w:t>.</w:t>
      </w:r>
    </w:p>
    <w:p w:rsidR="00D46B5A" w:rsidRPr="00C97500" w:rsidRDefault="00E80625"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Rosolová</w:t>
      </w:r>
      <w:r w:rsidR="005D3D51" w:rsidRPr="00C97500">
        <w:rPr>
          <w:rFonts w:ascii="Times New Roman" w:hAnsi="Times New Roman" w:cs="Times New Roman"/>
          <w:sz w:val="24"/>
          <w:szCs w:val="24"/>
        </w:rPr>
        <w:t xml:space="preserve"> H. Preventivní kardiologie v kostce, 1. vyd. Praha: Axonite CZ; 2013. ISBN 978-80-904899-5-0.</w:t>
      </w:r>
    </w:p>
    <w:p w:rsidR="00D46B5A" w:rsidRPr="00C97500" w:rsidRDefault="005D3D5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Sesti</w:t>
      </w:r>
      <w:r w:rsidR="00917093" w:rsidRPr="00C97500">
        <w:rPr>
          <w:rFonts w:ascii="Times New Roman" w:hAnsi="Times New Roman" w:cs="Times New Roman"/>
          <w:sz w:val="24"/>
          <w:szCs w:val="24"/>
          <w:shd w:val="clear" w:color="auto" w:fill="FFFFFF"/>
        </w:rPr>
        <w:t xml:space="preserve"> G. Pathophysiology of insulin resistance. </w:t>
      </w:r>
      <w:r w:rsidRPr="00C97500">
        <w:rPr>
          <w:rFonts w:ascii="Times New Roman" w:hAnsi="Times New Roman" w:cs="Times New Roman"/>
          <w:sz w:val="24"/>
          <w:szCs w:val="24"/>
          <w:shd w:val="clear" w:color="auto" w:fill="FFFFFF"/>
        </w:rPr>
        <w:t>Best Pract Res Clin Endocrinol Metab 2006;20(4):665-79</w:t>
      </w:r>
      <w:r w:rsidR="00917093" w:rsidRPr="00C97500">
        <w:rPr>
          <w:rFonts w:ascii="Times New Roman" w:hAnsi="Times New Roman" w:cs="Times New Roman"/>
          <w:sz w:val="24"/>
          <w:szCs w:val="24"/>
          <w:shd w:val="clear" w:color="auto" w:fill="FFFFFF"/>
        </w:rPr>
        <w:t>.</w:t>
      </w:r>
      <w:r w:rsidR="00917093" w:rsidRPr="00C97500">
        <w:rPr>
          <w:rFonts w:ascii="Times New Roman" w:hAnsi="Times New Roman" w:cs="Times New Roman"/>
          <w:sz w:val="24"/>
          <w:szCs w:val="24"/>
        </w:rPr>
        <w:t xml:space="preserve"> </w:t>
      </w:r>
    </w:p>
    <w:p w:rsidR="00D46B5A" w:rsidRPr="00C97500" w:rsidRDefault="005D3D5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Barazzoni R, Gortan Cappellari G, Ragni M, Nisoli E</w:t>
      </w:r>
      <w:r w:rsidR="00917093" w:rsidRPr="00C97500">
        <w:rPr>
          <w:rFonts w:ascii="Times New Roman" w:hAnsi="Times New Roman" w:cs="Times New Roman"/>
          <w:sz w:val="24"/>
          <w:szCs w:val="24"/>
          <w:shd w:val="clear" w:color="auto" w:fill="FFFFFF"/>
        </w:rPr>
        <w:t>. Insulin resistance in obesity: an overview of fundamental alterations. </w:t>
      </w:r>
      <w:r w:rsidRPr="00C97500">
        <w:rPr>
          <w:rFonts w:ascii="Times New Roman" w:hAnsi="Times New Roman" w:cs="Times New Roman"/>
          <w:sz w:val="24"/>
          <w:szCs w:val="24"/>
          <w:shd w:val="clear" w:color="auto" w:fill="FFFFFF"/>
        </w:rPr>
        <w:t>Eat Weight Disord 2018;23(2):149</w:t>
      </w:r>
      <w:r w:rsidR="009907FF" w:rsidRPr="00C97500">
        <w:rPr>
          <w:rFonts w:ascii="Times New Roman" w:hAnsi="Times New Roman" w:cs="Times New Roman"/>
          <w:sz w:val="24"/>
          <w:szCs w:val="24"/>
        </w:rPr>
        <w:t>-</w:t>
      </w:r>
      <w:r w:rsidRPr="00C97500">
        <w:rPr>
          <w:rFonts w:ascii="Times New Roman" w:hAnsi="Times New Roman" w:cs="Times New Roman"/>
          <w:sz w:val="24"/>
          <w:szCs w:val="24"/>
          <w:shd w:val="clear" w:color="auto" w:fill="FFFFFF"/>
        </w:rPr>
        <w:t>57</w:t>
      </w:r>
      <w:r w:rsidR="00917093" w:rsidRPr="00C97500">
        <w:rPr>
          <w:rFonts w:ascii="Times New Roman" w:hAnsi="Times New Roman" w:cs="Times New Roman"/>
          <w:sz w:val="24"/>
          <w:szCs w:val="24"/>
          <w:shd w:val="clear" w:color="auto" w:fill="FFFFFF"/>
        </w:rPr>
        <w:t>.</w:t>
      </w:r>
    </w:p>
    <w:p w:rsidR="00D46B5A" w:rsidRPr="00C97500" w:rsidRDefault="005D3D5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lastRenderedPageBreak/>
        <w:t>Samuel VT, Shulman GI.</w:t>
      </w:r>
      <w:r w:rsidR="00917093" w:rsidRPr="00C97500">
        <w:rPr>
          <w:rFonts w:ascii="Times New Roman" w:hAnsi="Times New Roman" w:cs="Times New Roman"/>
          <w:sz w:val="24"/>
          <w:szCs w:val="24"/>
          <w:shd w:val="clear" w:color="auto" w:fill="FFFFFF"/>
        </w:rPr>
        <w:t xml:space="preserve"> The pathogenesis of insulin resistance: integrating signaling pathways and substrate flux. </w:t>
      </w:r>
      <w:r w:rsidRPr="00C97500">
        <w:rPr>
          <w:rFonts w:ascii="Times New Roman" w:hAnsi="Times New Roman" w:cs="Times New Roman"/>
          <w:sz w:val="24"/>
          <w:szCs w:val="24"/>
          <w:shd w:val="clear" w:color="auto" w:fill="FFFFFF"/>
        </w:rPr>
        <w:t>J Clin Invest 2016;126(1):12-22</w:t>
      </w:r>
      <w:r w:rsidR="00917093" w:rsidRPr="00C97500">
        <w:rPr>
          <w:rFonts w:ascii="Times New Roman" w:hAnsi="Times New Roman" w:cs="Times New Roman"/>
          <w:sz w:val="24"/>
          <w:szCs w:val="24"/>
          <w:shd w:val="clear" w:color="auto" w:fill="FFFFFF"/>
        </w:rPr>
        <w:t>.</w:t>
      </w:r>
    </w:p>
    <w:p w:rsidR="00D46B5A" w:rsidRPr="00C97500" w:rsidRDefault="005D3D5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DeFronzo RA, Tobin JD, Andres R</w:t>
      </w:r>
      <w:r w:rsidR="00924771" w:rsidRPr="00C97500">
        <w:rPr>
          <w:rFonts w:ascii="Times New Roman" w:hAnsi="Times New Roman" w:cs="Times New Roman"/>
          <w:sz w:val="24"/>
          <w:szCs w:val="24"/>
          <w:shd w:val="clear" w:color="auto" w:fill="FFFFFF"/>
        </w:rPr>
        <w:t>. Glucose clamp technique: a method for quantifying insulin secretion and resistance. </w:t>
      </w:r>
      <w:r w:rsidRPr="00C97500">
        <w:rPr>
          <w:rFonts w:ascii="Times New Roman" w:hAnsi="Times New Roman" w:cs="Times New Roman"/>
          <w:sz w:val="24"/>
          <w:szCs w:val="24"/>
          <w:shd w:val="clear" w:color="auto" w:fill="FFFFFF"/>
        </w:rPr>
        <w:t>Am J Physiol 1979;237(3):E214-23</w:t>
      </w:r>
      <w:r w:rsidR="00924771" w:rsidRPr="00C97500">
        <w:rPr>
          <w:rFonts w:ascii="Times New Roman" w:hAnsi="Times New Roman" w:cs="Times New Roman"/>
          <w:sz w:val="24"/>
          <w:szCs w:val="24"/>
          <w:shd w:val="clear" w:color="auto" w:fill="FFFFFF"/>
        </w:rPr>
        <w:t>.</w:t>
      </w:r>
    </w:p>
    <w:p w:rsidR="00D46B5A" w:rsidRPr="00C97500" w:rsidRDefault="005D3D5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Bergman RN, Prager R, Volund A, Olefsky JM.</w:t>
      </w:r>
      <w:r w:rsidR="004D1F7C" w:rsidRPr="00C97500">
        <w:rPr>
          <w:rFonts w:ascii="Times New Roman" w:hAnsi="Times New Roman" w:cs="Times New Roman"/>
          <w:sz w:val="24"/>
          <w:szCs w:val="24"/>
          <w:shd w:val="clear" w:color="auto" w:fill="FFFFFF"/>
        </w:rPr>
        <w:t xml:space="preserve"> </w:t>
      </w:r>
      <w:r w:rsidRPr="00C97500">
        <w:rPr>
          <w:rFonts w:ascii="Times New Roman" w:hAnsi="Times New Roman" w:cs="Times New Roman"/>
          <w:sz w:val="24"/>
          <w:szCs w:val="24"/>
          <w:shd w:val="clear" w:color="auto" w:fill="FFFFFF"/>
        </w:rPr>
        <w:t>Equivalence of the insulin sensitivity index in man derived by the minimal model method and the euglycemic glucose clamp</w:t>
      </w:r>
      <w:r w:rsidR="004D1F7C" w:rsidRPr="00C97500">
        <w:rPr>
          <w:rFonts w:ascii="Times New Roman" w:hAnsi="Times New Roman" w:cs="Times New Roman"/>
          <w:sz w:val="24"/>
          <w:szCs w:val="24"/>
          <w:shd w:val="clear" w:color="auto" w:fill="FFFFFF"/>
        </w:rPr>
        <w:t>. </w:t>
      </w:r>
      <w:r w:rsidRPr="00C97500">
        <w:rPr>
          <w:rFonts w:ascii="Times New Roman" w:hAnsi="Times New Roman" w:cs="Times New Roman"/>
          <w:iCs/>
          <w:sz w:val="24"/>
          <w:szCs w:val="24"/>
          <w:shd w:val="clear" w:color="auto" w:fill="FFFFFF"/>
        </w:rPr>
        <w:t>J Clin Invest 1987;79(3):790-800.</w:t>
      </w:r>
    </w:p>
    <w:p w:rsidR="00D46B5A" w:rsidRPr="00C97500" w:rsidRDefault="00A033D6"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Harano Y, Hidaka H, Takatsuki K, Ohgaku S, Haneda M, Motoi S, Kawagoe K, Shigeta Y, Abe H.</w:t>
      </w:r>
      <w:r w:rsidR="00FA0591" w:rsidRPr="00C97500">
        <w:rPr>
          <w:rFonts w:ascii="Times New Roman" w:hAnsi="Times New Roman" w:cs="Times New Roman"/>
          <w:sz w:val="24"/>
          <w:szCs w:val="24"/>
          <w:shd w:val="clear" w:color="auto" w:fill="FFFFFF"/>
        </w:rPr>
        <w:t xml:space="preserve"> Glucose, insulin, and somatostatin infusion for the determination of insulin sensitivity in vivo. </w:t>
      </w:r>
      <w:r w:rsidRPr="00C97500">
        <w:rPr>
          <w:rFonts w:ascii="Times New Roman" w:hAnsi="Times New Roman" w:cs="Times New Roman"/>
          <w:sz w:val="24"/>
          <w:szCs w:val="24"/>
          <w:shd w:val="clear" w:color="auto" w:fill="FFFFFF"/>
        </w:rPr>
        <w:t>Metabolism 1978;27(9 Suppl 1):1449-52.</w:t>
      </w:r>
    </w:p>
    <w:p w:rsidR="00D46B5A" w:rsidRPr="00C97500" w:rsidRDefault="00A033D6"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Mather KJ, Hunt AE, Steinberg HO, Paradisi G, Hook G, Katz A, Quon MJ, Baron AD.</w:t>
      </w:r>
      <w:r w:rsidR="007F38BD" w:rsidRPr="00C97500">
        <w:rPr>
          <w:rFonts w:ascii="Times New Roman" w:hAnsi="Times New Roman" w:cs="Times New Roman"/>
          <w:sz w:val="24"/>
          <w:szCs w:val="24"/>
          <w:shd w:val="clear" w:color="auto" w:fill="FFFFFF"/>
        </w:rPr>
        <w:t xml:space="preserve"> </w:t>
      </w:r>
      <w:r w:rsidRPr="00C97500">
        <w:rPr>
          <w:rFonts w:ascii="Times New Roman" w:hAnsi="Times New Roman" w:cs="Times New Roman"/>
          <w:sz w:val="24"/>
          <w:szCs w:val="24"/>
          <w:shd w:val="clear" w:color="auto" w:fill="FFFFFF"/>
        </w:rPr>
        <w:t>Repeatability characteristics of simple indices of insulin resistance: implications for research applications.</w:t>
      </w:r>
      <w:r w:rsidR="007F38BD" w:rsidRPr="00C97500">
        <w:rPr>
          <w:rFonts w:ascii="Times New Roman" w:hAnsi="Times New Roman" w:cs="Times New Roman"/>
          <w:sz w:val="24"/>
          <w:szCs w:val="24"/>
          <w:shd w:val="clear" w:color="auto" w:fill="FFFFFF"/>
        </w:rPr>
        <w:t> </w:t>
      </w:r>
      <w:r w:rsidRPr="00C97500">
        <w:rPr>
          <w:rFonts w:ascii="Times New Roman" w:hAnsi="Times New Roman" w:cs="Times New Roman"/>
          <w:sz w:val="24"/>
          <w:szCs w:val="24"/>
          <w:shd w:val="clear" w:color="auto" w:fill="FFFFFF"/>
        </w:rPr>
        <w:t>J Clin Endocrinol Metab 2001;86(11):5457-64.</w:t>
      </w:r>
    </w:p>
    <w:p w:rsidR="00D46B5A" w:rsidRPr="00C97500" w:rsidRDefault="00A033D6"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Wallace TM, Levy JC, Matthews DR.</w:t>
      </w:r>
      <w:r w:rsidR="007F38BD" w:rsidRPr="00C97500">
        <w:rPr>
          <w:rFonts w:ascii="Times New Roman" w:hAnsi="Times New Roman" w:cs="Times New Roman"/>
          <w:sz w:val="24"/>
          <w:szCs w:val="24"/>
          <w:shd w:val="clear" w:color="auto" w:fill="FFFFFF"/>
        </w:rPr>
        <w:t xml:space="preserve"> Use and abuse of HOMA modeling. </w:t>
      </w:r>
      <w:r w:rsidRPr="00C97500">
        <w:rPr>
          <w:rFonts w:ascii="Times New Roman" w:hAnsi="Times New Roman" w:cs="Times New Roman"/>
          <w:sz w:val="24"/>
          <w:szCs w:val="24"/>
          <w:shd w:val="clear" w:color="auto" w:fill="FFFFFF"/>
        </w:rPr>
        <w:t>Diabetes Care 2004;27(6):1487-95</w:t>
      </w:r>
      <w:r w:rsidR="007F38BD" w:rsidRPr="00C97500">
        <w:rPr>
          <w:rFonts w:ascii="Times New Roman" w:hAnsi="Times New Roman" w:cs="Times New Roman"/>
          <w:sz w:val="24"/>
          <w:szCs w:val="24"/>
          <w:shd w:val="clear" w:color="auto" w:fill="FFFFFF"/>
        </w:rPr>
        <w:t>.</w:t>
      </w:r>
    </w:p>
    <w:p w:rsidR="00D46B5A" w:rsidRPr="00C97500" w:rsidRDefault="00A033D6"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 xml:space="preserve">Katz A, Nambi SS, Mather K, Baron AD, Follmann DA, Sullivan G, Quon MJ. </w:t>
      </w:r>
      <w:r w:rsidR="007F38BD" w:rsidRPr="00C97500">
        <w:rPr>
          <w:rFonts w:ascii="Times New Roman" w:hAnsi="Times New Roman" w:cs="Times New Roman"/>
          <w:sz w:val="24"/>
          <w:szCs w:val="24"/>
          <w:shd w:val="clear" w:color="auto" w:fill="FFFFFF"/>
        </w:rPr>
        <w:t>Quantitative insulin sensitivity check index: a simple, accurate method for assessing insulin sensitivity in humans. </w:t>
      </w:r>
      <w:r w:rsidRPr="00C97500">
        <w:rPr>
          <w:rFonts w:ascii="Times New Roman" w:hAnsi="Times New Roman" w:cs="Times New Roman"/>
          <w:iCs/>
          <w:sz w:val="24"/>
          <w:szCs w:val="24"/>
          <w:shd w:val="clear" w:color="auto" w:fill="FFFFFF"/>
        </w:rPr>
        <w:t>J Clin Endocrinol Metab 2000;85(7):2402-10.</w:t>
      </w:r>
    </w:p>
    <w:p w:rsidR="00D46B5A" w:rsidRPr="00C97500" w:rsidRDefault="000F324A"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Škrha J. Diabetologie. Praha</w:t>
      </w:r>
      <w:r w:rsidR="00A033D6" w:rsidRPr="00C97500">
        <w:rPr>
          <w:rFonts w:ascii="Times New Roman" w:hAnsi="Times New Roman" w:cs="Times New Roman"/>
          <w:sz w:val="24"/>
          <w:szCs w:val="24"/>
          <w:shd w:val="clear" w:color="auto" w:fill="FFFFFF"/>
        </w:rPr>
        <w:t>:</w:t>
      </w:r>
      <w:r w:rsidRPr="00C97500">
        <w:rPr>
          <w:rFonts w:ascii="Times New Roman" w:hAnsi="Times New Roman" w:cs="Times New Roman"/>
          <w:sz w:val="24"/>
          <w:szCs w:val="24"/>
          <w:shd w:val="clear" w:color="auto" w:fill="FFFFFF"/>
        </w:rPr>
        <w:t xml:space="preserve"> G</w:t>
      </w:r>
      <w:r w:rsidR="00A033D6" w:rsidRPr="00C97500">
        <w:rPr>
          <w:rFonts w:ascii="Times New Roman" w:hAnsi="Times New Roman" w:cs="Times New Roman"/>
          <w:sz w:val="24"/>
          <w:szCs w:val="24"/>
          <w:shd w:val="clear" w:color="auto" w:fill="FFFFFF"/>
        </w:rPr>
        <w:t>a</w:t>
      </w:r>
      <w:r w:rsidRPr="00C97500">
        <w:rPr>
          <w:rFonts w:ascii="Times New Roman" w:hAnsi="Times New Roman" w:cs="Times New Roman"/>
          <w:sz w:val="24"/>
          <w:szCs w:val="24"/>
          <w:shd w:val="clear" w:color="auto" w:fill="FFFFFF"/>
        </w:rPr>
        <w:t>l</w:t>
      </w:r>
      <w:r w:rsidR="00A033D6" w:rsidRPr="00C97500">
        <w:rPr>
          <w:rFonts w:ascii="Times New Roman" w:hAnsi="Times New Roman" w:cs="Times New Roman"/>
          <w:sz w:val="24"/>
          <w:szCs w:val="24"/>
          <w:shd w:val="clear" w:color="auto" w:fill="FFFFFF"/>
        </w:rPr>
        <w:t>en;</w:t>
      </w:r>
      <w:r w:rsidRPr="00C97500">
        <w:rPr>
          <w:rFonts w:ascii="Times New Roman" w:hAnsi="Times New Roman" w:cs="Times New Roman"/>
          <w:sz w:val="24"/>
          <w:szCs w:val="24"/>
          <w:shd w:val="clear" w:color="auto" w:fill="FFFFFF"/>
        </w:rPr>
        <w:t xml:space="preserve"> 2009</w:t>
      </w:r>
      <w:r w:rsidR="00A033D6" w:rsidRPr="00C97500">
        <w:rPr>
          <w:rFonts w:ascii="Times New Roman" w:hAnsi="Times New Roman" w:cs="Times New Roman"/>
          <w:sz w:val="24"/>
          <w:szCs w:val="24"/>
          <w:shd w:val="clear" w:color="auto" w:fill="FFFFFF"/>
        </w:rPr>
        <w:t>.</w:t>
      </w:r>
      <w:r w:rsidR="00A033D6" w:rsidRPr="00C97500">
        <w:rPr>
          <w:rFonts w:ascii="Times New Roman" w:hAnsi="Times New Roman" w:cs="Times New Roman"/>
          <w:sz w:val="24"/>
          <w:szCs w:val="24"/>
        </w:rPr>
        <w:t xml:space="preserve"> </w:t>
      </w:r>
      <w:r w:rsidR="00A033D6" w:rsidRPr="00C97500">
        <w:rPr>
          <w:rFonts w:ascii="Times New Roman" w:hAnsi="Times New Roman" w:cs="Times New Roman"/>
          <w:sz w:val="24"/>
          <w:szCs w:val="24"/>
          <w:shd w:val="clear" w:color="auto" w:fill="FFFFFF"/>
        </w:rPr>
        <w:t>ISBN 978-80-7262-607-6.</w:t>
      </w:r>
    </w:p>
    <w:p w:rsidR="00D46B5A" w:rsidRPr="00C97500" w:rsidRDefault="006A42FB"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Randrianarisoa E, Lehn-Stefan A, Hieronimus A, Rietig R, Fritsche A, Machann J, Balletshofer B, Häring HU, Stefan N, Rittig K</w:t>
      </w:r>
      <w:r w:rsidR="00DF1889" w:rsidRPr="00C97500">
        <w:rPr>
          <w:rFonts w:ascii="Times New Roman" w:hAnsi="Times New Roman" w:cs="Times New Roman"/>
          <w:sz w:val="24"/>
          <w:szCs w:val="24"/>
          <w:shd w:val="clear" w:color="auto" w:fill="FFFFFF"/>
        </w:rPr>
        <w:t>. Visceral adiposity index as an independent marker of subclinical atherosclerosis in individuals prone to diabetes mellitus. </w:t>
      </w:r>
      <w:r w:rsidRPr="00C97500">
        <w:rPr>
          <w:rFonts w:ascii="Times New Roman" w:hAnsi="Times New Roman" w:cs="Times New Roman"/>
          <w:iCs/>
          <w:sz w:val="24"/>
          <w:szCs w:val="24"/>
          <w:shd w:val="clear" w:color="auto" w:fill="FFFFFF"/>
        </w:rPr>
        <w:t>J Atheroscler Thromb 2019;26(9):821-34.</w:t>
      </w:r>
    </w:p>
    <w:p w:rsidR="00D46B5A" w:rsidRPr="00C97500" w:rsidRDefault="006A42FB"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Amato MC, Giordano C, Galia M, Criscimanna A, Vitabile S, Midiri M, Galluzzo A.</w:t>
      </w:r>
      <w:r w:rsidR="0002572D" w:rsidRPr="00C97500">
        <w:rPr>
          <w:rFonts w:ascii="Times New Roman" w:hAnsi="Times New Roman" w:cs="Times New Roman"/>
          <w:sz w:val="24"/>
          <w:szCs w:val="24"/>
          <w:shd w:val="clear" w:color="auto" w:fill="FFFFFF"/>
        </w:rPr>
        <w:t xml:space="preserve"> Visceral </w:t>
      </w:r>
      <w:r w:rsidRPr="00C97500">
        <w:rPr>
          <w:rFonts w:ascii="Times New Roman" w:hAnsi="Times New Roman" w:cs="Times New Roman"/>
          <w:sz w:val="24"/>
          <w:szCs w:val="24"/>
          <w:shd w:val="clear" w:color="auto" w:fill="FFFFFF"/>
        </w:rPr>
        <w:t>a</w:t>
      </w:r>
      <w:r w:rsidR="0002572D" w:rsidRPr="00C97500">
        <w:rPr>
          <w:rFonts w:ascii="Times New Roman" w:hAnsi="Times New Roman" w:cs="Times New Roman"/>
          <w:sz w:val="24"/>
          <w:szCs w:val="24"/>
          <w:shd w:val="clear" w:color="auto" w:fill="FFFFFF"/>
        </w:rPr>
        <w:t xml:space="preserve">diposity </w:t>
      </w:r>
      <w:r w:rsidRPr="00C97500">
        <w:rPr>
          <w:rFonts w:ascii="Times New Roman" w:hAnsi="Times New Roman" w:cs="Times New Roman"/>
          <w:sz w:val="24"/>
          <w:szCs w:val="24"/>
          <w:shd w:val="clear" w:color="auto" w:fill="FFFFFF"/>
        </w:rPr>
        <w:t>i</w:t>
      </w:r>
      <w:r w:rsidR="0002572D" w:rsidRPr="00C97500">
        <w:rPr>
          <w:rFonts w:ascii="Times New Roman" w:hAnsi="Times New Roman" w:cs="Times New Roman"/>
          <w:sz w:val="24"/>
          <w:szCs w:val="24"/>
          <w:shd w:val="clear" w:color="auto" w:fill="FFFFFF"/>
        </w:rPr>
        <w:t>ndex</w:t>
      </w:r>
      <w:r w:rsidRPr="00C97500">
        <w:rPr>
          <w:rFonts w:ascii="Times New Roman" w:hAnsi="Times New Roman" w:cs="Times New Roman"/>
          <w:sz w:val="24"/>
          <w:szCs w:val="24"/>
          <w:shd w:val="clear" w:color="auto" w:fill="FFFFFF"/>
        </w:rPr>
        <w:t>:</w:t>
      </w:r>
      <w:r w:rsidR="0002572D" w:rsidRPr="00C97500">
        <w:rPr>
          <w:rFonts w:ascii="Times New Roman" w:hAnsi="Times New Roman" w:cs="Times New Roman"/>
          <w:sz w:val="24"/>
          <w:szCs w:val="24"/>
          <w:shd w:val="clear" w:color="auto" w:fill="FFFFFF"/>
        </w:rPr>
        <w:t xml:space="preserve"> </w:t>
      </w:r>
      <w:r w:rsidR="006D214E" w:rsidRPr="00C97500">
        <w:rPr>
          <w:rFonts w:ascii="Times New Roman" w:hAnsi="Times New Roman" w:cs="Times New Roman"/>
          <w:sz w:val="24"/>
          <w:szCs w:val="24"/>
          <w:shd w:val="clear" w:color="auto" w:fill="FFFFFF"/>
        </w:rPr>
        <w:t>a</w:t>
      </w:r>
      <w:r w:rsidR="0002572D" w:rsidRPr="00C97500">
        <w:rPr>
          <w:rFonts w:ascii="Times New Roman" w:hAnsi="Times New Roman" w:cs="Times New Roman"/>
          <w:sz w:val="24"/>
          <w:szCs w:val="24"/>
          <w:shd w:val="clear" w:color="auto" w:fill="FFFFFF"/>
        </w:rPr>
        <w:t xml:space="preserve"> reliable indicator of visceral fat function associated with cardiometabolic risk. Diabetes Care </w:t>
      </w:r>
      <w:r w:rsidRPr="00C97500">
        <w:rPr>
          <w:rFonts w:ascii="Times New Roman" w:hAnsi="Times New Roman" w:cs="Times New Roman"/>
          <w:sz w:val="24"/>
          <w:szCs w:val="24"/>
          <w:shd w:val="clear" w:color="auto" w:fill="FFFFFF"/>
        </w:rPr>
        <w:t>2010;</w:t>
      </w:r>
      <w:r w:rsidR="0002572D" w:rsidRPr="00C97500">
        <w:rPr>
          <w:rFonts w:ascii="Times New Roman" w:hAnsi="Times New Roman" w:cs="Times New Roman"/>
          <w:sz w:val="24"/>
          <w:szCs w:val="24"/>
          <w:shd w:val="clear" w:color="auto" w:fill="FFFFFF"/>
        </w:rPr>
        <w:t>33</w:t>
      </w:r>
      <w:r w:rsidRPr="00C97500">
        <w:rPr>
          <w:rFonts w:ascii="Times New Roman" w:hAnsi="Times New Roman" w:cs="Times New Roman"/>
          <w:sz w:val="24"/>
          <w:szCs w:val="24"/>
          <w:shd w:val="clear" w:color="auto" w:fill="FFFFFF"/>
        </w:rPr>
        <w:t>(4)</w:t>
      </w:r>
      <w:r w:rsidR="0002572D" w:rsidRPr="00C97500">
        <w:rPr>
          <w:rFonts w:ascii="Times New Roman" w:hAnsi="Times New Roman" w:cs="Times New Roman"/>
          <w:sz w:val="24"/>
          <w:szCs w:val="24"/>
          <w:shd w:val="clear" w:color="auto" w:fill="FFFFFF"/>
        </w:rPr>
        <w:t>:920-2</w:t>
      </w:r>
      <w:r w:rsidRPr="00C97500">
        <w:rPr>
          <w:rFonts w:ascii="Times New Roman" w:hAnsi="Times New Roman" w:cs="Times New Roman"/>
          <w:sz w:val="24"/>
          <w:szCs w:val="24"/>
          <w:shd w:val="clear" w:color="auto" w:fill="FFFFFF"/>
        </w:rPr>
        <w:t>.</w:t>
      </w:r>
    </w:p>
    <w:p w:rsidR="00D46B5A" w:rsidRPr="00C97500" w:rsidRDefault="006A42FB"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shd w:val="clear" w:color="auto" w:fill="FFFFFF"/>
        </w:rPr>
        <w:t>Li Z, Huang Q, Sun L, Bao T, Dai Z.</w:t>
      </w:r>
      <w:r w:rsidR="0002572D" w:rsidRPr="00C97500">
        <w:rPr>
          <w:rFonts w:ascii="Times New Roman" w:hAnsi="Times New Roman" w:cs="Times New Roman"/>
          <w:sz w:val="24"/>
          <w:szCs w:val="24"/>
          <w:shd w:val="clear" w:color="auto" w:fill="FFFFFF"/>
        </w:rPr>
        <w:t xml:space="preserve"> Atherogenic index in type 2 diabetes and its relationship with chronic microvascular complications. </w:t>
      </w:r>
      <w:r w:rsidRPr="00C97500">
        <w:rPr>
          <w:rFonts w:ascii="Times New Roman" w:hAnsi="Times New Roman" w:cs="Times New Roman"/>
          <w:sz w:val="24"/>
          <w:szCs w:val="24"/>
          <w:shd w:val="clear" w:color="auto" w:fill="FFFFFF"/>
        </w:rPr>
        <w:t>Int J Endocrinol 2018;2018:1765835.</w:t>
      </w:r>
    </w:p>
    <w:p w:rsidR="00B57B61" w:rsidRPr="00C97500" w:rsidRDefault="006A42FB"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Dobiásová M, Frohlich J.</w:t>
      </w:r>
      <w:r w:rsidR="0002572D" w:rsidRPr="00C97500">
        <w:rPr>
          <w:rFonts w:ascii="Times New Roman" w:hAnsi="Times New Roman" w:cs="Times New Roman"/>
          <w:sz w:val="24"/>
          <w:szCs w:val="24"/>
        </w:rPr>
        <w:t xml:space="preserve"> The plasma parameter log (TG/HDL-C) as an atherogenic index: correlation with lipoprotein particle size and esterification rate </w:t>
      </w:r>
      <w:r w:rsidR="0002572D" w:rsidRPr="00C97500">
        <w:rPr>
          <w:rFonts w:ascii="Times New Roman" w:hAnsi="Times New Roman" w:cs="Times New Roman"/>
          <w:sz w:val="24"/>
          <w:szCs w:val="24"/>
        </w:rPr>
        <w:lastRenderedPageBreak/>
        <w:t>in</w:t>
      </w:r>
      <w:r w:rsidR="00772BCE" w:rsidRPr="00C97500">
        <w:rPr>
          <w:rFonts w:ascii="Times New Roman" w:hAnsi="Times New Roman" w:cs="Times New Roman"/>
          <w:sz w:val="24"/>
          <w:szCs w:val="24"/>
        </w:rPr>
        <w:t xml:space="preserve"> apoB</w:t>
      </w:r>
      <w:r w:rsidR="0002572D" w:rsidRPr="00C97500">
        <w:rPr>
          <w:rFonts w:ascii="Times New Roman" w:hAnsi="Times New Roman" w:cs="Times New Roman"/>
          <w:sz w:val="24"/>
          <w:szCs w:val="24"/>
        </w:rPr>
        <w:t>-lipoprotein-depleted plasma (FER</w:t>
      </w:r>
      <w:r w:rsidR="00772BCE" w:rsidRPr="00C97500">
        <w:rPr>
          <w:rFonts w:ascii="Times New Roman" w:hAnsi="Times New Roman" w:cs="Times New Roman"/>
          <w:sz w:val="24"/>
          <w:szCs w:val="24"/>
        </w:rPr>
        <w:t>(</w:t>
      </w:r>
      <w:r w:rsidR="0002572D" w:rsidRPr="00C97500">
        <w:rPr>
          <w:rFonts w:ascii="Times New Roman" w:hAnsi="Times New Roman" w:cs="Times New Roman"/>
          <w:sz w:val="24"/>
          <w:szCs w:val="24"/>
        </w:rPr>
        <w:t>HDL)</w:t>
      </w:r>
      <w:r w:rsidR="00772BCE" w:rsidRPr="00C97500">
        <w:rPr>
          <w:rFonts w:ascii="Times New Roman" w:hAnsi="Times New Roman" w:cs="Times New Roman"/>
          <w:sz w:val="24"/>
          <w:szCs w:val="24"/>
        </w:rPr>
        <w:t>)</w:t>
      </w:r>
      <w:r w:rsidR="0002572D" w:rsidRPr="00C97500">
        <w:rPr>
          <w:rFonts w:ascii="Times New Roman" w:hAnsi="Times New Roman" w:cs="Times New Roman"/>
          <w:sz w:val="24"/>
          <w:szCs w:val="24"/>
        </w:rPr>
        <w:t xml:space="preserve">. </w:t>
      </w:r>
      <w:r w:rsidR="0002572D" w:rsidRPr="00C97500">
        <w:rPr>
          <w:rFonts w:ascii="Times New Roman" w:hAnsi="Times New Roman" w:cs="Times New Roman"/>
          <w:iCs/>
          <w:sz w:val="24"/>
          <w:szCs w:val="24"/>
        </w:rPr>
        <w:t>Clin Bioch</w:t>
      </w:r>
      <w:r w:rsidR="00772BCE" w:rsidRPr="00C97500">
        <w:rPr>
          <w:rFonts w:ascii="Times New Roman" w:hAnsi="Times New Roman" w:cs="Times New Roman"/>
          <w:iCs/>
          <w:sz w:val="24"/>
          <w:szCs w:val="24"/>
        </w:rPr>
        <w:t>em</w:t>
      </w:r>
      <w:r w:rsidR="0002572D" w:rsidRPr="00C97500">
        <w:rPr>
          <w:rFonts w:ascii="Times New Roman" w:hAnsi="Times New Roman" w:cs="Times New Roman"/>
          <w:iCs/>
          <w:sz w:val="24"/>
          <w:szCs w:val="24"/>
        </w:rPr>
        <w:t xml:space="preserve"> </w:t>
      </w:r>
      <w:r w:rsidR="00772BCE" w:rsidRPr="00C97500">
        <w:rPr>
          <w:rFonts w:ascii="Times New Roman" w:hAnsi="Times New Roman" w:cs="Times New Roman"/>
          <w:iCs/>
          <w:sz w:val="24"/>
          <w:szCs w:val="24"/>
        </w:rPr>
        <w:t>2001;</w:t>
      </w:r>
      <w:r w:rsidR="0002572D" w:rsidRPr="00C97500">
        <w:rPr>
          <w:rFonts w:ascii="Times New Roman" w:hAnsi="Times New Roman" w:cs="Times New Roman"/>
          <w:bCs/>
          <w:sz w:val="24"/>
          <w:szCs w:val="24"/>
        </w:rPr>
        <w:t>34</w:t>
      </w:r>
      <w:r w:rsidR="00772BCE" w:rsidRPr="00C97500">
        <w:rPr>
          <w:rFonts w:ascii="Times New Roman" w:hAnsi="Times New Roman" w:cs="Times New Roman"/>
          <w:bCs/>
          <w:sz w:val="24"/>
          <w:szCs w:val="24"/>
        </w:rPr>
        <w:t>(7)</w:t>
      </w:r>
      <w:r w:rsidR="0002572D" w:rsidRPr="00C97500">
        <w:rPr>
          <w:rFonts w:ascii="Times New Roman" w:hAnsi="Times New Roman" w:cs="Times New Roman"/>
          <w:sz w:val="24"/>
          <w:szCs w:val="24"/>
        </w:rPr>
        <w:t>:583-8.</w:t>
      </w:r>
    </w:p>
    <w:p w:rsidR="009D36E7" w:rsidRPr="000B7F8E" w:rsidRDefault="009D36E7"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Svačina Š</w:t>
      </w:r>
      <w:r w:rsidRPr="000B7F8E">
        <w:rPr>
          <w:rFonts w:ascii="Times New Roman" w:hAnsi="Times New Roman" w:cs="Times New Roman"/>
          <w:sz w:val="24"/>
          <w:szCs w:val="24"/>
        </w:rPr>
        <w:t>. Metabolický syndrom. Praha</w:t>
      </w:r>
      <w:r w:rsidR="00772BCE" w:rsidRPr="000B7F8E">
        <w:rPr>
          <w:rFonts w:ascii="Times New Roman" w:hAnsi="Times New Roman" w:cs="Times New Roman"/>
          <w:sz w:val="24"/>
          <w:szCs w:val="24"/>
        </w:rPr>
        <w:t>: Triton; 2006. ISBN 80-7254-178-1.</w:t>
      </w:r>
    </w:p>
    <w:p w:rsidR="003A4DBF" w:rsidRPr="000B7F8E" w:rsidRDefault="003A4DBF" w:rsidP="00C97500">
      <w:pPr>
        <w:pStyle w:val="Odstavecseseznamem"/>
        <w:numPr>
          <w:ilvl w:val="0"/>
          <w:numId w:val="5"/>
        </w:numPr>
        <w:spacing w:line="360" w:lineRule="auto"/>
        <w:jc w:val="both"/>
        <w:rPr>
          <w:rFonts w:ascii="Times New Roman" w:hAnsi="Times New Roman" w:cs="Times New Roman"/>
          <w:sz w:val="24"/>
          <w:szCs w:val="24"/>
        </w:rPr>
      </w:pPr>
      <w:r w:rsidRPr="000B7F8E">
        <w:rPr>
          <w:rFonts w:ascii="Times New Roman" w:hAnsi="Times New Roman" w:cs="Times New Roman"/>
          <w:sz w:val="24"/>
          <w:szCs w:val="24"/>
        </w:rPr>
        <w:t xml:space="preserve">World Health Organization. </w:t>
      </w:r>
      <w:r w:rsidR="000B7F8E" w:rsidRPr="000B7F8E">
        <w:rPr>
          <w:rFonts w:ascii="Times New Roman" w:hAnsi="Times New Roman" w:cs="Times New Roman"/>
          <w:sz w:val="24"/>
          <w:szCs w:val="24"/>
        </w:rPr>
        <w:t>Physical activity. 2018. Dostupné z: https://www.who.int/news-room/fact-sheets/detail/physical-activity.</w:t>
      </w:r>
    </w:p>
    <w:p w:rsidR="009D36E7" w:rsidRPr="00C97500" w:rsidRDefault="00772BC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Sovová E, Nakládalová M, Kaletová M, Lukl J, Benusová I, Doupalová P.</w:t>
      </w:r>
      <w:r w:rsidR="009D36E7" w:rsidRPr="00C97500">
        <w:rPr>
          <w:rFonts w:ascii="Times New Roman" w:hAnsi="Times New Roman" w:cs="Times New Roman"/>
          <w:sz w:val="24"/>
          <w:szCs w:val="24"/>
        </w:rPr>
        <w:t xml:space="preserve"> The infulence of targeted inte</w:t>
      </w:r>
      <w:r w:rsidRPr="00C97500">
        <w:rPr>
          <w:rFonts w:ascii="Times New Roman" w:hAnsi="Times New Roman" w:cs="Times New Roman"/>
          <w:sz w:val="24"/>
          <w:szCs w:val="24"/>
        </w:rPr>
        <w:t>r</w:t>
      </w:r>
      <w:r w:rsidR="009D36E7" w:rsidRPr="00C97500">
        <w:rPr>
          <w:rFonts w:ascii="Times New Roman" w:hAnsi="Times New Roman" w:cs="Times New Roman"/>
          <w:sz w:val="24"/>
          <w:szCs w:val="24"/>
        </w:rPr>
        <w:t>vention on the incidence of risk factors of cardiovascular diseases at medical staff. Vnitr Lek 2006;52(1):</w:t>
      </w:r>
      <w:r w:rsidRPr="00C97500">
        <w:rPr>
          <w:rFonts w:ascii="Times New Roman" w:hAnsi="Times New Roman" w:cs="Times New Roman"/>
          <w:sz w:val="24"/>
          <w:szCs w:val="24"/>
        </w:rPr>
        <w:t>21-5</w:t>
      </w:r>
      <w:r w:rsidR="009D36E7" w:rsidRPr="00C97500">
        <w:rPr>
          <w:rFonts w:ascii="Times New Roman" w:hAnsi="Times New Roman" w:cs="Times New Roman"/>
          <w:sz w:val="24"/>
          <w:szCs w:val="24"/>
        </w:rPr>
        <w:t>.</w:t>
      </w:r>
    </w:p>
    <w:p w:rsidR="007A78B0" w:rsidRPr="00C97500" w:rsidRDefault="007A78B0"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International Diabetes Federation. IDF </w:t>
      </w:r>
      <w:r w:rsidR="00772BCE" w:rsidRPr="00C97500">
        <w:rPr>
          <w:rFonts w:ascii="Times New Roman" w:hAnsi="Times New Roman" w:cs="Times New Roman"/>
          <w:sz w:val="24"/>
          <w:szCs w:val="24"/>
        </w:rPr>
        <w:t>d</w:t>
      </w:r>
      <w:r w:rsidRPr="00C97500">
        <w:rPr>
          <w:rFonts w:ascii="Times New Roman" w:hAnsi="Times New Roman" w:cs="Times New Roman"/>
          <w:sz w:val="24"/>
          <w:szCs w:val="24"/>
        </w:rPr>
        <w:t>iab</w:t>
      </w:r>
      <w:r w:rsidR="00772BCE" w:rsidRPr="00C97500">
        <w:rPr>
          <w:rFonts w:ascii="Times New Roman" w:hAnsi="Times New Roman" w:cs="Times New Roman"/>
          <w:sz w:val="24"/>
          <w:szCs w:val="24"/>
        </w:rPr>
        <w:t>etes atlas, ninth edition 2019.</w:t>
      </w:r>
      <w:r w:rsidR="009907FF" w:rsidRPr="00C97500">
        <w:rPr>
          <w:rFonts w:ascii="Times New Roman" w:hAnsi="Times New Roman" w:cs="Times New Roman"/>
          <w:sz w:val="24"/>
          <w:szCs w:val="24"/>
        </w:rPr>
        <w:t xml:space="preserve"> 2019.</w:t>
      </w:r>
      <w:r w:rsidRPr="00C97500">
        <w:rPr>
          <w:rFonts w:ascii="Times New Roman" w:hAnsi="Times New Roman" w:cs="Times New Roman"/>
          <w:sz w:val="24"/>
          <w:szCs w:val="24"/>
        </w:rPr>
        <w:t xml:space="preserve"> </w:t>
      </w:r>
      <w:r w:rsidR="00772BCE" w:rsidRPr="00C97500">
        <w:rPr>
          <w:rFonts w:ascii="Times New Roman" w:hAnsi="Times New Roman" w:cs="Times New Roman"/>
          <w:sz w:val="24"/>
          <w:szCs w:val="24"/>
        </w:rPr>
        <w:t>Dostupné z:</w:t>
      </w:r>
      <w:r w:rsidRPr="00C97500">
        <w:rPr>
          <w:rFonts w:ascii="Times New Roman" w:hAnsi="Times New Roman" w:cs="Times New Roman"/>
          <w:sz w:val="24"/>
          <w:szCs w:val="24"/>
        </w:rPr>
        <w:t xml:space="preserve"> </w:t>
      </w:r>
      <w:r w:rsidRPr="00C97500">
        <w:rPr>
          <w:rStyle w:val="Hypertextovodkaz"/>
          <w:rFonts w:ascii="Times New Roman" w:hAnsi="Times New Roman" w:cs="Times New Roman"/>
          <w:color w:val="auto"/>
          <w:sz w:val="24"/>
          <w:szCs w:val="24"/>
          <w:u w:val="none"/>
        </w:rPr>
        <w:t>https://www.diabetesatlas.org/en/resources/</w:t>
      </w:r>
      <w:r w:rsidR="00772BCE" w:rsidRPr="00C97500">
        <w:rPr>
          <w:rStyle w:val="Hypertextovodkaz"/>
          <w:rFonts w:ascii="Times New Roman" w:hAnsi="Times New Roman" w:cs="Times New Roman"/>
          <w:color w:val="auto"/>
          <w:sz w:val="24"/>
          <w:szCs w:val="24"/>
          <w:u w:val="none"/>
        </w:rPr>
        <w:t>.</w:t>
      </w:r>
    </w:p>
    <w:p w:rsidR="007A78B0" w:rsidRPr="00C97500" w:rsidRDefault="00772BC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Kerrison G, Gillis RB, Jiwani SI, Alzahrani Q, Kok S, Harding SE, Shaw I, Adams GG</w:t>
      </w:r>
      <w:r w:rsidR="007A78B0" w:rsidRPr="00C97500">
        <w:rPr>
          <w:rFonts w:ascii="Times New Roman" w:hAnsi="Times New Roman" w:cs="Times New Roman"/>
          <w:sz w:val="24"/>
          <w:szCs w:val="24"/>
        </w:rPr>
        <w:t xml:space="preserve">. The </w:t>
      </w:r>
      <w:r w:rsidRPr="00C97500">
        <w:rPr>
          <w:rFonts w:ascii="Times New Roman" w:hAnsi="Times New Roman" w:cs="Times New Roman"/>
          <w:sz w:val="24"/>
          <w:szCs w:val="24"/>
        </w:rPr>
        <w:t>e</w:t>
      </w:r>
      <w:r w:rsidR="007A78B0" w:rsidRPr="00C97500">
        <w:rPr>
          <w:rFonts w:ascii="Times New Roman" w:hAnsi="Times New Roman" w:cs="Times New Roman"/>
          <w:sz w:val="24"/>
          <w:szCs w:val="24"/>
        </w:rPr>
        <w:t xml:space="preserve">ffectiveness of </w:t>
      </w:r>
      <w:r w:rsidRPr="00C97500">
        <w:rPr>
          <w:rFonts w:ascii="Times New Roman" w:hAnsi="Times New Roman" w:cs="Times New Roman"/>
          <w:sz w:val="24"/>
          <w:szCs w:val="24"/>
        </w:rPr>
        <w:t>lifestyle adaptation for the p</w:t>
      </w:r>
      <w:r w:rsidR="007A78B0" w:rsidRPr="00C97500">
        <w:rPr>
          <w:rFonts w:ascii="Times New Roman" w:hAnsi="Times New Roman" w:cs="Times New Roman"/>
          <w:sz w:val="24"/>
          <w:szCs w:val="24"/>
        </w:rPr>
        <w:t xml:space="preserve">revention of </w:t>
      </w:r>
      <w:r w:rsidRPr="00C97500">
        <w:rPr>
          <w:rFonts w:ascii="Times New Roman" w:hAnsi="Times New Roman" w:cs="Times New Roman"/>
          <w:sz w:val="24"/>
          <w:szCs w:val="24"/>
        </w:rPr>
        <w:t>p</w:t>
      </w:r>
      <w:r w:rsidR="007A78B0" w:rsidRPr="00C97500">
        <w:rPr>
          <w:rFonts w:ascii="Times New Roman" w:hAnsi="Times New Roman" w:cs="Times New Roman"/>
          <w:sz w:val="24"/>
          <w:szCs w:val="24"/>
        </w:rPr>
        <w:t xml:space="preserve">rediabetes in </w:t>
      </w:r>
      <w:r w:rsidRPr="00C97500">
        <w:rPr>
          <w:rFonts w:ascii="Times New Roman" w:hAnsi="Times New Roman" w:cs="Times New Roman"/>
          <w:sz w:val="24"/>
          <w:szCs w:val="24"/>
        </w:rPr>
        <w:t>a</w:t>
      </w:r>
      <w:r w:rsidR="007A78B0" w:rsidRPr="00C97500">
        <w:rPr>
          <w:rFonts w:ascii="Times New Roman" w:hAnsi="Times New Roman" w:cs="Times New Roman"/>
          <w:sz w:val="24"/>
          <w:szCs w:val="24"/>
        </w:rPr>
        <w:t xml:space="preserve">dults: A </w:t>
      </w:r>
      <w:r w:rsidRPr="00C97500">
        <w:rPr>
          <w:rFonts w:ascii="Times New Roman" w:hAnsi="Times New Roman" w:cs="Times New Roman"/>
          <w:sz w:val="24"/>
          <w:szCs w:val="24"/>
        </w:rPr>
        <w:t>s</w:t>
      </w:r>
      <w:r w:rsidR="007A78B0" w:rsidRPr="00C97500">
        <w:rPr>
          <w:rFonts w:ascii="Times New Roman" w:hAnsi="Times New Roman" w:cs="Times New Roman"/>
          <w:sz w:val="24"/>
          <w:szCs w:val="24"/>
        </w:rPr>
        <w:t xml:space="preserve">ystematic </w:t>
      </w:r>
      <w:r w:rsidRPr="00C97500">
        <w:rPr>
          <w:rFonts w:ascii="Times New Roman" w:hAnsi="Times New Roman" w:cs="Times New Roman"/>
          <w:sz w:val="24"/>
          <w:szCs w:val="24"/>
        </w:rPr>
        <w:t>r</w:t>
      </w:r>
      <w:r w:rsidR="007A78B0" w:rsidRPr="00C97500">
        <w:rPr>
          <w:rFonts w:ascii="Times New Roman" w:hAnsi="Times New Roman" w:cs="Times New Roman"/>
          <w:sz w:val="24"/>
          <w:szCs w:val="24"/>
        </w:rPr>
        <w:t>eview. J Diabetes Res 2017;2017:8493145.</w:t>
      </w:r>
    </w:p>
    <w:p w:rsidR="007A78B0" w:rsidRPr="00C97500" w:rsidRDefault="007A78B0"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World Health Organization, International Diabetes Federation. Definition and diagnosis of diabetes mellitus and intermediate hyperglycemia</w:t>
      </w:r>
      <w:r w:rsidR="00772BCE" w:rsidRPr="00C97500">
        <w:rPr>
          <w:rFonts w:ascii="Times New Roman" w:hAnsi="Times New Roman" w:cs="Times New Roman"/>
          <w:sz w:val="24"/>
          <w:szCs w:val="24"/>
        </w:rPr>
        <w:t>,</w:t>
      </w:r>
      <w:r w:rsidRPr="00C97500">
        <w:rPr>
          <w:rFonts w:ascii="Times New Roman" w:hAnsi="Times New Roman" w:cs="Times New Roman"/>
          <w:sz w:val="24"/>
          <w:szCs w:val="24"/>
        </w:rPr>
        <w:t xml:space="preserve"> report of a WHO/IDF consultation. 2006</w:t>
      </w:r>
      <w:r w:rsidR="009907FF" w:rsidRPr="00C97500">
        <w:rPr>
          <w:rFonts w:ascii="Times New Roman" w:hAnsi="Times New Roman" w:cs="Times New Roman"/>
          <w:sz w:val="24"/>
          <w:szCs w:val="24"/>
        </w:rPr>
        <w:t>.</w:t>
      </w:r>
      <w:r w:rsidRPr="00C97500">
        <w:rPr>
          <w:rFonts w:ascii="Times New Roman" w:hAnsi="Times New Roman" w:cs="Times New Roman"/>
          <w:sz w:val="24"/>
          <w:szCs w:val="24"/>
        </w:rPr>
        <w:t xml:space="preserve"> </w:t>
      </w:r>
      <w:r w:rsidR="00772BCE" w:rsidRPr="00C97500">
        <w:rPr>
          <w:rFonts w:ascii="Times New Roman" w:hAnsi="Times New Roman" w:cs="Times New Roman"/>
          <w:sz w:val="24"/>
          <w:szCs w:val="24"/>
        </w:rPr>
        <w:t>Dostupné z</w:t>
      </w:r>
      <w:r w:rsidRPr="00C97500">
        <w:rPr>
          <w:rFonts w:ascii="Times New Roman" w:hAnsi="Times New Roman" w:cs="Times New Roman"/>
          <w:sz w:val="24"/>
          <w:szCs w:val="24"/>
        </w:rPr>
        <w:t xml:space="preserve">: </w:t>
      </w:r>
      <w:r w:rsidR="00772BCE" w:rsidRPr="00C97500">
        <w:rPr>
          <w:rFonts w:ascii="Times New Roman" w:hAnsi="Times New Roman" w:cs="Times New Roman"/>
          <w:sz w:val="24"/>
          <w:szCs w:val="24"/>
        </w:rPr>
        <w:t>https://www.who.int/diabetes/publications/Definition%20and%20diagnosis%20of%20diabetes_new.pdf</w:t>
      </w:r>
      <w:r w:rsidRPr="00C97500">
        <w:rPr>
          <w:rFonts w:ascii="Times New Roman" w:hAnsi="Times New Roman" w:cs="Times New Roman"/>
          <w:sz w:val="24"/>
          <w:szCs w:val="24"/>
        </w:rPr>
        <w:t>.</w:t>
      </w:r>
    </w:p>
    <w:p w:rsidR="007A78B0" w:rsidRPr="00C97500" w:rsidRDefault="007A78B0"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American Diab</w:t>
      </w:r>
      <w:r w:rsidR="00772BCE" w:rsidRPr="00C97500">
        <w:rPr>
          <w:rFonts w:ascii="Times New Roman" w:hAnsi="Times New Roman" w:cs="Times New Roman"/>
          <w:sz w:val="24"/>
          <w:szCs w:val="24"/>
        </w:rPr>
        <w:t>etes Association. Standards of medical care in diabetes—2017 a</w:t>
      </w:r>
      <w:r w:rsidRPr="00C97500">
        <w:rPr>
          <w:rFonts w:ascii="Times New Roman" w:hAnsi="Times New Roman" w:cs="Times New Roman"/>
          <w:sz w:val="24"/>
          <w:szCs w:val="24"/>
        </w:rPr>
        <w:t xml:space="preserve">bridged for </w:t>
      </w:r>
      <w:r w:rsidR="00772BCE" w:rsidRPr="00C97500">
        <w:rPr>
          <w:rFonts w:ascii="Times New Roman" w:hAnsi="Times New Roman" w:cs="Times New Roman"/>
          <w:sz w:val="24"/>
          <w:szCs w:val="24"/>
        </w:rPr>
        <w:t>p</w:t>
      </w:r>
      <w:r w:rsidRPr="00C97500">
        <w:rPr>
          <w:rFonts w:ascii="Times New Roman" w:hAnsi="Times New Roman" w:cs="Times New Roman"/>
          <w:sz w:val="24"/>
          <w:szCs w:val="24"/>
        </w:rPr>
        <w:t xml:space="preserve">rimary </w:t>
      </w:r>
      <w:r w:rsidR="00772BCE" w:rsidRPr="00C97500">
        <w:rPr>
          <w:rFonts w:ascii="Times New Roman" w:hAnsi="Times New Roman" w:cs="Times New Roman"/>
          <w:sz w:val="24"/>
          <w:szCs w:val="24"/>
        </w:rPr>
        <w:t>c</w:t>
      </w:r>
      <w:r w:rsidRPr="00C97500">
        <w:rPr>
          <w:rFonts w:ascii="Times New Roman" w:hAnsi="Times New Roman" w:cs="Times New Roman"/>
          <w:sz w:val="24"/>
          <w:szCs w:val="24"/>
        </w:rPr>
        <w:t xml:space="preserve">are </w:t>
      </w:r>
      <w:r w:rsidR="00772BCE" w:rsidRPr="00C97500">
        <w:rPr>
          <w:rFonts w:ascii="Times New Roman" w:hAnsi="Times New Roman" w:cs="Times New Roman"/>
          <w:sz w:val="24"/>
          <w:szCs w:val="24"/>
        </w:rPr>
        <w:t>p</w:t>
      </w:r>
      <w:r w:rsidRPr="00C97500">
        <w:rPr>
          <w:rFonts w:ascii="Times New Roman" w:hAnsi="Times New Roman" w:cs="Times New Roman"/>
          <w:sz w:val="24"/>
          <w:szCs w:val="24"/>
        </w:rPr>
        <w:t>rovid</w:t>
      </w:r>
      <w:r w:rsidR="00772BCE" w:rsidRPr="00C97500">
        <w:rPr>
          <w:rFonts w:ascii="Times New Roman" w:hAnsi="Times New Roman" w:cs="Times New Roman"/>
          <w:sz w:val="24"/>
          <w:szCs w:val="24"/>
        </w:rPr>
        <w:t>ers. Clin Diabetes 2017;35(1):5-</w:t>
      </w:r>
      <w:r w:rsidRPr="00C97500">
        <w:rPr>
          <w:rFonts w:ascii="Times New Roman" w:hAnsi="Times New Roman" w:cs="Times New Roman"/>
          <w:sz w:val="24"/>
          <w:szCs w:val="24"/>
        </w:rPr>
        <w:t>26.</w:t>
      </w:r>
    </w:p>
    <w:p w:rsidR="007A78B0" w:rsidRPr="00C97500" w:rsidRDefault="007A78B0"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Punthakee Z, Goldenb</w:t>
      </w:r>
      <w:r w:rsidR="00374EF3" w:rsidRPr="00C97500">
        <w:rPr>
          <w:rFonts w:ascii="Times New Roman" w:hAnsi="Times New Roman" w:cs="Times New Roman"/>
          <w:sz w:val="24"/>
          <w:szCs w:val="24"/>
        </w:rPr>
        <w:t>erg R, Katz P, Diabetes Canada clinical practice guidelines expert c</w:t>
      </w:r>
      <w:r w:rsidRPr="00C97500">
        <w:rPr>
          <w:rFonts w:ascii="Times New Roman" w:hAnsi="Times New Roman" w:cs="Times New Roman"/>
          <w:sz w:val="24"/>
          <w:szCs w:val="24"/>
        </w:rPr>
        <w:t xml:space="preserve">ommittee. Definition, </w:t>
      </w:r>
      <w:r w:rsidR="00374EF3" w:rsidRPr="00C97500">
        <w:rPr>
          <w:rFonts w:ascii="Times New Roman" w:hAnsi="Times New Roman" w:cs="Times New Roman"/>
          <w:sz w:val="24"/>
          <w:szCs w:val="24"/>
        </w:rPr>
        <w:t>c</w:t>
      </w:r>
      <w:r w:rsidRPr="00C97500">
        <w:rPr>
          <w:rFonts w:ascii="Times New Roman" w:hAnsi="Times New Roman" w:cs="Times New Roman"/>
          <w:sz w:val="24"/>
          <w:szCs w:val="24"/>
        </w:rPr>
        <w:t xml:space="preserve">lassification and </w:t>
      </w:r>
      <w:r w:rsidR="00374EF3" w:rsidRPr="00C97500">
        <w:rPr>
          <w:rFonts w:ascii="Times New Roman" w:hAnsi="Times New Roman" w:cs="Times New Roman"/>
          <w:sz w:val="24"/>
          <w:szCs w:val="24"/>
        </w:rPr>
        <w:t>d</w:t>
      </w:r>
      <w:r w:rsidRPr="00C97500">
        <w:rPr>
          <w:rFonts w:ascii="Times New Roman" w:hAnsi="Times New Roman" w:cs="Times New Roman"/>
          <w:sz w:val="24"/>
          <w:szCs w:val="24"/>
        </w:rPr>
        <w:t xml:space="preserve">iagnosis of </w:t>
      </w:r>
      <w:r w:rsidR="00374EF3" w:rsidRPr="00C97500">
        <w:rPr>
          <w:rFonts w:ascii="Times New Roman" w:hAnsi="Times New Roman" w:cs="Times New Roman"/>
          <w:sz w:val="24"/>
          <w:szCs w:val="24"/>
        </w:rPr>
        <w:t>d</w:t>
      </w:r>
      <w:r w:rsidRPr="00C97500">
        <w:rPr>
          <w:rFonts w:ascii="Times New Roman" w:hAnsi="Times New Roman" w:cs="Times New Roman"/>
          <w:sz w:val="24"/>
          <w:szCs w:val="24"/>
        </w:rPr>
        <w:t xml:space="preserve">iabetes, </w:t>
      </w:r>
      <w:r w:rsidR="00374EF3" w:rsidRPr="00C97500">
        <w:rPr>
          <w:rFonts w:ascii="Times New Roman" w:hAnsi="Times New Roman" w:cs="Times New Roman"/>
          <w:sz w:val="24"/>
          <w:szCs w:val="24"/>
        </w:rPr>
        <w:t>prediabetes and m</w:t>
      </w:r>
      <w:r w:rsidRPr="00C97500">
        <w:rPr>
          <w:rFonts w:ascii="Times New Roman" w:hAnsi="Times New Roman" w:cs="Times New Roman"/>
          <w:sz w:val="24"/>
          <w:szCs w:val="24"/>
        </w:rPr>
        <w:t>etabolic Syndrome. Can J Diabetes 2018;42(Suppl</w:t>
      </w:r>
      <w:r w:rsidR="00374EF3" w:rsidRPr="00C97500">
        <w:rPr>
          <w:rFonts w:ascii="Times New Roman" w:hAnsi="Times New Roman" w:cs="Times New Roman"/>
          <w:sz w:val="24"/>
          <w:szCs w:val="24"/>
        </w:rPr>
        <w:t xml:space="preserve"> </w:t>
      </w:r>
      <w:r w:rsidRPr="00C97500">
        <w:rPr>
          <w:rFonts w:ascii="Times New Roman" w:hAnsi="Times New Roman" w:cs="Times New Roman"/>
          <w:sz w:val="24"/>
          <w:szCs w:val="24"/>
        </w:rPr>
        <w:t>1):S10-5.</w:t>
      </w:r>
    </w:p>
    <w:p w:rsidR="007A78B0" w:rsidRPr="00C97500" w:rsidRDefault="00374EF3"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Karen I, Svačina Š. Prediabetes, Doporučené diagnostické a terapeutické postupy pro všeobecné praktické lékaře. Praha: Společnost všeobecného lékařství ČLS JEP; 2016. ISBN 978-80-86998-78-7.</w:t>
      </w:r>
    </w:p>
    <w:p w:rsidR="00A67969" w:rsidRPr="00C97500" w:rsidRDefault="00374EF3"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Danaei G, Finucane MM, Lu Y, Singh GM, Cowan MJ, Paciorek CJ, Lin JK, Farzadfar F, Khang YH, Stevens GA, Rao M, Ali MK, Riley LM, Robinson CA, Ezzati M</w:t>
      </w:r>
      <w:r w:rsidR="00FB3ED0" w:rsidRPr="00C97500">
        <w:rPr>
          <w:rFonts w:ascii="Times New Roman" w:hAnsi="Times New Roman" w:cs="Times New Roman"/>
          <w:sz w:val="24"/>
          <w:szCs w:val="24"/>
        </w:rPr>
        <w:t>. National, regional, and global trends in fasting plasma glucose and d</w:t>
      </w:r>
      <w:r w:rsidR="009907FF" w:rsidRPr="00C97500">
        <w:rPr>
          <w:rFonts w:ascii="Times New Roman" w:hAnsi="Times New Roman" w:cs="Times New Roman"/>
          <w:sz w:val="24"/>
          <w:szCs w:val="24"/>
        </w:rPr>
        <w:t xml:space="preserve">iabetes prevalence since 1980: </w:t>
      </w:r>
      <w:r w:rsidR="006D214E" w:rsidRPr="00C97500">
        <w:rPr>
          <w:rFonts w:ascii="Times New Roman" w:hAnsi="Times New Roman" w:cs="Times New Roman"/>
          <w:sz w:val="24"/>
          <w:szCs w:val="24"/>
        </w:rPr>
        <w:t>s</w:t>
      </w:r>
      <w:r w:rsidR="00FB3ED0" w:rsidRPr="00C97500">
        <w:rPr>
          <w:rFonts w:ascii="Times New Roman" w:hAnsi="Times New Roman" w:cs="Times New Roman"/>
          <w:sz w:val="24"/>
          <w:szCs w:val="24"/>
        </w:rPr>
        <w:t>ystematic analysis of health examination surveys and epidemiological studies with 370 country-years and 2·7 million participants. Lancet 2011;378(9785):31-40.</w:t>
      </w:r>
    </w:p>
    <w:p w:rsidR="00FB3ED0" w:rsidRPr="00C97500" w:rsidRDefault="00FB3ED0"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Tabák AG, Herder C, Rathmann W, Brunne</w:t>
      </w:r>
      <w:r w:rsidR="009907FF" w:rsidRPr="00C97500">
        <w:rPr>
          <w:rFonts w:ascii="Times New Roman" w:hAnsi="Times New Roman" w:cs="Times New Roman"/>
          <w:sz w:val="24"/>
          <w:szCs w:val="24"/>
        </w:rPr>
        <w:t>r EJ, Kivimäki M. Prediabetes: A</w:t>
      </w:r>
      <w:r w:rsidRPr="00C97500">
        <w:rPr>
          <w:rFonts w:ascii="Times New Roman" w:hAnsi="Times New Roman" w:cs="Times New Roman"/>
          <w:sz w:val="24"/>
          <w:szCs w:val="24"/>
        </w:rPr>
        <w:t xml:space="preserve"> high-risk state for diabetes development. Lancet 2012;379(9833):2279-90.</w:t>
      </w:r>
    </w:p>
    <w:p w:rsidR="00FB3ED0" w:rsidRPr="00C97500" w:rsidRDefault="00FB3ED0"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lastRenderedPageBreak/>
        <w:t>Fonville S, Zandbergen AA, Koudstaal PJ,</w:t>
      </w:r>
      <w:r w:rsidR="00374EF3" w:rsidRPr="00C97500">
        <w:rPr>
          <w:rFonts w:ascii="Times New Roman" w:hAnsi="Times New Roman" w:cs="Times New Roman"/>
          <w:sz w:val="24"/>
          <w:szCs w:val="24"/>
        </w:rPr>
        <w:t xml:space="preserve"> den Hertog HM. Prediabetes in p</w:t>
      </w:r>
      <w:r w:rsidRPr="00C97500">
        <w:rPr>
          <w:rFonts w:ascii="Times New Roman" w:hAnsi="Times New Roman" w:cs="Times New Roman"/>
          <w:sz w:val="24"/>
          <w:szCs w:val="24"/>
        </w:rPr>
        <w:t xml:space="preserve">atients with </w:t>
      </w:r>
      <w:r w:rsidR="00374EF3" w:rsidRPr="00C97500">
        <w:rPr>
          <w:rFonts w:ascii="Times New Roman" w:hAnsi="Times New Roman" w:cs="Times New Roman"/>
          <w:sz w:val="24"/>
          <w:szCs w:val="24"/>
        </w:rPr>
        <w:t>stroke or transient i</w:t>
      </w:r>
      <w:r w:rsidRPr="00C97500">
        <w:rPr>
          <w:rFonts w:ascii="Times New Roman" w:hAnsi="Times New Roman" w:cs="Times New Roman"/>
          <w:sz w:val="24"/>
          <w:szCs w:val="24"/>
        </w:rPr>
        <w:t xml:space="preserve">schemic </w:t>
      </w:r>
      <w:r w:rsidR="00374EF3" w:rsidRPr="00C97500">
        <w:rPr>
          <w:rFonts w:ascii="Times New Roman" w:hAnsi="Times New Roman" w:cs="Times New Roman"/>
          <w:sz w:val="24"/>
          <w:szCs w:val="24"/>
        </w:rPr>
        <w:t>a</w:t>
      </w:r>
      <w:r w:rsidRPr="00C97500">
        <w:rPr>
          <w:rFonts w:ascii="Times New Roman" w:hAnsi="Times New Roman" w:cs="Times New Roman"/>
          <w:sz w:val="24"/>
          <w:szCs w:val="24"/>
        </w:rPr>
        <w:t xml:space="preserve">ttack: </w:t>
      </w:r>
      <w:r w:rsidR="006D214E" w:rsidRPr="00C97500">
        <w:rPr>
          <w:rFonts w:ascii="Times New Roman" w:hAnsi="Times New Roman" w:cs="Times New Roman"/>
          <w:sz w:val="24"/>
          <w:szCs w:val="24"/>
        </w:rPr>
        <w:t>p</w:t>
      </w:r>
      <w:r w:rsidRPr="00C97500">
        <w:rPr>
          <w:rFonts w:ascii="Times New Roman" w:hAnsi="Times New Roman" w:cs="Times New Roman"/>
          <w:sz w:val="24"/>
          <w:szCs w:val="24"/>
        </w:rPr>
        <w:t xml:space="preserve">revalence, </w:t>
      </w:r>
      <w:r w:rsidR="00374EF3" w:rsidRPr="00C97500">
        <w:rPr>
          <w:rFonts w:ascii="Times New Roman" w:hAnsi="Times New Roman" w:cs="Times New Roman"/>
          <w:sz w:val="24"/>
          <w:szCs w:val="24"/>
        </w:rPr>
        <w:t>r</w:t>
      </w:r>
      <w:r w:rsidRPr="00C97500">
        <w:rPr>
          <w:rFonts w:ascii="Times New Roman" w:hAnsi="Times New Roman" w:cs="Times New Roman"/>
          <w:sz w:val="24"/>
          <w:szCs w:val="24"/>
        </w:rPr>
        <w:t xml:space="preserve">isk and </w:t>
      </w:r>
      <w:r w:rsidR="00374EF3" w:rsidRPr="00C97500">
        <w:rPr>
          <w:rFonts w:ascii="Times New Roman" w:hAnsi="Times New Roman" w:cs="Times New Roman"/>
          <w:sz w:val="24"/>
          <w:szCs w:val="24"/>
        </w:rPr>
        <w:t>c</w:t>
      </w:r>
      <w:r w:rsidRPr="00C97500">
        <w:rPr>
          <w:rFonts w:ascii="Times New Roman" w:hAnsi="Times New Roman" w:cs="Times New Roman"/>
          <w:sz w:val="24"/>
          <w:szCs w:val="24"/>
        </w:rPr>
        <w:t xml:space="preserve">linical </w:t>
      </w:r>
      <w:r w:rsidR="00374EF3" w:rsidRPr="00C97500">
        <w:rPr>
          <w:rFonts w:ascii="Times New Roman" w:hAnsi="Times New Roman" w:cs="Times New Roman"/>
          <w:sz w:val="24"/>
          <w:szCs w:val="24"/>
        </w:rPr>
        <w:t>m</w:t>
      </w:r>
      <w:r w:rsidRPr="00C97500">
        <w:rPr>
          <w:rFonts w:ascii="Times New Roman" w:hAnsi="Times New Roman" w:cs="Times New Roman"/>
          <w:sz w:val="24"/>
          <w:szCs w:val="24"/>
        </w:rPr>
        <w:t>anagement. Cerebrovasc Dis 2014;37(6):393</w:t>
      </w:r>
      <w:r w:rsidR="009907FF" w:rsidRPr="00C97500">
        <w:rPr>
          <w:rFonts w:ascii="Times New Roman" w:hAnsi="Times New Roman" w:cs="Times New Roman"/>
          <w:sz w:val="24"/>
          <w:szCs w:val="24"/>
        </w:rPr>
        <w:t>-</w:t>
      </w:r>
      <w:r w:rsidRPr="00C97500">
        <w:rPr>
          <w:rFonts w:ascii="Times New Roman" w:hAnsi="Times New Roman" w:cs="Times New Roman"/>
          <w:sz w:val="24"/>
          <w:szCs w:val="24"/>
        </w:rPr>
        <w:t>400.</w:t>
      </w:r>
    </w:p>
    <w:p w:rsidR="00FB3ED0" w:rsidRPr="00C97500" w:rsidRDefault="00FB3ED0"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Bullard KM, Saydah SH, Imperatore G, Cowie CC, Gregg EW, Geiss LS, Cheng YJ, Rolka DB, Will</w:t>
      </w:r>
      <w:r w:rsidR="00374EF3" w:rsidRPr="00C97500">
        <w:rPr>
          <w:rFonts w:ascii="Times New Roman" w:hAnsi="Times New Roman" w:cs="Times New Roman"/>
          <w:sz w:val="24"/>
          <w:szCs w:val="24"/>
        </w:rPr>
        <w:t>iams DE, Caspersen CJ. Secular c</w:t>
      </w:r>
      <w:r w:rsidRPr="00C97500">
        <w:rPr>
          <w:rFonts w:ascii="Times New Roman" w:hAnsi="Times New Roman" w:cs="Times New Roman"/>
          <w:sz w:val="24"/>
          <w:szCs w:val="24"/>
        </w:rPr>
        <w:t xml:space="preserve">hanges in U.S. Prediabetes </w:t>
      </w:r>
      <w:r w:rsidR="00374EF3" w:rsidRPr="00C97500">
        <w:rPr>
          <w:rFonts w:ascii="Times New Roman" w:hAnsi="Times New Roman" w:cs="Times New Roman"/>
          <w:sz w:val="24"/>
          <w:szCs w:val="24"/>
        </w:rPr>
        <w:t>p</w:t>
      </w:r>
      <w:r w:rsidRPr="00C97500">
        <w:rPr>
          <w:rFonts w:ascii="Times New Roman" w:hAnsi="Times New Roman" w:cs="Times New Roman"/>
          <w:sz w:val="24"/>
          <w:szCs w:val="24"/>
        </w:rPr>
        <w:t xml:space="preserve">revalence </w:t>
      </w:r>
      <w:r w:rsidR="00374EF3" w:rsidRPr="00C97500">
        <w:rPr>
          <w:rFonts w:ascii="Times New Roman" w:hAnsi="Times New Roman" w:cs="Times New Roman"/>
          <w:sz w:val="24"/>
          <w:szCs w:val="24"/>
        </w:rPr>
        <w:t>d</w:t>
      </w:r>
      <w:r w:rsidRPr="00C97500">
        <w:rPr>
          <w:rFonts w:ascii="Times New Roman" w:hAnsi="Times New Roman" w:cs="Times New Roman"/>
          <w:sz w:val="24"/>
          <w:szCs w:val="24"/>
        </w:rPr>
        <w:t xml:space="preserve">efined by </w:t>
      </w:r>
      <w:r w:rsidR="00374EF3" w:rsidRPr="00C97500">
        <w:rPr>
          <w:rFonts w:ascii="Times New Roman" w:hAnsi="Times New Roman" w:cs="Times New Roman"/>
          <w:sz w:val="24"/>
          <w:szCs w:val="24"/>
        </w:rPr>
        <w:t>h</w:t>
      </w:r>
      <w:r w:rsidRPr="00C97500">
        <w:rPr>
          <w:rFonts w:ascii="Times New Roman" w:hAnsi="Times New Roman" w:cs="Times New Roman"/>
          <w:sz w:val="24"/>
          <w:szCs w:val="24"/>
        </w:rPr>
        <w:t xml:space="preserve">emoglobin A1c and </w:t>
      </w:r>
      <w:r w:rsidR="00374EF3" w:rsidRPr="00C97500">
        <w:rPr>
          <w:rFonts w:ascii="Times New Roman" w:hAnsi="Times New Roman" w:cs="Times New Roman"/>
          <w:sz w:val="24"/>
          <w:szCs w:val="24"/>
        </w:rPr>
        <w:t>f</w:t>
      </w:r>
      <w:r w:rsidRPr="00C97500">
        <w:rPr>
          <w:rFonts w:ascii="Times New Roman" w:hAnsi="Times New Roman" w:cs="Times New Roman"/>
          <w:sz w:val="24"/>
          <w:szCs w:val="24"/>
        </w:rPr>
        <w:t xml:space="preserve">asting </w:t>
      </w:r>
      <w:r w:rsidR="00374EF3" w:rsidRPr="00C97500">
        <w:rPr>
          <w:rFonts w:ascii="Times New Roman" w:hAnsi="Times New Roman" w:cs="Times New Roman"/>
          <w:sz w:val="24"/>
          <w:szCs w:val="24"/>
        </w:rPr>
        <w:t>p</w:t>
      </w:r>
      <w:r w:rsidRPr="00C97500">
        <w:rPr>
          <w:rFonts w:ascii="Times New Roman" w:hAnsi="Times New Roman" w:cs="Times New Roman"/>
          <w:sz w:val="24"/>
          <w:szCs w:val="24"/>
        </w:rPr>
        <w:t xml:space="preserve">lasma </w:t>
      </w:r>
      <w:r w:rsidR="00374EF3" w:rsidRPr="00C97500">
        <w:rPr>
          <w:rFonts w:ascii="Times New Roman" w:hAnsi="Times New Roman" w:cs="Times New Roman"/>
          <w:sz w:val="24"/>
          <w:szCs w:val="24"/>
        </w:rPr>
        <w:t>g</w:t>
      </w:r>
      <w:r w:rsidRPr="00C97500">
        <w:rPr>
          <w:rFonts w:ascii="Times New Roman" w:hAnsi="Times New Roman" w:cs="Times New Roman"/>
          <w:sz w:val="24"/>
          <w:szCs w:val="24"/>
        </w:rPr>
        <w:t xml:space="preserve">lucose: </w:t>
      </w:r>
      <w:r w:rsidR="00374EF3" w:rsidRPr="00C97500">
        <w:rPr>
          <w:rFonts w:ascii="Times New Roman" w:hAnsi="Times New Roman" w:cs="Times New Roman"/>
          <w:sz w:val="24"/>
          <w:szCs w:val="24"/>
        </w:rPr>
        <w:t>N</w:t>
      </w:r>
      <w:r w:rsidRPr="00C97500">
        <w:rPr>
          <w:rFonts w:ascii="Times New Roman" w:hAnsi="Times New Roman" w:cs="Times New Roman"/>
          <w:sz w:val="24"/>
          <w:szCs w:val="24"/>
        </w:rPr>
        <w:t xml:space="preserve">ational </w:t>
      </w:r>
      <w:r w:rsidR="00374EF3" w:rsidRPr="00C97500">
        <w:rPr>
          <w:rFonts w:ascii="Times New Roman" w:hAnsi="Times New Roman" w:cs="Times New Roman"/>
          <w:sz w:val="24"/>
          <w:szCs w:val="24"/>
        </w:rPr>
        <w:t>h</w:t>
      </w:r>
      <w:r w:rsidRPr="00C97500">
        <w:rPr>
          <w:rFonts w:ascii="Times New Roman" w:hAnsi="Times New Roman" w:cs="Times New Roman"/>
          <w:sz w:val="24"/>
          <w:szCs w:val="24"/>
        </w:rPr>
        <w:t xml:space="preserve">ealth and </w:t>
      </w:r>
      <w:r w:rsidR="00374EF3" w:rsidRPr="00C97500">
        <w:rPr>
          <w:rFonts w:ascii="Times New Roman" w:hAnsi="Times New Roman" w:cs="Times New Roman"/>
          <w:sz w:val="24"/>
          <w:szCs w:val="24"/>
        </w:rPr>
        <w:t>n</w:t>
      </w:r>
      <w:r w:rsidRPr="00C97500">
        <w:rPr>
          <w:rFonts w:ascii="Times New Roman" w:hAnsi="Times New Roman" w:cs="Times New Roman"/>
          <w:sz w:val="24"/>
          <w:szCs w:val="24"/>
        </w:rPr>
        <w:t xml:space="preserve">utrition </w:t>
      </w:r>
      <w:r w:rsidR="00374EF3" w:rsidRPr="00C97500">
        <w:rPr>
          <w:rFonts w:ascii="Times New Roman" w:hAnsi="Times New Roman" w:cs="Times New Roman"/>
          <w:sz w:val="24"/>
          <w:szCs w:val="24"/>
        </w:rPr>
        <w:t>e</w:t>
      </w:r>
      <w:r w:rsidRPr="00C97500">
        <w:rPr>
          <w:rFonts w:ascii="Times New Roman" w:hAnsi="Times New Roman" w:cs="Times New Roman"/>
          <w:sz w:val="24"/>
          <w:szCs w:val="24"/>
        </w:rPr>
        <w:t xml:space="preserve">xamination </w:t>
      </w:r>
      <w:r w:rsidR="00374EF3" w:rsidRPr="00C97500">
        <w:rPr>
          <w:rFonts w:ascii="Times New Roman" w:hAnsi="Times New Roman" w:cs="Times New Roman"/>
          <w:sz w:val="24"/>
          <w:szCs w:val="24"/>
        </w:rPr>
        <w:t>s</w:t>
      </w:r>
      <w:r w:rsidRPr="00C97500">
        <w:rPr>
          <w:rFonts w:ascii="Times New Roman" w:hAnsi="Times New Roman" w:cs="Times New Roman"/>
          <w:sz w:val="24"/>
          <w:szCs w:val="24"/>
        </w:rPr>
        <w:t>urveys, 1999–2010. Diabetes Care 2013;36(8):2286-93.</w:t>
      </w:r>
    </w:p>
    <w:p w:rsidR="00FB3ED0" w:rsidRPr="00C97500" w:rsidRDefault="00374EF3"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Ústav zdravotnických infomací a statistiky ČR. Zdravotnictví ČR: Stručný přehled činnosti oboru diabetologie a endokrinologie za období 2007–2016</w:t>
      </w:r>
      <w:r w:rsidR="00615364" w:rsidRPr="00C97500">
        <w:rPr>
          <w:rFonts w:ascii="Times New Roman" w:hAnsi="Times New Roman" w:cs="Times New Roman"/>
          <w:sz w:val="24"/>
          <w:szCs w:val="24"/>
        </w:rPr>
        <w:t>. 2016. Dostupné z: https://www.uzis.cz/index.php?pg=record&amp;id=7795.</w:t>
      </w:r>
    </w:p>
    <w:p w:rsidR="000F0524" w:rsidRPr="00C97500" w:rsidRDefault="000F0524"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Nathan DM, Davidson MB, DeFronzo RA, Heine RJ, Henry RR, Pratley R, Zinman B. Impaired fasting glucose and impaired glucose tolerance: implications for care. Diabetes Care 2007;30(3):753-9.</w:t>
      </w:r>
    </w:p>
    <w:p w:rsidR="000F0524" w:rsidRPr="00C97500" w:rsidRDefault="000F0524"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Gerstein HC, Santaguida P, Raina P, Morrison KM, Balion C, Hunt D, Yazdi H, Booker L. Annual incidence and relative risk of diabetes in people with various categories of dysglycemia: a systematic overview and meta-analysis of prospective studies. Diabetes Res Clin Pract 2007;78(3):305-12.</w:t>
      </w:r>
    </w:p>
    <w:p w:rsidR="000F0524" w:rsidRPr="00C97500" w:rsidRDefault="00C47E9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Forouhi NG, Luan J, Hennings S, Wareham NJ. Incidence of Type 2 diabetes in England and its association with baseline impaired fasting glucose: the Ely study 1990–2000. Diabet Med 2007;24(2):200-7.</w:t>
      </w:r>
    </w:p>
    <w:p w:rsidR="00C47E92" w:rsidRPr="00C97500" w:rsidRDefault="00C47E9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Tirosh A, Shai I, Tekes-Manova D, Israeli E, Pereg D, Shochat T, Kochba I, Rudich A. Normal fasting plasma glucose levels and type 2 diabetes in young men. N Engl J Med 2005;353(14):1454-62.</w:t>
      </w:r>
    </w:p>
    <w:p w:rsidR="00C47E92" w:rsidRPr="00C97500" w:rsidRDefault="00C47E9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Brannick B, Wynn A, Dagogo-Jack S. Prediabetes as a toxic environment for the initiation of microvascular and macrovascular complications. Exp Biol Med (Maywood) 2016;241(12):1323-31.</w:t>
      </w:r>
    </w:p>
    <w:p w:rsidR="00C47E92" w:rsidRPr="00C97500" w:rsidRDefault="00C47E9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Aroda VR, Knowler WC., Crandall JP, Perreault L, Edelstein SL, Jeffries SL, Molitch ME, Pi-Sunyer X, Darwin C, Heckman-Stoddard BM, Temprosa M, Kahn SE, Nathan DM. Metformin for diabetes prevention: insights gained from the Diabetes Prevention Progr</w:t>
      </w:r>
      <w:r w:rsidR="00F23371" w:rsidRPr="00C97500">
        <w:rPr>
          <w:rFonts w:ascii="Times New Roman" w:hAnsi="Times New Roman" w:cs="Times New Roman"/>
          <w:sz w:val="24"/>
          <w:szCs w:val="24"/>
        </w:rPr>
        <w:t>am/</w:t>
      </w:r>
      <w:r w:rsidRPr="00C97500">
        <w:rPr>
          <w:rFonts w:ascii="Times New Roman" w:hAnsi="Times New Roman" w:cs="Times New Roman"/>
          <w:sz w:val="24"/>
          <w:szCs w:val="24"/>
        </w:rPr>
        <w:t xml:space="preserve">Diabetes Prevention Program </w:t>
      </w:r>
      <w:r w:rsidR="00F23371" w:rsidRPr="00C97500">
        <w:rPr>
          <w:rFonts w:ascii="Times New Roman" w:hAnsi="Times New Roman" w:cs="Times New Roman"/>
          <w:sz w:val="24"/>
          <w:szCs w:val="24"/>
        </w:rPr>
        <w:t>outcomes s</w:t>
      </w:r>
      <w:r w:rsidRPr="00C97500">
        <w:rPr>
          <w:rFonts w:ascii="Times New Roman" w:hAnsi="Times New Roman" w:cs="Times New Roman"/>
          <w:sz w:val="24"/>
          <w:szCs w:val="24"/>
        </w:rPr>
        <w:t>tudy. Diabetologie 2017;60(9):1601-11.</w:t>
      </w:r>
    </w:p>
    <w:p w:rsidR="00C47E92" w:rsidRPr="00C97500" w:rsidRDefault="00B537CD"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Fox CS, Coady S, Sorlie PD, Levy D, Meigs JB, D’Agostino RB, Wilson PW, Savage PJ. Trends in cardiovascular complications of diabetes. JAMA 2004;292(20):2495-9.</w:t>
      </w:r>
    </w:p>
    <w:p w:rsidR="00B537CD" w:rsidRPr="00C97500" w:rsidRDefault="00B537CD"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lastRenderedPageBreak/>
        <w:t>Færch K, Vistisen D, Johansen NB, Jørgensen ME. Cardiovascular risk stratification and management in pre-diabetes. Curr Diab Rep 2014;14(6):493.</w:t>
      </w:r>
    </w:p>
    <w:p w:rsidR="00B537CD" w:rsidRPr="00C97500" w:rsidRDefault="00B537CD"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Huang Y, Cai X, Mai W, Li M, Hu Y. Association between prediabetes and risk of cardiovascular disease and all cause mortality: systematic review and meta-analysis. BMJ 2016;355:i5953.</w:t>
      </w:r>
    </w:p>
    <w:p w:rsidR="00B537CD" w:rsidRPr="00C97500" w:rsidRDefault="00B537CD"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Coutinho M, Gerstein HC, Wang Y, Yusuf S. The relationship between glucose and incident cardiovascular events. A metaregression analysis of published data from 20 studies of 95,783 individuals followed for 12.4 years. Diabetes Care 1999;22(2):233-40.</w:t>
      </w:r>
    </w:p>
    <w:p w:rsidR="00B537CD" w:rsidRPr="00C97500" w:rsidRDefault="00B537CD"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Ning F, Tuomilehto J, Pyörälä </w:t>
      </w:r>
      <w:r w:rsidR="00F23371" w:rsidRPr="00C97500">
        <w:rPr>
          <w:rFonts w:ascii="Times New Roman" w:hAnsi="Times New Roman" w:cs="Times New Roman"/>
          <w:sz w:val="24"/>
          <w:szCs w:val="24"/>
        </w:rPr>
        <w:t xml:space="preserve">K, Onat A, Söderberg S, Qiao Q. </w:t>
      </w:r>
      <w:r w:rsidRPr="00C97500">
        <w:rPr>
          <w:rFonts w:ascii="Times New Roman" w:hAnsi="Times New Roman" w:cs="Times New Roman"/>
          <w:sz w:val="24"/>
          <w:szCs w:val="24"/>
        </w:rPr>
        <w:t>Cardiovascular disease mortality in Europeans in relation to fasting and 2-h plasma glucose levels within a normoglycemic range. Diabetes Care 2010;33(10):2211-6.</w:t>
      </w:r>
    </w:p>
    <w:p w:rsidR="00B537CD" w:rsidRPr="00C97500" w:rsidRDefault="00B537CD"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Shaye K, Amir T, Shlomo S, Yechezkel S. Fasting glucose levels within the high normal range predict cardiovascular outcome. Am Heart J 2012;164(1):111-6.</w:t>
      </w:r>
    </w:p>
    <w:p w:rsidR="007A4E12" w:rsidRPr="00C97500" w:rsidRDefault="007A4E1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DECODE Study Group, European Diabetes Epidemiology Group. Glucose toleran</w:t>
      </w:r>
      <w:r w:rsidR="00641CE9" w:rsidRPr="00C97500">
        <w:rPr>
          <w:rFonts w:ascii="Times New Roman" w:hAnsi="Times New Roman" w:cs="Times New Roman"/>
          <w:sz w:val="24"/>
          <w:szCs w:val="24"/>
        </w:rPr>
        <w:t>ce and cardiovascular mortality: c</w:t>
      </w:r>
      <w:r w:rsidRPr="00C97500">
        <w:rPr>
          <w:rFonts w:ascii="Times New Roman" w:hAnsi="Times New Roman" w:cs="Times New Roman"/>
          <w:sz w:val="24"/>
          <w:szCs w:val="24"/>
        </w:rPr>
        <w:t>omparison of fasting and 2-hour diagnostic criteria. Arch Intern Med 2001;161(3):397- 405.</w:t>
      </w:r>
    </w:p>
    <w:p w:rsidR="007A4E12" w:rsidRPr="00C97500" w:rsidRDefault="007A4E1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De Vegt F, Dekker JM, Ruhé HG, Stehouwer CD, Nijpels G, Bouter LM, Heine RJ. Hyperglycaemia is associated with all-cause and cardiovascular mortality in the Hoorn population: the Hoorn Study. Diabetologia 1999;42(8):926-31.</w:t>
      </w:r>
    </w:p>
    <w:p w:rsidR="007A4E12" w:rsidRPr="00C97500" w:rsidRDefault="007A4E1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Meigs JB, Nathan DM, D’Agostino RB, Wilson PW. Fasting and postchallenge glycemia and cardiovascular disease risk: the Framingham Offspring Study. Diabetes Care 2002;25(10):1845-50.</w:t>
      </w:r>
    </w:p>
    <w:p w:rsidR="007A4E12" w:rsidRPr="00C97500" w:rsidRDefault="007A4E1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Lind M, Tuomilehto J, Uusitupa M</w:t>
      </w:r>
      <w:r w:rsidR="008C02BA" w:rsidRPr="00C97500">
        <w:rPr>
          <w:rFonts w:ascii="Times New Roman" w:hAnsi="Times New Roman" w:cs="Times New Roman"/>
          <w:sz w:val="24"/>
          <w:szCs w:val="24"/>
        </w:rPr>
        <w:t>, Nerman O, Eriksson J, Ilanne-</w:t>
      </w:r>
      <w:r w:rsidRPr="00C97500">
        <w:rPr>
          <w:rFonts w:ascii="Times New Roman" w:hAnsi="Times New Roman" w:cs="Times New Roman"/>
          <w:sz w:val="24"/>
          <w:szCs w:val="24"/>
        </w:rPr>
        <w:t>Parikka P, Keinänen-Kiukaanniemi S, Peltonen M, Pivodic A, Lindström J. The association between HbA1c, fasting glucose, 1-hour glucose and 2-hour glucose during an oral glucose tolerance test and cardiovascular disease in individuals with elevated risk for diabetes. PLoS One 2014;9(10):e109506.</w:t>
      </w:r>
    </w:p>
    <w:p w:rsidR="007A4E12" w:rsidRPr="00C97500" w:rsidRDefault="007A4E1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Tominaga M, Eguchi H, Manaka H, Igarashi K, Kato T, Sekikawa A. Impaired glucose tolerance is a risk factor for cardiovascular disease, but not impaired fasting glucose. The Funagata Diabetes Study. Diabetes Care 1999;22(6):920-4.</w:t>
      </w:r>
    </w:p>
    <w:p w:rsidR="007A4E12" w:rsidRPr="00C97500" w:rsidRDefault="007A4E1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Ford ES, Zhao G, Li C. Pre-diabetes and the risk for cardiovascular disease: a systematic review of the evidence. J Am Coll Cardiol 2010;55(13):1310-7.</w:t>
      </w:r>
    </w:p>
    <w:p w:rsidR="007A4E12" w:rsidRPr="00C97500" w:rsidRDefault="007A4E1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lastRenderedPageBreak/>
        <w:t>Sarwar N, Aspelund T, Eiriksdottir G, Gobin R, Seshasai SR, Forouhi NG, Sigurdsson G, Danesh J, Gudnason V. Markers of dysglycaemia and risk of coronary heart disease in people without diabetes: Reykjavik prospective study and systematic review. PLoS Med 2010;7(5):e1000278.</w:t>
      </w:r>
    </w:p>
    <w:p w:rsidR="007A4E12" w:rsidRPr="00C97500" w:rsidRDefault="008C02BA"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Van't Riet E, Rijkelijkhuizen JM, Alssema M, Nijpels G, Stehouwer CD, Heine RJ, Dekker JM.</w:t>
      </w:r>
      <w:r w:rsidR="007A4E12" w:rsidRPr="00C97500">
        <w:rPr>
          <w:rFonts w:ascii="Times New Roman" w:hAnsi="Times New Roman" w:cs="Times New Roman"/>
          <w:sz w:val="24"/>
          <w:szCs w:val="24"/>
        </w:rPr>
        <w:t xml:space="preserve"> HbA1c is an independent predictor of non-fatal cardiovascular disease in a Caucasian population without diabetes: a 10-year follow-up of the Hoorn Study. Eur J Prev Cardiol 2012;19(1):23-31.</w:t>
      </w:r>
    </w:p>
    <w:p w:rsidR="007A4E12" w:rsidRPr="00C97500" w:rsidRDefault="007A4E1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Skriver MV, Borch-Johnsen K, Lauritzen T, Sandbaek A. HbA1c as predictor of all-cause mortality in individuals at high risk of diabetes with normal glucose tolerance, identified by screening: a follow-up study of the </w:t>
      </w:r>
      <w:r w:rsidR="008C02BA" w:rsidRPr="00C97500">
        <w:rPr>
          <w:rFonts w:ascii="Times New Roman" w:hAnsi="Times New Roman" w:cs="Times New Roman"/>
          <w:sz w:val="24"/>
          <w:szCs w:val="24"/>
        </w:rPr>
        <w:t>Anglo–Danish–Dutch Study of i</w:t>
      </w:r>
      <w:r w:rsidRPr="00C97500">
        <w:rPr>
          <w:rFonts w:ascii="Times New Roman" w:hAnsi="Times New Roman" w:cs="Times New Roman"/>
          <w:sz w:val="24"/>
          <w:szCs w:val="24"/>
        </w:rPr>
        <w:t xml:space="preserve">ntensive </w:t>
      </w:r>
      <w:r w:rsidR="008C02BA" w:rsidRPr="00C97500">
        <w:rPr>
          <w:rFonts w:ascii="Times New Roman" w:hAnsi="Times New Roman" w:cs="Times New Roman"/>
          <w:sz w:val="24"/>
          <w:szCs w:val="24"/>
        </w:rPr>
        <w:t>t</w:t>
      </w:r>
      <w:r w:rsidRPr="00C97500">
        <w:rPr>
          <w:rFonts w:ascii="Times New Roman" w:hAnsi="Times New Roman" w:cs="Times New Roman"/>
          <w:sz w:val="24"/>
          <w:szCs w:val="24"/>
        </w:rPr>
        <w:t xml:space="preserve">reatment in </w:t>
      </w:r>
      <w:r w:rsidR="008C02BA" w:rsidRPr="00C97500">
        <w:rPr>
          <w:rFonts w:ascii="Times New Roman" w:hAnsi="Times New Roman" w:cs="Times New Roman"/>
          <w:sz w:val="24"/>
          <w:szCs w:val="24"/>
        </w:rPr>
        <w:t>p</w:t>
      </w:r>
      <w:r w:rsidRPr="00C97500">
        <w:rPr>
          <w:rFonts w:ascii="Times New Roman" w:hAnsi="Times New Roman" w:cs="Times New Roman"/>
          <w:sz w:val="24"/>
          <w:szCs w:val="24"/>
        </w:rPr>
        <w:t xml:space="preserve">eople with </w:t>
      </w:r>
      <w:r w:rsidR="008C02BA" w:rsidRPr="00C97500">
        <w:rPr>
          <w:rFonts w:ascii="Times New Roman" w:hAnsi="Times New Roman" w:cs="Times New Roman"/>
          <w:sz w:val="24"/>
          <w:szCs w:val="24"/>
        </w:rPr>
        <w:t>s</w:t>
      </w:r>
      <w:r w:rsidRPr="00C97500">
        <w:rPr>
          <w:rFonts w:ascii="Times New Roman" w:hAnsi="Times New Roman" w:cs="Times New Roman"/>
          <w:sz w:val="24"/>
          <w:szCs w:val="24"/>
        </w:rPr>
        <w:t>creen-</w:t>
      </w:r>
      <w:r w:rsidR="008C02BA" w:rsidRPr="00C97500">
        <w:rPr>
          <w:rFonts w:ascii="Times New Roman" w:hAnsi="Times New Roman" w:cs="Times New Roman"/>
          <w:sz w:val="24"/>
          <w:szCs w:val="24"/>
        </w:rPr>
        <w:t>d</w:t>
      </w:r>
      <w:r w:rsidRPr="00C97500">
        <w:rPr>
          <w:rFonts w:ascii="Times New Roman" w:hAnsi="Times New Roman" w:cs="Times New Roman"/>
          <w:sz w:val="24"/>
          <w:szCs w:val="24"/>
        </w:rPr>
        <w:t xml:space="preserve">etected </w:t>
      </w:r>
      <w:r w:rsidR="008C02BA" w:rsidRPr="00C97500">
        <w:rPr>
          <w:rFonts w:ascii="Times New Roman" w:hAnsi="Times New Roman" w:cs="Times New Roman"/>
          <w:sz w:val="24"/>
          <w:szCs w:val="24"/>
        </w:rPr>
        <w:t>d</w:t>
      </w:r>
      <w:r w:rsidRPr="00C97500">
        <w:rPr>
          <w:rFonts w:ascii="Times New Roman" w:hAnsi="Times New Roman" w:cs="Times New Roman"/>
          <w:sz w:val="24"/>
          <w:szCs w:val="24"/>
        </w:rPr>
        <w:t xml:space="preserve">iabetes in </w:t>
      </w:r>
      <w:r w:rsidR="008C02BA" w:rsidRPr="00C97500">
        <w:rPr>
          <w:rFonts w:ascii="Times New Roman" w:hAnsi="Times New Roman" w:cs="Times New Roman"/>
          <w:sz w:val="24"/>
          <w:szCs w:val="24"/>
        </w:rPr>
        <w:t>p</w:t>
      </w:r>
      <w:r w:rsidRPr="00C97500">
        <w:rPr>
          <w:rFonts w:ascii="Times New Roman" w:hAnsi="Times New Roman" w:cs="Times New Roman"/>
          <w:sz w:val="24"/>
          <w:szCs w:val="24"/>
        </w:rPr>
        <w:t xml:space="preserve">rimary </w:t>
      </w:r>
      <w:r w:rsidR="008C02BA" w:rsidRPr="00C97500">
        <w:rPr>
          <w:rFonts w:ascii="Times New Roman" w:hAnsi="Times New Roman" w:cs="Times New Roman"/>
          <w:sz w:val="24"/>
          <w:szCs w:val="24"/>
        </w:rPr>
        <w:t>c</w:t>
      </w:r>
      <w:r w:rsidRPr="00C97500">
        <w:rPr>
          <w:rFonts w:ascii="Times New Roman" w:hAnsi="Times New Roman" w:cs="Times New Roman"/>
          <w:sz w:val="24"/>
          <w:szCs w:val="24"/>
        </w:rPr>
        <w:t>are (ADDITION), Denmark. Diabetologia 2010;53(11):2328-33.</w:t>
      </w:r>
    </w:p>
    <w:p w:rsidR="00917BD1" w:rsidRPr="00C97500" w:rsidRDefault="00917BD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Goldberg IJ, Dansky HM. Diabetic </w:t>
      </w:r>
      <w:r w:rsidR="008C02BA" w:rsidRPr="00C97500">
        <w:rPr>
          <w:rFonts w:ascii="Times New Roman" w:hAnsi="Times New Roman" w:cs="Times New Roman"/>
          <w:sz w:val="24"/>
          <w:szCs w:val="24"/>
        </w:rPr>
        <w:t>v</w:t>
      </w:r>
      <w:r w:rsidRPr="00C97500">
        <w:rPr>
          <w:rFonts w:ascii="Times New Roman" w:hAnsi="Times New Roman" w:cs="Times New Roman"/>
          <w:sz w:val="24"/>
          <w:szCs w:val="24"/>
        </w:rPr>
        <w:t xml:space="preserve">ascular </w:t>
      </w:r>
      <w:r w:rsidR="008C02BA" w:rsidRPr="00C97500">
        <w:rPr>
          <w:rFonts w:ascii="Times New Roman" w:hAnsi="Times New Roman" w:cs="Times New Roman"/>
          <w:sz w:val="24"/>
          <w:szCs w:val="24"/>
        </w:rPr>
        <w:t>disease: a</w:t>
      </w:r>
      <w:r w:rsidRPr="00C97500">
        <w:rPr>
          <w:rFonts w:ascii="Times New Roman" w:hAnsi="Times New Roman" w:cs="Times New Roman"/>
          <w:sz w:val="24"/>
          <w:szCs w:val="24"/>
        </w:rPr>
        <w:t xml:space="preserve">n </w:t>
      </w:r>
      <w:r w:rsidR="008C02BA" w:rsidRPr="00C97500">
        <w:rPr>
          <w:rFonts w:ascii="Times New Roman" w:hAnsi="Times New Roman" w:cs="Times New Roman"/>
          <w:sz w:val="24"/>
          <w:szCs w:val="24"/>
        </w:rPr>
        <w:t>e</w:t>
      </w:r>
      <w:r w:rsidRPr="00C97500">
        <w:rPr>
          <w:rFonts w:ascii="Times New Roman" w:hAnsi="Times New Roman" w:cs="Times New Roman"/>
          <w:sz w:val="24"/>
          <w:szCs w:val="24"/>
        </w:rPr>
        <w:t xml:space="preserve">xperimental </w:t>
      </w:r>
      <w:r w:rsidR="008C02BA" w:rsidRPr="00C97500">
        <w:rPr>
          <w:rFonts w:ascii="Times New Roman" w:hAnsi="Times New Roman" w:cs="Times New Roman"/>
          <w:sz w:val="24"/>
          <w:szCs w:val="24"/>
        </w:rPr>
        <w:t>o</w:t>
      </w:r>
      <w:r w:rsidRPr="00C97500">
        <w:rPr>
          <w:rFonts w:ascii="Times New Roman" w:hAnsi="Times New Roman" w:cs="Times New Roman"/>
          <w:sz w:val="24"/>
          <w:szCs w:val="24"/>
        </w:rPr>
        <w:t>bjective. Arterioscler Thromb Vasc Biol 2006;26(8):1693-701.</w:t>
      </w:r>
    </w:p>
    <w:p w:rsidR="00917BD1" w:rsidRPr="00C97500" w:rsidRDefault="00917BD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Kramer D, Raji A, Plutzky J. Prediabetes mellitus and its links to ath</w:t>
      </w:r>
      <w:r w:rsidRPr="00C97500">
        <w:rPr>
          <w:rFonts w:ascii="Times New Roman" w:hAnsi="Times New Roman" w:cs="Times New Roman"/>
          <w:sz w:val="24"/>
          <w:szCs w:val="24"/>
        </w:rPr>
        <w:softHyphen/>
        <w:t>erosclerosis. Curr Diab Rep 2003;3(1):11-8.</w:t>
      </w:r>
    </w:p>
    <w:p w:rsidR="00917BD1" w:rsidRPr="00C97500" w:rsidRDefault="008D69C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Açar B, Ozeke O, Karakurt M, Ozen Y, Özbay MB, Unal S, Karanfil M, Yayla C, Cay S, Maden O, Topaloğlu S, Aras D, Golbasi Z, Aydogdu S. </w:t>
      </w:r>
      <w:r w:rsidR="00917BD1" w:rsidRPr="00C97500">
        <w:rPr>
          <w:rFonts w:ascii="Times New Roman" w:hAnsi="Times New Roman" w:cs="Times New Roman"/>
          <w:sz w:val="24"/>
          <w:szCs w:val="24"/>
        </w:rPr>
        <w:t>Association of prediabetes with higher coronary atherosclerotic burden among patients with first diagnosed acute coronary syndrome. Angiology</w:t>
      </w:r>
      <w:r w:rsidRPr="00C97500">
        <w:rPr>
          <w:rFonts w:ascii="Times New Roman" w:hAnsi="Times New Roman" w:cs="Times New Roman"/>
          <w:sz w:val="24"/>
          <w:szCs w:val="24"/>
        </w:rPr>
        <w:t xml:space="preserve"> 2019;70(2):174-80</w:t>
      </w:r>
      <w:r w:rsidR="00917BD1" w:rsidRPr="00C97500">
        <w:rPr>
          <w:rFonts w:ascii="Times New Roman" w:hAnsi="Times New Roman" w:cs="Times New Roman"/>
          <w:sz w:val="24"/>
          <w:szCs w:val="24"/>
        </w:rPr>
        <w:t>.</w:t>
      </w:r>
    </w:p>
    <w:p w:rsidR="00917BD1" w:rsidRPr="00C97500" w:rsidRDefault="00917BD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Dagogo-Jack S, Egbuonu N, Edeoga C. Principles and practice of nonpharmacological interventions to reduce cardiometabolic risk. Med Princ Pract 2010;19(3):167-75.</w:t>
      </w:r>
    </w:p>
    <w:p w:rsidR="009A4A0E" w:rsidRPr="00C97500" w:rsidRDefault="009A4A0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Xu T, Liu W, Cai X, Ding J, Tang H, Huang Y, Hu Y. Risk of coronary heart disease in different criterion of impaired fasting glucose: a meta-analysis. Medicine (Baltimore) 2015;94(40):e1740.</w:t>
      </w:r>
    </w:p>
    <w:p w:rsidR="009A4A0E" w:rsidRPr="00C97500" w:rsidRDefault="009A4A0E"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Kuhl J, Jörneskog G, Wemminger M, Bengtsson M, Lundman P, Kalani M. Long-term clinical outcome in patients with acute coronary syndrome and dysglycaemia. Cardiovasc Diabetol 2015;14:120.</w:t>
      </w:r>
    </w:p>
    <w:p w:rsidR="009A4A0E" w:rsidRPr="00C97500" w:rsidRDefault="007A6A2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Lee M, Saver JL, Hong KS, Song S, Chang KH, Ovbiagele B. Effect of pre-diabetes on future risk of stroke: meta-analysis. BMJ 2012;344:e3564.</w:t>
      </w:r>
    </w:p>
    <w:p w:rsidR="007A6A21" w:rsidRPr="00C97500" w:rsidRDefault="007A6A21"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lastRenderedPageBreak/>
        <w:t>Tanaka R, Ueno Y, Miyamoto N, Yamashiro K, Tanaka Y, Shimura H, Hattori N, Urabe T. Impact of diabetes and prediabetes on the short</w:t>
      </w:r>
      <w:r w:rsidR="008D69CE" w:rsidRPr="00C97500">
        <w:rPr>
          <w:rFonts w:ascii="Times New Roman" w:hAnsi="Times New Roman" w:cs="Times New Roman"/>
          <w:sz w:val="24"/>
          <w:szCs w:val="24"/>
        </w:rPr>
        <w:t>-</w:t>
      </w:r>
      <w:r w:rsidRPr="00C97500">
        <w:rPr>
          <w:rFonts w:ascii="Times New Roman" w:hAnsi="Times New Roman" w:cs="Times New Roman"/>
          <w:sz w:val="24"/>
          <w:szCs w:val="24"/>
        </w:rPr>
        <w:t>term prognosis in patients with acute ischemic stroke. J Neurol Sci 2013;332(1-2):45-50.</w:t>
      </w:r>
    </w:p>
    <w:p w:rsidR="00173D39" w:rsidRPr="00C97500" w:rsidRDefault="00173D39"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Bansal N. Prediabetes diagnosis and treatment: </w:t>
      </w:r>
      <w:r w:rsidR="008D69CE" w:rsidRPr="00C97500">
        <w:rPr>
          <w:rFonts w:ascii="Times New Roman" w:hAnsi="Times New Roman" w:cs="Times New Roman"/>
          <w:sz w:val="24"/>
          <w:szCs w:val="24"/>
        </w:rPr>
        <w:t>a</w:t>
      </w:r>
      <w:r w:rsidRPr="00C97500">
        <w:rPr>
          <w:rFonts w:ascii="Times New Roman" w:hAnsi="Times New Roman" w:cs="Times New Roman"/>
          <w:sz w:val="24"/>
          <w:szCs w:val="24"/>
        </w:rPr>
        <w:t xml:space="preserve"> review. World J Diabetes 2015;6(2):296-303.</w:t>
      </w:r>
    </w:p>
    <w:p w:rsidR="00173D39" w:rsidRPr="00C97500" w:rsidRDefault="00173D39"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Diabetes Prevention Program Research Group. The prevalence of retinopathy in impaired glucose tolerance and recent-onset diabetes in the Diabetes Prevention Program. Diabet Med 2007;24(2):137- 44.</w:t>
      </w:r>
    </w:p>
    <w:p w:rsidR="00173D39" w:rsidRPr="00C97500" w:rsidRDefault="00173D39"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Kawasaki R, Wang JJ, Wong TY, Kayama T, Yamashita H. Impaired glucose tolerance, but not impaired fasting glucose, is associated with retinopathy in Japanese population: the Funagata study. Diabetes Obes Metab 2008;10(6):514-5.</w:t>
      </w:r>
    </w:p>
    <w:p w:rsidR="00173D39" w:rsidRPr="00C97500" w:rsidRDefault="00173D39"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Wong TY, Liew G, Tapp RJ, Schmidt MI, Wang JJ, Mitchell P, Klein R, Klein BE, Zimmet P, Shaw J. Relation between fasting glucose and retinopathy for diagnosis of diabetes: three population-based cross</w:t>
      </w:r>
      <w:r w:rsidR="008D69CE" w:rsidRPr="00C97500">
        <w:rPr>
          <w:rFonts w:ascii="Times New Roman" w:hAnsi="Times New Roman" w:cs="Times New Roman"/>
          <w:sz w:val="24"/>
          <w:szCs w:val="24"/>
        </w:rPr>
        <w:t>-</w:t>
      </w:r>
      <w:r w:rsidRPr="00C97500">
        <w:rPr>
          <w:rFonts w:ascii="Times New Roman" w:hAnsi="Times New Roman" w:cs="Times New Roman"/>
          <w:sz w:val="24"/>
          <w:szCs w:val="24"/>
        </w:rPr>
        <w:t>sectional studies. Lancet 2008;371(9614):736-43.</w:t>
      </w:r>
    </w:p>
    <w:p w:rsidR="00173D39" w:rsidRPr="00C97500" w:rsidRDefault="00173D39"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Cheng YJ, Gregg EW, Geiss LS, Imperatore G, Williams DE, Zhang X, Albright AL, Cowie CC, Klein R, Saaddine JB. Association of A1C and fasting plasma glucose levels with diabetic retinopathy prevalence in the U.S. population: </w:t>
      </w:r>
      <w:r w:rsidR="008D69CE" w:rsidRPr="00C97500">
        <w:rPr>
          <w:rFonts w:ascii="Times New Roman" w:hAnsi="Times New Roman" w:cs="Times New Roman"/>
          <w:sz w:val="24"/>
          <w:szCs w:val="24"/>
        </w:rPr>
        <w:t>i</w:t>
      </w:r>
      <w:r w:rsidRPr="00C97500">
        <w:rPr>
          <w:rFonts w:ascii="Times New Roman" w:hAnsi="Times New Roman" w:cs="Times New Roman"/>
          <w:sz w:val="24"/>
          <w:szCs w:val="24"/>
        </w:rPr>
        <w:t>mplications for diabetes diagnostic thresholds. Diabetes Care 2009;32(11):2027-32.</w:t>
      </w:r>
    </w:p>
    <w:p w:rsidR="00165E04" w:rsidRPr="00C97500" w:rsidRDefault="00165E04"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Kramer H. Screening for kidney disease in adults with diabetes and prediabetes. Curr Opin Nephrol Hypertens 2005;14(3):249-52.</w:t>
      </w:r>
    </w:p>
    <w:p w:rsidR="00165E04" w:rsidRPr="00C97500" w:rsidRDefault="00165E04"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Echouffo Tcheugui JB, Narayan KM, Weisman D, Golden SH, Jaar BG. Association between prediabetes and risk of chronic kidney disease: a systematic review and meta‐analysis. Diabet Med 2016;33(12):1615-24.</w:t>
      </w:r>
    </w:p>
    <w:p w:rsidR="00165E04" w:rsidRPr="00C97500" w:rsidRDefault="00165E04"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Fox CS, Larson MG, Leip EP, Meigs JB, Wilson PW, Levy D. Glycemic status and development of kidney disease: the Framingham Heart Study. Diabetes Care 2005;28(10):2436-40.</w:t>
      </w:r>
    </w:p>
    <w:p w:rsidR="00D44978" w:rsidRPr="00C97500" w:rsidRDefault="00165E04"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Won JC, Hong JW, Kim JM, Kim TN, Noh JH, Ko KS, Rhee BD, Kim DJ. Increased prevalence of albuminuria in individuals with higher range of impaired fasting glucose: the 2011 Korea National Health and Nutrition Examination Survey. J Diabetes Complications 2015;29(1):50-4.</w:t>
      </w:r>
    </w:p>
    <w:p w:rsidR="00D44978" w:rsidRPr="00C97500" w:rsidRDefault="00D44978"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Papanas N, Vinik AI, Ziegler D. Neuropathy in prediabetes: does the clock start ticking early? Nat Rev Endocrinol 2011;7(11):682-90.</w:t>
      </w:r>
    </w:p>
    <w:p w:rsidR="00D44978" w:rsidRPr="00C97500" w:rsidRDefault="00D44978"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lastRenderedPageBreak/>
        <w:t>Ziegler D, Papanas N, Vinik AI, Shaw JE. Epidemiology of polyneuropathy in diabetes and prediabetes</w:t>
      </w:r>
      <w:r w:rsidR="00470156" w:rsidRPr="00C97500">
        <w:rPr>
          <w:rFonts w:ascii="Times New Roman" w:hAnsi="Times New Roman" w:cs="Times New Roman"/>
          <w:sz w:val="24"/>
          <w:szCs w:val="24"/>
        </w:rPr>
        <w:t>. Handb Clin Neurol 2014;126:3-</w:t>
      </w:r>
      <w:r w:rsidRPr="00C97500">
        <w:rPr>
          <w:rFonts w:ascii="Times New Roman" w:hAnsi="Times New Roman" w:cs="Times New Roman"/>
          <w:sz w:val="24"/>
          <w:szCs w:val="24"/>
        </w:rPr>
        <w:t>22</w:t>
      </w:r>
      <w:r w:rsidR="00470156" w:rsidRPr="00C97500">
        <w:rPr>
          <w:rFonts w:ascii="Times New Roman" w:hAnsi="Times New Roman" w:cs="Times New Roman"/>
          <w:sz w:val="24"/>
          <w:szCs w:val="24"/>
        </w:rPr>
        <w:t>.</w:t>
      </w:r>
    </w:p>
    <w:p w:rsidR="00D44978" w:rsidRPr="00C97500" w:rsidRDefault="00D44978"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Ziegler D, Rathmann W, Dickhaus T, Meisinger C, Mielck A. Neuropathic pain in diabetes, prediabetes and normal glucose tolerance: the MONICA/KORA Augsburg </w:t>
      </w:r>
      <w:r w:rsidR="00470156" w:rsidRPr="00C97500">
        <w:rPr>
          <w:rFonts w:ascii="Times New Roman" w:hAnsi="Times New Roman" w:cs="Times New Roman"/>
          <w:sz w:val="24"/>
          <w:szCs w:val="24"/>
        </w:rPr>
        <w:t>S</w:t>
      </w:r>
      <w:r w:rsidRPr="00C97500">
        <w:rPr>
          <w:rFonts w:ascii="Times New Roman" w:hAnsi="Times New Roman" w:cs="Times New Roman"/>
          <w:sz w:val="24"/>
          <w:szCs w:val="24"/>
        </w:rPr>
        <w:t>urveys S2 and S3. Pain Med 2009;10(2):393-400.</w:t>
      </w:r>
    </w:p>
    <w:p w:rsidR="00D44978" w:rsidRPr="00C97500" w:rsidRDefault="00D44978"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Robinson CC, Balbinot LF, Silva MF, Achaval M, Zaro MA. Plantar pressure distribution patterns of individuals with prediabetes in comparison with healthy individuals and individuals with diabetes. J Diabetes Sci Technol 2013;7(5):1113-21.</w:t>
      </w:r>
    </w:p>
    <w:p w:rsidR="006117A2" w:rsidRPr="00C97500" w:rsidRDefault="006117A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Zhou XH, Qiao Q, Zethelius B, Pyörälä K, Söderberg S, Pajak A, Stehouwer CD, Heine RJ, Jousilahti P, Ruotolo G, Nilsson PM, Calori G, Tuomilehto J. Diabetes, prediabetes and cancer mortality. Diabetologia 2010;53(9):1867-76.</w:t>
      </w:r>
    </w:p>
    <w:p w:rsidR="006117A2" w:rsidRPr="00C97500" w:rsidRDefault="006117A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Huang Y, Cai X, Qiu M, Chen P, Tang H, Hu Y, Huang Y. Prediabetes and the risk of cancer: a meta-analysis. Diabetologia 2014;57(11):2261-9.</w:t>
      </w:r>
    </w:p>
    <w:p w:rsidR="006117A2" w:rsidRPr="00C97500" w:rsidRDefault="006117A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Scappaticcio L, Maiorino MI, Bellastella G, Giugliano D, Esposito K. Insights into the relationships between diabetes, prediabetes, and cancer. Endocrine 2017;56(2):231-9.</w:t>
      </w:r>
    </w:p>
    <w:p w:rsidR="006117A2" w:rsidRPr="00C97500" w:rsidRDefault="006117A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Crispo A, Augustin LS, Grimaldi M, Nocerino F, Giudice A, Cavalcanti E, Di Bonito M, Botti G, De Laurentiis M, Rinaldo M, Esposito E, Riccardi G, Amore A, Libra M, Ciliberto G, Jenkins DJ, Montella M. Risk differences between prediabetes and diabetes according to breast cancer molecular subtypes. J Cell Physiol 2017;232(5):1144-50.</w:t>
      </w:r>
    </w:p>
    <w:p w:rsidR="006117A2" w:rsidRPr="00C97500" w:rsidRDefault="006117A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Salinas-Martínez AM, Flores-Cortés LI, Cardona-Chavarría JM, Hernández-Gutiérrez B, Abund</w:t>
      </w:r>
      <w:r w:rsidR="000B6C82" w:rsidRPr="00C97500">
        <w:rPr>
          <w:rFonts w:ascii="Times New Roman" w:hAnsi="Times New Roman" w:cs="Times New Roman"/>
          <w:sz w:val="24"/>
          <w:szCs w:val="24"/>
        </w:rPr>
        <w:t>is A, Vázquez-Lara J, González-</w:t>
      </w:r>
      <w:r w:rsidRPr="00C97500">
        <w:rPr>
          <w:rFonts w:ascii="Times New Roman" w:hAnsi="Times New Roman" w:cs="Times New Roman"/>
          <w:sz w:val="24"/>
          <w:szCs w:val="24"/>
        </w:rPr>
        <w:t>Guajardo EE. Prediabetes, diabetes, and risk of breast cancer: a case-control study. Arch Med Res 2014;45(5):432-8.</w:t>
      </w:r>
    </w:p>
    <w:p w:rsidR="006117A2" w:rsidRPr="00C97500" w:rsidRDefault="006117A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Pang Y, Kartsonaki C, Guo Y, Bragg F, Yang L, Bian Z, Chen Y, Iona A, Millwood IY, Lv J, Yu C, Chen J, Li L, Holmes MV, Chen Z. Diabetes, plasma glucose and i</w:t>
      </w:r>
      <w:r w:rsidR="000B6C82" w:rsidRPr="00C97500">
        <w:rPr>
          <w:rFonts w:ascii="Times New Roman" w:hAnsi="Times New Roman" w:cs="Times New Roman"/>
          <w:sz w:val="24"/>
          <w:szCs w:val="24"/>
        </w:rPr>
        <w:t>ncidence of pancreatic cancer: a</w:t>
      </w:r>
      <w:r w:rsidRPr="00C97500">
        <w:rPr>
          <w:rFonts w:ascii="Times New Roman" w:hAnsi="Times New Roman" w:cs="Times New Roman"/>
          <w:sz w:val="24"/>
          <w:szCs w:val="24"/>
        </w:rPr>
        <w:t xml:space="preserve"> prospective study of 0.5 million Chinese adults and a meta-analysis of 22 cohort studies. Int J Cancer 2017;140(8):1781-8.</w:t>
      </w:r>
    </w:p>
    <w:p w:rsidR="006117A2" w:rsidRPr="00C97500" w:rsidRDefault="006117A2" w:rsidP="00C97500">
      <w:pPr>
        <w:pStyle w:val="Odstavecseseznamem"/>
        <w:numPr>
          <w:ilvl w:val="0"/>
          <w:numId w:val="5"/>
        </w:num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Shi J, Xiong L, Li J, Cao H, Jiang W, Liu B, Chen X, </w:t>
      </w:r>
      <w:r w:rsidR="000B6C82" w:rsidRPr="00C97500">
        <w:rPr>
          <w:rFonts w:ascii="Times New Roman" w:hAnsi="Times New Roman" w:cs="Times New Roman"/>
          <w:sz w:val="24"/>
          <w:szCs w:val="24"/>
        </w:rPr>
        <w:t>Liu C, Liu K, Wang G, Cai K. A linear dose-response relationship between fasting plasma glucose and colorectal cancer risk: systematic review and m</w:t>
      </w:r>
      <w:r w:rsidRPr="00C97500">
        <w:rPr>
          <w:rFonts w:ascii="Times New Roman" w:hAnsi="Times New Roman" w:cs="Times New Roman"/>
          <w:sz w:val="24"/>
          <w:szCs w:val="24"/>
        </w:rPr>
        <w:t>eta</w:t>
      </w:r>
      <w:r w:rsidR="000B6C82" w:rsidRPr="00C97500">
        <w:rPr>
          <w:rFonts w:ascii="Times New Roman" w:hAnsi="Times New Roman" w:cs="Times New Roman"/>
          <w:sz w:val="24"/>
          <w:szCs w:val="24"/>
        </w:rPr>
        <w:t>-</w:t>
      </w:r>
      <w:r w:rsidRPr="00C97500">
        <w:rPr>
          <w:rFonts w:ascii="Times New Roman" w:hAnsi="Times New Roman" w:cs="Times New Roman"/>
          <w:sz w:val="24"/>
          <w:szCs w:val="24"/>
        </w:rPr>
        <w:t>analysis. Sci Rep 2015;5:17591.</w:t>
      </w:r>
    </w:p>
    <w:p w:rsidR="00BE634B" w:rsidRPr="00C97500" w:rsidRDefault="006117A2" w:rsidP="003F77A7">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lastRenderedPageBreak/>
        <w:t>Xu WG, Qian YF, Wu J. The effect of prediabetes on hepatocellular carcinoma risk: a systematic review and meta-analysis. Minerva Med 2017;108(2):185-90.</w:t>
      </w:r>
    </w:p>
    <w:p w:rsidR="00BE634B" w:rsidRDefault="00BE634B"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Savolainen O, Fagerberg B, Vendelbo LM, Sandberg AS, Ross AB, Bergström G. Biomarkers for predicti</w:t>
      </w:r>
      <w:r w:rsidR="00845A8F" w:rsidRPr="00C97500">
        <w:rPr>
          <w:rFonts w:ascii="Times New Roman" w:hAnsi="Times New Roman" w:cs="Times New Roman"/>
          <w:sz w:val="24"/>
          <w:szCs w:val="24"/>
        </w:rPr>
        <w:t>ng type 2 diabetes development-c</w:t>
      </w:r>
      <w:r w:rsidRPr="00C97500">
        <w:rPr>
          <w:rFonts w:ascii="Times New Roman" w:hAnsi="Times New Roman" w:cs="Times New Roman"/>
          <w:sz w:val="24"/>
          <w:szCs w:val="24"/>
        </w:rPr>
        <w:t xml:space="preserve">an metabolomics </w:t>
      </w:r>
      <w:r w:rsidR="00845A8F" w:rsidRPr="00C97500">
        <w:rPr>
          <w:rFonts w:ascii="Times New Roman" w:hAnsi="Times New Roman" w:cs="Times New Roman"/>
          <w:sz w:val="24"/>
          <w:szCs w:val="24"/>
        </w:rPr>
        <w:t>improve on existing biomarkers?</w:t>
      </w:r>
      <w:r w:rsidRPr="00C97500">
        <w:rPr>
          <w:rFonts w:ascii="Times New Roman" w:hAnsi="Times New Roman" w:cs="Times New Roman"/>
          <w:sz w:val="24"/>
          <w:szCs w:val="24"/>
        </w:rPr>
        <w:t xml:space="preserve"> PLoS One 2017;12(7):e0177738.</w:t>
      </w:r>
    </w:p>
    <w:p w:rsidR="003F77A7" w:rsidRPr="003F77A7" w:rsidRDefault="003F77A7" w:rsidP="003F77A7">
      <w:pPr>
        <w:pStyle w:val="Odstavecseseznamem"/>
        <w:numPr>
          <w:ilvl w:val="0"/>
          <w:numId w:val="5"/>
        </w:numPr>
        <w:tabs>
          <w:tab w:val="left" w:pos="851"/>
        </w:tabs>
        <w:spacing w:line="360" w:lineRule="auto"/>
        <w:jc w:val="both"/>
        <w:rPr>
          <w:rFonts w:ascii="Times New Roman" w:hAnsi="Times New Roman" w:cs="Times New Roman"/>
          <w:color w:val="222222"/>
          <w:sz w:val="24"/>
          <w:szCs w:val="24"/>
          <w:shd w:val="clear" w:color="auto" w:fill="FFFFFF"/>
        </w:rPr>
      </w:pPr>
      <w:r w:rsidRPr="003F77A7">
        <w:rPr>
          <w:rFonts w:ascii="Times New Roman" w:hAnsi="Times New Roman" w:cs="Times New Roman"/>
          <w:color w:val="222222"/>
          <w:sz w:val="24"/>
          <w:szCs w:val="24"/>
          <w:shd w:val="clear" w:color="auto" w:fill="FFFFFF"/>
        </w:rPr>
        <w:t>Štěpánek L, Horáková D, Nakládalová M, Cibičková Ľ, Karásek D, Zadražil J. Significance of prediabetes as a nosological entity. </w:t>
      </w:r>
      <w:r w:rsidRPr="003F77A7">
        <w:rPr>
          <w:rFonts w:ascii="Times New Roman" w:hAnsi="Times New Roman" w:cs="Times New Roman"/>
          <w:iCs/>
          <w:color w:val="222222"/>
          <w:sz w:val="24"/>
          <w:szCs w:val="24"/>
          <w:shd w:val="clear" w:color="auto" w:fill="FFFFFF"/>
        </w:rPr>
        <w:t>Biomed Pap Med Fac Univ Palacky Olomouc Czech Repub 2018;162(4):249-57</w:t>
      </w:r>
      <w:r w:rsidRPr="003F77A7">
        <w:rPr>
          <w:rFonts w:ascii="Times New Roman" w:hAnsi="Times New Roman" w:cs="Times New Roman"/>
          <w:color w:val="222222"/>
          <w:sz w:val="24"/>
          <w:szCs w:val="24"/>
          <w:shd w:val="clear" w:color="auto" w:fill="FFFFFF"/>
        </w:rPr>
        <w:t>.</w:t>
      </w:r>
    </w:p>
    <w:p w:rsidR="00D55998" w:rsidRPr="00C97500" w:rsidRDefault="00D55998"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Kandula NR, Moran MR, T</w:t>
      </w:r>
      <w:r w:rsidR="00845A8F" w:rsidRPr="00C97500">
        <w:rPr>
          <w:rFonts w:ascii="Times New Roman" w:hAnsi="Times New Roman" w:cs="Times New Roman"/>
          <w:sz w:val="24"/>
          <w:szCs w:val="24"/>
        </w:rPr>
        <w:t>ang JW, O’Brien MJ. Preventing d</w:t>
      </w:r>
      <w:r w:rsidRPr="00C97500">
        <w:rPr>
          <w:rFonts w:ascii="Times New Roman" w:hAnsi="Times New Roman" w:cs="Times New Roman"/>
          <w:sz w:val="24"/>
          <w:szCs w:val="24"/>
        </w:rPr>
        <w:t>iabe</w:t>
      </w:r>
      <w:r w:rsidR="00845A8F" w:rsidRPr="00C97500">
        <w:rPr>
          <w:rFonts w:ascii="Times New Roman" w:hAnsi="Times New Roman" w:cs="Times New Roman"/>
          <w:sz w:val="24"/>
          <w:szCs w:val="24"/>
        </w:rPr>
        <w:t>tes in primary care: providers' perspectives about diagnosing and treating p</w:t>
      </w:r>
      <w:r w:rsidRPr="00C97500">
        <w:rPr>
          <w:rFonts w:ascii="Times New Roman" w:hAnsi="Times New Roman" w:cs="Times New Roman"/>
          <w:sz w:val="24"/>
          <w:szCs w:val="24"/>
        </w:rPr>
        <w:t>rediabetes. Clin Diabetes 2018;36(1):59-66.</w:t>
      </w:r>
    </w:p>
    <w:p w:rsidR="00D55998" w:rsidRPr="00C97500" w:rsidRDefault="00D55998"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Perušičová J, Pelikánová T, Škrha J, Kvapil M, Šmahelová A. Doporučený postup péče o nemocné s prediabetem. 2012</w:t>
      </w:r>
      <w:r w:rsidR="00845A8F" w:rsidRPr="00C97500">
        <w:rPr>
          <w:rFonts w:ascii="Times New Roman" w:hAnsi="Times New Roman" w:cs="Times New Roman"/>
          <w:sz w:val="24"/>
          <w:szCs w:val="24"/>
        </w:rPr>
        <w:t>. Dostupné z</w:t>
      </w:r>
      <w:r w:rsidRPr="00C97500">
        <w:rPr>
          <w:rFonts w:ascii="Times New Roman" w:hAnsi="Times New Roman" w:cs="Times New Roman"/>
          <w:sz w:val="24"/>
          <w:szCs w:val="24"/>
        </w:rPr>
        <w:t xml:space="preserve">: </w:t>
      </w:r>
      <w:r w:rsidR="00845A8F" w:rsidRPr="00C97500">
        <w:rPr>
          <w:rFonts w:ascii="Times New Roman" w:hAnsi="Times New Roman" w:cs="Times New Roman"/>
          <w:sz w:val="24"/>
          <w:szCs w:val="24"/>
        </w:rPr>
        <w:t>http://www.diab.cz/dokumenty/standard_prediabetes.pdf</w:t>
      </w:r>
      <w:r w:rsidR="00C3194C" w:rsidRPr="00C97500">
        <w:rPr>
          <w:rFonts w:ascii="Times New Roman" w:hAnsi="Times New Roman" w:cs="Times New Roman"/>
          <w:sz w:val="24"/>
          <w:szCs w:val="24"/>
        </w:rPr>
        <w:t>.</w:t>
      </w:r>
    </w:p>
    <w:p w:rsidR="006A7BAB" w:rsidRPr="00C97500" w:rsidRDefault="00845A8F"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Ministerstvo zdravotnictví ČR. </w:t>
      </w:r>
      <w:r w:rsidR="006A7BAB" w:rsidRPr="00C97500">
        <w:rPr>
          <w:rFonts w:ascii="Times New Roman" w:hAnsi="Times New Roman" w:cs="Times New Roman"/>
          <w:sz w:val="24"/>
          <w:szCs w:val="24"/>
        </w:rPr>
        <w:t xml:space="preserve">Vyhláška č. 70/2012 Sb. Vyhláška o preventivních prohlídkách. </w:t>
      </w:r>
      <w:r w:rsidRPr="00C97500">
        <w:rPr>
          <w:rFonts w:ascii="Times New Roman" w:hAnsi="Times New Roman" w:cs="Times New Roman"/>
          <w:sz w:val="24"/>
          <w:szCs w:val="24"/>
        </w:rPr>
        <w:t xml:space="preserve">2012. </w:t>
      </w:r>
      <w:r w:rsidR="006A7BAB" w:rsidRPr="00C97500">
        <w:rPr>
          <w:rFonts w:ascii="Times New Roman" w:hAnsi="Times New Roman" w:cs="Times New Roman"/>
          <w:sz w:val="24"/>
          <w:szCs w:val="24"/>
        </w:rPr>
        <w:t>Dostupné z: https://www.zakonyprolidi.cz/cs/2012-70.</w:t>
      </w:r>
    </w:p>
    <w:p w:rsidR="006A7BAB" w:rsidRDefault="006A7BAB"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Česká spole</w:t>
      </w:r>
      <w:r w:rsidR="00845A8F" w:rsidRPr="00C97500">
        <w:rPr>
          <w:rFonts w:ascii="Times New Roman" w:hAnsi="Times New Roman" w:cs="Times New Roman"/>
          <w:sz w:val="24"/>
          <w:szCs w:val="24"/>
        </w:rPr>
        <w:t>čnost pro hypertenzi. DoporučenÍ</w:t>
      </w:r>
      <w:r w:rsidRPr="00C97500">
        <w:rPr>
          <w:rFonts w:ascii="Times New Roman" w:hAnsi="Times New Roman" w:cs="Times New Roman"/>
          <w:sz w:val="24"/>
          <w:szCs w:val="24"/>
        </w:rPr>
        <w:t xml:space="preserve"> pro diagnostiku a léčbu arteriální hypertenze</w:t>
      </w:r>
      <w:r w:rsidR="00845A8F" w:rsidRPr="00C97500">
        <w:rPr>
          <w:rFonts w:ascii="Times New Roman" w:hAnsi="Times New Roman" w:cs="Times New Roman"/>
          <w:sz w:val="24"/>
          <w:szCs w:val="24"/>
        </w:rPr>
        <w:t xml:space="preserve"> ČSH 2017</w:t>
      </w:r>
      <w:r w:rsidRPr="00C97500">
        <w:rPr>
          <w:rFonts w:ascii="Times New Roman" w:hAnsi="Times New Roman" w:cs="Times New Roman"/>
          <w:sz w:val="24"/>
          <w:szCs w:val="24"/>
        </w:rPr>
        <w:t xml:space="preserve">. </w:t>
      </w:r>
      <w:r w:rsidR="00845A8F" w:rsidRPr="00C97500">
        <w:rPr>
          <w:rFonts w:ascii="Times New Roman" w:hAnsi="Times New Roman" w:cs="Times New Roman"/>
          <w:sz w:val="24"/>
          <w:szCs w:val="24"/>
        </w:rPr>
        <w:t xml:space="preserve">2018. </w:t>
      </w:r>
      <w:r w:rsidRPr="00C97500">
        <w:rPr>
          <w:rFonts w:ascii="Times New Roman" w:hAnsi="Times New Roman" w:cs="Times New Roman"/>
          <w:sz w:val="24"/>
          <w:szCs w:val="24"/>
        </w:rPr>
        <w:t xml:space="preserve">Dostupné z: </w:t>
      </w:r>
      <w:r w:rsidR="00CD78C3" w:rsidRPr="00CD78C3">
        <w:rPr>
          <w:rFonts w:ascii="Times New Roman" w:hAnsi="Times New Roman" w:cs="Times New Roman"/>
          <w:sz w:val="24"/>
          <w:szCs w:val="24"/>
        </w:rPr>
        <w:t>http://www.hypertension.cz/sqlcache/widimsky-1-hypertenze-kv-prevence-2018.pdf</w:t>
      </w:r>
      <w:r w:rsidRPr="00C97500">
        <w:rPr>
          <w:rFonts w:ascii="Times New Roman" w:hAnsi="Times New Roman" w:cs="Times New Roman"/>
          <w:sz w:val="24"/>
          <w:szCs w:val="24"/>
        </w:rPr>
        <w:t>.</w:t>
      </w:r>
    </w:p>
    <w:p w:rsidR="00CD78C3" w:rsidRPr="00C97500" w:rsidRDefault="00CD78C3"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D78C3">
        <w:rPr>
          <w:rFonts w:ascii="Times New Roman" w:hAnsi="Times New Roman" w:cs="Times New Roman"/>
          <w:sz w:val="24"/>
          <w:szCs w:val="24"/>
        </w:rPr>
        <w:t xml:space="preserve">Evans JD. Straightforward </w:t>
      </w:r>
      <w:r>
        <w:rPr>
          <w:rFonts w:ascii="Times New Roman" w:hAnsi="Times New Roman" w:cs="Times New Roman"/>
          <w:sz w:val="24"/>
          <w:szCs w:val="24"/>
        </w:rPr>
        <w:t>s</w:t>
      </w:r>
      <w:r w:rsidRPr="00CD78C3">
        <w:rPr>
          <w:rFonts w:ascii="Times New Roman" w:hAnsi="Times New Roman" w:cs="Times New Roman"/>
          <w:sz w:val="24"/>
          <w:szCs w:val="24"/>
        </w:rPr>
        <w:t xml:space="preserve">tatistics for the </w:t>
      </w:r>
      <w:r>
        <w:rPr>
          <w:rFonts w:ascii="Times New Roman" w:hAnsi="Times New Roman" w:cs="Times New Roman"/>
          <w:sz w:val="24"/>
          <w:szCs w:val="24"/>
        </w:rPr>
        <w:t>b</w:t>
      </w:r>
      <w:r w:rsidRPr="00CD78C3">
        <w:rPr>
          <w:rFonts w:ascii="Times New Roman" w:hAnsi="Times New Roman" w:cs="Times New Roman"/>
          <w:sz w:val="24"/>
          <w:szCs w:val="24"/>
        </w:rPr>
        <w:t xml:space="preserve">ehavioral </w:t>
      </w:r>
      <w:r>
        <w:rPr>
          <w:rFonts w:ascii="Times New Roman" w:hAnsi="Times New Roman" w:cs="Times New Roman"/>
          <w:sz w:val="24"/>
          <w:szCs w:val="24"/>
        </w:rPr>
        <w:t>s</w:t>
      </w:r>
      <w:r w:rsidRPr="00CD78C3">
        <w:rPr>
          <w:rFonts w:ascii="Times New Roman" w:hAnsi="Times New Roman" w:cs="Times New Roman"/>
          <w:sz w:val="24"/>
          <w:szCs w:val="24"/>
        </w:rPr>
        <w:t xml:space="preserve">ciences. </w:t>
      </w:r>
      <w:r>
        <w:rPr>
          <w:rFonts w:ascii="Times New Roman" w:hAnsi="Times New Roman" w:cs="Times New Roman"/>
          <w:sz w:val="24"/>
          <w:szCs w:val="24"/>
        </w:rPr>
        <w:t xml:space="preserve">California: </w:t>
      </w:r>
      <w:r w:rsidRPr="00CD78C3">
        <w:rPr>
          <w:rFonts w:ascii="Times New Roman" w:hAnsi="Times New Roman" w:cs="Times New Roman"/>
          <w:sz w:val="24"/>
          <w:szCs w:val="24"/>
        </w:rPr>
        <w:t>Brooks-Cole Publishing</w:t>
      </w:r>
      <w:r>
        <w:rPr>
          <w:rFonts w:ascii="Times New Roman" w:hAnsi="Times New Roman" w:cs="Times New Roman"/>
          <w:sz w:val="24"/>
          <w:szCs w:val="24"/>
        </w:rPr>
        <w:t>;</w:t>
      </w:r>
      <w:r w:rsidRPr="00CD78C3">
        <w:rPr>
          <w:rFonts w:ascii="Times New Roman" w:hAnsi="Times New Roman" w:cs="Times New Roman"/>
          <w:sz w:val="24"/>
          <w:szCs w:val="24"/>
        </w:rPr>
        <w:t xml:space="preserve"> 1996.</w:t>
      </w:r>
    </w:p>
    <w:p w:rsidR="006A7BAB" w:rsidRPr="00C97500" w:rsidRDefault="00845A8F"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Huang LH, Liao YL, Hsu CH.</w:t>
      </w:r>
      <w:r w:rsidR="002D341A" w:rsidRPr="00C97500">
        <w:rPr>
          <w:rFonts w:ascii="Times New Roman" w:hAnsi="Times New Roman" w:cs="Times New Roman"/>
          <w:sz w:val="24"/>
          <w:szCs w:val="24"/>
        </w:rPr>
        <w:t xml:space="preserve"> Waist circumference is a better predictor than body mass index of insulin resistance in type 2 diabetes. </w:t>
      </w:r>
      <w:r w:rsidRPr="00C97500">
        <w:rPr>
          <w:rFonts w:ascii="Times New Roman" w:hAnsi="Times New Roman" w:cs="Times New Roman"/>
          <w:sz w:val="24"/>
          <w:szCs w:val="24"/>
        </w:rPr>
        <w:t>Obes Res Clin Pract 2012;6(4):e263-346</w:t>
      </w:r>
      <w:r w:rsidR="002D341A" w:rsidRPr="00C97500">
        <w:rPr>
          <w:rFonts w:ascii="Times New Roman" w:hAnsi="Times New Roman" w:cs="Times New Roman"/>
          <w:sz w:val="24"/>
          <w:szCs w:val="24"/>
        </w:rPr>
        <w:t>.</w:t>
      </w:r>
    </w:p>
    <w:p w:rsidR="002D341A" w:rsidRPr="00C97500" w:rsidRDefault="00D76935"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Tang Q, Li X, Song P, Xu L.</w:t>
      </w:r>
      <w:r w:rsidR="002D341A" w:rsidRPr="00C97500">
        <w:rPr>
          <w:rFonts w:ascii="Times New Roman" w:hAnsi="Times New Roman" w:cs="Times New Roman"/>
          <w:sz w:val="24"/>
          <w:szCs w:val="24"/>
        </w:rPr>
        <w:t xml:space="preserve"> Optimal cut-off values for the homeostasis model assessment of insulin resistance (HOMA-I</w:t>
      </w:r>
      <w:r w:rsidRPr="00C97500">
        <w:rPr>
          <w:rFonts w:ascii="Times New Roman" w:hAnsi="Times New Roman" w:cs="Times New Roman"/>
          <w:sz w:val="24"/>
          <w:szCs w:val="24"/>
        </w:rPr>
        <w:t>R) and pre-diabetes screening: d</w:t>
      </w:r>
      <w:r w:rsidR="002D341A" w:rsidRPr="00C97500">
        <w:rPr>
          <w:rFonts w:ascii="Times New Roman" w:hAnsi="Times New Roman" w:cs="Times New Roman"/>
          <w:sz w:val="24"/>
          <w:szCs w:val="24"/>
        </w:rPr>
        <w:t xml:space="preserve">evelopments in research and prospects for the future. Drug Discov Ther </w:t>
      </w:r>
      <w:r w:rsidRPr="00C97500">
        <w:rPr>
          <w:rFonts w:ascii="Times New Roman" w:hAnsi="Times New Roman" w:cs="Times New Roman"/>
          <w:sz w:val="24"/>
          <w:szCs w:val="24"/>
        </w:rPr>
        <w:t>2015;9(6)</w:t>
      </w:r>
      <w:r w:rsidR="002D341A" w:rsidRPr="00C97500">
        <w:rPr>
          <w:rFonts w:ascii="Times New Roman" w:hAnsi="Times New Roman" w:cs="Times New Roman"/>
          <w:sz w:val="24"/>
          <w:szCs w:val="24"/>
        </w:rPr>
        <w:t>:380-5.</w:t>
      </w:r>
    </w:p>
    <w:p w:rsidR="002D341A" w:rsidRPr="00C97500" w:rsidRDefault="00D76935"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Ying X, Song Zh, Zhao Ch, Jiang Y. </w:t>
      </w:r>
      <w:r w:rsidR="002D341A" w:rsidRPr="00C97500">
        <w:rPr>
          <w:rFonts w:ascii="Times New Roman" w:hAnsi="Times New Roman" w:cs="Times New Roman"/>
          <w:sz w:val="24"/>
          <w:szCs w:val="24"/>
        </w:rPr>
        <w:t xml:space="preserve">Association between homeostasis model assessment of insulin resistance (HOMA-IR) and components of metabolic syndrome in young Chinese men. Iran J Public Health </w:t>
      </w:r>
      <w:r w:rsidRPr="00C97500">
        <w:rPr>
          <w:rFonts w:ascii="Times New Roman" w:hAnsi="Times New Roman" w:cs="Times New Roman"/>
          <w:sz w:val="24"/>
          <w:szCs w:val="24"/>
        </w:rPr>
        <w:t>2011;</w:t>
      </w:r>
      <w:r w:rsidR="002D341A" w:rsidRPr="00C97500">
        <w:rPr>
          <w:rFonts w:ascii="Times New Roman" w:hAnsi="Times New Roman" w:cs="Times New Roman"/>
          <w:sz w:val="24"/>
          <w:szCs w:val="24"/>
        </w:rPr>
        <w:t>40</w:t>
      </w:r>
      <w:r w:rsidRPr="00C97500">
        <w:rPr>
          <w:rFonts w:ascii="Times New Roman" w:hAnsi="Times New Roman" w:cs="Times New Roman"/>
          <w:sz w:val="24"/>
          <w:szCs w:val="24"/>
        </w:rPr>
        <w:t>(2)</w:t>
      </w:r>
      <w:r w:rsidR="002D341A" w:rsidRPr="00C97500">
        <w:rPr>
          <w:rFonts w:ascii="Times New Roman" w:hAnsi="Times New Roman" w:cs="Times New Roman"/>
          <w:sz w:val="24"/>
          <w:szCs w:val="24"/>
        </w:rPr>
        <w:t>:1-5.</w:t>
      </w:r>
    </w:p>
    <w:p w:rsidR="002D341A" w:rsidRPr="00C97500" w:rsidRDefault="00D76935"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Garg MK, Dutta MK, Mahalle N.</w:t>
      </w:r>
      <w:r w:rsidR="002D341A" w:rsidRPr="00C97500">
        <w:rPr>
          <w:rFonts w:ascii="Times New Roman" w:hAnsi="Times New Roman" w:cs="Times New Roman"/>
          <w:sz w:val="24"/>
          <w:szCs w:val="24"/>
        </w:rPr>
        <w:t xml:space="preserve"> Study of beta-cell function (by HOMA model) in metabolic syndrome. Indian J Endocrinol Metab </w:t>
      </w:r>
      <w:r w:rsidRPr="00C97500">
        <w:rPr>
          <w:rFonts w:ascii="Times New Roman" w:hAnsi="Times New Roman" w:cs="Times New Roman"/>
          <w:sz w:val="24"/>
          <w:szCs w:val="24"/>
        </w:rPr>
        <w:t>2011;15(Suppl 1):</w:t>
      </w:r>
      <w:r w:rsidR="002D341A" w:rsidRPr="00C97500">
        <w:rPr>
          <w:rFonts w:ascii="Times New Roman" w:hAnsi="Times New Roman" w:cs="Times New Roman"/>
          <w:sz w:val="24"/>
          <w:szCs w:val="24"/>
        </w:rPr>
        <w:t>S44-9.</w:t>
      </w:r>
    </w:p>
    <w:p w:rsidR="002D341A" w:rsidRPr="00C97500" w:rsidRDefault="00D76935"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lastRenderedPageBreak/>
        <w:t xml:space="preserve">Baez-Duarte BG, Sánchez-Guillén Mdel C, Pérez-Fuentes R, Zamora-Ginez I, Leon-Chavez BA, Revilla-Monsalve C, Islas-Andrade S. </w:t>
      </w:r>
      <w:r w:rsidR="002D341A" w:rsidRPr="00C97500">
        <w:rPr>
          <w:rFonts w:ascii="Times New Roman" w:hAnsi="Times New Roman" w:cs="Times New Roman"/>
          <w:sz w:val="24"/>
          <w:szCs w:val="24"/>
        </w:rPr>
        <w:t xml:space="preserve">β-cell function is associated with metabolic syndrome in Mexican subjects. Diabetes Metab Syndr Obes </w:t>
      </w:r>
      <w:r w:rsidRPr="00C97500">
        <w:rPr>
          <w:rFonts w:ascii="Times New Roman" w:hAnsi="Times New Roman" w:cs="Times New Roman"/>
          <w:sz w:val="24"/>
          <w:szCs w:val="24"/>
        </w:rPr>
        <w:t>2010;3:301-9</w:t>
      </w:r>
      <w:r w:rsidR="002D341A" w:rsidRPr="00C97500">
        <w:rPr>
          <w:rFonts w:ascii="Times New Roman" w:hAnsi="Times New Roman" w:cs="Times New Roman"/>
          <w:sz w:val="24"/>
          <w:szCs w:val="24"/>
        </w:rPr>
        <w:t>.</w:t>
      </w:r>
    </w:p>
    <w:p w:rsidR="002D341A" w:rsidRPr="00C97500" w:rsidRDefault="00D76935"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Hirose H, Takayama M, Iwao Y, Kawabe H. </w:t>
      </w:r>
      <w:r w:rsidR="002D341A" w:rsidRPr="00C97500">
        <w:rPr>
          <w:rFonts w:ascii="Times New Roman" w:hAnsi="Times New Roman" w:cs="Times New Roman"/>
          <w:sz w:val="24"/>
          <w:szCs w:val="24"/>
        </w:rPr>
        <w:t xml:space="preserve">Effects of aging on visceral and subcutaneous fat areas and on homeostasis model assessment of insulin resistance and insulin secretion capacity in a comprehensive health checkup. </w:t>
      </w:r>
      <w:r w:rsidRPr="00C97500">
        <w:rPr>
          <w:rFonts w:ascii="Times New Roman" w:hAnsi="Times New Roman" w:cs="Times New Roman"/>
          <w:sz w:val="24"/>
          <w:szCs w:val="24"/>
        </w:rPr>
        <w:t>J Atheroscler Thromb 2016;23(2):207-15</w:t>
      </w:r>
      <w:r w:rsidR="002D341A" w:rsidRPr="00C97500">
        <w:rPr>
          <w:rFonts w:ascii="Times New Roman" w:hAnsi="Times New Roman" w:cs="Times New Roman"/>
          <w:sz w:val="24"/>
          <w:szCs w:val="24"/>
        </w:rPr>
        <w:t>.</w:t>
      </w:r>
    </w:p>
    <w:p w:rsidR="002D341A" w:rsidRPr="00C97500" w:rsidRDefault="00D76935"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Santoleri D, Titchenell PM. Resolving the paradox of hepatic insulin r</w:t>
      </w:r>
      <w:r w:rsidR="002D341A" w:rsidRPr="00C97500">
        <w:rPr>
          <w:rFonts w:ascii="Times New Roman" w:hAnsi="Times New Roman" w:cs="Times New Roman"/>
          <w:sz w:val="24"/>
          <w:szCs w:val="24"/>
        </w:rPr>
        <w:t xml:space="preserve">esistance. </w:t>
      </w:r>
      <w:r w:rsidRPr="00C97500">
        <w:rPr>
          <w:rFonts w:ascii="Times New Roman" w:hAnsi="Times New Roman" w:cs="Times New Roman"/>
          <w:sz w:val="24"/>
          <w:szCs w:val="24"/>
        </w:rPr>
        <w:t>Cell Mol Gastroenterol Hepatol 2019;7(2):447-56.</w:t>
      </w:r>
    </w:p>
    <w:p w:rsidR="002D341A" w:rsidRPr="00C97500" w:rsidRDefault="00D76935"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Bonnet F, Ducluzeau PH, Gastaldelli A, Laville M, Anderwald CH, Konrad T, Mari A, Balkau B. </w:t>
      </w:r>
      <w:r w:rsidR="002D341A" w:rsidRPr="00C97500">
        <w:rPr>
          <w:rFonts w:ascii="Times New Roman" w:hAnsi="Times New Roman" w:cs="Times New Roman"/>
          <w:sz w:val="24"/>
          <w:szCs w:val="24"/>
        </w:rPr>
        <w:t xml:space="preserve">Liver enzymes are associated with hepatic insulin resistance, insulin secretion, and glucagon concentration in healthy men and women. </w:t>
      </w:r>
      <w:r w:rsidRPr="00C97500">
        <w:rPr>
          <w:rFonts w:ascii="Times New Roman" w:hAnsi="Times New Roman" w:cs="Times New Roman"/>
          <w:sz w:val="24"/>
          <w:szCs w:val="24"/>
        </w:rPr>
        <w:t>Diabetes 2011;60(6):1660-7</w:t>
      </w:r>
      <w:r w:rsidR="002D341A" w:rsidRPr="00C97500">
        <w:rPr>
          <w:rFonts w:ascii="Times New Roman" w:hAnsi="Times New Roman" w:cs="Times New Roman"/>
          <w:sz w:val="24"/>
          <w:szCs w:val="24"/>
        </w:rPr>
        <w:t>.</w:t>
      </w:r>
    </w:p>
    <w:p w:rsidR="002D341A" w:rsidRPr="00C97500" w:rsidRDefault="00D76935"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Simental-Mendía LE, Rodríguez-Morán M, Gómez-Díaz R, Wacher NH, Rodríguez-Hernández H, Guerrero-Romero F. Insulin resistance is associated with elevated transaminases and low aspartate aminotransferase/alanine aminotransferase ratio in young adults with normal weight.</w:t>
      </w:r>
      <w:r w:rsidR="002D341A" w:rsidRPr="00C97500">
        <w:rPr>
          <w:rFonts w:ascii="Times New Roman" w:hAnsi="Times New Roman" w:cs="Times New Roman"/>
          <w:sz w:val="24"/>
          <w:szCs w:val="24"/>
        </w:rPr>
        <w:t xml:space="preserve"> </w:t>
      </w:r>
      <w:r w:rsidRPr="00C97500">
        <w:rPr>
          <w:rFonts w:ascii="Times New Roman" w:hAnsi="Times New Roman" w:cs="Times New Roman"/>
          <w:sz w:val="24"/>
          <w:szCs w:val="24"/>
        </w:rPr>
        <w:t>Eur J Ga</w:t>
      </w:r>
      <w:r w:rsidR="001C4F81" w:rsidRPr="00C97500">
        <w:rPr>
          <w:rFonts w:ascii="Times New Roman" w:hAnsi="Times New Roman" w:cs="Times New Roman"/>
          <w:sz w:val="24"/>
          <w:szCs w:val="24"/>
        </w:rPr>
        <w:t>stroenterol Hepatol</w:t>
      </w:r>
      <w:r w:rsidRPr="00C97500">
        <w:rPr>
          <w:rFonts w:ascii="Times New Roman" w:hAnsi="Times New Roman" w:cs="Times New Roman"/>
          <w:sz w:val="24"/>
          <w:szCs w:val="24"/>
        </w:rPr>
        <w:t xml:space="preserve"> 2017;29(4):435-40.</w:t>
      </w:r>
    </w:p>
    <w:p w:rsidR="002D341A" w:rsidRPr="00C97500" w:rsidRDefault="001C4F81"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Shen SW, Lu Y, Li F, Yang CJ, Feng YB, Li HW, Yao WF, Shen ZH.</w:t>
      </w:r>
      <w:r w:rsidR="002D341A" w:rsidRPr="00C97500">
        <w:rPr>
          <w:rFonts w:ascii="Times New Roman" w:hAnsi="Times New Roman" w:cs="Times New Roman"/>
          <w:sz w:val="24"/>
          <w:szCs w:val="24"/>
        </w:rPr>
        <w:t xml:space="preserve"> </w:t>
      </w:r>
      <w:r w:rsidRPr="00C97500">
        <w:rPr>
          <w:rFonts w:ascii="Times New Roman" w:hAnsi="Times New Roman" w:cs="Times New Roman"/>
          <w:sz w:val="24"/>
          <w:szCs w:val="24"/>
        </w:rPr>
        <w:t>Atherogenic index of plasma is an effective index for estimating abdominal obesity</w:t>
      </w:r>
      <w:r w:rsidR="002D341A" w:rsidRPr="00C97500">
        <w:rPr>
          <w:rFonts w:ascii="Times New Roman" w:hAnsi="Times New Roman" w:cs="Times New Roman"/>
          <w:sz w:val="24"/>
          <w:szCs w:val="24"/>
        </w:rPr>
        <w:t xml:space="preserve">. </w:t>
      </w:r>
      <w:r w:rsidRPr="00C97500">
        <w:rPr>
          <w:rFonts w:ascii="Times New Roman" w:hAnsi="Times New Roman" w:cs="Times New Roman"/>
          <w:sz w:val="24"/>
          <w:szCs w:val="24"/>
        </w:rPr>
        <w:t>Lipids Health Dis 2018;17(1):11.</w:t>
      </w:r>
    </w:p>
    <w:p w:rsidR="002D341A" w:rsidRPr="00C97500" w:rsidRDefault="00347373"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Li Z, Huang Q, Sun L, Bao T, Dai Z.</w:t>
      </w:r>
      <w:r w:rsidR="002D341A" w:rsidRPr="00C97500">
        <w:rPr>
          <w:rFonts w:ascii="Times New Roman" w:hAnsi="Times New Roman" w:cs="Times New Roman"/>
          <w:sz w:val="24"/>
          <w:szCs w:val="24"/>
        </w:rPr>
        <w:t xml:space="preserve"> Atherogenic index in type 2 diabetes and its relationship with chronic microvascular complications. Int J Endocrinol 2018</w:t>
      </w:r>
      <w:r w:rsidRPr="00C97500">
        <w:rPr>
          <w:rFonts w:ascii="Times New Roman" w:hAnsi="Times New Roman" w:cs="Times New Roman"/>
          <w:sz w:val="24"/>
          <w:szCs w:val="24"/>
        </w:rPr>
        <w:t>;2018:</w:t>
      </w:r>
      <w:r w:rsidR="002D341A" w:rsidRPr="00C97500">
        <w:rPr>
          <w:rFonts w:ascii="Times New Roman" w:hAnsi="Times New Roman" w:cs="Times New Roman"/>
          <w:sz w:val="24"/>
          <w:szCs w:val="24"/>
        </w:rPr>
        <w:t>1765835.</w:t>
      </w:r>
    </w:p>
    <w:p w:rsidR="002D341A" w:rsidRPr="00C97500" w:rsidRDefault="00FE5ED6"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Ji B, Qu H, Wang H, Wei H, Deng H. </w:t>
      </w:r>
      <w:r w:rsidR="002D341A" w:rsidRPr="00C97500">
        <w:rPr>
          <w:rFonts w:ascii="Times New Roman" w:hAnsi="Times New Roman" w:cs="Times New Roman"/>
          <w:sz w:val="24"/>
          <w:szCs w:val="24"/>
        </w:rPr>
        <w:t xml:space="preserve">Association between the visceral adiposity index and homeostatic model assessment of insulin resistance in participants with normal waist circumference. Angiology </w:t>
      </w:r>
      <w:r w:rsidRPr="00C97500">
        <w:rPr>
          <w:rFonts w:ascii="Times New Roman" w:hAnsi="Times New Roman" w:cs="Times New Roman"/>
          <w:sz w:val="24"/>
          <w:szCs w:val="24"/>
        </w:rPr>
        <w:t>2017;68(8):</w:t>
      </w:r>
      <w:r w:rsidR="002D341A" w:rsidRPr="00C97500">
        <w:rPr>
          <w:rFonts w:ascii="Times New Roman" w:hAnsi="Times New Roman" w:cs="Times New Roman"/>
          <w:sz w:val="24"/>
          <w:szCs w:val="24"/>
        </w:rPr>
        <w:t>716-21.</w:t>
      </w:r>
    </w:p>
    <w:p w:rsidR="002D341A" w:rsidRPr="00C97500" w:rsidRDefault="00FE5ED6"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Pasqualetti S, Braga F, Panteghini M.</w:t>
      </w:r>
      <w:r w:rsidR="002D341A" w:rsidRPr="00C97500">
        <w:rPr>
          <w:rFonts w:ascii="Times New Roman" w:hAnsi="Times New Roman" w:cs="Times New Roman"/>
          <w:sz w:val="24"/>
          <w:szCs w:val="24"/>
        </w:rPr>
        <w:t xml:space="preserve"> Pre-analytical and analytical aspects affecting clinical reliability of plasma glucose results. Clin Biochem </w:t>
      </w:r>
      <w:r w:rsidRPr="00C97500">
        <w:rPr>
          <w:rFonts w:ascii="Times New Roman" w:hAnsi="Times New Roman" w:cs="Times New Roman"/>
          <w:sz w:val="24"/>
          <w:szCs w:val="24"/>
        </w:rPr>
        <w:t>2017;</w:t>
      </w:r>
      <w:r w:rsidR="002D341A" w:rsidRPr="00C97500">
        <w:rPr>
          <w:rFonts w:ascii="Times New Roman" w:hAnsi="Times New Roman" w:cs="Times New Roman"/>
          <w:sz w:val="24"/>
          <w:szCs w:val="24"/>
        </w:rPr>
        <w:t>50</w:t>
      </w:r>
      <w:r w:rsidRPr="00C97500">
        <w:rPr>
          <w:rFonts w:ascii="Times New Roman" w:hAnsi="Times New Roman" w:cs="Times New Roman"/>
          <w:sz w:val="24"/>
          <w:szCs w:val="24"/>
        </w:rPr>
        <w:t>(10-11)</w:t>
      </w:r>
      <w:r w:rsidR="002D341A" w:rsidRPr="00C97500">
        <w:rPr>
          <w:rFonts w:ascii="Times New Roman" w:hAnsi="Times New Roman" w:cs="Times New Roman"/>
          <w:sz w:val="24"/>
          <w:szCs w:val="24"/>
        </w:rPr>
        <w:t>:587-94.</w:t>
      </w:r>
    </w:p>
    <w:p w:rsidR="004358DF" w:rsidRPr="00C97500" w:rsidRDefault="00A57D44"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Ruopp MD, Perkins NJ, Whitcomb BW, Schisterman EF. </w:t>
      </w:r>
      <w:r w:rsidR="004358DF" w:rsidRPr="00C97500">
        <w:rPr>
          <w:rFonts w:ascii="Times New Roman" w:hAnsi="Times New Roman" w:cs="Times New Roman"/>
          <w:sz w:val="24"/>
          <w:szCs w:val="24"/>
        </w:rPr>
        <w:t>Youden Index and optimal cut-point estimated from observations a</w:t>
      </w:r>
      <w:r w:rsidRPr="00C97500">
        <w:rPr>
          <w:rFonts w:ascii="Times New Roman" w:hAnsi="Times New Roman" w:cs="Times New Roman"/>
          <w:sz w:val="24"/>
          <w:szCs w:val="24"/>
        </w:rPr>
        <w:t>ff</w:t>
      </w:r>
      <w:r w:rsidR="004358DF" w:rsidRPr="00C97500">
        <w:rPr>
          <w:rFonts w:ascii="Times New Roman" w:hAnsi="Times New Roman" w:cs="Times New Roman"/>
          <w:sz w:val="24"/>
          <w:szCs w:val="24"/>
        </w:rPr>
        <w:t xml:space="preserve">ected by a lower limit of detection. </w:t>
      </w:r>
      <w:r w:rsidRPr="00C97500">
        <w:rPr>
          <w:rFonts w:ascii="Times New Roman" w:hAnsi="Times New Roman" w:cs="Times New Roman"/>
          <w:sz w:val="24"/>
          <w:szCs w:val="24"/>
        </w:rPr>
        <w:t>Biom J 2008;50(3):419-30.</w:t>
      </w:r>
    </w:p>
    <w:p w:rsidR="004358DF" w:rsidRPr="00C97500" w:rsidRDefault="00A57D44"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lastRenderedPageBreak/>
        <w:t>Pekgor S, Duran C, Berberoglu U, Eryilmaz MA</w:t>
      </w:r>
      <w:r w:rsidR="004358DF" w:rsidRPr="00C97500">
        <w:rPr>
          <w:rFonts w:ascii="Times New Roman" w:hAnsi="Times New Roman" w:cs="Times New Roman"/>
          <w:sz w:val="24"/>
          <w:szCs w:val="24"/>
        </w:rPr>
        <w:t xml:space="preserve">. The role of visceral adiposity index levels in predicting the presence of metabolic syndrome and insulin resistance in overweight and obese patients. </w:t>
      </w:r>
      <w:r w:rsidRPr="00C97500">
        <w:rPr>
          <w:rFonts w:ascii="Times New Roman" w:hAnsi="Times New Roman" w:cs="Times New Roman"/>
          <w:sz w:val="24"/>
          <w:szCs w:val="24"/>
        </w:rPr>
        <w:t>Metab Syndr Relat Disord 2019;17(5):296-302</w:t>
      </w:r>
      <w:r w:rsidR="004358DF" w:rsidRPr="00C97500">
        <w:rPr>
          <w:rFonts w:ascii="Times New Roman" w:hAnsi="Times New Roman" w:cs="Times New Roman"/>
          <w:sz w:val="24"/>
          <w:szCs w:val="24"/>
        </w:rPr>
        <w:t>.</w:t>
      </w:r>
    </w:p>
    <w:p w:rsidR="004358DF" w:rsidRPr="00C97500" w:rsidRDefault="00A57D44"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Amato MC, Giordano C, Pitrone M, Galluzzo A. </w:t>
      </w:r>
      <w:r w:rsidR="004358DF" w:rsidRPr="00C97500">
        <w:rPr>
          <w:rFonts w:ascii="Times New Roman" w:hAnsi="Times New Roman" w:cs="Times New Roman"/>
          <w:sz w:val="24"/>
          <w:szCs w:val="24"/>
        </w:rPr>
        <w:t>Cut-o</w:t>
      </w:r>
      <w:r w:rsidRPr="00C97500">
        <w:rPr>
          <w:rFonts w:ascii="Times New Roman" w:hAnsi="Times New Roman" w:cs="Times New Roman"/>
          <w:sz w:val="24"/>
          <w:szCs w:val="24"/>
        </w:rPr>
        <w:t>ff</w:t>
      </w:r>
      <w:r w:rsidR="004358DF" w:rsidRPr="00C97500">
        <w:rPr>
          <w:rFonts w:ascii="Times New Roman" w:hAnsi="Times New Roman" w:cs="Times New Roman"/>
          <w:sz w:val="24"/>
          <w:szCs w:val="24"/>
        </w:rPr>
        <w:br/>
        <w:t xml:space="preserve"> points of the visceral adiposity index (VAI) identifying a visceral adipose dysfunction associated with cardiometabolic risk in a Caucasian Sicilian population. </w:t>
      </w:r>
      <w:r w:rsidRPr="00C97500">
        <w:rPr>
          <w:rFonts w:ascii="Times New Roman" w:hAnsi="Times New Roman" w:cs="Times New Roman"/>
          <w:sz w:val="24"/>
          <w:szCs w:val="24"/>
        </w:rPr>
        <w:t>Lipids Health Dis 2011;10:183</w:t>
      </w:r>
      <w:r w:rsidR="004358DF" w:rsidRPr="00C97500">
        <w:rPr>
          <w:rFonts w:ascii="Times New Roman" w:hAnsi="Times New Roman" w:cs="Times New Roman"/>
          <w:sz w:val="24"/>
          <w:szCs w:val="24"/>
        </w:rPr>
        <w:t>.</w:t>
      </w:r>
    </w:p>
    <w:p w:rsidR="004358DF" w:rsidRPr="00C97500" w:rsidRDefault="00A57D44"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Amato MC, Pizzolanti G, Torregrossa V, Misiano G, Milano S, Giordano C</w:t>
      </w:r>
      <w:r w:rsidR="004358DF" w:rsidRPr="00C97500">
        <w:rPr>
          <w:rFonts w:ascii="Times New Roman" w:hAnsi="Times New Roman" w:cs="Times New Roman"/>
          <w:sz w:val="24"/>
          <w:szCs w:val="24"/>
        </w:rPr>
        <w:t xml:space="preserve">. Visceral adiposity index (VAI) is predictive of an altered adipokine profile in patients with type 2 diabetes. </w:t>
      </w:r>
      <w:r w:rsidRPr="00C97500">
        <w:rPr>
          <w:rFonts w:ascii="Times New Roman" w:hAnsi="Times New Roman" w:cs="Times New Roman"/>
          <w:sz w:val="24"/>
          <w:szCs w:val="24"/>
        </w:rPr>
        <w:t>PLoS One 2014;9(3):e91969</w:t>
      </w:r>
      <w:r w:rsidR="004358DF" w:rsidRPr="00C97500">
        <w:rPr>
          <w:rFonts w:ascii="Times New Roman" w:hAnsi="Times New Roman" w:cs="Times New Roman"/>
          <w:sz w:val="24"/>
          <w:szCs w:val="24"/>
        </w:rPr>
        <w:t>.</w:t>
      </w:r>
    </w:p>
    <w:p w:rsidR="004358DF" w:rsidRPr="00C97500" w:rsidRDefault="00A57D44"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Liu PJ, Ma F, Lou HP, Chen Y.</w:t>
      </w:r>
      <w:r w:rsidR="004358DF" w:rsidRPr="00C97500">
        <w:rPr>
          <w:rFonts w:ascii="Times New Roman" w:hAnsi="Times New Roman" w:cs="Times New Roman"/>
          <w:sz w:val="24"/>
          <w:szCs w:val="24"/>
        </w:rPr>
        <w:t xml:space="preserve">. Visceral adiposity index is associated with pre-diabetes and type 2 diabetes mellitus in Chinese adults aged 20–50. </w:t>
      </w:r>
      <w:r w:rsidRPr="00C97500">
        <w:rPr>
          <w:rFonts w:ascii="Times New Roman" w:hAnsi="Times New Roman" w:cs="Times New Roman"/>
          <w:sz w:val="24"/>
          <w:szCs w:val="24"/>
        </w:rPr>
        <w:t>Ann Nutr Metab 2016;68(4):235-43</w:t>
      </w:r>
      <w:r w:rsidR="004358DF" w:rsidRPr="00C97500">
        <w:rPr>
          <w:rFonts w:ascii="Times New Roman" w:hAnsi="Times New Roman" w:cs="Times New Roman"/>
          <w:sz w:val="24"/>
          <w:szCs w:val="24"/>
        </w:rPr>
        <w:t>.</w:t>
      </w:r>
    </w:p>
    <w:p w:rsidR="004358DF" w:rsidRPr="00C97500" w:rsidRDefault="00A57D44"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Jabłonowska-Lietz B, Wrzosek M, Włodarczyk M, Nowicka G.</w:t>
      </w:r>
      <w:r w:rsidR="004358DF" w:rsidRPr="00C97500">
        <w:rPr>
          <w:rFonts w:ascii="Times New Roman" w:hAnsi="Times New Roman" w:cs="Times New Roman"/>
          <w:sz w:val="24"/>
          <w:szCs w:val="24"/>
        </w:rPr>
        <w:t xml:space="preserve"> New indexes of body fat distribution, visceral adiposity index, body adiposity index, waist-to-height ratio, and metabolic disturbances in the obese. </w:t>
      </w:r>
      <w:r w:rsidRPr="00C97500">
        <w:rPr>
          <w:rFonts w:ascii="Times New Roman" w:hAnsi="Times New Roman" w:cs="Times New Roman"/>
          <w:sz w:val="24"/>
          <w:szCs w:val="24"/>
        </w:rPr>
        <w:t>Kardiol Pol 2017;75(11):1185-91</w:t>
      </w:r>
      <w:r w:rsidR="004358DF" w:rsidRPr="00C97500">
        <w:rPr>
          <w:rFonts w:ascii="Times New Roman" w:hAnsi="Times New Roman" w:cs="Times New Roman"/>
          <w:sz w:val="24"/>
          <w:szCs w:val="24"/>
        </w:rPr>
        <w:t>.</w:t>
      </w:r>
    </w:p>
    <w:p w:rsidR="004358DF" w:rsidRPr="00C97500" w:rsidRDefault="00A57D44"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Satya Krishna SV, Kota SK, Modi KD</w:t>
      </w:r>
      <w:r w:rsidR="004358DF" w:rsidRPr="00C97500">
        <w:rPr>
          <w:rFonts w:ascii="Times New Roman" w:hAnsi="Times New Roman" w:cs="Times New Roman"/>
          <w:sz w:val="24"/>
          <w:szCs w:val="24"/>
        </w:rPr>
        <w:t xml:space="preserve">. Glycemic variability: </w:t>
      </w:r>
      <w:r w:rsidRPr="00C97500">
        <w:rPr>
          <w:rFonts w:ascii="Times New Roman" w:hAnsi="Times New Roman" w:cs="Times New Roman"/>
          <w:sz w:val="24"/>
          <w:szCs w:val="24"/>
        </w:rPr>
        <w:t>c</w:t>
      </w:r>
      <w:r w:rsidR="004358DF" w:rsidRPr="00C97500">
        <w:rPr>
          <w:rFonts w:ascii="Times New Roman" w:hAnsi="Times New Roman" w:cs="Times New Roman"/>
          <w:sz w:val="24"/>
          <w:szCs w:val="24"/>
        </w:rPr>
        <w:t xml:space="preserve">linical implications. </w:t>
      </w:r>
      <w:r w:rsidRPr="00C97500">
        <w:rPr>
          <w:rFonts w:ascii="Times New Roman" w:hAnsi="Times New Roman" w:cs="Times New Roman"/>
          <w:sz w:val="24"/>
          <w:szCs w:val="24"/>
        </w:rPr>
        <w:t>Indian J Endocrinol Metab 2013;17(4):611-9</w:t>
      </w:r>
      <w:r w:rsidR="004358DF" w:rsidRPr="00C97500">
        <w:rPr>
          <w:rFonts w:ascii="Times New Roman" w:hAnsi="Times New Roman" w:cs="Times New Roman"/>
          <w:sz w:val="24"/>
          <w:szCs w:val="24"/>
        </w:rPr>
        <w:t>.</w:t>
      </w:r>
    </w:p>
    <w:p w:rsidR="004358DF" w:rsidRPr="00C97500" w:rsidRDefault="00A57D44"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Li R, Li Q, Cui M, Ying Z, Li L, Zhong T, Huo Y, Xie P</w:t>
      </w:r>
      <w:r w:rsidR="004358DF" w:rsidRPr="00C97500">
        <w:rPr>
          <w:rFonts w:ascii="Times New Roman" w:hAnsi="Times New Roman" w:cs="Times New Roman"/>
          <w:sz w:val="24"/>
          <w:szCs w:val="24"/>
        </w:rPr>
        <w:t xml:space="preserve">. Visceral adiposity index, lipid accumulation product and intracranial atherosclerotic stenosis in middle-aged and elderly Chinese. </w:t>
      </w:r>
      <w:r w:rsidRPr="00C97500">
        <w:rPr>
          <w:rFonts w:ascii="Times New Roman" w:hAnsi="Times New Roman" w:cs="Times New Roman"/>
          <w:sz w:val="24"/>
          <w:szCs w:val="24"/>
        </w:rPr>
        <w:t>Sci Rep 2017;7(1):7951.</w:t>
      </w:r>
    </w:p>
    <w:p w:rsidR="004358DF" w:rsidRPr="00C97500" w:rsidRDefault="00A57D44"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Randrianarisoa E, Lehn-Stefan A, Hieronimus A, Rietig R, Fritsche A, Machann J, Balletshofer B, Häring HU, Stefan N, Rittig K</w:t>
      </w:r>
      <w:r w:rsidR="004358DF" w:rsidRPr="00C97500">
        <w:rPr>
          <w:rFonts w:ascii="Times New Roman" w:hAnsi="Times New Roman" w:cs="Times New Roman"/>
          <w:sz w:val="24"/>
          <w:szCs w:val="24"/>
        </w:rPr>
        <w:t xml:space="preserve">. Visceral adiposity index as an independent marker of subclinical atherosclerosis in individuals prone to diabetes mellitus. </w:t>
      </w:r>
      <w:r w:rsidR="009C547D" w:rsidRPr="00C97500">
        <w:rPr>
          <w:rFonts w:ascii="Times New Roman" w:hAnsi="Times New Roman" w:cs="Times New Roman"/>
          <w:sz w:val="24"/>
          <w:szCs w:val="24"/>
        </w:rPr>
        <w:t>J Atheroscler Thromb 2019;26(9):821-34.</w:t>
      </w:r>
    </w:p>
    <w:p w:rsidR="004358DF" w:rsidRPr="00C97500" w:rsidRDefault="009C547D"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Biswas E, Choudhury AK, Amin MR, Khalequzzaman M, Chowdhury S, Kabir FI, Sakib MM, Mahabub EE, Singha CK. </w:t>
      </w:r>
      <w:r w:rsidR="004358DF" w:rsidRPr="00C97500">
        <w:rPr>
          <w:rFonts w:ascii="Times New Roman" w:hAnsi="Times New Roman" w:cs="Times New Roman"/>
          <w:sz w:val="24"/>
          <w:szCs w:val="24"/>
        </w:rPr>
        <w:t xml:space="preserve">Visceral adiposity index score is the better predictor of clinical and coronary angiographic severity assessment than other adiposity indices in patients with acute coronary syndrome. </w:t>
      </w:r>
      <w:r w:rsidRPr="00C97500">
        <w:rPr>
          <w:rFonts w:ascii="Times New Roman" w:hAnsi="Times New Roman" w:cs="Times New Roman"/>
          <w:sz w:val="24"/>
          <w:szCs w:val="24"/>
        </w:rPr>
        <w:t>Mymensingh Med J 2019;28(2):382-8.</w:t>
      </w:r>
    </w:p>
    <w:p w:rsidR="004358DF" w:rsidRPr="00C97500" w:rsidRDefault="009C547D"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 xml:space="preserve">Ma CM, Liu XL, Lu N, Wang R, Lu Q, Yin FZ. </w:t>
      </w:r>
      <w:r w:rsidR="004358DF" w:rsidRPr="00C97500">
        <w:rPr>
          <w:rFonts w:ascii="Times New Roman" w:hAnsi="Times New Roman" w:cs="Times New Roman"/>
          <w:sz w:val="24"/>
          <w:szCs w:val="24"/>
        </w:rPr>
        <w:t>Hypertriglyceridemic waist phenotype an</w:t>
      </w:r>
      <w:r w:rsidRPr="00C97500">
        <w:rPr>
          <w:rFonts w:ascii="Times New Roman" w:hAnsi="Times New Roman" w:cs="Times New Roman"/>
          <w:sz w:val="24"/>
          <w:szCs w:val="24"/>
        </w:rPr>
        <w:t>d abnormal glucose metabolism: a</w:t>
      </w:r>
      <w:r w:rsidR="004358DF" w:rsidRPr="00C97500">
        <w:rPr>
          <w:rFonts w:ascii="Times New Roman" w:hAnsi="Times New Roman" w:cs="Times New Roman"/>
          <w:sz w:val="24"/>
          <w:szCs w:val="24"/>
        </w:rPr>
        <w:t xml:space="preserve"> system review and meta-analysis. </w:t>
      </w:r>
      <w:r w:rsidRPr="00C97500">
        <w:rPr>
          <w:rFonts w:ascii="Times New Roman" w:hAnsi="Times New Roman" w:cs="Times New Roman"/>
          <w:sz w:val="24"/>
          <w:szCs w:val="24"/>
        </w:rPr>
        <w:t>Endocrine 2019;64(3):469-85</w:t>
      </w:r>
      <w:r w:rsidR="004358DF" w:rsidRPr="00C97500">
        <w:rPr>
          <w:rFonts w:ascii="Times New Roman" w:hAnsi="Times New Roman" w:cs="Times New Roman"/>
          <w:sz w:val="24"/>
          <w:szCs w:val="24"/>
        </w:rPr>
        <w:t>.</w:t>
      </w:r>
    </w:p>
    <w:p w:rsidR="00835944" w:rsidRPr="00C97500" w:rsidRDefault="009C547D" w:rsidP="00C97500">
      <w:pPr>
        <w:pStyle w:val="Odstavecseseznamem"/>
        <w:numPr>
          <w:ilvl w:val="0"/>
          <w:numId w:val="5"/>
        </w:numPr>
        <w:tabs>
          <w:tab w:val="left" w:pos="851"/>
        </w:tabs>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lastRenderedPageBreak/>
        <w:t>Marra NF, Bechere Fernandes MT, de Melo ME, da Cruz RM, Tess BH</w:t>
      </w:r>
      <w:r w:rsidR="004358DF" w:rsidRPr="00C97500">
        <w:rPr>
          <w:rFonts w:ascii="Times New Roman" w:hAnsi="Times New Roman" w:cs="Times New Roman"/>
          <w:sz w:val="24"/>
          <w:szCs w:val="24"/>
        </w:rPr>
        <w:t xml:space="preserve">. </w:t>
      </w:r>
      <w:r w:rsidRPr="00C97500">
        <w:rPr>
          <w:rFonts w:ascii="Times New Roman" w:hAnsi="Times New Roman" w:cs="Times New Roman"/>
          <w:sz w:val="24"/>
          <w:szCs w:val="24"/>
        </w:rPr>
        <w:t>Fasting insulin resistance affects the prevalence of metabolically healthy obesity in Brazilian adolescents.</w:t>
      </w:r>
      <w:r w:rsidR="004358DF" w:rsidRPr="00C97500">
        <w:rPr>
          <w:rFonts w:ascii="Times New Roman" w:hAnsi="Times New Roman" w:cs="Times New Roman"/>
          <w:sz w:val="24"/>
          <w:szCs w:val="24"/>
        </w:rPr>
        <w:t xml:space="preserve"> </w:t>
      </w:r>
      <w:r w:rsidRPr="00C97500">
        <w:rPr>
          <w:rFonts w:ascii="Times New Roman" w:hAnsi="Times New Roman" w:cs="Times New Roman"/>
          <w:sz w:val="24"/>
          <w:szCs w:val="24"/>
        </w:rPr>
        <w:t>Acta Paediatr 2019;108(7):1295-302</w:t>
      </w:r>
      <w:r w:rsidR="004358DF" w:rsidRPr="00C97500">
        <w:rPr>
          <w:rFonts w:ascii="Times New Roman" w:hAnsi="Times New Roman" w:cs="Times New Roman"/>
          <w:sz w:val="24"/>
          <w:szCs w:val="24"/>
        </w:rPr>
        <w:t>.</w:t>
      </w:r>
    </w:p>
    <w:p w:rsidR="004358DF" w:rsidRPr="00C97500" w:rsidRDefault="00835944" w:rsidP="00C97500">
      <w:p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br w:type="page"/>
      </w:r>
    </w:p>
    <w:p w:rsidR="003044A8" w:rsidRPr="007B6979" w:rsidRDefault="003044A8" w:rsidP="007B6979">
      <w:pPr>
        <w:pStyle w:val="Nadpis1"/>
      </w:pPr>
      <w:bookmarkStart w:id="142" w:name="_Toc33432699"/>
      <w:bookmarkStart w:id="143" w:name="_Toc33432919"/>
      <w:bookmarkStart w:id="144" w:name="_Toc33869560"/>
      <w:r w:rsidRPr="007B6979">
        <w:lastRenderedPageBreak/>
        <w:t>Publikace autora související s dizertační prací</w:t>
      </w:r>
      <w:bookmarkEnd w:id="142"/>
      <w:bookmarkEnd w:id="143"/>
      <w:bookmarkEnd w:id="144"/>
    </w:p>
    <w:p w:rsidR="00586CB1" w:rsidRPr="00C97500" w:rsidRDefault="00586CB1" w:rsidP="00C97500">
      <w:pPr>
        <w:pStyle w:val="Nadpis2"/>
      </w:pPr>
      <w:bookmarkStart w:id="145" w:name="_Toc33869561"/>
      <w:r w:rsidRPr="00C97500">
        <w:t>Články</w:t>
      </w:r>
      <w:bookmarkEnd w:id="145"/>
    </w:p>
    <w:p w:rsidR="00904695" w:rsidRPr="00C97500" w:rsidRDefault="00904695" w:rsidP="00C97500">
      <w:p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Horáková D, Štěpánek L, Dumbrovská L, Petráková A. Význam detekce prediabetu ve vztahu k nákladům na léčbu diabetu. Ekonomie ve zdravotnictví 201</w:t>
      </w:r>
      <w:r w:rsidR="00111B7F" w:rsidRPr="00C97500">
        <w:rPr>
          <w:rFonts w:ascii="Times New Roman" w:hAnsi="Times New Roman" w:cs="Times New Roman"/>
          <w:sz w:val="24"/>
          <w:szCs w:val="24"/>
        </w:rPr>
        <w:t>8;4(3):29-32. ISSN 2464-6164.</w:t>
      </w:r>
    </w:p>
    <w:p w:rsidR="00904695" w:rsidRPr="00C97500" w:rsidRDefault="00904695" w:rsidP="00C97500">
      <w:p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Horáková D, Štěpánek L, Juríčková L, Vlčková J, Kollárová H. Surveillance chronických neinfekčních nemoc</w:t>
      </w:r>
      <w:r w:rsidR="00111B7F" w:rsidRPr="00C97500">
        <w:rPr>
          <w:rFonts w:ascii="Times New Roman" w:hAnsi="Times New Roman" w:cs="Times New Roman"/>
          <w:sz w:val="24"/>
          <w:szCs w:val="24"/>
        </w:rPr>
        <w:t>í. Cas Lek Cesk 2019;158(2):83-6.</w:t>
      </w:r>
      <w:r w:rsidRPr="00C97500">
        <w:rPr>
          <w:rFonts w:ascii="Times New Roman" w:hAnsi="Times New Roman" w:cs="Times New Roman"/>
          <w:sz w:val="24"/>
          <w:szCs w:val="24"/>
        </w:rPr>
        <w:t xml:space="preserve"> ISSN 0008-7335.</w:t>
      </w:r>
    </w:p>
    <w:p w:rsidR="00904695" w:rsidRPr="00C97500" w:rsidRDefault="00111B7F" w:rsidP="00C97500">
      <w:pPr>
        <w:spacing w:line="360" w:lineRule="auto"/>
        <w:jc w:val="both"/>
        <w:rPr>
          <w:rFonts w:ascii="Times New Roman" w:hAnsi="Times New Roman" w:cs="Times New Roman"/>
          <w:color w:val="222222"/>
          <w:sz w:val="24"/>
          <w:szCs w:val="24"/>
          <w:shd w:val="clear" w:color="auto" w:fill="FFFFFF"/>
        </w:rPr>
      </w:pPr>
      <w:r w:rsidRPr="00C97500">
        <w:rPr>
          <w:rFonts w:ascii="Times New Roman" w:hAnsi="Times New Roman" w:cs="Times New Roman"/>
          <w:color w:val="222222"/>
          <w:sz w:val="24"/>
          <w:szCs w:val="24"/>
          <w:shd w:val="clear" w:color="auto" w:fill="FFFFFF"/>
        </w:rPr>
        <w:t>Horáková D, Štěpánek L, Janout V, Janoutová J, Pastucha D, Kollárová H, Petráková A, Štěpánek L, Husár R, Martiník K. Optimal homeostasis model a</w:t>
      </w:r>
      <w:r w:rsidR="00904695" w:rsidRPr="00C97500">
        <w:rPr>
          <w:rFonts w:ascii="Times New Roman" w:hAnsi="Times New Roman" w:cs="Times New Roman"/>
          <w:color w:val="222222"/>
          <w:sz w:val="24"/>
          <w:szCs w:val="24"/>
          <w:shd w:val="clear" w:color="auto" w:fill="FFFFFF"/>
        </w:rPr>
        <w:t>ssessment o</w:t>
      </w:r>
      <w:r w:rsidRPr="00C97500">
        <w:rPr>
          <w:rFonts w:ascii="Times New Roman" w:hAnsi="Times New Roman" w:cs="Times New Roman"/>
          <w:color w:val="222222"/>
          <w:sz w:val="24"/>
          <w:szCs w:val="24"/>
          <w:shd w:val="clear" w:color="auto" w:fill="FFFFFF"/>
        </w:rPr>
        <w:t>f insulin resistance (HOMA-IR) cut-offs: a cross-sectional study in the Czech p</w:t>
      </w:r>
      <w:r w:rsidR="00904695" w:rsidRPr="00C97500">
        <w:rPr>
          <w:rFonts w:ascii="Times New Roman" w:hAnsi="Times New Roman" w:cs="Times New Roman"/>
          <w:color w:val="222222"/>
          <w:sz w:val="24"/>
          <w:szCs w:val="24"/>
          <w:shd w:val="clear" w:color="auto" w:fill="FFFFFF"/>
        </w:rPr>
        <w:t>opulation. </w:t>
      </w:r>
      <w:r w:rsidRPr="00C97500">
        <w:rPr>
          <w:rFonts w:ascii="Times New Roman" w:hAnsi="Times New Roman" w:cs="Times New Roman"/>
          <w:iCs/>
          <w:color w:val="222222"/>
          <w:sz w:val="24"/>
          <w:szCs w:val="24"/>
          <w:shd w:val="clear" w:color="auto" w:fill="FFFFFF"/>
        </w:rPr>
        <w:t>Medicina (Kaunas) 2019;55(5):E158.</w:t>
      </w:r>
    </w:p>
    <w:p w:rsidR="00904695" w:rsidRPr="00C97500" w:rsidRDefault="00111B7F" w:rsidP="00C97500">
      <w:pPr>
        <w:spacing w:line="360" w:lineRule="auto"/>
        <w:jc w:val="both"/>
        <w:rPr>
          <w:rFonts w:ascii="Times New Roman" w:hAnsi="Times New Roman" w:cs="Times New Roman"/>
          <w:color w:val="222222"/>
          <w:sz w:val="24"/>
          <w:szCs w:val="24"/>
          <w:shd w:val="clear" w:color="auto" w:fill="FFFFFF"/>
        </w:rPr>
      </w:pPr>
      <w:r w:rsidRPr="00C97500">
        <w:rPr>
          <w:rFonts w:ascii="Times New Roman" w:hAnsi="Times New Roman" w:cs="Times New Roman"/>
          <w:color w:val="222222"/>
          <w:sz w:val="24"/>
          <w:szCs w:val="24"/>
          <w:shd w:val="clear" w:color="auto" w:fill="FFFFFF"/>
        </w:rPr>
        <w:t>Horáková D, Bouchalová K, Cwiertka K, Štěpánek L, Vlčková J, Kollárová H</w:t>
      </w:r>
      <w:r w:rsidR="00904695" w:rsidRPr="00C97500">
        <w:rPr>
          <w:rFonts w:ascii="Times New Roman" w:hAnsi="Times New Roman" w:cs="Times New Roman"/>
          <w:color w:val="222222"/>
          <w:sz w:val="24"/>
          <w:szCs w:val="24"/>
          <w:shd w:val="clear" w:color="auto" w:fill="FFFFFF"/>
        </w:rPr>
        <w:t>. Risks and protective factors for triple negative breast cancer with a focus on micronutrients and infections.</w:t>
      </w:r>
      <w:r w:rsidRPr="00C97500">
        <w:rPr>
          <w:rFonts w:ascii="Times New Roman" w:hAnsi="Times New Roman" w:cs="Times New Roman"/>
          <w:sz w:val="24"/>
          <w:szCs w:val="24"/>
        </w:rPr>
        <w:t xml:space="preserve"> </w:t>
      </w:r>
      <w:r w:rsidRPr="00C97500">
        <w:rPr>
          <w:rFonts w:ascii="Times New Roman" w:hAnsi="Times New Roman" w:cs="Times New Roman"/>
          <w:color w:val="222222"/>
          <w:sz w:val="24"/>
          <w:szCs w:val="24"/>
          <w:shd w:val="clear" w:color="auto" w:fill="FFFFFF"/>
        </w:rPr>
        <w:t>Biomed Pap Med Fac Univ Palacky Olomouc Czech Repub 2018;162(2):83-9.</w:t>
      </w:r>
    </w:p>
    <w:p w:rsidR="00904695" w:rsidRPr="00C97500" w:rsidRDefault="00111B7F" w:rsidP="00C97500">
      <w:p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Horáková D, Štěpánek L, Nágelová R, Pastucha D, Azeem K, Kollárová H</w:t>
      </w:r>
      <w:r w:rsidR="00904695" w:rsidRPr="00C97500">
        <w:rPr>
          <w:rFonts w:ascii="Times New Roman" w:hAnsi="Times New Roman" w:cs="Times New Roman"/>
          <w:sz w:val="24"/>
          <w:szCs w:val="24"/>
        </w:rPr>
        <w:t xml:space="preserve">. </w:t>
      </w:r>
      <w:r w:rsidRPr="00C97500">
        <w:rPr>
          <w:rFonts w:ascii="Times New Roman" w:hAnsi="Times New Roman" w:cs="Times New Roman"/>
          <w:sz w:val="24"/>
          <w:szCs w:val="24"/>
        </w:rPr>
        <w:t>Total and high-molecular-weight adiponectin levels and prediction of insulin resistance</w:t>
      </w:r>
      <w:r w:rsidR="00904695" w:rsidRPr="00C97500">
        <w:rPr>
          <w:rFonts w:ascii="Times New Roman" w:hAnsi="Times New Roman" w:cs="Times New Roman"/>
          <w:sz w:val="24"/>
          <w:szCs w:val="24"/>
        </w:rPr>
        <w:t xml:space="preserve">. </w:t>
      </w:r>
      <w:r w:rsidRPr="00C97500">
        <w:rPr>
          <w:rFonts w:ascii="Times New Roman" w:hAnsi="Times New Roman" w:cs="Times New Roman"/>
          <w:sz w:val="24"/>
          <w:szCs w:val="24"/>
        </w:rPr>
        <w:t>Endokrynol Pol 2018;69(4):375-80.</w:t>
      </w:r>
    </w:p>
    <w:p w:rsidR="00904695" w:rsidRPr="00C97500" w:rsidRDefault="00111B7F" w:rsidP="00C97500">
      <w:pPr>
        <w:spacing w:line="360" w:lineRule="auto"/>
        <w:jc w:val="both"/>
        <w:rPr>
          <w:rFonts w:ascii="Times New Roman" w:hAnsi="Times New Roman" w:cs="Times New Roman"/>
          <w:color w:val="222222"/>
          <w:sz w:val="24"/>
          <w:szCs w:val="24"/>
          <w:shd w:val="clear" w:color="auto" w:fill="FFFFFF"/>
        </w:rPr>
      </w:pPr>
      <w:r w:rsidRPr="00C97500">
        <w:rPr>
          <w:rFonts w:ascii="Times New Roman" w:hAnsi="Times New Roman" w:cs="Times New Roman"/>
          <w:color w:val="222222"/>
          <w:sz w:val="24"/>
          <w:szCs w:val="24"/>
          <w:shd w:val="clear" w:color="auto" w:fill="FFFFFF"/>
        </w:rPr>
        <w:t>Štěpánek L, Horáková D, Nakládalová M, Cibičková Ľ, Karásek D, Zadražil J</w:t>
      </w:r>
      <w:r w:rsidR="00904695" w:rsidRPr="00C97500">
        <w:rPr>
          <w:rFonts w:ascii="Times New Roman" w:hAnsi="Times New Roman" w:cs="Times New Roman"/>
          <w:color w:val="222222"/>
          <w:sz w:val="24"/>
          <w:szCs w:val="24"/>
          <w:shd w:val="clear" w:color="auto" w:fill="FFFFFF"/>
        </w:rPr>
        <w:t>. Significance of prediabetes as a nosological entity. </w:t>
      </w:r>
      <w:r w:rsidRPr="00C97500">
        <w:rPr>
          <w:rFonts w:ascii="Times New Roman" w:hAnsi="Times New Roman" w:cs="Times New Roman"/>
          <w:iCs/>
          <w:color w:val="222222"/>
          <w:sz w:val="24"/>
          <w:szCs w:val="24"/>
          <w:shd w:val="clear" w:color="auto" w:fill="FFFFFF"/>
        </w:rPr>
        <w:t>Biomed Pap Med Fac Univ Palacky Olomouc Czech Repub 2018;162(4):249-57</w:t>
      </w:r>
      <w:r w:rsidR="00904695" w:rsidRPr="00C97500">
        <w:rPr>
          <w:rFonts w:ascii="Times New Roman" w:hAnsi="Times New Roman" w:cs="Times New Roman"/>
          <w:color w:val="222222"/>
          <w:sz w:val="24"/>
          <w:szCs w:val="24"/>
          <w:shd w:val="clear" w:color="auto" w:fill="FFFFFF"/>
        </w:rPr>
        <w:t>.</w:t>
      </w:r>
    </w:p>
    <w:p w:rsidR="00904695" w:rsidRPr="00C97500" w:rsidRDefault="00904695" w:rsidP="00C97500">
      <w:p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Štěpánek L, Horáková D, Petráková A, Kollárová H. Efektivit</w:t>
      </w:r>
      <w:r w:rsidR="00D65984">
        <w:rPr>
          <w:rFonts w:ascii="Times New Roman" w:hAnsi="Times New Roman" w:cs="Times New Roman"/>
          <w:sz w:val="24"/>
          <w:szCs w:val="24"/>
        </w:rPr>
        <w:t>a nepřímých metod detekce inzulí</w:t>
      </w:r>
      <w:r w:rsidRPr="00C97500">
        <w:rPr>
          <w:rFonts w:ascii="Times New Roman" w:hAnsi="Times New Roman" w:cs="Times New Roman"/>
          <w:sz w:val="24"/>
          <w:szCs w:val="24"/>
        </w:rPr>
        <w:t>nové rezistence v prevenci metabolického syndromu. Ekonomie v</w:t>
      </w:r>
      <w:r w:rsidR="00263A95">
        <w:rPr>
          <w:rFonts w:ascii="Times New Roman" w:hAnsi="Times New Roman" w:cs="Times New Roman"/>
          <w:sz w:val="24"/>
          <w:szCs w:val="24"/>
        </w:rPr>
        <w:t>e zdravotnictví 2018;4(4):12-</w:t>
      </w:r>
      <w:r w:rsidR="00111B7F" w:rsidRPr="00C97500">
        <w:rPr>
          <w:rFonts w:ascii="Times New Roman" w:hAnsi="Times New Roman" w:cs="Times New Roman"/>
          <w:sz w:val="24"/>
          <w:szCs w:val="24"/>
        </w:rPr>
        <w:t>6.</w:t>
      </w:r>
      <w:r w:rsidRPr="00C97500">
        <w:rPr>
          <w:rFonts w:ascii="Times New Roman" w:hAnsi="Times New Roman" w:cs="Times New Roman"/>
          <w:sz w:val="24"/>
          <w:szCs w:val="24"/>
        </w:rPr>
        <w:t xml:space="preserve"> ISSN 2464-6164.</w:t>
      </w:r>
    </w:p>
    <w:p w:rsidR="00904695" w:rsidRPr="00C97500" w:rsidRDefault="00111B7F" w:rsidP="00C97500">
      <w:pPr>
        <w:spacing w:line="360" w:lineRule="auto"/>
        <w:jc w:val="both"/>
        <w:rPr>
          <w:rFonts w:ascii="Times New Roman" w:hAnsi="Times New Roman" w:cs="Times New Roman"/>
          <w:color w:val="222222"/>
          <w:sz w:val="24"/>
          <w:szCs w:val="24"/>
          <w:shd w:val="clear" w:color="auto" w:fill="FFFFFF"/>
        </w:rPr>
      </w:pPr>
      <w:r w:rsidRPr="00C97500">
        <w:rPr>
          <w:rFonts w:ascii="Times New Roman" w:hAnsi="Times New Roman" w:cs="Times New Roman"/>
          <w:color w:val="222222"/>
          <w:sz w:val="24"/>
          <w:szCs w:val="24"/>
          <w:shd w:val="clear" w:color="auto" w:fill="FFFFFF"/>
        </w:rPr>
        <w:t>Štěpánek L, Horáková D, Štěpánek L, Cibičková Ľ, Karásek D, Vaverková H, Nakládalová M, Juríčková Ľ, Kollárová H</w:t>
      </w:r>
      <w:r w:rsidR="00904695" w:rsidRPr="00C97500">
        <w:rPr>
          <w:rFonts w:ascii="Times New Roman" w:hAnsi="Times New Roman" w:cs="Times New Roman"/>
          <w:color w:val="222222"/>
          <w:sz w:val="24"/>
          <w:szCs w:val="24"/>
          <w:shd w:val="clear" w:color="auto" w:fill="FFFFFF"/>
        </w:rPr>
        <w:t>. Associations between homeostasis model assessment (HOMA) and routinely examined parameters in individuals with metabolic syndrome. </w:t>
      </w:r>
      <w:r w:rsidRPr="00C97500">
        <w:rPr>
          <w:rFonts w:ascii="Times New Roman" w:hAnsi="Times New Roman" w:cs="Times New Roman"/>
          <w:iCs/>
          <w:color w:val="222222"/>
          <w:sz w:val="24"/>
          <w:szCs w:val="24"/>
          <w:shd w:val="clear" w:color="auto" w:fill="FFFFFF"/>
        </w:rPr>
        <w:t>Physiol Res 2019;68(6):921-30.</w:t>
      </w:r>
    </w:p>
    <w:p w:rsidR="00904695" w:rsidRPr="00C97500" w:rsidRDefault="00892B6B" w:rsidP="00C97500">
      <w:pPr>
        <w:spacing w:line="360" w:lineRule="auto"/>
        <w:jc w:val="both"/>
        <w:rPr>
          <w:rFonts w:ascii="Times New Roman" w:hAnsi="Times New Roman" w:cs="Times New Roman"/>
          <w:color w:val="222222"/>
          <w:sz w:val="24"/>
          <w:szCs w:val="24"/>
          <w:shd w:val="clear" w:color="auto" w:fill="FFFFFF"/>
        </w:rPr>
      </w:pPr>
      <w:r w:rsidRPr="00C97500">
        <w:rPr>
          <w:rFonts w:ascii="Times New Roman" w:hAnsi="Times New Roman" w:cs="Times New Roman"/>
          <w:color w:val="222222"/>
          <w:sz w:val="24"/>
          <w:szCs w:val="24"/>
          <w:shd w:val="clear" w:color="auto" w:fill="FFFFFF"/>
        </w:rPr>
        <w:lastRenderedPageBreak/>
        <w:t>Štěpánek L, Horáková D, Cibičková Ľ, Vaverková H, Karásek D, Nakládalová M, Zapletalová J. Can visceral a</w:t>
      </w:r>
      <w:r w:rsidR="00904695" w:rsidRPr="00C97500">
        <w:rPr>
          <w:rFonts w:ascii="Times New Roman" w:hAnsi="Times New Roman" w:cs="Times New Roman"/>
          <w:color w:val="222222"/>
          <w:sz w:val="24"/>
          <w:szCs w:val="24"/>
          <w:shd w:val="clear" w:color="auto" w:fill="FFFFFF"/>
        </w:rPr>
        <w:t xml:space="preserve">diposity </w:t>
      </w:r>
      <w:r w:rsidRPr="00C97500">
        <w:rPr>
          <w:rFonts w:ascii="Times New Roman" w:hAnsi="Times New Roman" w:cs="Times New Roman"/>
          <w:color w:val="222222"/>
          <w:sz w:val="24"/>
          <w:szCs w:val="24"/>
          <w:shd w:val="clear" w:color="auto" w:fill="FFFFFF"/>
        </w:rPr>
        <w:t>i</w:t>
      </w:r>
      <w:r w:rsidR="00904695" w:rsidRPr="00C97500">
        <w:rPr>
          <w:rFonts w:ascii="Times New Roman" w:hAnsi="Times New Roman" w:cs="Times New Roman"/>
          <w:color w:val="222222"/>
          <w:sz w:val="24"/>
          <w:szCs w:val="24"/>
          <w:shd w:val="clear" w:color="auto" w:fill="FFFFFF"/>
        </w:rPr>
        <w:t xml:space="preserve">ndex </w:t>
      </w:r>
      <w:r w:rsidRPr="00C97500">
        <w:rPr>
          <w:rFonts w:ascii="Times New Roman" w:hAnsi="Times New Roman" w:cs="Times New Roman"/>
          <w:color w:val="222222"/>
          <w:sz w:val="24"/>
          <w:szCs w:val="24"/>
          <w:shd w:val="clear" w:color="auto" w:fill="FFFFFF"/>
        </w:rPr>
        <w:t>s</w:t>
      </w:r>
      <w:r w:rsidR="00904695" w:rsidRPr="00C97500">
        <w:rPr>
          <w:rFonts w:ascii="Times New Roman" w:hAnsi="Times New Roman" w:cs="Times New Roman"/>
          <w:color w:val="222222"/>
          <w:sz w:val="24"/>
          <w:szCs w:val="24"/>
          <w:shd w:val="clear" w:color="auto" w:fill="FFFFFF"/>
        </w:rPr>
        <w:t xml:space="preserve">erve as a </w:t>
      </w:r>
      <w:r w:rsidRPr="00C97500">
        <w:rPr>
          <w:rFonts w:ascii="Times New Roman" w:hAnsi="Times New Roman" w:cs="Times New Roman"/>
          <w:color w:val="222222"/>
          <w:sz w:val="24"/>
          <w:szCs w:val="24"/>
          <w:shd w:val="clear" w:color="auto" w:fill="FFFFFF"/>
        </w:rPr>
        <w:t>s</w:t>
      </w:r>
      <w:r w:rsidR="00904695" w:rsidRPr="00C97500">
        <w:rPr>
          <w:rFonts w:ascii="Times New Roman" w:hAnsi="Times New Roman" w:cs="Times New Roman"/>
          <w:color w:val="222222"/>
          <w:sz w:val="24"/>
          <w:szCs w:val="24"/>
          <w:shd w:val="clear" w:color="auto" w:fill="FFFFFF"/>
        </w:rPr>
        <w:t xml:space="preserve">imple </w:t>
      </w:r>
      <w:r w:rsidRPr="00C97500">
        <w:rPr>
          <w:rFonts w:ascii="Times New Roman" w:hAnsi="Times New Roman" w:cs="Times New Roman"/>
          <w:color w:val="222222"/>
          <w:sz w:val="24"/>
          <w:szCs w:val="24"/>
          <w:shd w:val="clear" w:color="auto" w:fill="FFFFFF"/>
        </w:rPr>
        <w:t>tool for identifying individuals with insulin resistance in daily c</w:t>
      </w:r>
      <w:r w:rsidR="00904695" w:rsidRPr="00C97500">
        <w:rPr>
          <w:rFonts w:ascii="Times New Roman" w:hAnsi="Times New Roman" w:cs="Times New Roman"/>
          <w:color w:val="222222"/>
          <w:sz w:val="24"/>
          <w:szCs w:val="24"/>
          <w:shd w:val="clear" w:color="auto" w:fill="FFFFFF"/>
        </w:rPr>
        <w:t>l</w:t>
      </w:r>
      <w:r w:rsidRPr="00C97500">
        <w:rPr>
          <w:rFonts w:ascii="Times New Roman" w:hAnsi="Times New Roman" w:cs="Times New Roman"/>
          <w:color w:val="222222"/>
          <w:sz w:val="24"/>
          <w:szCs w:val="24"/>
          <w:shd w:val="clear" w:color="auto" w:fill="FFFFFF"/>
        </w:rPr>
        <w:t>inical p</w:t>
      </w:r>
      <w:r w:rsidR="00904695" w:rsidRPr="00C97500">
        <w:rPr>
          <w:rFonts w:ascii="Times New Roman" w:hAnsi="Times New Roman" w:cs="Times New Roman"/>
          <w:color w:val="222222"/>
          <w:sz w:val="24"/>
          <w:szCs w:val="24"/>
          <w:shd w:val="clear" w:color="auto" w:fill="FFFFFF"/>
        </w:rPr>
        <w:t>ractice? </w:t>
      </w:r>
      <w:r w:rsidRPr="00C97500">
        <w:rPr>
          <w:rFonts w:ascii="Times New Roman" w:hAnsi="Times New Roman" w:cs="Times New Roman"/>
          <w:iCs/>
          <w:color w:val="222222"/>
          <w:sz w:val="24"/>
          <w:szCs w:val="24"/>
          <w:shd w:val="clear" w:color="auto" w:fill="FFFFFF"/>
        </w:rPr>
        <w:t>Medicina (Kaunas) 2019;55(9):E545.</w:t>
      </w:r>
    </w:p>
    <w:p w:rsidR="00586CB1" w:rsidRPr="00C97500" w:rsidRDefault="00586CB1" w:rsidP="00C97500">
      <w:pPr>
        <w:pStyle w:val="Nadpis2"/>
      </w:pPr>
      <w:bookmarkStart w:id="146" w:name="_Toc33869562"/>
      <w:r w:rsidRPr="00C97500">
        <w:t>Abstrakt ve sborníku</w:t>
      </w:r>
      <w:bookmarkEnd w:id="146"/>
    </w:p>
    <w:p w:rsidR="00D5537F" w:rsidRPr="00C97500" w:rsidRDefault="00D5537F" w:rsidP="00C97500">
      <w:pPr>
        <w:spacing w:line="360" w:lineRule="auto"/>
        <w:jc w:val="both"/>
        <w:rPr>
          <w:rFonts w:ascii="Times New Roman" w:hAnsi="Times New Roman" w:cs="Times New Roman"/>
          <w:sz w:val="24"/>
          <w:szCs w:val="24"/>
        </w:rPr>
      </w:pPr>
      <w:r w:rsidRPr="00C97500">
        <w:rPr>
          <w:rFonts w:ascii="Times New Roman" w:hAnsi="Times New Roman" w:cs="Times New Roman"/>
          <w:sz w:val="24"/>
          <w:szCs w:val="24"/>
        </w:rPr>
        <w:t>Štěpánek</w:t>
      </w:r>
      <w:r w:rsidR="00892B6B" w:rsidRPr="00C97500">
        <w:rPr>
          <w:rFonts w:ascii="Times New Roman" w:hAnsi="Times New Roman" w:cs="Times New Roman"/>
          <w:sz w:val="24"/>
          <w:szCs w:val="24"/>
        </w:rPr>
        <w:t xml:space="preserve"> L</w:t>
      </w:r>
      <w:r w:rsidRPr="00C97500">
        <w:rPr>
          <w:rFonts w:ascii="Times New Roman" w:hAnsi="Times New Roman" w:cs="Times New Roman"/>
          <w:sz w:val="24"/>
          <w:szCs w:val="24"/>
        </w:rPr>
        <w:t>, Horáková</w:t>
      </w:r>
      <w:r w:rsidR="00892B6B" w:rsidRPr="00C97500">
        <w:rPr>
          <w:rFonts w:ascii="Times New Roman" w:hAnsi="Times New Roman" w:cs="Times New Roman"/>
          <w:sz w:val="24"/>
          <w:szCs w:val="24"/>
        </w:rPr>
        <w:t xml:space="preserve"> D</w:t>
      </w:r>
      <w:r w:rsidRPr="00C97500">
        <w:rPr>
          <w:rFonts w:ascii="Times New Roman" w:hAnsi="Times New Roman" w:cs="Times New Roman"/>
          <w:sz w:val="24"/>
          <w:szCs w:val="24"/>
        </w:rPr>
        <w:t xml:space="preserve">, Kollárová </w:t>
      </w:r>
      <w:r w:rsidR="00892B6B" w:rsidRPr="00C97500">
        <w:rPr>
          <w:rFonts w:ascii="Times New Roman" w:hAnsi="Times New Roman" w:cs="Times New Roman"/>
          <w:sz w:val="24"/>
          <w:szCs w:val="24"/>
        </w:rPr>
        <w:t>H.</w:t>
      </w:r>
      <w:r w:rsidRPr="00C97500">
        <w:rPr>
          <w:rFonts w:ascii="Times New Roman" w:hAnsi="Times New Roman" w:cs="Times New Roman"/>
          <w:sz w:val="24"/>
          <w:szCs w:val="24"/>
        </w:rPr>
        <w:t xml:space="preserve"> Visceral adipo</w:t>
      </w:r>
      <w:r w:rsidR="00263A95">
        <w:rPr>
          <w:rFonts w:ascii="Times New Roman" w:hAnsi="Times New Roman" w:cs="Times New Roman"/>
          <w:sz w:val="24"/>
          <w:szCs w:val="24"/>
        </w:rPr>
        <w:t>sity index a jeho vztah k inzulí</w:t>
      </w:r>
      <w:r w:rsidRPr="00C97500">
        <w:rPr>
          <w:rFonts w:ascii="Times New Roman" w:hAnsi="Times New Roman" w:cs="Times New Roman"/>
          <w:sz w:val="24"/>
          <w:szCs w:val="24"/>
        </w:rPr>
        <w:t>nové rezistenci – pilotní studie</w:t>
      </w:r>
      <w:r w:rsidR="00892B6B" w:rsidRPr="00C97500">
        <w:rPr>
          <w:rFonts w:ascii="Times New Roman" w:hAnsi="Times New Roman" w:cs="Times New Roman"/>
          <w:sz w:val="24"/>
          <w:szCs w:val="24"/>
        </w:rPr>
        <w:t>.</w:t>
      </w:r>
      <w:r w:rsidR="00C97500" w:rsidRPr="00C97500">
        <w:rPr>
          <w:rFonts w:ascii="Times New Roman" w:hAnsi="Times New Roman" w:cs="Times New Roman"/>
          <w:sz w:val="24"/>
          <w:szCs w:val="24"/>
        </w:rPr>
        <w:t xml:space="preserve"> Celostátní konference obe</w:t>
      </w:r>
      <w:r w:rsidR="00263A95">
        <w:rPr>
          <w:rFonts w:ascii="Times New Roman" w:hAnsi="Times New Roman" w:cs="Times New Roman"/>
          <w:sz w:val="24"/>
          <w:szCs w:val="24"/>
        </w:rPr>
        <w:t>zitologie a bariatrie 2017. 9.-11.</w:t>
      </w:r>
      <w:r w:rsidR="00C97500" w:rsidRPr="00C97500">
        <w:rPr>
          <w:rFonts w:ascii="Times New Roman" w:hAnsi="Times New Roman" w:cs="Times New Roman"/>
          <w:sz w:val="24"/>
          <w:szCs w:val="24"/>
        </w:rPr>
        <w:t xml:space="preserve"> 11. 2017, Mikulov. Sborník abstraktů dostupný z: https://www.gsymposion.cz/detail-akce/646/obezitologie-a-bariatrie-2017.</w:t>
      </w:r>
    </w:p>
    <w:sectPr w:rsidR="00D5537F" w:rsidRPr="00C97500" w:rsidSect="002932F4">
      <w:footerReference w:type="default" r:id="rId18"/>
      <w:pgSz w:w="11906" w:h="16838"/>
      <w:pgMar w:top="1418" w:right="1418"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852" w:rsidRDefault="007D6852" w:rsidP="00D91912">
      <w:pPr>
        <w:spacing w:after="0" w:line="240" w:lineRule="auto"/>
      </w:pPr>
      <w:r>
        <w:separator/>
      </w:r>
    </w:p>
  </w:endnote>
  <w:endnote w:type="continuationSeparator" w:id="0">
    <w:p w:rsidR="007D6852" w:rsidRDefault="007D6852" w:rsidP="00D91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259865"/>
      <w:docPartObj>
        <w:docPartGallery w:val="Page Numbers (Bottom of Page)"/>
        <w:docPartUnique/>
      </w:docPartObj>
    </w:sdtPr>
    <w:sdtEndPr/>
    <w:sdtContent>
      <w:p w:rsidR="00DD4C7C" w:rsidRDefault="00DD4C7C">
        <w:pPr>
          <w:pStyle w:val="Zpat"/>
          <w:jc w:val="center"/>
        </w:pPr>
        <w:r>
          <w:fldChar w:fldCharType="begin"/>
        </w:r>
        <w:r>
          <w:instrText>PAGE   \* MERGEFORMAT</w:instrText>
        </w:r>
        <w:r>
          <w:fldChar w:fldCharType="separate"/>
        </w:r>
        <w:r w:rsidR="00C4374C">
          <w:rPr>
            <w:noProof/>
          </w:rPr>
          <w:t>30</w:t>
        </w:r>
        <w:r>
          <w:rPr>
            <w:noProof/>
          </w:rPr>
          <w:fldChar w:fldCharType="end"/>
        </w:r>
      </w:p>
    </w:sdtContent>
  </w:sdt>
  <w:p w:rsidR="00DD4C7C" w:rsidRDefault="00DD4C7C">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852" w:rsidRDefault="007D6852" w:rsidP="00D91912">
      <w:pPr>
        <w:spacing w:after="0" w:line="240" w:lineRule="auto"/>
      </w:pPr>
      <w:r>
        <w:separator/>
      </w:r>
    </w:p>
  </w:footnote>
  <w:footnote w:type="continuationSeparator" w:id="0">
    <w:p w:rsidR="007D6852" w:rsidRDefault="007D6852" w:rsidP="00D91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065E"/>
    <w:multiLevelType w:val="hybridMultilevel"/>
    <w:tmpl w:val="D49608C6"/>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1" w15:restartNumberingAfterBreak="0">
    <w:nsid w:val="0EBF5F0F"/>
    <w:multiLevelType w:val="multilevel"/>
    <w:tmpl w:val="0B1EF9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6171B2D"/>
    <w:multiLevelType w:val="multilevel"/>
    <w:tmpl w:val="D6B2F5C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19F633E2"/>
    <w:multiLevelType w:val="hybridMultilevel"/>
    <w:tmpl w:val="59D6E40E"/>
    <w:lvl w:ilvl="0" w:tplc="51C0915E">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C547424"/>
    <w:multiLevelType w:val="hybridMultilevel"/>
    <w:tmpl w:val="56BCE2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787169D"/>
    <w:multiLevelType w:val="hybridMultilevel"/>
    <w:tmpl w:val="558E84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F9D5C8F"/>
    <w:multiLevelType w:val="hybridMultilevel"/>
    <w:tmpl w:val="5F7ED7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4EA438A"/>
    <w:multiLevelType w:val="multilevel"/>
    <w:tmpl w:val="0B1EF9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37660727"/>
    <w:multiLevelType w:val="hybridMultilevel"/>
    <w:tmpl w:val="039847F0"/>
    <w:lvl w:ilvl="0" w:tplc="51C0915E">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428" w:hanging="360"/>
      </w:pPr>
      <w:rPr>
        <w:rFonts w:ascii="Courier New" w:hAnsi="Courier New" w:cs="Courier New" w:hint="default"/>
      </w:rPr>
    </w:lvl>
    <w:lvl w:ilvl="2" w:tplc="04050005" w:tentative="1">
      <w:start w:val="1"/>
      <w:numFmt w:val="bullet"/>
      <w:lvlText w:val=""/>
      <w:lvlJc w:val="left"/>
      <w:pPr>
        <w:ind w:left="2148" w:hanging="360"/>
      </w:pPr>
      <w:rPr>
        <w:rFonts w:ascii="Wingdings" w:hAnsi="Wingdings" w:hint="default"/>
      </w:rPr>
    </w:lvl>
    <w:lvl w:ilvl="3" w:tplc="04050001" w:tentative="1">
      <w:start w:val="1"/>
      <w:numFmt w:val="bullet"/>
      <w:lvlText w:val=""/>
      <w:lvlJc w:val="left"/>
      <w:pPr>
        <w:ind w:left="2868" w:hanging="360"/>
      </w:pPr>
      <w:rPr>
        <w:rFonts w:ascii="Symbol" w:hAnsi="Symbol" w:hint="default"/>
      </w:rPr>
    </w:lvl>
    <w:lvl w:ilvl="4" w:tplc="04050003" w:tentative="1">
      <w:start w:val="1"/>
      <w:numFmt w:val="bullet"/>
      <w:lvlText w:val="o"/>
      <w:lvlJc w:val="left"/>
      <w:pPr>
        <w:ind w:left="3588" w:hanging="360"/>
      </w:pPr>
      <w:rPr>
        <w:rFonts w:ascii="Courier New" w:hAnsi="Courier New" w:cs="Courier New" w:hint="default"/>
      </w:rPr>
    </w:lvl>
    <w:lvl w:ilvl="5" w:tplc="04050005" w:tentative="1">
      <w:start w:val="1"/>
      <w:numFmt w:val="bullet"/>
      <w:lvlText w:val=""/>
      <w:lvlJc w:val="left"/>
      <w:pPr>
        <w:ind w:left="4308" w:hanging="360"/>
      </w:pPr>
      <w:rPr>
        <w:rFonts w:ascii="Wingdings" w:hAnsi="Wingdings" w:hint="default"/>
      </w:rPr>
    </w:lvl>
    <w:lvl w:ilvl="6" w:tplc="04050001" w:tentative="1">
      <w:start w:val="1"/>
      <w:numFmt w:val="bullet"/>
      <w:lvlText w:val=""/>
      <w:lvlJc w:val="left"/>
      <w:pPr>
        <w:ind w:left="5028" w:hanging="360"/>
      </w:pPr>
      <w:rPr>
        <w:rFonts w:ascii="Symbol" w:hAnsi="Symbol" w:hint="default"/>
      </w:rPr>
    </w:lvl>
    <w:lvl w:ilvl="7" w:tplc="04050003" w:tentative="1">
      <w:start w:val="1"/>
      <w:numFmt w:val="bullet"/>
      <w:lvlText w:val="o"/>
      <w:lvlJc w:val="left"/>
      <w:pPr>
        <w:ind w:left="5748" w:hanging="360"/>
      </w:pPr>
      <w:rPr>
        <w:rFonts w:ascii="Courier New" w:hAnsi="Courier New" w:cs="Courier New" w:hint="default"/>
      </w:rPr>
    </w:lvl>
    <w:lvl w:ilvl="8" w:tplc="04050005" w:tentative="1">
      <w:start w:val="1"/>
      <w:numFmt w:val="bullet"/>
      <w:lvlText w:val=""/>
      <w:lvlJc w:val="left"/>
      <w:pPr>
        <w:ind w:left="6468" w:hanging="360"/>
      </w:pPr>
      <w:rPr>
        <w:rFonts w:ascii="Wingdings" w:hAnsi="Wingdings" w:hint="default"/>
      </w:rPr>
    </w:lvl>
  </w:abstractNum>
  <w:abstractNum w:abstractNumId="9" w15:restartNumberingAfterBreak="0">
    <w:nsid w:val="3B932B0D"/>
    <w:multiLevelType w:val="multilevel"/>
    <w:tmpl w:val="0B1EF9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3BCC4251"/>
    <w:multiLevelType w:val="hybridMultilevel"/>
    <w:tmpl w:val="BA5276C8"/>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1" w15:restartNumberingAfterBreak="0">
    <w:nsid w:val="3C89274D"/>
    <w:multiLevelType w:val="multilevel"/>
    <w:tmpl w:val="7C4017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3F487CDD"/>
    <w:multiLevelType w:val="hybridMultilevel"/>
    <w:tmpl w:val="0F408E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16A1D26"/>
    <w:multiLevelType w:val="multilevel"/>
    <w:tmpl w:val="0B1EF9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51BA1B15"/>
    <w:multiLevelType w:val="hybridMultilevel"/>
    <w:tmpl w:val="5EFE8C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88B1E46"/>
    <w:multiLevelType w:val="multilevel"/>
    <w:tmpl w:val="0B1EF9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5EE77D28"/>
    <w:multiLevelType w:val="multilevel"/>
    <w:tmpl w:val="0B1EF9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60987CB9"/>
    <w:multiLevelType w:val="multilevel"/>
    <w:tmpl w:val="0B1EF9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61EE2259"/>
    <w:multiLevelType w:val="hybridMultilevel"/>
    <w:tmpl w:val="534E6860"/>
    <w:lvl w:ilvl="0" w:tplc="F48C3944">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35A47A0"/>
    <w:multiLevelType w:val="hybridMultilevel"/>
    <w:tmpl w:val="999C96E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428" w:hanging="360"/>
      </w:pPr>
      <w:rPr>
        <w:rFonts w:ascii="Courier New" w:hAnsi="Courier New" w:cs="Courier New" w:hint="default"/>
      </w:rPr>
    </w:lvl>
    <w:lvl w:ilvl="2" w:tplc="04050005" w:tentative="1">
      <w:start w:val="1"/>
      <w:numFmt w:val="bullet"/>
      <w:lvlText w:val=""/>
      <w:lvlJc w:val="left"/>
      <w:pPr>
        <w:ind w:left="2148" w:hanging="360"/>
      </w:pPr>
      <w:rPr>
        <w:rFonts w:ascii="Wingdings" w:hAnsi="Wingdings" w:hint="default"/>
      </w:rPr>
    </w:lvl>
    <w:lvl w:ilvl="3" w:tplc="04050001" w:tentative="1">
      <w:start w:val="1"/>
      <w:numFmt w:val="bullet"/>
      <w:lvlText w:val=""/>
      <w:lvlJc w:val="left"/>
      <w:pPr>
        <w:ind w:left="2868" w:hanging="360"/>
      </w:pPr>
      <w:rPr>
        <w:rFonts w:ascii="Symbol" w:hAnsi="Symbol" w:hint="default"/>
      </w:rPr>
    </w:lvl>
    <w:lvl w:ilvl="4" w:tplc="04050003" w:tentative="1">
      <w:start w:val="1"/>
      <w:numFmt w:val="bullet"/>
      <w:lvlText w:val="o"/>
      <w:lvlJc w:val="left"/>
      <w:pPr>
        <w:ind w:left="3588" w:hanging="360"/>
      </w:pPr>
      <w:rPr>
        <w:rFonts w:ascii="Courier New" w:hAnsi="Courier New" w:cs="Courier New" w:hint="default"/>
      </w:rPr>
    </w:lvl>
    <w:lvl w:ilvl="5" w:tplc="04050005" w:tentative="1">
      <w:start w:val="1"/>
      <w:numFmt w:val="bullet"/>
      <w:lvlText w:val=""/>
      <w:lvlJc w:val="left"/>
      <w:pPr>
        <w:ind w:left="4308" w:hanging="360"/>
      </w:pPr>
      <w:rPr>
        <w:rFonts w:ascii="Wingdings" w:hAnsi="Wingdings" w:hint="default"/>
      </w:rPr>
    </w:lvl>
    <w:lvl w:ilvl="6" w:tplc="04050001" w:tentative="1">
      <w:start w:val="1"/>
      <w:numFmt w:val="bullet"/>
      <w:lvlText w:val=""/>
      <w:lvlJc w:val="left"/>
      <w:pPr>
        <w:ind w:left="5028" w:hanging="360"/>
      </w:pPr>
      <w:rPr>
        <w:rFonts w:ascii="Symbol" w:hAnsi="Symbol" w:hint="default"/>
      </w:rPr>
    </w:lvl>
    <w:lvl w:ilvl="7" w:tplc="04050003" w:tentative="1">
      <w:start w:val="1"/>
      <w:numFmt w:val="bullet"/>
      <w:lvlText w:val="o"/>
      <w:lvlJc w:val="left"/>
      <w:pPr>
        <w:ind w:left="5748" w:hanging="360"/>
      </w:pPr>
      <w:rPr>
        <w:rFonts w:ascii="Courier New" w:hAnsi="Courier New" w:cs="Courier New" w:hint="default"/>
      </w:rPr>
    </w:lvl>
    <w:lvl w:ilvl="8" w:tplc="04050005" w:tentative="1">
      <w:start w:val="1"/>
      <w:numFmt w:val="bullet"/>
      <w:lvlText w:val=""/>
      <w:lvlJc w:val="left"/>
      <w:pPr>
        <w:ind w:left="6468" w:hanging="360"/>
      </w:pPr>
      <w:rPr>
        <w:rFonts w:ascii="Wingdings" w:hAnsi="Wingdings" w:hint="default"/>
      </w:rPr>
    </w:lvl>
  </w:abstractNum>
  <w:abstractNum w:abstractNumId="20" w15:restartNumberingAfterBreak="0">
    <w:nsid w:val="672F40F7"/>
    <w:multiLevelType w:val="multilevel"/>
    <w:tmpl w:val="0B1EF9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717B4996"/>
    <w:multiLevelType w:val="hybridMultilevel"/>
    <w:tmpl w:val="102018C2"/>
    <w:lvl w:ilvl="0" w:tplc="D8EC925A">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21"/>
  </w:num>
  <w:num w:numId="2">
    <w:abstractNumId w:val="0"/>
  </w:num>
  <w:num w:numId="3">
    <w:abstractNumId w:val="4"/>
  </w:num>
  <w:num w:numId="4">
    <w:abstractNumId w:val="10"/>
  </w:num>
  <w:num w:numId="5">
    <w:abstractNumId w:val="6"/>
  </w:num>
  <w:num w:numId="6">
    <w:abstractNumId w:val="12"/>
  </w:num>
  <w:num w:numId="7">
    <w:abstractNumId w:val="3"/>
  </w:num>
  <w:num w:numId="8">
    <w:abstractNumId w:val="8"/>
  </w:num>
  <w:num w:numId="9">
    <w:abstractNumId w:val="19"/>
  </w:num>
  <w:num w:numId="10">
    <w:abstractNumId w:val="11"/>
  </w:num>
  <w:num w:numId="11">
    <w:abstractNumId w:val="13"/>
  </w:num>
  <w:num w:numId="12">
    <w:abstractNumId w:val="14"/>
  </w:num>
  <w:num w:numId="13">
    <w:abstractNumId w:val="15"/>
  </w:num>
  <w:num w:numId="14">
    <w:abstractNumId w:val="20"/>
  </w:num>
  <w:num w:numId="15">
    <w:abstractNumId w:val="7"/>
  </w:num>
  <w:num w:numId="16">
    <w:abstractNumId w:val="1"/>
  </w:num>
  <w:num w:numId="17">
    <w:abstractNumId w:val="9"/>
  </w:num>
  <w:num w:numId="18">
    <w:abstractNumId w:val="5"/>
  </w:num>
  <w:num w:numId="19">
    <w:abstractNumId w:val="17"/>
  </w:num>
  <w:num w:numId="20">
    <w:abstractNumId w:val="16"/>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5351D"/>
    <w:rsid w:val="00000599"/>
    <w:rsid w:val="00015B8C"/>
    <w:rsid w:val="00017A9D"/>
    <w:rsid w:val="000213BD"/>
    <w:rsid w:val="00021CF0"/>
    <w:rsid w:val="00022457"/>
    <w:rsid w:val="00022B0F"/>
    <w:rsid w:val="00022E19"/>
    <w:rsid w:val="0002572D"/>
    <w:rsid w:val="00032CDD"/>
    <w:rsid w:val="00040C96"/>
    <w:rsid w:val="000475DB"/>
    <w:rsid w:val="000512BA"/>
    <w:rsid w:val="000615A4"/>
    <w:rsid w:val="00063E80"/>
    <w:rsid w:val="00064465"/>
    <w:rsid w:val="00066B6F"/>
    <w:rsid w:val="000713A5"/>
    <w:rsid w:val="00072018"/>
    <w:rsid w:val="00076D52"/>
    <w:rsid w:val="00077447"/>
    <w:rsid w:val="00077708"/>
    <w:rsid w:val="000822CE"/>
    <w:rsid w:val="00084680"/>
    <w:rsid w:val="00084F6F"/>
    <w:rsid w:val="00090909"/>
    <w:rsid w:val="00092F51"/>
    <w:rsid w:val="000A16C6"/>
    <w:rsid w:val="000A5C52"/>
    <w:rsid w:val="000A7B0E"/>
    <w:rsid w:val="000B4333"/>
    <w:rsid w:val="000B5103"/>
    <w:rsid w:val="000B6C82"/>
    <w:rsid w:val="000B7F8E"/>
    <w:rsid w:val="000C1F59"/>
    <w:rsid w:val="000C61E8"/>
    <w:rsid w:val="000C67BC"/>
    <w:rsid w:val="000D01A2"/>
    <w:rsid w:val="000D096C"/>
    <w:rsid w:val="000D19A4"/>
    <w:rsid w:val="000D4351"/>
    <w:rsid w:val="000D48C6"/>
    <w:rsid w:val="000D631C"/>
    <w:rsid w:val="000E229D"/>
    <w:rsid w:val="000E2559"/>
    <w:rsid w:val="000E2CF0"/>
    <w:rsid w:val="000E2FA3"/>
    <w:rsid w:val="000E3360"/>
    <w:rsid w:val="000E351E"/>
    <w:rsid w:val="000F0524"/>
    <w:rsid w:val="000F30C9"/>
    <w:rsid w:val="000F324A"/>
    <w:rsid w:val="000F4F03"/>
    <w:rsid w:val="000F7BB1"/>
    <w:rsid w:val="00100AA2"/>
    <w:rsid w:val="00100BCE"/>
    <w:rsid w:val="001015FB"/>
    <w:rsid w:val="00101646"/>
    <w:rsid w:val="00102A44"/>
    <w:rsid w:val="0010322B"/>
    <w:rsid w:val="00103263"/>
    <w:rsid w:val="00106134"/>
    <w:rsid w:val="00107783"/>
    <w:rsid w:val="00107EB3"/>
    <w:rsid w:val="0011005D"/>
    <w:rsid w:val="0011079C"/>
    <w:rsid w:val="00111B7F"/>
    <w:rsid w:val="00115AB5"/>
    <w:rsid w:val="00121A9E"/>
    <w:rsid w:val="00124543"/>
    <w:rsid w:val="00131189"/>
    <w:rsid w:val="001314A7"/>
    <w:rsid w:val="00131856"/>
    <w:rsid w:val="001340EB"/>
    <w:rsid w:val="00141FD1"/>
    <w:rsid w:val="001434A3"/>
    <w:rsid w:val="00152E02"/>
    <w:rsid w:val="00153719"/>
    <w:rsid w:val="00153EED"/>
    <w:rsid w:val="0015663E"/>
    <w:rsid w:val="001601A3"/>
    <w:rsid w:val="00163BE9"/>
    <w:rsid w:val="0016472F"/>
    <w:rsid w:val="00165B7F"/>
    <w:rsid w:val="00165E04"/>
    <w:rsid w:val="00172DAD"/>
    <w:rsid w:val="00173150"/>
    <w:rsid w:val="00173D39"/>
    <w:rsid w:val="0018267A"/>
    <w:rsid w:val="00182BDB"/>
    <w:rsid w:val="00183C27"/>
    <w:rsid w:val="00193037"/>
    <w:rsid w:val="00193516"/>
    <w:rsid w:val="00193F5D"/>
    <w:rsid w:val="00194019"/>
    <w:rsid w:val="00197543"/>
    <w:rsid w:val="001A01B9"/>
    <w:rsid w:val="001A63D1"/>
    <w:rsid w:val="001B10FE"/>
    <w:rsid w:val="001B3DEE"/>
    <w:rsid w:val="001B4449"/>
    <w:rsid w:val="001C4F20"/>
    <w:rsid w:val="001C4F81"/>
    <w:rsid w:val="001D1AF2"/>
    <w:rsid w:val="001D49BF"/>
    <w:rsid w:val="001D4E0B"/>
    <w:rsid w:val="001D6F46"/>
    <w:rsid w:val="001E636B"/>
    <w:rsid w:val="001F6DB7"/>
    <w:rsid w:val="002003D8"/>
    <w:rsid w:val="002011A2"/>
    <w:rsid w:val="00201B6A"/>
    <w:rsid w:val="00207975"/>
    <w:rsid w:val="002107FB"/>
    <w:rsid w:val="0021164F"/>
    <w:rsid w:val="0021641A"/>
    <w:rsid w:val="00217C33"/>
    <w:rsid w:val="00222A28"/>
    <w:rsid w:val="002249EB"/>
    <w:rsid w:val="0024025E"/>
    <w:rsid w:val="00246E36"/>
    <w:rsid w:val="00247FE3"/>
    <w:rsid w:val="002505A0"/>
    <w:rsid w:val="002559DB"/>
    <w:rsid w:val="00255E1C"/>
    <w:rsid w:val="002607F4"/>
    <w:rsid w:val="00260EC7"/>
    <w:rsid w:val="00263A95"/>
    <w:rsid w:val="00264C71"/>
    <w:rsid w:val="00267EF1"/>
    <w:rsid w:val="00271ABC"/>
    <w:rsid w:val="0027702E"/>
    <w:rsid w:val="00277845"/>
    <w:rsid w:val="002801C2"/>
    <w:rsid w:val="002806B1"/>
    <w:rsid w:val="0028218E"/>
    <w:rsid w:val="00283503"/>
    <w:rsid w:val="00290C4F"/>
    <w:rsid w:val="002932F4"/>
    <w:rsid w:val="00297F3E"/>
    <w:rsid w:val="002A14A5"/>
    <w:rsid w:val="002A2AFE"/>
    <w:rsid w:val="002A54F9"/>
    <w:rsid w:val="002A5AB5"/>
    <w:rsid w:val="002A5F4B"/>
    <w:rsid w:val="002A7DC2"/>
    <w:rsid w:val="002B2318"/>
    <w:rsid w:val="002B233D"/>
    <w:rsid w:val="002B49B9"/>
    <w:rsid w:val="002C1887"/>
    <w:rsid w:val="002C2EC2"/>
    <w:rsid w:val="002D14A6"/>
    <w:rsid w:val="002D341A"/>
    <w:rsid w:val="002F1555"/>
    <w:rsid w:val="002F17EA"/>
    <w:rsid w:val="002F2BB6"/>
    <w:rsid w:val="002F663B"/>
    <w:rsid w:val="002F7AEA"/>
    <w:rsid w:val="00302484"/>
    <w:rsid w:val="0030256B"/>
    <w:rsid w:val="00304240"/>
    <w:rsid w:val="003044A8"/>
    <w:rsid w:val="00305038"/>
    <w:rsid w:val="0030721E"/>
    <w:rsid w:val="00312932"/>
    <w:rsid w:val="00313650"/>
    <w:rsid w:val="00313795"/>
    <w:rsid w:val="00315262"/>
    <w:rsid w:val="00315732"/>
    <w:rsid w:val="00321504"/>
    <w:rsid w:val="00323D74"/>
    <w:rsid w:val="003317F3"/>
    <w:rsid w:val="0033529C"/>
    <w:rsid w:val="00340353"/>
    <w:rsid w:val="00341F1D"/>
    <w:rsid w:val="00347373"/>
    <w:rsid w:val="00362617"/>
    <w:rsid w:val="003659F0"/>
    <w:rsid w:val="003667E0"/>
    <w:rsid w:val="00373EBB"/>
    <w:rsid w:val="00374EF3"/>
    <w:rsid w:val="00377535"/>
    <w:rsid w:val="003825DC"/>
    <w:rsid w:val="00383E42"/>
    <w:rsid w:val="00385D46"/>
    <w:rsid w:val="003868AD"/>
    <w:rsid w:val="003900A9"/>
    <w:rsid w:val="003903D4"/>
    <w:rsid w:val="003913D5"/>
    <w:rsid w:val="00393E61"/>
    <w:rsid w:val="003974BD"/>
    <w:rsid w:val="003A4DBF"/>
    <w:rsid w:val="003B6D39"/>
    <w:rsid w:val="003B7832"/>
    <w:rsid w:val="003B7F99"/>
    <w:rsid w:val="003C0165"/>
    <w:rsid w:val="003C16DB"/>
    <w:rsid w:val="003C31E5"/>
    <w:rsid w:val="003C4041"/>
    <w:rsid w:val="003D0A2B"/>
    <w:rsid w:val="003D0A50"/>
    <w:rsid w:val="003D161E"/>
    <w:rsid w:val="003E4607"/>
    <w:rsid w:val="003E5BFB"/>
    <w:rsid w:val="003F1E62"/>
    <w:rsid w:val="003F3236"/>
    <w:rsid w:val="003F3ABF"/>
    <w:rsid w:val="003F77A7"/>
    <w:rsid w:val="003F7BD4"/>
    <w:rsid w:val="0040227D"/>
    <w:rsid w:val="00404189"/>
    <w:rsid w:val="00404BCB"/>
    <w:rsid w:val="004068E7"/>
    <w:rsid w:val="00407D8F"/>
    <w:rsid w:val="004122A8"/>
    <w:rsid w:val="004142E3"/>
    <w:rsid w:val="00416A7E"/>
    <w:rsid w:val="0042016E"/>
    <w:rsid w:val="004217B5"/>
    <w:rsid w:val="00424A44"/>
    <w:rsid w:val="004358DF"/>
    <w:rsid w:val="004374B5"/>
    <w:rsid w:val="00440E8D"/>
    <w:rsid w:val="004422BD"/>
    <w:rsid w:val="0044389B"/>
    <w:rsid w:val="00444424"/>
    <w:rsid w:val="004501F6"/>
    <w:rsid w:val="004567D5"/>
    <w:rsid w:val="004567E2"/>
    <w:rsid w:val="00460D00"/>
    <w:rsid w:val="00462BBC"/>
    <w:rsid w:val="004645FF"/>
    <w:rsid w:val="00465F36"/>
    <w:rsid w:val="00470156"/>
    <w:rsid w:val="00470EDC"/>
    <w:rsid w:val="00475B6C"/>
    <w:rsid w:val="00477A0E"/>
    <w:rsid w:val="00481FCE"/>
    <w:rsid w:val="00483AE8"/>
    <w:rsid w:val="004A0254"/>
    <w:rsid w:val="004A3C4D"/>
    <w:rsid w:val="004B063A"/>
    <w:rsid w:val="004C3E14"/>
    <w:rsid w:val="004C7737"/>
    <w:rsid w:val="004D091D"/>
    <w:rsid w:val="004D1F79"/>
    <w:rsid w:val="004D1F7C"/>
    <w:rsid w:val="004D5711"/>
    <w:rsid w:val="004E138D"/>
    <w:rsid w:val="004E33FC"/>
    <w:rsid w:val="004E3FEF"/>
    <w:rsid w:val="004E606B"/>
    <w:rsid w:val="004E61A0"/>
    <w:rsid w:val="004E630F"/>
    <w:rsid w:val="004E728B"/>
    <w:rsid w:val="004E7432"/>
    <w:rsid w:val="004F48C6"/>
    <w:rsid w:val="00500CDC"/>
    <w:rsid w:val="00505401"/>
    <w:rsid w:val="00505EF2"/>
    <w:rsid w:val="0051198F"/>
    <w:rsid w:val="00514A38"/>
    <w:rsid w:val="00522119"/>
    <w:rsid w:val="00525620"/>
    <w:rsid w:val="005336B7"/>
    <w:rsid w:val="005409CD"/>
    <w:rsid w:val="005410FA"/>
    <w:rsid w:val="00547658"/>
    <w:rsid w:val="005506E7"/>
    <w:rsid w:val="00552C35"/>
    <w:rsid w:val="005535DE"/>
    <w:rsid w:val="0055541E"/>
    <w:rsid w:val="005561E6"/>
    <w:rsid w:val="00561023"/>
    <w:rsid w:val="005624A7"/>
    <w:rsid w:val="00564678"/>
    <w:rsid w:val="005654CB"/>
    <w:rsid w:val="00571E4F"/>
    <w:rsid w:val="00574612"/>
    <w:rsid w:val="005747CB"/>
    <w:rsid w:val="00575178"/>
    <w:rsid w:val="005753C3"/>
    <w:rsid w:val="00577BB3"/>
    <w:rsid w:val="005849D4"/>
    <w:rsid w:val="00585F66"/>
    <w:rsid w:val="00586CB1"/>
    <w:rsid w:val="00590DA9"/>
    <w:rsid w:val="005924CB"/>
    <w:rsid w:val="005A120E"/>
    <w:rsid w:val="005B3559"/>
    <w:rsid w:val="005B6D16"/>
    <w:rsid w:val="005C08DB"/>
    <w:rsid w:val="005C248A"/>
    <w:rsid w:val="005C28B2"/>
    <w:rsid w:val="005C3970"/>
    <w:rsid w:val="005C7F6E"/>
    <w:rsid w:val="005D0227"/>
    <w:rsid w:val="005D3D51"/>
    <w:rsid w:val="005D41EA"/>
    <w:rsid w:val="005E2A5B"/>
    <w:rsid w:val="005E39AD"/>
    <w:rsid w:val="005E7222"/>
    <w:rsid w:val="005F029D"/>
    <w:rsid w:val="005F3D05"/>
    <w:rsid w:val="005F4573"/>
    <w:rsid w:val="005F74BF"/>
    <w:rsid w:val="00601D67"/>
    <w:rsid w:val="0060338B"/>
    <w:rsid w:val="006054C1"/>
    <w:rsid w:val="006117A2"/>
    <w:rsid w:val="006126C0"/>
    <w:rsid w:val="00615364"/>
    <w:rsid w:val="006170B2"/>
    <w:rsid w:val="0062158E"/>
    <w:rsid w:val="0062276D"/>
    <w:rsid w:val="00626E45"/>
    <w:rsid w:val="006270FC"/>
    <w:rsid w:val="006341A4"/>
    <w:rsid w:val="00641CE9"/>
    <w:rsid w:val="006426FF"/>
    <w:rsid w:val="0064459F"/>
    <w:rsid w:val="00652844"/>
    <w:rsid w:val="00665D3C"/>
    <w:rsid w:val="00670BE5"/>
    <w:rsid w:val="0067166A"/>
    <w:rsid w:val="0067490C"/>
    <w:rsid w:val="006750F9"/>
    <w:rsid w:val="00676782"/>
    <w:rsid w:val="00676964"/>
    <w:rsid w:val="006811AF"/>
    <w:rsid w:val="00682CFA"/>
    <w:rsid w:val="00684C4B"/>
    <w:rsid w:val="00685399"/>
    <w:rsid w:val="00686750"/>
    <w:rsid w:val="00693DB2"/>
    <w:rsid w:val="00695008"/>
    <w:rsid w:val="006A0340"/>
    <w:rsid w:val="006A42FB"/>
    <w:rsid w:val="006A4B4C"/>
    <w:rsid w:val="006A6E19"/>
    <w:rsid w:val="006A7BAB"/>
    <w:rsid w:val="006B209F"/>
    <w:rsid w:val="006B74EB"/>
    <w:rsid w:val="006C0218"/>
    <w:rsid w:val="006C0C76"/>
    <w:rsid w:val="006C2320"/>
    <w:rsid w:val="006C2ABA"/>
    <w:rsid w:val="006C75DA"/>
    <w:rsid w:val="006D214E"/>
    <w:rsid w:val="006D45BC"/>
    <w:rsid w:val="006D5378"/>
    <w:rsid w:val="006E3F01"/>
    <w:rsid w:val="006E62E4"/>
    <w:rsid w:val="006F30B0"/>
    <w:rsid w:val="006F3A8C"/>
    <w:rsid w:val="006F76B8"/>
    <w:rsid w:val="00700B17"/>
    <w:rsid w:val="00700C3D"/>
    <w:rsid w:val="007018EC"/>
    <w:rsid w:val="00703B46"/>
    <w:rsid w:val="00706269"/>
    <w:rsid w:val="00707359"/>
    <w:rsid w:val="00710751"/>
    <w:rsid w:val="00711DED"/>
    <w:rsid w:val="00714D5F"/>
    <w:rsid w:val="00717A8E"/>
    <w:rsid w:val="00723BA1"/>
    <w:rsid w:val="00723FB2"/>
    <w:rsid w:val="007304C8"/>
    <w:rsid w:val="0073116E"/>
    <w:rsid w:val="00736AB5"/>
    <w:rsid w:val="00751001"/>
    <w:rsid w:val="00751216"/>
    <w:rsid w:val="00751F05"/>
    <w:rsid w:val="00752773"/>
    <w:rsid w:val="007536BE"/>
    <w:rsid w:val="00756B82"/>
    <w:rsid w:val="00757F1D"/>
    <w:rsid w:val="00762125"/>
    <w:rsid w:val="00762A3E"/>
    <w:rsid w:val="00763A99"/>
    <w:rsid w:val="007648E3"/>
    <w:rsid w:val="00765935"/>
    <w:rsid w:val="007725EB"/>
    <w:rsid w:val="00772BCE"/>
    <w:rsid w:val="00776666"/>
    <w:rsid w:val="00790A8E"/>
    <w:rsid w:val="00791AE2"/>
    <w:rsid w:val="00792841"/>
    <w:rsid w:val="00793AC6"/>
    <w:rsid w:val="0079410A"/>
    <w:rsid w:val="00797B01"/>
    <w:rsid w:val="007A4E12"/>
    <w:rsid w:val="007A5431"/>
    <w:rsid w:val="007A6A21"/>
    <w:rsid w:val="007A78B0"/>
    <w:rsid w:val="007B01F9"/>
    <w:rsid w:val="007B222F"/>
    <w:rsid w:val="007B49AD"/>
    <w:rsid w:val="007B54D3"/>
    <w:rsid w:val="007B6151"/>
    <w:rsid w:val="007B6979"/>
    <w:rsid w:val="007B7639"/>
    <w:rsid w:val="007C0F36"/>
    <w:rsid w:val="007C31A1"/>
    <w:rsid w:val="007D059B"/>
    <w:rsid w:val="007D6852"/>
    <w:rsid w:val="007D7386"/>
    <w:rsid w:val="007E0C5E"/>
    <w:rsid w:val="007E230E"/>
    <w:rsid w:val="007E43B5"/>
    <w:rsid w:val="007F32F6"/>
    <w:rsid w:val="007F38BD"/>
    <w:rsid w:val="0081079A"/>
    <w:rsid w:val="00810FF2"/>
    <w:rsid w:val="00811AB4"/>
    <w:rsid w:val="00815108"/>
    <w:rsid w:val="008153CD"/>
    <w:rsid w:val="00821EBE"/>
    <w:rsid w:val="00822E7E"/>
    <w:rsid w:val="00824F4E"/>
    <w:rsid w:val="00830A77"/>
    <w:rsid w:val="00835944"/>
    <w:rsid w:val="008376EC"/>
    <w:rsid w:val="00837BEE"/>
    <w:rsid w:val="0084060A"/>
    <w:rsid w:val="0084102B"/>
    <w:rsid w:val="00843FF6"/>
    <w:rsid w:val="00845A8F"/>
    <w:rsid w:val="00851FF7"/>
    <w:rsid w:val="00852655"/>
    <w:rsid w:val="008610BB"/>
    <w:rsid w:val="00861A38"/>
    <w:rsid w:val="00861B48"/>
    <w:rsid w:val="008622F3"/>
    <w:rsid w:val="0086513C"/>
    <w:rsid w:val="00865B37"/>
    <w:rsid w:val="0086654E"/>
    <w:rsid w:val="00870F2E"/>
    <w:rsid w:val="0087681A"/>
    <w:rsid w:val="00880462"/>
    <w:rsid w:val="00881CF4"/>
    <w:rsid w:val="0088437C"/>
    <w:rsid w:val="00885AA0"/>
    <w:rsid w:val="00886214"/>
    <w:rsid w:val="00890488"/>
    <w:rsid w:val="0089143F"/>
    <w:rsid w:val="00892B6B"/>
    <w:rsid w:val="0089478E"/>
    <w:rsid w:val="008977C9"/>
    <w:rsid w:val="008A496F"/>
    <w:rsid w:val="008A6B91"/>
    <w:rsid w:val="008A7EE0"/>
    <w:rsid w:val="008B0C5E"/>
    <w:rsid w:val="008B195E"/>
    <w:rsid w:val="008B3043"/>
    <w:rsid w:val="008B5BCA"/>
    <w:rsid w:val="008C02BA"/>
    <w:rsid w:val="008C3066"/>
    <w:rsid w:val="008C432D"/>
    <w:rsid w:val="008C6415"/>
    <w:rsid w:val="008D2DEE"/>
    <w:rsid w:val="008D492F"/>
    <w:rsid w:val="008D4C5A"/>
    <w:rsid w:val="008D69CE"/>
    <w:rsid w:val="008E4F47"/>
    <w:rsid w:val="008E5958"/>
    <w:rsid w:val="008F27DB"/>
    <w:rsid w:val="008F348F"/>
    <w:rsid w:val="008F3777"/>
    <w:rsid w:val="008F62E0"/>
    <w:rsid w:val="00904695"/>
    <w:rsid w:val="00906418"/>
    <w:rsid w:val="00906911"/>
    <w:rsid w:val="00906D58"/>
    <w:rsid w:val="0090764D"/>
    <w:rsid w:val="00907A7A"/>
    <w:rsid w:val="00907FE2"/>
    <w:rsid w:val="00913722"/>
    <w:rsid w:val="00913A61"/>
    <w:rsid w:val="00917093"/>
    <w:rsid w:val="00917BD1"/>
    <w:rsid w:val="009225C6"/>
    <w:rsid w:val="00924771"/>
    <w:rsid w:val="00924DD1"/>
    <w:rsid w:val="00926A59"/>
    <w:rsid w:val="00927BBA"/>
    <w:rsid w:val="00932727"/>
    <w:rsid w:val="009329F1"/>
    <w:rsid w:val="00933787"/>
    <w:rsid w:val="009340F0"/>
    <w:rsid w:val="00934717"/>
    <w:rsid w:val="009348DC"/>
    <w:rsid w:val="009402C1"/>
    <w:rsid w:val="00945AAD"/>
    <w:rsid w:val="00945ADA"/>
    <w:rsid w:val="00953AAB"/>
    <w:rsid w:val="00960572"/>
    <w:rsid w:val="009638D2"/>
    <w:rsid w:val="009640EA"/>
    <w:rsid w:val="0096431F"/>
    <w:rsid w:val="009672EE"/>
    <w:rsid w:val="00971452"/>
    <w:rsid w:val="00972132"/>
    <w:rsid w:val="00973443"/>
    <w:rsid w:val="00976C5E"/>
    <w:rsid w:val="00983A66"/>
    <w:rsid w:val="0098521E"/>
    <w:rsid w:val="009907FF"/>
    <w:rsid w:val="009943E6"/>
    <w:rsid w:val="009A000C"/>
    <w:rsid w:val="009A4A0E"/>
    <w:rsid w:val="009A4C1C"/>
    <w:rsid w:val="009A6CA9"/>
    <w:rsid w:val="009A72D2"/>
    <w:rsid w:val="009B21F3"/>
    <w:rsid w:val="009B2468"/>
    <w:rsid w:val="009B3144"/>
    <w:rsid w:val="009B5722"/>
    <w:rsid w:val="009C0CB4"/>
    <w:rsid w:val="009C0F05"/>
    <w:rsid w:val="009C2987"/>
    <w:rsid w:val="009C2B45"/>
    <w:rsid w:val="009C39BE"/>
    <w:rsid w:val="009C547D"/>
    <w:rsid w:val="009D0199"/>
    <w:rsid w:val="009D36E7"/>
    <w:rsid w:val="009D7A76"/>
    <w:rsid w:val="009E113E"/>
    <w:rsid w:val="009E2F8C"/>
    <w:rsid w:val="009E31E5"/>
    <w:rsid w:val="009E4DA9"/>
    <w:rsid w:val="009E5209"/>
    <w:rsid w:val="009E719F"/>
    <w:rsid w:val="009F2BB6"/>
    <w:rsid w:val="009F4B08"/>
    <w:rsid w:val="00A033D6"/>
    <w:rsid w:val="00A15066"/>
    <w:rsid w:val="00A164E0"/>
    <w:rsid w:val="00A16C32"/>
    <w:rsid w:val="00A178AC"/>
    <w:rsid w:val="00A209E6"/>
    <w:rsid w:val="00A239A3"/>
    <w:rsid w:val="00A270C3"/>
    <w:rsid w:val="00A3679A"/>
    <w:rsid w:val="00A43C7D"/>
    <w:rsid w:val="00A45198"/>
    <w:rsid w:val="00A5534A"/>
    <w:rsid w:val="00A56076"/>
    <w:rsid w:val="00A57D44"/>
    <w:rsid w:val="00A61003"/>
    <w:rsid w:val="00A6218E"/>
    <w:rsid w:val="00A66B64"/>
    <w:rsid w:val="00A67969"/>
    <w:rsid w:val="00A72028"/>
    <w:rsid w:val="00A739D2"/>
    <w:rsid w:val="00A74924"/>
    <w:rsid w:val="00A77665"/>
    <w:rsid w:val="00A83BA4"/>
    <w:rsid w:val="00A83E00"/>
    <w:rsid w:val="00A9117D"/>
    <w:rsid w:val="00A97084"/>
    <w:rsid w:val="00AA0F35"/>
    <w:rsid w:val="00AA23E2"/>
    <w:rsid w:val="00AA3627"/>
    <w:rsid w:val="00AA3A9C"/>
    <w:rsid w:val="00AA5F8B"/>
    <w:rsid w:val="00AB44D0"/>
    <w:rsid w:val="00AB5764"/>
    <w:rsid w:val="00AB6994"/>
    <w:rsid w:val="00AB7350"/>
    <w:rsid w:val="00AC1310"/>
    <w:rsid w:val="00AC4431"/>
    <w:rsid w:val="00AD5718"/>
    <w:rsid w:val="00AD5F4F"/>
    <w:rsid w:val="00AE0566"/>
    <w:rsid w:val="00AE1D39"/>
    <w:rsid w:val="00AE29D1"/>
    <w:rsid w:val="00AE3A1A"/>
    <w:rsid w:val="00AE62EE"/>
    <w:rsid w:val="00AE724F"/>
    <w:rsid w:val="00AE755D"/>
    <w:rsid w:val="00AF3BBA"/>
    <w:rsid w:val="00AF72D1"/>
    <w:rsid w:val="00B02004"/>
    <w:rsid w:val="00B02463"/>
    <w:rsid w:val="00B03809"/>
    <w:rsid w:val="00B105D6"/>
    <w:rsid w:val="00B1324F"/>
    <w:rsid w:val="00B13B6F"/>
    <w:rsid w:val="00B17AC5"/>
    <w:rsid w:val="00B250D3"/>
    <w:rsid w:val="00B36AFA"/>
    <w:rsid w:val="00B42871"/>
    <w:rsid w:val="00B4399B"/>
    <w:rsid w:val="00B44A4D"/>
    <w:rsid w:val="00B537CD"/>
    <w:rsid w:val="00B5534D"/>
    <w:rsid w:val="00B5584E"/>
    <w:rsid w:val="00B57B61"/>
    <w:rsid w:val="00B6198B"/>
    <w:rsid w:val="00B619AE"/>
    <w:rsid w:val="00B66A26"/>
    <w:rsid w:val="00B71151"/>
    <w:rsid w:val="00B759FB"/>
    <w:rsid w:val="00B803E4"/>
    <w:rsid w:val="00B8308A"/>
    <w:rsid w:val="00B83657"/>
    <w:rsid w:val="00B972D4"/>
    <w:rsid w:val="00BA4448"/>
    <w:rsid w:val="00BB17E6"/>
    <w:rsid w:val="00BB24F7"/>
    <w:rsid w:val="00BB3FFF"/>
    <w:rsid w:val="00BB6B88"/>
    <w:rsid w:val="00BC0AD6"/>
    <w:rsid w:val="00BC1D27"/>
    <w:rsid w:val="00BC49CB"/>
    <w:rsid w:val="00BC4EB6"/>
    <w:rsid w:val="00BC6101"/>
    <w:rsid w:val="00BC7A07"/>
    <w:rsid w:val="00BC7CC8"/>
    <w:rsid w:val="00BD0331"/>
    <w:rsid w:val="00BD6D41"/>
    <w:rsid w:val="00BE13CE"/>
    <w:rsid w:val="00BE21DC"/>
    <w:rsid w:val="00BE447E"/>
    <w:rsid w:val="00BE634B"/>
    <w:rsid w:val="00BE6C9F"/>
    <w:rsid w:val="00BE6FB8"/>
    <w:rsid w:val="00BE78E2"/>
    <w:rsid w:val="00BE799E"/>
    <w:rsid w:val="00C01EC6"/>
    <w:rsid w:val="00C02132"/>
    <w:rsid w:val="00C02D7A"/>
    <w:rsid w:val="00C058FC"/>
    <w:rsid w:val="00C07FBB"/>
    <w:rsid w:val="00C11C4E"/>
    <w:rsid w:val="00C12792"/>
    <w:rsid w:val="00C12932"/>
    <w:rsid w:val="00C15420"/>
    <w:rsid w:val="00C240FF"/>
    <w:rsid w:val="00C27BBC"/>
    <w:rsid w:val="00C27D91"/>
    <w:rsid w:val="00C30BAB"/>
    <w:rsid w:val="00C3194C"/>
    <w:rsid w:val="00C3347D"/>
    <w:rsid w:val="00C33A74"/>
    <w:rsid w:val="00C35837"/>
    <w:rsid w:val="00C36984"/>
    <w:rsid w:val="00C40437"/>
    <w:rsid w:val="00C41513"/>
    <w:rsid w:val="00C41886"/>
    <w:rsid w:val="00C42F08"/>
    <w:rsid w:val="00C4374C"/>
    <w:rsid w:val="00C44BE4"/>
    <w:rsid w:val="00C47E92"/>
    <w:rsid w:val="00C532E7"/>
    <w:rsid w:val="00C5440F"/>
    <w:rsid w:val="00C55ACA"/>
    <w:rsid w:val="00C605CC"/>
    <w:rsid w:val="00C730FA"/>
    <w:rsid w:val="00C76B18"/>
    <w:rsid w:val="00C81BED"/>
    <w:rsid w:val="00C82F3D"/>
    <w:rsid w:val="00C85553"/>
    <w:rsid w:val="00C87DA6"/>
    <w:rsid w:val="00C87F2C"/>
    <w:rsid w:val="00C90483"/>
    <w:rsid w:val="00C90F9F"/>
    <w:rsid w:val="00C9157F"/>
    <w:rsid w:val="00C93625"/>
    <w:rsid w:val="00C95481"/>
    <w:rsid w:val="00C95C1A"/>
    <w:rsid w:val="00C973D1"/>
    <w:rsid w:val="00C97500"/>
    <w:rsid w:val="00C97A52"/>
    <w:rsid w:val="00CA1C0D"/>
    <w:rsid w:val="00CA4B3F"/>
    <w:rsid w:val="00CA4B7D"/>
    <w:rsid w:val="00CB0D25"/>
    <w:rsid w:val="00CC0EA0"/>
    <w:rsid w:val="00CC1094"/>
    <w:rsid w:val="00CC13F1"/>
    <w:rsid w:val="00CC18B3"/>
    <w:rsid w:val="00CC5225"/>
    <w:rsid w:val="00CD0038"/>
    <w:rsid w:val="00CD072C"/>
    <w:rsid w:val="00CD3E7E"/>
    <w:rsid w:val="00CD74FF"/>
    <w:rsid w:val="00CD78C3"/>
    <w:rsid w:val="00CE151C"/>
    <w:rsid w:val="00CE7663"/>
    <w:rsid w:val="00CF3DA7"/>
    <w:rsid w:val="00CF6E4C"/>
    <w:rsid w:val="00D0001F"/>
    <w:rsid w:val="00D00CB9"/>
    <w:rsid w:val="00D0420D"/>
    <w:rsid w:val="00D07325"/>
    <w:rsid w:val="00D127E9"/>
    <w:rsid w:val="00D13264"/>
    <w:rsid w:val="00D1543E"/>
    <w:rsid w:val="00D22FF3"/>
    <w:rsid w:val="00D24352"/>
    <w:rsid w:val="00D25276"/>
    <w:rsid w:val="00D27298"/>
    <w:rsid w:val="00D3039D"/>
    <w:rsid w:val="00D322CE"/>
    <w:rsid w:val="00D325E0"/>
    <w:rsid w:val="00D36397"/>
    <w:rsid w:val="00D37CD5"/>
    <w:rsid w:val="00D432F7"/>
    <w:rsid w:val="00D44978"/>
    <w:rsid w:val="00D45BEE"/>
    <w:rsid w:val="00D46B5A"/>
    <w:rsid w:val="00D47010"/>
    <w:rsid w:val="00D505B2"/>
    <w:rsid w:val="00D5104A"/>
    <w:rsid w:val="00D5351D"/>
    <w:rsid w:val="00D54B9F"/>
    <w:rsid w:val="00D5537F"/>
    <w:rsid w:val="00D555C7"/>
    <w:rsid w:val="00D557F7"/>
    <w:rsid w:val="00D55998"/>
    <w:rsid w:val="00D60521"/>
    <w:rsid w:val="00D6105E"/>
    <w:rsid w:val="00D6246A"/>
    <w:rsid w:val="00D627C4"/>
    <w:rsid w:val="00D6386A"/>
    <w:rsid w:val="00D65984"/>
    <w:rsid w:val="00D6652A"/>
    <w:rsid w:val="00D71C77"/>
    <w:rsid w:val="00D72AF5"/>
    <w:rsid w:val="00D73CA1"/>
    <w:rsid w:val="00D7407D"/>
    <w:rsid w:val="00D74931"/>
    <w:rsid w:val="00D76935"/>
    <w:rsid w:val="00D77C03"/>
    <w:rsid w:val="00D83CD8"/>
    <w:rsid w:val="00D850FE"/>
    <w:rsid w:val="00D87265"/>
    <w:rsid w:val="00D91912"/>
    <w:rsid w:val="00D9789F"/>
    <w:rsid w:val="00DA0D17"/>
    <w:rsid w:val="00DA4561"/>
    <w:rsid w:val="00DB4D76"/>
    <w:rsid w:val="00DC1DFF"/>
    <w:rsid w:val="00DC47BC"/>
    <w:rsid w:val="00DC7DE7"/>
    <w:rsid w:val="00DD0F80"/>
    <w:rsid w:val="00DD257A"/>
    <w:rsid w:val="00DD3F4E"/>
    <w:rsid w:val="00DD4C7C"/>
    <w:rsid w:val="00DE5250"/>
    <w:rsid w:val="00DF1889"/>
    <w:rsid w:val="00E01578"/>
    <w:rsid w:val="00E06824"/>
    <w:rsid w:val="00E10E56"/>
    <w:rsid w:val="00E117AC"/>
    <w:rsid w:val="00E1188B"/>
    <w:rsid w:val="00E12161"/>
    <w:rsid w:val="00E136EC"/>
    <w:rsid w:val="00E17982"/>
    <w:rsid w:val="00E17F07"/>
    <w:rsid w:val="00E249D8"/>
    <w:rsid w:val="00E319B2"/>
    <w:rsid w:val="00E339CD"/>
    <w:rsid w:val="00E403B6"/>
    <w:rsid w:val="00E41771"/>
    <w:rsid w:val="00E4418E"/>
    <w:rsid w:val="00E53FD4"/>
    <w:rsid w:val="00E557B8"/>
    <w:rsid w:val="00E5611E"/>
    <w:rsid w:val="00E56CF6"/>
    <w:rsid w:val="00E57B41"/>
    <w:rsid w:val="00E62B19"/>
    <w:rsid w:val="00E62B1C"/>
    <w:rsid w:val="00E62B4A"/>
    <w:rsid w:val="00E64B38"/>
    <w:rsid w:val="00E66C8F"/>
    <w:rsid w:val="00E709AF"/>
    <w:rsid w:val="00E71E1D"/>
    <w:rsid w:val="00E7308E"/>
    <w:rsid w:val="00E77853"/>
    <w:rsid w:val="00E80625"/>
    <w:rsid w:val="00E80759"/>
    <w:rsid w:val="00E8095A"/>
    <w:rsid w:val="00E84C8F"/>
    <w:rsid w:val="00E87ED4"/>
    <w:rsid w:val="00E90440"/>
    <w:rsid w:val="00E92B6F"/>
    <w:rsid w:val="00E9529C"/>
    <w:rsid w:val="00EA0A4A"/>
    <w:rsid w:val="00EB439B"/>
    <w:rsid w:val="00EB5FA5"/>
    <w:rsid w:val="00EC1D81"/>
    <w:rsid w:val="00EC2094"/>
    <w:rsid w:val="00EC7C81"/>
    <w:rsid w:val="00ED68C4"/>
    <w:rsid w:val="00ED71F8"/>
    <w:rsid w:val="00EF0242"/>
    <w:rsid w:val="00EF32C1"/>
    <w:rsid w:val="00EF5E3D"/>
    <w:rsid w:val="00EF613C"/>
    <w:rsid w:val="00F0514A"/>
    <w:rsid w:val="00F11457"/>
    <w:rsid w:val="00F11D13"/>
    <w:rsid w:val="00F12319"/>
    <w:rsid w:val="00F12E06"/>
    <w:rsid w:val="00F1573A"/>
    <w:rsid w:val="00F23371"/>
    <w:rsid w:val="00F33CBB"/>
    <w:rsid w:val="00F345EA"/>
    <w:rsid w:val="00F36A9A"/>
    <w:rsid w:val="00F44B34"/>
    <w:rsid w:val="00F46D28"/>
    <w:rsid w:val="00F51CB8"/>
    <w:rsid w:val="00F51E7A"/>
    <w:rsid w:val="00F54861"/>
    <w:rsid w:val="00F552E9"/>
    <w:rsid w:val="00F5744E"/>
    <w:rsid w:val="00F61B7A"/>
    <w:rsid w:val="00F6287F"/>
    <w:rsid w:val="00F62A55"/>
    <w:rsid w:val="00F62C74"/>
    <w:rsid w:val="00F6340D"/>
    <w:rsid w:val="00F655A8"/>
    <w:rsid w:val="00F801A4"/>
    <w:rsid w:val="00F80C90"/>
    <w:rsid w:val="00F81662"/>
    <w:rsid w:val="00F828AA"/>
    <w:rsid w:val="00F83753"/>
    <w:rsid w:val="00F8566F"/>
    <w:rsid w:val="00F9018D"/>
    <w:rsid w:val="00FA0591"/>
    <w:rsid w:val="00FA5D93"/>
    <w:rsid w:val="00FA64FA"/>
    <w:rsid w:val="00FA69B6"/>
    <w:rsid w:val="00FA6D9E"/>
    <w:rsid w:val="00FA7D45"/>
    <w:rsid w:val="00FB19DE"/>
    <w:rsid w:val="00FB1E6F"/>
    <w:rsid w:val="00FB1FCB"/>
    <w:rsid w:val="00FB3B71"/>
    <w:rsid w:val="00FB3DD4"/>
    <w:rsid w:val="00FB3ED0"/>
    <w:rsid w:val="00FB4EF8"/>
    <w:rsid w:val="00FB57AA"/>
    <w:rsid w:val="00FB66FD"/>
    <w:rsid w:val="00FC4CAE"/>
    <w:rsid w:val="00FC690C"/>
    <w:rsid w:val="00FC7260"/>
    <w:rsid w:val="00FD2CAF"/>
    <w:rsid w:val="00FD7BAC"/>
    <w:rsid w:val="00FE1EBD"/>
    <w:rsid w:val="00FE42C1"/>
    <w:rsid w:val="00FE5ED6"/>
    <w:rsid w:val="00FF2A27"/>
    <w:rsid w:val="00FF5C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8C3B94-7D52-44B8-A990-C934E2ED6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974BD"/>
  </w:style>
  <w:style w:type="paragraph" w:styleId="Nadpis1">
    <w:name w:val="heading 1"/>
    <w:basedOn w:val="Normln"/>
    <w:next w:val="Normln"/>
    <w:link w:val="Nadpis1Char"/>
    <w:autoRedefine/>
    <w:uiPriority w:val="9"/>
    <w:qFormat/>
    <w:rsid w:val="007B6979"/>
    <w:pPr>
      <w:keepNext/>
      <w:keepLines/>
      <w:numPr>
        <w:numId w:val="21"/>
      </w:numPr>
      <w:spacing w:before="240" w:after="360" w:line="360" w:lineRule="auto"/>
      <w:ind w:left="431" w:hanging="431"/>
      <w:jc w:val="both"/>
      <w:outlineLvl w:val="0"/>
    </w:pPr>
    <w:rPr>
      <w:rFonts w:ascii="Times New Roman" w:eastAsiaTheme="majorEastAsia" w:hAnsi="Times New Roman" w:cs="Times New Roman"/>
      <w:b/>
      <w:sz w:val="36"/>
      <w:szCs w:val="24"/>
    </w:rPr>
  </w:style>
  <w:style w:type="paragraph" w:styleId="Nadpis2">
    <w:name w:val="heading 2"/>
    <w:basedOn w:val="Normln"/>
    <w:next w:val="Normln"/>
    <w:link w:val="Nadpis2Char"/>
    <w:autoRedefine/>
    <w:uiPriority w:val="9"/>
    <w:unhideWhenUsed/>
    <w:qFormat/>
    <w:rsid w:val="00E62B1C"/>
    <w:pPr>
      <w:keepNext/>
      <w:keepLines/>
      <w:numPr>
        <w:ilvl w:val="1"/>
        <w:numId w:val="21"/>
      </w:numPr>
      <w:spacing w:before="300" w:after="300" w:line="360" w:lineRule="auto"/>
      <w:ind w:left="578" w:hanging="578"/>
      <w:jc w:val="both"/>
      <w:outlineLvl w:val="1"/>
    </w:pPr>
    <w:rPr>
      <w:rFonts w:ascii="Times New Roman" w:eastAsiaTheme="majorEastAsia" w:hAnsi="Times New Roman" w:cs="Times New Roman"/>
      <w:b/>
      <w:sz w:val="32"/>
      <w:szCs w:val="24"/>
      <w:shd w:val="clear" w:color="auto" w:fill="FFFFFF"/>
    </w:rPr>
  </w:style>
  <w:style w:type="paragraph" w:styleId="Nadpis3">
    <w:name w:val="heading 3"/>
    <w:basedOn w:val="Normln"/>
    <w:next w:val="Normln"/>
    <w:link w:val="Nadpis3Char"/>
    <w:autoRedefine/>
    <w:uiPriority w:val="9"/>
    <w:unhideWhenUsed/>
    <w:qFormat/>
    <w:rsid w:val="00E62B1C"/>
    <w:pPr>
      <w:keepNext/>
      <w:keepLines/>
      <w:numPr>
        <w:ilvl w:val="2"/>
        <w:numId w:val="21"/>
      </w:numPr>
      <w:spacing w:before="240" w:after="240"/>
      <w:outlineLvl w:val="2"/>
    </w:pPr>
    <w:rPr>
      <w:rFonts w:ascii="Times New Roman" w:eastAsiaTheme="majorEastAsia" w:hAnsi="Times New Roman" w:cstheme="majorBidi"/>
      <w:b/>
      <w:sz w:val="30"/>
      <w:szCs w:val="24"/>
    </w:rPr>
  </w:style>
  <w:style w:type="paragraph" w:styleId="Nadpis4">
    <w:name w:val="heading 4"/>
    <w:basedOn w:val="Normln"/>
    <w:next w:val="Normln"/>
    <w:link w:val="Nadpis4Char"/>
    <w:autoRedefine/>
    <w:uiPriority w:val="9"/>
    <w:unhideWhenUsed/>
    <w:qFormat/>
    <w:rsid w:val="00E62B1C"/>
    <w:pPr>
      <w:keepNext/>
      <w:keepLines/>
      <w:numPr>
        <w:ilvl w:val="3"/>
        <w:numId w:val="21"/>
      </w:numPr>
      <w:spacing w:before="240" w:after="240" w:line="360" w:lineRule="auto"/>
      <w:ind w:left="862" w:hanging="862"/>
      <w:outlineLvl w:val="3"/>
    </w:pPr>
    <w:rPr>
      <w:rFonts w:ascii="Times New Roman" w:eastAsiaTheme="majorEastAsia" w:hAnsi="Times New Roman" w:cstheme="majorBidi"/>
      <w:b/>
      <w:iCs/>
      <w:sz w:val="28"/>
    </w:rPr>
  </w:style>
  <w:style w:type="paragraph" w:styleId="Nadpis5">
    <w:name w:val="heading 5"/>
    <w:basedOn w:val="Normln"/>
    <w:next w:val="Normln"/>
    <w:link w:val="Nadpis5Char"/>
    <w:autoRedefine/>
    <w:uiPriority w:val="9"/>
    <w:unhideWhenUsed/>
    <w:qFormat/>
    <w:rsid w:val="00E62B1C"/>
    <w:pPr>
      <w:keepNext/>
      <w:keepLines/>
      <w:numPr>
        <w:ilvl w:val="4"/>
        <w:numId w:val="21"/>
      </w:numPr>
      <w:spacing w:before="160" w:line="360" w:lineRule="auto"/>
      <w:ind w:left="1009" w:hanging="1009"/>
      <w:outlineLvl w:val="4"/>
    </w:pPr>
    <w:rPr>
      <w:rFonts w:ascii="Times New Roman" w:eastAsiaTheme="majorEastAsia" w:hAnsi="Times New Roman" w:cs="Times New Roman"/>
      <w:b/>
      <w:sz w:val="26"/>
    </w:rPr>
  </w:style>
  <w:style w:type="paragraph" w:styleId="Nadpis6">
    <w:name w:val="heading 6"/>
    <w:basedOn w:val="Normln"/>
    <w:next w:val="Normln"/>
    <w:link w:val="Nadpis6Char"/>
    <w:uiPriority w:val="9"/>
    <w:semiHidden/>
    <w:unhideWhenUsed/>
    <w:qFormat/>
    <w:rsid w:val="00C36984"/>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C36984"/>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C36984"/>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36984"/>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C532E7"/>
    <w:pPr>
      <w:spacing w:after="0" w:line="240" w:lineRule="auto"/>
    </w:pPr>
  </w:style>
  <w:style w:type="paragraph" w:customStyle="1" w:styleId="MDPI22heading2">
    <w:name w:val="MDPI_2.2_heading2"/>
    <w:qFormat/>
    <w:rsid w:val="00FB66FD"/>
    <w:pPr>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table" w:styleId="Mkatabulky">
    <w:name w:val="Table Grid"/>
    <w:basedOn w:val="Normlntabulka"/>
    <w:uiPriority w:val="39"/>
    <w:rsid w:val="00C42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1tablecaption">
    <w:name w:val="MDPI_4.1_table_caption"/>
    <w:basedOn w:val="Normln"/>
    <w:qFormat/>
    <w:rsid w:val="007B222F"/>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3tablefooter">
    <w:name w:val="MDPI_4.3_table_footer"/>
    <w:basedOn w:val="MDPI41tablecaption"/>
    <w:next w:val="Normln"/>
    <w:qFormat/>
    <w:rsid w:val="003C4041"/>
    <w:pPr>
      <w:spacing w:before="0"/>
      <w:ind w:left="0" w:right="0"/>
    </w:pPr>
  </w:style>
  <w:style w:type="character" w:customStyle="1" w:styleId="highlight">
    <w:name w:val="highlight"/>
    <w:rsid w:val="003C4041"/>
  </w:style>
  <w:style w:type="paragraph" w:styleId="Odstavecseseznamem">
    <w:name w:val="List Paragraph"/>
    <w:basedOn w:val="Normln"/>
    <w:uiPriority w:val="34"/>
    <w:qFormat/>
    <w:rsid w:val="004422BD"/>
    <w:pPr>
      <w:ind w:left="720"/>
      <w:contextualSpacing/>
    </w:pPr>
  </w:style>
  <w:style w:type="character" w:styleId="Hypertextovodkaz">
    <w:name w:val="Hyperlink"/>
    <w:basedOn w:val="Standardnpsmoodstavce"/>
    <w:uiPriority w:val="99"/>
    <w:unhideWhenUsed/>
    <w:rsid w:val="00E117AC"/>
    <w:rPr>
      <w:color w:val="0000FF"/>
      <w:u w:val="single"/>
    </w:rPr>
  </w:style>
  <w:style w:type="paragraph" w:styleId="Zhlav">
    <w:name w:val="header"/>
    <w:basedOn w:val="Normln"/>
    <w:link w:val="ZhlavChar"/>
    <w:uiPriority w:val="99"/>
    <w:unhideWhenUsed/>
    <w:rsid w:val="00D919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1912"/>
  </w:style>
  <w:style w:type="paragraph" w:styleId="Zpat">
    <w:name w:val="footer"/>
    <w:basedOn w:val="Normln"/>
    <w:link w:val="ZpatChar"/>
    <w:uiPriority w:val="99"/>
    <w:unhideWhenUsed/>
    <w:rsid w:val="00D91912"/>
    <w:pPr>
      <w:tabs>
        <w:tab w:val="center" w:pos="4536"/>
        <w:tab w:val="right" w:pos="9072"/>
      </w:tabs>
      <w:spacing w:after="0" w:line="240" w:lineRule="auto"/>
    </w:pPr>
  </w:style>
  <w:style w:type="character" w:customStyle="1" w:styleId="ZpatChar">
    <w:name w:val="Zápatí Char"/>
    <w:basedOn w:val="Standardnpsmoodstavce"/>
    <w:link w:val="Zpat"/>
    <w:uiPriority w:val="99"/>
    <w:rsid w:val="00D91912"/>
  </w:style>
  <w:style w:type="character" w:styleId="Zstupntext">
    <w:name w:val="Placeholder Text"/>
    <w:basedOn w:val="Standardnpsmoodstavce"/>
    <w:uiPriority w:val="99"/>
    <w:semiHidden/>
    <w:rsid w:val="008C432D"/>
    <w:rPr>
      <w:color w:val="808080"/>
    </w:rPr>
  </w:style>
  <w:style w:type="paragraph" w:styleId="FormtovanvHTML">
    <w:name w:val="HTML Preformatted"/>
    <w:basedOn w:val="Normln"/>
    <w:link w:val="FormtovanvHTMLChar"/>
    <w:uiPriority w:val="99"/>
    <w:semiHidden/>
    <w:unhideWhenUsed/>
    <w:rsid w:val="00A45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A45198"/>
    <w:rPr>
      <w:rFonts w:ascii="Courier New" w:eastAsia="Times New Roman" w:hAnsi="Courier New" w:cs="Courier New"/>
      <w:sz w:val="20"/>
      <w:szCs w:val="20"/>
      <w:lang w:eastAsia="cs-CZ"/>
    </w:rPr>
  </w:style>
  <w:style w:type="character" w:customStyle="1" w:styleId="apple-converted-space">
    <w:name w:val="apple-converted-space"/>
    <w:basedOn w:val="Standardnpsmoodstavce"/>
    <w:rsid w:val="00A45198"/>
  </w:style>
  <w:style w:type="paragraph" w:styleId="Textbubliny">
    <w:name w:val="Balloon Text"/>
    <w:basedOn w:val="Normln"/>
    <w:link w:val="TextbublinyChar"/>
    <w:uiPriority w:val="99"/>
    <w:semiHidden/>
    <w:unhideWhenUsed/>
    <w:rsid w:val="00926A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26A59"/>
    <w:rPr>
      <w:rFonts w:ascii="Tahoma" w:hAnsi="Tahoma" w:cs="Tahoma"/>
      <w:sz w:val="16"/>
      <w:szCs w:val="16"/>
    </w:rPr>
  </w:style>
  <w:style w:type="character" w:customStyle="1" w:styleId="Nadpis1Char">
    <w:name w:val="Nadpis 1 Char"/>
    <w:basedOn w:val="Standardnpsmoodstavce"/>
    <w:link w:val="Nadpis1"/>
    <w:uiPriority w:val="9"/>
    <w:rsid w:val="007B6979"/>
    <w:rPr>
      <w:rFonts w:ascii="Times New Roman" w:eastAsiaTheme="majorEastAsia" w:hAnsi="Times New Roman" w:cs="Times New Roman"/>
      <w:b/>
      <w:sz w:val="36"/>
      <w:szCs w:val="24"/>
    </w:rPr>
  </w:style>
  <w:style w:type="paragraph" w:styleId="Nadpisobsahu">
    <w:name w:val="TOC Heading"/>
    <w:basedOn w:val="Nadpis1"/>
    <w:next w:val="Normln"/>
    <w:uiPriority w:val="39"/>
    <w:unhideWhenUsed/>
    <w:qFormat/>
    <w:rsid w:val="00F61B7A"/>
    <w:pPr>
      <w:outlineLvl w:val="9"/>
    </w:pPr>
    <w:rPr>
      <w:lang w:eastAsia="cs-CZ"/>
    </w:rPr>
  </w:style>
  <w:style w:type="paragraph" w:styleId="Obsah2">
    <w:name w:val="toc 2"/>
    <w:basedOn w:val="Normln"/>
    <w:next w:val="Normln"/>
    <w:autoRedefine/>
    <w:uiPriority w:val="39"/>
    <w:unhideWhenUsed/>
    <w:rsid w:val="00C36984"/>
    <w:pPr>
      <w:tabs>
        <w:tab w:val="right" w:leader="dot" w:pos="9062"/>
      </w:tabs>
      <w:spacing w:after="100"/>
      <w:ind w:left="220"/>
    </w:pPr>
    <w:rPr>
      <w:rFonts w:ascii="Cambria Math" w:hAnsi="Cambria Math"/>
      <w:i/>
      <w:iCs/>
      <w:noProof/>
      <w:lang w:bidi="en-US"/>
    </w:rPr>
  </w:style>
  <w:style w:type="character" w:customStyle="1" w:styleId="Nadpis2Char">
    <w:name w:val="Nadpis 2 Char"/>
    <w:basedOn w:val="Standardnpsmoodstavce"/>
    <w:link w:val="Nadpis2"/>
    <w:uiPriority w:val="9"/>
    <w:rsid w:val="00E62B1C"/>
    <w:rPr>
      <w:rFonts w:ascii="Times New Roman" w:eastAsiaTheme="majorEastAsia" w:hAnsi="Times New Roman" w:cs="Times New Roman"/>
      <w:b/>
      <w:sz w:val="32"/>
      <w:szCs w:val="24"/>
    </w:rPr>
  </w:style>
  <w:style w:type="character" w:customStyle="1" w:styleId="Nadpis3Char">
    <w:name w:val="Nadpis 3 Char"/>
    <w:basedOn w:val="Standardnpsmoodstavce"/>
    <w:link w:val="Nadpis3"/>
    <w:uiPriority w:val="9"/>
    <w:rsid w:val="00E62B1C"/>
    <w:rPr>
      <w:rFonts w:ascii="Times New Roman" w:eastAsiaTheme="majorEastAsia" w:hAnsi="Times New Roman" w:cstheme="majorBidi"/>
      <w:b/>
      <w:sz w:val="30"/>
      <w:szCs w:val="24"/>
    </w:rPr>
  </w:style>
  <w:style w:type="character" w:customStyle="1" w:styleId="Nadpis4Char">
    <w:name w:val="Nadpis 4 Char"/>
    <w:basedOn w:val="Standardnpsmoodstavce"/>
    <w:link w:val="Nadpis4"/>
    <w:uiPriority w:val="9"/>
    <w:rsid w:val="00E62B1C"/>
    <w:rPr>
      <w:rFonts w:ascii="Times New Roman" w:eastAsiaTheme="majorEastAsia" w:hAnsi="Times New Roman" w:cstheme="majorBidi"/>
      <w:b/>
      <w:iCs/>
      <w:sz w:val="28"/>
    </w:rPr>
  </w:style>
  <w:style w:type="character" w:customStyle="1" w:styleId="Nadpis5Char">
    <w:name w:val="Nadpis 5 Char"/>
    <w:basedOn w:val="Standardnpsmoodstavce"/>
    <w:link w:val="Nadpis5"/>
    <w:uiPriority w:val="9"/>
    <w:rsid w:val="00E62B1C"/>
    <w:rPr>
      <w:rFonts w:ascii="Times New Roman" w:eastAsiaTheme="majorEastAsia" w:hAnsi="Times New Roman" w:cs="Times New Roman"/>
      <w:b/>
      <w:sz w:val="26"/>
    </w:rPr>
  </w:style>
  <w:style w:type="paragraph" w:styleId="Obsah1">
    <w:name w:val="toc 1"/>
    <w:basedOn w:val="Normln"/>
    <w:next w:val="Normln"/>
    <w:autoRedefine/>
    <w:uiPriority w:val="39"/>
    <w:unhideWhenUsed/>
    <w:rsid w:val="00C36984"/>
    <w:pPr>
      <w:spacing w:after="100"/>
    </w:pPr>
  </w:style>
  <w:style w:type="paragraph" w:styleId="Obsah3">
    <w:name w:val="toc 3"/>
    <w:basedOn w:val="Normln"/>
    <w:next w:val="Normln"/>
    <w:autoRedefine/>
    <w:uiPriority w:val="39"/>
    <w:unhideWhenUsed/>
    <w:rsid w:val="00C36984"/>
    <w:pPr>
      <w:spacing w:after="100"/>
      <w:ind w:left="440"/>
    </w:pPr>
  </w:style>
  <w:style w:type="character" w:customStyle="1" w:styleId="Nadpis6Char">
    <w:name w:val="Nadpis 6 Char"/>
    <w:basedOn w:val="Standardnpsmoodstavce"/>
    <w:link w:val="Nadpis6"/>
    <w:uiPriority w:val="9"/>
    <w:semiHidden/>
    <w:rsid w:val="00C36984"/>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C36984"/>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C3698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C3698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1327669">
      <w:bodyDiv w:val="1"/>
      <w:marLeft w:val="0"/>
      <w:marRight w:val="0"/>
      <w:marTop w:val="0"/>
      <w:marBottom w:val="0"/>
      <w:divBdr>
        <w:top w:val="none" w:sz="0" w:space="0" w:color="auto"/>
        <w:left w:val="none" w:sz="0" w:space="0" w:color="auto"/>
        <w:bottom w:val="none" w:sz="0" w:space="0" w:color="auto"/>
        <w:right w:val="none" w:sz="0" w:space="0" w:color="auto"/>
      </w:divBdr>
    </w:div>
    <w:div w:id="982388435">
      <w:bodyDiv w:val="1"/>
      <w:marLeft w:val="0"/>
      <w:marRight w:val="0"/>
      <w:marTop w:val="0"/>
      <w:marBottom w:val="0"/>
      <w:divBdr>
        <w:top w:val="none" w:sz="0" w:space="0" w:color="auto"/>
        <w:left w:val="none" w:sz="0" w:space="0" w:color="auto"/>
        <w:bottom w:val="none" w:sz="0" w:space="0" w:color="auto"/>
        <w:right w:val="none" w:sz="0" w:space="0" w:color="auto"/>
      </w:divBdr>
      <w:divsChild>
        <w:div w:id="179319683">
          <w:marLeft w:val="0"/>
          <w:marRight w:val="0"/>
          <w:marTop w:val="90"/>
          <w:marBottom w:val="0"/>
          <w:divBdr>
            <w:top w:val="none" w:sz="0" w:space="0" w:color="auto"/>
            <w:left w:val="none" w:sz="0" w:space="0" w:color="auto"/>
            <w:bottom w:val="none" w:sz="0" w:space="0" w:color="auto"/>
            <w:right w:val="none" w:sz="0" w:space="0" w:color="auto"/>
          </w:divBdr>
          <w:divsChild>
            <w:div w:id="455560051">
              <w:marLeft w:val="0"/>
              <w:marRight w:val="0"/>
              <w:marTop w:val="0"/>
              <w:marBottom w:val="0"/>
              <w:divBdr>
                <w:top w:val="none" w:sz="0" w:space="0" w:color="auto"/>
                <w:left w:val="none" w:sz="0" w:space="0" w:color="auto"/>
                <w:bottom w:val="none" w:sz="0" w:space="0" w:color="auto"/>
                <w:right w:val="none" w:sz="0" w:space="0" w:color="auto"/>
              </w:divBdr>
              <w:divsChild>
                <w:div w:id="594048759">
                  <w:marLeft w:val="0"/>
                  <w:marRight w:val="0"/>
                  <w:marTop w:val="0"/>
                  <w:marBottom w:val="0"/>
                  <w:divBdr>
                    <w:top w:val="none" w:sz="0" w:space="0" w:color="auto"/>
                    <w:left w:val="none" w:sz="0" w:space="0" w:color="auto"/>
                    <w:bottom w:val="none" w:sz="0" w:space="0" w:color="auto"/>
                    <w:right w:val="none" w:sz="0" w:space="0" w:color="auto"/>
                  </w:divBdr>
                  <w:divsChild>
                    <w:div w:id="546602511">
                      <w:marLeft w:val="0"/>
                      <w:marRight w:val="0"/>
                      <w:marTop w:val="0"/>
                      <w:marBottom w:val="405"/>
                      <w:divBdr>
                        <w:top w:val="none" w:sz="0" w:space="0" w:color="auto"/>
                        <w:left w:val="none" w:sz="0" w:space="0" w:color="auto"/>
                        <w:bottom w:val="none" w:sz="0" w:space="0" w:color="auto"/>
                        <w:right w:val="none" w:sz="0" w:space="0" w:color="auto"/>
                      </w:divBdr>
                      <w:divsChild>
                        <w:div w:id="1991207023">
                          <w:marLeft w:val="0"/>
                          <w:marRight w:val="0"/>
                          <w:marTop w:val="0"/>
                          <w:marBottom w:val="0"/>
                          <w:divBdr>
                            <w:top w:val="none" w:sz="0" w:space="0" w:color="auto"/>
                            <w:left w:val="none" w:sz="0" w:space="0" w:color="auto"/>
                            <w:bottom w:val="none" w:sz="0" w:space="0" w:color="auto"/>
                            <w:right w:val="none" w:sz="0" w:space="0" w:color="auto"/>
                          </w:divBdr>
                          <w:divsChild>
                            <w:div w:id="1264729335">
                              <w:marLeft w:val="0"/>
                              <w:marRight w:val="0"/>
                              <w:marTop w:val="0"/>
                              <w:marBottom w:val="0"/>
                              <w:divBdr>
                                <w:top w:val="none" w:sz="0" w:space="0" w:color="auto"/>
                                <w:left w:val="none" w:sz="0" w:space="0" w:color="auto"/>
                                <w:bottom w:val="none" w:sz="0" w:space="0" w:color="auto"/>
                                <w:right w:val="none" w:sz="0" w:space="0" w:color="auto"/>
                              </w:divBdr>
                              <w:divsChild>
                                <w:div w:id="144195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654779">
      <w:bodyDiv w:val="1"/>
      <w:marLeft w:val="0"/>
      <w:marRight w:val="0"/>
      <w:marTop w:val="0"/>
      <w:marBottom w:val="0"/>
      <w:divBdr>
        <w:top w:val="none" w:sz="0" w:space="0" w:color="auto"/>
        <w:left w:val="none" w:sz="0" w:space="0" w:color="auto"/>
        <w:bottom w:val="none" w:sz="0" w:space="0" w:color="auto"/>
        <w:right w:val="none" w:sz="0" w:space="0" w:color="auto"/>
      </w:divBdr>
    </w:div>
    <w:div w:id="200731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zu.cz/ehes201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0">
  <b:Source>
    <b:Tag>yPaIEBYO3tghxNLv</b:Tag>
    <b:SourceType>JournalArticle</b:SourceType>
    <b:Author>
      <b:Author>
        <b:NameList>
          <b:Person>
            <b:Last>Kerrison</b:Last>
            <b:First>George</b:First>
          </b:Person>
          <b:Person>
            <b:Last>Gillis</b:Last>
            <b:First>Richard B.</b:First>
          </b:Person>
          <b:Person>
            <b:Last>Jiwani</b:Last>
            <b:First>Shahwar I.</b:First>
          </b:Person>
          <b:Person>
            <b:Last>Alzahrani</b:Last>
            <b:First>Qushmua</b:First>
          </b:Person>
          <b:Person>
            <b:Last>Kok</b:Last>
            <b:First>Samil</b:First>
          </b:Person>
          <b:Person>
            <b:Last>Harding</b:Last>
            <b:First>Stephen E.</b:First>
          </b:Person>
          <b:Person>
            <b:Last>Shaw</b:Last>
            <b:First>Ian</b:First>
          </b:Person>
          <b:Person>
            <b:Last>Adams</b:Last>
            <b:First>Gary G.</b:First>
          </b:Person>
        </b:NameList>
      </b:Author>
    </b:Author>
    <b:JournalName>Journal of Diabetes Research</b:JournalName>
    <b:ISSN>23146745</b:ISSN>
    <b:Volume>vol. 2017</b:Volume>
    <b:Issue>1</b:Issue>
    <b:YearAccessed>2017-06-13</b:YearAccessed>
    <b:Year>2017</b:Year>
    <b:Medium>online</b:Medium>
    <b:Pages>1-20</b:Pages>
    <b:Title>The Effectiveness of Lifestyle Adaptation for the Prevention of Prediabetes in Adults: A Systematic Review</b:Title>
    <b:ShortTitle>The Effectiveness of Lifestyle Adaptation for the Prevention of Prediabetes in Adults</b:ShortTitle>
    <b:URL>https://www.hindawi.com/journals/jdr/2017/8493145/</b:URL>
    <b:DOI>10.1155/2017/8493145</b:DOI>
    <b:RefOrder>1</b:RefOrder>
  </b:Source>
  <b:Source>
    <b:Tag>AuUYMct7MvCSDYJV</b:Tag>
    <b:SourceType>DocumentFromInternetSite</b:SourceType>
    <b:InternetSiteTitle>WHO</b:InternetSiteTitle>
    <b:YearAccessed>2017-06-13</b:YearAccessed>
    <b:Year>.</b:Year>
    <b:City>.</b:City>
    <b:Publisher>.</b:Publisher>
    <b:Medium>online</b:Medium>
    <b:Title>WHO</b:Title>
    <b:ShortTitle>WHO</b:ShortTitle>
    <b:URL>http://www.who.int/diabetes/publications/Definition%20and%20diagnosis%20of%20diabetes_new.pdf</b:URL>
    <b:RefOrder>2</b:RefOrder>
  </b:Source>
  <b:Source>
    <b:Tag>GiepZza5Md2bIJgC</b:Tag>
    <b:SourceType>JournalArticle</b:SourceType>
    <b:JournalName>Diabetes Care</b:JournalName>
    <b:ISSN>01495992</b:ISSN>
    <b:Volume>vol. 37</b:Volume>
    <b:Issue>Supplement_1</b:Issue>
    <b:YearAccessed>2017-06-13</b:YearAccessed>
    <b:Year>2013</b:Year>
    <b:Medium>online</b:Medium>
    <b:Pages>S81-S90</b:Pages>
    <b:Title>Diagnosis and Classification of Diabetes Mellitus</b:Title>
    <b:ShortTitle>Diagnosis and Classification of Diabetes Mellitus</b:ShortTitle>
    <b:URL>http://care.diabetesjournals.org/cgi/doi/10.2337/dc14-S081</b:URL>
    <b:DOI>10.2337/dc14-S081</b:DOI>
    <b:RefOrder>3</b:RefOrder>
  </b:Source>
  <b:Source>
    <b:Tag>ExB4MsQ3dACsHFTj</b:Tag>
    <b:SourceType>JournalArticle</b:SourceType>
    <b:Author>
      <b:Author>
        <b:NameList xmlns:msxsl="urn:schemas-microsoft-com:xslt" xmlns:b="http://schemas.openxmlformats.org/officeDocument/2006/bibliography">
          <b:Person>
            <b:Last>Goldenberg</b:Last>
            <b:First>Ronald</b:First>
            <b:Middle/>
          </b:Person>
          <b:Person>
            <b:Last>Punthakee</b:Last>
            <b:First>Zubin</b:First>
            <b:Middle/>
          </b:Person>
        </b:NameList>
      </b:Author>
    </b:Author>
    <b:JournalName>Canadian Journal of Diabetes</b:JournalName>
    <b:ISSN>14992671</b:ISSN>
    <b:Volume>vol. 37</b:Volume>
    <b:Issue>37</b:Issue>
    <b:YearAccessed>2017-06-13</b:YearAccessed>
    <b:Year>2013</b:Year>
    <b:Medium>online</b:Medium>
    <b:Pages>S8-S11</b:Pages>
    <b:Title>Definition, Classification and Diagnosis of Diabetes, Prediabetes and Metabolic Syndrome</b:Title>
    <b:ShortTitle>Definition, Classification and Diagnosis of Diabetes, Prediabetes and Metabolic Syndrome</b:ShortTitle>
    <b:URL>http://linkinghub.elsevier.com/retrieve/pii/S1499267113000129</b:URL>
    <b:DOI>10.1016/j.jcjd.2013.01.011</b:DOI>
    <b:RefOrder>4</b:RefOrder>
  </b:Source>
  <b:Source>
    <b:Tag>JesN1N9NB9OHA9Dl</b:Tag>
    <b:SourceType>Book</b:SourceType>
    <b:Author>
      <b:Author>
        <b:NameList xmlns:msxsl="urn:schemas-microsoft-com:xslt" xmlns:b="http://schemas.openxmlformats.org/officeDocument/2006/bibliography">
          <b:Person>
            <b:Last>Karen</b:Last>
            <b:First>Igor</b:First>
            <b:Middle/>
          </b:Person>
          <b:Person>
            <b:Last>Svačina</b:Last>
            <b:First>Štěpán</b:First>
            <b:Middle/>
          </b:Person>
        </b:NameList>
      </b:Author>
    </b:Author>
    <b:ISBN>9788086998787</b:ISBN>
    <b:Year>2016</b:Year>
    <b:Edition>1.</b:Edition>
    <b:City>Praha</b:City>
    <b:Publisher>Centrum doporučených postupů pro praktické lékaře, Společnost všeobecného lékařství</b:Publisher>
    <b:CollectionTitle>Doporučené postupy pro všeobecné praktické lékaře</b:CollectionTitle>
    <b:Title>Prediabetes</b:Title>
    <b:ShortTitle>Prediabetes</b:ShortTitle>
    <b:RefOrder>5</b:RefOrder>
  </b:Source>
  <b:Source>
    <b:Tag>lxc0pkHKodBH5nJR</b:Tag>
    <b:SourceType>JournalArticle</b:SourceType>
    <b:Author>
      <b:Author>
        <b:NameList>
          <b:Person>
            <b:Last>Sohler</b:Last>
            <b:First>Nancy</b:First>
          </b:Person>
          <b:Person>
            <b:Last>Matti-Orozco</b:Last>
            <b:First>Brenda</b:First>
          </b:Person>
          <b:Person>
            <b:Last>Young</b:Last>
            <b:First>Edwin</b:First>
          </b:Person>
          <b:Person>
            <b:Last>Li</b:Last>
            <b:First>Xuan</b:First>
          </b:Person>
          <b:Person>
            <b:Last>Gregg</b:Last>
            <b:First>Edward W.</b:First>
          </b:Person>
          <b:Person>
            <b:Last>Ali</b:Last>
            <b:First>Mohammed K.</b:First>
          </b:Person>
          <b:Person>
            <b:Last>Bullard</b:Last>
            <b:First>Kai McKeever</b:First>
          </b:Person>
          <b:Person>
            <b:Last>Albu</b:Last>
            <b:First>Jeanine B.</b:First>
          </b:Person>
        </b:NameList>
      </b:Author>
    </b:Author>
    <b:JournalName>Endocrine Practice</b:JournalName>
    <b:ISSN>1530891x</b:ISSN>
    <b:Volume>vol. 22</b:Volume>
    <b:Issue>issue 2</b:Issue>
    <b:YearAccessed>2017-06-14</b:YearAccessed>
    <b:Year>2016</b:Year>
    <b:Medium>online</b:Medium>
    <b:Pages>143-150</b:Pages>
    <b:Title>OPPORTUNISTIC SCREENING FOR DIABETES AND PREDIABETES USING HEMOGLOBIN A1C IN AN URBAN PRIMARY CARE SETTING</b:Title>
    <b:ShortTitle>OPPORTUNISTIC SCREENING FOR DIABETES AND PREDIABETES USING HEMOGLOBIN A1C IN AN URBAN PRIMARY CARE SETTING</b:ShortTitle>
    <b:URL>http://journals.aace.com/doi/10.4158/EP15866.OR</b:URL>
    <b:DOI>10.4158/EP15866.OR</b:DOI>
    <b:RefOrder>6</b:RefOrder>
  </b:Source>
  <b:Source>
    <b:Tag>O9rIfiypuVLGHNoW</b:Tag>
    <b:SourceType>JournalArticle</b:SourceType>
    <b:Author>
      <b:Author>
        <b:NameList>
          <b:Person>
            <b:Last>Jeon</b:Last>
            <b:First>Ja Young</b:First>
          </b:Person>
          <b:Person>
            <b:Last>Ko</b:Last>
            <b:First>Seung-Hyun</b:First>
          </b:Person>
          <b:Person>
            <b:Last>Kwon</b:Last>
            <b:First>Hyuk-Sang</b:First>
          </b:Person>
          <b:Person>
            <b:Last>Kim</b:Last>
            <b:First>Nan Hee</b:First>
          </b:Person>
          <b:Person>
            <b:Last>Kim</b:Last>
            <b:First>Jae Hyeon</b:First>
          </b:Person>
          <b:Person>
            <b:Last>Kim</b:Last>
            <b:First>Chul Sik</b:First>
          </b:Person>
          <b:Person>
            <b:Last>Song</b:Last>
            <b:First>Kee-Ho</b:First>
          </b:Person>
          <b:Person>
            <b:Last>Won</b:Last>
            <b:First>Jong Chul</b:First>
          </b:Person>
          <b:Person>
            <b:Last>Lim</b:Last>
            <b:First>Soo</b:First>
          </b:Person>
          <b:Person>
            <b:Last>Choi</b:Last>
            <b:First>Sung Hee</b:First>
          </b:Person>
          <b:Person>
            <b:Last>Jang</b:Last>
            <b:First>Myoung-jin</b:First>
          </b:Person>
          <b:Person>
            <b:Last>Kim</b:Last>
            <b:First>Yuna</b:First>
          </b:Person>
          <b:Person>
            <b:Last>Oh</b:Last>
            <b:First>Kyungwon</b:First>
          </b:Person>
          <b:Person>
            <b:Last>Kim</b:Last>
            <b:First>Dae Jung</b:First>
          </b:Person>
          <b:Person>
            <b:Last>Cha</b:Last>
            <b:First>Bong-Yun</b:First>
          </b:Person>
        </b:NameList>
      </b:Author>
    </b:Author>
    <b:JournalName>Diabetes &amp; Metabolism Journal</b:JournalName>
    <b:ISSN>22336079</b:ISSN>
    <b:Volume>vol. 37</b:Volume>
    <b:Issue>issue 5</b:Issue>
    <b:YearAccessed>2017-06-14</b:YearAccessed>
    <b:Year>2013</b:Year>
    <b:Medium>online</b:Medium>
    <b:Pages>349-</b:Pages>
    <b:Title>Prevalence of Diabetes and Prediabetes according to Fasting Plasma Glucose and HbA1c</b:Title>
    <b:ShortTitle>Prevalence of Diabetes and Prediabetes according to Fasting Plasma Glucose and HbA1c</b:ShortTitle>
    <b:URL>https://synapse.koreamed.org/DOIx.php?id=10.4093/dmj.2013.37.5.349</b:URL>
    <b:DOI>10.4093/dmj.2013.37.5.349</b:DOI>
    <b:RefOrder>7</b:RefOrder>
  </b:Source>
  <b:Source>
    <b:Tag>lsVajMknRzArUTpn</b:Tag>
    <b:SourceType>JournalArticle</b:SourceType>
    <b:Author>
      <b:Author>
        <b:NameList>
          <b:Person>
            <b:Last>Kim</b:Last>
            <b:First>Chul-Hee</b:First>
          </b:Person>
          <b:Person>
            <b:Last>Kim</b:Last>
            <b:First>Hong-Kyu</b:First>
          </b:Person>
          <b:Person>
            <b:Last>Kim</b:Last>
            <b:First>Bo-Yeon</b:First>
          </b:Person>
          <b:Person>
            <b:Last>Jung</b:Last>
            <b:First>Chan-Hee</b:First>
          </b:Person>
          <b:Person>
            <b:Last>Mok</b:Last>
            <b:First>Ji-Oh</b:First>
          </b:Person>
          <b:Person>
            <b:Last>Kang</b:Last>
            <b:First>Sung-Koo</b:First>
          </b:Person>
        </b:NameList>
      </b:Author>
    </b:Author>
    <b:JournalName>Journal of Diabetes Investigation</b:JournalName>
    <b:ISSN>20401116</b:ISSN>
    <b:Volume>vol. 6</b:Volume>
    <b:Issue>issue 1</b:Issue>
    <b:YearAccessed>2017-06-14</b:YearAccessed>
    <b:Year>2015</b:Year>
    <b:Medium>online</b:Medium>
    <b:Pages>51-55</b:Pages>
    <b:Title>Impact of hemoglobin A1c-based criterion on diagnosis of prediabetes: The Korea National Health and Nutrition Examination Survey 2011</b:Title>
    <b:ShortTitle>Impact of hemoglobin A1c-based criterion on diagnosis of prediabetes</b:ShortTitle>
    <b:URL>http://doi.wiley.com/10.1111/jdi.12245</b:URL>
    <b:DOI>10.1111/jdi.12245</b:DOI>
    <b:RefOrder>8</b:RefOrder>
  </b:Source>
  <b:Source>
    <b:Tag>Q4aqCoox7dYmhI8J</b:Tag>
    <b:SourceType>JournalArticle</b:SourceType>
    <b:Author>
      <b:Author>
        <b:NameList>
          <b:Person>
            <b:Last>K.A.M</b:Last>
            <b:First>White</b:First>
          </b:Person>
          <b:Person>
            <b:Last>S</b:Last>
            <b:First>Daneshvari S</b:First>
          </b:Person>
          <b:Person>
            <b:Last>J</b:Last>
            <b:First>Lilyquist</b:First>
          </b:Person>
          <b:Person>
            <b:Last>L</b:Last>
            <b:First>Luo</b:First>
          </b:Person>
          <b:Person>
            <b:Last>L.E</b:Last>
            <b:First>Steffen</b:First>
          </b:Person>
          <b:Person>
            <b:Last>A</b:Last>
            <b:First>Bivin</b:First>
          </b:Person>
          <b:Person>
            <b:Last>N</b:Last>
            <b:First>Gurule</b:First>
          </b:Person>
          <b:Person>
            <b:Last>S.M</b:Last>
            <b:First>Torres</b:First>
          </b:Person>
          <b:Person>
            <b:Last>R</b:Last>
            <b:First>Lindeman</b:First>
          </b:Person>
          <b:Person>
            <b:Last>S</b:Last>
            <b:First>Sankarappan</b:First>
          </b:Person>
          <b:Person>
            <b:Last>M</b:Last>
            <b:First>Berwick</b:First>
          </b:Person>
        </b:NameList>
      </b:Author>
    </b:Author>
    <b:JournalName>International Journal of Diabetology &amp; Vascular Disease Research</b:JournalName>
    <b:ISSN>2328353x</b:ISSN>
    <b:Volume>2015</b:Volume>
    <b:Issue>1</b:Issue>
    <b:YearAccessed>2017-06-14</b:YearAccessed>
    <b:Year>2015</b:Year>
    <b:Medium>online</b:Medium>
    <b:Pages>1-7</b:Pages>
    <b:Title>Prediabetes: The Variation between HbA1c and Fasting Plasma Glucose</b:Title>
    <b:ShortTitle>Prediabetes</b:ShortTitle>
    <b:URL>http://scidoc.org/specialissues/IJDVR/S2/IJDVR-2328-353X-S2-001.pdf</b:URL>
    <b:DOI>10.19070/2328-353X-SI02001</b:DOI>
    <b:RefOrder>9</b:RefOrder>
  </b:Source>
  <b:Source>
    <b:Tag>0xrjkNobaLTrJf97</b:Tag>
    <b:SourceType>JournalArticle</b:SourceType>
    <b:JournalName>J Res Med Sci.</b:JournalName>
    <b:Volume>2014</b:Volume>
    <b:Issue>.</b:Issue>
    <b:YearAccessed>2017-06-14</b:YearAccessed>
    <b:Year>2014</b:Year>
    <b:Medium>online</b:Medium>
    <b:Pages>.</b:Pages>
    <b:Title>The performance of hemoglobin A1c against fasting plasma glucose and oral glucose tolerance test in detecting prediabetes and diabetes</b:Title>
    <b:ShortTitle>The performance of hemoglobin A1c against fasting plasma glucose and oral glucose tolerance test in detecting prediabetes and diabetes</b:ShortTitle>
    <b:URL>https://www.ncbi.nlm.nih.gov/pubmed/25657750</b:URL>
    <b:RefOrder>10</b:RefOrder>
  </b:Source>
  <b:Source>
    <b:Tag>Qja7gJoQYK2tweki</b:Tag>
    <b:SourceType>JournalArticle</b:SourceType>
    <b:Author>
      <b:Author>
        <b:NameList>
          <b:Person>
            <b:Last>Guo</b:Last>
            <b:First>Fangjian</b:First>
          </b:Person>
          <b:Person>
            <b:Last>Moellering</b:Last>
            <b:First>Douglas R.</b:First>
          </b:Person>
          <b:Person>
            <b:Last>Garvey</b:Last>
            <b:First>W. Timothy</b:First>
          </b:Person>
        </b:NameList>
      </b:Author>
    </b:Author>
    <b:JournalName>Metabolic Syndrome and Related Disorders</b:JournalName>
    <b:ISSN>15404196</b:ISSN>
    <b:Volume>vol. 12</b:Volume>
    <b:Issue>issue 5</b:Issue>
    <b:YearAccessed>2017-06-14</b:YearAccessed>
    <b:Year>2014</b:Year>
    <b:Medium>online</b:Medium>
    <b:Pages>258-268</b:Pages>
    <b:Title>Use of HbA1c for Diagnoses of Diabetes and Prediabetes: Comparison with Diagnoses Based on Fasting and 2-Hr Glucose Values and Effects of Gender, Race, and Age</b:Title>
    <b:ShortTitle>Use of HbA1c for Diagnoses of Diabetes and Prediabetes</b:ShortTitle>
    <b:URL>http://online.liebertpub.com/doi/abs/10.1089/met.2013.0128</b:URL>
    <b:DOI>10.1089/met.2013.0128</b:DOI>
    <b:RefOrder>11</b:RefOrder>
  </b:Source>
  <b:Source>
    <b:Tag>geoCsjGxkmD4K778</b:Tag>
    <b:SourceType>JournalArticle</b:SourceType>
    <b:Author>
      <b:Author>
        <b:NameList>
          <b:Person>
            <b:Last>Chilelli</b:Last>
            <b:First>Nino Cristiano</b:First>
          </b:Person>
          <b:Person>
            <b:Last>Cosma</b:Last>
            <b:First>Chiara</b:First>
          </b:Person>
          <b:Person>
            <b:Last>Ragazzi</b:Last>
            <b:First>Eugenio</b:First>
          </b:Person>
          <b:Person>
            <b:Last>Burlina</b:Last>
            <b:First>Silvia</b:First>
          </b:Person>
          <b:Person>
            <b:Last>Zaninotto</b:Last>
            <b:First>Martina</b:First>
          </b:Person>
          <b:Person>
            <b:Last>Plebani</b:Last>
            <b:First>Mario</b:First>
          </b:Person>
          <b:Person>
            <b:Last>Lapolla</b:Last>
            <b:First>Annunziata</b:First>
          </b:Person>
        </b:NameList>
      </b:Author>
    </b:Author>
    <b:JournalName>Acta Diabetologica</b:JournalName>
    <b:ISSN>09405429</b:ISSN>
    <b:Volume>vol. 51</b:Volume>
    <b:Issue>issue 5</b:Issue>
    <b:YearAccessed>2017-06-14</b:YearAccessed>
    <b:Year>2014</b:Year>
    <b:Medium>online</b:Medium>
    <b:Pages>875-882</b:Pages>
    <b:Title>Screening with HbA1c identifies only one in two individuals with diagnosis of prediabetes at oral glucose tolerance test: findings in a real-world Caucasian population</b:Title>
    <b:ShortTitle>Screening with HbA1c identifies only one in two individuals with diagnosis of prediabetes at oral glucose tolerance test</b:ShortTitle>
    <b:URL>http://link.springer.com/10.1007/s00592-014-0639-2</b:URL>
    <b:DOI>10.1007/s00592-014-0639-2</b:DOI>
    <b:RefOrder>12</b:RefOrder>
  </b:Source>
  <b:Source>
    <b:Tag>6o8PoHHBiLo43aFQ</b:Tag>
    <b:SourceType>ConferenceProceedings</b:SourceType>
    <b:ConferenceName>Use of Glycated Haemoglobin (HbA1c) in the Diagnosis of Diabetes Mellitus</b:ConferenceName>
    <b:YearAccessed>2017-06-14</b:YearAccessed>
    <b:Year>2011</b:Year>
    <b:City>WHO</b:City>
    <b:Publisher>WHO</b:Publisher>
    <b:Medium>online</b:Medium>
    <b:Pages>25</b:Pages>
    <b:Title>Use of Glycated Haemoglobin (HbA1c) in the Diagnosis of Diabetes Mellitus</b:Title>
    <b:ShortTitle>Use of Glycated Haemoglobin (HbA1c) in the Diagnosis of Diabetes Mellitus</b:ShortTitle>
    <b:RefOrder>13</b:RefOrder>
  </b:Source>
  <b:Source>
    <b:Tag>Xa4tOU9BBJbf3CS5</b:Tag>
    <b:SourceType>JournalArticle</b:SourceType>
    <b:JournalName>Diabetes Care</b:JournalName>
    <b:ISSN>01495992</b:ISSN>
    <b:Volume>vol. 30</b:Volume>
    <b:Issue>issue 9</b:Issue>
    <b:YearAccessed>2017-06-14</b:YearAccessed>
    <b:Year>2007</b:Year>
    <b:Medium>online</b:Medium>
    <b:Pages>2399-2400</b:Pages>
    <b:Title>Consensus Statement on the Worldwide Standardization of the Hemoglobin A1C Measurement: The American Diabetes Association, European Association for the Study of Diabetes, International Federation of Clinical Chemistry and Laboratory Medicine, and the International Diabetes Federation</b:Title>
    <b:ShortTitle>Consensus Statement on the Worldwide Standardization of the Hemoglobin A1C Measurement</b:ShortTitle>
    <b:URL>http://care.diabetesjournals.org/cgi/doi/10.2337/dc07-9925</b:URL>
    <b:DOI>10.2337/dc07-9925</b:DOI>
    <b:RefOrder>14</b:RefOrder>
  </b:Source>
  <b:Source>
    <b:Tag>juZQ9dQfaHds9oII</b:Tag>
    <b:SourceType>JournalArticle</b:SourceType>
    <b:Author>
      <b:Author>
        <b:NameList>
          <b:Person>
            <b:Last>Fonville</b:Last>
            <b:First>Susanne</b:First>
          </b:Person>
          <b:Person>
            <b:Last>Zandbergen</b:Last>
            <b:First>Adrienne A.M.</b:First>
          </b:Person>
          <b:Person>
            <b:Last>Koudstaal</b:Last>
            <b:First>Peter J.</b:First>
          </b:Person>
          <b:Person>
            <b:Last>den Hertog</b:Last>
            <b:First>Heleen M.</b:First>
          </b:Person>
        </b:NameList>
      </b:Author>
    </b:Author>
    <b:JournalName>Cerebrovascular Diseases</b:JournalName>
    <b:ISSN>10159770</b:ISSN>
    <b:Volume>vol. 37</b:Volume>
    <b:Issue>issue 6</b:Issue>
    <b:YearAccessed>2017-06-13</b:YearAccessed>
    <b:Year>2014</b:Year>
    <b:Medium>online</b:Medium>
    <b:Pages>393-400</b:Pages>
    <b:Title>Prediabetes in Patients with Stroke or Transient Ischemic Attack: Prevalence, Risk and Clinical Management</b:Title>
    <b:ShortTitle>Prediabetes in Patients with Stroke or Transient Ischemic Attack</b:ShortTitle>
    <b:URL>https://www.karger.com/?doi=10.1159/000360810</b:URL>
    <b:DOI>10.1159/000360810</b:DOI>
    <b:RefOrder>15</b:RefOrder>
  </b:Source>
  <b:Source>
    <b:Tag>9fne6UzSWmDpHCEP</b:Tag>
    <b:SourceType>Book</b:SourceType>
    <b:Author>
      <b:Author>
        <b:NameList xmlns:msxsl="urn:schemas-microsoft-com:xslt" xmlns:b="http://schemas.openxmlformats.org/officeDocument/2006/bibliography">
          <b:Person>
            <b:Last>Roglic</b:Last>
            <b:First>Gojka</b:First>
            <b:Middle/>
          </b:Person>
        </b:NameList>
      </b:Author>
    </b:Author>
    <b:ISBN>9789241565257</b:ISBN>
    <b:Year>2016</b:Year>
    <b:Edition>1.</b:Edition>
    <b:City>France</b:City>
    <b:Publisher>World Health Organization</b:Publisher>
    <b:Title>Global report on diabetes</b:Title>
    <b:ShortTitle>Global report on diabetes</b:ShortTitle>
    <b:RefOrder>16</b:RefOrder>
  </b:Source>
  <b:Source>
    <b:Tag>BvFLpbx377TEVhHf</b:Tag>
    <b:SourceType>JournalArticle</b:SourceType>
    <b:Author>
      <b:Author>
        <b:NameList xmlns:msxsl="urn:schemas-microsoft-com:xslt" xmlns:b="http://schemas.openxmlformats.org/officeDocument/2006/bibliography">
          <b:Person>
            <b:Last>Danaei</b:Last>
            <b:First>Goodarz</b:First>
            <b:Middle/>
          </b:Person>
          <b:Person>
            <b:Last>Finucane</b:Last>
            <b:First>Mariel</b:First>
            <b:Middle>M</b:Middle>
          </b:Person>
          <b:Person>
            <b:Last>Lu</b:Last>
            <b:First>Yuan</b:First>
            <b:Middle/>
          </b:Person>
          <b:Person>
            <b:Last>Singh</b:Last>
            <b:First>Gitanjali</b:First>
            <b:Middle>M</b:Middle>
          </b:Person>
          <b:Person>
            <b:Last>Cowan</b:Last>
            <b:First>Melanie</b:First>
            <b:Middle>J</b:Middle>
          </b:Person>
          <b:Person>
            <b:Last>Paciorek</b:Last>
            <b:First>Christopher</b:First>
            <b:Middle>J</b:Middle>
          </b:Person>
          <b:Person>
            <b:Last>Lin</b:Last>
            <b:First>John</b:First>
            <b:Middle>K</b:Middle>
          </b:Person>
          <b:Person>
            <b:Last>Farzadfar</b:Last>
            <b:First>Farshad</b:First>
            <b:Middle/>
          </b:Person>
          <b:Person>
            <b:Last>Khang</b:Last>
            <b:First>Young-Ho</b:First>
            <b:Middle/>
          </b:Person>
          <b:Person>
            <b:Last>Stevens</b:Last>
            <b:First>Gretchen</b:First>
            <b:Middle>A</b:Middle>
          </b:Person>
          <b:Person>
            <b:Last>Rao</b:Last>
            <b:First>Mayuree</b:First>
            <b:Middle/>
          </b:Person>
          <b:Person>
            <b:Last>Ali</b:Last>
            <b:First>Mohammed</b:First>
            <b:Middle>K</b:Middle>
          </b:Person>
          <b:Person>
            <b:Last>Riley</b:Last>
            <b:First>Leanne</b:First>
            <b:Middle>M</b:Middle>
          </b:Person>
          <b:Person>
            <b:Last>Robinson</b:Last>
            <b:First>Carolyn</b:First>
            <b:Middle>A</b:Middle>
          </b:Person>
          <b:Person>
            <b:Last>Ezzati</b:Last>
            <b:First>Majid</b:First>
            <b:Middle/>
          </b:Person>
        </b:NameList>
      </b:Author>
    </b:Author>
    <b:JournalName>The Lancet</b:JournalName>
    <b:ISSN>01406736</b:ISSN>
    <b:Volume>vol. 378</b:Volume>
    <b:Issue>issue 9785</b:Issue>
    <b:YearAccessed>2017-07-16</b:YearAccessed>
    <b:Year>2011</b:Year>
    <b:Medium>online</b:Medium>
    <b:Pages>31-40</b:Pages>
    <b:Title>National, regional, and global trends in fasting plasma glucose and diabetes prevalence since 1980: systematic analysis of health examination surveys and epidemiological studies with 370 country-years and 2·7 million participants</b:Title>
    <b:ShortTitle>National, regional, and global trends in fasting plasma glucose and diabetes prevalence since 1980</b:ShortTitle>
    <b:URL>http://linkinghub.elsevier.com/retrieve/pii/S014067361160679X</b:URL>
    <b:DOI>10.1016/S0140-6736(11)60679-X</b:DOI>
    <b:RefOrder>17</b:RefOrder>
  </b:Source>
  <b:Source>
    <b:Tag>Rtx5e3Oqo4fcKv1Q</b:Tag>
    <b:SourceType>JournalArticle</b:SourceType>
    <b:Author>
      <b:Author>
        <b:NameList xmlns:msxsl="urn:schemas-microsoft-com:xslt" xmlns:b="http://schemas.openxmlformats.org/officeDocument/2006/bibliography">
          <b:Person>
            <b:Last>Tabák</b:Last>
            <b:First>Adam</b:First>
            <b:Middle>G</b:Middle>
          </b:Person>
          <b:Person>
            <b:Last>Herder</b:Last>
            <b:First>Christian</b:First>
            <b:Middle/>
          </b:Person>
          <b:Person>
            <b:Last>Rathmann</b:Last>
            <b:First>Wolfgang</b:First>
            <b:Middle/>
          </b:Person>
          <b:Person>
            <b:Last>Brunner</b:Last>
            <b:First>Eric</b:First>
            <b:Middle>J</b:Middle>
          </b:Person>
          <b:Person>
            <b:Last>Kivimäki</b:Last>
            <b:First>Mika</b:First>
            <b:Middle/>
          </b:Person>
        </b:NameList>
      </b:Author>
    </b:Author>
    <b:JournalName>The Lancet</b:JournalName>
    <b:ISSN>01406736</b:ISSN>
    <b:Volume>vol. 379</b:Volume>
    <b:Issue>issue 9833</b:Issue>
    <b:YearAccessed>2017-07-16</b:YearAccessed>
    <b:Year>2012</b:Year>
    <b:Medium>online</b:Medium>
    <b:Pages>2279-2290</b:Pages>
    <b:Title>Prediabetes: a high-risk state for diabetes development</b:Title>
    <b:ShortTitle>Prediabetes</b:ShortTitle>
    <b:URL>http://linkinghub.elsevier.com/retrieve/pii/S0140673612602839</b:URL>
    <b:DOI>10.1016/S0140-6736(12)60283-9</b:DOI>
    <b:RefOrder>18</b:RefOrder>
  </b:Source>
  <b:Source>
    <b:Tag>HCdNGXmgmwMlufJs</b:Tag>
    <b:SourceType>Book</b:SourceType>
    <b:ISBN>IDF atlas</b:ISBN>
    <b:ISSN>IDF atlas</b:ISSN>
    <b:Year>2015</b:Year>
    <b:City>Brussels, Belgium</b:City>
    <b:Publisher>International Diabetes Federation</b:Publisher>
    <b:Title>IDF Diabetes Atlas, 7th edn</b:Title>
    <b:ShortTitle>IDF Diabetes Atlas, 7th edn</b:ShortTitle>
    <b:RefOrder>19</b:RefOrder>
  </b:Source>
  <b:Source>
    <b:Tag>ofOB77ZFTH7woewL</b:Tag>
    <b:SourceType>JournalArticle</b:SourceType>
    <b:Author>
      <b:Author>
        <b:NameList xmlns:msxsl="urn:schemas-microsoft-com:xslt" xmlns:b="http://schemas.openxmlformats.org/officeDocument/2006/bibliography">
          <b:Person>
            <b:Last>Fonville</b:Last>
            <b:First>Susanne</b:First>
            <b:Middle/>
          </b:Person>
          <b:Person>
            <b:Last>Zandbergen</b:Last>
            <b:First>Adrienne</b:First>
            <b:Middle>A.M.</b:Middle>
          </b:Person>
          <b:Person>
            <b:Last>Koudstaal</b:Last>
            <b:First>Peter</b:First>
            <b:Middle>J.</b:Middle>
          </b:Person>
          <b:Person>
            <b:Last>den Hertog</b:Last>
            <b:First>Heleen</b:First>
            <b:Middle>M.</b:Middle>
          </b:Person>
        </b:NameList>
      </b:Author>
    </b:Author>
    <b:JournalName>Cerebrovascular Diseases</b:JournalName>
    <b:ISSN>10159770</b:ISSN>
    <b:Volume>vol. 37</b:Volume>
    <b:Issue>issue 6</b:Issue>
    <b:YearAccessed>2017-07-16</b:YearAccessed>
    <b:Year>2014</b:Year>
    <b:Medium>online</b:Medium>
    <b:Pages>393-400</b:Pages>
    <b:Title>Prediabetes in Patients with Stroke or Transient Ischemic Attack: Prevalence, Risk and Clinical Management</b:Title>
    <b:ShortTitle>Prediabetes in Patients with Stroke or Transient Ischemic Attack</b:ShortTitle>
    <b:URL>https://www.karger.com/?doi=10.1159/000360810</b:URL>
    <b:DOI>10.1159/000360810</b:DOI>
    <b:RefOrder>20</b:RefOrder>
  </b:Source>
  <b:Source>
    <b:Tag>RR0KvTmPk86UM7Dd</b:Tag>
    <b:SourceType>JournalArticle</b:SourceType>
    <b:Author>
      <b:Author>
        <b:NameList xmlns:msxsl="urn:schemas-microsoft-com:xslt" xmlns:b="http://schemas.openxmlformats.org/officeDocument/2006/bibliography">
          <b:Person>
            <b:Last>Cowie</b:Last>
            <b:First>C.</b:First>
            <b:Middle>C.</b:Middle>
          </b:Person>
          <b:Person>
            <b:Last>Rust</b:Last>
            <b:First>K.</b:First>
            <b:Middle>F.</b:Middle>
          </b:Person>
          <b:Person>
            <b:Last>Ford</b:Last>
            <b:First>E.</b:First>
            <b:Middle>S.</b:Middle>
          </b:Person>
          <b:Person>
            <b:Last>Eberhardt</b:Last>
            <b:First>M.</b:First>
            <b:Middle>S.</b:Middle>
          </b:Person>
          <b:Person>
            <b:Last>Byrd-Holt</b:Last>
            <b:First>D.</b:First>
            <b:Middle>D.</b:Middle>
          </b:Person>
          <b:Person>
            <b:Last>Li</b:Last>
            <b:First>C.</b:First>
            <b:Middle/>
          </b:Person>
          <b:Person>
            <b:Last>Williams</b:Last>
            <b:First>D.</b:First>
            <b:Middle>E.</b:Middle>
          </b:Person>
          <b:Person>
            <b:Last>Gregg</b:Last>
            <b:First>E.</b:First>
            <b:Middle>W.</b:Middle>
          </b:Person>
          <b:Person>
            <b:Last>Bainbridge</b:Last>
            <b:First>K.</b:First>
            <b:Middle>E.</b:Middle>
          </b:Person>
          <b:Person>
            <b:Last>Saydah</b:Last>
            <b:First>S.</b:First>
            <b:Middle>H.</b:Middle>
          </b:Person>
          <b:Person>
            <b:Last>Geiss</b:Last>
            <b:First>L.</b:First>
            <b:Middle>S.</b:Middle>
          </b:Person>
        </b:NameList>
      </b:Author>
    </b:Author>
    <b:JournalName>Diabetes Care</b:JournalName>
    <b:ISSN>01495992</b:ISSN>
    <b:Volume>vol. 32</b:Volume>
    <b:Issue>issue 2</b:Issue>
    <b:YearAccessed>2017-07-16</b:YearAccessed>
    <b:Year>2009</b:Year>
    <b:Medium>online</b:Medium>
    <b:Pages>287-294</b:Pages>
    <b:Title>Full Accounting of Diabetes and Pre-Diabetes in the U.S. Population in 1988-1994 and 2005-2006</b:Title>
    <b:ShortTitle>Full Accounting of Diabetes and Pre-Diabetes in the U.S. Population in 1988-1994 and 2005-2006</b:ShortTitle>
    <b:URL>http://care.diabetesjournals.org/cgi/doi/10.2337/dc08-1296</b:URL>
    <b:DOI>10.2337/dc08-1296</b:DOI>
    <b:RefOrder>21</b:RefOrder>
  </b:Source>
  <b:Source>
    <b:Tag>A4lyX4Iv5hNQJplu</b:Tag>
    <b:SourceType>Report</b:SourceType>
    <b:Year>2014</b:Year>
    <b:YearAccessed>2017-07-16</b:YearAccessed>
    <b:City>Atlanta USA</b:City>
    <b:Medium>online</b:Medium>
    <b:Title>National Diabetes Statistics Report</b:Title>
    <b:ShortTitle>National Diabetes Statistics Report</b:ShortTitle>
    <b:URL>https://www.cdc.gov/diabetes/pubs/statsreport14/national-diabetes-report-web.pdf</b:URL>
    <b:RefOrder>22</b:RefOrder>
  </b:Source>
  <b:Source>
    <b:Tag>AjMcw647YgHOtY5q</b:Tag>
    <b:SourceType>JournalArticle</b:SourceType>
    <b:Author>
      <b:Author>
        <b:NameList xmlns:msxsl="urn:schemas-microsoft-com:xslt" xmlns:b="http://schemas.openxmlformats.org/officeDocument/2006/bibliography">
          <b:Person>
            <b:Last>Bullard</b:Last>
            <b:First>K.</b:First>
            <b:Middle>M.</b:Middle>
          </b:Person>
          <b:Person>
            <b:Last>Saydah</b:Last>
            <b:First>S.</b:First>
            <b:Middle>H.</b:Middle>
          </b:Person>
          <b:Person>
            <b:Last>Imperatore</b:Last>
            <b:First>G.</b:First>
            <b:Middle/>
          </b:Person>
          <b:Person>
            <b:Last>Cowie</b:Last>
            <b:First>C.</b:First>
            <b:Middle>C.</b:Middle>
          </b:Person>
          <b:Person>
            <b:Last>Gregg</b:Last>
            <b:First>E.</b:First>
            <b:Middle>W.</b:Middle>
          </b:Person>
          <b:Person>
            <b:Last>Geiss</b:Last>
            <b:First>L.</b:First>
            <b:Middle>S.</b:Middle>
          </b:Person>
          <b:Person>
            <b:Last>Cheng</b:Last>
            <b:First>Y.</b:First>
            <b:Middle>J.</b:Middle>
          </b:Person>
          <b:Person>
            <b:Last>Rolka</b:Last>
            <b:First>D.</b:First>
            <b:Middle>B.</b:Middle>
          </b:Person>
          <b:Person>
            <b:Last>Williams</b:Last>
            <b:First>D.</b:First>
            <b:Middle>E.</b:Middle>
          </b:Person>
          <b:Person>
            <b:Last>Caspersen</b:Last>
            <b:First>C.</b:First>
            <b:Middle>J.</b:Middle>
          </b:Person>
        </b:NameList>
      </b:Author>
    </b:Author>
    <b:JournalName>Diabetes Care</b:JournalName>
    <b:ISSN>01495992</b:ISSN>
    <b:Volume>vol. 36</b:Volume>
    <b:Issue>issue 8</b:Issue>
    <b:YearAccessed>2017-07-16</b:YearAccessed>
    <b:Year>2013</b:Year>
    <b:Medium>online</b:Medium>
    <b:Pages>2286-2293</b:Pages>
    <b:Title>Secular Changes in U.S. Prediabetes Prevalence Defined by Hemoglobin A1c and Fasting Plasma Glucose: National Health and Nutrition Examination Surveys, 1999-2010</b:Title>
    <b:ShortTitle>Secular Changes in U.S. Prediabetes Prevalence Defined by Hemoglobin A1c and Fasting Plasma Glucose</b:ShortTitle>
    <b:URL>http://care.diabetesjournals.org/cgi/doi/10.2337/dc12-2563</b:URL>
    <b:DOI>10.2337/dc12-2563</b:DOI>
    <b:RefOrder>23</b:RefOrder>
  </b:Source>
  <b:Source>
    <b:Tag>BBSWpQgQtpwnfO1W</b:Tag>
    <b:SourceType>JournalArticle</b:SourceType>
    <b:Author>
      <b:Author>
        <b:NameList xmlns:msxsl="urn:schemas-microsoft-com:xslt" xmlns:b="http://schemas.openxmlformats.org/officeDocument/2006/bibliography">
          <b:Person>
            <b:Last>Heidemann</b:Last>
            <b:First>C.</b:First>
            <b:Middle/>
          </b:Person>
          <b:Person>
            <b:Last>Du</b:Last>
            <b:First>Y.</b:First>
            <b:Middle/>
          </b:Person>
          <b:Person>
            <b:Last>Paprott</b:Last>
            <b:First>R.</b:First>
            <b:Middle/>
          </b:Person>
          <b:Person>
            <b:Last>Haftenberger</b:Last>
            <b:First>M.</b:First>
            <b:Middle/>
          </b:Person>
          <b:Person>
            <b:Last>Rathmann</b:Last>
            <b:First>W.</b:First>
            <b:Middle/>
          </b:Person>
          <b:Person>
            <b:Last>Scheidt-Nave</b:Last>
            <b:First>C.</b:First>
            <b:Middle/>
          </b:Person>
        </b:NameList>
      </b:Author>
    </b:Author>
    <b:JournalName>Diabetic Medicine</b:JournalName>
    <b:ISSN>07423071</b:ISSN>
    <b:Volume>vol. 33</b:Volume>
    <b:Issue>issue 10</b:Issue>
    <b:YearAccessed>2017-07-16</b:YearAccessed>
    <b:Year>2016</b:Year>
    <b:Medium>online</b:Medium>
    <b:Pages>1406-1414</b:Pages>
    <b:Title>Temporal changes in the prevalence of diagnosed diabetes, undiagnosed diabetes and prediabetes: findings from the German Health Interview and Examination Surveys in 1997-1999 and 2008-2011</b:Title>
    <b:ShortTitle>Temporal changes in the prevalence of diagnosed diabetes, undiagnosed diabetes and prediabetes</b:ShortTitle>
    <b:URL>http://doi.wiley.com/10.1111/dme.13008</b:URL>
    <b:DOI>10.1111/dme.13008</b:DOI>
    <b:RefOrder>24</b:RefOrder>
  </b:Source>
  <b:Source>
    <b:Tag>iokNQV6CHGMAW4e9</b:Tag>
    <b:SourceType>JournalArticle</b:SourceType>
    <b:Author>
      <b:Author>
        <b:NameList xmlns:msxsl="urn:schemas-microsoft-com:xslt" xmlns:b="http://schemas.openxmlformats.org/officeDocument/2006/bibliography">
          <b:Person>
            <b:Last>Tamayo</b:Last>
            <b:First>Teresa</b:First>
            <b:Middle/>
          </b:Person>
          <b:Person>
            <b:Last>Schipf</b:Last>
            <b:First>Sabine</b:First>
            <b:Middle/>
          </b:Person>
          <b:Person>
            <b:Last>Meisinger</b:Last>
            <b:First>Christine</b:First>
            <b:Middle/>
          </b:Person>
          <b:Person>
            <b:Last>Schunk</b:Last>
            <b:First>Michaela</b:First>
            <b:Middle/>
          </b:Person>
          <b:Person>
            <b:Last>Maier</b:Last>
            <b:First>Werner</b:First>
            <b:Middle/>
          </b:Person>
          <b:Person>
            <b:Last>Herder</b:Last>
            <b:First>Christian</b:First>
            <b:Middle/>
          </b:Person>
          <b:Person>
            <b:Last>Roden</b:Last>
            <b:First>Michael</b:First>
            <b:Middle/>
          </b:Person>
          <b:Person>
            <b:Last>Nauck</b:Last>
            <b:First>Matthias</b:First>
            <b:Middle/>
          </b:Person>
          <b:Person>
            <b:Last>Peters</b:Last>
            <b:First>Annette</b:First>
            <b:Middle/>
          </b:Person>
          <b:Person>
            <b:Last>Völzke</b:Last>
            <b:First>Henry</b:First>
            <b:Middle/>
          </b:Person>
          <b:Person>
            <b:Last>Rathmann</b:Last>
            <b:First>Wolfgang</b:First>
            <b:Middle/>
          </b:Person>
          <b:Person>
            <b:Last>Pietropaolo</b:Last>
            <b:First>Massimo</b:First>
            <b:Middle/>
          </b:Person>
        </b:NameList>
      </b:Author>
    </b:Author>
    <b:JournalName>PLoS ONE</b:JournalName>
    <b:ISSN>19326203</b:ISSN>
    <b:Volume>vol. 9</b:Volume>
    <b:Issue>issue 11</b:Issue>
    <b:YearAccessed>2017-07-16</b:YearAccessed>
    <b:Year>2014</b:Year>
    <b:Medium>online</b:Medium>
    <b:Pages>e113154-</b:Pages>
    <b:Title>Regional Differences of Undiagnosed Type 2 Diabetes and Prediabetes Prevalence Are Not Explained by Known Risk Factors</b:Title>
    <b:ShortTitle>Regional Differences of Undiagnosed Type 2 Diabetes and Prediabetes Prevalence Are Not Explained by Known Risk Factors</b:ShortTitle>
    <b:URL>http://dx.plos.org/10.1371/journal.pone.0113154</b:URL>
    <b:DOI>10.1371/journal.pone.0113154</b:DOI>
    <b:RefOrder>25</b:RefOrder>
  </b:Source>
  <b:Source>
    <b:Tag>3n9w7q719YJhw2K5</b:Tag>
    <b:SourceType>ConferenceProceedings</b:SourceType>
    <b:ConferenceName>Zdravotnictví ČR: Stručný přehled činnosti oboru diabetologie a endokrinologie za období 2007–2015</b:ConferenceName>
    <b:YearAccessed>2017-07-23</b:YearAccessed>
    <b:Year>2016</b:Year>
    <b:City>Praha</b:City>
    <b:Publisher>UZIS</b:Publisher>
    <b:Medium>online</b:Medium>
    <b:Pages>50</b:Pages>
    <b:Title>Zdravotnictví ČR: Stručný přehled činnosti oboru diabetologie a endokrinologie za období 2007–2015</b:Title>
    <b:ShortTitle>Zdravotnictví ČR: Stručný přehled činnosti oboru diabetologie a endokrinologie za období 2007–2015</b:ShortTitle>
    <b:RefOrder>26</b:RefOrder>
  </b:Source>
  <b:Source>
    <b:Tag>zbuTC8Bl3AZ3dNuw</b:Tag>
    <b:SourceType>JournalArticle</b:SourceType>
    <b:Author>
      <b:Author>
        <b:NameList xmlns:msxsl="urn:schemas-microsoft-com:xslt" xmlns:b="http://schemas.openxmlformats.org/officeDocument/2006/bibliography">
          <b:Person>
            <b:Last>Nathan</b:Last>
            <b:First>D.</b:First>
            <b:Middle>M.</b:Middle>
          </b:Person>
          <b:Person>
            <b:Last>Davidson</b:Last>
            <b:First>M.</b:First>
            <b:Middle>B.</b:Middle>
          </b:Person>
          <b:Person>
            <b:Last>DeFronzo</b:Last>
            <b:First>R.</b:First>
            <b:Middle>A.</b:Middle>
          </b:Person>
          <b:Person>
            <b:Last>Heine</b:Last>
            <b:First>R.</b:First>
            <b:Middle>J.</b:Middle>
          </b:Person>
          <b:Person>
            <b:Last>Henry</b:Last>
            <b:First>R.</b:First>
            <b:Middle>R.</b:Middle>
          </b:Person>
          <b:Person>
            <b:Last>Pratley</b:Last>
            <b:First>R.</b:First>
            <b:Middle/>
          </b:Person>
          <b:Person>
            <b:Last>Zinman</b:Last>
            <b:First>B.</b:First>
            <b:Middle/>
          </b:Person>
        </b:NameList>
      </b:Author>
    </b:Author>
    <b:JournalName>Diabetes Care</b:JournalName>
    <b:ISSN>01495992</b:ISSN>
    <b:Volume>vol. 30</b:Volume>
    <b:Issue>issue 3</b:Issue>
    <b:YearAccessed>2017-07-16</b:YearAccessed>
    <b:Year>2007</b:Year>
    <b:Medium>online</b:Medium>
    <b:Pages>753-759</b:Pages>
    <b:Title>Impaired Fasting Glucose and Impaired Glucose Tolerance: Implications for care</b:Title>
    <b:ShortTitle>Impaired Fasting Glucose and Impaired Glucose Tolerance</b:ShortTitle>
    <b:URL>http://care.diabetesjournals.org/cgi/doi/10.2337/dc07-9920</b:URL>
    <b:DOI>10.2337/dc07-9920</b:DOI>
    <b:RefOrder>27</b:RefOrder>
  </b:Source>
  <b:Source>
    <b:Tag>mxSmpFu6jDUpnZmN</b:Tag>
    <b:SourceType>JournalArticle</b:SourceType>
    <b:Author>
      <b:Author>
        <b:NameList xmlns:msxsl="urn:schemas-microsoft-com:xslt" xmlns:b="http://schemas.openxmlformats.org/officeDocument/2006/bibliography">
          <b:Person>
            <b:Last>Gerstein</b:Last>
            <b:First>Hertzel</b:First>
            <b:Middle>C.</b:Middle>
          </b:Person>
          <b:Person>
            <b:Last>Santaguida</b:Last>
            <b:First>Pasqualina</b:First>
            <b:Middle/>
          </b:Person>
          <b:Person>
            <b:Last>Raina</b:Last>
            <b:First>Parminder</b:First>
            <b:Middle/>
          </b:Person>
          <b:Person>
            <b:Last>Morrison</b:Last>
            <b:First>Katherine</b:First>
            <b:Middle>M.</b:Middle>
          </b:Person>
          <b:Person>
            <b:Last>Balion</b:Last>
            <b:First>Cynthia</b:First>
            <b:Middle/>
          </b:Person>
          <b:Person>
            <b:Last>Hunt</b:Last>
            <b:First>Dereck</b:First>
            <b:Middle/>
          </b:Person>
          <b:Person>
            <b:Last>Yazdi</b:Last>
            <b:First>Hossein</b:First>
            <b:Middle/>
          </b:Person>
          <b:Person>
            <b:Last>Booker</b:Last>
            <b:First>Lynda</b:First>
            <b:Middle/>
          </b:Person>
        </b:NameList>
      </b:Author>
    </b:Author>
    <b:JournalName>Diabetes Research and Clinical Practice</b:JournalName>
    <b:ISSN>01688227</b:ISSN>
    <b:Volume>vol. 78</b:Volume>
    <b:Issue>issue 3</b:Issue>
    <b:YearAccessed>2017-07-16</b:YearAccessed>
    <b:Year>2007</b:Year>
    <b:Medium>online</b:Medium>
    <b:Pages>305-312</b:Pages>
    <b:Title>Annual incidence and relative risk of diabetes in people with various categories of dysglycemia: A systematic overview and meta-analysis of prospective studies</b:Title>
    <b:ShortTitle>Annual incidence and relative risk of diabetes in people with various categories of dysglycemia</b:ShortTitle>
    <b:URL>http://linkinghub.elsevier.com/retrieve/pii/S0168822707003099</b:URL>
    <b:DOI>10.1016/j.diabres.2007.05.004</b:DOI>
    <b:RefOrder>28</b:RefOrder>
  </b:Source>
  <b:Source>
    <b:Tag>eIkJLmVIGamoNdn2</b:Tag>
    <b:SourceType>JournalArticle</b:SourceType>
    <b:JournalName>The Lancet</b:JournalName>
    <b:ISSN>01406736</b:ISSN>
    <b:Volume>vol. 374</b:Volume>
    <b:Issue>issue 9702</b:Issue>
    <b:YearAccessed>2017-07-16</b:YearAccessed>
    <b:Year>2009</b:Year>
    <b:Medium>online</b:Medium>
    <b:Pages>1677-1686</b:Pages>
    <b:Title>10-year follow-up of diabetes incidence and weight loss in the Diabetes Prevention Program Outcomes Study</b:Title>
    <b:ShortTitle>10-year follow-up of diabetes incidence and weight loss in the Diabetes Prevention Program Outcomes Study</b:ShortTitle>
    <b:URL>http://linkinghub.elsevier.com/retrieve/pii/S0140673609614574</b:URL>
    <b:DOI>10.1016/S0140-6736(09)61457-4</b:DOI>
    <b:RefOrder>29</b:RefOrder>
  </b:Source>
  <b:Source>
    <b:Tag>21vTW1jZr15m2iih</b:Tag>
    <b:SourceType>JournalArticle</b:SourceType>
    <b:Author>
      <b:Author>
        <b:NameList xmlns:msxsl="urn:schemas-microsoft-com:xslt" xmlns:b="http://schemas.openxmlformats.org/officeDocument/2006/bibliography">
          <b:Person>
            <b:Last>Forouhi</b:Last>
            <b:First>N.</b:First>
            <b:Middle>G.</b:Middle>
          </b:Person>
          <b:Person>
            <b:Last>Luan</b:Last>
            <b:First>J.</b:First>
            <b:Middle/>
          </b:Person>
          <b:Person>
            <b:Last>Hennings</b:Last>
            <b:First>S.</b:First>
            <b:Middle/>
          </b:Person>
          <b:Person>
            <b:Last>Wareham</b:Last>
            <b:First>N.</b:First>
            <b:Middle>J.</b:Middle>
          </b:Person>
        </b:NameList>
      </b:Author>
    </b:Author>
    <b:JournalName>Diabetic Medicine</b:JournalName>
    <b:ISSN>07423071</b:ISSN>
    <b:Volume>vol. 24</b:Volume>
    <b:Issue>issue 2</b:Issue>
    <b:YearAccessed>2017-07-16</b:YearAccessed>
    <b:Year>2007</b:Year>
    <b:Medium>online</b:Medium>
    <b:Pages>200-207</b:Pages>
    <b:Title>Incidence of Type 2 diabetes in England and its association with baseline impaired fasting glucose: The Ely study 1990-2000</b:Title>
    <b:ShortTitle>Incidence of Type 2 diabetes in England and its association with baseline impaired fasting glucose</b:ShortTitle>
    <b:URL>http://doi.wiley.com/10.1111/j.1464-5491.2007.02068.x</b:URL>
    <b:DOI>10.1111/j.1464-5491.2007.02068.x</b:DOI>
    <b:RefOrder>30</b:RefOrder>
  </b:Source>
  <b:Source>
    <b:Tag>epWkz8HgbpIT3iIf</b:Tag>
    <b:SourceType>JournalArticle</b:SourceType>
    <b:Author>
      <b:Author>
        <b:NameList xmlns:msxsl="urn:schemas-microsoft-com:xslt" xmlns:b="http://schemas.openxmlformats.org/officeDocument/2006/bibliography">
          <b:Person>
            <b:Last>Tirosh</b:Last>
            <b:First>Amir</b:First>
            <b:Middle/>
          </b:Person>
          <b:Person>
            <b:Last>Shai</b:Last>
            <b:First>Iris</b:First>
            <b:Middle/>
          </b:Person>
          <b:Person>
            <b:Last>Tekes-Manova</b:Last>
            <b:First>Dorit</b:First>
            <b:Middle/>
          </b:Person>
          <b:Person>
            <b:Last>Israeli</b:Last>
            <b:First>Eran</b:First>
            <b:Middle/>
          </b:Person>
          <b:Person>
            <b:Last>Pereg</b:Last>
            <b:First>David</b:First>
            <b:Middle/>
          </b:Person>
          <b:Person>
            <b:Last>Shochat</b:Last>
            <b:First>Tzippora</b:First>
            <b:Middle/>
          </b:Person>
          <b:Person>
            <b:Last>Kochba</b:Last>
            <b:First>Ilan</b:First>
            <b:Middle/>
          </b:Person>
          <b:Person>
            <b:Last>Rudich</b:Last>
            <b:First>Assaf</b:First>
            <b:Middle/>
          </b:Person>
        </b:NameList>
      </b:Author>
    </b:Author>
    <b:JournalName>New England Journal of Medicine</b:JournalName>
    <b:ISSN>00284793</b:ISSN>
    <b:Volume>vol. 353</b:Volume>
    <b:Issue>issue 14</b:Issue>
    <b:YearAccessed>2017-07-16</b:YearAccessed>
    <b:Year>2005</b:Year>
    <b:Medium>online</b:Medium>
    <b:Pages>1454-1462</b:Pages>
    <b:Title>Normal Fasting Plasma Glucose Levels and Type 2 Diabetes in Young Men</b:Title>
    <b:ShortTitle>Normal Fasting Plasma Glucose Levels and Type 2 Diabetes in Young Men</b:ShortTitle>
    <b:URL>http://www.nejm.org/doi/abs/10.1056/NEJMoa050080</b:URL>
    <b:DOI>10.1056/NEJMoa050080</b:DOI>
    <b:RefOrder>31</b:RefOrder>
  </b:Source>
  <b:Source>
    <b:Tag>KxRH3MhCfJYGcfGS</b:Tag>
    <b:SourceType>JournalArticle</b:SourceType>
    <b:Author>
      <b:Author>
        <b:NameList xmlns:msxsl="urn:schemas-microsoft-com:xslt" xmlns:b="http://schemas.openxmlformats.org/officeDocument/2006/bibliography">
          <b:Person>
            <b:Last>Brannick</b:Last>
            <b:First>Ben</b:First>
            <b:Middle/>
          </b:Person>
          <b:Person>
            <b:Last>Wynn</b:Last>
            <b:First>Anne</b:First>
            <b:Middle/>
          </b:Person>
          <b:Person>
            <b:Last>Dagogo-Jack</b:Last>
            <b:First>Samuel</b:First>
            <b:Middle/>
          </b:Person>
        </b:NameList>
      </b:Author>
    </b:Author>
    <b:JournalName>Experimental Biology and Medicine</b:JournalName>
    <b:ISSN>15353702</b:ISSN>
    <b:Volume>vol. 241</b:Volume>
    <b:Issue>issue 12</b:Issue>
    <b:YearAccessed>2017-07-16</b:YearAccessed>
    <b:Year>2016</b:Year>
    <b:Medium>online</b:Medium>
    <b:Pages>1323-1331</b:Pages>
    <b:Title>Prediabetes as a toxic environment for the initiation of microvascular and macrovascular complications</b:Title>
    <b:ShortTitle>Prediabetes as a toxic environment for the initiation of microvascular and macrovascular complications</b:ShortTitle>
    <b:URL>http://journals.sagepub.com/doi/10.1177/1535370216654227</b:URL>
    <b:DOI>10.1177/1535370216654227</b:DOI>
    <b:RefOrder>32</b:RefOrder>
  </b:Source>
  <b:Source>
    <b:Tag>xKp7OJDjbqzIvq4r</b:Tag>
    <b:SourceType>JournalArticle</b:SourceType>
    <b:Author>
      <b:Author>
        <b:NameList xmlns:msxsl="urn:schemas-microsoft-com:xslt" xmlns:b="http://schemas.openxmlformats.org/officeDocument/2006/bibliography">
          <b:Person>
            <b:Last>Yoon</b:Last>
            <b:First>Uzung</b:First>
            <b:Middle/>
          </b:Person>
          <b:Person>
            <b:Last>Kwok</b:Last>
            <b:First>Lai</b:First>
            <b:Middle>Lai</b:Middle>
          </b:Person>
          <b:Person>
            <b:Last>Magkidis</b:Last>
            <b:First>Athanasios</b:First>
            <b:Middle/>
          </b:Person>
        </b:NameList>
      </b:Author>
    </b:Author>
    <b:JournalName>Metabolism</b:JournalName>
    <b:ISSN>00260495</b:ISSN>
    <b:Volume>vol. 62</b:Volume>
    <b:Issue>issue 2</b:Issue>
    <b:YearAccessed>2017-07-16</b:YearAccessed>
    <b:Year>2013</b:Year>
    <b:Medium>online</b:Medium>
    <b:Pages>303-314</b:Pages>
    <b:Title>Efficacy of lifestyle interventions in reducing diabetes incidence in patients with impaired glucose tolerance: A systematic review of randomized controlled trials</b:Title>
    <b:ShortTitle>Efficacy of lifestyle interventions in reducing diabetes incidence in patients with impaired glucose tolerance</b:ShortTitle>
    <b:URL>http://linkinghub.elsevier.com/retrieve/pii/S0026049512002727</b:URL>
    <b:DOI>10.1016/j.metabol.2012.07.009</b:DOI>
    <b:RefOrder>33</b:RefOrder>
  </b:Source>
  <b:Source>
    <b:Tag>1RyqW7axTM745yRd</b:Tag>
    <b:SourceType>JournalArticle</b:SourceType>
    <b:Author>
      <b:Author>
        <b:NameList xmlns:msxsl="urn:schemas-microsoft-com:xslt" xmlns:b="http://schemas.openxmlformats.org/officeDocument/2006/bibliography">
          <b:Person>
            <b:Last>Fox</b:Last>
            <b:First>Caroline</b:First>
            <b:Middle>S.</b:Middle>
          </b:Person>
        </b:NameList>
      </b:Author>
    </b:Author>
    <b:JournalName>JAMA</b:JournalName>
    <b:ISSN>00987484</b:ISSN>
    <b:Volume>vol. 292</b:Volume>
    <b:Issue>issue 20</b:Issue>
    <b:YearAccessed>2017-07-16</b:YearAccessed>
    <b:Year>2004</b:Year>
    <b:Medium>online</b:Medium>
    <b:Pages>2495-</b:Pages>
    <b:Title>Trends in Cardiovascular Complications of Diabetes</b:Title>
    <b:ShortTitle>Trends in Cardiovascular Complications of Diabetes</b:ShortTitle>
    <b:URL>http://jama.jamanetwork.com/article.aspx?doi=10.1001/jama.292.20.2495</b:URL>
    <b:DOI>10.1001/jama.292.20.2495</b:DOI>
    <b:RefOrder>34</b:RefOrder>
  </b:Source>
  <b:Source>
    <b:Tag>fx4EngSeMblap3fX</b:Tag>
    <b:SourceType>JournalArticle</b:SourceType>
    <b:Author>
      <b:Author>
        <b:NameList xmlns:msxsl="urn:schemas-microsoft-com:xslt" xmlns:b="http://schemas.openxmlformats.org/officeDocument/2006/bibliography">
          <b:Person>
            <b:Last>Færch</b:Last>
            <b:First>Kristine</b:First>
            <b:Middle/>
          </b:Person>
          <b:Person>
            <b:Last>Vistisen</b:Last>
            <b:First>Dorte</b:First>
            <b:Middle/>
          </b:Person>
          <b:Person>
            <b:Last>Johansen</b:Last>
            <b:First>Nanna</b:First>
            <b:Middle>Borup</b:Middle>
          </b:Person>
          <b:Person>
            <b:Last>Jørgensen</b:Last>
            <b:First>Marit</b:First>
            <b:Middle>Eika</b:Middle>
          </b:Person>
        </b:NameList>
      </b:Author>
    </b:Author>
    <b:JournalName>Current Diabetes Reports</b:JournalName>
    <b:ISSN>15344827</b:ISSN>
    <b:Volume>vol. 14</b:Volume>
    <b:Issue>issue 6</b:Issue>
    <b:YearAccessed>2017-07-16</b:YearAccessed>
    <b:Year>2014</b:Year>
    <b:Medium>online</b:Medium>
    <b:Pages>-</b:Pages>
    <b:Title>Cardiovascular Risk Stratification and Management in Pre-Diabetes</b:Title>
    <b:ShortTitle>Cardiovascular Risk Stratification and Management in Pre-Diabetes</b:ShortTitle>
    <b:URL>http://link.springer.com/10.1007/s11892-014-0493-1</b:URL>
    <b:DOI>10.1007/s11892-014-0493-1</b:DOI>
    <b:RefOrder>35</b:RefOrder>
  </b:Source>
  <b:Source>
    <b:Tag>DxBo66YoDWPfT1d0</b:Tag>
    <b:SourceType>Misc</b:SourceType>
    <b:ISSN>17561833</b:ISSN>
    <b:Volume>2016</b:Volume>
    <b:Issue>x</b:Issue>
    <b:Year>2016</b:Year>
    <b:YearAccessed>2017-07-16</b:YearAccessed>
    <b:Medium>online</b:Medium>
    <b:Title>BMJ</b:Title>
    <b:ShortTitle>BMJ</b:ShortTitle>
    <b:RefOrder>36</b:RefOrder>
  </b:Source>
  <b:Source>
    <b:Tag>8Hw6bjkEGkxevlVR</b:Tag>
    <b:SourceType>JournalArticle</b:SourceType>
    <b:Author>
      <b:Author>
        <b:NameList xmlns:msxsl="urn:schemas-microsoft-com:xslt" xmlns:b="http://schemas.openxmlformats.org/officeDocument/2006/bibliography">
          <b:Person>
            <b:Last>Coutinho</b:Last>
            <b:First>M.</b:First>
            <b:Middle/>
          </b:Person>
          <b:Person>
            <b:Last>Gerstein</b:Last>
            <b:First>H.</b:First>
            <b:Middle>C.</b:Middle>
          </b:Person>
          <b:Person>
            <b:Last>Wang</b:Last>
            <b:First>Y.</b:First>
            <b:Middle/>
          </b:Person>
          <b:Person>
            <b:Last>Yusuf</b:Last>
            <b:First>S.</b:First>
            <b:Middle/>
          </b:Person>
        </b:NameList>
      </b:Author>
    </b:Author>
    <b:JournalName>Diabetes Care</b:JournalName>
    <b:ISSN>01495992</b:ISSN>
    <b:Volume>vol. 22</b:Volume>
    <b:Issue>issue 2</b:Issue>
    <b:YearAccessed>2017-07-16</b:YearAccessed>
    <b:Year>1999</b:Year>
    <b:Medium>online</b:Medium>
    <b:Pages>233-240</b:Pages>
    <b:Title>The relationship between glucose and incident cardiovascular events. A metaregression analysis of published data from 20 studies of 95,783 individuals followed for 12.4 years</b:Title>
    <b:ShortTitle>The relationship between glucose and incident cardiovascular events. A metaregression analysis of published data from 20 studies of 95,783 individuals followed for 12.4 years</b:ShortTitle>
    <b:URL>http://care.diabetesjournals.org/cgi/doi/10.2337/diacare.22.2.233</b:URL>
    <b:DOI>10.2337/diacare.22.2.233</b:DOI>
    <b:RefOrder>37</b:RefOrder>
  </b:Source>
  <b:Source>
    <b:Tag>edS8eEzk8lI3ksXu</b:Tag>
    <b:SourceType>JournalArticle</b:SourceType>
    <b:Author>
      <b:Author>
        <b:NameList xmlns:msxsl="urn:schemas-microsoft-com:xslt" xmlns:b="http://schemas.openxmlformats.org/officeDocument/2006/bibliography">
          <b:Person>
            <b:Last>Ning</b:Last>
            <b:First>F.</b:First>
            <b:Middle/>
          </b:Person>
          <b:Person>
            <b:Last>Tuomilehto</b:Last>
            <b:First>J.</b:First>
            <b:Middle/>
          </b:Person>
          <b:Person>
            <b:Last>Pyorala</b:Last>
            <b:First>K.</b:First>
            <b:Middle/>
          </b:Person>
          <b:Person>
            <b:Last>Onat</b:Last>
            <b:First>A.</b:First>
            <b:Middle/>
          </b:Person>
          <b:Person>
            <b:Last>Soderberg</b:Last>
            <b:First>S.</b:First>
            <b:Middle/>
          </b:Person>
          <b:Person>
            <b:Last>Qiao</b:Last>
            <b:First>Q.</b:First>
            <b:Middle/>
          </b:Person>
        </b:NameList>
      </b:Author>
    </b:Author>
    <b:JournalName>Diabetes Care</b:JournalName>
    <b:ISSN>01495992</b:ISSN>
    <b:Volume>vol. 33</b:Volume>
    <b:Issue>issue 10</b:Issue>
    <b:YearAccessed>2017-07-16</b:YearAccessed>
    <b:Year>2010</b:Year>
    <b:Medium>online</b:Medium>
    <b:Pages>2211-2216</b:Pages>
    <b:Title>Cardiovascular Disease Mortality in Europeans in Relation to Fasting and 2-h Plasma Glucose Levels Within a Normoglycemic Range</b:Title>
    <b:ShortTitle>Cardiovascular Disease Mortality in Europeans in Relation to Fasting and 2-h Plasma Glucose Levels Within a Normoglycemic Range</b:ShortTitle>
    <b:URL>http://care.diabetesjournals.org/cgi/doi/10.2337/dc09-2328</b:URL>
    <b:DOI>10.2337/dc09-2328</b:DOI>
    <b:RefOrder>38</b:RefOrder>
  </b:Source>
  <b:Source>
    <b:Tag>0K1FCd5g1IKpiSX4</b:Tag>
    <b:SourceType>JournalArticle</b:SourceType>
    <b:Author>
      <b:Author>
        <b:NameList xmlns:msxsl="urn:schemas-microsoft-com:xslt" xmlns:b="http://schemas.openxmlformats.org/officeDocument/2006/bibliography">
          <b:Person>
            <b:Last>Shaye</b:Last>
            <b:First>Kivity</b:First>
            <b:Middle/>
          </b:Person>
          <b:Person>
            <b:Last>Amir</b:Last>
            <b:First>Tirosh</b:First>
            <b:Middle/>
          </b:Person>
          <b:Person>
            <b:Last>Shlomo</b:Last>
            <b:First>Segev</b:First>
            <b:Middle/>
          </b:Person>
          <b:Person>
            <b:Last>Yechezkel</b:Last>
            <b:First>Sidi</b:First>
            <b:Middle/>
          </b:Person>
        </b:NameList>
      </b:Author>
    </b:Author>
    <b:JournalName>American Heart Journal</b:JournalName>
    <b:ISSN>00028703</b:ISSN>
    <b:Volume>vol. 164</b:Volume>
    <b:Issue>issue 1</b:Issue>
    <b:YearAccessed>2017-07-16</b:YearAccessed>
    <b:Year>2012</b:Year>
    <b:Medium>online</b:Medium>
    <b:Pages>111-116</b:Pages>
    <b:Title>Fasting glucose levels within the high normal range predict cardiovascular outcome</b:Title>
    <b:ShortTitle>Fasting glucose levels within the high normal range predict cardiovascular outcome</b:ShortTitle>
    <b:URL>http://linkinghub.elsevier.com/retrieve/pii/S0002870312003134</b:URL>
    <b:DOI>10.1016/j.ahj.2012.03.023</b:DOI>
    <b:RefOrder>39</b:RefOrder>
  </b:Source>
  <b:Source>
    <b:Tag>CREPdnFOC6oZEzcj</b:Tag>
    <b:SourceType>JournalArticle</b:SourceType>
    <b:JournalName>Intern. Med</b:JournalName>
    <b:Volume>2001</b:Volume>
    <b:Issue>161</b:Issue>
    <b:Year>2001</b:Year>
    <b:Pages>397–404</b:Pages>
    <b:Title>Glucose tolerance and cardiovascular mortality. Comparison of fasting and 2-hour diagnostic criteria. Arch</b:Title>
    <b:ShortTitle>Glucose tolerance and cardiovascular mortality. Comparison of fasting and 2-hour diagnostic criteria. Arch</b:ShortTitle>
    <b:RefOrder>40</b:RefOrder>
  </b:Source>
  <b:Source>
    <b:Tag>gAOCYnNIt6RnPOcJ</b:Tag>
    <b:SourceType>JournalArticle</b:SourceType>
    <b:Author>
      <b:Author>
        <b:NameList xmlns:msxsl="urn:schemas-microsoft-com:xslt" xmlns:b="http://schemas.openxmlformats.org/officeDocument/2006/bibliography">
          <b:Person>
            <b:Last>de Vegt</b:Last>
            <b:First>F.</b:First>
            <b:Middle/>
          </b:Person>
          <b:Person>
            <b:Last>Dekker</b:Last>
            <b:First>J.</b:First>
            <b:Middle>M.</b:Middle>
          </b:Person>
          <b:Person>
            <b:Last>Ruhé</b:Last>
            <b:First>H.</b:First>
            <b:Middle>G.</b:Middle>
          </b:Person>
          <b:Person>
            <b:Last>Stehouwer</b:Last>
            <b:First>C.</b:First>
            <b:Middle>D. A.</b:Middle>
          </b:Person>
          <b:Person>
            <b:Last>Nijpels</b:Last>
            <b:First>G.</b:First>
            <b:Middle/>
          </b:Person>
          <b:Person>
            <b:Last>Bouter</b:Last>
            <b:First>L.</b:First>
            <b:Middle>M.</b:Middle>
          </b:Person>
          <b:Person>
            <b:Last>Heine</b:Last>
            <b:First>R.</b:First>
            <b:Middle>J.</b:Middle>
          </b:Person>
        </b:NameList>
      </b:Author>
    </b:Author>
    <b:JournalName>Diabetologia</b:JournalName>
    <b:ISSN>0012186x</b:ISSN>
    <b:Volume>vol. 42</b:Volume>
    <b:Issue>issue 8</b:Issue>
    <b:YearAccessed>2017-07-17</b:YearAccessed>
    <b:Year>1999</b:Year>
    <b:Medium>online</b:Medium>
    <b:Pages>926-931</b:Pages>
    <b:Title>Hyperglycaemia is associated with all-cause and cardiovascular mortality in the Hoorn population: the Hoorn Study</b:Title>
    <b:ShortTitle>Hyperglycaemia is associated with all-cause and cardiovascular mortality in the Hoorn population</b:ShortTitle>
    <b:URL>http://link.springer.com/10.1007/s001250051249</b:URL>
    <b:DOI>10.1007/s001250051249</b:DOI>
    <b:RefOrder>41</b:RefOrder>
  </b:Source>
  <b:Source>
    <b:Tag>w5PKwyszO6c6Tj87</b:Tag>
    <b:SourceType>JournalArticle</b:SourceType>
    <b:Author>
      <b:Author>
        <b:NameList xmlns:msxsl="urn:schemas-microsoft-com:xslt" xmlns:b="http://schemas.openxmlformats.org/officeDocument/2006/bibliography">
          <b:Person>
            <b:Last>Meigs</b:Last>
            <b:First>J.</b:First>
            <b:Middle>B.</b:Middle>
          </b:Person>
          <b:Person>
            <b:Last>Nathan</b:Last>
            <b:First>D.</b:First>
            <b:Middle>M.</b:Middle>
          </b:Person>
          <b:Person>
            <b:Last>D'Agostino</b:Last>
            <b:First>R.</b:First>
            <b:Middle>B.</b:Middle>
          </b:Person>
          <b:Person>
            <b:Last>Wilson</b:Last>
            <b:First>P.</b:First>
            <b:Middle>W.F.</b:Middle>
          </b:Person>
        </b:NameList>
      </b:Author>
    </b:Author>
    <b:JournalName>Diabetes Care</b:JournalName>
    <b:ISSN>01495992</b:ISSN>
    <b:Volume>vol. 25</b:Volume>
    <b:Issue>issue 10</b:Issue>
    <b:YearAccessed>2017-07-17</b:YearAccessed>
    <b:Year>2002</b:Year>
    <b:Medium>online</b:Medium>
    <b:Pages>1845-1850</b:Pages>
    <b:Title>Fasting and Postchallenge Glycemia and Cardiovascular Disease Risk: The Framingham Offspring Study</b:Title>
    <b:ShortTitle>Fasting and Postchallenge Glycemia and Cardiovascular Disease Risk</b:ShortTitle>
    <b:URL>http://care.diabetesjournals.org/cgi/doi/10.2337/diacare.25.10.1845</b:URL>
    <b:DOI>10.2337/diacare.25.10.1845</b:DOI>
    <b:RefOrder>42</b:RefOrder>
  </b:Source>
  <b:Source>
    <b:Tag>Pvy2pldKa1D1fvma</b:Tag>
    <b:SourceType>JournalArticle</b:SourceType>
    <b:Author>
      <b:Author>
        <b:NameList xmlns:msxsl="urn:schemas-microsoft-com:xslt" xmlns:b="http://schemas.openxmlformats.org/officeDocument/2006/bibliography">
          <b:Person>
            <b:Last>Lind</b:Last>
            <b:First>Marcus</b:First>
            <b:Middle/>
          </b:Person>
          <b:Person>
            <b:Last>Tuomilehto</b:Last>
            <b:First>Jaakko</b:First>
            <b:Middle/>
          </b:Person>
          <b:Person>
            <b:Last>Uusitupa</b:Last>
            <b:First>Matti</b:First>
            <b:Middle/>
          </b:Person>
          <b:Person>
            <b:Last>Nerman</b:Last>
            <b:First>Olle</b:First>
            <b:Middle/>
          </b:Person>
          <b:Person>
            <b:Last>Eriksson</b:Last>
            <b:First>Johan</b:First>
            <b:Middle/>
          </b:Person>
          <b:Person>
            <b:Last>Ilanne-Parikka</b:Last>
            <b:First>Pirjo</b:First>
            <b:Middle/>
          </b:Person>
          <b:Person>
            <b:Last>Keinänen-Kiukaanniemi</b:Last>
            <b:First>Sirkka</b:First>
            <b:Middle/>
          </b:Person>
          <b:Person>
            <b:Last>Peltonen</b:Last>
            <b:First>Markku</b:First>
            <b:Middle/>
          </b:Person>
          <b:Person>
            <b:Last>Pivodic</b:Last>
            <b:First>Aldina</b:First>
            <b:Middle/>
          </b:Person>
          <b:Person>
            <b:Last>Lindström</b:Last>
            <b:First>Jaana</b:First>
            <b:Middle/>
          </b:Person>
          <b:Person>
            <b:Last>Icks</b:Last>
            <b:First>Andrea</b:First>
            <b:Middle/>
          </b:Person>
        </b:NameList>
      </b:Author>
    </b:Author>
    <b:JournalName>PLoS ONE</b:JournalName>
    <b:ISSN>19326203</b:ISSN>
    <b:Volume>vol. 9</b:Volume>
    <b:Issue>issue 10</b:Issue>
    <b:YearAccessed>2017-07-17</b:YearAccessed>
    <b:Year>2014</b:Year>
    <b:Medium>online</b:Medium>
    <b:Pages>e109506-</b:Pages>
    <b:Title>The Association between HbA1c, Fasting Glucose, 1-Hour Glucose and 2-Hour Glucose during an Oral Glucose Tolerance Test and Cardiovascular Disease in Individuals with Elevated Risk for Diabetes</b:Title>
    <b:ShortTitle>The Association between HbA1c, Fasting Glucose, 1-Hour Glucose and 2-Hour Glucose during an Oral Glucose Tolerance Test and Cardiovascular Disease in Individuals with Elevated Risk for Diabetes</b:ShortTitle>
    <b:URL>http://dx.plos.org/10.1371/journal.pone.0109506</b:URL>
    <b:DOI>10.1371/journal.pone.0109506</b:DOI>
    <b:RefOrder>43</b:RefOrder>
  </b:Source>
  <b:Source>
    <b:Tag>QRgYDJf6jhsEaUYO</b:Tag>
    <b:SourceType>JournalArticle</b:SourceType>
    <b:Author>
      <b:Author>
        <b:NameList xmlns:msxsl="urn:schemas-microsoft-com:xslt" xmlns:b="http://schemas.openxmlformats.org/officeDocument/2006/bibliography">
          <b:Person>
            <b:Last>Tominaga</b:Last>
            <b:First>M.</b:First>
            <b:Middle/>
          </b:Person>
          <b:Person>
            <b:Last>Eguchi</b:Last>
            <b:First>H.</b:First>
            <b:Middle/>
          </b:Person>
          <b:Person>
            <b:Last>Manaka</b:Last>
            <b:First>H.</b:First>
            <b:Middle/>
          </b:Person>
          <b:Person>
            <b:Last>Igarashi</b:Last>
            <b:First>K.</b:First>
            <b:Middle/>
          </b:Person>
          <b:Person>
            <b:Last>Kato</b:Last>
            <b:First>T.</b:First>
            <b:Middle/>
          </b:Person>
          <b:Person>
            <b:Last>Sekikawa</b:Last>
            <b:First>A.</b:First>
            <b:Middle/>
          </b:Person>
        </b:NameList>
      </b:Author>
    </b:Author>
    <b:JournalName>Diabetes Care</b:JournalName>
    <b:ISSN>01495992</b:ISSN>
    <b:Volume>vol. 22</b:Volume>
    <b:Issue>issue 6</b:Issue>
    <b:YearAccessed>2017-07-17</b:YearAccessed>
    <b:Year>1999</b:Year>
    <b:Medium>online</b:Medium>
    <b:Pages>920-924</b:Pages>
    <b:Title>Impaired glucose tolerance is a risk factor for cardiovascular disease, but not impaired fasting glucose. The Funagata Diabetes Study</b:Title>
    <b:ShortTitle>Impaired glucose tolerance is a risk factor for cardiovascular disease, but not impaired fasting glucose. The Funagata Diabetes Study</b:ShortTitle>
    <b:URL>http://care.diabetesjournals.org/cgi/doi/10.2337/diacare.22.6.920</b:URL>
    <b:DOI>10.2337/diacare.22.6.920</b:DOI>
    <b:RefOrder>44</b:RefOrder>
  </b:Source>
  <b:Source>
    <b:Tag>kP71lJY3qQTYwjgu</b:Tag>
    <b:SourceType>JournalArticle</b:SourceType>
    <b:Author>
      <b:Author>
        <b:NameList xmlns:msxsl="urn:schemas-microsoft-com:xslt" xmlns:b="http://schemas.openxmlformats.org/officeDocument/2006/bibliography">
          <b:Person>
            <b:Last>Ford</b:Last>
            <b:First>Earl</b:First>
            <b:Middle>S.</b:Middle>
          </b:Person>
          <b:Person>
            <b:Last>Zhao</b:Last>
            <b:First>Guixiang</b:First>
            <b:Middle/>
          </b:Person>
          <b:Person>
            <b:Last>Li</b:Last>
            <b:First>Chaoyang</b:First>
            <b:Middle/>
          </b:Person>
        </b:NameList>
      </b:Author>
    </b:Author>
    <b:JournalName>Journal of the American College of Cardiology</b:JournalName>
    <b:ISSN>07351097</b:ISSN>
    <b:Volume>vol. 55</b:Volume>
    <b:Issue>issue 13</b:Issue>
    <b:YearAccessed>2017-07-17</b:YearAccessed>
    <b:Year>2010</b:Year>
    <b:Medium>online</b:Medium>
    <b:Pages>1310-1317</b:Pages>
    <b:Title>Pre-Diabetes and the Risk for Cardiovascular Disease</b:Title>
    <b:ShortTitle>Pre-Diabetes and the Risk for Cardiovascular Disease</b:ShortTitle>
    <b:URL>http://linkinghub.elsevier.com/retrieve/pii/S0735109710002792</b:URL>
    <b:DOI>10.1016/j.jacc.2009.10.060</b:DOI>
    <b:RefOrder>45</b:RefOrder>
  </b:Source>
  <b:Source>
    <b:Tag>02BxuEzXHV59P8Jl</b:Tag>
    <b:SourceType>JournalArticle</b:SourceType>
    <b:Author>
      <b:Author>
        <b:NameList xmlns:msxsl="urn:schemas-microsoft-com:xslt" xmlns:b="http://schemas.openxmlformats.org/officeDocument/2006/bibliography">
          <b:Person>
            <b:Last>Sarwar</b:Last>
            <b:First>Nadeem</b:First>
            <b:Middle/>
          </b:Person>
          <b:Person>
            <b:Last>Aspelund</b:Last>
            <b:First>Thor</b:First>
            <b:Middle/>
          </b:Person>
          <b:Person>
            <b:Last>Eiriksdottir</b:Last>
            <b:First>Gudny</b:First>
            <b:Middle/>
          </b:Person>
          <b:Person>
            <b:Last>Gobin</b:Last>
            <b:First>Reeta</b:First>
            <b:Middle/>
          </b:Person>
          <b:Person>
            <b:Last>Seshasai</b:Last>
            <b:First>Sreenivasa</b:First>
            <b:Middle>Rao Kondapally</b:Middle>
          </b:Person>
          <b:Person>
            <b:Last>Forouhi</b:Last>
            <b:First>Nita</b:First>
            <b:Middle>G.</b:Middle>
          </b:Person>
          <b:Person>
            <b:Last>Sigurdsson</b:Last>
            <b:First>Gunnar</b:First>
            <b:Middle/>
          </b:Person>
          <b:Person>
            <b:Last>Danesh</b:Last>
            <b:First>John</b:First>
            <b:Middle/>
          </b:Person>
          <b:Person>
            <b:Last>Gudnason</b:Last>
            <b:First>Vilmundur</b:First>
            <b:Middle/>
          </b:Person>
          <b:Person>
            <b:Last>Groop</b:Last>
            <b:First>Leif</b:First>
            <b:Middle/>
          </b:Person>
        </b:NameList>
      </b:Author>
    </b:Author>
    <b:JournalName>PLoS Medicine</b:JournalName>
    <b:ISSN>15491676</b:ISSN>
    <b:Volume>vol. 7</b:Volume>
    <b:Issue>issue 5</b:Issue>
    <b:YearAccessed>2017-07-17</b:YearAccessed>
    <b:Year>2010</b:Year>
    <b:Medium>online</b:Medium>
    <b:Pages>e1000278-</b:Pages>
    <b:Title>Markers of Dysglycaemia and Risk of Coronary Heart Disease in People without Diabetes: Reykjavik Prospective Study and Systematic Review</b:Title>
    <b:ShortTitle>Markers of Dysglycaemia and Risk of Coronary Heart Disease in People without Diabetes</b:ShortTitle>
    <b:URL>http://dx.plos.org/10.1371/journal.pmed.1000278</b:URL>
    <b:DOI>10.1371/journal.pmed.1000278</b:DOI>
    <b:RefOrder>46</b:RefOrder>
  </b:Source>
  <b:Source>
    <b:Tag>99vYJ3rcil5jLM68</b:Tag>
    <b:SourceType>JournalArticle</b:SourceType>
    <b:Author>
      <b:Author>
        <b:NameList xmlns:msxsl="urn:schemas-microsoft-com:xslt" xmlns:b="http://schemas.openxmlformats.org/officeDocument/2006/bibliography">
          <b:Person>
            <b:Last>Selvin</b:Last>
            <b:First>Elizabeth</b:First>
            <b:Middle/>
          </b:Person>
          <b:Person>
            <b:Last>Coresh</b:Last>
            <b:First>Josef</b:First>
            <b:Middle/>
          </b:Person>
          <b:Person>
            <b:Last>Golden</b:Last>
            <b:First>Sherita</b:First>
            <b:Middle>H.</b:Middle>
          </b:Person>
          <b:Person>
            <b:Last>Brancati</b:Last>
            <b:First>Frederick</b:First>
            <b:Middle>L.</b:Middle>
          </b:Person>
          <b:Person>
            <b:Last>Folsom</b:Last>
            <b:First>Aaron</b:First>
            <b:Middle>R.</b:Middle>
          </b:Person>
          <b:Person>
            <b:Last>Steffes</b:Last>
            <b:First>Michael</b:First>
            <b:Middle>W.</b:Middle>
          </b:Person>
        </b:NameList>
      </b:Author>
    </b:Author>
    <b:JournalName>Archives of Internal Medicine</b:JournalName>
    <b:ISSN>00039926</b:ISSN>
    <b:Volume>vol. 165</b:Volume>
    <b:Issue>issue 16</b:Issue>
    <b:YearAccessed>2017-07-17</b:YearAccessed>
    <b:Year>2005</b:Year>
    <b:Medium>online</b:Medium>
    <b:Pages>1910-</b:Pages>
    <b:Title>Glycemic Control and Coronary Heart Disease Risk in Persons With and Without Diabetes</b:Title>
    <b:ShortTitle>Glycemic Control and Coronary Heart Disease Risk in Persons With and Without Diabetes</b:ShortTitle>
    <b:URL>http://archinte.jamanetwork.com/article.aspx?doi=10.1001/archinte.165.16.1910</b:URL>
    <b:DOI>10.1001/archinte.165.16.1910</b:DOI>
    <b:RefOrder>47</b:RefOrder>
  </b:Source>
  <b:Source>
    <b:Tag>OzVgVbPcEKG2HLAs</b:Tag>
    <b:SourceType>JournalArticle</b:SourceType>
    <b:Author>
      <b:Author>
        <b:NameList xmlns:msxsl="urn:schemas-microsoft-com:xslt" xmlns:b="http://schemas.openxmlformats.org/officeDocument/2006/bibliography">
          <b:Person>
            <b:Last>van 't Riet</b:Last>
            <b:First>E.</b:First>
            <b:Middle/>
          </b:Person>
          <b:Person>
            <b:Last>Rijkelijkhuizen</b:Last>
            <b:First>J.</b:First>
            <b:Middle>M.</b:Middle>
          </b:Person>
          <b:Person>
            <b:Last>Alssema</b:Last>
            <b:First>M.</b:First>
            <b:Middle/>
          </b:Person>
          <b:Person>
            <b:Last>Nijpels</b:Last>
            <b:First>G.</b:First>
            <b:Middle/>
          </b:Person>
          <b:Person>
            <b:Last>Stehouwer</b:Last>
            <b:First>C.</b:First>
            <b:Middle>D.</b:Middle>
          </b:Person>
          <b:Person>
            <b:Last>Heine</b:Last>
            <b:First>R.</b:First>
            <b:Middle>J.</b:Middle>
          </b:Person>
          <b:Person>
            <b:Last>Dekker</b:Last>
            <b:First>J.</b:First>
            <b:Middle>M.</b:Middle>
          </b:Person>
        </b:NameList>
      </b:Author>
    </b:Author>
    <b:JournalName>European Journal of Preventive Cardiology</b:JournalName>
    <b:ISSN>20474873</b:ISSN>
    <b:Volume>vol. 19</b:Volume>
    <b:Issue>issue 1</b:Issue>
    <b:YearAccessed>2017-07-17</b:YearAccessed>
    <b:Year>2012</b:Year>
    <b:Medium>online</b:Medium>
    <b:Pages>23-31</b:Pages>
    <b:Title>HbA1c is an independent predictor of non-fatal cardiovascular disease in a Caucasian population without diabetes: a 10-year follow-up of the Hoorn Study</b:Title>
    <b:ShortTitle>HbA1c is an independent predictor of non-fatal cardiovascular disease in a Caucasian population without diabetes</b:ShortTitle>
    <b:URL>http://cpr.sagepub.com/lookup/doi/10.1097/HJR.0b013e32833b0932</b:URL>
    <b:DOI>10.1097/HJR.0b013e32833b0932</b:DOI>
    <b:RefOrder>48</b:RefOrder>
  </b:Source>
  <b:Source>
    <b:Tag>opmXfu1rbARa4SD7</b:Tag>
    <b:SourceType>JournalArticle</b:SourceType>
    <b:Author>
      <b:Author>
        <b:NameList xmlns:msxsl="urn:schemas-microsoft-com:xslt" xmlns:b="http://schemas.openxmlformats.org/officeDocument/2006/bibliography">
          <b:Person>
            <b:Last>Skriver</b:Last>
            <b:First>M.</b:First>
            <b:Middle>V.</b:Middle>
          </b:Person>
          <b:Person>
            <b:Last>Borch-Johnsen</b:Last>
            <b:First>K.</b:First>
            <b:Middle/>
          </b:Person>
          <b:Person>
            <b:Last>Lauritzen</b:Last>
            <b:First>T.</b:First>
            <b:Middle/>
          </b:Person>
          <b:Person>
            <b:Last>Sandbaek</b:Last>
            <b:First>A.</b:First>
            <b:Middle/>
          </b:Person>
        </b:NameList>
      </b:Author>
    </b:Author>
    <b:JournalName>Diabetologia</b:JournalName>
    <b:ISSN>0012186x</b:ISSN>
    <b:Volume>vol. 53</b:Volume>
    <b:Issue>issue 11</b:Issue>
    <b:YearAccessed>2017-07-17</b:YearAccessed>
    <b:Year>2010</b:Year>
    <b:Medium>online</b:Medium>
    <b:Pages>2328-2333</b:Pages>
    <b:Title>HbA1c as predictor of all-cause mortality in individuals at high risk of diabetes with normal glucose tolerance, identified by screening: a follow-up study of the Anglo–Danish–Dutch Study of Intensive Treatment in People with Screen-Detected Diabetes in Primary Care (ADDITION), Denmark</b:Title>
    <b:ShortTitle>HbA1c as predictor of all-cause mortality in individuals at high risk of diabetes with normal glucose tolerance, identified by screening</b:ShortTitle>
    <b:URL>http://link.springer.com/10.1007/s00125-010-1867-9</b:URL>
    <b:DOI>10.1007/s00125-010-1867-9</b:DOI>
    <b:RefOrder>49</b:RefOrder>
  </b:Source>
  <b:Source>
    <b:Tag>I5KDHpe8BDl8ZQWp</b:Tag>
    <b:SourceType>JournalArticle</b:SourceType>
    <b:Author>
      <b:Author>
        <b:NameList xmlns:msxsl="urn:schemas-microsoft-com:xslt" xmlns:b="http://schemas.openxmlformats.org/officeDocument/2006/bibliography">
          <b:Person>
            <b:Last>Goldberg</b:Last>
            <b:First>I.</b:First>
            <b:Middle>J.</b:Middle>
          </b:Person>
        </b:NameList>
      </b:Author>
    </b:Author>
    <b:JournalName>Arteriosclerosis, Thrombosis, and Vascular Biology</b:JournalName>
    <b:ISSN>10795642</b:ISSN>
    <b:Volume>vol. 26</b:Volume>
    <b:Issue>issue 8</b:Issue>
    <b:YearAccessed>2017-07-17</b:YearAccessed>
    <b:Year>2006</b:Year>
    <b:Medium>online</b:Medium>
    <b:Pages>1693-1701</b:Pages>
    <b:Title>Diabetic Vascular Disease: An Experimental Objective</b:Title>
    <b:ShortTitle>Diabetic Vascular Disease</b:ShortTitle>
    <b:URL>http://atvb.ahajournals.org/cgi/doi/10.1161/01.ATV.0000231521.76545.f6</b:URL>
    <b:DOI>10.1161/01.ATV.0000231521.76545.f6</b:DOI>
    <b:RefOrder>50</b:RefOrder>
  </b:Source>
  <b:Source>
    <b:Tag>M0mUh5lgqcu2XZz0</b:Tag>
    <b:SourceType>JournalArticle</b:SourceType>
    <b:JournalName>Curr Diab Rep</b:JournalName>
    <b:Volume>2003</b:Volume>
    <b:Issue>1</b:Issue>
    <b:Year>2003</b:Year>
    <b:Pages>11-18</b:Pages>
    <b:Title>Prediabetes mellitus and its links to atherosclerosis.</b:Title>
    <b:ShortTitle>Prediabetes mellitus and its links to atherosclerosis.</b:ShortTitle>
    <b:Author>
      <b:Author>
        <b:NameList xmlns:msxsl="urn:schemas-microsoft-com:xslt" xmlns:b="http://schemas.openxmlformats.org/officeDocument/2006/bibliography">
          <b:Person>
            <b:Last>Kramer</b:Last>
            <b:First>D</b:First>
            <b:Middle/>
          </b:Person>
        </b:NameList>
      </b:Author>
    </b:Author>
    <b:RefOrder>51</b:RefOrder>
  </b:Source>
  <b:Source>
    <b:Tag>QEIOiZ9ML1s33uOQ</b:Tag>
    <b:SourceType>JournalArticle</b:SourceType>
    <b:Author>
      <b:Author>
        <b:NameList xmlns:msxsl="urn:schemas-microsoft-com:xslt" xmlns:b="http://schemas.openxmlformats.org/officeDocument/2006/bibliography">
          <b:Person>
            <b:Last>Kurihara</b:Last>
            <b:First>Osamu</b:First>
            <b:Middle/>
          </b:Person>
        </b:NameList>
      </b:Author>
    </b:Author>
    <b:JournalName>World Journal of Diabetes</b:JournalName>
    <b:ISSN>19489358</b:ISSN>
    <b:Volume>vol. 6</b:Volume>
    <b:Issue>issue 1</b:Issue>
    <b:YearAccessed>2017-07-17</b:YearAccessed>
    <b:Year>2015</b:Year>
    <b:Medium>online</b:Medium>
    <b:Pages>184-</b:Pages>
    <b:Title>Coronary atherosclerosis is already ongoing in pre-diabetic status: Insight from intravascular imaging modalities</b:Title>
    <b:ShortTitle>Coronary atherosclerosis is already ongoing in pre-diabetic status</b:ShortTitle>
    <b:URL>http://www.wjgnet.com/1948-9358/full/v6/i1/184.htm</b:URL>
    <b:DOI>10.4239/wjd.v6.i1.184</b:DOI>
    <b:RefOrder>52</b:RefOrder>
  </b:Source>
  <b:Source>
    <b:Tag>YbODVieLDenHHWyr</b:Tag>
    <b:SourceType>JournalArticle</b:SourceType>
    <b:Author>
      <b:Author>
        <b:NameList xmlns:msxsl="urn:schemas-microsoft-com:xslt" xmlns:b="http://schemas.openxmlformats.org/officeDocument/2006/bibliography">
          <b:Person>
            <b:Last>Dagogo-Jack</b:Last>
            <b:First>Samuel</b:First>
            <b:Middle/>
          </b:Person>
          <b:Person>
            <b:Last>Egbuonu</b:Last>
            <b:First>Nonso</b:First>
            <b:Middle/>
          </b:Person>
          <b:Person>
            <b:Last>Edeoga</b:Last>
            <b:First>Chimaroke</b:First>
            <b:Middle/>
          </b:Person>
        </b:NameList>
      </b:Author>
    </b:Author>
    <b:JournalName>Medical Principles and Practice</b:JournalName>
    <b:ISSN>14230151</b:ISSN>
    <b:Volume>vol. 19</b:Volume>
    <b:Issue>issue 3</b:Issue>
    <b:YearAccessed>2017-07-17</b:YearAccessed>
    <b:Year>2010</b:Year>
    <b:Medium>online</b:Medium>
    <b:Pages>167-175</b:Pages>
    <b:Title>Principles and Practice of Nonpharmacological Interventions to Reduce Cardiometabolic Risk</b:Title>
    <b:ShortTitle>Principles and Practice of Nonpharmacological Interventions to Reduce Cardiometabolic Risk</b:ShortTitle>
    <b:URL>http://www.karger.com/doi/10.1159/000285280</b:URL>
    <b:DOI>10.1159/000285280</b:DOI>
    <b:RefOrder>53</b:RefOrder>
  </b:Source>
  <b:Source>
    <b:Tag>rRnaDxrQG3oUrhlQ</b:Tag>
    <b:SourceType>JournalArticle</b:SourceType>
    <b:Author>
      <b:Author>
        <b:NameList xmlns:msxsl="urn:schemas-microsoft-com:xslt" xmlns:b="http://schemas.openxmlformats.org/officeDocument/2006/bibliography">
          <b:Person>
            <b:Last>Lim</b:Last>
            <b:First>SC</b:First>
            <b:Middle/>
          </b:Person>
          <b:Person>
            <b:Last>Tai</b:Last>
            <b:First>ES</b:First>
            <b:Middle/>
          </b:Person>
          <b:Person>
            <b:Last>Tan</b:Last>
            <b:First>BY</b:First>
            <b:Middle/>
          </b:Person>
        </b:NameList>
      </b:Author>
    </b:Author>
    <b:JournalName>Diabetes Care</b:JournalName>
    <b:Volume>2000</b:Volume>
    <b:Issue>3</b:Issue>
    <b:Year>2000</b:Year>
    <b:Pages>278-82</b:Pages>
    <b:Title>Cardiovascular risk profile in individuals with borderline glycemia: the effect of the 1997 American Diabetes Association diagnostic criteria and the 1998 World Health Organization Provisional Report.</b:Title>
    <b:ShortTitle>Cardiovascular risk profile in individuals with borderline glycemia: the effect of the 1997 American Diabetes Association diagnostic criteria and the 1998 World Health Organization Provisional Report.</b:ShortTitle>
    <b:RefOrder>54</b:RefOrder>
  </b:Source>
  <b:Source>
    <b:Tag>5SJ91q7lJCLwlU4S</b:Tag>
    <b:SourceType>JournalArticle</b:SourceType>
    <b:Author>
      <b:Author>
        <b:NameList xmlns:msxsl="urn:schemas-microsoft-com:xslt" xmlns:b="http://schemas.openxmlformats.org/officeDocument/2006/bibliography">
          <b:Person>
            <b:Last>Kuhl</b:Last>
            <b:First>Jeanette</b:First>
            <b:Middle/>
          </b:Person>
          <b:Person>
            <b:Last>Jörneskog</b:Last>
            <b:First>Gun</b:First>
            <b:Middle/>
          </b:Person>
          <b:Person>
            <b:Last>Wemminger</b:Last>
            <b:First>Malin</b:First>
            <b:Middle/>
          </b:Person>
          <b:Person>
            <b:Last>Bengtsson</b:Last>
            <b:First>Mattias</b:First>
            <b:Middle/>
          </b:Person>
          <b:Person>
            <b:Last>Lundman</b:Last>
            <b:First>Pia</b:First>
            <b:Middle/>
          </b:Person>
          <b:Person>
            <b:Last>Kalani</b:Last>
            <b:First>Majid</b:First>
            <b:Middle/>
          </b:Person>
        </b:NameList>
      </b:Author>
    </b:Author>
    <b:JournalName>Cardiovascular Diabetology</b:JournalName>
    <b:ISSN>14752840</b:ISSN>
    <b:Volume>vol. 14</b:Volume>
    <b:Issue>issue 1</b:Issue>
    <b:YearAccessed>2017-07-17</b:YearAccessed>
    <b:Year>2015</b:Year>
    <b:Medium>online</b:Medium>
    <b:Pages>-</b:Pages>
    <b:Title>Long-term clinical outcome in patients with acute coronary syndrome and dysglycaemia</b:Title>
    <b:ShortTitle>Long-term clinical outcome in patients with acute coronary syndrome and dysglycaemia</b:ShortTitle>
    <b:URL>http://www.cardiab.com/content/14/1/120</b:URL>
    <b:DOI>10.1186/s12933-015-0283-3</b:DOI>
    <b:RefOrder>55</b:RefOrder>
  </b:Source>
  <b:Source>
    <b:Tag>NeDbahqn48joVMsr</b:Tag>
    <b:SourceType>JournalArticle</b:SourceType>
    <b:Author>
      <b:Author>
        <b:NameList xmlns:msxsl="urn:schemas-microsoft-com:xslt" xmlns:b="http://schemas.openxmlformats.org/officeDocument/2006/bibliography">
          <b:Person>
            <b:Last>Mazurek</b:Last>
            <b:First>Michal</b:First>
            <b:Middle/>
          </b:Person>
          <b:Person>
            <b:Last>Kowalczyk</b:Last>
            <b:First>Jacek</b:First>
            <b:Middle/>
          </b:Person>
          <b:Person>
            <b:Last>Lenarczyk</b:Last>
            <b:First>Radoslaw</b:First>
            <b:Middle/>
          </b:Person>
          <b:Person>
            <b:Last>Zielinska</b:Last>
            <b:First>Teresa</b:First>
            <b:Middle/>
          </b:Person>
          <b:Person>
            <b:Last>Sedkowska</b:Last>
            <b:First>Agnieszka</b:First>
            <b:Middle/>
          </b:Person>
          <b:Person>
            <b:Last>Pruszkowska-Skrzep</b:Last>
            <b:First>Patrycja</b:First>
            <b:Middle/>
          </b:Person>
          <b:Person>
            <b:Last>Swiatkowski</b:Last>
            <b:First>Andrzej</b:First>
            <b:Middle/>
          </b:Person>
          <b:Person>
            <b:Last>Sredniawa</b:Last>
            <b:First>Beata</b:First>
            <b:Middle/>
          </b:Person>
          <b:Person>
            <b:Last>Kowalski</b:Last>
            <b:First>Oskar</b:First>
            <b:Middle/>
          </b:Person>
          <b:Person>
            <b:Last>Polonski</b:Last>
            <b:First>Lech</b:First>
            <b:Middle/>
          </b:Person>
          <b:Person>
            <b:Last>Strojek</b:Last>
            <b:First>Krzysztof</b:First>
            <b:Middle/>
          </b:Person>
          <b:Person>
            <b:Last>Kalarus</b:Last>
            <b:First>Zbigniew</b:First>
            <b:Middle/>
          </b:Person>
        </b:NameList>
      </b:Author>
    </b:Author>
    <b:JournalName>Cardiovascular Diabetology</b:JournalName>
    <b:ISSN>14752840</b:ISSN>
    <b:Volume>vol. 11</b:Volume>
    <b:Issue>issue 1</b:Issue>
    <b:YearAccessed>2017-07-17</b:YearAccessed>
    <b:Year>2012</b:Year>
    <b:Medium>online</b:Medium>
    <b:Pages>78-</b:Pages>
    <b:Title>The prognostic value of different glucose abnormalities in patients with acute myocardial infarction treated invasively</b:Title>
    <b:ShortTitle>The prognostic value of different glucose abnormalities in patients with acute myocardial infarction treated invasively</b:ShortTitle>
    <b:URL>http://cardiab.biomedcentral.com/articles/10.1186/1475-2840-11-78</b:URL>
    <b:DOI>10.1186/1475-2840-11-78</b:DOI>
    <b:RefOrder>56</b:RefOrder>
  </b:Source>
  <b:Source>
    <b:Tag>81DD35V3nQFsXDQA</b:Tag>
    <b:SourceType>JournalArticle</b:SourceType>
    <b:Author>
      <b:Author>
        <b:NameList xmlns:msxsl="urn:schemas-microsoft-com:xslt" xmlns:b="http://schemas.openxmlformats.org/officeDocument/2006/bibliography">
          <b:Person>
            <b:Last>Norhammar</b:Last>
            <b:First>Anna</b:First>
            <b:Middle/>
          </b:Person>
          <b:Person>
            <b:Last>Tenerz</b:Last>
            <b:First>Åke</b:First>
            <b:Middle/>
          </b:Person>
          <b:Person>
            <b:Last>Nilsson</b:Last>
            <b:First>Göran</b:First>
            <b:Middle/>
          </b:Person>
          <b:Person>
            <b:Last>Hamsten</b:Last>
            <b:First>Anders</b:First>
            <b:Middle/>
          </b:Person>
          <b:Person>
            <b:Last>Efendíc</b:Last>
            <b:First>Suad</b:First>
            <b:Middle/>
          </b:Person>
          <b:Person>
            <b:Last>Rydén</b:Last>
            <b:First>Lars</b:First>
            <b:Middle/>
          </b:Person>
          <b:Person>
            <b:Last>Malmberg</b:Last>
            <b:First>Klas</b:First>
            <b:Middle/>
          </b:Person>
        </b:NameList>
      </b:Author>
    </b:Author>
    <b:JournalName>The Lancet</b:JournalName>
    <b:ISSN>01406736</b:ISSN>
    <b:Volume>vol. 359</b:Volume>
    <b:Issue>issue 9324</b:Issue>
    <b:YearAccessed>2017-07-17</b:YearAccessed>
    <b:Year>2002</b:Year>
    <b:Medium>online</b:Medium>
    <b:Pages>2140-2144</b:Pages>
    <b:Title>Glucose metabolism in patients with acute myocardial infarction and no previous diagnosis of diabetes mellitus: a prospective study</b:Title>
    <b:ShortTitle>Glucose metabolism in patients with acute myocardial infarction and no previous diagnosis of diabetes mellitus</b:ShortTitle>
    <b:URL>http://linkinghub.elsevier.com/retrieve/pii/S014067360209089X</b:URL>
    <b:DOI>10.1016/S0140-6736(02)09089-X</b:DOI>
    <b:RefOrder>57</b:RefOrder>
  </b:Source>
  <b:Source>
    <b:Tag>mpd3358coYCM8rlj</b:Tag>
    <b:SourceType>JournalArticle</b:SourceType>
    <b:Author>
      <b:Author>
        <b:NameList xmlns:msxsl="urn:schemas-microsoft-com:xslt" xmlns:b="http://schemas.openxmlformats.org/officeDocument/2006/bibliography">
          <b:Person>
            <b:Last>Vergès</b:Last>
            <b:First>Bruno</b:First>
            <b:Middle/>
          </b:Person>
          <b:Person>
            <b:Last>Zeller</b:Last>
            <b:First>Marianne</b:First>
            <b:Middle/>
          </b:Person>
          <b:Person>
            <b:Last>Dentan</b:Last>
            <b:First>Gilles</b:First>
            <b:Middle/>
          </b:Person>
          <b:Person>
            <b:Last>Beer</b:Last>
            <b:First>Jean-Claude</b:First>
            <b:Middle/>
          </b:Person>
          <b:Person>
            <b:Last>Laurent</b:Last>
            <b:First>Yves</b:First>
            <b:Middle/>
          </b:Person>
          <b:Person>
            <b:Last>Janin-Manificat</b:Last>
            <b:First>Luc</b:First>
            <b:Middle/>
          </b:Person>
          <b:Person>
            <b:Last>Makki</b:Last>
            <b:First>Hamid</b:First>
            <b:Middle/>
          </b:Person>
          <b:Person>
            <b:Last>Wolf</b:Last>
            <b:First>Jean</b:First>
            <b:Middle>Eric</b:Middle>
          </b:Person>
          <b:Person>
            <b:Last>Cottin</b:Last>
            <b:First>Yves</b:First>
            <b:Middle/>
          </b:Person>
        </b:NameList>
      </b:Author>
    </b:Author>
    <b:JournalName>The Journal of Clinical Endocrinology &amp; Metabolism</b:JournalName>
    <b:ISSN>0021972x</b:ISSN>
    <b:Volume>vol. 92</b:Volume>
    <b:Issue>issue 6</b:Issue>
    <b:YearAccessed>2017-07-17</b:YearAccessed>
    <b:Year>2007</b:Year>
    <b:Medium>online</b:Medium>
    <b:Pages>2136-2140</b:Pages>
    <b:Title>Impact of Fasting Glycemia on Short-Term Prognosis after Acute Myocardial Infarction</b:Title>
    <b:ShortTitle>Impact of Fasting Glycemia on Short-Term Prognosis after Acute Myocardial Infarction</b:ShortTitle>
    <b:URL>https://academic.oup.com/jcem/article-lookup/doi/10.1210/jc.2006-2584</b:URL>
    <b:DOI>10.1210/jc.2006-2584</b:DOI>
    <b:RefOrder>58</b:RefOrder>
  </b:Source>
  <b:Source>
    <b:Tag>SEgHVRvdQVncGPD6</b:Tag>
    <b:SourceType>JournalArticle</b:SourceType>
    <b:Author>
      <b:Author>
        <b:NameList xmlns:msxsl="urn:schemas-microsoft-com:xslt" xmlns:b="http://schemas.openxmlformats.org/officeDocument/2006/bibliography">
          <b:Person>
            <b:Last>Porter</b:Last>
            <b:First>Avital</b:First>
            <b:Middle/>
          </b:Person>
          <b:Person>
            <b:Last>Assali</b:Last>
            <b:First>Abid</b:First>
            <b:Middle>R.</b:Middle>
          </b:Person>
          <b:Person>
            <b:Last>Zahalka</b:Last>
            <b:First>Abed</b:First>
            <b:Middle/>
          </b:Person>
          <b:Person>
            <b:Last>Iakobishvili</b:Last>
            <b:First>Zaza</b:First>
            <b:Middle/>
          </b:Person>
          <b:Person>
            <b:Last>Brosh</b:Last>
            <b:First>David</b:First>
            <b:Middle/>
          </b:Person>
          <b:Person>
            <b:Last>Lev</b:Last>
            <b:First>Eli</b:First>
            <b:Middle>I.</b:Middle>
          </b:Person>
          <b:Person>
            <b:Last>Mager</b:Last>
            <b:First>Aviv</b:First>
            <b:Middle/>
          </b:Person>
          <b:Person>
            <b:Last>Battler</b:Last>
            <b:First>Alexander</b:First>
            <b:Middle/>
          </b:Person>
          <b:Person>
            <b:Last>Kornowski</b:Last>
            <b:First>Ran</b:First>
            <b:Middle/>
          </b:Person>
          <b:Person>
            <b:Last>Hasdai</b:Last>
            <b:First>David</b:First>
            <b:Middle/>
          </b:Person>
        </b:NameList>
      </b:Author>
    </b:Author>
    <b:JournalName>American Heart Journal</b:JournalName>
    <b:ISSN>00028703</b:ISSN>
    <b:Volume>vol. 155</b:Volume>
    <b:Issue>issue 2</b:Issue>
    <b:YearAccessed>2017-07-17</b:YearAccessed>
    <b:Year>2008</b:Year>
    <b:Medium>online</b:Medium>
    <b:Pages>284-289</b:Pages>
    <b:Title>Impaired fasting glucose and outcomes of ST-elevation acute coronary syndrome treated with primary percutaneous intervention among patients without previously known diabetes mellitus</b:Title>
    <b:ShortTitle>Impaired fasting glucose and outcomes of ST-elevation acute coronary syndrome treated with primary percutaneous intervention among patients without previously known diabetes mellitus</b:ShortTitle>
    <b:URL>http://linkinghub.elsevier.com/retrieve/pii/S0002870307008204</b:URL>
    <b:DOI>10.1016/j.ahj.2007.10.010</b:DOI>
    <b:RefOrder>59</b:RefOrder>
  </b:Source>
  <b:Source>
    <b:Tag>3gR36OVPzmPnkztf</b:Tag>
    <b:SourceType>JournalArticle</b:SourceType>
    <b:Author>
      <b:Author>
        <b:NameList xmlns:msxsl="urn:schemas-microsoft-com:xslt" xmlns:b="http://schemas.openxmlformats.org/officeDocument/2006/bibliography">
          <b:Person>
            <b:Last>Lee</b:Last>
            <b:First>M.</b:First>
            <b:Middle/>
          </b:Person>
          <b:Person>
            <b:Last>Saver</b:Last>
            <b:First>J.</b:First>
            <b:Middle>L.</b:Middle>
          </b:Person>
          <b:Person>
            <b:Last>Hong</b:Last>
            <b:First>K.-S.</b:First>
            <b:Middle/>
          </b:Person>
          <b:Person>
            <b:Last>Song</b:Last>
            <b:First>S.</b:First>
            <b:Middle/>
          </b:Person>
          <b:Person>
            <b:Last>Chang</b:Last>
            <b:First>K.-H.</b:First>
            <b:Middle/>
          </b:Person>
          <b:Person>
            <b:Last>Ovbiagele</b:Last>
            <b:First>B.</b:First>
            <b:Middle/>
          </b:Person>
        </b:NameList>
      </b:Author>
    </b:Author>
    <b:JournalName>BMJ</b:JournalName>
    <b:ISSN>17561833</b:ISSN>
    <b:Volume>vol. 344</b:Volume>
    <b:Issue>jun07 3</b:Issue>
    <b:YearAccessed>2017-07-17</b:YearAccessed>
    <b:Year>2012</b:Year>
    <b:Medium>online</b:Medium>
    <b:Pages>e3564-e3564</b:Pages>
    <b:Title>Effect of pre-diabetes on future risk of stroke: meta-analysis</b:Title>
    <b:ShortTitle>Effect of pre-diabetes on future risk of stroke</b:ShortTitle>
    <b:URL>http://www.bmj.com/cgi/doi/10.1136/bmj.e3564</b:URL>
    <b:DOI>10.1136/bmj.e3564</b:DOI>
    <b:RefOrder>60</b:RefOrder>
  </b:Source>
  <b:Source>
    <b:Tag>CXPWsV45W8A0f6fb</b:Tag>
    <b:SourceType>JournalArticle</b:SourceType>
    <b:Author>
      <b:Author>
        <b:NameList xmlns:msxsl="urn:schemas-microsoft-com:xslt" xmlns:b="http://schemas.openxmlformats.org/officeDocument/2006/bibliography">
          <b:Person>
            <b:Last>Oizumi</b:Last>
            <b:First>Toshihide</b:First>
            <b:Middle/>
          </b:Person>
          <b:Person>
            <b:Last>Daimon</b:Last>
            <b:First>Makoto</b:First>
            <b:Middle/>
          </b:Person>
          <b:Person>
            <b:Last>Jimbu</b:Last>
            <b:First>Yumi</b:First>
            <b:Middle/>
          </b:Person>
          <b:Person>
            <b:Last>Wada</b:Last>
            <b:First>Kiriko</b:First>
            <b:Middle/>
          </b:Person>
          <b:Person>
            <b:Last>Kameda</b:Last>
            <b:First>Wataru</b:First>
            <b:Middle/>
          </b:Person>
          <b:Person>
            <b:Last>Susa</b:Last>
            <b:First>Shinji</b:First>
            <b:Middle/>
          </b:Person>
          <b:Person>
            <b:Last>Yamaguchi</b:Last>
            <b:First>Hiroshi</b:First>
            <b:Middle/>
          </b:Person>
          <b:Person>
            <b:Last>Ohnuma</b:Last>
            <b:First>Hiroshi</b:First>
            <b:Middle/>
          </b:Person>
          <b:Person>
            <b:Last>Tominaga</b:Last>
            <b:First>Makoto</b:First>
            <b:Middle/>
          </b:Person>
          <b:Person>
            <b:Last>Kato</b:Last>
            <b:First>Takeo</b:First>
            <b:Middle/>
          </b:Person>
        </b:NameList>
      </b:Author>
    </b:Author>
    <b:JournalName>Metabolism</b:JournalName>
    <b:ISSN>00260495</b:ISSN>
    <b:Volume>vol. 57</b:Volume>
    <b:Issue>issue 3</b:Issue>
    <b:YearAccessed>2017-07-17</b:YearAccessed>
    <b:Year>2008</b:Year>
    <b:Medium>online</b:Medium>
    <b:Pages>333-338</b:Pages>
    <b:Title>Impaired glucose tolerance is a risk factor for stroke in a Japanese sample—the Funagata study</b:Title>
    <b:ShortTitle>Impaired glucose tolerance is a risk factor for stroke in a Japanese sample—the Funagata study</b:ShortTitle>
    <b:URL>http://linkinghub.elsevier.com/retrieve/pii/S0026049507003678</b:URL>
    <b:DOI>10.1016/j.metabol.2007.10.007</b:DOI>
    <b:RefOrder>61</b:RefOrder>
  </b:Source>
  <b:Source>
    <b:Tag>mVvIc8l9W3oBFzcd</b:Tag>
    <b:SourceType>JournalArticle</b:SourceType>
    <b:Author>
      <b:Author>
        <b:NameList xmlns:msxsl="urn:schemas-microsoft-com:xslt" xmlns:b="http://schemas.openxmlformats.org/officeDocument/2006/bibliography">
          <b:Person>
            <b:Last>Tanaka</b:Last>
            <b:First>Ryota</b:First>
            <b:Middle/>
          </b:Person>
          <b:Person>
            <b:Last>Ueno</b:Last>
            <b:First>Yuji</b:First>
            <b:Middle/>
          </b:Person>
          <b:Person>
            <b:Last>Miyamoto</b:Last>
            <b:First>Nobukazu</b:First>
            <b:Middle/>
          </b:Person>
          <b:Person>
            <b:Last>Yamashiro</b:Last>
            <b:First>Kazuo</b:First>
            <b:Middle/>
          </b:Person>
          <b:Person>
            <b:Last>Tanaka</b:Last>
            <b:First>Yasutaka</b:First>
            <b:Middle/>
          </b:Person>
          <b:Person>
            <b:Last>Shimura</b:Last>
            <b:First>Hideki</b:First>
            <b:Middle/>
          </b:Person>
          <b:Person>
            <b:Last>Hattori</b:Last>
            <b:First>Nobutaka</b:First>
            <b:Middle/>
          </b:Person>
          <b:Person>
            <b:Last>Urabe</b:Last>
            <b:First>Takao</b:First>
            <b:Middle/>
          </b:Person>
        </b:NameList>
      </b:Author>
    </b:Author>
    <b:JournalName>Journal of the Neurological Sciences</b:JournalName>
    <b:ISSN>0022510x</b:ISSN>
    <b:Volume>vol. 332</b:Volume>
    <b:Issue>1-2</b:Issue>
    <b:YearAccessed>2017-07-17</b:YearAccessed>
    <b:Year>2013</b:Year>
    <b:Medium>online</b:Medium>
    <b:Pages>45-50</b:Pages>
    <b:Title>Impact of diabetes and prediabetes on the short-term prognosis in patients with acute ischemic stroke</b:Title>
    <b:ShortTitle>Impact of diabetes and prediabetes on the short-term prognosis in patients with acute ischemic stroke</b:ShortTitle>
    <b:URL>http://linkinghub.elsevier.com/retrieve/pii/S0022510X13002724</b:URL>
    <b:DOI>10.1016/j.jns.2013.06.010</b:DOI>
    <b:RefOrder>62</b:RefOrder>
  </b:Source>
  <b:Source>
    <b:Tag>Layhq49I7jNhrCNd</b:Tag>
    <b:SourceType>JournalArticle</b:SourceType>
    <b:Author>
      <b:Author>
        <b:NameList xmlns:msxsl="urn:schemas-microsoft-com:xslt" xmlns:b="http://schemas.openxmlformats.org/officeDocument/2006/bibliography">
          <b:Person>
            <b:Last>Bansal</b:Last>
            <b:First>Nidhi</b:First>
            <b:Middle/>
          </b:Person>
        </b:NameList>
      </b:Author>
    </b:Author>
    <b:JournalName>World Journal of Diabetes</b:JournalName>
    <b:ISSN>19489358</b:ISSN>
    <b:Volume>vol. 6</b:Volume>
    <b:Issue>issue 2</b:Issue>
    <b:YearAccessed>2017-07-17</b:YearAccessed>
    <b:Year>2015</b:Year>
    <b:Medium>online</b:Medium>
    <b:Pages>296-</b:Pages>
    <b:Title>Prediabetes diagnosis and treatment: A review</b:Title>
    <b:ShortTitle>Prediabetes diagnosis and treatment</b:ShortTitle>
    <b:URL>http://www.wjgnet.com/1948-9358/full/v6/i2/296.htm</b:URL>
    <b:DOI>10.4239/wjd.v6.i2.296</b:DOI>
    <b:RefOrder>63</b:RefOrder>
  </b:Source>
  <b:Source>
    <b:Tag>kcI0d9z9zhTzo1eI</b:Tag>
    <b:SourceType>JournalArticle</b:SourceType>
    <b:JournalName>Diabetic Medicine</b:JournalName>
    <b:ISSN>07423071</b:ISSN>
    <b:Volume>vol. 24</b:Volume>
    <b:Issue>issue 2</b:Issue>
    <b:YearAccessed>2017-07-17</b:YearAccessed>
    <b:Year>2007</b:Year>
    <b:Medium>online</b:Medium>
    <b:Pages>137-144</b:Pages>
    <b:Title>The prevalence of retinopathy in impaired glucose tolerance and recent-onset diabetes in the Diabetes Prevention Program</b:Title>
    <b:ShortTitle>The prevalence of retinopathy in impaired glucose tolerance and recent-onset diabetes in the Diabetes Prevention Program</b:ShortTitle>
    <b:URL>http://doi.wiley.com/10.1111/j.1464-5491.2007.02043.x</b:URL>
    <b:DOI>10.1111/j.1464-5491.2007.02043.x</b:DOI>
    <b:RefOrder>64</b:RefOrder>
  </b:Source>
  <b:Source>
    <b:Tag>cHYSKddyBX6eSTwu</b:Tag>
    <b:SourceType>JournalArticle</b:SourceType>
    <b:Author>
      <b:Author>
        <b:NameList xmlns:msxsl="urn:schemas-microsoft-com:xslt" xmlns:b="http://schemas.openxmlformats.org/officeDocument/2006/bibliography">
          <b:Person>
            <b:Last>Kawasaki</b:Last>
            <b:First>R.</b:First>
            <b:Middle/>
          </b:Person>
          <b:Person>
            <b:Last>Wang</b:Last>
            <b:First>J.</b:First>
            <b:Middle>J.</b:Middle>
          </b:Person>
          <b:Person>
            <b:Last>Wong</b:Last>
            <b:First>T.</b:First>
            <b:Middle>Y.</b:Middle>
          </b:Person>
          <b:Person>
            <b:Last>Kayama</b:Last>
            <b:First>T.</b:First>
            <b:Middle/>
          </b:Person>
          <b:Person>
            <b:Last>Yamashita</b:Last>
            <b:First>H.</b:First>
            <b:Middle/>
          </b:Person>
        </b:NameList>
      </b:Author>
    </b:Author>
    <b:JournalName>Diabetes, Obesity and Metabolism</b:JournalName>
    <b:ISSN>14628902</b:ISSN>
    <b:Volume>vol. 10</b:Volume>
    <b:Issue>issue 6</b:Issue>
    <b:YearAccessed>2017-07-17</b:YearAccessed>
    <b:Year>2008</b:Year>
    <b:Medium>online</b:Medium>
    <b:Pages>514-515</b:Pages>
    <b:Title>Impaired glucose tolerance, but not impaired fasting glucose, is associated with retinopathy in Japanese population: the Funagata study</b:Title>
    <b:ShortTitle>Impaired glucose tolerance, but not impaired fasting glucose, is associated with retinopathy in Japanese population</b:ShortTitle>
    <b:URL>http://doi.wiley.com/10.1111/j.1463-1326.2007.00824.x</b:URL>
    <b:DOI>10.1111/j.1463-1326.2007.00824.x</b:DOI>
    <b:RefOrder>65</b:RefOrder>
  </b:Source>
  <b:Source>
    <b:Tag>DdcOYZd29XBDLs5J</b:Tag>
    <b:SourceType>JournalArticle</b:SourceType>
    <b:Author>
      <b:Author>
        <b:NameList xmlns:msxsl="urn:schemas-microsoft-com:xslt" xmlns:b="http://schemas.openxmlformats.org/officeDocument/2006/bibliography">
          <b:Person>
            <b:Last>Wong</b:Last>
            <b:First>Tien</b:First>
            <b:Middle>Y</b:Middle>
          </b:Person>
          <b:Person>
            <b:Last>Liew</b:Last>
            <b:First>Gerald</b:First>
            <b:Middle/>
          </b:Person>
          <b:Person>
            <b:Last>Tapp</b:Last>
            <b:First>Robyn</b:First>
            <b:Middle>J</b:Middle>
          </b:Person>
          <b:Person>
            <b:Last>Schmidt</b:Last>
            <b:First>Maria</b:First>
            <b:Middle>Inês</b:Middle>
          </b:Person>
          <b:Person>
            <b:Last>Wang</b:Last>
            <b:First>Jie</b:First>
            <b:Middle>Jin</b:Middle>
          </b:Person>
          <b:Person>
            <b:Last>Mitchell</b:Last>
            <b:First>Paul</b:First>
            <b:Middle/>
          </b:Person>
          <b:Person>
            <b:Last>Klein</b:Last>
            <b:First>Ronald</b:First>
            <b:Middle/>
          </b:Person>
          <b:Person>
            <b:Last>Klein</b:Last>
            <b:First>Barbara</b:First>
            <b:Middle>EK</b:Middle>
          </b:Person>
          <b:Person>
            <b:Last>Zimmet</b:Last>
            <b:First>Paul</b:First>
            <b:Middle/>
          </b:Person>
          <b:Person>
            <b:Last>Shaw</b:Last>
            <b:First>Jonathan</b:First>
            <b:Middle/>
          </b:Person>
        </b:NameList>
      </b:Author>
    </b:Author>
    <b:JournalName>The Lancet</b:JournalName>
    <b:ISSN>01406736</b:ISSN>
    <b:Volume>vol. 371</b:Volume>
    <b:Issue>issue 9614</b:Issue>
    <b:YearAccessed>2017-07-17</b:YearAccessed>
    <b:Year>2008</b:Year>
    <b:Medium>online</b:Medium>
    <b:Pages>736-743</b:Pages>
    <b:Title>Relation between fasting glucose and retinopathy for diagnosis of diabetes: three population-based cross-sectional studies</b:Title>
    <b:ShortTitle>Relation between fasting glucose and retinopathy for diagnosis of diabetes</b:ShortTitle>
    <b:URL>http://linkinghub.elsevier.com/retrieve/pii/S0140673608603438</b:URL>
    <b:DOI>10.1016/S0140-6736(08)60343-8</b:DOI>
    <b:RefOrder>66</b:RefOrder>
  </b:Source>
  <b:Source>
    <b:Tag>YgL04hpPExoEbFS5</b:Tag>
    <b:SourceType>JournalArticle</b:SourceType>
    <b:Author>
      <b:Author>
        <b:NameList xmlns:msxsl="urn:schemas-microsoft-com:xslt" xmlns:b="http://schemas.openxmlformats.org/officeDocument/2006/bibliography">
          <b:Person>
            <b:Last>Cheng</b:Last>
            <b:First>Y.</b:First>
            <b:Middle>J.</b:Middle>
          </b:Person>
          <b:Person>
            <b:Last>Gregg</b:Last>
            <b:First>E.</b:First>
            <b:Middle>W.</b:Middle>
          </b:Person>
          <b:Person>
            <b:Last>Geiss</b:Last>
            <b:First>L.</b:First>
            <b:Middle>S.</b:Middle>
          </b:Person>
          <b:Person>
            <b:Last>Imperatore</b:Last>
            <b:First>G.</b:First>
            <b:Middle/>
          </b:Person>
          <b:Person>
            <b:Last>Williams</b:Last>
            <b:First>D.</b:First>
            <b:Middle>E.</b:Middle>
          </b:Person>
          <b:Person>
            <b:Last>Zhang</b:Last>
            <b:First>X.</b:First>
            <b:Middle/>
          </b:Person>
          <b:Person>
            <b:Last>Albright</b:Last>
            <b:First>A.</b:First>
            <b:Middle>L.</b:Middle>
          </b:Person>
          <b:Person>
            <b:Last>Cowie</b:Last>
            <b:First>C.</b:First>
            <b:Middle>C.</b:Middle>
          </b:Person>
          <b:Person>
            <b:Last>Klein</b:Last>
            <b:First>R.</b:First>
            <b:Middle/>
          </b:Person>
          <b:Person>
            <b:Last>Saaddine</b:Last>
            <b:First>J.</b:First>
            <b:Middle>B.</b:Middle>
          </b:Person>
        </b:NameList>
      </b:Author>
    </b:Author>
    <b:JournalName>Diabetes Care</b:JournalName>
    <b:ISSN>01495992</b:ISSN>
    <b:Volume>vol. 32</b:Volume>
    <b:Issue>issue 11</b:Issue>
    <b:YearAccessed>2017-07-17</b:YearAccessed>
    <b:Year>2009</b:Year>
    <b:Medium>online</b:Medium>
    <b:Pages>2027-2032</b:Pages>
    <b:Title>Association of A1C and Fasting Plasma Glucose Levels With Diabetic Retinopathy Prevalence in the U.S. Population: Implications for diabetes diagnostic thresholds</b:Title>
    <b:ShortTitle>Association of A1C and Fasting Plasma Glucose Levels With Diabetic Retinopathy Prevalence in the U.S. Population</b:ShortTitle>
    <b:URL>http://care.diabetesjournals.org/cgi/doi/10.2337/dc09-0440</b:URL>
    <b:DOI>10.2337/dc09-0440</b:DOI>
    <b:RefOrder>67</b:RefOrder>
  </b:Source>
  <b:Source>
    <b:Tag>UsB2zf8wRIRhQQKl</b:Tag>
    <b:SourceType>JournalArticle</b:SourceType>
    <b:Author>
      <b:Author>
        <b:NameList xmlns:msxsl="urn:schemas-microsoft-com:xslt" xmlns:b="http://schemas.openxmlformats.org/officeDocument/2006/bibliography">
          <b:Person>
            <b:Last>Kramer</b:Last>
            <b:First>Holly</b:First>
            <b:Middle/>
          </b:Person>
        </b:NameList>
      </b:Author>
    </b:Author>
    <b:JournalName>Current Opinion in Nephrology and Hypertension</b:JournalName>
    <b:ISSN>10624821</b:ISSN>
    <b:Volume>vol. 14</b:Volume>
    <b:Issue>issue 3</b:Issue>
    <b:YearAccessed>2017-07-17</b:YearAccessed>
    <b:Year>2005</b:Year>
    <b:Medium>online</b:Medium>
    <b:Pages>249-252</b:Pages>
    <b:Title>Screening for kidney disease in adults with diabetes and prediabetes</b:Title>
    <b:ShortTitle>Screening for kidney disease in adults with diabetes and prediabetes</b:ShortTitle>
    <b:URL>http://content.wkhealth.com/linkback/openurl?sid=WKPTLP:landingpage&amp;an=00041552-200505000-00010</b:URL>
    <b:DOI>10.1097/01.mnh.0000165891.67878.7f</b:DOI>
    <b:RefOrder>68</b:RefOrder>
  </b:Source>
  <b:Source>
    <b:Tag>bsLWEERilFwpzs5b</b:Tag>
    <b:SourceType>JournalArticle</b:SourceType>
    <b:Author>
      <b:Author>
        <b:NameList xmlns:msxsl="urn:schemas-microsoft-com:xslt" xmlns:b="http://schemas.openxmlformats.org/officeDocument/2006/bibliography">
          <b:Person>
            <b:Last>Echouffo-Tcheugui</b:Last>
            <b:First>J.</b:First>
            <b:Middle>B.</b:Middle>
          </b:Person>
          <b:Person>
            <b:Last>Narayan</b:Last>
            <b:First>K.</b:First>
            <b:Middle>M.</b:Middle>
          </b:Person>
          <b:Person>
            <b:Last>Weisman</b:Last>
            <b:First>D.</b:First>
            <b:Middle/>
          </b:Person>
          <b:Person>
            <b:Last>Golden</b:Last>
            <b:First>S.</b:First>
            <b:Middle>H.</b:Middle>
          </b:Person>
          <b:Person>
            <b:Last>Jaar</b:Last>
            <b:First>B.</b:First>
            <b:Middle>G.</b:Middle>
          </b:Person>
        </b:NameList>
      </b:Author>
    </b:Author>
    <b:JournalName>Diabetic Medicine</b:JournalName>
    <b:ISSN>07423071</b:ISSN>
    <b:Volume>vol. 33</b:Volume>
    <b:Issue>issue 12</b:Issue>
    <b:YearAccessed>2017-07-17</b:YearAccessed>
    <b:Year>2016</b:Year>
    <b:Medium>online</b:Medium>
    <b:Pages>1615-1624</b:Pages>
    <b:Title>Association between prediabetes and risk of chronic kidney disease: a systematic review and meta-analysis</b:Title>
    <b:ShortTitle>Association between prediabetes and risk of chronic kidney disease</b:ShortTitle>
    <b:URL>http://doi.wiley.com/10.1111/dme.13113</b:URL>
    <b:DOI>10.1111/dme.13113</b:DOI>
    <b:RefOrder>69</b:RefOrder>
  </b:Source>
  <b:Source>
    <b:Tag>IPGNJsQeHC5553eQ</b:Tag>
    <b:SourceType>JournalArticle</b:SourceType>
    <b:Author>
      <b:Author>
        <b:NameList xmlns:msxsl="urn:schemas-microsoft-com:xslt" xmlns:b="http://schemas.openxmlformats.org/officeDocument/2006/bibliography">
          <b:Person>
            <b:Last>Plantinga</b:Last>
            <b:First>L.</b:First>
            <b:Middle>C.</b:Middle>
          </b:Person>
          <b:Person>
            <b:Last>Crews</b:Last>
            <b:First>D.</b:First>
            <b:Middle>C.</b:Middle>
          </b:Person>
          <b:Person>
            <b:Last>Coresh</b:Last>
            <b:First>J.</b:First>
            <b:Middle/>
          </b:Person>
          <b:Person>
            <b:Last>Miller</b:Last>
            <b:First>E.</b:First>
            <b:Middle>R.</b:Middle>
          </b:Person>
          <b:Person>
            <b:Last>Saran</b:Last>
            <b:First>R.</b:First>
            <b:Middle/>
          </b:Person>
          <b:Person>
            <b:Last>Yee</b:Last>
            <b:First>J.</b:First>
            <b:Middle/>
          </b:Person>
          <b:Person>
            <b:Last>Hedgeman</b:Last>
            <b:First>E.</b:First>
            <b:Middle/>
          </b:Person>
          <b:Person>
            <b:Last>Pavkov</b:Last>
            <b:First>M.</b:First>
            <b:Middle/>
          </b:Person>
          <b:Person>
            <b:Last>Eberhardt</b:Last>
            <b:First>M.</b:First>
            <b:Middle>S.</b:Middle>
          </b:Person>
          <b:Person>
            <b:Last>Williams</b:Last>
            <b:First>D.</b:First>
            <b:Middle>E.</b:Middle>
          </b:Person>
          <b:Person>
            <b:Last>Powe</b:Last>
            <b:First>N.</b:First>
            <b:Middle>R.</b:Middle>
          </b:Person>
        </b:NameList>
      </b:Author>
    </b:Author>
    <b:JournalName>Clinical Journal of the American Society of Nephrology</b:JournalName>
    <b:ISSN>15559041</b:ISSN>
    <b:Volume>vol. 5</b:Volume>
    <b:Issue>issue 4</b:Issue>
    <b:YearAccessed>2017-07-17</b:YearAccessed>
    <b:Year>2010</b:Year>
    <b:Medium>online</b:Medium>
    <b:Pages>673-682</b:Pages>
    <b:Title>Prevalence of Chronic Kidney Disease in US Adults with Undiagnosed Diabetes or Prediabetes</b:Title>
    <b:ShortTitle>Prevalence of Chronic Kidney Disease in US Adults with Undiagnosed Diabetes or Prediabetes</b:ShortTitle>
    <b:URL>http://cjasn.asnjournals.org/cgi/doi/10.2215/CJN.07891109</b:URL>
    <b:DOI>10.2215/CJN.07891109</b:DOI>
    <b:RefOrder>70</b:RefOrder>
  </b:Source>
  <b:Source>
    <b:Tag>hCIHnqLtLpN492fg</b:Tag>
    <b:SourceType>JournalArticle</b:SourceType>
    <b:Author>
      <b:Author>
        <b:NameList xmlns:msxsl="urn:schemas-microsoft-com:xslt" xmlns:b="http://schemas.openxmlformats.org/officeDocument/2006/bibliography">
          <b:Person>
            <b:Last>Fox</b:Last>
            <b:First>C.</b:First>
            <b:Middle>S.</b:Middle>
          </b:Person>
          <b:Person>
            <b:Last>Larson</b:Last>
            <b:First>M.</b:First>
            <b:Middle>G.</b:Middle>
          </b:Person>
          <b:Person>
            <b:Last>Leip</b:Last>
            <b:First>E.</b:First>
            <b:Middle>P.</b:Middle>
          </b:Person>
          <b:Person>
            <b:Last>Meigs</b:Last>
            <b:First>J.</b:First>
            <b:Middle>B.</b:Middle>
          </b:Person>
          <b:Person>
            <b:Last>Wilson</b:Last>
            <b:First>P.</b:First>
            <b:Middle>W.F.</b:Middle>
          </b:Person>
          <b:Person>
            <b:Last>Levy</b:Last>
            <b:First>D.</b:First>
            <b:Middle/>
          </b:Person>
        </b:NameList>
      </b:Author>
    </b:Author>
    <b:JournalName>Diabetes Care</b:JournalName>
    <b:ISSN>01495992</b:ISSN>
    <b:Volume>vol. 28</b:Volume>
    <b:Issue>issue 10</b:Issue>
    <b:YearAccessed>2017-07-17</b:YearAccessed>
    <b:Year>2005</b:Year>
    <b:Medium>online</b:Medium>
    <b:Pages>2436-2440</b:Pages>
    <b:Title>Glycemic Status and Development of Kidney Disease: The Framingham Heart Study</b:Title>
    <b:ShortTitle>Glycemic Status and Development of Kidney Disease</b:ShortTitle>
    <b:URL>http://care.diabetesjournals.org/cgi/doi/10.2337/diacare.28.10.2436</b:URL>
    <b:DOI>10.2337/diacare.28.10.2436</b:DOI>
    <b:RefOrder>71</b:RefOrder>
  </b:Source>
  <b:Source>
    <b:Tag>mBd0wqHtirrhs9Sw</b:Tag>
    <b:SourceType>JournalArticle</b:SourceType>
    <b:Author>
      <b:Author>
        <b:NameList xmlns:msxsl="urn:schemas-microsoft-com:xslt" xmlns:b="http://schemas.openxmlformats.org/officeDocument/2006/bibliography">
          <b:Person>
            <b:Last>Papanas</b:Last>
            <b:First>Nikolaos</b:First>
            <b:Middle/>
          </b:Person>
          <b:Person>
            <b:Last>Vinik</b:Last>
            <b:First>Aaron</b:First>
            <b:Middle>I.</b:Middle>
          </b:Person>
          <b:Person>
            <b:Last>Ziegler</b:Last>
            <b:First>Dan</b:First>
            <b:Middle/>
          </b:Person>
        </b:NameList>
      </b:Author>
    </b:Author>
    <b:JournalName>Nature Reviews Endocrinology</b:JournalName>
    <b:ISSN>17595029</b:ISSN>
    <b:Volume>vol. 7</b:Volume>
    <b:Issue>issue 11</b:Issue>
    <b:YearAccessed>2017-07-17</b:YearAccessed>
    <b:Year>2011</b:Year>
    <b:Medium>online</b:Medium>
    <b:Pages>682-690</b:Pages>
    <b:Title>Neuropathy in prediabetes: does the clock start ticking early?</b:Title>
    <b:ShortTitle>Neuropathy in prediabetes</b:ShortTitle>
    <b:URL>http://www.nature.com/doifinder/10.1038/nrendo.2011.113</b:URL>
    <b:DOI>10.1038/nrendo.2011.113</b:DOI>
    <b:RefOrder>72</b:RefOrder>
  </b:Source>
  <b:Source>
    <b:Tag>2kdN5Snzqla9olkI</b:Tag>
    <b:SourceType>BookSection</b:SourceType>
    <b:Author>
      <b:Author>
        <b:NameList xmlns:msxsl="urn:schemas-microsoft-com:xslt" xmlns:b="http://schemas.openxmlformats.org/officeDocument/2006/bibliography">
          <b:Person>
            <b:Last>Ziegler</b:Last>
            <b:First>Dan</b:First>
            <b:Middle/>
          </b:Person>
          <b:Person>
            <b:Last>Papanas</b:Last>
            <b:First>Nikolaos</b:First>
            <b:Middle/>
          </b:Person>
          <b:Person>
            <b:Last>Vinik</b:Last>
            <b:First>Aaron</b:First>
            <b:Middle>I.</b:Middle>
          </b:Person>
          <b:Person>
            <b:Last>Shaw</b:Last>
            <b:First>Jonathan</b:First>
            <b:Middle>E.</b:Middle>
          </b:Person>
        </b:NameList>
      </b:Author>
    </b:Author>
    <b:BookTitle>.</b:BookTitle>
    <b:ISBN>1</b:ISBN>
    <b:YearAccessed>2017-07-17</b:YearAccessed>
    <b:Edition>1</b:Edition>
    <b:Year>1</b:Year>
    <b:City>1</b:City>
    <b:Publisher>1</b:Publisher>
    <b:Medium>online</b:Medium>
    <b:Pages>3</b:Pages>
    <b:Title>Epidemiology of polyneuropathy in diabetes and prediabetes</b:Title>
    <b:ShortTitle>Epidemiology of polyneuropathy in diabetes and prediabetes</b:ShortTitle>
    <b:URL>http://linkinghub.elsevier.com/retrieve/pii/B9780444534804000011</b:URL>
    <b:DOI>10.1016/B978-0-444-53480-4.00001-1</b:DOI>
    <b:RefOrder>73</b:RefOrder>
  </b:Source>
  <b:Source>
    <b:Tag>8TUNFyWosHWOPFeR</b:Tag>
    <b:SourceType>JournalArticle</b:SourceType>
    <b:Author>
      <b:Author>
        <b:NameList xmlns:msxsl="urn:schemas-microsoft-com:xslt" xmlns:b="http://schemas.openxmlformats.org/officeDocument/2006/bibliography">
          <b:Person>
            <b:Last>Ziegler</b:Last>
            <b:First>D.</b:First>
            <b:Middle/>
          </b:Person>
          <b:Person>
            <b:Last>Rathmann</b:Last>
            <b:First>W.</b:First>
            <b:Middle/>
          </b:Person>
          <b:Person>
            <b:Last>Dickhaus</b:Last>
            <b:First>T.</b:First>
            <b:Middle/>
          </b:Person>
          <b:Person>
            <b:Last>Meisinger</b:Last>
            <b:First>C.</b:First>
            <b:Middle/>
          </b:Person>
          <b:Person>
            <b:Last>Mielck</b:Last>
            <b:First>A.</b:First>
            <b:Middle/>
          </b:Person>
        </b:NameList>
      </b:Author>
    </b:Author>
    <b:JournalName>Diabetes Care</b:JournalName>
    <b:ISSN>01495992</b:ISSN>
    <b:Volume>vol. 31</b:Volume>
    <b:Issue>issue 3</b:Issue>
    <b:YearAccessed>2017-07-17</b:YearAccessed>
    <b:Year>2008</b:Year>
    <b:Medium>online</b:Medium>
    <b:Pages>464-469</b:Pages>
    <b:Title>Prevalence of Polyneuropathy in Pre-Diabetes and Diabetes Is Associated With Abdominal Obesity and Macroangiopathy: The MONICA/KORA Augsburg Surveys S2 and S3</b:Title>
    <b:ShortTitle>Prevalence of Polyneuropathy in Pre-Diabetes and Diabetes Is Associated With Abdominal Obesity and Macroangiopathy</b:ShortTitle>
    <b:URL>http://care.diabetesjournals.org/cgi/doi/10.2337/dc07-1796</b:URL>
    <b:DOI>10.2337/dc07-1796</b:DOI>
    <b:RefOrder>74</b:RefOrder>
  </b:Source>
  <b:Source>
    <b:Tag>rrA6bcBvGq03gNOW</b:Tag>
    <b:SourceType>JournalArticle</b:SourceType>
    <b:Author>
      <b:Author>
        <b:NameList xmlns:msxsl="urn:schemas-microsoft-com:xslt" xmlns:b="http://schemas.openxmlformats.org/officeDocument/2006/bibliography">
          <b:Person>
            <b:Last>Ziegler</b:Last>
            <b:First>Dan</b:First>
            <b:Middle/>
          </b:Person>
          <b:Person>
            <b:Last>Rathmann</b:Last>
            <b:First>Wolfgang</b:First>
            <b:Middle/>
          </b:Person>
          <b:Person>
            <b:Last>Dickhaus</b:Last>
            <b:First>Thorsten</b:First>
            <b:Middle/>
          </b:Person>
          <b:Person>
            <b:Last>Meisinger</b:Last>
            <b:First>Christa</b:First>
            <b:Middle/>
          </b:Person>
          <b:Person>
            <b:Last>Mielck</b:Last>
            <b:First>Andreas</b:First>
            <b:Middle/>
          </b:Person>
        </b:NameList>
      </b:Author>
    </b:Author>
    <b:JournalName>Pain Medicine</b:JournalName>
    <b:ISSN>15262375</b:ISSN>
    <b:Volume>vol. 10</b:Volume>
    <b:Issue>issue 2</b:Issue>
    <b:YearAccessed>2017-07-17</b:YearAccessed>
    <b:Year>2009</b:Year>
    <b:Medium>online</b:Medium>
    <b:Pages>393-400</b:Pages>
    <b:Title>Neuropathic Pain in Diabetes, Prediabetes and Normal Glucose Tolerance: The MONICA/KORA Augsburg Surveys S2 and S3</b:Title>
    <b:ShortTitle>Neuropathic Pain in Diabetes, Prediabetes and Normal Glucose Tolerance</b:ShortTitle>
    <b:URL>https://academic.oup.com/painmedicine/article-lookup/doi/10.1111/j.1526-4637.2008.00555.x</b:URL>
    <b:DOI>10.1111/j.1526-4637.2008.00555.x</b:DOI>
    <b:RefOrder>75</b:RefOrder>
  </b:Source>
  <b:Source>
    <b:Tag>BYZWN5lUwOouKQUr</b:Tag>
    <b:SourceType>JournalArticle</b:SourceType>
    <b:Author>
      <b:Author>
        <b:NameList xmlns:msxsl="urn:schemas-microsoft-com:xslt" xmlns:b="http://schemas.openxmlformats.org/officeDocument/2006/bibliography">
          <b:Person>
            <b:Last>Zhou</b:Last>
            <b:First>X.</b:First>
            <b:Middle>H.</b:Middle>
          </b:Person>
          <b:Person>
            <b:Last>Qiao</b:Last>
            <b:First>Q.</b:First>
            <b:Middle/>
          </b:Person>
          <b:Person>
            <b:Last>Zethelius</b:Last>
            <b:First>B.</b:First>
            <b:Middle/>
          </b:Person>
          <b:Person>
            <b:Last>Pyörälä</b:Last>
            <b:First>K.</b:First>
            <b:Middle/>
          </b:Person>
          <b:Person>
            <b:Last>Söderberg</b:Last>
            <b:First>S.</b:First>
            <b:Middle/>
          </b:Person>
          <b:Person>
            <b:Last>Pajak</b:Last>
            <b:First>A.</b:First>
            <b:Middle/>
          </b:Person>
          <b:Person>
            <b:Last>Stehouwer</b:Last>
            <b:First>C.</b:First>
            <b:Middle>D. A.</b:Middle>
          </b:Person>
          <b:Person>
            <b:Last>Heine</b:Last>
            <b:First>R.</b:First>
            <b:Middle>J.</b:Middle>
          </b:Person>
          <b:Person>
            <b:Last>Jousilahti</b:Last>
            <b:First>P.</b:First>
            <b:Middle/>
          </b:Person>
          <b:Person>
            <b:Last>Ruotolo</b:Last>
            <b:First>G.</b:First>
            <b:Middle/>
          </b:Person>
          <b:Person>
            <b:Last>Nilsson</b:Last>
            <b:First>P.</b:First>
            <b:Middle>M.</b:Middle>
          </b:Person>
          <b:Person>
            <b:Last>Calori</b:Last>
            <b:First>G.</b:First>
            <b:Middle/>
          </b:Person>
          <b:Person>
            <b:Last>Tuomilehto</b:Last>
            <b:First>J.</b:First>
            <b:Middle/>
          </b:Person>
        </b:NameList>
      </b:Author>
    </b:Author>
    <b:JournalName>Diabetologia</b:JournalName>
    <b:ISSN>0012186x</b:ISSN>
    <b:Volume>vol. 53</b:Volume>
    <b:Issue>issue 9</b:Issue>
    <b:YearAccessed>2017-07-17</b:YearAccessed>
    <b:Year>2010</b:Year>
    <b:Medium>online</b:Medium>
    <b:Pages>1867-1876</b:Pages>
    <b:Title>Diabetes, prediabetes and cancer mortality</b:Title>
    <b:ShortTitle>Diabetes, prediabetes and cancer mortality</b:ShortTitle>
    <b:URL>http://link.springer.com/10.1007/s00125-010-1796-7</b:URL>
    <b:DOI>10.1007/s00125-010-1796-7</b:DOI>
    <b:RefOrder>76</b:RefOrder>
  </b:Source>
  <b:Source>
    <b:Tag>69kqgspdgazCZTN5</b:Tag>
    <b:SourceType>JournalArticle</b:SourceType>
    <b:Author>
      <b:Author>
        <b:NameList xmlns:msxsl="urn:schemas-microsoft-com:xslt" xmlns:b="http://schemas.openxmlformats.org/officeDocument/2006/bibliography">
          <b:Person>
            <b:Last>Pereira</b:Last>
            <b:First>Camila</b:First>
            <b:Middle>Schreiner</b:Middle>
          </b:Person>
          <b:Person>
            <b:Last>Molz</b:Last>
            <b:First>Patrícia</b:First>
            <b:Middle/>
          </b:Person>
          <b:Person>
            <b:Last>Palazzo</b:Last>
            <b:First>Roberta</b:First>
            <b:Middle>Passos</b:Middle>
          </b:Person>
          <b:Person>
            <b:Last>de Freitas</b:Last>
            <b:First>Thiago</b:First>
            <b:Middle>Aley Brites</b:Middle>
          </b:Person>
          <b:Person>
            <b:Last>Maluf</b:Last>
            <b:First>Sharbel</b:First>
            <b:Middle>Weidner</b:Middle>
          </b:Person>
          <b:Person>
            <b:Last>Horta</b:Last>
            <b:First>Jorge</b:First>
            <b:Middle>André</b:Middle>
          </b:Person>
          <b:Person>
            <b:Last>Prá</b:Last>
            <b:First>Daniel</b:First>
            <b:Middle/>
          </b:Person>
          <b:Person>
            <b:Last>Franke</b:Last>
            <b:First>Silvia</b:First>
            <b:Middle>Isabel Rech</b:Middle>
          </b:Person>
        </b:NameList>
      </b:Author>
    </b:Author>
    <b:JournalName>Mutation Research/Genetic Toxicology and Environmental Mutagenesis</b:JournalName>
    <b:ISSN>13835718</b:ISSN>
    <b:Volume>vol. 753</b:Volume>
    <b:Issue>issue 2</b:Issue>
    <b:YearAccessed>2017-07-17</b:YearAccessed>
    <b:Year>2013</b:Year>
    <b:Medium>online</b:Medium>
    <b:Pages>76-81</b:Pages>
    <b:Title>DNA damage and cytotoxicity in adult subjects with prediabetes</b:Title>
    <b:ShortTitle>DNA damage and cytotoxicity in adult subjects with prediabetes</b:ShortTitle>
    <b:URL>http://linkinghub.elsevier.com/retrieve/pii/S1383571813000338</b:URL>
    <b:DOI>10.1016/j.mrgentox.2013.02.002</b:DOI>
    <b:RefOrder>77</b:RefOrder>
  </b:Source>
  <b:Source>
    <b:Tag>yCxNFAMf6mG7vsVo</b:Tag>
    <b:SourceType>Book</b:SourceType>
    <b:Author>
      <b:Author>
        <b:NameList xmlns:msxsl="urn:schemas-microsoft-com:xslt" xmlns:b="http://schemas.openxmlformats.org/officeDocument/2006/bibliography">
          <b:Person>
            <b:Last>Svačina</b:Last>
            <b:First>Štěpán</b:First>
            <b:Middle/>
          </b:Person>
        </b:NameList>
      </b:Author>
    </b:Author>
    <b:ISBN>978-807387-678-4</b:ISBN>
    <b:Year>2013</b:Year>
    <b:Edition>Vyd. 1.</b:Edition>
    <b:City>Praha</b:City>
    <b:Publisher>Triton</b:Publisher>
    <b:CollectionTitle>Lékařské repetitorium</b:CollectionTitle>
    <b:Title>Obezitologie a teorie metabolického syndromu</b:Title>
    <b:ShortTitle>Obezitologie a teorie metabolického syndromu</b:ShortTitle>
    <b:RefOrder>78</b:RefOrder>
  </b:Source>
  <b:Source>
    <b:Tag>aRbnGVqSbeDhdKhO</b:Tag>
    <b:SourceType>JournalArticle</b:SourceType>
    <b:Author>
      <b:Author>
        <b:NameList xmlns:msxsl="urn:schemas-microsoft-com:xslt" xmlns:b="http://schemas.openxmlformats.org/officeDocument/2006/bibliography">
          <b:Person>
            <b:Last>Crispo</b:Last>
            <b:First>A.</b:First>
            <b:Middle/>
          </b:Person>
          <b:Person>
            <b:Last>Augustin</b:Last>
            <b:First>L.S.A.</b:First>
            <b:Middle/>
          </b:Person>
          <b:Person>
            <b:Last>Grimaldi</b:Last>
            <b:First>M.</b:First>
            <b:Middle/>
          </b:Person>
          <b:Person>
            <b:Last>Nocerino</b:Last>
            <b:First>F.</b:First>
            <b:Middle/>
          </b:Person>
          <b:Person>
            <b:Last>Giudice</b:Last>
            <b:First>A.</b:First>
            <b:Middle/>
          </b:Person>
          <b:Person>
            <b:Last>Cavalcanti</b:Last>
            <b:First>E.</b:First>
            <b:Middle/>
          </b:Person>
          <b:Person>
            <b:Last>Di Bonito</b:Last>
            <b:First>M.</b:First>
            <b:Middle/>
          </b:Person>
          <b:Person>
            <b:Last>Botti</b:Last>
            <b:First>G.</b:First>
            <b:Middle/>
          </b:Person>
          <b:Person>
            <b:Last>De Laurentiis</b:Last>
            <b:First>M.</b:First>
            <b:Middle/>
          </b:Person>
          <b:Person>
            <b:Last>Rinaldo</b:Last>
            <b:First>M.</b:First>
            <b:Middle/>
          </b:Person>
          <b:Person>
            <b:Last>Esposito</b:Last>
            <b:First>E.</b:First>
            <b:Middle/>
          </b:Person>
          <b:Person>
            <b:Last>Riccardi</b:Last>
            <b:First>G.</b:First>
            <b:Middle/>
          </b:Person>
          <b:Person>
            <b:Last>Amore</b:Last>
            <b:First>A.</b:First>
            <b:Middle/>
          </b:Person>
          <b:Person>
            <b:Last>Libra</b:Last>
            <b:First>M.</b:First>
            <b:Middle/>
          </b:Person>
          <b:Person>
            <b:Last>Ciliberto</b:Last>
            <b:First>G.</b:First>
            <b:Middle/>
          </b:Person>
          <b:Person>
            <b:Last>Jenkins</b:Last>
            <b:First>D.J.A.</b:First>
            <b:Middle/>
          </b:Person>
          <b:Person>
            <b:Last>Montella</b:Last>
            <b:First>M.</b:First>
            <b:Middle/>
          </b:Person>
        </b:NameList>
      </b:Author>
    </b:Author>
    <b:JournalName>Journal of Cellular Physiology</b:JournalName>
    <b:ISSN>00219541</b:ISSN>
    <b:Volume>vol. 232</b:Volume>
    <b:Issue>issue 5</b:Issue>
    <b:YearAccessed>2017-07-17</b:YearAccessed>
    <b:Year>2017</b:Year>
    <b:Medium>online</b:Medium>
    <b:Pages>1144-1150</b:Pages>
    <b:Title>Risk Differences Between Prediabetes And Diabetes According To Breast Cancer Molecular Subtypes</b:Title>
    <b:ShortTitle>Risk Differences Between Prediabetes And Diabetes According To Breast Cancer Molecular Subtypes</b:ShortTitle>
    <b:URL>http://doi.wiley.com/10.1002/jcp.25579</b:URL>
    <b:DOI>10.1002/jcp.25579</b:DOI>
    <b:RefOrder>79</b:RefOrder>
  </b:Source>
  <b:Source>
    <b:Tag>UFkiu2j05P6k4Ojd</b:Tag>
    <b:SourceType>JournalArticle</b:SourceType>
    <b:Author>
      <b:Author>
        <b:NameList xmlns:msxsl="urn:schemas-microsoft-com:xslt" xmlns:b="http://schemas.openxmlformats.org/officeDocument/2006/bibliography">
          <b:Person>
            <b:Last>Salinas-Martínez</b:Last>
            <b:First>Ana</b:First>
            <b:Middle>María</b:Middle>
          </b:Person>
          <b:Person>
            <b:Last>Flores-Cortés</b:Last>
            <b:First>Lillian</b:First>
            <b:Middle>Ivette</b:Middle>
          </b:Person>
          <b:Person>
            <b:Last>Cardona-Chavarría</b:Last>
            <b:First>Juan</b:First>
            <b:Middle>Manuel</b:Middle>
          </b:Person>
          <b:Person>
            <b:Last>Hernández-Gutiérrez</b:Last>
            <b:First>Brenda</b:First>
            <b:Middle/>
          </b:Person>
          <b:Person>
            <b:Last>Abundis</b:Last>
            <b:First>Alberto</b:First>
            <b:Middle/>
          </b:Person>
          <b:Person>
            <b:Last>Vázquez-Lara</b:Last>
            <b:First>Julia</b:First>
            <b:Middle/>
          </b:Person>
          <b:Person>
            <b:Last>González-Guajardo</b:Last>
            <b:First>Eduardo</b:First>
            <b:Middle>Enrique</b:Middle>
          </b:Person>
        </b:NameList>
      </b:Author>
    </b:Author>
    <b:JournalName>Archives of Medical Research</b:JournalName>
    <b:ISSN>01884409</b:ISSN>
    <b:Volume>vol. 45</b:Volume>
    <b:Issue>issue 5</b:Issue>
    <b:YearAccessed>2017-07-17</b:YearAccessed>
    <b:Year>2014</b:Year>
    <b:Medium>online</b:Medium>
    <b:Pages>432-438</b:Pages>
    <b:Title>Prediabetes, Diabetes, and Risk of Breast Cancer: A Case-Control Study</b:Title>
    <b:ShortTitle>Prediabetes, Diabetes, and Risk of Breast Cancer</b:ShortTitle>
    <b:URL>http://linkinghub.elsevier.com/retrieve/pii/S0188440914001271</b:URL>
    <b:DOI>10.1016/j.arcmed.2014.06.004</b:DOI>
    <b:RefOrder>80</b:RefOrder>
  </b:Source>
  <b:Source>
    <b:Tag>F93PdEuaoN8wjNrP</b:Tag>
    <b:SourceType>JournalArticle</b:SourceType>
    <b:Author>
      <b:Author>
        <b:NameList xmlns:msxsl="urn:schemas-microsoft-com:xslt" xmlns:b="http://schemas.openxmlformats.org/officeDocument/2006/bibliography">
          <b:Person>
            <b:Last>Pang</b:Last>
            <b:First>Yuanjie</b:First>
            <b:Middle/>
          </b:Person>
          <b:Person>
            <b:Last>Kartsonaki</b:Last>
            <b:First>Christiana</b:First>
            <b:Middle/>
          </b:Person>
          <b:Person>
            <b:Last>Guo</b:Last>
            <b:First>Yu</b:First>
            <b:Middle/>
          </b:Person>
          <b:Person>
            <b:Last>Bragg</b:Last>
            <b:First>Fiona</b:First>
            <b:Middle/>
          </b:Person>
          <b:Person>
            <b:Last>Yang</b:Last>
            <b:First>Ling</b:First>
            <b:Middle/>
          </b:Person>
          <b:Person>
            <b:Last>Bian</b:Last>
            <b:First>Zheng</b:First>
            <b:Middle/>
          </b:Person>
          <b:Person>
            <b:Last>Chen</b:Last>
            <b:First>Yiping</b:First>
            <b:Middle/>
          </b:Person>
          <b:Person>
            <b:Last>Iona</b:Last>
            <b:First>Andri</b:First>
            <b:Middle/>
          </b:Person>
          <b:Person>
            <b:Last>Millwood</b:Last>
            <b:First>Iona</b:First>
            <b:Middle>Y</b:Middle>
          </b:Person>
          <b:Person>
            <b:Last>Lv</b:Last>
            <b:First>Jun</b:First>
            <b:Middle/>
          </b:Person>
          <b:Person>
            <b:Last>Yu</b:Last>
            <b:First>Canqing</b:First>
            <b:Middle/>
          </b:Person>
          <b:Person>
            <b:Last>Chen</b:Last>
            <b:First>Junshi</b:First>
            <b:Middle/>
          </b:Person>
          <b:Person>
            <b:Last>Li</b:Last>
            <b:First>Liming</b:First>
            <b:Middle/>
          </b:Person>
          <b:Person>
            <b:Last>Holmes</b:Last>
            <b:First>Michael</b:First>
            <b:Middle>V</b:Middle>
          </b:Person>
          <b:Person>
            <b:Last>Chen</b:Last>
            <b:First>Zhengming</b:First>
            <b:Middle/>
          </b:Person>
        </b:NameList>
      </b:Author>
    </b:Author>
    <b:JournalName>International Journal of Cancer</b:JournalName>
    <b:ISSN>00207136</b:ISSN>
    <b:Volume>vol. 140</b:Volume>
    <b:Issue>issue 8</b:Issue>
    <b:YearAccessed>2017-07-17</b:YearAccessed>
    <b:Year>2017</b:Year>
    <b:Medium>online</b:Medium>
    <b:Pages>1781-1788</b:Pages>
    <b:Title>Diabetes, plasma glucose and incidence of pancreatic cancer: A prospective study of 0.5 million Chinese adults and a meta-analysis of 22 cohort studies</b:Title>
    <b:ShortTitle>Diabetes, plasma glucose and incidence of pancreatic cancer</b:ShortTitle>
    <b:URL>http://doi.wiley.com/10.1002/ijc.30599</b:URL>
    <b:DOI>10.1002/ijc.30599</b:DOI>
    <b:RefOrder>81</b:RefOrder>
  </b:Source>
  <b:Source>
    <b:Tag>FXPCEIci9pfRTGw8</b:Tag>
    <b:SourceType>JournalArticle</b:SourceType>
    <b:Author>
      <b:Author>
        <b:NameList xmlns:msxsl="urn:schemas-microsoft-com:xslt" xmlns:b="http://schemas.openxmlformats.org/officeDocument/2006/bibliography">
          <b:Person>
            <b:Last>Shi</b:Last>
            <b:First>Jianguo</b:First>
            <b:Middle/>
          </b:Person>
          <b:Person>
            <b:Last>Xiong</b:Last>
            <b:First>Lijuan</b:First>
            <b:Middle/>
          </b:Person>
          <b:Person>
            <b:Last>Li</b:Last>
            <b:First>Jiaoyuan</b:First>
            <b:Middle/>
          </b:Person>
          <b:Person>
            <b:Last>Cao</b:Last>
            <b:First>Heng</b:First>
            <b:Middle/>
          </b:Person>
          <b:Person>
            <b:Last>Jiang</b:Last>
            <b:First>Wen</b:First>
            <b:Middle/>
          </b:Person>
          <b:Person>
            <b:Last>Liu</b:Last>
            <b:First>Bo</b:First>
            <b:Middle/>
          </b:Person>
          <b:Person>
            <b:Last>Chen</b:Last>
            <b:First>Xueqin</b:First>
            <b:Middle/>
          </b:Person>
          <b:Person>
            <b:Last>Liu</b:Last>
            <b:First>Cheng</b:First>
            <b:Middle/>
          </b:Person>
          <b:Person>
            <b:Last>Liu</b:Last>
            <b:First>Ke</b:First>
            <b:Middle/>
          </b:Person>
          <b:Person>
            <b:Last>Wang</b:Last>
            <b:First>Guobin</b:First>
            <b:Middle/>
          </b:Person>
          <b:Person>
            <b:Last>Cai</b:Last>
            <b:First>Kailin</b:First>
            <b:Middle/>
          </b:Person>
        </b:NameList>
      </b:Author>
    </b:Author>
    <b:JournalName>Scientific Reports</b:JournalName>
    <b:ISSN>20452322</b:ISSN>
    <b:Volume>vol. 5</b:Volume>
    <b:Issue>issue 1</b:Issue>
    <b:YearAccessed>2017-07-17</b:YearAccessed>
    <b:Year>2015</b:Year>
    <b:Medium>online</b:Medium>
    <b:Pages>-</b:Pages>
    <b:Title>A Linear Dose-Response Relationship between Fasting Plasma Glucose and Colorectal Cancer Risk: Systematic Review and Meta-analysis</b:Title>
    <b:ShortTitle>A Linear Dose-Response Relationship between Fasting Plasma Glucose and Colorectal Cancer Risk</b:ShortTitle>
    <b:URL>http://www.nature.com/articles/srep17591</b:URL>
    <b:DOI>10.1038/srep17591</b:DOI>
    <b:RefOrder>82</b:RefOrder>
  </b:Source>
</b:Sources>
</file>

<file path=customXml/itemProps1.xml><?xml version="1.0" encoding="utf-8"?>
<ds:datastoreItem xmlns:ds="http://schemas.openxmlformats.org/officeDocument/2006/customXml" ds:itemID="{30C9BB3E-07C6-4A2F-9117-9817495F3D88}">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Template>
  <TotalTime>3269</TotalTime>
  <Pages>1</Pages>
  <Words>19469</Words>
  <Characters>114872</Characters>
  <Application>Microsoft Office Word</Application>
  <DocSecurity>0</DocSecurity>
  <Lines>957</Lines>
  <Paragraphs>268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dc:creator>
  <cp:keywords/>
  <dc:description/>
  <cp:lastModifiedBy>Ladislav Štěpánek</cp:lastModifiedBy>
  <cp:revision>664</cp:revision>
  <cp:lastPrinted>2020-03-02T23:52:00Z</cp:lastPrinted>
  <dcterms:created xsi:type="dcterms:W3CDTF">2020-01-29T19:37:00Z</dcterms:created>
  <dcterms:modified xsi:type="dcterms:W3CDTF">2020-03-02T23:52:00Z</dcterms:modified>
</cp:coreProperties>
</file>