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06" w:rsidRDefault="009E2406" w:rsidP="004653DA">
      <w:pPr>
        <w:spacing w:after="0"/>
        <w:rPr>
          <w:rFonts w:ascii="Verdana" w:hAnsi="Verdana" w:cs="Verdana"/>
          <w:b/>
          <w:bCs/>
          <w:color w:val="000000"/>
          <w:sz w:val="32"/>
          <w:szCs w:val="32"/>
        </w:rPr>
      </w:pPr>
      <w:bookmarkStart w:id="0" w:name="_GoBack"/>
      <w:bookmarkEnd w:id="0"/>
      <w:r w:rsidRPr="009E2406">
        <w:rPr>
          <w:rFonts w:ascii="Verdana" w:hAnsi="Verdana" w:cs="Verdana"/>
          <w:b/>
          <w:bCs/>
          <w:color w:val="000000"/>
          <w:sz w:val="32"/>
          <w:szCs w:val="32"/>
        </w:rPr>
        <w:t>VYSOKÁ ŠKOLA EKONOMIE A MANAGEMENTU</w:t>
      </w:r>
    </w:p>
    <w:p w:rsidR="009E2406" w:rsidRDefault="009E2406" w:rsidP="004653DA">
      <w:pPr>
        <w:spacing w:after="0"/>
        <w:rPr>
          <w:rFonts w:ascii="Verdana" w:hAnsi="Verdana" w:cs="Verdana"/>
          <w:b/>
          <w:bCs/>
          <w:color w:val="000000"/>
          <w:sz w:val="32"/>
          <w:szCs w:val="32"/>
        </w:rPr>
      </w:pPr>
    </w:p>
    <w:p w:rsidR="009E2406" w:rsidRDefault="009E2406" w:rsidP="004653DA">
      <w:pPr>
        <w:spacing w:after="0"/>
        <w:rPr>
          <w:rFonts w:ascii="Verdana" w:hAnsi="Verdana" w:cs="Verdana"/>
          <w:b/>
          <w:bCs/>
          <w:color w:val="000000"/>
          <w:sz w:val="32"/>
          <w:szCs w:val="32"/>
        </w:rPr>
      </w:pPr>
    </w:p>
    <w:p w:rsidR="009E2406" w:rsidRDefault="009E2406" w:rsidP="004653DA">
      <w:pPr>
        <w:spacing w:after="0"/>
        <w:rPr>
          <w:rFonts w:ascii="Verdana" w:hAnsi="Verdana" w:cs="Verdana"/>
          <w:b/>
          <w:bCs/>
          <w:color w:val="000000"/>
          <w:sz w:val="32"/>
          <w:szCs w:val="32"/>
        </w:rPr>
      </w:pPr>
    </w:p>
    <w:p w:rsidR="009E2406" w:rsidRDefault="009E2406" w:rsidP="004653DA">
      <w:pPr>
        <w:spacing w:after="0"/>
        <w:rPr>
          <w:rFonts w:ascii="Verdana" w:hAnsi="Verdana" w:cs="Verdana"/>
          <w:b/>
          <w:bCs/>
          <w:color w:val="000000"/>
          <w:sz w:val="32"/>
          <w:szCs w:val="32"/>
        </w:rPr>
      </w:pPr>
    </w:p>
    <w:p w:rsidR="009E2406" w:rsidRDefault="009E2406" w:rsidP="004653DA">
      <w:pPr>
        <w:spacing w:after="0"/>
        <w:rPr>
          <w:rFonts w:ascii="Verdana" w:hAnsi="Verdana" w:cs="Verdana"/>
          <w:b/>
          <w:bCs/>
          <w:color w:val="000000"/>
          <w:sz w:val="32"/>
          <w:szCs w:val="32"/>
        </w:rPr>
      </w:pPr>
    </w:p>
    <w:p w:rsidR="009E2406" w:rsidRDefault="009E2406" w:rsidP="004653DA">
      <w:pPr>
        <w:spacing w:after="0"/>
        <w:rPr>
          <w:rFonts w:ascii="Verdana" w:hAnsi="Verdana" w:cs="Verdana"/>
          <w:b/>
          <w:bCs/>
          <w:color w:val="000000"/>
          <w:sz w:val="32"/>
          <w:szCs w:val="32"/>
        </w:rPr>
      </w:pPr>
    </w:p>
    <w:p w:rsidR="009E2406" w:rsidRDefault="009E2406" w:rsidP="004653DA">
      <w:pPr>
        <w:spacing w:after="0"/>
        <w:rPr>
          <w:rFonts w:ascii="Verdana" w:hAnsi="Verdana" w:cs="Verdana"/>
          <w:b/>
          <w:bCs/>
          <w:color w:val="000000"/>
          <w:sz w:val="32"/>
          <w:szCs w:val="32"/>
        </w:rPr>
      </w:pPr>
    </w:p>
    <w:p w:rsidR="009E2406" w:rsidRDefault="009E2406" w:rsidP="004653DA">
      <w:pPr>
        <w:spacing w:after="0"/>
        <w:rPr>
          <w:rFonts w:ascii="Verdana" w:hAnsi="Verdana" w:cs="Verdana"/>
          <w:b/>
          <w:bCs/>
          <w:color w:val="000000"/>
          <w:sz w:val="32"/>
          <w:szCs w:val="32"/>
        </w:rPr>
      </w:pPr>
    </w:p>
    <w:p w:rsidR="009E2406" w:rsidRDefault="009E2406" w:rsidP="004653DA">
      <w:pPr>
        <w:spacing w:after="0"/>
        <w:rPr>
          <w:rFonts w:ascii="Verdana" w:hAnsi="Verdana" w:cs="Verdana"/>
          <w:b/>
          <w:bCs/>
          <w:color w:val="000000"/>
          <w:sz w:val="32"/>
          <w:szCs w:val="32"/>
        </w:rPr>
      </w:pPr>
    </w:p>
    <w:p w:rsidR="009E2406" w:rsidRDefault="009E2406" w:rsidP="004653DA">
      <w:pPr>
        <w:spacing w:after="0"/>
        <w:rPr>
          <w:b/>
          <w:sz w:val="32"/>
          <w:szCs w:val="32"/>
        </w:rPr>
      </w:pPr>
    </w:p>
    <w:p w:rsidR="00320E0F" w:rsidRPr="0026039B" w:rsidRDefault="0026039B" w:rsidP="004653DA">
      <w:pPr>
        <w:spacing w:after="0"/>
        <w:rPr>
          <w:rFonts w:ascii="Verdana" w:hAnsi="Verdana"/>
          <w:b/>
          <w:sz w:val="56"/>
          <w:szCs w:val="56"/>
        </w:rPr>
      </w:pPr>
      <w:r w:rsidRPr="0026039B">
        <w:rPr>
          <w:rFonts w:ascii="Verdana" w:hAnsi="Verdana"/>
          <w:b/>
          <w:sz w:val="56"/>
          <w:szCs w:val="56"/>
        </w:rPr>
        <w:t>BAKALÁŘSKÁ PRÁCE</w:t>
      </w:r>
    </w:p>
    <w:p w:rsidR="00320E0F" w:rsidRPr="00320E0F" w:rsidRDefault="00320E0F" w:rsidP="004653DA">
      <w:pPr>
        <w:rPr>
          <w:sz w:val="32"/>
          <w:szCs w:val="32"/>
        </w:rPr>
      </w:pPr>
    </w:p>
    <w:p w:rsidR="00320E0F" w:rsidRDefault="00320E0F" w:rsidP="004653DA">
      <w:pPr>
        <w:rPr>
          <w:sz w:val="32"/>
          <w:szCs w:val="32"/>
        </w:rPr>
      </w:pPr>
    </w:p>
    <w:p w:rsidR="00320E0F" w:rsidRPr="00320E0F" w:rsidRDefault="00320E0F" w:rsidP="004653DA">
      <w:pPr>
        <w:rPr>
          <w:sz w:val="32"/>
          <w:szCs w:val="32"/>
        </w:rPr>
      </w:pPr>
    </w:p>
    <w:p w:rsidR="00320E0F" w:rsidRDefault="00320E0F" w:rsidP="004653DA">
      <w:pPr>
        <w:rPr>
          <w:sz w:val="32"/>
          <w:szCs w:val="32"/>
        </w:rPr>
      </w:pPr>
    </w:p>
    <w:p w:rsidR="00320E0F" w:rsidRDefault="00320E0F" w:rsidP="004653DA">
      <w:pPr>
        <w:tabs>
          <w:tab w:val="left" w:pos="3600"/>
        </w:tabs>
        <w:rPr>
          <w:sz w:val="32"/>
          <w:szCs w:val="32"/>
        </w:rPr>
      </w:pPr>
      <w:r>
        <w:rPr>
          <w:sz w:val="32"/>
          <w:szCs w:val="32"/>
        </w:rPr>
        <w:tab/>
      </w:r>
    </w:p>
    <w:p w:rsidR="00320E0F" w:rsidRDefault="00320E0F" w:rsidP="004653DA">
      <w:pPr>
        <w:tabs>
          <w:tab w:val="left" w:pos="3600"/>
        </w:tabs>
        <w:rPr>
          <w:sz w:val="32"/>
          <w:szCs w:val="32"/>
        </w:rPr>
      </w:pPr>
    </w:p>
    <w:p w:rsidR="00320E0F" w:rsidRDefault="005D4BE5" w:rsidP="004653DA">
      <w:pPr>
        <w:tabs>
          <w:tab w:val="left" w:pos="3600"/>
        </w:tabs>
        <w:rPr>
          <w:sz w:val="32"/>
          <w:szCs w:val="32"/>
        </w:rPr>
      </w:pPr>
      <w:r>
        <w:rPr>
          <w:noProof/>
          <w:sz w:val="32"/>
          <w:szCs w:val="32"/>
        </w:rPr>
        <mc:AlternateContent>
          <mc:Choice Requires="wps">
            <w:drawing>
              <wp:anchor distT="0" distB="0" distL="114300" distR="114300" simplePos="0" relativeHeight="251660288" behindDoc="0" locked="0" layoutInCell="1" allowOverlap="1" wp14:anchorId="50338A10" wp14:editId="64446386">
                <wp:simplePos x="0" y="0"/>
                <wp:positionH relativeFrom="column">
                  <wp:posOffset>1426845</wp:posOffset>
                </wp:positionH>
                <wp:positionV relativeFrom="paragraph">
                  <wp:posOffset>410845</wp:posOffset>
                </wp:positionV>
                <wp:extent cx="3971925" cy="390525"/>
                <wp:effectExtent l="7620" t="10795" r="1143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90525"/>
                        </a:xfrm>
                        <a:prstGeom prst="rect">
                          <a:avLst/>
                        </a:prstGeom>
                        <a:solidFill>
                          <a:srgbClr val="FFFFFF"/>
                        </a:solidFill>
                        <a:ln w="9525">
                          <a:solidFill>
                            <a:schemeClr val="bg1">
                              <a:lumMod val="100000"/>
                              <a:lumOff val="0"/>
                            </a:schemeClr>
                          </a:solidFill>
                          <a:miter lim="800000"/>
                          <a:headEnd/>
                          <a:tailEnd/>
                        </a:ln>
                      </wps:spPr>
                      <wps:txbx>
                        <w:txbxContent>
                          <w:sdt>
                            <w:sdtPr>
                              <w:id w:val="528793311"/>
                              <w:placeholder>
                                <w:docPart w:val="DefaultPlaceholder_22675703"/>
                              </w:placeholder>
                            </w:sdtPr>
                            <w:sdtContent>
                              <w:p w:rsidR="00AB4E25" w:rsidRPr="00320E0F" w:rsidRDefault="00AB4E25" w:rsidP="00320E0F">
                                <w:pPr>
                                  <w:jc w:val="right"/>
                                </w:pPr>
                                <w:r>
                                  <w:rPr>
                                    <w:rFonts w:ascii="Verdana" w:hAnsi="Verdana"/>
                                    <w:b/>
                                    <w:caps/>
                                    <w:sz w:val="32"/>
                                  </w:rPr>
                                  <w:t>Lenka Klembarová</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2.35pt;margin-top:32.35pt;width:312.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" strokecolor="white [3212]">
                <v:textbox>
                  <w:txbxContent>
                    <w:sdt>
                      <w:sdtPr>
                        <w:id w:val="528793311"/>
                        <w:placeholder>
                          <w:docPart w:val="DefaultPlaceholder_22675703"/>
                        </w:placeholder>
                      </w:sdtPr>
                      <w:sdtContent>
                        <w:p w:rsidR="00AB4E25" w:rsidRPr="00320E0F" w:rsidRDefault="00AB4E25" w:rsidP="00320E0F">
                          <w:pPr>
                            <w:jc w:val="right"/>
                          </w:pPr>
                          <w:r>
                            <w:rPr>
                              <w:rFonts w:ascii="Verdana" w:hAnsi="Verdana"/>
                              <w:b/>
                              <w:caps/>
                              <w:sz w:val="32"/>
                            </w:rPr>
                            <w:t>Lenka Klembarová</w:t>
                          </w:r>
                        </w:p>
                      </w:sdtContent>
                    </w:sdt>
                  </w:txbxContent>
                </v:textbox>
              </v:shape>
            </w:pict>
          </mc:Fallback>
        </mc:AlternateConten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Default="00942576" w:rsidP="004653DA">
          <w:pPr>
            <w:tabs>
              <w:tab w:val="left" w:pos="1785"/>
            </w:tabs>
            <w:rPr>
              <w:sz w:val="32"/>
              <w:szCs w:val="32"/>
            </w:rPr>
          </w:pPr>
          <w:r>
            <w:rPr>
              <w:rFonts w:ascii="Verdana" w:hAnsi="Verdana"/>
              <w:b/>
              <w:sz w:val="32"/>
              <w:szCs w:val="32"/>
            </w:rPr>
            <w:t>2010</w:t>
          </w:r>
          <w:r>
            <w:rPr>
              <w:rFonts w:ascii="Verdana" w:hAnsi="Verdana"/>
              <w:b/>
              <w:sz w:val="32"/>
              <w:szCs w:val="32"/>
            </w:rPr>
            <w:tab/>
          </w:r>
        </w:p>
      </w:sdtContent>
    </w:sdt>
    <w:p w:rsidR="00D57FD4" w:rsidRDefault="00D57FD4" w:rsidP="004653DA">
      <w:pPr>
        <w:spacing w:after="0" w:line="240" w:lineRule="auto"/>
        <w:rPr>
          <w:b/>
          <w:sz w:val="32"/>
          <w:szCs w:val="32"/>
        </w:rPr>
        <w:sectPr w:rsidR="00D57FD4" w:rsidSect="00990CF5">
          <w:footerReference w:type="even" r:id="rId9"/>
          <w:footerReference w:type="default" r:id="rId10"/>
          <w:headerReference w:type="first" r:id="rId11"/>
          <w:footerReference w:type="first" r:id="rId12"/>
          <w:pgSz w:w="11906" w:h="16838" w:code="9"/>
          <w:pgMar w:top="1418" w:right="1134" w:bottom="1418" w:left="2268" w:header="709" w:footer="709" w:gutter="0"/>
          <w:cols w:space="708"/>
          <w:docGrid w:linePitch="326"/>
        </w:sectPr>
      </w:pPr>
    </w:p>
    <w:p w:rsidR="0032047F" w:rsidRPr="00FC17B7" w:rsidRDefault="0032047F" w:rsidP="004653DA">
      <w:pPr>
        <w:pStyle w:val="Nzev"/>
        <w:jc w:val="both"/>
        <w:rPr>
          <w:rFonts w:ascii="Verdana" w:hAnsi="Verdana"/>
          <w:b w:val="0"/>
          <w:sz w:val="28"/>
          <w:szCs w:val="28"/>
        </w:rPr>
      </w:pPr>
    </w:p>
    <w:p w:rsidR="0032047F" w:rsidRDefault="0032047F" w:rsidP="004653DA">
      <w:pPr>
        <w:pStyle w:val="Nzev"/>
        <w:jc w:val="both"/>
        <w:rPr>
          <w:rFonts w:ascii="Verdana" w:hAnsi="Verdana"/>
          <w:sz w:val="56"/>
          <w:szCs w:val="56"/>
        </w:rPr>
      </w:pPr>
    </w:p>
    <w:p w:rsidR="0032047F" w:rsidRDefault="0032047F" w:rsidP="004653DA">
      <w:pPr>
        <w:pStyle w:val="Nzev"/>
        <w:jc w:val="both"/>
        <w:rPr>
          <w:rFonts w:ascii="Verdana" w:hAnsi="Verdana"/>
          <w:sz w:val="56"/>
          <w:szCs w:val="56"/>
        </w:rPr>
      </w:pPr>
    </w:p>
    <w:p w:rsidR="00B408CB" w:rsidRDefault="00B408CB" w:rsidP="004653DA">
      <w:pPr>
        <w:pStyle w:val="Nzev"/>
        <w:jc w:val="both"/>
        <w:rPr>
          <w:rFonts w:ascii="Verdana" w:hAnsi="Verdana"/>
          <w:sz w:val="56"/>
          <w:szCs w:val="56"/>
        </w:rPr>
      </w:pPr>
    </w:p>
    <w:p w:rsidR="0032047F" w:rsidRDefault="0032047F" w:rsidP="004653DA">
      <w:pPr>
        <w:pStyle w:val="Nzev"/>
        <w:jc w:val="both"/>
        <w:rPr>
          <w:rFonts w:ascii="Verdana" w:hAnsi="Verdana"/>
          <w:sz w:val="56"/>
          <w:szCs w:val="56"/>
        </w:rPr>
      </w:pPr>
    </w:p>
    <w:p w:rsidR="0032047F" w:rsidRDefault="0026039B" w:rsidP="004653DA">
      <w:pPr>
        <w:spacing w:after="0"/>
        <w:rPr>
          <w:rFonts w:ascii="Verdana" w:hAnsi="Verdana"/>
          <w:b/>
          <w:caps/>
          <w:sz w:val="56"/>
          <w:szCs w:val="56"/>
        </w:rPr>
      </w:pPr>
      <w:r>
        <w:rPr>
          <w:rFonts w:ascii="Verdana" w:hAnsi="Verdana"/>
          <w:b/>
          <w:caps/>
          <w:sz w:val="56"/>
          <w:szCs w:val="56"/>
        </w:rPr>
        <w:t>bakalářská práce</w:t>
      </w:r>
    </w:p>
    <w:p w:rsidR="0032047F" w:rsidRPr="00FC17B7" w:rsidRDefault="0032047F" w:rsidP="004653DA">
      <w:pPr>
        <w:pStyle w:val="Nzev"/>
        <w:jc w:val="both"/>
        <w:rPr>
          <w:rFonts w:ascii="Verdana" w:hAnsi="Verdana"/>
          <w:sz w:val="28"/>
          <w:szCs w:val="28"/>
        </w:rPr>
      </w:pPr>
    </w:p>
    <w:p w:rsidR="0032047F" w:rsidRPr="00FC17B7" w:rsidRDefault="0032047F" w:rsidP="004653DA">
      <w:pPr>
        <w:pStyle w:val="Nzev"/>
        <w:jc w:val="both"/>
        <w:rPr>
          <w:rFonts w:ascii="Verdana" w:hAnsi="Verdana"/>
          <w:sz w:val="28"/>
          <w:szCs w:val="28"/>
        </w:rPr>
      </w:pPr>
    </w:p>
    <w:p w:rsidR="0032047F" w:rsidRPr="00FC17B7" w:rsidRDefault="0032047F" w:rsidP="004653DA">
      <w:pPr>
        <w:pStyle w:val="Nzev"/>
        <w:jc w:val="both"/>
        <w:rPr>
          <w:rFonts w:ascii="Verdana" w:hAnsi="Verdana"/>
          <w:sz w:val="28"/>
          <w:szCs w:val="28"/>
        </w:rPr>
      </w:pPr>
    </w:p>
    <w:p w:rsidR="0032047F" w:rsidRPr="00FC17B7" w:rsidRDefault="0032047F" w:rsidP="004653DA">
      <w:pPr>
        <w:pStyle w:val="Nzev"/>
        <w:jc w:val="both"/>
        <w:rPr>
          <w:rFonts w:ascii="Verdana" w:hAnsi="Verdana"/>
          <w:sz w:val="28"/>
          <w:szCs w:val="28"/>
        </w:rPr>
      </w:pPr>
    </w:p>
    <w:p w:rsidR="0032047F" w:rsidRPr="00FC17B7" w:rsidRDefault="0032047F" w:rsidP="004653DA">
      <w:pPr>
        <w:pStyle w:val="Nzev"/>
        <w:jc w:val="both"/>
        <w:rPr>
          <w:rFonts w:ascii="Verdana" w:hAnsi="Verdana"/>
          <w:sz w:val="28"/>
          <w:szCs w:val="28"/>
        </w:rPr>
      </w:pPr>
    </w:p>
    <w:p w:rsidR="0032047F" w:rsidRPr="00FC17B7" w:rsidRDefault="0032047F" w:rsidP="004653DA">
      <w:pPr>
        <w:pStyle w:val="Nzev"/>
        <w:jc w:val="both"/>
        <w:rPr>
          <w:rFonts w:ascii="Verdana" w:hAnsi="Verdana"/>
          <w:sz w:val="28"/>
          <w:szCs w:val="28"/>
        </w:rPr>
      </w:pPr>
    </w:p>
    <w:p w:rsidR="0032047F" w:rsidRPr="00FC17B7" w:rsidRDefault="0032047F" w:rsidP="004653DA">
      <w:pPr>
        <w:pStyle w:val="Nzev"/>
        <w:jc w:val="both"/>
        <w:rPr>
          <w:rFonts w:ascii="Verdana" w:hAnsi="Verdana"/>
          <w:sz w:val="28"/>
          <w:szCs w:val="28"/>
        </w:rPr>
      </w:pPr>
    </w:p>
    <w:p w:rsidR="0032047F" w:rsidRDefault="0032047F" w:rsidP="004653DA">
      <w:pPr>
        <w:pStyle w:val="Nzev"/>
        <w:jc w:val="both"/>
        <w:rPr>
          <w:rFonts w:ascii="Verdana" w:hAnsi="Verdana"/>
          <w:sz w:val="36"/>
          <w:szCs w:val="36"/>
        </w:rPr>
      </w:pPr>
    </w:p>
    <w:p w:rsidR="0032047F" w:rsidRDefault="0032047F" w:rsidP="004653DA">
      <w:pPr>
        <w:pStyle w:val="Nzev"/>
        <w:jc w:val="both"/>
        <w:rPr>
          <w:rFonts w:ascii="Verdana" w:hAnsi="Verdana"/>
          <w:sz w:val="36"/>
          <w:szCs w:val="36"/>
        </w:rPr>
      </w:pPr>
    </w:p>
    <w:p w:rsidR="0032047F" w:rsidRDefault="0032047F" w:rsidP="004653DA">
      <w:pPr>
        <w:pStyle w:val="Nzev"/>
        <w:jc w:val="both"/>
        <w:rPr>
          <w:rFonts w:ascii="Verdana" w:hAnsi="Verdana"/>
          <w:sz w:val="36"/>
          <w:szCs w:val="36"/>
        </w:rPr>
      </w:pPr>
    </w:p>
    <w:p w:rsidR="0032047F" w:rsidRDefault="0032047F" w:rsidP="004653DA">
      <w:pPr>
        <w:pStyle w:val="Nzev"/>
        <w:jc w:val="both"/>
        <w:rPr>
          <w:rFonts w:ascii="Verdana" w:hAnsi="Verdana"/>
          <w:sz w:val="36"/>
          <w:szCs w:val="36"/>
        </w:rPr>
      </w:pPr>
    </w:p>
    <w:p w:rsidR="0032047F" w:rsidRDefault="0032047F" w:rsidP="004653DA">
      <w:pPr>
        <w:pStyle w:val="Nzev"/>
        <w:jc w:val="both"/>
        <w:rPr>
          <w:rFonts w:ascii="Verdana" w:hAnsi="Verdana"/>
          <w:sz w:val="36"/>
          <w:szCs w:val="36"/>
        </w:rPr>
      </w:pPr>
    </w:p>
    <w:p w:rsidR="0032047F" w:rsidRDefault="0032047F" w:rsidP="004653DA">
      <w:pPr>
        <w:pStyle w:val="Nzev"/>
        <w:jc w:val="both"/>
        <w:rPr>
          <w:rFonts w:ascii="Verdana" w:hAnsi="Verdana"/>
          <w:sz w:val="36"/>
          <w:szCs w:val="36"/>
        </w:rPr>
      </w:pPr>
    </w:p>
    <w:p w:rsidR="0032047F" w:rsidRDefault="0032047F" w:rsidP="004653DA">
      <w:pPr>
        <w:pStyle w:val="Nzev"/>
        <w:jc w:val="both"/>
        <w:rPr>
          <w:rFonts w:ascii="Verdana" w:hAnsi="Verdana"/>
          <w:sz w:val="36"/>
          <w:szCs w:val="36"/>
        </w:rPr>
      </w:pPr>
    </w:p>
    <w:p w:rsidR="0032047F" w:rsidRDefault="0032047F" w:rsidP="004653DA">
      <w:pPr>
        <w:pStyle w:val="Nzev"/>
        <w:jc w:val="both"/>
        <w:rPr>
          <w:rFonts w:ascii="Verdana" w:hAnsi="Verdana"/>
          <w:sz w:val="36"/>
          <w:szCs w:val="36"/>
        </w:rPr>
      </w:pPr>
    </w:p>
    <w:p w:rsidR="0032047F" w:rsidRDefault="0032047F" w:rsidP="004653DA">
      <w:pPr>
        <w:pStyle w:val="Nzev"/>
        <w:jc w:val="both"/>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Default="00942576" w:rsidP="004653DA">
          <w:pPr>
            <w:pStyle w:val="Nzev"/>
            <w:jc w:val="both"/>
            <w:rPr>
              <w:rFonts w:ascii="Verdana" w:hAnsi="Verdana"/>
              <w:sz w:val="36"/>
              <w:szCs w:val="36"/>
            </w:rPr>
          </w:pPr>
          <w:r>
            <w:rPr>
              <w:rFonts w:ascii="Verdana" w:hAnsi="Verdana"/>
              <w:sz w:val="36"/>
              <w:szCs w:val="36"/>
            </w:rPr>
            <w:t>PODNIKOVÁ EKONOMIKA</w:t>
          </w:r>
        </w:p>
      </w:sdtContent>
    </w:sdt>
    <w:p w:rsidR="0032047F" w:rsidRPr="00FC17B7" w:rsidRDefault="0032047F" w:rsidP="004653DA">
      <w:pPr>
        <w:pStyle w:val="Nzev"/>
        <w:jc w:val="both"/>
        <w:rPr>
          <w:rFonts w:ascii="Verdana" w:hAnsi="Verdana"/>
          <w:b w:val="0"/>
          <w:sz w:val="28"/>
          <w:szCs w:val="28"/>
        </w:rPr>
      </w:pPr>
    </w:p>
    <w:p w:rsidR="0032047F" w:rsidRPr="00FC17B7" w:rsidRDefault="0032047F" w:rsidP="004653DA">
      <w:pPr>
        <w:pStyle w:val="Nzev"/>
        <w:jc w:val="both"/>
        <w:rPr>
          <w:rFonts w:ascii="Verdana" w:hAnsi="Verdana"/>
          <w:b w:val="0"/>
          <w:sz w:val="28"/>
          <w:szCs w:val="28"/>
        </w:rPr>
      </w:pPr>
    </w:p>
    <w:p w:rsidR="0032047F" w:rsidRPr="00FC17B7" w:rsidRDefault="0032047F" w:rsidP="004653DA">
      <w:pPr>
        <w:pStyle w:val="Nzev"/>
        <w:jc w:val="both"/>
        <w:rPr>
          <w:rFonts w:ascii="Verdana" w:hAnsi="Verdana"/>
          <w:b w:val="0"/>
          <w:sz w:val="28"/>
          <w:szCs w:val="28"/>
        </w:rPr>
      </w:pPr>
    </w:p>
    <w:p w:rsidR="0032047F" w:rsidRPr="00FC17B7" w:rsidRDefault="0032047F" w:rsidP="004653DA">
      <w:pPr>
        <w:pStyle w:val="Nzev"/>
        <w:jc w:val="both"/>
        <w:rPr>
          <w:rFonts w:ascii="Verdana" w:hAnsi="Verdana"/>
          <w:b w:val="0"/>
          <w:sz w:val="28"/>
          <w:szCs w:val="28"/>
        </w:rPr>
      </w:pPr>
    </w:p>
    <w:p w:rsidR="0032047F" w:rsidRPr="00FC17B7" w:rsidRDefault="0032047F" w:rsidP="004653DA">
      <w:pPr>
        <w:pStyle w:val="Nzev"/>
        <w:jc w:val="both"/>
        <w:rPr>
          <w:rFonts w:ascii="Verdana" w:hAnsi="Verdana"/>
          <w:b w:val="0"/>
          <w:sz w:val="28"/>
          <w:szCs w:val="28"/>
        </w:rPr>
      </w:pPr>
    </w:p>
    <w:p w:rsidR="00B55AB9" w:rsidRDefault="00B55AB9" w:rsidP="004653DA">
      <w:pPr>
        <w:pStyle w:val="Nzev"/>
        <w:jc w:val="both"/>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B55AB9" w:rsidRDefault="00B55AB9" w:rsidP="004653DA">
            <w:pPr>
              <w:pStyle w:val="Formul"/>
              <w:jc w:val="both"/>
            </w:pPr>
            <w:r w:rsidRPr="00B55AB9">
              <w:lastRenderedPageBreak/>
              <w:t xml:space="preserve">Název </w:t>
            </w:r>
            <w:r w:rsidR="006F1C24">
              <w:t>BAKALÁŘSKÉ</w:t>
            </w:r>
            <w:r w:rsidRPr="00B55AB9">
              <w:t xml:space="preserve"> práce</w:t>
            </w:r>
          </w:p>
        </w:tc>
      </w:tr>
      <w:tr w:rsidR="00B55AB9" w:rsidRPr="004D09F5" w:rsidTr="00DB47B9">
        <w:tc>
          <w:tcPr>
            <w:tcW w:w="9212" w:type="dxa"/>
          </w:tcPr>
          <w:p w:rsidR="00B408CB" w:rsidRDefault="00B408CB" w:rsidP="004653DA">
            <w:pPr>
              <w:spacing w:after="0" w:line="240" w:lineRule="auto"/>
              <w:rPr>
                <w:rFonts w:ascii="Verdana" w:hAnsi="Verdana"/>
              </w:rPr>
            </w:pPr>
          </w:p>
          <w:sdt>
            <w:sdtPr>
              <w:rPr>
                <w:rFonts w:ascii="Verdana" w:hAnsi="Verdana"/>
              </w:rPr>
              <w:id w:val="1482123432"/>
              <w:placeholder>
                <w:docPart w:val="7C58E2DA4D5641F0BFC2CB32A61A718B"/>
              </w:placeholder>
              <w:text/>
            </w:sdtPr>
            <w:sdtContent>
              <w:p w:rsidR="00B55AB9" w:rsidRDefault="00942576" w:rsidP="004653DA">
                <w:pPr>
                  <w:spacing w:after="0" w:line="240" w:lineRule="auto"/>
                  <w:rPr>
                    <w:rFonts w:ascii="Verdana" w:hAnsi="Verdana"/>
                  </w:rPr>
                </w:pPr>
                <w:r>
                  <w:rPr>
                    <w:rFonts w:ascii="Verdana" w:hAnsi="Verdana"/>
                  </w:rPr>
                  <w:t>Rovná daň z přidané hodnoty v ČR a na Slovensku - dopady na narovnání příjmů</w:t>
                </w:r>
              </w:p>
            </w:sdtContent>
          </w:sdt>
          <w:p w:rsidR="00B408CB" w:rsidRPr="004D09F5" w:rsidRDefault="00B408CB" w:rsidP="004653DA">
            <w:pPr>
              <w:spacing w:after="0" w:line="240" w:lineRule="auto"/>
              <w:rPr>
                <w:rFonts w:ascii="Verdana" w:hAnsi="Verdana"/>
              </w:rPr>
            </w:pPr>
          </w:p>
        </w:tc>
      </w:tr>
    </w:tbl>
    <w:p w:rsidR="00B55AB9" w:rsidRPr="004D09F5" w:rsidRDefault="00B55AB9" w:rsidP="004653DA">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4D09F5" w:rsidRDefault="00B55AB9" w:rsidP="004653DA">
            <w:pPr>
              <w:pStyle w:val="Formul"/>
              <w:jc w:val="both"/>
            </w:pPr>
            <w:r>
              <w:t>TERMÍN UKONČENÍ STUDIA A OBHAJOBA (MĚSÍC/ROK)</w:t>
            </w:r>
          </w:p>
        </w:tc>
      </w:tr>
      <w:tr w:rsidR="00B55AB9" w:rsidRPr="004D09F5" w:rsidTr="00DB47B9">
        <w:tc>
          <w:tcPr>
            <w:tcW w:w="9212" w:type="dxa"/>
          </w:tcPr>
          <w:p w:rsidR="00B408CB" w:rsidRDefault="00B408CB" w:rsidP="004653DA">
            <w:pPr>
              <w:spacing w:after="0" w:line="240" w:lineRule="auto"/>
              <w:rPr>
                <w:rFonts w:ascii="Verdana" w:hAnsi="Verdana"/>
              </w:rPr>
            </w:pPr>
          </w:p>
          <w:sdt>
            <w:sdtPr>
              <w:rPr>
                <w:rFonts w:ascii="Verdana" w:hAnsi="Verdana"/>
              </w:rPr>
              <w:id w:val="528793341"/>
              <w:placeholder>
                <w:docPart w:val="A445062028944384986715B165E51251"/>
              </w:placeholder>
              <w:text/>
            </w:sdtPr>
            <w:sdtContent>
              <w:p w:rsidR="00B55AB9" w:rsidRDefault="00942576" w:rsidP="004653DA">
                <w:pPr>
                  <w:spacing w:after="0" w:line="240" w:lineRule="auto"/>
                  <w:rPr>
                    <w:rFonts w:ascii="Verdana" w:hAnsi="Verdana"/>
                  </w:rPr>
                </w:pPr>
                <w:r>
                  <w:rPr>
                    <w:rFonts w:ascii="Verdana" w:hAnsi="Verdana"/>
                  </w:rPr>
                  <w:t>01/2011</w:t>
                </w:r>
              </w:p>
            </w:sdtContent>
          </w:sdt>
          <w:p w:rsidR="00B408CB" w:rsidRPr="004D09F5" w:rsidRDefault="00B408CB" w:rsidP="004653DA">
            <w:pPr>
              <w:spacing w:after="0" w:line="240" w:lineRule="auto"/>
              <w:rPr>
                <w:rFonts w:ascii="Verdana" w:hAnsi="Verdana"/>
              </w:rPr>
            </w:pPr>
          </w:p>
        </w:tc>
      </w:tr>
    </w:tbl>
    <w:p w:rsidR="00B55AB9" w:rsidRPr="004D09F5" w:rsidRDefault="00B55AB9" w:rsidP="004653DA">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4D09F5" w:rsidRDefault="00B55AB9" w:rsidP="004653DA">
            <w:pPr>
              <w:pStyle w:val="Formul"/>
              <w:jc w:val="both"/>
            </w:pPr>
            <w:r w:rsidRPr="004D09F5">
              <w:t xml:space="preserve">jméno </w:t>
            </w:r>
            <w:r>
              <w:t>a příjmení</w:t>
            </w:r>
            <w:r w:rsidRPr="004D09F5">
              <w:t xml:space="preserve"> / studijní skupina</w:t>
            </w:r>
          </w:p>
        </w:tc>
      </w:tr>
      <w:tr w:rsidR="00B55AB9" w:rsidRPr="004D09F5" w:rsidTr="00DB47B9">
        <w:tc>
          <w:tcPr>
            <w:tcW w:w="9212" w:type="dxa"/>
          </w:tcPr>
          <w:p w:rsidR="00B408CB" w:rsidRDefault="00B408CB" w:rsidP="004653DA">
            <w:pPr>
              <w:spacing w:after="0" w:line="240" w:lineRule="auto"/>
              <w:rPr>
                <w:rFonts w:ascii="Verdana" w:hAnsi="Verdana"/>
              </w:rPr>
            </w:pPr>
          </w:p>
          <w:p w:rsidR="00B408CB" w:rsidRDefault="00FA0BF7" w:rsidP="004653DA">
            <w:pPr>
              <w:spacing w:after="0" w:line="240" w:lineRule="auto"/>
              <w:rPr>
                <w:rFonts w:ascii="Verdana" w:hAnsi="Verdana"/>
              </w:rPr>
            </w:pPr>
            <w:sdt>
              <w:sdtPr>
                <w:rPr>
                  <w:rFonts w:ascii="Verdana" w:hAnsi="Verdana"/>
                </w:rPr>
                <w:id w:val="528793340"/>
                <w:placeholder>
                  <w:docPart w:val="C840E045410F4AC99C6C23D0C68FBB3A"/>
                </w:placeholder>
                <w:text/>
              </w:sdtPr>
              <w:sdtContent>
                <w:r w:rsidR="00942576">
                  <w:rPr>
                    <w:rFonts w:ascii="Verdana" w:hAnsi="Verdana"/>
                  </w:rPr>
                  <w:t>Lenka Klembarová</w:t>
                </w:r>
              </w:sdtContent>
            </w:sdt>
          </w:p>
          <w:p w:rsidR="00B55AB9" w:rsidRPr="004D09F5" w:rsidRDefault="00205ECD" w:rsidP="004653DA">
            <w:pPr>
              <w:spacing w:after="0" w:line="240" w:lineRule="auto"/>
              <w:rPr>
                <w:rFonts w:ascii="Verdana" w:hAnsi="Verdana"/>
              </w:rPr>
            </w:pPr>
            <w:r w:rsidRPr="004D09F5">
              <w:rPr>
                <w:rFonts w:ascii="Verdana" w:hAnsi="Verdana"/>
              </w:rPr>
              <w:t xml:space="preserve"> </w:t>
            </w:r>
          </w:p>
        </w:tc>
      </w:tr>
    </w:tbl>
    <w:p w:rsidR="00B55AB9" w:rsidRPr="004D09F5" w:rsidRDefault="00B55AB9" w:rsidP="004653DA">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4D09F5" w:rsidRDefault="00B55AB9" w:rsidP="004653DA">
            <w:pPr>
              <w:pStyle w:val="Formul"/>
              <w:jc w:val="both"/>
            </w:pPr>
            <w:r w:rsidRPr="004D09F5">
              <w:t xml:space="preserve">jméno vedoucího </w:t>
            </w:r>
            <w:r w:rsidR="006F1C24">
              <w:t>BAKALÁŘSKÉ</w:t>
            </w:r>
            <w:r w:rsidR="00384C28">
              <w:t xml:space="preserve"> </w:t>
            </w:r>
            <w:r>
              <w:t>PRÁCE</w:t>
            </w:r>
          </w:p>
        </w:tc>
      </w:tr>
      <w:tr w:rsidR="00B55AB9" w:rsidRPr="004D09F5" w:rsidTr="00DB47B9">
        <w:tc>
          <w:tcPr>
            <w:tcW w:w="9212" w:type="dxa"/>
          </w:tcPr>
          <w:p w:rsidR="00B408CB" w:rsidRDefault="00B408CB" w:rsidP="004653DA">
            <w:pPr>
              <w:spacing w:after="0" w:line="240" w:lineRule="auto"/>
              <w:rPr>
                <w:rFonts w:ascii="Verdana" w:hAnsi="Verdana"/>
              </w:rPr>
            </w:pPr>
          </w:p>
          <w:p w:rsidR="00B408CB" w:rsidRDefault="00FA0BF7" w:rsidP="004653DA">
            <w:pPr>
              <w:spacing w:after="0" w:line="240" w:lineRule="auto"/>
              <w:rPr>
                <w:rFonts w:ascii="Verdana" w:hAnsi="Verdana"/>
              </w:rPr>
            </w:pPr>
            <w:sdt>
              <w:sdtPr>
                <w:rPr>
                  <w:rFonts w:ascii="Verdana" w:hAnsi="Verdana"/>
                  <w:highlight w:val="yellow"/>
                </w:rPr>
                <w:id w:val="7516487"/>
                <w:placeholder>
                  <w:docPart w:val="7A8A0736D35F4F64BAE5337B5B820467"/>
                </w:placeholder>
                <w:text/>
              </w:sdtPr>
              <w:sdtEndPr>
                <w:rPr>
                  <w:highlight w:val="none"/>
                </w:rPr>
              </w:sdtEndPr>
              <w:sdtContent>
                <w:r w:rsidR="00942576">
                  <w:rPr>
                    <w:rFonts w:ascii="Verdana" w:hAnsi="Verdana"/>
                  </w:rPr>
                  <w:t>Ing. Stanislav Klazar, Ph.D</w:t>
                </w:r>
              </w:sdtContent>
            </w:sdt>
          </w:p>
          <w:p w:rsidR="00B55AB9" w:rsidRPr="004D09F5" w:rsidRDefault="00205ECD" w:rsidP="004653DA">
            <w:pPr>
              <w:spacing w:after="0" w:line="240" w:lineRule="auto"/>
              <w:rPr>
                <w:rFonts w:ascii="Verdana" w:hAnsi="Verdana"/>
              </w:rPr>
            </w:pPr>
            <w:r w:rsidRPr="004D09F5">
              <w:rPr>
                <w:rFonts w:ascii="Verdana" w:hAnsi="Verdana"/>
              </w:rPr>
              <w:t xml:space="preserve"> </w:t>
            </w:r>
          </w:p>
        </w:tc>
      </w:tr>
    </w:tbl>
    <w:p w:rsidR="00B55AB9" w:rsidRPr="004D09F5" w:rsidRDefault="00B55AB9" w:rsidP="004653DA">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663BAA" w:rsidRDefault="00663BAA" w:rsidP="004653DA">
            <w:pPr>
              <w:pStyle w:val="Formul"/>
              <w:jc w:val="both"/>
            </w:pPr>
            <w:r w:rsidRPr="00663BAA">
              <w:t>prohlášení studenta</w:t>
            </w:r>
          </w:p>
        </w:tc>
      </w:tr>
      <w:tr w:rsidR="00B55AB9" w:rsidRPr="004D09F5" w:rsidTr="00DB47B9">
        <w:tc>
          <w:tcPr>
            <w:tcW w:w="9212" w:type="dxa"/>
          </w:tcPr>
          <w:p w:rsidR="007F1BB5" w:rsidRDefault="007F1BB5" w:rsidP="004653DA">
            <w:pPr>
              <w:spacing w:after="0" w:line="240" w:lineRule="auto"/>
              <w:rPr>
                <w:rFonts w:ascii="Verdana" w:hAnsi="Verdana"/>
                <w:sz w:val="20"/>
              </w:rPr>
            </w:pPr>
          </w:p>
          <w:p w:rsidR="00663BAA" w:rsidRDefault="00663BAA" w:rsidP="004653DA">
            <w:pPr>
              <w:spacing w:after="0" w:line="240" w:lineRule="auto"/>
              <w:rPr>
                <w:rFonts w:ascii="Verdana" w:hAnsi="Verdana"/>
                <w:sz w:val="20"/>
              </w:rPr>
            </w:pPr>
            <w:r w:rsidRPr="00E906D8">
              <w:rPr>
                <w:rFonts w:ascii="Verdana" w:hAnsi="Verdana"/>
                <w:sz w:val="20"/>
              </w:rPr>
              <w:t>Prohlašuji tímto, že jsem zadanou bakalářskou práci na uvedené téma</w:t>
            </w:r>
            <w:r w:rsidR="000317EA">
              <w:rPr>
                <w:rFonts w:ascii="Verdana" w:hAnsi="Verdana"/>
                <w:sz w:val="20"/>
              </w:rPr>
              <w:t xml:space="preserve">   </w:t>
            </w:r>
            <w:r w:rsidRPr="00E906D8">
              <w:rPr>
                <w:rFonts w:ascii="Verdana" w:hAnsi="Verdana"/>
                <w:sz w:val="20"/>
              </w:rPr>
              <w:t>vypracoval</w:t>
            </w:r>
            <w:r w:rsidR="007F1BB5">
              <w:rPr>
                <w:rFonts w:ascii="Verdana" w:hAnsi="Verdana"/>
                <w:sz w:val="20"/>
              </w:rPr>
              <w:t>/-</w:t>
            </w:r>
            <w:r w:rsidR="000317EA">
              <w:rPr>
                <w:rFonts w:ascii="Verdana" w:hAnsi="Verdana"/>
                <w:sz w:val="20"/>
              </w:rPr>
              <w:t>a</w:t>
            </w:r>
            <w:r w:rsidRPr="00E906D8">
              <w:rPr>
                <w:rFonts w:ascii="Verdana" w:hAnsi="Verdana"/>
                <w:sz w:val="20"/>
              </w:rPr>
              <w:t xml:space="preserve"> samostatně a že jsem ke zpracování této bakalářské práce použil</w:t>
            </w:r>
            <w:r w:rsidR="007F1BB5">
              <w:rPr>
                <w:rFonts w:ascii="Verdana" w:hAnsi="Verdana"/>
                <w:sz w:val="20"/>
              </w:rPr>
              <w:t>/-</w:t>
            </w:r>
            <w:r w:rsidRPr="00E906D8">
              <w:rPr>
                <w:rFonts w:ascii="Verdana" w:hAnsi="Verdana"/>
                <w:sz w:val="20"/>
              </w:rPr>
              <w:t>a pouze literární prameny v práci uvedené.</w:t>
            </w:r>
          </w:p>
          <w:p w:rsidR="007F1BB5" w:rsidRPr="00E906D8" w:rsidRDefault="007F1BB5" w:rsidP="004653DA">
            <w:pPr>
              <w:spacing w:after="0" w:line="240" w:lineRule="auto"/>
              <w:rPr>
                <w:rFonts w:ascii="Verdana" w:hAnsi="Verdana"/>
                <w:sz w:val="20"/>
              </w:rPr>
            </w:pPr>
          </w:p>
          <w:p w:rsidR="00663BAA" w:rsidRPr="00E906D8" w:rsidRDefault="00663BAA" w:rsidP="004653DA">
            <w:pPr>
              <w:spacing w:line="240" w:lineRule="auto"/>
              <w:rPr>
                <w:rFonts w:ascii="Verdana" w:hAnsi="Verdana"/>
                <w:sz w:val="20"/>
              </w:rPr>
            </w:pPr>
            <w:r w:rsidRPr="00E906D8">
              <w:rPr>
                <w:rFonts w:ascii="Verdana" w:hAnsi="Verdana"/>
                <w:sz w:val="20"/>
              </w:rPr>
              <w:t xml:space="preserve">Datum a místo:     </w:t>
            </w:r>
            <w:proofErr w:type="gramStart"/>
            <w:r w:rsidR="00381F3A">
              <w:rPr>
                <w:rFonts w:ascii="Verdana" w:hAnsi="Verdana"/>
                <w:sz w:val="20"/>
              </w:rPr>
              <w:t>25.10.2011</w:t>
            </w:r>
            <w:proofErr w:type="gramEnd"/>
            <w:r w:rsidRPr="00E906D8">
              <w:rPr>
                <w:rFonts w:ascii="Verdana" w:hAnsi="Verdana"/>
                <w:sz w:val="20"/>
              </w:rPr>
              <w:t xml:space="preserve"> </w:t>
            </w:r>
          </w:p>
          <w:p w:rsidR="00663BAA" w:rsidRPr="00E906D8" w:rsidRDefault="00663BAA" w:rsidP="004653DA">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4653DA">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4653DA">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4D09F5" w:rsidRDefault="00532BCE" w:rsidP="004653DA">
            <w:pPr>
              <w:pStyle w:val="Formul"/>
              <w:jc w:val="both"/>
            </w:pPr>
            <w:r>
              <w:t>poděkování</w:t>
            </w:r>
          </w:p>
        </w:tc>
      </w:tr>
      <w:tr w:rsidR="00B55AB9" w:rsidRPr="004D09F5" w:rsidTr="00DB47B9">
        <w:tc>
          <w:tcPr>
            <w:tcW w:w="9212" w:type="dxa"/>
          </w:tcPr>
          <w:p w:rsidR="00B408CB" w:rsidRDefault="00B408CB" w:rsidP="004653DA">
            <w:pPr>
              <w:spacing w:after="0" w:line="240" w:lineRule="auto"/>
              <w:rPr>
                <w:rFonts w:ascii="Verdana" w:hAnsi="Verdana"/>
                <w:sz w:val="20"/>
              </w:rPr>
            </w:pPr>
          </w:p>
          <w:p w:rsidR="00B55AB9" w:rsidRDefault="00532BCE" w:rsidP="004653DA">
            <w:pPr>
              <w:spacing w:after="0" w:line="240" w:lineRule="auto"/>
              <w:rPr>
                <w:rFonts w:ascii="Verdana" w:hAnsi="Verdana"/>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vedoucímu</w:t>
            </w:r>
            <w:r w:rsidR="007F1BB5">
              <w:rPr>
                <w:rFonts w:ascii="Verdana" w:hAnsi="Verdana"/>
                <w:sz w:val="20"/>
              </w:rPr>
              <w:t xml:space="preserve"> bakalářské práce</w:t>
            </w:r>
            <w:r w:rsidRPr="00E906D8">
              <w:rPr>
                <w:rFonts w:ascii="Verdana" w:hAnsi="Verdana"/>
                <w:sz w:val="20"/>
              </w:rPr>
              <w:t xml:space="preserve"> </w:t>
            </w:r>
            <w:r w:rsidR="00942576" w:rsidRPr="00E26DCC">
              <w:rPr>
                <w:rFonts w:ascii="Verdana" w:hAnsi="Verdana"/>
                <w:sz w:val="20"/>
              </w:rPr>
              <w:t xml:space="preserve">Ing. Stanislavu Klarzarovi, Ph.D. </w:t>
            </w:r>
            <w:r w:rsidRPr="00E26DCC">
              <w:rPr>
                <w:rFonts w:ascii="Verdana" w:hAnsi="Verdana"/>
                <w:sz w:val="20"/>
              </w:rPr>
              <w:t>za metodické vedení a odborné konzultace, které</w:t>
            </w:r>
            <w:r w:rsidRPr="00E906D8">
              <w:rPr>
                <w:rFonts w:ascii="Verdana" w:hAnsi="Verdana"/>
                <w:sz w:val="20"/>
              </w:rPr>
              <w:t xml:space="preserve"> mi poskytl při zpracování mé bakalářské práce.</w:t>
            </w:r>
            <w:r w:rsidR="00205ECD">
              <w:rPr>
                <w:rFonts w:ascii="Verdana" w:hAnsi="Verdana"/>
                <w:sz w:val="20"/>
              </w:rPr>
              <w:t xml:space="preserve"> </w:t>
            </w:r>
            <w:sdt>
              <w:sdtPr>
                <w:rPr>
                  <w:rFonts w:ascii="Verdana" w:hAnsi="Verdana"/>
                </w:rPr>
                <w:id w:val="528793338"/>
                <w:placeholder>
                  <w:docPart w:val="3E5F79D5307E41539779935AA726D47A"/>
                </w:placeholder>
                <w:text/>
              </w:sdtPr>
              <w:sdtContent>
                <w:r w:rsidR="00942576">
                  <w:rPr>
                    <w:rFonts w:ascii="Verdana" w:hAnsi="Verdana"/>
                  </w:rPr>
                  <w:t xml:space="preserve">  </w:t>
                </w:r>
              </w:sdtContent>
            </w:sdt>
          </w:p>
          <w:p w:rsidR="00B408CB" w:rsidRPr="004D09F5" w:rsidRDefault="00B408CB" w:rsidP="004653DA">
            <w:pPr>
              <w:spacing w:after="0" w:line="240" w:lineRule="auto"/>
              <w:rPr>
                <w:rFonts w:ascii="Verdana" w:hAnsi="Verdana"/>
              </w:rPr>
            </w:pPr>
          </w:p>
        </w:tc>
      </w:tr>
    </w:tbl>
    <w:p w:rsidR="00B55AB9" w:rsidRDefault="00B55AB9" w:rsidP="004653DA"/>
    <w:p w:rsidR="00D57FD4" w:rsidRDefault="00D57FD4" w:rsidP="004653DA">
      <w:pPr>
        <w:spacing w:after="0"/>
        <w:rPr>
          <w:b/>
          <w:sz w:val="32"/>
          <w:szCs w:val="32"/>
        </w:rPr>
        <w:sectPr w:rsidR="00D57FD4" w:rsidSect="00990CF5">
          <w:headerReference w:type="default" r:id="rId13"/>
          <w:footerReference w:type="default" r:id="rId14"/>
          <w:pgSz w:w="11906" w:h="16838" w:code="9"/>
          <w:pgMar w:top="1418" w:right="1134" w:bottom="1418" w:left="2268" w:header="709" w:footer="709" w:gutter="0"/>
          <w:cols w:space="708"/>
          <w:docGrid w:linePitch="326"/>
        </w:sectPr>
      </w:pPr>
    </w:p>
    <w:p w:rsidR="00D179FA" w:rsidRDefault="00D179FA" w:rsidP="004653DA">
      <w:pPr>
        <w:spacing w:after="0"/>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4653DA">
      <w:pPr>
        <w:spacing w:after="0"/>
        <w:rPr>
          <w:rFonts w:ascii="Verdana" w:hAnsi="Verdana" w:cs="Verdana"/>
          <w:b/>
          <w:bCs/>
          <w:color w:val="000000"/>
          <w:sz w:val="32"/>
          <w:szCs w:val="32"/>
        </w:rPr>
      </w:pPr>
    </w:p>
    <w:p w:rsidR="00D179FA" w:rsidRDefault="00D179FA" w:rsidP="004653DA">
      <w:pPr>
        <w:spacing w:after="0"/>
        <w:rPr>
          <w:rFonts w:ascii="Verdana" w:hAnsi="Verdana" w:cs="Verdana"/>
          <w:b/>
          <w:bCs/>
          <w:color w:val="000000"/>
          <w:sz w:val="32"/>
          <w:szCs w:val="32"/>
        </w:rPr>
      </w:pPr>
    </w:p>
    <w:p w:rsidR="00D179FA" w:rsidRDefault="00D179FA" w:rsidP="004653DA">
      <w:pPr>
        <w:spacing w:after="0"/>
        <w:rPr>
          <w:rFonts w:ascii="Verdana" w:hAnsi="Verdana" w:cs="Verdana"/>
          <w:b/>
          <w:bCs/>
          <w:color w:val="000000"/>
          <w:sz w:val="32"/>
          <w:szCs w:val="32"/>
        </w:rPr>
      </w:pPr>
    </w:p>
    <w:p w:rsidR="00D179FA" w:rsidRDefault="00D179FA" w:rsidP="004653DA">
      <w:pPr>
        <w:spacing w:after="0"/>
        <w:rPr>
          <w:rFonts w:ascii="Verdana" w:hAnsi="Verdana" w:cs="Verdana"/>
          <w:b/>
          <w:bCs/>
          <w:color w:val="000000"/>
          <w:sz w:val="32"/>
          <w:szCs w:val="32"/>
        </w:rPr>
      </w:pPr>
    </w:p>
    <w:p w:rsidR="00D179FA" w:rsidRDefault="00D179FA" w:rsidP="004653DA">
      <w:pPr>
        <w:spacing w:after="0"/>
        <w:rPr>
          <w:rFonts w:ascii="Verdana" w:hAnsi="Verdana" w:cs="Verdana"/>
          <w:b/>
          <w:bCs/>
          <w:color w:val="000000"/>
          <w:sz w:val="32"/>
          <w:szCs w:val="32"/>
        </w:rPr>
      </w:pPr>
    </w:p>
    <w:p w:rsidR="00D179FA" w:rsidRDefault="00D179FA" w:rsidP="004653DA">
      <w:pPr>
        <w:spacing w:after="0"/>
        <w:rPr>
          <w:rFonts w:ascii="Verdana" w:hAnsi="Verdana" w:cs="Verdana"/>
          <w:b/>
          <w:bCs/>
          <w:color w:val="000000"/>
          <w:sz w:val="32"/>
          <w:szCs w:val="32"/>
        </w:rPr>
      </w:pPr>
    </w:p>
    <w:p w:rsidR="00D179FA" w:rsidRDefault="00D179FA" w:rsidP="004653DA">
      <w:pPr>
        <w:spacing w:after="0"/>
        <w:rPr>
          <w:rFonts w:ascii="Verdana" w:hAnsi="Verdana" w:cs="Verdana"/>
          <w:b/>
          <w:bCs/>
          <w:color w:val="000000"/>
          <w:sz w:val="32"/>
          <w:szCs w:val="32"/>
        </w:rPr>
      </w:pPr>
    </w:p>
    <w:p w:rsidR="00D179FA" w:rsidRDefault="00D179FA" w:rsidP="004653DA">
      <w:pPr>
        <w:spacing w:after="0"/>
        <w:rPr>
          <w:rFonts w:ascii="Verdana" w:hAnsi="Verdana" w:cs="Verdana"/>
          <w:b/>
          <w:bCs/>
          <w:color w:val="000000"/>
          <w:sz w:val="32"/>
          <w:szCs w:val="32"/>
        </w:rPr>
      </w:pPr>
    </w:p>
    <w:p w:rsidR="00D179FA" w:rsidRDefault="00D179FA" w:rsidP="004653DA">
      <w:pPr>
        <w:spacing w:after="0"/>
        <w:rPr>
          <w:rFonts w:ascii="Verdana" w:hAnsi="Verdana" w:cs="Verdana"/>
          <w:b/>
          <w:bCs/>
          <w:color w:val="000000"/>
          <w:sz w:val="32"/>
          <w:szCs w:val="32"/>
        </w:rPr>
      </w:pPr>
    </w:p>
    <w:p w:rsidR="00D179FA" w:rsidRDefault="00D179FA" w:rsidP="004653DA">
      <w:pPr>
        <w:spacing w:after="0"/>
        <w:rPr>
          <w:b/>
          <w:sz w:val="32"/>
          <w:szCs w:val="32"/>
        </w:rPr>
      </w:pPr>
    </w:p>
    <w:sdt>
      <w:sdtPr>
        <w:rPr>
          <w:b/>
          <w:sz w:val="32"/>
          <w:szCs w:val="32"/>
        </w:rPr>
        <w:id w:val="528793351"/>
        <w:placeholder>
          <w:docPart w:val="DefaultPlaceholder_22675703"/>
        </w:placeholder>
      </w:sdtPr>
      <w:sdtContent>
        <w:p w:rsidR="00D179FA" w:rsidRPr="00942576" w:rsidRDefault="00942576" w:rsidP="004653DA">
          <w:pPr>
            <w:spacing w:after="0"/>
            <w:rPr>
              <w:b/>
              <w:sz w:val="32"/>
              <w:szCs w:val="32"/>
            </w:rPr>
          </w:pPr>
          <w:r w:rsidRPr="00942576">
            <w:rPr>
              <w:b/>
              <w:sz w:val="48"/>
              <w:szCs w:val="48"/>
            </w:rPr>
            <w:t>Rovná daň z přidané hodnoty v ČR a Slovensku – dopady na narování příjmů</w:t>
          </w:r>
        </w:p>
      </w:sdtContent>
    </w:sdt>
    <w:sdt>
      <w:sdtPr>
        <w:rPr>
          <w:sz w:val="28"/>
          <w:szCs w:val="32"/>
        </w:rPr>
        <w:id w:val="528793371"/>
        <w:placeholder>
          <w:docPart w:val="DefaultPlaceholder_22675703"/>
        </w:placeholder>
      </w:sdtPr>
      <w:sdtContent>
        <w:p w:rsidR="00D179FA" w:rsidRPr="00942576" w:rsidRDefault="00942576" w:rsidP="004653DA">
          <w:pPr>
            <w:spacing w:after="0"/>
            <w:rPr>
              <w:sz w:val="28"/>
              <w:szCs w:val="32"/>
            </w:rPr>
          </w:pPr>
          <w:r w:rsidRPr="00942576">
            <w:rPr>
              <w:sz w:val="28"/>
              <w:szCs w:val="32"/>
            </w:rPr>
            <w:t>Equal value added tax in the Czech and Slovak Republic and impacts on the settlement of income</w:t>
          </w:r>
        </w:p>
      </w:sdtContent>
    </w:sdt>
    <w:p w:rsidR="00D179FA" w:rsidRPr="00320E0F" w:rsidRDefault="00D179FA" w:rsidP="004653DA">
      <w:pPr>
        <w:rPr>
          <w:sz w:val="32"/>
          <w:szCs w:val="32"/>
        </w:rPr>
      </w:pPr>
    </w:p>
    <w:p w:rsidR="00D179FA" w:rsidRDefault="00D179FA" w:rsidP="004653DA">
      <w:pPr>
        <w:rPr>
          <w:sz w:val="32"/>
          <w:szCs w:val="32"/>
        </w:rPr>
      </w:pPr>
    </w:p>
    <w:p w:rsidR="00D179FA" w:rsidRDefault="00D179FA" w:rsidP="004653DA">
      <w:pPr>
        <w:tabs>
          <w:tab w:val="left" w:pos="3600"/>
        </w:tabs>
        <w:rPr>
          <w:sz w:val="32"/>
          <w:szCs w:val="32"/>
        </w:rPr>
      </w:pPr>
      <w:r>
        <w:rPr>
          <w:sz w:val="32"/>
          <w:szCs w:val="32"/>
        </w:rPr>
        <w:tab/>
      </w:r>
    </w:p>
    <w:p w:rsidR="00D179FA" w:rsidRDefault="00D179FA" w:rsidP="004653DA">
      <w:pPr>
        <w:tabs>
          <w:tab w:val="left" w:pos="3600"/>
        </w:tabs>
        <w:rPr>
          <w:sz w:val="32"/>
          <w:szCs w:val="32"/>
        </w:rPr>
      </w:pPr>
    </w:p>
    <w:p w:rsidR="00D179FA" w:rsidRDefault="00D179FA" w:rsidP="004653DA">
      <w:pPr>
        <w:tabs>
          <w:tab w:val="left" w:pos="3600"/>
        </w:tabs>
        <w:rPr>
          <w:sz w:val="32"/>
          <w:szCs w:val="32"/>
        </w:rPr>
      </w:pPr>
    </w:p>
    <w:p w:rsidR="00D179FA" w:rsidRDefault="00D179FA" w:rsidP="004653DA">
      <w:pPr>
        <w:tabs>
          <w:tab w:val="left" w:pos="3600"/>
        </w:tabs>
        <w:rPr>
          <w:sz w:val="32"/>
          <w:szCs w:val="32"/>
        </w:rPr>
      </w:pPr>
      <w:r>
        <w:rPr>
          <w:sz w:val="32"/>
          <w:szCs w:val="32"/>
        </w:rPr>
        <w:t xml:space="preserve">Autor: </w:t>
      </w:r>
      <w:sdt>
        <w:sdtPr>
          <w:rPr>
            <w:sz w:val="32"/>
            <w:szCs w:val="32"/>
          </w:rPr>
          <w:id w:val="528793366"/>
          <w:placeholder>
            <w:docPart w:val="DefaultPlaceholder_22675703"/>
          </w:placeholder>
        </w:sdtPr>
        <w:sdtContent>
          <w:r w:rsidR="00381F3A">
            <w:rPr>
              <w:sz w:val="32"/>
              <w:szCs w:val="32"/>
            </w:rPr>
            <w:t>Lenka Klembarová</w:t>
          </w:r>
        </w:sdtContent>
      </w:sdt>
    </w:p>
    <w:p w:rsidR="00C91C02" w:rsidRPr="003336A7" w:rsidRDefault="00C91C02" w:rsidP="004653DA">
      <w:pPr>
        <w:pStyle w:val="AbstractSummary-nadpis"/>
        <w:jc w:val="both"/>
        <w:rPr>
          <w:rFonts w:ascii="Verdana" w:hAnsi="Verdana"/>
          <w:sz w:val="32"/>
          <w:szCs w:val="32"/>
        </w:rPr>
      </w:pPr>
      <w:r>
        <w:rPr>
          <w:rFonts w:ascii="Verdana" w:hAnsi="Verdana"/>
          <w:sz w:val="32"/>
          <w:szCs w:val="32"/>
        </w:rPr>
        <w:br w:type="page"/>
      </w:r>
      <w:r>
        <w:lastRenderedPageBreak/>
        <w:t>Souhrn</w:t>
      </w:r>
    </w:p>
    <w:p w:rsidR="00C91C02" w:rsidRPr="00BF5E73" w:rsidRDefault="00AB4E25" w:rsidP="004653DA">
      <w:pPr>
        <w:pStyle w:val="AbstractSummary-text"/>
      </w:pPr>
      <w:r w:rsidRPr="00BF5E73">
        <w:t>Bakalářská práce je zaměřena</w:t>
      </w:r>
      <w:r w:rsidR="00BF5E73" w:rsidRPr="00BF5E73">
        <w:t xml:space="preserve"> </w:t>
      </w:r>
      <w:proofErr w:type="gramStart"/>
      <w:r w:rsidR="00BF5E73" w:rsidRPr="00BF5E73">
        <w:t>na</w:t>
      </w:r>
      <w:proofErr w:type="gramEnd"/>
      <w:r w:rsidRPr="00BF5E73">
        <w:t xml:space="preserve"> daň z přidané hodnoty</w:t>
      </w:r>
      <w:r w:rsidR="00BF5E73" w:rsidRPr="00BF5E73">
        <w:t xml:space="preserve"> mezi dvěma krajinami, konkrétně České republiky a Slovenska.</w:t>
      </w:r>
      <w:r w:rsidRPr="00BF5E73">
        <w:t xml:space="preserve"> Kromě teoretické části, která definuje základní funkce, prv</w:t>
      </w:r>
      <w:r w:rsidR="00BF5E73" w:rsidRPr="00BF5E73">
        <w:t>k</w:t>
      </w:r>
      <w:r w:rsidRPr="00BF5E73">
        <w:t>y a druhy všech platných daní, se</w:t>
      </w:r>
      <w:r w:rsidR="00BF5E73" w:rsidRPr="00BF5E73">
        <w:t xml:space="preserve"> bakalářská práce dale zaměřuje </w:t>
      </w:r>
      <w:proofErr w:type="gramStart"/>
      <w:r w:rsidR="00BF5E73" w:rsidRPr="00BF5E73">
        <w:t>na</w:t>
      </w:r>
      <w:proofErr w:type="gramEnd"/>
      <w:r w:rsidR="00BF5E73" w:rsidRPr="00BF5E73">
        <w:t xml:space="preserve"> podrobné členění DPH v těchto krajinách. Definuje základní prvky daní, jako předmět </w:t>
      </w:r>
      <w:proofErr w:type="gramStart"/>
      <w:r w:rsidR="00BF5E73" w:rsidRPr="00BF5E73">
        <w:t>daně</w:t>
      </w:r>
      <w:proofErr w:type="gramEnd"/>
      <w:r w:rsidR="00BF5E73" w:rsidRPr="00BF5E73">
        <w:t xml:space="preserve">, plátce daně a sazby daně. Součástí této práce je i analytická cast, která je zaměřena </w:t>
      </w:r>
      <w:proofErr w:type="gramStart"/>
      <w:r w:rsidR="00BF5E73" w:rsidRPr="00BF5E73">
        <w:t>na</w:t>
      </w:r>
      <w:proofErr w:type="gramEnd"/>
      <w:r w:rsidR="00BF5E73" w:rsidRPr="00BF5E73">
        <w:t xml:space="preserve"> historický vývoj DPH v ČR a na Slovensku. Daň z přidané hodnoty dále porovnáva </w:t>
      </w:r>
      <w:proofErr w:type="gramStart"/>
      <w:r w:rsidR="00BF5E73" w:rsidRPr="00BF5E73">
        <w:t>na</w:t>
      </w:r>
      <w:proofErr w:type="gramEnd"/>
      <w:r w:rsidR="00BF5E73" w:rsidRPr="00BF5E73">
        <w:t xml:space="preserve"> celkové příjmy státního rozpočtu a vliv, který má táto daň na HDP obou krajín. Cílem práce poukázat </w:t>
      </w:r>
      <w:proofErr w:type="gramStart"/>
      <w:r w:rsidR="00BF5E73" w:rsidRPr="00BF5E73">
        <w:t>na</w:t>
      </w:r>
      <w:proofErr w:type="gramEnd"/>
      <w:r w:rsidR="00BF5E73" w:rsidRPr="00BF5E73">
        <w:t xml:space="preserve"> to, jak velkou měrou ovlivňuje DPH příjmouvou oblast státu. Práce se taky zaměřuje problematikou rovné </w:t>
      </w:r>
      <w:proofErr w:type="gramStart"/>
      <w:r w:rsidR="00BF5E73" w:rsidRPr="00BF5E73">
        <w:t>daně</w:t>
      </w:r>
      <w:proofErr w:type="gramEnd"/>
      <w:r w:rsidR="00BF5E73" w:rsidRPr="00BF5E73">
        <w:t xml:space="preserve">. </w:t>
      </w:r>
      <w:proofErr w:type="gramStart"/>
      <w:r w:rsidR="00BF5E73" w:rsidRPr="00BF5E73">
        <w:t>Tento pojem je velmi často spojován práve se Slovenskou republikou.</w:t>
      </w:r>
      <w:proofErr w:type="gramEnd"/>
      <w:r w:rsidR="00BF5E73" w:rsidRPr="00BF5E73">
        <w:t xml:space="preserve"> Jedním ze stanovených cílů práce je zjistit, jestli rovná daň </w:t>
      </w:r>
      <w:proofErr w:type="gramStart"/>
      <w:r w:rsidR="00BF5E73" w:rsidRPr="00BF5E73">
        <w:t>na</w:t>
      </w:r>
      <w:proofErr w:type="gramEnd"/>
      <w:r w:rsidR="00BF5E73" w:rsidRPr="00BF5E73">
        <w:t xml:space="preserve"> Slovensku skutečně existuje. Závěrečná část je věnována politickým a odborným názorům </w:t>
      </w:r>
      <w:proofErr w:type="gramStart"/>
      <w:r w:rsidR="00BF5E73" w:rsidRPr="00BF5E73">
        <w:t>na</w:t>
      </w:r>
      <w:proofErr w:type="gramEnd"/>
      <w:r w:rsidR="00BF5E73" w:rsidRPr="00BF5E73">
        <w:t xml:space="preserve"> vývoj DPH v těchto krajinách. </w:t>
      </w:r>
    </w:p>
    <w:p w:rsidR="00C91C02" w:rsidRPr="00FC4D1B" w:rsidRDefault="00C91C02" w:rsidP="004653DA">
      <w:pPr>
        <w:pStyle w:val="AbstractSummary-text"/>
        <w:rPr>
          <w:lang w:val="pt-BR"/>
        </w:rPr>
      </w:pPr>
    </w:p>
    <w:p w:rsidR="00C91C02" w:rsidRDefault="00E86E13" w:rsidP="004653DA">
      <w:pPr>
        <w:pStyle w:val="AbstractSummary-nadpis"/>
        <w:jc w:val="both"/>
      </w:pPr>
      <w:r>
        <w:t>Summary</w:t>
      </w:r>
    </w:p>
    <w:p w:rsidR="00BF5E73" w:rsidRDefault="00BF5E73" w:rsidP="00BF5E73">
      <w:pPr>
        <w:pStyle w:val="AbstractSummary-text"/>
      </w:pPr>
      <w:r w:rsidRPr="00BF5E73">
        <w:t xml:space="preserve">Bachelor thesis is focused on value added tax between the two countries, Czech Republic and Slovakia. Besides the theoretical part, which defines the basic functions, features and types of all applicable taxes, the thesis also focuses on a detailed breakdown of VAT in these countries. </w:t>
      </w:r>
      <w:proofErr w:type="gramStart"/>
      <w:r w:rsidRPr="00BF5E73">
        <w:t>Defines the basic elements of taxes, as the subject of taxes, the taxpayer and the tax rate.</w:t>
      </w:r>
      <w:proofErr w:type="gramEnd"/>
      <w:r w:rsidRPr="00BF5E73">
        <w:t xml:space="preserve"> </w:t>
      </w:r>
      <w:proofErr w:type="gramStart"/>
      <w:r w:rsidR="002B118D">
        <w:t>Thesis inclues also an</w:t>
      </w:r>
      <w:r w:rsidRPr="00BF5E73">
        <w:t xml:space="preserve"> analytical part, which focuses on the historical development of </w:t>
      </w:r>
      <w:r w:rsidR="002B118D">
        <w:t>VAT in Czech</w:t>
      </w:r>
      <w:r w:rsidRPr="00BF5E73">
        <w:t xml:space="preserve"> and Slovak Republic.</w:t>
      </w:r>
      <w:proofErr w:type="gramEnd"/>
      <w:r w:rsidRPr="00BF5E73">
        <w:t xml:space="preserve"> Value added tax also compares the total revenues of the state budget and the influence that this tax to GDP of both countries. Aim of this study point out how greatly affects </w:t>
      </w:r>
      <w:r w:rsidR="002B118D">
        <w:t>the income</w:t>
      </w:r>
      <w:r w:rsidRPr="00BF5E73">
        <w:t xml:space="preserve"> state area. The work also addresses the issue of a flat tax. This notion is very often associated with the Slovak Republic. One of the objectives is to find work, if the Slovak flat tax actually exists. The final section is devoted to political and professional views on the development of VAT in those countries.</w:t>
      </w:r>
    </w:p>
    <w:p w:rsidR="00BF5E73" w:rsidRPr="00BF5E73" w:rsidRDefault="00BF5E73" w:rsidP="00BF5E73">
      <w:pPr>
        <w:pStyle w:val="AbstractSummary-text"/>
      </w:pPr>
    </w:p>
    <w:p w:rsidR="00E86E13" w:rsidRPr="00381F3A" w:rsidRDefault="00E86E13" w:rsidP="004653DA">
      <w:pPr>
        <w:rPr>
          <w:highlight w:val="yellow"/>
        </w:rPr>
      </w:pPr>
      <w:r w:rsidRPr="00381F3A">
        <w:rPr>
          <w:highlight w:val="yellow"/>
        </w:rPr>
        <w:t xml:space="preserve"> </w:t>
      </w:r>
    </w:p>
    <w:p w:rsidR="00E86E13" w:rsidRPr="00381F3A" w:rsidRDefault="00E86E13" w:rsidP="004653DA">
      <w:pPr>
        <w:pStyle w:val="AbstractSummary-nadpis"/>
        <w:jc w:val="both"/>
        <w:rPr>
          <w:highlight w:val="yellow"/>
        </w:rPr>
      </w:pPr>
    </w:p>
    <w:p w:rsidR="00E86E13" w:rsidRPr="002D6E52" w:rsidRDefault="00E86E13" w:rsidP="004653DA">
      <w:pPr>
        <w:pStyle w:val="AbstractSummary-nadpis"/>
        <w:spacing w:before="120" w:after="0"/>
        <w:jc w:val="both"/>
      </w:pPr>
      <w:r w:rsidRPr="002D6E52">
        <w:lastRenderedPageBreak/>
        <w:t>Klíčová slova:</w:t>
      </w:r>
    </w:p>
    <w:p w:rsidR="00E86E13" w:rsidRPr="002D6E52" w:rsidRDefault="002D6E52" w:rsidP="004653DA">
      <w:pPr>
        <w:pStyle w:val="AbstractSummary-text"/>
        <w:rPr>
          <w:lang w:val="cs-CZ"/>
        </w:rPr>
      </w:pPr>
      <w:r w:rsidRPr="002D6E52">
        <w:rPr>
          <w:lang w:val="cs-CZ"/>
        </w:rPr>
        <w:t>Daň z přidané hodnoty, d</w:t>
      </w:r>
      <w:r w:rsidR="00BD65D4" w:rsidRPr="002D6E52">
        <w:rPr>
          <w:lang w:val="cs-CZ"/>
        </w:rPr>
        <w:t xml:space="preserve">aňová soustava, </w:t>
      </w:r>
      <w:r w:rsidRPr="002D6E52">
        <w:rPr>
          <w:lang w:val="cs-CZ"/>
        </w:rPr>
        <w:t>nepřímé daně Česká republika, Slovenská republika</w:t>
      </w:r>
      <w:r w:rsidR="00E86E13" w:rsidRPr="002D6E52">
        <w:rPr>
          <w:lang w:val="cs-CZ"/>
        </w:rPr>
        <w:t>.</w:t>
      </w:r>
    </w:p>
    <w:p w:rsidR="00234347" w:rsidRPr="002D6E52" w:rsidRDefault="00234347" w:rsidP="004653DA">
      <w:pPr>
        <w:pStyle w:val="AbstractSummary-nadpis"/>
        <w:jc w:val="both"/>
      </w:pPr>
    </w:p>
    <w:p w:rsidR="00C91C02" w:rsidRPr="002D6E52" w:rsidRDefault="00C91C02" w:rsidP="004653DA">
      <w:pPr>
        <w:pStyle w:val="AbstractSummary-nadpis"/>
        <w:spacing w:before="120" w:after="0"/>
        <w:jc w:val="both"/>
      </w:pPr>
      <w:r w:rsidRPr="002D6E52">
        <w:t>Keywords:</w:t>
      </w:r>
    </w:p>
    <w:p w:rsidR="00BD65D4" w:rsidRPr="002D6E52" w:rsidRDefault="00BD65D4" w:rsidP="004653DA">
      <w:pPr>
        <w:pStyle w:val="AbstractSummary-text"/>
        <w:rPr>
          <w:lang w:val="cs-CZ"/>
        </w:rPr>
      </w:pPr>
      <w:r w:rsidRPr="002D6E52">
        <w:rPr>
          <w:lang w:val="cs-CZ"/>
        </w:rPr>
        <w:t xml:space="preserve">Value Added tax, tax system, </w:t>
      </w:r>
      <w:r w:rsidR="002D6E52" w:rsidRPr="002D6E52">
        <w:rPr>
          <w:lang w:val="cs-CZ"/>
        </w:rPr>
        <w:t>indirect taxex, Czech republic, Slovak republic.</w:t>
      </w:r>
    </w:p>
    <w:p w:rsidR="00234347" w:rsidRPr="00381F3A" w:rsidRDefault="00234347" w:rsidP="004653DA">
      <w:pPr>
        <w:pStyle w:val="AbstractSummary-text"/>
        <w:rPr>
          <w:highlight w:val="yellow"/>
          <w:lang w:val="cs-CZ"/>
        </w:rPr>
      </w:pPr>
    </w:p>
    <w:p w:rsidR="002D6E52" w:rsidRPr="00656C1B" w:rsidRDefault="00BD7149" w:rsidP="004653DA">
      <w:pPr>
        <w:pStyle w:val="AbstractSummary-nadpis"/>
        <w:spacing w:before="120" w:after="0"/>
        <w:jc w:val="both"/>
      </w:pPr>
      <w:r w:rsidRPr="00656C1B">
        <w:t xml:space="preserve">JEL </w:t>
      </w:r>
      <w:r w:rsidR="00ED6E3B" w:rsidRPr="00656C1B">
        <w:t>C</w:t>
      </w:r>
      <w:r w:rsidR="002D6E52" w:rsidRPr="00656C1B">
        <w:t>lassification:</w:t>
      </w:r>
    </w:p>
    <w:p w:rsidR="002D6E52" w:rsidRDefault="002D6E52" w:rsidP="004653DA">
      <w:pPr>
        <w:pStyle w:val="AbstractSummary-text"/>
        <w:spacing w:after="0"/>
        <w:rPr>
          <w:highlight w:val="yellow"/>
          <w:lang w:val="cs-CZ"/>
        </w:rPr>
      </w:pPr>
      <w:r w:rsidRPr="002D6E52">
        <w:rPr>
          <w:lang w:val="cs-CZ"/>
        </w:rPr>
        <w:t>H250 - Business Taxes and Subsidies including sales and value-added (VAT)</w:t>
      </w:r>
      <w:r w:rsidRPr="002D6E52">
        <w:rPr>
          <w:highlight w:val="yellow"/>
          <w:lang w:val="cs-CZ"/>
        </w:rPr>
        <w:t xml:space="preserve"> </w:t>
      </w:r>
    </w:p>
    <w:p w:rsidR="002D6E52" w:rsidRDefault="00656C1B" w:rsidP="004653DA">
      <w:pPr>
        <w:pStyle w:val="AbstractSummary-text"/>
        <w:spacing w:after="0"/>
        <w:rPr>
          <w:highlight w:val="yellow"/>
          <w:lang w:val="cs-CZ"/>
        </w:rPr>
      </w:pPr>
      <w:r>
        <w:rPr>
          <w:lang w:val="cs-CZ"/>
        </w:rPr>
        <w:t>H610</w:t>
      </w:r>
      <w:r w:rsidR="002D6E52" w:rsidRPr="002D6E52">
        <w:rPr>
          <w:lang w:val="cs-CZ"/>
        </w:rPr>
        <w:t xml:space="preserve"> - National Budget; Budget Systems</w:t>
      </w:r>
      <w:r w:rsidR="002D6E52" w:rsidRPr="002D6E52">
        <w:rPr>
          <w:highlight w:val="yellow"/>
          <w:lang w:val="cs-CZ"/>
        </w:rPr>
        <w:t xml:space="preserve"> </w:t>
      </w:r>
    </w:p>
    <w:p w:rsidR="00C91C02" w:rsidRPr="00BD7149" w:rsidRDefault="00656C1B" w:rsidP="002B118D">
      <w:pPr>
        <w:pStyle w:val="AbstractSummary-text"/>
        <w:spacing w:after="0"/>
        <w:jc w:val="left"/>
        <w:rPr>
          <w:lang w:val="cs-CZ"/>
        </w:rPr>
      </w:pPr>
      <w:r>
        <w:t>H710 - State and Local Taxation, Subsidies, and Revenue</w:t>
      </w:r>
      <w:r w:rsidR="002D6E52" w:rsidRPr="002D6E52">
        <w:rPr>
          <w:lang w:val="cs-CZ"/>
        </w:rPr>
        <w:br/>
      </w:r>
    </w:p>
    <w:p w:rsidR="00C91C02" w:rsidRDefault="00C91C02" w:rsidP="004653DA">
      <w:pPr>
        <w:spacing w:after="0"/>
        <w:rPr>
          <w:b/>
          <w:bCs/>
          <w:sz w:val="26"/>
          <w:szCs w:val="40"/>
        </w:rPr>
      </w:pPr>
    </w:p>
    <w:p w:rsidR="00C91C02" w:rsidRDefault="00C91C02" w:rsidP="004653DA">
      <w:pPr>
        <w:spacing w:after="0"/>
        <w:rPr>
          <w:b/>
          <w:bCs/>
          <w:sz w:val="26"/>
          <w:szCs w:val="40"/>
        </w:rPr>
      </w:pPr>
    </w:p>
    <w:p w:rsidR="00C91C02" w:rsidRDefault="00C91C02" w:rsidP="004653DA">
      <w:pPr>
        <w:spacing w:after="0"/>
        <w:rPr>
          <w:b/>
          <w:bCs/>
          <w:sz w:val="26"/>
          <w:szCs w:val="40"/>
        </w:rPr>
      </w:pPr>
    </w:p>
    <w:p w:rsidR="00C91C02" w:rsidRDefault="00C91C02" w:rsidP="004653DA">
      <w:pPr>
        <w:spacing w:after="0"/>
        <w:rPr>
          <w:b/>
          <w:bCs/>
          <w:sz w:val="26"/>
          <w:szCs w:val="40"/>
        </w:rPr>
      </w:pPr>
    </w:p>
    <w:p w:rsidR="00C91C02" w:rsidRDefault="00C91C02" w:rsidP="004653DA">
      <w:pPr>
        <w:spacing w:after="0"/>
        <w:rPr>
          <w:b/>
          <w:bCs/>
          <w:sz w:val="26"/>
          <w:szCs w:val="40"/>
        </w:rPr>
      </w:pPr>
    </w:p>
    <w:p w:rsidR="00C91C02" w:rsidRDefault="00C91C02" w:rsidP="004653DA">
      <w:pPr>
        <w:spacing w:after="0"/>
        <w:rPr>
          <w:b/>
          <w:bCs/>
          <w:sz w:val="26"/>
          <w:szCs w:val="40"/>
        </w:rPr>
      </w:pPr>
    </w:p>
    <w:p w:rsidR="00C91C02" w:rsidRDefault="00C91C02" w:rsidP="004653DA">
      <w:pPr>
        <w:spacing w:after="0"/>
        <w:rPr>
          <w:b/>
          <w:bCs/>
          <w:sz w:val="26"/>
          <w:szCs w:val="40"/>
        </w:rPr>
      </w:pPr>
    </w:p>
    <w:p w:rsidR="00C91C02" w:rsidRDefault="00C91C02" w:rsidP="004653DA">
      <w:pPr>
        <w:spacing w:after="0"/>
        <w:rPr>
          <w:b/>
          <w:bCs/>
          <w:sz w:val="26"/>
          <w:szCs w:val="40"/>
        </w:rPr>
      </w:pPr>
    </w:p>
    <w:p w:rsidR="00C91C02" w:rsidRDefault="00C91C02" w:rsidP="004653DA">
      <w:pPr>
        <w:spacing w:after="0"/>
        <w:rPr>
          <w:b/>
          <w:bCs/>
          <w:sz w:val="26"/>
          <w:szCs w:val="40"/>
        </w:rPr>
      </w:pPr>
    </w:p>
    <w:p w:rsidR="00C91C02" w:rsidRDefault="00C91C02" w:rsidP="004653DA">
      <w:pPr>
        <w:spacing w:after="0"/>
        <w:rPr>
          <w:b/>
          <w:bCs/>
          <w:sz w:val="26"/>
          <w:szCs w:val="40"/>
        </w:rPr>
      </w:pPr>
    </w:p>
    <w:p w:rsidR="00C91C02" w:rsidRDefault="00C91C02" w:rsidP="004653DA">
      <w:pPr>
        <w:spacing w:after="0" w:line="240" w:lineRule="auto"/>
        <w:rPr>
          <w:rFonts w:ascii="Verdana" w:hAnsi="Verdana"/>
          <w:b/>
          <w:sz w:val="32"/>
          <w:szCs w:val="32"/>
        </w:rPr>
      </w:pPr>
    </w:p>
    <w:p w:rsidR="00EF42E4" w:rsidRDefault="00EF42E4" w:rsidP="004653DA">
      <w:pPr>
        <w:spacing w:after="0" w:line="240" w:lineRule="auto"/>
        <w:rPr>
          <w:b/>
          <w:sz w:val="32"/>
          <w:szCs w:val="32"/>
        </w:rPr>
      </w:pPr>
      <w:r>
        <w:rPr>
          <w:b/>
          <w:sz w:val="32"/>
          <w:szCs w:val="32"/>
        </w:rPr>
        <w:br w:type="page"/>
      </w:r>
    </w:p>
    <w:p w:rsidR="00793AB3" w:rsidRPr="00793AB3" w:rsidRDefault="00793AB3" w:rsidP="004653DA">
      <w:pPr>
        <w:rPr>
          <w:sz w:val="32"/>
          <w:szCs w:val="32"/>
        </w:rPr>
      </w:pPr>
      <w:r w:rsidRPr="00793AB3">
        <w:rPr>
          <w:b/>
          <w:sz w:val="32"/>
          <w:szCs w:val="32"/>
        </w:rPr>
        <w:lastRenderedPageBreak/>
        <w:t>Obsah</w:t>
      </w:r>
    </w:p>
    <w:p w:rsidR="00D4401D" w:rsidRDefault="00597B01">
      <w:pPr>
        <w:pStyle w:val="Obsah1"/>
        <w:rPr>
          <w:rFonts w:asciiTheme="minorHAnsi" w:eastAsiaTheme="minorEastAsia" w:hAnsiTheme="minorHAnsi" w:cstheme="minorBidi"/>
          <w:noProof/>
          <w:sz w:val="22"/>
          <w:lang w:eastAsia="cs-CZ"/>
        </w:rPr>
      </w:pPr>
      <w:r>
        <w:fldChar w:fldCharType="begin"/>
      </w:r>
      <w:r w:rsidR="00793AB3">
        <w:instrText xml:space="preserve"> TOC \o "1-3" \h \z \u </w:instrText>
      </w:r>
      <w:r>
        <w:fldChar w:fldCharType="separate"/>
      </w:r>
      <w:hyperlink w:anchor="_Toc307937043" w:history="1">
        <w:r w:rsidR="00D4401D" w:rsidRPr="00FC51D3">
          <w:rPr>
            <w:rStyle w:val="Hypertextovodkaz"/>
            <w:noProof/>
          </w:rPr>
          <w:t>2</w:t>
        </w:r>
        <w:r w:rsidR="00D4401D">
          <w:rPr>
            <w:rFonts w:asciiTheme="minorHAnsi" w:eastAsiaTheme="minorEastAsia" w:hAnsiTheme="minorHAnsi" w:cstheme="minorBidi"/>
            <w:noProof/>
            <w:sz w:val="22"/>
            <w:lang w:eastAsia="cs-CZ"/>
          </w:rPr>
          <w:tab/>
        </w:r>
        <w:r w:rsidR="00D4401D" w:rsidRPr="00FC51D3">
          <w:rPr>
            <w:rStyle w:val="Hypertextovodkaz"/>
            <w:noProof/>
          </w:rPr>
          <w:t>Úvod</w:t>
        </w:r>
        <w:r w:rsidR="00D4401D">
          <w:rPr>
            <w:noProof/>
            <w:webHidden/>
          </w:rPr>
          <w:tab/>
        </w:r>
        <w:r w:rsidR="00D4401D">
          <w:rPr>
            <w:noProof/>
            <w:webHidden/>
          </w:rPr>
          <w:fldChar w:fldCharType="begin"/>
        </w:r>
        <w:r w:rsidR="00D4401D">
          <w:rPr>
            <w:noProof/>
            <w:webHidden/>
          </w:rPr>
          <w:instrText xml:space="preserve"> PAGEREF _Toc307937043 \h </w:instrText>
        </w:r>
        <w:r w:rsidR="00D4401D">
          <w:rPr>
            <w:noProof/>
            <w:webHidden/>
          </w:rPr>
        </w:r>
        <w:r w:rsidR="00D4401D">
          <w:rPr>
            <w:noProof/>
            <w:webHidden/>
          </w:rPr>
          <w:fldChar w:fldCharType="separate"/>
        </w:r>
        <w:r w:rsidR="00D4401D">
          <w:rPr>
            <w:noProof/>
            <w:webHidden/>
          </w:rPr>
          <w:t>1</w:t>
        </w:r>
        <w:r w:rsidR="00D4401D">
          <w:rPr>
            <w:noProof/>
            <w:webHidden/>
          </w:rPr>
          <w:fldChar w:fldCharType="end"/>
        </w:r>
      </w:hyperlink>
    </w:p>
    <w:p w:rsidR="00D4401D" w:rsidRDefault="00D4401D">
      <w:pPr>
        <w:pStyle w:val="Obsah2"/>
        <w:rPr>
          <w:rFonts w:asciiTheme="minorHAnsi" w:eastAsiaTheme="minorEastAsia" w:hAnsiTheme="minorHAnsi" w:cstheme="minorBidi"/>
          <w:lang w:eastAsia="cs-CZ"/>
        </w:rPr>
      </w:pPr>
      <w:hyperlink w:anchor="_Toc307937044" w:history="1">
        <w:r w:rsidRPr="00FC51D3">
          <w:rPr>
            <w:rStyle w:val="Hypertextovodkaz"/>
          </w:rPr>
          <w:t>2.1</w:t>
        </w:r>
        <w:r>
          <w:rPr>
            <w:rFonts w:asciiTheme="minorHAnsi" w:eastAsiaTheme="minorEastAsia" w:hAnsiTheme="minorHAnsi" w:cstheme="minorBidi"/>
            <w:lang w:eastAsia="cs-CZ"/>
          </w:rPr>
          <w:tab/>
        </w:r>
        <w:r w:rsidRPr="00FC51D3">
          <w:rPr>
            <w:rStyle w:val="Hypertextovodkaz"/>
          </w:rPr>
          <w:t>Cíl práce</w:t>
        </w:r>
        <w:r>
          <w:rPr>
            <w:webHidden/>
          </w:rPr>
          <w:tab/>
        </w:r>
        <w:r>
          <w:rPr>
            <w:webHidden/>
          </w:rPr>
          <w:fldChar w:fldCharType="begin"/>
        </w:r>
        <w:r>
          <w:rPr>
            <w:webHidden/>
          </w:rPr>
          <w:instrText xml:space="preserve"> PAGEREF _Toc307937044 \h </w:instrText>
        </w:r>
        <w:r>
          <w:rPr>
            <w:webHidden/>
          </w:rPr>
        </w:r>
        <w:r>
          <w:rPr>
            <w:webHidden/>
          </w:rPr>
          <w:fldChar w:fldCharType="separate"/>
        </w:r>
        <w:r>
          <w:rPr>
            <w:webHidden/>
          </w:rPr>
          <w:t>2</w:t>
        </w:r>
        <w:r>
          <w:rPr>
            <w:webHidden/>
          </w:rPr>
          <w:fldChar w:fldCharType="end"/>
        </w:r>
      </w:hyperlink>
    </w:p>
    <w:p w:rsidR="00D4401D" w:rsidRDefault="00D4401D">
      <w:pPr>
        <w:pStyle w:val="Obsah1"/>
        <w:rPr>
          <w:rFonts w:asciiTheme="minorHAnsi" w:eastAsiaTheme="minorEastAsia" w:hAnsiTheme="minorHAnsi" w:cstheme="minorBidi"/>
          <w:noProof/>
          <w:sz w:val="22"/>
          <w:lang w:eastAsia="cs-CZ"/>
        </w:rPr>
      </w:pPr>
      <w:hyperlink w:anchor="_Toc307937045" w:history="1">
        <w:r w:rsidRPr="00FC51D3">
          <w:rPr>
            <w:rStyle w:val="Hypertextovodkaz"/>
            <w:noProof/>
          </w:rPr>
          <w:t>3</w:t>
        </w:r>
        <w:r>
          <w:rPr>
            <w:rFonts w:asciiTheme="minorHAnsi" w:eastAsiaTheme="minorEastAsia" w:hAnsiTheme="minorHAnsi" w:cstheme="minorBidi"/>
            <w:noProof/>
            <w:sz w:val="22"/>
            <w:lang w:eastAsia="cs-CZ"/>
          </w:rPr>
          <w:tab/>
        </w:r>
        <w:r w:rsidRPr="00FC51D3">
          <w:rPr>
            <w:rStyle w:val="Hypertextovodkaz"/>
            <w:noProof/>
          </w:rPr>
          <w:t>Daň, její význam, funkce a členění</w:t>
        </w:r>
        <w:r>
          <w:rPr>
            <w:noProof/>
            <w:webHidden/>
          </w:rPr>
          <w:tab/>
        </w:r>
        <w:r>
          <w:rPr>
            <w:noProof/>
            <w:webHidden/>
          </w:rPr>
          <w:fldChar w:fldCharType="begin"/>
        </w:r>
        <w:r>
          <w:rPr>
            <w:noProof/>
            <w:webHidden/>
          </w:rPr>
          <w:instrText xml:space="preserve"> PAGEREF _Toc307937045 \h </w:instrText>
        </w:r>
        <w:r>
          <w:rPr>
            <w:noProof/>
            <w:webHidden/>
          </w:rPr>
        </w:r>
        <w:r>
          <w:rPr>
            <w:noProof/>
            <w:webHidden/>
          </w:rPr>
          <w:fldChar w:fldCharType="separate"/>
        </w:r>
        <w:r>
          <w:rPr>
            <w:noProof/>
            <w:webHidden/>
          </w:rPr>
          <w:t>2</w:t>
        </w:r>
        <w:r>
          <w:rPr>
            <w:noProof/>
            <w:webHidden/>
          </w:rPr>
          <w:fldChar w:fldCharType="end"/>
        </w:r>
      </w:hyperlink>
    </w:p>
    <w:p w:rsidR="00D4401D" w:rsidRDefault="00D4401D">
      <w:pPr>
        <w:pStyle w:val="Obsah2"/>
        <w:rPr>
          <w:rFonts w:asciiTheme="minorHAnsi" w:eastAsiaTheme="minorEastAsia" w:hAnsiTheme="minorHAnsi" w:cstheme="minorBidi"/>
          <w:lang w:eastAsia="cs-CZ"/>
        </w:rPr>
      </w:pPr>
      <w:hyperlink w:anchor="_Toc307937046" w:history="1">
        <w:r w:rsidRPr="00FC51D3">
          <w:rPr>
            <w:rStyle w:val="Hypertextovodkaz"/>
          </w:rPr>
          <w:t>3.1</w:t>
        </w:r>
        <w:r>
          <w:rPr>
            <w:rFonts w:asciiTheme="minorHAnsi" w:eastAsiaTheme="minorEastAsia" w:hAnsiTheme="minorHAnsi" w:cstheme="minorBidi"/>
            <w:lang w:eastAsia="cs-CZ"/>
          </w:rPr>
          <w:tab/>
        </w:r>
        <w:r w:rsidRPr="00FC51D3">
          <w:rPr>
            <w:rStyle w:val="Hypertextovodkaz"/>
          </w:rPr>
          <w:t>Historie daní</w:t>
        </w:r>
        <w:r>
          <w:rPr>
            <w:webHidden/>
          </w:rPr>
          <w:tab/>
        </w:r>
        <w:r>
          <w:rPr>
            <w:webHidden/>
          </w:rPr>
          <w:fldChar w:fldCharType="begin"/>
        </w:r>
        <w:r>
          <w:rPr>
            <w:webHidden/>
          </w:rPr>
          <w:instrText xml:space="preserve"> PAGEREF _Toc307937046 \h </w:instrText>
        </w:r>
        <w:r>
          <w:rPr>
            <w:webHidden/>
          </w:rPr>
        </w:r>
        <w:r>
          <w:rPr>
            <w:webHidden/>
          </w:rPr>
          <w:fldChar w:fldCharType="separate"/>
        </w:r>
        <w:r>
          <w:rPr>
            <w:webHidden/>
          </w:rPr>
          <w:t>3</w:t>
        </w:r>
        <w:r>
          <w:rPr>
            <w:webHidden/>
          </w:rPr>
          <w:fldChar w:fldCharType="end"/>
        </w:r>
      </w:hyperlink>
    </w:p>
    <w:p w:rsidR="00D4401D" w:rsidRDefault="00D4401D">
      <w:pPr>
        <w:pStyle w:val="Obsah2"/>
        <w:rPr>
          <w:rFonts w:asciiTheme="minorHAnsi" w:eastAsiaTheme="minorEastAsia" w:hAnsiTheme="minorHAnsi" w:cstheme="minorBidi"/>
          <w:lang w:eastAsia="cs-CZ"/>
        </w:rPr>
      </w:pPr>
      <w:hyperlink w:anchor="_Toc307937047" w:history="1">
        <w:r w:rsidRPr="00FC51D3">
          <w:rPr>
            <w:rStyle w:val="Hypertextovodkaz"/>
          </w:rPr>
          <w:t>3.2</w:t>
        </w:r>
        <w:r>
          <w:rPr>
            <w:rFonts w:asciiTheme="minorHAnsi" w:eastAsiaTheme="minorEastAsia" w:hAnsiTheme="minorHAnsi" w:cstheme="minorBidi"/>
            <w:lang w:eastAsia="cs-CZ"/>
          </w:rPr>
          <w:tab/>
        </w:r>
        <w:r w:rsidRPr="00FC51D3">
          <w:rPr>
            <w:rStyle w:val="Hypertextovodkaz"/>
          </w:rPr>
          <w:t>Funkce daní</w:t>
        </w:r>
        <w:r>
          <w:rPr>
            <w:webHidden/>
          </w:rPr>
          <w:tab/>
        </w:r>
        <w:r>
          <w:rPr>
            <w:webHidden/>
          </w:rPr>
          <w:fldChar w:fldCharType="begin"/>
        </w:r>
        <w:r>
          <w:rPr>
            <w:webHidden/>
          </w:rPr>
          <w:instrText xml:space="preserve"> PAGEREF _Toc307937047 \h </w:instrText>
        </w:r>
        <w:r>
          <w:rPr>
            <w:webHidden/>
          </w:rPr>
        </w:r>
        <w:r>
          <w:rPr>
            <w:webHidden/>
          </w:rPr>
          <w:fldChar w:fldCharType="separate"/>
        </w:r>
        <w:r>
          <w:rPr>
            <w:webHidden/>
          </w:rPr>
          <w:t>4</w:t>
        </w:r>
        <w:r>
          <w:rPr>
            <w:webHidden/>
          </w:rPr>
          <w:fldChar w:fldCharType="end"/>
        </w:r>
      </w:hyperlink>
    </w:p>
    <w:p w:rsidR="00D4401D" w:rsidRDefault="00D4401D">
      <w:pPr>
        <w:pStyle w:val="Obsah2"/>
        <w:rPr>
          <w:rFonts w:asciiTheme="minorHAnsi" w:eastAsiaTheme="minorEastAsia" w:hAnsiTheme="minorHAnsi" w:cstheme="minorBidi"/>
          <w:lang w:eastAsia="cs-CZ"/>
        </w:rPr>
      </w:pPr>
      <w:hyperlink w:anchor="_Toc307937048" w:history="1">
        <w:r w:rsidRPr="00FC51D3">
          <w:rPr>
            <w:rStyle w:val="Hypertextovodkaz"/>
          </w:rPr>
          <w:t>3.3</w:t>
        </w:r>
        <w:r>
          <w:rPr>
            <w:rFonts w:asciiTheme="minorHAnsi" w:eastAsiaTheme="minorEastAsia" w:hAnsiTheme="minorHAnsi" w:cstheme="minorBidi"/>
            <w:lang w:eastAsia="cs-CZ"/>
          </w:rPr>
          <w:tab/>
        </w:r>
        <w:r w:rsidRPr="00FC51D3">
          <w:rPr>
            <w:rStyle w:val="Hypertextovodkaz"/>
          </w:rPr>
          <w:t>Prvky daní</w:t>
        </w:r>
        <w:r>
          <w:rPr>
            <w:webHidden/>
          </w:rPr>
          <w:tab/>
        </w:r>
        <w:r>
          <w:rPr>
            <w:webHidden/>
          </w:rPr>
          <w:fldChar w:fldCharType="begin"/>
        </w:r>
        <w:r>
          <w:rPr>
            <w:webHidden/>
          </w:rPr>
          <w:instrText xml:space="preserve"> PAGEREF _Toc307937048 \h </w:instrText>
        </w:r>
        <w:r>
          <w:rPr>
            <w:webHidden/>
          </w:rPr>
        </w:r>
        <w:r>
          <w:rPr>
            <w:webHidden/>
          </w:rPr>
          <w:fldChar w:fldCharType="separate"/>
        </w:r>
        <w:r>
          <w:rPr>
            <w:webHidden/>
          </w:rPr>
          <w:t>5</w:t>
        </w:r>
        <w:r>
          <w:rPr>
            <w:webHidden/>
          </w:rPr>
          <w:fldChar w:fldCharType="end"/>
        </w:r>
      </w:hyperlink>
    </w:p>
    <w:p w:rsidR="00D4401D" w:rsidRDefault="00D4401D">
      <w:pPr>
        <w:pStyle w:val="Obsah2"/>
        <w:rPr>
          <w:rFonts w:asciiTheme="minorHAnsi" w:eastAsiaTheme="minorEastAsia" w:hAnsiTheme="minorHAnsi" w:cstheme="minorBidi"/>
          <w:lang w:eastAsia="cs-CZ"/>
        </w:rPr>
      </w:pPr>
      <w:hyperlink w:anchor="_Toc307937049" w:history="1">
        <w:r w:rsidRPr="00FC51D3">
          <w:rPr>
            <w:rStyle w:val="Hypertextovodkaz"/>
          </w:rPr>
          <w:t>3.4</w:t>
        </w:r>
        <w:r>
          <w:rPr>
            <w:rFonts w:asciiTheme="minorHAnsi" w:eastAsiaTheme="minorEastAsia" w:hAnsiTheme="minorHAnsi" w:cstheme="minorBidi"/>
            <w:lang w:eastAsia="cs-CZ"/>
          </w:rPr>
          <w:tab/>
        </w:r>
        <w:r w:rsidRPr="00FC51D3">
          <w:rPr>
            <w:rStyle w:val="Hypertextovodkaz"/>
          </w:rPr>
          <w:t>Druhy daní</w:t>
        </w:r>
        <w:r>
          <w:rPr>
            <w:webHidden/>
          </w:rPr>
          <w:tab/>
        </w:r>
        <w:r>
          <w:rPr>
            <w:webHidden/>
          </w:rPr>
          <w:fldChar w:fldCharType="begin"/>
        </w:r>
        <w:r>
          <w:rPr>
            <w:webHidden/>
          </w:rPr>
          <w:instrText xml:space="preserve"> PAGEREF _Toc307937049 \h </w:instrText>
        </w:r>
        <w:r>
          <w:rPr>
            <w:webHidden/>
          </w:rPr>
        </w:r>
        <w:r>
          <w:rPr>
            <w:webHidden/>
          </w:rPr>
          <w:fldChar w:fldCharType="separate"/>
        </w:r>
        <w:r>
          <w:rPr>
            <w:webHidden/>
          </w:rPr>
          <w:t>6</w:t>
        </w:r>
        <w:r>
          <w:rPr>
            <w:webHidden/>
          </w:rPr>
          <w:fldChar w:fldCharType="end"/>
        </w:r>
      </w:hyperlink>
    </w:p>
    <w:p w:rsidR="00D4401D" w:rsidRDefault="00D4401D">
      <w:pPr>
        <w:pStyle w:val="Obsah2"/>
        <w:rPr>
          <w:rFonts w:asciiTheme="minorHAnsi" w:eastAsiaTheme="minorEastAsia" w:hAnsiTheme="minorHAnsi" w:cstheme="minorBidi"/>
          <w:lang w:eastAsia="cs-CZ"/>
        </w:rPr>
      </w:pPr>
      <w:hyperlink w:anchor="_Toc307937050" w:history="1">
        <w:r w:rsidRPr="00FC51D3">
          <w:rPr>
            <w:rStyle w:val="Hypertextovodkaz"/>
          </w:rPr>
          <w:t>3.5</w:t>
        </w:r>
        <w:r>
          <w:rPr>
            <w:rFonts w:asciiTheme="minorHAnsi" w:eastAsiaTheme="minorEastAsia" w:hAnsiTheme="minorHAnsi" w:cstheme="minorBidi"/>
            <w:lang w:eastAsia="cs-CZ"/>
          </w:rPr>
          <w:tab/>
        </w:r>
        <w:r w:rsidRPr="00FC51D3">
          <w:rPr>
            <w:rStyle w:val="Hypertextovodkaz"/>
          </w:rPr>
          <w:t>Daňová soustava ČR</w:t>
        </w:r>
        <w:r>
          <w:rPr>
            <w:webHidden/>
          </w:rPr>
          <w:tab/>
        </w:r>
        <w:r>
          <w:rPr>
            <w:webHidden/>
          </w:rPr>
          <w:fldChar w:fldCharType="begin"/>
        </w:r>
        <w:r>
          <w:rPr>
            <w:webHidden/>
          </w:rPr>
          <w:instrText xml:space="preserve"> PAGEREF _Toc307937050 \h </w:instrText>
        </w:r>
        <w:r>
          <w:rPr>
            <w:webHidden/>
          </w:rPr>
        </w:r>
        <w:r>
          <w:rPr>
            <w:webHidden/>
          </w:rPr>
          <w:fldChar w:fldCharType="separate"/>
        </w:r>
        <w:r>
          <w:rPr>
            <w:webHidden/>
          </w:rPr>
          <w:t>8</w:t>
        </w:r>
        <w:r>
          <w:rPr>
            <w:webHidden/>
          </w:rPr>
          <w:fldChar w:fldCharType="end"/>
        </w:r>
      </w:hyperlink>
    </w:p>
    <w:p w:rsidR="00D4401D" w:rsidRDefault="00D4401D">
      <w:pPr>
        <w:pStyle w:val="Obsah3"/>
        <w:rPr>
          <w:rFonts w:asciiTheme="minorHAnsi" w:eastAsiaTheme="minorEastAsia" w:hAnsiTheme="minorHAnsi" w:cstheme="minorBidi"/>
          <w:noProof/>
          <w:lang w:eastAsia="cs-CZ"/>
        </w:rPr>
      </w:pPr>
      <w:hyperlink w:anchor="_Toc307937051" w:history="1">
        <w:r w:rsidRPr="00FC51D3">
          <w:rPr>
            <w:rStyle w:val="Hypertextovodkaz"/>
            <w:noProof/>
          </w:rPr>
          <w:t>3.5.1</w:t>
        </w:r>
        <w:r>
          <w:rPr>
            <w:rFonts w:asciiTheme="minorHAnsi" w:eastAsiaTheme="minorEastAsia" w:hAnsiTheme="minorHAnsi" w:cstheme="minorBidi"/>
            <w:noProof/>
            <w:lang w:eastAsia="cs-CZ"/>
          </w:rPr>
          <w:tab/>
        </w:r>
        <w:r w:rsidRPr="00FC51D3">
          <w:rPr>
            <w:rStyle w:val="Hypertextovodkaz"/>
            <w:noProof/>
          </w:rPr>
          <w:t>Přímé daně v ČR</w:t>
        </w:r>
        <w:r>
          <w:rPr>
            <w:noProof/>
            <w:webHidden/>
          </w:rPr>
          <w:tab/>
        </w:r>
        <w:r>
          <w:rPr>
            <w:noProof/>
            <w:webHidden/>
          </w:rPr>
          <w:fldChar w:fldCharType="begin"/>
        </w:r>
        <w:r>
          <w:rPr>
            <w:noProof/>
            <w:webHidden/>
          </w:rPr>
          <w:instrText xml:space="preserve"> PAGEREF _Toc307937051 \h </w:instrText>
        </w:r>
        <w:r>
          <w:rPr>
            <w:noProof/>
            <w:webHidden/>
          </w:rPr>
        </w:r>
        <w:r>
          <w:rPr>
            <w:noProof/>
            <w:webHidden/>
          </w:rPr>
          <w:fldChar w:fldCharType="separate"/>
        </w:r>
        <w:r>
          <w:rPr>
            <w:noProof/>
            <w:webHidden/>
          </w:rPr>
          <w:t>8</w:t>
        </w:r>
        <w:r>
          <w:rPr>
            <w:noProof/>
            <w:webHidden/>
          </w:rPr>
          <w:fldChar w:fldCharType="end"/>
        </w:r>
      </w:hyperlink>
    </w:p>
    <w:p w:rsidR="00D4401D" w:rsidRDefault="00D4401D">
      <w:pPr>
        <w:pStyle w:val="Obsah3"/>
        <w:rPr>
          <w:rFonts w:asciiTheme="minorHAnsi" w:eastAsiaTheme="minorEastAsia" w:hAnsiTheme="minorHAnsi" w:cstheme="minorBidi"/>
          <w:noProof/>
          <w:lang w:eastAsia="cs-CZ"/>
        </w:rPr>
      </w:pPr>
      <w:hyperlink w:anchor="_Toc307937052" w:history="1">
        <w:r w:rsidRPr="00FC51D3">
          <w:rPr>
            <w:rStyle w:val="Hypertextovodkaz"/>
            <w:noProof/>
          </w:rPr>
          <w:t>3.5.2</w:t>
        </w:r>
        <w:r>
          <w:rPr>
            <w:rFonts w:asciiTheme="minorHAnsi" w:eastAsiaTheme="minorEastAsia" w:hAnsiTheme="minorHAnsi" w:cstheme="minorBidi"/>
            <w:noProof/>
            <w:lang w:eastAsia="cs-CZ"/>
          </w:rPr>
          <w:tab/>
        </w:r>
        <w:r w:rsidRPr="00FC51D3">
          <w:rPr>
            <w:rStyle w:val="Hypertextovodkaz"/>
            <w:noProof/>
          </w:rPr>
          <w:t>Nepřímé daně v ČR</w:t>
        </w:r>
        <w:r>
          <w:rPr>
            <w:noProof/>
            <w:webHidden/>
          </w:rPr>
          <w:tab/>
        </w:r>
        <w:r>
          <w:rPr>
            <w:noProof/>
            <w:webHidden/>
          </w:rPr>
          <w:fldChar w:fldCharType="begin"/>
        </w:r>
        <w:r>
          <w:rPr>
            <w:noProof/>
            <w:webHidden/>
          </w:rPr>
          <w:instrText xml:space="preserve"> PAGEREF _Toc307937052 \h </w:instrText>
        </w:r>
        <w:r>
          <w:rPr>
            <w:noProof/>
            <w:webHidden/>
          </w:rPr>
        </w:r>
        <w:r>
          <w:rPr>
            <w:noProof/>
            <w:webHidden/>
          </w:rPr>
          <w:fldChar w:fldCharType="separate"/>
        </w:r>
        <w:r>
          <w:rPr>
            <w:noProof/>
            <w:webHidden/>
          </w:rPr>
          <w:t>8</w:t>
        </w:r>
        <w:r>
          <w:rPr>
            <w:noProof/>
            <w:webHidden/>
          </w:rPr>
          <w:fldChar w:fldCharType="end"/>
        </w:r>
      </w:hyperlink>
    </w:p>
    <w:p w:rsidR="00D4401D" w:rsidRDefault="00D4401D">
      <w:pPr>
        <w:pStyle w:val="Obsah2"/>
        <w:rPr>
          <w:rFonts w:asciiTheme="minorHAnsi" w:eastAsiaTheme="minorEastAsia" w:hAnsiTheme="minorHAnsi" w:cstheme="minorBidi"/>
          <w:lang w:eastAsia="cs-CZ"/>
        </w:rPr>
      </w:pPr>
      <w:hyperlink w:anchor="_Toc307937053" w:history="1">
        <w:r w:rsidRPr="00FC51D3">
          <w:rPr>
            <w:rStyle w:val="Hypertextovodkaz"/>
          </w:rPr>
          <w:t>3.6</w:t>
        </w:r>
        <w:r>
          <w:rPr>
            <w:rFonts w:asciiTheme="minorHAnsi" w:eastAsiaTheme="minorEastAsia" w:hAnsiTheme="minorHAnsi" w:cstheme="minorBidi"/>
            <w:lang w:eastAsia="cs-CZ"/>
          </w:rPr>
          <w:tab/>
        </w:r>
        <w:r w:rsidRPr="00FC51D3">
          <w:rPr>
            <w:rStyle w:val="Hypertextovodkaz"/>
          </w:rPr>
          <w:t>Daňová soustava Slovenské republiky</w:t>
        </w:r>
        <w:r>
          <w:rPr>
            <w:webHidden/>
          </w:rPr>
          <w:tab/>
        </w:r>
        <w:r>
          <w:rPr>
            <w:webHidden/>
          </w:rPr>
          <w:fldChar w:fldCharType="begin"/>
        </w:r>
        <w:r>
          <w:rPr>
            <w:webHidden/>
          </w:rPr>
          <w:instrText xml:space="preserve"> PAGEREF _Toc307937053 \h </w:instrText>
        </w:r>
        <w:r>
          <w:rPr>
            <w:webHidden/>
          </w:rPr>
        </w:r>
        <w:r>
          <w:rPr>
            <w:webHidden/>
          </w:rPr>
          <w:fldChar w:fldCharType="separate"/>
        </w:r>
        <w:r>
          <w:rPr>
            <w:webHidden/>
          </w:rPr>
          <w:t>10</w:t>
        </w:r>
        <w:r>
          <w:rPr>
            <w:webHidden/>
          </w:rPr>
          <w:fldChar w:fldCharType="end"/>
        </w:r>
      </w:hyperlink>
    </w:p>
    <w:p w:rsidR="00D4401D" w:rsidRDefault="00D4401D">
      <w:pPr>
        <w:pStyle w:val="Obsah3"/>
        <w:rPr>
          <w:rFonts w:asciiTheme="minorHAnsi" w:eastAsiaTheme="minorEastAsia" w:hAnsiTheme="minorHAnsi" w:cstheme="minorBidi"/>
          <w:noProof/>
          <w:lang w:eastAsia="cs-CZ"/>
        </w:rPr>
      </w:pPr>
      <w:hyperlink w:anchor="_Toc307937054" w:history="1">
        <w:r w:rsidRPr="00FC51D3">
          <w:rPr>
            <w:rStyle w:val="Hypertextovodkaz"/>
            <w:noProof/>
          </w:rPr>
          <w:t>3.6.1</w:t>
        </w:r>
        <w:r>
          <w:rPr>
            <w:rFonts w:asciiTheme="minorHAnsi" w:eastAsiaTheme="minorEastAsia" w:hAnsiTheme="minorHAnsi" w:cstheme="minorBidi"/>
            <w:noProof/>
            <w:lang w:eastAsia="cs-CZ"/>
          </w:rPr>
          <w:tab/>
        </w:r>
        <w:r w:rsidRPr="00FC51D3">
          <w:rPr>
            <w:rStyle w:val="Hypertextovodkaz"/>
            <w:noProof/>
          </w:rPr>
          <w:t>Přímé daně v Slovenské republiky</w:t>
        </w:r>
        <w:r>
          <w:rPr>
            <w:noProof/>
            <w:webHidden/>
          </w:rPr>
          <w:tab/>
        </w:r>
        <w:r>
          <w:rPr>
            <w:noProof/>
            <w:webHidden/>
          </w:rPr>
          <w:fldChar w:fldCharType="begin"/>
        </w:r>
        <w:r>
          <w:rPr>
            <w:noProof/>
            <w:webHidden/>
          </w:rPr>
          <w:instrText xml:space="preserve"> PAGEREF _Toc307937054 \h </w:instrText>
        </w:r>
        <w:r>
          <w:rPr>
            <w:noProof/>
            <w:webHidden/>
          </w:rPr>
        </w:r>
        <w:r>
          <w:rPr>
            <w:noProof/>
            <w:webHidden/>
          </w:rPr>
          <w:fldChar w:fldCharType="separate"/>
        </w:r>
        <w:r>
          <w:rPr>
            <w:noProof/>
            <w:webHidden/>
          </w:rPr>
          <w:t>10</w:t>
        </w:r>
        <w:r>
          <w:rPr>
            <w:noProof/>
            <w:webHidden/>
          </w:rPr>
          <w:fldChar w:fldCharType="end"/>
        </w:r>
      </w:hyperlink>
    </w:p>
    <w:p w:rsidR="00D4401D" w:rsidRDefault="00D4401D">
      <w:pPr>
        <w:pStyle w:val="Obsah3"/>
        <w:rPr>
          <w:rFonts w:asciiTheme="minorHAnsi" w:eastAsiaTheme="minorEastAsia" w:hAnsiTheme="minorHAnsi" w:cstheme="minorBidi"/>
          <w:noProof/>
          <w:lang w:eastAsia="cs-CZ"/>
        </w:rPr>
      </w:pPr>
      <w:hyperlink w:anchor="_Toc307937055" w:history="1">
        <w:r w:rsidRPr="00FC51D3">
          <w:rPr>
            <w:rStyle w:val="Hypertextovodkaz"/>
            <w:noProof/>
          </w:rPr>
          <w:t>3.6.2</w:t>
        </w:r>
        <w:r>
          <w:rPr>
            <w:rFonts w:asciiTheme="minorHAnsi" w:eastAsiaTheme="minorEastAsia" w:hAnsiTheme="minorHAnsi" w:cstheme="minorBidi"/>
            <w:noProof/>
            <w:lang w:eastAsia="cs-CZ"/>
          </w:rPr>
          <w:tab/>
        </w:r>
        <w:r w:rsidRPr="00FC51D3">
          <w:rPr>
            <w:rStyle w:val="Hypertextovodkaz"/>
            <w:noProof/>
          </w:rPr>
          <w:t>Nepřímé daně v Slovenské republiky</w:t>
        </w:r>
        <w:r>
          <w:rPr>
            <w:noProof/>
            <w:webHidden/>
          </w:rPr>
          <w:tab/>
        </w:r>
        <w:r>
          <w:rPr>
            <w:noProof/>
            <w:webHidden/>
          </w:rPr>
          <w:fldChar w:fldCharType="begin"/>
        </w:r>
        <w:r>
          <w:rPr>
            <w:noProof/>
            <w:webHidden/>
          </w:rPr>
          <w:instrText xml:space="preserve"> PAGEREF _Toc307937055 \h </w:instrText>
        </w:r>
        <w:r>
          <w:rPr>
            <w:noProof/>
            <w:webHidden/>
          </w:rPr>
        </w:r>
        <w:r>
          <w:rPr>
            <w:noProof/>
            <w:webHidden/>
          </w:rPr>
          <w:fldChar w:fldCharType="separate"/>
        </w:r>
        <w:r>
          <w:rPr>
            <w:noProof/>
            <w:webHidden/>
          </w:rPr>
          <w:t>12</w:t>
        </w:r>
        <w:r>
          <w:rPr>
            <w:noProof/>
            <w:webHidden/>
          </w:rPr>
          <w:fldChar w:fldCharType="end"/>
        </w:r>
      </w:hyperlink>
    </w:p>
    <w:p w:rsidR="00D4401D" w:rsidRDefault="00D4401D">
      <w:pPr>
        <w:pStyle w:val="Obsah2"/>
        <w:rPr>
          <w:rFonts w:asciiTheme="minorHAnsi" w:eastAsiaTheme="minorEastAsia" w:hAnsiTheme="minorHAnsi" w:cstheme="minorBidi"/>
          <w:lang w:eastAsia="cs-CZ"/>
        </w:rPr>
      </w:pPr>
      <w:hyperlink w:anchor="_Toc307937056" w:history="1">
        <w:r w:rsidRPr="00FC51D3">
          <w:rPr>
            <w:rStyle w:val="Hypertextovodkaz"/>
          </w:rPr>
          <w:t>3.7</w:t>
        </w:r>
        <w:r>
          <w:rPr>
            <w:rFonts w:asciiTheme="minorHAnsi" w:eastAsiaTheme="minorEastAsia" w:hAnsiTheme="minorHAnsi" w:cstheme="minorBidi"/>
            <w:lang w:eastAsia="cs-CZ"/>
          </w:rPr>
          <w:tab/>
        </w:r>
        <w:r w:rsidRPr="00FC51D3">
          <w:rPr>
            <w:rStyle w:val="Hypertextovodkaz"/>
          </w:rPr>
          <w:t>Daň z přidané hodnoty</w:t>
        </w:r>
        <w:r>
          <w:rPr>
            <w:webHidden/>
          </w:rPr>
          <w:tab/>
        </w:r>
        <w:r>
          <w:rPr>
            <w:webHidden/>
          </w:rPr>
          <w:fldChar w:fldCharType="begin"/>
        </w:r>
        <w:r>
          <w:rPr>
            <w:webHidden/>
          </w:rPr>
          <w:instrText xml:space="preserve"> PAGEREF _Toc307937056 \h </w:instrText>
        </w:r>
        <w:r>
          <w:rPr>
            <w:webHidden/>
          </w:rPr>
        </w:r>
        <w:r>
          <w:rPr>
            <w:webHidden/>
          </w:rPr>
          <w:fldChar w:fldCharType="separate"/>
        </w:r>
        <w:r>
          <w:rPr>
            <w:webHidden/>
          </w:rPr>
          <w:t>14</w:t>
        </w:r>
        <w:r>
          <w:rPr>
            <w:webHidden/>
          </w:rPr>
          <w:fldChar w:fldCharType="end"/>
        </w:r>
      </w:hyperlink>
    </w:p>
    <w:p w:rsidR="00D4401D" w:rsidRDefault="00D4401D">
      <w:pPr>
        <w:pStyle w:val="Obsah3"/>
        <w:rPr>
          <w:rFonts w:asciiTheme="minorHAnsi" w:eastAsiaTheme="minorEastAsia" w:hAnsiTheme="minorHAnsi" w:cstheme="minorBidi"/>
          <w:noProof/>
          <w:lang w:eastAsia="cs-CZ"/>
        </w:rPr>
      </w:pPr>
      <w:hyperlink w:anchor="_Toc307937057" w:history="1">
        <w:r w:rsidRPr="00FC51D3">
          <w:rPr>
            <w:rStyle w:val="Hypertextovodkaz"/>
            <w:noProof/>
          </w:rPr>
          <w:t>3.7.1</w:t>
        </w:r>
        <w:r>
          <w:rPr>
            <w:rFonts w:asciiTheme="minorHAnsi" w:eastAsiaTheme="minorEastAsia" w:hAnsiTheme="minorHAnsi" w:cstheme="minorBidi"/>
            <w:noProof/>
            <w:lang w:eastAsia="cs-CZ"/>
          </w:rPr>
          <w:tab/>
        </w:r>
        <w:r w:rsidRPr="00FC51D3">
          <w:rPr>
            <w:rStyle w:val="Hypertextovodkaz"/>
            <w:noProof/>
          </w:rPr>
          <w:t>DPH v ČR</w:t>
        </w:r>
        <w:r>
          <w:rPr>
            <w:noProof/>
            <w:webHidden/>
          </w:rPr>
          <w:tab/>
        </w:r>
        <w:r>
          <w:rPr>
            <w:noProof/>
            <w:webHidden/>
          </w:rPr>
          <w:fldChar w:fldCharType="begin"/>
        </w:r>
        <w:r>
          <w:rPr>
            <w:noProof/>
            <w:webHidden/>
          </w:rPr>
          <w:instrText xml:space="preserve"> PAGEREF _Toc307937057 \h </w:instrText>
        </w:r>
        <w:r>
          <w:rPr>
            <w:noProof/>
            <w:webHidden/>
          </w:rPr>
        </w:r>
        <w:r>
          <w:rPr>
            <w:noProof/>
            <w:webHidden/>
          </w:rPr>
          <w:fldChar w:fldCharType="separate"/>
        </w:r>
        <w:r>
          <w:rPr>
            <w:noProof/>
            <w:webHidden/>
          </w:rPr>
          <w:t>14</w:t>
        </w:r>
        <w:r>
          <w:rPr>
            <w:noProof/>
            <w:webHidden/>
          </w:rPr>
          <w:fldChar w:fldCharType="end"/>
        </w:r>
      </w:hyperlink>
    </w:p>
    <w:p w:rsidR="00D4401D" w:rsidRDefault="00D4401D">
      <w:pPr>
        <w:pStyle w:val="Obsah3"/>
        <w:rPr>
          <w:rFonts w:asciiTheme="minorHAnsi" w:eastAsiaTheme="minorEastAsia" w:hAnsiTheme="minorHAnsi" w:cstheme="minorBidi"/>
          <w:noProof/>
          <w:lang w:eastAsia="cs-CZ"/>
        </w:rPr>
      </w:pPr>
      <w:hyperlink w:anchor="_Toc307937058" w:history="1">
        <w:r w:rsidRPr="00FC51D3">
          <w:rPr>
            <w:rStyle w:val="Hypertextovodkaz"/>
            <w:noProof/>
          </w:rPr>
          <w:t>3.7.2</w:t>
        </w:r>
        <w:r>
          <w:rPr>
            <w:rFonts w:asciiTheme="minorHAnsi" w:eastAsiaTheme="minorEastAsia" w:hAnsiTheme="minorHAnsi" w:cstheme="minorBidi"/>
            <w:noProof/>
            <w:lang w:eastAsia="cs-CZ"/>
          </w:rPr>
          <w:tab/>
        </w:r>
        <w:r w:rsidRPr="00FC51D3">
          <w:rPr>
            <w:rStyle w:val="Hypertextovodkaz"/>
            <w:noProof/>
          </w:rPr>
          <w:t>DPH na Slovensku</w:t>
        </w:r>
        <w:r>
          <w:rPr>
            <w:noProof/>
            <w:webHidden/>
          </w:rPr>
          <w:tab/>
        </w:r>
        <w:r>
          <w:rPr>
            <w:noProof/>
            <w:webHidden/>
          </w:rPr>
          <w:fldChar w:fldCharType="begin"/>
        </w:r>
        <w:r>
          <w:rPr>
            <w:noProof/>
            <w:webHidden/>
          </w:rPr>
          <w:instrText xml:space="preserve"> PAGEREF _Toc307937058 \h </w:instrText>
        </w:r>
        <w:r>
          <w:rPr>
            <w:noProof/>
            <w:webHidden/>
          </w:rPr>
        </w:r>
        <w:r>
          <w:rPr>
            <w:noProof/>
            <w:webHidden/>
          </w:rPr>
          <w:fldChar w:fldCharType="separate"/>
        </w:r>
        <w:r>
          <w:rPr>
            <w:noProof/>
            <w:webHidden/>
          </w:rPr>
          <w:t>16</w:t>
        </w:r>
        <w:r>
          <w:rPr>
            <w:noProof/>
            <w:webHidden/>
          </w:rPr>
          <w:fldChar w:fldCharType="end"/>
        </w:r>
      </w:hyperlink>
    </w:p>
    <w:p w:rsidR="00D4401D" w:rsidRDefault="00D4401D">
      <w:pPr>
        <w:pStyle w:val="Obsah1"/>
        <w:rPr>
          <w:rFonts w:asciiTheme="minorHAnsi" w:eastAsiaTheme="minorEastAsia" w:hAnsiTheme="minorHAnsi" w:cstheme="minorBidi"/>
          <w:noProof/>
          <w:sz w:val="22"/>
          <w:lang w:eastAsia="cs-CZ"/>
        </w:rPr>
      </w:pPr>
      <w:hyperlink w:anchor="_Toc307937059" w:history="1">
        <w:r w:rsidRPr="00FC51D3">
          <w:rPr>
            <w:rStyle w:val="Hypertextovodkaz"/>
            <w:noProof/>
          </w:rPr>
          <w:t>4</w:t>
        </w:r>
        <w:r>
          <w:rPr>
            <w:rFonts w:asciiTheme="minorHAnsi" w:eastAsiaTheme="minorEastAsia" w:hAnsiTheme="minorHAnsi" w:cstheme="minorBidi"/>
            <w:noProof/>
            <w:sz w:val="22"/>
            <w:lang w:eastAsia="cs-CZ"/>
          </w:rPr>
          <w:tab/>
        </w:r>
        <w:r w:rsidRPr="00FC51D3">
          <w:rPr>
            <w:rStyle w:val="Hypertextovodkaz"/>
            <w:noProof/>
          </w:rPr>
          <w:t>DPH v ČR a na Slovensku</w:t>
        </w:r>
        <w:r>
          <w:rPr>
            <w:noProof/>
            <w:webHidden/>
          </w:rPr>
          <w:tab/>
        </w:r>
        <w:r>
          <w:rPr>
            <w:noProof/>
            <w:webHidden/>
          </w:rPr>
          <w:fldChar w:fldCharType="begin"/>
        </w:r>
        <w:r>
          <w:rPr>
            <w:noProof/>
            <w:webHidden/>
          </w:rPr>
          <w:instrText xml:space="preserve"> PAGEREF _Toc307937059 \h </w:instrText>
        </w:r>
        <w:r>
          <w:rPr>
            <w:noProof/>
            <w:webHidden/>
          </w:rPr>
        </w:r>
        <w:r>
          <w:rPr>
            <w:noProof/>
            <w:webHidden/>
          </w:rPr>
          <w:fldChar w:fldCharType="separate"/>
        </w:r>
        <w:r>
          <w:rPr>
            <w:noProof/>
            <w:webHidden/>
          </w:rPr>
          <w:t>19</w:t>
        </w:r>
        <w:r>
          <w:rPr>
            <w:noProof/>
            <w:webHidden/>
          </w:rPr>
          <w:fldChar w:fldCharType="end"/>
        </w:r>
      </w:hyperlink>
    </w:p>
    <w:p w:rsidR="00D4401D" w:rsidRDefault="00D4401D">
      <w:pPr>
        <w:pStyle w:val="Obsah2"/>
        <w:rPr>
          <w:rFonts w:asciiTheme="minorHAnsi" w:eastAsiaTheme="minorEastAsia" w:hAnsiTheme="minorHAnsi" w:cstheme="minorBidi"/>
          <w:lang w:eastAsia="cs-CZ"/>
        </w:rPr>
      </w:pPr>
      <w:hyperlink w:anchor="_Toc307937060" w:history="1">
        <w:r w:rsidRPr="00FC51D3">
          <w:rPr>
            <w:rStyle w:val="Hypertextovodkaz"/>
          </w:rPr>
          <w:t>4.1</w:t>
        </w:r>
        <w:r>
          <w:rPr>
            <w:rFonts w:asciiTheme="minorHAnsi" w:eastAsiaTheme="minorEastAsia" w:hAnsiTheme="minorHAnsi" w:cstheme="minorBidi"/>
            <w:lang w:eastAsia="cs-CZ"/>
          </w:rPr>
          <w:tab/>
        </w:r>
        <w:r w:rsidRPr="00FC51D3">
          <w:rPr>
            <w:rStyle w:val="Hypertextovodkaz"/>
          </w:rPr>
          <w:t>Vývoj DPH v letech 1993-2010</w:t>
        </w:r>
        <w:r>
          <w:rPr>
            <w:webHidden/>
          </w:rPr>
          <w:tab/>
        </w:r>
        <w:r>
          <w:rPr>
            <w:webHidden/>
          </w:rPr>
          <w:fldChar w:fldCharType="begin"/>
        </w:r>
        <w:r>
          <w:rPr>
            <w:webHidden/>
          </w:rPr>
          <w:instrText xml:space="preserve"> PAGEREF _Toc307937060 \h </w:instrText>
        </w:r>
        <w:r>
          <w:rPr>
            <w:webHidden/>
          </w:rPr>
        </w:r>
        <w:r>
          <w:rPr>
            <w:webHidden/>
          </w:rPr>
          <w:fldChar w:fldCharType="separate"/>
        </w:r>
        <w:r>
          <w:rPr>
            <w:webHidden/>
          </w:rPr>
          <w:t>19</w:t>
        </w:r>
        <w:r>
          <w:rPr>
            <w:webHidden/>
          </w:rPr>
          <w:fldChar w:fldCharType="end"/>
        </w:r>
      </w:hyperlink>
    </w:p>
    <w:p w:rsidR="00D4401D" w:rsidRDefault="00D4401D">
      <w:pPr>
        <w:pStyle w:val="Obsah3"/>
        <w:rPr>
          <w:rFonts w:asciiTheme="minorHAnsi" w:eastAsiaTheme="minorEastAsia" w:hAnsiTheme="minorHAnsi" w:cstheme="minorBidi"/>
          <w:noProof/>
          <w:lang w:eastAsia="cs-CZ"/>
        </w:rPr>
      </w:pPr>
      <w:hyperlink w:anchor="_Toc307937061" w:history="1">
        <w:r w:rsidRPr="00FC51D3">
          <w:rPr>
            <w:rStyle w:val="Hypertextovodkaz"/>
            <w:noProof/>
          </w:rPr>
          <w:t>4.1.1</w:t>
        </w:r>
        <w:r>
          <w:rPr>
            <w:rFonts w:asciiTheme="minorHAnsi" w:eastAsiaTheme="minorEastAsia" w:hAnsiTheme="minorHAnsi" w:cstheme="minorBidi"/>
            <w:noProof/>
            <w:lang w:eastAsia="cs-CZ"/>
          </w:rPr>
          <w:tab/>
        </w:r>
        <w:r w:rsidRPr="00FC51D3">
          <w:rPr>
            <w:rStyle w:val="Hypertextovodkaz"/>
            <w:noProof/>
          </w:rPr>
          <w:t>Vývoj v ČR</w:t>
        </w:r>
        <w:r>
          <w:rPr>
            <w:noProof/>
            <w:webHidden/>
          </w:rPr>
          <w:tab/>
        </w:r>
        <w:r>
          <w:rPr>
            <w:noProof/>
            <w:webHidden/>
          </w:rPr>
          <w:fldChar w:fldCharType="begin"/>
        </w:r>
        <w:r>
          <w:rPr>
            <w:noProof/>
            <w:webHidden/>
          </w:rPr>
          <w:instrText xml:space="preserve"> PAGEREF _Toc307937061 \h </w:instrText>
        </w:r>
        <w:r>
          <w:rPr>
            <w:noProof/>
            <w:webHidden/>
          </w:rPr>
        </w:r>
        <w:r>
          <w:rPr>
            <w:noProof/>
            <w:webHidden/>
          </w:rPr>
          <w:fldChar w:fldCharType="separate"/>
        </w:r>
        <w:r>
          <w:rPr>
            <w:noProof/>
            <w:webHidden/>
          </w:rPr>
          <w:t>19</w:t>
        </w:r>
        <w:r>
          <w:rPr>
            <w:noProof/>
            <w:webHidden/>
          </w:rPr>
          <w:fldChar w:fldCharType="end"/>
        </w:r>
      </w:hyperlink>
    </w:p>
    <w:p w:rsidR="00D4401D" w:rsidRDefault="00D4401D">
      <w:pPr>
        <w:pStyle w:val="Obsah3"/>
        <w:rPr>
          <w:rFonts w:asciiTheme="minorHAnsi" w:eastAsiaTheme="minorEastAsia" w:hAnsiTheme="minorHAnsi" w:cstheme="minorBidi"/>
          <w:noProof/>
          <w:lang w:eastAsia="cs-CZ"/>
        </w:rPr>
      </w:pPr>
      <w:hyperlink w:anchor="_Toc307937062" w:history="1">
        <w:r w:rsidRPr="00FC51D3">
          <w:rPr>
            <w:rStyle w:val="Hypertextovodkaz"/>
            <w:noProof/>
          </w:rPr>
          <w:t>4.1.2</w:t>
        </w:r>
        <w:r>
          <w:rPr>
            <w:rFonts w:asciiTheme="minorHAnsi" w:eastAsiaTheme="minorEastAsia" w:hAnsiTheme="minorHAnsi" w:cstheme="minorBidi"/>
            <w:noProof/>
            <w:lang w:eastAsia="cs-CZ"/>
          </w:rPr>
          <w:tab/>
        </w:r>
        <w:r w:rsidRPr="00FC51D3">
          <w:rPr>
            <w:rStyle w:val="Hypertextovodkaz"/>
            <w:noProof/>
          </w:rPr>
          <w:t>Vývoj v Slovenské republice</w:t>
        </w:r>
        <w:r>
          <w:rPr>
            <w:noProof/>
            <w:webHidden/>
          </w:rPr>
          <w:tab/>
        </w:r>
        <w:r>
          <w:rPr>
            <w:noProof/>
            <w:webHidden/>
          </w:rPr>
          <w:fldChar w:fldCharType="begin"/>
        </w:r>
        <w:r>
          <w:rPr>
            <w:noProof/>
            <w:webHidden/>
          </w:rPr>
          <w:instrText xml:space="preserve"> PAGEREF _Toc307937062 \h </w:instrText>
        </w:r>
        <w:r>
          <w:rPr>
            <w:noProof/>
            <w:webHidden/>
          </w:rPr>
        </w:r>
        <w:r>
          <w:rPr>
            <w:noProof/>
            <w:webHidden/>
          </w:rPr>
          <w:fldChar w:fldCharType="separate"/>
        </w:r>
        <w:r>
          <w:rPr>
            <w:noProof/>
            <w:webHidden/>
          </w:rPr>
          <w:t>21</w:t>
        </w:r>
        <w:r>
          <w:rPr>
            <w:noProof/>
            <w:webHidden/>
          </w:rPr>
          <w:fldChar w:fldCharType="end"/>
        </w:r>
      </w:hyperlink>
    </w:p>
    <w:p w:rsidR="00D4401D" w:rsidRDefault="00D4401D">
      <w:pPr>
        <w:pStyle w:val="Obsah3"/>
        <w:rPr>
          <w:rFonts w:asciiTheme="minorHAnsi" w:eastAsiaTheme="minorEastAsia" w:hAnsiTheme="minorHAnsi" w:cstheme="minorBidi"/>
          <w:noProof/>
          <w:lang w:eastAsia="cs-CZ"/>
        </w:rPr>
      </w:pPr>
      <w:hyperlink w:anchor="_Toc307937063" w:history="1">
        <w:r w:rsidRPr="00FC51D3">
          <w:rPr>
            <w:rStyle w:val="Hypertextovodkaz"/>
            <w:noProof/>
          </w:rPr>
          <w:t>4.1.3</w:t>
        </w:r>
        <w:r>
          <w:rPr>
            <w:rFonts w:asciiTheme="minorHAnsi" w:eastAsiaTheme="minorEastAsia" w:hAnsiTheme="minorHAnsi" w:cstheme="minorBidi"/>
            <w:noProof/>
            <w:lang w:eastAsia="cs-CZ"/>
          </w:rPr>
          <w:tab/>
        </w:r>
        <w:r w:rsidRPr="00FC51D3">
          <w:rPr>
            <w:rStyle w:val="Hypertextovodkaz"/>
            <w:noProof/>
          </w:rPr>
          <w:t>Porovnání sazeb ČR a SR v letech 1993 – 2010</w:t>
        </w:r>
        <w:r>
          <w:rPr>
            <w:noProof/>
            <w:webHidden/>
          </w:rPr>
          <w:tab/>
        </w:r>
        <w:r>
          <w:rPr>
            <w:noProof/>
            <w:webHidden/>
          </w:rPr>
          <w:fldChar w:fldCharType="begin"/>
        </w:r>
        <w:r>
          <w:rPr>
            <w:noProof/>
            <w:webHidden/>
          </w:rPr>
          <w:instrText xml:space="preserve"> PAGEREF _Toc307937063 \h </w:instrText>
        </w:r>
        <w:r>
          <w:rPr>
            <w:noProof/>
            <w:webHidden/>
          </w:rPr>
        </w:r>
        <w:r>
          <w:rPr>
            <w:noProof/>
            <w:webHidden/>
          </w:rPr>
          <w:fldChar w:fldCharType="separate"/>
        </w:r>
        <w:r>
          <w:rPr>
            <w:noProof/>
            <w:webHidden/>
          </w:rPr>
          <w:t>22</w:t>
        </w:r>
        <w:r>
          <w:rPr>
            <w:noProof/>
            <w:webHidden/>
          </w:rPr>
          <w:fldChar w:fldCharType="end"/>
        </w:r>
      </w:hyperlink>
    </w:p>
    <w:p w:rsidR="00D4401D" w:rsidRDefault="00D4401D">
      <w:pPr>
        <w:pStyle w:val="Obsah2"/>
        <w:rPr>
          <w:rFonts w:asciiTheme="minorHAnsi" w:eastAsiaTheme="minorEastAsia" w:hAnsiTheme="minorHAnsi" w:cstheme="minorBidi"/>
          <w:lang w:eastAsia="cs-CZ"/>
        </w:rPr>
      </w:pPr>
      <w:hyperlink w:anchor="_Toc307937064" w:history="1">
        <w:r w:rsidRPr="00FC51D3">
          <w:rPr>
            <w:rStyle w:val="Hypertextovodkaz"/>
          </w:rPr>
          <w:t>4.2</w:t>
        </w:r>
        <w:r>
          <w:rPr>
            <w:rFonts w:asciiTheme="minorHAnsi" w:eastAsiaTheme="minorEastAsia" w:hAnsiTheme="minorHAnsi" w:cstheme="minorBidi"/>
            <w:lang w:eastAsia="cs-CZ"/>
          </w:rPr>
          <w:tab/>
        </w:r>
        <w:r w:rsidRPr="00FC51D3">
          <w:rPr>
            <w:rStyle w:val="Hypertextovodkaz"/>
          </w:rPr>
          <w:t>Vliv DPH na Státní rozpočet</w:t>
        </w:r>
        <w:r>
          <w:rPr>
            <w:webHidden/>
          </w:rPr>
          <w:tab/>
        </w:r>
        <w:r>
          <w:rPr>
            <w:webHidden/>
          </w:rPr>
          <w:fldChar w:fldCharType="begin"/>
        </w:r>
        <w:r>
          <w:rPr>
            <w:webHidden/>
          </w:rPr>
          <w:instrText xml:space="preserve"> PAGEREF _Toc307937064 \h </w:instrText>
        </w:r>
        <w:r>
          <w:rPr>
            <w:webHidden/>
          </w:rPr>
        </w:r>
        <w:r>
          <w:rPr>
            <w:webHidden/>
          </w:rPr>
          <w:fldChar w:fldCharType="separate"/>
        </w:r>
        <w:r>
          <w:rPr>
            <w:webHidden/>
          </w:rPr>
          <w:t>23</w:t>
        </w:r>
        <w:r>
          <w:rPr>
            <w:webHidden/>
          </w:rPr>
          <w:fldChar w:fldCharType="end"/>
        </w:r>
      </w:hyperlink>
    </w:p>
    <w:p w:rsidR="00D4401D" w:rsidRDefault="00D4401D">
      <w:pPr>
        <w:pStyle w:val="Obsah3"/>
        <w:rPr>
          <w:rFonts w:asciiTheme="minorHAnsi" w:eastAsiaTheme="minorEastAsia" w:hAnsiTheme="minorHAnsi" w:cstheme="minorBidi"/>
          <w:noProof/>
          <w:lang w:eastAsia="cs-CZ"/>
        </w:rPr>
      </w:pPr>
      <w:hyperlink w:anchor="_Toc307937065" w:history="1">
        <w:r w:rsidRPr="00FC51D3">
          <w:rPr>
            <w:rStyle w:val="Hypertextovodkaz"/>
            <w:noProof/>
          </w:rPr>
          <w:t>4.2.1</w:t>
        </w:r>
        <w:r>
          <w:rPr>
            <w:rFonts w:asciiTheme="minorHAnsi" w:eastAsiaTheme="minorEastAsia" w:hAnsiTheme="minorHAnsi" w:cstheme="minorBidi"/>
            <w:noProof/>
            <w:lang w:eastAsia="cs-CZ"/>
          </w:rPr>
          <w:tab/>
        </w:r>
        <w:r w:rsidRPr="00FC51D3">
          <w:rPr>
            <w:rStyle w:val="Hypertextovodkaz"/>
            <w:noProof/>
          </w:rPr>
          <w:t>DPH a Státní rozpočet ČR</w:t>
        </w:r>
        <w:r>
          <w:rPr>
            <w:noProof/>
            <w:webHidden/>
          </w:rPr>
          <w:tab/>
        </w:r>
        <w:r>
          <w:rPr>
            <w:noProof/>
            <w:webHidden/>
          </w:rPr>
          <w:fldChar w:fldCharType="begin"/>
        </w:r>
        <w:r>
          <w:rPr>
            <w:noProof/>
            <w:webHidden/>
          </w:rPr>
          <w:instrText xml:space="preserve"> PAGEREF _Toc307937065 \h </w:instrText>
        </w:r>
        <w:r>
          <w:rPr>
            <w:noProof/>
            <w:webHidden/>
          </w:rPr>
        </w:r>
        <w:r>
          <w:rPr>
            <w:noProof/>
            <w:webHidden/>
          </w:rPr>
          <w:fldChar w:fldCharType="separate"/>
        </w:r>
        <w:r>
          <w:rPr>
            <w:noProof/>
            <w:webHidden/>
          </w:rPr>
          <w:t>23</w:t>
        </w:r>
        <w:r>
          <w:rPr>
            <w:noProof/>
            <w:webHidden/>
          </w:rPr>
          <w:fldChar w:fldCharType="end"/>
        </w:r>
      </w:hyperlink>
    </w:p>
    <w:p w:rsidR="00D4401D" w:rsidRDefault="00D4401D">
      <w:pPr>
        <w:pStyle w:val="Obsah3"/>
        <w:rPr>
          <w:rFonts w:asciiTheme="minorHAnsi" w:eastAsiaTheme="minorEastAsia" w:hAnsiTheme="minorHAnsi" w:cstheme="minorBidi"/>
          <w:noProof/>
          <w:lang w:eastAsia="cs-CZ"/>
        </w:rPr>
      </w:pPr>
      <w:hyperlink w:anchor="_Toc307937066" w:history="1">
        <w:r w:rsidRPr="00FC51D3">
          <w:rPr>
            <w:rStyle w:val="Hypertextovodkaz"/>
            <w:noProof/>
          </w:rPr>
          <w:t>4.2.2</w:t>
        </w:r>
        <w:r>
          <w:rPr>
            <w:rFonts w:asciiTheme="minorHAnsi" w:eastAsiaTheme="minorEastAsia" w:hAnsiTheme="minorHAnsi" w:cstheme="minorBidi"/>
            <w:noProof/>
            <w:lang w:eastAsia="cs-CZ"/>
          </w:rPr>
          <w:tab/>
        </w:r>
        <w:r w:rsidRPr="00FC51D3">
          <w:rPr>
            <w:rStyle w:val="Hypertextovodkaz"/>
            <w:noProof/>
          </w:rPr>
          <w:t>DPH a Státní rozpočet Slovenské republiky</w:t>
        </w:r>
        <w:r>
          <w:rPr>
            <w:noProof/>
            <w:webHidden/>
          </w:rPr>
          <w:tab/>
        </w:r>
        <w:r>
          <w:rPr>
            <w:noProof/>
            <w:webHidden/>
          </w:rPr>
          <w:fldChar w:fldCharType="begin"/>
        </w:r>
        <w:r>
          <w:rPr>
            <w:noProof/>
            <w:webHidden/>
          </w:rPr>
          <w:instrText xml:space="preserve"> PAGEREF _Toc307937066 \h </w:instrText>
        </w:r>
        <w:r>
          <w:rPr>
            <w:noProof/>
            <w:webHidden/>
          </w:rPr>
        </w:r>
        <w:r>
          <w:rPr>
            <w:noProof/>
            <w:webHidden/>
          </w:rPr>
          <w:fldChar w:fldCharType="separate"/>
        </w:r>
        <w:r>
          <w:rPr>
            <w:noProof/>
            <w:webHidden/>
          </w:rPr>
          <w:t>24</w:t>
        </w:r>
        <w:r>
          <w:rPr>
            <w:noProof/>
            <w:webHidden/>
          </w:rPr>
          <w:fldChar w:fldCharType="end"/>
        </w:r>
      </w:hyperlink>
    </w:p>
    <w:p w:rsidR="00D4401D" w:rsidRDefault="00D4401D">
      <w:pPr>
        <w:pStyle w:val="Obsah3"/>
        <w:rPr>
          <w:rFonts w:asciiTheme="minorHAnsi" w:eastAsiaTheme="minorEastAsia" w:hAnsiTheme="minorHAnsi" w:cstheme="minorBidi"/>
          <w:noProof/>
          <w:lang w:eastAsia="cs-CZ"/>
        </w:rPr>
      </w:pPr>
      <w:hyperlink w:anchor="_Toc307937067" w:history="1">
        <w:r w:rsidRPr="00FC51D3">
          <w:rPr>
            <w:rStyle w:val="Hypertextovodkaz"/>
            <w:noProof/>
          </w:rPr>
          <w:t>4.2.3</w:t>
        </w:r>
        <w:r>
          <w:rPr>
            <w:rFonts w:asciiTheme="minorHAnsi" w:eastAsiaTheme="minorEastAsia" w:hAnsiTheme="minorHAnsi" w:cstheme="minorBidi"/>
            <w:noProof/>
            <w:lang w:eastAsia="cs-CZ"/>
          </w:rPr>
          <w:tab/>
        </w:r>
        <w:r w:rsidRPr="00FC51D3">
          <w:rPr>
            <w:rStyle w:val="Hypertextovodkaz"/>
            <w:noProof/>
          </w:rPr>
          <w:t>Porovnání DPH ČR a Slovenska na příjem SR</w:t>
        </w:r>
        <w:r>
          <w:rPr>
            <w:noProof/>
            <w:webHidden/>
          </w:rPr>
          <w:tab/>
        </w:r>
        <w:r>
          <w:rPr>
            <w:noProof/>
            <w:webHidden/>
          </w:rPr>
          <w:fldChar w:fldCharType="begin"/>
        </w:r>
        <w:r>
          <w:rPr>
            <w:noProof/>
            <w:webHidden/>
          </w:rPr>
          <w:instrText xml:space="preserve"> PAGEREF _Toc307937067 \h </w:instrText>
        </w:r>
        <w:r>
          <w:rPr>
            <w:noProof/>
            <w:webHidden/>
          </w:rPr>
        </w:r>
        <w:r>
          <w:rPr>
            <w:noProof/>
            <w:webHidden/>
          </w:rPr>
          <w:fldChar w:fldCharType="separate"/>
        </w:r>
        <w:r>
          <w:rPr>
            <w:noProof/>
            <w:webHidden/>
          </w:rPr>
          <w:t>25</w:t>
        </w:r>
        <w:r>
          <w:rPr>
            <w:noProof/>
            <w:webHidden/>
          </w:rPr>
          <w:fldChar w:fldCharType="end"/>
        </w:r>
      </w:hyperlink>
    </w:p>
    <w:p w:rsidR="00D4401D" w:rsidRDefault="00D4401D">
      <w:pPr>
        <w:pStyle w:val="Obsah2"/>
        <w:rPr>
          <w:rFonts w:asciiTheme="minorHAnsi" w:eastAsiaTheme="minorEastAsia" w:hAnsiTheme="minorHAnsi" w:cstheme="minorBidi"/>
          <w:lang w:eastAsia="cs-CZ"/>
        </w:rPr>
      </w:pPr>
      <w:hyperlink w:anchor="_Toc307937068" w:history="1">
        <w:r w:rsidRPr="00FC51D3">
          <w:rPr>
            <w:rStyle w:val="Hypertextovodkaz"/>
          </w:rPr>
          <w:t>4.3</w:t>
        </w:r>
        <w:r>
          <w:rPr>
            <w:rFonts w:asciiTheme="minorHAnsi" w:eastAsiaTheme="minorEastAsia" w:hAnsiTheme="minorHAnsi" w:cstheme="minorBidi"/>
            <w:lang w:eastAsia="cs-CZ"/>
          </w:rPr>
          <w:tab/>
        </w:r>
        <w:r w:rsidRPr="00FC51D3">
          <w:rPr>
            <w:rStyle w:val="Hypertextovodkaz"/>
          </w:rPr>
          <w:t>Vliv DPH na HDP</w:t>
        </w:r>
        <w:r>
          <w:rPr>
            <w:webHidden/>
          </w:rPr>
          <w:tab/>
        </w:r>
        <w:r>
          <w:rPr>
            <w:webHidden/>
          </w:rPr>
          <w:fldChar w:fldCharType="begin"/>
        </w:r>
        <w:r>
          <w:rPr>
            <w:webHidden/>
          </w:rPr>
          <w:instrText xml:space="preserve"> PAGEREF _Toc307937068 \h </w:instrText>
        </w:r>
        <w:r>
          <w:rPr>
            <w:webHidden/>
          </w:rPr>
        </w:r>
        <w:r>
          <w:rPr>
            <w:webHidden/>
          </w:rPr>
          <w:fldChar w:fldCharType="separate"/>
        </w:r>
        <w:r>
          <w:rPr>
            <w:webHidden/>
          </w:rPr>
          <w:t>25</w:t>
        </w:r>
        <w:r>
          <w:rPr>
            <w:webHidden/>
          </w:rPr>
          <w:fldChar w:fldCharType="end"/>
        </w:r>
      </w:hyperlink>
    </w:p>
    <w:p w:rsidR="00D4401D" w:rsidRDefault="00D4401D">
      <w:pPr>
        <w:pStyle w:val="Obsah3"/>
        <w:rPr>
          <w:rFonts w:asciiTheme="minorHAnsi" w:eastAsiaTheme="minorEastAsia" w:hAnsiTheme="minorHAnsi" w:cstheme="minorBidi"/>
          <w:noProof/>
          <w:lang w:eastAsia="cs-CZ"/>
        </w:rPr>
      </w:pPr>
      <w:hyperlink w:anchor="_Toc307937069" w:history="1">
        <w:r w:rsidRPr="00FC51D3">
          <w:rPr>
            <w:rStyle w:val="Hypertextovodkaz"/>
            <w:noProof/>
          </w:rPr>
          <w:t>4.3.1</w:t>
        </w:r>
        <w:r>
          <w:rPr>
            <w:rFonts w:asciiTheme="minorHAnsi" w:eastAsiaTheme="minorEastAsia" w:hAnsiTheme="minorHAnsi" w:cstheme="minorBidi"/>
            <w:noProof/>
            <w:lang w:eastAsia="cs-CZ"/>
          </w:rPr>
          <w:tab/>
        </w:r>
        <w:r w:rsidRPr="00FC51D3">
          <w:rPr>
            <w:rStyle w:val="Hypertextovodkaz"/>
            <w:noProof/>
          </w:rPr>
          <w:t>Vliv DPH na HDP ČR</w:t>
        </w:r>
        <w:r>
          <w:rPr>
            <w:noProof/>
            <w:webHidden/>
          </w:rPr>
          <w:tab/>
        </w:r>
        <w:r>
          <w:rPr>
            <w:noProof/>
            <w:webHidden/>
          </w:rPr>
          <w:fldChar w:fldCharType="begin"/>
        </w:r>
        <w:r>
          <w:rPr>
            <w:noProof/>
            <w:webHidden/>
          </w:rPr>
          <w:instrText xml:space="preserve"> PAGEREF _Toc307937069 \h </w:instrText>
        </w:r>
        <w:r>
          <w:rPr>
            <w:noProof/>
            <w:webHidden/>
          </w:rPr>
        </w:r>
        <w:r>
          <w:rPr>
            <w:noProof/>
            <w:webHidden/>
          </w:rPr>
          <w:fldChar w:fldCharType="separate"/>
        </w:r>
        <w:r>
          <w:rPr>
            <w:noProof/>
            <w:webHidden/>
          </w:rPr>
          <w:t>26</w:t>
        </w:r>
        <w:r>
          <w:rPr>
            <w:noProof/>
            <w:webHidden/>
          </w:rPr>
          <w:fldChar w:fldCharType="end"/>
        </w:r>
      </w:hyperlink>
    </w:p>
    <w:p w:rsidR="00D4401D" w:rsidRDefault="00D4401D">
      <w:pPr>
        <w:pStyle w:val="Obsah3"/>
        <w:rPr>
          <w:rFonts w:asciiTheme="minorHAnsi" w:eastAsiaTheme="minorEastAsia" w:hAnsiTheme="minorHAnsi" w:cstheme="minorBidi"/>
          <w:noProof/>
          <w:lang w:eastAsia="cs-CZ"/>
        </w:rPr>
      </w:pPr>
      <w:hyperlink w:anchor="_Toc307937070" w:history="1">
        <w:r w:rsidRPr="00FC51D3">
          <w:rPr>
            <w:rStyle w:val="Hypertextovodkaz"/>
            <w:noProof/>
          </w:rPr>
          <w:t>4.3.2</w:t>
        </w:r>
        <w:r>
          <w:rPr>
            <w:rFonts w:asciiTheme="minorHAnsi" w:eastAsiaTheme="minorEastAsia" w:hAnsiTheme="minorHAnsi" w:cstheme="minorBidi"/>
            <w:noProof/>
            <w:lang w:eastAsia="cs-CZ"/>
          </w:rPr>
          <w:tab/>
        </w:r>
        <w:r w:rsidRPr="00FC51D3">
          <w:rPr>
            <w:rStyle w:val="Hypertextovodkaz"/>
            <w:noProof/>
          </w:rPr>
          <w:t>Vliv DPH na HDP Slovenska</w:t>
        </w:r>
        <w:r>
          <w:rPr>
            <w:noProof/>
            <w:webHidden/>
          </w:rPr>
          <w:tab/>
        </w:r>
        <w:r>
          <w:rPr>
            <w:noProof/>
            <w:webHidden/>
          </w:rPr>
          <w:fldChar w:fldCharType="begin"/>
        </w:r>
        <w:r>
          <w:rPr>
            <w:noProof/>
            <w:webHidden/>
          </w:rPr>
          <w:instrText xml:space="preserve"> PAGEREF _Toc307937070 \h </w:instrText>
        </w:r>
        <w:r>
          <w:rPr>
            <w:noProof/>
            <w:webHidden/>
          </w:rPr>
        </w:r>
        <w:r>
          <w:rPr>
            <w:noProof/>
            <w:webHidden/>
          </w:rPr>
          <w:fldChar w:fldCharType="separate"/>
        </w:r>
        <w:r>
          <w:rPr>
            <w:noProof/>
            <w:webHidden/>
          </w:rPr>
          <w:t>26</w:t>
        </w:r>
        <w:r>
          <w:rPr>
            <w:noProof/>
            <w:webHidden/>
          </w:rPr>
          <w:fldChar w:fldCharType="end"/>
        </w:r>
      </w:hyperlink>
    </w:p>
    <w:p w:rsidR="00D4401D" w:rsidRDefault="00D4401D">
      <w:pPr>
        <w:pStyle w:val="Obsah2"/>
        <w:rPr>
          <w:rFonts w:asciiTheme="minorHAnsi" w:eastAsiaTheme="minorEastAsia" w:hAnsiTheme="minorHAnsi" w:cstheme="minorBidi"/>
          <w:lang w:eastAsia="cs-CZ"/>
        </w:rPr>
      </w:pPr>
      <w:hyperlink w:anchor="_Toc307937071" w:history="1">
        <w:r w:rsidRPr="00FC51D3">
          <w:rPr>
            <w:rStyle w:val="Hypertextovodkaz"/>
          </w:rPr>
          <w:t>4.4</w:t>
        </w:r>
        <w:r>
          <w:rPr>
            <w:rFonts w:asciiTheme="minorHAnsi" w:eastAsiaTheme="minorEastAsia" w:hAnsiTheme="minorHAnsi" w:cstheme="minorBidi"/>
            <w:lang w:eastAsia="cs-CZ"/>
          </w:rPr>
          <w:tab/>
        </w:r>
        <w:r w:rsidRPr="00FC51D3">
          <w:rPr>
            <w:rStyle w:val="Hypertextovodkaz"/>
          </w:rPr>
          <w:t>Názory na změny DPH v ČR a na Slovensku z pohledu koalice a opozice</w:t>
        </w:r>
        <w:r>
          <w:rPr>
            <w:webHidden/>
          </w:rPr>
          <w:tab/>
        </w:r>
        <w:r>
          <w:rPr>
            <w:webHidden/>
          </w:rPr>
          <w:fldChar w:fldCharType="begin"/>
        </w:r>
        <w:r>
          <w:rPr>
            <w:webHidden/>
          </w:rPr>
          <w:instrText xml:space="preserve"> PAGEREF _Toc307937071 \h </w:instrText>
        </w:r>
        <w:r>
          <w:rPr>
            <w:webHidden/>
          </w:rPr>
        </w:r>
        <w:r>
          <w:rPr>
            <w:webHidden/>
          </w:rPr>
          <w:fldChar w:fldCharType="separate"/>
        </w:r>
        <w:r>
          <w:rPr>
            <w:webHidden/>
          </w:rPr>
          <w:t>26</w:t>
        </w:r>
        <w:r>
          <w:rPr>
            <w:webHidden/>
          </w:rPr>
          <w:fldChar w:fldCharType="end"/>
        </w:r>
      </w:hyperlink>
    </w:p>
    <w:p w:rsidR="00D4401D" w:rsidRDefault="00D4401D">
      <w:pPr>
        <w:pStyle w:val="Obsah1"/>
        <w:rPr>
          <w:rFonts w:asciiTheme="minorHAnsi" w:eastAsiaTheme="minorEastAsia" w:hAnsiTheme="minorHAnsi" w:cstheme="minorBidi"/>
          <w:noProof/>
          <w:sz w:val="22"/>
          <w:lang w:eastAsia="cs-CZ"/>
        </w:rPr>
      </w:pPr>
      <w:hyperlink w:anchor="_Toc307937072" w:history="1">
        <w:r w:rsidRPr="00FC51D3">
          <w:rPr>
            <w:rStyle w:val="Hypertextovodkaz"/>
            <w:noProof/>
            <w:highlight w:val="yellow"/>
          </w:rPr>
          <w:t>5</w:t>
        </w:r>
        <w:r>
          <w:rPr>
            <w:rFonts w:asciiTheme="minorHAnsi" w:eastAsiaTheme="minorEastAsia" w:hAnsiTheme="minorHAnsi" w:cstheme="minorBidi"/>
            <w:noProof/>
            <w:sz w:val="22"/>
            <w:lang w:eastAsia="cs-CZ"/>
          </w:rPr>
          <w:tab/>
        </w:r>
        <w:r w:rsidRPr="00FC51D3">
          <w:rPr>
            <w:rStyle w:val="Hypertextovodkaz"/>
            <w:noProof/>
            <w:highlight w:val="yellow"/>
          </w:rPr>
          <w:t>Závěr</w:t>
        </w:r>
        <w:r>
          <w:rPr>
            <w:noProof/>
            <w:webHidden/>
          </w:rPr>
          <w:tab/>
        </w:r>
        <w:r>
          <w:rPr>
            <w:noProof/>
            <w:webHidden/>
          </w:rPr>
          <w:fldChar w:fldCharType="begin"/>
        </w:r>
        <w:r>
          <w:rPr>
            <w:noProof/>
            <w:webHidden/>
          </w:rPr>
          <w:instrText xml:space="preserve"> PAGEREF _Toc307937072 \h </w:instrText>
        </w:r>
        <w:r>
          <w:rPr>
            <w:noProof/>
            <w:webHidden/>
          </w:rPr>
        </w:r>
        <w:r>
          <w:rPr>
            <w:noProof/>
            <w:webHidden/>
          </w:rPr>
          <w:fldChar w:fldCharType="separate"/>
        </w:r>
        <w:r>
          <w:rPr>
            <w:noProof/>
            <w:webHidden/>
          </w:rPr>
          <w:t>26</w:t>
        </w:r>
        <w:r>
          <w:rPr>
            <w:noProof/>
            <w:webHidden/>
          </w:rPr>
          <w:fldChar w:fldCharType="end"/>
        </w:r>
      </w:hyperlink>
    </w:p>
    <w:p w:rsidR="00D4401D" w:rsidRDefault="00D4401D">
      <w:pPr>
        <w:pStyle w:val="Obsah1"/>
        <w:rPr>
          <w:rFonts w:asciiTheme="minorHAnsi" w:eastAsiaTheme="minorEastAsia" w:hAnsiTheme="minorHAnsi" w:cstheme="minorBidi"/>
          <w:noProof/>
          <w:sz w:val="22"/>
          <w:lang w:eastAsia="cs-CZ"/>
        </w:rPr>
      </w:pPr>
      <w:hyperlink w:anchor="_Toc307937073" w:history="1">
        <w:r w:rsidRPr="00FC51D3">
          <w:rPr>
            <w:rStyle w:val="Hypertextovodkaz"/>
            <w:noProof/>
          </w:rPr>
          <w:t>Literatura</w:t>
        </w:r>
        <w:r>
          <w:rPr>
            <w:noProof/>
            <w:webHidden/>
          </w:rPr>
          <w:tab/>
        </w:r>
        <w:r>
          <w:rPr>
            <w:noProof/>
            <w:webHidden/>
          </w:rPr>
          <w:fldChar w:fldCharType="begin"/>
        </w:r>
        <w:r>
          <w:rPr>
            <w:noProof/>
            <w:webHidden/>
          </w:rPr>
          <w:instrText xml:space="preserve"> PAGEREF _Toc307937073 \h </w:instrText>
        </w:r>
        <w:r>
          <w:rPr>
            <w:noProof/>
            <w:webHidden/>
          </w:rPr>
        </w:r>
        <w:r>
          <w:rPr>
            <w:noProof/>
            <w:webHidden/>
          </w:rPr>
          <w:fldChar w:fldCharType="separate"/>
        </w:r>
        <w:r>
          <w:rPr>
            <w:noProof/>
            <w:webHidden/>
          </w:rPr>
          <w:t>27</w:t>
        </w:r>
        <w:r>
          <w:rPr>
            <w:noProof/>
            <w:webHidden/>
          </w:rPr>
          <w:fldChar w:fldCharType="end"/>
        </w:r>
      </w:hyperlink>
    </w:p>
    <w:p w:rsidR="00D4401D" w:rsidRDefault="00D4401D">
      <w:pPr>
        <w:pStyle w:val="Obsah1"/>
        <w:rPr>
          <w:rFonts w:asciiTheme="minorHAnsi" w:eastAsiaTheme="minorEastAsia" w:hAnsiTheme="minorHAnsi" w:cstheme="minorBidi"/>
          <w:noProof/>
          <w:sz w:val="22"/>
          <w:lang w:eastAsia="cs-CZ"/>
        </w:rPr>
      </w:pPr>
      <w:hyperlink w:anchor="_Toc307937075" w:history="1">
        <w:r w:rsidRPr="00FC51D3">
          <w:rPr>
            <w:rStyle w:val="Hypertextovodkaz"/>
            <w:noProof/>
          </w:rPr>
          <w:t>Přílohy</w:t>
        </w:r>
        <w:r>
          <w:rPr>
            <w:noProof/>
            <w:webHidden/>
          </w:rPr>
          <w:tab/>
        </w:r>
        <w:r>
          <w:rPr>
            <w:noProof/>
            <w:webHidden/>
          </w:rPr>
          <w:fldChar w:fldCharType="begin"/>
        </w:r>
        <w:r>
          <w:rPr>
            <w:noProof/>
            <w:webHidden/>
          </w:rPr>
          <w:instrText xml:space="preserve"> PAGEREF _Toc307937075 \h </w:instrText>
        </w:r>
        <w:r>
          <w:rPr>
            <w:noProof/>
            <w:webHidden/>
          </w:rPr>
        </w:r>
        <w:r>
          <w:rPr>
            <w:noProof/>
            <w:webHidden/>
          </w:rPr>
          <w:fldChar w:fldCharType="separate"/>
        </w:r>
        <w:r>
          <w:rPr>
            <w:noProof/>
            <w:webHidden/>
          </w:rPr>
          <w:t>1</w:t>
        </w:r>
        <w:r>
          <w:rPr>
            <w:noProof/>
            <w:webHidden/>
          </w:rPr>
          <w:fldChar w:fldCharType="end"/>
        </w:r>
      </w:hyperlink>
    </w:p>
    <w:p w:rsidR="00D4401D" w:rsidRDefault="00D4401D">
      <w:pPr>
        <w:pStyle w:val="Obsah2"/>
        <w:rPr>
          <w:rFonts w:asciiTheme="minorHAnsi" w:eastAsiaTheme="minorEastAsia" w:hAnsiTheme="minorHAnsi" w:cstheme="minorBidi"/>
          <w:lang w:eastAsia="cs-CZ"/>
        </w:rPr>
      </w:pPr>
      <w:hyperlink w:anchor="_Toc307937076" w:history="1">
        <w:r w:rsidRPr="00FC51D3">
          <w:rPr>
            <w:rStyle w:val="Hypertextovodkaz"/>
          </w:rPr>
          <w:t>Vývoj DPH ve vybraných krajinách EU v letech 2000 až 2009</w:t>
        </w:r>
        <w:r>
          <w:rPr>
            <w:webHidden/>
          </w:rPr>
          <w:tab/>
        </w:r>
        <w:r>
          <w:rPr>
            <w:webHidden/>
          </w:rPr>
          <w:fldChar w:fldCharType="begin"/>
        </w:r>
        <w:r>
          <w:rPr>
            <w:webHidden/>
          </w:rPr>
          <w:instrText xml:space="preserve"> PAGEREF _Toc307937076 \h </w:instrText>
        </w:r>
        <w:r>
          <w:rPr>
            <w:webHidden/>
          </w:rPr>
        </w:r>
        <w:r>
          <w:rPr>
            <w:webHidden/>
          </w:rPr>
          <w:fldChar w:fldCharType="separate"/>
        </w:r>
        <w:r>
          <w:rPr>
            <w:webHidden/>
          </w:rPr>
          <w:t>1</w:t>
        </w:r>
        <w:r>
          <w:rPr>
            <w:webHidden/>
          </w:rPr>
          <w:fldChar w:fldCharType="end"/>
        </w:r>
      </w:hyperlink>
    </w:p>
    <w:p w:rsidR="00793AB3" w:rsidRDefault="00597B01" w:rsidP="004653DA">
      <w:r>
        <w:lastRenderedPageBreak/>
        <w:fldChar w:fldCharType="end"/>
      </w:r>
    </w:p>
    <w:p w:rsidR="00456474" w:rsidRDefault="00456474" w:rsidP="004653DA">
      <w:pPr>
        <w:pStyle w:val="Zkladntext"/>
      </w:pPr>
    </w:p>
    <w:p w:rsidR="007B4C07" w:rsidRDefault="007B4C07" w:rsidP="004653DA">
      <w:pPr>
        <w:pStyle w:val="AbstractSummary-nadpis"/>
        <w:jc w:val="both"/>
      </w:pPr>
      <w:r>
        <w:t>Seznam zkratek</w:t>
      </w:r>
    </w:p>
    <w:p w:rsidR="00664692" w:rsidRDefault="00664692" w:rsidP="004653DA">
      <w:pPr>
        <w:tabs>
          <w:tab w:val="left" w:pos="2505"/>
          <w:tab w:val="center" w:leader="dot" w:pos="7938"/>
        </w:tabs>
      </w:pPr>
      <w:r>
        <w:t>EU</w:t>
      </w:r>
      <w:r>
        <w:tab/>
        <w:t>Evropská unie</w:t>
      </w:r>
    </w:p>
    <w:p w:rsidR="00ED6283" w:rsidRDefault="00ED6283" w:rsidP="004653DA">
      <w:pPr>
        <w:tabs>
          <w:tab w:val="left" w:pos="2505"/>
          <w:tab w:val="center" w:leader="dot" w:pos="7938"/>
        </w:tabs>
      </w:pPr>
      <w:r>
        <w:t>HDP</w:t>
      </w:r>
      <w:r>
        <w:tab/>
        <w:t>Hrubý domácí produkt</w:t>
      </w:r>
    </w:p>
    <w:p w:rsidR="003A709F" w:rsidRDefault="003A709F" w:rsidP="004653DA">
      <w:pPr>
        <w:tabs>
          <w:tab w:val="left" w:pos="2505"/>
          <w:tab w:val="center" w:leader="dot" w:pos="7938"/>
        </w:tabs>
      </w:pPr>
      <w:r>
        <w:t>OCED</w:t>
      </w:r>
      <w:r>
        <w:tab/>
        <w:t>Organizace pro hospodářskou spolupráci a rozvoj</w:t>
      </w:r>
    </w:p>
    <w:p w:rsidR="003A709F" w:rsidRDefault="003A709F" w:rsidP="004653DA">
      <w:pPr>
        <w:tabs>
          <w:tab w:val="left" w:pos="2505"/>
          <w:tab w:val="center" w:leader="dot" w:pos="7938"/>
        </w:tabs>
      </w:pPr>
      <w:r>
        <w:t>SR</w:t>
      </w:r>
      <w:r>
        <w:tab/>
        <w:t>Státní rozpočet</w:t>
      </w:r>
    </w:p>
    <w:p w:rsidR="003A709F" w:rsidRDefault="003A709F" w:rsidP="004653DA">
      <w:pPr>
        <w:tabs>
          <w:tab w:val="left" w:pos="2505"/>
          <w:tab w:val="center" w:leader="dot" w:pos="7938"/>
        </w:tabs>
      </w:pPr>
      <w:r>
        <w:t>DPH</w:t>
      </w:r>
      <w:r>
        <w:tab/>
        <w:t>Daň z přidané hodnoty</w:t>
      </w:r>
    </w:p>
    <w:p w:rsidR="003A709F" w:rsidRDefault="003A709F" w:rsidP="004653DA">
      <w:pPr>
        <w:tabs>
          <w:tab w:val="left" w:pos="2505"/>
          <w:tab w:val="center" w:leader="dot" w:pos="7938"/>
        </w:tabs>
      </w:pPr>
    </w:p>
    <w:p w:rsidR="003A709F" w:rsidRDefault="003A709F" w:rsidP="004653DA">
      <w:pPr>
        <w:pStyle w:val="Nadpis3"/>
        <w:jc w:val="both"/>
      </w:pPr>
      <w:r>
        <w:br w:type="page"/>
      </w:r>
    </w:p>
    <w:p w:rsidR="00F72854" w:rsidRDefault="00F72854" w:rsidP="004653DA">
      <w:pPr>
        <w:pStyle w:val="AbstractSummary-nadpis"/>
        <w:jc w:val="both"/>
      </w:pPr>
      <w:r>
        <w:lastRenderedPageBreak/>
        <w:t>Seznam tabulek</w:t>
      </w:r>
    </w:p>
    <w:p w:rsidR="00DA4A47" w:rsidRDefault="00C62B30" w:rsidP="004653DA">
      <w:pPr>
        <w:tabs>
          <w:tab w:val="center" w:leader="dot" w:pos="7938"/>
        </w:tabs>
      </w:pPr>
      <w:r>
        <w:t>Tabulka 1</w:t>
      </w:r>
      <w:r w:rsidR="0007535B">
        <w:t xml:space="preserve"> </w:t>
      </w:r>
      <w:r w:rsidR="00E15F59">
        <w:t>Historický přehled sazeb DPH v ČR</w:t>
      </w:r>
      <w:r w:rsidR="0007535B">
        <w:tab/>
      </w:r>
      <w:r w:rsidR="00E15F59">
        <w:t>19</w:t>
      </w:r>
    </w:p>
    <w:p w:rsidR="00E15F59" w:rsidRDefault="00E15F59" w:rsidP="004653DA">
      <w:pPr>
        <w:tabs>
          <w:tab w:val="center" w:leader="dot" w:pos="7938"/>
        </w:tabs>
      </w:pPr>
      <w:r>
        <w:t>Tabulka 2 Historický přehled sazeb DPH na Slovensku</w:t>
      </w:r>
      <w:r>
        <w:tab/>
        <w:t>21</w:t>
      </w:r>
    </w:p>
    <w:p w:rsidR="00E15F59" w:rsidRDefault="00E15F59" w:rsidP="004653DA">
      <w:pPr>
        <w:tabs>
          <w:tab w:val="center" w:leader="dot" w:pos="7938"/>
        </w:tabs>
      </w:pPr>
      <w:r>
        <w:t>Tabulka 1 Podíl DPH na příjmech ČR v letech 2003-2010</w:t>
      </w:r>
      <w:r>
        <w:tab/>
      </w:r>
      <w:r w:rsidR="00E1045A">
        <w:t>23</w:t>
      </w:r>
    </w:p>
    <w:p w:rsidR="00E15F59" w:rsidRDefault="00E15F59" w:rsidP="004653DA">
      <w:pPr>
        <w:tabs>
          <w:tab w:val="center" w:leader="dot" w:pos="7938"/>
        </w:tabs>
      </w:pPr>
      <w:r>
        <w:t>Tabulka 3 Podíl DPH na příjmech Slovenké republiky v letech 2003-2010………</w:t>
      </w:r>
      <w:r w:rsidR="00E1045A">
        <w:t>24</w:t>
      </w:r>
    </w:p>
    <w:p w:rsidR="00E15F59" w:rsidRDefault="00E15F59" w:rsidP="004653DA">
      <w:pPr>
        <w:tabs>
          <w:tab w:val="center" w:leader="dot" w:pos="7938"/>
        </w:tabs>
      </w:pPr>
    </w:p>
    <w:p w:rsidR="00E15F59" w:rsidRDefault="00E15F59" w:rsidP="004653DA">
      <w:pPr>
        <w:tabs>
          <w:tab w:val="center" w:leader="dot" w:pos="7938"/>
        </w:tabs>
      </w:pPr>
    </w:p>
    <w:p w:rsidR="0007535B" w:rsidRDefault="0007535B" w:rsidP="004653DA">
      <w:pPr>
        <w:spacing w:after="0" w:line="240" w:lineRule="auto"/>
      </w:pPr>
      <w:r>
        <w:br w:type="page"/>
      </w:r>
    </w:p>
    <w:p w:rsidR="0007535B" w:rsidRDefault="0007535B" w:rsidP="004653DA">
      <w:pPr>
        <w:pStyle w:val="AbstractSummary-nadpis"/>
        <w:jc w:val="both"/>
      </w:pPr>
      <w:r>
        <w:lastRenderedPageBreak/>
        <w:t>Seznam grafů</w:t>
      </w:r>
    </w:p>
    <w:p w:rsidR="009466FD" w:rsidRDefault="009466FD" w:rsidP="009466FD">
      <w:pPr>
        <w:tabs>
          <w:tab w:val="center" w:leader="dot" w:pos="7938"/>
        </w:tabs>
      </w:pPr>
      <w:r>
        <w:t>Graf 1 Vývoj DPH ČR v letech 1993 - 1995</w:t>
      </w:r>
      <w:r>
        <w:tab/>
        <w:t>20</w:t>
      </w:r>
    </w:p>
    <w:p w:rsidR="009466FD" w:rsidRDefault="009466FD" w:rsidP="009466FD">
      <w:pPr>
        <w:tabs>
          <w:tab w:val="center" w:leader="dot" w:pos="7938"/>
        </w:tabs>
      </w:pPr>
      <w:r>
        <w:t>Graf 2 Vývoj DPH na Slovensku v letech 1993 - 1995</w:t>
      </w:r>
      <w:r>
        <w:tab/>
        <w:t>21</w:t>
      </w:r>
    </w:p>
    <w:p w:rsidR="009466FD" w:rsidRDefault="009466FD" w:rsidP="009466FD">
      <w:pPr>
        <w:tabs>
          <w:tab w:val="center" w:leader="dot" w:pos="7938"/>
        </w:tabs>
      </w:pPr>
      <w:r>
        <w:t>Graf 3 Vývoj DPH na Slovensku a v ČR v letech 1993 - 1995</w:t>
      </w:r>
      <w:r>
        <w:tab/>
        <w:t>22</w:t>
      </w:r>
    </w:p>
    <w:p w:rsidR="009466FD" w:rsidRDefault="009466FD" w:rsidP="009466FD">
      <w:pPr>
        <w:tabs>
          <w:tab w:val="center" w:leader="dot" w:pos="7938"/>
        </w:tabs>
      </w:pPr>
      <w:r>
        <w:t>Graf 4 Podíl DPH na příjmech ČR v letech 2003-2010</w:t>
      </w:r>
      <w:r>
        <w:tab/>
        <w:t>24</w:t>
      </w:r>
    </w:p>
    <w:p w:rsidR="0007535B" w:rsidRDefault="009466FD" w:rsidP="004653DA">
      <w:pPr>
        <w:tabs>
          <w:tab w:val="center" w:leader="dot" w:pos="7938"/>
        </w:tabs>
      </w:pPr>
      <w:r>
        <w:t xml:space="preserve">Graf 5 Podíl DPH na příjmech </w:t>
      </w:r>
      <w:proofErr w:type="gramStart"/>
      <w:r>
        <w:t>Slov</w:t>
      </w:r>
      <w:proofErr w:type="gramEnd"/>
      <w:r>
        <w:t>.</w:t>
      </w:r>
      <w:proofErr w:type="gramStart"/>
      <w:r>
        <w:t>republiky</w:t>
      </w:r>
      <w:proofErr w:type="gramEnd"/>
      <w:r>
        <w:t xml:space="preserve"> v letech 2003-2010</w:t>
      </w:r>
      <w:r>
        <w:tab/>
        <w:t>25</w:t>
      </w:r>
    </w:p>
    <w:p w:rsidR="0007535B" w:rsidRDefault="0007535B" w:rsidP="004653DA">
      <w:pPr>
        <w:pStyle w:val="Zkladntext"/>
      </w:pPr>
      <w:r>
        <w:tab/>
      </w:r>
    </w:p>
    <w:p w:rsidR="0007535B" w:rsidRDefault="0007535B" w:rsidP="004653DA">
      <w:pPr>
        <w:spacing w:after="0" w:line="240" w:lineRule="auto"/>
      </w:pPr>
      <w:r>
        <w:br w:type="page"/>
      </w:r>
    </w:p>
    <w:p w:rsidR="0007535B" w:rsidRDefault="0007535B" w:rsidP="004653DA">
      <w:pPr>
        <w:pStyle w:val="AbstractSummary-nadpis"/>
        <w:jc w:val="both"/>
      </w:pPr>
      <w:r>
        <w:lastRenderedPageBreak/>
        <w:t>Seznam obrázků</w:t>
      </w:r>
    </w:p>
    <w:p w:rsidR="00186D23" w:rsidRDefault="0007535B" w:rsidP="004653DA">
      <w:pPr>
        <w:tabs>
          <w:tab w:val="center" w:leader="dot" w:pos="7938"/>
        </w:tabs>
      </w:pPr>
      <w:r>
        <w:t xml:space="preserve">Obrázek 1 </w:t>
      </w:r>
      <w:r w:rsidR="00AA7DAE">
        <w:t xml:space="preserve">Daňová soustava </w:t>
      </w:r>
      <w:r w:rsidR="00186D23">
        <w:t>ČR</w:t>
      </w:r>
      <w:r>
        <w:tab/>
      </w:r>
      <w:r w:rsidR="00E15F59">
        <w:t>10</w:t>
      </w:r>
    </w:p>
    <w:p w:rsidR="00186D23" w:rsidRDefault="00E15F59" w:rsidP="004653DA">
      <w:pPr>
        <w:tabs>
          <w:tab w:val="center" w:leader="dot" w:pos="7938"/>
        </w:tabs>
        <w:sectPr w:rsidR="00186D23" w:rsidSect="00990CF5">
          <w:headerReference w:type="default" r:id="rId15"/>
          <w:footerReference w:type="default" r:id="rId16"/>
          <w:pgSz w:w="11906" w:h="16838" w:code="9"/>
          <w:pgMar w:top="1418" w:right="1134" w:bottom="1418" w:left="2268" w:header="709" w:footer="709" w:gutter="0"/>
          <w:cols w:space="708"/>
          <w:docGrid w:linePitch="326"/>
        </w:sectPr>
      </w:pPr>
      <w:r>
        <w:t>Obrázek 2 Daňová soustava SR</w:t>
      </w:r>
      <w:r>
        <w:tab/>
        <w:t>13</w:t>
      </w:r>
    </w:p>
    <w:p w:rsidR="00990CF5" w:rsidRPr="003B0FCB" w:rsidRDefault="00990CF5" w:rsidP="004653DA">
      <w:pPr>
        <w:pStyle w:val="Nadpis1"/>
        <w:jc w:val="both"/>
      </w:pPr>
      <w:bookmarkStart w:id="1" w:name="_Toc307937043"/>
      <w:r w:rsidRPr="00164167">
        <w:lastRenderedPageBreak/>
        <w:t>Úvod</w:t>
      </w:r>
      <w:bookmarkEnd w:id="1"/>
    </w:p>
    <w:p w:rsidR="006248D1" w:rsidRDefault="00FA14E1" w:rsidP="004653DA">
      <w:r>
        <w:t>„ Daně jsou šlachy státu“</w:t>
      </w:r>
      <w:r>
        <w:rPr>
          <w:rStyle w:val="Znakapoznpodarou"/>
        </w:rPr>
        <w:footnoteReference w:id="1"/>
      </w:r>
      <w:r>
        <w:t xml:space="preserve"> </w:t>
      </w:r>
      <w:r w:rsidR="006248D1">
        <w:t xml:space="preserve">Tento zajímavý citát, </w:t>
      </w:r>
      <w:r>
        <w:t xml:space="preserve">starší vice než 2000 let, definuje daňe jako něco, bez čeho stát a společnost, která je jeho součástí nemůže existovat. Daně, </w:t>
      </w:r>
      <w:r w:rsidR="006248D1">
        <w:t>patřící do f</w:t>
      </w:r>
      <w:r>
        <w:t>iskální politiky státu</w:t>
      </w:r>
      <w:r w:rsidR="006248D1">
        <w:t>, totiž</w:t>
      </w:r>
      <w:r>
        <w:t xml:space="preserve"> ovlivňují jeho současný a budoucí vývoj</w:t>
      </w:r>
      <w:r w:rsidR="006248D1">
        <w:t xml:space="preserve"> téměř stejně, jako šlachy ovlivňují každý pohyb lidského organizmu.</w:t>
      </w:r>
    </w:p>
    <w:p w:rsidR="006248D1" w:rsidRDefault="006248D1" w:rsidP="004653DA">
      <w:r>
        <w:t>Moje bakalářská práce sleduje daně z pohledu narování na rozpočet dvou krajín: České republiky a Slovenska. Práce je rozdělena na teoretickou a analytickou část.</w:t>
      </w:r>
    </w:p>
    <w:p w:rsidR="00806E8B" w:rsidRDefault="005E205A" w:rsidP="004653DA">
      <w:r w:rsidRPr="005E205A">
        <w:t xml:space="preserve">Teoretická část </w:t>
      </w:r>
      <w:r w:rsidR="006248D1">
        <w:t>je rozdělena na všeobecnou a podrobnější část. Předmětem všeobecné části je historie daní, význam a členění daní</w:t>
      </w:r>
      <w:r w:rsidR="00806E8B">
        <w:t xml:space="preserve"> a</w:t>
      </w:r>
      <w:r w:rsidR="006248D1">
        <w:t xml:space="preserve"> základní funkce</w:t>
      </w:r>
      <w:r w:rsidR="00806E8B">
        <w:t xml:space="preserve"> daní.  Hlavním obsahem teortické části je rozdělení daňové sousta</w:t>
      </w:r>
      <w:r w:rsidR="003A709F">
        <w:t xml:space="preserve">vy České republiky a Slovenska. </w:t>
      </w:r>
      <w:r w:rsidR="00806E8B">
        <w:t>Daňová soustava obsahuje kromě grafického zobrazení i základní informace o platných daních v těchto krajinách. Podrobnější rozklad se týká pouze Daně z přidané hodnoty. Tento rozklad obsahuje základní prvky daně, konkrétně:</w:t>
      </w:r>
    </w:p>
    <w:p w:rsidR="005E205A" w:rsidRPr="005E205A" w:rsidRDefault="00806E8B" w:rsidP="004653DA">
      <w:pPr>
        <w:pStyle w:val="Odstavecseseznamem"/>
        <w:numPr>
          <w:ilvl w:val="0"/>
          <w:numId w:val="26"/>
        </w:numPr>
      </w:pPr>
      <w:r w:rsidRPr="005E205A">
        <w:t xml:space="preserve"> </w:t>
      </w:r>
      <w:r w:rsidR="005E205A" w:rsidRPr="005E205A">
        <w:t>Objekt daně</w:t>
      </w:r>
    </w:p>
    <w:p w:rsidR="005E205A" w:rsidRPr="005E205A" w:rsidRDefault="005E205A" w:rsidP="004653DA">
      <w:pPr>
        <w:pStyle w:val="Odstavecseseznamem"/>
        <w:numPr>
          <w:ilvl w:val="0"/>
          <w:numId w:val="26"/>
        </w:numPr>
      </w:pPr>
      <w:r w:rsidRPr="005E205A">
        <w:t>Subjekt daně daně</w:t>
      </w:r>
    </w:p>
    <w:p w:rsidR="005E205A" w:rsidRPr="005E205A" w:rsidRDefault="005E205A" w:rsidP="004653DA">
      <w:pPr>
        <w:pStyle w:val="Odstavecseseznamem"/>
        <w:numPr>
          <w:ilvl w:val="0"/>
          <w:numId w:val="26"/>
        </w:numPr>
      </w:pPr>
      <w:r w:rsidRPr="005E205A">
        <w:t>Povinnost odvést daň</w:t>
      </w:r>
    </w:p>
    <w:p w:rsidR="005E205A" w:rsidRPr="005E205A" w:rsidRDefault="005E205A" w:rsidP="004653DA">
      <w:pPr>
        <w:pStyle w:val="Odstavecseseznamem"/>
        <w:numPr>
          <w:ilvl w:val="0"/>
          <w:numId w:val="26"/>
        </w:numPr>
      </w:pPr>
      <w:r w:rsidRPr="005E205A">
        <w:t>Základ daně</w:t>
      </w:r>
    </w:p>
    <w:p w:rsidR="005E205A" w:rsidRDefault="005E205A" w:rsidP="004653DA">
      <w:pPr>
        <w:pStyle w:val="Odstavecseseznamem"/>
        <w:numPr>
          <w:ilvl w:val="0"/>
          <w:numId w:val="26"/>
        </w:numPr>
      </w:pPr>
      <w:r w:rsidRPr="005E205A">
        <w:t>Sazba daně</w:t>
      </w:r>
    </w:p>
    <w:p w:rsidR="00706CEB" w:rsidRDefault="00806E8B" w:rsidP="004653DA">
      <w:r>
        <w:t>Na teoretickou část plynule navazuje</w:t>
      </w:r>
      <w:r w:rsidR="008B3D2B">
        <w:t xml:space="preserve"> část analytická</w:t>
      </w:r>
      <w:r w:rsidR="0048288F">
        <w:t xml:space="preserve">. V této části se zaměříme na odlišný vývoj sazeb </w:t>
      </w:r>
      <w:r>
        <w:t>daně z přidané hodnoty v</w:t>
      </w:r>
      <w:r w:rsidR="0048288F">
        <w:t xml:space="preserve"> porovnávaných krajinách. Tento vývoj </w:t>
      </w:r>
      <w:r w:rsidR="00706CEB">
        <w:t>ovlivňuje jednak příjmovou stranu státniho rozpočtu, ale i výši HDP. Oba tyto ukazatele budou předmětem analýzy</w:t>
      </w:r>
      <w:r>
        <w:t xml:space="preserve">. </w:t>
      </w:r>
      <w:r w:rsidR="00706CEB">
        <w:t xml:space="preserve">Z důvodu demografických rozdílů bude jako ukazatel použitý přepočet „na obyvatele“. </w:t>
      </w:r>
      <w:r w:rsidR="0048288F">
        <w:t>Sledování rozdílů bude pr</w:t>
      </w:r>
      <w:r w:rsidR="00706CEB">
        <w:t>ováděno metodou analýza-syntéza, přičemž součástí této metody bude grafické zobrazení rozdílů včetně komentáře.</w:t>
      </w:r>
    </w:p>
    <w:p w:rsidR="0048288F" w:rsidRPr="0048288F" w:rsidRDefault="00706CEB" w:rsidP="004653DA">
      <w:r w:rsidRPr="0048288F">
        <w:lastRenderedPageBreak/>
        <w:t xml:space="preserve"> </w:t>
      </w:r>
      <w:r w:rsidR="0048288F" w:rsidRPr="0048288F">
        <w:t>Závěr bude patřit zhodnocení výsledků teoretické a analytické části. Jeho cílem bude dostat odpověď na tyto otázky:</w:t>
      </w:r>
    </w:p>
    <w:p w:rsidR="0048288F" w:rsidRPr="0048288F" w:rsidRDefault="0048288F" w:rsidP="004653DA">
      <w:pPr>
        <w:pStyle w:val="Odstavecseseznamem"/>
        <w:numPr>
          <w:ilvl w:val="0"/>
          <w:numId w:val="26"/>
        </w:numPr>
      </w:pPr>
      <w:r w:rsidRPr="0048288F">
        <w:t>Co znamená pojem „rovná daň“, který se používá v souvislosti s daňovou soustavou Slovenské republiky?</w:t>
      </w:r>
    </w:p>
    <w:p w:rsidR="0048288F" w:rsidRPr="0048288F" w:rsidRDefault="0048288F" w:rsidP="004653DA">
      <w:pPr>
        <w:pStyle w:val="Odstavecseseznamem"/>
        <w:numPr>
          <w:ilvl w:val="0"/>
          <w:numId w:val="26"/>
        </w:numPr>
      </w:pPr>
      <w:r w:rsidRPr="0048288F">
        <w:t>Jaké jsou rozpočtové dopady při „rovné dani“ na Slovensku a „nerovné dani“ v České republice?</w:t>
      </w:r>
    </w:p>
    <w:p w:rsidR="0048288F" w:rsidRPr="0048288F" w:rsidRDefault="0048288F" w:rsidP="004653DA">
      <w:pPr>
        <w:pStyle w:val="Odstavecseseznamem"/>
        <w:numPr>
          <w:ilvl w:val="0"/>
          <w:numId w:val="26"/>
        </w:numPr>
      </w:pPr>
      <w:r w:rsidRPr="0048288F">
        <w:t>Jaké výše sazby daně je výhodnější pro příjmovou část státniho rozpočtu?</w:t>
      </w:r>
    </w:p>
    <w:p w:rsidR="0048288F" w:rsidRPr="0048288F" w:rsidRDefault="0048288F" w:rsidP="004653DA">
      <w:pPr>
        <w:pStyle w:val="Odstavecseseznamem"/>
        <w:numPr>
          <w:ilvl w:val="0"/>
          <w:numId w:val="26"/>
        </w:numPr>
      </w:pPr>
      <w:r w:rsidRPr="0048288F">
        <w:t xml:space="preserve">Jak ovlivňují politické faktory vývoj daňové sazby?  </w:t>
      </w:r>
    </w:p>
    <w:p w:rsidR="005E205A" w:rsidRDefault="005E205A" w:rsidP="004653DA">
      <w:pPr>
        <w:pStyle w:val="Nadpis2"/>
        <w:jc w:val="both"/>
      </w:pPr>
      <w:bookmarkStart w:id="2" w:name="_Toc307937044"/>
      <w:r>
        <w:t>Cíl práce</w:t>
      </w:r>
      <w:bookmarkEnd w:id="2"/>
    </w:p>
    <w:p w:rsidR="003A709F" w:rsidRPr="00E15F59" w:rsidRDefault="00806E8B" w:rsidP="004653DA">
      <w:r w:rsidRPr="00E15F59">
        <w:t xml:space="preserve">Cílem moji práce </w:t>
      </w:r>
      <w:proofErr w:type="gramStart"/>
      <w:r w:rsidR="003A709F" w:rsidRPr="00E15F59">
        <w:t>podrobní</w:t>
      </w:r>
      <w:proofErr w:type="gramEnd"/>
      <w:r w:rsidR="003A709F" w:rsidRPr="00E15F59">
        <w:t xml:space="preserve"> analýza DPH v České republice a na Slovensku a její vliv na příjmy SR a HDP obou krajín. </w:t>
      </w:r>
    </w:p>
    <w:p w:rsidR="003A709F" w:rsidRPr="00E15F59" w:rsidRDefault="003A709F" w:rsidP="004653DA">
      <w:r w:rsidRPr="00E15F59">
        <w:t xml:space="preserve">Slovensko bude sledováno i z pohledu existence nebo neexistence rovné daně, která byla v této krajině zavedena jako součást daňové reformy v roce 2004. Co přinesla daňová reforma Slovensku z pohledu příjmů do státního ropzočtu a jaké jsou negativa této daňové reformy. </w:t>
      </w:r>
    </w:p>
    <w:p w:rsidR="003A709F" w:rsidRPr="00E15F59" w:rsidRDefault="003A709F" w:rsidP="004653DA">
      <w:r w:rsidRPr="00E15F59">
        <w:t>ČR je naopak krajinou, kde rovná daň zavedena nebyla. Existuje tedy několik sazeb daně, které ovlivňují příjem do SR této krajiny.</w:t>
      </w:r>
    </w:p>
    <w:p w:rsidR="00990CF5" w:rsidRDefault="002D6E52" w:rsidP="004653DA">
      <w:pPr>
        <w:pStyle w:val="Nadpis1"/>
        <w:jc w:val="both"/>
      </w:pPr>
      <w:bookmarkStart w:id="3" w:name="_Toc307937045"/>
      <w:r>
        <w:t>Daň, její význam, funkce a členění</w:t>
      </w:r>
      <w:bookmarkEnd w:id="3"/>
    </w:p>
    <w:p w:rsidR="00E81CA8" w:rsidRDefault="002D6E52" w:rsidP="004653DA">
      <w:r>
        <w:t>Daň je povinná, nenávratná, neekvivalentní a neúčelová platba do veřejného rozpočtu</w:t>
      </w:r>
      <w:r w:rsidR="00E81CA8">
        <w:t xml:space="preserve"> a je obvykle pravidelná“.</w:t>
      </w:r>
      <w:r w:rsidR="00E81CA8">
        <w:rPr>
          <w:rStyle w:val="Znakapoznpodarou"/>
        </w:rPr>
        <w:footnoteReference w:id="2"/>
      </w:r>
      <w:r w:rsidR="00AB4E50">
        <w:t xml:space="preserve"> </w:t>
      </w:r>
      <w:r w:rsidR="00E81CA8">
        <w:t xml:space="preserve">Pro lepší pochopení pojmu daň je nutné si vysvětlit základní </w:t>
      </w:r>
      <w:r w:rsidR="0043714C">
        <w:t>výrazy této definice.</w:t>
      </w:r>
    </w:p>
    <w:p w:rsidR="0043714C" w:rsidRDefault="0043714C" w:rsidP="004653DA">
      <w:r>
        <w:t xml:space="preserve">Nenávratnost a neekvivalentnost znamenají, že na základě zákona má poplatník povinnost odvádět daň ve stanovené výši bez toho, aby za tuto povinnost náležela poplatníku nějaká protihodnota. Dá se proto říct, že daň je jednostranný transfer peněž </w:t>
      </w:r>
      <w:r>
        <w:lastRenderedPageBreak/>
        <w:t>od soukromého d</w:t>
      </w:r>
      <w:r w:rsidR="00AE1989">
        <w:t>o veřejného sektoru.</w:t>
      </w:r>
      <w:r>
        <w:rPr>
          <w:rStyle w:val="Znakapoznpodarou"/>
        </w:rPr>
        <w:footnoteReference w:id="3"/>
      </w:r>
      <w:r>
        <w:t xml:space="preserve"> Daň tvoří příjmovou stáránku veřejného rozpočtu.</w:t>
      </w:r>
    </w:p>
    <w:p w:rsidR="0043714C" w:rsidRDefault="0043714C" w:rsidP="004653DA">
      <w:r>
        <w:t xml:space="preserve">Neúčelovost daně je </w:t>
      </w:r>
      <w:r w:rsidR="00AB4E50">
        <w:t>charakterizována</w:t>
      </w:r>
      <w:r>
        <w:t xml:space="preserve"> tím, že </w:t>
      </w:r>
      <w:r w:rsidR="00B34E2E">
        <w:t xml:space="preserve">účel, na který </w:t>
      </w:r>
      <w:proofErr w:type="gramStart"/>
      <w:r w:rsidR="00B34E2E">
        <w:t>bude</w:t>
      </w:r>
      <w:proofErr w:type="gramEnd"/>
      <w:r w:rsidR="00B34E2E">
        <w:t xml:space="preserve"> daň použita</w:t>
      </w:r>
      <w:r w:rsidR="00F714AA">
        <w:t xml:space="preserve"> </w:t>
      </w:r>
      <w:proofErr w:type="gramStart"/>
      <w:r w:rsidR="00F714AA">
        <w:t>není</w:t>
      </w:r>
      <w:proofErr w:type="gramEnd"/>
      <w:r w:rsidR="00F714AA">
        <w:t xml:space="preserve"> stanoven.</w:t>
      </w:r>
      <w:r w:rsidR="00AE1989">
        <w:t xml:space="preserve"> Všechny daně plynou do veřejného rozpočtu, ze kterého se následně použíjí na zaplacení konkrétní potřeby. Tyto potřeby jsou účelové, protože je přesne stanoven účel, na který je platba použita.</w:t>
      </w:r>
    </w:p>
    <w:p w:rsidR="00AE1989" w:rsidRDefault="00AE1989" w:rsidP="004653DA">
      <w:r>
        <w:t xml:space="preserve">Pravidelnost daně znamená, že placení daně probíhá pravidelně, zákonem stanovených časových </w:t>
      </w:r>
      <w:proofErr w:type="gramStart"/>
      <w:r>
        <w:t>intervalech</w:t>
      </w:r>
      <w:proofErr w:type="gramEnd"/>
      <w:r>
        <w:t>. Tyto časové intervaly jsou neměnné. Nejčastěji probíhá platba daně ročně, čtvrtletně a měsičně. Existují i tzv. jednorázové platby, mezi které zahrňujeme dávky. Mezi pravidelné daně patří i ty, kterých povinnost byla podmíněná vznikem určité události, například nadobudnutí dědictví.</w:t>
      </w:r>
    </w:p>
    <w:p w:rsidR="00AE1989" w:rsidRPr="00AE1989" w:rsidRDefault="00AB4E50" w:rsidP="004653DA">
      <w:pPr>
        <w:pStyle w:val="Nadpis2"/>
        <w:ind w:left="578" w:hanging="578"/>
        <w:jc w:val="both"/>
      </w:pPr>
      <w:bookmarkStart w:id="4" w:name="_Toc307937046"/>
      <w:r>
        <w:t>H</w:t>
      </w:r>
      <w:r w:rsidR="00AE1989">
        <w:t>istorie daní</w:t>
      </w:r>
      <w:bookmarkEnd w:id="4"/>
    </w:p>
    <w:p w:rsidR="009773CD" w:rsidRDefault="00AF7FDF" w:rsidP="004653DA">
      <w:r>
        <w:t>Byly vybírány již v starověku, i když neexistovala pravidelnost placení daní. Daně vybíral panovník</w:t>
      </w:r>
      <w:r w:rsidR="009773CD">
        <w:t xml:space="preserve">, pro kterého znamenaly prostředky na výdaje spojené s válkou, nebo osobní potřebou. </w:t>
      </w:r>
    </w:p>
    <w:p w:rsidR="009773CD" w:rsidRDefault="009773CD" w:rsidP="004653DA">
      <w:r>
        <w:t>První vypracovaná soustava daní existovala v Řecku a v Římské říši.</w:t>
      </w:r>
      <w:r>
        <w:rPr>
          <w:rStyle w:val="Znakapoznpodarou"/>
        </w:rPr>
        <w:footnoteReference w:id="4"/>
      </w:r>
      <w:r>
        <w:t xml:space="preserve"> Pravidelnost daní zde existovala. Daně byly vybírány dle provincí s tím, že občani s pobytem daně neplatili. V Římské říši existovali daně přímé, mezi které patřila daň z nemovitostí, daň z hlavy a různé desátky. Kromě toho existovali daně nepřímé, mezi které patřilo i clo a jiné poplatky. Postupně se daně stávaly pravidelné, ale pořád nebyly všeobecné. O tom, kdo byl povinnen platit daně rozhodoval panovník. </w:t>
      </w:r>
    </w:p>
    <w:p w:rsidR="009773CD" w:rsidRDefault="009773CD" w:rsidP="004653DA">
      <w:r>
        <w:t>Nástup liberalizmu měl vliv i na vývoj daňové povinnosti. Daně  začali být všeobecné a jejich placení bylo stanoveno zákonem</w:t>
      </w:r>
      <w:r w:rsidR="004064AB">
        <w:t xml:space="preserve">. Tyto dvě podmínky měli za cíl, aby o tom, kdo a v jaké výši </w:t>
      </w:r>
      <w:proofErr w:type="gramStart"/>
      <w:r w:rsidR="004064AB">
        <w:t>bude</w:t>
      </w:r>
      <w:proofErr w:type="gramEnd"/>
      <w:r w:rsidR="004064AB">
        <w:t xml:space="preserve"> platit daně </w:t>
      </w:r>
      <w:proofErr w:type="gramStart"/>
      <w:r w:rsidR="004064AB">
        <w:t>nerozhodoval</w:t>
      </w:r>
      <w:proofErr w:type="gramEnd"/>
      <w:r w:rsidR="004064AB">
        <w:t xml:space="preserve"> panovník, a přestali být určité skupiny lidí nadřazené nad ostaníma.</w:t>
      </w:r>
    </w:p>
    <w:p w:rsidR="004064AB" w:rsidRDefault="004064AB" w:rsidP="004653DA">
      <w:r>
        <w:lastRenderedPageBreak/>
        <w:t xml:space="preserve">V historii daní je zajímavý rok 1789, kdy v tehdejší Anglii vznikla první důchodová daň. Ta se vybírala z výnosů, a nikoliv z majetku, jak tomu bylo doposud. Kromě této daně existovala v Anglii i daň z oken a daň z krbů. </w:t>
      </w:r>
      <w:r w:rsidR="00EB3992">
        <w:t>Daň z oken existovala v Anglii v letech 1694 až 1851. Daň se vztahovala na domy se šesti a více okny a byla progresivní. Tato daň byla nakonec nahrazena daní z příjmů.</w:t>
      </w:r>
    </w:p>
    <w:p w:rsidR="00EB3992" w:rsidRDefault="00EB3992" w:rsidP="004653DA">
      <w:r>
        <w:t>Nepřímé daně se rozdělovali na daň všeobecnou sa daně selektivní, kterých bylo několik druhů. Předmětem těchto daní bylo nejčastěji dobytek, koření, tabak, curk a pivo.</w:t>
      </w:r>
    </w:p>
    <w:p w:rsidR="0097157C" w:rsidRDefault="00EB3992" w:rsidP="004653DA">
      <w:r>
        <w:t>Současné daňové systémy vznikli jako důsledek daňové reformy, která se zapříčinla o vznik fondů sociálního pojištění. Tato reforma proběhla na konci 19. století. Příjmy do veřejného rozpočtu tvoří</w:t>
      </w:r>
      <w:r w:rsidR="00AB4E50">
        <w:t xml:space="preserve"> v současnosti</w:t>
      </w:r>
      <w:r>
        <w:t xml:space="preserve"> vic</w:t>
      </w:r>
      <w:r w:rsidR="00AB4E50">
        <w:t>e</w:t>
      </w:r>
      <w:r>
        <w:t xml:space="preserve"> než 50% HDP.</w:t>
      </w:r>
    </w:p>
    <w:p w:rsidR="005B4629" w:rsidRPr="00F05477" w:rsidRDefault="00AB4E50" w:rsidP="004653DA">
      <w:pPr>
        <w:pStyle w:val="Nadpis2"/>
        <w:jc w:val="both"/>
      </w:pPr>
      <w:bookmarkStart w:id="5" w:name="_Toc307937047"/>
      <w:r>
        <w:t>Funkce daní</w:t>
      </w:r>
      <w:bookmarkEnd w:id="5"/>
      <w:r w:rsidR="005B4629" w:rsidRPr="00F05477">
        <w:t xml:space="preserve"> </w:t>
      </w:r>
    </w:p>
    <w:p w:rsidR="00AB4E50" w:rsidRDefault="00AB4E50" w:rsidP="004653DA">
      <w:r>
        <w:t>Daně jsou definovány čtyřmi funkcemi: alokační, redistribuční, stabilizační, fiskální.</w:t>
      </w:r>
    </w:p>
    <w:p w:rsidR="00165A61" w:rsidRDefault="00AB4E50" w:rsidP="004653DA">
      <w:r>
        <w:t xml:space="preserve">Alokační funkce slouží k efektivnímu přerozdělení finančních prostředků ve státě. Díky této funkce stát zabezpečuje nesoulad vznikající na trhu, </w:t>
      </w:r>
      <w:r w:rsidR="00165A61">
        <w:t>protože samotný trh není schopen zabezpečit efektivní přerozdělení.</w:t>
      </w:r>
    </w:p>
    <w:p w:rsidR="00165A61" w:rsidRDefault="00165A61" w:rsidP="004653DA">
      <w:r>
        <w:t>Redistribuční funkce je charakterizováná jako nástroj, prostřednictvím kterého dochází ke snižování rozdílů v disponibilních důchodech domácností. Cílem této funkce je to, aby domácnosti s vyšším příjmem platili vyšší daně než domácnosti s nižším disponibilním příjem.</w:t>
      </w:r>
    </w:p>
    <w:p w:rsidR="00165A61" w:rsidRDefault="00165A61" w:rsidP="004653DA">
      <w:r>
        <w:t>Stabilizační funkce je spojena s cyklickými výkyvy v ekonomice. Stát prostřednictvím ní reguluje změnu v cenové stabilitě, inflaci apod. Tato funkce má vliv na hospodářskou politiku nejen státu, kde je použita, ale má i mezinárodní charakter. Daňové výkyvy jednoho státu můžou ovlivnit i ekonomiku jiných statů. Příkladem nám může být současná ekonomická situace v rámci EU.</w:t>
      </w:r>
    </w:p>
    <w:p w:rsidR="00165A61" w:rsidRDefault="00165A61" w:rsidP="004653DA">
      <w:r>
        <w:t>Fiskální funkce se považuje za nejdůležitější. Její hlavním cílem je naplnit veřejný rozpočet.</w:t>
      </w:r>
    </w:p>
    <w:p w:rsidR="00165A61" w:rsidRPr="00165A61" w:rsidRDefault="00165A61" w:rsidP="004653DA">
      <w:pPr>
        <w:pStyle w:val="Nadpis2"/>
        <w:ind w:left="578" w:hanging="578"/>
        <w:jc w:val="both"/>
      </w:pPr>
      <w:bookmarkStart w:id="6" w:name="_Toc307937048"/>
      <w:r>
        <w:lastRenderedPageBreak/>
        <w:t>Prvky daní</w:t>
      </w:r>
      <w:bookmarkEnd w:id="6"/>
    </w:p>
    <w:p w:rsidR="0080403E" w:rsidRDefault="0080403E" w:rsidP="004653DA">
      <w:r>
        <w:t>Mezi základní prvky daní patří zejména:</w:t>
      </w:r>
    </w:p>
    <w:p w:rsidR="0080403E" w:rsidRDefault="0080403E" w:rsidP="004653DA">
      <w:r w:rsidRPr="00816494">
        <w:rPr>
          <w:b/>
          <w:i/>
        </w:rPr>
        <w:t>Objekt daně</w:t>
      </w:r>
      <w:r>
        <w:t xml:space="preserve"> představuje</w:t>
      </w:r>
      <w:r w:rsidR="00664692">
        <w:t xml:space="preserve"> </w:t>
      </w:r>
      <w:r>
        <w:t>příjem</w:t>
      </w:r>
      <w:r w:rsidR="00664692">
        <w:t xml:space="preserve"> nebo majetek</w:t>
      </w:r>
      <w:r>
        <w:t>, na základě které je poplatníku daně vypočítaná daňová povinnost. Objekt daně se jinak nazývá i předmět daně. Je rozdělen na čtyři skupiny: hlava, majetek, důchod a spotřeba.</w:t>
      </w:r>
    </w:p>
    <w:p w:rsidR="0080403E" w:rsidRDefault="0080403E" w:rsidP="004653DA">
      <w:r w:rsidRPr="00816494">
        <w:rPr>
          <w:b/>
          <w:i/>
        </w:rPr>
        <w:t>Subjekt daně</w:t>
      </w:r>
      <w:r>
        <w:t xml:space="preserve"> je definován jako poplatník, nebo plátce daně. Poplatník je osoba, které příjmy, úkony, majetek, nebo jiné úkony podléhají daňové povinnosti. Plátce daně je osoba, která má povinnost odvést dan ve stanovené výši správci daně.</w:t>
      </w:r>
    </w:p>
    <w:p w:rsidR="00664692" w:rsidRDefault="00664692" w:rsidP="004653DA">
      <w:r w:rsidRPr="00816494">
        <w:rPr>
          <w:b/>
          <w:i/>
        </w:rPr>
        <w:t>Správce daně</w:t>
      </w:r>
      <w:r>
        <w:t xml:space="preserve"> je orgán, který je oprávněn ke správě daně. Kromě finančního úřadu </w:t>
      </w:r>
      <w:r w:rsidR="00816494">
        <w:t xml:space="preserve">(na Slovensku je to „daňový úrad“), </w:t>
      </w:r>
      <w:r>
        <w:t>je k výběru daní oprávněn i celní orgán, správní orgán a jiné, které jsou k této činnosti pověřeny zákonem.</w:t>
      </w:r>
    </w:p>
    <w:p w:rsidR="0080403E" w:rsidRDefault="0080403E" w:rsidP="004653DA">
      <w:r w:rsidRPr="00816494">
        <w:rPr>
          <w:b/>
          <w:i/>
        </w:rPr>
        <w:t>Základ daně</w:t>
      </w:r>
      <w:r>
        <w:t xml:space="preserve"> je vyčíslení objektu daně v měrných jednotkách, nejčastěji peněžních.</w:t>
      </w:r>
    </w:p>
    <w:p w:rsidR="0080403E" w:rsidRDefault="0080403E" w:rsidP="004653DA">
      <w:r w:rsidRPr="00816494">
        <w:rPr>
          <w:b/>
          <w:i/>
        </w:rPr>
        <w:t>Sazba daně</w:t>
      </w:r>
      <w:r>
        <w:t xml:space="preserve"> definuje velikost daně pro subjekt. Je určováná z daňového základu. Sazby daně se dělí na pevné a procentní. Pevná sazba je určena pevnou částkou, která nezávisí na základu daně. Pro</w:t>
      </w:r>
      <w:r w:rsidR="00664692">
        <w:t xml:space="preserve">centní sazbu dále dělíme na sazbu </w:t>
      </w:r>
      <w:r w:rsidR="004B3CA3">
        <w:t xml:space="preserve">pevnou, proporcionální, </w:t>
      </w:r>
      <w:r w:rsidR="00664692">
        <w:t>progresivní a degresivní.</w:t>
      </w:r>
      <w:r w:rsidR="004B3CA3">
        <w:t xml:space="preserve"> Pevná se vztahuje k objemové jednotce základu daně. Proporcionální sazba ja taková, kdy se míra zdanění s růstem důchodu poplatníka nemění. Znamená to, že platí stejné procento ze svého důchodu, bez ohledu na výši důchodu. Progresivní je charakterizována mírou zdanění, která roste s růstem důchodu, tzn. čím je důchod vyšší, tím platí poplatník větší daň. Poslední typ, regresivní sazba vyjadřuje takovou míru zdanění, která s růstem důchodu klesá, tzn. čím vyšší je důchod poplatníka, tím platí nižší daň ze svéh důchodu.  </w:t>
      </w:r>
    </w:p>
    <w:p w:rsidR="00664692" w:rsidRDefault="00664692" w:rsidP="004653DA">
      <w:r w:rsidRPr="00816494">
        <w:rPr>
          <w:b/>
          <w:i/>
        </w:rPr>
        <w:t>Zdaňovací období</w:t>
      </w:r>
      <w:r>
        <w:t xml:space="preserve"> je časový úsek, za který se daň počítá. Základním zdaňovacím obdobím je rok, ale může být i jiné.</w:t>
      </w:r>
    </w:p>
    <w:p w:rsidR="00664692" w:rsidRDefault="00664692" w:rsidP="004653DA">
      <w:r w:rsidRPr="00816494">
        <w:rPr>
          <w:b/>
          <w:i/>
        </w:rPr>
        <w:t>Korekční prvky</w:t>
      </w:r>
      <w:r>
        <w:t xml:space="preserve"> jsou stanoveny na základě zákona, nebo na základě individuálního rozhodnutí správce daně. Jedná se o prvky, které ovlivňují vyměření daně. Můžou mít podobu úplného daňového osvobození, slev, nebo naopak zvýšení daně.</w:t>
      </w:r>
    </w:p>
    <w:p w:rsidR="00664692" w:rsidRDefault="00664692" w:rsidP="004653DA">
      <w:r w:rsidRPr="00816494">
        <w:rPr>
          <w:b/>
          <w:i/>
        </w:rPr>
        <w:lastRenderedPageBreak/>
        <w:t>Rozpočtové určení</w:t>
      </w:r>
      <w:r>
        <w:t xml:space="preserve"> definuje, kam výnos z vybrané daně směřuje. Nejčastěji tvoří daň příjem státního rozpočtu.</w:t>
      </w:r>
    </w:p>
    <w:p w:rsidR="00664692" w:rsidRDefault="00664692" w:rsidP="004653DA">
      <w:r w:rsidRPr="00816494">
        <w:rPr>
          <w:b/>
          <w:i/>
        </w:rPr>
        <w:t>Podmínky placení</w:t>
      </w:r>
      <w:r>
        <w:t xml:space="preserve"> stanovuje termíny a zásady pro placení daně.</w:t>
      </w:r>
    </w:p>
    <w:p w:rsidR="00664692" w:rsidRDefault="00AA4EB7" w:rsidP="004653DA">
      <w:pPr>
        <w:pStyle w:val="Nadpis2"/>
        <w:ind w:left="578" w:hanging="578"/>
        <w:jc w:val="both"/>
      </w:pPr>
      <w:bookmarkStart w:id="7" w:name="_Toc307937049"/>
      <w:r>
        <w:t>Druhy daní</w:t>
      </w:r>
      <w:bookmarkEnd w:id="7"/>
    </w:p>
    <w:p w:rsidR="00B23315" w:rsidRDefault="00B86AA7" w:rsidP="004653DA">
      <w:r>
        <w:t xml:space="preserve">Daně se v základním </w:t>
      </w:r>
      <w:r w:rsidR="00B23315">
        <w:t>členění rozlišují podle:</w:t>
      </w:r>
    </w:p>
    <w:p w:rsidR="00B23315" w:rsidRDefault="00AA4EB7" w:rsidP="004653DA">
      <w:r w:rsidRPr="00AA4EB7">
        <w:rPr>
          <w:b/>
          <w:i/>
        </w:rPr>
        <w:t>D</w:t>
      </w:r>
      <w:r w:rsidR="00B23315" w:rsidRPr="00AA4EB7">
        <w:rPr>
          <w:b/>
          <w:i/>
        </w:rPr>
        <w:t>opadu na přímé a nepřímé daně</w:t>
      </w:r>
      <w:r>
        <w:t>. Předmětem přímé daně je důchod poplatníka bez ohledu na zdroj, jak poplatník důchod získal. V případě, že má poplatník několik druhů důchodu, je předmětem daně součet všech důchodů. Znamená to, že povinnost odvést daň z důcohdu nemůže poplatník převést na jiný subjekt. Mezi přímé daně patří daň z příjmu a majektové daně. Charakteristikou nepřímých daní je to, že subjekt, který daň odvádí, ji neplatí ze svého, ale přenáší povinnost platby na jiný subjekt. Tato povinnost je přenesena prostřednictvím navýšení ceny. Mezi nepřímé daně patří daň ze spotřeby a obratu, daň z přidané hodnoty a clo.</w:t>
      </w:r>
    </w:p>
    <w:p w:rsidR="00AA4EB7" w:rsidRDefault="00AA4EB7" w:rsidP="004653DA">
      <w:r>
        <w:t>Kromě základního členění dělíme daně i podle dalších charakteristik, například:</w:t>
      </w:r>
    </w:p>
    <w:p w:rsidR="00420E09" w:rsidRDefault="00420E09" w:rsidP="004653DA">
      <w:r>
        <w:rPr>
          <w:b/>
          <w:i/>
        </w:rPr>
        <w:t>Podle o</w:t>
      </w:r>
      <w:r w:rsidR="00B23315" w:rsidRPr="00420E09">
        <w:rPr>
          <w:b/>
          <w:i/>
        </w:rPr>
        <w:t>bjektu na daň z důchodu, ze spotřeby a z</w:t>
      </w:r>
      <w:r w:rsidR="00AA4EB7" w:rsidRPr="00420E09">
        <w:rPr>
          <w:b/>
          <w:i/>
        </w:rPr>
        <w:t> </w:t>
      </w:r>
      <w:r w:rsidR="00B23315" w:rsidRPr="00420E09">
        <w:rPr>
          <w:b/>
          <w:i/>
        </w:rPr>
        <w:t>majetku</w:t>
      </w:r>
      <w:r w:rsidR="00AA4EB7">
        <w:t xml:space="preserve">. </w:t>
      </w:r>
      <w:r>
        <w:t>Záleží právě na objektu, kterého se daňová povinnost týká.</w:t>
      </w:r>
    </w:p>
    <w:p w:rsidR="00664692" w:rsidRDefault="00420E09" w:rsidP="004653DA">
      <w:r w:rsidRPr="00101D25">
        <w:rPr>
          <w:b/>
          <w:i/>
        </w:rPr>
        <w:t xml:space="preserve">Podle veličiny, z níž se daň platí </w:t>
      </w:r>
      <w:r w:rsidR="00B23315" w:rsidRPr="00101D25">
        <w:rPr>
          <w:b/>
          <w:i/>
        </w:rPr>
        <w:t>na kapitálové a bežné</w:t>
      </w:r>
      <w:r w:rsidRPr="00101D25">
        <w:rPr>
          <w:b/>
          <w:i/>
        </w:rPr>
        <w:t>.</w:t>
      </w:r>
      <w:r>
        <w:t xml:space="preserve"> Předmětem daně může být stavová nebo toková veličina. Pokud je předmětem stavová veličina, jedná se o kapitálovou daň. Stavová veličina se zjišťuje k rozhodnému okamžiku. Mezi stavové veličiny patří materiál nebo zboží na kladně, množství finančních prostředků na účtě apod. Předmětem běžné daně je toková veličina. Zjišťuje se za určitý okamžik</w:t>
      </w:r>
      <w:r w:rsidR="00101D25">
        <w:t xml:space="preserve"> „od-do“</w:t>
      </w:r>
      <w:r>
        <w:t>, nejčastěji rok.</w:t>
      </w:r>
      <w:r w:rsidR="00101D25">
        <w:rPr>
          <w:rStyle w:val="Znakapoznpodarou"/>
        </w:rPr>
        <w:footnoteReference w:id="5"/>
      </w:r>
      <w:r>
        <w:t xml:space="preserve"> Mezi tokovou veličinu zařazujeme produkt</w:t>
      </w:r>
      <w:r w:rsidR="00101D25">
        <w:t>, důchod, aj.</w:t>
      </w:r>
    </w:p>
    <w:p w:rsidR="00101D25" w:rsidRDefault="00101D25" w:rsidP="004653DA">
      <w:r w:rsidRPr="00101D25">
        <w:rPr>
          <w:b/>
          <w:i/>
        </w:rPr>
        <w:t xml:space="preserve">Podle </w:t>
      </w:r>
      <w:r w:rsidR="00B23315" w:rsidRPr="00101D25">
        <w:rPr>
          <w:b/>
          <w:i/>
        </w:rPr>
        <w:t>adresnosti na osobní a „in rem</w:t>
      </w:r>
      <w:r>
        <w:rPr>
          <w:b/>
          <w:i/>
        </w:rPr>
        <w:t xml:space="preserve">“. </w:t>
      </w:r>
      <w:r>
        <w:t>Vyjadřují vztah poplatíka k platební schopnosti. Daně osobní, jak již charakterizuje jejich název, jsou adresné ke konkrétnímu poplatníku daně. Zohledňují platební schopnost poplatníka. Naopak daně in rem platební schopnost poplatníka nezohledňují.</w:t>
      </w:r>
    </w:p>
    <w:p w:rsidR="00B23315" w:rsidRPr="00101D25" w:rsidRDefault="00101D25" w:rsidP="004653DA">
      <w:r w:rsidRPr="00101D25">
        <w:rPr>
          <w:b/>
          <w:i/>
        </w:rPr>
        <w:lastRenderedPageBreak/>
        <w:t>P</w:t>
      </w:r>
      <w:r w:rsidR="00B23315" w:rsidRPr="00101D25">
        <w:rPr>
          <w:b/>
          <w:i/>
        </w:rPr>
        <w:t xml:space="preserve">odle sazby na daně ad </w:t>
      </w:r>
      <w:proofErr w:type="gramStart"/>
      <w:r w:rsidR="00B23315" w:rsidRPr="00101D25">
        <w:rPr>
          <w:b/>
          <w:i/>
        </w:rPr>
        <w:t>valorem</w:t>
      </w:r>
      <w:proofErr w:type="gramEnd"/>
      <w:r w:rsidR="00B23315" w:rsidRPr="00101D25">
        <w:rPr>
          <w:b/>
          <w:i/>
        </w:rPr>
        <w:t>, specifické a daně bez vztahu ke zdaňovacímu základu</w:t>
      </w:r>
      <w:r w:rsidRPr="00101D25">
        <w:rPr>
          <w:b/>
          <w:i/>
        </w:rPr>
        <w:t>.</w:t>
      </w:r>
      <w:r>
        <w:rPr>
          <w:b/>
          <w:i/>
        </w:rPr>
        <w:t xml:space="preserve"> </w:t>
      </w:r>
      <w:r>
        <w:t xml:space="preserve">Daně ad </w:t>
      </w:r>
      <w:proofErr w:type="gramStart"/>
      <w:r>
        <w:t>valorem</w:t>
      </w:r>
      <w:proofErr w:type="gramEnd"/>
      <w:r>
        <w:t>, tzn. „k hodnotě“</w:t>
      </w:r>
      <w:r w:rsidR="00C75248">
        <w:t>.</w:t>
      </w:r>
      <w:r w:rsidR="00C75248">
        <w:rPr>
          <w:rStyle w:val="Znakapoznpodarou"/>
        </w:rPr>
        <w:footnoteReference w:id="6"/>
      </w:r>
      <w:r>
        <w:t xml:space="preserve"> Tento typ daně se určuje podle ceny zdaňovacího základu. Základ daně je vyjadřován v peněžních jednotkách. Daně specifické jsou charakterizovány dle množství jednotek daňového základu, případně polde jednotek určitého základu. Někdy jsou nazývány i jako daně jednotkové</w:t>
      </w:r>
      <w:r w:rsidR="00C75248">
        <w:t>. Daň bez vztahu ke zdaňovacímu základu jsou vlastně daně paušální a daně z hlavy. Platí je všechny subjekty. Není určen předmět daně, tzn., že tyto daně se platí proto, že jednoducho existují. Paušálna daň nemusí být ale pro všechny poplatníky stejná a závisí podle platební schopnosti poplatníka.</w:t>
      </w:r>
    </w:p>
    <w:p w:rsidR="00B23315" w:rsidRDefault="00C75248" w:rsidP="004653DA">
      <w:r w:rsidRPr="00C75248">
        <w:rPr>
          <w:b/>
          <w:i/>
        </w:rPr>
        <w:t xml:space="preserve">Podle </w:t>
      </w:r>
      <w:r w:rsidR="00B23315" w:rsidRPr="00C75248">
        <w:rPr>
          <w:b/>
          <w:i/>
        </w:rPr>
        <w:t>daňového určení na státní, municipální, vyšších územně správních celků a svěřené</w:t>
      </w:r>
      <w:r w:rsidRPr="00C75248">
        <w:rPr>
          <w:b/>
          <w:i/>
        </w:rPr>
        <w:t>.</w:t>
      </w:r>
      <w:r>
        <w:t xml:space="preserve"> Rozhodné u těchto daní je to, do jakého rozpočtu plynou.</w:t>
      </w:r>
    </w:p>
    <w:p w:rsidR="000A7F0D" w:rsidRDefault="00C75248" w:rsidP="004653DA">
      <w:r w:rsidRPr="00C75248">
        <w:rPr>
          <w:b/>
          <w:i/>
        </w:rPr>
        <w:t>Podle OECD se daně rozdělují do šesti hlavních skupin:</w:t>
      </w:r>
      <w:r>
        <w:t xml:space="preserve"> </w:t>
      </w:r>
      <w:r>
        <w:rPr>
          <w:rStyle w:val="Znakapoznpodarou"/>
        </w:rPr>
        <w:footnoteReference w:id="7"/>
      </w:r>
      <w:r>
        <w:t xml:space="preserve"> 1000 Daně z důchodu, zisků a kapitálových výnosů, 2000 Příspěvky na sociálni zabezpečení, 3000 Daně z mezd a pracovních sil, 4000 Majetkové daně, 5000 Daně ze zboží a služeb, 6000 ostatní daně.</w:t>
      </w:r>
    </w:p>
    <w:p w:rsidR="00C51E80" w:rsidRDefault="00C51E80" w:rsidP="004653DA">
      <w:r w:rsidRPr="001F10F8">
        <w:rPr>
          <w:b/>
          <w:i/>
        </w:rPr>
        <w:t>Rovná daň</w:t>
      </w:r>
      <w:r w:rsidR="001F10F8">
        <w:t xml:space="preserve"> </w:t>
      </w:r>
      <w:r>
        <w:t xml:space="preserve">je způsob zdanění, kdy by všechny subjekty podléhající zdanění, měli platit relativní stejnou sazbu daně. Její základní myšlenkou je snižování a narovnání daňové sazby a rozšiřování daňové základny zrušením celé řady výjimek, osvobození, slev, které narušují princip horizontální spravednosti. Rovná daň je jedná z možností daňových reforem na příjmové straně rozpočtu. Myšlenku rovné daně zpracoval v 80. </w:t>
      </w:r>
      <w:proofErr w:type="gramStart"/>
      <w:r>
        <w:t>Letech</w:t>
      </w:r>
      <w:proofErr w:type="gramEnd"/>
      <w:r>
        <w:t xml:space="preserve"> 20. Století Rober Hall a Alvin Rabushka. Jedná se o daň tzv. neutrální, </w:t>
      </w:r>
      <w:proofErr w:type="gramStart"/>
      <w:r>
        <w:t>tzn.</w:t>
      </w:r>
      <w:proofErr w:type="gramEnd"/>
      <w:r>
        <w:t xml:space="preserve"> objem daňových výnosů se </w:t>
      </w:r>
      <w:proofErr w:type="gramStart"/>
      <w:r>
        <w:t>nemění</w:t>
      </w:r>
      <w:proofErr w:type="gramEnd"/>
      <w:r>
        <w:t>, nebo mírně roste. Obsahem této daně je i zdanění stínové ekonomiky, takže díky této daně dochází ke snížení daňovému zatížení většiny stávajícíh poplatníků.</w:t>
      </w:r>
      <w:r w:rsidR="0078096E">
        <w:rPr>
          <w:rStyle w:val="Znakapoznpodarou"/>
        </w:rPr>
        <w:footnoteReference w:id="8"/>
      </w:r>
    </w:p>
    <w:p w:rsidR="001F10F8" w:rsidRDefault="001F10F8" w:rsidP="004653DA">
      <w:r>
        <w:t>Zavedení absolutně rovné daně sice možné zavést je, ale prakticky je její zavedení nejen z politických, ale i sociálních důvodů nemožné</w:t>
      </w:r>
    </w:p>
    <w:p w:rsidR="00B23315" w:rsidRDefault="003D6B3F" w:rsidP="004653DA">
      <w:pPr>
        <w:pStyle w:val="Nadpis2"/>
        <w:jc w:val="both"/>
      </w:pPr>
      <w:bookmarkStart w:id="8" w:name="_Toc307937050"/>
      <w:r>
        <w:lastRenderedPageBreak/>
        <w:t>Daňová soustava ČR</w:t>
      </w:r>
      <w:bookmarkEnd w:id="8"/>
      <w:r w:rsidR="007B5E40">
        <w:tab/>
      </w:r>
      <w:r w:rsidR="007B5E40">
        <w:tab/>
      </w:r>
    </w:p>
    <w:p w:rsidR="006F2964" w:rsidRDefault="007B5E40" w:rsidP="004653DA">
      <w:r w:rsidRPr="007B5E40">
        <w:t>Daňová soustava ČR rozděluje daně na přímé na nepřímé. Mezi přímé daně patří daně důchodové a daně majektové. Nepřímé daně jsou v daňové soustavě zastoupeny všeobecnými daněmi a daněmi výběrovými</w:t>
      </w:r>
      <w:r>
        <w:t>.</w:t>
      </w:r>
    </w:p>
    <w:p w:rsidR="007B5E40" w:rsidRDefault="007B5E40" w:rsidP="004653DA">
      <w:pPr>
        <w:pStyle w:val="Nadpis3"/>
        <w:jc w:val="both"/>
      </w:pPr>
      <w:bookmarkStart w:id="9" w:name="_Toc307937051"/>
      <w:r>
        <w:t>Přímé daně v ČR</w:t>
      </w:r>
      <w:bookmarkEnd w:id="9"/>
    </w:p>
    <w:p w:rsidR="008B68BB" w:rsidRDefault="007B5E40" w:rsidP="004653DA">
      <w:r>
        <w:t xml:space="preserve">V podrobnějším členění se přímé daně dělí na důchodové a majektové daně. </w:t>
      </w:r>
    </w:p>
    <w:p w:rsidR="00EE7461" w:rsidRDefault="008B68BB" w:rsidP="004653DA">
      <w:r w:rsidRPr="00816494">
        <w:rPr>
          <w:b/>
        </w:rPr>
        <w:t>Důchodové daně</w:t>
      </w:r>
      <w:r>
        <w:t xml:space="preserve"> jsou definovány zákonem o daních z příjmu č. 586/1992 </w:t>
      </w:r>
      <w:proofErr w:type="gramStart"/>
      <w:r>
        <w:t>Sb..</w:t>
      </w:r>
      <w:proofErr w:type="gramEnd"/>
      <w:r w:rsidR="00EE7461">
        <w:t xml:space="preserve"> Předmětem daně je důchod poplatníka, bez ohledu na zdroj, ze kterého důchod plyne. V případě, že má poplatník více druhů důchodů, předmětem daně je součet těchto důchodů. Mezi důchodové daně zařazujeme:</w:t>
      </w:r>
    </w:p>
    <w:p w:rsidR="00EE7461" w:rsidRDefault="008B68BB" w:rsidP="004653DA">
      <w:pPr>
        <w:pStyle w:val="Odstavecseseznamem"/>
        <w:numPr>
          <w:ilvl w:val="0"/>
          <w:numId w:val="12"/>
        </w:numPr>
      </w:pPr>
      <w:r>
        <w:t xml:space="preserve">daň z příjmu </w:t>
      </w:r>
      <w:r w:rsidR="00EE7461">
        <w:t>právnických osob</w:t>
      </w:r>
    </w:p>
    <w:p w:rsidR="00EE7461" w:rsidRDefault="008B68BB" w:rsidP="004653DA">
      <w:pPr>
        <w:pStyle w:val="Odstavecseseznamem"/>
        <w:numPr>
          <w:ilvl w:val="0"/>
          <w:numId w:val="12"/>
        </w:numPr>
      </w:pPr>
      <w:r>
        <w:t xml:space="preserve">daň z příjmu </w:t>
      </w:r>
      <w:r w:rsidR="004B3CA3">
        <w:t xml:space="preserve">fyzických osob. </w:t>
      </w:r>
    </w:p>
    <w:p w:rsidR="004B3CA3" w:rsidRDefault="00EE7461" w:rsidP="004653DA">
      <w:r w:rsidRPr="00816494">
        <w:rPr>
          <w:b/>
        </w:rPr>
        <w:t>Majetkové daně</w:t>
      </w:r>
      <w:r>
        <w:t xml:space="preserve"> jsou typem přímých daní, kdy předmětem daně je určitá stavová veličina, nejčastěji majetek. Majetkové daně jsou upravovány třemi zákony, konkrétně zákonem č. 338/1992 Sb. o dani z nemovitostí, zákonem č. 357/1992 Sb. o dani dědické, dani darovací a dani z převodu nemovitostí, a zákon č. 16/1993 Sb. o silniční dani. Předmětem majetkových daní je majetek, tzn. určitá stavová veličina, která může mít movitou nebo nemovitou podobu. Jak je jasné z jednotlivých zákonů, mezi majetkové daně zařazujeme:</w:t>
      </w:r>
    </w:p>
    <w:p w:rsidR="00EE7461" w:rsidRDefault="00EE7461" w:rsidP="004653DA">
      <w:pPr>
        <w:pStyle w:val="Odstavecseseznamem"/>
        <w:numPr>
          <w:ilvl w:val="0"/>
          <w:numId w:val="12"/>
        </w:numPr>
      </w:pPr>
      <w:r>
        <w:t>daň z nemovitostí</w:t>
      </w:r>
    </w:p>
    <w:p w:rsidR="00EE7461" w:rsidRDefault="00EE7461" w:rsidP="004653DA">
      <w:pPr>
        <w:pStyle w:val="Odstavecseseznamem"/>
        <w:numPr>
          <w:ilvl w:val="0"/>
          <w:numId w:val="12"/>
        </w:numPr>
      </w:pPr>
      <w:r>
        <w:t>daň dědická</w:t>
      </w:r>
    </w:p>
    <w:p w:rsidR="00EE7461" w:rsidRDefault="00EE7461" w:rsidP="004653DA">
      <w:pPr>
        <w:pStyle w:val="Odstavecseseznamem"/>
        <w:numPr>
          <w:ilvl w:val="0"/>
          <w:numId w:val="12"/>
        </w:numPr>
      </w:pPr>
      <w:r>
        <w:t>daň darovací</w:t>
      </w:r>
    </w:p>
    <w:p w:rsidR="00EE7461" w:rsidRDefault="00EE7461" w:rsidP="004653DA">
      <w:pPr>
        <w:pStyle w:val="Odstavecseseznamem"/>
        <w:numPr>
          <w:ilvl w:val="0"/>
          <w:numId w:val="12"/>
        </w:numPr>
      </w:pPr>
      <w:r>
        <w:t>daň z převodu nemovitostí</w:t>
      </w:r>
    </w:p>
    <w:p w:rsidR="00EE7461" w:rsidRDefault="00EE7461" w:rsidP="004653DA">
      <w:pPr>
        <w:pStyle w:val="Odstavecseseznamem"/>
        <w:numPr>
          <w:ilvl w:val="0"/>
          <w:numId w:val="12"/>
        </w:numPr>
      </w:pPr>
      <w:r>
        <w:t>silniční daň</w:t>
      </w:r>
    </w:p>
    <w:p w:rsidR="00EE7461" w:rsidRDefault="00EE7461" w:rsidP="004653DA">
      <w:pPr>
        <w:pStyle w:val="Nadpis3"/>
        <w:jc w:val="both"/>
      </w:pPr>
      <w:bookmarkStart w:id="10" w:name="_Toc307937052"/>
      <w:r>
        <w:t>Nepřímé daně v ČR</w:t>
      </w:r>
      <w:bookmarkEnd w:id="10"/>
    </w:p>
    <w:p w:rsidR="00F01215" w:rsidRDefault="00EE7461" w:rsidP="004653DA">
      <w:r>
        <w:t xml:space="preserve">Jsou označovány také jako daně ze spotřeby. Je to z toho důvodu, že předmětem daně je spotřeba, která se zdaňuje nepřímo. </w:t>
      </w:r>
      <w:r w:rsidR="00F01215">
        <w:t xml:space="preserve">Poplatníci daně odevzdávají daň ve stanovené výši </w:t>
      </w:r>
      <w:r w:rsidR="00F01215">
        <w:lastRenderedPageBreak/>
        <w:t xml:space="preserve">správci daně, přičemž výši zaplacené daně převedou do cen svých výrobků a služeb. Ve skutečnosti teda daň zaplatí ti, kteří výrobky a služby nakupují. Tento proces se nazýva přenesení daňové povinnosti. </w:t>
      </w:r>
    </w:p>
    <w:p w:rsidR="00CF45F7" w:rsidRDefault="00F01215" w:rsidP="004653DA">
      <w:r>
        <w:t xml:space="preserve">V základním členění rozdělujeme nepřímé daně na daně všeobecné a výběrové. </w:t>
      </w:r>
      <w:r w:rsidRPr="00816494">
        <w:rPr>
          <w:b/>
        </w:rPr>
        <w:t>Všeobecné daně</w:t>
      </w:r>
      <w:r>
        <w:t xml:space="preserve"> jsou upravovány zákonem č. 235/2004 Sb., kdy předmětem daně je dodání zboží, převod nemovitostí, nebo přechod nemovitostí v dražbě, anebo poskytnutí služby za úplatu osobou povinnou k dani v rámci uskutečňování ekonomické činnosti, s místem plnění v tuzemsku. Podrobněji o této této dani v </w:t>
      </w:r>
      <w:proofErr w:type="gramStart"/>
      <w:r>
        <w:t xml:space="preserve">kapitole </w:t>
      </w:r>
      <w:hyperlink w:anchor="_DPH_v_ČR" w:history="1">
        <w:r w:rsidR="006B3B97" w:rsidRPr="006B3B97">
          <w:rPr>
            <w:rStyle w:val="Hypertextovodkaz"/>
          </w:rPr>
          <w:t>2.7.1</w:t>
        </w:r>
        <w:proofErr w:type="gramEnd"/>
      </w:hyperlink>
      <w:r w:rsidR="00952110">
        <w:t>.</w:t>
      </w:r>
    </w:p>
    <w:p w:rsidR="00CF45F7" w:rsidRDefault="00CF45F7" w:rsidP="004653DA">
      <w:r w:rsidRPr="00816494">
        <w:rPr>
          <w:b/>
        </w:rPr>
        <w:t>Výběrové daně</w:t>
      </w:r>
      <w:r>
        <w:t>, jinak nazývané daně spotřební upravuje zákon č. 353/2003 Sb. o spotřebních daní. Výběrové daně v podrobnějším členění zahrňují:</w:t>
      </w:r>
    </w:p>
    <w:p w:rsidR="00CF45F7" w:rsidRDefault="00CF45F7" w:rsidP="004653DA">
      <w:pPr>
        <w:pStyle w:val="Odstavecseseznamem"/>
        <w:numPr>
          <w:ilvl w:val="0"/>
          <w:numId w:val="12"/>
        </w:numPr>
      </w:pPr>
      <w:r>
        <w:t>daň z minerálních olejů</w:t>
      </w:r>
    </w:p>
    <w:p w:rsidR="00CF45F7" w:rsidRDefault="00CF45F7" w:rsidP="004653DA">
      <w:pPr>
        <w:pStyle w:val="Odstavecseseznamem"/>
        <w:numPr>
          <w:ilvl w:val="0"/>
          <w:numId w:val="12"/>
        </w:numPr>
      </w:pPr>
      <w:r>
        <w:t>daň z lihu</w:t>
      </w:r>
    </w:p>
    <w:p w:rsidR="00CF45F7" w:rsidRDefault="00CF45F7" w:rsidP="004653DA">
      <w:pPr>
        <w:pStyle w:val="Odstavecseseznamem"/>
        <w:numPr>
          <w:ilvl w:val="0"/>
          <w:numId w:val="12"/>
        </w:numPr>
      </w:pPr>
      <w:r>
        <w:t>daň z piva</w:t>
      </w:r>
    </w:p>
    <w:p w:rsidR="00CF45F7" w:rsidRDefault="00CF45F7" w:rsidP="004653DA">
      <w:pPr>
        <w:pStyle w:val="Odstavecseseznamem"/>
        <w:numPr>
          <w:ilvl w:val="0"/>
          <w:numId w:val="12"/>
        </w:numPr>
      </w:pPr>
      <w:r>
        <w:t>daň z vína a meziproduktů</w:t>
      </w:r>
    </w:p>
    <w:p w:rsidR="00CF45F7" w:rsidRDefault="00CF45F7" w:rsidP="004653DA">
      <w:pPr>
        <w:pStyle w:val="Odstavecseseznamem"/>
        <w:numPr>
          <w:ilvl w:val="0"/>
          <w:numId w:val="12"/>
        </w:numPr>
      </w:pPr>
      <w:r>
        <w:t>daň z tabákových výrobků</w:t>
      </w:r>
    </w:p>
    <w:p w:rsidR="00F01215" w:rsidRDefault="00AA7DAE" w:rsidP="004653DA">
      <w:pPr>
        <w:ind w:left="360"/>
      </w:pPr>
      <w:r>
        <w:rPr>
          <w:noProof/>
        </w:rPr>
        <w:drawing>
          <wp:inline distT="0" distB="0" distL="0" distR="0" wp14:anchorId="2EAAF21C" wp14:editId="6F16DB42">
            <wp:extent cx="4975320" cy="36766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8897" cy="3686683"/>
                    </a:xfrm>
                    <a:prstGeom prst="rect">
                      <a:avLst/>
                    </a:prstGeom>
                    <a:noFill/>
                    <a:ln>
                      <a:noFill/>
                    </a:ln>
                  </pic:spPr>
                </pic:pic>
              </a:graphicData>
            </a:graphic>
          </wp:inline>
        </w:drawing>
      </w:r>
    </w:p>
    <w:p w:rsidR="00AA7DAE" w:rsidRPr="00AA7DAE" w:rsidRDefault="00AA7DAE" w:rsidP="004653DA">
      <w:pPr>
        <w:ind w:left="360"/>
        <w:rPr>
          <w:sz w:val="20"/>
        </w:rPr>
      </w:pPr>
      <w:r w:rsidRPr="00AA7DAE">
        <w:rPr>
          <w:sz w:val="20"/>
        </w:rPr>
        <w:lastRenderedPageBreak/>
        <w:t xml:space="preserve">Obrázok 1: </w:t>
      </w:r>
      <w:r>
        <w:rPr>
          <w:sz w:val="20"/>
        </w:rPr>
        <w:t>D</w:t>
      </w:r>
      <w:r w:rsidRPr="00AA7DAE">
        <w:rPr>
          <w:sz w:val="20"/>
        </w:rPr>
        <w:t>aňová soustava ČR</w:t>
      </w:r>
    </w:p>
    <w:p w:rsidR="00AA7DAE" w:rsidRPr="00AA7DAE" w:rsidRDefault="00AA7DAE" w:rsidP="004653DA">
      <w:pPr>
        <w:ind w:left="360"/>
        <w:rPr>
          <w:sz w:val="20"/>
        </w:rPr>
      </w:pPr>
      <w:r w:rsidRPr="00AA7DAE">
        <w:rPr>
          <w:sz w:val="20"/>
        </w:rPr>
        <w:t>Zdroj: Autor</w:t>
      </w:r>
    </w:p>
    <w:p w:rsidR="00AA7DAE" w:rsidRDefault="00AA7DAE" w:rsidP="004653DA">
      <w:pPr>
        <w:pStyle w:val="Nadpis2"/>
        <w:jc w:val="both"/>
      </w:pPr>
      <w:bookmarkStart w:id="11" w:name="_Toc307937053"/>
      <w:r>
        <w:t>Daňová soustava S</w:t>
      </w:r>
      <w:r w:rsidR="00E15F59">
        <w:t>lovenské republiky</w:t>
      </w:r>
      <w:bookmarkEnd w:id="11"/>
    </w:p>
    <w:p w:rsidR="00087935" w:rsidRDefault="00087935" w:rsidP="004653DA">
      <w:r>
        <w:t>V základném členění</w:t>
      </w:r>
      <w:r w:rsidR="00AF5FD8">
        <w:t xml:space="preserve"> se daňová soustava Slovenské republiky od daňové soustavy České republiky neliší. Daně rozděleny na daně přímé a </w:t>
      </w:r>
      <w:r>
        <w:t>nepřímé. V podrobnějším členění dochází k podstatným rozdílům oproti daňové soustavě ČR.</w:t>
      </w:r>
      <w:r w:rsidR="00AF5FD8">
        <w:t xml:space="preserve"> Tato odlišnost se projevuje hlavně v tom, že součástí daňové soustavy Slovenské republiky jsou místní daně, které se v České republice nevyskytují.</w:t>
      </w:r>
    </w:p>
    <w:p w:rsidR="00087935" w:rsidRDefault="00087935" w:rsidP="004653DA">
      <w:pPr>
        <w:pStyle w:val="Nadpis3"/>
        <w:jc w:val="both"/>
      </w:pPr>
      <w:bookmarkStart w:id="12" w:name="_Toc307937054"/>
      <w:r>
        <w:t>Přímé daně v</w:t>
      </w:r>
      <w:r w:rsidR="00E15F59">
        <w:t> </w:t>
      </w:r>
      <w:r>
        <w:t>S</w:t>
      </w:r>
      <w:r w:rsidR="00E15F59">
        <w:t xml:space="preserve">lovenské </w:t>
      </w:r>
      <w:proofErr w:type="gramStart"/>
      <w:r w:rsidR="00E15F59">
        <w:t>republiky</w:t>
      </w:r>
      <w:bookmarkEnd w:id="12"/>
      <w:proofErr w:type="gramEnd"/>
    </w:p>
    <w:p w:rsidR="00087935" w:rsidRDefault="00087935" w:rsidP="004653DA">
      <w:r>
        <w:t xml:space="preserve">Vyjadřují skutečnost, že se „přímo dotýkají“ daňových poplatníků. </w:t>
      </w:r>
      <w:r w:rsidR="00577799">
        <w:t xml:space="preserve">Jedná se o daně důchodového typu, které zdaňují příjmy poplatníka. </w:t>
      </w:r>
      <w:r>
        <w:t xml:space="preserve">V podrobnějším členění je dělíme </w:t>
      </w:r>
      <w:proofErr w:type="gramStart"/>
      <w:r>
        <w:t>na</w:t>
      </w:r>
      <w:proofErr w:type="gramEnd"/>
      <w:r>
        <w:t>:</w:t>
      </w:r>
    </w:p>
    <w:p w:rsidR="007A69EC" w:rsidRDefault="007A69EC" w:rsidP="004653DA">
      <w:pPr>
        <w:pStyle w:val="Odstavecseseznamem"/>
        <w:numPr>
          <w:ilvl w:val="0"/>
          <w:numId w:val="12"/>
        </w:numPr>
      </w:pPr>
      <w:r>
        <w:t>Daň</w:t>
      </w:r>
      <w:r w:rsidR="00816494">
        <w:t xml:space="preserve"> z příjmů</w:t>
      </w:r>
    </w:p>
    <w:p w:rsidR="00087935" w:rsidRDefault="007A69EC" w:rsidP="004653DA">
      <w:pPr>
        <w:pStyle w:val="Odstavecseseznamem"/>
        <w:numPr>
          <w:ilvl w:val="0"/>
          <w:numId w:val="12"/>
        </w:numPr>
      </w:pPr>
      <w:r>
        <w:t>Místní daň</w:t>
      </w:r>
      <w:r w:rsidR="00087935">
        <w:t>.</w:t>
      </w:r>
    </w:p>
    <w:p w:rsidR="007A69EC" w:rsidRDefault="00816494" w:rsidP="004653DA">
      <w:r>
        <w:rPr>
          <w:b/>
        </w:rPr>
        <w:t>Daň z příjmů</w:t>
      </w:r>
      <w:r w:rsidR="007A69EC">
        <w:t xml:space="preserve"> je upraven zákonem č. </w:t>
      </w:r>
      <w:proofErr w:type="gramStart"/>
      <w:r w:rsidR="007A69EC">
        <w:t>595/2003 Z.z. o dani</w:t>
      </w:r>
      <w:proofErr w:type="gramEnd"/>
      <w:r w:rsidR="007A69EC">
        <w:t xml:space="preserve"> z příjmů. Tato daň se dále člení na daň z příjmu</w:t>
      </w:r>
      <w:r w:rsidR="00577799">
        <w:t xml:space="preserve"> fyzických</w:t>
      </w:r>
      <w:r w:rsidR="00BD2D1A">
        <w:t xml:space="preserve"> a právnických</w:t>
      </w:r>
      <w:r w:rsidR="00577799">
        <w:t xml:space="preserve"> osob</w:t>
      </w:r>
      <w:r w:rsidR="007A69EC">
        <w:t>.</w:t>
      </w:r>
    </w:p>
    <w:p w:rsidR="00577799" w:rsidRDefault="00577799" w:rsidP="004653DA">
      <w:r w:rsidRPr="00816494">
        <w:t>Předmětem této daně jsou:</w:t>
      </w:r>
      <w:r w:rsidRPr="00816494">
        <w:rPr>
          <w:b/>
        </w:rPr>
        <w:t xml:space="preserve"> </w:t>
      </w:r>
      <w:r w:rsidRPr="00816494">
        <w:t>příjmy ze</w:t>
      </w:r>
      <w:r>
        <w:t xml:space="preserve"> závislé činnosti</w:t>
      </w:r>
      <w:r w:rsidR="00BD2D1A">
        <w:t xml:space="preserve">, </w:t>
      </w:r>
      <w:r>
        <w:t>příjmy z podnikání, jiné samostatné výdělečné činnosti a z</w:t>
      </w:r>
      <w:r w:rsidR="00BD2D1A">
        <w:t> </w:t>
      </w:r>
      <w:r>
        <w:t>pronájmu</w:t>
      </w:r>
      <w:r w:rsidR="00BD2D1A">
        <w:t xml:space="preserve">, </w:t>
      </w:r>
      <w:r>
        <w:t xml:space="preserve">příjmy z kapitálového </w:t>
      </w:r>
      <w:r w:rsidR="00D9237C">
        <w:t>maje</w:t>
      </w:r>
      <w:r w:rsidR="006B2D5F">
        <w:t>t</w:t>
      </w:r>
      <w:r w:rsidR="00D9237C">
        <w:t>ku a ostatní příjmy</w:t>
      </w:r>
      <w:r w:rsidR="00BD2D1A">
        <w:t>.</w:t>
      </w:r>
    </w:p>
    <w:p w:rsidR="00BD2D1A" w:rsidRPr="00816494" w:rsidRDefault="00BD2D1A" w:rsidP="004653DA">
      <w:r w:rsidRPr="00816494">
        <w:t xml:space="preserve">Poplatník je definován ze dvou pohledů: </w:t>
      </w:r>
    </w:p>
    <w:p w:rsidR="00BD2D1A" w:rsidRDefault="00BD2D1A" w:rsidP="004653DA">
      <w:pPr>
        <w:pStyle w:val="Odstavecseseznamem"/>
        <w:numPr>
          <w:ilvl w:val="0"/>
          <w:numId w:val="18"/>
        </w:numPr>
      </w:pPr>
      <w:r>
        <w:t>Daňovník s neomezenou daňovou povinností. Do této kategorie jednak:</w:t>
      </w:r>
    </w:p>
    <w:p w:rsidR="00D9237C" w:rsidRDefault="00D9237C" w:rsidP="004653DA">
      <w:pPr>
        <w:pStyle w:val="Odstavecseseznamem"/>
        <w:numPr>
          <w:ilvl w:val="0"/>
          <w:numId w:val="12"/>
        </w:numPr>
      </w:pPr>
      <w:r w:rsidRPr="00D9237C">
        <w:t xml:space="preserve">fyzická osoba, která ma na území Slovenské republiky trvalý pobyt nebo se na území Slovenské republiky obvykle zdržuje. Do této kategorie patří i osoba, která sice na území Slovenské republiky trvalý pobyt nemá, ale zdržuje se tam minimálně 183 dní v roce. Zdržovaním se na území znamená buď souvisle, nebo </w:t>
      </w:r>
      <w:r w:rsidRPr="00D9237C">
        <w:lastRenderedPageBreak/>
        <w:t>v několika obdobích během roku, přičemž do tohoto období se započítává i každý započatý den pobytu</w:t>
      </w:r>
      <w:r w:rsidR="00BD2D1A">
        <w:t>.</w:t>
      </w:r>
      <w:r>
        <w:rPr>
          <w:rStyle w:val="Znakapoznpodarou"/>
        </w:rPr>
        <w:footnoteReference w:id="9"/>
      </w:r>
      <w:r w:rsidR="00BD2D1A">
        <w:t xml:space="preserve"> Jedná se vlastně o daňového rezidenta</w:t>
      </w:r>
    </w:p>
    <w:p w:rsidR="00BD2D1A" w:rsidRDefault="00BD2D1A" w:rsidP="004653DA">
      <w:pPr>
        <w:pStyle w:val="Odstavecseseznamem"/>
        <w:numPr>
          <w:ilvl w:val="0"/>
          <w:numId w:val="12"/>
        </w:numPr>
      </w:pPr>
      <w:r>
        <w:t xml:space="preserve">právnická osoba, která má na území Slovenské republiky sídlo, nebo místo podnikání. Místo podnikání je definováne §2 zákona č. </w:t>
      </w:r>
      <w:proofErr w:type="gramStart"/>
      <w:r>
        <w:t>595/2003 Z.z.</w:t>
      </w:r>
      <w:proofErr w:type="gramEnd"/>
    </w:p>
    <w:p w:rsidR="006B2D5F" w:rsidRDefault="006B2D5F" w:rsidP="004653DA">
      <w:pPr>
        <w:pStyle w:val="Odstavecseseznamem"/>
        <w:numPr>
          <w:ilvl w:val="0"/>
          <w:numId w:val="18"/>
        </w:numPr>
      </w:pPr>
      <w:r>
        <w:t>Daňovník s omezenou daňovou povinností. Do této kategorie patří:</w:t>
      </w:r>
    </w:p>
    <w:p w:rsidR="00D9237C" w:rsidRDefault="006B2D5F" w:rsidP="004653DA">
      <w:pPr>
        <w:pStyle w:val="Odstavecseseznamem"/>
        <w:numPr>
          <w:ilvl w:val="0"/>
          <w:numId w:val="12"/>
        </w:numPr>
      </w:pPr>
      <w:r>
        <w:t>f</w:t>
      </w:r>
      <w:r w:rsidR="00D9237C">
        <w:t>yz</w:t>
      </w:r>
      <w:r>
        <w:t>ic</w:t>
      </w:r>
      <w:r w:rsidR="00D9237C">
        <w:t>ká osoba, která nesplňuje pomíndky rezidentury, případně fyzická osoba, která se na území Slovenské republiky (dále jen SR) zdržuje za účely studia, léče</w:t>
      </w:r>
      <w:r w:rsidR="00E15F59">
        <w:t>ní, nebo osoba, která hranice Slovenské republiky</w:t>
      </w:r>
      <w:r w:rsidR="00D9237C">
        <w:t xml:space="preserve"> překračuje denně či v dohodnutých časových obdobích, za účely výkonu závislé činnosti</w:t>
      </w:r>
      <w:r w:rsidR="00E15F59">
        <w:t>, jejíž zdroj je na území Slovenské republiky</w:t>
      </w:r>
      <w:r w:rsidR="00D9237C" w:rsidRPr="006B2D5F">
        <w:rPr>
          <w:szCs w:val="24"/>
        </w:rPr>
        <w:t>.</w:t>
      </w:r>
      <w:r w:rsidR="00BD2D1A">
        <w:rPr>
          <w:rStyle w:val="Znakapoznpodarou"/>
          <w:szCs w:val="24"/>
        </w:rPr>
        <w:footnoteReference w:id="10"/>
      </w:r>
      <w:r w:rsidR="00D9237C">
        <w:t xml:space="preserve"> </w:t>
      </w:r>
      <w:r>
        <w:t>Jedná se o daňového nerezidenta</w:t>
      </w:r>
    </w:p>
    <w:p w:rsidR="006B2D5F" w:rsidRDefault="006B2D5F" w:rsidP="004653DA">
      <w:pPr>
        <w:pStyle w:val="Odstavecseseznamem"/>
        <w:numPr>
          <w:ilvl w:val="0"/>
          <w:numId w:val="12"/>
        </w:numPr>
      </w:pPr>
      <w:r>
        <w:t>právnická osoba, která není právnickou osobou, definovanou jako daňovník s neomezenou daňovou povinností, viz bod 1.</w:t>
      </w:r>
    </w:p>
    <w:p w:rsidR="007A69EC" w:rsidRDefault="007A69EC" w:rsidP="004653DA">
      <w:pPr>
        <w:pStyle w:val="Normlnweb"/>
        <w:jc w:val="both"/>
        <w:rPr>
          <w:lang w:val="sk-SK"/>
        </w:rPr>
      </w:pPr>
      <w:r w:rsidRPr="007A69EC">
        <w:rPr>
          <w:b/>
          <w:lang w:val="sk-SK"/>
        </w:rPr>
        <w:t>Místní daně</w:t>
      </w:r>
      <w:r>
        <w:rPr>
          <w:lang w:val="sk-SK"/>
        </w:rPr>
        <w:t xml:space="preserve"> představují speciální skupinu občanů z toho důvodu, že je určují obce, ale hlavně to, že příjmy z těchto daní plynů přímo do rozpočtů měst a obcí. Jediná výjimka se týká daně z motorových vozidel, protože příjem z této daně plyne do výšších územněsprávních celků. Místní daně jsou upravovany zákonem č. 582/2004 Z.z.. Mezi místní daně patří:</w:t>
      </w:r>
    </w:p>
    <w:p w:rsidR="007A69EC" w:rsidRDefault="007A69EC" w:rsidP="004653DA">
      <w:pPr>
        <w:pStyle w:val="Normlnweb"/>
        <w:numPr>
          <w:ilvl w:val="0"/>
          <w:numId w:val="12"/>
        </w:numPr>
        <w:jc w:val="both"/>
        <w:rPr>
          <w:lang w:val="sk-SK"/>
        </w:rPr>
      </w:pPr>
      <w:r>
        <w:rPr>
          <w:lang w:val="sk-SK"/>
        </w:rPr>
        <w:t>Daň z nemovitostí</w:t>
      </w:r>
    </w:p>
    <w:p w:rsidR="007A69EC" w:rsidRDefault="007A69EC" w:rsidP="004653DA">
      <w:pPr>
        <w:pStyle w:val="Normlnweb"/>
        <w:numPr>
          <w:ilvl w:val="0"/>
          <w:numId w:val="12"/>
        </w:numPr>
        <w:jc w:val="both"/>
        <w:rPr>
          <w:lang w:val="sk-SK"/>
        </w:rPr>
      </w:pPr>
      <w:r>
        <w:rPr>
          <w:lang w:val="sk-SK"/>
        </w:rPr>
        <w:t>Daň za psa</w:t>
      </w:r>
    </w:p>
    <w:p w:rsidR="007A69EC" w:rsidRDefault="007A69EC" w:rsidP="004653DA">
      <w:pPr>
        <w:pStyle w:val="Normlnweb"/>
        <w:numPr>
          <w:ilvl w:val="0"/>
          <w:numId w:val="12"/>
        </w:numPr>
        <w:jc w:val="both"/>
        <w:rPr>
          <w:lang w:val="sk-SK"/>
        </w:rPr>
      </w:pPr>
      <w:r>
        <w:rPr>
          <w:lang w:val="sk-SK"/>
        </w:rPr>
        <w:t>Daň za uživání veřejného prostranství</w:t>
      </w:r>
    </w:p>
    <w:p w:rsidR="007A69EC" w:rsidRDefault="007A69EC" w:rsidP="004653DA">
      <w:pPr>
        <w:pStyle w:val="Normlnweb"/>
        <w:numPr>
          <w:ilvl w:val="0"/>
          <w:numId w:val="12"/>
        </w:numPr>
        <w:jc w:val="both"/>
        <w:rPr>
          <w:lang w:val="sk-SK"/>
        </w:rPr>
      </w:pPr>
      <w:r>
        <w:rPr>
          <w:lang w:val="sk-SK"/>
        </w:rPr>
        <w:t>Daň z ubytování</w:t>
      </w:r>
    </w:p>
    <w:p w:rsidR="007A69EC" w:rsidRDefault="007A69EC" w:rsidP="004653DA">
      <w:pPr>
        <w:pStyle w:val="Normlnweb"/>
        <w:numPr>
          <w:ilvl w:val="0"/>
          <w:numId w:val="12"/>
        </w:numPr>
        <w:jc w:val="both"/>
        <w:rPr>
          <w:lang w:val="sk-SK"/>
        </w:rPr>
      </w:pPr>
      <w:r>
        <w:rPr>
          <w:lang w:val="sk-SK"/>
        </w:rPr>
        <w:t>Daň z výherných automatů</w:t>
      </w:r>
    </w:p>
    <w:p w:rsidR="007A69EC" w:rsidRDefault="007A69EC" w:rsidP="004653DA">
      <w:pPr>
        <w:pStyle w:val="Normlnweb"/>
        <w:numPr>
          <w:ilvl w:val="0"/>
          <w:numId w:val="12"/>
        </w:numPr>
        <w:jc w:val="both"/>
        <w:rPr>
          <w:lang w:val="sk-SK"/>
        </w:rPr>
      </w:pPr>
      <w:r>
        <w:rPr>
          <w:lang w:val="sk-SK"/>
        </w:rPr>
        <w:t>Daň za nevýherné hrací automaty</w:t>
      </w:r>
    </w:p>
    <w:p w:rsidR="007A69EC" w:rsidRDefault="007A69EC" w:rsidP="004653DA">
      <w:pPr>
        <w:pStyle w:val="Normlnweb"/>
        <w:numPr>
          <w:ilvl w:val="0"/>
          <w:numId w:val="12"/>
        </w:numPr>
        <w:jc w:val="both"/>
        <w:rPr>
          <w:lang w:val="sk-SK"/>
        </w:rPr>
      </w:pPr>
      <w:r>
        <w:rPr>
          <w:lang w:val="sk-SK"/>
        </w:rPr>
        <w:t>Daň za vjezd do historické části</w:t>
      </w:r>
    </w:p>
    <w:p w:rsidR="007A69EC" w:rsidRDefault="007A69EC" w:rsidP="004653DA">
      <w:pPr>
        <w:pStyle w:val="Normlnweb"/>
        <w:numPr>
          <w:ilvl w:val="0"/>
          <w:numId w:val="12"/>
        </w:numPr>
        <w:jc w:val="both"/>
        <w:rPr>
          <w:lang w:val="sk-SK"/>
        </w:rPr>
      </w:pPr>
      <w:r>
        <w:rPr>
          <w:lang w:val="sk-SK"/>
        </w:rPr>
        <w:t>Daň z jadrového zařízení</w:t>
      </w:r>
    </w:p>
    <w:p w:rsidR="007A69EC" w:rsidRDefault="007A69EC" w:rsidP="004653DA">
      <w:pPr>
        <w:pStyle w:val="Normlnweb"/>
        <w:numPr>
          <w:ilvl w:val="0"/>
          <w:numId w:val="12"/>
        </w:numPr>
        <w:jc w:val="both"/>
        <w:rPr>
          <w:lang w:val="sk-SK"/>
        </w:rPr>
      </w:pPr>
      <w:r>
        <w:rPr>
          <w:lang w:val="sk-SK"/>
        </w:rPr>
        <w:t>Daň z motorových vozidel</w:t>
      </w:r>
    </w:p>
    <w:p w:rsidR="007A69EC" w:rsidRPr="007A69EC" w:rsidRDefault="007A69EC" w:rsidP="004653DA">
      <w:pPr>
        <w:pStyle w:val="Normlnweb"/>
        <w:numPr>
          <w:ilvl w:val="0"/>
          <w:numId w:val="12"/>
        </w:numPr>
        <w:jc w:val="both"/>
        <w:rPr>
          <w:lang w:val="sk-SK"/>
        </w:rPr>
      </w:pPr>
      <w:r>
        <w:rPr>
          <w:lang w:val="sk-SK"/>
        </w:rPr>
        <w:t>Poplatek za komunální odpad</w:t>
      </w:r>
    </w:p>
    <w:p w:rsidR="006B2D5F" w:rsidRDefault="006B2D5F" w:rsidP="004653DA">
      <w:pPr>
        <w:pStyle w:val="Nadpis3"/>
        <w:jc w:val="both"/>
      </w:pPr>
      <w:bookmarkStart w:id="13" w:name="_Toc307937055"/>
      <w:r>
        <w:lastRenderedPageBreak/>
        <w:t>Nepřímé daně v</w:t>
      </w:r>
      <w:r w:rsidR="00E15F59">
        <w:t> </w:t>
      </w:r>
      <w:r>
        <w:t>S</w:t>
      </w:r>
      <w:r w:rsidR="00E15F59">
        <w:t xml:space="preserve">lovenské </w:t>
      </w:r>
      <w:proofErr w:type="gramStart"/>
      <w:r w:rsidR="00E15F59">
        <w:t>republiky</w:t>
      </w:r>
      <w:bookmarkEnd w:id="13"/>
      <w:proofErr w:type="gramEnd"/>
    </w:p>
    <w:p w:rsidR="00EC6E3D" w:rsidRDefault="00EC6E3D" w:rsidP="004653DA">
      <w:r>
        <w:t xml:space="preserve">Stejně jako v České republice se jená o daně ze </w:t>
      </w:r>
      <w:r w:rsidR="0069040E">
        <w:t xml:space="preserve">spotřeby. </w:t>
      </w:r>
      <w:r>
        <w:t xml:space="preserve">Předmětem daně je spotřeba, která se zdaňuje nepřímo. Nepřímé daně v daňové soustavě Slovenské republice dělín na daně z přidané hodnoty a spotřebné daně. </w:t>
      </w:r>
    </w:p>
    <w:p w:rsidR="00EC6E3D" w:rsidRDefault="00EC6E3D" w:rsidP="004653DA">
      <w:r w:rsidRPr="00816494">
        <w:rPr>
          <w:b/>
        </w:rPr>
        <w:t>Daň z přidané hodnoty</w:t>
      </w:r>
      <w:r>
        <w:t xml:space="preserve">, dálen jen DPH, je stanovena zákonem </w:t>
      </w:r>
      <w:proofErr w:type="gramStart"/>
      <w:r>
        <w:t>222/2004 Z.z..</w:t>
      </w:r>
      <w:proofErr w:type="gramEnd"/>
      <w:r>
        <w:t xml:space="preserve"> Podrobnější popis této daně je obsahem </w:t>
      </w:r>
      <w:proofErr w:type="gramStart"/>
      <w:r>
        <w:t xml:space="preserve">kapitoly </w:t>
      </w:r>
      <w:hyperlink w:anchor="_DPH_v_SR" w:history="1">
        <w:r w:rsidR="00952110" w:rsidRPr="00952110">
          <w:rPr>
            <w:rStyle w:val="Hypertextovodkaz"/>
          </w:rPr>
          <w:t>2.7.2</w:t>
        </w:r>
        <w:proofErr w:type="gramEnd"/>
        <w:r w:rsidR="00952110" w:rsidRPr="00952110">
          <w:rPr>
            <w:rStyle w:val="Hypertextovodkaz"/>
          </w:rPr>
          <w:t>.</w:t>
        </w:r>
      </w:hyperlink>
      <w:r w:rsidR="00952110">
        <w:t xml:space="preserve"> </w:t>
      </w:r>
    </w:p>
    <w:p w:rsidR="0069040E" w:rsidRDefault="00EC6E3D" w:rsidP="004653DA">
      <w:r w:rsidRPr="00816494">
        <w:rPr>
          <w:b/>
        </w:rPr>
        <w:t>Spotřební da</w:t>
      </w:r>
      <w:r w:rsidR="002412EC" w:rsidRPr="00816494">
        <w:rPr>
          <w:b/>
        </w:rPr>
        <w:t>ň</w:t>
      </w:r>
      <w:r w:rsidR="002412EC">
        <w:t xml:space="preserve"> je definována zákonem č. </w:t>
      </w:r>
      <w:proofErr w:type="gramStart"/>
      <w:r w:rsidR="002412EC">
        <w:t>98/2004 Z.z. o spotřební</w:t>
      </w:r>
      <w:proofErr w:type="gramEnd"/>
      <w:r w:rsidR="002412EC">
        <w:t xml:space="preserve"> dani z minerálního oleje, zákonem č. 104/2004 Z.z. o spotřební dani z vína, zákonem č. 105/2004 Z.z. o spotřební dani z lihu, zákonem č. 106/2004 Z.z. o spotřebné dani z tabákových výrobků, a zákonem č. 107/2004 Z.z. o spotřebné dani z piva. Každý z těchto zákonů popisuje jeden typ spotřební daně.  V podrobnějším členění se spotřební daně člení </w:t>
      </w:r>
      <w:proofErr w:type="gramStart"/>
      <w:r w:rsidR="002412EC">
        <w:t>na</w:t>
      </w:r>
      <w:proofErr w:type="gramEnd"/>
      <w:r w:rsidR="002412EC">
        <w:t>:</w:t>
      </w:r>
    </w:p>
    <w:p w:rsidR="002412EC" w:rsidRDefault="002412EC" w:rsidP="004653DA">
      <w:pPr>
        <w:pStyle w:val="Odstavecseseznamem"/>
        <w:numPr>
          <w:ilvl w:val="0"/>
          <w:numId w:val="12"/>
        </w:numPr>
      </w:pPr>
      <w:r>
        <w:t>Spotřební daň z minerálního oleje</w:t>
      </w:r>
    </w:p>
    <w:p w:rsidR="00AF5FD8" w:rsidRDefault="007A69EC" w:rsidP="004653DA">
      <w:pPr>
        <w:pStyle w:val="Odstavecseseznamem"/>
        <w:numPr>
          <w:ilvl w:val="0"/>
          <w:numId w:val="12"/>
        </w:numPr>
      </w:pPr>
      <w:r>
        <w:t>Spotřební daň z</w:t>
      </w:r>
      <w:r w:rsidR="00AF5FD8">
        <w:t> </w:t>
      </w:r>
      <w:r w:rsidR="002412EC">
        <w:t>lihu</w:t>
      </w:r>
    </w:p>
    <w:p w:rsidR="00AF5FD8" w:rsidRDefault="00AF5FD8" w:rsidP="004653DA">
      <w:pPr>
        <w:pStyle w:val="Odstavecseseznamem"/>
        <w:numPr>
          <w:ilvl w:val="0"/>
          <w:numId w:val="12"/>
        </w:numPr>
      </w:pPr>
      <w:r>
        <w:t>Spotřební daň z vína</w:t>
      </w:r>
    </w:p>
    <w:p w:rsidR="002412EC" w:rsidRDefault="00AF5FD8" w:rsidP="004653DA">
      <w:pPr>
        <w:pStyle w:val="Odstavecseseznamem"/>
        <w:numPr>
          <w:ilvl w:val="0"/>
          <w:numId w:val="12"/>
        </w:numPr>
      </w:pPr>
      <w:r>
        <w:t xml:space="preserve">Spotřební daň z </w:t>
      </w:r>
      <w:r w:rsidR="007A69EC">
        <w:t>piva</w:t>
      </w:r>
    </w:p>
    <w:p w:rsidR="00AF5FD8" w:rsidRDefault="00AF5FD8" w:rsidP="004653DA">
      <w:pPr>
        <w:pStyle w:val="Odstavecseseznamem"/>
        <w:numPr>
          <w:ilvl w:val="0"/>
          <w:numId w:val="12"/>
        </w:numPr>
      </w:pPr>
      <w:r>
        <w:t>Spot</w:t>
      </w:r>
      <w:r w:rsidR="002412EC">
        <w:t>řební daň z tabákových výrobků</w:t>
      </w:r>
    </w:p>
    <w:p w:rsidR="00AF5FD8" w:rsidRDefault="00CB35E1" w:rsidP="004653DA">
      <w:r>
        <w:rPr>
          <w:noProof/>
        </w:rPr>
        <w:lastRenderedPageBreak/>
        <w:drawing>
          <wp:inline distT="0" distB="0" distL="0" distR="0" wp14:anchorId="5AE670EE" wp14:editId="55874156">
            <wp:extent cx="4019550" cy="532273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9550" cy="5322730"/>
                    </a:xfrm>
                    <a:prstGeom prst="rect">
                      <a:avLst/>
                    </a:prstGeom>
                    <a:noFill/>
                    <a:ln>
                      <a:noFill/>
                    </a:ln>
                  </pic:spPr>
                </pic:pic>
              </a:graphicData>
            </a:graphic>
          </wp:inline>
        </w:drawing>
      </w:r>
    </w:p>
    <w:p w:rsidR="00AF5FD8" w:rsidRPr="00AF5FD8" w:rsidRDefault="00E15F59" w:rsidP="004653DA">
      <w:pPr>
        <w:rPr>
          <w:sz w:val="20"/>
        </w:rPr>
      </w:pPr>
      <w:r>
        <w:rPr>
          <w:sz w:val="20"/>
        </w:rPr>
        <w:t>Obrázek 2: Daňová soustava Slovenska</w:t>
      </w:r>
    </w:p>
    <w:p w:rsidR="00AF5FD8" w:rsidRPr="00AF5FD8" w:rsidRDefault="00AF5FD8" w:rsidP="004653DA">
      <w:pPr>
        <w:rPr>
          <w:sz w:val="20"/>
        </w:rPr>
      </w:pPr>
      <w:r w:rsidRPr="00AF5FD8">
        <w:rPr>
          <w:sz w:val="20"/>
        </w:rPr>
        <w:t>Zdroj: Autor</w:t>
      </w:r>
    </w:p>
    <w:p w:rsidR="00F94198" w:rsidRDefault="00AB1650" w:rsidP="004653DA">
      <w:r>
        <w:t xml:space="preserve">Po obsahové stránce se daňové soustavy obou krajín se mezi sebou odlišují hlavně v přímých daních, konkrétně </w:t>
      </w:r>
      <w:r w:rsidR="005349B4">
        <w:t>majetkové</w:t>
      </w:r>
      <w:r>
        <w:t xml:space="preserve"> a místní daně. Účelem místních daní na Slovensku</w:t>
      </w:r>
      <w:r w:rsidR="005349B4">
        <w:t>,</w:t>
      </w:r>
      <w:r>
        <w:t xml:space="preserve"> je zabezpečit naplnění rozpočtů míst a obcí, </w:t>
      </w:r>
      <w:proofErr w:type="gramStart"/>
      <w:r>
        <w:t>tzn.</w:t>
      </w:r>
      <w:proofErr w:type="gramEnd"/>
      <w:r>
        <w:t xml:space="preserve"> příjem z výběru všech těchto daní </w:t>
      </w:r>
      <w:proofErr w:type="gramStart"/>
      <w:r>
        <w:t>tvoří</w:t>
      </w:r>
      <w:proofErr w:type="gramEnd"/>
      <w:r>
        <w:t xml:space="preserve"> příjmovou stranu místních rozpočtů. Majektové daně v ČR neslouží k naplňování příjmů pro obce a kraje. </w:t>
      </w:r>
      <w:r w:rsidR="00F94198">
        <w:t>Jediná takto účelová daň je daň z nemovitostí. Všechny ostatné majektové daně tvoří příjem veřejného rozpočtu.</w:t>
      </w:r>
    </w:p>
    <w:p w:rsidR="005B4629" w:rsidRDefault="004A025A" w:rsidP="004653DA">
      <w:pPr>
        <w:pStyle w:val="Nadpis2"/>
        <w:jc w:val="both"/>
      </w:pPr>
      <w:bookmarkStart w:id="14" w:name="_Toc307937056"/>
      <w:r>
        <w:lastRenderedPageBreak/>
        <w:t>Daň</w:t>
      </w:r>
      <w:r w:rsidR="005349B4">
        <w:t xml:space="preserve"> z přidané hodnoty</w:t>
      </w:r>
      <w:bookmarkEnd w:id="14"/>
      <w:r w:rsidR="005349B4">
        <w:t xml:space="preserve"> </w:t>
      </w:r>
    </w:p>
    <w:p w:rsidR="005E205A" w:rsidRDefault="00CB699C" w:rsidP="004653DA">
      <w:r>
        <w:t>Daň z přídané hodnoty (dále jen „</w:t>
      </w:r>
      <w:r w:rsidR="004A025A">
        <w:t>DPH</w:t>
      </w:r>
      <w:r>
        <w:t>“)</w:t>
      </w:r>
      <w:r w:rsidR="004A025A">
        <w:t xml:space="preserve"> patří mezi největší zmeny ve spotřebním zdanění.</w:t>
      </w:r>
      <w:r w:rsidR="00B53D50">
        <w:t xml:space="preserve"> V postkomunistických krajinách, mezi které patří jak Česká tak i Slovenská republika, byla daň zaváděná v 90. letech 20 století.</w:t>
      </w:r>
      <w:r w:rsidR="006B3B97">
        <w:t xml:space="preserve"> Dani z přidané hodnoty předcházela daň z obratu.</w:t>
      </w:r>
      <w:r w:rsidR="00B53D50">
        <w:t xml:space="preserve"> Tento typ daně byla Evropskou komisí stanovena jako nutná pomínka pro členství v EU. </w:t>
      </w:r>
      <w:r w:rsidR="004A025A">
        <w:t>Spotřební zdanění je jedním z nejvýznamnějších zdrojů pro veřejné rozpočty. V roce 2008 dosahoval podíl spotřebních d</w:t>
      </w:r>
      <w:r w:rsidR="00E15F59">
        <w:t>aní na HDP 11,5%  v ČR a 10,5% na Slovensku</w:t>
      </w:r>
      <w:r w:rsidR="00B53D50">
        <w:t xml:space="preserve"> a podíl na celkových výdajích činil 31,9% v ČR a 36,6% </w:t>
      </w:r>
      <w:r w:rsidR="00E15F59">
        <w:t>na Slovensku</w:t>
      </w:r>
      <w:r w:rsidR="00B53D50">
        <w:t>.</w:t>
      </w:r>
    </w:p>
    <w:p w:rsidR="00B53D50" w:rsidRDefault="00B53D50" w:rsidP="004653DA">
      <w:pPr>
        <w:pStyle w:val="Nadpis3"/>
        <w:jc w:val="both"/>
      </w:pPr>
      <w:bookmarkStart w:id="15" w:name="_DPH_v_ČR"/>
      <w:bookmarkStart w:id="16" w:name="_Toc307937057"/>
      <w:bookmarkEnd w:id="15"/>
      <w:r>
        <w:t>DPH v</w:t>
      </w:r>
      <w:r w:rsidR="00CB699C">
        <w:t> </w:t>
      </w:r>
      <w:r>
        <w:t>ČR</w:t>
      </w:r>
      <w:bookmarkEnd w:id="16"/>
    </w:p>
    <w:p w:rsidR="00CB699C" w:rsidRDefault="009C3AE1" w:rsidP="004653DA">
      <w:r>
        <w:t>Vzniku DPH přecházela daň z obratu, kterou</w:t>
      </w:r>
      <w:r w:rsidR="00952110">
        <w:t xml:space="preserve"> upravoval zákon č. 73/1992 </w:t>
      </w:r>
      <w:proofErr w:type="gramStart"/>
      <w:r w:rsidR="00952110">
        <w:t>Sb..</w:t>
      </w:r>
      <w:proofErr w:type="gramEnd"/>
      <w:r w:rsidR="00952110">
        <w:t xml:space="preserve"> Tato daň byl platná</w:t>
      </w:r>
      <w:r>
        <w:t xml:space="preserve"> na území Česko-slovenska do </w:t>
      </w:r>
      <w:proofErr w:type="gramStart"/>
      <w:r>
        <w:t>31.12.1992</w:t>
      </w:r>
      <w:proofErr w:type="gramEnd"/>
      <w:r>
        <w:t xml:space="preserve">. </w:t>
      </w:r>
      <w:r w:rsidR="00952110">
        <w:t xml:space="preserve">Zákon o DPH vznikl </w:t>
      </w:r>
      <w:r w:rsidR="008B3D2B">
        <w:t>jako součást</w:t>
      </w:r>
      <w:r w:rsidR="00952110">
        <w:t xml:space="preserve"> nové daňové soustavy</w:t>
      </w:r>
      <w:r w:rsidR="008B3D2B">
        <w:t xml:space="preserve"> ČR</w:t>
      </w:r>
      <w:r w:rsidR="00952110">
        <w:t xml:space="preserve"> k </w:t>
      </w:r>
      <w:proofErr w:type="gramStart"/>
      <w:r w:rsidR="00952110">
        <w:t>1.1.1993</w:t>
      </w:r>
      <w:proofErr w:type="gramEnd"/>
      <w:r w:rsidR="00952110">
        <w:t xml:space="preserve">. </w:t>
      </w:r>
      <w:r w:rsidR="00AE2777">
        <w:t>V současnosti je D</w:t>
      </w:r>
      <w:r w:rsidR="008B3D2B">
        <w:t>PH</w:t>
      </w:r>
      <w:r w:rsidR="00AE2777">
        <w:t xml:space="preserve"> upravno zákonem č. 235/2004 </w:t>
      </w:r>
      <w:proofErr w:type="gramStart"/>
      <w:r w:rsidR="00AE2777">
        <w:t>Sb..</w:t>
      </w:r>
      <w:proofErr w:type="gramEnd"/>
      <w:r w:rsidR="00952110">
        <w:t xml:space="preserve"> Historický vývoj DPH včetně komentáře je součástí analytické části práce.</w:t>
      </w:r>
    </w:p>
    <w:p w:rsidR="00952110" w:rsidRPr="00ED1DF7" w:rsidRDefault="00952110" w:rsidP="004653DA">
      <w:pPr>
        <w:rPr>
          <w:b/>
          <w:i/>
        </w:rPr>
      </w:pPr>
      <w:r w:rsidRPr="00ED1DF7">
        <w:rPr>
          <w:b/>
          <w:i/>
        </w:rPr>
        <w:t>Předmětem daně je dle tohoto zákona:</w:t>
      </w:r>
      <w:r w:rsidR="00086127" w:rsidRPr="00ED1DF7">
        <w:rPr>
          <w:b/>
          <w:i/>
        </w:rPr>
        <w:t xml:space="preserve"> </w:t>
      </w:r>
      <w:r w:rsidR="00086127" w:rsidRPr="00ED1DF7">
        <w:rPr>
          <w:rStyle w:val="Znakapoznpodarou"/>
          <w:b/>
          <w:i/>
        </w:rPr>
        <w:footnoteReference w:id="11"/>
      </w:r>
    </w:p>
    <w:p w:rsidR="00086127" w:rsidRPr="00086127" w:rsidRDefault="00086127" w:rsidP="004653DA">
      <w:pPr>
        <w:pStyle w:val="Odstavecseseznamem"/>
        <w:numPr>
          <w:ilvl w:val="0"/>
          <w:numId w:val="12"/>
        </w:numPr>
      </w:pPr>
      <w:r w:rsidRPr="00086127">
        <w:t>Do</w:t>
      </w:r>
      <w:r>
        <w:t>dání zboží nebo služby, a</w:t>
      </w:r>
      <w:r w:rsidRPr="00086127">
        <w:t>nebo přechod nemovitosti v dražbě za úplatu osobou poivnnou k dani v rámci uskutečňování ekonomické činnosti s místem plnění v tuzemsku.</w:t>
      </w:r>
      <w:r w:rsidRPr="00086127">
        <w:rPr>
          <w:rStyle w:val="Odkaznavysvtlivky"/>
        </w:rPr>
        <w:endnoteReference w:id="1"/>
      </w:r>
      <w:r w:rsidR="008B3D2B">
        <w:t xml:space="preserve"> </w:t>
      </w:r>
      <w:r w:rsidR="00952110" w:rsidRPr="00086127">
        <w:t>Dodání zboží nebo poskytnutí služby za proti</w:t>
      </w:r>
      <w:r w:rsidR="008B3D2B">
        <w:t>hodnotu v tuzemsku.</w:t>
      </w:r>
    </w:p>
    <w:p w:rsidR="00086127" w:rsidRPr="00086127" w:rsidRDefault="00086127" w:rsidP="004653DA">
      <w:pPr>
        <w:pStyle w:val="Odstavecseseznamem"/>
        <w:numPr>
          <w:ilvl w:val="0"/>
          <w:numId w:val="12"/>
        </w:numPr>
      </w:pPr>
      <w:r w:rsidRPr="00086127">
        <w:t xml:space="preserve">Pořízení zboží z jiného členského státu EU za úplatu, uskutečněné v tuzemsku osobou povinnou k dani v rámci uskutečňování ekonomické činnosti, nebo právnickou soobou, která nebyl založena nebo zřízena za účelem podnikání a pořízení nového dopravního prostředku z jiného členského státu za uplatu osobou nepovinnou k dani. </w:t>
      </w:r>
    </w:p>
    <w:p w:rsidR="00952110" w:rsidRPr="00086127" w:rsidRDefault="00952110" w:rsidP="004653DA">
      <w:pPr>
        <w:pStyle w:val="Odstavecseseznamem"/>
        <w:numPr>
          <w:ilvl w:val="0"/>
          <w:numId w:val="12"/>
        </w:numPr>
      </w:pPr>
      <w:r w:rsidRPr="00086127">
        <w:t>Dovoz zboží</w:t>
      </w:r>
      <w:r w:rsidR="00086127" w:rsidRPr="00086127">
        <w:t xml:space="preserve"> s místem plnění v tuzem</w:t>
      </w:r>
      <w:r w:rsidR="00086127">
        <w:t>s</w:t>
      </w:r>
      <w:r w:rsidR="00086127" w:rsidRPr="00086127">
        <w:t>ku</w:t>
      </w:r>
    </w:p>
    <w:p w:rsidR="008B3D2B" w:rsidRPr="00ED1DF7" w:rsidRDefault="00ED1DF7" w:rsidP="004653DA">
      <w:pPr>
        <w:ind w:left="360"/>
        <w:rPr>
          <w:b/>
          <w:i/>
        </w:rPr>
      </w:pPr>
      <w:r w:rsidRPr="00ED1DF7">
        <w:rPr>
          <w:b/>
          <w:i/>
        </w:rPr>
        <w:t xml:space="preserve">Předmětem daně </w:t>
      </w:r>
      <w:r w:rsidR="00086127" w:rsidRPr="00ED1DF7">
        <w:rPr>
          <w:b/>
          <w:i/>
        </w:rPr>
        <w:t>není</w:t>
      </w:r>
      <w:r w:rsidR="008B3D2B" w:rsidRPr="00ED1DF7">
        <w:rPr>
          <w:b/>
          <w:i/>
        </w:rPr>
        <w:t>:</w:t>
      </w:r>
      <w:r w:rsidR="008729EB">
        <w:rPr>
          <w:rStyle w:val="Znakapoznpodarou"/>
          <w:b/>
          <w:i/>
        </w:rPr>
        <w:footnoteReference w:id="12"/>
      </w:r>
    </w:p>
    <w:p w:rsidR="00086127" w:rsidRPr="00086127" w:rsidRDefault="00086127" w:rsidP="004653DA">
      <w:pPr>
        <w:pStyle w:val="Odstavecseseznamem"/>
        <w:numPr>
          <w:ilvl w:val="0"/>
          <w:numId w:val="12"/>
        </w:numPr>
      </w:pPr>
      <w:r w:rsidRPr="00086127">
        <w:lastRenderedPageBreak/>
        <w:t xml:space="preserve">pořízení zboží z jiného členského státu, s výjimkou pořízení nového dopravního prostředku nebo zboží, které je předmětem spotřební daně, jestliže dodání tohoto zboží v tuzemsku by bylo osvobozeno od dani podle </w:t>
      </w:r>
      <w:hyperlink r:id="rId19" w:tooltip="235/2004 Sb. §68" w:history="1">
        <w:r w:rsidRPr="00086127">
          <w:t>§68</w:t>
        </w:r>
      </w:hyperlink>
      <w:r w:rsidRPr="00086127">
        <w:t xml:space="preserve"> odst. 1 až 10,</w:t>
      </w:r>
    </w:p>
    <w:p w:rsidR="00086127" w:rsidRPr="00086127" w:rsidRDefault="00086127" w:rsidP="004653DA">
      <w:pPr>
        <w:pStyle w:val="Odstavecseseznamem"/>
        <w:numPr>
          <w:ilvl w:val="0"/>
          <w:numId w:val="12"/>
        </w:numPr>
      </w:pPr>
      <w:r w:rsidRPr="00086127">
        <w:t xml:space="preserve">pokud je pořízení zboží uskutečněno osobou osvobozenou od uplatňování daně podle </w:t>
      </w:r>
      <w:hyperlink r:id="rId20" w:anchor="A6" w:tooltip="235/2004 Sb. §6" w:history="1">
        <w:r w:rsidRPr="00086127">
          <w:t>§6</w:t>
        </w:r>
      </w:hyperlink>
      <w:r w:rsidRPr="00086127">
        <w:t xml:space="preserve"> nebo právnickou osobou, která nebyla založena nebo zřízena za účelem podnikání a která není plátcem nebo osobou identifikovanou k dani, nejedná se o pořízení zboží podle písmene a), a celková hodnota pořízeného zboží bez daně nepřekročila v běžném kalendářním roce částku 326 000 Kč a tato částka nebyla ani překročena v předcházejícím kalendářním roce; do stanovené částky se nezapočítává hodnota nového dopravního prostředku a hodnota zboží, které je předmětem spotřební daně, při pořízení z jiného členského státu, nebo</w:t>
      </w:r>
    </w:p>
    <w:p w:rsidR="00086127" w:rsidRPr="00086127" w:rsidRDefault="00086127" w:rsidP="004653DA">
      <w:pPr>
        <w:pStyle w:val="Odstavecseseznamem"/>
        <w:numPr>
          <w:ilvl w:val="0"/>
          <w:numId w:val="12"/>
        </w:numPr>
      </w:pPr>
      <w:r w:rsidRPr="00086127">
        <w:t xml:space="preserve">jestliže se jedná o pořízení použitého zboží, uměleckého díla, sběratelského předmětu nebo starožitnosti při dodání obchodníkem z jiného členského státu, pokud je dodání tohoto zboží předmětem daně s použitím zvláštního režimu v členském státě zahájení odeslání nebo přepravy tohoto zboží, obdobně jako v </w:t>
      </w:r>
      <w:hyperlink r:id="rId21" w:tooltip="235/2004 Sb. §90" w:history="1">
        <w:r w:rsidRPr="00086127">
          <w:t>§90</w:t>
        </w:r>
      </w:hyperlink>
      <w:r w:rsidRPr="00086127">
        <w:t>.</w:t>
      </w:r>
    </w:p>
    <w:p w:rsidR="00952110" w:rsidRPr="00AE058A" w:rsidRDefault="00AE058A" w:rsidP="004653DA">
      <w:pPr>
        <w:rPr>
          <w:b/>
          <w:i/>
        </w:rPr>
      </w:pPr>
      <w:r>
        <w:rPr>
          <w:b/>
          <w:i/>
        </w:rPr>
        <w:t>Subjekt daně</w:t>
      </w:r>
      <w:r w:rsidR="00952110" w:rsidRPr="00AE058A">
        <w:rPr>
          <w:b/>
          <w:i/>
        </w:rPr>
        <w:t>:</w:t>
      </w:r>
      <w:r>
        <w:rPr>
          <w:rStyle w:val="Znakapoznpodarou"/>
          <w:b/>
          <w:i/>
        </w:rPr>
        <w:footnoteReference w:id="13"/>
      </w:r>
    </w:p>
    <w:p w:rsidR="008B3D2B" w:rsidRPr="008B3D2B" w:rsidRDefault="008B3D2B" w:rsidP="004653DA">
      <w:pPr>
        <w:pStyle w:val="Odstavecseseznamem"/>
        <w:numPr>
          <w:ilvl w:val="0"/>
          <w:numId w:val="12"/>
        </w:numPr>
      </w:pPr>
      <w:r w:rsidRPr="008B3D2B">
        <w:t xml:space="preserve"> Osoba fyzická nebo právnická osoba, která samostatně uskutečňuje ekonomické činnosti, pokud tento zákon nestanoví </w:t>
      </w:r>
      <w:r>
        <w:t>jinak.</w:t>
      </w:r>
      <w:r w:rsidR="00A438B6">
        <w:t xml:space="preserve"> </w:t>
      </w:r>
      <w:r w:rsidRPr="008B3D2B">
        <w:t>Osobou povinnou k dani je i právnická osoba, která nebyla založena nebo zřízena za účelem podnikání, pokud uskutečňuje ekonomické činnosti.</w:t>
      </w:r>
      <w:r>
        <w:rPr>
          <w:rStyle w:val="Odkaznavysvtlivky"/>
        </w:rPr>
        <w:endnoteReference w:id="2"/>
      </w:r>
    </w:p>
    <w:p w:rsidR="00A438B6" w:rsidRDefault="008B3D2B" w:rsidP="004653DA">
      <w:pPr>
        <w:pStyle w:val="Odstavecseseznamem"/>
        <w:numPr>
          <w:ilvl w:val="0"/>
          <w:numId w:val="12"/>
        </w:numPr>
      </w:pPr>
      <w:r w:rsidRPr="008B3D2B">
        <w:t>Stát, kraje, obce, organizační složky státu, krajů a obcí, dobrovolné svazky obcí, hlavní město Praha a jeho městské části a právnické osoby založené nebo zřízené zvláštním právním předpisem</w:t>
      </w:r>
      <w:r w:rsidR="00A438B6">
        <w:t>.</w:t>
      </w:r>
    </w:p>
    <w:p w:rsidR="00952110" w:rsidRPr="00ED1DF7" w:rsidRDefault="00A438B6" w:rsidP="004653DA">
      <w:r w:rsidRPr="00AE058A">
        <w:rPr>
          <w:b/>
          <w:i/>
        </w:rPr>
        <w:t>Registrační povinnost</w:t>
      </w:r>
      <w:r w:rsidRPr="00ED1DF7">
        <w:t xml:space="preserve"> je definována zákonem. Zákon definuje povinnou a dobrovolnou registrační povinnost. Povinná registrace DPH vzniká:</w:t>
      </w:r>
    </w:p>
    <w:p w:rsidR="00A438B6" w:rsidRPr="00ED1DF7" w:rsidRDefault="00FA0BF7" w:rsidP="004653DA">
      <w:pPr>
        <w:pStyle w:val="Odstavecseseznamem"/>
        <w:numPr>
          <w:ilvl w:val="0"/>
          <w:numId w:val="12"/>
        </w:numPr>
      </w:pPr>
      <w:hyperlink r:id="rId22" w:history="1">
        <w:r w:rsidR="00A438B6" w:rsidRPr="00ED1DF7">
          <w:t>překročením obratu 1 milion Kč</w:t>
        </w:r>
      </w:hyperlink>
      <w:r w:rsidR="00A438B6" w:rsidRPr="00ED1DF7">
        <w:t xml:space="preserve"> za předchozích 12 kalendářních měsíců</w:t>
      </w:r>
    </w:p>
    <w:p w:rsidR="00A438B6" w:rsidRPr="00ED1DF7" w:rsidRDefault="00ED1DF7" w:rsidP="004653DA">
      <w:pPr>
        <w:pStyle w:val="Odstavecseseznamem"/>
        <w:numPr>
          <w:ilvl w:val="0"/>
          <w:numId w:val="12"/>
        </w:numPr>
      </w:pPr>
      <w:r w:rsidRPr="00ED1DF7">
        <w:lastRenderedPageBreak/>
        <w:t xml:space="preserve">Pokud je subjekt daně členem </w:t>
      </w:r>
      <w:r w:rsidR="00A438B6" w:rsidRPr="00ED1DF7">
        <w:t xml:space="preserve">sdružení, </w:t>
      </w:r>
      <w:r w:rsidRPr="00ED1DF7">
        <w:t xml:space="preserve">ve kterém je </w:t>
      </w:r>
      <w:r w:rsidR="00A438B6" w:rsidRPr="00ED1DF7">
        <w:t>někdo plátcem DPH</w:t>
      </w:r>
    </w:p>
    <w:p w:rsidR="00ED1DF7" w:rsidRPr="00ED1DF7" w:rsidRDefault="00ED1DF7" w:rsidP="004653DA">
      <w:pPr>
        <w:pStyle w:val="Odstavecseseznamem"/>
        <w:numPr>
          <w:ilvl w:val="0"/>
          <w:numId w:val="12"/>
        </w:numPr>
      </w:pPr>
      <w:r w:rsidRPr="00ED1DF7">
        <w:t>Nabytím majetku privatizací či prodejem podniku</w:t>
      </w:r>
    </w:p>
    <w:p w:rsidR="00A438B6" w:rsidRPr="00ED1DF7" w:rsidRDefault="00ED1DF7" w:rsidP="004653DA">
      <w:pPr>
        <w:pStyle w:val="Odstavecseseznamem"/>
        <w:numPr>
          <w:ilvl w:val="0"/>
          <w:numId w:val="12"/>
        </w:numPr>
      </w:pPr>
      <w:r w:rsidRPr="00ED1DF7">
        <w:t>Převezmeme činnost</w:t>
      </w:r>
      <w:r w:rsidR="00A438B6" w:rsidRPr="00ED1DF7">
        <w:t xml:space="preserve"> po zemřelém plátci</w:t>
      </w:r>
      <w:r w:rsidRPr="00ED1DF7">
        <w:t xml:space="preserve"> DPH</w:t>
      </w:r>
    </w:p>
    <w:p w:rsidR="00A438B6" w:rsidRPr="00ED1DF7" w:rsidRDefault="00ED1DF7" w:rsidP="004653DA">
      <w:pPr>
        <w:pStyle w:val="Odstavecseseznamem"/>
        <w:numPr>
          <w:ilvl w:val="0"/>
          <w:numId w:val="12"/>
        </w:numPr>
      </w:pPr>
      <w:r w:rsidRPr="00ED1DF7">
        <w:t>N</w:t>
      </w:r>
      <w:r w:rsidR="00A438B6" w:rsidRPr="00ED1DF7">
        <w:t>ákupem zboží v</w:t>
      </w:r>
      <w:r>
        <w:t> </w:t>
      </w:r>
      <w:r w:rsidR="00A438B6" w:rsidRPr="00ED1DF7">
        <w:t>EU</w:t>
      </w:r>
      <w:r>
        <w:t xml:space="preserve"> (týká se nakupu zboží nad 326TCZK, automobilu, nebo zboží se spotřební daní)</w:t>
      </w:r>
    </w:p>
    <w:p w:rsidR="00A438B6" w:rsidRPr="00ED1DF7" w:rsidRDefault="00FA0BF7" w:rsidP="004653DA">
      <w:pPr>
        <w:pStyle w:val="Odstavecseseznamem"/>
        <w:numPr>
          <w:ilvl w:val="0"/>
          <w:numId w:val="12"/>
        </w:numPr>
      </w:pPr>
      <w:hyperlink r:id="rId23" w:history="1">
        <w:r w:rsidR="00ED1DF7" w:rsidRPr="00ED1DF7">
          <w:t>P</w:t>
        </w:r>
        <w:r w:rsidR="00A438B6" w:rsidRPr="00ED1DF7">
          <w:t>řijetím služby od zahraniční osoby</w:t>
        </w:r>
      </w:hyperlink>
    </w:p>
    <w:p w:rsidR="00952110" w:rsidRPr="00ED1DF7" w:rsidRDefault="00FA0BF7" w:rsidP="004653DA">
      <w:pPr>
        <w:pStyle w:val="Odstavecseseznamem"/>
        <w:numPr>
          <w:ilvl w:val="0"/>
          <w:numId w:val="12"/>
        </w:numPr>
      </w:pPr>
      <w:hyperlink r:id="rId24" w:history="1">
        <w:r w:rsidR="00ED1DF7" w:rsidRPr="00ED1DF7">
          <w:t>P</w:t>
        </w:r>
        <w:r w:rsidR="00A438B6" w:rsidRPr="00ED1DF7">
          <w:t>oskytnutím některých služeb plátci z jiného státu EU</w:t>
        </w:r>
      </w:hyperlink>
    </w:p>
    <w:p w:rsidR="00ED1DF7" w:rsidRDefault="00ED1DF7" w:rsidP="004653DA">
      <w:pPr>
        <w:pStyle w:val="Normlnweb"/>
        <w:jc w:val="both"/>
      </w:pPr>
      <w:r w:rsidRPr="00ED1DF7">
        <w:t>Dobrovolná registrace DPH:</w:t>
      </w:r>
      <w:r>
        <w:t xml:space="preserve"> Je výhodná pro ty podnikatelské subjekty, které prodávají zboží, nebo poskytují služby subjektům, kterí jsou plátci DPH (uvažuje se o převažujícím objemu zákazníků, kterí jsou plátci DPH)</w:t>
      </w:r>
    </w:p>
    <w:p w:rsidR="00952110" w:rsidRPr="00AE058A" w:rsidRDefault="00952110" w:rsidP="004653DA">
      <w:pPr>
        <w:rPr>
          <w:b/>
          <w:i/>
        </w:rPr>
      </w:pPr>
      <w:r w:rsidRPr="00AE058A">
        <w:rPr>
          <w:b/>
          <w:i/>
        </w:rPr>
        <w:t>Základ daně:</w:t>
      </w:r>
    </w:p>
    <w:p w:rsidR="00AE058A" w:rsidRDefault="008729EB" w:rsidP="004653DA">
      <w:pPr>
        <w:pStyle w:val="Odstavecseseznamem"/>
        <w:numPr>
          <w:ilvl w:val="0"/>
          <w:numId w:val="12"/>
        </w:numPr>
      </w:pPr>
      <w:r>
        <w:t>J</w:t>
      </w:r>
      <w:r w:rsidR="00AE058A">
        <w:t xml:space="preserve">e cena za zdanitelné plnění, které neobsahuje daň. Tato částka slouží pro výpočet daně v závislosti na příslušné sazbě. Jedná se vlastně o prodejní cenu zboží nebo služeb bez daně. Při poskytnutí slevy z ceny je ihodnota zboží a služby nižší, proto se snižuje i základ daně. </w:t>
      </w:r>
    </w:p>
    <w:p w:rsidR="008729EB" w:rsidRDefault="008729EB" w:rsidP="004653DA">
      <w:pPr>
        <w:pStyle w:val="Odstavecseseznamem"/>
        <w:numPr>
          <w:ilvl w:val="0"/>
          <w:numId w:val="12"/>
        </w:numPr>
      </w:pPr>
      <w:r>
        <w:t xml:space="preserve">Přehled činností, které základ daně zahrňuje je definováno v §36 zákona č. 235/2004 </w:t>
      </w:r>
      <w:proofErr w:type="gramStart"/>
      <w:r>
        <w:t>Sb..</w:t>
      </w:r>
      <w:proofErr w:type="gramEnd"/>
    </w:p>
    <w:p w:rsidR="00952110" w:rsidRPr="00AE058A" w:rsidRDefault="00AE058A" w:rsidP="004653DA">
      <w:pPr>
        <w:rPr>
          <w:b/>
          <w:i/>
        </w:rPr>
      </w:pPr>
      <w:r w:rsidRPr="00AE058A">
        <w:rPr>
          <w:b/>
          <w:i/>
        </w:rPr>
        <w:t xml:space="preserve"> </w:t>
      </w:r>
      <w:r w:rsidR="00952110" w:rsidRPr="00AE058A">
        <w:rPr>
          <w:b/>
          <w:i/>
        </w:rPr>
        <w:t>Sazba daně:</w:t>
      </w:r>
    </w:p>
    <w:p w:rsidR="00952110" w:rsidRPr="00AE058A" w:rsidRDefault="00AE058A" w:rsidP="004653DA">
      <w:pPr>
        <w:pStyle w:val="Odstavecseseznamem"/>
        <w:numPr>
          <w:ilvl w:val="0"/>
          <w:numId w:val="12"/>
        </w:numPr>
      </w:pPr>
      <w:r w:rsidRPr="00AE058A">
        <w:t xml:space="preserve">V ČR je sazba daně z DPH definovaná jako základní a snížená. </w:t>
      </w:r>
      <w:r w:rsidR="00952110" w:rsidRPr="00AE058A">
        <w:t xml:space="preserve">Základní sazba činí </w:t>
      </w:r>
      <w:r w:rsidRPr="00AE058A">
        <w:t>20</w:t>
      </w:r>
      <w:r w:rsidR="00952110" w:rsidRPr="00AE058A">
        <w:t xml:space="preserve">% ze základu daně. </w:t>
      </w:r>
      <w:r w:rsidRPr="00AE058A">
        <w:t xml:space="preserve">Tato sazba je uplatňovaná na většinu zboží a služeb. </w:t>
      </w:r>
      <w:r w:rsidR="00952110" w:rsidRPr="00AE058A">
        <w:t xml:space="preserve">Snížená sazba daně ve výši 10% </w:t>
      </w:r>
      <w:r w:rsidRPr="00AE058A">
        <w:t xml:space="preserve">se uplatňuje </w:t>
      </w:r>
      <w:r w:rsidR="00952110" w:rsidRPr="00AE058A">
        <w:t xml:space="preserve">na </w:t>
      </w:r>
      <w:r w:rsidRPr="00AE058A">
        <w:t>přesně definované zboží a služby. Typ zboží a služby se sníženou sazbou je součástí příloh 1, 2, 4 zákona</w:t>
      </w:r>
      <w:r w:rsidR="00952110" w:rsidRPr="00AE058A">
        <w:t>.</w:t>
      </w:r>
    </w:p>
    <w:p w:rsidR="00CB699C" w:rsidRPr="00CB699C" w:rsidRDefault="00CB699C" w:rsidP="004653DA">
      <w:pPr>
        <w:pStyle w:val="Nadpis3"/>
        <w:jc w:val="both"/>
      </w:pPr>
      <w:bookmarkStart w:id="17" w:name="_DPH_v_SR"/>
      <w:bookmarkStart w:id="18" w:name="_Toc307937058"/>
      <w:bookmarkEnd w:id="17"/>
      <w:r>
        <w:t xml:space="preserve">DPH </w:t>
      </w:r>
      <w:r w:rsidR="00E15F59">
        <w:t>na Slovensku</w:t>
      </w:r>
      <w:bookmarkEnd w:id="18"/>
    </w:p>
    <w:p w:rsidR="00013B4D" w:rsidRDefault="00AE058A" w:rsidP="004653DA">
      <w:r>
        <w:t>Stějně jako v ČR, i na Slovensku předcházela DPH</w:t>
      </w:r>
      <w:r w:rsidR="00CB699C">
        <w:t xml:space="preserve"> daň z</w:t>
      </w:r>
      <w:r>
        <w:t> </w:t>
      </w:r>
      <w:r w:rsidR="00CB699C">
        <w:t>obratu</w:t>
      </w:r>
      <w:r>
        <w:t>,</w:t>
      </w:r>
      <w:r w:rsidR="00CB699C">
        <w:t xml:space="preserve"> stanovena zákonem č. 73/1952 </w:t>
      </w:r>
      <w:proofErr w:type="gramStart"/>
      <w:r w:rsidR="00CB699C">
        <w:t>Sb</w:t>
      </w:r>
      <w:r w:rsidR="00013B4D">
        <w:t>..</w:t>
      </w:r>
      <w:proofErr w:type="gramEnd"/>
      <w:r w:rsidR="00013B4D">
        <w:t xml:space="preserve"> Tato daň byla podřízená centrálně řízené daňové soustavy. Vývoj DPH ovlivnilo přijmutí tří zákonů, přičemž poslední z nich, zákon č. </w:t>
      </w:r>
      <w:proofErr w:type="gramStart"/>
      <w:r w:rsidR="00013B4D">
        <w:t>222/2004 Z.z.</w:t>
      </w:r>
      <w:r>
        <w:t xml:space="preserve"> o dani</w:t>
      </w:r>
      <w:proofErr w:type="gramEnd"/>
      <w:r>
        <w:t xml:space="preserve"> z přidané hodnoty </w:t>
      </w:r>
      <w:r w:rsidR="00013B4D">
        <w:t>je platný dodnes.</w:t>
      </w:r>
      <w:r w:rsidR="00952110">
        <w:t xml:space="preserve"> Slovenská republika udělala vo vývoji DPH několik </w:t>
      </w:r>
      <w:r w:rsidR="00952110">
        <w:lastRenderedPageBreak/>
        <w:t>zásadních změn, týkajících se hlavně daňových sazeb. Přehled těchto změn je sočástí analytické části práce.</w:t>
      </w:r>
      <w:r w:rsidR="005E205A">
        <w:t xml:space="preserve"> </w:t>
      </w:r>
    </w:p>
    <w:p w:rsidR="00013B4D" w:rsidRPr="00AE058A" w:rsidRDefault="00013B4D" w:rsidP="004653DA">
      <w:pPr>
        <w:rPr>
          <w:b/>
          <w:i/>
        </w:rPr>
      </w:pPr>
      <w:r w:rsidRPr="00AE058A">
        <w:rPr>
          <w:b/>
          <w:i/>
        </w:rPr>
        <w:t>Předmět</w:t>
      </w:r>
      <w:r w:rsidR="009C3AE1" w:rsidRPr="00AE058A">
        <w:rPr>
          <w:b/>
          <w:i/>
        </w:rPr>
        <w:t>e</w:t>
      </w:r>
      <w:r w:rsidRPr="00AE058A">
        <w:rPr>
          <w:b/>
          <w:i/>
        </w:rPr>
        <w:t>m daně je dle tohoto zákona:</w:t>
      </w:r>
      <w:r w:rsidR="00AE058A">
        <w:rPr>
          <w:rStyle w:val="Znakapoznpodarou"/>
          <w:b/>
          <w:i/>
        </w:rPr>
        <w:footnoteReference w:id="14"/>
      </w:r>
    </w:p>
    <w:p w:rsidR="00013B4D" w:rsidRDefault="00013B4D" w:rsidP="004653DA">
      <w:pPr>
        <w:pStyle w:val="Odstavecseseznamem"/>
        <w:numPr>
          <w:ilvl w:val="0"/>
          <w:numId w:val="12"/>
        </w:numPr>
      </w:pPr>
      <w:r>
        <w:t xml:space="preserve">Dodání </w:t>
      </w:r>
      <w:r w:rsidR="009C3AE1">
        <w:t>zboží</w:t>
      </w:r>
      <w:r>
        <w:t xml:space="preserve"> nebo poskytnutí služby za protihodnotu v tuzemsku </w:t>
      </w:r>
      <w:r>
        <w:rPr>
          <w:rStyle w:val="Odkaznavysvtlivky"/>
        </w:rPr>
        <w:endnoteReference w:id="3"/>
      </w:r>
      <w:r>
        <w:t xml:space="preserve"> uskutečněné zdanitelnou osobou, která je v postavení zdanitelné osoby</w:t>
      </w:r>
    </w:p>
    <w:p w:rsidR="00013B4D" w:rsidRDefault="00013B4D" w:rsidP="004653DA">
      <w:pPr>
        <w:pStyle w:val="Odstavecseseznamem"/>
        <w:numPr>
          <w:ilvl w:val="0"/>
          <w:numId w:val="12"/>
        </w:numPr>
      </w:pPr>
      <w:r>
        <w:t xml:space="preserve">Nadobudnutí </w:t>
      </w:r>
      <w:r w:rsidR="009C3AE1">
        <w:t>zboží</w:t>
      </w:r>
      <w:r>
        <w:t xml:space="preserve"> za protihodnotu v tuzemsku jiného členského státu EU</w:t>
      </w:r>
    </w:p>
    <w:p w:rsidR="00013B4D" w:rsidRDefault="00013B4D" w:rsidP="004653DA">
      <w:pPr>
        <w:pStyle w:val="Odstavecseseznamem"/>
        <w:numPr>
          <w:ilvl w:val="0"/>
          <w:numId w:val="12"/>
        </w:numPr>
      </w:pPr>
      <w:r>
        <w:t xml:space="preserve">Dovoz </w:t>
      </w:r>
      <w:r w:rsidR="009C3AE1">
        <w:t>zboží</w:t>
      </w:r>
      <w:r>
        <w:t xml:space="preserve"> do tuzemska</w:t>
      </w:r>
    </w:p>
    <w:p w:rsidR="00B45DFC" w:rsidRPr="00AE058A" w:rsidRDefault="00AE058A" w:rsidP="004653DA">
      <w:pPr>
        <w:rPr>
          <w:b/>
          <w:i/>
        </w:rPr>
      </w:pPr>
      <w:r w:rsidRPr="00AE058A">
        <w:rPr>
          <w:b/>
          <w:i/>
        </w:rPr>
        <w:t>Subjekt daně</w:t>
      </w:r>
      <w:r w:rsidR="00B45DFC" w:rsidRPr="00AE058A">
        <w:rPr>
          <w:b/>
          <w:i/>
        </w:rPr>
        <w:t>:</w:t>
      </w:r>
      <w:r>
        <w:rPr>
          <w:rStyle w:val="Znakapoznpodarou"/>
          <w:b/>
          <w:i/>
        </w:rPr>
        <w:footnoteReference w:id="15"/>
      </w:r>
    </w:p>
    <w:p w:rsidR="00B45DFC" w:rsidRDefault="00B45DFC" w:rsidP="004653DA">
      <w:pPr>
        <w:pStyle w:val="Odstavecseseznamem"/>
        <w:numPr>
          <w:ilvl w:val="0"/>
          <w:numId w:val="12"/>
        </w:numPr>
      </w:pPr>
      <w:r>
        <w:t>Každá osoba, která vykováná ekonomickou činnost</w:t>
      </w:r>
      <w:r>
        <w:rPr>
          <w:rStyle w:val="Odkaznavysvtlivky"/>
        </w:rPr>
        <w:endnoteReference w:id="4"/>
      </w:r>
      <w:r>
        <w:t xml:space="preserve"> dle přemětu daně bez ohledu na účel nebo výsledky této činnosti.</w:t>
      </w:r>
    </w:p>
    <w:p w:rsidR="00B45DFC" w:rsidRDefault="00B45DFC" w:rsidP="004653DA">
      <w:pPr>
        <w:pStyle w:val="Odstavecseseznamem"/>
        <w:numPr>
          <w:ilvl w:val="0"/>
          <w:numId w:val="12"/>
        </w:numPr>
      </w:pPr>
      <w:r>
        <w:t>Každá osoba, která příležitostně dodá nový dopravní prostředek z tuzemska do jiného členského státu a tento nový dopravný prostředek je prostřednictvím této osoby, nebo kupujícím</w:t>
      </w:r>
      <w:r w:rsidR="00AE058A">
        <w:t>, a</w:t>
      </w:r>
      <w:r w:rsidR="001B541A">
        <w:t>nebo na jejich účet odeslaný nebo přepravený kupujícímu.</w:t>
      </w:r>
    </w:p>
    <w:p w:rsidR="00B45DFC" w:rsidRPr="00AE058A" w:rsidRDefault="001B541A" w:rsidP="004653DA">
      <w:pPr>
        <w:rPr>
          <w:b/>
          <w:i/>
        </w:rPr>
      </w:pPr>
      <w:r w:rsidRPr="00AE058A">
        <w:rPr>
          <w:b/>
          <w:i/>
        </w:rPr>
        <w:t>Registrační povinnost vzniká:</w:t>
      </w:r>
    </w:p>
    <w:p w:rsidR="001B541A" w:rsidRDefault="001B541A" w:rsidP="004653DA">
      <w:pPr>
        <w:pStyle w:val="Odstavecseseznamem"/>
        <w:numPr>
          <w:ilvl w:val="0"/>
          <w:numId w:val="12"/>
        </w:numPr>
      </w:pPr>
      <w:r>
        <w:t>Osobě, která má sídlo, místo podnikání nebo provozovnu v tuzemsku, nebo se v tuzemsku zdržuje a která dosáhla za 12 po sobě následujících měsíců obrat ve výši 49 790Eur.</w:t>
      </w:r>
    </w:p>
    <w:p w:rsidR="001B541A" w:rsidRDefault="001B541A" w:rsidP="004653DA">
      <w:pPr>
        <w:pStyle w:val="Odstavecseseznamem"/>
        <w:numPr>
          <w:ilvl w:val="0"/>
          <w:numId w:val="12"/>
        </w:numPr>
      </w:pPr>
      <w:r>
        <w:t xml:space="preserve"> Osoby, které společně podnikají na základě smlouvy o sdružení nebo jiné smlouvy jsou povinni podat přiznání k DPH, jestliže obrat z jejich podnikání dosáhl za 12 po sobě následujících měsíců výsi 49 790Eur. </w:t>
      </w:r>
    </w:p>
    <w:p w:rsidR="001B541A" w:rsidRDefault="001B541A" w:rsidP="004653DA">
      <w:pPr>
        <w:pStyle w:val="Odstavecseseznamem"/>
        <w:numPr>
          <w:ilvl w:val="0"/>
          <w:numId w:val="12"/>
        </w:numPr>
      </w:pPr>
      <w:r>
        <w:t xml:space="preserve">Dobrovolným plátem DPH je i osoba, která podmínku v předchozích bodech nedosáhla, </w:t>
      </w:r>
      <w:r w:rsidR="00574C01">
        <w:t xml:space="preserve">ale podniká ve sdružení s osobou, která se stala dobrovolným plátcem. </w:t>
      </w:r>
    </w:p>
    <w:p w:rsidR="00574C01" w:rsidRDefault="00574C01" w:rsidP="004653DA">
      <w:pPr>
        <w:pStyle w:val="Odstavecseseznamem"/>
        <w:numPr>
          <w:ilvl w:val="0"/>
          <w:numId w:val="12"/>
        </w:numPr>
      </w:pPr>
      <w:r>
        <w:lastRenderedPageBreak/>
        <w:t xml:space="preserve">Zahraniční osoba, která dodává do tuzemska tovar prostřednictvím zásilkového prodeje, pokud celková hodnota dodaného </w:t>
      </w:r>
      <w:r w:rsidR="009C3AE1">
        <w:t>zboží</w:t>
      </w:r>
      <w:r>
        <w:t xml:space="preserve"> dosáhne bez daně hodnotu 35 000Eur.</w:t>
      </w:r>
    </w:p>
    <w:p w:rsidR="00574C01" w:rsidRDefault="00574C01" w:rsidP="004653DA">
      <w:pPr>
        <w:pStyle w:val="Odstavecseseznamem"/>
        <w:numPr>
          <w:ilvl w:val="0"/>
          <w:numId w:val="12"/>
        </w:numPr>
      </w:pPr>
      <w:r>
        <w:t xml:space="preserve">Osoba (fyzická nebo právnická), která není plátcem a obdrží tovar z jiného členského státu, má povinnost podat žádost o registraci, pokud hodnota obdrženého </w:t>
      </w:r>
      <w:r w:rsidR="009C3AE1">
        <w:t>zboží</w:t>
      </w:r>
      <w:r>
        <w:t xml:space="preserve"> bez daně dosáhne hodnotu za rok 13 941,45Eur.</w:t>
      </w:r>
      <w:r>
        <w:rPr>
          <w:rStyle w:val="Znakapoznpodarou"/>
        </w:rPr>
        <w:footnoteReference w:id="16"/>
      </w:r>
      <w:r>
        <w:t xml:space="preserve"> </w:t>
      </w:r>
    </w:p>
    <w:p w:rsidR="00473947" w:rsidRPr="008729EB" w:rsidRDefault="00473947" w:rsidP="004653DA">
      <w:pPr>
        <w:rPr>
          <w:b/>
          <w:i/>
        </w:rPr>
      </w:pPr>
      <w:r w:rsidRPr="008729EB">
        <w:rPr>
          <w:b/>
          <w:i/>
        </w:rPr>
        <w:t>Základ daně:</w:t>
      </w:r>
    </w:p>
    <w:p w:rsidR="00473947" w:rsidRDefault="00473947" w:rsidP="004653DA">
      <w:pPr>
        <w:pStyle w:val="Odstavecseseznamem"/>
        <w:numPr>
          <w:ilvl w:val="0"/>
          <w:numId w:val="12"/>
        </w:numPr>
      </w:pPr>
      <w:r>
        <w:t xml:space="preserve">Základem daně je všechno, co tvoří protihodnotu, kterou dodavatel přijal nebo má přijmout od přijemce plnění, nebo jiné osoby za dodání </w:t>
      </w:r>
      <w:r w:rsidR="009C3AE1">
        <w:t>zboží</w:t>
      </w:r>
      <w:r>
        <w:t xml:space="preserve"> nebo služby, sníženou o daň. Do základu daně se započítává i dotace, nebo příspěvek, který dodavatel přijal, nebo má přijmout k ceně </w:t>
      </w:r>
      <w:r w:rsidR="009C3AE1">
        <w:t>zboží</w:t>
      </w:r>
      <w:r>
        <w:t xml:space="preserve"> nebo služby</w:t>
      </w:r>
    </w:p>
    <w:p w:rsidR="008729EB" w:rsidRDefault="008729EB" w:rsidP="004653DA">
      <w:pPr>
        <w:pStyle w:val="Odstavecseseznamem"/>
        <w:numPr>
          <w:ilvl w:val="0"/>
          <w:numId w:val="12"/>
        </w:numPr>
      </w:pPr>
      <w:r>
        <w:t xml:space="preserve">Přehled činností, které základ daně zahrňuje je definováno v §22 zákona č. </w:t>
      </w:r>
      <w:proofErr w:type="gramStart"/>
      <w:r>
        <w:t>222/2004 Z.z.</w:t>
      </w:r>
      <w:proofErr w:type="gramEnd"/>
    </w:p>
    <w:p w:rsidR="009C3AE1" w:rsidRPr="008729EB" w:rsidRDefault="009C3AE1" w:rsidP="004653DA">
      <w:pPr>
        <w:rPr>
          <w:b/>
          <w:i/>
        </w:rPr>
      </w:pPr>
      <w:r w:rsidRPr="008729EB">
        <w:rPr>
          <w:b/>
          <w:i/>
        </w:rPr>
        <w:t>Sazba daně:</w:t>
      </w:r>
    </w:p>
    <w:p w:rsidR="009C3AE1" w:rsidRDefault="009C3AE1" w:rsidP="004653DA">
      <w:pPr>
        <w:pStyle w:val="Odstavecseseznamem"/>
        <w:numPr>
          <w:ilvl w:val="0"/>
          <w:numId w:val="12"/>
        </w:numPr>
      </w:pPr>
      <w:r>
        <w:t>Základní sazba činí 19% ze základu daně. Snížená sazba daně ve výši 10% patří na zboží, které je definované v příloze zákona.</w:t>
      </w:r>
    </w:p>
    <w:p w:rsidR="00A15B7D" w:rsidRPr="00952110" w:rsidRDefault="00A15B7D" w:rsidP="004653DA">
      <w:pPr>
        <w:spacing w:after="0" w:line="240" w:lineRule="auto"/>
        <w:rPr>
          <w:b/>
          <w:bCs/>
          <w:sz w:val="32"/>
          <w:szCs w:val="40"/>
          <w:highlight w:val="yellow"/>
        </w:rPr>
      </w:pPr>
      <w:r w:rsidRPr="00952110">
        <w:rPr>
          <w:highlight w:val="yellow"/>
        </w:rPr>
        <w:br w:type="page"/>
      </w:r>
    </w:p>
    <w:p w:rsidR="00DA4A47" w:rsidRPr="0048288F" w:rsidRDefault="00C51E80" w:rsidP="004653DA">
      <w:pPr>
        <w:pStyle w:val="Nadpis1"/>
        <w:jc w:val="both"/>
      </w:pPr>
      <w:bookmarkStart w:id="19" w:name="_Toc307937059"/>
      <w:r>
        <w:lastRenderedPageBreak/>
        <w:t>DPH v ČR a na Slovensku</w:t>
      </w:r>
      <w:bookmarkEnd w:id="19"/>
    </w:p>
    <w:p w:rsidR="00E02CD7" w:rsidRDefault="00E02CD7" w:rsidP="004653DA">
      <w:r w:rsidRPr="0048288F">
        <w:t>Předmětem analytické části je porování daně z přidané hodnoty v České republice a na Slovensku jednak z pohledu jejího vývoje od začátku po současnost, dále</w:t>
      </w:r>
      <w:r w:rsidR="0048288F" w:rsidRPr="0048288F">
        <w:t xml:space="preserve"> nám umožní</w:t>
      </w:r>
      <w:r w:rsidRPr="0048288F">
        <w:t xml:space="preserve"> zjistit, jak její výše ovlivňuje příjmovou část státního rozpočtu a nakonec jeji porování na HDP obou krajín. </w:t>
      </w:r>
      <w:r w:rsidRPr="00454B73">
        <w:rPr>
          <w:highlight w:val="yellow"/>
        </w:rPr>
        <w:t xml:space="preserve">Vzhledem k tomu, že se z pohledu demografie krajiny mezi sebou liší počtem obyvatel, bude daň propočtena tzv. „na </w:t>
      </w:r>
      <w:r w:rsidR="00EA2E94">
        <w:rPr>
          <w:highlight w:val="yellow"/>
        </w:rPr>
        <w:t>obyvatele</w:t>
      </w:r>
      <w:r w:rsidRPr="00454B73">
        <w:rPr>
          <w:highlight w:val="yellow"/>
        </w:rPr>
        <w:t>“.</w:t>
      </w:r>
      <w:r w:rsidRPr="0048288F">
        <w:t xml:space="preserve"> </w:t>
      </w:r>
      <w:r w:rsidRPr="00454B73">
        <w:rPr>
          <w:highlight w:val="yellow"/>
        </w:rPr>
        <w:t xml:space="preserve">Tím pádem bude možné i odpovědět na to, jak </w:t>
      </w:r>
      <w:r w:rsidR="0048288F" w:rsidRPr="00454B73">
        <w:rPr>
          <w:highlight w:val="yellow"/>
        </w:rPr>
        <w:t xml:space="preserve">skutečně </w:t>
      </w:r>
      <w:r w:rsidRPr="00454B73">
        <w:rPr>
          <w:highlight w:val="yellow"/>
        </w:rPr>
        <w:t xml:space="preserve">ovlivňuje platná daňová sazba příjmovou výši </w:t>
      </w:r>
      <w:r w:rsidR="0048288F" w:rsidRPr="00454B73">
        <w:rPr>
          <w:highlight w:val="yellow"/>
        </w:rPr>
        <w:t>státniho rozpočtu a vliv na HDP, tzn. která daňová sazba je výhodnější.</w:t>
      </w:r>
    </w:p>
    <w:p w:rsidR="0048288F" w:rsidRDefault="0048288F" w:rsidP="004653DA">
      <w:r>
        <w:t xml:space="preserve">Závěrečná část bude věnována politickým úvahám o výši </w:t>
      </w:r>
      <w:r w:rsidR="00454B73">
        <w:t xml:space="preserve">efektivní </w:t>
      </w:r>
      <w:r>
        <w:t>sazby</w:t>
      </w:r>
      <w:r w:rsidR="00454B73">
        <w:t xml:space="preserve"> DPH</w:t>
      </w:r>
      <w:r>
        <w:t xml:space="preserve">. Jedná se o názory koaličních a opozičních stran obou krajín, které ovlivňovali vývoj DPH v ČR a SR. </w:t>
      </w:r>
    </w:p>
    <w:p w:rsidR="00454B73" w:rsidRPr="00972588" w:rsidRDefault="00454B73" w:rsidP="004653DA">
      <w:pPr>
        <w:pStyle w:val="Nadpis2"/>
        <w:jc w:val="both"/>
      </w:pPr>
      <w:bookmarkStart w:id="20" w:name="_Toc307937060"/>
      <w:r w:rsidRPr="00972588">
        <w:t>Vývoj DPH v letech 1993-2010</w:t>
      </w:r>
      <w:bookmarkEnd w:id="20"/>
    </w:p>
    <w:p w:rsidR="00454B73" w:rsidRPr="00972588" w:rsidRDefault="00454B73" w:rsidP="004653DA">
      <w:r w:rsidRPr="00972588">
        <w:t xml:space="preserve">Na základě teoretické části již vím, že DPH vznikla v obou krajinách v stejný </w:t>
      </w:r>
      <w:r w:rsidR="001841CD" w:rsidRPr="00972588">
        <w:t xml:space="preserve">okamžik, tj. </w:t>
      </w:r>
      <w:proofErr w:type="gramStart"/>
      <w:r w:rsidR="001841CD" w:rsidRPr="00972588">
        <w:t>1.1.1993</w:t>
      </w:r>
      <w:proofErr w:type="gramEnd"/>
      <w:r w:rsidR="001841CD" w:rsidRPr="00972588">
        <w:t>. Na rozdíl od České republiky, kde od vzniku této daně existovala vždy základní a snížená sazba daně, na Slovensku byl vývoj DPH zcela odlišný.</w:t>
      </w:r>
    </w:p>
    <w:p w:rsidR="001841CD" w:rsidRPr="00972588" w:rsidRDefault="001841CD" w:rsidP="004653DA">
      <w:pPr>
        <w:pStyle w:val="Nadpis3"/>
        <w:jc w:val="both"/>
      </w:pPr>
      <w:bookmarkStart w:id="21" w:name="_Toc307937061"/>
      <w:r w:rsidRPr="00972588">
        <w:t>Vývoj v ČR</w:t>
      </w:r>
      <w:bookmarkEnd w:id="21"/>
    </w:p>
    <w:tbl>
      <w:tblPr>
        <w:tblW w:w="6342" w:type="dxa"/>
        <w:tblInd w:w="55" w:type="dxa"/>
        <w:tblCellMar>
          <w:left w:w="70" w:type="dxa"/>
          <w:right w:w="70" w:type="dxa"/>
        </w:tblCellMar>
        <w:tblLook w:val="04A0" w:firstRow="1" w:lastRow="0" w:firstColumn="1" w:lastColumn="0" w:noHBand="0" w:noVBand="1"/>
      </w:tblPr>
      <w:tblGrid>
        <w:gridCol w:w="2647"/>
        <w:gridCol w:w="1886"/>
        <w:gridCol w:w="1809"/>
      </w:tblGrid>
      <w:tr w:rsidR="007D5FC8" w:rsidRPr="007D5FC8" w:rsidTr="001F10F8">
        <w:trPr>
          <w:trHeight w:val="341"/>
        </w:trPr>
        <w:tc>
          <w:tcPr>
            <w:tcW w:w="2647"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7D5FC8" w:rsidRPr="007D5FC8" w:rsidRDefault="007D5FC8" w:rsidP="004653DA">
            <w:pPr>
              <w:spacing w:after="0" w:line="240" w:lineRule="auto"/>
              <w:rPr>
                <w:rFonts w:ascii="Calibri" w:hAnsi="Calibri" w:cs="Calibri"/>
                <w:color w:val="000000"/>
                <w:sz w:val="22"/>
                <w:szCs w:val="22"/>
              </w:rPr>
            </w:pPr>
            <w:r w:rsidRPr="007D5FC8">
              <w:rPr>
                <w:rFonts w:ascii="Calibri" w:hAnsi="Calibri" w:cs="Calibri"/>
                <w:color w:val="000000"/>
                <w:sz w:val="22"/>
                <w:szCs w:val="22"/>
              </w:rPr>
              <w:t>Období</w:t>
            </w:r>
          </w:p>
        </w:tc>
        <w:tc>
          <w:tcPr>
            <w:tcW w:w="1886" w:type="dxa"/>
            <w:tcBorders>
              <w:top w:val="single" w:sz="4" w:space="0" w:color="auto"/>
              <w:left w:val="nil"/>
              <w:bottom w:val="single" w:sz="4" w:space="0" w:color="auto"/>
              <w:right w:val="single" w:sz="4" w:space="0" w:color="auto"/>
            </w:tcBorders>
            <w:shd w:val="clear" w:color="000000" w:fill="8DB4E2"/>
            <w:noWrap/>
            <w:vAlign w:val="bottom"/>
            <w:hideMark/>
          </w:tcPr>
          <w:p w:rsidR="007D5FC8" w:rsidRPr="007D5FC8" w:rsidRDefault="007D5FC8" w:rsidP="004653DA">
            <w:pPr>
              <w:spacing w:after="0" w:line="240" w:lineRule="auto"/>
              <w:rPr>
                <w:rFonts w:ascii="Calibri" w:hAnsi="Calibri" w:cs="Calibri"/>
                <w:color w:val="000000"/>
                <w:sz w:val="22"/>
                <w:szCs w:val="22"/>
              </w:rPr>
            </w:pPr>
            <w:r w:rsidRPr="007D5FC8">
              <w:rPr>
                <w:rFonts w:ascii="Calibri" w:hAnsi="Calibri" w:cs="Calibri"/>
                <w:color w:val="000000"/>
                <w:sz w:val="22"/>
                <w:szCs w:val="22"/>
              </w:rPr>
              <w:t>Základní sazba</w:t>
            </w:r>
          </w:p>
        </w:tc>
        <w:tc>
          <w:tcPr>
            <w:tcW w:w="1809" w:type="dxa"/>
            <w:tcBorders>
              <w:top w:val="single" w:sz="4" w:space="0" w:color="auto"/>
              <w:left w:val="nil"/>
              <w:bottom w:val="single" w:sz="4" w:space="0" w:color="auto"/>
              <w:right w:val="single" w:sz="4" w:space="0" w:color="auto"/>
            </w:tcBorders>
            <w:shd w:val="clear" w:color="000000" w:fill="8DB4E2"/>
            <w:noWrap/>
            <w:vAlign w:val="bottom"/>
            <w:hideMark/>
          </w:tcPr>
          <w:p w:rsidR="007D5FC8" w:rsidRPr="007D5FC8" w:rsidRDefault="007D5FC8" w:rsidP="004653DA">
            <w:pPr>
              <w:spacing w:after="0" w:line="240" w:lineRule="auto"/>
              <w:rPr>
                <w:rFonts w:ascii="Calibri" w:hAnsi="Calibri" w:cs="Calibri"/>
                <w:color w:val="000000"/>
                <w:sz w:val="22"/>
                <w:szCs w:val="22"/>
              </w:rPr>
            </w:pPr>
            <w:r w:rsidRPr="007D5FC8">
              <w:rPr>
                <w:rFonts w:ascii="Calibri" w:hAnsi="Calibri" w:cs="Calibri"/>
                <w:color w:val="000000"/>
                <w:sz w:val="22"/>
                <w:szCs w:val="22"/>
              </w:rPr>
              <w:t>Snížená sazba</w:t>
            </w:r>
          </w:p>
        </w:tc>
      </w:tr>
      <w:tr w:rsidR="007D5FC8" w:rsidRPr="007D5FC8" w:rsidTr="001F10F8">
        <w:trPr>
          <w:trHeight w:val="341"/>
        </w:trPr>
        <w:tc>
          <w:tcPr>
            <w:tcW w:w="2647" w:type="dxa"/>
            <w:tcBorders>
              <w:top w:val="nil"/>
              <w:left w:val="single" w:sz="4" w:space="0" w:color="auto"/>
              <w:bottom w:val="single" w:sz="4" w:space="0" w:color="auto"/>
              <w:right w:val="single" w:sz="4" w:space="0" w:color="auto"/>
            </w:tcBorders>
            <w:shd w:val="clear" w:color="000000" w:fill="8DB4E2"/>
            <w:noWrap/>
            <w:vAlign w:val="bottom"/>
            <w:hideMark/>
          </w:tcPr>
          <w:p w:rsidR="007D5FC8" w:rsidRPr="007D5FC8" w:rsidRDefault="007D5FC8" w:rsidP="004653DA">
            <w:pPr>
              <w:spacing w:after="0" w:line="240" w:lineRule="auto"/>
              <w:rPr>
                <w:rFonts w:ascii="Calibri" w:hAnsi="Calibri" w:cs="Calibri"/>
                <w:color w:val="000000"/>
                <w:sz w:val="22"/>
                <w:szCs w:val="22"/>
              </w:rPr>
            </w:pPr>
            <w:proofErr w:type="gramStart"/>
            <w:r w:rsidRPr="007D5FC8">
              <w:rPr>
                <w:rFonts w:ascii="Calibri" w:hAnsi="Calibri" w:cs="Calibri"/>
                <w:color w:val="000000"/>
                <w:sz w:val="22"/>
                <w:szCs w:val="22"/>
              </w:rPr>
              <w:t>1.1.1993</w:t>
            </w:r>
            <w:proofErr w:type="gramEnd"/>
            <w:r w:rsidRPr="007D5FC8">
              <w:rPr>
                <w:rFonts w:ascii="Calibri" w:hAnsi="Calibri" w:cs="Calibri"/>
                <w:color w:val="000000"/>
                <w:sz w:val="22"/>
                <w:szCs w:val="22"/>
              </w:rPr>
              <w:t xml:space="preserve"> - 31.12.1994</w:t>
            </w:r>
          </w:p>
        </w:tc>
        <w:tc>
          <w:tcPr>
            <w:tcW w:w="1886" w:type="dxa"/>
            <w:tcBorders>
              <w:top w:val="nil"/>
              <w:left w:val="nil"/>
              <w:bottom w:val="single" w:sz="4" w:space="0" w:color="auto"/>
              <w:right w:val="single" w:sz="4" w:space="0" w:color="auto"/>
            </w:tcBorders>
            <w:shd w:val="clear" w:color="000000" w:fill="FFFFFF"/>
            <w:noWrap/>
            <w:vAlign w:val="bottom"/>
            <w:hideMark/>
          </w:tcPr>
          <w:p w:rsidR="007D5FC8" w:rsidRPr="007D5FC8" w:rsidRDefault="007D5FC8" w:rsidP="004653DA">
            <w:pPr>
              <w:spacing w:after="0" w:line="240" w:lineRule="auto"/>
              <w:rPr>
                <w:rFonts w:ascii="Calibri" w:hAnsi="Calibri" w:cs="Calibri"/>
                <w:color w:val="000000"/>
                <w:sz w:val="22"/>
                <w:szCs w:val="22"/>
              </w:rPr>
            </w:pPr>
            <w:r w:rsidRPr="007D5FC8">
              <w:rPr>
                <w:rFonts w:ascii="Calibri" w:hAnsi="Calibri" w:cs="Calibri"/>
                <w:color w:val="000000"/>
                <w:sz w:val="22"/>
                <w:szCs w:val="22"/>
              </w:rPr>
              <w:t>23%</w:t>
            </w:r>
          </w:p>
        </w:tc>
        <w:tc>
          <w:tcPr>
            <w:tcW w:w="1809" w:type="dxa"/>
            <w:tcBorders>
              <w:top w:val="nil"/>
              <w:left w:val="nil"/>
              <w:bottom w:val="single" w:sz="4" w:space="0" w:color="auto"/>
              <w:right w:val="single" w:sz="4" w:space="0" w:color="auto"/>
            </w:tcBorders>
            <w:shd w:val="clear" w:color="000000" w:fill="FFFFFF"/>
            <w:noWrap/>
            <w:vAlign w:val="bottom"/>
            <w:hideMark/>
          </w:tcPr>
          <w:p w:rsidR="007D5FC8" w:rsidRPr="007D5FC8" w:rsidRDefault="007D5FC8" w:rsidP="004653DA">
            <w:pPr>
              <w:spacing w:after="0" w:line="240" w:lineRule="auto"/>
              <w:rPr>
                <w:rFonts w:ascii="Calibri" w:hAnsi="Calibri" w:cs="Calibri"/>
                <w:color w:val="000000"/>
                <w:sz w:val="22"/>
                <w:szCs w:val="22"/>
              </w:rPr>
            </w:pPr>
            <w:r w:rsidRPr="007D5FC8">
              <w:rPr>
                <w:rFonts w:ascii="Calibri" w:hAnsi="Calibri" w:cs="Calibri"/>
                <w:color w:val="000000"/>
                <w:sz w:val="22"/>
                <w:szCs w:val="22"/>
              </w:rPr>
              <w:t>5%</w:t>
            </w:r>
          </w:p>
        </w:tc>
      </w:tr>
      <w:tr w:rsidR="007D5FC8" w:rsidRPr="007D5FC8" w:rsidTr="001F10F8">
        <w:trPr>
          <w:trHeight w:val="341"/>
        </w:trPr>
        <w:tc>
          <w:tcPr>
            <w:tcW w:w="2647" w:type="dxa"/>
            <w:tcBorders>
              <w:top w:val="nil"/>
              <w:left w:val="single" w:sz="4" w:space="0" w:color="auto"/>
              <w:bottom w:val="single" w:sz="4" w:space="0" w:color="auto"/>
              <w:right w:val="single" w:sz="4" w:space="0" w:color="auto"/>
            </w:tcBorders>
            <w:shd w:val="clear" w:color="000000" w:fill="8DB4E2"/>
            <w:noWrap/>
            <w:vAlign w:val="bottom"/>
            <w:hideMark/>
          </w:tcPr>
          <w:p w:rsidR="007D5FC8" w:rsidRPr="007D5FC8" w:rsidRDefault="007D5FC8" w:rsidP="004653DA">
            <w:pPr>
              <w:spacing w:after="0" w:line="240" w:lineRule="auto"/>
              <w:rPr>
                <w:rFonts w:ascii="Calibri" w:hAnsi="Calibri" w:cs="Calibri"/>
                <w:color w:val="000000"/>
                <w:sz w:val="22"/>
                <w:szCs w:val="22"/>
              </w:rPr>
            </w:pPr>
            <w:proofErr w:type="gramStart"/>
            <w:r w:rsidRPr="007D5FC8">
              <w:rPr>
                <w:rFonts w:ascii="Calibri" w:hAnsi="Calibri" w:cs="Calibri"/>
                <w:color w:val="000000"/>
                <w:sz w:val="22"/>
                <w:szCs w:val="22"/>
              </w:rPr>
              <w:t>1.1.1995</w:t>
            </w:r>
            <w:proofErr w:type="gramEnd"/>
            <w:r w:rsidRPr="007D5FC8">
              <w:rPr>
                <w:rFonts w:ascii="Calibri" w:hAnsi="Calibri" w:cs="Calibri"/>
                <w:color w:val="000000"/>
                <w:sz w:val="22"/>
                <w:szCs w:val="22"/>
              </w:rPr>
              <w:t xml:space="preserve"> - 30.04.2004</w:t>
            </w:r>
          </w:p>
        </w:tc>
        <w:tc>
          <w:tcPr>
            <w:tcW w:w="1886" w:type="dxa"/>
            <w:tcBorders>
              <w:top w:val="nil"/>
              <w:left w:val="nil"/>
              <w:bottom w:val="single" w:sz="4" w:space="0" w:color="auto"/>
              <w:right w:val="single" w:sz="4" w:space="0" w:color="auto"/>
            </w:tcBorders>
            <w:shd w:val="clear" w:color="000000" w:fill="FFFFFF"/>
            <w:noWrap/>
            <w:vAlign w:val="bottom"/>
            <w:hideMark/>
          </w:tcPr>
          <w:p w:rsidR="007D5FC8" w:rsidRPr="007D5FC8" w:rsidRDefault="007D5FC8" w:rsidP="004653DA">
            <w:pPr>
              <w:spacing w:after="0" w:line="240" w:lineRule="auto"/>
              <w:rPr>
                <w:rFonts w:ascii="Calibri" w:hAnsi="Calibri" w:cs="Calibri"/>
                <w:color w:val="000000"/>
                <w:sz w:val="22"/>
                <w:szCs w:val="22"/>
              </w:rPr>
            </w:pPr>
            <w:r w:rsidRPr="007D5FC8">
              <w:rPr>
                <w:rFonts w:ascii="Calibri" w:hAnsi="Calibri" w:cs="Calibri"/>
                <w:color w:val="000000"/>
                <w:sz w:val="22"/>
                <w:szCs w:val="22"/>
              </w:rPr>
              <w:t>22%</w:t>
            </w:r>
          </w:p>
        </w:tc>
        <w:tc>
          <w:tcPr>
            <w:tcW w:w="1809" w:type="dxa"/>
            <w:tcBorders>
              <w:top w:val="nil"/>
              <w:left w:val="nil"/>
              <w:bottom w:val="single" w:sz="4" w:space="0" w:color="auto"/>
              <w:right w:val="single" w:sz="4" w:space="0" w:color="auto"/>
            </w:tcBorders>
            <w:shd w:val="clear" w:color="000000" w:fill="FFFFFF"/>
            <w:noWrap/>
            <w:vAlign w:val="bottom"/>
            <w:hideMark/>
          </w:tcPr>
          <w:p w:rsidR="007D5FC8" w:rsidRPr="007D5FC8" w:rsidRDefault="007D5FC8" w:rsidP="004653DA">
            <w:pPr>
              <w:spacing w:after="0" w:line="240" w:lineRule="auto"/>
              <w:rPr>
                <w:rFonts w:ascii="Calibri" w:hAnsi="Calibri" w:cs="Calibri"/>
                <w:color w:val="000000"/>
                <w:sz w:val="22"/>
                <w:szCs w:val="22"/>
              </w:rPr>
            </w:pPr>
            <w:r w:rsidRPr="007D5FC8">
              <w:rPr>
                <w:rFonts w:ascii="Calibri" w:hAnsi="Calibri" w:cs="Calibri"/>
                <w:color w:val="000000"/>
                <w:sz w:val="22"/>
                <w:szCs w:val="22"/>
              </w:rPr>
              <w:t>5%</w:t>
            </w:r>
          </w:p>
        </w:tc>
      </w:tr>
      <w:tr w:rsidR="007D5FC8" w:rsidRPr="007D5FC8" w:rsidTr="001F10F8">
        <w:trPr>
          <w:trHeight w:val="341"/>
        </w:trPr>
        <w:tc>
          <w:tcPr>
            <w:tcW w:w="2647" w:type="dxa"/>
            <w:tcBorders>
              <w:top w:val="nil"/>
              <w:left w:val="single" w:sz="4" w:space="0" w:color="auto"/>
              <w:bottom w:val="single" w:sz="4" w:space="0" w:color="auto"/>
              <w:right w:val="single" w:sz="4" w:space="0" w:color="auto"/>
            </w:tcBorders>
            <w:shd w:val="clear" w:color="000000" w:fill="8DB4E2"/>
            <w:noWrap/>
            <w:vAlign w:val="bottom"/>
            <w:hideMark/>
          </w:tcPr>
          <w:p w:rsidR="007D5FC8" w:rsidRPr="007D5FC8" w:rsidRDefault="007D5FC8" w:rsidP="004653DA">
            <w:pPr>
              <w:spacing w:after="0" w:line="240" w:lineRule="auto"/>
              <w:rPr>
                <w:rFonts w:ascii="Calibri" w:hAnsi="Calibri" w:cs="Calibri"/>
                <w:color w:val="000000"/>
                <w:sz w:val="22"/>
                <w:szCs w:val="22"/>
              </w:rPr>
            </w:pPr>
            <w:proofErr w:type="gramStart"/>
            <w:r w:rsidRPr="007D5FC8">
              <w:rPr>
                <w:rFonts w:ascii="Calibri" w:hAnsi="Calibri" w:cs="Calibri"/>
                <w:color w:val="000000"/>
                <w:sz w:val="22"/>
                <w:szCs w:val="22"/>
              </w:rPr>
              <w:t>1.5.2004</w:t>
            </w:r>
            <w:proofErr w:type="gramEnd"/>
            <w:r w:rsidRPr="007D5FC8">
              <w:rPr>
                <w:rFonts w:ascii="Calibri" w:hAnsi="Calibri" w:cs="Calibri"/>
                <w:color w:val="000000"/>
                <w:sz w:val="22"/>
                <w:szCs w:val="22"/>
              </w:rPr>
              <w:t xml:space="preserve"> - 31.12.2007</w:t>
            </w:r>
          </w:p>
        </w:tc>
        <w:tc>
          <w:tcPr>
            <w:tcW w:w="1886" w:type="dxa"/>
            <w:tcBorders>
              <w:top w:val="nil"/>
              <w:left w:val="nil"/>
              <w:bottom w:val="single" w:sz="4" w:space="0" w:color="auto"/>
              <w:right w:val="single" w:sz="4" w:space="0" w:color="auto"/>
            </w:tcBorders>
            <w:shd w:val="clear" w:color="000000" w:fill="FFFFFF"/>
            <w:noWrap/>
            <w:vAlign w:val="bottom"/>
            <w:hideMark/>
          </w:tcPr>
          <w:p w:rsidR="007D5FC8" w:rsidRPr="007D5FC8" w:rsidRDefault="007D5FC8" w:rsidP="004653DA">
            <w:pPr>
              <w:spacing w:after="0" w:line="240" w:lineRule="auto"/>
              <w:rPr>
                <w:rFonts w:ascii="Calibri" w:hAnsi="Calibri" w:cs="Calibri"/>
                <w:color w:val="000000"/>
                <w:sz w:val="22"/>
                <w:szCs w:val="22"/>
              </w:rPr>
            </w:pPr>
            <w:r w:rsidRPr="007D5FC8">
              <w:rPr>
                <w:rFonts w:ascii="Calibri" w:hAnsi="Calibri" w:cs="Calibri"/>
                <w:color w:val="000000"/>
                <w:sz w:val="22"/>
                <w:szCs w:val="22"/>
              </w:rPr>
              <w:t>19%</w:t>
            </w:r>
          </w:p>
        </w:tc>
        <w:tc>
          <w:tcPr>
            <w:tcW w:w="1809" w:type="dxa"/>
            <w:tcBorders>
              <w:top w:val="nil"/>
              <w:left w:val="nil"/>
              <w:bottom w:val="single" w:sz="4" w:space="0" w:color="auto"/>
              <w:right w:val="single" w:sz="4" w:space="0" w:color="auto"/>
            </w:tcBorders>
            <w:shd w:val="clear" w:color="000000" w:fill="FFFFFF"/>
            <w:noWrap/>
            <w:vAlign w:val="bottom"/>
            <w:hideMark/>
          </w:tcPr>
          <w:p w:rsidR="007D5FC8" w:rsidRPr="007D5FC8" w:rsidRDefault="007D5FC8" w:rsidP="004653DA">
            <w:pPr>
              <w:spacing w:after="0" w:line="240" w:lineRule="auto"/>
              <w:rPr>
                <w:rFonts w:ascii="Calibri" w:hAnsi="Calibri" w:cs="Calibri"/>
                <w:color w:val="000000"/>
                <w:sz w:val="22"/>
                <w:szCs w:val="22"/>
              </w:rPr>
            </w:pPr>
            <w:r w:rsidRPr="007D5FC8">
              <w:rPr>
                <w:rFonts w:ascii="Calibri" w:hAnsi="Calibri" w:cs="Calibri"/>
                <w:color w:val="000000"/>
                <w:sz w:val="22"/>
                <w:szCs w:val="22"/>
              </w:rPr>
              <w:t>5%</w:t>
            </w:r>
          </w:p>
        </w:tc>
      </w:tr>
      <w:tr w:rsidR="007D5FC8" w:rsidRPr="007D5FC8" w:rsidTr="001F10F8">
        <w:trPr>
          <w:trHeight w:val="341"/>
        </w:trPr>
        <w:tc>
          <w:tcPr>
            <w:tcW w:w="2647" w:type="dxa"/>
            <w:tcBorders>
              <w:top w:val="nil"/>
              <w:left w:val="single" w:sz="4" w:space="0" w:color="auto"/>
              <w:bottom w:val="single" w:sz="4" w:space="0" w:color="auto"/>
              <w:right w:val="single" w:sz="4" w:space="0" w:color="auto"/>
            </w:tcBorders>
            <w:shd w:val="clear" w:color="000000" w:fill="8DB4E2"/>
            <w:noWrap/>
            <w:vAlign w:val="bottom"/>
            <w:hideMark/>
          </w:tcPr>
          <w:p w:rsidR="007D5FC8" w:rsidRPr="007D5FC8" w:rsidRDefault="007D5FC8" w:rsidP="004653DA">
            <w:pPr>
              <w:spacing w:after="0" w:line="240" w:lineRule="auto"/>
              <w:rPr>
                <w:rFonts w:ascii="Calibri" w:hAnsi="Calibri" w:cs="Calibri"/>
                <w:color w:val="000000"/>
                <w:sz w:val="22"/>
                <w:szCs w:val="22"/>
              </w:rPr>
            </w:pPr>
            <w:proofErr w:type="gramStart"/>
            <w:r w:rsidRPr="007D5FC8">
              <w:rPr>
                <w:rFonts w:ascii="Calibri" w:hAnsi="Calibri" w:cs="Calibri"/>
                <w:color w:val="000000"/>
                <w:sz w:val="22"/>
                <w:szCs w:val="22"/>
              </w:rPr>
              <w:t>1.1.2008</w:t>
            </w:r>
            <w:proofErr w:type="gramEnd"/>
            <w:r w:rsidRPr="007D5FC8">
              <w:rPr>
                <w:rFonts w:ascii="Calibri" w:hAnsi="Calibri" w:cs="Calibri"/>
                <w:color w:val="000000"/>
                <w:sz w:val="22"/>
                <w:szCs w:val="22"/>
              </w:rPr>
              <w:t xml:space="preserve"> - 31.12.2009</w:t>
            </w:r>
          </w:p>
        </w:tc>
        <w:tc>
          <w:tcPr>
            <w:tcW w:w="1886" w:type="dxa"/>
            <w:tcBorders>
              <w:top w:val="nil"/>
              <w:left w:val="nil"/>
              <w:bottom w:val="single" w:sz="4" w:space="0" w:color="auto"/>
              <w:right w:val="single" w:sz="4" w:space="0" w:color="auto"/>
            </w:tcBorders>
            <w:shd w:val="clear" w:color="000000" w:fill="FFFFFF"/>
            <w:noWrap/>
            <w:vAlign w:val="bottom"/>
            <w:hideMark/>
          </w:tcPr>
          <w:p w:rsidR="007D5FC8" w:rsidRPr="007D5FC8" w:rsidRDefault="007D5FC8" w:rsidP="004653DA">
            <w:pPr>
              <w:spacing w:after="0" w:line="240" w:lineRule="auto"/>
              <w:rPr>
                <w:rFonts w:ascii="Calibri" w:hAnsi="Calibri" w:cs="Calibri"/>
                <w:color w:val="000000"/>
                <w:sz w:val="22"/>
                <w:szCs w:val="22"/>
              </w:rPr>
            </w:pPr>
            <w:r w:rsidRPr="007D5FC8">
              <w:rPr>
                <w:rFonts w:ascii="Calibri" w:hAnsi="Calibri" w:cs="Calibri"/>
                <w:color w:val="000000"/>
                <w:sz w:val="22"/>
                <w:szCs w:val="22"/>
              </w:rPr>
              <w:t>19%</w:t>
            </w:r>
          </w:p>
        </w:tc>
        <w:tc>
          <w:tcPr>
            <w:tcW w:w="1809" w:type="dxa"/>
            <w:tcBorders>
              <w:top w:val="nil"/>
              <w:left w:val="nil"/>
              <w:bottom w:val="single" w:sz="4" w:space="0" w:color="auto"/>
              <w:right w:val="single" w:sz="4" w:space="0" w:color="auto"/>
            </w:tcBorders>
            <w:shd w:val="clear" w:color="000000" w:fill="FFFFFF"/>
            <w:noWrap/>
            <w:vAlign w:val="bottom"/>
            <w:hideMark/>
          </w:tcPr>
          <w:p w:rsidR="007D5FC8" w:rsidRPr="007D5FC8" w:rsidRDefault="007D5FC8" w:rsidP="004653DA">
            <w:pPr>
              <w:spacing w:after="0" w:line="240" w:lineRule="auto"/>
              <w:rPr>
                <w:rFonts w:ascii="Calibri" w:hAnsi="Calibri" w:cs="Calibri"/>
                <w:color w:val="000000"/>
                <w:sz w:val="22"/>
                <w:szCs w:val="22"/>
              </w:rPr>
            </w:pPr>
            <w:r w:rsidRPr="007D5FC8">
              <w:rPr>
                <w:rFonts w:ascii="Calibri" w:hAnsi="Calibri" w:cs="Calibri"/>
                <w:color w:val="000000"/>
                <w:sz w:val="22"/>
                <w:szCs w:val="22"/>
              </w:rPr>
              <w:t>9%</w:t>
            </w:r>
          </w:p>
        </w:tc>
      </w:tr>
      <w:tr w:rsidR="007D5FC8" w:rsidRPr="007D5FC8" w:rsidTr="001F10F8">
        <w:trPr>
          <w:trHeight w:val="341"/>
        </w:trPr>
        <w:tc>
          <w:tcPr>
            <w:tcW w:w="2647" w:type="dxa"/>
            <w:tcBorders>
              <w:top w:val="nil"/>
              <w:left w:val="single" w:sz="4" w:space="0" w:color="auto"/>
              <w:bottom w:val="single" w:sz="4" w:space="0" w:color="auto"/>
              <w:right w:val="single" w:sz="4" w:space="0" w:color="auto"/>
            </w:tcBorders>
            <w:shd w:val="clear" w:color="000000" w:fill="8DB4E2"/>
            <w:noWrap/>
            <w:vAlign w:val="bottom"/>
            <w:hideMark/>
          </w:tcPr>
          <w:p w:rsidR="007D5FC8" w:rsidRPr="007D5FC8" w:rsidRDefault="007D5FC8" w:rsidP="004653DA">
            <w:pPr>
              <w:spacing w:after="0" w:line="240" w:lineRule="auto"/>
              <w:rPr>
                <w:rFonts w:ascii="Calibri" w:hAnsi="Calibri" w:cs="Calibri"/>
                <w:color w:val="000000"/>
                <w:sz w:val="22"/>
                <w:szCs w:val="22"/>
              </w:rPr>
            </w:pPr>
            <w:proofErr w:type="gramStart"/>
            <w:r w:rsidRPr="007D5FC8">
              <w:rPr>
                <w:rFonts w:ascii="Calibri" w:hAnsi="Calibri" w:cs="Calibri"/>
                <w:color w:val="000000"/>
                <w:sz w:val="22"/>
                <w:szCs w:val="22"/>
              </w:rPr>
              <w:t>1.1.2010</w:t>
            </w:r>
            <w:proofErr w:type="gramEnd"/>
          </w:p>
        </w:tc>
        <w:tc>
          <w:tcPr>
            <w:tcW w:w="1886" w:type="dxa"/>
            <w:tcBorders>
              <w:top w:val="nil"/>
              <w:left w:val="nil"/>
              <w:bottom w:val="single" w:sz="4" w:space="0" w:color="auto"/>
              <w:right w:val="single" w:sz="4" w:space="0" w:color="auto"/>
            </w:tcBorders>
            <w:shd w:val="clear" w:color="000000" w:fill="FFFFFF"/>
            <w:noWrap/>
            <w:vAlign w:val="bottom"/>
            <w:hideMark/>
          </w:tcPr>
          <w:p w:rsidR="007D5FC8" w:rsidRPr="007D5FC8" w:rsidRDefault="007D5FC8" w:rsidP="004653DA">
            <w:pPr>
              <w:spacing w:after="0" w:line="240" w:lineRule="auto"/>
              <w:rPr>
                <w:rFonts w:ascii="Calibri" w:hAnsi="Calibri" w:cs="Calibri"/>
                <w:color w:val="000000"/>
                <w:sz w:val="22"/>
                <w:szCs w:val="22"/>
              </w:rPr>
            </w:pPr>
            <w:r w:rsidRPr="007D5FC8">
              <w:rPr>
                <w:rFonts w:ascii="Calibri" w:hAnsi="Calibri" w:cs="Calibri"/>
                <w:color w:val="000000"/>
                <w:sz w:val="22"/>
                <w:szCs w:val="22"/>
              </w:rPr>
              <w:t>20%</w:t>
            </w:r>
          </w:p>
        </w:tc>
        <w:tc>
          <w:tcPr>
            <w:tcW w:w="1809" w:type="dxa"/>
            <w:tcBorders>
              <w:top w:val="nil"/>
              <w:left w:val="nil"/>
              <w:bottom w:val="single" w:sz="4" w:space="0" w:color="auto"/>
              <w:right w:val="single" w:sz="4" w:space="0" w:color="auto"/>
            </w:tcBorders>
            <w:shd w:val="clear" w:color="000000" w:fill="FFFFFF"/>
            <w:noWrap/>
            <w:vAlign w:val="bottom"/>
            <w:hideMark/>
          </w:tcPr>
          <w:p w:rsidR="007D5FC8" w:rsidRPr="007D5FC8" w:rsidRDefault="007D5FC8" w:rsidP="004653DA">
            <w:pPr>
              <w:spacing w:after="0" w:line="240" w:lineRule="auto"/>
              <w:rPr>
                <w:rFonts w:ascii="Calibri" w:hAnsi="Calibri" w:cs="Calibri"/>
                <w:color w:val="000000"/>
                <w:sz w:val="22"/>
                <w:szCs w:val="22"/>
              </w:rPr>
            </w:pPr>
            <w:r w:rsidRPr="007D5FC8">
              <w:rPr>
                <w:rFonts w:ascii="Calibri" w:hAnsi="Calibri" w:cs="Calibri"/>
                <w:color w:val="000000"/>
                <w:sz w:val="22"/>
                <w:szCs w:val="22"/>
              </w:rPr>
              <w:t>10%</w:t>
            </w:r>
          </w:p>
        </w:tc>
      </w:tr>
    </w:tbl>
    <w:p w:rsidR="00972588" w:rsidRPr="00972588" w:rsidRDefault="00972588" w:rsidP="004653DA">
      <w:pPr>
        <w:rPr>
          <w:sz w:val="20"/>
        </w:rPr>
      </w:pPr>
      <w:r w:rsidRPr="00972588">
        <w:rPr>
          <w:sz w:val="20"/>
        </w:rPr>
        <w:t>Tabulka číslo 1: Historický přehled sazeb DPH v ČR</w:t>
      </w:r>
    </w:p>
    <w:p w:rsidR="00972588" w:rsidRDefault="00972588" w:rsidP="004653DA">
      <w:pPr>
        <w:rPr>
          <w:sz w:val="20"/>
        </w:rPr>
      </w:pPr>
      <w:r w:rsidRPr="00972588">
        <w:rPr>
          <w:sz w:val="20"/>
        </w:rPr>
        <w:t xml:space="preserve">Zdroj: Autor  </w:t>
      </w:r>
      <w:r w:rsidRPr="00972588">
        <w:rPr>
          <w:rStyle w:val="Znakapoznpodarou"/>
          <w:sz w:val="20"/>
        </w:rPr>
        <w:footnoteReference w:id="17"/>
      </w:r>
    </w:p>
    <w:p w:rsidR="00770DA4" w:rsidRDefault="00445064" w:rsidP="004653DA">
      <w:pPr>
        <w:rPr>
          <w:sz w:val="20"/>
        </w:rPr>
      </w:pPr>
      <w:r>
        <w:rPr>
          <w:noProof/>
        </w:rPr>
        <w:lastRenderedPageBreak/>
        <w:drawing>
          <wp:inline distT="0" distB="0" distL="0" distR="0" wp14:anchorId="40E26924" wp14:editId="48E86F4E">
            <wp:extent cx="4572000" cy="2743200"/>
            <wp:effectExtent l="0" t="0" r="19050" b="1905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45064" w:rsidRDefault="00445064" w:rsidP="004653DA">
      <w:pPr>
        <w:rPr>
          <w:sz w:val="20"/>
        </w:rPr>
      </w:pPr>
      <w:r>
        <w:rPr>
          <w:sz w:val="20"/>
        </w:rPr>
        <w:t>Graf číslo 1: Vývoj HDP v letech 1993-1995</w:t>
      </w:r>
    </w:p>
    <w:p w:rsidR="00972588" w:rsidRDefault="00972588" w:rsidP="004653DA">
      <w:r>
        <w:t>Důvody změny sazby DPH v jednotlivých letech:</w:t>
      </w:r>
    </w:p>
    <w:p w:rsidR="00972588" w:rsidRDefault="00EF1C5D" w:rsidP="004653DA">
      <w:pPr>
        <w:pStyle w:val="Odstavecseseznamem"/>
        <w:numPr>
          <w:ilvl w:val="0"/>
          <w:numId w:val="12"/>
        </w:numPr>
      </w:pPr>
      <w:r>
        <w:t xml:space="preserve">1993-1994: </w:t>
      </w:r>
      <w:r w:rsidR="00972588">
        <w:t>Vzhledem k tomu, že DPH je jednou z podmínek členství v EU, stanovení výše sazby DPH v roku 1993 bylo určené tak, aby daň</w:t>
      </w:r>
      <w:r w:rsidR="001B2D1B">
        <w:t>ov</w:t>
      </w:r>
      <w:r w:rsidR="00972588">
        <w:t>á sazba byla v souladu s tzv. Šestou směrnicí, která je základním právním dokumentem pro harmonizaci DPH v členských státech EU.</w:t>
      </w:r>
      <w:r>
        <w:rPr>
          <w:rStyle w:val="Znakapoznpodarou"/>
        </w:rPr>
        <w:footnoteReference w:id="18"/>
      </w:r>
    </w:p>
    <w:p w:rsidR="00EF1C5D" w:rsidRPr="00ED3034" w:rsidRDefault="00EF1C5D" w:rsidP="004653DA">
      <w:pPr>
        <w:pStyle w:val="Odstavecseseznamem"/>
        <w:numPr>
          <w:ilvl w:val="0"/>
          <w:numId w:val="12"/>
        </w:numPr>
        <w:rPr>
          <w:highlight w:val="yellow"/>
        </w:rPr>
      </w:pPr>
      <w:r w:rsidRPr="00ED3034">
        <w:rPr>
          <w:highlight w:val="yellow"/>
        </w:rPr>
        <w:t>1995-</w:t>
      </w:r>
      <w:r w:rsidR="001B2D1B" w:rsidRPr="00ED3034">
        <w:rPr>
          <w:highlight w:val="yellow"/>
        </w:rPr>
        <w:t xml:space="preserve"> </w:t>
      </w:r>
      <w:proofErr w:type="gramStart"/>
      <w:r w:rsidR="001B2D1B" w:rsidRPr="00ED3034">
        <w:rPr>
          <w:highlight w:val="yellow"/>
        </w:rPr>
        <w:t>30.4.</w:t>
      </w:r>
      <w:r w:rsidRPr="00ED3034">
        <w:rPr>
          <w:highlight w:val="yellow"/>
        </w:rPr>
        <w:t>2004</w:t>
      </w:r>
      <w:proofErr w:type="gramEnd"/>
      <w:r w:rsidRPr="00ED3034">
        <w:rPr>
          <w:highlight w:val="yellow"/>
        </w:rPr>
        <w:t xml:space="preserve">: </w:t>
      </w:r>
      <w:r w:rsidR="005D658A">
        <w:rPr>
          <w:highlight w:val="yellow"/>
          <w:lang w:val="en-US"/>
        </w:rPr>
        <w:t>vyžaduje konzultaci</w:t>
      </w:r>
    </w:p>
    <w:p w:rsidR="001B2D1B" w:rsidRPr="00ED3034" w:rsidRDefault="001B2D1B" w:rsidP="004653DA">
      <w:pPr>
        <w:pStyle w:val="Odstavecseseznamem"/>
        <w:numPr>
          <w:ilvl w:val="0"/>
          <w:numId w:val="12"/>
        </w:numPr>
        <w:rPr>
          <w:highlight w:val="yellow"/>
        </w:rPr>
      </w:pPr>
      <w:proofErr w:type="gramStart"/>
      <w:r w:rsidRPr="00ED3034">
        <w:rPr>
          <w:highlight w:val="yellow"/>
        </w:rPr>
        <w:t>1.5.2004</w:t>
      </w:r>
      <w:proofErr w:type="gramEnd"/>
      <w:r w:rsidRPr="00ED3034">
        <w:rPr>
          <w:highlight w:val="yellow"/>
        </w:rPr>
        <w:t xml:space="preserve">-2007: Tato změna DPH souvisela se vstupem ČR do EU. Tím pádem došlo k narovnání tak, aby výše sazby DPH souvisela se 6. </w:t>
      </w:r>
      <w:r w:rsidR="00EA2E94" w:rsidRPr="00ED3034">
        <w:rPr>
          <w:highlight w:val="yellow"/>
        </w:rPr>
        <w:t>S</w:t>
      </w:r>
      <w:r w:rsidRPr="00ED3034">
        <w:rPr>
          <w:highlight w:val="yellow"/>
        </w:rPr>
        <w:t>měrnicí</w:t>
      </w:r>
      <w:r w:rsidR="005D658A">
        <w:rPr>
          <w:highlight w:val="yellow"/>
        </w:rPr>
        <w:t xml:space="preserve"> </w:t>
      </w:r>
      <w:r w:rsidR="005D658A">
        <w:rPr>
          <w:highlight w:val="yellow"/>
          <w:lang w:val="en-US"/>
        </w:rPr>
        <w:t>vyžaduje konzultaci</w:t>
      </w:r>
    </w:p>
    <w:p w:rsidR="00EA2E94" w:rsidRDefault="00EA2E94" w:rsidP="004653DA">
      <w:pPr>
        <w:pStyle w:val="Odstavecseseznamem"/>
        <w:numPr>
          <w:ilvl w:val="0"/>
          <w:numId w:val="12"/>
        </w:numPr>
      </w:pPr>
      <w:r>
        <w:t>2008-2009:</w:t>
      </w:r>
      <w:r w:rsidR="00ED3034">
        <w:t xml:space="preserve"> Došlo ke zvýšení snížené sazby daně z původních 5% na 9%. Důvodem tohoto zvýšení byl záměr, aby nepřímé daně ovlivňovali růst HDP ve větší míře. Spolu se zvyšováním nepřímých daní, mezi které DPH </w:t>
      </w:r>
      <w:proofErr w:type="gramStart"/>
      <w:r w:rsidR="00ED3034">
        <w:t>patří docházelo</w:t>
      </w:r>
      <w:proofErr w:type="gramEnd"/>
      <w:r w:rsidR="00ED3034">
        <w:t xml:space="preserve"> k postupnému snižování vlivu přímých daní na HDP.</w:t>
      </w:r>
      <w:r w:rsidR="00647186">
        <w:rPr>
          <w:rStyle w:val="Znakapoznpodarou"/>
        </w:rPr>
        <w:footnoteReference w:id="19"/>
      </w:r>
    </w:p>
    <w:p w:rsidR="00EA2E94" w:rsidRPr="00ED3034" w:rsidRDefault="00EA2E94" w:rsidP="004653DA">
      <w:pPr>
        <w:pStyle w:val="Odstavecseseznamem"/>
        <w:numPr>
          <w:ilvl w:val="0"/>
          <w:numId w:val="12"/>
        </w:numPr>
        <w:rPr>
          <w:highlight w:val="yellow"/>
        </w:rPr>
      </w:pPr>
      <w:r w:rsidRPr="00ED3034">
        <w:rPr>
          <w:highlight w:val="yellow"/>
        </w:rPr>
        <w:t xml:space="preserve">2010-: </w:t>
      </w:r>
      <w:r w:rsidR="005D658A">
        <w:rPr>
          <w:highlight w:val="yellow"/>
          <w:lang w:val="en-US"/>
        </w:rPr>
        <w:t>vyžaduje konzultaci</w:t>
      </w:r>
    </w:p>
    <w:p w:rsidR="00EA2E94" w:rsidRDefault="00EA2E94" w:rsidP="004653DA">
      <w:pPr>
        <w:pStyle w:val="Nadpis3"/>
        <w:jc w:val="both"/>
      </w:pPr>
      <w:bookmarkStart w:id="22" w:name="_Toc307937062"/>
      <w:r>
        <w:lastRenderedPageBreak/>
        <w:t>Vývoj v</w:t>
      </w:r>
      <w:r w:rsidR="00E15F59">
        <w:t> </w:t>
      </w:r>
      <w:r>
        <w:t>S</w:t>
      </w:r>
      <w:r w:rsidR="00E15F59">
        <w:t>lovenské republice</w:t>
      </w:r>
      <w:bookmarkEnd w:id="22"/>
    </w:p>
    <w:tbl>
      <w:tblPr>
        <w:tblW w:w="6223" w:type="dxa"/>
        <w:tblInd w:w="55" w:type="dxa"/>
        <w:tblCellMar>
          <w:left w:w="70" w:type="dxa"/>
          <w:right w:w="70" w:type="dxa"/>
        </w:tblCellMar>
        <w:tblLook w:val="04A0" w:firstRow="1" w:lastRow="0" w:firstColumn="1" w:lastColumn="0" w:noHBand="0" w:noVBand="1"/>
      </w:tblPr>
      <w:tblGrid>
        <w:gridCol w:w="2597"/>
        <w:gridCol w:w="1851"/>
        <w:gridCol w:w="1775"/>
      </w:tblGrid>
      <w:tr w:rsidR="00EA2E94" w:rsidRPr="00EA2E94" w:rsidTr="001F10F8">
        <w:trPr>
          <w:trHeight w:val="289"/>
        </w:trPr>
        <w:tc>
          <w:tcPr>
            <w:tcW w:w="2597"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EA2E94" w:rsidRPr="00EA2E94" w:rsidRDefault="00EA2E94" w:rsidP="004653DA">
            <w:pPr>
              <w:spacing w:after="0" w:line="240" w:lineRule="auto"/>
              <w:rPr>
                <w:rFonts w:ascii="Calibri" w:hAnsi="Calibri" w:cs="Calibri"/>
                <w:color w:val="000000"/>
                <w:sz w:val="22"/>
                <w:szCs w:val="22"/>
              </w:rPr>
            </w:pPr>
            <w:r w:rsidRPr="00EA2E94">
              <w:rPr>
                <w:rFonts w:ascii="Calibri" w:hAnsi="Calibri" w:cs="Calibri"/>
                <w:color w:val="000000"/>
                <w:sz w:val="22"/>
                <w:szCs w:val="22"/>
              </w:rPr>
              <w:t>Období</w:t>
            </w:r>
          </w:p>
        </w:tc>
        <w:tc>
          <w:tcPr>
            <w:tcW w:w="1851" w:type="dxa"/>
            <w:tcBorders>
              <w:top w:val="single" w:sz="4" w:space="0" w:color="auto"/>
              <w:left w:val="nil"/>
              <w:bottom w:val="single" w:sz="4" w:space="0" w:color="auto"/>
              <w:right w:val="single" w:sz="4" w:space="0" w:color="auto"/>
            </w:tcBorders>
            <w:shd w:val="clear" w:color="000000" w:fill="FDE9D9"/>
            <w:noWrap/>
            <w:vAlign w:val="bottom"/>
            <w:hideMark/>
          </w:tcPr>
          <w:p w:rsidR="00EA2E94" w:rsidRPr="00EA2E94" w:rsidRDefault="00EA2E94" w:rsidP="004653DA">
            <w:pPr>
              <w:spacing w:after="0" w:line="240" w:lineRule="auto"/>
              <w:rPr>
                <w:rFonts w:ascii="Calibri" w:hAnsi="Calibri" w:cs="Calibri"/>
                <w:color w:val="000000"/>
                <w:sz w:val="22"/>
                <w:szCs w:val="22"/>
              </w:rPr>
            </w:pPr>
            <w:r w:rsidRPr="00EA2E94">
              <w:rPr>
                <w:rFonts w:ascii="Calibri" w:hAnsi="Calibri" w:cs="Calibri"/>
                <w:color w:val="000000"/>
                <w:sz w:val="22"/>
                <w:szCs w:val="22"/>
              </w:rPr>
              <w:t>Základní sazba</w:t>
            </w:r>
          </w:p>
        </w:tc>
        <w:tc>
          <w:tcPr>
            <w:tcW w:w="1775" w:type="dxa"/>
            <w:tcBorders>
              <w:top w:val="single" w:sz="4" w:space="0" w:color="auto"/>
              <w:left w:val="nil"/>
              <w:bottom w:val="single" w:sz="4" w:space="0" w:color="auto"/>
              <w:right w:val="single" w:sz="4" w:space="0" w:color="auto"/>
            </w:tcBorders>
            <w:shd w:val="clear" w:color="000000" w:fill="FDE9D9"/>
            <w:noWrap/>
            <w:vAlign w:val="bottom"/>
            <w:hideMark/>
          </w:tcPr>
          <w:p w:rsidR="00EA2E94" w:rsidRPr="00EA2E94" w:rsidRDefault="00EA2E94" w:rsidP="004653DA">
            <w:pPr>
              <w:spacing w:after="0" w:line="240" w:lineRule="auto"/>
              <w:rPr>
                <w:rFonts w:ascii="Calibri" w:hAnsi="Calibri" w:cs="Calibri"/>
                <w:color w:val="000000"/>
                <w:sz w:val="22"/>
                <w:szCs w:val="22"/>
              </w:rPr>
            </w:pPr>
            <w:r w:rsidRPr="00EA2E94">
              <w:rPr>
                <w:rFonts w:ascii="Calibri" w:hAnsi="Calibri" w:cs="Calibri"/>
                <w:color w:val="000000"/>
                <w:sz w:val="22"/>
                <w:szCs w:val="22"/>
              </w:rPr>
              <w:t>Snížená sazba</w:t>
            </w:r>
          </w:p>
        </w:tc>
      </w:tr>
      <w:tr w:rsidR="00EA2E94" w:rsidRPr="00EA2E94" w:rsidTr="001F10F8">
        <w:trPr>
          <w:trHeight w:val="289"/>
        </w:trPr>
        <w:tc>
          <w:tcPr>
            <w:tcW w:w="2597" w:type="dxa"/>
            <w:tcBorders>
              <w:top w:val="nil"/>
              <w:left w:val="single" w:sz="4" w:space="0" w:color="auto"/>
              <w:bottom w:val="single" w:sz="4" w:space="0" w:color="auto"/>
              <w:right w:val="single" w:sz="4" w:space="0" w:color="auto"/>
            </w:tcBorders>
            <w:shd w:val="clear" w:color="000000" w:fill="FDE9D9"/>
            <w:noWrap/>
            <w:vAlign w:val="bottom"/>
            <w:hideMark/>
          </w:tcPr>
          <w:p w:rsidR="00EA2E94" w:rsidRPr="00EA2E94" w:rsidRDefault="00EA2E94" w:rsidP="004653DA">
            <w:pPr>
              <w:spacing w:after="0" w:line="240" w:lineRule="auto"/>
              <w:rPr>
                <w:rFonts w:ascii="Calibri" w:hAnsi="Calibri" w:cs="Calibri"/>
                <w:color w:val="000000"/>
                <w:sz w:val="22"/>
                <w:szCs w:val="22"/>
              </w:rPr>
            </w:pPr>
            <w:proofErr w:type="gramStart"/>
            <w:r w:rsidRPr="00EA2E94">
              <w:rPr>
                <w:rFonts w:ascii="Calibri" w:hAnsi="Calibri" w:cs="Calibri"/>
                <w:color w:val="000000"/>
                <w:sz w:val="22"/>
                <w:szCs w:val="22"/>
              </w:rPr>
              <w:t>1.1.1993</w:t>
            </w:r>
            <w:proofErr w:type="gramEnd"/>
            <w:r w:rsidRPr="00EA2E94">
              <w:rPr>
                <w:rFonts w:ascii="Calibri" w:hAnsi="Calibri" w:cs="Calibri"/>
                <w:color w:val="000000"/>
                <w:sz w:val="22"/>
                <w:szCs w:val="22"/>
              </w:rPr>
              <w:t xml:space="preserve"> - 31.12.1995</w:t>
            </w:r>
          </w:p>
        </w:tc>
        <w:tc>
          <w:tcPr>
            <w:tcW w:w="1851" w:type="dxa"/>
            <w:tcBorders>
              <w:top w:val="nil"/>
              <w:left w:val="nil"/>
              <w:bottom w:val="single" w:sz="4" w:space="0" w:color="auto"/>
              <w:right w:val="single" w:sz="4" w:space="0" w:color="auto"/>
            </w:tcBorders>
            <w:shd w:val="clear" w:color="000000" w:fill="FFFFFF"/>
            <w:noWrap/>
            <w:vAlign w:val="bottom"/>
            <w:hideMark/>
          </w:tcPr>
          <w:p w:rsidR="00EA2E94" w:rsidRPr="00EA2E94" w:rsidRDefault="00EA2E94" w:rsidP="004653DA">
            <w:pPr>
              <w:spacing w:after="0" w:line="240" w:lineRule="auto"/>
              <w:rPr>
                <w:rFonts w:ascii="Calibri" w:hAnsi="Calibri" w:cs="Calibri"/>
                <w:color w:val="000000"/>
                <w:sz w:val="22"/>
                <w:szCs w:val="22"/>
              </w:rPr>
            </w:pPr>
            <w:r w:rsidRPr="00EA2E94">
              <w:rPr>
                <w:rFonts w:ascii="Calibri" w:hAnsi="Calibri" w:cs="Calibri"/>
                <w:color w:val="000000"/>
                <w:sz w:val="22"/>
                <w:szCs w:val="22"/>
              </w:rPr>
              <w:t>23%</w:t>
            </w:r>
          </w:p>
        </w:tc>
        <w:tc>
          <w:tcPr>
            <w:tcW w:w="1775" w:type="dxa"/>
            <w:tcBorders>
              <w:top w:val="nil"/>
              <w:left w:val="nil"/>
              <w:bottom w:val="single" w:sz="4" w:space="0" w:color="auto"/>
              <w:right w:val="single" w:sz="4" w:space="0" w:color="auto"/>
            </w:tcBorders>
            <w:shd w:val="clear" w:color="000000" w:fill="FFFFFF"/>
            <w:noWrap/>
            <w:vAlign w:val="bottom"/>
            <w:hideMark/>
          </w:tcPr>
          <w:p w:rsidR="00EA2E94" w:rsidRPr="00EA2E94" w:rsidRDefault="00EA2E94" w:rsidP="004653DA">
            <w:pPr>
              <w:spacing w:after="0" w:line="240" w:lineRule="auto"/>
              <w:rPr>
                <w:rFonts w:ascii="Calibri" w:hAnsi="Calibri" w:cs="Calibri"/>
                <w:color w:val="000000"/>
                <w:sz w:val="22"/>
                <w:szCs w:val="22"/>
              </w:rPr>
            </w:pPr>
            <w:r w:rsidRPr="00EA2E94">
              <w:rPr>
                <w:rFonts w:ascii="Calibri" w:hAnsi="Calibri" w:cs="Calibri"/>
                <w:color w:val="000000"/>
                <w:sz w:val="22"/>
                <w:szCs w:val="22"/>
              </w:rPr>
              <w:t>5%</w:t>
            </w:r>
          </w:p>
        </w:tc>
      </w:tr>
      <w:tr w:rsidR="00EA2E94" w:rsidRPr="00EA2E94" w:rsidTr="001F10F8">
        <w:trPr>
          <w:trHeight w:val="289"/>
        </w:trPr>
        <w:tc>
          <w:tcPr>
            <w:tcW w:w="2597" w:type="dxa"/>
            <w:tcBorders>
              <w:top w:val="nil"/>
              <w:left w:val="single" w:sz="4" w:space="0" w:color="auto"/>
              <w:bottom w:val="single" w:sz="4" w:space="0" w:color="auto"/>
              <w:right w:val="single" w:sz="4" w:space="0" w:color="auto"/>
            </w:tcBorders>
            <w:shd w:val="clear" w:color="000000" w:fill="FDE9D9"/>
            <w:noWrap/>
            <w:vAlign w:val="bottom"/>
            <w:hideMark/>
          </w:tcPr>
          <w:p w:rsidR="00EA2E94" w:rsidRPr="00EA2E94" w:rsidRDefault="00EA2E94" w:rsidP="004653DA">
            <w:pPr>
              <w:spacing w:after="0" w:line="240" w:lineRule="auto"/>
              <w:rPr>
                <w:rFonts w:ascii="Calibri" w:hAnsi="Calibri" w:cs="Calibri"/>
                <w:color w:val="000000"/>
                <w:sz w:val="22"/>
                <w:szCs w:val="22"/>
              </w:rPr>
            </w:pPr>
            <w:proofErr w:type="gramStart"/>
            <w:r w:rsidRPr="00EA2E94">
              <w:rPr>
                <w:rFonts w:ascii="Calibri" w:hAnsi="Calibri" w:cs="Calibri"/>
                <w:color w:val="000000"/>
                <w:sz w:val="22"/>
                <w:szCs w:val="22"/>
              </w:rPr>
              <w:t>1.1.1996</w:t>
            </w:r>
            <w:proofErr w:type="gramEnd"/>
            <w:r w:rsidRPr="00EA2E94">
              <w:rPr>
                <w:rFonts w:ascii="Calibri" w:hAnsi="Calibri" w:cs="Calibri"/>
                <w:color w:val="000000"/>
                <w:sz w:val="22"/>
                <w:szCs w:val="22"/>
              </w:rPr>
              <w:t xml:space="preserve"> - 31.12.1999</w:t>
            </w:r>
          </w:p>
        </w:tc>
        <w:tc>
          <w:tcPr>
            <w:tcW w:w="1851" w:type="dxa"/>
            <w:tcBorders>
              <w:top w:val="nil"/>
              <w:left w:val="nil"/>
              <w:bottom w:val="single" w:sz="4" w:space="0" w:color="auto"/>
              <w:right w:val="single" w:sz="4" w:space="0" w:color="auto"/>
            </w:tcBorders>
            <w:shd w:val="clear" w:color="000000" w:fill="FFFFFF"/>
            <w:noWrap/>
            <w:vAlign w:val="bottom"/>
            <w:hideMark/>
          </w:tcPr>
          <w:p w:rsidR="00EA2E94" w:rsidRPr="00EA2E94" w:rsidRDefault="00EA2E94" w:rsidP="004653DA">
            <w:pPr>
              <w:spacing w:after="0" w:line="240" w:lineRule="auto"/>
              <w:rPr>
                <w:rFonts w:ascii="Calibri" w:hAnsi="Calibri" w:cs="Calibri"/>
                <w:color w:val="000000"/>
                <w:sz w:val="22"/>
                <w:szCs w:val="22"/>
              </w:rPr>
            </w:pPr>
            <w:r w:rsidRPr="00EA2E94">
              <w:rPr>
                <w:rFonts w:ascii="Calibri" w:hAnsi="Calibri" w:cs="Calibri"/>
                <w:color w:val="000000"/>
                <w:sz w:val="22"/>
                <w:szCs w:val="22"/>
              </w:rPr>
              <w:t>23%</w:t>
            </w:r>
          </w:p>
        </w:tc>
        <w:tc>
          <w:tcPr>
            <w:tcW w:w="1775" w:type="dxa"/>
            <w:tcBorders>
              <w:top w:val="nil"/>
              <w:left w:val="nil"/>
              <w:bottom w:val="single" w:sz="4" w:space="0" w:color="auto"/>
              <w:right w:val="single" w:sz="4" w:space="0" w:color="auto"/>
            </w:tcBorders>
            <w:shd w:val="clear" w:color="000000" w:fill="FFFFFF"/>
            <w:noWrap/>
            <w:vAlign w:val="bottom"/>
            <w:hideMark/>
          </w:tcPr>
          <w:p w:rsidR="00EA2E94" w:rsidRPr="00EA2E94" w:rsidRDefault="00EA2E94" w:rsidP="004653DA">
            <w:pPr>
              <w:spacing w:after="0" w:line="240" w:lineRule="auto"/>
              <w:rPr>
                <w:rFonts w:ascii="Calibri" w:hAnsi="Calibri" w:cs="Calibri"/>
                <w:color w:val="000000"/>
                <w:sz w:val="22"/>
                <w:szCs w:val="22"/>
              </w:rPr>
            </w:pPr>
            <w:r w:rsidRPr="00EA2E94">
              <w:rPr>
                <w:rFonts w:ascii="Calibri" w:hAnsi="Calibri" w:cs="Calibri"/>
                <w:color w:val="000000"/>
                <w:sz w:val="22"/>
                <w:szCs w:val="22"/>
              </w:rPr>
              <w:t>6%</w:t>
            </w:r>
          </w:p>
        </w:tc>
      </w:tr>
      <w:tr w:rsidR="00EA2E94" w:rsidRPr="00EA2E94" w:rsidTr="001F10F8">
        <w:trPr>
          <w:trHeight w:val="289"/>
        </w:trPr>
        <w:tc>
          <w:tcPr>
            <w:tcW w:w="2597" w:type="dxa"/>
            <w:tcBorders>
              <w:top w:val="nil"/>
              <w:left w:val="single" w:sz="4" w:space="0" w:color="auto"/>
              <w:bottom w:val="single" w:sz="4" w:space="0" w:color="auto"/>
              <w:right w:val="single" w:sz="4" w:space="0" w:color="auto"/>
            </w:tcBorders>
            <w:shd w:val="clear" w:color="000000" w:fill="FDE9D9"/>
            <w:noWrap/>
            <w:vAlign w:val="bottom"/>
            <w:hideMark/>
          </w:tcPr>
          <w:p w:rsidR="00EA2E94" w:rsidRPr="00EA2E94" w:rsidRDefault="00EA2E94" w:rsidP="004653DA">
            <w:pPr>
              <w:spacing w:after="0" w:line="240" w:lineRule="auto"/>
              <w:rPr>
                <w:rFonts w:ascii="Calibri" w:hAnsi="Calibri" w:cs="Calibri"/>
                <w:color w:val="000000"/>
                <w:sz w:val="22"/>
                <w:szCs w:val="22"/>
              </w:rPr>
            </w:pPr>
            <w:proofErr w:type="gramStart"/>
            <w:r w:rsidRPr="00EA2E94">
              <w:rPr>
                <w:rFonts w:ascii="Calibri" w:hAnsi="Calibri" w:cs="Calibri"/>
                <w:color w:val="000000"/>
                <w:sz w:val="22"/>
                <w:szCs w:val="22"/>
              </w:rPr>
              <w:t>1.1.2000</w:t>
            </w:r>
            <w:proofErr w:type="gramEnd"/>
            <w:r w:rsidRPr="00EA2E94">
              <w:rPr>
                <w:rFonts w:ascii="Calibri" w:hAnsi="Calibri" w:cs="Calibri"/>
                <w:color w:val="000000"/>
                <w:sz w:val="22"/>
                <w:szCs w:val="22"/>
              </w:rPr>
              <w:t xml:space="preserve"> - 31.12.2002</w:t>
            </w:r>
          </w:p>
        </w:tc>
        <w:tc>
          <w:tcPr>
            <w:tcW w:w="1851" w:type="dxa"/>
            <w:tcBorders>
              <w:top w:val="nil"/>
              <w:left w:val="nil"/>
              <w:bottom w:val="single" w:sz="4" w:space="0" w:color="auto"/>
              <w:right w:val="single" w:sz="4" w:space="0" w:color="auto"/>
            </w:tcBorders>
            <w:shd w:val="clear" w:color="000000" w:fill="FFFFFF"/>
            <w:noWrap/>
            <w:vAlign w:val="bottom"/>
            <w:hideMark/>
          </w:tcPr>
          <w:p w:rsidR="00EA2E94" w:rsidRPr="00EA2E94" w:rsidRDefault="00EA2E94" w:rsidP="004653DA">
            <w:pPr>
              <w:spacing w:after="0" w:line="240" w:lineRule="auto"/>
              <w:rPr>
                <w:rFonts w:ascii="Calibri" w:hAnsi="Calibri" w:cs="Calibri"/>
                <w:color w:val="000000"/>
                <w:sz w:val="22"/>
                <w:szCs w:val="22"/>
              </w:rPr>
            </w:pPr>
            <w:r w:rsidRPr="00EA2E94">
              <w:rPr>
                <w:rFonts w:ascii="Calibri" w:hAnsi="Calibri" w:cs="Calibri"/>
                <w:color w:val="000000"/>
                <w:sz w:val="22"/>
                <w:szCs w:val="22"/>
              </w:rPr>
              <w:t>23%</w:t>
            </w:r>
          </w:p>
        </w:tc>
        <w:tc>
          <w:tcPr>
            <w:tcW w:w="1775" w:type="dxa"/>
            <w:tcBorders>
              <w:top w:val="nil"/>
              <w:left w:val="nil"/>
              <w:bottom w:val="single" w:sz="4" w:space="0" w:color="auto"/>
              <w:right w:val="single" w:sz="4" w:space="0" w:color="auto"/>
            </w:tcBorders>
            <w:shd w:val="clear" w:color="000000" w:fill="FFFFFF"/>
            <w:noWrap/>
            <w:vAlign w:val="bottom"/>
            <w:hideMark/>
          </w:tcPr>
          <w:p w:rsidR="00EA2E94" w:rsidRPr="00EA2E94" w:rsidRDefault="00EA2E94" w:rsidP="004653DA">
            <w:pPr>
              <w:spacing w:after="0" w:line="240" w:lineRule="auto"/>
              <w:rPr>
                <w:rFonts w:ascii="Calibri" w:hAnsi="Calibri" w:cs="Calibri"/>
                <w:color w:val="000000"/>
                <w:sz w:val="22"/>
                <w:szCs w:val="22"/>
              </w:rPr>
            </w:pPr>
            <w:r w:rsidRPr="00EA2E94">
              <w:rPr>
                <w:rFonts w:ascii="Calibri" w:hAnsi="Calibri" w:cs="Calibri"/>
                <w:color w:val="000000"/>
                <w:sz w:val="22"/>
                <w:szCs w:val="22"/>
              </w:rPr>
              <w:t>10%</w:t>
            </w:r>
          </w:p>
        </w:tc>
      </w:tr>
      <w:tr w:rsidR="00EA2E94" w:rsidRPr="00EA2E94" w:rsidTr="001F10F8">
        <w:trPr>
          <w:trHeight w:val="289"/>
        </w:trPr>
        <w:tc>
          <w:tcPr>
            <w:tcW w:w="2597" w:type="dxa"/>
            <w:tcBorders>
              <w:top w:val="nil"/>
              <w:left w:val="single" w:sz="4" w:space="0" w:color="auto"/>
              <w:bottom w:val="single" w:sz="4" w:space="0" w:color="auto"/>
              <w:right w:val="single" w:sz="4" w:space="0" w:color="auto"/>
            </w:tcBorders>
            <w:shd w:val="clear" w:color="000000" w:fill="FDE9D9"/>
            <w:noWrap/>
            <w:vAlign w:val="bottom"/>
            <w:hideMark/>
          </w:tcPr>
          <w:p w:rsidR="00EA2E94" w:rsidRPr="00EA2E94" w:rsidRDefault="00EA2E94" w:rsidP="004653DA">
            <w:pPr>
              <w:spacing w:after="0" w:line="240" w:lineRule="auto"/>
              <w:rPr>
                <w:rFonts w:ascii="Calibri" w:hAnsi="Calibri" w:cs="Calibri"/>
                <w:color w:val="000000"/>
                <w:sz w:val="22"/>
                <w:szCs w:val="22"/>
              </w:rPr>
            </w:pPr>
            <w:proofErr w:type="gramStart"/>
            <w:r w:rsidRPr="00EA2E94">
              <w:rPr>
                <w:rFonts w:ascii="Calibri" w:hAnsi="Calibri" w:cs="Calibri"/>
                <w:color w:val="000000"/>
                <w:sz w:val="22"/>
                <w:szCs w:val="22"/>
              </w:rPr>
              <w:t>1.1.2003</w:t>
            </w:r>
            <w:proofErr w:type="gramEnd"/>
            <w:r w:rsidRPr="00EA2E94">
              <w:rPr>
                <w:rFonts w:ascii="Calibri" w:hAnsi="Calibri" w:cs="Calibri"/>
                <w:color w:val="000000"/>
                <w:sz w:val="22"/>
                <w:szCs w:val="22"/>
              </w:rPr>
              <w:t xml:space="preserve"> - 31.12.2003</w:t>
            </w:r>
          </w:p>
        </w:tc>
        <w:tc>
          <w:tcPr>
            <w:tcW w:w="1851" w:type="dxa"/>
            <w:tcBorders>
              <w:top w:val="nil"/>
              <w:left w:val="nil"/>
              <w:bottom w:val="single" w:sz="4" w:space="0" w:color="auto"/>
              <w:right w:val="single" w:sz="4" w:space="0" w:color="auto"/>
            </w:tcBorders>
            <w:shd w:val="clear" w:color="000000" w:fill="FFFFFF"/>
            <w:noWrap/>
            <w:vAlign w:val="bottom"/>
            <w:hideMark/>
          </w:tcPr>
          <w:p w:rsidR="00EA2E94" w:rsidRPr="00EA2E94" w:rsidRDefault="00EA2E94" w:rsidP="004653DA">
            <w:pPr>
              <w:spacing w:after="0" w:line="240" w:lineRule="auto"/>
              <w:rPr>
                <w:rFonts w:ascii="Calibri" w:hAnsi="Calibri" w:cs="Calibri"/>
                <w:color w:val="000000"/>
                <w:sz w:val="22"/>
                <w:szCs w:val="22"/>
              </w:rPr>
            </w:pPr>
            <w:r w:rsidRPr="00EA2E94">
              <w:rPr>
                <w:rFonts w:ascii="Calibri" w:hAnsi="Calibri" w:cs="Calibri"/>
                <w:color w:val="000000"/>
                <w:sz w:val="22"/>
                <w:szCs w:val="22"/>
              </w:rPr>
              <w:t>20%</w:t>
            </w:r>
          </w:p>
        </w:tc>
        <w:tc>
          <w:tcPr>
            <w:tcW w:w="1775" w:type="dxa"/>
            <w:tcBorders>
              <w:top w:val="nil"/>
              <w:left w:val="nil"/>
              <w:bottom w:val="single" w:sz="4" w:space="0" w:color="auto"/>
              <w:right w:val="single" w:sz="4" w:space="0" w:color="auto"/>
            </w:tcBorders>
            <w:shd w:val="clear" w:color="000000" w:fill="FFFFFF"/>
            <w:noWrap/>
            <w:vAlign w:val="bottom"/>
            <w:hideMark/>
          </w:tcPr>
          <w:p w:rsidR="00EA2E94" w:rsidRPr="00EA2E94" w:rsidRDefault="00EA2E94" w:rsidP="004653DA">
            <w:pPr>
              <w:spacing w:after="0" w:line="240" w:lineRule="auto"/>
              <w:rPr>
                <w:rFonts w:ascii="Calibri" w:hAnsi="Calibri" w:cs="Calibri"/>
                <w:color w:val="000000"/>
                <w:sz w:val="22"/>
                <w:szCs w:val="22"/>
              </w:rPr>
            </w:pPr>
            <w:r w:rsidRPr="00EA2E94">
              <w:rPr>
                <w:rFonts w:ascii="Calibri" w:hAnsi="Calibri" w:cs="Calibri"/>
                <w:color w:val="000000"/>
                <w:sz w:val="22"/>
                <w:szCs w:val="22"/>
              </w:rPr>
              <w:t>14%</w:t>
            </w:r>
          </w:p>
        </w:tc>
      </w:tr>
      <w:tr w:rsidR="00EA2E94" w:rsidRPr="00EA2E94" w:rsidTr="001F10F8">
        <w:trPr>
          <w:trHeight w:val="289"/>
        </w:trPr>
        <w:tc>
          <w:tcPr>
            <w:tcW w:w="2597" w:type="dxa"/>
            <w:tcBorders>
              <w:top w:val="nil"/>
              <w:left w:val="single" w:sz="4" w:space="0" w:color="auto"/>
              <w:bottom w:val="single" w:sz="4" w:space="0" w:color="auto"/>
              <w:right w:val="single" w:sz="4" w:space="0" w:color="auto"/>
            </w:tcBorders>
            <w:shd w:val="clear" w:color="000000" w:fill="FDE9D9"/>
            <w:noWrap/>
            <w:vAlign w:val="bottom"/>
            <w:hideMark/>
          </w:tcPr>
          <w:p w:rsidR="00EA2E94" w:rsidRPr="00EA2E94" w:rsidRDefault="00EA2E94" w:rsidP="004653DA">
            <w:pPr>
              <w:spacing w:after="0" w:line="240" w:lineRule="auto"/>
              <w:rPr>
                <w:rFonts w:ascii="Calibri" w:hAnsi="Calibri" w:cs="Calibri"/>
                <w:color w:val="000000"/>
                <w:sz w:val="22"/>
                <w:szCs w:val="22"/>
              </w:rPr>
            </w:pPr>
            <w:proofErr w:type="gramStart"/>
            <w:r w:rsidRPr="00EA2E94">
              <w:rPr>
                <w:rFonts w:ascii="Calibri" w:hAnsi="Calibri" w:cs="Calibri"/>
                <w:color w:val="000000"/>
                <w:sz w:val="22"/>
                <w:szCs w:val="22"/>
              </w:rPr>
              <w:t>1.1.2004</w:t>
            </w:r>
            <w:proofErr w:type="gramEnd"/>
            <w:r w:rsidRPr="00EA2E94">
              <w:rPr>
                <w:rFonts w:ascii="Calibri" w:hAnsi="Calibri" w:cs="Calibri"/>
                <w:color w:val="000000"/>
                <w:sz w:val="22"/>
                <w:szCs w:val="22"/>
              </w:rPr>
              <w:t xml:space="preserve"> - 31.12.2006</w:t>
            </w:r>
          </w:p>
        </w:tc>
        <w:tc>
          <w:tcPr>
            <w:tcW w:w="1851" w:type="dxa"/>
            <w:tcBorders>
              <w:top w:val="nil"/>
              <w:left w:val="nil"/>
              <w:bottom w:val="single" w:sz="4" w:space="0" w:color="auto"/>
              <w:right w:val="single" w:sz="4" w:space="0" w:color="auto"/>
            </w:tcBorders>
            <w:shd w:val="clear" w:color="000000" w:fill="FFFFFF"/>
            <w:noWrap/>
            <w:vAlign w:val="bottom"/>
            <w:hideMark/>
          </w:tcPr>
          <w:p w:rsidR="00EA2E94" w:rsidRPr="00EA2E94" w:rsidRDefault="00EA2E94" w:rsidP="004653DA">
            <w:pPr>
              <w:spacing w:after="0" w:line="240" w:lineRule="auto"/>
              <w:rPr>
                <w:rFonts w:ascii="Calibri" w:hAnsi="Calibri" w:cs="Calibri"/>
                <w:color w:val="000000"/>
                <w:sz w:val="22"/>
                <w:szCs w:val="22"/>
              </w:rPr>
            </w:pPr>
            <w:r w:rsidRPr="00EA2E94">
              <w:rPr>
                <w:rFonts w:ascii="Calibri" w:hAnsi="Calibri" w:cs="Calibri"/>
                <w:color w:val="000000"/>
                <w:sz w:val="22"/>
                <w:szCs w:val="22"/>
              </w:rPr>
              <w:t>19%</w:t>
            </w:r>
          </w:p>
        </w:tc>
        <w:tc>
          <w:tcPr>
            <w:tcW w:w="1775" w:type="dxa"/>
            <w:tcBorders>
              <w:top w:val="nil"/>
              <w:left w:val="nil"/>
              <w:bottom w:val="single" w:sz="4" w:space="0" w:color="auto"/>
              <w:right w:val="single" w:sz="4" w:space="0" w:color="auto"/>
            </w:tcBorders>
            <w:shd w:val="clear" w:color="000000" w:fill="FFFFFF"/>
            <w:noWrap/>
            <w:vAlign w:val="bottom"/>
            <w:hideMark/>
          </w:tcPr>
          <w:p w:rsidR="00EA2E94" w:rsidRPr="00EA2E94" w:rsidRDefault="00EA2E94" w:rsidP="004653DA">
            <w:pPr>
              <w:spacing w:after="0" w:line="240" w:lineRule="auto"/>
              <w:rPr>
                <w:rFonts w:ascii="Calibri" w:hAnsi="Calibri" w:cs="Calibri"/>
                <w:color w:val="000000"/>
                <w:sz w:val="22"/>
                <w:szCs w:val="22"/>
              </w:rPr>
            </w:pPr>
            <w:r w:rsidRPr="00EA2E94">
              <w:rPr>
                <w:rFonts w:ascii="Calibri" w:hAnsi="Calibri" w:cs="Calibri"/>
                <w:color w:val="000000"/>
                <w:sz w:val="22"/>
                <w:szCs w:val="22"/>
              </w:rPr>
              <w:t>0%</w:t>
            </w:r>
          </w:p>
        </w:tc>
      </w:tr>
      <w:tr w:rsidR="00EA2E94" w:rsidRPr="00EA2E94" w:rsidTr="001F10F8">
        <w:trPr>
          <w:trHeight w:val="289"/>
        </w:trPr>
        <w:tc>
          <w:tcPr>
            <w:tcW w:w="2597" w:type="dxa"/>
            <w:tcBorders>
              <w:top w:val="nil"/>
              <w:left w:val="single" w:sz="4" w:space="0" w:color="auto"/>
              <w:bottom w:val="single" w:sz="4" w:space="0" w:color="auto"/>
              <w:right w:val="single" w:sz="4" w:space="0" w:color="auto"/>
            </w:tcBorders>
            <w:shd w:val="clear" w:color="000000" w:fill="FDE9D9"/>
            <w:noWrap/>
            <w:vAlign w:val="bottom"/>
            <w:hideMark/>
          </w:tcPr>
          <w:p w:rsidR="00EA2E94" w:rsidRPr="00EA2E94" w:rsidRDefault="00EA2E94" w:rsidP="004653DA">
            <w:pPr>
              <w:spacing w:after="0" w:line="240" w:lineRule="auto"/>
              <w:rPr>
                <w:rFonts w:ascii="Calibri" w:hAnsi="Calibri" w:cs="Calibri"/>
                <w:color w:val="000000"/>
                <w:sz w:val="22"/>
                <w:szCs w:val="22"/>
              </w:rPr>
            </w:pPr>
            <w:proofErr w:type="gramStart"/>
            <w:r w:rsidRPr="00EA2E94">
              <w:rPr>
                <w:rFonts w:ascii="Calibri" w:hAnsi="Calibri" w:cs="Calibri"/>
                <w:color w:val="000000"/>
                <w:sz w:val="22"/>
                <w:szCs w:val="22"/>
              </w:rPr>
              <w:t>1.1.2007</w:t>
            </w:r>
            <w:proofErr w:type="gramEnd"/>
            <w:r w:rsidRPr="00EA2E94">
              <w:rPr>
                <w:rFonts w:ascii="Calibri" w:hAnsi="Calibri" w:cs="Calibri"/>
                <w:color w:val="000000"/>
                <w:sz w:val="22"/>
                <w:szCs w:val="22"/>
              </w:rPr>
              <w:t xml:space="preserve"> - 31.12.2009</w:t>
            </w:r>
          </w:p>
        </w:tc>
        <w:tc>
          <w:tcPr>
            <w:tcW w:w="1851" w:type="dxa"/>
            <w:tcBorders>
              <w:top w:val="nil"/>
              <w:left w:val="nil"/>
              <w:bottom w:val="single" w:sz="4" w:space="0" w:color="auto"/>
              <w:right w:val="single" w:sz="4" w:space="0" w:color="auto"/>
            </w:tcBorders>
            <w:shd w:val="clear" w:color="000000" w:fill="FFFFFF"/>
            <w:noWrap/>
            <w:vAlign w:val="bottom"/>
            <w:hideMark/>
          </w:tcPr>
          <w:p w:rsidR="00EA2E94" w:rsidRPr="00EA2E94" w:rsidRDefault="00EA2E94" w:rsidP="004653DA">
            <w:pPr>
              <w:spacing w:after="0" w:line="240" w:lineRule="auto"/>
              <w:rPr>
                <w:rFonts w:ascii="Calibri" w:hAnsi="Calibri" w:cs="Calibri"/>
                <w:color w:val="000000"/>
                <w:sz w:val="22"/>
                <w:szCs w:val="22"/>
              </w:rPr>
            </w:pPr>
            <w:r w:rsidRPr="00EA2E94">
              <w:rPr>
                <w:rFonts w:ascii="Calibri" w:hAnsi="Calibri" w:cs="Calibri"/>
                <w:color w:val="000000"/>
                <w:sz w:val="22"/>
                <w:szCs w:val="22"/>
              </w:rPr>
              <w:t>19%</w:t>
            </w:r>
          </w:p>
        </w:tc>
        <w:tc>
          <w:tcPr>
            <w:tcW w:w="1775" w:type="dxa"/>
            <w:tcBorders>
              <w:top w:val="nil"/>
              <w:left w:val="nil"/>
              <w:bottom w:val="single" w:sz="4" w:space="0" w:color="auto"/>
              <w:right w:val="single" w:sz="4" w:space="0" w:color="auto"/>
            </w:tcBorders>
            <w:shd w:val="clear" w:color="000000" w:fill="FFFFFF"/>
            <w:noWrap/>
            <w:vAlign w:val="bottom"/>
            <w:hideMark/>
          </w:tcPr>
          <w:p w:rsidR="00EA2E94" w:rsidRPr="00EA2E94" w:rsidRDefault="00EA2E94" w:rsidP="004653DA">
            <w:pPr>
              <w:spacing w:after="0" w:line="240" w:lineRule="auto"/>
              <w:rPr>
                <w:rFonts w:ascii="Calibri" w:hAnsi="Calibri" w:cs="Calibri"/>
                <w:color w:val="000000"/>
                <w:sz w:val="22"/>
                <w:szCs w:val="22"/>
              </w:rPr>
            </w:pPr>
            <w:r w:rsidRPr="00EA2E94">
              <w:rPr>
                <w:rFonts w:ascii="Calibri" w:hAnsi="Calibri" w:cs="Calibri"/>
                <w:color w:val="000000"/>
                <w:sz w:val="22"/>
                <w:szCs w:val="22"/>
              </w:rPr>
              <w:t>10%</w:t>
            </w:r>
          </w:p>
        </w:tc>
      </w:tr>
      <w:tr w:rsidR="00EA2E94" w:rsidRPr="00EA2E94" w:rsidTr="001F10F8">
        <w:trPr>
          <w:trHeight w:val="289"/>
        </w:trPr>
        <w:tc>
          <w:tcPr>
            <w:tcW w:w="2597" w:type="dxa"/>
            <w:tcBorders>
              <w:top w:val="nil"/>
              <w:left w:val="single" w:sz="4" w:space="0" w:color="auto"/>
              <w:bottom w:val="single" w:sz="4" w:space="0" w:color="auto"/>
              <w:right w:val="single" w:sz="4" w:space="0" w:color="auto"/>
            </w:tcBorders>
            <w:shd w:val="clear" w:color="000000" w:fill="FDE9D9"/>
            <w:noWrap/>
            <w:vAlign w:val="bottom"/>
            <w:hideMark/>
          </w:tcPr>
          <w:p w:rsidR="00EA2E94" w:rsidRPr="00EA2E94" w:rsidRDefault="00EA2E94" w:rsidP="004653DA">
            <w:pPr>
              <w:spacing w:after="0" w:line="240" w:lineRule="auto"/>
              <w:rPr>
                <w:rFonts w:ascii="Calibri" w:hAnsi="Calibri" w:cs="Calibri"/>
                <w:color w:val="000000"/>
                <w:sz w:val="22"/>
                <w:szCs w:val="22"/>
              </w:rPr>
            </w:pPr>
            <w:proofErr w:type="gramStart"/>
            <w:r w:rsidRPr="00EA2E94">
              <w:rPr>
                <w:rFonts w:ascii="Calibri" w:hAnsi="Calibri" w:cs="Calibri"/>
                <w:color w:val="000000"/>
                <w:sz w:val="22"/>
                <w:szCs w:val="22"/>
              </w:rPr>
              <w:t>1.1.2010</w:t>
            </w:r>
            <w:proofErr w:type="gramEnd"/>
          </w:p>
        </w:tc>
        <w:tc>
          <w:tcPr>
            <w:tcW w:w="1851" w:type="dxa"/>
            <w:tcBorders>
              <w:top w:val="nil"/>
              <w:left w:val="nil"/>
              <w:bottom w:val="single" w:sz="4" w:space="0" w:color="auto"/>
              <w:right w:val="single" w:sz="4" w:space="0" w:color="auto"/>
            </w:tcBorders>
            <w:shd w:val="clear" w:color="000000" w:fill="FFFFFF"/>
            <w:noWrap/>
            <w:vAlign w:val="bottom"/>
            <w:hideMark/>
          </w:tcPr>
          <w:p w:rsidR="00EA2E94" w:rsidRPr="00EA2E94" w:rsidRDefault="00EA2E94" w:rsidP="004653DA">
            <w:pPr>
              <w:spacing w:after="0" w:line="240" w:lineRule="auto"/>
              <w:rPr>
                <w:rFonts w:ascii="Calibri" w:hAnsi="Calibri" w:cs="Calibri"/>
                <w:color w:val="000000"/>
                <w:sz w:val="22"/>
                <w:szCs w:val="22"/>
              </w:rPr>
            </w:pPr>
            <w:r w:rsidRPr="00EA2E94">
              <w:rPr>
                <w:rFonts w:ascii="Calibri" w:hAnsi="Calibri" w:cs="Calibri"/>
                <w:color w:val="000000"/>
                <w:sz w:val="22"/>
                <w:szCs w:val="22"/>
              </w:rPr>
              <w:t>19%</w:t>
            </w:r>
          </w:p>
        </w:tc>
        <w:tc>
          <w:tcPr>
            <w:tcW w:w="1775" w:type="dxa"/>
            <w:tcBorders>
              <w:top w:val="nil"/>
              <w:left w:val="nil"/>
              <w:bottom w:val="single" w:sz="4" w:space="0" w:color="auto"/>
              <w:right w:val="single" w:sz="4" w:space="0" w:color="auto"/>
            </w:tcBorders>
            <w:shd w:val="clear" w:color="000000" w:fill="FFFFFF"/>
            <w:noWrap/>
            <w:vAlign w:val="bottom"/>
            <w:hideMark/>
          </w:tcPr>
          <w:p w:rsidR="00EA2E94" w:rsidRPr="00EA2E94" w:rsidRDefault="00EA2E94" w:rsidP="004653DA">
            <w:pPr>
              <w:spacing w:after="0" w:line="240" w:lineRule="auto"/>
              <w:rPr>
                <w:rFonts w:ascii="Calibri" w:hAnsi="Calibri" w:cs="Calibri"/>
                <w:color w:val="000000"/>
                <w:sz w:val="22"/>
                <w:szCs w:val="22"/>
              </w:rPr>
            </w:pPr>
            <w:r w:rsidRPr="00EA2E94">
              <w:rPr>
                <w:rFonts w:ascii="Calibri" w:hAnsi="Calibri" w:cs="Calibri"/>
                <w:color w:val="000000"/>
                <w:sz w:val="22"/>
                <w:szCs w:val="22"/>
              </w:rPr>
              <w:t>6%</w:t>
            </w:r>
          </w:p>
        </w:tc>
      </w:tr>
    </w:tbl>
    <w:p w:rsidR="00EA2E94" w:rsidRPr="00972588" w:rsidRDefault="00E15F59" w:rsidP="004653DA">
      <w:pPr>
        <w:rPr>
          <w:sz w:val="20"/>
        </w:rPr>
      </w:pPr>
      <w:r>
        <w:rPr>
          <w:sz w:val="20"/>
        </w:rPr>
        <w:t>Tabulka číslo 2</w:t>
      </w:r>
      <w:r w:rsidR="00EA2E94" w:rsidRPr="00972588">
        <w:rPr>
          <w:sz w:val="20"/>
        </w:rPr>
        <w:t>: H</w:t>
      </w:r>
      <w:r>
        <w:rPr>
          <w:sz w:val="20"/>
        </w:rPr>
        <w:t>istorický přehled sazeb DPH na Slovensku</w:t>
      </w:r>
    </w:p>
    <w:p w:rsidR="00EA2E94" w:rsidRDefault="00EA2E94" w:rsidP="004653DA">
      <w:pPr>
        <w:rPr>
          <w:sz w:val="20"/>
        </w:rPr>
      </w:pPr>
      <w:r w:rsidRPr="00972588">
        <w:rPr>
          <w:sz w:val="20"/>
        </w:rPr>
        <w:t xml:space="preserve">Zdroj: Autor  </w:t>
      </w:r>
      <w:r w:rsidRPr="00972588">
        <w:rPr>
          <w:rStyle w:val="Znakapoznpodarou"/>
          <w:sz w:val="20"/>
        </w:rPr>
        <w:footnoteReference w:id="20"/>
      </w:r>
    </w:p>
    <w:p w:rsidR="00445064" w:rsidRDefault="00445064" w:rsidP="004653DA">
      <w:pPr>
        <w:rPr>
          <w:sz w:val="20"/>
        </w:rPr>
      </w:pPr>
      <w:r>
        <w:rPr>
          <w:noProof/>
        </w:rPr>
        <w:drawing>
          <wp:inline distT="0" distB="0" distL="0" distR="0" wp14:anchorId="1802EC63" wp14:editId="43335EC4">
            <wp:extent cx="4572000" cy="2743200"/>
            <wp:effectExtent l="0" t="0" r="19050" b="1905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A2E94" w:rsidRDefault="00EA2E94" w:rsidP="004653DA">
      <w:r>
        <w:t>Důvody změny sazby DPH v jednotlivých letech:</w:t>
      </w:r>
    </w:p>
    <w:p w:rsidR="00EA2E94" w:rsidRPr="00981D4F" w:rsidRDefault="00EA2E94" w:rsidP="004653DA">
      <w:pPr>
        <w:pStyle w:val="Odstavecseseznamem"/>
        <w:numPr>
          <w:ilvl w:val="0"/>
          <w:numId w:val="12"/>
        </w:numPr>
        <w:rPr>
          <w:highlight w:val="yellow"/>
        </w:rPr>
      </w:pPr>
      <w:r w:rsidRPr="00981D4F">
        <w:rPr>
          <w:highlight w:val="yellow"/>
          <w:lang w:val="en-US"/>
        </w:rPr>
        <w:t>1993-1995:</w:t>
      </w:r>
      <w:r w:rsidR="00ED3034" w:rsidRPr="00981D4F">
        <w:rPr>
          <w:highlight w:val="yellow"/>
          <w:lang w:val="en-US"/>
        </w:rPr>
        <w:t xml:space="preserve"> Zavedení DPH jako součást platné daňové soustavy SR. </w:t>
      </w:r>
    </w:p>
    <w:p w:rsidR="00EA2E94" w:rsidRPr="00981D4F" w:rsidRDefault="00EA2E94" w:rsidP="004653DA">
      <w:pPr>
        <w:pStyle w:val="Odstavecseseznamem"/>
        <w:numPr>
          <w:ilvl w:val="0"/>
          <w:numId w:val="12"/>
        </w:numPr>
        <w:rPr>
          <w:highlight w:val="yellow"/>
        </w:rPr>
      </w:pPr>
      <w:r w:rsidRPr="00981D4F">
        <w:rPr>
          <w:highlight w:val="yellow"/>
          <w:lang w:val="en-US"/>
        </w:rPr>
        <w:t>1996-1999:</w:t>
      </w:r>
      <w:r w:rsidR="005D658A">
        <w:rPr>
          <w:highlight w:val="yellow"/>
          <w:lang w:val="en-US"/>
        </w:rPr>
        <w:t xml:space="preserve"> vyžaduje konzultaci</w:t>
      </w:r>
    </w:p>
    <w:p w:rsidR="00EA2E94" w:rsidRPr="00981D4F" w:rsidRDefault="00EA2E94" w:rsidP="004653DA">
      <w:pPr>
        <w:pStyle w:val="Odstavecseseznamem"/>
        <w:numPr>
          <w:ilvl w:val="0"/>
          <w:numId w:val="12"/>
        </w:numPr>
        <w:rPr>
          <w:highlight w:val="yellow"/>
        </w:rPr>
      </w:pPr>
      <w:r w:rsidRPr="00981D4F">
        <w:rPr>
          <w:highlight w:val="yellow"/>
          <w:lang w:val="en-US"/>
        </w:rPr>
        <w:t>2000-2002:</w:t>
      </w:r>
      <w:r w:rsidR="005D658A" w:rsidRPr="005D658A">
        <w:rPr>
          <w:highlight w:val="yellow"/>
          <w:lang w:val="en-US"/>
        </w:rPr>
        <w:t xml:space="preserve"> </w:t>
      </w:r>
      <w:r w:rsidR="005D658A">
        <w:rPr>
          <w:highlight w:val="yellow"/>
          <w:lang w:val="en-US"/>
        </w:rPr>
        <w:t>vyžaduje konzultaci</w:t>
      </w:r>
    </w:p>
    <w:p w:rsidR="00EA2E94" w:rsidRPr="00981D4F" w:rsidRDefault="00EA2E94" w:rsidP="004653DA">
      <w:pPr>
        <w:pStyle w:val="Odstavecseseznamem"/>
        <w:numPr>
          <w:ilvl w:val="0"/>
          <w:numId w:val="12"/>
        </w:numPr>
        <w:rPr>
          <w:highlight w:val="yellow"/>
        </w:rPr>
      </w:pPr>
      <w:r w:rsidRPr="00981D4F">
        <w:rPr>
          <w:highlight w:val="yellow"/>
          <w:lang w:val="en-US"/>
        </w:rPr>
        <w:t>2003-2003:</w:t>
      </w:r>
      <w:r w:rsidR="005D658A" w:rsidRPr="005D658A">
        <w:rPr>
          <w:highlight w:val="yellow"/>
          <w:lang w:val="en-US"/>
        </w:rPr>
        <w:t xml:space="preserve"> </w:t>
      </w:r>
      <w:r w:rsidR="005D658A">
        <w:rPr>
          <w:highlight w:val="yellow"/>
          <w:lang w:val="en-US"/>
        </w:rPr>
        <w:t>vyžaduje konzultaci</w:t>
      </w:r>
    </w:p>
    <w:p w:rsidR="00EA2E94" w:rsidRPr="00EA2E94" w:rsidRDefault="00EA2E94" w:rsidP="004653DA">
      <w:pPr>
        <w:pStyle w:val="Odstavecseseznamem"/>
        <w:numPr>
          <w:ilvl w:val="0"/>
          <w:numId w:val="12"/>
        </w:numPr>
      </w:pPr>
      <w:r>
        <w:rPr>
          <w:lang w:val="en-US"/>
        </w:rPr>
        <w:t>2004-2006:</w:t>
      </w:r>
      <w:r>
        <w:t xml:space="preserve"> Zavedení tzv. „rovné daně“</w:t>
      </w:r>
      <w:r>
        <w:rPr>
          <w:rStyle w:val="Odkaznavysvtlivky"/>
        </w:rPr>
        <w:endnoteReference w:id="5"/>
      </w:r>
      <w:r w:rsidR="00770DA4">
        <w:t xml:space="preserve">. Sjednocení daně na 19% souviselo s daňovou reformou, která proběhla na Slovensku. Cílem bylo sjednocení požadavků Slovenského hospodářství s požadavky EU. Hlavním znakem </w:t>
      </w:r>
      <w:r w:rsidR="00770DA4">
        <w:lastRenderedPageBreak/>
        <w:t>zavední daně bylo převední daňového břemena z daní přímých na daně nepřímé. Tímto zavedením se Slovensko zařadilo mezi pět států EU, kde neexistuje základní a snížená sazba daně, ale jednotná</w:t>
      </w:r>
    </w:p>
    <w:p w:rsidR="00EA2E94" w:rsidRPr="00EA2E94" w:rsidRDefault="00EA2E94" w:rsidP="004653DA">
      <w:pPr>
        <w:pStyle w:val="Odstavecseseznamem"/>
        <w:numPr>
          <w:ilvl w:val="0"/>
          <w:numId w:val="12"/>
        </w:numPr>
      </w:pPr>
      <w:r>
        <w:rPr>
          <w:lang w:val="en-US"/>
        </w:rPr>
        <w:t>2007-2009:</w:t>
      </w:r>
      <w:r w:rsidR="00770DA4">
        <w:rPr>
          <w:lang w:val="en-US"/>
        </w:rPr>
        <w:t xml:space="preserve"> </w:t>
      </w:r>
      <w:r w:rsidR="00ED3034">
        <w:rPr>
          <w:lang w:val="en-US"/>
        </w:rPr>
        <w:t xml:space="preserve">Opětovné zavedení snížené sazby </w:t>
      </w:r>
      <w:proofErr w:type="gramStart"/>
      <w:r w:rsidR="00ED3034">
        <w:rPr>
          <w:lang w:val="en-US"/>
        </w:rPr>
        <w:t>daně</w:t>
      </w:r>
      <w:proofErr w:type="gramEnd"/>
      <w:r w:rsidR="00ED3034">
        <w:rPr>
          <w:lang w:val="en-US"/>
        </w:rPr>
        <w:t xml:space="preserve"> na zboží a služby, které definuje zákon</w:t>
      </w:r>
      <w:r w:rsidR="004258AD">
        <w:rPr>
          <w:lang w:val="en-US"/>
        </w:rPr>
        <w:t xml:space="preserve"> o DPH. Snížená sazba </w:t>
      </w:r>
      <w:proofErr w:type="gramStart"/>
      <w:r w:rsidR="004258AD">
        <w:rPr>
          <w:lang w:val="en-US"/>
        </w:rPr>
        <w:t>daně</w:t>
      </w:r>
      <w:proofErr w:type="gramEnd"/>
      <w:r w:rsidR="004258AD">
        <w:rPr>
          <w:lang w:val="en-US"/>
        </w:rPr>
        <w:t xml:space="preserve"> se týkala hlavně léků a něktorého typu zboží. Cílem bylo přiblížit toto zboží vice občanům.</w:t>
      </w:r>
    </w:p>
    <w:p w:rsidR="00EA2E94" w:rsidRPr="00770DA4" w:rsidRDefault="00EA2E94" w:rsidP="004653DA">
      <w:pPr>
        <w:pStyle w:val="Odstavecseseznamem"/>
        <w:numPr>
          <w:ilvl w:val="0"/>
          <w:numId w:val="12"/>
        </w:numPr>
      </w:pPr>
      <w:r>
        <w:rPr>
          <w:lang w:val="en-US"/>
        </w:rPr>
        <w:t>2010:</w:t>
      </w:r>
      <w:r w:rsidR="00ED3034">
        <w:rPr>
          <w:lang w:val="en-US"/>
        </w:rPr>
        <w:t xml:space="preserve"> </w:t>
      </w:r>
      <w:r w:rsidR="004258AD">
        <w:rPr>
          <w:lang w:val="en-US"/>
        </w:rPr>
        <w:t>Pokles</w:t>
      </w:r>
      <w:r w:rsidR="00ED3034">
        <w:rPr>
          <w:lang w:val="en-US"/>
        </w:rPr>
        <w:t xml:space="preserve"> snížené sazby </w:t>
      </w:r>
      <w:proofErr w:type="gramStart"/>
      <w:r w:rsidR="00ED3034">
        <w:rPr>
          <w:lang w:val="en-US"/>
        </w:rPr>
        <w:t>daně</w:t>
      </w:r>
      <w:proofErr w:type="gramEnd"/>
      <w:r w:rsidR="00ED3034">
        <w:rPr>
          <w:lang w:val="en-US"/>
        </w:rPr>
        <w:t xml:space="preserve"> </w:t>
      </w:r>
      <w:r w:rsidR="004258AD">
        <w:rPr>
          <w:lang w:val="en-US"/>
        </w:rPr>
        <w:t>z 10% na 6%.</w:t>
      </w:r>
    </w:p>
    <w:p w:rsidR="00770DA4" w:rsidRDefault="00770DA4" w:rsidP="004653DA">
      <w:pPr>
        <w:pStyle w:val="Nadpis3"/>
        <w:jc w:val="both"/>
      </w:pPr>
      <w:bookmarkStart w:id="23" w:name="_Toc307937063"/>
      <w:r>
        <w:t>Porovnání sazeb ČR a SR v letech 1993 – 2010</w:t>
      </w:r>
      <w:bookmarkEnd w:id="23"/>
    </w:p>
    <w:p w:rsidR="00FD2037" w:rsidRDefault="00FD2037" w:rsidP="004653DA">
      <w:r>
        <w:rPr>
          <w:noProof/>
        </w:rPr>
        <w:drawing>
          <wp:inline distT="0" distB="0" distL="0" distR="0" wp14:anchorId="24C76603" wp14:editId="10A14EA5">
            <wp:extent cx="5381625" cy="2381250"/>
            <wp:effectExtent l="0" t="0" r="9525" b="1905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E3E1E" w:rsidRDefault="00FE3E1E" w:rsidP="004653DA">
      <w:r>
        <w:t xml:space="preserve">Co se týče základní sazby, tato byla v České republice a na Slovensku stanovena téměr stejná. Do roku 2004 se tato sazba pohybovala v rozmezí 22% až 23%. Největší rozdíl vznikl v roce 2004, kdy obě krajiny </w:t>
      </w:r>
      <w:proofErr w:type="gramStart"/>
      <w:r>
        <w:t>snížili</w:t>
      </w:r>
      <w:proofErr w:type="gramEnd"/>
      <w:r>
        <w:t xml:space="preserve"> základní sazbu na 19% s tím, že </w:t>
      </w:r>
      <w:r w:rsidR="00445064">
        <w:t xml:space="preserve">Slovenská republika na základě daňové reformy sjednotila všechny sazby všech daní na jednotnou hodnotu  - 19%. </w:t>
      </w:r>
      <w:r>
        <w:t xml:space="preserve">Tím pádem od roku 2004 neexistovala na Slovensku snížená sazba daně, přičemž v ČR tato sazba dosahovala hranici 5% a postupně docházelo k jejímu nárustu. </w:t>
      </w:r>
    </w:p>
    <w:p w:rsidR="004258AD" w:rsidRDefault="00FE3E1E" w:rsidP="004653DA">
      <w:r>
        <w:t xml:space="preserve">Slovenská republika se ale ke snížené </w:t>
      </w:r>
      <w:proofErr w:type="gramStart"/>
      <w:r>
        <w:t>sazby</w:t>
      </w:r>
      <w:proofErr w:type="gramEnd"/>
      <w:r>
        <w:t xml:space="preserve"> daně vrátila v roce 2007, kdy byla zavedena ve výši</w:t>
      </w:r>
      <w:r w:rsidR="004258AD">
        <w:t xml:space="preserve"> 10%. Snížená sazba byla uvalena na léky a některé specifické druhy zboží. Cílem byl spřístupnit toto zboží vice občanům krajiny. Od roku 2007 snížená sazba daně na Slovensku existuje. Došlo pouze v roce 2010 ke změně sazby, kdy došlo k jejímu snížení na 6%.</w:t>
      </w:r>
    </w:p>
    <w:p w:rsidR="00445064" w:rsidRDefault="004258AD" w:rsidP="004653DA">
      <w:r>
        <w:lastRenderedPageBreak/>
        <w:t>To, jak změna sazeb DPH ovlivňuje příjmy SR je předmětem další analýzy.</w:t>
      </w:r>
      <w:r w:rsidR="00FD2037">
        <w:t xml:space="preserve"> </w:t>
      </w:r>
    </w:p>
    <w:p w:rsidR="00FD2037" w:rsidRDefault="00FD2037" w:rsidP="004653DA">
      <w:pPr>
        <w:pStyle w:val="Nadpis2"/>
        <w:jc w:val="both"/>
      </w:pPr>
      <w:bookmarkStart w:id="24" w:name="_Toc307937064"/>
      <w:r>
        <w:t>Vliv DPH na Státní rozpočet</w:t>
      </w:r>
      <w:bookmarkEnd w:id="24"/>
    </w:p>
    <w:p w:rsidR="00BD3940" w:rsidRDefault="00647186" w:rsidP="004653DA">
      <w:r w:rsidRPr="00647186">
        <w:t>Daně tvoří nejvýznamnější položku příjmové stánky státního rozpočtu. Ze všech daní, tvořící daňovou soustavu, ovlivňuje výše DPH tyto příjmy nemalým procentem.</w:t>
      </w:r>
      <w:r w:rsidR="000723B7">
        <w:t xml:space="preserve"> </w:t>
      </w:r>
      <w:r w:rsidR="00023986">
        <w:t>Cílem následné analýzy je porovnat, jak stanovená sazba DPH ovliňuje celkové příjmy SR. Analýza sleduje roky 2003 až 2010</w:t>
      </w:r>
      <w:r w:rsidR="0032113C">
        <w:t xml:space="preserve"> jak v</w:t>
      </w:r>
      <w:r w:rsidR="004258AD">
        <w:t> </w:t>
      </w:r>
      <w:r w:rsidR="0032113C">
        <w:t>ČR</w:t>
      </w:r>
      <w:r w:rsidR="004258AD">
        <w:t>,</w:t>
      </w:r>
      <w:r w:rsidR="0032113C">
        <w:t xml:space="preserve"> tak na Slovensku.</w:t>
      </w:r>
    </w:p>
    <w:p w:rsidR="0032113C" w:rsidRDefault="000723B7" w:rsidP="004653DA">
      <w:pPr>
        <w:pStyle w:val="Nadpis3"/>
        <w:jc w:val="both"/>
      </w:pPr>
      <w:bookmarkStart w:id="25" w:name="_Toc307937065"/>
      <w:r>
        <w:t>DPH a Státní rozpočet ČR</w:t>
      </w:r>
      <w:bookmarkEnd w:id="25"/>
    </w:p>
    <w:p w:rsidR="0032113C" w:rsidRPr="0032113C" w:rsidRDefault="0032113C" w:rsidP="004653DA">
      <w:r>
        <w:t>Jak bylo zmíněno výše, sazby DPH se měnili postupně. V prních letech od zavedení DPH dosahovala základní sazba výši do 22% (roky 1993 až 2004), následně byla základní sazba daně snížena na 19% (roky 2004 až 2009). Od roku 2010 byla základní sazba navýšena na 20%</w:t>
      </w:r>
    </w:p>
    <w:tbl>
      <w:tblPr>
        <w:tblpPr w:leftFromText="141" w:rightFromText="141" w:vertAnchor="text" w:horzAnchor="margin" w:tblpXSpec="center" w:tblpY="243"/>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6"/>
        <w:gridCol w:w="927"/>
        <w:gridCol w:w="927"/>
        <w:gridCol w:w="927"/>
        <w:gridCol w:w="927"/>
        <w:gridCol w:w="1012"/>
        <w:gridCol w:w="1012"/>
        <w:gridCol w:w="927"/>
        <w:gridCol w:w="927"/>
      </w:tblGrid>
      <w:tr w:rsidR="00BD3940" w:rsidRPr="00BD3940" w:rsidTr="00E15F59">
        <w:trPr>
          <w:trHeight w:val="219"/>
        </w:trPr>
        <w:tc>
          <w:tcPr>
            <w:tcW w:w="2056" w:type="dxa"/>
            <w:shd w:val="clear" w:color="000000" w:fill="FDE9D9"/>
            <w:noWrap/>
            <w:vAlign w:val="bottom"/>
            <w:hideMark/>
          </w:tcPr>
          <w:p w:rsidR="00BD3940" w:rsidRPr="00BD3940" w:rsidRDefault="00BD3940" w:rsidP="004653DA">
            <w:pPr>
              <w:spacing w:after="0" w:line="240" w:lineRule="auto"/>
              <w:rPr>
                <w:rFonts w:ascii="Calibri" w:hAnsi="Calibri" w:cs="Calibri"/>
                <w:b/>
                <w:bCs/>
                <w:i/>
                <w:iCs/>
                <w:color w:val="000000"/>
                <w:sz w:val="18"/>
                <w:szCs w:val="22"/>
              </w:rPr>
            </w:pPr>
            <w:r w:rsidRPr="00BD3940">
              <w:rPr>
                <w:rFonts w:ascii="Calibri" w:hAnsi="Calibri" w:cs="Calibri"/>
                <w:b/>
                <w:bCs/>
                <w:i/>
                <w:iCs/>
                <w:color w:val="000000"/>
                <w:sz w:val="18"/>
                <w:szCs w:val="22"/>
              </w:rPr>
              <w:t>Rok</w:t>
            </w:r>
          </w:p>
        </w:tc>
        <w:tc>
          <w:tcPr>
            <w:tcW w:w="927" w:type="dxa"/>
            <w:shd w:val="clear" w:color="000000" w:fill="FDE9D9"/>
            <w:noWrap/>
            <w:vAlign w:val="bottom"/>
            <w:hideMark/>
          </w:tcPr>
          <w:p w:rsidR="00BD3940" w:rsidRPr="00BD3940" w:rsidRDefault="00BD3940" w:rsidP="004653DA">
            <w:pPr>
              <w:spacing w:after="0" w:line="240" w:lineRule="auto"/>
              <w:rPr>
                <w:rFonts w:ascii="Calibri" w:hAnsi="Calibri" w:cs="Calibri"/>
                <w:b/>
                <w:bCs/>
                <w:i/>
                <w:iCs/>
                <w:color w:val="000000"/>
                <w:sz w:val="18"/>
                <w:szCs w:val="22"/>
              </w:rPr>
            </w:pPr>
            <w:r w:rsidRPr="00BD3940">
              <w:rPr>
                <w:rFonts w:ascii="Calibri" w:hAnsi="Calibri" w:cs="Calibri"/>
                <w:b/>
                <w:bCs/>
                <w:i/>
                <w:iCs/>
                <w:color w:val="000000"/>
                <w:sz w:val="18"/>
                <w:szCs w:val="22"/>
              </w:rPr>
              <w:t>2003</w:t>
            </w:r>
          </w:p>
        </w:tc>
        <w:tc>
          <w:tcPr>
            <w:tcW w:w="927" w:type="dxa"/>
            <w:shd w:val="clear" w:color="000000" w:fill="FDE9D9"/>
            <w:noWrap/>
            <w:vAlign w:val="bottom"/>
            <w:hideMark/>
          </w:tcPr>
          <w:p w:rsidR="00BD3940" w:rsidRPr="00BD3940" w:rsidRDefault="00BD3940" w:rsidP="004653DA">
            <w:pPr>
              <w:spacing w:after="0" w:line="240" w:lineRule="auto"/>
              <w:rPr>
                <w:rFonts w:ascii="Calibri" w:hAnsi="Calibri" w:cs="Calibri"/>
                <w:b/>
                <w:bCs/>
                <w:i/>
                <w:iCs/>
                <w:color w:val="000000"/>
                <w:sz w:val="18"/>
                <w:szCs w:val="22"/>
              </w:rPr>
            </w:pPr>
            <w:r w:rsidRPr="00BD3940">
              <w:rPr>
                <w:rFonts w:ascii="Calibri" w:hAnsi="Calibri" w:cs="Calibri"/>
                <w:b/>
                <w:bCs/>
                <w:i/>
                <w:iCs/>
                <w:color w:val="000000"/>
                <w:sz w:val="18"/>
                <w:szCs w:val="22"/>
              </w:rPr>
              <w:t>2004</w:t>
            </w:r>
          </w:p>
        </w:tc>
        <w:tc>
          <w:tcPr>
            <w:tcW w:w="927" w:type="dxa"/>
            <w:shd w:val="clear" w:color="000000" w:fill="FDE9D9"/>
            <w:noWrap/>
            <w:vAlign w:val="bottom"/>
            <w:hideMark/>
          </w:tcPr>
          <w:p w:rsidR="00BD3940" w:rsidRPr="00BD3940" w:rsidRDefault="00BD3940" w:rsidP="004653DA">
            <w:pPr>
              <w:spacing w:after="0" w:line="240" w:lineRule="auto"/>
              <w:rPr>
                <w:rFonts w:ascii="Calibri" w:hAnsi="Calibri" w:cs="Calibri"/>
                <w:b/>
                <w:bCs/>
                <w:i/>
                <w:iCs/>
                <w:color w:val="000000"/>
                <w:sz w:val="18"/>
                <w:szCs w:val="22"/>
              </w:rPr>
            </w:pPr>
            <w:r w:rsidRPr="00BD3940">
              <w:rPr>
                <w:rFonts w:ascii="Calibri" w:hAnsi="Calibri" w:cs="Calibri"/>
                <w:b/>
                <w:bCs/>
                <w:i/>
                <w:iCs/>
                <w:color w:val="000000"/>
                <w:sz w:val="18"/>
                <w:szCs w:val="22"/>
              </w:rPr>
              <w:t>2005</w:t>
            </w:r>
          </w:p>
        </w:tc>
        <w:tc>
          <w:tcPr>
            <w:tcW w:w="927" w:type="dxa"/>
            <w:shd w:val="clear" w:color="000000" w:fill="FDE9D9"/>
            <w:noWrap/>
            <w:vAlign w:val="bottom"/>
            <w:hideMark/>
          </w:tcPr>
          <w:p w:rsidR="00BD3940" w:rsidRPr="00BD3940" w:rsidRDefault="00BD3940" w:rsidP="004653DA">
            <w:pPr>
              <w:spacing w:after="0" w:line="240" w:lineRule="auto"/>
              <w:rPr>
                <w:rFonts w:ascii="Calibri" w:hAnsi="Calibri" w:cs="Calibri"/>
                <w:b/>
                <w:bCs/>
                <w:i/>
                <w:iCs/>
                <w:color w:val="000000"/>
                <w:sz w:val="18"/>
                <w:szCs w:val="22"/>
              </w:rPr>
            </w:pPr>
            <w:r w:rsidRPr="00BD3940">
              <w:rPr>
                <w:rFonts w:ascii="Calibri" w:hAnsi="Calibri" w:cs="Calibri"/>
                <w:b/>
                <w:bCs/>
                <w:i/>
                <w:iCs/>
                <w:color w:val="000000"/>
                <w:sz w:val="18"/>
                <w:szCs w:val="22"/>
              </w:rPr>
              <w:t>2006</w:t>
            </w:r>
          </w:p>
        </w:tc>
        <w:tc>
          <w:tcPr>
            <w:tcW w:w="1012" w:type="dxa"/>
            <w:shd w:val="clear" w:color="000000" w:fill="FDE9D9"/>
            <w:noWrap/>
            <w:vAlign w:val="bottom"/>
            <w:hideMark/>
          </w:tcPr>
          <w:p w:rsidR="00BD3940" w:rsidRPr="00BD3940" w:rsidRDefault="00BD3940" w:rsidP="004653DA">
            <w:pPr>
              <w:spacing w:after="0" w:line="240" w:lineRule="auto"/>
              <w:rPr>
                <w:rFonts w:ascii="Calibri" w:hAnsi="Calibri" w:cs="Calibri"/>
                <w:b/>
                <w:bCs/>
                <w:i/>
                <w:iCs/>
                <w:color w:val="000000"/>
                <w:sz w:val="18"/>
                <w:szCs w:val="22"/>
              </w:rPr>
            </w:pPr>
            <w:r w:rsidRPr="00BD3940">
              <w:rPr>
                <w:rFonts w:ascii="Calibri" w:hAnsi="Calibri" w:cs="Calibri"/>
                <w:b/>
                <w:bCs/>
                <w:i/>
                <w:iCs/>
                <w:color w:val="000000"/>
                <w:sz w:val="18"/>
                <w:szCs w:val="22"/>
              </w:rPr>
              <w:t>2007</w:t>
            </w:r>
          </w:p>
        </w:tc>
        <w:tc>
          <w:tcPr>
            <w:tcW w:w="1012" w:type="dxa"/>
            <w:shd w:val="clear" w:color="000000" w:fill="FDE9D9"/>
            <w:noWrap/>
            <w:vAlign w:val="bottom"/>
            <w:hideMark/>
          </w:tcPr>
          <w:p w:rsidR="00BD3940" w:rsidRPr="00BD3940" w:rsidRDefault="00BD3940" w:rsidP="004653DA">
            <w:pPr>
              <w:spacing w:after="0" w:line="240" w:lineRule="auto"/>
              <w:rPr>
                <w:rFonts w:ascii="Calibri" w:hAnsi="Calibri" w:cs="Calibri"/>
                <w:b/>
                <w:bCs/>
                <w:i/>
                <w:iCs/>
                <w:color w:val="000000"/>
                <w:sz w:val="18"/>
                <w:szCs w:val="22"/>
              </w:rPr>
            </w:pPr>
            <w:r w:rsidRPr="00BD3940">
              <w:rPr>
                <w:rFonts w:ascii="Calibri" w:hAnsi="Calibri" w:cs="Calibri"/>
                <w:b/>
                <w:bCs/>
                <w:i/>
                <w:iCs/>
                <w:color w:val="000000"/>
                <w:sz w:val="18"/>
                <w:szCs w:val="22"/>
              </w:rPr>
              <w:t>2008</w:t>
            </w:r>
          </w:p>
        </w:tc>
        <w:tc>
          <w:tcPr>
            <w:tcW w:w="927" w:type="dxa"/>
            <w:shd w:val="clear" w:color="000000" w:fill="FDE9D9"/>
            <w:noWrap/>
            <w:vAlign w:val="bottom"/>
            <w:hideMark/>
          </w:tcPr>
          <w:p w:rsidR="00BD3940" w:rsidRPr="00BD3940" w:rsidRDefault="00BD3940" w:rsidP="004653DA">
            <w:pPr>
              <w:spacing w:after="0" w:line="240" w:lineRule="auto"/>
              <w:rPr>
                <w:rFonts w:ascii="Calibri" w:hAnsi="Calibri" w:cs="Calibri"/>
                <w:b/>
                <w:bCs/>
                <w:i/>
                <w:iCs/>
                <w:color w:val="000000"/>
                <w:sz w:val="18"/>
                <w:szCs w:val="22"/>
              </w:rPr>
            </w:pPr>
            <w:r w:rsidRPr="00BD3940">
              <w:rPr>
                <w:rFonts w:ascii="Calibri" w:hAnsi="Calibri" w:cs="Calibri"/>
                <w:b/>
                <w:bCs/>
                <w:i/>
                <w:iCs/>
                <w:color w:val="000000"/>
                <w:sz w:val="18"/>
                <w:szCs w:val="22"/>
              </w:rPr>
              <w:t>2009</w:t>
            </w:r>
          </w:p>
        </w:tc>
        <w:tc>
          <w:tcPr>
            <w:tcW w:w="927" w:type="dxa"/>
            <w:shd w:val="clear" w:color="000000" w:fill="FDE9D9"/>
            <w:noWrap/>
            <w:vAlign w:val="bottom"/>
            <w:hideMark/>
          </w:tcPr>
          <w:p w:rsidR="00BD3940" w:rsidRPr="00BD3940" w:rsidRDefault="00BD3940" w:rsidP="004653DA">
            <w:pPr>
              <w:spacing w:after="0" w:line="240" w:lineRule="auto"/>
              <w:rPr>
                <w:rFonts w:ascii="Calibri" w:hAnsi="Calibri" w:cs="Calibri"/>
                <w:b/>
                <w:bCs/>
                <w:i/>
                <w:iCs/>
                <w:color w:val="000000"/>
                <w:sz w:val="18"/>
                <w:szCs w:val="22"/>
              </w:rPr>
            </w:pPr>
            <w:r w:rsidRPr="00BD3940">
              <w:rPr>
                <w:rFonts w:ascii="Calibri" w:hAnsi="Calibri" w:cs="Calibri"/>
                <w:b/>
                <w:bCs/>
                <w:i/>
                <w:iCs/>
                <w:color w:val="000000"/>
                <w:sz w:val="18"/>
                <w:szCs w:val="22"/>
              </w:rPr>
              <w:t>2010</w:t>
            </w:r>
          </w:p>
        </w:tc>
      </w:tr>
      <w:tr w:rsidR="00BD3940" w:rsidRPr="00BD3940" w:rsidTr="00E15F59">
        <w:trPr>
          <w:trHeight w:val="219"/>
        </w:trPr>
        <w:tc>
          <w:tcPr>
            <w:tcW w:w="2056" w:type="dxa"/>
            <w:shd w:val="clear" w:color="000000" w:fill="FDE9D9"/>
            <w:noWrap/>
            <w:vAlign w:val="bottom"/>
            <w:hideMark/>
          </w:tcPr>
          <w:p w:rsidR="00BD3940" w:rsidRPr="00BD3940" w:rsidRDefault="00BD3940" w:rsidP="004653DA">
            <w:pPr>
              <w:spacing w:after="0" w:line="240" w:lineRule="auto"/>
              <w:rPr>
                <w:rFonts w:ascii="Calibri" w:hAnsi="Calibri" w:cs="Calibri"/>
                <w:b/>
                <w:bCs/>
                <w:i/>
                <w:iCs/>
                <w:color w:val="000000"/>
                <w:sz w:val="18"/>
                <w:szCs w:val="22"/>
              </w:rPr>
            </w:pPr>
            <w:r w:rsidRPr="00BD3940">
              <w:rPr>
                <w:rFonts w:ascii="Calibri" w:hAnsi="Calibri" w:cs="Calibri"/>
                <w:b/>
                <w:bCs/>
                <w:i/>
                <w:iCs/>
                <w:color w:val="000000"/>
                <w:sz w:val="18"/>
                <w:szCs w:val="22"/>
              </w:rPr>
              <w:t>Příjmy SR</w:t>
            </w:r>
          </w:p>
        </w:tc>
        <w:tc>
          <w:tcPr>
            <w:tcW w:w="927"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699 670,0</w:t>
            </w:r>
          </w:p>
        </w:tc>
        <w:tc>
          <w:tcPr>
            <w:tcW w:w="927"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769 210,0</w:t>
            </w:r>
          </w:p>
        </w:tc>
        <w:tc>
          <w:tcPr>
            <w:tcW w:w="927"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866 460,0</w:t>
            </w:r>
          </w:p>
        </w:tc>
        <w:tc>
          <w:tcPr>
            <w:tcW w:w="927"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923 060,0</w:t>
            </w:r>
          </w:p>
        </w:tc>
        <w:tc>
          <w:tcPr>
            <w:tcW w:w="1012"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1 025 880,0</w:t>
            </w:r>
          </w:p>
        </w:tc>
        <w:tc>
          <w:tcPr>
            <w:tcW w:w="1012"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1 063 940,0</w:t>
            </w:r>
          </w:p>
        </w:tc>
        <w:tc>
          <w:tcPr>
            <w:tcW w:w="927"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974 610,0</w:t>
            </w:r>
          </w:p>
        </w:tc>
        <w:tc>
          <w:tcPr>
            <w:tcW w:w="927"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 </w:t>
            </w:r>
          </w:p>
        </w:tc>
      </w:tr>
      <w:tr w:rsidR="00BD3940" w:rsidRPr="00BD3940" w:rsidTr="00E15F59">
        <w:trPr>
          <w:trHeight w:val="219"/>
        </w:trPr>
        <w:tc>
          <w:tcPr>
            <w:tcW w:w="2056" w:type="dxa"/>
            <w:shd w:val="clear" w:color="000000" w:fill="FDE9D9"/>
            <w:noWrap/>
            <w:vAlign w:val="bottom"/>
            <w:hideMark/>
          </w:tcPr>
          <w:p w:rsidR="00BD3940" w:rsidRPr="00BD3940" w:rsidRDefault="00BD3940" w:rsidP="004653DA">
            <w:pPr>
              <w:spacing w:after="0" w:line="240" w:lineRule="auto"/>
              <w:rPr>
                <w:rFonts w:ascii="Calibri" w:hAnsi="Calibri" w:cs="Calibri"/>
                <w:b/>
                <w:bCs/>
                <w:i/>
                <w:iCs/>
                <w:color w:val="000000"/>
                <w:sz w:val="18"/>
                <w:szCs w:val="22"/>
              </w:rPr>
            </w:pPr>
            <w:r w:rsidRPr="00BD3940">
              <w:rPr>
                <w:rFonts w:ascii="Calibri" w:hAnsi="Calibri" w:cs="Calibri"/>
                <w:b/>
                <w:bCs/>
                <w:i/>
                <w:iCs/>
                <w:color w:val="000000"/>
                <w:sz w:val="18"/>
                <w:szCs w:val="22"/>
              </w:rPr>
              <w:t>Daňové příjmy celkem</w:t>
            </w:r>
          </w:p>
        </w:tc>
        <w:tc>
          <w:tcPr>
            <w:tcW w:w="927" w:type="dxa"/>
            <w:shd w:val="clear" w:color="auto" w:fill="auto"/>
            <w:noWrap/>
            <w:vAlign w:val="bottom"/>
            <w:hideMark/>
          </w:tcPr>
          <w:p w:rsidR="00BD3940" w:rsidRPr="00BD3940" w:rsidRDefault="00BD3940" w:rsidP="004653DA">
            <w:pPr>
              <w:spacing w:after="0" w:line="240" w:lineRule="auto"/>
              <w:rPr>
                <w:rFonts w:ascii="Calibri" w:hAnsi="Calibri" w:cs="Calibri"/>
                <w:i/>
                <w:iCs/>
                <w:color w:val="000000"/>
                <w:sz w:val="18"/>
                <w:szCs w:val="22"/>
              </w:rPr>
            </w:pPr>
            <w:r w:rsidRPr="00BD3940">
              <w:rPr>
                <w:rFonts w:ascii="Calibri" w:hAnsi="Calibri" w:cs="Calibri"/>
                <w:i/>
                <w:iCs/>
                <w:color w:val="000000"/>
                <w:sz w:val="18"/>
                <w:szCs w:val="22"/>
              </w:rPr>
              <w:t>395 960,0</w:t>
            </w:r>
          </w:p>
        </w:tc>
        <w:tc>
          <w:tcPr>
            <w:tcW w:w="927" w:type="dxa"/>
            <w:shd w:val="clear" w:color="auto" w:fill="auto"/>
            <w:noWrap/>
            <w:vAlign w:val="bottom"/>
            <w:hideMark/>
          </w:tcPr>
          <w:p w:rsidR="00BD3940" w:rsidRPr="00BD3940" w:rsidRDefault="00BD3940" w:rsidP="004653DA">
            <w:pPr>
              <w:spacing w:after="0" w:line="240" w:lineRule="auto"/>
              <w:rPr>
                <w:rFonts w:ascii="Calibri" w:hAnsi="Calibri" w:cs="Calibri"/>
                <w:i/>
                <w:iCs/>
                <w:color w:val="000000"/>
                <w:sz w:val="18"/>
                <w:szCs w:val="22"/>
              </w:rPr>
            </w:pPr>
            <w:r w:rsidRPr="00BD3940">
              <w:rPr>
                <w:rFonts w:ascii="Calibri" w:hAnsi="Calibri" w:cs="Calibri"/>
                <w:i/>
                <w:iCs/>
                <w:color w:val="000000"/>
                <w:sz w:val="18"/>
                <w:szCs w:val="22"/>
              </w:rPr>
              <w:t>424 690,0</w:t>
            </w:r>
          </w:p>
        </w:tc>
        <w:tc>
          <w:tcPr>
            <w:tcW w:w="927" w:type="dxa"/>
            <w:shd w:val="clear" w:color="auto" w:fill="auto"/>
            <w:noWrap/>
            <w:vAlign w:val="bottom"/>
            <w:hideMark/>
          </w:tcPr>
          <w:p w:rsidR="00BD3940" w:rsidRPr="00BD3940" w:rsidRDefault="00BD3940" w:rsidP="004653DA">
            <w:pPr>
              <w:spacing w:after="0" w:line="240" w:lineRule="auto"/>
              <w:rPr>
                <w:rFonts w:ascii="Calibri" w:hAnsi="Calibri" w:cs="Calibri"/>
                <w:i/>
                <w:iCs/>
                <w:color w:val="000000"/>
                <w:sz w:val="18"/>
                <w:szCs w:val="22"/>
              </w:rPr>
            </w:pPr>
            <w:r w:rsidRPr="00BD3940">
              <w:rPr>
                <w:rFonts w:ascii="Calibri" w:hAnsi="Calibri" w:cs="Calibri"/>
                <w:i/>
                <w:iCs/>
                <w:color w:val="000000"/>
                <w:sz w:val="18"/>
                <w:szCs w:val="22"/>
              </w:rPr>
              <w:t>460 430,0</w:t>
            </w:r>
          </w:p>
        </w:tc>
        <w:tc>
          <w:tcPr>
            <w:tcW w:w="927" w:type="dxa"/>
            <w:shd w:val="clear" w:color="auto" w:fill="auto"/>
            <w:noWrap/>
            <w:vAlign w:val="bottom"/>
            <w:hideMark/>
          </w:tcPr>
          <w:p w:rsidR="00BD3940" w:rsidRPr="00BD3940" w:rsidRDefault="00BD3940" w:rsidP="004653DA">
            <w:pPr>
              <w:spacing w:after="0" w:line="240" w:lineRule="auto"/>
              <w:rPr>
                <w:rFonts w:ascii="Calibri" w:hAnsi="Calibri" w:cs="Calibri"/>
                <w:i/>
                <w:iCs/>
                <w:color w:val="000000"/>
                <w:sz w:val="18"/>
                <w:szCs w:val="22"/>
              </w:rPr>
            </w:pPr>
            <w:r w:rsidRPr="00BD3940">
              <w:rPr>
                <w:rFonts w:ascii="Calibri" w:hAnsi="Calibri" w:cs="Calibri"/>
                <w:i/>
                <w:iCs/>
                <w:color w:val="000000"/>
                <w:sz w:val="18"/>
                <w:szCs w:val="22"/>
              </w:rPr>
              <w:t>469 190,0</w:t>
            </w:r>
          </w:p>
        </w:tc>
        <w:tc>
          <w:tcPr>
            <w:tcW w:w="1012" w:type="dxa"/>
            <w:shd w:val="clear" w:color="auto" w:fill="auto"/>
            <w:noWrap/>
            <w:vAlign w:val="bottom"/>
            <w:hideMark/>
          </w:tcPr>
          <w:p w:rsidR="00BD3940" w:rsidRPr="00BD3940" w:rsidRDefault="00BD3940" w:rsidP="004653DA">
            <w:pPr>
              <w:spacing w:after="0" w:line="240" w:lineRule="auto"/>
              <w:rPr>
                <w:rFonts w:ascii="Calibri" w:hAnsi="Calibri" w:cs="Calibri"/>
                <w:i/>
                <w:iCs/>
                <w:color w:val="000000"/>
                <w:sz w:val="18"/>
                <w:szCs w:val="22"/>
              </w:rPr>
            </w:pPr>
            <w:r w:rsidRPr="00BD3940">
              <w:rPr>
                <w:rFonts w:ascii="Calibri" w:hAnsi="Calibri" w:cs="Calibri"/>
                <w:i/>
                <w:iCs/>
                <w:color w:val="000000"/>
                <w:sz w:val="18"/>
                <w:szCs w:val="22"/>
              </w:rPr>
              <w:t>533 510,0</w:t>
            </w:r>
          </w:p>
        </w:tc>
        <w:tc>
          <w:tcPr>
            <w:tcW w:w="1012" w:type="dxa"/>
            <w:shd w:val="clear" w:color="auto" w:fill="auto"/>
            <w:noWrap/>
            <w:vAlign w:val="bottom"/>
            <w:hideMark/>
          </w:tcPr>
          <w:p w:rsidR="00BD3940" w:rsidRPr="00BD3940" w:rsidRDefault="00BD3940" w:rsidP="004653DA">
            <w:pPr>
              <w:spacing w:after="0" w:line="240" w:lineRule="auto"/>
              <w:rPr>
                <w:rFonts w:ascii="Calibri" w:hAnsi="Calibri" w:cs="Calibri"/>
                <w:i/>
                <w:iCs/>
                <w:color w:val="000000"/>
                <w:sz w:val="18"/>
                <w:szCs w:val="22"/>
              </w:rPr>
            </w:pPr>
            <w:r w:rsidRPr="00BD3940">
              <w:rPr>
                <w:rFonts w:ascii="Calibri" w:hAnsi="Calibri" w:cs="Calibri"/>
                <w:i/>
                <w:iCs/>
                <w:color w:val="000000"/>
                <w:sz w:val="18"/>
                <w:szCs w:val="22"/>
              </w:rPr>
              <w:t>544 390,0</w:t>
            </w:r>
          </w:p>
        </w:tc>
        <w:tc>
          <w:tcPr>
            <w:tcW w:w="927" w:type="dxa"/>
            <w:shd w:val="clear" w:color="auto" w:fill="auto"/>
            <w:noWrap/>
            <w:vAlign w:val="bottom"/>
            <w:hideMark/>
          </w:tcPr>
          <w:p w:rsidR="00BD3940" w:rsidRPr="00BD3940" w:rsidRDefault="00BD3940" w:rsidP="004653DA">
            <w:pPr>
              <w:spacing w:after="0" w:line="240" w:lineRule="auto"/>
              <w:rPr>
                <w:rFonts w:ascii="Calibri" w:hAnsi="Calibri" w:cs="Calibri"/>
                <w:i/>
                <w:iCs/>
                <w:color w:val="000000"/>
                <w:sz w:val="18"/>
                <w:szCs w:val="22"/>
              </w:rPr>
            </w:pPr>
            <w:r w:rsidRPr="00BD3940">
              <w:rPr>
                <w:rFonts w:ascii="Calibri" w:hAnsi="Calibri" w:cs="Calibri"/>
                <w:i/>
                <w:iCs/>
                <w:color w:val="000000"/>
                <w:sz w:val="18"/>
                <w:szCs w:val="22"/>
              </w:rPr>
              <w:t>485 360,0</w:t>
            </w:r>
          </w:p>
        </w:tc>
        <w:tc>
          <w:tcPr>
            <w:tcW w:w="927"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 </w:t>
            </w:r>
          </w:p>
        </w:tc>
      </w:tr>
      <w:tr w:rsidR="00BD3940" w:rsidRPr="00BD3940" w:rsidTr="00E15F59">
        <w:trPr>
          <w:trHeight w:val="219"/>
        </w:trPr>
        <w:tc>
          <w:tcPr>
            <w:tcW w:w="2056" w:type="dxa"/>
            <w:shd w:val="clear" w:color="000000" w:fill="FDE9D9"/>
            <w:noWrap/>
            <w:vAlign w:val="bottom"/>
            <w:hideMark/>
          </w:tcPr>
          <w:p w:rsidR="00BD3940" w:rsidRPr="00BD3940" w:rsidRDefault="00BD3940" w:rsidP="004653DA">
            <w:pPr>
              <w:spacing w:after="0" w:line="240" w:lineRule="auto"/>
              <w:rPr>
                <w:rFonts w:ascii="Calibri" w:hAnsi="Calibri" w:cs="Calibri"/>
                <w:b/>
                <w:bCs/>
                <w:i/>
                <w:iCs/>
                <w:color w:val="000000"/>
                <w:sz w:val="18"/>
                <w:szCs w:val="22"/>
              </w:rPr>
            </w:pPr>
            <w:r w:rsidRPr="00BD3940">
              <w:rPr>
                <w:rFonts w:ascii="Calibri" w:hAnsi="Calibri" w:cs="Calibri"/>
                <w:b/>
                <w:bCs/>
                <w:i/>
                <w:iCs/>
                <w:color w:val="000000"/>
                <w:sz w:val="18"/>
                <w:szCs w:val="22"/>
              </w:rPr>
              <w:t>DPH z celkových příjmů</w:t>
            </w:r>
          </w:p>
        </w:tc>
        <w:tc>
          <w:tcPr>
            <w:tcW w:w="927"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198 420,0</w:t>
            </w:r>
          </w:p>
        </w:tc>
        <w:tc>
          <w:tcPr>
            <w:tcW w:w="927"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140 380,0</w:t>
            </w:r>
          </w:p>
        </w:tc>
        <w:tc>
          <w:tcPr>
            <w:tcW w:w="927"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146 820,0</w:t>
            </w:r>
          </w:p>
        </w:tc>
        <w:tc>
          <w:tcPr>
            <w:tcW w:w="927"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153 520,0</w:t>
            </w:r>
          </w:p>
        </w:tc>
        <w:tc>
          <w:tcPr>
            <w:tcW w:w="1012"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166 630,0</w:t>
            </w:r>
          </w:p>
        </w:tc>
        <w:tc>
          <w:tcPr>
            <w:tcW w:w="1012"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177 820,0</w:t>
            </w:r>
          </w:p>
        </w:tc>
        <w:tc>
          <w:tcPr>
            <w:tcW w:w="927"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176 720,0</w:t>
            </w:r>
          </w:p>
        </w:tc>
        <w:tc>
          <w:tcPr>
            <w:tcW w:w="927"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 </w:t>
            </w:r>
          </w:p>
        </w:tc>
      </w:tr>
      <w:tr w:rsidR="00BD3940" w:rsidRPr="00BD3940" w:rsidTr="00E15F59">
        <w:trPr>
          <w:trHeight w:val="219"/>
        </w:trPr>
        <w:tc>
          <w:tcPr>
            <w:tcW w:w="2056" w:type="dxa"/>
            <w:shd w:val="clear" w:color="000000" w:fill="FDE9D9"/>
            <w:noWrap/>
            <w:vAlign w:val="bottom"/>
            <w:hideMark/>
          </w:tcPr>
          <w:p w:rsidR="00BD3940" w:rsidRPr="00BD3940" w:rsidRDefault="00BD3940" w:rsidP="004653DA">
            <w:pPr>
              <w:spacing w:after="0" w:line="240" w:lineRule="auto"/>
              <w:rPr>
                <w:rFonts w:ascii="Calibri" w:hAnsi="Calibri" w:cs="Calibri"/>
                <w:b/>
                <w:bCs/>
                <w:i/>
                <w:iCs/>
                <w:color w:val="000000"/>
                <w:sz w:val="18"/>
                <w:szCs w:val="22"/>
              </w:rPr>
            </w:pPr>
            <w:r w:rsidRPr="00BD3940">
              <w:rPr>
                <w:rFonts w:ascii="Calibri" w:hAnsi="Calibri" w:cs="Calibri"/>
                <w:b/>
                <w:bCs/>
                <w:i/>
                <w:iCs/>
                <w:color w:val="000000"/>
                <w:sz w:val="18"/>
                <w:szCs w:val="22"/>
              </w:rPr>
              <w:t>Podíl DPH na příjmech SR</w:t>
            </w:r>
          </w:p>
        </w:tc>
        <w:tc>
          <w:tcPr>
            <w:tcW w:w="927"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28%</w:t>
            </w:r>
          </w:p>
        </w:tc>
        <w:tc>
          <w:tcPr>
            <w:tcW w:w="927"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18%</w:t>
            </w:r>
          </w:p>
        </w:tc>
        <w:tc>
          <w:tcPr>
            <w:tcW w:w="927"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17%</w:t>
            </w:r>
          </w:p>
        </w:tc>
        <w:tc>
          <w:tcPr>
            <w:tcW w:w="927"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17%</w:t>
            </w:r>
          </w:p>
        </w:tc>
        <w:tc>
          <w:tcPr>
            <w:tcW w:w="1012"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16%</w:t>
            </w:r>
          </w:p>
        </w:tc>
        <w:tc>
          <w:tcPr>
            <w:tcW w:w="1012"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17%</w:t>
            </w:r>
          </w:p>
        </w:tc>
        <w:tc>
          <w:tcPr>
            <w:tcW w:w="927"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18%</w:t>
            </w:r>
          </w:p>
        </w:tc>
        <w:tc>
          <w:tcPr>
            <w:tcW w:w="927" w:type="dxa"/>
            <w:shd w:val="clear" w:color="auto" w:fill="auto"/>
            <w:noWrap/>
            <w:vAlign w:val="bottom"/>
            <w:hideMark/>
          </w:tcPr>
          <w:p w:rsidR="00BD3940" w:rsidRPr="00BD3940" w:rsidRDefault="00BD3940" w:rsidP="004653DA">
            <w:pPr>
              <w:spacing w:after="0" w:line="240" w:lineRule="auto"/>
              <w:rPr>
                <w:rFonts w:ascii="Calibri" w:hAnsi="Calibri" w:cs="Calibri"/>
                <w:color w:val="000000"/>
                <w:sz w:val="18"/>
                <w:szCs w:val="22"/>
              </w:rPr>
            </w:pPr>
            <w:r w:rsidRPr="00BD3940">
              <w:rPr>
                <w:rFonts w:ascii="Calibri" w:hAnsi="Calibri" w:cs="Calibri"/>
                <w:color w:val="000000"/>
                <w:sz w:val="18"/>
                <w:szCs w:val="22"/>
              </w:rPr>
              <w:t> </w:t>
            </w:r>
          </w:p>
        </w:tc>
      </w:tr>
    </w:tbl>
    <w:p w:rsidR="00E15F59" w:rsidRPr="00E15F59" w:rsidRDefault="00E15F59" w:rsidP="004653DA">
      <w:pPr>
        <w:pStyle w:val="Nadpis5"/>
        <w:numPr>
          <w:ilvl w:val="0"/>
          <w:numId w:val="0"/>
        </w:numPr>
        <w:ind w:left="1009" w:hanging="1009"/>
        <w:jc w:val="both"/>
        <w:rPr>
          <w:sz w:val="20"/>
        </w:rPr>
      </w:pPr>
      <w:r w:rsidRPr="00E15F59">
        <w:rPr>
          <w:sz w:val="20"/>
        </w:rPr>
        <w:t>Tabulka číslo 3: Podíl DPH na příjmech ČR v letech 2003-2010</w:t>
      </w:r>
    </w:p>
    <w:p w:rsidR="00E15F59" w:rsidRPr="00E15F59" w:rsidRDefault="00E15F59" w:rsidP="004653DA">
      <w:pPr>
        <w:rPr>
          <w:sz w:val="20"/>
        </w:rPr>
      </w:pPr>
      <w:r w:rsidRPr="00E15F59">
        <w:rPr>
          <w:sz w:val="20"/>
        </w:rPr>
        <w:t>Zdroj: Autor</w:t>
      </w:r>
      <w:r w:rsidRPr="00E15F59">
        <w:rPr>
          <w:rStyle w:val="Znakapoznpodarou"/>
          <w:sz w:val="20"/>
        </w:rPr>
        <w:footnoteReference w:id="21"/>
      </w:r>
    </w:p>
    <w:p w:rsidR="0068049D" w:rsidRDefault="00C6520A" w:rsidP="00981D4F">
      <w:r>
        <w:rPr>
          <w:noProof/>
        </w:rPr>
        <w:drawing>
          <wp:inline distT="0" distB="0" distL="0" distR="0" wp14:anchorId="78A1D604" wp14:editId="739C4C0A">
            <wp:extent cx="4514850" cy="2085975"/>
            <wp:effectExtent l="0" t="0" r="19050" b="9525"/>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2113C" w:rsidRPr="00C6520A" w:rsidRDefault="00E15F59" w:rsidP="004653DA">
      <w:pPr>
        <w:pStyle w:val="Nadpis5"/>
        <w:numPr>
          <w:ilvl w:val="0"/>
          <w:numId w:val="0"/>
        </w:numPr>
        <w:ind w:left="1009" w:hanging="1009"/>
        <w:jc w:val="both"/>
        <w:rPr>
          <w:sz w:val="20"/>
        </w:rPr>
      </w:pPr>
      <w:r w:rsidRPr="00C6520A">
        <w:rPr>
          <w:sz w:val="20"/>
        </w:rPr>
        <w:t>Graf číslo 4</w:t>
      </w:r>
      <w:r w:rsidR="0032113C" w:rsidRPr="00C6520A">
        <w:rPr>
          <w:sz w:val="20"/>
        </w:rPr>
        <w:t>: Podíl DPH na př</w:t>
      </w:r>
      <w:r w:rsidRPr="00C6520A">
        <w:rPr>
          <w:sz w:val="20"/>
        </w:rPr>
        <w:t>íjmech Slovenské republiky</w:t>
      </w:r>
      <w:r w:rsidR="0032113C" w:rsidRPr="00C6520A">
        <w:rPr>
          <w:sz w:val="20"/>
        </w:rPr>
        <w:t xml:space="preserve"> v letech 2003-2010</w:t>
      </w:r>
    </w:p>
    <w:p w:rsidR="000723B7" w:rsidRPr="00C6520A" w:rsidRDefault="0032113C" w:rsidP="004653DA">
      <w:pPr>
        <w:rPr>
          <w:sz w:val="20"/>
        </w:rPr>
      </w:pPr>
      <w:r w:rsidRPr="00C6520A">
        <w:rPr>
          <w:sz w:val="20"/>
        </w:rPr>
        <w:t>Zdroj: Autor</w:t>
      </w:r>
      <w:r w:rsidRPr="00C6520A">
        <w:rPr>
          <w:rStyle w:val="Znakapoznpodarou"/>
          <w:sz w:val="20"/>
        </w:rPr>
        <w:footnoteReference w:id="22"/>
      </w:r>
    </w:p>
    <w:p w:rsidR="0032113C" w:rsidRPr="000723B7" w:rsidRDefault="0032113C" w:rsidP="004653DA">
      <w:r w:rsidRPr="00E15526">
        <w:lastRenderedPageBreak/>
        <w:t xml:space="preserve">Graf jasně ukazuje, že největší podíl DPH na příjmech SR byl v roce </w:t>
      </w:r>
      <w:proofErr w:type="gramStart"/>
      <w:r w:rsidRPr="00E15526">
        <w:t>2003 kdy</w:t>
      </w:r>
      <w:proofErr w:type="gramEnd"/>
      <w:r w:rsidRPr="00E15526">
        <w:t xml:space="preserve"> daň činila výši 22%. Od roku 2004, kdy </w:t>
      </w:r>
      <w:proofErr w:type="gramStart"/>
      <w:r w:rsidRPr="00E15526">
        <w:t>došlo</w:t>
      </w:r>
      <w:proofErr w:type="gramEnd"/>
      <w:r w:rsidRPr="00E15526">
        <w:t xml:space="preserve"> ke snížení sazby DPH </w:t>
      </w:r>
      <w:proofErr w:type="gramStart"/>
      <w:r w:rsidRPr="00E15526">
        <w:t>došlo</w:t>
      </w:r>
      <w:proofErr w:type="gramEnd"/>
      <w:r w:rsidRPr="00E15526">
        <w:t xml:space="preserve"> ke snížení podílu DPH na příjmech SR. V dalších letech je situace stabilní. Data za rok 2010 zatím nejsou k dispozici.</w:t>
      </w:r>
    </w:p>
    <w:p w:rsidR="000723B7" w:rsidRDefault="000723B7" w:rsidP="004653DA">
      <w:pPr>
        <w:pStyle w:val="Nadpis3"/>
        <w:jc w:val="both"/>
      </w:pPr>
      <w:bookmarkStart w:id="26" w:name="_Toc307937066"/>
      <w:r>
        <w:t>DPH a Státní rozpočet S</w:t>
      </w:r>
      <w:r w:rsidR="00E15F59">
        <w:t>lovenské republiky</w:t>
      </w:r>
      <w:bookmarkEnd w:id="26"/>
    </w:p>
    <w:p w:rsidR="0032113C" w:rsidRDefault="0032113C" w:rsidP="004653DA">
      <w:r>
        <w:t>Vývoj DPH na příjmech SR ovlivnila daňová reforma, které cíl bylo zavedení jednotné daňové sazby.</w:t>
      </w:r>
    </w:p>
    <w:tbl>
      <w:tblPr>
        <w:tblW w:w="9327" w:type="dxa"/>
        <w:tblInd w:w="65" w:type="dxa"/>
        <w:tblCellMar>
          <w:left w:w="70" w:type="dxa"/>
          <w:right w:w="70" w:type="dxa"/>
        </w:tblCellMar>
        <w:tblLook w:val="04A0" w:firstRow="1" w:lastRow="0" w:firstColumn="1" w:lastColumn="0" w:noHBand="0" w:noVBand="1"/>
      </w:tblPr>
      <w:tblGrid>
        <w:gridCol w:w="1989"/>
        <w:gridCol w:w="897"/>
        <w:gridCol w:w="897"/>
        <w:gridCol w:w="897"/>
        <w:gridCol w:w="897"/>
        <w:gridCol w:w="978"/>
        <w:gridCol w:w="978"/>
        <w:gridCol w:w="897"/>
        <w:gridCol w:w="897"/>
      </w:tblGrid>
      <w:tr w:rsidR="00E15F59" w:rsidRPr="00E15F59" w:rsidTr="00E15F59">
        <w:trPr>
          <w:trHeight w:val="264"/>
        </w:trPr>
        <w:tc>
          <w:tcPr>
            <w:tcW w:w="1989"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E15F59" w:rsidRPr="00E15F59" w:rsidRDefault="00E15F59" w:rsidP="004653DA">
            <w:pPr>
              <w:spacing w:after="0" w:line="240" w:lineRule="auto"/>
              <w:rPr>
                <w:rFonts w:ascii="Calibri" w:hAnsi="Calibri" w:cs="Calibri"/>
                <w:b/>
                <w:bCs/>
                <w:i/>
                <w:iCs/>
                <w:color w:val="000000"/>
                <w:sz w:val="18"/>
                <w:szCs w:val="22"/>
              </w:rPr>
            </w:pPr>
            <w:r w:rsidRPr="00E15F59">
              <w:rPr>
                <w:rFonts w:ascii="Calibri" w:hAnsi="Calibri" w:cs="Calibri"/>
                <w:b/>
                <w:bCs/>
                <w:i/>
                <w:iCs/>
                <w:color w:val="000000"/>
                <w:sz w:val="18"/>
                <w:szCs w:val="22"/>
              </w:rPr>
              <w:t>Rok</w:t>
            </w:r>
          </w:p>
        </w:tc>
        <w:tc>
          <w:tcPr>
            <w:tcW w:w="897" w:type="dxa"/>
            <w:tcBorders>
              <w:top w:val="single" w:sz="4" w:space="0" w:color="auto"/>
              <w:left w:val="nil"/>
              <w:bottom w:val="single" w:sz="4" w:space="0" w:color="auto"/>
              <w:right w:val="single" w:sz="4" w:space="0" w:color="auto"/>
            </w:tcBorders>
            <w:shd w:val="clear" w:color="000000" w:fill="FDE9D9"/>
            <w:noWrap/>
            <w:vAlign w:val="bottom"/>
            <w:hideMark/>
          </w:tcPr>
          <w:p w:rsidR="00E15F59" w:rsidRPr="00E15F59" w:rsidRDefault="00E15F59" w:rsidP="004653DA">
            <w:pPr>
              <w:spacing w:after="0" w:line="240" w:lineRule="auto"/>
              <w:rPr>
                <w:rFonts w:ascii="Calibri" w:hAnsi="Calibri" w:cs="Calibri"/>
                <w:b/>
                <w:bCs/>
                <w:i/>
                <w:iCs/>
                <w:color w:val="000000"/>
                <w:sz w:val="18"/>
                <w:szCs w:val="22"/>
              </w:rPr>
            </w:pPr>
            <w:r w:rsidRPr="00E15F59">
              <w:rPr>
                <w:rFonts w:ascii="Calibri" w:hAnsi="Calibri" w:cs="Calibri"/>
                <w:b/>
                <w:bCs/>
                <w:i/>
                <w:iCs/>
                <w:color w:val="000000"/>
                <w:sz w:val="18"/>
                <w:szCs w:val="22"/>
              </w:rPr>
              <w:t>2003</w:t>
            </w:r>
          </w:p>
        </w:tc>
        <w:tc>
          <w:tcPr>
            <w:tcW w:w="897" w:type="dxa"/>
            <w:tcBorders>
              <w:top w:val="single" w:sz="4" w:space="0" w:color="auto"/>
              <w:left w:val="nil"/>
              <w:bottom w:val="single" w:sz="4" w:space="0" w:color="auto"/>
              <w:right w:val="single" w:sz="4" w:space="0" w:color="auto"/>
            </w:tcBorders>
            <w:shd w:val="clear" w:color="000000" w:fill="FDE9D9"/>
            <w:noWrap/>
            <w:vAlign w:val="bottom"/>
            <w:hideMark/>
          </w:tcPr>
          <w:p w:rsidR="00E15F59" w:rsidRPr="00E15F59" w:rsidRDefault="00E15F59" w:rsidP="004653DA">
            <w:pPr>
              <w:spacing w:after="0" w:line="240" w:lineRule="auto"/>
              <w:rPr>
                <w:rFonts w:ascii="Calibri" w:hAnsi="Calibri" w:cs="Calibri"/>
                <w:b/>
                <w:bCs/>
                <w:i/>
                <w:iCs/>
                <w:color w:val="000000"/>
                <w:sz w:val="18"/>
                <w:szCs w:val="22"/>
              </w:rPr>
            </w:pPr>
            <w:r w:rsidRPr="00E15F59">
              <w:rPr>
                <w:rFonts w:ascii="Calibri" w:hAnsi="Calibri" w:cs="Calibri"/>
                <w:b/>
                <w:bCs/>
                <w:i/>
                <w:iCs/>
                <w:color w:val="000000"/>
                <w:sz w:val="18"/>
                <w:szCs w:val="22"/>
              </w:rPr>
              <w:t>2004</w:t>
            </w:r>
          </w:p>
        </w:tc>
        <w:tc>
          <w:tcPr>
            <w:tcW w:w="897" w:type="dxa"/>
            <w:tcBorders>
              <w:top w:val="single" w:sz="4" w:space="0" w:color="auto"/>
              <w:left w:val="nil"/>
              <w:bottom w:val="single" w:sz="4" w:space="0" w:color="auto"/>
              <w:right w:val="single" w:sz="4" w:space="0" w:color="auto"/>
            </w:tcBorders>
            <w:shd w:val="clear" w:color="000000" w:fill="FDE9D9"/>
            <w:noWrap/>
            <w:vAlign w:val="bottom"/>
            <w:hideMark/>
          </w:tcPr>
          <w:p w:rsidR="00E15F59" w:rsidRPr="00E15F59" w:rsidRDefault="00E15F59" w:rsidP="004653DA">
            <w:pPr>
              <w:spacing w:after="0" w:line="240" w:lineRule="auto"/>
              <w:rPr>
                <w:rFonts w:ascii="Calibri" w:hAnsi="Calibri" w:cs="Calibri"/>
                <w:b/>
                <w:bCs/>
                <w:i/>
                <w:iCs/>
                <w:color w:val="000000"/>
                <w:sz w:val="18"/>
                <w:szCs w:val="22"/>
              </w:rPr>
            </w:pPr>
            <w:r w:rsidRPr="00E15F59">
              <w:rPr>
                <w:rFonts w:ascii="Calibri" w:hAnsi="Calibri" w:cs="Calibri"/>
                <w:b/>
                <w:bCs/>
                <w:i/>
                <w:iCs/>
                <w:color w:val="000000"/>
                <w:sz w:val="18"/>
                <w:szCs w:val="22"/>
              </w:rPr>
              <w:t>2005</w:t>
            </w:r>
          </w:p>
        </w:tc>
        <w:tc>
          <w:tcPr>
            <w:tcW w:w="897" w:type="dxa"/>
            <w:tcBorders>
              <w:top w:val="single" w:sz="4" w:space="0" w:color="auto"/>
              <w:left w:val="nil"/>
              <w:bottom w:val="single" w:sz="4" w:space="0" w:color="auto"/>
              <w:right w:val="single" w:sz="4" w:space="0" w:color="auto"/>
            </w:tcBorders>
            <w:shd w:val="clear" w:color="000000" w:fill="FDE9D9"/>
            <w:noWrap/>
            <w:vAlign w:val="bottom"/>
            <w:hideMark/>
          </w:tcPr>
          <w:p w:rsidR="00E15F59" w:rsidRPr="00E15F59" w:rsidRDefault="00E15F59" w:rsidP="004653DA">
            <w:pPr>
              <w:spacing w:after="0" w:line="240" w:lineRule="auto"/>
              <w:rPr>
                <w:rFonts w:ascii="Calibri" w:hAnsi="Calibri" w:cs="Calibri"/>
                <w:b/>
                <w:bCs/>
                <w:i/>
                <w:iCs/>
                <w:color w:val="000000"/>
                <w:sz w:val="18"/>
                <w:szCs w:val="22"/>
              </w:rPr>
            </w:pPr>
            <w:r w:rsidRPr="00E15F59">
              <w:rPr>
                <w:rFonts w:ascii="Calibri" w:hAnsi="Calibri" w:cs="Calibri"/>
                <w:b/>
                <w:bCs/>
                <w:i/>
                <w:iCs/>
                <w:color w:val="000000"/>
                <w:sz w:val="18"/>
                <w:szCs w:val="22"/>
              </w:rPr>
              <w:t>2006</w:t>
            </w:r>
          </w:p>
        </w:tc>
        <w:tc>
          <w:tcPr>
            <w:tcW w:w="978" w:type="dxa"/>
            <w:tcBorders>
              <w:top w:val="single" w:sz="4" w:space="0" w:color="auto"/>
              <w:left w:val="nil"/>
              <w:bottom w:val="single" w:sz="4" w:space="0" w:color="auto"/>
              <w:right w:val="single" w:sz="4" w:space="0" w:color="auto"/>
            </w:tcBorders>
            <w:shd w:val="clear" w:color="000000" w:fill="FDE9D9"/>
            <w:noWrap/>
            <w:vAlign w:val="bottom"/>
            <w:hideMark/>
          </w:tcPr>
          <w:p w:rsidR="00E15F59" w:rsidRPr="00E15F59" w:rsidRDefault="00E15F59" w:rsidP="004653DA">
            <w:pPr>
              <w:spacing w:after="0" w:line="240" w:lineRule="auto"/>
              <w:rPr>
                <w:rFonts w:ascii="Calibri" w:hAnsi="Calibri" w:cs="Calibri"/>
                <w:b/>
                <w:bCs/>
                <w:i/>
                <w:iCs/>
                <w:color w:val="000000"/>
                <w:sz w:val="18"/>
                <w:szCs w:val="22"/>
              </w:rPr>
            </w:pPr>
            <w:r w:rsidRPr="00E15F59">
              <w:rPr>
                <w:rFonts w:ascii="Calibri" w:hAnsi="Calibri" w:cs="Calibri"/>
                <w:b/>
                <w:bCs/>
                <w:i/>
                <w:iCs/>
                <w:color w:val="000000"/>
                <w:sz w:val="18"/>
                <w:szCs w:val="22"/>
              </w:rPr>
              <w:t>2007</w:t>
            </w:r>
          </w:p>
        </w:tc>
        <w:tc>
          <w:tcPr>
            <w:tcW w:w="978" w:type="dxa"/>
            <w:tcBorders>
              <w:top w:val="single" w:sz="4" w:space="0" w:color="auto"/>
              <w:left w:val="nil"/>
              <w:bottom w:val="single" w:sz="4" w:space="0" w:color="auto"/>
              <w:right w:val="single" w:sz="4" w:space="0" w:color="auto"/>
            </w:tcBorders>
            <w:shd w:val="clear" w:color="000000" w:fill="FDE9D9"/>
            <w:noWrap/>
            <w:vAlign w:val="bottom"/>
            <w:hideMark/>
          </w:tcPr>
          <w:p w:rsidR="00E15F59" w:rsidRPr="00E15F59" w:rsidRDefault="00E15F59" w:rsidP="004653DA">
            <w:pPr>
              <w:spacing w:after="0" w:line="240" w:lineRule="auto"/>
              <w:rPr>
                <w:rFonts w:ascii="Calibri" w:hAnsi="Calibri" w:cs="Calibri"/>
                <w:b/>
                <w:bCs/>
                <w:i/>
                <w:iCs/>
                <w:color w:val="000000"/>
                <w:sz w:val="18"/>
                <w:szCs w:val="22"/>
              </w:rPr>
            </w:pPr>
            <w:r w:rsidRPr="00E15F59">
              <w:rPr>
                <w:rFonts w:ascii="Calibri" w:hAnsi="Calibri" w:cs="Calibri"/>
                <w:b/>
                <w:bCs/>
                <w:i/>
                <w:iCs/>
                <w:color w:val="000000"/>
                <w:sz w:val="18"/>
                <w:szCs w:val="22"/>
              </w:rPr>
              <w:t>2008</w:t>
            </w:r>
          </w:p>
        </w:tc>
        <w:tc>
          <w:tcPr>
            <w:tcW w:w="897" w:type="dxa"/>
            <w:tcBorders>
              <w:top w:val="single" w:sz="4" w:space="0" w:color="auto"/>
              <w:left w:val="nil"/>
              <w:bottom w:val="single" w:sz="4" w:space="0" w:color="auto"/>
              <w:right w:val="single" w:sz="4" w:space="0" w:color="auto"/>
            </w:tcBorders>
            <w:shd w:val="clear" w:color="000000" w:fill="FDE9D9"/>
            <w:noWrap/>
            <w:vAlign w:val="bottom"/>
            <w:hideMark/>
          </w:tcPr>
          <w:p w:rsidR="00E15F59" w:rsidRPr="00E15F59" w:rsidRDefault="00E15F59" w:rsidP="004653DA">
            <w:pPr>
              <w:spacing w:after="0" w:line="240" w:lineRule="auto"/>
              <w:rPr>
                <w:rFonts w:ascii="Calibri" w:hAnsi="Calibri" w:cs="Calibri"/>
                <w:b/>
                <w:bCs/>
                <w:i/>
                <w:iCs/>
                <w:color w:val="000000"/>
                <w:sz w:val="18"/>
                <w:szCs w:val="22"/>
              </w:rPr>
            </w:pPr>
            <w:r w:rsidRPr="00E15F59">
              <w:rPr>
                <w:rFonts w:ascii="Calibri" w:hAnsi="Calibri" w:cs="Calibri"/>
                <w:b/>
                <w:bCs/>
                <w:i/>
                <w:iCs/>
                <w:color w:val="000000"/>
                <w:sz w:val="18"/>
                <w:szCs w:val="22"/>
              </w:rPr>
              <w:t>2009</w:t>
            </w:r>
          </w:p>
        </w:tc>
        <w:tc>
          <w:tcPr>
            <w:tcW w:w="897" w:type="dxa"/>
            <w:tcBorders>
              <w:top w:val="single" w:sz="4" w:space="0" w:color="auto"/>
              <w:left w:val="nil"/>
              <w:bottom w:val="single" w:sz="4" w:space="0" w:color="auto"/>
              <w:right w:val="single" w:sz="4" w:space="0" w:color="auto"/>
            </w:tcBorders>
            <w:shd w:val="clear" w:color="000000" w:fill="FDE9D9"/>
            <w:noWrap/>
            <w:vAlign w:val="bottom"/>
            <w:hideMark/>
          </w:tcPr>
          <w:p w:rsidR="00E15F59" w:rsidRPr="00E15F59" w:rsidRDefault="00E15F59" w:rsidP="004653DA">
            <w:pPr>
              <w:spacing w:after="0" w:line="240" w:lineRule="auto"/>
              <w:rPr>
                <w:rFonts w:ascii="Calibri" w:hAnsi="Calibri" w:cs="Calibri"/>
                <w:b/>
                <w:bCs/>
                <w:i/>
                <w:iCs/>
                <w:color w:val="000000"/>
                <w:sz w:val="18"/>
                <w:szCs w:val="22"/>
              </w:rPr>
            </w:pPr>
            <w:r w:rsidRPr="00E15F59">
              <w:rPr>
                <w:rFonts w:ascii="Calibri" w:hAnsi="Calibri" w:cs="Calibri"/>
                <w:b/>
                <w:bCs/>
                <w:i/>
                <w:iCs/>
                <w:color w:val="000000"/>
                <w:sz w:val="18"/>
                <w:szCs w:val="22"/>
              </w:rPr>
              <w:t>2010</w:t>
            </w:r>
          </w:p>
        </w:tc>
      </w:tr>
      <w:tr w:rsidR="00E15F59" w:rsidRPr="00E15F59" w:rsidTr="00E15F59">
        <w:trPr>
          <w:trHeight w:val="264"/>
        </w:trPr>
        <w:tc>
          <w:tcPr>
            <w:tcW w:w="1989" w:type="dxa"/>
            <w:tcBorders>
              <w:top w:val="nil"/>
              <w:left w:val="single" w:sz="4" w:space="0" w:color="auto"/>
              <w:bottom w:val="single" w:sz="4" w:space="0" w:color="auto"/>
              <w:right w:val="single" w:sz="4" w:space="0" w:color="auto"/>
            </w:tcBorders>
            <w:shd w:val="clear" w:color="000000" w:fill="FDE9D9"/>
            <w:noWrap/>
            <w:vAlign w:val="bottom"/>
            <w:hideMark/>
          </w:tcPr>
          <w:p w:rsidR="00E15F59" w:rsidRPr="00E15F59" w:rsidRDefault="00E15F59" w:rsidP="004653DA">
            <w:pPr>
              <w:spacing w:after="0" w:line="240" w:lineRule="auto"/>
              <w:rPr>
                <w:rFonts w:ascii="Calibri" w:hAnsi="Calibri" w:cs="Calibri"/>
                <w:b/>
                <w:bCs/>
                <w:i/>
                <w:iCs/>
                <w:color w:val="000000"/>
                <w:sz w:val="18"/>
                <w:szCs w:val="22"/>
              </w:rPr>
            </w:pPr>
            <w:r w:rsidRPr="00E15F59">
              <w:rPr>
                <w:rFonts w:ascii="Calibri" w:hAnsi="Calibri" w:cs="Calibri"/>
                <w:b/>
                <w:bCs/>
                <w:i/>
                <w:iCs/>
                <w:color w:val="000000"/>
                <w:sz w:val="18"/>
                <w:szCs w:val="22"/>
              </w:rPr>
              <w:t>Příjmy SR</w:t>
            </w:r>
          </w:p>
        </w:tc>
        <w:tc>
          <w:tcPr>
            <w:tcW w:w="897"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7 736,5</w:t>
            </w:r>
          </w:p>
        </w:tc>
        <w:tc>
          <w:tcPr>
            <w:tcW w:w="897"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8 047,7</w:t>
            </w:r>
          </w:p>
        </w:tc>
        <w:tc>
          <w:tcPr>
            <w:tcW w:w="897"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8 587,1</w:t>
            </w:r>
          </w:p>
        </w:tc>
        <w:tc>
          <w:tcPr>
            <w:tcW w:w="897"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9 691,9</w:t>
            </w:r>
          </w:p>
        </w:tc>
        <w:tc>
          <w:tcPr>
            <w:tcW w:w="978"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10 695,7</w:t>
            </w:r>
          </w:p>
        </w:tc>
        <w:tc>
          <w:tcPr>
            <w:tcW w:w="978"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11 352,4</w:t>
            </w:r>
          </w:p>
        </w:tc>
        <w:tc>
          <w:tcPr>
            <w:tcW w:w="897"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10 540,8</w:t>
            </w:r>
          </w:p>
        </w:tc>
        <w:tc>
          <w:tcPr>
            <w:tcW w:w="897"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10 900,9</w:t>
            </w:r>
          </w:p>
        </w:tc>
      </w:tr>
      <w:tr w:rsidR="00E15F59" w:rsidRPr="00E15F59" w:rsidTr="00E15F59">
        <w:trPr>
          <w:trHeight w:val="264"/>
        </w:trPr>
        <w:tc>
          <w:tcPr>
            <w:tcW w:w="1989" w:type="dxa"/>
            <w:tcBorders>
              <w:top w:val="nil"/>
              <w:left w:val="single" w:sz="4" w:space="0" w:color="auto"/>
              <w:bottom w:val="single" w:sz="4" w:space="0" w:color="auto"/>
              <w:right w:val="single" w:sz="4" w:space="0" w:color="auto"/>
            </w:tcBorders>
            <w:shd w:val="clear" w:color="000000" w:fill="FDE9D9"/>
            <w:noWrap/>
            <w:vAlign w:val="bottom"/>
            <w:hideMark/>
          </w:tcPr>
          <w:p w:rsidR="00E15F59" w:rsidRPr="00E15F59" w:rsidRDefault="00E15F59" w:rsidP="004653DA">
            <w:pPr>
              <w:spacing w:after="0" w:line="240" w:lineRule="auto"/>
              <w:rPr>
                <w:rFonts w:ascii="Calibri" w:hAnsi="Calibri" w:cs="Calibri"/>
                <w:b/>
                <w:bCs/>
                <w:i/>
                <w:iCs/>
                <w:color w:val="000000"/>
                <w:sz w:val="18"/>
                <w:szCs w:val="22"/>
              </w:rPr>
            </w:pPr>
            <w:r w:rsidRPr="00E15F59">
              <w:rPr>
                <w:rFonts w:ascii="Calibri" w:hAnsi="Calibri" w:cs="Calibri"/>
                <w:b/>
                <w:bCs/>
                <w:i/>
                <w:iCs/>
                <w:color w:val="000000"/>
                <w:sz w:val="18"/>
                <w:szCs w:val="22"/>
              </w:rPr>
              <w:t>Daňové příjmy celkem</w:t>
            </w:r>
          </w:p>
        </w:tc>
        <w:tc>
          <w:tcPr>
            <w:tcW w:w="897"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6 643,7</w:t>
            </w:r>
          </w:p>
        </w:tc>
        <w:tc>
          <w:tcPr>
            <w:tcW w:w="897"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6 954,1</w:t>
            </w:r>
          </w:p>
        </w:tc>
        <w:tc>
          <w:tcPr>
            <w:tcW w:w="897"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7 389,1</w:t>
            </w:r>
          </w:p>
        </w:tc>
        <w:tc>
          <w:tcPr>
            <w:tcW w:w="897"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7 842,8</w:t>
            </w:r>
          </w:p>
        </w:tc>
        <w:tc>
          <w:tcPr>
            <w:tcW w:w="978"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8 572,0</w:t>
            </w:r>
          </w:p>
        </w:tc>
        <w:tc>
          <w:tcPr>
            <w:tcW w:w="978"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9 024,8</w:t>
            </w:r>
          </w:p>
        </w:tc>
        <w:tc>
          <w:tcPr>
            <w:tcW w:w="897"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8 025,2</w:t>
            </w:r>
          </w:p>
        </w:tc>
        <w:tc>
          <w:tcPr>
            <w:tcW w:w="897"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7 962,7</w:t>
            </w:r>
          </w:p>
        </w:tc>
      </w:tr>
      <w:tr w:rsidR="00E15F59" w:rsidRPr="00E15F59" w:rsidTr="00E15F59">
        <w:trPr>
          <w:trHeight w:val="264"/>
        </w:trPr>
        <w:tc>
          <w:tcPr>
            <w:tcW w:w="1989" w:type="dxa"/>
            <w:tcBorders>
              <w:top w:val="nil"/>
              <w:left w:val="single" w:sz="4" w:space="0" w:color="auto"/>
              <w:bottom w:val="single" w:sz="4" w:space="0" w:color="auto"/>
              <w:right w:val="single" w:sz="4" w:space="0" w:color="auto"/>
            </w:tcBorders>
            <w:shd w:val="clear" w:color="000000" w:fill="FDE9D9"/>
            <w:noWrap/>
            <w:vAlign w:val="bottom"/>
            <w:hideMark/>
          </w:tcPr>
          <w:p w:rsidR="00E15F59" w:rsidRPr="00E15F59" w:rsidRDefault="00E15F59" w:rsidP="004653DA">
            <w:pPr>
              <w:spacing w:after="0" w:line="240" w:lineRule="auto"/>
              <w:rPr>
                <w:rFonts w:ascii="Calibri" w:hAnsi="Calibri" w:cs="Calibri"/>
                <w:b/>
                <w:bCs/>
                <w:i/>
                <w:iCs/>
                <w:color w:val="000000"/>
                <w:sz w:val="18"/>
                <w:szCs w:val="22"/>
              </w:rPr>
            </w:pPr>
            <w:r w:rsidRPr="00E15F59">
              <w:rPr>
                <w:rFonts w:ascii="Calibri" w:hAnsi="Calibri" w:cs="Calibri"/>
                <w:b/>
                <w:bCs/>
                <w:i/>
                <w:iCs/>
                <w:color w:val="000000"/>
                <w:sz w:val="18"/>
                <w:szCs w:val="22"/>
              </w:rPr>
              <w:t>DPH z celkových příjmů</w:t>
            </w:r>
          </w:p>
        </w:tc>
        <w:tc>
          <w:tcPr>
            <w:tcW w:w="897"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2 781,6</w:t>
            </w:r>
          </w:p>
        </w:tc>
        <w:tc>
          <w:tcPr>
            <w:tcW w:w="897"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3 305,3</w:t>
            </w:r>
          </w:p>
        </w:tc>
        <w:tc>
          <w:tcPr>
            <w:tcW w:w="897"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4 063,9</w:t>
            </w:r>
          </w:p>
        </w:tc>
        <w:tc>
          <w:tcPr>
            <w:tcW w:w="897"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4 264,1</w:t>
            </w:r>
          </w:p>
        </w:tc>
        <w:tc>
          <w:tcPr>
            <w:tcW w:w="978"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4 513,6</w:t>
            </w:r>
          </w:p>
        </w:tc>
        <w:tc>
          <w:tcPr>
            <w:tcW w:w="978"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4 632,5</w:t>
            </w:r>
          </w:p>
        </w:tc>
        <w:tc>
          <w:tcPr>
            <w:tcW w:w="897"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3 846,4</w:t>
            </w:r>
          </w:p>
        </w:tc>
        <w:tc>
          <w:tcPr>
            <w:tcW w:w="897"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4 431,5</w:t>
            </w:r>
          </w:p>
        </w:tc>
      </w:tr>
      <w:tr w:rsidR="00E15F59" w:rsidRPr="00E15F59" w:rsidTr="00E15F59">
        <w:trPr>
          <w:trHeight w:val="264"/>
        </w:trPr>
        <w:tc>
          <w:tcPr>
            <w:tcW w:w="1989" w:type="dxa"/>
            <w:tcBorders>
              <w:top w:val="nil"/>
              <w:left w:val="single" w:sz="4" w:space="0" w:color="auto"/>
              <w:bottom w:val="single" w:sz="4" w:space="0" w:color="auto"/>
              <w:right w:val="single" w:sz="4" w:space="0" w:color="auto"/>
            </w:tcBorders>
            <w:shd w:val="clear" w:color="000000" w:fill="FDE9D9"/>
            <w:noWrap/>
            <w:vAlign w:val="bottom"/>
            <w:hideMark/>
          </w:tcPr>
          <w:p w:rsidR="00E15F59" w:rsidRPr="00E15F59" w:rsidRDefault="00E15F59" w:rsidP="004653DA">
            <w:pPr>
              <w:spacing w:after="0" w:line="240" w:lineRule="auto"/>
              <w:rPr>
                <w:rFonts w:ascii="Calibri" w:hAnsi="Calibri" w:cs="Calibri"/>
                <w:b/>
                <w:bCs/>
                <w:i/>
                <w:iCs/>
                <w:color w:val="000000"/>
                <w:sz w:val="18"/>
                <w:szCs w:val="22"/>
              </w:rPr>
            </w:pPr>
            <w:r w:rsidRPr="00E15F59">
              <w:rPr>
                <w:rFonts w:ascii="Calibri" w:hAnsi="Calibri" w:cs="Calibri"/>
                <w:b/>
                <w:bCs/>
                <w:i/>
                <w:iCs/>
                <w:color w:val="000000"/>
                <w:sz w:val="18"/>
                <w:szCs w:val="22"/>
              </w:rPr>
              <w:t>Podíl DPH na příjmech SR</w:t>
            </w:r>
          </w:p>
        </w:tc>
        <w:tc>
          <w:tcPr>
            <w:tcW w:w="897"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36%</w:t>
            </w:r>
          </w:p>
        </w:tc>
        <w:tc>
          <w:tcPr>
            <w:tcW w:w="897"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41%</w:t>
            </w:r>
          </w:p>
        </w:tc>
        <w:tc>
          <w:tcPr>
            <w:tcW w:w="897"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47%</w:t>
            </w:r>
          </w:p>
        </w:tc>
        <w:tc>
          <w:tcPr>
            <w:tcW w:w="897"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44%</w:t>
            </w:r>
          </w:p>
        </w:tc>
        <w:tc>
          <w:tcPr>
            <w:tcW w:w="978"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42%</w:t>
            </w:r>
          </w:p>
        </w:tc>
        <w:tc>
          <w:tcPr>
            <w:tcW w:w="978"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41%</w:t>
            </w:r>
          </w:p>
        </w:tc>
        <w:tc>
          <w:tcPr>
            <w:tcW w:w="897"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36%</w:t>
            </w:r>
          </w:p>
        </w:tc>
        <w:tc>
          <w:tcPr>
            <w:tcW w:w="897" w:type="dxa"/>
            <w:tcBorders>
              <w:top w:val="nil"/>
              <w:left w:val="nil"/>
              <w:bottom w:val="single" w:sz="4" w:space="0" w:color="auto"/>
              <w:right w:val="single" w:sz="4" w:space="0" w:color="auto"/>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18"/>
                <w:szCs w:val="22"/>
              </w:rPr>
            </w:pPr>
            <w:r w:rsidRPr="00E15F59">
              <w:rPr>
                <w:rFonts w:ascii="Calibri" w:hAnsi="Calibri" w:cs="Calibri"/>
                <w:color w:val="000000"/>
                <w:sz w:val="18"/>
                <w:szCs w:val="22"/>
              </w:rPr>
              <w:t>41%</w:t>
            </w:r>
          </w:p>
        </w:tc>
      </w:tr>
      <w:tr w:rsidR="00E15F59" w:rsidRPr="00E15F59" w:rsidTr="00E15F59">
        <w:trPr>
          <w:trHeight w:val="53"/>
        </w:trPr>
        <w:tc>
          <w:tcPr>
            <w:tcW w:w="1989" w:type="dxa"/>
            <w:tcBorders>
              <w:top w:val="nil"/>
              <w:left w:val="nil"/>
              <w:bottom w:val="nil"/>
              <w:right w:val="nil"/>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22"/>
                <w:szCs w:val="22"/>
              </w:rPr>
            </w:pPr>
          </w:p>
        </w:tc>
        <w:tc>
          <w:tcPr>
            <w:tcW w:w="897" w:type="dxa"/>
            <w:tcBorders>
              <w:top w:val="nil"/>
              <w:left w:val="nil"/>
              <w:bottom w:val="nil"/>
              <w:right w:val="nil"/>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22"/>
                <w:szCs w:val="22"/>
              </w:rPr>
            </w:pPr>
          </w:p>
        </w:tc>
        <w:tc>
          <w:tcPr>
            <w:tcW w:w="897" w:type="dxa"/>
            <w:tcBorders>
              <w:top w:val="nil"/>
              <w:left w:val="nil"/>
              <w:bottom w:val="nil"/>
              <w:right w:val="nil"/>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22"/>
                <w:szCs w:val="22"/>
              </w:rPr>
            </w:pPr>
          </w:p>
        </w:tc>
        <w:tc>
          <w:tcPr>
            <w:tcW w:w="897" w:type="dxa"/>
            <w:tcBorders>
              <w:top w:val="nil"/>
              <w:left w:val="nil"/>
              <w:bottom w:val="nil"/>
              <w:right w:val="nil"/>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22"/>
                <w:szCs w:val="22"/>
              </w:rPr>
            </w:pPr>
          </w:p>
        </w:tc>
        <w:tc>
          <w:tcPr>
            <w:tcW w:w="897" w:type="dxa"/>
            <w:tcBorders>
              <w:top w:val="nil"/>
              <w:left w:val="nil"/>
              <w:bottom w:val="nil"/>
              <w:right w:val="nil"/>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22"/>
                <w:szCs w:val="22"/>
              </w:rPr>
            </w:pPr>
          </w:p>
        </w:tc>
        <w:tc>
          <w:tcPr>
            <w:tcW w:w="978" w:type="dxa"/>
            <w:tcBorders>
              <w:top w:val="nil"/>
              <w:left w:val="nil"/>
              <w:bottom w:val="nil"/>
              <w:right w:val="nil"/>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22"/>
                <w:szCs w:val="22"/>
              </w:rPr>
            </w:pPr>
          </w:p>
        </w:tc>
        <w:tc>
          <w:tcPr>
            <w:tcW w:w="978" w:type="dxa"/>
            <w:tcBorders>
              <w:top w:val="nil"/>
              <w:left w:val="nil"/>
              <w:bottom w:val="nil"/>
              <w:right w:val="nil"/>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22"/>
                <w:szCs w:val="22"/>
              </w:rPr>
            </w:pPr>
          </w:p>
        </w:tc>
        <w:tc>
          <w:tcPr>
            <w:tcW w:w="897" w:type="dxa"/>
            <w:tcBorders>
              <w:top w:val="nil"/>
              <w:left w:val="nil"/>
              <w:bottom w:val="nil"/>
              <w:right w:val="nil"/>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22"/>
                <w:szCs w:val="22"/>
              </w:rPr>
            </w:pPr>
          </w:p>
        </w:tc>
        <w:tc>
          <w:tcPr>
            <w:tcW w:w="897" w:type="dxa"/>
            <w:tcBorders>
              <w:top w:val="nil"/>
              <w:left w:val="nil"/>
              <w:bottom w:val="nil"/>
              <w:right w:val="nil"/>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22"/>
                <w:szCs w:val="22"/>
              </w:rPr>
            </w:pPr>
          </w:p>
        </w:tc>
      </w:tr>
      <w:tr w:rsidR="00E15F59" w:rsidRPr="00E15F59" w:rsidTr="00E15F59">
        <w:trPr>
          <w:trHeight w:val="264"/>
        </w:trPr>
        <w:tc>
          <w:tcPr>
            <w:tcW w:w="2886" w:type="dxa"/>
            <w:gridSpan w:val="2"/>
            <w:tcBorders>
              <w:top w:val="nil"/>
              <w:left w:val="nil"/>
              <w:bottom w:val="nil"/>
              <w:right w:val="nil"/>
            </w:tcBorders>
            <w:shd w:val="clear" w:color="auto" w:fill="auto"/>
            <w:noWrap/>
            <w:vAlign w:val="bottom"/>
            <w:hideMark/>
          </w:tcPr>
          <w:p w:rsidR="00E15F59" w:rsidRPr="00E15F59" w:rsidRDefault="00E15F59" w:rsidP="004653DA">
            <w:pPr>
              <w:spacing w:after="0" w:line="240" w:lineRule="auto"/>
              <w:rPr>
                <w:rFonts w:ascii="Calibri" w:hAnsi="Calibri" w:cs="Calibri"/>
                <w:i/>
                <w:iCs/>
                <w:color w:val="000000"/>
                <w:sz w:val="16"/>
                <w:szCs w:val="16"/>
              </w:rPr>
            </w:pPr>
            <w:r w:rsidRPr="00E15F59">
              <w:rPr>
                <w:rFonts w:ascii="Calibri" w:hAnsi="Calibri" w:cs="Calibri"/>
                <w:i/>
                <w:iCs/>
                <w:color w:val="000000"/>
                <w:sz w:val="16"/>
                <w:szCs w:val="16"/>
              </w:rPr>
              <w:t>pozn. Hodnoty v Teur, kurz: 30,126/euro</w:t>
            </w:r>
          </w:p>
        </w:tc>
        <w:tc>
          <w:tcPr>
            <w:tcW w:w="897" w:type="dxa"/>
            <w:tcBorders>
              <w:top w:val="nil"/>
              <w:left w:val="nil"/>
              <w:bottom w:val="nil"/>
              <w:right w:val="nil"/>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22"/>
                <w:szCs w:val="22"/>
              </w:rPr>
            </w:pPr>
          </w:p>
        </w:tc>
        <w:tc>
          <w:tcPr>
            <w:tcW w:w="897" w:type="dxa"/>
            <w:tcBorders>
              <w:top w:val="nil"/>
              <w:left w:val="nil"/>
              <w:bottom w:val="nil"/>
              <w:right w:val="nil"/>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22"/>
                <w:szCs w:val="22"/>
              </w:rPr>
            </w:pPr>
          </w:p>
        </w:tc>
        <w:tc>
          <w:tcPr>
            <w:tcW w:w="897" w:type="dxa"/>
            <w:tcBorders>
              <w:top w:val="nil"/>
              <w:left w:val="nil"/>
              <w:bottom w:val="nil"/>
              <w:right w:val="nil"/>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22"/>
                <w:szCs w:val="22"/>
              </w:rPr>
            </w:pPr>
          </w:p>
        </w:tc>
        <w:tc>
          <w:tcPr>
            <w:tcW w:w="978" w:type="dxa"/>
            <w:tcBorders>
              <w:top w:val="nil"/>
              <w:left w:val="nil"/>
              <w:bottom w:val="nil"/>
              <w:right w:val="nil"/>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22"/>
                <w:szCs w:val="22"/>
              </w:rPr>
            </w:pPr>
          </w:p>
        </w:tc>
        <w:tc>
          <w:tcPr>
            <w:tcW w:w="978" w:type="dxa"/>
            <w:tcBorders>
              <w:top w:val="nil"/>
              <w:left w:val="nil"/>
              <w:bottom w:val="nil"/>
              <w:right w:val="nil"/>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22"/>
                <w:szCs w:val="22"/>
              </w:rPr>
            </w:pPr>
          </w:p>
        </w:tc>
        <w:tc>
          <w:tcPr>
            <w:tcW w:w="897" w:type="dxa"/>
            <w:tcBorders>
              <w:top w:val="nil"/>
              <w:left w:val="nil"/>
              <w:bottom w:val="nil"/>
              <w:right w:val="nil"/>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22"/>
                <w:szCs w:val="22"/>
              </w:rPr>
            </w:pPr>
          </w:p>
        </w:tc>
        <w:tc>
          <w:tcPr>
            <w:tcW w:w="897" w:type="dxa"/>
            <w:tcBorders>
              <w:top w:val="nil"/>
              <w:left w:val="nil"/>
              <w:bottom w:val="nil"/>
              <w:right w:val="nil"/>
            </w:tcBorders>
            <w:shd w:val="clear" w:color="auto" w:fill="auto"/>
            <w:noWrap/>
            <w:vAlign w:val="bottom"/>
            <w:hideMark/>
          </w:tcPr>
          <w:p w:rsidR="00E15F59" w:rsidRPr="00E15F59" w:rsidRDefault="00E15F59" w:rsidP="004653DA">
            <w:pPr>
              <w:spacing w:after="0" w:line="240" w:lineRule="auto"/>
              <w:rPr>
                <w:rFonts w:ascii="Calibri" w:hAnsi="Calibri" w:cs="Calibri"/>
                <w:color w:val="000000"/>
                <w:sz w:val="22"/>
                <w:szCs w:val="22"/>
              </w:rPr>
            </w:pPr>
          </w:p>
        </w:tc>
      </w:tr>
    </w:tbl>
    <w:p w:rsidR="00E15F59" w:rsidRDefault="00E15F59" w:rsidP="004653DA">
      <w:pPr>
        <w:pStyle w:val="Nadpis5"/>
        <w:numPr>
          <w:ilvl w:val="0"/>
          <w:numId w:val="0"/>
        </w:numPr>
        <w:ind w:left="1009" w:hanging="1009"/>
        <w:jc w:val="both"/>
        <w:rPr>
          <w:sz w:val="20"/>
        </w:rPr>
      </w:pPr>
    </w:p>
    <w:p w:rsidR="00E15F59" w:rsidRPr="00E15F59" w:rsidRDefault="00E15F59" w:rsidP="004653DA">
      <w:pPr>
        <w:pStyle w:val="Nadpis5"/>
        <w:numPr>
          <w:ilvl w:val="0"/>
          <w:numId w:val="0"/>
        </w:numPr>
        <w:ind w:left="1009" w:hanging="1009"/>
        <w:jc w:val="both"/>
        <w:rPr>
          <w:sz w:val="20"/>
        </w:rPr>
      </w:pPr>
      <w:r w:rsidRPr="00E15F59">
        <w:rPr>
          <w:sz w:val="20"/>
        </w:rPr>
        <w:t xml:space="preserve">Tabulka číslo </w:t>
      </w:r>
      <w:r>
        <w:rPr>
          <w:sz w:val="20"/>
        </w:rPr>
        <w:t>4</w:t>
      </w:r>
      <w:r w:rsidRPr="00E15F59">
        <w:rPr>
          <w:sz w:val="20"/>
        </w:rPr>
        <w:t xml:space="preserve">: Podíl DPH na příjmech </w:t>
      </w:r>
      <w:r>
        <w:rPr>
          <w:sz w:val="20"/>
        </w:rPr>
        <w:t xml:space="preserve">Slovenské republiky </w:t>
      </w:r>
      <w:r w:rsidRPr="00E15F59">
        <w:rPr>
          <w:sz w:val="20"/>
        </w:rPr>
        <w:t>v letech 2003-2010</w:t>
      </w:r>
    </w:p>
    <w:p w:rsidR="00E15F59" w:rsidRPr="00C6520A" w:rsidRDefault="00E15F59" w:rsidP="004653DA">
      <w:pPr>
        <w:rPr>
          <w:sz w:val="20"/>
        </w:rPr>
      </w:pPr>
      <w:r w:rsidRPr="00E15F59">
        <w:rPr>
          <w:sz w:val="20"/>
        </w:rPr>
        <w:t>Zdroj: Autor</w:t>
      </w:r>
      <w:r w:rsidRPr="00E15F59">
        <w:rPr>
          <w:rStyle w:val="Znakapoznpodarou"/>
          <w:sz w:val="20"/>
        </w:rPr>
        <w:footnoteReference w:id="23"/>
      </w:r>
    </w:p>
    <w:p w:rsidR="007D5FC8" w:rsidRDefault="007D5FC8" w:rsidP="004653DA">
      <w:pPr>
        <w:pStyle w:val="Nadpis4"/>
        <w:numPr>
          <w:ilvl w:val="0"/>
          <w:numId w:val="0"/>
        </w:numPr>
        <w:ind w:left="862" w:hanging="862"/>
        <w:jc w:val="both"/>
      </w:pPr>
      <w:r>
        <w:rPr>
          <w:noProof/>
        </w:rPr>
        <w:drawing>
          <wp:inline distT="0" distB="0" distL="0" distR="0" wp14:anchorId="35A490FF" wp14:editId="055B547E">
            <wp:extent cx="4695825" cy="1524000"/>
            <wp:effectExtent l="0" t="0" r="9525" b="1905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D5FC8" w:rsidRPr="00E15F59" w:rsidRDefault="00E15F59" w:rsidP="004653DA">
      <w:pPr>
        <w:pStyle w:val="Nadpis5"/>
        <w:numPr>
          <w:ilvl w:val="0"/>
          <w:numId w:val="0"/>
        </w:numPr>
        <w:ind w:left="1009" w:hanging="1009"/>
        <w:jc w:val="both"/>
        <w:rPr>
          <w:sz w:val="20"/>
        </w:rPr>
      </w:pPr>
      <w:r>
        <w:rPr>
          <w:sz w:val="20"/>
        </w:rPr>
        <w:t>Graf číslo 2</w:t>
      </w:r>
      <w:r w:rsidR="007D5FC8" w:rsidRPr="00E15F59">
        <w:rPr>
          <w:sz w:val="20"/>
        </w:rPr>
        <w:t>: Podíl DPH na příjmech SR v letech 2003-2010</w:t>
      </w:r>
    </w:p>
    <w:p w:rsidR="007D5FC8" w:rsidRPr="00E15F59" w:rsidRDefault="007D5FC8" w:rsidP="004653DA">
      <w:pPr>
        <w:rPr>
          <w:sz w:val="20"/>
        </w:rPr>
      </w:pPr>
      <w:r w:rsidRPr="00E15F59">
        <w:rPr>
          <w:sz w:val="20"/>
        </w:rPr>
        <w:t>Zdroj: Autor</w:t>
      </w:r>
      <w:r w:rsidRPr="00E15F59">
        <w:rPr>
          <w:rStyle w:val="Znakapoznpodarou"/>
          <w:sz w:val="20"/>
        </w:rPr>
        <w:footnoteReference w:id="24"/>
      </w:r>
    </w:p>
    <w:p w:rsidR="0032113C" w:rsidRDefault="0032113C" w:rsidP="004653DA">
      <w:r>
        <w:t xml:space="preserve">Výsledek jasně poukazuje na to, že se zavedením jednotné daňové sazby došlo v roku 2004 k navýšení </w:t>
      </w:r>
      <w:r w:rsidR="00BB2244">
        <w:t xml:space="preserve">%DPH na příjmech SR. Slovenská republika díky daňové reforme dosáhla větší stabilitu, kterou pozitívně přijalo i zahraničí. Díky těmto všem faktorům se </w:t>
      </w:r>
      <w:r w:rsidR="00BB2244">
        <w:lastRenderedPageBreak/>
        <w:t xml:space="preserve">Slovensko stalo zajímavou krajinou pro investory a podíl DPH na příjmech SR postupně rostl. K poklesu došlo v roku 2009, </w:t>
      </w:r>
      <w:r w:rsidR="00E15526">
        <w:t xml:space="preserve">kdy Slovenská republika vstoupila do měnové unie, což znamenalo, že Slovenská koruna oficiálně zanikla a byla nahrazena měnou Euro. Tato změna měla vliv i na příjmovou stranu SR. Souviselo to jednak s tím, že původní ceny potravin </w:t>
      </w:r>
      <w:proofErr w:type="gramStart"/>
      <w:r w:rsidR="00E15526">
        <w:t>byl</w:t>
      </w:r>
      <w:proofErr w:type="gramEnd"/>
      <w:r w:rsidR="00E15526">
        <w:t xml:space="preserve"> </w:t>
      </w:r>
      <w:proofErr w:type="gramStart"/>
      <w:r w:rsidR="00E15526">
        <w:t>změněny</w:t>
      </w:r>
      <w:proofErr w:type="gramEnd"/>
      <w:r w:rsidR="00E15526">
        <w:t xml:space="preserve"> na základě stanoveného kurzu na „euro ceny“. Slovenská ekonomika byla touto změnou oslabena. Spolu s tím, docházelo k projevování dopadů světové krize. </w:t>
      </w:r>
    </w:p>
    <w:p w:rsidR="00C51E80" w:rsidRDefault="00C51E80" w:rsidP="004653DA">
      <w:r>
        <w:t xml:space="preserve">Rokem 2007, kdy </w:t>
      </w:r>
      <w:proofErr w:type="gramStart"/>
      <w:r>
        <w:t>došlo</w:t>
      </w:r>
      <w:proofErr w:type="gramEnd"/>
      <w:r>
        <w:t xml:space="preserve"> ke znovuzavedení snížené sazby DPH </w:t>
      </w:r>
      <w:proofErr w:type="gramStart"/>
      <w:r>
        <w:t>byla</w:t>
      </w:r>
      <w:proofErr w:type="gramEnd"/>
      <w:r>
        <w:t xml:space="preserve"> narušena politika Rovné daně.</w:t>
      </w:r>
    </w:p>
    <w:p w:rsidR="00BB2244" w:rsidRDefault="00BB2244" w:rsidP="004653DA">
      <w:pPr>
        <w:pStyle w:val="Nadpis3"/>
        <w:jc w:val="both"/>
      </w:pPr>
      <w:bookmarkStart w:id="27" w:name="_Toc307937067"/>
      <w:r>
        <w:t>Porovnání DPH ČR a Slovenska na příjem SR</w:t>
      </w:r>
      <w:bookmarkEnd w:id="27"/>
    </w:p>
    <w:p w:rsidR="00BB2244" w:rsidRDefault="00BB2244" w:rsidP="004653DA">
      <w:r w:rsidRPr="00FE3E1E">
        <w:t>Při prvním porovnání je vidět, že příjmy z DPH tvoří na Slovenský větší poměr na příjmech SR než je tomu v ČR.</w:t>
      </w:r>
      <w:r w:rsidR="00FE3E1E" w:rsidRPr="00FE3E1E">
        <w:t xml:space="preserve"> Je ale skutečně rozdíl, kterým DPH ovlivňuje příjmovou stranu SR v těchto krajinách tak markatní? Na to, abychom mohli toto tvrzení dokázat, nebo vyvrátit je potřeba provést podrobnější analýzu, která ale vyžaduje několik úprav.  Jednou ze základních úprav je vyjádření hodnot ve stejné měně. Za sledovanou měnu jsem si vybrala Euro. Není to z důvodu, že je to oficiální měna Slovenska, ale proto, že obě krajiny jsou součástí Evropského společenství. Tím pádem mezinárodní statistiky používají právě měnu Euro na určený </w:t>
      </w:r>
      <w:proofErr w:type="gramStart"/>
      <w:r w:rsidR="00FE3E1E" w:rsidRPr="00FE3E1E">
        <w:t>rozdílů</w:t>
      </w:r>
      <w:proofErr w:type="gramEnd"/>
      <w:r w:rsidR="00FE3E1E" w:rsidRPr="00FE3E1E">
        <w:t xml:space="preserve"> mezi krajinami. Dalším krokem je provedení rozdílu v odlišných kurzech. Poslední úpravou je propočet podle plátců DPH.</w:t>
      </w:r>
    </w:p>
    <w:p w:rsidR="00FE3E1E" w:rsidRDefault="00FE3E1E" w:rsidP="004653DA">
      <w:r>
        <w:t>…doplnit propocty na eura a f/x change</w:t>
      </w:r>
    </w:p>
    <w:p w:rsidR="00FE3E1E" w:rsidRPr="00BB2244" w:rsidRDefault="00FE3E1E" w:rsidP="004653DA">
      <w:r w:rsidRPr="00FE3E1E">
        <w:rPr>
          <w:highlight w:val="yellow"/>
        </w:rPr>
        <w:t>Pozn. Analýza bude provedena pro podrobnější konzultaci s vedoucím práce</w:t>
      </w:r>
    </w:p>
    <w:p w:rsidR="00647186" w:rsidRPr="00647186" w:rsidRDefault="00647186" w:rsidP="004653DA">
      <w:pPr>
        <w:pStyle w:val="Nadpis2"/>
        <w:jc w:val="both"/>
      </w:pPr>
      <w:bookmarkStart w:id="28" w:name="_Toc307937068"/>
      <w:r>
        <w:t>Vliv DPH na HDP</w:t>
      </w:r>
      <w:bookmarkEnd w:id="28"/>
    </w:p>
    <w:p w:rsidR="00ED3034" w:rsidRDefault="00647186" w:rsidP="004653DA">
      <w:r w:rsidRPr="00BB2244">
        <w:t xml:space="preserve">HDP, vyjádřen jako celková hodnota statků a služeb v peněžných jednotkách, vytvořená za dané období na určité období je ovlivňována daněmi, které jsou základním nástrojem fiskální </w:t>
      </w:r>
      <w:r w:rsidR="00BB2244" w:rsidRPr="00BB2244">
        <w:t>politiky státu. Podobně jako při analýze DPH na celkové příjmy SR, ovlivňuje vývoj sazeb nepřímých daní i HDP krajín.</w:t>
      </w:r>
    </w:p>
    <w:p w:rsidR="00BB2244" w:rsidRDefault="00BB2244" w:rsidP="004653DA">
      <w:pPr>
        <w:pStyle w:val="Nadpis3"/>
        <w:jc w:val="both"/>
      </w:pPr>
      <w:bookmarkStart w:id="29" w:name="_Toc307937069"/>
      <w:r>
        <w:lastRenderedPageBreak/>
        <w:t>Vliv DPH na HDP ČR</w:t>
      </w:r>
      <w:bookmarkEnd w:id="29"/>
    </w:p>
    <w:p w:rsidR="00BB2244" w:rsidRPr="00BB2244" w:rsidRDefault="005D658A" w:rsidP="004653DA">
      <w:pPr>
        <w:rPr>
          <w:highlight w:val="yellow"/>
        </w:rPr>
      </w:pPr>
      <w:r>
        <w:rPr>
          <w:highlight w:val="yellow"/>
        </w:rPr>
        <w:t>Vyžaduje dodatečnou konzultaci s vedoucím práce</w:t>
      </w:r>
    </w:p>
    <w:p w:rsidR="00BB2244" w:rsidRPr="00BB2244" w:rsidRDefault="00BB2244" w:rsidP="004653DA">
      <w:pPr>
        <w:pStyle w:val="Nadpis3"/>
        <w:jc w:val="both"/>
      </w:pPr>
      <w:bookmarkStart w:id="30" w:name="_Toc307937070"/>
      <w:r>
        <w:t>Vliv DPH na HDP Slovenska</w:t>
      </w:r>
      <w:bookmarkEnd w:id="30"/>
    </w:p>
    <w:p w:rsidR="005D658A" w:rsidRPr="00BB2244" w:rsidRDefault="005D658A" w:rsidP="005D658A">
      <w:pPr>
        <w:rPr>
          <w:highlight w:val="yellow"/>
        </w:rPr>
      </w:pPr>
      <w:r>
        <w:rPr>
          <w:highlight w:val="yellow"/>
        </w:rPr>
        <w:t>Vyžaduje dodatečnou konzultaci s vedoucím práce</w:t>
      </w:r>
    </w:p>
    <w:p w:rsidR="00981D4F" w:rsidRDefault="00981D4F" w:rsidP="004653DA">
      <w:pPr>
        <w:rPr>
          <w:b/>
          <w:bCs/>
          <w:sz w:val="28"/>
          <w:szCs w:val="24"/>
        </w:rPr>
      </w:pPr>
    </w:p>
    <w:p w:rsidR="00981D4F" w:rsidRDefault="001F2F7B" w:rsidP="00981D4F">
      <w:pPr>
        <w:pStyle w:val="Nadpis2"/>
        <w:jc w:val="both"/>
      </w:pPr>
      <w:bookmarkStart w:id="31" w:name="_Toc307937071"/>
      <w:r>
        <w:t>Názory na změny DPH v ČR a na Slovensku z pohledu koalice a opozice</w:t>
      </w:r>
      <w:bookmarkEnd w:id="31"/>
    </w:p>
    <w:p w:rsidR="005D658A" w:rsidRPr="00BB2244" w:rsidRDefault="005D658A" w:rsidP="005D658A">
      <w:pPr>
        <w:rPr>
          <w:highlight w:val="yellow"/>
        </w:rPr>
      </w:pPr>
      <w:r>
        <w:rPr>
          <w:highlight w:val="yellow"/>
        </w:rPr>
        <w:t>Vyžaduje dodatečnou konzultaci s vedoucím práce</w:t>
      </w:r>
    </w:p>
    <w:p w:rsidR="006E4F07" w:rsidRPr="00952110" w:rsidRDefault="006E4F07" w:rsidP="004653DA">
      <w:pPr>
        <w:spacing w:after="0" w:line="240" w:lineRule="auto"/>
        <w:rPr>
          <w:b/>
          <w:bCs/>
          <w:sz w:val="32"/>
          <w:szCs w:val="40"/>
          <w:highlight w:val="yellow"/>
        </w:rPr>
      </w:pPr>
    </w:p>
    <w:p w:rsidR="00990CF5" w:rsidRPr="00952110" w:rsidRDefault="00990CF5" w:rsidP="004653DA">
      <w:pPr>
        <w:pStyle w:val="Nadpis1"/>
        <w:jc w:val="both"/>
        <w:rPr>
          <w:highlight w:val="yellow"/>
        </w:rPr>
      </w:pPr>
      <w:bookmarkStart w:id="32" w:name="_Toc307937072"/>
      <w:r w:rsidRPr="00952110">
        <w:rPr>
          <w:highlight w:val="yellow"/>
        </w:rPr>
        <w:t>Závěr</w:t>
      </w:r>
      <w:bookmarkEnd w:id="32"/>
    </w:p>
    <w:p w:rsidR="001F2F7B" w:rsidRPr="00BB2244" w:rsidRDefault="005D658A" w:rsidP="001F2F7B">
      <w:pPr>
        <w:rPr>
          <w:highlight w:val="yellow"/>
        </w:rPr>
      </w:pPr>
      <w:r>
        <w:rPr>
          <w:highlight w:val="yellow"/>
        </w:rPr>
        <w:t>Vypracováno na základě dodatečné konzultace</w:t>
      </w:r>
    </w:p>
    <w:p w:rsidR="00BB5120" w:rsidRPr="00952110" w:rsidRDefault="00BB5120" w:rsidP="004653DA">
      <w:pPr>
        <w:rPr>
          <w:highlight w:val="yellow"/>
        </w:rPr>
      </w:pPr>
      <w:r w:rsidRPr="00952110">
        <w:rPr>
          <w:highlight w:val="yellow"/>
        </w:rPr>
        <w:t xml:space="preserve"> </w:t>
      </w:r>
    </w:p>
    <w:p w:rsidR="00990CF5" w:rsidRPr="00952110" w:rsidRDefault="00990CF5" w:rsidP="004653DA">
      <w:pPr>
        <w:rPr>
          <w:highlight w:val="yellow"/>
        </w:rPr>
      </w:pPr>
    </w:p>
    <w:p w:rsidR="00BB5120" w:rsidRPr="00952110" w:rsidRDefault="00BB5120" w:rsidP="004653DA">
      <w:pPr>
        <w:rPr>
          <w:highlight w:val="yellow"/>
        </w:rPr>
      </w:pPr>
    </w:p>
    <w:p w:rsidR="00990CF5" w:rsidRPr="00952110" w:rsidRDefault="00990CF5" w:rsidP="004653DA">
      <w:pPr>
        <w:rPr>
          <w:highlight w:val="yellow"/>
        </w:rPr>
      </w:pPr>
    </w:p>
    <w:p w:rsidR="00990CF5" w:rsidRPr="00952110" w:rsidRDefault="00990CF5" w:rsidP="004653DA">
      <w:pPr>
        <w:rPr>
          <w:highlight w:val="yellow"/>
        </w:rPr>
      </w:pPr>
    </w:p>
    <w:p w:rsidR="00260F8F" w:rsidRPr="00952110" w:rsidRDefault="00260F8F" w:rsidP="004653DA">
      <w:pPr>
        <w:spacing w:after="0"/>
        <w:rPr>
          <w:b/>
          <w:bCs/>
          <w:sz w:val="26"/>
          <w:szCs w:val="40"/>
          <w:highlight w:val="yellow"/>
        </w:rPr>
      </w:pPr>
      <w:r w:rsidRPr="00952110">
        <w:rPr>
          <w:highlight w:val="yellow"/>
        </w:rPr>
        <w:br w:type="page"/>
      </w:r>
    </w:p>
    <w:p w:rsidR="00990CF5" w:rsidRPr="00FA0BF7" w:rsidRDefault="0001702C" w:rsidP="004653DA">
      <w:pPr>
        <w:pStyle w:val="Nadpis1"/>
        <w:numPr>
          <w:ilvl w:val="0"/>
          <w:numId w:val="0"/>
        </w:numPr>
        <w:ind w:left="360" w:hanging="360"/>
        <w:jc w:val="both"/>
      </w:pPr>
      <w:bookmarkStart w:id="33" w:name="_Toc307937073"/>
      <w:r w:rsidRPr="00FA0BF7">
        <w:lastRenderedPageBreak/>
        <w:t>Literatura</w:t>
      </w:r>
      <w:bookmarkEnd w:id="33"/>
    </w:p>
    <w:p w:rsidR="006E4F07" w:rsidRPr="00FA0BF7" w:rsidRDefault="00581BA1" w:rsidP="004653DA">
      <w:pPr>
        <w:pStyle w:val="Literatura-text"/>
        <w:rPr>
          <w:b/>
        </w:rPr>
      </w:pPr>
      <w:r w:rsidRPr="00FA0BF7">
        <w:rPr>
          <w:b/>
        </w:rPr>
        <w:t>Primární zdroje</w:t>
      </w:r>
    </w:p>
    <w:p w:rsidR="00D43BD6" w:rsidRPr="00FA0BF7" w:rsidRDefault="00FA0BF7" w:rsidP="004653DA">
      <w:pPr>
        <w:pStyle w:val="Textpoznpodarou"/>
        <w:spacing w:after="120"/>
        <w:ind w:left="0" w:firstLine="0"/>
        <w:rPr>
          <w:sz w:val="24"/>
        </w:rPr>
      </w:pPr>
      <w:r w:rsidRPr="00FA0BF7">
        <w:rPr>
          <w:sz w:val="24"/>
        </w:rPr>
        <w:t xml:space="preserve">HAMERNIKOVÁ, B., MAATYOVÁ, A. </w:t>
      </w:r>
      <w:r w:rsidRPr="00FA0BF7">
        <w:rPr>
          <w:i/>
          <w:sz w:val="24"/>
        </w:rPr>
        <w:t>Veřejné finance</w:t>
      </w:r>
      <w:r w:rsidRPr="00FA0BF7">
        <w:rPr>
          <w:sz w:val="24"/>
        </w:rPr>
        <w:t>. 2. Praha: WoltersKluwer ČR, 2010. 340s. ISBN 978-80.7357-497-0</w:t>
      </w:r>
    </w:p>
    <w:p w:rsidR="00FA0BF7" w:rsidRPr="00FA0BF7" w:rsidRDefault="00FA0BF7" w:rsidP="004653DA">
      <w:pPr>
        <w:pStyle w:val="Textpoznpodarou"/>
        <w:spacing w:after="120"/>
        <w:ind w:left="0" w:firstLine="0"/>
        <w:rPr>
          <w:sz w:val="24"/>
        </w:rPr>
      </w:pPr>
    </w:p>
    <w:p w:rsidR="00581BA1" w:rsidRPr="00FA0BF7" w:rsidRDefault="00581BA1" w:rsidP="004653DA">
      <w:pPr>
        <w:pStyle w:val="Literatura-text"/>
        <w:rPr>
          <w:b/>
        </w:rPr>
      </w:pPr>
      <w:r w:rsidRPr="00FA0BF7">
        <w:rPr>
          <w:b/>
        </w:rPr>
        <w:t>Monografie</w:t>
      </w:r>
    </w:p>
    <w:p w:rsidR="00FA0BF7" w:rsidRDefault="00FA0BF7" w:rsidP="004653DA">
      <w:pPr>
        <w:pStyle w:val="Textpoznpodarou"/>
        <w:spacing w:after="120"/>
        <w:ind w:left="0" w:firstLine="0"/>
        <w:rPr>
          <w:sz w:val="24"/>
        </w:rPr>
      </w:pPr>
      <w:r w:rsidRPr="00EE2E5D">
        <w:rPr>
          <w:sz w:val="24"/>
        </w:rPr>
        <w:t>MARKOVÁ, M.</w:t>
      </w:r>
      <w:r>
        <w:rPr>
          <w:sz w:val="24"/>
        </w:rPr>
        <w:t xml:space="preserve"> </w:t>
      </w:r>
      <w:r w:rsidRPr="00EE2E5D">
        <w:rPr>
          <w:i/>
          <w:sz w:val="24"/>
        </w:rPr>
        <w:t>Daňové zákony 2011</w:t>
      </w:r>
      <w:r w:rsidRPr="00EE2E5D">
        <w:rPr>
          <w:sz w:val="24"/>
        </w:rPr>
        <w:t>. 1. Praha: GRADA Publishing, 2011. 264s. ISBN 978-80-247-3800-0</w:t>
      </w:r>
    </w:p>
    <w:p w:rsidR="00FA0BF7" w:rsidRDefault="00FA0BF7" w:rsidP="004653DA">
      <w:pPr>
        <w:pStyle w:val="Textpoznpodarou"/>
        <w:spacing w:after="120"/>
        <w:ind w:left="0" w:firstLine="0"/>
        <w:rPr>
          <w:sz w:val="24"/>
        </w:rPr>
      </w:pPr>
      <w:r w:rsidRPr="0096224F">
        <w:rPr>
          <w:sz w:val="24"/>
        </w:rPr>
        <w:t xml:space="preserve">KUBÁTOVÁ, K. </w:t>
      </w:r>
      <w:r w:rsidRPr="0096224F">
        <w:rPr>
          <w:i/>
          <w:sz w:val="24"/>
        </w:rPr>
        <w:t>Daňová teorie a politika</w:t>
      </w:r>
      <w:r w:rsidRPr="0096224F">
        <w:rPr>
          <w:sz w:val="24"/>
        </w:rPr>
        <w:t>. 5. Pra</w:t>
      </w:r>
      <w:r>
        <w:rPr>
          <w:sz w:val="24"/>
        </w:rPr>
        <w:t xml:space="preserve">ha: WoltersKluwer ČR, 2010. </w:t>
      </w:r>
      <w:r w:rsidRPr="0096224F">
        <w:rPr>
          <w:sz w:val="24"/>
        </w:rPr>
        <w:t>2</w:t>
      </w:r>
      <w:r>
        <w:rPr>
          <w:sz w:val="24"/>
        </w:rPr>
        <w:t>76s</w:t>
      </w:r>
      <w:r w:rsidRPr="0096224F">
        <w:rPr>
          <w:sz w:val="24"/>
        </w:rPr>
        <w:t>.</w:t>
      </w:r>
      <w:r>
        <w:rPr>
          <w:sz w:val="24"/>
        </w:rPr>
        <w:t xml:space="preserve"> ISBN </w:t>
      </w:r>
      <w:r w:rsidRPr="00FE44A5">
        <w:rPr>
          <w:sz w:val="24"/>
        </w:rPr>
        <w:t>978-80-7357-574-8</w:t>
      </w:r>
    </w:p>
    <w:p w:rsidR="00145303" w:rsidRDefault="00FA0BF7" w:rsidP="008A7A00">
      <w:pPr>
        <w:pStyle w:val="Nadpis1"/>
        <w:numPr>
          <w:ilvl w:val="0"/>
          <w:numId w:val="0"/>
        </w:numPr>
        <w:shd w:val="clear" w:color="auto" w:fill="FFFFFF"/>
        <w:ind w:left="360" w:hanging="360"/>
        <w:jc w:val="both"/>
        <w:rPr>
          <w:b w:val="0"/>
          <w:color w:val="000000"/>
          <w:sz w:val="24"/>
          <w:szCs w:val="24"/>
        </w:rPr>
      </w:pPr>
      <w:bookmarkStart w:id="34" w:name="_Toc307937074"/>
      <w:r w:rsidRPr="00632CBF">
        <w:rPr>
          <w:b w:val="0"/>
          <w:sz w:val="24"/>
          <w:szCs w:val="24"/>
        </w:rPr>
        <w:t xml:space="preserve">ŠIROKÝ, J. a kol. </w:t>
      </w:r>
      <w:r w:rsidRPr="00632CBF">
        <w:rPr>
          <w:b w:val="0"/>
          <w:i/>
          <w:sz w:val="24"/>
          <w:szCs w:val="24"/>
        </w:rPr>
        <w:t xml:space="preserve">Daňové </w:t>
      </w:r>
      <w:r w:rsidRPr="00632CBF">
        <w:rPr>
          <w:b w:val="0"/>
          <w:i/>
          <w:color w:val="000000"/>
          <w:sz w:val="24"/>
          <w:szCs w:val="24"/>
        </w:rPr>
        <w:t>teorie - s praktickou aplikací</w:t>
      </w:r>
      <w:r w:rsidRPr="00632CBF">
        <w:rPr>
          <w:b w:val="0"/>
          <w:color w:val="000000"/>
          <w:sz w:val="24"/>
          <w:szCs w:val="24"/>
        </w:rPr>
        <w:t>.</w:t>
      </w:r>
      <w:r w:rsidR="00632CBF" w:rsidRPr="00632CBF">
        <w:rPr>
          <w:b w:val="0"/>
          <w:color w:val="000000"/>
          <w:sz w:val="24"/>
          <w:szCs w:val="24"/>
        </w:rPr>
        <w:t xml:space="preserve"> 2.</w:t>
      </w:r>
      <w:r w:rsidR="00632CBF">
        <w:rPr>
          <w:b w:val="0"/>
          <w:i/>
          <w:color w:val="000000"/>
          <w:sz w:val="24"/>
          <w:szCs w:val="24"/>
        </w:rPr>
        <w:t xml:space="preserve"> </w:t>
      </w:r>
      <w:r w:rsidRPr="00632CBF">
        <w:rPr>
          <w:b w:val="0"/>
          <w:i/>
          <w:color w:val="000000"/>
          <w:sz w:val="24"/>
          <w:szCs w:val="24"/>
        </w:rPr>
        <w:t xml:space="preserve"> </w:t>
      </w:r>
      <w:r w:rsidRPr="00632CBF">
        <w:rPr>
          <w:b w:val="0"/>
          <w:color w:val="000000"/>
          <w:sz w:val="24"/>
          <w:szCs w:val="24"/>
        </w:rPr>
        <w:t xml:space="preserve">Praha: C. H. Beck, </w:t>
      </w:r>
      <w:r w:rsidR="00632CBF">
        <w:rPr>
          <w:b w:val="0"/>
          <w:color w:val="000000"/>
          <w:sz w:val="24"/>
          <w:szCs w:val="24"/>
        </w:rPr>
        <w:t>2008. 304s. ISBN 978-80-7400-005-8</w:t>
      </w:r>
      <w:bookmarkEnd w:id="34"/>
    </w:p>
    <w:p w:rsidR="008A7A00" w:rsidRPr="008A7A00" w:rsidRDefault="008A7A00" w:rsidP="008A7A00">
      <w:pPr>
        <w:pStyle w:val="Nadpis2"/>
        <w:numPr>
          <w:ilvl w:val="0"/>
          <w:numId w:val="0"/>
        </w:numPr>
        <w:ind w:left="576" w:hanging="576"/>
      </w:pPr>
    </w:p>
    <w:p w:rsidR="00581BA1" w:rsidRPr="00732064" w:rsidRDefault="00581BA1" w:rsidP="004653DA">
      <w:pPr>
        <w:pStyle w:val="Literatura-text"/>
        <w:rPr>
          <w:b/>
        </w:rPr>
      </w:pPr>
      <w:r w:rsidRPr="00732064">
        <w:rPr>
          <w:b/>
        </w:rPr>
        <w:t>Odborné knihy a časopisy</w:t>
      </w:r>
    </w:p>
    <w:p w:rsidR="00732064" w:rsidRPr="00732064" w:rsidRDefault="00732064" w:rsidP="004653DA">
      <w:pPr>
        <w:pStyle w:val="Literatura-text"/>
        <w:rPr>
          <w:b/>
          <w:sz w:val="24"/>
          <w:szCs w:val="24"/>
          <w:highlight w:val="yellow"/>
        </w:rPr>
      </w:pPr>
      <w:r w:rsidRPr="00732064">
        <w:rPr>
          <w:sz w:val="24"/>
          <w:szCs w:val="24"/>
        </w:rPr>
        <w:t>KLAZ</w:t>
      </w:r>
      <w:r>
        <w:rPr>
          <w:sz w:val="24"/>
          <w:szCs w:val="24"/>
        </w:rPr>
        <w:t xml:space="preserve">AR. S., </w:t>
      </w:r>
      <w:r w:rsidRPr="00732064">
        <w:rPr>
          <w:sz w:val="24"/>
          <w:szCs w:val="24"/>
        </w:rPr>
        <w:t xml:space="preserve">SLINTÁKOVÁ. B., SVÁTKOVÁ. S., ZELENÝ. M., </w:t>
      </w:r>
      <w:r w:rsidRPr="00732064">
        <w:rPr>
          <w:iCs/>
          <w:sz w:val="24"/>
          <w:szCs w:val="24"/>
        </w:rPr>
        <w:t xml:space="preserve">Dopad harmonizace sazeb DPH v ČR, Acta Oeconomica Pragensia, 2007, roč. 15, č. 1, str. 45. </w:t>
      </w:r>
      <w:r w:rsidRPr="00732064">
        <w:rPr>
          <w:rStyle w:val="Siln"/>
          <w:b w:val="0"/>
          <w:color w:val="2F2F2F"/>
          <w:sz w:val="24"/>
          <w:szCs w:val="24"/>
        </w:rPr>
        <w:t>ISSN 1804-2112</w:t>
      </w:r>
    </w:p>
    <w:p w:rsidR="00581BA1" w:rsidRPr="00952110" w:rsidRDefault="00581BA1" w:rsidP="004653DA">
      <w:pPr>
        <w:pStyle w:val="Literatura-text"/>
        <w:rPr>
          <w:highlight w:val="yellow"/>
        </w:rPr>
      </w:pPr>
    </w:p>
    <w:p w:rsidR="00581BA1" w:rsidRPr="008A7A00" w:rsidRDefault="00581BA1" w:rsidP="004653DA">
      <w:pPr>
        <w:pStyle w:val="Literatura-text"/>
        <w:rPr>
          <w:b/>
        </w:rPr>
      </w:pPr>
      <w:r w:rsidRPr="008A7A00">
        <w:rPr>
          <w:b/>
        </w:rPr>
        <w:t>Internetové zdroje</w:t>
      </w:r>
    </w:p>
    <w:p w:rsidR="00011C39" w:rsidRPr="008A7A00" w:rsidRDefault="00FA0BF7" w:rsidP="008A7A00">
      <w:pPr>
        <w:pStyle w:val="Literatura-text"/>
        <w:rPr>
          <w:bCs/>
          <w:sz w:val="24"/>
          <w:szCs w:val="20"/>
        </w:rPr>
      </w:pPr>
      <w:r w:rsidRPr="00FA0BF7">
        <w:rPr>
          <w:bCs/>
          <w:sz w:val="24"/>
          <w:szCs w:val="20"/>
        </w:rPr>
        <w:t>MFCR: Daňová statistika 2005-2009 [online]. Praha: MFCR, 2011 [cit. 2011-0</w:t>
      </w:r>
      <w:r>
        <w:rPr>
          <w:bCs/>
          <w:sz w:val="24"/>
          <w:szCs w:val="20"/>
        </w:rPr>
        <w:t xml:space="preserve">7-25].  56 s. Dostupné z  WWW: </w:t>
      </w:r>
      <w:hyperlink r:id="rId30" w:history="1">
        <w:r w:rsidRPr="00FA0BF7">
          <w:rPr>
            <w:bCs/>
            <w:color w:val="0070C0"/>
            <w:szCs w:val="20"/>
            <w:u w:val="single"/>
          </w:rPr>
          <w:t>&lt;http://www.mfcr.cz/cps/rde/xbcr/mfcr/Danova_statistika_2005-2009_pdf.pdf</w:t>
        </w:r>
      </w:hyperlink>
      <w:r w:rsidRPr="00FA0BF7">
        <w:rPr>
          <w:bCs/>
          <w:sz w:val="24"/>
          <w:szCs w:val="20"/>
        </w:rPr>
        <w:t>&gt;</w:t>
      </w:r>
    </w:p>
    <w:p w:rsidR="008A7A00" w:rsidRPr="008A7A00" w:rsidRDefault="008A7A00" w:rsidP="004653DA">
      <w:pPr>
        <w:spacing w:after="0"/>
        <w:rPr>
          <w:szCs w:val="24"/>
        </w:rPr>
      </w:pPr>
      <w:r w:rsidRPr="008A7A00">
        <w:rPr>
          <w:szCs w:val="24"/>
        </w:rPr>
        <w:t xml:space="preserve">Na základě </w:t>
      </w:r>
      <w:r w:rsidR="001C5944">
        <w:rPr>
          <w:szCs w:val="24"/>
        </w:rPr>
        <w:t xml:space="preserve">Dostupné z WWW: </w:t>
      </w:r>
      <w:r w:rsidR="001C5944">
        <w:rPr>
          <w:szCs w:val="24"/>
          <w:lang w:val="en-US"/>
        </w:rPr>
        <w:t>&lt;</w:t>
      </w:r>
      <w:r w:rsidRPr="008A7A00">
        <w:rPr>
          <w:szCs w:val="24"/>
        </w:rPr>
        <w:t>http://www.berne.cz/danova-teorie/vyvoj-sazeb-dph-v-cr/</w:t>
      </w:r>
      <w:proofErr w:type="gramStart"/>
      <w:r w:rsidR="001C5944">
        <w:rPr>
          <w:szCs w:val="24"/>
        </w:rPr>
        <w:t>&gt;</w:t>
      </w:r>
      <w:r w:rsidRPr="008A7A00">
        <w:rPr>
          <w:szCs w:val="24"/>
        </w:rPr>
        <w:t xml:space="preserve"> ,</w:t>
      </w:r>
      <w:proofErr w:type="gramEnd"/>
      <w:r w:rsidRPr="008A7A00">
        <w:rPr>
          <w:szCs w:val="24"/>
        </w:rPr>
        <w:t xml:space="preserve"> cit. 27-03-2010</w:t>
      </w:r>
    </w:p>
    <w:p w:rsidR="008A7A00" w:rsidRPr="008A7A00" w:rsidRDefault="008A7A00" w:rsidP="004653DA">
      <w:pPr>
        <w:spacing w:after="0"/>
        <w:rPr>
          <w:szCs w:val="24"/>
        </w:rPr>
      </w:pPr>
      <w:hyperlink r:id="rId31" w:history="1">
        <w:r w:rsidRPr="008A7A00">
          <w:rPr>
            <w:rStyle w:val="Hypertextovodkaz"/>
            <w:szCs w:val="24"/>
          </w:rPr>
          <w:t>http://www.mfcr.cz/cps/rde/xchg/mfcr/xsl/konvergen_programy_43976.html</w:t>
        </w:r>
      </w:hyperlink>
      <w:r w:rsidRPr="008A7A00">
        <w:rPr>
          <w:szCs w:val="24"/>
        </w:rPr>
        <w:t>, 5. Kvalita veřejných financí - příjmy a výdaje</w:t>
      </w:r>
    </w:p>
    <w:p w:rsidR="008A7A00" w:rsidRDefault="008A7A00" w:rsidP="004653DA">
      <w:pPr>
        <w:spacing w:after="0"/>
        <w:rPr>
          <w:rFonts w:ascii="Courier" w:eastAsia="Courier" w:hAnsi="Courier" w:cs="Courier"/>
          <w:bCs/>
          <w:szCs w:val="24"/>
          <w:lang w:val="de-DE"/>
        </w:rPr>
      </w:pPr>
      <w:hyperlink r:id="rId32" w:history="1">
        <w:r w:rsidRPr="008A7A00">
          <w:rPr>
            <w:rStyle w:val="Hypertextovodkaz"/>
            <w:szCs w:val="24"/>
          </w:rPr>
          <w:t>http://www.zbierka.sk/default.aspx</w:t>
        </w:r>
      </w:hyperlink>
      <w:r w:rsidRPr="008A7A00">
        <w:rPr>
          <w:szCs w:val="24"/>
        </w:rPr>
        <w:t xml:space="preserve">  Č. </w:t>
      </w:r>
      <w:proofErr w:type="gramStart"/>
      <w:r w:rsidRPr="008A7A00">
        <w:rPr>
          <w:rFonts w:ascii="Courier" w:eastAsia="Courier" w:hAnsi="Courier" w:cs="Courier"/>
          <w:bCs/>
          <w:szCs w:val="24"/>
          <w:lang w:val="de-DE"/>
        </w:rPr>
        <w:t>595/2003 Z.z, §2</w:t>
      </w:r>
      <w:proofErr w:type="gramEnd"/>
    </w:p>
    <w:p w:rsidR="001C5944" w:rsidRPr="001C5944" w:rsidRDefault="001C5944" w:rsidP="004653DA">
      <w:pPr>
        <w:spacing w:after="0"/>
        <w:rPr>
          <w:szCs w:val="24"/>
        </w:rPr>
        <w:sectPr w:rsidR="001C5944" w:rsidRPr="001C5944" w:rsidSect="00265875">
          <w:headerReference w:type="default" r:id="rId33"/>
          <w:footerReference w:type="default" r:id="rId34"/>
          <w:pgSz w:w="11906" w:h="16838" w:code="9"/>
          <w:pgMar w:top="1276" w:right="1134" w:bottom="1418" w:left="2268" w:header="709" w:footer="12" w:gutter="0"/>
          <w:pgNumType w:start="1"/>
          <w:cols w:space="708"/>
          <w:docGrid w:linePitch="326"/>
        </w:sectPr>
      </w:pPr>
      <w:hyperlink r:id="rId35" w:history="1">
        <w:r w:rsidRPr="001C5944">
          <w:rPr>
            <w:rStyle w:val="Hypertextovodkaz"/>
            <w:szCs w:val="24"/>
          </w:rPr>
          <w:t>http://www.mfcr.cz/cps/rde/xbcr/mfcr/Rovna_dan_v_teorii_a_praxi_pdf.pdf</w:t>
        </w:r>
      </w:hyperlink>
      <w:r w:rsidRPr="001C5944">
        <w:rPr>
          <w:szCs w:val="24"/>
        </w:rPr>
        <w:t>, 2008</w:t>
      </w:r>
    </w:p>
    <w:p w:rsidR="00831212" w:rsidRDefault="0001702C" w:rsidP="004653DA">
      <w:pPr>
        <w:pStyle w:val="Nadpis1"/>
        <w:numPr>
          <w:ilvl w:val="0"/>
          <w:numId w:val="0"/>
        </w:numPr>
        <w:ind w:left="360" w:hanging="360"/>
        <w:jc w:val="both"/>
      </w:pPr>
      <w:bookmarkStart w:id="35" w:name="_Toc307937075"/>
      <w:r>
        <w:lastRenderedPageBreak/>
        <w:t>Přílohy</w:t>
      </w:r>
      <w:bookmarkEnd w:id="35"/>
    </w:p>
    <w:p w:rsidR="00981D4F" w:rsidRDefault="00981D4F" w:rsidP="00981D4F">
      <w:pPr>
        <w:pStyle w:val="Nadpis2"/>
        <w:numPr>
          <w:ilvl w:val="0"/>
          <w:numId w:val="0"/>
        </w:numPr>
        <w:ind w:left="576" w:hanging="576"/>
      </w:pPr>
      <w:bookmarkStart w:id="36" w:name="_Toc307937076"/>
      <w:r>
        <w:t>Vývoj DPH ve vybraných krajinách EU v letech 2000 až 2009</w:t>
      </w:r>
      <w:bookmarkEnd w:id="36"/>
    </w:p>
    <w:tbl>
      <w:tblPr>
        <w:tblW w:w="9060" w:type="dxa"/>
        <w:tblInd w:w="65" w:type="dxa"/>
        <w:tblCellMar>
          <w:left w:w="70" w:type="dxa"/>
          <w:right w:w="70" w:type="dxa"/>
        </w:tblCellMar>
        <w:tblLook w:val="04A0" w:firstRow="1" w:lastRow="0" w:firstColumn="1" w:lastColumn="0" w:noHBand="0" w:noVBand="1"/>
      </w:tblPr>
      <w:tblGrid>
        <w:gridCol w:w="1600"/>
        <w:gridCol w:w="1600"/>
        <w:gridCol w:w="960"/>
        <w:gridCol w:w="960"/>
        <w:gridCol w:w="960"/>
        <w:gridCol w:w="960"/>
        <w:gridCol w:w="960"/>
        <w:gridCol w:w="1060"/>
      </w:tblGrid>
      <w:tr w:rsidR="00BF7DD9" w:rsidRPr="00BF7DD9" w:rsidTr="00BF7DD9">
        <w:trPr>
          <w:trHeight w:val="900"/>
        </w:trPr>
        <w:tc>
          <w:tcPr>
            <w:tcW w:w="160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BF7DD9" w:rsidRPr="00BF7DD9" w:rsidRDefault="00BF7DD9" w:rsidP="00BF7DD9">
            <w:pPr>
              <w:spacing w:after="0" w:line="240" w:lineRule="auto"/>
              <w:jc w:val="left"/>
              <w:rPr>
                <w:rFonts w:ascii="Calibri" w:hAnsi="Calibri" w:cs="Calibri"/>
                <w:b/>
                <w:bCs/>
                <w:i/>
                <w:iCs/>
                <w:color w:val="000000"/>
                <w:sz w:val="22"/>
                <w:szCs w:val="22"/>
              </w:rPr>
            </w:pPr>
            <w:r w:rsidRPr="00BF7DD9">
              <w:rPr>
                <w:rFonts w:ascii="Calibri" w:hAnsi="Calibri" w:cs="Calibri"/>
                <w:b/>
                <w:bCs/>
                <w:i/>
                <w:iCs/>
                <w:color w:val="000000"/>
                <w:sz w:val="22"/>
                <w:szCs w:val="22"/>
              </w:rPr>
              <w:t>Krajina EU</w:t>
            </w:r>
          </w:p>
        </w:tc>
        <w:tc>
          <w:tcPr>
            <w:tcW w:w="1600" w:type="dxa"/>
            <w:tcBorders>
              <w:top w:val="single" w:sz="4" w:space="0" w:color="auto"/>
              <w:left w:val="nil"/>
              <w:bottom w:val="single" w:sz="4" w:space="0" w:color="auto"/>
              <w:right w:val="single" w:sz="4" w:space="0" w:color="auto"/>
            </w:tcBorders>
            <w:shd w:val="clear" w:color="000000" w:fill="8DB4E2"/>
            <w:vAlign w:val="bottom"/>
            <w:hideMark/>
          </w:tcPr>
          <w:p w:rsidR="00BF7DD9" w:rsidRPr="00BF7DD9" w:rsidRDefault="00BF7DD9" w:rsidP="00BF7DD9">
            <w:pPr>
              <w:spacing w:after="0" w:line="240" w:lineRule="auto"/>
              <w:jc w:val="center"/>
              <w:rPr>
                <w:rFonts w:ascii="Calibri" w:hAnsi="Calibri" w:cs="Calibri"/>
                <w:b/>
                <w:bCs/>
                <w:i/>
                <w:iCs/>
                <w:color w:val="000000"/>
                <w:sz w:val="22"/>
                <w:szCs w:val="22"/>
              </w:rPr>
            </w:pPr>
            <w:r w:rsidRPr="00BF7DD9">
              <w:rPr>
                <w:rFonts w:ascii="Calibri" w:hAnsi="Calibri" w:cs="Calibri"/>
                <w:b/>
                <w:bCs/>
                <w:i/>
                <w:iCs/>
                <w:color w:val="000000"/>
                <w:sz w:val="22"/>
                <w:szCs w:val="22"/>
              </w:rPr>
              <w:t>DPV v daňové soustavě od roku</w:t>
            </w:r>
          </w:p>
        </w:tc>
        <w:tc>
          <w:tcPr>
            <w:tcW w:w="960" w:type="dxa"/>
            <w:tcBorders>
              <w:top w:val="single" w:sz="4" w:space="0" w:color="auto"/>
              <w:left w:val="nil"/>
              <w:bottom w:val="single" w:sz="4" w:space="0" w:color="auto"/>
              <w:right w:val="single" w:sz="4" w:space="0" w:color="auto"/>
            </w:tcBorders>
            <w:shd w:val="clear" w:color="000000" w:fill="8DB4E2"/>
            <w:noWrap/>
            <w:vAlign w:val="bottom"/>
            <w:hideMark/>
          </w:tcPr>
          <w:p w:rsidR="00BF7DD9" w:rsidRPr="00BF7DD9" w:rsidRDefault="00BF7DD9" w:rsidP="00BF7DD9">
            <w:pPr>
              <w:spacing w:after="0" w:line="240" w:lineRule="auto"/>
              <w:jc w:val="center"/>
              <w:rPr>
                <w:rFonts w:ascii="Calibri" w:hAnsi="Calibri" w:cs="Calibri"/>
                <w:b/>
                <w:bCs/>
                <w:i/>
                <w:iCs/>
                <w:color w:val="000000"/>
                <w:sz w:val="22"/>
                <w:szCs w:val="22"/>
              </w:rPr>
            </w:pPr>
            <w:r w:rsidRPr="00BF7DD9">
              <w:rPr>
                <w:rFonts w:ascii="Calibri" w:hAnsi="Calibri" w:cs="Calibri"/>
                <w:b/>
                <w:bCs/>
                <w:i/>
                <w:iCs/>
                <w:color w:val="000000"/>
                <w:sz w:val="22"/>
                <w:szCs w:val="22"/>
              </w:rPr>
              <w:t>2000</w:t>
            </w:r>
          </w:p>
        </w:tc>
        <w:tc>
          <w:tcPr>
            <w:tcW w:w="960" w:type="dxa"/>
            <w:tcBorders>
              <w:top w:val="single" w:sz="4" w:space="0" w:color="auto"/>
              <w:left w:val="nil"/>
              <w:bottom w:val="single" w:sz="4" w:space="0" w:color="auto"/>
              <w:right w:val="single" w:sz="4" w:space="0" w:color="auto"/>
            </w:tcBorders>
            <w:shd w:val="clear" w:color="000000" w:fill="8DB4E2"/>
            <w:noWrap/>
            <w:vAlign w:val="bottom"/>
            <w:hideMark/>
          </w:tcPr>
          <w:p w:rsidR="00BF7DD9" w:rsidRPr="00BF7DD9" w:rsidRDefault="00BF7DD9" w:rsidP="00BF7DD9">
            <w:pPr>
              <w:spacing w:after="0" w:line="240" w:lineRule="auto"/>
              <w:jc w:val="center"/>
              <w:rPr>
                <w:rFonts w:ascii="Calibri" w:hAnsi="Calibri" w:cs="Calibri"/>
                <w:b/>
                <w:bCs/>
                <w:i/>
                <w:iCs/>
                <w:color w:val="000000"/>
                <w:sz w:val="22"/>
                <w:szCs w:val="22"/>
              </w:rPr>
            </w:pPr>
            <w:r w:rsidRPr="00BF7DD9">
              <w:rPr>
                <w:rFonts w:ascii="Calibri" w:hAnsi="Calibri" w:cs="Calibri"/>
                <w:b/>
                <w:bCs/>
                <w:i/>
                <w:iCs/>
                <w:color w:val="000000"/>
                <w:sz w:val="22"/>
                <w:szCs w:val="22"/>
              </w:rPr>
              <w:t>2004</w:t>
            </w:r>
          </w:p>
        </w:tc>
        <w:tc>
          <w:tcPr>
            <w:tcW w:w="960" w:type="dxa"/>
            <w:tcBorders>
              <w:top w:val="single" w:sz="4" w:space="0" w:color="auto"/>
              <w:left w:val="nil"/>
              <w:bottom w:val="single" w:sz="4" w:space="0" w:color="auto"/>
              <w:right w:val="single" w:sz="4" w:space="0" w:color="auto"/>
            </w:tcBorders>
            <w:shd w:val="clear" w:color="000000" w:fill="8DB4E2"/>
            <w:noWrap/>
            <w:vAlign w:val="bottom"/>
            <w:hideMark/>
          </w:tcPr>
          <w:p w:rsidR="00BF7DD9" w:rsidRPr="00BF7DD9" w:rsidRDefault="00BF7DD9" w:rsidP="00BF7DD9">
            <w:pPr>
              <w:spacing w:after="0" w:line="240" w:lineRule="auto"/>
              <w:jc w:val="center"/>
              <w:rPr>
                <w:rFonts w:ascii="Calibri" w:hAnsi="Calibri" w:cs="Calibri"/>
                <w:b/>
                <w:bCs/>
                <w:i/>
                <w:iCs/>
                <w:color w:val="000000"/>
                <w:sz w:val="22"/>
                <w:szCs w:val="22"/>
              </w:rPr>
            </w:pPr>
            <w:r w:rsidRPr="00BF7DD9">
              <w:rPr>
                <w:rFonts w:ascii="Calibri" w:hAnsi="Calibri" w:cs="Calibri"/>
                <w:b/>
                <w:bCs/>
                <w:i/>
                <w:iCs/>
                <w:color w:val="000000"/>
                <w:sz w:val="22"/>
                <w:szCs w:val="22"/>
              </w:rPr>
              <w:t>2007</w:t>
            </w:r>
          </w:p>
        </w:tc>
        <w:tc>
          <w:tcPr>
            <w:tcW w:w="960" w:type="dxa"/>
            <w:tcBorders>
              <w:top w:val="single" w:sz="4" w:space="0" w:color="auto"/>
              <w:left w:val="nil"/>
              <w:bottom w:val="single" w:sz="4" w:space="0" w:color="auto"/>
              <w:right w:val="single" w:sz="4" w:space="0" w:color="auto"/>
            </w:tcBorders>
            <w:shd w:val="clear" w:color="000000" w:fill="8DB4E2"/>
            <w:noWrap/>
            <w:vAlign w:val="bottom"/>
            <w:hideMark/>
          </w:tcPr>
          <w:p w:rsidR="00BF7DD9" w:rsidRPr="00BF7DD9" w:rsidRDefault="00BF7DD9" w:rsidP="00BF7DD9">
            <w:pPr>
              <w:spacing w:after="0" w:line="240" w:lineRule="auto"/>
              <w:jc w:val="center"/>
              <w:rPr>
                <w:rFonts w:ascii="Calibri" w:hAnsi="Calibri" w:cs="Calibri"/>
                <w:b/>
                <w:bCs/>
                <w:i/>
                <w:iCs/>
                <w:color w:val="000000"/>
                <w:sz w:val="22"/>
                <w:szCs w:val="22"/>
              </w:rPr>
            </w:pPr>
            <w:r w:rsidRPr="00BF7DD9">
              <w:rPr>
                <w:rFonts w:ascii="Calibri" w:hAnsi="Calibri" w:cs="Calibri"/>
                <w:b/>
                <w:bCs/>
                <w:i/>
                <w:iCs/>
                <w:color w:val="000000"/>
                <w:sz w:val="22"/>
                <w:szCs w:val="22"/>
              </w:rPr>
              <w:t>2008</w:t>
            </w:r>
          </w:p>
        </w:tc>
        <w:tc>
          <w:tcPr>
            <w:tcW w:w="960" w:type="dxa"/>
            <w:tcBorders>
              <w:top w:val="single" w:sz="4" w:space="0" w:color="auto"/>
              <w:left w:val="nil"/>
              <w:bottom w:val="single" w:sz="4" w:space="0" w:color="auto"/>
              <w:right w:val="single" w:sz="4" w:space="0" w:color="auto"/>
            </w:tcBorders>
            <w:shd w:val="clear" w:color="000000" w:fill="8DB4E2"/>
            <w:noWrap/>
            <w:vAlign w:val="bottom"/>
            <w:hideMark/>
          </w:tcPr>
          <w:p w:rsidR="00BF7DD9" w:rsidRPr="00BF7DD9" w:rsidRDefault="00BF7DD9" w:rsidP="00BF7DD9">
            <w:pPr>
              <w:spacing w:after="0" w:line="240" w:lineRule="auto"/>
              <w:jc w:val="center"/>
              <w:rPr>
                <w:rFonts w:ascii="Calibri" w:hAnsi="Calibri" w:cs="Calibri"/>
                <w:b/>
                <w:bCs/>
                <w:i/>
                <w:iCs/>
                <w:color w:val="000000"/>
                <w:sz w:val="22"/>
                <w:szCs w:val="22"/>
              </w:rPr>
            </w:pPr>
            <w:r w:rsidRPr="00BF7DD9">
              <w:rPr>
                <w:rFonts w:ascii="Calibri" w:hAnsi="Calibri" w:cs="Calibri"/>
                <w:b/>
                <w:bCs/>
                <w:i/>
                <w:iCs/>
                <w:color w:val="000000"/>
                <w:sz w:val="22"/>
                <w:szCs w:val="22"/>
              </w:rPr>
              <w:t>2009</w:t>
            </w:r>
          </w:p>
        </w:tc>
        <w:tc>
          <w:tcPr>
            <w:tcW w:w="1060" w:type="dxa"/>
            <w:tcBorders>
              <w:top w:val="single" w:sz="4" w:space="0" w:color="auto"/>
              <w:left w:val="nil"/>
              <w:bottom w:val="single" w:sz="4" w:space="0" w:color="auto"/>
              <w:right w:val="single" w:sz="4" w:space="0" w:color="auto"/>
            </w:tcBorders>
            <w:shd w:val="clear" w:color="000000" w:fill="8DB4E2"/>
            <w:noWrap/>
            <w:vAlign w:val="bottom"/>
            <w:hideMark/>
          </w:tcPr>
          <w:p w:rsidR="00BF7DD9" w:rsidRPr="00BF7DD9" w:rsidRDefault="00BF7DD9" w:rsidP="00BF7DD9">
            <w:pPr>
              <w:spacing w:after="0" w:line="240" w:lineRule="auto"/>
              <w:jc w:val="center"/>
              <w:rPr>
                <w:rFonts w:ascii="Calibri" w:hAnsi="Calibri" w:cs="Calibri"/>
                <w:b/>
                <w:bCs/>
                <w:i/>
                <w:iCs/>
                <w:color w:val="000000"/>
                <w:sz w:val="22"/>
                <w:szCs w:val="22"/>
              </w:rPr>
            </w:pPr>
            <w:r w:rsidRPr="00BF7DD9">
              <w:rPr>
                <w:rFonts w:ascii="Calibri" w:hAnsi="Calibri" w:cs="Calibri"/>
                <w:b/>
                <w:bCs/>
                <w:i/>
                <w:iCs/>
                <w:color w:val="000000"/>
                <w:sz w:val="22"/>
                <w:szCs w:val="22"/>
              </w:rPr>
              <w:t>Snížená</w:t>
            </w:r>
          </w:p>
        </w:tc>
      </w:tr>
      <w:tr w:rsidR="00BF7DD9" w:rsidRPr="00BF7DD9" w:rsidTr="00BF7DD9">
        <w:trPr>
          <w:trHeight w:val="300"/>
        </w:trPr>
        <w:tc>
          <w:tcPr>
            <w:tcW w:w="1600" w:type="dxa"/>
            <w:tcBorders>
              <w:top w:val="nil"/>
              <w:left w:val="single" w:sz="4" w:space="0" w:color="auto"/>
              <w:bottom w:val="single" w:sz="4" w:space="0" w:color="auto"/>
              <w:right w:val="single" w:sz="4" w:space="0" w:color="auto"/>
            </w:tcBorders>
            <w:shd w:val="clear" w:color="000000" w:fill="8DB4E2"/>
            <w:noWrap/>
            <w:vAlign w:val="bottom"/>
            <w:hideMark/>
          </w:tcPr>
          <w:p w:rsidR="00BF7DD9" w:rsidRPr="00BF7DD9" w:rsidRDefault="00BF7DD9" w:rsidP="00BF7DD9">
            <w:pPr>
              <w:spacing w:after="0" w:line="240" w:lineRule="auto"/>
              <w:jc w:val="left"/>
              <w:rPr>
                <w:rFonts w:ascii="Calibri" w:hAnsi="Calibri" w:cs="Calibri"/>
                <w:b/>
                <w:bCs/>
                <w:i/>
                <w:iCs/>
                <w:color w:val="000000"/>
                <w:sz w:val="22"/>
                <w:szCs w:val="22"/>
              </w:rPr>
            </w:pPr>
            <w:r w:rsidRPr="00BF7DD9">
              <w:rPr>
                <w:rFonts w:ascii="Calibri" w:hAnsi="Calibri" w:cs="Calibri"/>
                <w:b/>
                <w:bCs/>
                <w:i/>
                <w:iCs/>
                <w:color w:val="000000"/>
                <w:sz w:val="22"/>
                <w:szCs w:val="22"/>
              </w:rPr>
              <w:t>Rakousko</w:t>
            </w:r>
          </w:p>
        </w:tc>
        <w:tc>
          <w:tcPr>
            <w:tcW w:w="160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1973</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20,0%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20,0%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20,0%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20,0%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20,0%</w:t>
            </w:r>
          </w:p>
        </w:tc>
        <w:tc>
          <w:tcPr>
            <w:tcW w:w="10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10% a 12%</w:t>
            </w:r>
          </w:p>
        </w:tc>
      </w:tr>
      <w:tr w:rsidR="00BF7DD9" w:rsidRPr="00BF7DD9" w:rsidTr="00BF7DD9">
        <w:trPr>
          <w:trHeight w:val="300"/>
        </w:trPr>
        <w:tc>
          <w:tcPr>
            <w:tcW w:w="1600" w:type="dxa"/>
            <w:tcBorders>
              <w:top w:val="nil"/>
              <w:left w:val="single" w:sz="4" w:space="0" w:color="auto"/>
              <w:bottom w:val="single" w:sz="4" w:space="0" w:color="auto"/>
              <w:right w:val="single" w:sz="4" w:space="0" w:color="auto"/>
            </w:tcBorders>
            <w:shd w:val="clear" w:color="000000" w:fill="8DB4E2"/>
            <w:noWrap/>
            <w:vAlign w:val="bottom"/>
            <w:hideMark/>
          </w:tcPr>
          <w:p w:rsidR="00BF7DD9" w:rsidRPr="00BF7DD9" w:rsidRDefault="00BF7DD9" w:rsidP="00BF7DD9">
            <w:pPr>
              <w:spacing w:after="0" w:line="240" w:lineRule="auto"/>
              <w:jc w:val="left"/>
              <w:rPr>
                <w:rFonts w:ascii="Calibri" w:hAnsi="Calibri" w:cs="Calibri"/>
                <w:b/>
                <w:bCs/>
                <w:i/>
                <w:iCs/>
                <w:color w:val="000000"/>
                <w:sz w:val="22"/>
                <w:szCs w:val="22"/>
              </w:rPr>
            </w:pPr>
            <w:r w:rsidRPr="00BF7DD9">
              <w:rPr>
                <w:rFonts w:ascii="Calibri" w:hAnsi="Calibri" w:cs="Calibri"/>
                <w:b/>
                <w:bCs/>
                <w:i/>
                <w:iCs/>
                <w:color w:val="000000"/>
                <w:sz w:val="22"/>
                <w:szCs w:val="22"/>
              </w:rPr>
              <w:t>Belgie</w:t>
            </w:r>
          </w:p>
        </w:tc>
        <w:tc>
          <w:tcPr>
            <w:tcW w:w="160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1971</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21,0%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21,0%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21,0%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21,0%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21,0%</w:t>
            </w:r>
          </w:p>
        </w:tc>
        <w:tc>
          <w:tcPr>
            <w:tcW w:w="10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6% a 12%</w:t>
            </w:r>
          </w:p>
        </w:tc>
      </w:tr>
      <w:tr w:rsidR="00BF7DD9" w:rsidRPr="00BF7DD9" w:rsidTr="00BF7DD9">
        <w:trPr>
          <w:trHeight w:val="300"/>
        </w:trPr>
        <w:tc>
          <w:tcPr>
            <w:tcW w:w="1600" w:type="dxa"/>
            <w:tcBorders>
              <w:top w:val="nil"/>
              <w:left w:val="single" w:sz="4" w:space="0" w:color="auto"/>
              <w:bottom w:val="single" w:sz="4" w:space="0" w:color="auto"/>
              <w:right w:val="single" w:sz="4" w:space="0" w:color="auto"/>
            </w:tcBorders>
            <w:shd w:val="clear" w:color="000000" w:fill="8DB4E2"/>
            <w:noWrap/>
            <w:vAlign w:val="bottom"/>
            <w:hideMark/>
          </w:tcPr>
          <w:p w:rsidR="00BF7DD9" w:rsidRPr="00BF7DD9" w:rsidRDefault="00BF7DD9" w:rsidP="00BF7DD9">
            <w:pPr>
              <w:spacing w:after="0" w:line="240" w:lineRule="auto"/>
              <w:jc w:val="left"/>
              <w:rPr>
                <w:rFonts w:ascii="Calibri" w:hAnsi="Calibri" w:cs="Calibri"/>
                <w:b/>
                <w:bCs/>
                <w:i/>
                <w:iCs/>
                <w:color w:val="000000"/>
                <w:sz w:val="22"/>
                <w:szCs w:val="22"/>
              </w:rPr>
            </w:pPr>
            <w:r w:rsidRPr="00BF7DD9">
              <w:rPr>
                <w:rFonts w:ascii="Calibri" w:hAnsi="Calibri" w:cs="Calibri"/>
                <w:b/>
                <w:bCs/>
                <w:i/>
                <w:iCs/>
                <w:color w:val="000000"/>
                <w:sz w:val="22"/>
                <w:szCs w:val="22"/>
              </w:rPr>
              <w:t>Česká republika</w:t>
            </w:r>
          </w:p>
        </w:tc>
        <w:tc>
          <w:tcPr>
            <w:tcW w:w="160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1993</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22,0%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22,0%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19,0%</w:t>
            </w:r>
          </w:p>
        </w:tc>
        <w:tc>
          <w:tcPr>
            <w:tcW w:w="10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9%</w:t>
            </w:r>
          </w:p>
        </w:tc>
      </w:tr>
      <w:tr w:rsidR="00BF7DD9" w:rsidRPr="00BF7DD9" w:rsidTr="00BF7DD9">
        <w:trPr>
          <w:trHeight w:val="300"/>
        </w:trPr>
        <w:tc>
          <w:tcPr>
            <w:tcW w:w="1600" w:type="dxa"/>
            <w:tcBorders>
              <w:top w:val="nil"/>
              <w:left w:val="single" w:sz="4" w:space="0" w:color="auto"/>
              <w:bottom w:val="single" w:sz="4" w:space="0" w:color="auto"/>
              <w:right w:val="single" w:sz="4" w:space="0" w:color="auto"/>
            </w:tcBorders>
            <w:shd w:val="clear" w:color="000000" w:fill="8DB4E2"/>
            <w:noWrap/>
            <w:vAlign w:val="bottom"/>
            <w:hideMark/>
          </w:tcPr>
          <w:p w:rsidR="00BF7DD9" w:rsidRPr="00BF7DD9" w:rsidRDefault="00BF7DD9" w:rsidP="00BF7DD9">
            <w:pPr>
              <w:spacing w:after="0" w:line="240" w:lineRule="auto"/>
              <w:jc w:val="left"/>
              <w:rPr>
                <w:rFonts w:ascii="Calibri" w:hAnsi="Calibri" w:cs="Calibri"/>
                <w:b/>
                <w:bCs/>
                <w:i/>
                <w:iCs/>
                <w:color w:val="000000"/>
                <w:sz w:val="22"/>
                <w:szCs w:val="22"/>
              </w:rPr>
            </w:pPr>
            <w:r w:rsidRPr="00BF7DD9">
              <w:rPr>
                <w:rFonts w:ascii="Calibri" w:hAnsi="Calibri" w:cs="Calibri"/>
                <w:b/>
                <w:bCs/>
                <w:i/>
                <w:iCs/>
                <w:color w:val="000000"/>
                <w:sz w:val="22"/>
                <w:szCs w:val="22"/>
              </w:rPr>
              <w:t>Francie</w:t>
            </w:r>
          </w:p>
        </w:tc>
        <w:tc>
          <w:tcPr>
            <w:tcW w:w="160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1968</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20,6%</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19,6%</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19,6%</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19,6%</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19,6%</w:t>
            </w:r>
          </w:p>
        </w:tc>
        <w:tc>
          <w:tcPr>
            <w:tcW w:w="10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 a 5%</w:t>
            </w:r>
          </w:p>
        </w:tc>
      </w:tr>
      <w:tr w:rsidR="00BF7DD9" w:rsidRPr="00BF7DD9" w:rsidTr="00BF7DD9">
        <w:trPr>
          <w:trHeight w:val="300"/>
        </w:trPr>
        <w:tc>
          <w:tcPr>
            <w:tcW w:w="1600" w:type="dxa"/>
            <w:tcBorders>
              <w:top w:val="nil"/>
              <w:left w:val="single" w:sz="4" w:space="0" w:color="auto"/>
              <w:bottom w:val="single" w:sz="4" w:space="0" w:color="auto"/>
              <w:right w:val="single" w:sz="4" w:space="0" w:color="auto"/>
            </w:tcBorders>
            <w:shd w:val="clear" w:color="000000" w:fill="8DB4E2"/>
            <w:noWrap/>
            <w:vAlign w:val="bottom"/>
            <w:hideMark/>
          </w:tcPr>
          <w:p w:rsidR="00BF7DD9" w:rsidRPr="00BF7DD9" w:rsidRDefault="00BF7DD9" w:rsidP="00BF7DD9">
            <w:pPr>
              <w:spacing w:after="0" w:line="240" w:lineRule="auto"/>
              <w:jc w:val="left"/>
              <w:rPr>
                <w:rFonts w:ascii="Calibri" w:hAnsi="Calibri" w:cs="Calibri"/>
                <w:b/>
                <w:bCs/>
                <w:i/>
                <w:iCs/>
                <w:color w:val="000000"/>
                <w:sz w:val="22"/>
                <w:szCs w:val="22"/>
              </w:rPr>
            </w:pPr>
            <w:r w:rsidRPr="00BF7DD9">
              <w:rPr>
                <w:rFonts w:ascii="Calibri" w:hAnsi="Calibri" w:cs="Calibri"/>
                <w:b/>
                <w:bCs/>
                <w:i/>
                <w:iCs/>
                <w:color w:val="000000"/>
                <w:sz w:val="22"/>
                <w:szCs w:val="22"/>
              </w:rPr>
              <w:t>Německo</w:t>
            </w:r>
          </w:p>
        </w:tc>
        <w:tc>
          <w:tcPr>
            <w:tcW w:w="160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1968</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16,0%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16,0%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19,0%</w:t>
            </w:r>
          </w:p>
        </w:tc>
        <w:tc>
          <w:tcPr>
            <w:tcW w:w="10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7%</w:t>
            </w:r>
          </w:p>
        </w:tc>
      </w:tr>
      <w:tr w:rsidR="00BF7DD9" w:rsidRPr="00BF7DD9" w:rsidTr="00BF7DD9">
        <w:trPr>
          <w:trHeight w:val="300"/>
        </w:trPr>
        <w:tc>
          <w:tcPr>
            <w:tcW w:w="1600" w:type="dxa"/>
            <w:tcBorders>
              <w:top w:val="nil"/>
              <w:left w:val="single" w:sz="4" w:space="0" w:color="auto"/>
              <w:bottom w:val="single" w:sz="4" w:space="0" w:color="auto"/>
              <w:right w:val="single" w:sz="4" w:space="0" w:color="auto"/>
            </w:tcBorders>
            <w:shd w:val="clear" w:color="000000" w:fill="8DB4E2"/>
            <w:noWrap/>
            <w:vAlign w:val="bottom"/>
            <w:hideMark/>
          </w:tcPr>
          <w:p w:rsidR="00BF7DD9" w:rsidRPr="00BF7DD9" w:rsidRDefault="00BF7DD9" w:rsidP="00BF7DD9">
            <w:pPr>
              <w:spacing w:after="0" w:line="240" w:lineRule="auto"/>
              <w:jc w:val="left"/>
              <w:rPr>
                <w:rFonts w:ascii="Calibri" w:hAnsi="Calibri" w:cs="Calibri"/>
                <w:b/>
                <w:bCs/>
                <w:i/>
                <w:iCs/>
                <w:color w:val="000000"/>
                <w:sz w:val="22"/>
                <w:szCs w:val="22"/>
              </w:rPr>
            </w:pPr>
            <w:r w:rsidRPr="00BF7DD9">
              <w:rPr>
                <w:rFonts w:ascii="Calibri" w:hAnsi="Calibri" w:cs="Calibri"/>
                <w:b/>
                <w:bCs/>
                <w:i/>
                <w:iCs/>
                <w:color w:val="000000"/>
                <w:sz w:val="22"/>
                <w:szCs w:val="22"/>
              </w:rPr>
              <w:t>Řecko</w:t>
            </w:r>
          </w:p>
        </w:tc>
        <w:tc>
          <w:tcPr>
            <w:tcW w:w="160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18,0%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18,0%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19,0%</w:t>
            </w:r>
          </w:p>
        </w:tc>
        <w:tc>
          <w:tcPr>
            <w:tcW w:w="10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4% a 9%</w:t>
            </w:r>
          </w:p>
        </w:tc>
      </w:tr>
      <w:tr w:rsidR="00BF7DD9" w:rsidRPr="00BF7DD9" w:rsidTr="00BF7DD9">
        <w:trPr>
          <w:trHeight w:val="300"/>
        </w:trPr>
        <w:tc>
          <w:tcPr>
            <w:tcW w:w="1600" w:type="dxa"/>
            <w:tcBorders>
              <w:top w:val="nil"/>
              <w:left w:val="single" w:sz="4" w:space="0" w:color="auto"/>
              <w:bottom w:val="single" w:sz="4" w:space="0" w:color="auto"/>
              <w:right w:val="single" w:sz="4" w:space="0" w:color="auto"/>
            </w:tcBorders>
            <w:shd w:val="clear" w:color="000000" w:fill="8DB4E2"/>
            <w:noWrap/>
            <w:vAlign w:val="bottom"/>
            <w:hideMark/>
          </w:tcPr>
          <w:p w:rsidR="00BF7DD9" w:rsidRPr="00BF7DD9" w:rsidRDefault="00BF7DD9" w:rsidP="00BF7DD9">
            <w:pPr>
              <w:spacing w:after="0" w:line="240" w:lineRule="auto"/>
              <w:jc w:val="left"/>
              <w:rPr>
                <w:rFonts w:ascii="Calibri" w:hAnsi="Calibri" w:cs="Calibri"/>
                <w:b/>
                <w:bCs/>
                <w:i/>
                <w:iCs/>
                <w:color w:val="000000"/>
                <w:sz w:val="22"/>
                <w:szCs w:val="22"/>
              </w:rPr>
            </w:pPr>
            <w:r w:rsidRPr="00BF7DD9">
              <w:rPr>
                <w:rFonts w:ascii="Calibri" w:hAnsi="Calibri" w:cs="Calibri"/>
                <w:b/>
                <w:bCs/>
                <w:i/>
                <w:iCs/>
                <w:color w:val="000000"/>
                <w:sz w:val="22"/>
                <w:szCs w:val="22"/>
              </w:rPr>
              <w:t>Maďarsko</w:t>
            </w:r>
          </w:p>
        </w:tc>
        <w:tc>
          <w:tcPr>
            <w:tcW w:w="160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25,0%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25,0%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20,0%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20,0%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20,0%</w:t>
            </w:r>
          </w:p>
        </w:tc>
        <w:tc>
          <w:tcPr>
            <w:tcW w:w="10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5%</w:t>
            </w:r>
          </w:p>
        </w:tc>
      </w:tr>
      <w:tr w:rsidR="00BF7DD9" w:rsidRPr="00BF7DD9" w:rsidTr="00BF7DD9">
        <w:trPr>
          <w:trHeight w:val="300"/>
        </w:trPr>
        <w:tc>
          <w:tcPr>
            <w:tcW w:w="1600" w:type="dxa"/>
            <w:tcBorders>
              <w:top w:val="nil"/>
              <w:left w:val="single" w:sz="4" w:space="0" w:color="auto"/>
              <w:bottom w:val="single" w:sz="4" w:space="0" w:color="auto"/>
              <w:right w:val="single" w:sz="4" w:space="0" w:color="auto"/>
            </w:tcBorders>
            <w:shd w:val="clear" w:color="000000" w:fill="8DB4E2"/>
            <w:noWrap/>
            <w:vAlign w:val="bottom"/>
            <w:hideMark/>
          </w:tcPr>
          <w:p w:rsidR="00BF7DD9" w:rsidRPr="00BF7DD9" w:rsidRDefault="00BF7DD9" w:rsidP="00BF7DD9">
            <w:pPr>
              <w:spacing w:after="0" w:line="240" w:lineRule="auto"/>
              <w:jc w:val="left"/>
              <w:rPr>
                <w:rFonts w:ascii="Calibri" w:hAnsi="Calibri" w:cs="Calibri"/>
                <w:b/>
                <w:bCs/>
                <w:i/>
                <w:iCs/>
                <w:color w:val="000000"/>
                <w:sz w:val="22"/>
                <w:szCs w:val="22"/>
              </w:rPr>
            </w:pPr>
            <w:r w:rsidRPr="00BF7DD9">
              <w:rPr>
                <w:rFonts w:ascii="Calibri" w:hAnsi="Calibri" w:cs="Calibri"/>
                <w:b/>
                <w:bCs/>
                <w:i/>
                <w:iCs/>
                <w:color w:val="000000"/>
                <w:sz w:val="22"/>
                <w:szCs w:val="22"/>
              </w:rPr>
              <w:t>Irsko</w:t>
            </w:r>
          </w:p>
        </w:tc>
        <w:tc>
          <w:tcPr>
            <w:tcW w:w="160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1972</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21,0%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21,0%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21,0%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21,0%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21,5%</w:t>
            </w:r>
          </w:p>
        </w:tc>
        <w:tc>
          <w:tcPr>
            <w:tcW w:w="10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4% a 13%</w:t>
            </w:r>
          </w:p>
        </w:tc>
      </w:tr>
      <w:tr w:rsidR="00BF7DD9" w:rsidRPr="00BF7DD9" w:rsidTr="00BF7DD9">
        <w:trPr>
          <w:trHeight w:val="300"/>
        </w:trPr>
        <w:tc>
          <w:tcPr>
            <w:tcW w:w="1600" w:type="dxa"/>
            <w:tcBorders>
              <w:top w:val="nil"/>
              <w:left w:val="single" w:sz="4" w:space="0" w:color="auto"/>
              <w:bottom w:val="single" w:sz="4" w:space="0" w:color="auto"/>
              <w:right w:val="single" w:sz="4" w:space="0" w:color="auto"/>
            </w:tcBorders>
            <w:shd w:val="clear" w:color="000000" w:fill="8DB4E2"/>
            <w:noWrap/>
            <w:vAlign w:val="bottom"/>
            <w:hideMark/>
          </w:tcPr>
          <w:p w:rsidR="00BF7DD9" w:rsidRPr="00BF7DD9" w:rsidRDefault="00BF7DD9" w:rsidP="00BF7DD9">
            <w:pPr>
              <w:spacing w:after="0" w:line="240" w:lineRule="auto"/>
              <w:jc w:val="left"/>
              <w:rPr>
                <w:rFonts w:ascii="Calibri" w:hAnsi="Calibri" w:cs="Calibri"/>
                <w:b/>
                <w:bCs/>
                <w:i/>
                <w:iCs/>
                <w:color w:val="000000"/>
                <w:sz w:val="22"/>
                <w:szCs w:val="22"/>
              </w:rPr>
            </w:pPr>
            <w:r w:rsidRPr="00BF7DD9">
              <w:rPr>
                <w:rFonts w:ascii="Calibri" w:hAnsi="Calibri" w:cs="Calibri"/>
                <w:b/>
                <w:bCs/>
                <w:i/>
                <w:iCs/>
                <w:color w:val="000000"/>
                <w:sz w:val="22"/>
                <w:szCs w:val="22"/>
              </w:rPr>
              <w:t>Itálie</w:t>
            </w:r>
          </w:p>
        </w:tc>
        <w:tc>
          <w:tcPr>
            <w:tcW w:w="160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1973</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20,0%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20,0%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20,0%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20,0%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20,0%</w:t>
            </w:r>
          </w:p>
        </w:tc>
        <w:tc>
          <w:tcPr>
            <w:tcW w:w="10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4% a 10%</w:t>
            </w:r>
          </w:p>
        </w:tc>
      </w:tr>
      <w:tr w:rsidR="00BF7DD9" w:rsidRPr="00BF7DD9" w:rsidTr="00BF7DD9">
        <w:trPr>
          <w:trHeight w:val="300"/>
        </w:trPr>
        <w:tc>
          <w:tcPr>
            <w:tcW w:w="1600" w:type="dxa"/>
            <w:tcBorders>
              <w:top w:val="nil"/>
              <w:left w:val="single" w:sz="4" w:space="0" w:color="auto"/>
              <w:bottom w:val="single" w:sz="4" w:space="0" w:color="auto"/>
              <w:right w:val="single" w:sz="4" w:space="0" w:color="auto"/>
            </w:tcBorders>
            <w:shd w:val="clear" w:color="000000" w:fill="8DB4E2"/>
            <w:noWrap/>
            <w:vAlign w:val="bottom"/>
            <w:hideMark/>
          </w:tcPr>
          <w:p w:rsidR="00BF7DD9" w:rsidRPr="00BF7DD9" w:rsidRDefault="00BF7DD9" w:rsidP="00BF7DD9">
            <w:pPr>
              <w:spacing w:after="0" w:line="240" w:lineRule="auto"/>
              <w:jc w:val="left"/>
              <w:rPr>
                <w:rFonts w:ascii="Calibri" w:hAnsi="Calibri" w:cs="Calibri"/>
                <w:b/>
                <w:bCs/>
                <w:i/>
                <w:iCs/>
                <w:color w:val="000000"/>
                <w:sz w:val="22"/>
                <w:szCs w:val="22"/>
              </w:rPr>
            </w:pPr>
            <w:r w:rsidRPr="00BF7DD9">
              <w:rPr>
                <w:rFonts w:ascii="Calibri" w:hAnsi="Calibri" w:cs="Calibri"/>
                <w:b/>
                <w:bCs/>
                <w:i/>
                <w:iCs/>
                <w:color w:val="000000"/>
                <w:sz w:val="22"/>
                <w:szCs w:val="22"/>
              </w:rPr>
              <w:t>Nizozemí</w:t>
            </w:r>
          </w:p>
        </w:tc>
        <w:tc>
          <w:tcPr>
            <w:tcW w:w="160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1969</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17,5%</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19,0%</w:t>
            </w:r>
          </w:p>
        </w:tc>
        <w:tc>
          <w:tcPr>
            <w:tcW w:w="10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6%</w:t>
            </w:r>
          </w:p>
        </w:tc>
      </w:tr>
      <w:tr w:rsidR="00BF7DD9" w:rsidRPr="00BF7DD9" w:rsidTr="00BF7DD9">
        <w:trPr>
          <w:trHeight w:val="300"/>
        </w:trPr>
        <w:tc>
          <w:tcPr>
            <w:tcW w:w="1600" w:type="dxa"/>
            <w:tcBorders>
              <w:top w:val="nil"/>
              <w:left w:val="single" w:sz="4" w:space="0" w:color="auto"/>
              <w:bottom w:val="single" w:sz="4" w:space="0" w:color="auto"/>
              <w:right w:val="single" w:sz="4" w:space="0" w:color="auto"/>
            </w:tcBorders>
            <w:shd w:val="clear" w:color="000000" w:fill="8DB4E2"/>
            <w:noWrap/>
            <w:vAlign w:val="bottom"/>
            <w:hideMark/>
          </w:tcPr>
          <w:p w:rsidR="00BF7DD9" w:rsidRPr="00BF7DD9" w:rsidRDefault="00BF7DD9" w:rsidP="00BF7DD9">
            <w:pPr>
              <w:spacing w:after="0" w:line="240" w:lineRule="auto"/>
              <w:jc w:val="left"/>
              <w:rPr>
                <w:rFonts w:ascii="Calibri" w:hAnsi="Calibri" w:cs="Calibri"/>
                <w:b/>
                <w:bCs/>
                <w:i/>
                <w:iCs/>
                <w:color w:val="000000"/>
                <w:sz w:val="22"/>
                <w:szCs w:val="22"/>
              </w:rPr>
            </w:pPr>
            <w:r w:rsidRPr="00BF7DD9">
              <w:rPr>
                <w:rFonts w:ascii="Calibri" w:hAnsi="Calibri" w:cs="Calibri"/>
                <w:b/>
                <w:bCs/>
                <w:i/>
                <w:iCs/>
                <w:color w:val="000000"/>
                <w:sz w:val="22"/>
                <w:szCs w:val="22"/>
              </w:rPr>
              <w:t>Polsko</w:t>
            </w:r>
          </w:p>
        </w:tc>
        <w:tc>
          <w:tcPr>
            <w:tcW w:w="160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1993</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22,0%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22,0%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22,0%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22,0%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22,0%</w:t>
            </w:r>
          </w:p>
        </w:tc>
        <w:tc>
          <w:tcPr>
            <w:tcW w:w="10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7%</w:t>
            </w:r>
          </w:p>
        </w:tc>
      </w:tr>
      <w:tr w:rsidR="00BF7DD9" w:rsidRPr="00BF7DD9" w:rsidTr="00BF7DD9">
        <w:trPr>
          <w:trHeight w:val="300"/>
        </w:trPr>
        <w:tc>
          <w:tcPr>
            <w:tcW w:w="1600" w:type="dxa"/>
            <w:tcBorders>
              <w:top w:val="nil"/>
              <w:left w:val="single" w:sz="4" w:space="0" w:color="auto"/>
              <w:bottom w:val="single" w:sz="4" w:space="0" w:color="auto"/>
              <w:right w:val="single" w:sz="4" w:space="0" w:color="auto"/>
            </w:tcBorders>
            <w:shd w:val="clear" w:color="000000" w:fill="8DB4E2"/>
            <w:noWrap/>
            <w:vAlign w:val="bottom"/>
            <w:hideMark/>
          </w:tcPr>
          <w:p w:rsidR="00BF7DD9" w:rsidRPr="00BF7DD9" w:rsidRDefault="00BF7DD9" w:rsidP="00BF7DD9">
            <w:pPr>
              <w:spacing w:after="0" w:line="240" w:lineRule="auto"/>
              <w:jc w:val="left"/>
              <w:rPr>
                <w:rFonts w:ascii="Calibri" w:hAnsi="Calibri" w:cs="Calibri"/>
                <w:b/>
                <w:bCs/>
                <w:i/>
                <w:iCs/>
                <w:color w:val="000000"/>
                <w:sz w:val="22"/>
                <w:szCs w:val="22"/>
              </w:rPr>
            </w:pPr>
            <w:r w:rsidRPr="00BF7DD9">
              <w:rPr>
                <w:rFonts w:ascii="Calibri" w:hAnsi="Calibri" w:cs="Calibri"/>
                <w:b/>
                <w:bCs/>
                <w:i/>
                <w:iCs/>
                <w:color w:val="000000"/>
                <w:sz w:val="22"/>
                <w:szCs w:val="22"/>
              </w:rPr>
              <w:t>Portugalsko</w:t>
            </w:r>
          </w:p>
        </w:tc>
        <w:tc>
          <w:tcPr>
            <w:tcW w:w="160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17,0%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21,0%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21,0%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21,0%</w:t>
            </w:r>
          </w:p>
        </w:tc>
        <w:tc>
          <w:tcPr>
            <w:tcW w:w="10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5% a 12%</w:t>
            </w:r>
          </w:p>
        </w:tc>
      </w:tr>
      <w:tr w:rsidR="00BF7DD9" w:rsidRPr="00BF7DD9" w:rsidTr="00BF7DD9">
        <w:trPr>
          <w:trHeight w:val="300"/>
        </w:trPr>
        <w:tc>
          <w:tcPr>
            <w:tcW w:w="1600" w:type="dxa"/>
            <w:tcBorders>
              <w:top w:val="nil"/>
              <w:left w:val="single" w:sz="4" w:space="0" w:color="auto"/>
              <w:bottom w:val="single" w:sz="4" w:space="0" w:color="auto"/>
              <w:right w:val="single" w:sz="4" w:space="0" w:color="auto"/>
            </w:tcBorders>
            <w:shd w:val="clear" w:color="000000" w:fill="8DB4E2"/>
            <w:noWrap/>
            <w:vAlign w:val="bottom"/>
            <w:hideMark/>
          </w:tcPr>
          <w:p w:rsidR="00BF7DD9" w:rsidRPr="00BF7DD9" w:rsidRDefault="00BF7DD9" w:rsidP="00BF7DD9">
            <w:pPr>
              <w:spacing w:after="0" w:line="240" w:lineRule="auto"/>
              <w:jc w:val="left"/>
              <w:rPr>
                <w:rFonts w:ascii="Calibri" w:hAnsi="Calibri" w:cs="Calibri"/>
                <w:b/>
                <w:bCs/>
                <w:i/>
                <w:iCs/>
                <w:color w:val="000000"/>
                <w:sz w:val="22"/>
                <w:szCs w:val="22"/>
              </w:rPr>
            </w:pPr>
            <w:r w:rsidRPr="00BF7DD9">
              <w:rPr>
                <w:rFonts w:ascii="Calibri" w:hAnsi="Calibri" w:cs="Calibri"/>
                <w:b/>
                <w:bCs/>
                <w:i/>
                <w:iCs/>
                <w:color w:val="000000"/>
                <w:sz w:val="22"/>
                <w:szCs w:val="22"/>
              </w:rPr>
              <w:t>Slovensko</w:t>
            </w:r>
          </w:p>
        </w:tc>
        <w:tc>
          <w:tcPr>
            <w:tcW w:w="160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1993</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23,0%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19,0%</w:t>
            </w:r>
          </w:p>
        </w:tc>
        <w:tc>
          <w:tcPr>
            <w:tcW w:w="10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10%</w:t>
            </w:r>
          </w:p>
        </w:tc>
      </w:tr>
      <w:tr w:rsidR="00BF7DD9" w:rsidRPr="00BF7DD9" w:rsidTr="00BF7DD9">
        <w:trPr>
          <w:trHeight w:val="300"/>
        </w:trPr>
        <w:tc>
          <w:tcPr>
            <w:tcW w:w="1600" w:type="dxa"/>
            <w:tcBorders>
              <w:top w:val="nil"/>
              <w:left w:val="single" w:sz="4" w:space="0" w:color="auto"/>
              <w:bottom w:val="single" w:sz="4" w:space="0" w:color="auto"/>
              <w:right w:val="single" w:sz="4" w:space="0" w:color="auto"/>
            </w:tcBorders>
            <w:shd w:val="clear" w:color="000000" w:fill="8DB4E2"/>
            <w:noWrap/>
            <w:vAlign w:val="bottom"/>
            <w:hideMark/>
          </w:tcPr>
          <w:p w:rsidR="00BF7DD9" w:rsidRPr="00BF7DD9" w:rsidRDefault="00BF7DD9" w:rsidP="00BF7DD9">
            <w:pPr>
              <w:spacing w:after="0" w:line="240" w:lineRule="auto"/>
              <w:jc w:val="left"/>
              <w:rPr>
                <w:rFonts w:ascii="Calibri" w:hAnsi="Calibri" w:cs="Calibri"/>
                <w:b/>
                <w:bCs/>
                <w:i/>
                <w:iCs/>
                <w:color w:val="000000"/>
                <w:sz w:val="22"/>
                <w:szCs w:val="22"/>
              </w:rPr>
            </w:pPr>
            <w:r w:rsidRPr="00BF7DD9">
              <w:rPr>
                <w:rFonts w:ascii="Calibri" w:hAnsi="Calibri" w:cs="Calibri"/>
                <w:b/>
                <w:bCs/>
                <w:i/>
                <w:iCs/>
                <w:color w:val="000000"/>
                <w:sz w:val="22"/>
                <w:szCs w:val="22"/>
              </w:rPr>
              <w:t>Španělsko</w:t>
            </w:r>
          </w:p>
        </w:tc>
        <w:tc>
          <w:tcPr>
            <w:tcW w:w="160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16,0%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16,0%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16,0%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16,0%</w:t>
            </w:r>
          </w:p>
        </w:tc>
        <w:tc>
          <w:tcPr>
            <w:tcW w:w="9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16,0%</w:t>
            </w:r>
          </w:p>
        </w:tc>
        <w:tc>
          <w:tcPr>
            <w:tcW w:w="1060" w:type="dxa"/>
            <w:tcBorders>
              <w:top w:val="nil"/>
              <w:left w:val="nil"/>
              <w:bottom w:val="single" w:sz="4" w:space="0" w:color="auto"/>
              <w:right w:val="single" w:sz="4" w:space="0" w:color="auto"/>
            </w:tcBorders>
            <w:shd w:val="clear" w:color="auto" w:fill="auto"/>
            <w:noWrap/>
            <w:vAlign w:val="bottom"/>
            <w:hideMark/>
          </w:tcPr>
          <w:p w:rsidR="00BF7DD9" w:rsidRPr="00BF7DD9" w:rsidRDefault="00BF7DD9" w:rsidP="00BF7DD9">
            <w:pPr>
              <w:spacing w:after="0" w:line="240" w:lineRule="auto"/>
              <w:jc w:val="center"/>
              <w:rPr>
                <w:rFonts w:ascii="Calibri" w:hAnsi="Calibri" w:cs="Calibri"/>
                <w:color w:val="000000"/>
                <w:sz w:val="22"/>
                <w:szCs w:val="22"/>
              </w:rPr>
            </w:pPr>
            <w:r w:rsidRPr="00BF7DD9">
              <w:rPr>
                <w:rFonts w:ascii="Calibri" w:hAnsi="Calibri" w:cs="Calibri"/>
                <w:color w:val="000000"/>
                <w:sz w:val="22"/>
                <w:szCs w:val="22"/>
              </w:rPr>
              <w:t>4% a 7%</w:t>
            </w:r>
          </w:p>
        </w:tc>
      </w:tr>
    </w:tbl>
    <w:p w:rsidR="00981D4F" w:rsidRPr="00981D4F" w:rsidRDefault="00981D4F" w:rsidP="00981D4F">
      <w:pPr>
        <w:pStyle w:val="Nadpis3"/>
        <w:numPr>
          <w:ilvl w:val="0"/>
          <w:numId w:val="0"/>
        </w:numPr>
        <w:ind w:left="720" w:hanging="720"/>
      </w:pPr>
    </w:p>
    <w:sectPr w:rsidR="00981D4F" w:rsidRPr="00981D4F" w:rsidSect="00265875">
      <w:footerReference w:type="default" r:id="rId36"/>
      <w:pgSz w:w="11906" w:h="16838" w:code="9"/>
      <w:pgMar w:top="1276" w:right="1134" w:bottom="1418" w:left="2268" w:header="709" w:footer="12"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02A" w:rsidRDefault="0016002A" w:rsidP="005A66CD">
      <w:pPr>
        <w:spacing w:after="0"/>
      </w:pPr>
      <w:r>
        <w:separator/>
      </w:r>
    </w:p>
  </w:endnote>
  <w:endnote w:type="continuationSeparator" w:id="0">
    <w:p w:rsidR="0016002A" w:rsidRDefault="0016002A" w:rsidP="005A66CD">
      <w:pPr>
        <w:spacing w:after="0"/>
      </w:pPr>
      <w:r>
        <w:continuationSeparator/>
      </w:r>
    </w:p>
  </w:endnote>
  <w:endnote w:id="1">
    <w:p w:rsidR="00AB4E25" w:rsidRDefault="00AB4E25">
      <w:pPr>
        <w:pStyle w:val="Textvysvtlivek"/>
      </w:pPr>
      <w:r>
        <w:rPr>
          <w:rStyle w:val="Odkaznavysvtlivky"/>
        </w:rPr>
        <w:endnoteRef/>
      </w:r>
      <w:r>
        <w:t xml:space="preserve"> Tuzemskem se rozumí území České republiky</w:t>
      </w:r>
    </w:p>
  </w:endnote>
  <w:endnote w:id="2">
    <w:p w:rsidR="00AB4E25" w:rsidRDefault="00AB4E25">
      <w:pPr>
        <w:pStyle w:val="Textvysvtlivek"/>
      </w:pPr>
      <w:r>
        <w:rPr>
          <w:rStyle w:val="Odkaznavysvtlivky"/>
        </w:rPr>
        <w:endnoteRef/>
      </w:r>
      <w:r>
        <w:t xml:space="preserve"> Ekonomickou činností se rozumí každá činnost, z které se dosahuje příjem a která zahrňuje činnost výrobců, obchodníků a dodavatelů služeb včetně těžební a zemědělské činnosti, aj</w:t>
      </w:r>
    </w:p>
  </w:endnote>
  <w:endnote w:id="3">
    <w:p w:rsidR="00AB4E25" w:rsidRDefault="00AB4E25">
      <w:pPr>
        <w:pStyle w:val="Textvysvtlivek"/>
      </w:pPr>
      <w:r>
        <w:rPr>
          <w:rStyle w:val="Odkaznavysvtlivky"/>
        </w:rPr>
        <w:endnoteRef/>
      </w:r>
      <w:r>
        <w:t xml:space="preserve"> Tuzemskem se dle zákona č. </w:t>
      </w:r>
      <w:proofErr w:type="gramStart"/>
      <w:r>
        <w:t>222/2004 Z.z. rozumí</w:t>
      </w:r>
      <w:proofErr w:type="gramEnd"/>
      <w:r>
        <w:t xml:space="preserve"> území Slovenské republiky</w:t>
      </w:r>
    </w:p>
  </w:endnote>
  <w:endnote w:id="4">
    <w:p w:rsidR="00AB4E25" w:rsidRDefault="00AB4E25">
      <w:pPr>
        <w:pStyle w:val="Textvysvtlivek"/>
      </w:pPr>
      <w:r>
        <w:rPr>
          <w:rStyle w:val="Odkaznavysvtlivky"/>
        </w:rPr>
        <w:endnoteRef/>
      </w:r>
      <w:r>
        <w:t xml:space="preserve"> Ekonomickou činností se rozumí každá činnost, z které se dosahuje příjem a která zahrňuje činnost výrobců, obchodníků a dodavatelů služeb včetně těžební a zemědělské činnosti, aj.</w:t>
      </w:r>
    </w:p>
  </w:endnote>
  <w:endnote w:id="5">
    <w:p w:rsidR="00AB4E25" w:rsidRDefault="00AB4E25">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Georgia">
    <w:panose1 w:val="02040502050405020303"/>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25" w:rsidRPr="00583FB0" w:rsidRDefault="00AB4E25" w:rsidP="00990CF5">
    <w:pPr>
      <w:pStyle w:val="Zpat"/>
      <w:jc w:val="center"/>
      <w:rPr>
        <w:rFonts w:ascii="Verdana" w:hAnsi="Verdana"/>
        <w:b/>
        <w:bCs/>
        <w:sz w:val="20"/>
      </w:rPr>
    </w:pPr>
    <w:r w:rsidRPr="00583FB0">
      <w:rPr>
        <w:rFonts w:ascii="Verdana" w:hAnsi="Verdana"/>
        <w:b/>
        <w:bCs/>
        <w:sz w:val="20"/>
      </w:rPr>
      <w:t>Vysoká škola ekonomie a managementu</w:t>
    </w:r>
  </w:p>
  <w:p w:rsidR="00AB4E25" w:rsidRDefault="00AB4E25"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Default="00AB4E25" w:rsidP="00990CF5">
    <w:pPr>
      <w:pStyle w:val="Zpat"/>
      <w:jc w:val="center"/>
      <w:rPr>
        <w:rFonts w:ascii="Verdana" w:hAnsi="Verdana"/>
        <w:sz w:val="20"/>
      </w:rPr>
    </w:pPr>
  </w:p>
  <w:p w:rsidR="00AB4E25" w:rsidRPr="00990CF5" w:rsidRDefault="00AB4E25" w:rsidP="00990CF5">
    <w:pPr>
      <w:pStyle w:val="Zpat"/>
      <w:jc w:val="center"/>
      <w:rPr>
        <w:rFonts w:ascii="Verdana" w:hAnsi="Verdana"/>
        <w:sz w:val="20"/>
      </w:rPr>
    </w:pPr>
  </w:p>
  <w:p w:rsidR="00AB4E25" w:rsidRDefault="00AB4E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25" w:rsidRDefault="00AB4E25" w:rsidP="00990CF5">
    <w:pPr>
      <w:pStyle w:val="Zpat"/>
      <w:jc w:val="center"/>
      <w:rPr>
        <w:rFonts w:ascii="Verdana" w:hAnsi="Verdana"/>
        <w:b/>
        <w:bCs/>
        <w:sz w:val="20"/>
      </w:rPr>
    </w:pPr>
  </w:p>
  <w:p w:rsidR="00AB4E25" w:rsidRDefault="00AB4E25" w:rsidP="001706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25" w:rsidRDefault="00AB4E25" w:rsidP="00990CF5">
    <w:pPr>
      <w:pStyle w:val="Zpat"/>
      <w:jc w:val="center"/>
      <w:rPr>
        <w:rFonts w:ascii="Verdana" w:hAnsi="Verdana"/>
        <w:b/>
        <w:bCs/>
        <w:sz w:val="20"/>
      </w:rPr>
    </w:pPr>
  </w:p>
  <w:p w:rsidR="00AB4E25" w:rsidRPr="00583FB0" w:rsidRDefault="00AB4E25" w:rsidP="00990CF5">
    <w:pPr>
      <w:pStyle w:val="Zpat"/>
      <w:jc w:val="center"/>
      <w:rPr>
        <w:rFonts w:ascii="Verdana" w:hAnsi="Verdana"/>
        <w:b/>
        <w:bCs/>
        <w:sz w:val="20"/>
      </w:rPr>
    </w:pPr>
    <w:r w:rsidRPr="00583FB0">
      <w:rPr>
        <w:rFonts w:ascii="Verdana" w:hAnsi="Verdana"/>
        <w:b/>
        <w:bCs/>
        <w:sz w:val="20"/>
      </w:rPr>
      <w:t>Vysoká škola ekonomie a managementu</w:t>
    </w:r>
  </w:p>
  <w:p w:rsidR="00AB4E25" w:rsidRPr="00990CF5" w:rsidRDefault="00AB4E25"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25" w:rsidRPr="00DA4A47" w:rsidRDefault="00AB4E25"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AB4E25" w:rsidRPr="00DA4A47" w:rsidRDefault="00AB4E25"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AB4E25" w:rsidRDefault="00AB4E25" w:rsidP="001706B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25" w:rsidRDefault="00AB4E25" w:rsidP="001706B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25" w:rsidRDefault="00AB4E25" w:rsidP="00990CF5">
    <w:pPr>
      <w:pStyle w:val="Zpat"/>
      <w:jc w:val="center"/>
      <w:rPr>
        <w:rFonts w:ascii="Verdana" w:hAnsi="Verdana"/>
        <w:b/>
        <w:bCs/>
        <w:sz w:val="20"/>
      </w:rPr>
    </w:pPr>
  </w:p>
  <w:p w:rsidR="00AB4E25" w:rsidRDefault="00AB4E25" w:rsidP="004947CA">
    <w:pPr>
      <w:framePr w:w="706" w:h="421" w:hRule="exact" w:wrap="around" w:vAnchor="text" w:hAnchor="page" w:x="5761" w:y="20"/>
      <w:jc w:val="right"/>
      <w:rPr>
        <w:rStyle w:val="slostrnky"/>
      </w:rPr>
    </w:pPr>
    <w:r>
      <w:rPr>
        <w:rStyle w:val="slostrnky"/>
      </w:rPr>
      <w:fldChar w:fldCharType="begin"/>
    </w:r>
    <w:r>
      <w:rPr>
        <w:rStyle w:val="slostrnky"/>
      </w:rPr>
      <w:instrText xml:space="preserve"> PAGE  </w:instrText>
    </w:r>
    <w:r>
      <w:rPr>
        <w:rStyle w:val="slostrnky"/>
      </w:rPr>
      <w:fldChar w:fldCharType="separate"/>
    </w:r>
    <w:r w:rsidR="00FD1DA2">
      <w:rPr>
        <w:rStyle w:val="slostrnky"/>
        <w:noProof/>
      </w:rPr>
      <w:t>1</w:t>
    </w:r>
    <w:r>
      <w:rPr>
        <w:rStyle w:val="slostrnky"/>
      </w:rPr>
      <w:fldChar w:fldCharType="end"/>
    </w:r>
  </w:p>
  <w:p w:rsidR="00AB4E25" w:rsidRDefault="00AB4E25"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AB4E25" w:rsidRDefault="00AB4E25"/>
  <w:p w:rsidR="00AB4E25" w:rsidRDefault="00AB4E2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25" w:rsidRDefault="00AB4E25" w:rsidP="00990CF5">
    <w:pPr>
      <w:pStyle w:val="Zpat"/>
      <w:jc w:val="center"/>
      <w:rPr>
        <w:rFonts w:ascii="Verdana" w:hAnsi="Verdana"/>
        <w:b/>
        <w:bCs/>
        <w:sz w:val="20"/>
      </w:rPr>
    </w:pPr>
  </w:p>
  <w:p w:rsidR="00AB4E25" w:rsidRDefault="00AB4E25"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AB4E25" w:rsidRDefault="00AB4E25"/>
  <w:p w:rsidR="00AB4E25" w:rsidRDefault="00AB4E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02A" w:rsidRDefault="0016002A">
      <w:pPr>
        <w:spacing w:after="0"/>
        <w:rPr>
          <w:iCs/>
          <w:sz w:val="20"/>
          <w:lang w:val="en-GB"/>
        </w:rPr>
      </w:pPr>
      <w:r>
        <w:separator/>
      </w:r>
    </w:p>
  </w:footnote>
  <w:footnote w:type="continuationSeparator" w:id="0">
    <w:p w:rsidR="0016002A" w:rsidRDefault="0016002A" w:rsidP="005A66CD">
      <w:pPr>
        <w:spacing w:after="0"/>
      </w:pPr>
      <w:r>
        <w:continuationSeparator/>
      </w:r>
    </w:p>
  </w:footnote>
  <w:footnote w:id="1">
    <w:p w:rsidR="00AB4E25" w:rsidRPr="00FA14E1" w:rsidRDefault="00AB4E25" w:rsidP="00FA14E1">
      <w:pPr>
        <w:pStyle w:val="Normlnweb"/>
        <w:jc w:val="both"/>
        <w:rPr>
          <w:rFonts w:ascii="Georgia" w:hAnsi="Georgia"/>
          <w:color w:val="444444"/>
          <w:sz w:val="16"/>
        </w:rPr>
      </w:pPr>
      <w:r w:rsidRPr="00FA14E1">
        <w:rPr>
          <w:rStyle w:val="Znakapoznpodarou"/>
          <w:sz w:val="16"/>
        </w:rPr>
        <w:footnoteRef/>
      </w:r>
      <w:r w:rsidRPr="00FA14E1">
        <w:rPr>
          <w:sz w:val="16"/>
        </w:rPr>
        <w:t xml:space="preserve"> </w:t>
      </w:r>
      <w:r w:rsidRPr="00FA14E1">
        <w:rPr>
          <w:rFonts w:ascii="Georgia" w:hAnsi="Georgia"/>
          <w:i/>
          <w:iCs/>
          <w:color w:val="444444"/>
          <w:sz w:val="16"/>
        </w:rPr>
        <w:t>Marcus Tullius Cicero</w:t>
      </w:r>
    </w:p>
    <w:p w:rsidR="00AB4E25" w:rsidRDefault="00AB4E25">
      <w:pPr>
        <w:pStyle w:val="Textpoznpodarou"/>
      </w:pPr>
    </w:p>
  </w:footnote>
  <w:footnote w:id="2">
    <w:p w:rsidR="00AB4E25" w:rsidRDefault="00AB4E25">
      <w:pPr>
        <w:pStyle w:val="Textpoznpodarou"/>
      </w:pPr>
      <w:r>
        <w:rPr>
          <w:rStyle w:val="Znakapoznpodarou"/>
        </w:rPr>
        <w:footnoteRef/>
      </w:r>
      <w:r>
        <w:t xml:space="preserve"> </w:t>
      </w:r>
      <w:r w:rsidRPr="0096224F">
        <w:rPr>
          <w:sz w:val="16"/>
        </w:rPr>
        <w:t xml:space="preserve">HAMERNIKOVÁ, B., MAATYOVÁ, A. (2010). </w:t>
      </w:r>
      <w:r w:rsidRPr="0096224F">
        <w:rPr>
          <w:i/>
          <w:sz w:val="16"/>
        </w:rPr>
        <w:t>Veřejné finance</w:t>
      </w:r>
      <w:r w:rsidRPr="0096224F">
        <w:rPr>
          <w:sz w:val="16"/>
        </w:rPr>
        <w:t>. P</w:t>
      </w:r>
      <w:r>
        <w:rPr>
          <w:sz w:val="16"/>
        </w:rPr>
        <w:t>raha: WoltersKluwer ČR, str. 166</w:t>
      </w:r>
    </w:p>
  </w:footnote>
  <w:footnote w:id="3">
    <w:p w:rsidR="00AB4E25" w:rsidRPr="00FA0BF7" w:rsidRDefault="00AB4E25">
      <w:pPr>
        <w:pStyle w:val="Textpoznpodarou"/>
        <w:rPr>
          <w:sz w:val="16"/>
          <w:szCs w:val="16"/>
        </w:rPr>
      </w:pPr>
      <w:r w:rsidRPr="00FA0BF7">
        <w:rPr>
          <w:rStyle w:val="Znakapoznpodarou"/>
          <w:sz w:val="16"/>
          <w:szCs w:val="16"/>
        </w:rPr>
        <w:footnoteRef/>
      </w:r>
      <w:r w:rsidRPr="00FA0BF7">
        <w:rPr>
          <w:sz w:val="16"/>
          <w:szCs w:val="16"/>
        </w:rPr>
        <w:t xml:space="preserve"> HAMERNIKOVÁ, B., MAATYOVÁ, A. (2010). </w:t>
      </w:r>
      <w:r w:rsidRPr="00FA0BF7">
        <w:rPr>
          <w:i/>
          <w:sz w:val="16"/>
          <w:szCs w:val="16"/>
        </w:rPr>
        <w:t>Veřejné finance</w:t>
      </w:r>
      <w:r w:rsidRPr="00FA0BF7">
        <w:rPr>
          <w:sz w:val="16"/>
          <w:szCs w:val="16"/>
        </w:rPr>
        <w:t>. Praha: WoltersKluwer ČR, str. 177</w:t>
      </w:r>
    </w:p>
  </w:footnote>
  <w:footnote w:id="4">
    <w:p w:rsidR="00AB4E25" w:rsidRPr="00FA0BF7" w:rsidRDefault="00AB4E25">
      <w:pPr>
        <w:pStyle w:val="Textpoznpodarou"/>
        <w:rPr>
          <w:sz w:val="16"/>
          <w:szCs w:val="16"/>
        </w:rPr>
      </w:pPr>
      <w:r w:rsidRPr="00FA0BF7">
        <w:rPr>
          <w:rStyle w:val="Znakapoznpodarou"/>
          <w:sz w:val="16"/>
          <w:szCs w:val="16"/>
        </w:rPr>
        <w:footnoteRef/>
      </w:r>
      <w:r w:rsidRPr="00FA0BF7">
        <w:rPr>
          <w:sz w:val="16"/>
          <w:szCs w:val="16"/>
        </w:rPr>
        <w:t xml:space="preserve"> HAMERNIKOVÁ, B., MAATYOVÁ, A. (2010). </w:t>
      </w:r>
      <w:r w:rsidRPr="00FA0BF7">
        <w:rPr>
          <w:i/>
          <w:sz w:val="16"/>
          <w:szCs w:val="16"/>
        </w:rPr>
        <w:t>Veřejné finance</w:t>
      </w:r>
      <w:r w:rsidRPr="00FA0BF7">
        <w:rPr>
          <w:sz w:val="16"/>
          <w:szCs w:val="16"/>
        </w:rPr>
        <w:t>. Praha: WoltersKluwer ČR, str. 179</w:t>
      </w:r>
    </w:p>
  </w:footnote>
  <w:footnote w:id="5">
    <w:p w:rsidR="00AB4E25" w:rsidRPr="00FA0BF7" w:rsidRDefault="00AB4E25">
      <w:pPr>
        <w:pStyle w:val="Textpoznpodarou"/>
        <w:rPr>
          <w:sz w:val="16"/>
        </w:rPr>
      </w:pPr>
      <w:r w:rsidRPr="00FA0BF7">
        <w:rPr>
          <w:rStyle w:val="Znakapoznpodarou"/>
          <w:sz w:val="16"/>
        </w:rPr>
        <w:footnoteRef/>
      </w:r>
      <w:r w:rsidRPr="00FA0BF7">
        <w:rPr>
          <w:sz w:val="16"/>
        </w:rPr>
        <w:t xml:space="preserve"> KUBÁTOVÁ, K. (2006). </w:t>
      </w:r>
      <w:r w:rsidRPr="00FA0BF7">
        <w:rPr>
          <w:i/>
          <w:sz w:val="16"/>
        </w:rPr>
        <w:t xml:space="preserve">Daňová teorie a politika. </w:t>
      </w:r>
      <w:r w:rsidRPr="00FA0BF7">
        <w:rPr>
          <w:sz w:val="16"/>
        </w:rPr>
        <w:t>Praha: ASPI, str. 21</w:t>
      </w:r>
    </w:p>
  </w:footnote>
  <w:footnote w:id="6">
    <w:p w:rsidR="00AB4E25" w:rsidRPr="00FA0BF7" w:rsidRDefault="00AB4E25">
      <w:pPr>
        <w:pStyle w:val="Textpoznpodarou"/>
        <w:rPr>
          <w:sz w:val="16"/>
        </w:rPr>
      </w:pPr>
      <w:r w:rsidRPr="00FA0BF7">
        <w:rPr>
          <w:rStyle w:val="Znakapoznpodarou"/>
          <w:sz w:val="16"/>
        </w:rPr>
        <w:footnoteRef/>
      </w:r>
      <w:r w:rsidRPr="00FA0BF7">
        <w:rPr>
          <w:sz w:val="16"/>
        </w:rPr>
        <w:t xml:space="preserve"> KUBÁTOVÁ, K. (2006). </w:t>
      </w:r>
      <w:r w:rsidRPr="00FA0BF7">
        <w:rPr>
          <w:i/>
          <w:sz w:val="16"/>
        </w:rPr>
        <w:t xml:space="preserve">Daňová teorie a politika. </w:t>
      </w:r>
      <w:r w:rsidRPr="00FA0BF7">
        <w:rPr>
          <w:sz w:val="16"/>
        </w:rPr>
        <w:t>Praha: ASPI, str. 23</w:t>
      </w:r>
    </w:p>
  </w:footnote>
  <w:footnote w:id="7">
    <w:p w:rsidR="00AB4E25" w:rsidRPr="008A7A00" w:rsidRDefault="00AB4E25" w:rsidP="00C75248">
      <w:pPr>
        <w:pStyle w:val="Nadpis1"/>
        <w:numPr>
          <w:ilvl w:val="0"/>
          <w:numId w:val="0"/>
        </w:numPr>
        <w:shd w:val="clear" w:color="auto" w:fill="FFFFFF"/>
        <w:ind w:left="360" w:hanging="360"/>
        <w:rPr>
          <w:b w:val="0"/>
          <w:sz w:val="16"/>
          <w:szCs w:val="16"/>
        </w:rPr>
      </w:pPr>
      <w:r w:rsidRPr="008A7A00">
        <w:rPr>
          <w:rStyle w:val="Znakapoznpodarou"/>
          <w:b w:val="0"/>
          <w:sz w:val="16"/>
          <w:szCs w:val="16"/>
        </w:rPr>
        <w:footnoteRef/>
      </w:r>
      <w:r w:rsidRPr="008A7A00">
        <w:rPr>
          <w:b w:val="0"/>
          <w:sz w:val="16"/>
          <w:szCs w:val="16"/>
        </w:rPr>
        <w:t xml:space="preserve"> ŠIROKÝ, J. a kol., (2008). </w:t>
      </w:r>
      <w:r w:rsidRPr="008A7A00">
        <w:rPr>
          <w:b w:val="0"/>
          <w:i/>
          <w:sz w:val="16"/>
          <w:szCs w:val="16"/>
        </w:rPr>
        <w:t xml:space="preserve">Daňové </w:t>
      </w:r>
      <w:r w:rsidRPr="008A7A00">
        <w:rPr>
          <w:b w:val="0"/>
          <w:i/>
          <w:color w:val="000000"/>
          <w:sz w:val="16"/>
          <w:szCs w:val="16"/>
        </w:rPr>
        <w:t xml:space="preserve">teorie - s praktickou aplikací. </w:t>
      </w:r>
      <w:r w:rsidRPr="008A7A00">
        <w:rPr>
          <w:b w:val="0"/>
          <w:color w:val="000000"/>
          <w:sz w:val="16"/>
          <w:szCs w:val="16"/>
        </w:rPr>
        <w:t>Praha: C. H. Beck, str. 58</w:t>
      </w:r>
      <w:r w:rsidRPr="008A7A00">
        <w:rPr>
          <w:rStyle w:val="addmd1"/>
          <w:b w:val="0"/>
          <w:color w:val="000000"/>
          <w:sz w:val="16"/>
          <w:szCs w:val="16"/>
        </w:rPr>
        <w:t xml:space="preserve"> </w:t>
      </w:r>
    </w:p>
  </w:footnote>
  <w:footnote w:id="8">
    <w:p w:rsidR="00AB4E25" w:rsidRDefault="00AB4E25" w:rsidP="0078096E">
      <w:pPr>
        <w:pStyle w:val="Textpoznpodarou"/>
        <w:ind w:left="0" w:firstLine="0"/>
      </w:pPr>
      <w:r>
        <w:rPr>
          <w:rStyle w:val="Znakapoznpodarou"/>
        </w:rPr>
        <w:footnoteRef/>
      </w:r>
      <w:r>
        <w:t xml:space="preserve"> </w:t>
      </w:r>
      <w:hyperlink r:id="rId1" w:history="1">
        <w:r w:rsidRPr="00776D2F">
          <w:rPr>
            <w:rStyle w:val="Hypertextovodkaz"/>
            <w:sz w:val="20"/>
          </w:rPr>
          <w:t>http://www.mfcr.cz/cps/rde/xbcr/mfcr/Rovna_dan_v_teorii_a_praxi_pdf.pdf</w:t>
        </w:r>
      </w:hyperlink>
      <w:r>
        <w:t>, 2008</w:t>
      </w:r>
    </w:p>
  </w:footnote>
  <w:footnote w:id="9">
    <w:p w:rsidR="00AB4E25" w:rsidRPr="00952110" w:rsidRDefault="00AB4E25">
      <w:pPr>
        <w:pStyle w:val="Textpoznpodarou"/>
      </w:pPr>
      <w:r w:rsidRPr="00952110">
        <w:rPr>
          <w:rStyle w:val="Znakapoznpodarou"/>
        </w:rPr>
        <w:footnoteRef/>
      </w:r>
      <w:r w:rsidRPr="00952110">
        <w:t xml:space="preserve"> </w:t>
      </w:r>
      <w:hyperlink r:id="rId2" w:history="1">
        <w:r w:rsidRPr="007B63EE">
          <w:rPr>
            <w:rStyle w:val="Hypertextovodkaz"/>
            <w:sz w:val="20"/>
          </w:rPr>
          <w:t>http://www.zbierka.sk/default.aspx</w:t>
        </w:r>
      </w:hyperlink>
      <w:r>
        <w:t xml:space="preserve"> </w:t>
      </w:r>
      <w:r w:rsidRPr="00952110">
        <w:t xml:space="preserve"> Č. </w:t>
      </w:r>
      <w:proofErr w:type="gramStart"/>
      <w:r w:rsidRPr="00952110">
        <w:rPr>
          <w:rFonts w:ascii="Courier" w:eastAsia="Courier" w:hAnsi="Courier" w:cs="Courier"/>
          <w:bCs/>
          <w:sz w:val="21"/>
          <w:szCs w:val="21"/>
          <w:lang w:val="de-DE"/>
        </w:rPr>
        <w:t>595/2003 Z.z, §2</w:t>
      </w:r>
      <w:proofErr w:type="gramEnd"/>
    </w:p>
  </w:footnote>
  <w:footnote w:id="10">
    <w:p w:rsidR="00AB4E25" w:rsidRPr="00952110" w:rsidRDefault="00AB4E25">
      <w:pPr>
        <w:pStyle w:val="Textpoznpodarou"/>
      </w:pPr>
      <w:r w:rsidRPr="00952110">
        <w:rPr>
          <w:rStyle w:val="Znakapoznpodarou"/>
        </w:rPr>
        <w:footnoteRef/>
      </w:r>
      <w:r w:rsidRPr="00952110">
        <w:t xml:space="preserve"> tamtéž</w:t>
      </w:r>
    </w:p>
  </w:footnote>
  <w:footnote w:id="11">
    <w:p w:rsidR="00AB4E25" w:rsidRDefault="00AB4E25" w:rsidP="00086127">
      <w:pPr>
        <w:pStyle w:val="Textpoznpodarou"/>
      </w:pPr>
      <w:r>
        <w:rPr>
          <w:rStyle w:val="Znakapoznpodarou"/>
        </w:rPr>
        <w:footnoteRef/>
      </w:r>
      <w:r>
        <w:t xml:space="preserve"> </w:t>
      </w:r>
      <w:proofErr w:type="gramStart"/>
      <w:r>
        <w:t>Zákon</w:t>
      </w:r>
      <w:proofErr w:type="gramEnd"/>
      <w:r>
        <w:t xml:space="preserve"> .</w:t>
      </w:r>
      <w:proofErr w:type="gramStart"/>
      <w:r>
        <w:t>č.</w:t>
      </w:r>
      <w:proofErr w:type="gramEnd"/>
      <w:r>
        <w:t>235/2004 Z.z. o dani z pridané hodnoty</w:t>
      </w:r>
    </w:p>
    <w:p w:rsidR="00AB4E25" w:rsidRDefault="00AB4E25">
      <w:pPr>
        <w:pStyle w:val="Textpoznpodarou"/>
      </w:pPr>
    </w:p>
  </w:footnote>
  <w:footnote w:id="12">
    <w:p w:rsidR="00AB4E25" w:rsidRDefault="00AB4E25">
      <w:pPr>
        <w:pStyle w:val="Textpoznpodarou"/>
      </w:pPr>
      <w:r>
        <w:rPr>
          <w:rStyle w:val="Znakapoznpodarou"/>
        </w:rPr>
        <w:footnoteRef/>
      </w:r>
      <w:r>
        <w:t xml:space="preserve"> Zákon o dph, str</w:t>
      </w:r>
    </w:p>
  </w:footnote>
  <w:footnote w:id="13">
    <w:p w:rsidR="00AB4E25" w:rsidRDefault="00AB4E25">
      <w:pPr>
        <w:pStyle w:val="Textpoznpodarou"/>
      </w:pPr>
      <w:r>
        <w:rPr>
          <w:rStyle w:val="Znakapoznpodarou"/>
        </w:rPr>
        <w:footnoteRef/>
      </w:r>
      <w:r>
        <w:t xml:space="preserve"> tamtéž </w:t>
      </w:r>
    </w:p>
  </w:footnote>
  <w:footnote w:id="14">
    <w:p w:rsidR="00AB4E25" w:rsidRDefault="00AB4E25">
      <w:pPr>
        <w:pStyle w:val="Textpoznpodarou"/>
      </w:pPr>
      <w:r>
        <w:rPr>
          <w:rStyle w:val="Znakapoznpodarou"/>
        </w:rPr>
        <w:footnoteRef/>
      </w:r>
      <w:r>
        <w:t xml:space="preserve"> </w:t>
      </w:r>
      <w:proofErr w:type="gramStart"/>
      <w:r>
        <w:t>Zákon</w:t>
      </w:r>
      <w:proofErr w:type="gramEnd"/>
      <w:r>
        <w:t xml:space="preserve"> .</w:t>
      </w:r>
      <w:proofErr w:type="gramStart"/>
      <w:r>
        <w:t>č.</w:t>
      </w:r>
      <w:proofErr w:type="gramEnd"/>
      <w:r>
        <w:t>222/2004 Z.z. o dani z pridané hodnoty</w:t>
      </w:r>
    </w:p>
  </w:footnote>
  <w:footnote w:id="15">
    <w:p w:rsidR="00AB4E25" w:rsidRDefault="00AB4E25">
      <w:pPr>
        <w:pStyle w:val="Textpoznpodarou"/>
      </w:pPr>
      <w:r>
        <w:rPr>
          <w:rStyle w:val="Znakapoznpodarou"/>
        </w:rPr>
        <w:footnoteRef/>
      </w:r>
      <w:r>
        <w:t xml:space="preserve"> tamtéž</w:t>
      </w:r>
    </w:p>
  </w:footnote>
  <w:footnote w:id="16">
    <w:p w:rsidR="00AB4E25" w:rsidRDefault="00AB4E25">
      <w:pPr>
        <w:pStyle w:val="Textpoznpodarou"/>
      </w:pPr>
      <w:r>
        <w:rPr>
          <w:rStyle w:val="Znakapoznpodarou"/>
        </w:rPr>
        <w:footnoteRef/>
      </w:r>
      <w:r>
        <w:t xml:space="preserve"> tamtéž</w:t>
      </w:r>
    </w:p>
  </w:footnote>
  <w:footnote w:id="17">
    <w:p w:rsidR="00AB4E25" w:rsidRDefault="00AB4E25">
      <w:pPr>
        <w:pStyle w:val="Textpoznpodarou"/>
      </w:pPr>
      <w:r>
        <w:rPr>
          <w:rStyle w:val="Znakapoznpodarou"/>
        </w:rPr>
        <w:footnoteRef/>
      </w:r>
      <w:r>
        <w:t xml:space="preserve"> Na základě www. </w:t>
      </w:r>
      <w:proofErr w:type="gramStart"/>
      <w:r w:rsidRPr="00972588">
        <w:t>http</w:t>
      </w:r>
      <w:proofErr w:type="gramEnd"/>
      <w:r w:rsidRPr="00972588">
        <w:t>://www.berne.cz/danova-teorie/vyvoj-sazeb-dph-v-cr/</w:t>
      </w:r>
      <w:r>
        <w:t xml:space="preserve"> , cit. 27-03-2010</w:t>
      </w:r>
    </w:p>
  </w:footnote>
  <w:footnote w:id="18">
    <w:p w:rsidR="00AB4E25" w:rsidRPr="00E15526" w:rsidRDefault="00AB4E25">
      <w:pPr>
        <w:pStyle w:val="Textpoznpodarou"/>
        <w:rPr>
          <w:sz w:val="16"/>
          <w:szCs w:val="16"/>
        </w:rPr>
      </w:pPr>
      <w:r w:rsidRPr="00E15526">
        <w:rPr>
          <w:rStyle w:val="Znakapoznpodarou"/>
          <w:sz w:val="16"/>
          <w:szCs w:val="16"/>
        </w:rPr>
        <w:footnoteRef/>
      </w:r>
      <w:r w:rsidRPr="00E15526">
        <w:rPr>
          <w:sz w:val="16"/>
          <w:szCs w:val="16"/>
        </w:rPr>
        <w:t xml:space="preserve"> </w:t>
      </w:r>
      <w:r>
        <w:rPr>
          <w:sz w:val="16"/>
          <w:szCs w:val="16"/>
        </w:rPr>
        <w:t>KLAZAR. S., SLINTÁKOVÁ. B., SVÁTKOVÁ. S., ZELENÝ. M., (2007)</w:t>
      </w:r>
      <w:r w:rsidRPr="00E15526">
        <w:rPr>
          <w:iCs/>
          <w:sz w:val="16"/>
          <w:szCs w:val="16"/>
        </w:rPr>
        <w:t xml:space="preserve"> </w:t>
      </w:r>
      <w:r w:rsidRPr="00732064">
        <w:rPr>
          <w:i/>
          <w:iCs/>
          <w:sz w:val="16"/>
          <w:szCs w:val="16"/>
        </w:rPr>
        <w:t>Dopad harmonizace sazeb DPH v ČR</w:t>
      </w:r>
      <w:r w:rsidRPr="00E15526">
        <w:rPr>
          <w:iCs/>
          <w:sz w:val="16"/>
          <w:szCs w:val="16"/>
        </w:rPr>
        <w:t xml:space="preserve">, </w:t>
      </w:r>
      <w:r>
        <w:rPr>
          <w:iCs/>
          <w:sz w:val="16"/>
          <w:szCs w:val="16"/>
        </w:rPr>
        <w:t xml:space="preserve">VSE Praha: </w:t>
      </w:r>
      <w:r w:rsidRPr="00E15526">
        <w:rPr>
          <w:iCs/>
          <w:sz w:val="16"/>
          <w:szCs w:val="16"/>
        </w:rPr>
        <w:t>Acta Oeconomica Pragensia, roč. 15, č. 1</w:t>
      </w:r>
      <w:r>
        <w:rPr>
          <w:iCs/>
          <w:sz w:val="16"/>
          <w:szCs w:val="16"/>
        </w:rPr>
        <w:t>, str. 45</w:t>
      </w:r>
    </w:p>
  </w:footnote>
  <w:footnote w:id="19">
    <w:p w:rsidR="00AB4E25" w:rsidRPr="00E15526" w:rsidRDefault="00AB4E25" w:rsidP="00732064">
      <w:pPr>
        <w:pStyle w:val="Nadpis1"/>
        <w:numPr>
          <w:ilvl w:val="0"/>
          <w:numId w:val="0"/>
        </w:numPr>
        <w:shd w:val="clear" w:color="auto" w:fill="FFFFFF"/>
        <w:spacing w:line="264" w:lineRule="atLeast"/>
        <w:ind w:left="360" w:hanging="360"/>
        <w:rPr>
          <w:b w:val="0"/>
          <w:sz w:val="16"/>
          <w:szCs w:val="16"/>
        </w:rPr>
      </w:pPr>
      <w:r w:rsidRPr="00E15526">
        <w:rPr>
          <w:rStyle w:val="Znakapoznpodarou"/>
          <w:b w:val="0"/>
          <w:sz w:val="16"/>
          <w:szCs w:val="16"/>
        </w:rPr>
        <w:footnoteRef/>
      </w:r>
      <w:r w:rsidRPr="00E15526">
        <w:rPr>
          <w:b w:val="0"/>
          <w:sz w:val="16"/>
          <w:szCs w:val="16"/>
        </w:rPr>
        <w:t xml:space="preserve"> </w:t>
      </w:r>
      <w:hyperlink r:id="rId3" w:history="1">
        <w:r w:rsidRPr="00E15526">
          <w:rPr>
            <w:rStyle w:val="Hypertextovodkaz"/>
            <w:b w:val="0"/>
            <w:sz w:val="16"/>
            <w:szCs w:val="16"/>
          </w:rPr>
          <w:t>http://www.mfcr.cz/cps/rde/xchg/mfcr/xsl/konvergen_programy_43976.html</w:t>
        </w:r>
      </w:hyperlink>
      <w:r w:rsidRPr="00E15526">
        <w:rPr>
          <w:b w:val="0"/>
          <w:sz w:val="16"/>
          <w:szCs w:val="16"/>
        </w:rPr>
        <w:t>, 5. Kvalita veřejných financí - příjmy a výdaje</w:t>
      </w:r>
    </w:p>
    <w:p w:rsidR="00AB4E25" w:rsidRDefault="00AB4E25">
      <w:pPr>
        <w:pStyle w:val="Textpoznpodarou"/>
      </w:pPr>
    </w:p>
  </w:footnote>
  <w:footnote w:id="20">
    <w:p w:rsidR="00AB4E25" w:rsidRDefault="00AB4E25" w:rsidP="00EA2E94">
      <w:pPr>
        <w:pStyle w:val="Textpoznpodarou"/>
      </w:pPr>
      <w:r>
        <w:rPr>
          <w:rStyle w:val="Znakapoznpodarou"/>
        </w:rPr>
        <w:footnoteRef/>
      </w:r>
      <w:r>
        <w:t xml:space="preserve"> Na základě www. </w:t>
      </w:r>
      <w:proofErr w:type="gramStart"/>
      <w:r w:rsidRPr="00972588">
        <w:t>http</w:t>
      </w:r>
      <w:proofErr w:type="gramEnd"/>
      <w:r w:rsidRPr="00972588">
        <w:t>://www.berne.cz/danova-teorie/vyvoj-sazeb-dph-v-cr/</w:t>
      </w:r>
      <w:r>
        <w:t xml:space="preserve"> , cit. 27-03-2010</w:t>
      </w:r>
    </w:p>
  </w:footnote>
  <w:footnote w:id="21">
    <w:p w:rsidR="00AB4E25" w:rsidRDefault="00AB4E25" w:rsidP="00E15F59">
      <w:pPr>
        <w:pStyle w:val="Textpoznpodarou"/>
      </w:pPr>
      <w:r>
        <w:rPr>
          <w:rStyle w:val="Znakapoznpodarou"/>
        </w:rPr>
        <w:footnoteRef/>
      </w:r>
      <w:r>
        <w:t xml:space="preserve"> tamtéž</w:t>
      </w:r>
    </w:p>
  </w:footnote>
  <w:footnote w:id="22">
    <w:p w:rsidR="00AB4E25" w:rsidRDefault="00AB4E25" w:rsidP="0032113C">
      <w:pPr>
        <w:pStyle w:val="Textpoznpodarou"/>
      </w:pPr>
      <w:r>
        <w:rPr>
          <w:rStyle w:val="Znakapoznpodarou"/>
        </w:rPr>
        <w:footnoteRef/>
      </w:r>
      <w:r>
        <w:t xml:space="preserve"> tamtéž</w:t>
      </w:r>
    </w:p>
  </w:footnote>
  <w:footnote w:id="23">
    <w:p w:rsidR="00AB4E25" w:rsidRDefault="00AB4E25" w:rsidP="00E15F59">
      <w:pPr>
        <w:pStyle w:val="Textpoznpodarou"/>
      </w:pPr>
      <w:r>
        <w:rPr>
          <w:rStyle w:val="Znakapoznpodarou"/>
        </w:rPr>
        <w:footnoteRef/>
      </w:r>
      <w:r>
        <w:t xml:space="preserve"> tamtéž</w:t>
      </w:r>
    </w:p>
  </w:footnote>
  <w:footnote w:id="24">
    <w:p w:rsidR="00AB4E25" w:rsidRDefault="00AB4E25">
      <w:pPr>
        <w:pStyle w:val="Textpoznpodarou"/>
      </w:pPr>
      <w:r>
        <w:rPr>
          <w:rStyle w:val="Znakapoznpodarou"/>
        </w:rPr>
        <w:footnoteRef/>
      </w:r>
      <w:r>
        <w:t xml:space="preserve"> tamtéž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25" w:rsidRPr="00583FB0" w:rsidRDefault="00AB4E25" w:rsidP="00990CF5">
    <w:pPr>
      <w:pStyle w:val="Zhlav"/>
      <w:jc w:val="center"/>
      <w:rPr>
        <w:rFonts w:ascii="Verdana" w:hAnsi="Verdana"/>
        <w:b/>
        <w:bCs/>
        <w:szCs w:val="32"/>
      </w:rPr>
    </w:pPr>
    <w:r w:rsidRPr="00583FB0">
      <w:rPr>
        <w:rFonts w:ascii="Verdana" w:hAnsi="Verdana"/>
        <w:b/>
        <w:bCs/>
        <w:szCs w:val="32"/>
      </w:rPr>
      <w:t>VYSOKÁ ŠKOLA EKONOMIE A MANAGEMENTU</w:t>
    </w:r>
  </w:p>
  <w:p w:rsidR="00AB4E25" w:rsidRDefault="00AB4E25" w:rsidP="00990CF5">
    <w:pPr>
      <w:pStyle w:val="Zhlav"/>
      <w:jc w:val="center"/>
      <w:rPr>
        <w:sz w:val="20"/>
      </w:rPr>
    </w:pPr>
    <w:r w:rsidRPr="00583FB0">
      <w:rPr>
        <w:rFonts w:ascii="Verdana" w:hAnsi="Verdana"/>
        <w:sz w:val="20"/>
      </w:rPr>
      <w:t>Nárožní 2600/9a, 158 00 Praha 5</w:t>
    </w:r>
  </w:p>
  <w:p w:rsidR="00AB4E25" w:rsidRDefault="00AB4E2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25" w:rsidRPr="001706BD" w:rsidRDefault="00AB4E25"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AB4E25" w:rsidRDefault="00AB4E25" w:rsidP="0032047F">
    <w:pPr>
      <w:pStyle w:val="Zhlav"/>
      <w:jc w:val="center"/>
    </w:pPr>
    <w:r w:rsidRPr="001706BD">
      <w:rPr>
        <w:rFonts w:ascii="Verdana" w:hAnsi="Verdana"/>
        <w:b/>
        <w:bCs/>
        <w:color w:val="808080"/>
        <w:szCs w:val="24"/>
      </w:rPr>
      <w:t>Nárožní 2600/9a, 158 00 Praha 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25" w:rsidRPr="004947CA" w:rsidRDefault="00AB4E25" w:rsidP="004947CA">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25" w:rsidRPr="001706BD" w:rsidRDefault="00AB4E25" w:rsidP="001706BD">
    <w:pPr>
      <w:pStyle w:val="Zpat"/>
      <w:tabs>
        <w:tab w:val="left" w:pos="2265"/>
        <w:tab w:val="center" w:pos="4606"/>
      </w:tabs>
      <w:jc w:val="center"/>
      <w:rPr>
        <w:rFonts w:ascii="Verdana" w:hAnsi="Verdana"/>
        <w:b/>
        <w:bCs/>
        <w:color w:val="80808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05D"/>
    <w:multiLevelType w:val="hybridMultilevel"/>
    <w:tmpl w:val="2C785A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8C15B3"/>
    <w:multiLevelType w:val="hybridMultilevel"/>
    <w:tmpl w:val="00C84A98"/>
    <w:lvl w:ilvl="0" w:tplc="453C952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97090F"/>
    <w:multiLevelType w:val="hybridMultilevel"/>
    <w:tmpl w:val="66DC9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D53269"/>
    <w:multiLevelType w:val="hybridMultilevel"/>
    <w:tmpl w:val="7E8AE6B4"/>
    <w:lvl w:ilvl="0" w:tplc="0A1A038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99066C0"/>
    <w:multiLevelType w:val="multilevel"/>
    <w:tmpl w:val="4CE41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3F5A4D"/>
    <w:multiLevelType w:val="hybridMultilevel"/>
    <w:tmpl w:val="576E85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39255D8"/>
    <w:multiLevelType w:val="multilevel"/>
    <w:tmpl w:val="F30A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8">
    <w:nsid w:val="2DFB20C3"/>
    <w:multiLevelType w:val="multilevel"/>
    <w:tmpl w:val="4408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10">
    <w:nsid w:val="40954746"/>
    <w:multiLevelType w:val="hybridMultilevel"/>
    <w:tmpl w:val="66DC96A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B9F57BE"/>
    <w:multiLevelType w:val="hybridMultilevel"/>
    <w:tmpl w:val="F23CA998"/>
    <w:lvl w:ilvl="0" w:tplc="C244597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02F360D"/>
    <w:multiLevelType w:val="hybridMultilevel"/>
    <w:tmpl w:val="3B20B0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3C84960"/>
    <w:multiLevelType w:val="hybridMultilevel"/>
    <w:tmpl w:val="D6B8F2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A0D4E25"/>
    <w:multiLevelType w:val="hybridMultilevel"/>
    <w:tmpl w:val="6B867C1C"/>
    <w:lvl w:ilvl="0" w:tplc="0A24507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15"/>
  </w:num>
  <w:num w:numId="2">
    <w:abstractNumId w:val="7"/>
  </w:num>
  <w:num w:numId="3">
    <w:abstractNumId w:val="9"/>
  </w:num>
  <w:num w:numId="4">
    <w:abstractNumId w:val="16"/>
  </w:num>
  <w:num w:numId="5">
    <w:abstractNumId w:val="16"/>
  </w:num>
  <w:num w:numId="6">
    <w:abstractNumId w:val="1"/>
  </w:num>
  <w:num w:numId="7">
    <w:abstractNumId w:val="16"/>
  </w:num>
  <w:num w:numId="8">
    <w:abstractNumId w:val="12"/>
  </w:num>
  <w:num w:numId="9">
    <w:abstractNumId w:val="16"/>
  </w:num>
  <w:num w:numId="10">
    <w:abstractNumId w:val="5"/>
  </w:num>
  <w:num w:numId="11">
    <w:abstractNumId w:val="3"/>
  </w:num>
  <w:num w:numId="12">
    <w:abstractNumId w:val="11"/>
  </w:num>
  <w:num w:numId="13">
    <w:abstractNumId w:val="16"/>
  </w:num>
  <w:num w:numId="14">
    <w:abstractNumId w:val="16"/>
  </w:num>
  <w:num w:numId="15">
    <w:abstractNumId w:val="16"/>
  </w:num>
  <w:num w:numId="16">
    <w:abstractNumId w:val="10"/>
  </w:num>
  <w:num w:numId="17">
    <w:abstractNumId w:val="2"/>
  </w:num>
  <w:num w:numId="18">
    <w:abstractNumId w:val="13"/>
  </w:num>
  <w:num w:numId="19">
    <w:abstractNumId w:val="16"/>
  </w:num>
  <w:num w:numId="20">
    <w:abstractNumId w:val="16"/>
  </w:num>
  <w:num w:numId="21">
    <w:abstractNumId w:val="16"/>
  </w:num>
  <w:num w:numId="22">
    <w:abstractNumId w:val="16"/>
  </w:num>
  <w:num w:numId="23">
    <w:abstractNumId w:val="6"/>
  </w:num>
  <w:num w:numId="24">
    <w:abstractNumId w:val="4"/>
  </w:num>
  <w:num w:numId="25">
    <w:abstractNumId w:val="16"/>
  </w:num>
  <w:num w:numId="26">
    <w:abstractNumId w:val="14"/>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6"/>
  </w:num>
  <w:num w:numId="30">
    <w:abstractNumId w:val="0"/>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20A"/>
    <w:rsid w:val="000047F2"/>
    <w:rsid w:val="00011C39"/>
    <w:rsid w:val="00013B4D"/>
    <w:rsid w:val="0001702C"/>
    <w:rsid w:val="00023986"/>
    <w:rsid w:val="000317EA"/>
    <w:rsid w:val="00045555"/>
    <w:rsid w:val="000511C9"/>
    <w:rsid w:val="00054341"/>
    <w:rsid w:val="00065351"/>
    <w:rsid w:val="000723B7"/>
    <w:rsid w:val="0007535B"/>
    <w:rsid w:val="00086127"/>
    <w:rsid w:val="00087935"/>
    <w:rsid w:val="00095D4E"/>
    <w:rsid w:val="000A4BE9"/>
    <w:rsid w:val="000A7F0D"/>
    <w:rsid w:val="000B13F3"/>
    <w:rsid w:val="000B73D2"/>
    <w:rsid w:val="000C736E"/>
    <w:rsid w:val="000D2F14"/>
    <w:rsid w:val="000D4D9D"/>
    <w:rsid w:val="000F3725"/>
    <w:rsid w:val="000F4683"/>
    <w:rsid w:val="000F680B"/>
    <w:rsid w:val="00101D25"/>
    <w:rsid w:val="00113F3C"/>
    <w:rsid w:val="00117EE0"/>
    <w:rsid w:val="00122A8E"/>
    <w:rsid w:val="0012770F"/>
    <w:rsid w:val="0014355A"/>
    <w:rsid w:val="00144279"/>
    <w:rsid w:val="00145303"/>
    <w:rsid w:val="0016002A"/>
    <w:rsid w:val="00165A61"/>
    <w:rsid w:val="001706BD"/>
    <w:rsid w:val="0018258C"/>
    <w:rsid w:val="001841CD"/>
    <w:rsid w:val="001865BE"/>
    <w:rsid w:val="00186D23"/>
    <w:rsid w:val="00191D08"/>
    <w:rsid w:val="00193F3F"/>
    <w:rsid w:val="00194089"/>
    <w:rsid w:val="001A09FE"/>
    <w:rsid w:val="001A54EF"/>
    <w:rsid w:val="001A6DE7"/>
    <w:rsid w:val="001B087D"/>
    <w:rsid w:val="001B2D1B"/>
    <w:rsid w:val="001B3607"/>
    <w:rsid w:val="001B4BD3"/>
    <w:rsid w:val="001B541A"/>
    <w:rsid w:val="001B6C51"/>
    <w:rsid w:val="001C00E1"/>
    <w:rsid w:val="001C04CD"/>
    <w:rsid w:val="001C3BAC"/>
    <w:rsid w:val="001C5944"/>
    <w:rsid w:val="001D2392"/>
    <w:rsid w:val="001D3CE7"/>
    <w:rsid w:val="001F0352"/>
    <w:rsid w:val="001F10F8"/>
    <w:rsid w:val="001F2F7B"/>
    <w:rsid w:val="001F3C88"/>
    <w:rsid w:val="001F70F2"/>
    <w:rsid w:val="00205ECD"/>
    <w:rsid w:val="00206FBA"/>
    <w:rsid w:val="00217F26"/>
    <w:rsid w:val="00225E28"/>
    <w:rsid w:val="00226589"/>
    <w:rsid w:val="0022723F"/>
    <w:rsid w:val="00230DD1"/>
    <w:rsid w:val="00234347"/>
    <w:rsid w:val="0023522F"/>
    <w:rsid w:val="00235BBF"/>
    <w:rsid w:val="002412EC"/>
    <w:rsid w:val="00245336"/>
    <w:rsid w:val="00250D2B"/>
    <w:rsid w:val="0025128B"/>
    <w:rsid w:val="0026039B"/>
    <w:rsid w:val="00260F8F"/>
    <w:rsid w:val="00265875"/>
    <w:rsid w:val="00272C6F"/>
    <w:rsid w:val="002756C5"/>
    <w:rsid w:val="0027607F"/>
    <w:rsid w:val="002A0724"/>
    <w:rsid w:val="002A2F1A"/>
    <w:rsid w:val="002B118D"/>
    <w:rsid w:val="002B1680"/>
    <w:rsid w:val="002B205E"/>
    <w:rsid w:val="002C2272"/>
    <w:rsid w:val="002C45BA"/>
    <w:rsid w:val="002D6E52"/>
    <w:rsid w:val="002F08E4"/>
    <w:rsid w:val="002F0B50"/>
    <w:rsid w:val="00302110"/>
    <w:rsid w:val="0030233D"/>
    <w:rsid w:val="00305529"/>
    <w:rsid w:val="003068D3"/>
    <w:rsid w:val="003131C7"/>
    <w:rsid w:val="0032047F"/>
    <w:rsid w:val="00320E0F"/>
    <w:rsid w:val="0032113C"/>
    <w:rsid w:val="003219A9"/>
    <w:rsid w:val="0032655D"/>
    <w:rsid w:val="003336A7"/>
    <w:rsid w:val="00361771"/>
    <w:rsid w:val="0036573D"/>
    <w:rsid w:val="003748ED"/>
    <w:rsid w:val="00381F3A"/>
    <w:rsid w:val="00384C28"/>
    <w:rsid w:val="00393748"/>
    <w:rsid w:val="00394F70"/>
    <w:rsid w:val="003A709F"/>
    <w:rsid w:val="003B3C54"/>
    <w:rsid w:val="003B4D2E"/>
    <w:rsid w:val="003B67D4"/>
    <w:rsid w:val="003B7F36"/>
    <w:rsid w:val="003D3324"/>
    <w:rsid w:val="003D6B3F"/>
    <w:rsid w:val="003F2A3C"/>
    <w:rsid w:val="004064AB"/>
    <w:rsid w:val="00407C8B"/>
    <w:rsid w:val="0041199D"/>
    <w:rsid w:val="00412B9C"/>
    <w:rsid w:val="0041307F"/>
    <w:rsid w:val="00420E09"/>
    <w:rsid w:val="004258AD"/>
    <w:rsid w:val="00434228"/>
    <w:rsid w:val="0043714C"/>
    <w:rsid w:val="00445064"/>
    <w:rsid w:val="004465E3"/>
    <w:rsid w:val="00450DD8"/>
    <w:rsid w:val="004522E5"/>
    <w:rsid w:val="00454B73"/>
    <w:rsid w:val="00456474"/>
    <w:rsid w:val="00462360"/>
    <w:rsid w:val="004653DA"/>
    <w:rsid w:val="004705B8"/>
    <w:rsid w:val="00472479"/>
    <w:rsid w:val="00473947"/>
    <w:rsid w:val="0048288F"/>
    <w:rsid w:val="004831F3"/>
    <w:rsid w:val="004947CA"/>
    <w:rsid w:val="004A025A"/>
    <w:rsid w:val="004B3CA3"/>
    <w:rsid w:val="004B44A0"/>
    <w:rsid w:val="004C3D83"/>
    <w:rsid w:val="004D32FD"/>
    <w:rsid w:val="004D56FA"/>
    <w:rsid w:val="004E7350"/>
    <w:rsid w:val="004F736F"/>
    <w:rsid w:val="005074E0"/>
    <w:rsid w:val="005079BB"/>
    <w:rsid w:val="0051298C"/>
    <w:rsid w:val="005217CD"/>
    <w:rsid w:val="00522B1C"/>
    <w:rsid w:val="00532BCE"/>
    <w:rsid w:val="005349B4"/>
    <w:rsid w:val="00535282"/>
    <w:rsid w:val="005435F9"/>
    <w:rsid w:val="00545C54"/>
    <w:rsid w:val="00545F6B"/>
    <w:rsid w:val="00556E8E"/>
    <w:rsid w:val="0056002D"/>
    <w:rsid w:val="0056630B"/>
    <w:rsid w:val="00567188"/>
    <w:rsid w:val="00567EF3"/>
    <w:rsid w:val="00574C01"/>
    <w:rsid w:val="00577799"/>
    <w:rsid w:val="00581BA1"/>
    <w:rsid w:val="00597B01"/>
    <w:rsid w:val="005A33DD"/>
    <w:rsid w:val="005A66CD"/>
    <w:rsid w:val="005B2EA5"/>
    <w:rsid w:val="005B3949"/>
    <w:rsid w:val="005B4629"/>
    <w:rsid w:val="005B560F"/>
    <w:rsid w:val="005B6CE4"/>
    <w:rsid w:val="005C061E"/>
    <w:rsid w:val="005C124B"/>
    <w:rsid w:val="005C41F4"/>
    <w:rsid w:val="005D17EC"/>
    <w:rsid w:val="005D4BE5"/>
    <w:rsid w:val="005D5691"/>
    <w:rsid w:val="005D658A"/>
    <w:rsid w:val="005D7110"/>
    <w:rsid w:val="005E205A"/>
    <w:rsid w:val="00600304"/>
    <w:rsid w:val="0060294C"/>
    <w:rsid w:val="00617002"/>
    <w:rsid w:val="00622F49"/>
    <w:rsid w:val="006248D1"/>
    <w:rsid w:val="0062764C"/>
    <w:rsid w:val="00632CBF"/>
    <w:rsid w:val="00634BEA"/>
    <w:rsid w:val="0064085E"/>
    <w:rsid w:val="00647186"/>
    <w:rsid w:val="006509E8"/>
    <w:rsid w:val="00656C1B"/>
    <w:rsid w:val="00663BAA"/>
    <w:rsid w:val="00664692"/>
    <w:rsid w:val="00674498"/>
    <w:rsid w:val="0068049D"/>
    <w:rsid w:val="0069040E"/>
    <w:rsid w:val="006A6766"/>
    <w:rsid w:val="006B122F"/>
    <w:rsid w:val="006B2D5F"/>
    <w:rsid w:val="006B3B97"/>
    <w:rsid w:val="006B682C"/>
    <w:rsid w:val="006C3CAC"/>
    <w:rsid w:val="006E026D"/>
    <w:rsid w:val="006E144D"/>
    <w:rsid w:val="006E273B"/>
    <w:rsid w:val="006E4F07"/>
    <w:rsid w:val="006F1C24"/>
    <w:rsid w:val="006F2964"/>
    <w:rsid w:val="006F36A3"/>
    <w:rsid w:val="006F38FE"/>
    <w:rsid w:val="00706CEB"/>
    <w:rsid w:val="007115D9"/>
    <w:rsid w:val="00711ED9"/>
    <w:rsid w:val="007219C7"/>
    <w:rsid w:val="00723C5F"/>
    <w:rsid w:val="00732064"/>
    <w:rsid w:val="00735877"/>
    <w:rsid w:val="00744888"/>
    <w:rsid w:val="00757690"/>
    <w:rsid w:val="00764528"/>
    <w:rsid w:val="00770DA4"/>
    <w:rsid w:val="00772D49"/>
    <w:rsid w:val="0078096E"/>
    <w:rsid w:val="00782893"/>
    <w:rsid w:val="00783D36"/>
    <w:rsid w:val="00784057"/>
    <w:rsid w:val="0078685E"/>
    <w:rsid w:val="00793AB3"/>
    <w:rsid w:val="007A1233"/>
    <w:rsid w:val="007A40AC"/>
    <w:rsid w:val="007A469B"/>
    <w:rsid w:val="007A69EC"/>
    <w:rsid w:val="007A6AB6"/>
    <w:rsid w:val="007B4C07"/>
    <w:rsid w:val="007B5E40"/>
    <w:rsid w:val="007C05E4"/>
    <w:rsid w:val="007D5C54"/>
    <w:rsid w:val="007D5FC8"/>
    <w:rsid w:val="007E49A4"/>
    <w:rsid w:val="007E684B"/>
    <w:rsid w:val="007F1BB5"/>
    <w:rsid w:val="007F5302"/>
    <w:rsid w:val="008020C9"/>
    <w:rsid w:val="0080403E"/>
    <w:rsid w:val="00806E8B"/>
    <w:rsid w:val="008076E6"/>
    <w:rsid w:val="00816494"/>
    <w:rsid w:val="00831212"/>
    <w:rsid w:val="00832518"/>
    <w:rsid w:val="00837C09"/>
    <w:rsid w:val="00845800"/>
    <w:rsid w:val="00851E1F"/>
    <w:rsid w:val="008539F6"/>
    <w:rsid w:val="0085537F"/>
    <w:rsid w:val="00861E7B"/>
    <w:rsid w:val="00867CF6"/>
    <w:rsid w:val="008729EB"/>
    <w:rsid w:val="00876F72"/>
    <w:rsid w:val="00887089"/>
    <w:rsid w:val="00891348"/>
    <w:rsid w:val="00893915"/>
    <w:rsid w:val="008A5FFE"/>
    <w:rsid w:val="008A7A00"/>
    <w:rsid w:val="008B3978"/>
    <w:rsid w:val="008B3D2B"/>
    <w:rsid w:val="008B68BB"/>
    <w:rsid w:val="008C3313"/>
    <w:rsid w:val="008D396D"/>
    <w:rsid w:val="008E2F65"/>
    <w:rsid w:val="008F27AE"/>
    <w:rsid w:val="008F3410"/>
    <w:rsid w:val="008F602B"/>
    <w:rsid w:val="008F6080"/>
    <w:rsid w:val="00901B3C"/>
    <w:rsid w:val="00904FBA"/>
    <w:rsid w:val="00917A4F"/>
    <w:rsid w:val="009217F2"/>
    <w:rsid w:val="009231A8"/>
    <w:rsid w:val="00931568"/>
    <w:rsid w:val="00932D76"/>
    <w:rsid w:val="00935A3F"/>
    <w:rsid w:val="00942576"/>
    <w:rsid w:val="009466FD"/>
    <w:rsid w:val="00952110"/>
    <w:rsid w:val="00954280"/>
    <w:rsid w:val="00955DEB"/>
    <w:rsid w:val="009565C1"/>
    <w:rsid w:val="00957AE1"/>
    <w:rsid w:val="00961597"/>
    <w:rsid w:val="00963D6E"/>
    <w:rsid w:val="0097157C"/>
    <w:rsid w:val="00972588"/>
    <w:rsid w:val="009773CD"/>
    <w:rsid w:val="00981D4F"/>
    <w:rsid w:val="00990CF5"/>
    <w:rsid w:val="00997CB9"/>
    <w:rsid w:val="009A06FC"/>
    <w:rsid w:val="009A4C97"/>
    <w:rsid w:val="009A7FF3"/>
    <w:rsid w:val="009B302F"/>
    <w:rsid w:val="009B70AF"/>
    <w:rsid w:val="009C3AE1"/>
    <w:rsid w:val="009C5106"/>
    <w:rsid w:val="009D23E3"/>
    <w:rsid w:val="009D348D"/>
    <w:rsid w:val="009D50A3"/>
    <w:rsid w:val="009D5CB2"/>
    <w:rsid w:val="009E2406"/>
    <w:rsid w:val="00A073EF"/>
    <w:rsid w:val="00A074EB"/>
    <w:rsid w:val="00A101CA"/>
    <w:rsid w:val="00A1409A"/>
    <w:rsid w:val="00A15B7D"/>
    <w:rsid w:val="00A318A0"/>
    <w:rsid w:val="00A31C7B"/>
    <w:rsid w:val="00A438B6"/>
    <w:rsid w:val="00A46C19"/>
    <w:rsid w:val="00A46F76"/>
    <w:rsid w:val="00A557E2"/>
    <w:rsid w:val="00A57EFA"/>
    <w:rsid w:val="00A63229"/>
    <w:rsid w:val="00A64AAD"/>
    <w:rsid w:val="00A65F22"/>
    <w:rsid w:val="00A71B27"/>
    <w:rsid w:val="00A82EC3"/>
    <w:rsid w:val="00A90358"/>
    <w:rsid w:val="00A93B0A"/>
    <w:rsid w:val="00AA3689"/>
    <w:rsid w:val="00AA3F5F"/>
    <w:rsid w:val="00AA4EB7"/>
    <w:rsid w:val="00AA6F57"/>
    <w:rsid w:val="00AA7DAE"/>
    <w:rsid w:val="00AB128F"/>
    <w:rsid w:val="00AB1650"/>
    <w:rsid w:val="00AB4E25"/>
    <w:rsid w:val="00AB4E50"/>
    <w:rsid w:val="00AB5825"/>
    <w:rsid w:val="00AC50C5"/>
    <w:rsid w:val="00AD0935"/>
    <w:rsid w:val="00AD187B"/>
    <w:rsid w:val="00AE058A"/>
    <w:rsid w:val="00AE1989"/>
    <w:rsid w:val="00AE2777"/>
    <w:rsid w:val="00AF5FD8"/>
    <w:rsid w:val="00AF7149"/>
    <w:rsid w:val="00AF7FDF"/>
    <w:rsid w:val="00B00C00"/>
    <w:rsid w:val="00B11F03"/>
    <w:rsid w:val="00B13228"/>
    <w:rsid w:val="00B23315"/>
    <w:rsid w:val="00B33AA5"/>
    <w:rsid w:val="00B34E2E"/>
    <w:rsid w:val="00B366F4"/>
    <w:rsid w:val="00B37BC7"/>
    <w:rsid w:val="00B408CB"/>
    <w:rsid w:val="00B44B89"/>
    <w:rsid w:val="00B457F4"/>
    <w:rsid w:val="00B45DFC"/>
    <w:rsid w:val="00B464FC"/>
    <w:rsid w:val="00B53D50"/>
    <w:rsid w:val="00B55AB9"/>
    <w:rsid w:val="00B60B67"/>
    <w:rsid w:val="00B72334"/>
    <w:rsid w:val="00B8042A"/>
    <w:rsid w:val="00B86AA7"/>
    <w:rsid w:val="00B878B5"/>
    <w:rsid w:val="00B9550B"/>
    <w:rsid w:val="00BA1381"/>
    <w:rsid w:val="00BA2528"/>
    <w:rsid w:val="00BA710F"/>
    <w:rsid w:val="00BB2244"/>
    <w:rsid w:val="00BB5120"/>
    <w:rsid w:val="00BB5D7A"/>
    <w:rsid w:val="00BC14F1"/>
    <w:rsid w:val="00BC4D78"/>
    <w:rsid w:val="00BD1533"/>
    <w:rsid w:val="00BD2D1A"/>
    <w:rsid w:val="00BD3940"/>
    <w:rsid w:val="00BD65D4"/>
    <w:rsid w:val="00BD7149"/>
    <w:rsid w:val="00BE1BBF"/>
    <w:rsid w:val="00BE60E7"/>
    <w:rsid w:val="00BF5E73"/>
    <w:rsid w:val="00BF64D9"/>
    <w:rsid w:val="00BF7DD9"/>
    <w:rsid w:val="00C02346"/>
    <w:rsid w:val="00C1342A"/>
    <w:rsid w:val="00C51E80"/>
    <w:rsid w:val="00C54DC7"/>
    <w:rsid w:val="00C62B30"/>
    <w:rsid w:val="00C6520A"/>
    <w:rsid w:val="00C66815"/>
    <w:rsid w:val="00C72FD5"/>
    <w:rsid w:val="00C75248"/>
    <w:rsid w:val="00C83096"/>
    <w:rsid w:val="00C90850"/>
    <w:rsid w:val="00C91453"/>
    <w:rsid w:val="00C91C02"/>
    <w:rsid w:val="00CB1B52"/>
    <w:rsid w:val="00CB35E1"/>
    <w:rsid w:val="00CB699C"/>
    <w:rsid w:val="00CB6F5D"/>
    <w:rsid w:val="00CC2CD8"/>
    <w:rsid w:val="00CC52B0"/>
    <w:rsid w:val="00CD7090"/>
    <w:rsid w:val="00CE0DFD"/>
    <w:rsid w:val="00CE541B"/>
    <w:rsid w:val="00CF45F7"/>
    <w:rsid w:val="00D02EDA"/>
    <w:rsid w:val="00D04D8E"/>
    <w:rsid w:val="00D179FA"/>
    <w:rsid w:val="00D23352"/>
    <w:rsid w:val="00D302DC"/>
    <w:rsid w:val="00D4232F"/>
    <w:rsid w:val="00D43BD6"/>
    <w:rsid w:val="00D4401D"/>
    <w:rsid w:val="00D53B32"/>
    <w:rsid w:val="00D5735F"/>
    <w:rsid w:val="00D57FD4"/>
    <w:rsid w:val="00D63CE4"/>
    <w:rsid w:val="00D6720A"/>
    <w:rsid w:val="00D735E2"/>
    <w:rsid w:val="00D74A39"/>
    <w:rsid w:val="00D80224"/>
    <w:rsid w:val="00D8245E"/>
    <w:rsid w:val="00D90FFC"/>
    <w:rsid w:val="00D9237C"/>
    <w:rsid w:val="00D95DF0"/>
    <w:rsid w:val="00D977A7"/>
    <w:rsid w:val="00DA1337"/>
    <w:rsid w:val="00DA4A47"/>
    <w:rsid w:val="00DA57AC"/>
    <w:rsid w:val="00DB47B9"/>
    <w:rsid w:val="00DC57FF"/>
    <w:rsid w:val="00DC632B"/>
    <w:rsid w:val="00DC6B57"/>
    <w:rsid w:val="00DD1F82"/>
    <w:rsid w:val="00DD24BC"/>
    <w:rsid w:val="00DD6695"/>
    <w:rsid w:val="00DE31B2"/>
    <w:rsid w:val="00E01EBC"/>
    <w:rsid w:val="00E01F97"/>
    <w:rsid w:val="00E02CD7"/>
    <w:rsid w:val="00E1045A"/>
    <w:rsid w:val="00E14DCF"/>
    <w:rsid w:val="00E15526"/>
    <w:rsid w:val="00E15F59"/>
    <w:rsid w:val="00E2064A"/>
    <w:rsid w:val="00E25516"/>
    <w:rsid w:val="00E26DCC"/>
    <w:rsid w:val="00E3327C"/>
    <w:rsid w:val="00E37E1C"/>
    <w:rsid w:val="00E418F0"/>
    <w:rsid w:val="00E4395C"/>
    <w:rsid w:val="00E46633"/>
    <w:rsid w:val="00E543E4"/>
    <w:rsid w:val="00E54E9C"/>
    <w:rsid w:val="00E55D3D"/>
    <w:rsid w:val="00E65616"/>
    <w:rsid w:val="00E75F48"/>
    <w:rsid w:val="00E77216"/>
    <w:rsid w:val="00E81CA8"/>
    <w:rsid w:val="00E82303"/>
    <w:rsid w:val="00E86E13"/>
    <w:rsid w:val="00E9193C"/>
    <w:rsid w:val="00EA075E"/>
    <w:rsid w:val="00EA15C9"/>
    <w:rsid w:val="00EA2E94"/>
    <w:rsid w:val="00EA7D56"/>
    <w:rsid w:val="00EB3992"/>
    <w:rsid w:val="00EB513B"/>
    <w:rsid w:val="00EC2DBD"/>
    <w:rsid w:val="00EC2DDA"/>
    <w:rsid w:val="00EC6E3D"/>
    <w:rsid w:val="00EC7F8F"/>
    <w:rsid w:val="00ED1DF7"/>
    <w:rsid w:val="00ED3034"/>
    <w:rsid w:val="00ED48F9"/>
    <w:rsid w:val="00ED6283"/>
    <w:rsid w:val="00ED6E3B"/>
    <w:rsid w:val="00EE0032"/>
    <w:rsid w:val="00EE410D"/>
    <w:rsid w:val="00EE7290"/>
    <w:rsid w:val="00EE7461"/>
    <w:rsid w:val="00EF1C5D"/>
    <w:rsid w:val="00EF42E4"/>
    <w:rsid w:val="00EF54F6"/>
    <w:rsid w:val="00EF6EBD"/>
    <w:rsid w:val="00EF7086"/>
    <w:rsid w:val="00EF7AF2"/>
    <w:rsid w:val="00F01215"/>
    <w:rsid w:val="00F05477"/>
    <w:rsid w:val="00F162A2"/>
    <w:rsid w:val="00F1714B"/>
    <w:rsid w:val="00F177ED"/>
    <w:rsid w:val="00F328B9"/>
    <w:rsid w:val="00F4518F"/>
    <w:rsid w:val="00F47B37"/>
    <w:rsid w:val="00F54320"/>
    <w:rsid w:val="00F54462"/>
    <w:rsid w:val="00F57066"/>
    <w:rsid w:val="00F61245"/>
    <w:rsid w:val="00F714AA"/>
    <w:rsid w:val="00F72854"/>
    <w:rsid w:val="00F94198"/>
    <w:rsid w:val="00FA0BF7"/>
    <w:rsid w:val="00FA14E1"/>
    <w:rsid w:val="00FA2631"/>
    <w:rsid w:val="00FA317D"/>
    <w:rsid w:val="00FA378F"/>
    <w:rsid w:val="00FB4225"/>
    <w:rsid w:val="00FC4663"/>
    <w:rsid w:val="00FC4D1B"/>
    <w:rsid w:val="00FC6287"/>
    <w:rsid w:val="00FD0E68"/>
    <w:rsid w:val="00FD1DA2"/>
    <w:rsid w:val="00FD2037"/>
    <w:rsid w:val="00FD3BAF"/>
    <w:rsid w:val="00FE3B68"/>
    <w:rsid w:val="00FE3E1E"/>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723C5F"/>
    <w:pPr>
      <w:keepNext/>
      <w:numPr>
        <w:numId w:val="4"/>
      </w:numPr>
      <w:jc w:val="left"/>
      <w:outlineLvl w:val="0"/>
    </w:pPr>
    <w:rPr>
      <w:b/>
      <w:bCs/>
      <w:sz w:val="32"/>
      <w:szCs w:val="40"/>
    </w:rPr>
  </w:style>
  <w:style w:type="paragraph" w:styleId="Nadpis2">
    <w:name w:val="heading 2"/>
    <w:basedOn w:val="Normln"/>
    <w:next w:val="Nadpis3"/>
    <w:qFormat/>
    <w:rsid w:val="00723C5F"/>
    <w:pPr>
      <w:keepNext/>
      <w:numPr>
        <w:ilvl w:val="1"/>
        <w:numId w:val="4"/>
      </w:numPr>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935A3F"/>
  </w:style>
  <w:style w:type="character" w:styleId="Znakapoznpodarou">
    <w:name w:val="footnote reference"/>
    <w:basedOn w:val="Standardnpsmoodstavce"/>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character" w:customStyle="1" w:styleId="hps">
    <w:name w:val="hps"/>
    <w:basedOn w:val="Standardnpsmoodstavce"/>
    <w:rsid w:val="002D6E52"/>
  </w:style>
  <w:style w:type="paragraph" w:styleId="Odstavecseseznamem">
    <w:name w:val="List Paragraph"/>
    <w:basedOn w:val="Normln"/>
    <w:uiPriority w:val="34"/>
    <w:qFormat/>
    <w:rsid w:val="00B23315"/>
    <w:pPr>
      <w:ind w:left="720"/>
      <w:contextualSpacing/>
    </w:pPr>
  </w:style>
  <w:style w:type="character" w:customStyle="1" w:styleId="addmd1">
    <w:name w:val="addmd1"/>
    <w:basedOn w:val="Standardnpsmoodstavce"/>
    <w:rsid w:val="00C75248"/>
    <w:rPr>
      <w:sz w:val="20"/>
      <w:szCs w:val="20"/>
    </w:rPr>
  </w:style>
  <w:style w:type="character" w:styleId="Sledovanodkaz">
    <w:name w:val="FollowedHyperlink"/>
    <w:basedOn w:val="Standardnpsmoodstavce"/>
    <w:uiPriority w:val="99"/>
    <w:semiHidden/>
    <w:unhideWhenUsed/>
    <w:rsid w:val="00AA7DAE"/>
    <w:rPr>
      <w:color w:val="800080" w:themeColor="followedHyperlink"/>
      <w:u w:val="single"/>
    </w:rPr>
  </w:style>
  <w:style w:type="paragraph" w:styleId="Textvysvtlivek">
    <w:name w:val="endnote text"/>
    <w:basedOn w:val="Normln"/>
    <w:link w:val="TextvysvtlivekChar"/>
    <w:uiPriority w:val="99"/>
    <w:semiHidden/>
    <w:unhideWhenUsed/>
    <w:rsid w:val="00013B4D"/>
    <w:pPr>
      <w:spacing w:after="0" w:line="240" w:lineRule="auto"/>
    </w:pPr>
    <w:rPr>
      <w:sz w:val="20"/>
    </w:rPr>
  </w:style>
  <w:style w:type="character" w:customStyle="1" w:styleId="TextvysvtlivekChar">
    <w:name w:val="Text vysvětlivek Char"/>
    <w:basedOn w:val="Standardnpsmoodstavce"/>
    <w:link w:val="Textvysvtlivek"/>
    <w:uiPriority w:val="99"/>
    <w:semiHidden/>
    <w:rsid w:val="00013B4D"/>
  </w:style>
  <w:style w:type="character" w:styleId="Odkaznavysvtlivky">
    <w:name w:val="endnote reference"/>
    <w:basedOn w:val="Standardnpsmoodstavce"/>
    <w:uiPriority w:val="99"/>
    <w:semiHidden/>
    <w:unhideWhenUsed/>
    <w:rsid w:val="00013B4D"/>
    <w:rPr>
      <w:vertAlign w:val="superscript"/>
    </w:rPr>
  </w:style>
  <w:style w:type="character" w:customStyle="1" w:styleId="pisa1">
    <w:name w:val="pisa1"/>
    <w:basedOn w:val="Standardnpsmoodstavce"/>
    <w:rsid w:val="00086127"/>
    <w:rPr>
      <w:b w:val="0"/>
      <w:bCs w:val="0"/>
      <w:color w:val="444444"/>
    </w:rPr>
  </w:style>
  <w:style w:type="character" w:styleId="Zvraznn">
    <w:name w:val="Emphasis"/>
    <w:basedOn w:val="Standardnpsmoodstavce"/>
    <w:uiPriority w:val="20"/>
    <w:qFormat/>
    <w:rsid w:val="00FA14E1"/>
    <w:rPr>
      <w:i/>
      <w:iCs/>
    </w:rPr>
  </w:style>
  <w:style w:type="character" w:styleId="Siln">
    <w:name w:val="Strong"/>
    <w:basedOn w:val="Standardnpsmoodstavce"/>
    <w:uiPriority w:val="22"/>
    <w:qFormat/>
    <w:rsid w:val="007320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723C5F"/>
    <w:pPr>
      <w:keepNext/>
      <w:numPr>
        <w:numId w:val="4"/>
      </w:numPr>
      <w:jc w:val="left"/>
      <w:outlineLvl w:val="0"/>
    </w:pPr>
    <w:rPr>
      <w:b/>
      <w:bCs/>
      <w:sz w:val="32"/>
      <w:szCs w:val="40"/>
    </w:rPr>
  </w:style>
  <w:style w:type="paragraph" w:styleId="Nadpis2">
    <w:name w:val="heading 2"/>
    <w:basedOn w:val="Normln"/>
    <w:next w:val="Nadpis3"/>
    <w:qFormat/>
    <w:rsid w:val="00723C5F"/>
    <w:pPr>
      <w:keepNext/>
      <w:numPr>
        <w:ilvl w:val="1"/>
        <w:numId w:val="4"/>
      </w:numPr>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935A3F"/>
  </w:style>
  <w:style w:type="character" w:styleId="Znakapoznpodarou">
    <w:name w:val="footnote reference"/>
    <w:basedOn w:val="Standardnpsmoodstavce"/>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character" w:customStyle="1" w:styleId="hps">
    <w:name w:val="hps"/>
    <w:basedOn w:val="Standardnpsmoodstavce"/>
    <w:rsid w:val="002D6E52"/>
  </w:style>
  <w:style w:type="paragraph" w:styleId="Odstavecseseznamem">
    <w:name w:val="List Paragraph"/>
    <w:basedOn w:val="Normln"/>
    <w:uiPriority w:val="34"/>
    <w:qFormat/>
    <w:rsid w:val="00B23315"/>
    <w:pPr>
      <w:ind w:left="720"/>
      <w:contextualSpacing/>
    </w:pPr>
  </w:style>
  <w:style w:type="character" w:customStyle="1" w:styleId="addmd1">
    <w:name w:val="addmd1"/>
    <w:basedOn w:val="Standardnpsmoodstavce"/>
    <w:rsid w:val="00C75248"/>
    <w:rPr>
      <w:sz w:val="20"/>
      <w:szCs w:val="20"/>
    </w:rPr>
  </w:style>
  <w:style w:type="character" w:styleId="Sledovanodkaz">
    <w:name w:val="FollowedHyperlink"/>
    <w:basedOn w:val="Standardnpsmoodstavce"/>
    <w:uiPriority w:val="99"/>
    <w:semiHidden/>
    <w:unhideWhenUsed/>
    <w:rsid w:val="00AA7DAE"/>
    <w:rPr>
      <w:color w:val="800080" w:themeColor="followedHyperlink"/>
      <w:u w:val="single"/>
    </w:rPr>
  </w:style>
  <w:style w:type="paragraph" w:styleId="Textvysvtlivek">
    <w:name w:val="endnote text"/>
    <w:basedOn w:val="Normln"/>
    <w:link w:val="TextvysvtlivekChar"/>
    <w:uiPriority w:val="99"/>
    <w:semiHidden/>
    <w:unhideWhenUsed/>
    <w:rsid w:val="00013B4D"/>
    <w:pPr>
      <w:spacing w:after="0" w:line="240" w:lineRule="auto"/>
    </w:pPr>
    <w:rPr>
      <w:sz w:val="20"/>
    </w:rPr>
  </w:style>
  <w:style w:type="character" w:customStyle="1" w:styleId="TextvysvtlivekChar">
    <w:name w:val="Text vysvětlivek Char"/>
    <w:basedOn w:val="Standardnpsmoodstavce"/>
    <w:link w:val="Textvysvtlivek"/>
    <w:uiPriority w:val="99"/>
    <w:semiHidden/>
    <w:rsid w:val="00013B4D"/>
  </w:style>
  <w:style w:type="character" w:styleId="Odkaznavysvtlivky">
    <w:name w:val="endnote reference"/>
    <w:basedOn w:val="Standardnpsmoodstavce"/>
    <w:uiPriority w:val="99"/>
    <w:semiHidden/>
    <w:unhideWhenUsed/>
    <w:rsid w:val="00013B4D"/>
    <w:rPr>
      <w:vertAlign w:val="superscript"/>
    </w:rPr>
  </w:style>
  <w:style w:type="character" w:customStyle="1" w:styleId="pisa1">
    <w:name w:val="pisa1"/>
    <w:basedOn w:val="Standardnpsmoodstavce"/>
    <w:rsid w:val="00086127"/>
    <w:rPr>
      <w:b w:val="0"/>
      <w:bCs w:val="0"/>
      <w:color w:val="444444"/>
    </w:rPr>
  </w:style>
  <w:style w:type="character" w:styleId="Zvraznn">
    <w:name w:val="Emphasis"/>
    <w:basedOn w:val="Standardnpsmoodstavce"/>
    <w:uiPriority w:val="20"/>
    <w:qFormat/>
    <w:rsid w:val="00FA14E1"/>
    <w:rPr>
      <w:i/>
      <w:iCs/>
    </w:rPr>
  </w:style>
  <w:style w:type="character" w:styleId="Siln">
    <w:name w:val="Strong"/>
    <w:basedOn w:val="Standardnpsmoodstavce"/>
    <w:uiPriority w:val="22"/>
    <w:qFormat/>
    <w:rsid w:val="007320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33193844">
      <w:bodyDiv w:val="1"/>
      <w:marLeft w:val="0"/>
      <w:marRight w:val="0"/>
      <w:marTop w:val="0"/>
      <w:marBottom w:val="0"/>
      <w:divBdr>
        <w:top w:val="none" w:sz="0" w:space="0" w:color="auto"/>
        <w:left w:val="none" w:sz="0" w:space="0" w:color="auto"/>
        <w:bottom w:val="none" w:sz="0" w:space="0" w:color="auto"/>
        <w:right w:val="none" w:sz="0" w:space="0" w:color="auto"/>
      </w:divBdr>
    </w:div>
    <w:div w:id="167060455">
      <w:bodyDiv w:val="1"/>
      <w:marLeft w:val="525"/>
      <w:marRight w:val="525"/>
      <w:marTop w:val="0"/>
      <w:marBottom w:val="0"/>
      <w:divBdr>
        <w:top w:val="none" w:sz="0" w:space="0" w:color="auto"/>
        <w:left w:val="none" w:sz="0" w:space="0" w:color="auto"/>
        <w:bottom w:val="none" w:sz="0" w:space="0" w:color="auto"/>
        <w:right w:val="none" w:sz="0" w:space="0" w:color="auto"/>
      </w:divBdr>
      <w:divsChild>
        <w:div w:id="2069330709">
          <w:marLeft w:val="0"/>
          <w:marRight w:val="0"/>
          <w:marTop w:val="0"/>
          <w:marBottom w:val="150"/>
          <w:divBdr>
            <w:top w:val="none" w:sz="0" w:space="0" w:color="auto"/>
            <w:left w:val="none" w:sz="0" w:space="0" w:color="auto"/>
            <w:bottom w:val="none" w:sz="0" w:space="0" w:color="auto"/>
            <w:right w:val="none" w:sz="0" w:space="0" w:color="auto"/>
          </w:divBdr>
          <w:divsChild>
            <w:div w:id="949244870">
              <w:marLeft w:val="0"/>
              <w:marRight w:val="0"/>
              <w:marTop w:val="75"/>
              <w:marBottom w:val="150"/>
              <w:divBdr>
                <w:top w:val="none" w:sz="0" w:space="0" w:color="auto"/>
                <w:left w:val="none" w:sz="0" w:space="0" w:color="auto"/>
                <w:bottom w:val="none" w:sz="0" w:space="0" w:color="auto"/>
                <w:right w:val="none" w:sz="0" w:space="0" w:color="auto"/>
              </w:divBdr>
              <w:divsChild>
                <w:div w:id="1397507398">
                  <w:marLeft w:val="0"/>
                  <w:marRight w:val="0"/>
                  <w:marTop w:val="0"/>
                  <w:marBottom w:val="0"/>
                  <w:divBdr>
                    <w:top w:val="none" w:sz="0" w:space="0" w:color="auto"/>
                    <w:left w:val="none" w:sz="0" w:space="0" w:color="auto"/>
                    <w:bottom w:val="none" w:sz="0" w:space="0" w:color="auto"/>
                    <w:right w:val="none" w:sz="0" w:space="0" w:color="auto"/>
                  </w:divBdr>
                  <w:divsChild>
                    <w:div w:id="1204295200">
                      <w:marLeft w:val="0"/>
                      <w:marRight w:val="0"/>
                      <w:marTop w:val="0"/>
                      <w:marBottom w:val="0"/>
                      <w:divBdr>
                        <w:top w:val="none" w:sz="0" w:space="0" w:color="auto"/>
                        <w:left w:val="none" w:sz="0" w:space="0" w:color="auto"/>
                        <w:bottom w:val="none" w:sz="0" w:space="0" w:color="auto"/>
                        <w:right w:val="none" w:sz="0" w:space="0" w:color="auto"/>
                      </w:divBdr>
                      <w:divsChild>
                        <w:div w:id="16641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81936160">
      <w:bodyDiv w:val="1"/>
      <w:marLeft w:val="525"/>
      <w:marRight w:val="525"/>
      <w:marTop w:val="0"/>
      <w:marBottom w:val="0"/>
      <w:divBdr>
        <w:top w:val="none" w:sz="0" w:space="0" w:color="auto"/>
        <w:left w:val="none" w:sz="0" w:space="0" w:color="auto"/>
        <w:bottom w:val="none" w:sz="0" w:space="0" w:color="auto"/>
        <w:right w:val="none" w:sz="0" w:space="0" w:color="auto"/>
      </w:divBdr>
      <w:divsChild>
        <w:div w:id="1505584482">
          <w:marLeft w:val="0"/>
          <w:marRight w:val="0"/>
          <w:marTop w:val="0"/>
          <w:marBottom w:val="150"/>
          <w:divBdr>
            <w:top w:val="none" w:sz="0" w:space="0" w:color="auto"/>
            <w:left w:val="none" w:sz="0" w:space="0" w:color="auto"/>
            <w:bottom w:val="none" w:sz="0" w:space="0" w:color="auto"/>
            <w:right w:val="none" w:sz="0" w:space="0" w:color="auto"/>
          </w:divBdr>
          <w:divsChild>
            <w:div w:id="1443573052">
              <w:marLeft w:val="0"/>
              <w:marRight w:val="0"/>
              <w:marTop w:val="75"/>
              <w:marBottom w:val="150"/>
              <w:divBdr>
                <w:top w:val="none" w:sz="0" w:space="0" w:color="auto"/>
                <w:left w:val="none" w:sz="0" w:space="0" w:color="auto"/>
                <w:bottom w:val="none" w:sz="0" w:space="0" w:color="auto"/>
                <w:right w:val="none" w:sz="0" w:space="0" w:color="auto"/>
              </w:divBdr>
              <w:divsChild>
                <w:div w:id="1952397071">
                  <w:marLeft w:val="0"/>
                  <w:marRight w:val="0"/>
                  <w:marTop w:val="0"/>
                  <w:marBottom w:val="0"/>
                  <w:divBdr>
                    <w:top w:val="none" w:sz="0" w:space="0" w:color="auto"/>
                    <w:left w:val="none" w:sz="0" w:space="0" w:color="auto"/>
                    <w:bottom w:val="none" w:sz="0" w:space="0" w:color="auto"/>
                    <w:right w:val="none" w:sz="0" w:space="0" w:color="auto"/>
                  </w:divBdr>
                  <w:divsChild>
                    <w:div w:id="1504277048">
                      <w:marLeft w:val="0"/>
                      <w:marRight w:val="0"/>
                      <w:marTop w:val="0"/>
                      <w:marBottom w:val="0"/>
                      <w:divBdr>
                        <w:top w:val="none" w:sz="0" w:space="0" w:color="auto"/>
                        <w:left w:val="none" w:sz="0" w:space="0" w:color="auto"/>
                        <w:bottom w:val="none" w:sz="0" w:space="0" w:color="auto"/>
                        <w:right w:val="none" w:sz="0" w:space="0" w:color="auto"/>
                      </w:divBdr>
                      <w:divsChild>
                        <w:div w:id="4727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332726892">
      <w:bodyDiv w:val="1"/>
      <w:marLeft w:val="0"/>
      <w:marRight w:val="0"/>
      <w:marTop w:val="0"/>
      <w:marBottom w:val="0"/>
      <w:divBdr>
        <w:top w:val="none" w:sz="0" w:space="0" w:color="auto"/>
        <w:left w:val="none" w:sz="0" w:space="0" w:color="auto"/>
        <w:bottom w:val="none" w:sz="0" w:space="0" w:color="auto"/>
        <w:right w:val="none" w:sz="0" w:space="0" w:color="auto"/>
      </w:divBdr>
      <w:divsChild>
        <w:div w:id="1682662294">
          <w:marLeft w:val="0"/>
          <w:marRight w:val="0"/>
          <w:marTop w:val="0"/>
          <w:marBottom w:val="0"/>
          <w:divBdr>
            <w:top w:val="none" w:sz="0" w:space="0" w:color="auto"/>
            <w:left w:val="none" w:sz="0" w:space="0" w:color="auto"/>
            <w:bottom w:val="none" w:sz="0" w:space="0" w:color="auto"/>
            <w:right w:val="none" w:sz="0" w:space="0" w:color="auto"/>
          </w:divBdr>
          <w:divsChild>
            <w:div w:id="173496359">
              <w:marLeft w:val="0"/>
              <w:marRight w:val="0"/>
              <w:marTop w:val="0"/>
              <w:marBottom w:val="0"/>
              <w:divBdr>
                <w:top w:val="none" w:sz="0" w:space="0" w:color="auto"/>
                <w:left w:val="none" w:sz="0" w:space="0" w:color="auto"/>
                <w:bottom w:val="none" w:sz="0" w:space="0" w:color="auto"/>
                <w:right w:val="none" w:sz="0" w:space="0" w:color="auto"/>
              </w:divBdr>
              <w:divsChild>
                <w:div w:id="176893415">
                  <w:marLeft w:val="0"/>
                  <w:marRight w:val="0"/>
                  <w:marTop w:val="0"/>
                  <w:marBottom w:val="0"/>
                  <w:divBdr>
                    <w:top w:val="none" w:sz="0" w:space="0" w:color="auto"/>
                    <w:left w:val="none" w:sz="0" w:space="0" w:color="auto"/>
                    <w:bottom w:val="none" w:sz="0" w:space="0" w:color="auto"/>
                    <w:right w:val="none" w:sz="0" w:space="0" w:color="auto"/>
                  </w:divBdr>
                  <w:divsChild>
                    <w:div w:id="956839379">
                      <w:marLeft w:val="0"/>
                      <w:marRight w:val="0"/>
                      <w:marTop w:val="0"/>
                      <w:marBottom w:val="0"/>
                      <w:divBdr>
                        <w:top w:val="none" w:sz="0" w:space="0" w:color="auto"/>
                        <w:left w:val="none" w:sz="0" w:space="0" w:color="auto"/>
                        <w:bottom w:val="none" w:sz="0" w:space="0" w:color="auto"/>
                        <w:right w:val="none" w:sz="0" w:space="0" w:color="auto"/>
                      </w:divBdr>
                      <w:divsChild>
                        <w:div w:id="424691508">
                          <w:marLeft w:val="240"/>
                          <w:marRight w:val="0"/>
                          <w:marTop w:val="0"/>
                          <w:marBottom w:val="0"/>
                          <w:divBdr>
                            <w:top w:val="none" w:sz="0" w:space="0" w:color="auto"/>
                            <w:left w:val="none" w:sz="0" w:space="0" w:color="auto"/>
                            <w:bottom w:val="none" w:sz="0" w:space="0" w:color="auto"/>
                            <w:right w:val="none" w:sz="0" w:space="0" w:color="auto"/>
                          </w:divBdr>
                          <w:divsChild>
                            <w:div w:id="1584681844">
                              <w:marLeft w:val="0"/>
                              <w:marRight w:val="0"/>
                              <w:marTop w:val="0"/>
                              <w:marBottom w:val="0"/>
                              <w:divBdr>
                                <w:top w:val="none" w:sz="0" w:space="0" w:color="auto"/>
                                <w:left w:val="none" w:sz="0" w:space="0" w:color="auto"/>
                                <w:bottom w:val="none" w:sz="0" w:space="0" w:color="auto"/>
                                <w:right w:val="none" w:sz="0" w:space="0" w:color="auto"/>
                              </w:divBdr>
                              <w:divsChild>
                                <w:div w:id="335773106">
                                  <w:marLeft w:val="1440"/>
                                  <w:marRight w:val="0"/>
                                  <w:marTop w:val="0"/>
                                  <w:marBottom w:val="0"/>
                                  <w:divBdr>
                                    <w:top w:val="none" w:sz="0" w:space="0" w:color="auto"/>
                                    <w:left w:val="none" w:sz="0" w:space="0" w:color="auto"/>
                                    <w:bottom w:val="none" w:sz="0" w:space="0" w:color="auto"/>
                                    <w:right w:val="none" w:sz="0" w:space="0" w:color="auto"/>
                                  </w:divBdr>
                                </w:div>
                                <w:div w:id="1355963082">
                                  <w:marLeft w:val="1440"/>
                                  <w:marRight w:val="0"/>
                                  <w:marTop w:val="0"/>
                                  <w:marBottom w:val="0"/>
                                  <w:divBdr>
                                    <w:top w:val="none" w:sz="0" w:space="0" w:color="auto"/>
                                    <w:left w:val="none" w:sz="0" w:space="0" w:color="auto"/>
                                    <w:bottom w:val="none" w:sz="0" w:space="0" w:color="auto"/>
                                    <w:right w:val="none" w:sz="0" w:space="0" w:color="auto"/>
                                  </w:divBdr>
                                </w:div>
                                <w:div w:id="574978075">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269714">
      <w:bodyDiv w:val="1"/>
      <w:marLeft w:val="0"/>
      <w:marRight w:val="0"/>
      <w:marTop w:val="0"/>
      <w:marBottom w:val="0"/>
      <w:divBdr>
        <w:top w:val="none" w:sz="0" w:space="0" w:color="auto"/>
        <w:left w:val="none" w:sz="0" w:space="0" w:color="auto"/>
        <w:bottom w:val="none" w:sz="0" w:space="0" w:color="auto"/>
        <w:right w:val="none" w:sz="0" w:space="0" w:color="auto"/>
      </w:divBdr>
    </w:div>
    <w:div w:id="381295377">
      <w:bodyDiv w:val="1"/>
      <w:marLeft w:val="525"/>
      <w:marRight w:val="525"/>
      <w:marTop w:val="0"/>
      <w:marBottom w:val="0"/>
      <w:divBdr>
        <w:top w:val="none" w:sz="0" w:space="0" w:color="auto"/>
        <w:left w:val="none" w:sz="0" w:space="0" w:color="auto"/>
        <w:bottom w:val="none" w:sz="0" w:space="0" w:color="auto"/>
        <w:right w:val="none" w:sz="0" w:space="0" w:color="auto"/>
      </w:divBdr>
      <w:divsChild>
        <w:div w:id="1002779168">
          <w:marLeft w:val="0"/>
          <w:marRight w:val="0"/>
          <w:marTop w:val="0"/>
          <w:marBottom w:val="150"/>
          <w:divBdr>
            <w:top w:val="none" w:sz="0" w:space="0" w:color="auto"/>
            <w:left w:val="none" w:sz="0" w:space="0" w:color="auto"/>
            <w:bottom w:val="none" w:sz="0" w:space="0" w:color="auto"/>
            <w:right w:val="none" w:sz="0" w:space="0" w:color="auto"/>
          </w:divBdr>
          <w:divsChild>
            <w:div w:id="747505419">
              <w:marLeft w:val="0"/>
              <w:marRight w:val="0"/>
              <w:marTop w:val="75"/>
              <w:marBottom w:val="150"/>
              <w:divBdr>
                <w:top w:val="none" w:sz="0" w:space="0" w:color="auto"/>
                <w:left w:val="none" w:sz="0" w:space="0" w:color="auto"/>
                <w:bottom w:val="none" w:sz="0" w:space="0" w:color="auto"/>
                <w:right w:val="none" w:sz="0" w:space="0" w:color="auto"/>
              </w:divBdr>
              <w:divsChild>
                <w:div w:id="497843393">
                  <w:marLeft w:val="0"/>
                  <w:marRight w:val="0"/>
                  <w:marTop w:val="0"/>
                  <w:marBottom w:val="0"/>
                  <w:divBdr>
                    <w:top w:val="none" w:sz="0" w:space="0" w:color="auto"/>
                    <w:left w:val="none" w:sz="0" w:space="0" w:color="auto"/>
                    <w:bottom w:val="none" w:sz="0" w:space="0" w:color="auto"/>
                    <w:right w:val="none" w:sz="0" w:space="0" w:color="auto"/>
                  </w:divBdr>
                  <w:divsChild>
                    <w:div w:id="116873113">
                      <w:marLeft w:val="0"/>
                      <w:marRight w:val="0"/>
                      <w:marTop w:val="0"/>
                      <w:marBottom w:val="0"/>
                      <w:divBdr>
                        <w:top w:val="none" w:sz="0" w:space="0" w:color="auto"/>
                        <w:left w:val="none" w:sz="0" w:space="0" w:color="auto"/>
                        <w:bottom w:val="none" w:sz="0" w:space="0" w:color="auto"/>
                        <w:right w:val="none" w:sz="0" w:space="0" w:color="auto"/>
                      </w:divBdr>
                      <w:divsChild>
                        <w:div w:id="20133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663166821">
      <w:bodyDiv w:val="1"/>
      <w:marLeft w:val="0"/>
      <w:marRight w:val="0"/>
      <w:marTop w:val="0"/>
      <w:marBottom w:val="0"/>
      <w:divBdr>
        <w:top w:val="none" w:sz="0" w:space="0" w:color="auto"/>
        <w:left w:val="none" w:sz="0" w:space="0" w:color="auto"/>
        <w:bottom w:val="none" w:sz="0" w:space="0" w:color="auto"/>
        <w:right w:val="none" w:sz="0" w:space="0" w:color="auto"/>
      </w:divBdr>
    </w:div>
    <w:div w:id="727340514">
      <w:bodyDiv w:val="1"/>
      <w:marLeft w:val="0"/>
      <w:marRight w:val="0"/>
      <w:marTop w:val="0"/>
      <w:marBottom w:val="0"/>
      <w:divBdr>
        <w:top w:val="none" w:sz="0" w:space="0" w:color="auto"/>
        <w:left w:val="none" w:sz="0" w:space="0" w:color="auto"/>
        <w:bottom w:val="none" w:sz="0" w:space="0" w:color="auto"/>
        <w:right w:val="none" w:sz="0" w:space="0" w:color="auto"/>
      </w:divBdr>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860436514">
      <w:bodyDiv w:val="1"/>
      <w:marLeft w:val="0"/>
      <w:marRight w:val="0"/>
      <w:marTop w:val="0"/>
      <w:marBottom w:val="0"/>
      <w:divBdr>
        <w:top w:val="none" w:sz="0" w:space="0" w:color="auto"/>
        <w:left w:val="none" w:sz="0" w:space="0" w:color="auto"/>
        <w:bottom w:val="none" w:sz="0" w:space="0" w:color="auto"/>
        <w:right w:val="none" w:sz="0" w:space="0" w:color="auto"/>
      </w:divBdr>
      <w:divsChild>
        <w:div w:id="28535213">
          <w:marLeft w:val="0"/>
          <w:marRight w:val="0"/>
          <w:marTop w:val="0"/>
          <w:marBottom w:val="0"/>
          <w:divBdr>
            <w:top w:val="none" w:sz="0" w:space="0" w:color="auto"/>
            <w:left w:val="none" w:sz="0" w:space="0" w:color="auto"/>
            <w:bottom w:val="none" w:sz="0" w:space="0" w:color="auto"/>
            <w:right w:val="none" w:sz="0" w:space="0" w:color="auto"/>
          </w:divBdr>
          <w:divsChild>
            <w:div w:id="919101296">
              <w:marLeft w:val="0"/>
              <w:marRight w:val="0"/>
              <w:marTop w:val="0"/>
              <w:marBottom w:val="0"/>
              <w:divBdr>
                <w:top w:val="none" w:sz="0" w:space="0" w:color="auto"/>
                <w:left w:val="none" w:sz="0" w:space="0" w:color="auto"/>
                <w:bottom w:val="none" w:sz="0" w:space="0" w:color="auto"/>
                <w:right w:val="none" w:sz="0" w:space="0" w:color="auto"/>
              </w:divBdr>
              <w:divsChild>
                <w:div w:id="3947986">
                  <w:marLeft w:val="0"/>
                  <w:marRight w:val="0"/>
                  <w:marTop w:val="0"/>
                  <w:marBottom w:val="0"/>
                  <w:divBdr>
                    <w:top w:val="none" w:sz="0" w:space="0" w:color="auto"/>
                    <w:left w:val="none" w:sz="0" w:space="0" w:color="auto"/>
                    <w:bottom w:val="none" w:sz="0" w:space="0" w:color="auto"/>
                    <w:right w:val="none" w:sz="0" w:space="0" w:color="auto"/>
                  </w:divBdr>
                  <w:divsChild>
                    <w:div w:id="4249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542">
      <w:bodyDiv w:val="1"/>
      <w:marLeft w:val="0"/>
      <w:marRight w:val="0"/>
      <w:marTop w:val="0"/>
      <w:marBottom w:val="0"/>
      <w:divBdr>
        <w:top w:val="none" w:sz="0" w:space="0" w:color="auto"/>
        <w:left w:val="none" w:sz="0" w:space="0" w:color="auto"/>
        <w:bottom w:val="none" w:sz="0" w:space="0" w:color="auto"/>
        <w:right w:val="none" w:sz="0" w:space="0" w:color="auto"/>
      </w:divBdr>
      <w:divsChild>
        <w:div w:id="1140685297">
          <w:marLeft w:val="0"/>
          <w:marRight w:val="0"/>
          <w:marTop w:val="0"/>
          <w:marBottom w:val="0"/>
          <w:divBdr>
            <w:top w:val="none" w:sz="0" w:space="0" w:color="auto"/>
            <w:left w:val="none" w:sz="0" w:space="0" w:color="auto"/>
            <w:bottom w:val="none" w:sz="0" w:space="0" w:color="auto"/>
            <w:right w:val="none" w:sz="0" w:space="0" w:color="auto"/>
          </w:divBdr>
          <w:divsChild>
            <w:div w:id="835414395">
              <w:marLeft w:val="0"/>
              <w:marRight w:val="0"/>
              <w:marTop w:val="0"/>
              <w:marBottom w:val="0"/>
              <w:divBdr>
                <w:top w:val="none" w:sz="0" w:space="0" w:color="auto"/>
                <w:left w:val="none" w:sz="0" w:space="0" w:color="auto"/>
                <w:bottom w:val="none" w:sz="0" w:space="0" w:color="auto"/>
                <w:right w:val="none" w:sz="0" w:space="0" w:color="auto"/>
              </w:divBdr>
              <w:divsChild>
                <w:div w:id="880096925">
                  <w:marLeft w:val="0"/>
                  <w:marRight w:val="0"/>
                  <w:marTop w:val="0"/>
                  <w:marBottom w:val="0"/>
                  <w:divBdr>
                    <w:top w:val="none" w:sz="0" w:space="0" w:color="auto"/>
                    <w:left w:val="none" w:sz="0" w:space="0" w:color="auto"/>
                    <w:bottom w:val="none" w:sz="0" w:space="0" w:color="auto"/>
                    <w:right w:val="none" w:sz="0" w:space="0" w:color="auto"/>
                  </w:divBdr>
                  <w:divsChild>
                    <w:div w:id="1642464277">
                      <w:marLeft w:val="0"/>
                      <w:marRight w:val="0"/>
                      <w:marTop w:val="0"/>
                      <w:marBottom w:val="0"/>
                      <w:divBdr>
                        <w:top w:val="none" w:sz="0" w:space="0" w:color="auto"/>
                        <w:left w:val="none" w:sz="0" w:space="0" w:color="auto"/>
                        <w:bottom w:val="none" w:sz="0" w:space="0" w:color="auto"/>
                        <w:right w:val="none" w:sz="0" w:space="0" w:color="auto"/>
                      </w:divBdr>
                      <w:divsChild>
                        <w:div w:id="1157307276">
                          <w:marLeft w:val="0"/>
                          <w:marRight w:val="0"/>
                          <w:marTop w:val="0"/>
                          <w:marBottom w:val="0"/>
                          <w:divBdr>
                            <w:top w:val="none" w:sz="0" w:space="0" w:color="auto"/>
                            <w:left w:val="none" w:sz="0" w:space="0" w:color="auto"/>
                            <w:bottom w:val="none" w:sz="0" w:space="0" w:color="auto"/>
                            <w:right w:val="none" w:sz="0" w:space="0" w:color="auto"/>
                          </w:divBdr>
                          <w:divsChild>
                            <w:div w:id="238947010">
                              <w:marLeft w:val="0"/>
                              <w:marRight w:val="0"/>
                              <w:marTop w:val="0"/>
                              <w:marBottom w:val="0"/>
                              <w:divBdr>
                                <w:top w:val="none" w:sz="0" w:space="0" w:color="auto"/>
                                <w:left w:val="none" w:sz="0" w:space="0" w:color="auto"/>
                                <w:bottom w:val="none" w:sz="0" w:space="0" w:color="auto"/>
                                <w:right w:val="none" w:sz="0" w:space="0" w:color="auto"/>
                              </w:divBdr>
                              <w:divsChild>
                                <w:div w:id="1332412880">
                                  <w:marLeft w:val="0"/>
                                  <w:marRight w:val="0"/>
                                  <w:marTop w:val="0"/>
                                  <w:marBottom w:val="0"/>
                                  <w:divBdr>
                                    <w:top w:val="single" w:sz="6" w:space="0" w:color="F5F5F5"/>
                                    <w:left w:val="single" w:sz="6" w:space="0" w:color="F5F5F5"/>
                                    <w:bottom w:val="single" w:sz="6" w:space="0" w:color="F5F5F5"/>
                                    <w:right w:val="single" w:sz="6" w:space="0" w:color="F5F5F5"/>
                                  </w:divBdr>
                                  <w:divsChild>
                                    <w:div w:id="1375348073">
                                      <w:marLeft w:val="0"/>
                                      <w:marRight w:val="0"/>
                                      <w:marTop w:val="0"/>
                                      <w:marBottom w:val="0"/>
                                      <w:divBdr>
                                        <w:top w:val="none" w:sz="0" w:space="0" w:color="auto"/>
                                        <w:left w:val="none" w:sz="0" w:space="0" w:color="auto"/>
                                        <w:bottom w:val="none" w:sz="0" w:space="0" w:color="auto"/>
                                        <w:right w:val="none" w:sz="0" w:space="0" w:color="auto"/>
                                      </w:divBdr>
                                      <w:divsChild>
                                        <w:div w:id="5858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058706">
      <w:bodyDiv w:val="1"/>
      <w:marLeft w:val="0"/>
      <w:marRight w:val="0"/>
      <w:marTop w:val="0"/>
      <w:marBottom w:val="0"/>
      <w:divBdr>
        <w:top w:val="none" w:sz="0" w:space="0" w:color="auto"/>
        <w:left w:val="none" w:sz="0" w:space="0" w:color="auto"/>
        <w:bottom w:val="none" w:sz="0" w:space="0" w:color="auto"/>
        <w:right w:val="none" w:sz="0" w:space="0" w:color="auto"/>
      </w:divBdr>
      <w:divsChild>
        <w:div w:id="1504860771">
          <w:marLeft w:val="3450"/>
          <w:marRight w:val="0"/>
          <w:marTop w:val="0"/>
          <w:marBottom w:val="0"/>
          <w:divBdr>
            <w:top w:val="none" w:sz="0" w:space="0" w:color="auto"/>
            <w:left w:val="none" w:sz="0" w:space="0" w:color="auto"/>
            <w:bottom w:val="none" w:sz="0" w:space="0" w:color="auto"/>
            <w:right w:val="none" w:sz="0" w:space="0" w:color="auto"/>
          </w:divBdr>
        </w:div>
      </w:divsChild>
    </w:div>
    <w:div w:id="1084258598">
      <w:bodyDiv w:val="1"/>
      <w:marLeft w:val="0"/>
      <w:marRight w:val="0"/>
      <w:marTop w:val="0"/>
      <w:marBottom w:val="0"/>
      <w:divBdr>
        <w:top w:val="none" w:sz="0" w:space="0" w:color="auto"/>
        <w:left w:val="none" w:sz="0" w:space="0" w:color="auto"/>
        <w:bottom w:val="none" w:sz="0" w:space="0" w:color="auto"/>
        <w:right w:val="none" w:sz="0" w:space="0" w:color="auto"/>
      </w:divBdr>
    </w:div>
    <w:div w:id="1107892335">
      <w:bodyDiv w:val="1"/>
      <w:marLeft w:val="0"/>
      <w:marRight w:val="0"/>
      <w:marTop w:val="0"/>
      <w:marBottom w:val="0"/>
      <w:divBdr>
        <w:top w:val="none" w:sz="0" w:space="0" w:color="auto"/>
        <w:left w:val="none" w:sz="0" w:space="0" w:color="auto"/>
        <w:bottom w:val="none" w:sz="0" w:space="0" w:color="auto"/>
        <w:right w:val="none" w:sz="0" w:space="0" w:color="auto"/>
      </w:divBdr>
    </w:div>
    <w:div w:id="1182010159">
      <w:bodyDiv w:val="1"/>
      <w:marLeft w:val="0"/>
      <w:marRight w:val="0"/>
      <w:marTop w:val="0"/>
      <w:marBottom w:val="0"/>
      <w:divBdr>
        <w:top w:val="none" w:sz="0" w:space="0" w:color="auto"/>
        <w:left w:val="none" w:sz="0" w:space="0" w:color="auto"/>
        <w:bottom w:val="none" w:sz="0" w:space="0" w:color="auto"/>
        <w:right w:val="none" w:sz="0" w:space="0" w:color="auto"/>
      </w:divBdr>
      <w:divsChild>
        <w:div w:id="1309481164">
          <w:marLeft w:val="0"/>
          <w:marRight w:val="0"/>
          <w:marTop w:val="0"/>
          <w:marBottom w:val="0"/>
          <w:divBdr>
            <w:top w:val="none" w:sz="0" w:space="0" w:color="auto"/>
            <w:left w:val="none" w:sz="0" w:space="0" w:color="auto"/>
            <w:bottom w:val="none" w:sz="0" w:space="0" w:color="auto"/>
            <w:right w:val="none" w:sz="0" w:space="0" w:color="auto"/>
          </w:divBdr>
          <w:divsChild>
            <w:div w:id="687100706">
              <w:marLeft w:val="0"/>
              <w:marRight w:val="0"/>
              <w:marTop w:val="0"/>
              <w:marBottom w:val="0"/>
              <w:divBdr>
                <w:top w:val="none" w:sz="0" w:space="0" w:color="auto"/>
                <w:left w:val="none" w:sz="0" w:space="0" w:color="auto"/>
                <w:bottom w:val="none" w:sz="0" w:space="0" w:color="auto"/>
                <w:right w:val="none" w:sz="0" w:space="0" w:color="auto"/>
              </w:divBdr>
              <w:divsChild>
                <w:div w:id="1769348449">
                  <w:marLeft w:val="0"/>
                  <w:marRight w:val="0"/>
                  <w:marTop w:val="0"/>
                  <w:marBottom w:val="0"/>
                  <w:divBdr>
                    <w:top w:val="none" w:sz="0" w:space="0" w:color="auto"/>
                    <w:left w:val="none" w:sz="0" w:space="0" w:color="auto"/>
                    <w:bottom w:val="none" w:sz="0" w:space="0" w:color="auto"/>
                    <w:right w:val="none" w:sz="0" w:space="0" w:color="auto"/>
                  </w:divBdr>
                  <w:divsChild>
                    <w:div w:id="1788349313">
                      <w:marLeft w:val="0"/>
                      <w:marRight w:val="0"/>
                      <w:marTop w:val="0"/>
                      <w:marBottom w:val="0"/>
                      <w:divBdr>
                        <w:top w:val="none" w:sz="0" w:space="0" w:color="auto"/>
                        <w:left w:val="none" w:sz="0" w:space="0" w:color="auto"/>
                        <w:bottom w:val="none" w:sz="0" w:space="0" w:color="auto"/>
                        <w:right w:val="none" w:sz="0" w:space="0" w:color="auto"/>
                      </w:divBdr>
                      <w:divsChild>
                        <w:div w:id="53408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612417">
      <w:bodyDiv w:val="1"/>
      <w:marLeft w:val="0"/>
      <w:marRight w:val="0"/>
      <w:marTop w:val="0"/>
      <w:marBottom w:val="0"/>
      <w:divBdr>
        <w:top w:val="none" w:sz="0" w:space="0" w:color="auto"/>
        <w:left w:val="none" w:sz="0" w:space="0" w:color="auto"/>
        <w:bottom w:val="none" w:sz="0" w:space="0" w:color="auto"/>
        <w:right w:val="none" w:sz="0" w:space="0" w:color="auto"/>
      </w:divBdr>
    </w:div>
    <w:div w:id="1234239649">
      <w:bodyDiv w:val="1"/>
      <w:marLeft w:val="0"/>
      <w:marRight w:val="0"/>
      <w:marTop w:val="0"/>
      <w:marBottom w:val="0"/>
      <w:divBdr>
        <w:top w:val="none" w:sz="0" w:space="0" w:color="auto"/>
        <w:left w:val="none" w:sz="0" w:space="0" w:color="auto"/>
        <w:bottom w:val="none" w:sz="0" w:space="0" w:color="auto"/>
        <w:right w:val="none" w:sz="0" w:space="0" w:color="auto"/>
      </w:divBdr>
      <w:divsChild>
        <w:div w:id="150803643">
          <w:marLeft w:val="0"/>
          <w:marRight w:val="0"/>
          <w:marTop w:val="0"/>
          <w:marBottom w:val="0"/>
          <w:divBdr>
            <w:top w:val="none" w:sz="0" w:space="0" w:color="auto"/>
            <w:left w:val="none" w:sz="0" w:space="0" w:color="auto"/>
            <w:bottom w:val="none" w:sz="0" w:space="0" w:color="auto"/>
            <w:right w:val="none" w:sz="0" w:space="0" w:color="auto"/>
          </w:divBdr>
          <w:divsChild>
            <w:div w:id="1353335109">
              <w:marLeft w:val="0"/>
              <w:marRight w:val="0"/>
              <w:marTop w:val="0"/>
              <w:marBottom w:val="0"/>
              <w:divBdr>
                <w:top w:val="none" w:sz="0" w:space="0" w:color="auto"/>
                <w:left w:val="none" w:sz="0" w:space="0" w:color="auto"/>
                <w:bottom w:val="none" w:sz="0" w:space="0" w:color="auto"/>
                <w:right w:val="none" w:sz="0" w:space="0" w:color="auto"/>
              </w:divBdr>
              <w:divsChild>
                <w:div w:id="3850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6724">
      <w:bodyDiv w:val="1"/>
      <w:marLeft w:val="0"/>
      <w:marRight w:val="0"/>
      <w:marTop w:val="0"/>
      <w:marBottom w:val="0"/>
      <w:divBdr>
        <w:top w:val="none" w:sz="0" w:space="0" w:color="auto"/>
        <w:left w:val="none" w:sz="0" w:space="0" w:color="auto"/>
        <w:bottom w:val="none" w:sz="0" w:space="0" w:color="auto"/>
        <w:right w:val="none" w:sz="0" w:space="0" w:color="auto"/>
      </w:divBdr>
      <w:divsChild>
        <w:div w:id="1169906336">
          <w:marLeft w:val="0"/>
          <w:marRight w:val="0"/>
          <w:marTop w:val="0"/>
          <w:marBottom w:val="0"/>
          <w:divBdr>
            <w:top w:val="none" w:sz="0" w:space="0" w:color="auto"/>
            <w:left w:val="none" w:sz="0" w:space="0" w:color="auto"/>
            <w:bottom w:val="none" w:sz="0" w:space="0" w:color="auto"/>
            <w:right w:val="none" w:sz="0" w:space="0" w:color="auto"/>
          </w:divBdr>
          <w:divsChild>
            <w:div w:id="485243386">
              <w:marLeft w:val="0"/>
              <w:marRight w:val="0"/>
              <w:marTop w:val="0"/>
              <w:marBottom w:val="0"/>
              <w:divBdr>
                <w:top w:val="none" w:sz="0" w:space="0" w:color="auto"/>
                <w:left w:val="none" w:sz="0" w:space="0" w:color="auto"/>
                <w:bottom w:val="none" w:sz="0" w:space="0" w:color="auto"/>
                <w:right w:val="none" w:sz="0" w:space="0" w:color="auto"/>
              </w:divBdr>
              <w:divsChild>
                <w:div w:id="991101155">
                  <w:marLeft w:val="0"/>
                  <w:marRight w:val="0"/>
                  <w:marTop w:val="0"/>
                  <w:marBottom w:val="0"/>
                  <w:divBdr>
                    <w:top w:val="none" w:sz="0" w:space="0" w:color="auto"/>
                    <w:left w:val="none" w:sz="0" w:space="0" w:color="auto"/>
                    <w:bottom w:val="none" w:sz="0" w:space="0" w:color="auto"/>
                    <w:right w:val="none" w:sz="0" w:space="0" w:color="auto"/>
                  </w:divBdr>
                  <w:divsChild>
                    <w:div w:id="36708959">
                      <w:marLeft w:val="0"/>
                      <w:marRight w:val="0"/>
                      <w:marTop w:val="0"/>
                      <w:marBottom w:val="0"/>
                      <w:divBdr>
                        <w:top w:val="none" w:sz="0" w:space="0" w:color="auto"/>
                        <w:left w:val="none" w:sz="0" w:space="0" w:color="auto"/>
                        <w:bottom w:val="none" w:sz="0" w:space="0" w:color="auto"/>
                        <w:right w:val="none" w:sz="0" w:space="0" w:color="auto"/>
                      </w:divBdr>
                      <w:divsChild>
                        <w:div w:id="1182208521">
                          <w:marLeft w:val="240"/>
                          <w:marRight w:val="0"/>
                          <w:marTop w:val="0"/>
                          <w:marBottom w:val="0"/>
                          <w:divBdr>
                            <w:top w:val="none" w:sz="0" w:space="0" w:color="auto"/>
                            <w:left w:val="none" w:sz="0" w:space="0" w:color="auto"/>
                            <w:bottom w:val="none" w:sz="0" w:space="0" w:color="auto"/>
                            <w:right w:val="none" w:sz="0" w:space="0" w:color="auto"/>
                          </w:divBdr>
                          <w:divsChild>
                            <w:div w:id="1493372957">
                              <w:marLeft w:val="0"/>
                              <w:marRight w:val="0"/>
                              <w:marTop w:val="0"/>
                              <w:marBottom w:val="0"/>
                              <w:divBdr>
                                <w:top w:val="none" w:sz="0" w:space="0" w:color="auto"/>
                                <w:left w:val="none" w:sz="0" w:space="0" w:color="auto"/>
                                <w:bottom w:val="none" w:sz="0" w:space="0" w:color="auto"/>
                                <w:right w:val="none" w:sz="0" w:space="0" w:color="auto"/>
                              </w:divBdr>
                              <w:divsChild>
                                <w:div w:id="1036084173">
                                  <w:marLeft w:val="1440"/>
                                  <w:marRight w:val="0"/>
                                  <w:marTop w:val="0"/>
                                  <w:marBottom w:val="0"/>
                                  <w:divBdr>
                                    <w:top w:val="none" w:sz="0" w:space="0" w:color="auto"/>
                                    <w:left w:val="none" w:sz="0" w:space="0" w:color="auto"/>
                                    <w:bottom w:val="none" w:sz="0" w:space="0" w:color="auto"/>
                                    <w:right w:val="none" w:sz="0" w:space="0" w:color="auto"/>
                                  </w:divBdr>
                                </w:div>
                                <w:div w:id="1293709069">
                                  <w:marLeft w:val="1440"/>
                                  <w:marRight w:val="0"/>
                                  <w:marTop w:val="0"/>
                                  <w:marBottom w:val="0"/>
                                  <w:divBdr>
                                    <w:top w:val="none" w:sz="0" w:space="0" w:color="auto"/>
                                    <w:left w:val="none" w:sz="0" w:space="0" w:color="auto"/>
                                    <w:bottom w:val="none" w:sz="0" w:space="0" w:color="auto"/>
                                    <w:right w:val="none" w:sz="0" w:space="0" w:color="auto"/>
                                  </w:divBdr>
                                </w:div>
                                <w:div w:id="1811511982">
                                  <w:marLeft w:val="1440"/>
                                  <w:marRight w:val="0"/>
                                  <w:marTop w:val="0"/>
                                  <w:marBottom w:val="0"/>
                                  <w:divBdr>
                                    <w:top w:val="none" w:sz="0" w:space="0" w:color="auto"/>
                                    <w:left w:val="none" w:sz="0" w:space="0" w:color="auto"/>
                                    <w:bottom w:val="none" w:sz="0" w:space="0" w:color="auto"/>
                                    <w:right w:val="none" w:sz="0" w:space="0" w:color="auto"/>
                                  </w:divBdr>
                                </w:div>
                                <w:div w:id="578371889">
                                  <w:marLeft w:val="1440"/>
                                  <w:marRight w:val="0"/>
                                  <w:marTop w:val="0"/>
                                  <w:marBottom w:val="0"/>
                                  <w:divBdr>
                                    <w:top w:val="none" w:sz="0" w:space="0" w:color="auto"/>
                                    <w:left w:val="none" w:sz="0" w:space="0" w:color="auto"/>
                                    <w:bottom w:val="none" w:sz="0" w:space="0" w:color="auto"/>
                                    <w:right w:val="none" w:sz="0" w:space="0" w:color="auto"/>
                                  </w:divBdr>
                                </w:div>
                                <w:div w:id="232665788">
                                  <w:marLeft w:val="1440"/>
                                  <w:marRight w:val="0"/>
                                  <w:marTop w:val="0"/>
                                  <w:marBottom w:val="0"/>
                                  <w:divBdr>
                                    <w:top w:val="none" w:sz="0" w:space="0" w:color="auto"/>
                                    <w:left w:val="none" w:sz="0" w:space="0" w:color="auto"/>
                                    <w:bottom w:val="none" w:sz="0" w:space="0" w:color="auto"/>
                                    <w:right w:val="none" w:sz="0" w:space="0" w:color="auto"/>
                                  </w:divBdr>
                                </w:div>
                                <w:div w:id="1819305405">
                                  <w:marLeft w:val="1440"/>
                                  <w:marRight w:val="0"/>
                                  <w:marTop w:val="0"/>
                                  <w:marBottom w:val="0"/>
                                  <w:divBdr>
                                    <w:top w:val="none" w:sz="0" w:space="0" w:color="auto"/>
                                    <w:left w:val="none" w:sz="0" w:space="0" w:color="auto"/>
                                    <w:bottom w:val="none" w:sz="0" w:space="0" w:color="auto"/>
                                    <w:right w:val="none" w:sz="0" w:space="0" w:color="auto"/>
                                  </w:divBdr>
                                </w:div>
                                <w:div w:id="782069153">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888683">
      <w:bodyDiv w:val="1"/>
      <w:marLeft w:val="0"/>
      <w:marRight w:val="0"/>
      <w:marTop w:val="0"/>
      <w:marBottom w:val="0"/>
      <w:divBdr>
        <w:top w:val="none" w:sz="0" w:space="0" w:color="auto"/>
        <w:left w:val="none" w:sz="0" w:space="0" w:color="auto"/>
        <w:bottom w:val="none" w:sz="0" w:space="0" w:color="auto"/>
        <w:right w:val="none" w:sz="0" w:space="0" w:color="auto"/>
      </w:divBdr>
      <w:divsChild>
        <w:div w:id="1376737334">
          <w:marLeft w:val="0"/>
          <w:marRight w:val="0"/>
          <w:marTop w:val="0"/>
          <w:marBottom w:val="0"/>
          <w:divBdr>
            <w:top w:val="none" w:sz="0" w:space="0" w:color="auto"/>
            <w:left w:val="none" w:sz="0" w:space="0" w:color="auto"/>
            <w:bottom w:val="none" w:sz="0" w:space="0" w:color="auto"/>
            <w:right w:val="none" w:sz="0" w:space="0" w:color="auto"/>
          </w:divBdr>
        </w:div>
        <w:div w:id="1146124457">
          <w:marLeft w:val="0"/>
          <w:marRight w:val="0"/>
          <w:marTop w:val="0"/>
          <w:marBottom w:val="0"/>
          <w:divBdr>
            <w:top w:val="none" w:sz="0" w:space="0" w:color="auto"/>
            <w:left w:val="none" w:sz="0" w:space="0" w:color="auto"/>
            <w:bottom w:val="none" w:sz="0" w:space="0" w:color="auto"/>
            <w:right w:val="none" w:sz="0" w:space="0" w:color="auto"/>
          </w:divBdr>
        </w:div>
      </w:divsChild>
    </w:div>
    <w:div w:id="1348755506">
      <w:bodyDiv w:val="1"/>
      <w:marLeft w:val="0"/>
      <w:marRight w:val="0"/>
      <w:marTop w:val="0"/>
      <w:marBottom w:val="0"/>
      <w:divBdr>
        <w:top w:val="none" w:sz="0" w:space="0" w:color="auto"/>
        <w:left w:val="none" w:sz="0" w:space="0" w:color="auto"/>
        <w:bottom w:val="none" w:sz="0" w:space="0" w:color="auto"/>
        <w:right w:val="none" w:sz="0" w:space="0" w:color="auto"/>
      </w:divBdr>
      <w:divsChild>
        <w:div w:id="259335399">
          <w:marLeft w:val="0"/>
          <w:marRight w:val="0"/>
          <w:marTop w:val="0"/>
          <w:marBottom w:val="0"/>
          <w:divBdr>
            <w:top w:val="none" w:sz="0" w:space="0" w:color="auto"/>
            <w:left w:val="none" w:sz="0" w:space="0" w:color="auto"/>
            <w:bottom w:val="none" w:sz="0" w:space="0" w:color="auto"/>
            <w:right w:val="none" w:sz="0" w:space="0" w:color="auto"/>
          </w:divBdr>
        </w:div>
        <w:div w:id="1030840910">
          <w:marLeft w:val="0"/>
          <w:marRight w:val="0"/>
          <w:marTop w:val="0"/>
          <w:marBottom w:val="0"/>
          <w:divBdr>
            <w:top w:val="none" w:sz="0" w:space="0" w:color="auto"/>
            <w:left w:val="none" w:sz="0" w:space="0" w:color="auto"/>
            <w:bottom w:val="none" w:sz="0" w:space="0" w:color="auto"/>
            <w:right w:val="none" w:sz="0" w:space="0" w:color="auto"/>
          </w:divBdr>
        </w:div>
      </w:divsChild>
    </w:div>
    <w:div w:id="1436748819">
      <w:bodyDiv w:val="1"/>
      <w:marLeft w:val="0"/>
      <w:marRight w:val="0"/>
      <w:marTop w:val="0"/>
      <w:marBottom w:val="0"/>
      <w:divBdr>
        <w:top w:val="none" w:sz="0" w:space="0" w:color="auto"/>
        <w:left w:val="none" w:sz="0" w:space="0" w:color="auto"/>
        <w:bottom w:val="none" w:sz="0" w:space="0" w:color="auto"/>
        <w:right w:val="none" w:sz="0" w:space="0" w:color="auto"/>
      </w:divBdr>
      <w:divsChild>
        <w:div w:id="958297702">
          <w:marLeft w:val="0"/>
          <w:marRight w:val="0"/>
          <w:marTop w:val="0"/>
          <w:marBottom w:val="0"/>
          <w:divBdr>
            <w:top w:val="none" w:sz="0" w:space="0" w:color="auto"/>
            <w:left w:val="none" w:sz="0" w:space="0" w:color="auto"/>
            <w:bottom w:val="none" w:sz="0" w:space="0" w:color="auto"/>
            <w:right w:val="none" w:sz="0" w:space="0" w:color="auto"/>
          </w:divBdr>
          <w:divsChild>
            <w:div w:id="568855381">
              <w:marLeft w:val="0"/>
              <w:marRight w:val="0"/>
              <w:marTop w:val="0"/>
              <w:marBottom w:val="0"/>
              <w:divBdr>
                <w:top w:val="none" w:sz="0" w:space="0" w:color="auto"/>
                <w:left w:val="none" w:sz="0" w:space="0" w:color="auto"/>
                <w:bottom w:val="none" w:sz="0" w:space="0" w:color="auto"/>
                <w:right w:val="none" w:sz="0" w:space="0" w:color="auto"/>
              </w:divBdr>
              <w:divsChild>
                <w:div w:id="1050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57313">
      <w:bodyDiv w:val="1"/>
      <w:marLeft w:val="0"/>
      <w:marRight w:val="0"/>
      <w:marTop w:val="0"/>
      <w:marBottom w:val="0"/>
      <w:divBdr>
        <w:top w:val="none" w:sz="0" w:space="0" w:color="auto"/>
        <w:left w:val="none" w:sz="0" w:space="0" w:color="auto"/>
        <w:bottom w:val="none" w:sz="0" w:space="0" w:color="auto"/>
        <w:right w:val="none" w:sz="0" w:space="0" w:color="auto"/>
      </w:divBdr>
    </w:div>
    <w:div w:id="1442451835">
      <w:bodyDiv w:val="1"/>
      <w:marLeft w:val="0"/>
      <w:marRight w:val="0"/>
      <w:marTop w:val="0"/>
      <w:marBottom w:val="0"/>
      <w:divBdr>
        <w:top w:val="none" w:sz="0" w:space="0" w:color="auto"/>
        <w:left w:val="none" w:sz="0" w:space="0" w:color="auto"/>
        <w:bottom w:val="none" w:sz="0" w:space="0" w:color="auto"/>
        <w:right w:val="none" w:sz="0" w:space="0" w:color="auto"/>
      </w:divBdr>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689287016">
      <w:bodyDiv w:val="1"/>
      <w:marLeft w:val="0"/>
      <w:marRight w:val="0"/>
      <w:marTop w:val="0"/>
      <w:marBottom w:val="0"/>
      <w:divBdr>
        <w:top w:val="none" w:sz="0" w:space="0" w:color="auto"/>
        <w:left w:val="none" w:sz="0" w:space="0" w:color="auto"/>
        <w:bottom w:val="none" w:sz="0" w:space="0" w:color="auto"/>
        <w:right w:val="none" w:sz="0" w:space="0" w:color="auto"/>
      </w:divBdr>
      <w:divsChild>
        <w:div w:id="310057595">
          <w:marLeft w:val="0"/>
          <w:marRight w:val="0"/>
          <w:marTop w:val="0"/>
          <w:marBottom w:val="0"/>
          <w:divBdr>
            <w:top w:val="none" w:sz="0" w:space="0" w:color="auto"/>
            <w:left w:val="none" w:sz="0" w:space="0" w:color="auto"/>
            <w:bottom w:val="none" w:sz="0" w:space="0" w:color="auto"/>
            <w:right w:val="none" w:sz="0" w:space="0" w:color="auto"/>
          </w:divBdr>
          <w:divsChild>
            <w:div w:id="1883667582">
              <w:marLeft w:val="0"/>
              <w:marRight w:val="0"/>
              <w:marTop w:val="0"/>
              <w:marBottom w:val="0"/>
              <w:divBdr>
                <w:top w:val="none" w:sz="0" w:space="0" w:color="auto"/>
                <w:left w:val="none" w:sz="0" w:space="0" w:color="auto"/>
                <w:bottom w:val="none" w:sz="0" w:space="0" w:color="auto"/>
                <w:right w:val="none" w:sz="0" w:space="0" w:color="auto"/>
              </w:divBdr>
              <w:divsChild>
                <w:div w:id="1248156464">
                  <w:marLeft w:val="0"/>
                  <w:marRight w:val="0"/>
                  <w:marTop w:val="0"/>
                  <w:marBottom w:val="0"/>
                  <w:divBdr>
                    <w:top w:val="none" w:sz="0" w:space="0" w:color="auto"/>
                    <w:left w:val="none" w:sz="0" w:space="0" w:color="auto"/>
                    <w:bottom w:val="none" w:sz="0" w:space="0" w:color="auto"/>
                    <w:right w:val="none" w:sz="0" w:space="0" w:color="auto"/>
                  </w:divBdr>
                  <w:divsChild>
                    <w:div w:id="1464151952">
                      <w:marLeft w:val="0"/>
                      <w:marRight w:val="0"/>
                      <w:marTop w:val="135"/>
                      <w:marBottom w:val="0"/>
                      <w:divBdr>
                        <w:top w:val="none" w:sz="0" w:space="0" w:color="auto"/>
                        <w:left w:val="none" w:sz="0" w:space="0" w:color="auto"/>
                        <w:bottom w:val="none" w:sz="0" w:space="0" w:color="auto"/>
                        <w:right w:val="none" w:sz="0" w:space="0" w:color="auto"/>
                      </w:divBdr>
                      <w:divsChild>
                        <w:div w:id="243682935">
                          <w:marLeft w:val="0"/>
                          <w:marRight w:val="0"/>
                          <w:marTop w:val="0"/>
                          <w:marBottom w:val="0"/>
                          <w:divBdr>
                            <w:top w:val="none" w:sz="0" w:space="0" w:color="auto"/>
                            <w:left w:val="none" w:sz="0" w:space="0" w:color="auto"/>
                            <w:bottom w:val="none" w:sz="0" w:space="0" w:color="auto"/>
                            <w:right w:val="none" w:sz="0" w:space="0" w:color="auto"/>
                          </w:divBdr>
                          <w:divsChild>
                            <w:div w:id="1914123094">
                              <w:marLeft w:val="0"/>
                              <w:marRight w:val="0"/>
                              <w:marTop w:val="0"/>
                              <w:marBottom w:val="0"/>
                              <w:divBdr>
                                <w:top w:val="none" w:sz="0" w:space="0" w:color="auto"/>
                                <w:left w:val="none" w:sz="0" w:space="0" w:color="auto"/>
                                <w:bottom w:val="none" w:sz="0" w:space="0" w:color="auto"/>
                                <w:right w:val="none" w:sz="0" w:space="0" w:color="auto"/>
                              </w:divBdr>
                              <w:divsChild>
                                <w:div w:id="1839954729">
                                  <w:marLeft w:val="0"/>
                                  <w:marRight w:val="0"/>
                                  <w:marTop w:val="0"/>
                                  <w:marBottom w:val="0"/>
                                  <w:divBdr>
                                    <w:top w:val="none" w:sz="0" w:space="0" w:color="auto"/>
                                    <w:left w:val="none" w:sz="0" w:space="0" w:color="auto"/>
                                    <w:bottom w:val="none" w:sz="0" w:space="0" w:color="auto"/>
                                    <w:right w:val="none" w:sz="0" w:space="0" w:color="auto"/>
                                  </w:divBdr>
                                  <w:divsChild>
                                    <w:div w:id="16408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853572">
      <w:bodyDiv w:val="1"/>
      <w:marLeft w:val="0"/>
      <w:marRight w:val="0"/>
      <w:marTop w:val="0"/>
      <w:marBottom w:val="0"/>
      <w:divBdr>
        <w:top w:val="none" w:sz="0" w:space="0" w:color="auto"/>
        <w:left w:val="none" w:sz="0" w:space="0" w:color="auto"/>
        <w:bottom w:val="none" w:sz="0" w:space="0" w:color="auto"/>
        <w:right w:val="none" w:sz="0" w:space="0" w:color="auto"/>
      </w:divBdr>
      <w:divsChild>
        <w:div w:id="1115252035">
          <w:marLeft w:val="0"/>
          <w:marRight w:val="0"/>
          <w:marTop w:val="0"/>
          <w:marBottom w:val="0"/>
          <w:divBdr>
            <w:top w:val="none" w:sz="0" w:space="0" w:color="auto"/>
            <w:left w:val="none" w:sz="0" w:space="0" w:color="auto"/>
            <w:bottom w:val="none" w:sz="0" w:space="0" w:color="auto"/>
            <w:right w:val="none" w:sz="0" w:space="0" w:color="auto"/>
          </w:divBdr>
        </w:div>
      </w:divsChild>
    </w:div>
    <w:div w:id="1841577350">
      <w:bodyDiv w:val="1"/>
      <w:marLeft w:val="0"/>
      <w:marRight w:val="0"/>
      <w:marTop w:val="0"/>
      <w:marBottom w:val="0"/>
      <w:divBdr>
        <w:top w:val="none" w:sz="0" w:space="0" w:color="auto"/>
        <w:left w:val="none" w:sz="0" w:space="0" w:color="auto"/>
        <w:bottom w:val="none" w:sz="0" w:space="0" w:color="auto"/>
        <w:right w:val="none" w:sz="0" w:space="0" w:color="auto"/>
      </w:divBdr>
      <w:divsChild>
        <w:div w:id="1566451234">
          <w:marLeft w:val="0"/>
          <w:marRight w:val="0"/>
          <w:marTop w:val="0"/>
          <w:marBottom w:val="0"/>
          <w:divBdr>
            <w:top w:val="none" w:sz="0" w:space="0" w:color="auto"/>
            <w:left w:val="none" w:sz="0" w:space="0" w:color="auto"/>
            <w:bottom w:val="none" w:sz="0" w:space="0" w:color="auto"/>
            <w:right w:val="none" w:sz="0" w:space="0" w:color="auto"/>
          </w:divBdr>
          <w:divsChild>
            <w:div w:id="745149877">
              <w:marLeft w:val="0"/>
              <w:marRight w:val="0"/>
              <w:marTop w:val="0"/>
              <w:marBottom w:val="0"/>
              <w:divBdr>
                <w:top w:val="none" w:sz="0" w:space="0" w:color="auto"/>
                <w:left w:val="none" w:sz="0" w:space="0" w:color="auto"/>
                <w:bottom w:val="none" w:sz="0" w:space="0" w:color="auto"/>
                <w:right w:val="none" w:sz="0" w:space="0" w:color="auto"/>
              </w:divBdr>
              <w:divsChild>
                <w:div w:id="2146776989">
                  <w:marLeft w:val="0"/>
                  <w:marRight w:val="0"/>
                  <w:marTop w:val="0"/>
                  <w:marBottom w:val="0"/>
                  <w:divBdr>
                    <w:top w:val="none" w:sz="0" w:space="0" w:color="auto"/>
                    <w:left w:val="none" w:sz="0" w:space="0" w:color="auto"/>
                    <w:bottom w:val="none" w:sz="0" w:space="0" w:color="auto"/>
                    <w:right w:val="none" w:sz="0" w:space="0" w:color="auto"/>
                  </w:divBdr>
                  <w:divsChild>
                    <w:div w:id="1300955503">
                      <w:marLeft w:val="0"/>
                      <w:marRight w:val="0"/>
                      <w:marTop w:val="0"/>
                      <w:marBottom w:val="0"/>
                      <w:divBdr>
                        <w:top w:val="none" w:sz="0" w:space="0" w:color="auto"/>
                        <w:left w:val="none" w:sz="0" w:space="0" w:color="auto"/>
                        <w:bottom w:val="none" w:sz="0" w:space="0" w:color="auto"/>
                        <w:right w:val="none" w:sz="0" w:space="0" w:color="auto"/>
                      </w:divBdr>
                      <w:divsChild>
                        <w:div w:id="1387415112">
                          <w:marLeft w:val="240"/>
                          <w:marRight w:val="0"/>
                          <w:marTop w:val="0"/>
                          <w:marBottom w:val="0"/>
                          <w:divBdr>
                            <w:top w:val="none" w:sz="0" w:space="0" w:color="auto"/>
                            <w:left w:val="none" w:sz="0" w:space="0" w:color="auto"/>
                            <w:bottom w:val="none" w:sz="0" w:space="0" w:color="auto"/>
                            <w:right w:val="none" w:sz="0" w:space="0" w:color="auto"/>
                          </w:divBdr>
                          <w:divsChild>
                            <w:div w:id="1603106973">
                              <w:marLeft w:val="0"/>
                              <w:marRight w:val="0"/>
                              <w:marTop w:val="0"/>
                              <w:marBottom w:val="0"/>
                              <w:divBdr>
                                <w:top w:val="none" w:sz="0" w:space="0" w:color="auto"/>
                                <w:left w:val="none" w:sz="0" w:space="0" w:color="auto"/>
                                <w:bottom w:val="none" w:sz="0" w:space="0" w:color="auto"/>
                                <w:right w:val="none" w:sz="0" w:space="0" w:color="auto"/>
                              </w:divBdr>
                              <w:divsChild>
                                <w:div w:id="322272497">
                                  <w:marLeft w:val="20"/>
                                  <w:marRight w:val="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2326319">
      <w:bodyDiv w:val="1"/>
      <w:marLeft w:val="0"/>
      <w:marRight w:val="0"/>
      <w:marTop w:val="0"/>
      <w:marBottom w:val="0"/>
      <w:divBdr>
        <w:top w:val="none" w:sz="0" w:space="0" w:color="auto"/>
        <w:left w:val="none" w:sz="0" w:space="0" w:color="auto"/>
        <w:bottom w:val="none" w:sz="0" w:space="0" w:color="auto"/>
        <w:right w:val="none" w:sz="0" w:space="0" w:color="auto"/>
      </w:divBdr>
      <w:divsChild>
        <w:div w:id="581110531">
          <w:marLeft w:val="0"/>
          <w:marRight w:val="0"/>
          <w:marTop w:val="0"/>
          <w:marBottom w:val="0"/>
          <w:divBdr>
            <w:top w:val="none" w:sz="0" w:space="0" w:color="auto"/>
            <w:left w:val="none" w:sz="0" w:space="0" w:color="auto"/>
            <w:bottom w:val="none" w:sz="0" w:space="0" w:color="auto"/>
            <w:right w:val="none" w:sz="0" w:space="0" w:color="auto"/>
          </w:divBdr>
          <w:divsChild>
            <w:div w:id="480774345">
              <w:marLeft w:val="0"/>
              <w:marRight w:val="0"/>
              <w:marTop w:val="0"/>
              <w:marBottom w:val="0"/>
              <w:divBdr>
                <w:top w:val="none" w:sz="0" w:space="0" w:color="auto"/>
                <w:left w:val="none" w:sz="0" w:space="0" w:color="auto"/>
                <w:bottom w:val="none" w:sz="0" w:space="0" w:color="auto"/>
                <w:right w:val="none" w:sz="0" w:space="0" w:color="auto"/>
              </w:divBdr>
              <w:divsChild>
                <w:div w:id="1581675238">
                  <w:marLeft w:val="0"/>
                  <w:marRight w:val="0"/>
                  <w:marTop w:val="0"/>
                  <w:marBottom w:val="0"/>
                  <w:divBdr>
                    <w:top w:val="none" w:sz="0" w:space="0" w:color="auto"/>
                    <w:left w:val="none" w:sz="0" w:space="0" w:color="auto"/>
                    <w:bottom w:val="none" w:sz="0" w:space="0" w:color="auto"/>
                    <w:right w:val="none" w:sz="0" w:space="0" w:color="auto"/>
                  </w:divBdr>
                  <w:divsChild>
                    <w:div w:id="1785415941">
                      <w:marLeft w:val="0"/>
                      <w:marRight w:val="0"/>
                      <w:marTop w:val="135"/>
                      <w:marBottom w:val="0"/>
                      <w:divBdr>
                        <w:top w:val="none" w:sz="0" w:space="0" w:color="auto"/>
                        <w:left w:val="none" w:sz="0" w:space="0" w:color="auto"/>
                        <w:bottom w:val="none" w:sz="0" w:space="0" w:color="auto"/>
                        <w:right w:val="none" w:sz="0" w:space="0" w:color="auto"/>
                      </w:divBdr>
                      <w:divsChild>
                        <w:div w:id="1488208570">
                          <w:marLeft w:val="0"/>
                          <w:marRight w:val="0"/>
                          <w:marTop w:val="0"/>
                          <w:marBottom w:val="0"/>
                          <w:divBdr>
                            <w:top w:val="none" w:sz="0" w:space="0" w:color="auto"/>
                            <w:left w:val="none" w:sz="0" w:space="0" w:color="auto"/>
                            <w:bottom w:val="none" w:sz="0" w:space="0" w:color="auto"/>
                            <w:right w:val="none" w:sz="0" w:space="0" w:color="auto"/>
                          </w:divBdr>
                          <w:divsChild>
                            <w:div w:id="1781292685">
                              <w:marLeft w:val="0"/>
                              <w:marRight w:val="0"/>
                              <w:marTop w:val="0"/>
                              <w:marBottom w:val="0"/>
                              <w:divBdr>
                                <w:top w:val="none" w:sz="0" w:space="0" w:color="auto"/>
                                <w:left w:val="none" w:sz="0" w:space="0" w:color="auto"/>
                                <w:bottom w:val="none" w:sz="0" w:space="0" w:color="auto"/>
                                <w:right w:val="none" w:sz="0" w:space="0" w:color="auto"/>
                              </w:divBdr>
                              <w:divsChild>
                                <w:div w:id="1532836140">
                                  <w:marLeft w:val="0"/>
                                  <w:marRight w:val="0"/>
                                  <w:marTop w:val="0"/>
                                  <w:marBottom w:val="0"/>
                                  <w:divBdr>
                                    <w:top w:val="none" w:sz="0" w:space="0" w:color="auto"/>
                                    <w:left w:val="none" w:sz="0" w:space="0" w:color="auto"/>
                                    <w:bottom w:val="none" w:sz="0" w:space="0" w:color="auto"/>
                                    <w:right w:val="none" w:sz="0" w:space="0" w:color="auto"/>
                                  </w:divBdr>
                                  <w:divsChild>
                                    <w:div w:id="19663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 w:id="2140804280">
      <w:bodyDiv w:val="1"/>
      <w:marLeft w:val="0"/>
      <w:marRight w:val="0"/>
      <w:marTop w:val="0"/>
      <w:marBottom w:val="0"/>
      <w:divBdr>
        <w:top w:val="none" w:sz="0" w:space="0" w:color="auto"/>
        <w:left w:val="none" w:sz="0" w:space="0" w:color="auto"/>
        <w:bottom w:val="none" w:sz="0" w:space="0" w:color="auto"/>
        <w:right w:val="none" w:sz="0" w:space="0" w:color="auto"/>
      </w:divBdr>
      <w:divsChild>
        <w:div w:id="1927373007">
          <w:marLeft w:val="0"/>
          <w:marRight w:val="0"/>
          <w:marTop w:val="0"/>
          <w:marBottom w:val="0"/>
          <w:divBdr>
            <w:top w:val="none" w:sz="0" w:space="0" w:color="auto"/>
            <w:left w:val="none" w:sz="0" w:space="0" w:color="auto"/>
            <w:bottom w:val="none" w:sz="0" w:space="0" w:color="auto"/>
            <w:right w:val="none" w:sz="0" w:space="0" w:color="auto"/>
          </w:divBdr>
          <w:divsChild>
            <w:div w:id="1206260377">
              <w:marLeft w:val="0"/>
              <w:marRight w:val="0"/>
              <w:marTop w:val="0"/>
              <w:marBottom w:val="0"/>
              <w:divBdr>
                <w:top w:val="none" w:sz="0" w:space="0" w:color="auto"/>
                <w:left w:val="none" w:sz="0" w:space="0" w:color="auto"/>
                <w:bottom w:val="none" w:sz="0" w:space="0" w:color="auto"/>
                <w:right w:val="none" w:sz="0" w:space="0" w:color="auto"/>
              </w:divBdr>
              <w:divsChild>
                <w:div w:id="1454861918">
                  <w:marLeft w:val="0"/>
                  <w:marRight w:val="0"/>
                  <w:marTop w:val="0"/>
                  <w:marBottom w:val="0"/>
                  <w:divBdr>
                    <w:top w:val="none" w:sz="0" w:space="0" w:color="auto"/>
                    <w:left w:val="none" w:sz="0" w:space="0" w:color="auto"/>
                    <w:bottom w:val="none" w:sz="0" w:space="0" w:color="auto"/>
                    <w:right w:val="none" w:sz="0" w:space="0" w:color="auto"/>
                  </w:divBdr>
                  <w:divsChild>
                    <w:div w:id="367722842">
                      <w:marLeft w:val="0"/>
                      <w:marRight w:val="0"/>
                      <w:marTop w:val="0"/>
                      <w:marBottom w:val="0"/>
                      <w:divBdr>
                        <w:top w:val="none" w:sz="0" w:space="0" w:color="auto"/>
                        <w:left w:val="none" w:sz="0" w:space="0" w:color="auto"/>
                        <w:bottom w:val="none" w:sz="0" w:space="0" w:color="auto"/>
                        <w:right w:val="none" w:sz="0" w:space="0" w:color="auto"/>
                      </w:divBdr>
                      <w:divsChild>
                        <w:div w:id="874083327">
                          <w:marLeft w:val="240"/>
                          <w:marRight w:val="0"/>
                          <w:marTop w:val="0"/>
                          <w:marBottom w:val="0"/>
                          <w:divBdr>
                            <w:top w:val="none" w:sz="0" w:space="0" w:color="auto"/>
                            <w:left w:val="none" w:sz="0" w:space="0" w:color="auto"/>
                            <w:bottom w:val="none" w:sz="0" w:space="0" w:color="auto"/>
                            <w:right w:val="none" w:sz="0" w:space="0" w:color="auto"/>
                          </w:divBdr>
                          <w:divsChild>
                            <w:div w:id="760876438">
                              <w:marLeft w:val="0"/>
                              <w:marRight w:val="0"/>
                              <w:marTop w:val="0"/>
                              <w:marBottom w:val="0"/>
                              <w:divBdr>
                                <w:top w:val="none" w:sz="0" w:space="0" w:color="auto"/>
                                <w:left w:val="none" w:sz="0" w:space="0" w:color="auto"/>
                                <w:bottom w:val="none" w:sz="0" w:space="0" w:color="auto"/>
                                <w:right w:val="none" w:sz="0" w:space="0" w:color="auto"/>
                              </w:divBdr>
                              <w:divsChild>
                                <w:div w:id="1819952257">
                                  <w:marLeft w:val="20"/>
                                  <w:marRight w:val="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chart" Target="charts/chart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ds.mfcr.cz/cps/rde/xchg/SID-3EA98423-60CAA90E/cds/xsl/legislativa_metodika_690.html/papp/cds_konzultant/-58a10d4b:1333dcd7299:6f37?init=n&amp;url=235/2004%20Sb.%20&#167;90&amp;date=-2"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png"/><Relationship Id="rId25" Type="http://schemas.openxmlformats.org/officeDocument/2006/relationships/chart" Target="charts/chart1.xml"/><Relationship Id="rId33" Type="http://schemas.openxmlformats.org/officeDocument/2006/relationships/header" Target="header4.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cds.mfcr.cz/cps/rde/xchg/SID-3EA98423-60CAA90E/cds/xsl/legislativa_metodika_690.html/papp/cds_konzultant/-58a10d4b:1333dcd7299:6f38" TargetMode="Externa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jakpodnikat.cz/adsense-dph.php" TargetMode="External"/><Relationship Id="rId32" Type="http://schemas.openxmlformats.org/officeDocument/2006/relationships/hyperlink" Target="http://www.zbierka.sk/default.aspx"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jakpodnikat.cz/adwords-dph.php" TargetMode="External"/><Relationship Id="rId28" Type="http://schemas.openxmlformats.org/officeDocument/2006/relationships/chart" Target="charts/chart4.xml"/><Relationship Id="rId36"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cds.mfcr.cz/cps/rde/xchg/SID-3EA98423-60CAA90E/cds/xsl/legislativa_metodika_690.html/papp/cds_konzultant/-58a10d4b:1333dcd7299:6f37?init=n&amp;url=235/2004%20Sb.%20&#167;68&amp;date=-2" TargetMode="External"/><Relationship Id="rId31" Type="http://schemas.openxmlformats.org/officeDocument/2006/relationships/hyperlink" Target="http://www.mfcr.cz/cps/rde/xchg/mfcr/xsl/konvergen_programy_43976.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jakpodnikat.cz/obrat-registrace-platce-dph.php" TargetMode="External"/><Relationship Id="rId27" Type="http://schemas.openxmlformats.org/officeDocument/2006/relationships/chart" Target="charts/chart3.xml"/><Relationship Id="rId30" Type="http://schemas.openxmlformats.org/officeDocument/2006/relationships/hyperlink" Target="%3chttp:/www.mfcr.cz/cps/rde/xbcr/mfcr/Danova_statistika_2005-2009_pdf.pdf" TargetMode="External"/><Relationship Id="rId35" Type="http://schemas.openxmlformats.org/officeDocument/2006/relationships/hyperlink" Target="http://www.mfcr.cz/cps/rde/xbcr/mfcr/Rovna_dan_v_teorii_a_praxi_pdf.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fcr.cz/cps/rde/xchg/mfcr/xsl/konvergen_programy_43976.html" TargetMode="External"/><Relationship Id="rId2" Type="http://schemas.openxmlformats.org/officeDocument/2006/relationships/hyperlink" Target="http://www.zbierka.sk/default.aspx" TargetMode="External"/><Relationship Id="rId1" Type="http://schemas.openxmlformats.org/officeDocument/2006/relationships/hyperlink" Target="http://www.mfcr.cz/cps/rde/xbcr/mfcr/Rovna_dan_v_teorii_a_praxi_pdf.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lenka.klembarova\Plocha\Se&#353;it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lenka.klembarova\Plocha\Se&#353;it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lenka.klembarova\Plocha\Se&#353;it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List1!$C$2</c:f>
              <c:strCache>
                <c:ptCount val="1"/>
                <c:pt idx="0">
                  <c:v>Základní sazba</c:v>
                </c:pt>
              </c:strCache>
            </c:strRef>
          </c:tx>
          <c:invertIfNegative val="0"/>
          <c:cat>
            <c:strRef>
              <c:f>List1!$B$3:$B$7</c:f>
              <c:strCache>
                <c:ptCount val="5"/>
                <c:pt idx="0">
                  <c:v>1.1.1993 - 31.12.1994</c:v>
                </c:pt>
                <c:pt idx="1">
                  <c:v>1.1.1995 - 30.04.2004</c:v>
                </c:pt>
                <c:pt idx="2">
                  <c:v>1.5.2004 - 31.12.2007</c:v>
                </c:pt>
                <c:pt idx="3">
                  <c:v>1.1.2008 - 31.12.2009</c:v>
                </c:pt>
                <c:pt idx="4">
                  <c:v>1.1.2010</c:v>
                </c:pt>
              </c:strCache>
            </c:strRef>
          </c:cat>
          <c:val>
            <c:numRef>
              <c:f>List1!$C$3:$C$7</c:f>
              <c:numCache>
                <c:formatCode>0%</c:formatCode>
                <c:ptCount val="5"/>
                <c:pt idx="0">
                  <c:v>0.23</c:v>
                </c:pt>
                <c:pt idx="1">
                  <c:v>0.22</c:v>
                </c:pt>
                <c:pt idx="2">
                  <c:v>0.19</c:v>
                </c:pt>
                <c:pt idx="3">
                  <c:v>0.19</c:v>
                </c:pt>
                <c:pt idx="4">
                  <c:v>0.2</c:v>
                </c:pt>
              </c:numCache>
            </c:numRef>
          </c:val>
        </c:ser>
        <c:ser>
          <c:idx val="1"/>
          <c:order val="1"/>
          <c:tx>
            <c:strRef>
              <c:f>List1!$D$2</c:f>
              <c:strCache>
                <c:ptCount val="1"/>
                <c:pt idx="0">
                  <c:v>Snížená sazba</c:v>
                </c:pt>
              </c:strCache>
            </c:strRef>
          </c:tx>
          <c:invertIfNegative val="0"/>
          <c:cat>
            <c:strRef>
              <c:f>List1!$B$3:$B$7</c:f>
              <c:strCache>
                <c:ptCount val="5"/>
                <c:pt idx="0">
                  <c:v>1.1.1993 - 31.12.1994</c:v>
                </c:pt>
                <c:pt idx="1">
                  <c:v>1.1.1995 - 30.04.2004</c:v>
                </c:pt>
                <c:pt idx="2">
                  <c:v>1.5.2004 - 31.12.2007</c:v>
                </c:pt>
                <c:pt idx="3">
                  <c:v>1.1.2008 - 31.12.2009</c:v>
                </c:pt>
                <c:pt idx="4">
                  <c:v>1.1.2010</c:v>
                </c:pt>
              </c:strCache>
            </c:strRef>
          </c:cat>
          <c:val>
            <c:numRef>
              <c:f>List1!$D$3:$D$7</c:f>
              <c:numCache>
                <c:formatCode>0%</c:formatCode>
                <c:ptCount val="5"/>
                <c:pt idx="0">
                  <c:v>0.05</c:v>
                </c:pt>
                <c:pt idx="1">
                  <c:v>0.05</c:v>
                </c:pt>
                <c:pt idx="2">
                  <c:v>0.05</c:v>
                </c:pt>
                <c:pt idx="3">
                  <c:v>0.09</c:v>
                </c:pt>
                <c:pt idx="4">
                  <c:v>0.1</c:v>
                </c:pt>
              </c:numCache>
            </c:numRef>
          </c:val>
        </c:ser>
        <c:dLbls>
          <c:showLegendKey val="0"/>
          <c:showVal val="0"/>
          <c:showCatName val="0"/>
          <c:showSerName val="0"/>
          <c:showPercent val="0"/>
          <c:showBubbleSize val="0"/>
        </c:dLbls>
        <c:gapWidth val="75"/>
        <c:shape val="box"/>
        <c:axId val="268338688"/>
        <c:axId val="268340224"/>
        <c:axId val="0"/>
      </c:bar3DChart>
      <c:catAx>
        <c:axId val="268338688"/>
        <c:scaling>
          <c:orientation val="minMax"/>
        </c:scaling>
        <c:delete val="0"/>
        <c:axPos val="b"/>
        <c:majorTickMark val="none"/>
        <c:minorTickMark val="none"/>
        <c:tickLblPos val="nextTo"/>
        <c:crossAx val="268340224"/>
        <c:crosses val="autoZero"/>
        <c:auto val="1"/>
        <c:lblAlgn val="ctr"/>
        <c:lblOffset val="100"/>
        <c:noMultiLvlLbl val="0"/>
      </c:catAx>
      <c:valAx>
        <c:axId val="268340224"/>
        <c:scaling>
          <c:orientation val="minMax"/>
        </c:scaling>
        <c:delete val="0"/>
        <c:axPos val="l"/>
        <c:majorGridlines/>
        <c:numFmt formatCode="0%" sourceLinked="1"/>
        <c:majorTickMark val="none"/>
        <c:minorTickMark val="none"/>
        <c:tickLblPos val="nextTo"/>
        <c:spPr>
          <a:ln w="9525">
            <a:noFill/>
          </a:ln>
        </c:spPr>
        <c:crossAx val="268338688"/>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List1!$C$11</c:f>
              <c:strCache>
                <c:ptCount val="1"/>
                <c:pt idx="0">
                  <c:v>Základní sazba</c:v>
                </c:pt>
              </c:strCache>
            </c:strRef>
          </c:tx>
          <c:invertIfNegative val="0"/>
          <c:cat>
            <c:strRef>
              <c:f>List1!$B$12:$B$18</c:f>
              <c:strCache>
                <c:ptCount val="7"/>
                <c:pt idx="0">
                  <c:v>1.1.1993 - 31.12.1995</c:v>
                </c:pt>
                <c:pt idx="1">
                  <c:v>1.1.1996 - 31.12.1999</c:v>
                </c:pt>
                <c:pt idx="2">
                  <c:v>1.1.2000 - 31.12.2002</c:v>
                </c:pt>
                <c:pt idx="3">
                  <c:v>1.1.2003 - 31.12.2003</c:v>
                </c:pt>
                <c:pt idx="4">
                  <c:v>1.1.2004 - 31.12.2006</c:v>
                </c:pt>
                <c:pt idx="5">
                  <c:v>1.1.2007 - 31.12.2009</c:v>
                </c:pt>
                <c:pt idx="6">
                  <c:v>1.1.2010</c:v>
                </c:pt>
              </c:strCache>
            </c:strRef>
          </c:cat>
          <c:val>
            <c:numRef>
              <c:f>List1!$C$12:$C$18</c:f>
              <c:numCache>
                <c:formatCode>0%</c:formatCode>
                <c:ptCount val="7"/>
                <c:pt idx="0">
                  <c:v>0.23</c:v>
                </c:pt>
                <c:pt idx="1">
                  <c:v>0.23</c:v>
                </c:pt>
                <c:pt idx="2">
                  <c:v>0.23</c:v>
                </c:pt>
                <c:pt idx="3">
                  <c:v>0.2</c:v>
                </c:pt>
                <c:pt idx="4">
                  <c:v>0.19</c:v>
                </c:pt>
                <c:pt idx="5">
                  <c:v>0.19</c:v>
                </c:pt>
                <c:pt idx="6">
                  <c:v>0.19</c:v>
                </c:pt>
              </c:numCache>
            </c:numRef>
          </c:val>
        </c:ser>
        <c:ser>
          <c:idx val="1"/>
          <c:order val="1"/>
          <c:tx>
            <c:strRef>
              <c:f>List1!$D$11</c:f>
              <c:strCache>
                <c:ptCount val="1"/>
                <c:pt idx="0">
                  <c:v>Snížená sazba</c:v>
                </c:pt>
              </c:strCache>
            </c:strRef>
          </c:tx>
          <c:invertIfNegative val="0"/>
          <c:cat>
            <c:strRef>
              <c:f>List1!$B$12:$B$18</c:f>
              <c:strCache>
                <c:ptCount val="7"/>
                <c:pt idx="0">
                  <c:v>1.1.1993 - 31.12.1995</c:v>
                </c:pt>
                <c:pt idx="1">
                  <c:v>1.1.1996 - 31.12.1999</c:v>
                </c:pt>
                <c:pt idx="2">
                  <c:v>1.1.2000 - 31.12.2002</c:v>
                </c:pt>
                <c:pt idx="3">
                  <c:v>1.1.2003 - 31.12.2003</c:v>
                </c:pt>
                <c:pt idx="4">
                  <c:v>1.1.2004 - 31.12.2006</c:v>
                </c:pt>
                <c:pt idx="5">
                  <c:v>1.1.2007 - 31.12.2009</c:v>
                </c:pt>
                <c:pt idx="6">
                  <c:v>1.1.2010</c:v>
                </c:pt>
              </c:strCache>
            </c:strRef>
          </c:cat>
          <c:val>
            <c:numRef>
              <c:f>List1!$D$12:$D$18</c:f>
              <c:numCache>
                <c:formatCode>0%</c:formatCode>
                <c:ptCount val="7"/>
                <c:pt idx="0">
                  <c:v>0.05</c:v>
                </c:pt>
                <c:pt idx="1">
                  <c:v>0.06</c:v>
                </c:pt>
                <c:pt idx="2">
                  <c:v>0.1</c:v>
                </c:pt>
                <c:pt idx="3">
                  <c:v>0.14000000000000001</c:v>
                </c:pt>
                <c:pt idx="4">
                  <c:v>0</c:v>
                </c:pt>
                <c:pt idx="5">
                  <c:v>0.1</c:v>
                </c:pt>
                <c:pt idx="6">
                  <c:v>0.06</c:v>
                </c:pt>
              </c:numCache>
            </c:numRef>
          </c:val>
        </c:ser>
        <c:dLbls>
          <c:showLegendKey val="0"/>
          <c:showVal val="0"/>
          <c:showCatName val="0"/>
          <c:showSerName val="0"/>
          <c:showPercent val="0"/>
          <c:showBubbleSize val="0"/>
        </c:dLbls>
        <c:gapWidth val="75"/>
        <c:shape val="box"/>
        <c:axId val="273842176"/>
        <c:axId val="273843712"/>
        <c:axId val="0"/>
      </c:bar3DChart>
      <c:catAx>
        <c:axId val="273842176"/>
        <c:scaling>
          <c:orientation val="minMax"/>
        </c:scaling>
        <c:delete val="0"/>
        <c:axPos val="b"/>
        <c:majorTickMark val="none"/>
        <c:minorTickMark val="none"/>
        <c:tickLblPos val="nextTo"/>
        <c:crossAx val="273843712"/>
        <c:crosses val="autoZero"/>
        <c:auto val="1"/>
        <c:lblAlgn val="ctr"/>
        <c:lblOffset val="100"/>
        <c:noMultiLvlLbl val="0"/>
      </c:catAx>
      <c:valAx>
        <c:axId val="273843712"/>
        <c:scaling>
          <c:orientation val="minMax"/>
        </c:scaling>
        <c:delete val="0"/>
        <c:axPos val="l"/>
        <c:majorGridlines/>
        <c:numFmt formatCode="0%" sourceLinked="1"/>
        <c:majorTickMark val="none"/>
        <c:minorTickMark val="none"/>
        <c:tickLblPos val="nextTo"/>
        <c:spPr>
          <a:ln w="9525">
            <a:noFill/>
          </a:ln>
        </c:spPr>
        <c:crossAx val="273842176"/>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List1!$C$21</c:f>
              <c:strCache>
                <c:ptCount val="1"/>
                <c:pt idx="0">
                  <c:v>Základní sazba ČR</c:v>
                </c:pt>
              </c:strCache>
            </c:strRef>
          </c:tx>
          <c:marker>
            <c:symbol val="none"/>
          </c:marker>
          <c:xVal>
            <c:strRef>
              <c:f>List1!$B$22:$B$40</c:f>
              <c:strCache>
                <c:ptCount val="19"/>
                <c:pt idx="0">
                  <c:v>1993</c:v>
                </c:pt>
                <c:pt idx="1">
                  <c:v>1994</c:v>
                </c:pt>
                <c:pt idx="2">
                  <c:v>1995</c:v>
                </c:pt>
                <c:pt idx="3">
                  <c:v>1996</c:v>
                </c:pt>
                <c:pt idx="4">
                  <c:v>1997</c:v>
                </c:pt>
                <c:pt idx="5">
                  <c:v>1998</c:v>
                </c:pt>
                <c:pt idx="6">
                  <c:v>1999</c:v>
                </c:pt>
                <c:pt idx="7">
                  <c:v>2000</c:v>
                </c:pt>
                <c:pt idx="8">
                  <c:v>2001</c:v>
                </c:pt>
                <c:pt idx="9">
                  <c:v>2002</c:v>
                </c:pt>
                <c:pt idx="10">
                  <c:v>2003</c:v>
                </c:pt>
                <c:pt idx="11">
                  <c:v>Q2_2004</c:v>
                </c:pt>
                <c:pt idx="12">
                  <c:v>Q4_2004</c:v>
                </c:pt>
                <c:pt idx="13">
                  <c:v>2005</c:v>
                </c:pt>
                <c:pt idx="14">
                  <c:v>2006</c:v>
                </c:pt>
                <c:pt idx="15">
                  <c:v>2007</c:v>
                </c:pt>
                <c:pt idx="16">
                  <c:v>2008</c:v>
                </c:pt>
                <c:pt idx="17">
                  <c:v>2009</c:v>
                </c:pt>
                <c:pt idx="18">
                  <c:v>2010</c:v>
                </c:pt>
              </c:strCache>
            </c:strRef>
          </c:xVal>
          <c:yVal>
            <c:numRef>
              <c:f>List1!$C$22:$C$40</c:f>
              <c:numCache>
                <c:formatCode>0%</c:formatCode>
                <c:ptCount val="19"/>
                <c:pt idx="0">
                  <c:v>0.23</c:v>
                </c:pt>
                <c:pt idx="1">
                  <c:v>0.23</c:v>
                </c:pt>
                <c:pt idx="2">
                  <c:v>0.22</c:v>
                </c:pt>
                <c:pt idx="3">
                  <c:v>0.22</c:v>
                </c:pt>
                <c:pt idx="4">
                  <c:v>0.22</c:v>
                </c:pt>
                <c:pt idx="5">
                  <c:v>0.22</c:v>
                </c:pt>
                <c:pt idx="6">
                  <c:v>0.22</c:v>
                </c:pt>
                <c:pt idx="7">
                  <c:v>0.22</c:v>
                </c:pt>
                <c:pt idx="8">
                  <c:v>0.22</c:v>
                </c:pt>
                <c:pt idx="9">
                  <c:v>0.22</c:v>
                </c:pt>
                <c:pt idx="10">
                  <c:v>0.22</c:v>
                </c:pt>
                <c:pt idx="11">
                  <c:v>0.22</c:v>
                </c:pt>
                <c:pt idx="12">
                  <c:v>0.19</c:v>
                </c:pt>
                <c:pt idx="13">
                  <c:v>0.19</c:v>
                </c:pt>
                <c:pt idx="14">
                  <c:v>0.19</c:v>
                </c:pt>
                <c:pt idx="15">
                  <c:v>0.19</c:v>
                </c:pt>
                <c:pt idx="16">
                  <c:v>0.19</c:v>
                </c:pt>
                <c:pt idx="17">
                  <c:v>0.19</c:v>
                </c:pt>
                <c:pt idx="18">
                  <c:v>0.2</c:v>
                </c:pt>
              </c:numCache>
            </c:numRef>
          </c:yVal>
          <c:smooth val="0"/>
        </c:ser>
        <c:ser>
          <c:idx val="1"/>
          <c:order val="1"/>
          <c:tx>
            <c:strRef>
              <c:f>List1!$D$21</c:f>
              <c:strCache>
                <c:ptCount val="1"/>
                <c:pt idx="0">
                  <c:v>Snížená sazba ČR</c:v>
                </c:pt>
              </c:strCache>
            </c:strRef>
          </c:tx>
          <c:marker>
            <c:symbol val="none"/>
          </c:marker>
          <c:xVal>
            <c:strRef>
              <c:f>List1!$B$22:$B$40</c:f>
              <c:strCache>
                <c:ptCount val="19"/>
                <c:pt idx="0">
                  <c:v>1993</c:v>
                </c:pt>
                <c:pt idx="1">
                  <c:v>1994</c:v>
                </c:pt>
                <c:pt idx="2">
                  <c:v>1995</c:v>
                </c:pt>
                <c:pt idx="3">
                  <c:v>1996</c:v>
                </c:pt>
                <c:pt idx="4">
                  <c:v>1997</c:v>
                </c:pt>
                <c:pt idx="5">
                  <c:v>1998</c:v>
                </c:pt>
                <c:pt idx="6">
                  <c:v>1999</c:v>
                </c:pt>
                <c:pt idx="7">
                  <c:v>2000</c:v>
                </c:pt>
                <c:pt idx="8">
                  <c:v>2001</c:v>
                </c:pt>
                <c:pt idx="9">
                  <c:v>2002</c:v>
                </c:pt>
                <c:pt idx="10">
                  <c:v>2003</c:v>
                </c:pt>
                <c:pt idx="11">
                  <c:v>Q2_2004</c:v>
                </c:pt>
                <c:pt idx="12">
                  <c:v>Q4_2004</c:v>
                </c:pt>
                <c:pt idx="13">
                  <c:v>2005</c:v>
                </c:pt>
                <c:pt idx="14">
                  <c:v>2006</c:v>
                </c:pt>
                <c:pt idx="15">
                  <c:v>2007</c:v>
                </c:pt>
                <c:pt idx="16">
                  <c:v>2008</c:v>
                </c:pt>
                <c:pt idx="17">
                  <c:v>2009</c:v>
                </c:pt>
                <c:pt idx="18">
                  <c:v>2010</c:v>
                </c:pt>
              </c:strCache>
            </c:strRef>
          </c:xVal>
          <c:yVal>
            <c:numRef>
              <c:f>List1!$D$22:$D$40</c:f>
              <c:numCache>
                <c:formatCode>0%</c:formatCode>
                <c:ptCount val="19"/>
                <c:pt idx="0">
                  <c:v>0.05</c:v>
                </c:pt>
                <c:pt idx="1">
                  <c:v>0.05</c:v>
                </c:pt>
                <c:pt idx="2">
                  <c:v>0.05</c:v>
                </c:pt>
                <c:pt idx="3">
                  <c:v>0.05</c:v>
                </c:pt>
                <c:pt idx="4">
                  <c:v>0.05</c:v>
                </c:pt>
                <c:pt idx="5">
                  <c:v>0.05</c:v>
                </c:pt>
                <c:pt idx="6">
                  <c:v>0.05</c:v>
                </c:pt>
                <c:pt idx="7">
                  <c:v>0.05</c:v>
                </c:pt>
                <c:pt idx="8">
                  <c:v>0.05</c:v>
                </c:pt>
                <c:pt idx="9">
                  <c:v>0.05</c:v>
                </c:pt>
                <c:pt idx="10">
                  <c:v>0.05</c:v>
                </c:pt>
                <c:pt idx="11">
                  <c:v>0.05</c:v>
                </c:pt>
                <c:pt idx="12">
                  <c:v>0.05</c:v>
                </c:pt>
                <c:pt idx="13">
                  <c:v>0.05</c:v>
                </c:pt>
                <c:pt idx="14">
                  <c:v>0.05</c:v>
                </c:pt>
                <c:pt idx="15">
                  <c:v>0.05</c:v>
                </c:pt>
                <c:pt idx="16">
                  <c:v>0.09</c:v>
                </c:pt>
                <c:pt idx="17">
                  <c:v>0.09</c:v>
                </c:pt>
                <c:pt idx="18">
                  <c:v>0.1</c:v>
                </c:pt>
              </c:numCache>
            </c:numRef>
          </c:yVal>
          <c:smooth val="0"/>
        </c:ser>
        <c:ser>
          <c:idx val="2"/>
          <c:order val="2"/>
          <c:tx>
            <c:strRef>
              <c:f>List1!$E$21</c:f>
              <c:strCache>
                <c:ptCount val="1"/>
                <c:pt idx="0">
                  <c:v>Základní sazba SR</c:v>
                </c:pt>
              </c:strCache>
            </c:strRef>
          </c:tx>
          <c:marker>
            <c:symbol val="none"/>
          </c:marker>
          <c:xVal>
            <c:strRef>
              <c:f>List1!$B$22:$B$40</c:f>
              <c:strCache>
                <c:ptCount val="19"/>
                <c:pt idx="0">
                  <c:v>1993</c:v>
                </c:pt>
                <c:pt idx="1">
                  <c:v>1994</c:v>
                </c:pt>
                <c:pt idx="2">
                  <c:v>1995</c:v>
                </c:pt>
                <c:pt idx="3">
                  <c:v>1996</c:v>
                </c:pt>
                <c:pt idx="4">
                  <c:v>1997</c:v>
                </c:pt>
                <c:pt idx="5">
                  <c:v>1998</c:v>
                </c:pt>
                <c:pt idx="6">
                  <c:v>1999</c:v>
                </c:pt>
                <c:pt idx="7">
                  <c:v>2000</c:v>
                </c:pt>
                <c:pt idx="8">
                  <c:v>2001</c:v>
                </c:pt>
                <c:pt idx="9">
                  <c:v>2002</c:v>
                </c:pt>
                <c:pt idx="10">
                  <c:v>2003</c:v>
                </c:pt>
                <c:pt idx="11">
                  <c:v>Q2_2004</c:v>
                </c:pt>
                <c:pt idx="12">
                  <c:v>Q4_2004</c:v>
                </c:pt>
                <c:pt idx="13">
                  <c:v>2005</c:v>
                </c:pt>
                <c:pt idx="14">
                  <c:v>2006</c:v>
                </c:pt>
                <c:pt idx="15">
                  <c:v>2007</c:v>
                </c:pt>
                <c:pt idx="16">
                  <c:v>2008</c:v>
                </c:pt>
                <c:pt idx="17">
                  <c:v>2009</c:v>
                </c:pt>
                <c:pt idx="18">
                  <c:v>2010</c:v>
                </c:pt>
              </c:strCache>
            </c:strRef>
          </c:xVal>
          <c:yVal>
            <c:numRef>
              <c:f>List1!$E$22:$E$40</c:f>
              <c:numCache>
                <c:formatCode>0%</c:formatCode>
                <c:ptCount val="19"/>
                <c:pt idx="0">
                  <c:v>0.23</c:v>
                </c:pt>
                <c:pt idx="1">
                  <c:v>0.23</c:v>
                </c:pt>
                <c:pt idx="2">
                  <c:v>0.23</c:v>
                </c:pt>
                <c:pt idx="3">
                  <c:v>0.23</c:v>
                </c:pt>
                <c:pt idx="4">
                  <c:v>0.23</c:v>
                </c:pt>
                <c:pt idx="5">
                  <c:v>0.23</c:v>
                </c:pt>
                <c:pt idx="6">
                  <c:v>0.23</c:v>
                </c:pt>
                <c:pt idx="7">
                  <c:v>0.23</c:v>
                </c:pt>
                <c:pt idx="8">
                  <c:v>0.23</c:v>
                </c:pt>
                <c:pt idx="9">
                  <c:v>0.23</c:v>
                </c:pt>
                <c:pt idx="10">
                  <c:v>0.2</c:v>
                </c:pt>
                <c:pt idx="11">
                  <c:v>0.19</c:v>
                </c:pt>
                <c:pt idx="12">
                  <c:v>0.19</c:v>
                </c:pt>
                <c:pt idx="13">
                  <c:v>0.19</c:v>
                </c:pt>
                <c:pt idx="14">
                  <c:v>0.19</c:v>
                </c:pt>
                <c:pt idx="15">
                  <c:v>0.19</c:v>
                </c:pt>
                <c:pt idx="16">
                  <c:v>0.19</c:v>
                </c:pt>
                <c:pt idx="17">
                  <c:v>0.19</c:v>
                </c:pt>
                <c:pt idx="18">
                  <c:v>0.19</c:v>
                </c:pt>
              </c:numCache>
            </c:numRef>
          </c:yVal>
          <c:smooth val="0"/>
        </c:ser>
        <c:ser>
          <c:idx val="3"/>
          <c:order val="3"/>
          <c:tx>
            <c:strRef>
              <c:f>List1!$F$21</c:f>
              <c:strCache>
                <c:ptCount val="1"/>
                <c:pt idx="0">
                  <c:v>Snížená sazba SR</c:v>
                </c:pt>
              </c:strCache>
            </c:strRef>
          </c:tx>
          <c:marker>
            <c:symbol val="none"/>
          </c:marker>
          <c:xVal>
            <c:strRef>
              <c:f>List1!$B$22:$B$40</c:f>
              <c:strCache>
                <c:ptCount val="19"/>
                <c:pt idx="0">
                  <c:v>1993</c:v>
                </c:pt>
                <c:pt idx="1">
                  <c:v>1994</c:v>
                </c:pt>
                <c:pt idx="2">
                  <c:v>1995</c:v>
                </c:pt>
                <c:pt idx="3">
                  <c:v>1996</c:v>
                </c:pt>
                <c:pt idx="4">
                  <c:v>1997</c:v>
                </c:pt>
                <c:pt idx="5">
                  <c:v>1998</c:v>
                </c:pt>
                <c:pt idx="6">
                  <c:v>1999</c:v>
                </c:pt>
                <c:pt idx="7">
                  <c:v>2000</c:v>
                </c:pt>
                <c:pt idx="8">
                  <c:v>2001</c:v>
                </c:pt>
                <c:pt idx="9">
                  <c:v>2002</c:v>
                </c:pt>
                <c:pt idx="10">
                  <c:v>2003</c:v>
                </c:pt>
                <c:pt idx="11">
                  <c:v>Q2_2004</c:v>
                </c:pt>
                <c:pt idx="12">
                  <c:v>Q4_2004</c:v>
                </c:pt>
                <c:pt idx="13">
                  <c:v>2005</c:v>
                </c:pt>
                <c:pt idx="14">
                  <c:v>2006</c:v>
                </c:pt>
                <c:pt idx="15">
                  <c:v>2007</c:v>
                </c:pt>
                <c:pt idx="16">
                  <c:v>2008</c:v>
                </c:pt>
                <c:pt idx="17">
                  <c:v>2009</c:v>
                </c:pt>
                <c:pt idx="18">
                  <c:v>2010</c:v>
                </c:pt>
              </c:strCache>
            </c:strRef>
          </c:xVal>
          <c:yVal>
            <c:numRef>
              <c:f>List1!$F$22:$F$40</c:f>
              <c:numCache>
                <c:formatCode>0%</c:formatCode>
                <c:ptCount val="19"/>
                <c:pt idx="0">
                  <c:v>0.05</c:v>
                </c:pt>
                <c:pt idx="1">
                  <c:v>0.05</c:v>
                </c:pt>
                <c:pt idx="2">
                  <c:v>0.05</c:v>
                </c:pt>
                <c:pt idx="3">
                  <c:v>0.06</c:v>
                </c:pt>
                <c:pt idx="4">
                  <c:v>0.06</c:v>
                </c:pt>
                <c:pt idx="5">
                  <c:v>0.06</c:v>
                </c:pt>
                <c:pt idx="6">
                  <c:v>0.06</c:v>
                </c:pt>
                <c:pt idx="7">
                  <c:v>0.1</c:v>
                </c:pt>
                <c:pt idx="8">
                  <c:v>0.1</c:v>
                </c:pt>
                <c:pt idx="9">
                  <c:v>0.1</c:v>
                </c:pt>
                <c:pt idx="10">
                  <c:v>0.14000000000000001</c:v>
                </c:pt>
                <c:pt idx="11">
                  <c:v>0</c:v>
                </c:pt>
                <c:pt idx="12">
                  <c:v>0</c:v>
                </c:pt>
                <c:pt idx="13">
                  <c:v>0</c:v>
                </c:pt>
                <c:pt idx="14">
                  <c:v>0</c:v>
                </c:pt>
                <c:pt idx="15">
                  <c:v>0.1</c:v>
                </c:pt>
                <c:pt idx="16">
                  <c:v>0.1</c:v>
                </c:pt>
                <c:pt idx="17">
                  <c:v>0.1</c:v>
                </c:pt>
                <c:pt idx="18">
                  <c:v>0.06</c:v>
                </c:pt>
              </c:numCache>
            </c:numRef>
          </c:yVal>
          <c:smooth val="0"/>
        </c:ser>
        <c:dLbls>
          <c:showLegendKey val="0"/>
          <c:showVal val="0"/>
          <c:showCatName val="0"/>
          <c:showSerName val="0"/>
          <c:showPercent val="0"/>
          <c:showBubbleSize val="0"/>
        </c:dLbls>
        <c:axId val="273874304"/>
        <c:axId val="273888384"/>
      </c:scatterChart>
      <c:valAx>
        <c:axId val="273874304"/>
        <c:scaling>
          <c:orientation val="minMax"/>
        </c:scaling>
        <c:delete val="0"/>
        <c:axPos val="b"/>
        <c:majorTickMark val="out"/>
        <c:minorTickMark val="none"/>
        <c:tickLblPos val="nextTo"/>
        <c:crossAx val="273888384"/>
        <c:crosses val="autoZero"/>
        <c:crossBetween val="midCat"/>
      </c:valAx>
      <c:valAx>
        <c:axId val="273888384"/>
        <c:scaling>
          <c:orientation val="minMax"/>
        </c:scaling>
        <c:delete val="0"/>
        <c:axPos val="l"/>
        <c:majorGridlines/>
        <c:numFmt formatCode="0%" sourceLinked="1"/>
        <c:majorTickMark val="out"/>
        <c:minorTickMark val="none"/>
        <c:tickLblPos val="nextTo"/>
        <c:crossAx val="273874304"/>
        <c:crosses val="autoZero"/>
        <c:crossBetween val="midCat"/>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line3DChart>
        <c:grouping val="standard"/>
        <c:varyColors val="0"/>
        <c:ser>
          <c:idx val="0"/>
          <c:order val="0"/>
          <c:dLbls>
            <c:dLbl>
              <c:idx val="0"/>
              <c:layout>
                <c:manualLayout>
                  <c:x val="8.3333333333333332E-3"/>
                  <c:y val="-9.2592592592592587E-3"/>
                </c:manualLayout>
              </c:layout>
              <c:showLegendKey val="0"/>
              <c:showVal val="1"/>
              <c:showCatName val="0"/>
              <c:showSerName val="0"/>
              <c:showPercent val="0"/>
              <c:showBubbleSize val="0"/>
            </c:dLbl>
            <c:dLbl>
              <c:idx val="1"/>
              <c:layout>
                <c:manualLayout>
                  <c:x val="0"/>
                  <c:y val="-4.6296296296296294E-2"/>
                </c:manualLayout>
              </c:layout>
              <c:showLegendKey val="0"/>
              <c:showVal val="1"/>
              <c:showCatName val="0"/>
              <c:showSerName val="0"/>
              <c:showPercent val="0"/>
              <c:showBubbleSize val="0"/>
            </c:dLbl>
            <c:dLbl>
              <c:idx val="2"/>
              <c:layout>
                <c:manualLayout>
                  <c:x val="-2.7777777777777779E-3"/>
                  <c:y val="-3.7037037037037035E-2"/>
                </c:manualLayout>
              </c:layout>
              <c:showLegendKey val="0"/>
              <c:showVal val="1"/>
              <c:showCatName val="0"/>
              <c:showSerName val="0"/>
              <c:showPercent val="0"/>
              <c:showBubbleSize val="0"/>
            </c:dLbl>
            <c:dLbl>
              <c:idx val="3"/>
              <c:layout>
                <c:manualLayout>
                  <c:x val="0"/>
                  <c:y val="-3.2407407407407406E-2"/>
                </c:manualLayout>
              </c:layout>
              <c:showLegendKey val="0"/>
              <c:showVal val="1"/>
              <c:showCatName val="0"/>
              <c:showSerName val="0"/>
              <c:showPercent val="0"/>
              <c:showBubbleSize val="0"/>
            </c:dLbl>
            <c:dLbl>
              <c:idx val="4"/>
              <c:layout>
                <c:manualLayout>
                  <c:x val="-1.9444444444444445E-2"/>
                  <c:y val="-3.2407407407407406E-2"/>
                </c:manualLayout>
              </c:layout>
              <c:showLegendKey val="0"/>
              <c:showVal val="1"/>
              <c:showCatName val="0"/>
              <c:showSerName val="0"/>
              <c:showPercent val="0"/>
              <c:showBubbleSize val="0"/>
            </c:dLbl>
            <c:dLbl>
              <c:idx val="5"/>
              <c:layout>
                <c:manualLayout>
                  <c:x val="-2.5000000000000001E-2"/>
                  <c:y val="-3.7037037037037035E-2"/>
                </c:manualLayout>
              </c:layout>
              <c:showLegendKey val="0"/>
              <c:showVal val="1"/>
              <c:showCatName val="0"/>
              <c:showSerName val="0"/>
              <c:showPercent val="0"/>
              <c:showBubbleSize val="0"/>
            </c:dLbl>
            <c:dLbl>
              <c:idx val="6"/>
              <c:layout>
                <c:manualLayout>
                  <c:x val="-7.2222222222222215E-2"/>
                  <c:y val="-3.703703703703703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val>
            <c:numRef>
              <c:f>List2!$B$16:$H$16</c:f>
              <c:numCache>
                <c:formatCode>0%</c:formatCode>
                <c:ptCount val="7"/>
                <c:pt idx="0">
                  <c:v>0.28359083567967758</c:v>
                </c:pt>
                <c:pt idx="1">
                  <c:v>0.18249892747104171</c:v>
                </c:pt>
                <c:pt idx="2">
                  <c:v>0.16944809916210787</c:v>
                </c:pt>
                <c:pt idx="3">
                  <c:v>0.16631638246701189</c:v>
                </c:pt>
                <c:pt idx="4">
                  <c:v>0.16242640464771707</c:v>
                </c:pt>
                <c:pt idx="5">
                  <c:v>0.16713348497095701</c:v>
                </c:pt>
                <c:pt idx="6">
                  <c:v>0.1813238115759124</c:v>
                </c:pt>
              </c:numCache>
            </c:numRef>
          </c:val>
          <c:smooth val="0"/>
        </c:ser>
        <c:dLbls>
          <c:showLegendKey val="0"/>
          <c:showVal val="1"/>
          <c:showCatName val="0"/>
          <c:showSerName val="0"/>
          <c:showPercent val="0"/>
          <c:showBubbleSize val="0"/>
        </c:dLbls>
        <c:axId val="273908096"/>
        <c:axId val="273910784"/>
        <c:axId val="273884032"/>
      </c:line3DChart>
      <c:catAx>
        <c:axId val="273908096"/>
        <c:scaling>
          <c:orientation val="minMax"/>
        </c:scaling>
        <c:delete val="0"/>
        <c:axPos val="b"/>
        <c:majorTickMark val="none"/>
        <c:minorTickMark val="none"/>
        <c:tickLblPos val="nextTo"/>
        <c:crossAx val="273910784"/>
        <c:crosses val="autoZero"/>
        <c:auto val="1"/>
        <c:lblAlgn val="ctr"/>
        <c:lblOffset val="100"/>
        <c:noMultiLvlLbl val="0"/>
      </c:catAx>
      <c:valAx>
        <c:axId val="273910784"/>
        <c:scaling>
          <c:orientation val="minMax"/>
        </c:scaling>
        <c:delete val="1"/>
        <c:axPos val="l"/>
        <c:numFmt formatCode="0%" sourceLinked="1"/>
        <c:majorTickMark val="out"/>
        <c:minorTickMark val="none"/>
        <c:tickLblPos val="nextTo"/>
        <c:crossAx val="273908096"/>
        <c:crosses val="autoZero"/>
        <c:crossBetween val="between"/>
      </c:valAx>
      <c:serAx>
        <c:axId val="273884032"/>
        <c:scaling>
          <c:orientation val="minMax"/>
        </c:scaling>
        <c:delete val="1"/>
        <c:axPos val="b"/>
        <c:majorTickMark val="out"/>
        <c:minorTickMark val="none"/>
        <c:tickLblPos val="nextTo"/>
        <c:crossAx val="273910784"/>
        <c:crosses val="autoZero"/>
      </c:ser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List2!$A$6</c:f>
              <c:strCache>
                <c:ptCount val="1"/>
                <c:pt idx="0">
                  <c:v>Podíl DPH na příjmech SR</c:v>
                </c:pt>
              </c:strCache>
            </c:strRef>
          </c:tx>
          <c:dLbls>
            <c:dLbl>
              <c:idx val="0"/>
              <c:layout>
                <c:manualLayout>
                  <c:x val="0"/>
                  <c:y val="-5.0925925925925923E-2"/>
                </c:manualLayout>
              </c:layout>
              <c:showLegendKey val="0"/>
              <c:showVal val="1"/>
              <c:showCatName val="0"/>
              <c:showSerName val="0"/>
              <c:showPercent val="0"/>
              <c:showBubbleSize val="0"/>
            </c:dLbl>
            <c:dLbl>
              <c:idx val="1"/>
              <c:layout>
                <c:manualLayout>
                  <c:x val="2.7777777777777779E-3"/>
                  <c:y val="-6.9444444444444448E-2"/>
                </c:manualLayout>
              </c:layout>
              <c:showLegendKey val="0"/>
              <c:showVal val="1"/>
              <c:showCatName val="0"/>
              <c:showSerName val="0"/>
              <c:showPercent val="0"/>
              <c:showBubbleSize val="0"/>
            </c:dLbl>
            <c:dLbl>
              <c:idx val="2"/>
              <c:layout>
                <c:manualLayout>
                  <c:x val="1.1111111111111112E-2"/>
                  <c:y val="-5.0925925925925923E-2"/>
                </c:manualLayout>
              </c:layout>
              <c:showLegendKey val="0"/>
              <c:showVal val="1"/>
              <c:showCatName val="0"/>
              <c:showSerName val="0"/>
              <c:showPercent val="0"/>
              <c:showBubbleSize val="0"/>
            </c:dLbl>
            <c:dLbl>
              <c:idx val="3"/>
              <c:layout>
                <c:manualLayout>
                  <c:x val="1.6666666666666718E-2"/>
                  <c:y val="-4.1666666666666664E-2"/>
                </c:manualLayout>
              </c:layout>
              <c:showLegendKey val="0"/>
              <c:showVal val="1"/>
              <c:showCatName val="0"/>
              <c:showSerName val="0"/>
              <c:showPercent val="0"/>
              <c:showBubbleSize val="0"/>
            </c:dLbl>
            <c:dLbl>
              <c:idx val="4"/>
              <c:layout>
                <c:manualLayout>
                  <c:x val="1.3888888888888888E-2"/>
                  <c:y val="-3.7037037037037035E-2"/>
                </c:manualLayout>
              </c:layout>
              <c:showLegendKey val="0"/>
              <c:showVal val="1"/>
              <c:showCatName val="0"/>
              <c:showSerName val="0"/>
              <c:showPercent val="0"/>
              <c:showBubbleSize val="0"/>
            </c:dLbl>
            <c:dLbl>
              <c:idx val="5"/>
              <c:layout>
                <c:manualLayout>
                  <c:x val="2.5000000000000001E-2"/>
                  <c:y val="-4.6296296296296294E-2"/>
                </c:manualLayout>
              </c:layout>
              <c:showLegendKey val="0"/>
              <c:showVal val="1"/>
              <c:showCatName val="0"/>
              <c:showSerName val="0"/>
              <c:showPercent val="0"/>
              <c:showBubbleSize val="0"/>
            </c:dLbl>
            <c:dLbl>
              <c:idx val="6"/>
              <c:layout>
                <c:manualLayout>
                  <c:x val="1.3888888888888888E-2"/>
                  <c:y val="-5.5555555555555552E-2"/>
                </c:manualLayout>
              </c:layout>
              <c:showLegendKey val="0"/>
              <c:showVal val="1"/>
              <c:showCatName val="0"/>
              <c:showSerName val="0"/>
              <c:showPercent val="0"/>
              <c:showBubbleSize val="0"/>
            </c:dLbl>
            <c:dLbl>
              <c:idx val="7"/>
              <c:layout>
                <c:manualLayout>
                  <c:x val="0"/>
                  <c:y val="-4.629629629629629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val>
            <c:numRef>
              <c:f>List2!$B$6:$I$6</c:f>
              <c:numCache>
                <c:formatCode>0%</c:formatCode>
                <c:ptCount val="8"/>
                <c:pt idx="0">
                  <c:v>0.3595428002625809</c:v>
                </c:pt>
                <c:pt idx="1">
                  <c:v>0.41071752652158844</c:v>
                </c:pt>
                <c:pt idx="2">
                  <c:v>0.47325798047113582</c:v>
                </c:pt>
                <c:pt idx="3">
                  <c:v>0.43996616171821751</c:v>
                </c:pt>
                <c:pt idx="4">
                  <c:v>0.42200360002482779</c:v>
                </c:pt>
                <c:pt idx="5">
                  <c:v>0.40806489423776993</c:v>
                </c:pt>
                <c:pt idx="6">
                  <c:v>0.36490564849182167</c:v>
                </c:pt>
                <c:pt idx="7">
                  <c:v>0.40653102419505688</c:v>
                </c:pt>
              </c:numCache>
            </c:numRef>
          </c:val>
          <c:smooth val="0"/>
        </c:ser>
        <c:dLbls>
          <c:showLegendKey val="0"/>
          <c:showVal val="1"/>
          <c:showCatName val="0"/>
          <c:showSerName val="0"/>
          <c:showPercent val="0"/>
          <c:showBubbleSize val="0"/>
        </c:dLbls>
        <c:axId val="273931264"/>
        <c:axId val="273934208"/>
        <c:axId val="265083072"/>
      </c:line3DChart>
      <c:catAx>
        <c:axId val="273931264"/>
        <c:scaling>
          <c:orientation val="minMax"/>
        </c:scaling>
        <c:delete val="0"/>
        <c:axPos val="b"/>
        <c:majorTickMark val="none"/>
        <c:minorTickMark val="none"/>
        <c:tickLblPos val="nextTo"/>
        <c:crossAx val="273934208"/>
        <c:crosses val="autoZero"/>
        <c:auto val="1"/>
        <c:lblAlgn val="ctr"/>
        <c:lblOffset val="100"/>
        <c:tickLblSkip val="1"/>
        <c:noMultiLvlLbl val="0"/>
      </c:catAx>
      <c:valAx>
        <c:axId val="273934208"/>
        <c:scaling>
          <c:orientation val="minMax"/>
        </c:scaling>
        <c:delete val="1"/>
        <c:axPos val="l"/>
        <c:numFmt formatCode="0%" sourceLinked="1"/>
        <c:majorTickMark val="none"/>
        <c:minorTickMark val="none"/>
        <c:tickLblPos val="nextTo"/>
        <c:crossAx val="273931264"/>
        <c:crosses val="autoZero"/>
        <c:crossBetween val="between"/>
      </c:valAx>
      <c:serAx>
        <c:axId val="265083072"/>
        <c:scaling>
          <c:orientation val="minMax"/>
        </c:scaling>
        <c:delete val="1"/>
        <c:axPos val="b"/>
        <c:majorTickMark val="out"/>
        <c:minorTickMark val="none"/>
        <c:tickLblPos val="nextTo"/>
        <c:crossAx val="273934208"/>
        <c:crosses val="autoZero"/>
      </c:serAx>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3E5F79D5307E41539779935AA726D47A"/>
        <w:category>
          <w:name w:val="Obecné"/>
          <w:gallery w:val="placeholder"/>
        </w:category>
        <w:types>
          <w:type w:val="bbPlcHdr"/>
        </w:types>
        <w:behaviors>
          <w:behavior w:val="content"/>
        </w:behaviors>
        <w:guid w:val="{0382DCDE-765E-4531-BA3A-C66E2714DFC7}"/>
      </w:docPartPr>
      <w:docPartBody>
        <w:p w:rsidR="006B46BE" w:rsidRDefault="00523715" w:rsidP="00523715">
          <w:pPr>
            <w:pStyle w:val="3E5F79D5307E41539779935AA726D47A"/>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
      <w:docPartPr>
        <w:name w:val="7C58E2DA4D5641F0BFC2CB32A61A718B"/>
        <w:category>
          <w:name w:val="Obecné"/>
          <w:gallery w:val="placeholder"/>
        </w:category>
        <w:types>
          <w:type w:val="bbPlcHdr"/>
        </w:types>
        <w:behaviors>
          <w:behavior w:val="content"/>
        </w:behaviors>
        <w:guid w:val="{D943AE53-B436-4DBB-91F9-7A575A5E79BB}"/>
      </w:docPartPr>
      <w:docPartBody>
        <w:p w:rsidR="00BA640E" w:rsidRDefault="00BA640E" w:rsidP="00BA640E">
          <w:pPr>
            <w:pStyle w:val="7C58E2DA4D5641F0BFC2CB32A61A718B"/>
          </w:pPr>
          <w:r w:rsidRPr="00C33043">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Georgia">
    <w:panose1 w:val="02040502050405020303"/>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523715"/>
    <w:rsid w:val="000A14CD"/>
    <w:rsid w:val="002B5CE6"/>
    <w:rsid w:val="003C352E"/>
    <w:rsid w:val="00523715"/>
    <w:rsid w:val="00554D03"/>
    <w:rsid w:val="00691AD4"/>
    <w:rsid w:val="006B46BE"/>
    <w:rsid w:val="00702D5C"/>
    <w:rsid w:val="00876417"/>
    <w:rsid w:val="008A2A62"/>
    <w:rsid w:val="00971098"/>
    <w:rsid w:val="00B5365C"/>
    <w:rsid w:val="00B72CCC"/>
    <w:rsid w:val="00B94876"/>
    <w:rsid w:val="00BA640E"/>
    <w:rsid w:val="00D1264D"/>
    <w:rsid w:val="00D539B1"/>
    <w:rsid w:val="00E92CD7"/>
    <w:rsid w:val="00F15830"/>
    <w:rsid w:val="00F522BC"/>
    <w:rsid w:val="00F933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A640E"/>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7C58E2DA4D5641F0BFC2CB32A61A718B">
    <w:name w:val="7C58E2DA4D5641F0BFC2CB32A61A718B"/>
    <w:rsid w:val="00BA64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BA1E217-E710-4A56-BEA1-1272DA13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2121</TotalTime>
  <Pages>41</Pages>
  <Words>6643</Words>
  <Characters>39195</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45747</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lenka.klembarova</cp:lastModifiedBy>
  <cp:revision>30</cp:revision>
  <cp:lastPrinted>2010-09-12T11:19:00Z</cp:lastPrinted>
  <dcterms:created xsi:type="dcterms:W3CDTF">2011-10-25T08:34:00Z</dcterms:created>
  <dcterms:modified xsi:type="dcterms:W3CDTF">2011-11-01T18:21:00Z</dcterms:modified>
</cp:coreProperties>
</file>