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549" w:rsidRPr="00A8203C" w:rsidRDefault="00937549" w:rsidP="00937549">
      <w:pPr>
        <w:pStyle w:val="Nadpis1"/>
        <w:numPr>
          <w:ilvl w:val="0"/>
          <w:numId w:val="1"/>
        </w:numPr>
        <w:spacing w:before="0"/>
        <w:ind w:left="431" w:hanging="431"/>
        <w:jc w:val="left"/>
        <w:rPr>
          <w:sz w:val="32"/>
          <w:szCs w:val="32"/>
          <w:lang w:val="cs-CZ" w:eastAsia="cs-CZ"/>
        </w:rPr>
        <w:sectPr w:rsidR="00937549" w:rsidRPr="00A8203C" w:rsidSect="00937549">
          <w:footerReference w:type="default" r:id="rId5"/>
          <w:pgSz w:w="11907" w:h="16839" w:code="9"/>
          <w:pgMar w:top="1418" w:right="1418" w:bottom="1418" w:left="1985" w:header="709" w:footer="709" w:gutter="0"/>
          <w:cols w:space="708"/>
          <w:noEndnote/>
          <w:docGrid w:linePitch="326"/>
        </w:sectPr>
      </w:pPr>
      <w:bookmarkStart w:id="0" w:name="_Toc4780800"/>
      <w:bookmarkStart w:id="1" w:name="_Toc4791158"/>
      <w:r w:rsidRPr="00A8203C">
        <w:rPr>
          <w:sz w:val="32"/>
          <w:szCs w:val="32"/>
          <w:lang w:val="cs-CZ" w:eastAsia="cs-CZ"/>
        </w:rPr>
        <w:t>Příloh</w:t>
      </w:r>
      <w:bookmarkEnd w:id="0"/>
      <w:bookmarkEnd w:id="1"/>
      <w:r>
        <w:rPr>
          <w:sz w:val="32"/>
          <w:szCs w:val="32"/>
          <w:lang w:val="cs-CZ" w:eastAsia="cs-CZ"/>
        </w:rPr>
        <w:t>y</w:t>
      </w:r>
      <w:bookmarkStart w:id="2" w:name="_GoBack"/>
      <w:bookmarkEnd w:id="2"/>
    </w:p>
    <w:p w:rsidR="00937549" w:rsidRDefault="00937549" w:rsidP="00937549">
      <w:r>
        <w:lastRenderedPageBreak/>
        <w:t>PŘÍLOHA č.1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72"/>
        <w:gridCol w:w="1444"/>
        <w:gridCol w:w="1468"/>
        <w:gridCol w:w="1804"/>
        <w:gridCol w:w="1444"/>
      </w:tblGrid>
      <w:tr w:rsidR="00937549" w:rsidTr="003E264D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549" w:rsidRPr="00105F66" w:rsidRDefault="00937549" w:rsidP="003E264D">
            <w:pPr>
              <w:spacing w:line="360" w:lineRule="auto"/>
              <w:rPr>
                <w:b/>
              </w:rPr>
            </w:pPr>
            <w:r w:rsidRPr="00105F66">
              <w:rPr>
                <w:b/>
              </w:rPr>
              <w:t>Rok</w:t>
            </w:r>
            <w:r>
              <w:rPr>
                <w:b/>
              </w:rPr>
              <w:t xml:space="preserve"> (ČR)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549" w:rsidRPr="00105F66" w:rsidRDefault="00937549" w:rsidP="003E264D">
            <w:pPr>
              <w:spacing w:line="360" w:lineRule="auto"/>
              <w:rPr>
                <w:b/>
              </w:rPr>
            </w:pPr>
            <w:r w:rsidRPr="00105F66">
              <w:rPr>
                <w:b/>
              </w:rPr>
              <w:t>Reálné HDP</w:t>
            </w:r>
            <w:r>
              <w:rPr>
                <w:b/>
              </w:rPr>
              <w:t xml:space="preserve"> (ČR)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549" w:rsidRPr="00105F66" w:rsidRDefault="00937549" w:rsidP="003E264D">
            <w:pPr>
              <w:spacing w:line="360" w:lineRule="auto"/>
              <w:rPr>
                <w:b/>
              </w:rPr>
            </w:pPr>
            <w:r w:rsidRPr="00105F66">
              <w:rPr>
                <w:b/>
              </w:rPr>
              <w:t>Řetězové indexy v %</w:t>
            </w:r>
            <w:r>
              <w:rPr>
                <w:b/>
              </w:rPr>
              <w:t xml:space="preserve"> (ČR)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549" w:rsidRPr="00105F66" w:rsidRDefault="00937549" w:rsidP="003E264D">
            <w:pPr>
              <w:spacing w:line="360" w:lineRule="auto"/>
              <w:rPr>
                <w:b/>
              </w:rPr>
            </w:pPr>
            <w:r w:rsidRPr="00105F66">
              <w:rPr>
                <w:b/>
              </w:rPr>
              <w:t>Bazické indexy v %</w:t>
            </w:r>
            <w:r>
              <w:rPr>
                <w:b/>
              </w:rPr>
              <w:t xml:space="preserve"> (ČR)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549" w:rsidRPr="00105F66" w:rsidRDefault="00937549" w:rsidP="003E264D">
            <w:pPr>
              <w:spacing w:line="360" w:lineRule="auto"/>
              <w:rPr>
                <w:b/>
              </w:rPr>
            </w:pPr>
            <w:r w:rsidRPr="00105F66">
              <w:rPr>
                <w:b/>
              </w:rPr>
              <w:t>Koeficienty růstu</w:t>
            </w:r>
            <w:r>
              <w:rPr>
                <w:b/>
              </w:rPr>
              <w:t xml:space="preserve"> (ČR)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549" w:rsidRPr="00105F66" w:rsidRDefault="00937549" w:rsidP="003E264D">
            <w:pPr>
              <w:spacing w:line="360" w:lineRule="auto"/>
              <w:rPr>
                <w:b/>
              </w:rPr>
            </w:pPr>
            <w:r w:rsidRPr="00105F66">
              <w:rPr>
                <w:b/>
              </w:rPr>
              <w:t xml:space="preserve">Tempo růstu % </w:t>
            </w:r>
            <w:r>
              <w:rPr>
                <w:b/>
              </w:rPr>
              <w:t>(ČR)</w:t>
            </w:r>
          </w:p>
        </w:tc>
      </w:tr>
      <w:tr w:rsidR="00937549" w:rsidTr="003E264D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68"/>
            </w:tblGrid>
            <w:tr w:rsidR="00937549" w:rsidTr="003E264D">
              <w:trPr>
                <w:trHeight w:val="290"/>
              </w:trPr>
              <w:tc>
                <w:tcPr>
                  <w:tcW w:w="1258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1998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258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1999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258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258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2001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258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2002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258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2003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258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2004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258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2005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258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2006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258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2007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258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2008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258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2009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258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2010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258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2011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258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2012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258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2013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258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2014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258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2015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258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2016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258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2017</w:t>
                  </w:r>
                </w:p>
              </w:tc>
            </w:tr>
          </w:tbl>
          <w:p w:rsidR="00937549" w:rsidRDefault="00937549" w:rsidP="003E264D">
            <w:pPr>
              <w:spacing w:line="36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2"/>
            </w:tblGrid>
            <w:tr w:rsidR="00937549" w:rsidTr="003E264D">
              <w:trPr>
                <w:trHeight w:val="290"/>
              </w:trPr>
              <w:tc>
                <w:tcPr>
                  <w:tcW w:w="1032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143,57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032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145,63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032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151,84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032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156,26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032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158,8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032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164,56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032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172,64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032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183,92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032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196,52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032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207,53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032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213,1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032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202,87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032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207,48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032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211,17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032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209,48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032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208,46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032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214,12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032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225,49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032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231,34</w:t>
                  </w:r>
                </w:p>
              </w:tc>
            </w:tr>
            <w:tr w:rsidR="00937549" w:rsidTr="003E264D">
              <w:trPr>
                <w:trHeight w:val="290"/>
              </w:trPr>
              <w:tc>
                <w:tcPr>
                  <w:tcW w:w="1032" w:type="dxa"/>
                  <w:hideMark/>
                </w:tcPr>
                <w:p w:rsidR="00937549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241,26</w:t>
                  </w:r>
                </w:p>
              </w:tc>
            </w:tr>
          </w:tbl>
          <w:p w:rsidR="00937549" w:rsidRDefault="00937549" w:rsidP="003E264D">
            <w:pPr>
              <w:spacing w:line="36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-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101,4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104,3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102,9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101,6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103,6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104,9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106,5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106,9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105,6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102,7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95,2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102,3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101,8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99,5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102,7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105,3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102,6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104,3</w:t>
                  </w:r>
                </w:p>
              </w:tc>
            </w:tr>
          </w:tbl>
          <w:p w:rsidR="00937549" w:rsidRDefault="00937549" w:rsidP="003E264D">
            <w:pPr>
              <w:spacing w:line="36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-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70,2</w:t>
                  </w:r>
                </w:p>
                <w:p w:rsidR="00937549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73,2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75,3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76,5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79,3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83,2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88,6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94,7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102,7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97,8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tbl>
                  <w:tblPr>
                    <w:tblW w:w="96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937549" w:rsidTr="003E264D">
                    <w:trPr>
                      <w:trHeight w:val="300"/>
                    </w:trPr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937549" w:rsidRDefault="00937549" w:rsidP="003E264D">
                        <w:pPr>
                          <w:spacing w:after="0" w:line="360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c>
                  </w:tr>
                  <w:tr w:rsidR="00937549" w:rsidTr="003E264D">
                    <w:trPr>
                      <w:trHeight w:val="300"/>
                    </w:trPr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937549" w:rsidRDefault="00937549" w:rsidP="003E264D">
                        <w:pPr>
                          <w:spacing w:after="0" w:line="360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101,8</w:t>
                        </w:r>
                      </w:p>
                    </w:tc>
                  </w:tr>
                  <w:tr w:rsidR="00937549" w:rsidTr="003E264D">
                    <w:trPr>
                      <w:trHeight w:val="300"/>
                    </w:trPr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937549" w:rsidRDefault="00937549" w:rsidP="003E264D">
                        <w:pPr>
                          <w:spacing w:after="0" w:line="360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101</w:t>
                        </w:r>
                      </w:p>
                    </w:tc>
                  </w:tr>
                  <w:tr w:rsidR="00937549" w:rsidTr="003E264D">
                    <w:trPr>
                      <w:trHeight w:val="300"/>
                    </w:trPr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937549" w:rsidRDefault="00937549" w:rsidP="003E264D">
                        <w:pPr>
                          <w:spacing w:after="0" w:line="360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100,5</w:t>
                        </w:r>
                      </w:p>
                    </w:tc>
                  </w:tr>
                  <w:tr w:rsidR="00937549" w:rsidTr="003E264D">
                    <w:trPr>
                      <w:trHeight w:val="300"/>
                    </w:trPr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937549" w:rsidRDefault="00937549" w:rsidP="003E264D">
                        <w:pPr>
                          <w:spacing w:after="0" w:line="360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103,2</w:t>
                        </w:r>
                      </w:p>
                    </w:tc>
                  </w:tr>
                  <w:tr w:rsidR="00937549" w:rsidTr="003E264D">
                    <w:trPr>
                      <w:trHeight w:val="300"/>
                    </w:trPr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937549" w:rsidRDefault="00937549" w:rsidP="003E264D">
                        <w:pPr>
                          <w:spacing w:after="0" w:line="360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108,7</w:t>
                        </w:r>
                      </w:p>
                    </w:tc>
                  </w:tr>
                  <w:tr w:rsidR="00937549" w:rsidTr="003E264D">
                    <w:trPr>
                      <w:trHeight w:val="300"/>
                    </w:trPr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937549" w:rsidRDefault="00937549" w:rsidP="003E264D">
                        <w:pPr>
                          <w:spacing w:after="0" w:line="360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111,5</w:t>
                        </w:r>
                      </w:p>
                    </w:tc>
                  </w:tr>
                  <w:tr w:rsidR="00937549" w:rsidTr="003E264D">
                    <w:trPr>
                      <w:trHeight w:val="300"/>
                    </w:trPr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937549" w:rsidRDefault="00937549" w:rsidP="003E264D">
                        <w:pPr>
                          <w:spacing w:after="0" w:line="360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116,3</w:t>
                        </w:r>
                      </w:p>
                    </w:tc>
                  </w:tr>
                </w:tbl>
                <w:p w:rsidR="00937549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937549" w:rsidRDefault="00937549" w:rsidP="003E264D">
            <w:pPr>
              <w:spacing w:line="360" w:lineRule="auto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5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314"/>
              <w:gridCol w:w="314"/>
            </w:tblGrid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1,0143</w:t>
                  </w: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1,0426</w:t>
                  </w: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1,0291</w:t>
                  </w: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1,0163</w:t>
                  </w: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1,0363</w:t>
                  </w: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1,0491</w:t>
                  </w: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1,0653</w:t>
                  </w: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1,0685</w:t>
                  </w: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1,056</w:t>
                  </w: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1,0268</w:t>
                  </w: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0,952</w:t>
                  </w: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1,0227</w:t>
                  </w: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1,0178</w:t>
                  </w: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0,992</w:t>
                  </w: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0,9951</w:t>
                  </w: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1,0272</w:t>
                  </w: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1,0531</w:t>
                  </w: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1,0259</w:t>
                  </w: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1,0429</w:t>
                  </w: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314" w:type="dxa"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937549" w:rsidRDefault="00937549" w:rsidP="003E264D">
            <w:pPr>
              <w:spacing w:line="36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-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1,4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4,3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2,9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4,9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6,5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6,9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5,6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2,7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-4,8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2,3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1,8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-0,8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-0,5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2,7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5,3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2,6</w:t>
                  </w:r>
                </w:p>
              </w:tc>
            </w:tr>
            <w:tr w:rsidR="00937549" w:rsidTr="003E264D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937549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4,3</w:t>
                  </w:r>
                </w:p>
              </w:tc>
            </w:tr>
          </w:tbl>
          <w:p w:rsidR="00937549" w:rsidRPr="00604F50" w:rsidRDefault="00937549" w:rsidP="003E264D">
            <w:pPr>
              <w:spacing w:line="360" w:lineRule="auto"/>
            </w:pPr>
          </w:p>
        </w:tc>
      </w:tr>
      <w:tr w:rsidR="00937549" w:rsidRPr="007A2F41" w:rsidTr="003E264D">
        <w:tc>
          <w:tcPr>
            <w:tcW w:w="1498" w:type="dxa"/>
            <w:shd w:val="clear" w:color="auto" w:fill="auto"/>
          </w:tcPr>
          <w:p w:rsidR="00937549" w:rsidRPr="001C6EC9" w:rsidRDefault="00937549" w:rsidP="003E264D">
            <w:pPr>
              <w:spacing w:line="360" w:lineRule="auto"/>
              <w:rPr>
                <w:b/>
              </w:rPr>
            </w:pPr>
            <w:r w:rsidRPr="001C6EC9">
              <w:rPr>
                <w:b/>
              </w:rPr>
              <w:lastRenderedPageBreak/>
              <w:t xml:space="preserve">Rok </w:t>
            </w:r>
            <w:r>
              <w:rPr>
                <w:b/>
              </w:rPr>
              <w:t>(</w:t>
            </w:r>
            <w:r w:rsidRPr="001C6EC9">
              <w:rPr>
                <w:b/>
              </w:rPr>
              <w:t>SRN</w:t>
            </w:r>
            <w:r>
              <w:rPr>
                <w:b/>
              </w:rPr>
              <w:t>)</w:t>
            </w:r>
          </w:p>
        </w:tc>
        <w:tc>
          <w:tcPr>
            <w:tcW w:w="1501" w:type="dxa"/>
            <w:shd w:val="clear" w:color="auto" w:fill="auto"/>
          </w:tcPr>
          <w:p w:rsidR="00937549" w:rsidRPr="001C6EC9" w:rsidRDefault="00937549" w:rsidP="003E264D">
            <w:pPr>
              <w:spacing w:line="360" w:lineRule="auto"/>
              <w:rPr>
                <w:b/>
              </w:rPr>
            </w:pPr>
            <w:r w:rsidRPr="001C6EC9">
              <w:rPr>
                <w:b/>
              </w:rPr>
              <w:t>HDP v </w:t>
            </w:r>
            <w:proofErr w:type="spellStart"/>
            <w:r w:rsidRPr="001C6EC9">
              <w:rPr>
                <w:b/>
              </w:rPr>
              <w:t>mld.USD</w:t>
            </w:r>
            <w:proofErr w:type="spellEnd"/>
            <w:r w:rsidRPr="001C6EC9">
              <w:rPr>
                <w:b/>
              </w:rPr>
              <w:t xml:space="preserve"> </w:t>
            </w:r>
            <w:r>
              <w:rPr>
                <w:b/>
              </w:rPr>
              <w:t>(SRN)</w:t>
            </w:r>
          </w:p>
        </w:tc>
        <w:tc>
          <w:tcPr>
            <w:tcW w:w="1501" w:type="dxa"/>
            <w:shd w:val="clear" w:color="auto" w:fill="auto"/>
          </w:tcPr>
          <w:p w:rsidR="00937549" w:rsidRPr="001C6EC9" w:rsidRDefault="00937549" w:rsidP="003E264D">
            <w:pPr>
              <w:spacing w:line="360" w:lineRule="auto"/>
              <w:rPr>
                <w:b/>
              </w:rPr>
            </w:pPr>
            <w:r w:rsidRPr="001C6EC9">
              <w:rPr>
                <w:b/>
              </w:rPr>
              <w:t>Řetězové indexy v %</w:t>
            </w:r>
            <w:r>
              <w:rPr>
                <w:b/>
              </w:rPr>
              <w:t xml:space="preserve"> (SRN)</w:t>
            </w:r>
          </w:p>
        </w:tc>
        <w:tc>
          <w:tcPr>
            <w:tcW w:w="1501" w:type="dxa"/>
            <w:shd w:val="clear" w:color="auto" w:fill="auto"/>
          </w:tcPr>
          <w:p w:rsidR="00937549" w:rsidRPr="001C6EC9" w:rsidRDefault="00937549" w:rsidP="003E264D">
            <w:pPr>
              <w:spacing w:line="360" w:lineRule="auto"/>
              <w:rPr>
                <w:b/>
              </w:rPr>
            </w:pPr>
            <w:r w:rsidRPr="001C6EC9">
              <w:rPr>
                <w:b/>
              </w:rPr>
              <w:t>Bazické indexy v %</w:t>
            </w:r>
            <w:r>
              <w:rPr>
                <w:b/>
              </w:rPr>
              <w:t xml:space="preserve"> (SRN)</w:t>
            </w:r>
          </w:p>
        </w:tc>
        <w:tc>
          <w:tcPr>
            <w:tcW w:w="1502" w:type="dxa"/>
            <w:shd w:val="clear" w:color="auto" w:fill="auto"/>
          </w:tcPr>
          <w:p w:rsidR="00937549" w:rsidRPr="001C6EC9" w:rsidRDefault="00937549" w:rsidP="003E264D">
            <w:pPr>
              <w:spacing w:line="360" w:lineRule="auto"/>
              <w:rPr>
                <w:b/>
              </w:rPr>
            </w:pPr>
            <w:r w:rsidRPr="001C6EC9">
              <w:rPr>
                <w:b/>
              </w:rPr>
              <w:t>Koeficienty růstu</w:t>
            </w:r>
            <w:r>
              <w:rPr>
                <w:b/>
              </w:rPr>
              <w:t xml:space="preserve"> (SRN)</w:t>
            </w:r>
          </w:p>
        </w:tc>
        <w:tc>
          <w:tcPr>
            <w:tcW w:w="1501" w:type="dxa"/>
            <w:shd w:val="clear" w:color="auto" w:fill="auto"/>
          </w:tcPr>
          <w:p w:rsidR="00937549" w:rsidRPr="001C6EC9" w:rsidRDefault="00937549" w:rsidP="003E264D">
            <w:pPr>
              <w:spacing w:line="360" w:lineRule="auto"/>
              <w:rPr>
                <w:b/>
              </w:rPr>
            </w:pPr>
            <w:r w:rsidRPr="001C6EC9">
              <w:rPr>
                <w:b/>
              </w:rPr>
              <w:t>Tempo růstu %</w:t>
            </w:r>
            <w:r>
              <w:rPr>
                <w:b/>
              </w:rPr>
              <w:t xml:space="preserve"> (SRN)</w:t>
            </w:r>
          </w:p>
        </w:tc>
      </w:tr>
      <w:tr w:rsidR="00937549" w:rsidRPr="007A2F41" w:rsidTr="003E264D">
        <w:tc>
          <w:tcPr>
            <w:tcW w:w="1498" w:type="dxa"/>
            <w:shd w:val="clear" w:color="auto" w:fill="auto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168"/>
            </w:tblGrid>
            <w:tr w:rsidR="00937549" w:rsidRPr="007A2F41" w:rsidTr="003E264D">
              <w:trPr>
                <w:trHeight w:val="290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1998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1999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2000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2001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2002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2003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2004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2005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2006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2007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2008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2009</w:t>
                  </w:r>
                </w:p>
              </w:tc>
            </w:tr>
            <w:tr w:rsidR="00937549" w:rsidRPr="00A432B7" w:rsidTr="003E264D">
              <w:trPr>
                <w:trHeight w:val="290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A432B7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b/>
                      <w:color w:val="000000"/>
                    </w:rPr>
                  </w:pPr>
                  <w:r w:rsidRPr="00A432B7">
                    <w:rPr>
                      <w:b/>
                      <w:color w:val="000000"/>
                    </w:rPr>
                    <w:t>2010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2011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2012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lastRenderedPageBreak/>
                    <w:t>2013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2014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2015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2016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2017</w:t>
                  </w:r>
                </w:p>
              </w:tc>
            </w:tr>
          </w:tbl>
          <w:p w:rsidR="00937549" w:rsidRPr="007A2F41" w:rsidRDefault="00937549" w:rsidP="003E264D">
            <w:pPr>
              <w:spacing w:line="360" w:lineRule="auto"/>
            </w:pPr>
          </w:p>
        </w:tc>
        <w:tc>
          <w:tcPr>
            <w:tcW w:w="1501" w:type="dxa"/>
            <w:shd w:val="clear" w:color="auto" w:fill="auto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32"/>
            </w:tblGrid>
            <w:tr w:rsidR="00937549" w:rsidRPr="007A2F41" w:rsidTr="003E264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lastRenderedPageBreak/>
                    <w:t>2974,9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3034,04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3123,9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3176,9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3176,9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3154,3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3191,2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3213,8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3332,7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3441,4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3478,6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3283,1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3417,1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3542,2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3559,6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lastRenderedPageBreak/>
                    <w:t>3547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3646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3709,6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3781,7</w:t>
                  </w:r>
                </w:p>
              </w:tc>
            </w:tr>
            <w:tr w:rsidR="00937549" w:rsidRPr="007A2F41" w:rsidTr="003E264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549" w:rsidRPr="007A2F41" w:rsidRDefault="00937549" w:rsidP="003E26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3865,8</w:t>
                  </w:r>
                </w:p>
              </w:tc>
            </w:tr>
          </w:tbl>
          <w:p w:rsidR="00937549" w:rsidRPr="007A2F41" w:rsidRDefault="00937549" w:rsidP="003E264D">
            <w:pPr>
              <w:spacing w:line="360" w:lineRule="auto"/>
            </w:pPr>
          </w:p>
        </w:tc>
        <w:tc>
          <w:tcPr>
            <w:tcW w:w="1501" w:type="dxa"/>
            <w:shd w:val="clear" w:color="auto" w:fill="auto"/>
          </w:tcPr>
          <w:p w:rsidR="00937549" w:rsidRPr="007A2F41" w:rsidRDefault="00937549" w:rsidP="003E264D">
            <w:pPr>
              <w:spacing w:line="360" w:lineRule="auto"/>
            </w:pPr>
            <w:r w:rsidRPr="007A2F41">
              <w:lastRenderedPageBreak/>
              <w:t>-</w:t>
            </w:r>
          </w:p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102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103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101,7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100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99,3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101,2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100,7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103,7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103,3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101,1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94,4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104,1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103,7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100,5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lastRenderedPageBreak/>
                    <w:t>99,6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102,8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101,7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101,9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102,2</w:t>
                  </w:r>
                </w:p>
              </w:tc>
            </w:tr>
          </w:tbl>
          <w:p w:rsidR="00937549" w:rsidRPr="007A2F41" w:rsidRDefault="00937549" w:rsidP="003E264D">
            <w:pPr>
              <w:spacing w:line="360" w:lineRule="auto"/>
            </w:pPr>
          </w:p>
        </w:tc>
        <w:tc>
          <w:tcPr>
            <w:tcW w:w="1501" w:type="dxa"/>
            <w:shd w:val="clear" w:color="auto" w:fill="auto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lastRenderedPageBreak/>
                    <w:t>-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88,8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91,4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93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93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92,3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93,4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94,1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97,5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100,7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101,8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96,5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center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100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103,7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104,2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lastRenderedPageBreak/>
                    <w:t>103,8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106,7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108,6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110,7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113,1</w:t>
                  </w:r>
                </w:p>
              </w:tc>
            </w:tr>
          </w:tbl>
          <w:p w:rsidR="00937549" w:rsidRPr="007A2F41" w:rsidRDefault="00937549" w:rsidP="003E264D">
            <w:pPr>
              <w:spacing w:line="360" w:lineRule="auto"/>
            </w:pPr>
          </w:p>
        </w:tc>
        <w:tc>
          <w:tcPr>
            <w:tcW w:w="1502" w:type="dxa"/>
            <w:shd w:val="clear" w:color="auto" w:fill="auto"/>
          </w:tcPr>
          <w:p w:rsidR="00937549" w:rsidRPr="007A2F41" w:rsidRDefault="00937549" w:rsidP="003E264D">
            <w:pPr>
              <w:spacing w:line="360" w:lineRule="auto"/>
            </w:pPr>
            <w:r w:rsidRPr="007A2F41">
              <w:lastRenderedPageBreak/>
              <w:t>-</w:t>
            </w:r>
          </w:p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1,0202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1,0296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1,017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0,9929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1,0117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1,0071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1,037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1,0326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1,0108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0,9438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1,0408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1,0366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1,0049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lastRenderedPageBreak/>
                    <w:t>0,9965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1,0279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1,0174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1,0194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1,0222</w:t>
                  </w:r>
                </w:p>
              </w:tc>
            </w:tr>
          </w:tbl>
          <w:p w:rsidR="00937549" w:rsidRPr="007A2F41" w:rsidRDefault="00937549" w:rsidP="003E264D">
            <w:pPr>
              <w:spacing w:line="360" w:lineRule="auto"/>
            </w:pPr>
          </w:p>
        </w:tc>
        <w:tc>
          <w:tcPr>
            <w:tcW w:w="1501" w:type="dxa"/>
            <w:shd w:val="clear" w:color="auto" w:fill="auto"/>
          </w:tcPr>
          <w:p w:rsidR="00937549" w:rsidRPr="007A2F41" w:rsidRDefault="00937549" w:rsidP="003E264D">
            <w:pPr>
              <w:spacing w:line="360" w:lineRule="auto"/>
            </w:pPr>
            <w:r w:rsidRPr="007A2F41">
              <w:lastRenderedPageBreak/>
              <w:t>-</w:t>
            </w:r>
          </w:p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2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1,7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0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-0,7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1,2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0,7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3,7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3,3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1,1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-5,6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4,1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3,7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0,5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lastRenderedPageBreak/>
                    <w:t>-0,4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2,8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1,7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1,9</w:t>
                  </w:r>
                </w:p>
              </w:tc>
            </w:tr>
            <w:tr w:rsidR="00937549" w:rsidRPr="007A2F41" w:rsidTr="003E264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549" w:rsidRPr="007A2F41" w:rsidRDefault="00937549" w:rsidP="003E264D">
                  <w:pPr>
                    <w:spacing w:after="0" w:line="360" w:lineRule="auto"/>
                    <w:jc w:val="right"/>
                    <w:rPr>
                      <w:color w:val="000000"/>
                    </w:rPr>
                  </w:pPr>
                  <w:r w:rsidRPr="007A2F41">
                    <w:rPr>
                      <w:color w:val="000000"/>
                    </w:rPr>
                    <w:t>2,2</w:t>
                  </w:r>
                </w:p>
              </w:tc>
            </w:tr>
          </w:tbl>
          <w:p w:rsidR="00937549" w:rsidRPr="007A2F41" w:rsidRDefault="00937549" w:rsidP="003E264D">
            <w:pPr>
              <w:spacing w:line="360" w:lineRule="auto"/>
            </w:pPr>
          </w:p>
        </w:tc>
      </w:tr>
    </w:tbl>
    <w:p w:rsidR="007C30E8" w:rsidRDefault="007C30E8"/>
    <w:sectPr w:rsidR="007C3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DF" w:rsidRPr="00371CA9" w:rsidRDefault="00937549" w:rsidP="00F17030">
    <w:pPr>
      <w:pStyle w:val="Zpat"/>
      <w:tabs>
        <w:tab w:val="clear" w:pos="4536"/>
        <w:tab w:val="clear" w:pos="9072"/>
        <w:tab w:val="center" w:pos="4395"/>
        <w:tab w:val="right" w:pos="8789"/>
      </w:tabs>
    </w:pPr>
    <w:r>
      <w:tab/>
    </w:r>
    <w:r w:rsidRPr="00371CA9">
      <w:fldChar w:fldCharType="begin"/>
    </w:r>
    <w:r w:rsidRPr="00371CA9">
      <w:instrText xml:space="preserve"> PAGE   \* MERGEFO</w:instrText>
    </w:r>
    <w:r w:rsidRPr="00371CA9">
      <w:instrText>R</w:instrText>
    </w:r>
    <w:r w:rsidRPr="00371CA9">
      <w:instrText xml:space="preserve">MAT </w:instrText>
    </w:r>
    <w:r w:rsidRPr="00371CA9">
      <w:fldChar w:fldCharType="separate"/>
    </w:r>
    <w:r>
      <w:rPr>
        <w:noProof/>
      </w:rPr>
      <w:t>8</w:t>
    </w:r>
    <w:r w:rsidRPr="00371CA9"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5C81"/>
    <w:multiLevelType w:val="multilevel"/>
    <w:tmpl w:val="3C24A196"/>
    <w:lvl w:ilvl="0">
      <w:start w:val="1"/>
      <w:numFmt w:val="decimal"/>
      <w:lvlText w:val="%1"/>
      <w:lvlJc w:val="left"/>
      <w:pPr>
        <w:ind w:left="326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3408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355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829"/>
        </w:tabs>
        <w:ind w:left="0" w:firstLine="28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dpis5"/>
      <w:lvlText w:val="%1.%2.%3.%4.%5"/>
      <w:lvlJc w:val="left"/>
      <w:pPr>
        <w:ind w:left="3840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984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4128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4416" w:hanging="1584"/>
      </w:pPr>
      <w:rPr>
        <w:rFonts w:hint="default"/>
      </w:rPr>
    </w:lvl>
  </w:abstractNum>
  <w:abstractNum w:abstractNumId="1" w15:restartNumberingAfterBreak="0">
    <w:nsid w:val="66FE5FB7"/>
    <w:multiLevelType w:val="hybridMultilevel"/>
    <w:tmpl w:val="19A89BD2"/>
    <w:lvl w:ilvl="0" w:tplc="415E2B62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49"/>
    <w:rsid w:val="004116B6"/>
    <w:rsid w:val="007C30E8"/>
    <w:rsid w:val="00937549"/>
    <w:rsid w:val="00CF1C6A"/>
    <w:rsid w:val="00D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3E00"/>
  <w15:chartTrackingRefBased/>
  <w15:docId w15:val="{181A9747-BBDE-4019-8541-33E31E9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7549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937549"/>
    <w:pPr>
      <w:keepNext/>
      <w:numPr>
        <w:numId w:val="2"/>
      </w:numPr>
      <w:spacing w:after="120" w:line="360" w:lineRule="auto"/>
      <w:outlineLvl w:val="0"/>
    </w:pPr>
    <w:rPr>
      <w:b/>
      <w:bCs/>
      <w:kern w:val="32"/>
      <w:sz w:val="28"/>
      <w:lang w:val="x-none" w:eastAsia="x-none"/>
    </w:rPr>
  </w:style>
  <w:style w:type="paragraph" w:styleId="Nadpis3">
    <w:name w:val="heading 3"/>
    <w:basedOn w:val="Normln"/>
    <w:next w:val="Normln"/>
    <w:link w:val="Nadpis3Char"/>
    <w:unhideWhenUsed/>
    <w:qFormat/>
    <w:rsid w:val="00937549"/>
    <w:pPr>
      <w:keepNext/>
      <w:numPr>
        <w:ilvl w:val="2"/>
        <w:numId w:val="1"/>
      </w:numPr>
      <w:outlineLvl w:val="2"/>
    </w:pPr>
    <w:rPr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937549"/>
    <w:pPr>
      <w:keepNext/>
      <w:numPr>
        <w:ilvl w:val="3"/>
        <w:numId w:val="1"/>
      </w:numPr>
      <w:tabs>
        <w:tab w:val="clear" w:pos="2829"/>
      </w:tabs>
      <w:spacing w:after="280"/>
      <w:ind w:firstLine="0"/>
      <w:jc w:val="left"/>
      <w:outlineLvl w:val="3"/>
    </w:pPr>
    <w:rPr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nhideWhenUsed/>
    <w:qFormat/>
    <w:rsid w:val="00937549"/>
    <w:pPr>
      <w:numPr>
        <w:ilvl w:val="4"/>
        <w:numId w:val="1"/>
      </w:numPr>
      <w:spacing w:after="60"/>
      <w:outlineLvl w:val="4"/>
    </w:pPr>
    <w:rPr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nhideWhenUsed/>
    <w:qFormat/>
    <w:rsid w:val="00937549"/>
    <w:pPr>
      <w:numPr>
        <w:ilvl w:val="5"/>
        <w:numId w:val="1"/>
      </w:numPr>
      <w:spacing w:after="60"/>
      <w:outlineLvl w:val="5"/>
    </w:pPr>
    <w:rPr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nhideWhenUsed/>
    <w:qFormat/>
    <w:rsid w:val="00937549"/>
    <w:pPr>
      <w:numPr>
        <w:ilvl w:val="6"/>
        <w:numId w:val="1"/>
      </w:numPr>
      <w:spacing w:after="60"/>
      <w:outlineLvl w:val="6"/>
    </w:pPr>
    <w:rPr>
      <w:lang w:val="x-none" w:eastAsia="x-none"/>
    </w:rPr>
  </w:style>
  <w:style w:type="paragraph" w:styleId="Nadpis8">
    <w:name w:val="heading 8"/>
    <w:basedOn w:val="Normln"/>
    <w:next w:val="Normln"/>
    <w:link w:val="Nadpis8Char"/>
    <w:unhideWhenUsed/>
    <w:qFormat/>
    <w:rsid w:val="00937549"/>
    <w:pPr>
      <w:numPr>
        <w:ilvl w:val="7"/>
        <w:numId w:val="1"/>
      </w:numPr>
      <w:spacing w:after="60"/>
      <w:outlineLvl w:val="7"/>
    </w:pPr>
    <w:rPr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unhideWhenUsed/>
    <w:qFormat/>
    <w:rsid w:val="00937549"/>
    <w:pPr>
      <w:numPr>
        <w:ilvl w:val="8"/>
        <w:numId w:val="1"/>
      </w:numPr>
      <w:spacing w:after="60"/>
      <w:outlineLvl w:val="8"/>
    </w:pPr>
    <w:rPr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7549"/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937549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937549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937549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93754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9375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93754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937549"/>
    <w:rPr>
      <w:rFonts w:ascii="Times New Roman" w:eastAsia="Times New Roman" w:hAnsi="Times New Roman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rsid w:val="009375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3754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Vinklárková</dc:creator>
  <cp:keywords/>
  <dc:description/>
  <cp:lastModifiedBy>Markéta Vinklárková</cp:lastModifiedBy>
  <cp:revision>1</cp:revision>
  <dcterms:created xsi:type="dcterms:W3CDTF">2019-03-30T21:13:00Z</dcterms:created>
  <dcterms:modified xsi:type="dcterms:W3CDTF">2019-03-30T21:14:00Z</dcterms:modified>
</cp:coreProperties>
</file>