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4A" w:rsidRPr="00634977" w:rsidRDefault="00DF354A" w:rsidP="00420E79">
      <w:pPr>
        <w:pStyle w:val="TITULNISTRANA"/>
        <w:outlineLvl w:val="0"/>
      </w:pPr>
      <w:r w:rsidRPr="00634977">
        <w:t>Univerzita Palackého v Olomouci</w:t>
      </w:r>
    </w:p>
    <w:p w:rsidR="00DF354A" w:rsidRPr="00634977" w:rsidRDefault="00DF354A" w:rsidP="00420E79">
      <w:pPr>
        <w:pStyle w:val="TITULNISTRANA"/>
        <w:outlineLvl w:val="0"/>
      </w:pPr>
      <w:r w:rsidRPr="00634977">
        <w:t>Právnická Fakulta</w:t>
      </w:r>
    </w:p>
    <w:p w:rsidR="00DF354A" w:rsidRPr="00634977" w:rsidRDefault="00DF354A" w:rsidP="0080275F">
      <w:pPr>
        <w:pStyle w:val="TITULNISTRANA"/>
      </w:pPr>
    </w:p>
    <w:p w:rsidR="00DF354A" w:rsidRPr="00634977" w:rsidRDefault="00DF354A" w:rsidP="00EB2EEC">
      <w:pPr>
        <w:pStyle w:val="TITULNISTRANA"/>
        <w:jc w:val="both"/>
      </w:pPr>
    </w:p>
    <w:p w:rsidR="00DF354A" w:rsidRPr="00634977" w:rsidRDefault="00DF354A" w:rsidP="0080275F">
      <w:pPr>
        <w:pStyle w:val="TITULNISTRANA"/>
      </w:pPr>
    </w:p>
    <w:p w:rsidR="00DF354A" w:rsidRPr="00634977" w:rsidRDefault="00DF354A" w:rsidP="00420E79">
      <w:pPr>
        <w:pStyle w:val="TITULNISTRANA"/>
        <w:outlineLvl w:val="0"/>
      </w:pPr>
      <w:r w:rsidRPr="00634977">
        <w:t>Hana Maláčová</w:t>
      </w:r>
    </w:p>
    <w:p w:rsidR="00DF354A" w:rsidRPr="00634977" w:rsidRDefault="00DF354A" w:rsidP="0080275F">
      <w:pPr>
        <w:pStyle w:val="TITULNISTRANA"/>
      </w:pPr>
    </w:p>
    <w:p w:rsidR="00DF354A" w:rsidRPr="00634977" w:rsidRDefault="00DF354A" w:rsidP="0080275F">
      <w:pPr>
        <w:pStyle w:val="TITULNISTRANA"/>
      </w:pPr>
    </w:p>
    <w:p w:rsidR="00EC1B44" w:rsidRPr="00634977" w:rsidRDefault="00DF354A" w:rsidP="00525352">
      <w:pPr>
        <w:pStyle w:val="TITULNISTRANA"/>
        <w:spacing w:after="0"/>
      </w:pPr>
      <w:r w:rsidRPr="00634977">
        <w:t>Listin</w:t>
      </w:r>
      <w:r w:rsidR="00983D38" w:rsidRPr="00634977">
        <w:t xml:space="preserve">a základních práv Evropské unie </w:t>
      </w:r>
      <w:r w:rsidRPr="00634977">
        <w:t>v činnosti soudních orgánů Evropské unie</w:t>
      </w:r>
      <w:r w:rsidR="00557C61" w:rsidRPr="00634977">
        <w:t xml:space="preserve"> </w:t>
      </w:r>
    </w:p>
    <w:p w:rsidR="00DF354A" w:rsidRPr="00634977" w:rsidRDefault="00DF354A" w:rsidP="0080275F">
      <w:pPr>
        <w:pStyle w:val="TITULNISTRANA"/>
      </w:pPr>
    </w:p>
    <w:p w:rsidR="00DF354A" w:rsidRPr="00634977" w:rsidRDefault="00DF354A" w:rsidP="0080275F">
      <w:pPr>
        <w:pStyle w:val="TITULNISTRANA"/>
      </w:pPr>
    </w:p>
    <w:p w:rsidR="00A1393F" w:rsidRPr="00634977" w:rsidRDefault="00A1393F" w:rsidP="0080275F">
      <w:pPr>
        <w:pStyle w:val="TITULNISTRANA"/>
      </w:pPr>
    </w:p>
    <w:p w:rsidR="00EB2EEC" w:rsidRPr="00634977" w:rsidRDefault="00EB2EEC" w:rsidP="0080275F">
      <w:pPr>
        <w:pStyle w:val="TITULNISTRANA"/>
      </w:pPr>
    </w:p>
    <w:p w:rsidR="00EB2EEC" w:rsidRPr="00634977" w:rsidRDefault="00EB2EEC" w:rsidP="0080275F">
      <w:pPr>
        <w:pStyle w:val="TITULNISTRANA"/>
      </w:pPr>
    </w:p>
    <w:p w:rsidR="00DF354A" w:rsidRPr="00634977" w:rsidRDefault="00DF354A" w:rsidP="00420E79">
      <w:pPr>
        <w:pStyle w:val="TITULNISTRANA"/>
        <w:outlineLvl w:val="0"/>
      </w:pPr>
      <w:r w:rsidRPr="00634977">
        <w:t>Diplomová práce</w:t>
      </w:r>
    </w:p>
    <w:p w:rsidR="00DF354A" w:rsidRPr="00634977" w:rsidRDefault="00DF354A" w:rsidP="00E26144">
      <w:pPr>
        <w:pStyle w:val="TITULNISTRANA"/>
      </w:pPr>
    </w:p>
    <w:p w:rsidR="00EB2EEC" w:rsidRPr="00634977" w:rsidRDefault="00EB2EEC" w:rsidP="00E26144">
      <w:pPr>
        <w:pStyle w:val="TITULNISTRANA"/>
      </w:pPr>
    </w:p>
    <w:p w:rsidR="00A1393F" w:rsidRPr="00634977" w:rsidRDefault="00A1393F" w:rsidP="0080275F">
      <w:pPr>
        <w:pStyle w:val="TITULNISTRANA"/>
      </w:pPr>
    </w:p>
    <w:p w:rsidR="00525352" w:rsidRPr="00634977" w:rsidRDefault="00525352" w:rsidP="0080275F">
      <w:pPr>
        <w:pStyle w:val="TITULNISTRANA"/>
      </w:pPr>
    </w:p>
    <w:p w:rsidR="00DF354A" w:rsidRPr="00634977" w:rsidRDefault="00DF354A" w:rsidP="00420E79">
      <w:pPr>
        <w:pStyle w:val="TITULNISTRANA"/>
        <w:outlineLvl w:val="0"/>
      </w:pPr>
      <w:r w:rsidRPr="00634977">
        <w:t>Olomouc 2011</w:t>
      </w:r>
    </w:p>
    <w:p w:rsidR="00DF354A" w:rsidRPr="00634977" w:rsidRDefault="00DF354A" w:rsidP="0080275F">
      <w:pPr>
        <w:pStyle w:val="TITULNISTRANA"/>
      </w:pPr>
      <w:r w:rsidRPr="00634977">
        <w:br w:type="page"/>
      </w:r>
    </w:p>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7B25EB"/>
    <w:p w:rsidR="007B25EB" w:rsidRPr="00634977" w:rsidRDefault="007B25EB" w:rsidP="00065336">
      <w:pPr>
        <w:ind w:firstLine="0"/>
      </w:pPr>
    </w:p>
    <w:p w:rsidR="00C033B2" w:rsidRPr="00634977" w:rsidRDefault="00C033B2" w:rsidP="00065336">
      <w:pPr>
        <w:ind w:firstLine="0"/>
      </w:pPr>
    </w:p>
    <w:p w:rsidR="007B25EB" w:rsidRPr="00634977" w:rsidRDefault="007B25EB" w:rsidP="00A20D75">
      <w:pPr>
        <w:ind w:firstLine="0"/>
      </w:pPr>
      <w:r w:rsidRPr="00634977">
        <w:t xml:space="preserve">Prohlašuji, že jsem diplomovou práci na téma </w:t>
      </w:r>
      <w:r w:rsidR="007A4F06">
        <w:rPr>
          <w:i/>
        </w:rPr>
        <w:t>Listina základních práv Evropské unie</w:t>
      </w:r>
      <w:r w:rsidRPr="00634977">
        <w:rPr>
          <w:i/>
        </w:rPr>
        <w:t xml:space="preserve"> v činnosti soudních orgá</w:t>
      </w:r>
      <w:r w:rsidR="00B96816" w:rsidRPr="00634977">
        <w:rPr>
          <w:i/>
        </w:rPr>
        <w:t>nů E</w:t>
      </w:r>
      <w:r w:rsidR="007A4F06">
        <w:rPr>
          <w:i/>
        </w:rPr>
        <w:t>vropské unie</w:t>
      </w:r>
      <w:r w:rsidRPr="00634977">
        <w:t xml:space="preserve"> vypracovala samostatně a citovala jsem všechny použité zdroje. </w:t>
      </w:r>
    </w:p>
    <w:p w:rsidR="007B25EB" w:rsidRPr="00634977" w:rsidRDefault="007B25EB" w:rsidP="007B25EB"/>
    <w:p w:rsidR="007B25EB" w:rsidRPr="00634977" w:rsidRDefault="007B25EB" w:rsidP="00420E79">
      <w:pPr>
        <w:ind w:firstLine="0"/>
        <w:outlineLvl w:val="0"/>
      </w:pPr>
      <w:r w:rsidRPr="00634977">
        <w:t xml:space="preserve">V Uherském Hradišti </w:t>
      </w:r>
      <w:r w:rsidRPr="006856E0">
        <w:t>dne 28. března 2011</w:t>
      </w:r>
    </w:p>
    <w:p w:rsidR="00D819E0" w:rsidRPr="00634977" w:rsidRDefault="00D819E0">
      <w:pPr>
        <w:spacing w:line="240" w:lineRule="auto"/>
        <w:ind w:firstLine="0"/>
        <w:jc w:val="left"/>
      </w:pPr>
      <w:r w:rsidRPr="00634977">
        <w:br w:type="page"/>
      </w: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065336" w:rsidRPr="00634977" w:rsidRDefault="00065336"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D819E0" w:rsidRPr="00634977" w:rsidRDefault="00D819E0" w:rsidP="00420E79">
      <w:pPr>
        <w:ind w:firstLine="0"/>
        <w:outlineLvl w:val="0"/>
      </w:pPr>
    </w:p>
    <w:p w:rsidR="00426604" w:rsidRPr="00634977" w:rsidRDefault="00D819E0" w:rsidP="001F3474">
      <w:pPr>
        <w:ind w:firstLine="0"/>
      </w:pPr>
      <w:r w:rsidRPr="00634977">
        <w:t xml:space="preserve">Na tomto místě bych ráda poděkovala Mgr. Ondreji Hamuľákovi za vedení </w:t>
      </w:r>
      <w:r w:rsidR="001F3474" w:rsidRPr="00634977">
        <w:t xml:space="preserve">mé </w:t>
      </w:r>
      <w:r w:rsidRPr="00634977">
        <w:t xml:space="preserve">diplomové práce, </w:t>
      </w:r>
      <w:r w:rsidR="001F3474" w:rsidRPr="00634977">
        <w:t xml:space="preserve">jeho </w:t>
      </w:r>
      <w:r w:rsidRPr="00634977">
        <w:t>cenné rady a připomínky.</w:t>
      </w:r>
      <w:r w:rsidR="007B25EB" w:rsidRPr="00634977">
        <w:br w:type="page"/>
      </w:r>
      <w:bookmarkStart w:id="0" w:name="_Toc288488720"/>
    </w:p>
    <w:p w:rsidR="00DF354A" w:rsidRPr="00634977" w:rsidRDefault="00711346" w:rsidP="00420E79">
      <w:pPr>
        <w:ind w:firstLine="0"/>
        <w:outlineLvl w:val="0"/>
        <w:rPr>
          <w:b/>
          <w:smallCaps/>
          <w:sz w:val="32"/>
          <w:szCs w:val="32"/>
        </w:rPr>
      </w:pPr>
      <w:r w:rsidRPr="00634977">
        <w:rPr>
          <w:b/>
          <w:smallCaps/>
          <w:sz w:val="32"/>
          <w:szCs w:val="32"/>
        </w:rPr>
        <w:lastRenderedPageBreak/>
        <w:t>Obsah</w:t>
      </w:r>
      <w:bookmarkEnd w:id="0"/>
      <w:r w:rsidRPr="00634977">
        <w:rPr>
          <w:b/>
          <w:smallCaps/>
          <w:sz w:val="32"/>
          <w:szCs w:val="32"/>
        </w:rPr>
        <w:t xml:space="preserve"> diplomové práce</w:t>
      </w:r>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r w:rsidRPr="000042CF">
        <w:rPr>
          <w:rFonts w:ascii="Times New Roman" w:hAnsi="Times New Roman" w:cs="Times New Roman"/>
        </w:rPr>
        <w:fldChar w:fldCharType="begin"/>
      </w:r>
      <w:r w:rsidR="00555CBA" w:rsidRPr="007D78D1">
        <w:rPr>
          <w:rFonts w:ascii="Times New Roman" w:hAnsi="Times New Roman" w:cs="Times New Roman"/>
        </w:rPr>
        <w:instrText xml:space="preserve"> TOC \h \z \t "NADPIS 1;1;NADPIS2;2;NADPIS 3;3" </w:instrText>
      </w:r>
      <w:r w:rsidRPr="000042CF">
        <w:rPr>
          <w:rFonts w:ascii="Times New Roman" w:hAnsi="Times New Roman" w:cs="Times New Roman"/>
        </w:rPr>
        <w:fldChar w:fldCharType="separate"/>
      </w:r>
      <w:hyperlink w:anchor="_Toc291022212" w:history="1">
        <w:r w:rsidR="007157BA" w:rsidRPr="007157BA">
          <w:rPr>
            <w:rStyle w:val="Hyperlink"/>
            <w:rFonts w:ascii="Times New Roman" w:hAnsi="Times New Roman"/>
            <w:noProof/>
          </w:rPr>
          <w:t>1.</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Úvod</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_Toc291022212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6</w:t>
        </w:r>
        <w:r w:rsidRPr="007157BA">
          <w:rPr>
            <w:rFonts w:ascii="Times New Roman" w:hAnsi="Times New Roman" w:cs="Times New Roman"/>
            <w:noProof/>
            <w:webHidden/>
          </w:rPr>
          <w:fldChar w:fldCharType="end"/>
        </w:r>
      </w:hyperlink>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hyperlink w:anchor="_Toc291022213" w:history="1">
        <w:r w:rsidR="007157BA" w:rsidRPr="007157BA">
          <w:rPr>
            <w:rStyle w:val="Hyperlink"/>
            <w:rFonts w:ascii="Times New Roman" w:hAnsi="Times New Roman"/>
            <w:noProof/>
          </w:rPr>
          <w:t>2.</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Co je Listina základních práv Evropské unie?</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_Toc291022213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9</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14" w:history="1">
        <w:r w:rsidR="007157BA" w:rsidRPr="007157BA">
          <w:rPr>
            <w:rStyle w:val="Hyperlink"/>
            <w:rFonts w:ascii="Times New Roman" w:hAnsi="Times New Roman"/>
            <w:noProof/>
          </w:rPr>
          <w:t>2.1 Vývoj Listiny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_Toc291022214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9</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15" w:history="1">
        <w:r w:rsidR="007157BA" w:rsidRPr="007157BA">
          <w:rPr>
            <w:rStyle w:val="Hyperlink"/>
            <w:rFonts w:ascii="Times New Roman" w:hAnsi="Times New Roman"/>
            <w:noProof/>
          </w:rPr>
          <w:t>2.2 Důvody vzniku Listiny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_Toc291022215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10</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16" w:history="1">
        <w:r w:rsidR="007157BA" w:rsidRPr="007157BA">
          <w:rPr>
            <w:rStyle w:val="Hyperlink"/>
            <w:rFonts w:ascii="Times New Roman" w:hAnsi="Times New Roman"/>
            <w:noProof/>
          </w:rPr>
          <w:t>2.3 Formát a struktura Listiny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_Toc291022216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11</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17" w:history="1">
        <w:r w:rsidR="007157BA" w:rsidRPr="007157BA">
          <w:rPr>
            <w:rStyle w:val="Hyperlink"/>
            <w:rFonts w:ascii="Times New Roman" w:hAnsi="Times New Roman"/>
            <w:noProof/>
          </w:rPr>
          <w:t>2.4 Výklad a použití Listiny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_Toc291022217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13</w:t>
        </w:r>
        <w:r w:rsidRPr="007157BA">
          <w:rPr>
            <w:rFonts w:ascii="Times New Roman" w:hAnsi="Times New Roman" w:cs="Times New Roman"/>
            <w:noProof/>
            <w:webHidden/>
          </w:rPr>
          <w:fldChar w:fldCharType="end"/>
        </w:r>
      </w:hyperlink>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hyperlink w:anchor="_Toc291022218" w:history="1">
        <w:r w:rsidR="007157BA" w:rsidRPr="007157BA">
          <w:rPr>
            <w:rStyle w:val="Hyperlink"/>
            <w:rFonts w:ascii="Times New Roman" w:hAnsi="Times New Roman"/>
            <w:noProof/>
          </w:rPr>
          <w:t>3.</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Listina v judikatuře rok po právní závaznosti</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_Toc291022218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14</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19" w:history="1">
        <w:r w:rsidR="007157BA" w:rsidRPr="007157BA">
          <w:rPr>
            <w:rStyle w:val="Hyperlink"/>
            <w:rFonts w:ascii="Times New Roman" w:hAnsi="Times New Roman"/>
            <w:noProof/>
          </w:rPr>
          <w:t>3.1 Činnost Evropského soudního dvora a generálních advokátů a advokátek</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_Toc291022219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15</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0" w:history="1">
        <w:r w:rsidR="007157BA" w:rsidRPr="007157BA">
          <w:rPr>
            <w:rStyle w:val="Hyperlink"/>
            <w:rFonts w:ascii="Times New Roman" w:hAnsi="Times New Roman"/>
            <w:noProof/>
          </w:rPr>
          <w:t>Prostor svobody, bezpečnosti a práva</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_Toc291022220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15</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1" w:history="1">
        <w:r w:rsidR="007157BA" w:rsidRPr="007157BA">
          <w:rPr>
            <w:rStyle w:val="Hyperlink"/>
            <w:rFonts w:ascii="Times New Roman" w:hAnsi="Times New Roman"/>
            <w:noProof/>
          </w:rPr>
          <w:t>Sociální politika</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_Toc291022221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19</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2" w:history="1">
        <w:r w:rsidR="007157BA" w:rsidRPr="007157BA">
          <w:rPr>
            <w:rStyle w:val="Hyperlink"/>
            <w:rFonts w:ascii="Times New Roman" w:hAnsi="Times New Roman"/>
            <w:noProof/>
          </w:rPr>
          <w:t>Policejní a soudní spolupráce v trestních věcech</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_Toc291022222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27</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3" w:history="1">
        <w:r w:rsidR="007157BA" w:rsidRPr="007157BA">
          <w:rPr>
            <w:rStyle w:val="Hyperlink"/>
            <w:rFonts w:ascii="Times New Roman" w:hAnsi="Times New Roman"/>
            <w:noProof/>
          </w:rPr>
          <w:t>Evropské občanství</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_Toc291022223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27</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4" w:history="1">
        <w:r w:rsidR="007157BA" w:rsidRPr="007157BA">
          <w:rPr>
            <w:rStyle w:val="Hyperlink"/>
            <w:rFonts w:ascii="Times New Roman" w:hAnsi="Times New Roman"/>
            <w:noProof/>
          </w:rPr>
          <w:t>Zásady práva společenství</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_Toc291022224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28</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5" w:history="1">
        <w:r w:rsidR="007157BA" w:rsidRPr="007157BA">
          <w:rPr>
            <w:rStyle w:val="Hyperlink"/>
            <w:rFonts w:ascii="Times New Roman" w:hAnsi="Times New Roman"/>
            <w:noProof/>
          </w:rPr>
          <w:t>Svoboda usazování</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_Toc291022225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30</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6" w:history="1">
        <w:r w:rsidR="007157BA" w:rsidRPr="007157BA">
          <w:rPr>
            <w:rStyle w:val="Hyperlink"/>
            <w:rFonts w:ascii="Times New Roman" w:hAnsi="Times New Roman"/>
            <w:noProof/>
          </w:rPr>
          <w:t>Hospodářská soutěž</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_Toc291022226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30</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7" w:history="1">
        <w:r w:rsidR="007157BA" w:rsidRPr="007157BA">
          <w:rPr>
            <w:rStyle w:val="Hyperlink"/>
            <w:rFonts w:ascii="Times New Roman" w:hAnsi="Times New Roman"/>
            <w:noProof/>
          </w:rPr>
          <w:t>Volné poskytování služeb</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_Toc291022227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33</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8" w:history="1">
        <w:r w:rsidR="007157BA" w:rsidRPr="007157BA">
          <w:rPr>
            <w:rStyle w:val="Hyperlink"/>
            <w:rFonts w:ascii="Times New Roman" w:hAnsi="Times New Roman"/>
            <w:noProof/>
          </w:rPr>
          <w:t>Sbližování právních předpisů</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_Toc291022228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34</w:t>
        </w:r>
        <w:r w:rsidRPr="007157BA">
          <w:rPr>
            <w:rFonts w:ascii="Times New Roman" w:hAnsi="Times New Roman" w:cs="Times New Roman"/>
            <w:noProof/>
            <w:webHidden/>
          </w:rPr>
          <w:fldChar w:fldCharType="end"/>
        </w:r>
      </w:hyperlink>
    </w:p>
    <w:p w:rsidR="007157BA" w:rsidRPr="007157BA" w:rsidRDefault="000042CF">
      <w:pPr>
        <w:pStyle w:val="Verzeichnis3"/>
        <w:tabs>
          <w:tab w:val="right" w:leader="dot" w:pos="9061"/>
        </w:tabs>
        <w:rPr>
          <w:rFonts w:ascii="Times New Roman" w:eastAsiaTheme="minorEastAsia" w:hAnsi="Times New Roman" w:cs="Times New Roman"/>
          <w:i w:val="0"/>
          <w:iCs w:val="0"/>
          <w:noProof/>
          <w:sz w:val="22"/>
          <w:szCs w:val="22"/>
          <w:lang w:val="de-DE" w:eastAsia="de-DE"/>
        </w:rPr>
      </w:pPr>
      <w:hyperlink w:anchor="_Toc291022229" w:history="1">
        <w:r w:rsidR="007157BA" w:rsidRPr="007157BA">
          <w:rPr>
            <w:rStyle w:val="Hyperlink"/>
            <w:rFonts w:ascii="Times New Roman" w:hAnsi="Times New Roman"/>
            <w:noProof/>
          </w:rPr>
          <w:t>Ostatní oblasti</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_Toc291022229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36</w:t>
        </w:r>
        <w:r w:rsidRPr="007157BA">
          <w:rPr>
            <w:rFonts w:ascii="Times New Roman" w:hAnsi="Times New Roman" w:cs="Times New Roman"/>
            <w:noProof/>
            <w:webHidden/>
          </w:rPr>
          <w:fldChar w:fldCharType="end"/>
        </w:r>
      </w:hyperlink>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hyperlink w:anchor="_Toc291022230" w:history="1">
        <w:r w:rsidR="007157BA" w:rsidRPr="007157BA">
          <w:rPr>
            <w:rStyle w:val="Hyperlink"/>
            <w:rFonts w:ascii="Times New Roman" w:hAnsi="Times New Roman"/>
            <w:noProof/>
          </w:rPr>
          <w:t>4.</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Zhodnocení aplikace Listiny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_Toc291022230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39</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1" w:history="1">
        <w:r w:rsidR="007157BA" w:rsidRPr="007157BA">
          <w:rPr>
            <w:rStyle w:val="Hyperlink"/>
            <w:rFonts w:ascii="Times New Roman" w:hAnsi="Times New Roman"/>
            <w:noProof/>
          </w:rPr>
          <w:t>4.1 Evropský soudní dvůr</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_Toc291022231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39</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2" w:history="1">
        <w:r w:rsidR="007157BA" w:rsidRPr="007157BA">
          <w:rPr>
            <w:rStyle w:val="Hyperlink"/>
            <w:rFonts w:ascii="Times New Roman" w:hAnsi="Times New Roman"/>
            <w:noProof/>
          </w:rPr>
          <w:t>4.2 Generální advokáti a advokátky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_Toc291022232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42</w:t>
        </w:r>
        <w:r w:rsidRPr="007157BA">
          <w:rPr>
            <w:rFonts w:ascii="Times New Roman" w:hAnsi="Times New Roman" w:cs="Times New Roman"/>
            <w:noProof/>
            <w:webHidden/>
          </w:rPr>
          <w:fldChar w:fldCharType="end"/>
        </w:r>
      </w:hyperlink>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hyperlink w:anchor="_Toc291022233" w:history="1">
        <w:r w:rsidR="007157BA" w:rsidRPr="007157BA">
          <w:rPr>
            <w:rStyle w:val="Hyperlink"/>
            <w:rFonts w:ascii="Times New Roman" w:hAnsi="Times New Roman"/>
            <w:noProof/>
          </w:rPr>
          <w:t>5.</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Závěr</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_Toc291022233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44</w:t>
        </w:r>
        <w:r w:rsidRPr="007157BA">
          <w:rPr>
            <w:rFonts w:ascii="Times New Roman" w:hAnsi="Times New Roman" w:cs="Times New Roman"/>
            <w:noProof/>
            <w:webHidden/>
          </w:rPr>
          <w:fldChar w:fldCharType="end"/>
        </w:r>
      </w:hyperlink>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hyperlink w:anchor="_Toc291022234" w:history="1">
        <w:r w:rsidR="007157BA" w:rsidRPr="007157BA">
          <w:rPr>
            <w:rStyle w:val="Hyperlink"/>
            <w:rFonts w:ascii="Times New Roman" w:hAnsi="Times New Roman"/>
            <w:noProof/>
          </w:rPr>
          <w:t>6.</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Seznam použité literatury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_Toc291022234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46</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5" w:history="1">
        <w:r w:rsidR="007157BA" w:rsidRPr="007157BA">
          <w:rPr>
            <w:rStyle w:val="Hyperlink"/>
            <w:rFonts w:ascii="Times New Roman" w:hAnsi="Times New Roman"/>
            <w:noProof/>
          </w:rPr>
          <w:t>Knihy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_Toc291022235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46</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6" w:history="1">
        <w:r w:rsidR="007157BA" w:rsidRPr="007157BA">
          <w:rPr>
            <w:rStyle w:val="Hyperlink"/>
            <w:rFonts w:ascii="Times New Roman" w:hAnsi="Times New Roman"/>
            <w:noProof/>
          </w:rPr>
          <w:t>Odborné články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_Toc291022236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46</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7" w:history="1">
        <w:r w:rsidR="007157BA" w:rsidRPr="007157BA">
          <w:rPr>
            <w:rStyle w:val="Hyperlink"/>
            <w:rFonts w:ascii="Times New Roman" w:hAnsi="Times New Roman"/>
            <w:noProof/>
          </w:rPr>
          <w:t>Internet – Statistiky, Novinové články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_Toc291022237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47</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8" w:history="1">
        <w:r w:rsidR="007157BA" w:rsidRPr="007157BA">
          <w:rPr>
            <w:rStyle w:val="Hyperlink"/>
            <w:rFonts w:ascii="Times New Roman" w:hAnsi="Times New Roman"/>
            <w:noProof/>
          </w:rPr>
          <w:t>Právní předpisy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_Toc291022238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47</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39" w:history="1">
        <w:r w:rsidR="007157BA" w:rsidRPr="007157BA">
          <w:rPr>
            <w:rStyle w:val="Hyperlink"/>
            <w:rFonts w:ascii="Times New Roman" w:hAnsi="Times New Roman"/>
            <w:noProof/>
          </w:rPr>
          <w:t>Dokumenty institucí Evropské unie</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_Toc291022239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49</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0" w:history="1">
        <w:r w:rsidR="007157BA" w:rsidRPr="007157BA">
          <w:rPr>
            <w:rStyle w:val="Hyperlink"/>
            <w:rFonts w:ascii="Times New Roman" w:hAnsi="Times New Roman"/>
            <w:noProof/>
          </w:rPr>
          <w:t>Judikatura – rozsudky ESD</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_Toc291022240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49</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1" w:history="1">
        <w:r w:rsidR="007157BA" w:rsidRPr="007157BA">
          <w:rPr>
            <w:rStyle w:val="Hyperlink"/>
            <w:rFonts w:ascii="Times New Roman" w:hAnsi="Times New Roman"/>
            <w:noProof/>
          </w:rPr>
          <w:t>Judikatura - stanoviska GA</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_Toc291022241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51</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2" w:history="1">
        <w:r w:rsidR="007157BA" w:rsidRPr="007157BA">
          <w:rPr>
            <w:rStyle w:val="Hyperlink"/>
            <w:rFonts w:ascii="Times New Roman" w:hAnsi="Times New Roman"/>
            <w:noProof/>
          </w:rPr>
          <w:t>Judikatura – Tribunál</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_Toc291022242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7157BA" w:rsidRPr="007157BA" w:rsidRDefault="000042CF">
      <w:pPr>
        <w:pStyle w:val="Verzeichnis1"/>
        <w:tabs>
          <w:tab w:val="left" w:pos="960"/>
          <w:tab w:val="right" w:leader="dot" w:pos="9061"/>
        </w:tabs>
        <w:rPr>
          <w:rFonts w:ascii="Times New Roman" w:eastAsiaTheme="minorEastAsia" w:hAnsi="Times New Roman" w:cs="Times New Roman"/>
          <w:b w:val="0"/>
          <w:bCs w:val="0"/>
          <w:caps w:val="0"/>
          <w:noProof/>
          <w:sz w:val="22"/>
          <w:szCs w:val="22"/>
          <w:lang w:val="de-DE" w:eastAsia="de-DE"/>
        </w:rPr>
      </w:pPr>
      <w:hyperlink w:anchor="_Toc291022243" w:history="1">
        <w:r w:rsidR="007157BA" w:rsidRPr="007157BA">
          <w:rPr>
            <w:rStyle w:val="Hyperlink"/>
            <w:rFonts w:ascii="Times New Roman" w:hAnsi="Times New Roman"/>
            <w:noProof/>
          </w:rPr>
          <w:t>7.</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Další</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_Toc291022243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4" w:history="1">
        <w:r w:rsidR="007157BA" w:rsidRPr="007157BA">
          <w:rPr>
            <w:rStyle w:val="Hyperlink"/>
            <w:rFonts w:ascii="Times New Roman" w:hAnsi="Times New Roman"/>
            <w:noProof/>
          </w:rPr>
          <w:t>Seznam použitých zkratek</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_Toc291022244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5" w:history="1">
        <w:r w:rsidR="007157BA" w:rsidRPr="007157BA">
          <w:rPr>
            <w:rStyle w:val="Hyperlink"/>
            <w:rFonts w:ascii="Times New Roman" w:hAnsi="Times New Roman"/>
            <w:noProof/>
          </w:rPr>
          <w:t>Shrnutí diplomové práce v čj i aj</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_Toc291022245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6" w:history="1">
        <w:r w:rsidR="007157BA" w:rsidRPr="007157BA">
          <w:rPr>
            <w:rStyle w:val="Hyperlink"/>
            <w:rFonts w:ascii="Times New Roman" w:hAnsi="Times New Roman"/>
            <w:noProof/>
          </w:rPr>
          <w:t>Seznam klíčových slov v čj i aj</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_Toc291022246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7157BA" w:rsidRPr="007157BA" w:rsidRDefault="000042CF">
      <w:pPr>
        <w:pStyle w:val="Verzeichnis2"/>
        <w:tabs>
          <w:tab w:val="right" w:leader="dot" w:pos="9061"/>
        </w:tabs>
        <w:rPr>
          <w:rFonts w:ascii="Times New Roman" w:eastAsiaTheme="minorEastAsia" w:hAnsi="Times New Roman" w:cs="Times New Roman"/>
          <w:smallCaps w:val="0"/>
          <w:noProof/>
          <w:sz w:val="22"/>
          <w:szCs w:val="22"/>
          <w:lang w:val="de-DE" w:eastAsia="de-DE"/>
        </w:rPr>
      </w:pPr>
      <w:hyperlink w:anchor="_Toc291022247" w:history="1">
        <w:r w:rsidR="007157BA" w:rsidRPr="007157BA">
          <w:rPr>
            <w:rStyle w:val="Hyperlink"/>
            <w:rFonts w:ascii="Times New Roman" w:hAnsi="Times New Roman"/>
            <w:noProof/>
          </w:rPr>
          <w:t>Souhlas se zpracováním osobních údajů</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_Toc291022247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7157BA" w:rsidRDefault="000042CF">
      <w:pPr>
        <w:pStyle w:val="Verzeichnis1"/>
        <w:tabs>
          <w:tab w:val="left" w:pos="960"/>
          <w:tab w:val="right" w:leader="dot" w:pos="9061"/>
        </w:tabs>
        <w:rPr>
          <w:rFonts w:asciiTheme="minorHAnsi" w:eastAsiaTheme="minorEastAsia" w:hAnsiTheme="minorHAnsi" w:cstheme="minorBidi"/>
          <w:b w:val="0"/>
          <w:bCs w:val="0"/>
          <w:caps w:val="0"/>
          <w:noProof/>
          <w:sz w:val="22"/>
          <w:szCs w:val="22"/>
          <w:lang w:val="de-DE" w:eastAsia="de-DE"/>
        </w:rPr>
      </w:pPr>
      <w:hyperlink w:anchor="_Toc291022248" w:history="1">
        <w:r w:rsidR="007157BA" w:rsidRPr="007157BA">
          <w:rPr>
            <w:rStyle w:val="Hyperlink"/>
            <w:rFonts w:ascii="Times New Roman" w:hAnsi="Times New Roman"/>
            <w:noProof/>
          </w:rPr>
          <w:t>7.</w:t>
        </w:r>
        <w:r w:rsidR="007157BA" w:rsidRPr="007157BA">
          <w:rPr>
            <w:rFonts w:ascii="Times New Roman" w:eastAsiaTheme="minorEastAsia" w:hAnsi="Times New Roman" w:cs="Times New Roman"/>
            <w:b w:val="0"/>
            <w:bCs w:val="0"/>
            <w:caps w:val="0"/>
            <w:noProof/>
            <w:sz w:val="22"/>
            <w:szCs w:val="22"/>
            <w:lang w:val="de-DE" w:eastAsia="de-DE"/>
          </w:rPr>
          <w:tab/>
        </w:r>
        <w:r w:rsidR="007157BA" w:rsidRPr="007157BA">
          <w:rPr>
            <w:rStyle w:val="Hyperlink"/>
            <w:rFonts w:ascii="Times New Roman" w:hAnsi="Times New Roman"/>
            <w:noProof/>
          </w:rPr>
          <w:t>Přílohy: Seznam judikatury</w:t>
        </w:r>
        <w:r w:rsidR="007157BA" w:rsidRPr="007157BA">
          <w:rPr>
            <w:rFonts w:ascii="Times New Roman" w:hAnsi="Times New Roman" w:cs="Times New Roman"/>
            <w:noProof/>
            <w:webHidden/>
          </w:rPr>
          <w:tab/>
        </w:r>
        <w:r w:rsidRPr="007157BA">
          <w:rPr>
            <w:rFonts w:ascii="Times New Roman" w:hAnsi="Times New Roman" w:cs="Times New Roman"/>
            <w:noProof/>
            <w:webHidden/>
          </w:rPr>
          <w:fldChar w:fldCharType="begin"/>
        </w:r>
        <w:r w:rsidR="007157BA" w:rsidRPr="007157BA">
          <w:rPr>
            <w:rFonts w:ascii="Times New Roman" w:hAnsi="Times New Roman" w:cs="Times New Roman"/>
            <w:noProof/>
            <w:webHidden/>
          </w:rPr>
          <w:instrText xml:space="preserve"> PAGEREF _Toc291022248 \h </w:instrText>
        </w:r>
        <w:r w:rsidRPr="007157B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Pr>
            <w:rFonts w:ascii="Times New Roman" w:hAnsi="Times New Roman" w:cs="Times New Roman"/>
            <w:noProof/>
            <w:webHidden/>
          </w:rPr>
          <w:t>52</w:t>
        </w:r>
        <w:r w:rsidRPr="007157BA">
          <w:rPr>
            <w:rFonts w:ascii="Times New Roman" w:hAnsi="Times New Roman" w:cs="Times New Roman"/>
            <w:noProof/>
            <w:webHidden/>
          </w:rPr>
          <w:fldChar w:fldCharType="end"/>
        </w:r>
      </w:hyperlink>
    </w:p>
    <w:p w:rsidR="00555CBA" w:rsidRPr="007D78D1" w:rsidRDefault="000042CF" w:rsidP="00555CBA">
      <w:r w:rsidRPr="007D78D1">
        <w:fldChar w:fldCharType="end"/>
      </w:r>
    </w:p>
    <w:p w:rsidR="0028014D" w:rsidRPr="00634977" w:rsidRDefault="0028014D" w:rsidP="001F614B">
      <w:pPr>
        <w:pStyle w:val="OBSAHBODY"/>
      </w:pPr>
    </w:p>
    <w:p w:rsidR="00021764" w:rsidRPr="00634977" w:rsidRDefault="00021764" w:rsidP="001F614B">
      <w:pPr>
        <w:pStyle w:val="OBSAHBODY"/>
      </w:pPr>
    </w:p>
    <w:p w:rsidR="00CE4CD9" w:rsidRPr="00634977" w:rsidRDefault="00CE4CD9" w:rsidP="001F614B">
      <w:pPr>
        <w:pStyle w:val="OBSAHBODY"/>
      </w:pPr>
    </w:p>
    <w:p w:rsidR="00C0082E" w:rsidRPr="00634977" w:rsidRDefault="00C0082E" w:rsidP="00DD651D">
      <w:pPr>
        <w:pStyle w:val="OBSAHBODY"/>
        <w:tabs>
          <w:tab w:val="left" w:pos="567"/>
        </w:tabs>
        <w:sectPr w:rsidR="00C0082E" w:rsidRPr="00634977" w:rsidSect="00CA6F3A">
          <w:footerReference w:type="default" r:id="rId8"/>
          <w:pgSz w:w="11906" w:h="16838"/>
          <w:pgMar w:top="1418" w:right="1134" w:bottom="1134" w:left="1701" w:header="709" w:footer="709" w:gutter="0"/>
          <w:cols w:space="708"/>
          <w:titlePg/>
          <w:docGrid w:linePitch="360"/>
        </w:sectPr>
      </w:pPr>
    </w:p>
    <w:p w:rsidR="00DC61B7" w:rsidRPr="009771C8" w:rsidRDefault="00DC61B7" w:rsidP="00286CBE">
      <w:pPr>
        <w:pStyle w:val="NADPIS1"/>
      </w:pPr>
      <w:bookmarkStart w:id="1" w:name="_Toc288488659"/>
      <w:bookmarkStart w:id="2" w:name="_Toc288490386"/>
      <w:bookmarkStart w:id="3" w:name="_Toc288491589"/>
      <w:bookmarkStart w:id="4" w:name="_Toc291022212"/>
      <w:r w:rsidRPr="009771C8">
        <w:lastRenderedPageBreak/>
        <w:t>Úvod</w:t>
      </w:r>
      <w:bookmarkEnd w:id="1"/>
      <w:bookmarkEnd w:id="2"/>
      <w:bookmarkEnd w:id="3"/>
      <w:bookmarkEnd w:id="4"/>
    </w:p>
    <w:p w:rsidR="002C2A33" w:rsidRPr="009771C8" w:rsidRDefault="000C23ED" w:rsidP="006E242F">
      <w:r w:rsidRPr="009771C8">
        <w:t xml:space="preserve">Během svého studia </w:t>
      </w:r>
      <w:r w:rsidR="00C44765" w:rsidRPr="009771C8">
        <w:t xml:space="preserve">práv </w:t>
      </w:r>
      <w:r w:rsidRPr="009771C8">
        <w:t xml:space="preserve">jsem se </w:t>
      </w:r>
      <w:r w:rsidR="00C44765" w:rsidRPr="009771C8">
        <w:t xml:space="preserve">nejvíce </w:t>
      </w:r>
      <w:r w:rsidRPr="009771C8">
        <w:t>zajímala o evropské právo, konkrétně o oblast úpravy lidských práv</w:t>
      </w:r>
      <w:r w:rsidR="00114895" w:rsidRPr="009771C8">
        <w:t xml:space="preserve">. Z tohoto důvodu jsem si tedy vybrala </w:t>
      </w:r>
      <w:r w:rsidRPr="009771C8">
        <w:t>práci na téma</w:t>
      </w:r>
      <w:r w:rsidR="007008B2" w:rsidRPr="009771C8">
        <w:t xml:space="preserve"> </w:t>
      </w:r>
      <w:r w:rsidR="007008B2" w:rsidRPr="009771C8">
        <w:rPr>
          <w:i/>
        </w:rPr>
        <w:t>Listina</w:t>
      </w:r>
      <w:r w:rsidR="00114895" w:rsidRPr="009771C8">
        <w:rPr>
          <w:i/>
        </w:rPr>
        <w:t xml:space="preserve"> základních práv EU v činnosti soudních orgánů EU</w:t>
      </w:r>
      <w:r w:rsidR="00114895" w:rsidRPr="009771C8">
        <w:t xml:space="preserve">. </w:t>
      </w:r>
      <w:r w:rsidR="00A50CA5" w:rsidRPr="009771C8">
        <w:t>M</w:t>
      </w:r>
      <w:r w:rsidR="00737DB6" w:rsidRPr="009771C8">
        <w:t>ůj zájem o </w:t>
      </w:r>
      <w:r w:rsidR="00393505" w:rsidRPr="009771C8">
        <w:t xml:space="preserve">tuto oblast </w:t>
      </w:r>
      <w:r w:rsidR="00A50CA5" w:rsidRPr="009771C8">
        <w:t>vyústil v</w:t>
      </w:r>
      <w:r w:rsidR="00393505" w:rsidRPr="009771C8">
        <w:t> </w:t>
      </w:r>
      <w:r w:rsidR="00A50CA5" w:rsidRPr="009771C8">
        <w:t xml:space="preserve">absolvování čtyřměsíční stáže v Evropském parlamentu v Bruselu </w:t>
      </w:r>
      <w:r w:rsidR="00473732" w:rsidRPr="009771C8">
        <w:t xml:space="preserve">v posledním ročníku mého studia </w:t>
      </w:r>
      <w:r w:rsidR="00A50CA5" w:rsidRPr="009771C8">
        <w:t>od</w:t>
      </w:r>
      <w:r w:rsidR="00C44765" w:rsidRPr="009771C8">
        <w:t> </w:t>
      </w:r>
      <w:r w:rsidR="00A50CA5" w:rsidRPr="009771C8">
        <w:t xml:space="preserve">září 2010. </w:t>
      </w:r>
    </w:p>
    <w:p w:rsidR="002C2A33" w:rsidRPr="009771C8" w:rsidRDefault="002C2A33" w:rsidP="002C2A33">
      <w:r w:rsidRPr="009771C8">
        <w:t xml:space="preserve">Listina základních práv Evropské unie (dále jen Listina) prošla vývojem, který by se dal rozdělit na dvě časová období. Od roku 2000 do prosince 2009 existovala Listina ve formě politické deklarace. V tomto zatím delším časovém úseku Listina nebyla právně závaznou součástí </w:t>
      </w:r>
      <w:r w:rsidR="00417EEE" w:rsidRPr="009771C8">
        <w:t>unijního práva</w:t>
      </w:r>
      <w:r w:rsidRPr="009771C8">
        <w:t>. To se změnilo se vstupem Lisabonské s</w:t>
      </w:r>
      <w:r w:rsidR="00417EEE" w:rsidRPr="009771C8">
        <w:t>mlouvy v účinnost k 1.</w:t>
      </w:r>
      <w:r w:rsidR="00737DB6" w:rsidRPr="009771C8">
        <w:t> prosinci </w:t>
      </w:r>
      <w:r w:rsidRPr="009771C8">
        <w:t>2009, kdy Listině byla přiznána stejná právní síla, jakou mají Smlouvy, tj.</w:t>
      </w:r>
      <w:r w:rsidR="00417EEE" w:rsidRPr="009771C8">
        <w:t> </w:t>
      </w:r>
      <w:r w:rsidR="00E10026" w:rsidRPr="009771C8">
        <w:t>Smlouva o Evropské unii</w:t>
      </w:r>
      <w:r w:rsidR="00473732" w:rsidRPr="009771C8">
        <w:t xml:space="preserve"> (dále jen SEU)</w:t>
      </w:r>
      <w:r w:rsidR="00C44765" w:rsidRPr="009771C8">
        <w:t xml:space="preserve"> a</w:t>
      </w:r>
      <w:r w:rsidR="00E10026" w:rsidRPr="009771C8">
        <w:t xml:space="preserve"> </w:t>
      </w:r>
      <w:r w:rsidR="00737DB6" w:rsidRPr="009771C8">
        <w:t>Smlouva o fungování Evropské unie</w:t>
      </w:r>
      <w:r w:rsidR="00B448FC" w:rsidRPr="009771C8">
        <w:t xml:space="preserve"> (dále jen </w:t>
      </w:r>
      <w:r w:rsidR="00473732" w:rsidRPr="009771C8">
        <w:t>SFEU)</w:t>
      </w:r>
      <w:r w:rsidR="00737DB6" w:rsidRPr="009771C8">
        <w:t>.</w:t>
      </w:r>
      <w:r w:rsidR="00E10026" w:rsidRPr="009771C8">
        <w:t xml:space="preserve"> </w:t>
      </w:r>
      <w:r w:rsidRPr="009771C8">
        <w:t xml:space="preserve">Listina vždy existovala </w:t>
      </w:r>
      <w:r w:rsidR="00473732" w:rsidRPr="009771C8">
        <w:t>ve </w:t>
      </w:r>
      <w:r w:rsidRPr="009771C8">
        <w:t>formě samostatného dokumentu, i když v určitém období s</w:t>
      </w:r>
      <w:r w:rsidR="00737DB6" w:rsidRPr="009771C8">
        <w:t>e uvažovalo o jejím zařazení do </w:t>
      </w:r>
      <w:r w:rsidRPr="009771C8">
        <w:t>textu Smlouvy</w:t>
      </w:r>
      <w:r w:rsidR="008C6332" w:rsidRPr="009771C8">
        <w:t xml:space="preserve"> o Ústavě pro Evropu</w:t>
      </w:r>
      <w:r w:rsidRPr="009771C8">
        <w:t xml:space="preserve">. </w:t>
      </w:r>
    </w:p>
    <w:p w:rsidR="00294760" w:rsidRPr="009771C8" w:rsidRDefault="008119B7" w:rsidP="00DD7D3B">
      <w:r w:rsidRPr="009771C8">
        <w:t xml:space="preserve">Cílem mé práce </w:t>
      </w:r>
      <w:r w:rsidR="00393505" w:rsidRPr="009771C8">
        <w:t xml:space="preserve">je </w:t>
      </w:r>
      <w:r w:rsidR="00E45C7C" w:rsidRPr="009771C8">
        <w:t>zhodnotit</w:t>
      </w:r>
      <w:r w:rsidR="00C44765" w:rsidRPr="009771C8">
        <w:t xml:space="preserve"> jakým způsobem</w:t>
      </w:r>
      <w:r w:rsidR="00E45C7C" w:rsidRPr="009771C8">
        <w:t xml:space="preserve"> lucemburské soudní orgány, tedy Evropský soudní dvůr</w:t>
      </w:r>
      <w:r w:rsidR="00473732" w:rsidRPr="009771C8">
        <w:t xml:space="preserve"> (dále jen ESD)</w:t>
      </w:r>
      <w:r w:rsidR="00E45C7C" w:rsidRPr="009771C8">
        <w:t>, Tribunál a generální advokáti a advokátky</w:t>
      </w:r>
      <w:r w:rsidR="00473732" w:rsidRPr="009771C8">
        <w:t xml:space="preserve"> (dále jen GA)</w:t>
      </w:r>
      <w:r w:rsidR="00E45C7C" w:rsidRPr="009771C8">
        <w:t xml:space="preserve"> ve své činnosti Listinu používají.</w:t>
      </w:r>
      <w:r w:rsidR="00223DE7" w:rsidRPr="009771C8">
        <w:t xml:space="preserve"> </w:t>
      </w:r>
      <w:r w:rsidR="00BB5E8F" w:rsidRPr="009771C8">
        <w:t>To jednak vychází z faktu, že Listina má stejnou právní sílu jako Smlouvy, je právně závaznou součástí unijního pr</w:t>
      </w:r>
      <w:r w:rsidR="00AC2306" w:rsidRPr="009771C8">
        <w:t>áva a tudíž ESD</w:t>
      </w:r>
      <w:r w:rsidR="00BB5E8F" w:rsidRPr="009771C8">
        <w:t xml:space="preserve"> jakožto orgán, který zajišťuje </w:t>
      </w:r>
      <w:r w:rsidR="000D6490" w:rsidRPr="009771C8">
        <w:t>dodržování a výklad práva</w:t>
      </w:r>
      <w:r w:rsidR="00BB5E8F" w:rsidRPr="009771C8">
        <w:t xml:space="preserve"> Unie, musí tuto nově vzniklou právní situaci ve své činnosti reflektovat. Důležité to</w:t>
      </w:r>
      <w:r w:rsidR="00C44765" w:rsidRPr="009771C8">
        <w:t>to</w:t>
      </w:r>
      <w:r w:rsidR="00BB5E8F" w:rsidRPr="009771C8">
        <w:t xml:space="preserve"> </w:t>
      </w:r>
      <w:r w:rsidR="00C44765" w:rsidRPr="009771C8">
        <w:t xml:space="preserve">však </w:t>
      </w:r>
      <w:r w:rsidR="000D6490" w:rsidRPr="009771C8">
        <w:t xml:space="preserve">je </w:t>
      </w:r>
      <w:r w:rsidR="00C44765" w:rsidRPr="009771C8">
        <w:t xml:space="preserve">také </w:t>
      </w:r>
      <w:r w:rsidR="000D6490" w:rsidRPr="009771C8">
        <w:t xml:space="preserve">pro samotné postavení Listiny. Faktem totiž </w:t>
      </w:r>
      <w:r w:rsidR="00C44765" w:rsidRPr="009771C8">
        <w:t>zůstává</w:t>
      </w:r>
      <w:r w:rsidR="000D6490" w:rsidRPr="009771C8">
        <w:t xml:space="preserve">, že </w:t>
      </w:r>
      <w:r w:rsidR="00AC2306" w:rsidRPr="009771C8">
        <w:t>lidská práva a základní svobody</w:t>
      </w:r>
      <w:r w:rsidR="00007433" w:rsidRPr="009771C8">
        <w:t xml:space="preserve"> </w:t>
      </w:r>
      <w:r w:rsidR="000D6490" w:rsidRPr="009771C8">
        <w:t xml:space="preserve">požívala v Evropské unii </w:t>
      </w:r>
      <w:r w:rsidR="00AC2306" w:rsidRPr="009771C8">
        <w:t xml:space="preserve">(dále jen EU) </w:t>
      </w:r>
      <w:r w:rsidR="00417EEE" w:rsidRPr="009771C8">
        <w:t>uznání a </w:t>
      </w:r>
      <w:r w:rsidR="000D6490" w:rsidRPr="009771C8">
        <w:t xml:space="preserve">ochrany již před přijetím Listiny </w:t>
      </w:r>
      <w:r w:rsidR="00FD6ED8" w:rsidRPr="009771C8">
        <w:t>a to na základě tzv. obecných zásad právních</w:t>
      </w:r>
      <w:r w:rsidR="00AC2306" w:rsidRPr="009771C8">
        <w:rPr>
          <w:rStyle w:val="Funotenzeichen"/>
        </w:rPr>
        <w:footnoteReference w:id="1"/>
      </w:r>
      <w:r w:rsidR="00FD6ED8" w:rsidRPr="009771C8">
        <w:t xml:space="preserve">. Tyto zásady </w:t>
      </w:r>
      <w:r w:rsidR="00A127A1" w:rsidRPr="009771C8">
        <w:t>ESD</w:t>
      </w:r>
      <w:r w:rsidR="00FD6ED8" w:rsidRPr="009771C8">
        <w:t xml:space="preserve"> ve své rozho</w:t>
      </w:r>
      <w:r w:rsidR="00294760" w:rsidRPr="009771C8">
        <w:t>dovací činnosti běžně</w:t>
      </w:r>
      <w:r w:rsidR="00FD6ED8" w:rsidRPr="009771C8">
        <w:t xml:space="preserve"> používal a používá. Přijetím Listiny </w:t>
      </w:r>
      <w:r w:rsidR="002520BA" w:rsidRPr="009771C8">
        <w:t xml:space="preserve">EU </w:t>
      </w:r>
      <w:r w:rsidR="00FD6ED8" w:rsidRPr="009771C8">
        <w:t xml:space="preserve">sledovala cíl zřídit </w:t>
      </w:r>
      <w:r w:rsidR="00A127A1" w:rsidRPr="009771C8">
        <w:t>si </w:t>
      </w:r>
      <w:r w:rsidR="00DD7D3B" w:rsidRPr="009771C8">
        <w:t xml:space="preserve">vlastní </w:t>
      </w:r>
      <w:r w:rsidR="00FD6ED8" w:rsidRPr="009771C8">
        <w:t>formální katalog těchto p</w:t>
      </w:r>
      <w:r w:rsidR="002520BA" w:rsidRPr="009771C8">
        <w:t xml:space="preserve">ráv. A </w:t>
      </w:r>
      <w:r w:rsidR="00C44765" w:rsidRPr="009771C8">
        <w:t xml:space="preserve">zajímavou </w:t>
      </w:r>
      <w:r w:rsidR="002520BA" w:rsidRPr="009771C8">
        <w:t>otázkou pro</w:t>
      </w:r>
      <w:r w:rsidR="00C44765" w:rsidRPr="009771C8">
        <w:t> </w:t>
      </w:r>
      <w:r w:rsidR="002520BA" w:rsidRPr="009771C8">
        <w:t>současnost a </w:t>
      </w:r>
      <w:r w:rsidR="00FD6ED8" w:rsidRPr="009771C8">
        <w:t xml:space="preserve">především </w:t>
      </w:r>
      <w:r w:rsidR="00007433" w:rsidRPr="009771C8">
        <w:t>pro </w:t>
      </w:r>
      <w:r w:rsidR="00FD6ED8" w:rsidRPr="009771C8">
        <w:t xml:space="preserve">budoucnost </w:t>
      </w:r>
      <w:r w:rsidR="00C44765" w:rsidRPr="009771C8">
        <w:t>může být</w:t>
      </w:r>
      <w:r w:rsidR="00FD6ED8" w:rsidRPr="009771C8">
        <w:t xml:space="preserve">, </w:t>
      </w:r>
      <w:r w:rsidR="00DD7D3B" w:rsidRPr="009771C8">
        <w:t>jaké postavení si Listina mezi těmito ostatními prameny lidských práv v Evropské unii vydobyje</w:t>
      </w:r>
      <w:r w:rsidR="00294760" w:rsidRPr="009771C8">
        <w:t xml:space="preserve"> – zda to budou především pořád obecné zásady právní, které budou </w:t>
      </w:r>
      <w:r w:rsidR="002520BA" w:rsidRPr="009771C8">
        <w:t xml:space="preserve">primárním </w:t>
      </w:r>
      <w:r w:rsidR="00294760" w:rsidRPr="009771C8">
        <w:t xml:space="preserve">zdrojem ochrany lidských práv </w:t>
      </w:r>
      <w:r w:rsidR="00023536" w:rsidRPr="009771C8">
        <w:t xml:space="preserve">v EU </w:t>
      </w:r>
      <w:r w:rsidR="00007433" w:rsidRPr="009771C8">
        <w:t xml:space="preserve">anebo zda </w:t>
      </w:r>
      <w:r w:rsidR="002520BA" w:rsidRPr="009771C8">
        <w:t>ESD</w:t>
      </w:r>
      <w:r w:rsidR="00007433" w:rsidRPr="009771C8">
        <w:t xml:space="preserve"> jako k tomu relevantní orgán</w:t>
      </w:r>
      <w:r w:rsidR="00294760" w:rsidRPr="009771C8">
        <w:t xml:space="preserve"> nastartuje období, kdy ve své rozhodovací činnosti bude především používat Listinu jako vlastní katalog a zdro</w:t>
      </w:r>
      <w:r w:rsidR="00417EEE" w:rsidRPr="009771C8">
        <w:t>j lidských práv a svobod v EU</w:t>
      </w:r>
      <w:r w:rsidR="00294760" w:rsidRPr="009771C8">
        <w:t>.</w:t>
      </w:r>
      <w:r w:rsidR="00A127A1" w:rsidRPr="009771C8">
        <w:t xml:space="preserve"> Rozhodovací činnost ESD a GA za předmětné období naznačuje, že zatím je Listina v textech rozsudků a stanovisek ESD a GA využívána spíše jako potvrzení už chráněného práva v EU na základě obecných zásad právních. V této souvislosti </w:t>
      </w:r>
      <w:r w:rsidR="00C44765" w:rsidRPr="009771C8">
        <w:t>musí být připomenuto</w:t>
      </w:r>
      <w:r w:rsidR="00417EEE" w:rsidRPr="009771C8">
        <w:t>, že EU se </w:t>
      </w:r>
      <w:r w:rsidR="00A127A1" w:rsidRPr="009771C8">
        <w:t>zavázala do budoucna přistoupit k Úmluvě o</w:t>
      </w:r>
      <w:r w:rsidR="00C44765" w:rsidRPr="009771C8">
        <w:t> </w:t>
      </w:r>
      <w:r w:rsidR="00A127A1" w:rsidRPr="009771C8">
        <w:t xml:space="preserve">ochraně lidských práv a základních svobod </w:t>
      </w:r>
      <w:r w:rsidR="00A127A1" w:rsidRPr="009771C8">
        <w:lastRenderedPageBreak/>
        <w:t>(dále jen Úmluva). Je tedy možné, že v budoucnu přibude další formální zdroj ochrany lidských práv a základních svobod v E</w:t>
      </w:r>
      <w:r w:rsidR="00023536" w:rsidRPr="009771C8">
        <w:t>U</w:t>
      </w:r>
      <w:r w:rsidR="00A127A1" w:rsidRPr="009771C8">
        <w:t>, který pro</w:t>
      </w:r>
      <w:r w:rsidR="00C44765" w:rsidRPr="009771C8">
        <w:t> </w:t>
      </w:r>
      <w:r w:rsidR="00A127A1" w:rsidRPr="009771C8">
        <w:t xml:space="preserve">Listinu může představovat další „konkurenci“. </w:t>
      </w:r>
    </w:p>
    <w:p w:rsidR="00745991" w:rsidRPr="009771C8" w:rsidRDefault="00223DE7" w:rsidP="00DD7D3B">
      <w:r w:rsidRPr="009771C8">
        <w:t xml:space="preserve">Ve </w:t>
      </w:r>
      <w:r w:rsidR="00745991" w:rsidRPr="009771C8">
        <w:t xml:space="preserve">své </w:t>
      </w:r>
      <w:r w:rsidR="002C2A33" w:rsidRPr="009771C8">
        <w:t xml:space="preserve">diplomové </w:t>
      </w:r>
      <w:r w:rsidR="002520BA" w:rsidRPr="009771C8">
        <w:t xml:space="preserve">práci </w:t>
      </w:r>
      <w:r w:rsidR="00745991" w:rsidRPr="009771C8">
        <w:t xml:space="preserve">mapuji, </w:t>
      </w:r>
      <w:r w:rsidR="00A3127A" w:rsidRPr="009771C8">
        <w:t>jaké místo a význam Listina v</w:t>
      </w:r>
      <w:r w:rsidR="00007433" w:rsidRPr="009771C8">
        <w:t xml:space="preserve"> rozhodovací činnosti </w:t>
      </w:r>
      <w:r w:rsidR="002520BA" w:rsidRPr="009771C8">
        <w:t>ESD</w:t>
      </w:r>
      <w:r w:rsidR="00007433" w:rsidRPr="009771C8">
        <w:t xml:space="preserve">, Tribunálu a </w:t>
      </w:r>
      <w:r w:rsidR="002520BA" w:rsidRPr="009771C8">
        <w:t>GA</w:t>
      </w:r>
      <w:r w:rsidR="00007433" w:rsidRPr="009771C8">
        <w:t xml:space="preserve"> zaujímá a </w:t>
      </w:r>
      <w:r w:rsidR="00A3127A" w:rsidRPr="009771C8">
        <w:t>to vše za</w:t>
      </w:r>
      <w:r w:rsidR="002C2A33" w:rsidRPr="009771C8">
        <w:t> </w:t>
      </w:r>
      <w:r w:rsidR="00A3127A" w:rsidRPr="009771C8">
        <w:t xml:space="preserve">období zhruba roku od právní závaznosti Listiny, tedy od </w:t>
      </w:r>
      <w:r w:rsidR="002C2A33" w:rsidRPr="009771C8">
        <w:t xml:space="preserve">1. </w:t>
      </w:r>
      <w:r w:rsidR="00A3127A" w:rsidRPr="009771C8">
        <w:t>prosin</w:t>
      </w:r>
      <w:r w:rsidR="008119B7" w:rsidRPr="009771C8">
        <w:t>ce 2009 do</w:t>
      </w:r>
      <w:r w:rsidR="00007433" w:rsidRPr="009771C8">
        <w:t> 4. </w:t>
      </w:r>
      <w:r w:rsidR="008119B7" w:rsidRPr="009771C8">
        <w:t>února 2011</w:t>
      </w:r>
      <w:r w:rsidR="00C44765" w:rsidRPr="009771C8">
        <w:t xml:space="preserve">. Únorový termín byl vybrán na základě prostého faktu, </w:t>
      </w:r>
      <w:r w:rsidR="00007433" w:rsidRPr="009771C8">
        <w:t xml:space="preserve">že k tomuto datu jsem sbírala potřebnou judikaturu, </w:t>
      </w:r>
      <w:r w:rsidR="00C44765" w:rsidRPr="009771C8">
        <w:t xml:space="preserve">tak </w:t>
      </w:r>
      <w:r w:rsidR="00007433" w:rsidRPr="009771C8">
        <w:t xml:space="preserve">abych </w:t>
      </w:r>
      <w:r w:rsidR="00C44765" w:rsidRPr="009771C8">
        <w:t xml:space="preserve">tuto </w:t>
      </w:r>
      <w:r w:rsidR="00007433" w:rsidRPr="009771C8">
        <w:t xml:space="preserve">práci </w:t>
      </w:r>
      <w:r w:rsidR="00C44765" w:rsidRPr="009771C8">
        <w:t xml:space="preserve">mohla odevzdat </w:t>
      </w:r>
      <w:r w:rsidR="00007433" w:rsidRPr="009771C8">
        <w:t xml:space="preserve">v řádném </w:t>
      </w:r>
      <w:r w:rsidR="006202EC" w:rsidRPr="009771C8">
        <w:t xml:space="preserve">termínu. </w:t>
      </w:r>
      <w:r w:rsidR="00007433" w:rsidRPr="009771C8">
        <w:t xml:space="preserve">Přesnější název mé diplomové práce by tedy mohl znít </w:t>
      </w:r>
      <w:r w:rsidR="00007433" w:rsidRPr="009771C8">
        <w:rPr>
          <w:i/>
        </w:rPr>
        <w:t>Listina základních práv EU v činnosti soudních orgánů EU – rok po</w:t>
      </w:r>
      <w:r w:rsidR="00C44765" w:rsidRPr="009771C8">
        <w:rPr>
          <w:i/>
        </w:rPr>
        <w:t> nabytí</w:t>
      </w:r>
      <w:r w:rsidR="00417EEE" w:rsidRPr="009771C8">
        <w:rPr>
          <w:i/>
        </w:rPr>
        <w:t xml:space="preserve"> </w:t>
      </w:r>
      <w:r w:rsidR="00007433" w:rsidRPr="009771C8">
        <w:rPr>
          <w:i/>
        </w:rPr>
        <w:t>právní závaznosti</w:t>
      </w:r>
      <w:r w:rsidR="00007433" w:rsidRPr="009771C8">
        <w:t xml:space="preserve">. </w:t>
      </w:r>
    </w:p>
    <w:p w:rsidR="0039297E" w:rsidRPr="009771C8" w:rsidRDefault="00EE67C6" w:rsidP="00226C53">
      <w:r w:rsidRPr="009771C8">
        <w:t>Z mého seznamu použitých zdrojů je zřejmé, že při práci jsem nejvíce využívala judikaturu ESD</w:t>
      </w:r>
      <w:r w:rsidR="006A5BBE" w:rsidRPr="009771C8">
        <w:t>, stanovisek GA</w:t>
      </w:r>
      <w:r w:rsidRPr="009771C8">
        <w:t xml:space="preserve"> a Tribunálu. Jedná se o zhruba 90 rozsudků a stanovisek, které ve své práci používám</w:t>
      </w:r>
      <w:r w:rsidR="00E6516F" w:rsidRPr="009771C8">
        <w:t xml:space="preserve"> a které jsem získala z vyhledávacího formuláře oficiálního webového portálu ESD</w:t>
      </w:r>
      <w:r w:rsidR="006A5BBE" w:rsidRPr="009771C8">
        <w:rPr>
          <w:rStyle w:val="Funotenzeichen"/>
        </w:rPr>
        <w:footnoteReference w:id="2"/>
      </w:r>
      <w:r w:rsidRPr="009771C8">
        <w:t xml:space="preserve">. Další </w:t>
      </w:r>
      <w:r w:rsidR="00C44765" w:rsidRPr="009771C8">
        <w:t xml:space="preserve">relevantní </w:t>
      </w:r>
      <w:r w:rsidRPr="009771C8">
        <w:t>literatur</w:t>
      </w:r>
      <w:r w:rsidR="0039554C" w:rsidRPr="009771C8">
        <w:t>y</w:t>
      </w:r>
      <w:r w:rsidRPr="009771C8">
        <w:t xml:space="preserve"> – tedy </w:t>
      </w:r>
      <w:r w:rsidR="008621CA" w:rsidRPr="009771C8">
        <w:t>knih</w:t>
      </w:r>
      <w:r w:rsidR="00C44765" w:rsidRPr="009771C8">
        <w:t>y</w:t>
      </w:r>
      <w:r w:rsidR="008621CA" w:rsidRPr="009771C8">
        <w:t xml:space="preserve">, </w:t>
      </w:r>
      <w:r w:rsidRPr="009771C8">
        <w:t>monogr</w:t>
      </w:r>
      <w:r w:rsidR="00495CBD" w:rsidRPr="009771C8">
        <w:t>afi</w:t>
      </w:r>
      <w:r w:rsidR="00C44765" w:rsidRPr="009771C8">
        <w:t>e</w:t>
      </w:r>
      <w:r w:rsidR="00495CBD" w:rsidRPr="009771C8">
        <w:t>, odborn</w:t>
      </w:r>
      <w:r w:rsidR="00C44765" w:rsidRPr="009771C8">
        <w:t>é</w:t>
      </w:r>
      <w:r w:rsidR="00495CBD" w:rsidRPr="009771C8">
        <w:t xml:space="preserve"> článk</w:t>
      </w:r>
      <w:r w:rsidR="00C44765" w:rsidRPr="009771C8">
        <w:t>y</w:t>
      </w:r>
      <w:r w:rsidR="0039554C" w:rsidRPr="009771C8">
        <w:t xml:space="preserve"> a jiné</w:t>
      </w:r>
      <w:r w:rsidR="00495CBD" w:rsidRPr="009771C8">
        <w:t xml:space="preserve"> -</w:t>
      </w:r>
      <w:r w:rsidRPr="009771C8">
        <w:t xml:space="preserve"> </w:t>
      </w:r>
      <w:r w:rsidR="006237F3" w:rsidRPr="009771C8">
        <w:t>není mnoho</w:t>
      </w:r>
      <w:r w:rsidR="008621CA" w:rsidRPr="009771C8">
        <w:t xml:space="preserve"> a obzvláště v situaci, kdy jsem záměrně vyhle</w:t>
      </w:r>
      <w:r w:rsidR="00495CBD" w:rsidRPr="009771C8">
        <w:t>dávala literaturu ne starší než </w:t>
      </w:r>
      <w:r w:rsidR="008621CA" w:rsidRPr="009771C8">
        <w:t xml:space="preserve">s datem vydání rok 2009, tak abych získala zdroje odrážející </w:t>
      </w:r>
      <w:r w:rsidR="00C44765" w:rsidRPr="009771C8">
        <w:t xml:space="preserve">právní </w:t>
      </w:r>
      <w:r w:rsidR="008621CA" w:rsidRPr="009771C8">
        <w:t>stav po</w:t>
      </w:r>
      <w:r w:rsidR="00C44765" w:rsidRPr="009771C8">
        <w:t> </w:t>
      </w:r>
      <w:r w:rsidR="008621CA" w:rsidRPr="009771C8">
        <w:t>vstupu Lisabonské smlouvy v účinnost</w:t>
      </w:r>
      <w:r w:rsidRPr="009771C8">
        <w:t xml:space="preserve">. </w:t>
      </w:r>
      <w:r w:rsidR="0039554C" w:rsidRPr="009771C8">
        <w:t xml:space="preserve">V této práci uvedený </w:t>
      </w:r>
      <w:r w:rsidR="008621CA" w:rsidRPr="009771C8">
        <w:t xml:space="preserve">stručnější seznam tohoto druhu literatury </w:t>
      </w:r>
      <w:r w:rsidR="006237F3" w:rsidRPr="009771C8">
        <w:t xml:space="preserve">není </w:t>
      </w:r>
      <w:r w:rsidR="0039297E" w:rsidRPr="009771C8">
        <w:t xml:space="preserve">– dle mého mínění </w:t>
      </w:r>
      <w:r w:rsidR="0039554C" w:rsidRPr="009771C8">
        <w:t>–</w:t>
      </w:r>
      <w:r w:rsidR="0039297E" w:rsidRPr="009771C8">
        <w:t xml:space="preserve"> </w:t>
      </w:r>
      <w:r w:rsidR="0039554C" w:rsidRPr="009771C8">
        <w:t xml:space="preserve">překvapením; </w:t>
      </w:r>
      <w:r w:rsidR="008621CA" w:rsidRPr="009771C8">
        <w:t xml:space="preserve">téma </w:t>
      </w:r>
      <w:r w:rsidR="006237F3" w:rsidRPr="009771C8">
        <w:t xml:space="preserve">totiž </w:t>
      </w:r>
      <w:r w:rsidR="0039297E" w:rsidRPr="009771C8">
        <w:t xml:space="preserve">doposud není </w:t>
      </w:r>
      <w:r w:rsidR="00495CBD" w:rsidRPr="009771C8">
        <w:t xml:space="preserve">autory </w:t>
      </w:r>
      <w:r w:rsidR="006237F3" w:rsidRPr="009771C8">
        <w:t>komplexně zpracováno a</w:t>
      </w:r>
      <w:r w:rsidR="008621CA" w:rsidRPr="009771C8">
        <w:t xml:space="preserve"> to z toho důvodu, že se jedná o krátké časové období</w:t>
      </w:r>
      <w:r w:rsidR="006237F3" w:rsidRPr="009771C8">
        <w:t xml:space="preserve"> („testovací fázi“)</w:t>
      </w:r>
      <w:r w:rsidR="00605BA1" w:rsidRPr="009771C8">
        <w:t xml:space="preserve"> od právní závaznosti Listiny</w:t>
      </w:r>
      <w:r w:rsidR="006237F3" w:rsidRPr="009771C8">
        <w:t xml:space="preserve">, kdy není zatím ještě možné jednoznačně vyvodit, jakou cestou se ESD bude ve vztahu k Listině </w:t>
      </w:r>
      <w:r w:rsidR="00064218" w:rsidRPr="009771C8">
        <w:t>ubírat</w:t>
      </w:r>
      <w:r w:rsidR="00023536" w:rsidRPr="009771C8">
        <w:t xml:space="preserve">, </w:t>
      </w:r>
      <w:r w:rsidR="0039297E" w:rsidRPr="009771C8">
        <w:t xml:space="preserve">tj. </w:t>
      </w:r>
      <w:r w:rsidR="00023536" w:rsidRPr="009771C8">
        <w:t>přístup k ní se teprve vytváří</w:t>
      </w:r>
      <w:r w:rsidR="006237F3" w:rsidRPr="009771C8">
        <w:t xml:space="preserve">. </w:t>
      </w:r>
    </w:p>
    <w:p w:rsidR="00EE67C6" w:rsidRPr="009771C8" w:rsidRDefault="00371B35" w:rsidP="00226C53">
      <w:r w:rsidRPr="009771C8">
        <w:t xml:space="preserve">V rámci své stáže jsem </w:t>
      </w:r>
      <w:r w:rsidR="00EE67C6" w:rsidRPr="009771C8">
        <w:t>pravidelně navštěvovala knihovnu Evropského parlamentu v</w:t>
      </w:r>
      <w:r w:rsidR="002C2A33" w:rsidRPr="009771C8">
        <w:t> </w:t>
      </w:r>
      <w:r w:rsidR="00EE67C6" w:rsidRPr="009771C8">
        <w:t>Bruselu, kde jsem získala několik cenných odborných článků</w:t>
      </w:r>
      <w:r w:rsidR="00226C53" w:rsidRPr="009771C8">
        <w:t xml:space="preserve"> </w:t>
      </w:r>
      <w:r w:rsidR="00782FBE" w:rsidRPr="009771C8">
        <w:t xml:space="preserve">v anglickém a německém jazyce. </w:t>
      </w:r>
      <w:r w:rsidR="00EE67C6" w:rsidRPr="009771C8">
        <w:t>Navštívi</w:t>
      </w:r>
      <w:r w:rsidR="00226C53" w:rsidRPr="009771C8">
        <w:t>la jsem také knihovnu přímo při </w:t>
      </w:r>
      <w:r w:rsidR="00DF58D7" w:rsidRPr="009771C8">
        <w:t>ESD</w:t>
      </w:r>
      <w:r w:rsidR="008B63B2" w:rsidRPr="009771C8">
        <w:t xml:space="preserve"> v Lucemburku, bohužel </w:t>
      </w:r>
      <w:r w:rsidR="00023536" w:rsidRPr="009771C8">
        <w:t xml:space="preserve">překvapivě </w:t>
      </w:r>
      <w:r w:rsidR="008B63B2" w:rsidRPr="009771C8">
        <w:t xml:space="preserve">jsem </w:t>
      </w:r>
      <w:r w:rsidR="00023536" w:rsidRPr="009771C8">
        <w:t xml:space="preserve">tam </w:t>
      </w:r>
      <w:r w:rsidR="008B63B2" w:rsidRPr="009771C8">
        <w:t xml:space="preserve">vhodnou literaturu k mému tématu nenašla. Dodala bych, že literatura k Listině existuje, ale </w:t>
      </w:r>
      <w:r w:rsidR="00DF58D7" w:rsidRPr="009771C8">
        <w:t xml:space="preserve">spíše k jiným tématům. </w:t>
      </w:r>
      <w:r w:rsidR="0039297E" w:rsidRPr="009771C8">
        <w:t xml:space="preserve">Podrobně je dle mých rešerší </w:t>
      </w:r>
      <w:r w:rsidR="00512821" w:rsidRPr="009771C8">
        <w:t>zpracována oblast</w:t>
      </w:r>
      <w:r w:rsidR="008B63B2" w:rsidRPr="009771C8">
        <w:t xml:space="preserve"> týkající se obsahu Listiny, historii jejího přijetí</w:t>
      </w:r>
      <w:r w:rsidR="00226C53" w:rsidRPr="009771C8">
        <w:t xml:space="preserve"> apod.</w:t>
      </w:r>
      <w:r w:rsidR="00ED49AE" w:rsidRPr="009771C8">
        <w:t xml:space="preserve"> </w:t>
      </w:r>
      <w:r w:rsidR="0039297E" w:rsidRPr="009771C8">
        <w:t xml:space="preserve">V české odborné literatuře je pak podrobně vypracována problematika </w:t>
      </w:r>
      <w:r w:rsidR="008B63B2" w:rsidRPr="009771C8">
        <w:t xml:space="preserve">tzv. </w:t>
      </w:r>
      <w:r w:rsidR="00226C53" w:rsidRPr="009771C8">
        <w:t xml:space="preserve">Britsko-polského protokolu. </w:t>
      </w:r>
      <w:r w:rsidR="0039297E" w:rsidRPr="009771C8">
        <w:t>Dalším fénoménem je, že o</w:t>
      </w:r>
      <w:r w:rsidR="005F4420" w:rsidRPr="009771C8">
        <w:t>dborné články se také věnují spíše jednotlivým případům</w:t>
      </w:r>
      <w:r w:rsidR="00226C53" w:rsidRPr="009771C8">
        <w:t xml:space="preserve"> – např. rozsudku ve věci </w:t>
      </w:r>
      <w:r w:rsidR="005F4420" w:rsidRPr="009771C8">
        <w:t>Kücü</w:t>
      </w:r>
      <w:r w:rsidR="000C1065" w:rsidRPr="009771C8">
        <w:t>kdeveci</w:t>
      </w:r>
      <w:r w:rsidR="005F4420" w:rsidRPr="009771C8">
        <w:rPr>
          <w:rStyle w:val="Funotenzeichen"/>
        </w:rPr>
        <w:footnoteReference w:id="3"/>
      </w:r>
      <w:r w:rsidR="000C1065" w:rsidRPr="009771C8">
        <w:t xml:space="preserve">. </w:t>
      </w:r>
    </w:p>
    <w:p w:rsidR="00F822A1" w:rsidRPr="009771C8" w:rsidRDefault="00AA195E" w:rsidP="00F822A1">
      <w:r w:rsidRPr="009771C8">
        <w:t>Co se týče struktury: t</w:t>
      </w:r>
      <w:r w:rsidR="006174FA" w:rsidRPr="009771C8">
        <w:t>ato diplomová p</w:t>
      </w:r>
      <w:r w:rsidR="008D7E6B" w:rsidRPr="009771C8">
        <w:t>ráce je rozdělena do tří hlavních kapitol. V první hlavní části stručně popisuji vznik a vývoj Listiny jako prvního katalogu základních lid</w:t>
      </w:r>
      <w:r w:rsidR="002B6744" w:rsidRPr="009771C8">
        <w:t xml:space="preserve">ských </w:t>
      </w:r>
      <w:r w:rsidR="002B6744" w:rsidRPr="009771C8">
        <w:lastRenderedPageBreak/>
        <w:t>práv v rámci EU</w:t>
      </w:r>
      <w:r w:rsidR="008D7E6B" w:rsidRPr="009771C8">
        <w:t>. Ve druhé části, která je jádrem mé práce, se věnuji samotné judikatuře za</w:t>
      </w:r>
      <w:r w:rsidR="006174FA" w:rsidRPr="009771C8">
        <w:t> </w:t>
      </w:r>
      <w:r w:rsidR="008D7E6B" w:rsidRPr="009771C8">
        <w:t xml:space="preserve">poslední </w:t>
      </w:r>
      <w:r w:rsidR="002B6744" w:rsidRPr="009771C8">
        <w:t xml:space="preserve">zhruba </w:t>
      </w:r>
      <w:r w:rsidR="008D7E6B" w:rsidRPr="009771C8">
        <w:t>rok. Rozdělení této oblasti na deset podkapitol odpovídá dělení, které používá ESD ve svém vyhledávacím formuláři. V poslední tře</w:t>
      </w:r>
      <w:r w:rsidR="002B6744" w:rsidRPr="009771C8">
        <w:t>tí části potom shrnuji význam a </w:t>
      </w:r>
      <w:r w:rsidR="008D7E6B" w:rsidRPr="009771C8">
        <w:t xml:space="preserve">místo, které lucemburské soudní orgány Listině v rámci své činnosti přiznávají. </w:t>
      </w:r>
      <w:r w:rsidR="00675AA4" w:rsidRPr="009771C8">
        <w:t xml:space="preserve">V této kapitole také podávám </w:t>
      </w:r>
      <w:r w:rsidR="007E16F9" w:rsidRPr="009771C8">
        <w:t xml:space="preserve">stručné </w:t>
      </w:r>
      <w:r w:rsidR="00675AA4" w:rsidRPr="009771C8">
        <w:t>srovnání s </w:t>
      </w:r>
      <w:r w:rsidR="002B6744" w:rsidRPr="009771C8">
        <w:t>aplikací</w:t>
      </w:r>
      <w:r w:rsidR="00675AA4" w:rsidRPr="009771C8">
        <w:t xml:space="preserve"> Listiny před rokem 2009, kdy existo</w:t>
      </w:r>
      <w:r w:rsidR="007E16F9" w:rsidRPr="009771C8">
        <w:t>vala v právně nezávazné podobě</w:t>
      </w:r>
      <w:r w:rsidR="002B6744" w:rsidRPr="009771C8">
        <w:t xml:space="preserve"> a také se věnuji možnému</w:t>
      </w:r>
      <w:r w:rsidR="00671325" w:rsidRPr="009771C8">
        <w:t xml:space="preserve"> vývoji Listiny </w:t>
      </w:r>
      <w:r w:rsidR="002B6744" w:rsidRPr="009771C8">
        <w:t xml:space="preserve">v aplikační činnosti ESD, GA a Tribunálu </w:t>
      </w:r>
      <w:r w:rsidR="00671325" w:rsidRPr="009771C8">
        <w:t xml:space="preserve">do budoucna. </w:t>
      </w:r>
    </w:p>
    <w:p w:rsidR="004D6FFC" w:rsidRPr="009771C8" w:rsidRDefault="00E94862" w:rsidP="008A74C3">
      <w:r w:rsidRPr="009771C8">
        <w:t xml:space="preserve">Samotné zpracování a shrnutí </w:t>
      </w:r>
      <w:r w:rsidR="00755455" w:rsidRPr="009771C8">
        <w:t>rozhodovací</w:t>
      </w:r>
      <w:r w:rsidR="00966EB2" w:rsidRPr="009771C8">
        <w:t xml:space="preserve"> činnosti Listiny </w:t>
      </w:r>
      <w:r w:rsidR="00755455" w:rsidRPr="009771C8">
        <w:t>za</w:t>
      </w:r>
      <w:r w:rsidR="006174FA" w:rsidRPr="009771C8">
        <w:t xml:space="preserve"> 14 měsíců</w:t>
      </w:r>
      <w:r w:rsidR="00966EB2" w:rsidRPr="009771C8">
        <w:t xml:space="preserve"> </w:t>
      </w:r>
      <w:r w:rsidR="00755455" w:rsidRPr="009771C8">
        <w:t>bylo o to </w:t>
      </w:r>
      <w:r w:rsidR="00254AEB" w:rsidRPr="009771C8">
        <w:t xml:space="preserve">náročnější, že je podle mého názoru obtížné stanovit kritéria, podle </w:t>
      </w:r>
      <w:r w:rsidR="004D6FFC" w:rsidRPr="009771C8">
        <w:t>kterých se dá určit, jaké místo soudní orgány ve své činnosti Listině přiznávají</w:t>
      </w:r>
      <w:r w:rsidR="00755455" w:rsidRPr="009771C8">
        <w:t>,</w:t>
      </w:r>
      <w:r w:rsidR="00EA64A6" w:rsidRPr="009771C8">
        <w:t xml:space="preserve"> jak významné toto postavení je </w:t>
      </w:r>
      <w:r w:rsidR="00755455" w:rsidRPr="009771C8">
        <w:t>nebo není</w:t>
      </w:r>
      <w:r w:rsidR="004D6FFC" w:rsidRPr="009771C8">
        <w:t>. Z tohoto důvodu jsem využila několik hledisek</w:t>
      </w:r>
      <w:r w:rsidR="002B6744" w:rsidRPr="009771C8">
        <w:t xml:space="preserve">, jako například </w:t>
      </w:r>
      <w:r w:rsidR="00755455" w:rsidRPr="009771C8">
        <w:t>počet rozsudků a </w:t>
      </w:r>
      <w:r w:rsidR="004D6FFC" w:rsidRPr="009771C8">
        <w:t xml:space="preserve">stanovisek, ve kterých </w:t>
      </w:r>
      <w:r w:rsidR="002B6744" w:rsidRPr="009771C8">
        <w:t xml:space="preserve">lucemburské </w:t>
      </w:r>
      <w:r w:rsidR="004D6FFC" w:rsidRPr="009771C8">
        <w:t xml:space="preserve">soudní orgány na Listinu odkazují; </w:t>
      </w:r>
      <w:r w:rsidR="00755455" w:rsidRPr="009771C8">
        <w:t xml:space="preserve">dále </w:t>
      </w:r>
      <w:r w:rsidR="004D6FFC" w:rsidRPr="009771C8">
        <w:t xml:space="preserve">jakým způsobem </w:t>
      </w:r>
      <w:r w:rsidR="002B6744" w:rsidRPr="009771C8">
        <w:t xml:space="preserve">je Listina v rozsudcích a stanoviscích využívána, tedy </w:t>
      </w:r>
      <w:r w:rsidR="004D6FFC" w:rsidRPr="009771C8">
        <w:t xml:space="preserve">zda se jedná o primární zdroj </w:t>
      </w:r>
      <w:r w:rsidR="002B6744" w:rsidRPr="009771C8">
        <w:t xml:space="preserve">ochrany lidských práv v EU </w:t>
      </w:r>
      <w:r w:rsidR="004D6FFC" w:rsidRPr="009771C8">
        <w:t xml:space="preserve">nebo </w:t>
      </w:r>
      <w:r w:rsidR="002B6744" w:rsidRPr="009771C8">
        <w:t>potvrzení obecných zásad právních, ale také</w:t>
      </w:r>
      <w:r w:rsidR="004D6FFC" w:rsidRPr="009771C8">
        <w:t xml:space="preserve"> zda je Listina zmíněna jako jediný lidsko-právní dokument nebo zda </w:t>
      </w:r>
      <w:r w:rsidR="0039297E" w:rsidRPr="009771C8">
        <w:t xml:space="preserve">bývá </w:t>
      </w:r>
      <w:r w:rsidR="004131B8" w:rsidRPr="009771C8">
        <w:t>uvedena současně s Úmluvou.</w:t>
      </w:r>
    </w:p>
    <w:p w:rsidR="00021764" w:rsidRPr="009771C8" w:rsidRDefault="00F822A1" w:rsidP="008A74C3">
      <w:r w:rsidRPr="009771C8">
        <w:t xml:space="preserve">Na závěr bych ráda uvedla, že citace rozsudků ESD a stanovisek GA v mé práci neobsahují údaj o publikaci ve sbírce rozhodnutí. Je tomu tak z toho důvodu, že </w:t>
      </w:r>
      <w:r w:rsidR="001F67BF" w:rsidRPr="009771C8">
        <w:t>vzhledem k tomu, že se jedná o poměrně nedávno vydané rozsudky a stanoviska, tak prozatím ještě ve sbírce rozhodnutí publikovány nejsou.</w:t>
      </w:r>
    </w:p>
    <w:p w:rsidR="00DC61B7" w:rsidRPr="009771C8" w:rsidRDefault="00DC61B7">
      <w:pPr>
        <w:spacing w:line="240" w:lineRule="auto"/>
        <w:ind w:firstLine="0"/>
        <w:jc w:val="left"/>
      </w:pPr>
      <w:r w:rsidRPr="009771C8">
        <w:br w:type="page"/>
      </w:r>
    </w:p>
    <w:p w:rsidR="00DC61B7" w:rsidRPr="009771C8" w:rsidRDefault="004E71F9" w:rsidP="00286CBE">
      <w:pPr>
        <w:pStyle w:val="NADPIS1"/>
      </w:pPr>
      <w:bookmarkStart w:id="5" w:name="_Toc288488660"/>
      <w:bookmarkStart w:id="6" w:name="_Toc288490387"/>
      <w:bookmarkStart w:id="7" w:name="_Toc288491590"/>
      <w:bookmarkStart w:id="8" w:name="_Toc291022213"/>
      <w:r w:rsidRPr="009771C8">
        <w:lastRenderedPageBreak/>
        <w:t xml:space="preserve">Co je </w:t>
      </w:r>
      <w:r w:rsidR="00DC61B7" w:rsidRPr="009771C8">
        <w:t>Listina základních práv Evropské unie</w:t>
      </w:r>
      <w:bookmarkEnd w:id="5"/>
      <w:bookmarkEnd w:id="6"/>
      <w:r w:rsidRPr="009771C8">
        <w:t>?</w:t>
      </w:r>
      <w:bookmarkEnd w:id="7"/>
      <w:bookmarkEnd w:id="8"/>
    </w:p>
    <w:p w:rsidR="002655AC" w:rsidRPr="009771C8" w:rsidRDefault="00BA36C6" w:rsidP="00420E79">
      <w:pPr>
        <w:pStyle w:val="NADPIS2"/>
        <w:outlineLvl w:val="0"/>
      </w:pPr>
      <w:bookmarkStart w:id="9" w:name="_Toc291022214"/>
      <w:r w:rsidRPr="009771C8">
        <w:t xml:space="preserve">2.1 </w:t>
      </w:r>
      <w:r w:rsidR="002655AC" w:rsidRPr="009771C8">
        <w:t>Vývoj Listiny</w:t>
      </w:r>
      <w:bookmarkEnd w:id="9"/>
    </w:p>
    <w:p w:rsidR="00DC61B7" w:rsidRPr="009771C8" w:rsidRDefault="009F4277" w:rsidP="00DC61B7">
      <w:r w:rsidRPr="009771C8">
        <w:rPr>
          <w:i/>
        </w:rPr>
        <w:t xml:space="preserve">„Základní práva v Evropské </w:t>
      </w:r>
      <w:r w:rsidR="00C20EC1" w:rsidRPr="009771C8">
        <w:rPr>
          <w:i/>
        </w:rPr>
        <w:t>unii prošla f</w:t>
      </w:r>
      <w:r w:rsidRPr="009771C8">
        <w:rPr>
          <w:i/>
        </w:rPr>
        <w:t>ascinujícím vývojem – od faktické absence, přes nesmělé pokusy o uchopení, až k formulaci právně závazného katalogu základních práv</w:t>
      </w:r>
      <w:r w:rsidR="00C20EC1" w:rsidRPr="009771C8">
        <w:rPr>
          <w:rStyle w:val="Funotenzeichen"/>
          <w:i/>
        </w:rPr>
        <w:footnoteReference w:id="4"/>
      </w:r>
      <w:r w:rsidR="00B1130A" w:rsidRPr="009771C8">
        <w:rPr>
          <w:i/>
        </w:rPr>
        <w:t>.</w:t>
      </w:r>
      <w:r w:rsidRPr="009771C8">
        <w:rPr>
          <w:i/>
        </w:rPr>
        <w:t>“</w:t>
      </w:r>
      <w:r w:rsidR="00C20EC1" w:rsidRPr="009771C8">
        <w:t xml:space="preserve"> Tolik jed</w:t>
      </w:r>
      <w:r w:rsidR="0080231F" w:rsidRPr="009771C8">
        <w:t>i</w:t>
      </w:r>
      <w:r w:rsidR="00C20EC1" w:rsidRPr="009771C8">
        <w:t xml:space="preserve">nou větou </w:t>
      </w:r>
      <w:r w:rsidR="00AC2DFA" w:rsidRPr="009771C8">
        <w:t xml:space="preserve">výstižně </w:t>
      </w:r>
      <w:r w:rsidR="00C20EC1" w:rsidRPr="009771C8">
        <w:t xml:space="preserve">o </w:t>
      </w:r>
      <w:r w:rsidRPr="009771C8">
        <w:t xml:space="preserve">vývoji lidských práv </w:t>
      </w:r>
      <w:r w:rsidR="00C933AF" w:rsidRPr="009771C8">
        <w:t>v EU</w:t>
      </w:r>
      <w:r w:rsidR="00672397" w:rsidRPr="009771C8">
        <w:t xml:space="preserve"> slovy</w:t>
      </w:r>
      <w:r w:rsidRPr="009771C8">
        <w:t xml:space="preserve"> </w:t>
      </w:r>
      <w:r w:rsidR="0080231F" w:rsidRPr="009771C8">
        <w:t>Bončkové a </w:t>
      </w:r>
      <w:r w:rsidRPr="009771C8">
        <w:t xml:space="preserve">Smekala. </w:t>
      </w:r>
    </w:p>
    <w:p w:rsidR="00B84C2D" w:rsidRPr="009771C8" w:rsidRDefault="00426612" w:rsidP="00CA66EB">
      <w:r w:rsidRPr="009771C8">
        <w:t>Onou</w:t>
      </w:r>
      <w:r w:rsidR="00AC2DFA" w:rsidRPr="009771C8">
        <w:t xml:space="preserve"> </w:t>
      </w:r>
      <w:r w:rsidRPr="009771C8">
        <w:t>faktickou absencí</w:t>
      </w:r>
      <w:r w:rsidR="00AC2DFA" w:rsidRPr="009771C8">
        <w:t xml:space="preserve"> </w:t>
      </w:r>
      <w:r w:rsidRPr="009771C8">
        <w:t>je myš</w:t>
      </w:r>
      <w:r w:rsidR="0036240D" w:rsidRPr="009771C8">
        <w:t>leno obdo</w:t>
      </w:r>
      <w:r w:rsidR="00A47919" w:rsidRPr="009771C8">
        <w:t>bí od podpisu tří zakládajících s</w:t>
      </w:r>
      <w:r w:rsidR="0036240D" w:rsidRPr="009771C8">
        <w:t>mluv</w:t>
      </w:r>
      <w:r w:rsidR="00A47919" w:rsidRPr="009771C8">
        <w:rPr>
          <w:rStyle w:val="Funotenzeichen"/>
        </w:rPr>
        <w:footnoteReference w:id="5"/>
      </w:r>
      <w:r w:rsidR="0036240D" w:rsidRPr="009771C8">
        <w:t xml:space="preserve"> v padesátých letech minulého století</w:t>
      </w:r>
      <w:r w:rsidR="00A47919" w:rsidRPr="009771C8">
        <w:t xml:space="preserve">, které neobsahovaly </w:t>
      </w:r>
      <w:r w:rsidR="005C77C9" w:rsidRPr="009771C8">
        <w:t>žádný systém upravující lidská práva</w:t>
      </w:r>
      <w:r w:rsidR="007A714C" w:rsidRPr="009771C8">
        <w:t>,</w:t>
      </w:r>
      <w:r w:rsidR="00A47919" w:rsidRPr="009771C8">
        <w:t xml:space="preserve"> až po jedno ze </w:t>
      </w:r>
      <w:r w:rsidR="007A714C" w:rsidRPr="009771C8">
        <w:t>zásadních</w:t>
      </w:r>
      <w:r w:rsidR="00A47919" w:rsidRPr="009771C8">
        <w:t xml:space="preserve"> rozhodnutí ESD ve věci </w:t>
      </w:r>
      <w:r w:rsidR="002E7CE9" w:rsidRPr="009771C8">
        <w:t>Stauder v měst</w:t>
      </w:r>
      <w:r w:rsidR="00C933AF" w:rsidRPr="009771C8">
        <w:t>o</w:t>
      </w:r>
      <w:r w:rsidR="002E7CE9" w:rsidRPr="009771C8">
        <w:t xml:space="preserve"> Ulm</w:t>
      </w:r>
      <w:r w:rsidR="003540FF" w:rsidRPr="009771C8">
        <w:rPr>
          <w:rStyle w:val="Funotenzeichen"/>
        </w:rPr>
        <w:footnoteReference w:id="6"/>
      </w:r>
      <w:r w:rsidR="002E7CE9" w:rsidRPr="009771C8">
        <w:t xml:space="preserve">, </w:t>
      </w:r>
      <w:r w:rsidR="005C77C9" w:rsidRPr="009771C8">
        <w:t>ve kterém</w:t>
      </w:r>
      <w:r w:rsidR="002E7CE9" w:rsidRPr="009771C8">
        <w:t xml:space="preserve"> lucemburský soud</w:t>
      </w:r>
      <w:r w:rsidR="005C77C9" w:rsidRPr="009771C8">
        <w:t xml:space="preserve"> poprvé použi</w:t>
      </w:r>
      <w:r w:rsidR="00335B34" w:rsidRPr="009771C8">
        <w:t xml:space="preserve">l koncept ochrany lidských práv, a sice </w:t>
      </w:r>
      <w:r w:rsidR="005C77C9" w:rsidRPr="009771C8">
        <w:t>že</w:t>
      </w:r>
      <w:r w:rsidR="002E7CE9" w:rsidRPr="009771C8">
        <w:t xml:space="preserve"> </w:t>
      </w:r>
      <w:r w:rsidR="002E7CE9" w:rsidRPr="009771C8">
        <w:rPr>
          <w:i/>
        </w:rPr>
        <w:t>„vypracoval komunitární doktr</w:t>
      </w:r>
      <w:r w:rsidR="008C10C3" w:rsidRPr="009771C8">
        <w:rPr>
          <w:i/>
        </w:rPr>
        <w:t>ínu základních práv jako obecné</w:t>
      </w:r>
      <w:r w:rsidR="002E7CE9" w:rsidRPr="009771C8">
        <w:rPr>
          <w:i/>
        </w:rPr>
        <w:t xml:space="preserve"> zásady právní</w:t>
      </w:r>
      <w:r w:rsidR="002E7CE9" w:rsidRPr="009771C8">
        <w:rPr>
          <w:rStyle w:val="Funotenzeichen"/>
          <w:i/>
        </w:rPr>
        <w:footnoteReference w:id="7"/>
      </w:r>
      <w:r w:rsidR="002E7CE9" w:rsidRPr="009771C8">
        <w:rPr>
          <w:i/>
        </w:rPr>
        <w:t>“</w:t>
      </w:r>
      <w:r w:rsidR="002E7CE9" w:rsidRPr="009771C8">
        <w:t xml:space="preserve">. </w:t>
      </w:r>
    </w:p>
    <w:p w:rsidR="00B84C2D" w:rsidRPr="009771C8" w:rsidRDefault="00881589" w:rsidP="00CA66EB">
      <w:r w:rsidRPr="009771C8">
        <w:t>Nesmělými pokusy mají autoři nejspíš na mysli období</w:t>
      </w:r>
      <w:r w:rsidR="00C2356C" w:rsidRPr="009771C8">
        <w:t xml:space="preserve"> od </w:t>
      </w:r>
      <w:r w:rsidR="00E21188" w:rsidRPr="009771C8">
        <w:t>ustanovení v Maastrichtské a </w:t>
      </w:r>
      <w:r w:rsidR="001F670A" w:rsidRPr="009771C8">
        <w:t>n</w:t>
      </w:r>
      <w:r w:rsidR="00335B34" w:rsidRPr="009771C8">
        <w:t>ásledně Amsterdamské smlouv</w:t>
      </w:r>
      <w:r w:rsidR="00BA36C6" w:rsidRPr="009771C8">
        <w:t>ě</w:t>
      </w:r>
      <w:r w:rsidR="00335B34" w:rsidRPr="009771C8">
        <w:t xml:space="preserve"> </w:t>
      </w:r>
      <w:r w:rsidR="00837AB2" w:rsidRPr="009771C8">
        <w:t xml:space="preserve">včetně smlouvy z Nice </w:t>
      </w:r>
      <w:r w:rsidR="00335B34" w:rsidRPr="009771C8">
        <w:t>až </w:t>
      </w:r>
      <w:r w:rsidR="001F670A" w:rsidRPr="009771C8">
        <w:t xml:space="preserve">po vypracování a vyhlášení Listiny základních práv EU v roce </w:t>
      </w:r>
      <w:r w:rsidR="00C2356C" w:rsidRPr="009771C8">
        <w:t>2000 ovšem ve formě právně nezávazného dokumentu</w:t>
      </w:r>
      <w:r w:rsidR="00E2226D" w:rsidRPr="009771C8">
        <w:t xml:space="preserve">. </w:t>
      </w:r>
      <w:r w:rsidR="00837AB2" w:rsidRPr="009771C8">
        <w:t>V té době se tedy j</w:t>
      </w:r>
      <w:r w:rsidR="00E2226D" w:rsidRPr="009771C8">
        <w:t>ednalo spíše o politickou</w:t>
      </w:r>
      <w:r w:rsidR="001104AC" w:rsidRPr="009771C8">
        <w:t xml:space="preserve"> deklaraci</w:t>
      </w:r>
      <w:r w:rsidR="00837AB2" w:rsidRPr="009771C8">
        <w:t xml:space="preserve"> uznání a ochrany lidských práv</w:t>
      </w:r>
      <w:r w:rsidR="007D64B0" w:rsidRPr="009771C8">
        <w:t>, i</w:t>
      </w:r>
      <w:r w:rsidR="00BA36C6" w:rsidRPr="009771C8">
        <w:t> </w:t>
      </w:r>
      <w:r w:rsidR="007D64B0" w:rsidRPr="009771C8">
        <w:t xml:space="preserve">když </w:t>
      </w:r>
      <w:r w:rsidR="00D8757B" w:rsidRPr="009771C8">
        <w:t>obrovského významu, jak uvádí Piris</w:t>
      </w:r>
      <w:r w:rsidR="00D8757B" w:rsidRPr="009771C8">
        <w:rPr>
          <w:rStyle w:val="Funotenzeichen"/>
        </w:rPr>
        <w:footnoteReference w:id="8"/>
      </w:r>
      <w:r w:rsidR="00D8757B" w:rsidRPr="009771C8">
        <w:t xml:space="preserve">. </w:t>
      </w:r>
      <w:r w:rsidR="00335B34" w:rsidRPr="009771C8">
        <w:t xml:space="preserve">V dalším vývoji v této oblasti </w:t>
      </w:r>
      <w:r w:rsidR="001104AC" w:rsidRPr="009771C8">
        <w:t>následuje Smlouva </w:t>
      </w:r>
      <w:r w:rsidR="006256D9" w:rsidRPr="009771C8">
        <w:t>o</w:t>
      </w:r>
      <w:r w:rsidR="001104AC" w:rsidRPr="009771C8">
        <w:t> </w:t>
      </w:r>
      <w:r w:rsidR="00C2356C" w:rsidRPr="009771C8">
        <w:t>Ústavě pro Evropu</w:t>
      </w:r>
      <w:r w:rsidR="00335B34" w:rsidRPr="009771C8">
        <w:t xml:space="preserve">, ve které byla Listina </w:t>
      </w:r>
      <w:r w:rsidR="006256D9" w:rsidRPr="009771C8">
        <w:t xml:space="preserve">obsažena </w:t>
      </w:r>
      <w:r w:rsidR="00335B34" w:rsidRPr="009771C8">
        <w:t xml:space="preserve">přímo </w:t>
      </w:r>
      <w:r w:rsidR="006256D9" w:rsidRPr="009771C8">
        <w:t>v</w:t>
      </w:r>
      <w:r w:rsidR="00335B34" w:rsidRPr="009771C8">
        <w:t xml:space="preserve"> textu. Jak je známo, Smlouva o</w:t>
      </w:r>
      <w:r w:rsidR="002655AC" w:rsidRPr="009771C8">
        <w:t> </w:t>
      </w:r>
      <w:r w:rsidR="00335B34" w:rsidRPr="009771C8">
        <w:t xml:space="preserve">Ústavě pro Evropu na základě odmítnutí </w:t>
      </w:r>
      <w:r w:rsidR="006256D9" w:rsidRPr="009771C8">
        <w:t xml:space="preserve">občany </w:t>
      </w:r>
      <w:r w:rsidR="00BA36C6" w:rsidRPr="009771C8">
        <w:t>Francie a Nizozemí</w:t>
      </w:r>
      <w:r w:rsidR="006256D9" w:rsidRPr="009771C8">
        <w:t xml:space="preserve"> v referendech padla a  </w:t>
      </w:r>
      <w:r w:rsidR="004F30E0" w:rsidRPr="009771C8">
        <w:t>EU</w:t>
      </w:r>
      <w:r w:rsidR="006256D9" w:rsidRPr="009771C8">
        <w:t xml:space="preserve"> tak byla nucena se vrátit k práci na </w:t>
      </w:r>
      <w:r w:rsidR="00E2226D" w:rsidRPr="009771C8">
        <w:t> </w:t>
      </w:r>
      <w:r w:rsidR="006256D9" w:rsidRPr="009771C8">
        <w:t>nové, pro</w:t>
      </w:r>
      <w:r w:rsidR="00BA36C6" w:rsidRPr="009771C8">
        <w:t> </w:t>
      </w:r>
      <w:r w:rsidR="00E2226D" w:rsidRPr="009771C8">
        <w:t xml:space="preserve">některé </w:t>
      </w:r>
      <w:r w:rsidR="00837AB2" w:rsidRPr="009771C8">
        <w:t>členské státy</w:t>
      </w:r>
      <w:r w:rsidR="00A1228F" w:rsidRPr="009771C8">
        <w:t xml:space="preserve"> a</w:t>
      </w:r>
      <w:r w:rsidR="004F30E0" w:rsidRPr="009771C8">
        <w:t xml:space="preserve"> </w:t>
      </w:r>
      <w:r w:rsidR="00BA36C6" w:rsidRPr="009771C8">
        <w:t>jejich občany</w:t>
      </w:r>
      <w:r w:rsidR="00837AB2" w:rsidRPr="009771C8">
        <w:t xml:space="preserve"> přijatelnější </w:t>
      </w:r>
      <w:r w:rsidR="006256D9" w:rsidRPr="009771C8">
        <w:t>smlouvě</w:t>
      </w:r>
      <w:r w:rsidR="00335B34" w:rsidRPr="009771C8">
        <w:t xml:space="preserve">. </w:t>
      </w:r>
    </w:p>
    <w:p w:rsidR="00CA66EB" w:rsidRPr="009771C8" w:rsidRDefault="00B84C2D" w:rsidP="00CA66EB">
      <w:r w:rsidRPr="009771C8">
        <w:t>Zatím poslední fází ve vývoji uznávání a ochrany základních lidských práv a svobod v rámci Evr</w:t>
      </w:r>
      <w:r w:rsidR="001B0A14" w:rsidRPr="009771C8">
        <w:t xml:space="preserve">opské unie je období od vstupu </w:t>
      </w:r>
      <w:r w:rsidRPr="009771C8">
        <w:t xml:space="preserve">Lisabonské </w:t>
      </w:r>
      <w:r w:rsidR="001B0A14" w:rsidRPr="009771C8">
        <w:t>smlouvy</w:t>
      </w:r>
      <w:r w:rsidRPr="009771C8">
        <w:t xml:space="preserve"> v účinnost </w:t>
      </w:r>
      <w:r w:rsidR="002655AC" w:rsidRPr="009771C8">
        <w:t>1. </w:t>
      </w:r>
      <w:r w:rsidRPr="009771C8">
        <w:t xml:space="preserve">prosince 2009, v jejímž rámci se Listina stala právně závaznou součástí unijního práva. </w:t>
      </w:r>
      <w:r w:rsidR="001B0A14" w:rsidRPr="009771C8">
        <w:t>To je zaručeno čl</w:t>
      </w:r>
      <w:r w:rsidR="002655AC" w:rsidRPr="009771C8">
        <w:t>ánkem</w:t>
      </w:r>
      <w:r w:rsidR="001B0A14" w:rsidRPr="009771C8">
        <w:t xml:space="preserve"> 6 SEU, ve kterém je v prvním odstavci stanoveno, že </w:t>
      </w:r>
      <w:r w:rsidR="001B0A14" w:rsidRPr="009771C8">
        <w:rPr>
          <w:i/>
        </w:rPr>
        <w:t xml:space="preserve">„Unie uznává práva, svobody a zásady obsažené v Listině základních práv Evropské unie ze dne 7. prosince 2000, ve znění upraveném dne 12. prosince 2007 ve Štrasburku, </w:t>
      </w:r>
      <w:r w:rsidR="001B0A14" w:rsidRPr="009771C8">
        <w:rPr>
          <w:b/>
          <w:i/>
        </w:rPr>
        <w:t>jež má stejnou právní sílu jako Smlouvy</w:t>
      </w:r>
      <w:r w:rsidR="001B0A14" w:rsidRPr="009771C8">
        <w:rPr>
          <w:i/>
        </w:rPr>
        <w:t>“</w:t>
      </w:r>
      <w:r w:rsidR="001B0A14" w:rsidRPr="009771C8">
        <w:t xml:space="preserve">. </w:t>
      </w:r>
      <w:r w:rsidR="00EC534A" w:rsidRPr="009771C8">
        <w:t xml:space="preserve">Chalmers, Davies a </w:t>
      </w:r>
      <w:r w:rsidR="00A067CC" w:rsidRPr="009771C8">
        <w:t>Monti uvádějí, že podle čl. 6 S</w:t>
      </w:r>
      <w:r w:rsidR="00EC534A" w:rsidRPr="009771C8">
        <w:t>EU j</w:t>
      </w:r>
      <w:r w:rsidR="00E2226D" w:rsidRPr="009771C8">
        <w:t>e právní úprava lidských práv a </w:t>
      </w:r>
      <w:r w:rsidR="00EC534A" w:rsidRPr="009771C8">
        <w:t xml:space="preserve">svobod v EU založena na paradoxu. Na jednu stranu základní práva jsou upravena mimo Lisabonskou smlouvu – čl. 6 SEU odkazuje na tři zdroje úpravy lidských práv, tedy </w:t>
      </w:r>
      <w:r w:rsidR="00EC534A" w:rsidRPr="009771C8">
        <w:lastRenderedPageBreak/>
        <w:t>na</w:t>
      </w:r>
      <w:r w:rsidR="00B1130A" w:rsidRPr="009771C8">
        <w:t> </w:t>
      </w:r>
      <w:r w:rsidR="00EC534A" w:rsidRPr="009771C8">
        <w:t>Li</w:t>
      </w:r>
      <w:r w:rsidR="00837AB2" w:rsidRPr="009771C8">
        <w:t xml:space="preserve">stinu, Úmluvu a </w:t>
      </w:r>
      <w:r w:rsidR="00EC534A" w:rsidRPr="009771C8">
        <w:t>ústavní t</w:t>
      </w:r>
      <w:r w:rsidR="00ED7F30" w:rsidRPr="009771C8">
        <w:t>radice</w:t>
      </w:r>
      <w:r w:rsidR="00837AB2" w:rsidRPr="009771C8">
        <w:t xml:space="preserve"> společné členským státům</w:t>
      </w:r>
      <w:r w:rsidR="00ED7F30" w:rsidRPr="009771C8">
        <w:t xml:space="preserve">. Na druhou stranu, tyto normy </w:t>
      </w:r>
      <w:r w:rsidR="00EC534A" w:rsidRPr="009771C8">
        <w:t>nezakl</w:t>
      </w:r>
      <w:r w:rsidR="00ED7F30" w:rsidRPr="009771C8">
        <w:t xml:space="preserve">ádají lidská práva v EU. Oni je „uznávají“, „garantují“ nebo „prohlašují“. Zdá se, </w:t>
      </w:r>
      <w:r w:rsidR="00463965" w:rsidRPr="009771C8">
        <w:t>že </w:t>
      </w:r>
      <w:r w:rsidR="008F52D8" w:rsidRPr="009771C8">
        <w:t>tyto základní práva a svobody existují samy o sobě, neexistuje žádný vyčerpávající katalog všech těchto práv, ani samy o sobě nemají formální právní status</w:t>
      </w:r>
      <w:r w:rsidR="00D81A52" w:rsidRPr="009771C8">
        <w:t xml:space="preserve">. To je změněno </w:t>
      </w:r>
      <w:r w:rsidR="00837AB2" w:rsidRPr="009771C8">
        <w:t>právě právem EU</w:t>
      </w:r>
      <w:r w:rsidR="00D81A52" w:rsidRPr="009771C8">
        <w:t>, které</w:t>
      </w:r>
      <w:r w:rsidR="008F52D8" w:rsidRPr="009771C8">
        <w:t xml:space="preserve"> dává těmto právům, svobodám a principům stejnou právní sílu jakou mají Smlouvy</w:t>
      </w:r>
      <w:r w:rsidR="00B4678A" w:rsidRPr="009771C8">
        <w:rPr>
          <w:rStyle w:val="Funotenzeichen"/>
        </w:rPr>
        <w:footnoteReference w:id="9"/>
      </w:r>
      <w:r w:rsidR="008F52D8" w:rsidRPr="009771C8">
        <w:t xml:space="preserve">. </w:t>
      </w:r>
    </w:p>
    <w:p w:rsidR="00145987" w:rsidRPr="009771C8" w:rsidRDefault="00145987">
      <w:pPr>
        <w:ind w:firstLine="0"/>
      </w:pPr>
    </w:p>
    <w:p w:rsidR="00BA36C6" w:rsidRPr="009771C8" w:rsidRDefault="00BA36C6" w:rsidP="00420E79">
      <w:pPr>
        <w:pStyle w:val="NADPIS2"/>
        <w:outlineLvl w:val="0"/>
      </w:pPr>
      <w:bookmarkStart w:id="10" w:name="_Toc291022215"/>
      <w:r w:rsidRPr="009771C8">
        <w:t>2.2 Důvody vzniku Listiny</w:t>
      </w:r>
      <w:bookmarkEnd w:id="10"/>
    </w:p>
    <w:p w:rsidR="00BA36C6" w:rsidRPr="009771C8" w:rsidRDefault="00BA36C6" w:rsidP="00BA36C6">
      <w:r w:rsidRPr="009771C8">
        <w:t>Proč se vůbec Evropská unie rozhodla k vytvoření katalogu základních práv a svobod? Chalmers, Davies a Monti uvádějí, že potřeba vznikla v</w:t>
      </w:r>
      <w:r w:rsidR="009B54AF" w:rsidRPr="009771C8">
        <w:t> </w:t>
      </w:r>
      <w:r w:rsidRPr="009771C8">
        <w:t>90</w:t>
      </w:r>
      <w:r w:rsidR="009B54AF" w:rsidRPr="009771C8">
        <w:t>.</w:t>
      </w:r>
      <w:r w:rsidR="00B77EB2" w:rsidRPr="009771C8">
        <w:t xml:space="preserve"> letech minulého století a to na </w:t>
      </w:r>
      <w:r w:rsidR="00B1130A" w:rsidRPr="009771C8">
        <w:t>základě dvou významných důvodů</w:t>
      </w:r>
      <w:r w:rsidRPr="009771C8">
        <w:t>. Za prvé existovala touha dát sociálním právům stejný statut jako ostatním svobodám, jmenovitě občanským. Na straně druhé existova</w:t>
      </w:r>
      <w:r w:rsidR="00B77EB2" w:rsidRPr="009771C8">
        <w:t>la mezi </w:t>
      </w:r>
      <w:r w:rsidR="004F30E0" w:rsidRPr="009771C8">
        <w:t>členskými státy shoda v</w:t>
      </w:r>
      <w:r w:rsidRPr="009771C8">
        <w:t> otázce, aby evropské právo nebylo schováno v rozhodovací</w:t>
      </w:r>
      <w:r w:rsidR="00B5687A" w:rsidRPr="009771C8">
        <w:t xml:space="preserve"> činnosti a judikatuře ESD, ale </w:t>
      </w:r>
      <w:r w:rsidRPr="009771C8">
        <w:t>aby se stalo viditelnějším</w:t>
      </w:r>
      <w:r w:rsidRPr="009771C8">
        <w:rPr>
          <w:rStyle w:val="Funotenzeichen"/>
        </w:rPr>
        <w:footnoteReference w:id="10"/>
      </w:r>
      <w:r w:rsidR="00B1130A" w:rsidRPr="009771C8">
        <w:t>, tedy politicky silnějším</w:t>
      </w:r>
      <w:r w:rsidRPr="009771C8">
        <w:t>. Denman k tomu dodává, že cílem Listiny bylo vyplnit mezeru neexistence dokumentu obsahující</w:t>
      </w:r>
      <w:r w:rsidR="00B5687A" w:rsidRPr="009771C8">
        <w:t>ho</w:t>
      </w:r>
      <w:r w:rsidRPr="009771C8">
        <w:t xml:space="preserve"> základní práva a svobody v rámci EU. </w:t>
      </w:r>
      <w:r w:rsidR="00DC000A" w:rsidRPr="009771C8">
        <w:t>Dále dodává, že p</w:t>
      </w:r>
      <w:r w:rsidRPr="009771C8">
        <w:t xml:space="preserve">ři práci na Listině bylo zamýšleno, aby tento dokument potvrdil, že EU uznává lidská práva a to tak, aby byla vtělena do jednoho dokumentu a tím pádem byla tato oblast zviditelněna. </w:t>
      </w:r>
      <w:r w:rsidR="00551359" w:rsidRPr="009771C8">
        <w:t xml:space="preserve">Při vytváření Listiny se nezamýšlelo </w:t>
      </w:r>
      <w:r w:rsidRPr="009771C8">
        <w:t>vytvořit zdroj s novými právy</w:t>
      </w:r>
      <w:r w:rsidRPr="009771C8">
        <w:rPr>
          <w:rStyle w:val="Funotenzeichen"/>
        </w:rPr>
        <w:footnoteReference w:id="11"/>
      </w:r>
      <w:r w:rsidRPr="009771C8">
        <w:t xml:space="preserve">. S tímto tvrzením by se však dalo </w:t>
      </w:r>
      <w:r w:rsidR="00152473" w:rsidRPr="009771C8">
        <w:t xml:space="preserve">v určité části </w:t>
      </w:r>
      <w:r w:rsidRPr="009771C8">
        <w:t>polemizovat, neboť například Šišková uvádí, že kromě vytvoření katalogu práv již dříve deklarovaných obsahuje i práva nová, typická pro „supranacionální seskupení“ a zatím pouze uskutečňovaná v rámci EU</w:t>
      </w:r>
      <w:r w:rsidRPr="009771C8">
        <w:rPr>
          <w:rStyle w:val="Funotenzeichen"/>
        </w:rPr>
        <w:footnoteReference w:id="12"/>
      </w:r>
      <w:r w:rsidRPr="009771C8">
        <w:t>. Podobně se</w:t>
      </w:r>
      <w:r w:rsidR="00152473" w:rsidRPr="009771C8">
        <w:t xml:space="preserve"> vyjadřuje i Chalmers, Davies a </w:t>
      </w:r>
      <w:r w:rsidRPr="009771C8">
        <w:t>Monti, když uvádějí, že Listina obsahuje širší spektrum práv než kterákoli jiná li</w:t>
      </w:r>
      <w:r w:rsidR="00B5687A" w:rsidRPr="009771C8">
        <w:t>dsko-právní smlouva a přináší i </w:t>
      </w:r>
      <w:r w:rsidRPr="009771C8">
        <w:t>nová kulturní a ekologická práva</w:t>
      </w:r>
      <w:r w:rsidRPr="009771C8">
        <w:rPr>
          <w:rStyle w:val="Funotenzeichen"/>
        </w:rPr>
        <w:footnoteReference w:id="13"/>
      </w:r>
      <w:r w:rsidR="00B5687A" w:rsidRPr="009771C8">
        <w:t>.</w:t>
      </w:r>
    </w:p>
    <w:p w:rsidR="00B1130A" w:rsidRPr="009771C8" w:rsidRDefault="00B1130A">
      <w:pPr>
        <w:spacing w:line="240" w:lineRule="auto"/>
        <w:ind w:firstLine="0"/>
        <w:jc w:val="left"/>
      </w:pPr>
      <w:r w:rsidRPr="009771C8">
        <w:br w:type="page"/>
      </w:r>
    </w:p>
    <w:p w:rsidR="002655AC" w:rsidRPr="009771C8" w:rsidRDefault="00BA36C6" w:rsidP="00420E79">
      <w:pPr>
        <w:pStyle w:val="NADPIS2"/>
        <w:outlineLvl w:val="0"/>
      </w:pPr>
      <w:bookmarkStart w:id="11" w:name="_Toc291022216"/>
      <w:r w:rsidRPr="009771C8">
        <w:lastRenderedPageBreak/>
        <w:t xml:space="preserve">2.3 </w:t>
      </w:r>
      <w:r w:rsidR="002655AC" w:rsidRPr="009771C8">
        <w:t xml:space="preserve">Formát </w:t>
      </w:r>
      <w:r w:rsidRPr="009771C8">
        <w:t xml:space="preserve">a struktura </w:t>
      </w:r>
      <w:r w:rsidR="002655AC" w:rsidRPr="009771C8">
        <w:t>Listiny</w:t>
      </w:r>
      <w:bookmarkEnd w:id="11"/>
    </w:p>
    <w:p w:rsidR="00D81A52" w:rsidRPr="009771C8" w:rsidRDefault="00D81A52" w:rsidP="002904F5">
      <w:r w:rsidRPr="009771C8">
        <w:t>Listina není součástí textu reformní Lisabonské smlouvy</w:t>
      </w:r>
      <w:r w:rsidR="002A0E2B" w:rsidRPr="009771C8">
        <w:t>.</w:t>
      </w:r>
      <w:r w:rsidR="00152473" w:rsidRPr="009771C8">
        <w:t xml:space="preserve"> Piris uvádí, že toto řešení je </w:t>
      </w:r>
      <w:r w:rsidR="002A0E2B" w:rsidRPr="009771C8">
        <w:t xml:space="preserve">výsledkem kompromisu mezi těmi státy, především Velkou Británií, </w:t>
      </w:r>
      <w:r w:rsidR="00BA36C6" w:rsidRPr="009771C8">
        <w:t>pro které nebyla politicky akceptovatelná</w:t>
      </w:r>
      <w:r w:rsidR="002A0E2B" w:rsidRPr="009771C8">
        <w:t xml:space="preserve"> některá práva ze sociální oblasti a na d</w:t>
      </w:r>
      <w:r w:rsidR="00152473" w:rsidRPr="009771C8">
        <w:t>ruhé straně většinou států, pro </w:t>
      </w:r>
      <w:r w:rsidR="002A0E2B" w:rsidRPr="009771C8">
        <w:t xml:space="preserve">které myšlenka opuštění Listiny byla nepředstavitelná, protože Listina se stala důkazem, že </w:t>
      </w:r>
      <w:r w:rsidR="00152473" w:rsidRPr="009771C8">
        <w:t>EU</w:t>
      </w:r>
      <w:r w:rsidR="002A0E2B" w:rsidRPr="009771C8">
        <w:t xml:space="preserve"> už není jen hospodářským uskupením</w:t>
      </w:r>
      <w:r w:rsidR="002A0E2B" w:rsidRPr="009771C8">
        <w:rPr>
          <w:rStyle w:val="Funotenzeichen"/>
        </w:rPr>
        <w:footnoteReference w:id="14"/>
      </w:r>
      <w:r w:rsidR="002A0E2B" w:rsidRPr="009771C8">
        <w:t xml:space="preserve">. To, že text Listiny není integrován v textu </w:t>
      </w:r>
      <w:r w:rsidR="006D20C5" w:rsidRPr="009771C8">
        <w:t>Lisabonské smlouvy</w:t>
      </w:r>
      <w:r w:rsidR="002A0E2B" w:rsidRPr="009771C8">
        <w:t>,</w:t>
      </w:r>
      <w:r w:rsidR="006D20C5" w:rsidRPr="009771C8">
        <w:t xml:space="preserve"> </w:t>
      </w:r>
      <w:r w:rsidR="002A0E2B" w:rsidRPr="009771C8">
        <w:t>n</w:t>
      </w:r>
      <w:r w:rsidRPr="009771C8">
        <w:t xml:space="preserve">ěkteří autoři považují za oslabení jejího postavení. Například Schwarz ve svém článku uvádí, </w:t>
      </w:r>
      <w:r w:rsidRPr="009771C8">
        <w:rPr>
          <w:i/>
        </w:rPr>
        <w:t>„že skutečnost, že Chart</w:t>
      </w:r>
      <w:r w:rsidR="00A4331B" w:rsidRPr="009771C8">
        <w:rPr>
          <w:i/>
        </w:rPr>
        <w:t>a není součástí Smluv, svědčí o </w:t>
      </w:r>
      <w:r w:rsidRPr="009771C8">
        <w:rPr>
          <w:i/>
        </w:rPr>
        <w:t>oslabení jejího významu jakožto jádra unijní ústavy“</w:t>
      </w:r>
      <w:r w:rsidR="00E53246" w:rsidRPr="009771C8">
        <w:rPr>
          <w:rStyle w:val="Funotenzeichen"/>
          <w:i/>
        </w:rPr>
        <w:footnoteReference w:id="15"/>
      </w:r>
      <w:r w:rsidR="00837AB2" w:rsidRPr="009771C8">
        <w:t>. Na druhou stranu dodává</w:t>
      </w:r>
      <w:r w:rsidRPr="009771C8">
        <w:t xml:space="preserve">, že </w:t>
      </w:r>
      <w:r w:rsidR="00D270CE" w:rsidRPr="009771C8">
        <w:rPr>
          <w:i/>
        </w:rPr>
        <w:t>„jako samostatný dokument může být Charta viditelnější a snáze uchopitelná pro veřejnost“</w:t>
      </w:r>
      <w:r w:rsidR="00C51637" w:rsidRPr="009771C8">
        <w:rPr>
          <w:rStyle w:val="Funotenzeichen"/>
          <w:i/>
        </w:rPr>
        <w:footnoteReference w:id="16"/>
      </w:r>
      <w:r w:rsidR="00D270CE" w:rsidRPr="009771C8">
        <w:rPr>
          <w:i/>
        </w:rPr>
        <w:t xml:space="preserve">. </w:t>
      </w:r>
      <w:r w:rsidR="001B0596" w:rsidRPr="009771C8">
        <w:t xml:space="preserve">Šišková uvádí, že </w:t>
      </w:r>
      <w:r w:rsidR="001B0596" w:rsidRPr="009771C8">
        <w:rPr>
          <w:i/>
        </w:rPr>
        <w:t xml:space="preserve">„vyčlenění Listiny z textu zřizovací smlouvy, </w:t>
      </w:r>
      <w:r w:rsidR="0054573D" w:rsidRPr="009771C8">
        <w:rPr>
          <w:i/>
        </w:rPr>
        <w:t>(</w:t>
      </w:r>
      <w:r w:rsidR="001B0596" w:rsidRPr="009771C8">
        <w:rPr>
          <w:i/>
        </w:rPr>
        <w:t>…</w:t>
      </w:r>
      <w:r w:rsidR="0054573D" w:rsidRPr="009771C8">
        <w:rPr>
          <w:i/>
        </w:rPr>
        <w:t>)</w:t>
      </w:r>
      <w:r w:rsidR="001B0596" w:rsidRPr="009771C8">
        <w:rPr>
          <w:i/>
        </w:rPr>
        <w:t xml:space="preserve"> a následné odvození právní závaznosti z textu ustanovení jednoho z jejích článků považuje nejen za zbytečně komplikované, právně zamotané, ale především méně důstojné</w:t>
      </w:r>
      <w:r w:rsidR="00CE536F" w:rsidRPr="009771C8">
        <w:rPr>
          <w:rStyle w:val="Funotenzeichen"/>
          <w:i/>
        </w:rPr>
        <w:footnoteReference w:id="17"/>
      </w:r>
      <w:r w:rsidR="001B0596" w:rsidRPr="009771C8">
        <w:rPr>
          <w:i/>
        </w:rPr>
        <w:t>“</w:t>
      </w:r>
      <w:r w:rsidR="001B0596" w:rsidRPr="009771C8">
        <w:t>. A dále uvádí, že toto řešení „</w:t>
      </w:r>
      <w:r w:rsidR="001B0596" w:rsidRPr="009771C8">
        <w:rPr>
          <w:i/>
        </w:rPr>
        <w:t>neodpovídá významu lidských práv v životě demokratické společnosti</w:t>
      </w:r>
      <w:r w:rsidR="00CE536F" w:rsidRPr="009771C8">
        <w:rPr>
          <w:rStyle w:val="Funotenzeichen"/>
          <w:i/>
        </w:rPr>
        <w:footnoteReference w:id="18"/>
      </w:r>
      <w:r w:rsidR="001B0596" w:rsidRPr="009771C8">
        <w:rPr>
          <w:i/>
        </w:rPr>
        <w:t>“</w:t>
      </w:r>
      <w:r w:rsidR="001B0596" w:rsidRPr="009771C8">
        <w:t xml:space="preserve"> a </w:t>
      </w:r>
      <w:r w:rsidR="002904F5" w:rsidRPr="009771C8">
        <w:t xml:space="preserve">bylo </w:t>
      </w:r>
      <w:r w:rsidR="002904F5" w:rsidRPr="009771C8">
        <w:rPr>
          <w:i/>
        </w:rPr>
        <w:t>„navíc doprovázeno ztrátou části její teritoriální působnosti</w:t>
      </w:r>
      <w:r w:rsidR="00CE536F" w:rsidRPr="009771C8">
        <w:rPr>
          <w:rStyle w:val="Funotenzeichen"/>
          <w:i/>
        </w:rPr>
        <w:footnoteReference w:id="19"/>
      </w:r>
      <w:r w:rsidR="002904F5" w:rsidRPr="009771C8">
        <w:rPr>
          <w:i/>
        </w:rPr>
        <w:t>“</w:t>
      </w:r>
      <w:r w:rsidR="002904F5" w:rsidRPr="009771C8">
        <w:t xml:space="preserve">. </w:t>
      </w:r>
      <w:r w:rsidR="00BB6462" w:rsidRPr="009771C8">
        <w:t>Na</w:t>
      </w:r>
      <w:r w:rsidR="00420E79" w:rsidRPr="009771C8">
        <w:t> </w:t>
      </w:r>
      <w:r w:rsidR="00BB6462" w:rsidRPr="009771C8">
        <w:t xml:space="preserve">druhou stranu, jak uvádí Klingenbrunner a Raptis, možná z estetického hlediska může být kritizováno, že Listina není součástí textu v Lisabonské smlouvě, ale to nemění nic na faktu, že má statut primárního práva </w:t>
      </w:r>
      <w:r w:rsidR="00837AB2" w:rsidRPr="009771C8">
        <w:t xml:space="preserve">EU stejně </w:t>
      </w:r>
      <w:r w:rsidR="00BB6462" w:rsidRPr="009771C8">
        <w:t>jako Smlouvy</w:t>
      </w:r>
      <w:r w:rsidR="00BB6462" w:rsidRPr="009771C8">
        <w:rPr>
          <w:rStyle w:val="Funotenzeichen"/>
        </w:rPr>
        <w:footnoteReference w:id="20"/>
      </w:r>
      <w:r w:rsidR="00BB6462" w:rsidRPr="009771C8">
        <w:t xml:space="preserve">. </w:t>
      </w:r>
    </w:p>
    <w:p w:rsidR="00420E79" w:rsidRPr="009771C8" w:rsidRDefault="008D2D0F" w:rsidP="00CA66EB">
      <w:r w:rsidRPr="009771C8">
        <w:t>Listina je tvoře</w:t>
      </w:r>
      <w:r w:rsidR="00347EB2" w:rsidRPr="009771C8">
        <w:t xml:space="preserve">na 54 články, přičemž jejich struktura je atypická – neřídí se </w:t>
      </w:r>
      <w:r w:rsidR="00A4331B" w:rsidRPr="009771C8">
        <w:t xml:space="preserve">tradičním </w:t>
      </w:r>
      <w:r w:rsidR="00DE41FF" w:rsidRPr="009771C8">
        <w:t>dělení</w:t>
      </w:r>
      <w:r w:rsidR="00A4331B" w:rsidRPr="009771C8">
        <w:t>m</w:t>
      </w:r>
      <w:r w:rsidR="00347EB2" w:rsidRPr="009771C8">
        <w:t xml:space="preserve"> </w:t>
      </w:r>
      <w:r w:rsidR="00DE41FF" w:rsidRPr="009771C8">
        <w:t>na práva nebo svobody na osobní, obča</w:t>
      </w:r>
      <w:r w:rsidR="00347EB2" w:rsidRPr="009771C8">
        <w:t xml:space="preserve">nská, hospodářská a jiná práva, stejně tak nerozlišuje, zda </w:t>
      </w:r>
      <w:r w:rsidR="000B17CE" w:rsidRPr="009771C8">
        <w:t>se jedná o práv</w:t>
      </w:r>
      <w:r w:rsidR="00A537E1" w:rsidRPr="009771C8">
        <w:t>a pro jednotlivce nebo skupiny</w:t>
      </w:r>
      <w:r w:rsidR="000B17CE" w:rsidRPr="009771C8">
        <w:t xml:space="preserve"> </w:t>
      </w:r>
      <w:r w:rsidR="00DE41FF" w:rsidRPr="009771C8">
        <w:t>atd</w:t>
      </w:r>
      <w:r w:rsidR="00D056A2" w:rsidRPr="009771C8">
        <w:t>.</w:t>
      </w:r>
      <w:r w:rsidR="000B17CE" w:rsidRPr="009771C8">
        <w:rPr>
          <w:rStyle w:val="Funotenzeichen"/>
        </w:rPr>
        <w:footnoteReference w:id="21"/>
      </w:r>
      <w:r w:rsidR="00DE41FF" w:rsidRPr="009771C8">
        <w:t xml:space="preserve">. </w:t>
      </w:r>
      <w:r w:rsidR="00261239" w:rsidRPr="009771C8">
        <w:t xml:space="preserve">Jak uvádí Šišková, </w:t>
      </w:r>
      <w:r w:rsidR="00347EB2" w:rsidRPr="009771C8">
        <w:t xml:space="preserve">to, že </w:t>
      </w:r>
      <w:r w:rsidR="00261239" w:rsidRPr="009771C8">
        <w:t>L</w:t>
      </w:r>
      <w:r w:rsidR="00D056A2" w:rsidRPr="009771C8">
        <w:t>ist</w:t>
      </w:r>
      <w:r w:rsidR="00347EB2" w:rsidRPr="009771C8">
        <w:t>ina přichází s novou strukturou,</w:t>
      </w:r>
      <w:r w:rsidR="00D056A2" w:rsidRPr="009771C8">
        <w:t xml:space="preserve"> nejspíš </w:t>
      </w:r>
      <w:r w:rsidR="00347EB2" w:rsidRPr="009771C8">
        <w:t xml:space="preserve">znamená, že </w:t>
      </w:r>
      <w:r w:rsidR="00D056A2" w:rsidRPr="009771C8">
        <w:t>„</w:t>
      </w:r>
      <w:r w:rsidR="00D056A2" w:rsidRPr="009771C8">
        <w:rPr>
          <w:i/>
        </w:rPr>
        <w:t>klade důraz na rovné hodnotové postavení všech práv vyjadřující jednotné pojetí kvalit lidského života, které jednotlivá práva svým obsahem znamenají</w:t>
      </w:r>
      <w:r w:rsidR="00D056A2" w:rsidRPr="009771C8">
        <w:rPr>
          <w:rStyle w:val="Funotenzeichen"/>
          <w:i/>
        </w:rPr>
        <w:footnoteReference w:id="22"/>
      </w:r>
      <w:r w:rsidR="00D056A2" w:rsidRPr="009771C8">
        <w:rPr>
          <w:i/>
        </w:rPr>
        <w:t xml:space="preserve">“. </w:t>
      </w:r>
      <w:r w:rsidR="00D056A2" w:rsidRPr="009771C8">
        <w:t>Kromě preambule se skládá ze</w:t>
      </w:r>
      <w:r w:rsidRPr="009771C8">
        <w:t xml:space="preserve"> sedmi hlav s následujícími </w:t>
      </w:r>
      <w:r w:rsidR="00DA5EF5" w:rsidRPr="009771C8">
        <w:t xml:space="preserve">názvy: důstojnost, svobody, rovnost, solidarita, občanská práva, soudnictví, poslední hlavou jsou potom ustanovení upravující výklad a použití Listiny. </w:t>
      </w:r>
      <w:r w:rsidR="00DD56AA" w:rsidRPr="009771C8">
        <w:t xml:space="preserve">Z hlediska obsahu </w:t>
      </w:r>
      <w:r w:rsidR="0024758D" w:rsidRPr="009771C8">
        <w:t xml:space="preserve">lidsko-právního dokumentu </w:t>
      </w:r>
      <w:r w:rsidR="00DD56AA" w:rsidRPr="009771C8">
        <w:t xml:space="preserve">je největší novinkou </w:t>
      </w:r>
      <w:r w:rsidR="002245E2" w:rsidRPr="009771C8">
        <w:t xml:space="preserve">právě </w:t>
      </w:r>
      <w:r w:rsidR="00B01A3F" w:rsidRPr="009771C8">
        <w:t>hlava čtvrtá</w:t>
      </w:r>
      <w:r w:rsidR="0054573D" w:rsidRPr="009771C8">
        <w:t>, tj. solidarita</w:t>
      </w:r>
      <w:r w:rsidR="00B01A3F" w:rsidRPr="009771C8">
        <w:t xml:space="preserve">. Nielsen uvádí, že solidarita </w:t>
      </w:r>
      <w:r w:rsidR="002245E2" w:rsidRPr="009771C8">
        <w:lastRenderedPageBreak/>
        <w:t>v rámci Listin</w:t>
      </w:r>
      <w:r w:rsidR="00BA36C6" w:rsidRPr="009771C8">
        <w:t>y</w:t>
      </w:r>
      <w:r w:rsidR="002245E2" w:rsidRPr="009771C8">
        <w:t xml:space="preserve"> dostává</w:t>
      </w:r>
      <w:r w:rsidR="00BA36C6" w:rsidRPr="009771C8">
        <w:t xml:space="preserve"> </w:t>
      </w:r>
      <w:r w:rsidR="002245E2" w:rsidRPr="009771C8">
        <w:t>nový detailnější rozměr</w:t>
      </w:r>
      <w:r w:rsidR="002245E2" w:rsidRPr="009771C8">
        <w:rPr>
          <w:rStyle w:val="Funotenzeichen"/>
        </w:rPr>
        <w:footnoteReference w:id="23"/>
      </w:r>
      <w:r w:rsidR="002245E2" w:rsidRPr="009771C8">
        <w:t xml:space="preserve">. </w:t>
      </w:r>
      <w:r w:rsidR="00916EB2" w:rsidRPr="009771C8">
        <w:t>K Listině je potom vydáno vysvě</w:t>
      </w:r>
      <w:r w:rsidR="007B593F" w:rsidRPr="009771C8">
        <w:t xml:space="preserve">tlení, které si klade za cíl podat výklad a vysvětlení jednotlivých ustanovení Listiny. </w:t>
      </w:r>
    </w:p>
    <w:p w:rsidR="00420E79" w:rsidRPr="009771C8" w:rsidRDefault="00916EB2" w:rsidP="00140D1A">
      <w:pPr>
        <w:rPr>
          <w:bCs/>
        </w:rPr>
      </w:pPr>
      <w:r w:rsidRPr="009771C8">
        <w:t>Dalším</w:t>
      </w:r>
      <w:r w:rsidR="00420E79" w:rsidRPr="009771C8">
        <w:t>, velmi</w:t>
      </w:r>
      <w:r w:rsidRPr="009771C8">
        <w:t xml:space="preserve"> zajímavým </w:t>
      </w:r>
      <w:r w:rsidR="0054573D" w:rsidRPr="009771C8">
        <w:t xml:space="preserve">právním </w:t>
      </w:r>
      <w:r w:rsidRPr="009771C8">
        <w:t>faktem je, že L</w:t>
      </w:r>
      <w:r w:rsidR="001B0596" w:rsidRPr="009771C8">
        <w:t>istina neobsahuje jen práva, ale i tzv. principy</w:t>
      </w:r>
      <w:r w:rsidR="002A3911" w:rsidRPr="009771C8">
        <w:t xml:space="preserve"> nebo-</w:t>
      </w:r>
      <w:r w:rsidR="00152473" w:rsidRPr="009771C8">
        <w:t>li zásady</w:t>
      </w:r>
      <w:r w:rsidR="001B0596" w:rsidRPr="009771C8">
        <w:t xml:space="preserve">. Rozdíl mezi </w:t>
      </w:r>
      <w:r w:rsidR="0074018F" w:rsidRPr="009771C8">
        <w:t xml:space="preserve">nimi </w:t>
      </w:r>
      <w:r w:rsidR="00420E79" w:rsidRPr="009771C8">
        <w:t xml:space="preserve">spočívá </w:t>
      </w:r>
      <w:r w:rsidR="0074018F" w:rsidRPr="009771C8">
        <w:t>v tom, že práva zakládají subjektivní práva a jednotlivci se jich mohou přímo dovolávat u soudu, zatímc</w:t>
      </w:r>
      <w:r w:rsidR="0024758D" w:rsidRPr="009771C8">
        <w:t>o principy jsou definovány jako </w:t>
      </w:r>
      <w:r w:rsidR="0074018F" w:rsidRPr="009771C8">
        <w:t>hodnoty, které musí být respektovány při utváření EU legislativy a jednotlivec se jich může dovolávat, jakmile budou implementovány do legislativy</w:t>
      </w:r>
      <w:r w:rsidR="00C8052B" w:rsidRPr="009771C8">
        <w:rPr>
          <w:rStyle w:val="Funotenzeichen"/>
        </w:rPr>
        <w:footnoteReference w:id="24"/>
      </w:r>
      <w:r w:rsidR="0074018F" w:rsidRPr="009771C8">
        <w:t>.</w:t>
      </w:r>
      <w:r w:rsidR="00FB481F" w:rsidRPr="009771C8">
        <w:t xml:space="preserve"> V rámci Listiny ani</w:t>
      </w:r>
      <w:r w:rsidR="00420E79" w:rsidRPr="009771C8">
        <w:t xml:space="preserve"> v rámci</w:t>
      </w:r>
      <w:r w:rsidR="00FB481F" w:rsidRPr="009771C8">
        <w:t xml:space="preserve"> vysvětlení k Listině </w:t>
      </w:r>
      <w:r w:rsidR="00446B27" w:rsidRPr="009771C8">
        <w:t>ovšem neexistuje seznam, který by určil, která ustanovení představují práva a která ustanovení naopak principy.</w:t>
      </w:r>
      <w:r w:rsidR="00FB481F" w:rsidRPr="009771C8">
        <w:t xml:space="preserve"> Jak Piris </w:t>
      </w:r>
      <w:r w:rsidR="00420E79" w:rsidRPr="009771C8">
        <w:t>ukazuje</w:t>
      </w:r>
      <w:r w:rsidR="00FB481F" w:rsidRPr="009771C8">
        <w:t xml:space="preserve">, </w:t>
      </w:r>
      <w:r w:rsidR="00446B27" w:rsidRPr="009771C8">
        <w:t xml:space="preserve">tam, kde zákonodárce měl v úmyslu ustanovení označit za právo, uvádí tento článek větou </w:t>
      </w:r>
      <w:r w:rsidR="00446B27" w:rsidRPr="009771C8">
        <w:rPr>
          <w:i/>
        </w:rPr>
        <w:t xml:space="preserve">„každý má právo </w:t>
      </w:r>
      <w:r w:rsidR="0024758D" w:rsidRPr="009771C8">
        <w:rPr>
          <w:i/>
        </w:rPr>
        <w:t>(</w:t>
      </w:r>
      <w:r w:rsidR="00446B27" w:rsidRPr="009771C8">
        <w:rPr>
          <w:i/>
        </w:rPr>
        <w:t>…</w:t>
      </w:r>
      <w:r w:rsidR="0024758D" w:rsidRPr="009771C8">
        <w:rPr>
          <w:i/>
        </w:rPr>
        <w:t>)</w:t>
      </w:r>
      <w:r w:rsidR="00446B27" w:rsidRPr="009771C8">
        <w:rPr>
          <w:i/>
        </w:rPr>
        <w:t>“</w:t>
      </w:r>
      <w:r w:rsidR="00446B27" w:rsidRPr="009771C8">
        <w:t>. Naopak, tam kde měl v úmyslu označit ustanovení za princip</w:t>
      </w:r>
      <w:r w:rsidR="001914BA" w:rsidRPr="009771C8">
        <w:t>,</w:t>
      </w:r>
      <w:r w:rsidR="00446B27" w:rsidRPr="009771C8">
        <w:t xml:space="preserve"> věta začíná slovním spojením „</w:t>
      </w:r>
      <w:r w:rsidR="00446B27" w:rsidRPr="009771C8">
        <w:rPr>
          <w:i/>
        </w:rPr>
        <w:t>Un</w:t>
      </w:r>
      <w:r w:rsidR="00002133" w:rsidRPr="009771C8">
        <w:rPr>
          <w:i/>
        </w:rPr>
        <w:t xml:space="preserve">ie uznává a respektuje právo </w:t>
      </w:r>
      <w:r w:rsidR="0024758D" w:rsidRPr="009771C8">
        <w:rPr>
          <w:i/>
        </w:rPr>
        <w:t>(</w:t>
      </w:r>
      <w:r w:rsidR="00446B27" w:rsidRPr="009771C8">
        <w:rPr>
          <w:i/>
        </w:rPr>
        <w:t>…</w:t>
      </w:r>
      <w:r w:rsidR="0024758D" w:rsidRPr="009771C8">
        <w:rPr>
          <w:i/>
        </w:rPr>
        <w:t>)</w:t>
      </w:r>
      <w:r w:rsidR="00446B27" w:rsidRPr="009771C8">
        <w:rPr>
          <w:i/>
        </w:rPr>
        <w:t>“</w:t>
      </w:r>
      <w:r w:rsidR="00002133" w:rsidRPr="009771C8">
        <w:rPr>
          <w:rStyle w:val="Funotenzeichen"/>
          <w:i/>
        </w:rPr>
        <w:footnoteReference w:id="25"/>
      </w:r>
      <w:r w:rsidR="00D34F00" w:rsidRPr="009771C8">
        <w:t xml:space="preserve">. </w:t>
      </w:r>
      <w:r w:rsidR="00140D1A" w:rsidRPr="009771C8">
        <w:rPr>
          <w:bCs/>
        </w:rPr>
        <w:t xml:space="preserve">Hamuľák toto rozlišení shrnuje takto: </w:t>
      </w:r>
      <w:r w:rsidR="00140D1A" w:rsidRPr="009771C8">
        <w:rPr>
          <w:bCs/>
          <w:i/>
        </w:rPr>
        <w:t>„práva mají být respektována a zásady dodržovány; zásady mohou být prováděny legislativními a</w:t>
      </w:r>
      <w:r w:rsidR="0054573D" w:rsidRPr="009771C8">
        <w:rPr>
          <w:bCs/>
          <w:i/>
        </w:rPr>
        <w:t> </w:t>
      </w:r>
      <w:r w:rsidR="00140D1A" w:rsidRPr="009771C8">
        <w:rPr>
          <w:bCs/>
          <w:i/>
        </w:rPr>
        <w:t>exekutivními akty (Unie i členských států) a na základě zásad nemohou být podávány přímé žaloby požadující činnost orgánů“</w:t>
      </w:r>
      <w:r w:rsidR="00871886" w:rsidRPr="009771C8">
        <w:rPr>
          <w:rStyle w:val="Funotenzeichen"/>
          <w:bCs/>
          <w:i/>
        </w:rPr>
        <w:footnoteReference w:id="26"/>
      </w:r>
      <w:r w:rsidR="00140D1A" w:rsidRPr="009771C8">
        <w:rPr>
          <w:bCs/>
        </w:rPr>
        <w:t xml:space="preserve">. </w:t>
      </w:r>
    </w:p>
    <w:p w:rsidR="00420E79" w:rsidRPr="009771C8" w:rsidRDefault="0054573D" w:rsidP="00CA66EB">
      <w:r w:rsidRPr="009771C8">
        <w:t>K</w:t>
      </w:r>
      <w:r w:rsidR="00D34F00" w:rsidRPr="009771C8">
        <w:t xml:space="preserve"> obsahu Listiny bych </w:t>
      </w:r>
      <w:r w:rsidRPr="009771C8">
        <w:t xml:space="preserve">na závěr </w:t>
      </w:r>
      <w:r w:rsidR="00D34F00" w:rsidRPr="009771C8">
        <w:t xml:space="preserve">chtěla ještě dodat, že i přes obecné povědomí z doby, kdy se ratifikační proces Lisabonské smlouvy chýlil ke konci a ve společnosti se diskutovalo o povaze a významu Listiny, </w:t>
      </w:r>
      <w:r w:rsidR="00420E79" w:rsidRPr="009771C8">
        <w:t xml:space="preserve">tj. </w:t>
      </w:r>
      <w:r w:rsidR="00D34F00" w:rsidRPr="009771C8">
        <w:t>že obsahuje nová práva – přesto existují práva, především ze</w:t>
      </w:r>
      <w:r w:rsidR="00100971" w:rsidRPr="009771C8">
        <w:t> </w:t>
      </w:r>
      <w:r w:rsidR="00D34F00" w:rsidRPr="009771C8">
        <w:t xml:space="preserve">sociální oblasti, která v Listině chybí. </w:t>
      </w:r>
      <w:r w:rsidR="00420E79" w:rsidRPr="009771C8">
        <w:t xml:space="preserve">Jedná se </w:t>
      </w:r>
      <w:r w:rsidR="00D34F00" w:rsidRPr="009771C8">
        <w:t xml:space="preserve">například </w:t>
      </w:r>
      <w:r w:rsidR="00420E79" w:rsidRPr="009771C8">
        <w:t xml:space="preserve">o </w:t>
      </w:r>
      <w:r w:rsidR="00D34F00" w:rsidRPr="009771C8">
        <w:t>právo na národnost, důstojný plat, právo pracovat a právo na bydlení</w:t>
      </w:r>
      <w:r w:rsidR="00D34F00" w:rsidRPr="009771C8">
        <w:rPr>
          <w:rStyle w:val="Funotenzeichen"/>
        </w:rPr>
        <w:footnoteReference w:id="27"/>
      </w:r>
      <w:r w:rsidR="00D34F00" w:rsidRPr="009771C8">
        <w:t>. Ty</w:t>
      </w:r>
      <w:r w:rsidR="00420E79" w:rsidRPr="009771C8">
        <w:t>to práva</w:t>
      </w:r>
      <w:r w:rsidR="00D34F00" w:rsidRPr="009771C8">
        <w:t xml:space="preserve"> byly z konečného textu Listiny vypuštěn</w:t>
      </w:r>
      <w:r w:rsidR="0051402F" w:rsidRPr="009771C8">
        <w:t>y</w:t>
      </w:r>
      <w:r w:rsidR="00420E79" w:rsidRPr="009771C8">
        <w:t xml:space="preserve"> pravděpodobně v rámci vyjednávání kompromisní podoby Listiny</w:t>
      </w:r>
      <w:r w:rsidR="00D34F00" w:rsidRPr="009771C8">
        <w:t>.</w:t>
      </w:r>
    </w:p>
    <w:p w:rsidR="003B777E" w:rsidRPr="009771C8" w:rsidRDefault="003B777E">
      <w:pPr>
        <w:spacing w:line="240" w:lineRule="auto"/>
        <w:ind w:firstLine="0"/>
        <w:jc w:val="left"/>
      </w:pPr>
      <w:r w:rsidRPr="009771C8">
        <w:br w:type="page"/>
      </w:r>
    </w:p>
    <w:p w:rsidR="00145987" w:rsidRPr="009771C8" w:rsidRDefault="00D34F00">
      <w:pPr>
        <w:pStyle w:val="NADPIS2"/>
      </w:pPr>
      <w:r w:rsidRPr="009771C8">
        <w:lastRenderedPageBreak/>
        <w:t xml:space="preserve"> </w:t>
      </w:r>
      <w:bookmarkStart w:id="12" w:name="_Toc291022217"/>
      <w:r w:rsidR="00420E79" w:rsidRPr="009771C8">
        <w:t xml:space="preserve">2.4 </w:t>
      </w:r>
      <w:r w:rsidR="00A13EAF" w:rsidRPr="009771C8">
        <w:t>Výklad a použití Listiny</w:t>
      </w:r>
      <w:bookmarkEnd w:id="12"/>
    </w:p>
    <w:p w:rsidR="00CF2BF0" w:rsidRPr="009771C8" w:rsidRDefault="003B777E" w:rsidP="00CF2BF0">
      <w:r w:rsidRPr="009771C8">
        <w:t xml:space="preserve">Pravidla pro použití Listiny jsou bezesporu zásadní záležitostí. </w:t>
      </w:r>
      <w:r w:rsidR="0026144A" w:rsidRPr="009771C8">
        <w:t>V čl. 51 </w:t>
      </w:r>
      <w:r w:rsidR="002E350F" w:rsidRPr="009771C8">
        <w:t>odst. 1 Listiny je stanoveno</w:t>
      </w:r>
      <w:r w:rsidR="00784955" w:rsidRPr="009771C8">
        <w:t xml:space="preserve">, že ustanovení Listiny </w:t>
      </w:r>
      <w:r w:rsidR="00784955" w:rsidRPr="009771C8">
        <w:rPr>
          <w:i/>
        </w:rPr>
        <w:t>„jsou při dodržení zásady subsidiarity určena orgánům, institucím a jiným subjektům Unie, a dále členským státům, výhradně pokud uplatňují právo Unie“</w:t>
      </w:r>
      <w:r w:rsidR="00784955" w:rsidRPr="009771C8">
        <w:t>.</w:t>
      </w:r>
      <w:r w:rsidR="009B3B04" w:rsidRPr="009771C8">
        <w:t xml:space="preserve"> Z toho tedy</w:t>
      </w:r>
      <w:r w:rsidR="0092491D" w:rsidRPr="009771C8">
        <w:t xml:space="preserve"> vyplývá</w:t>
      </w:r>
      <w:r w:rsidR="009B3B04" w:rsidRPr="009771C8">
        <w:t>, že Listina nerozšiřuje oblast působnosti práva Unie</w:t>
      </w:r>
      <w:r w:rsidR="00632888" w:rsidRPr="009771C8">
        <w:t xml:space="preserve"> a ani </w:t>
      </w:r>
      <w:r w:rsidR="002E350F" w:rsidRPr="009771C8">
        <w:t>nevytváří nebo nemění žádnou novou pravomoc nebo úkol pro </w:t>
      </w:r>
      <w:r w:rsidR="00632888" w:rsidRPr="009771C8">
        <w:t>Unii - to je stanoveno v čl. 51 </w:t>
      </w:r>
      <w:r w:rsidR="002E350F" w:rsidRPr="009771C8">
        <w:t xml:space="preserve">odst. 2 Listiny. Listina se tedy nepoužije na případy, ve kterých se aplikuje pouze národní právo. </w:t>
      </w:r>
      <w:r w:rsidR="0092491D" w:rsidRPr="009771C8">
        <w:t>Tento fakt je např. v České republice</w:t>
      </w:r>
      <w:r w:rsidR="00CE3264" w:rsidRPr="009771C8">
        <w:t xml:space="preserve"> málo známý. Domnívám se tak na </w:t>
      </w:r>
      <w:r w:rsidR="0092491D" w:rsidRPr="009771C8">
        <w:t>základě rozboru argumentů d</w:t>
      </w:r>
      <w:r w:rsidR="00075864" w:rsidRPr="009771C8">
        <w:t>iskuze v médiích k tzv. české výji</w:t>
      </w:r>
      <w:r w:rsidR="0092491D" w:rsidRPr="009771C8">
        <w:t>mce prosazené prezidentem republiky</w:t>
      </w:r>
      <w:r w:rsidR="00FA757C" w:rsidRPr="009771C8">
        <w:t xml:space="preserve"> </w:t>
      </w:r>
      <w:r w:rsidR="00BD2A43" w:rsidRPr="009771C8">
        <w:t>v rámci ratifikačního procesu Lisabonské smlouvy</w:t>
      </w:r>
      <w:r w:rsidR="0092491D" w:rsidRPr="009771C8">
        <w:t xml:space="preserve">. </w:t>
      </w:r>
      <w:r w:rsidR="00297787" w:rsidRPr="009771C8">
        <w:t>Stejně tak práva v Listině nejsou vymahatelná v situaci, kdy členský stát ještě neimplementoval povinnost plynoucí ze</w:t>
      </w:r>
      <w:r w:rsidRPr="009771C8">
        <w:t> </w:t>
      </w:r>
      <w:r w:rsidR="00297787" w:rsidRPr="009771C8">
        <w:t>směrnice a doba pro implementaci ještě nevypršela</w:t>
      </w:r>
      <w:r w:rsidR="00AC0444" w:rsidRPr="009771C8">
        <w:rPr>
          <w:rStyle w:val="Funotenzeichen"/>
        </w:rPr>
        <w:footnoteReference w:id="28"/>
      </w:r>
      <w:r w:rsidR="00297787" w:rsidRPr="009771C8">
        <w:t xml:space="preserve">. </w:t>
      </w:r>
      <w:r w:rsidR="009B3B04" w:rsidRPr="009771C8">
        <w:t xml:space="preserve">K tomu Piris dodává, že tyto práva vytvářejí povinnost pouze pro instituce EU a ne pro národní veřejné orgány, kromě případů kdy implementují legislativu EU. A dál uvádí, že </w:t>
      </w:r>
      <w:r w:rsidR="009B3B04" w:rsidRPr="009771C8">
        <w:rPr>
          <w:i/>
        </w:rPr>
        <w:t>„symbolická hodnota Listiny je obrovská, ale její reálný právní dopad byl přeceněn na obou stranách</w:t>
      </w:r>
      <w:r w:rsidR="00531416" w:rsidRPr="009771C8">
        <w:rPr>
          <w:rStyle w:val="Funotenzeichen"/>
          <w:i/>
        </w:rPr>
        <w:footnoteReference w:id="29"/>
      </w:r>
      <w:r w:rsidR="009B3B04" w:rsidRPr="009771C8">
        <w:rPr>
          <w:i/>
        </w:rPr>
        <w:t>“</w:t>
      </w:r>
      <w:r w:rsidR="009B3B04" w:rsidRPr="009771C8">
        <w:t xml:space="preserve">. Tím Piris má na mysli státy, které Listinu podporovaly a naopak státy, které se ustanovení Listiny obávaly. </w:t>
      </w:r>
      <w:r w:rsidR="00BD2A43" w:rsidRPr="009771C8">
        <w:t xml:space="preserve">Jinými slovy, Listina není použitelná na případy, kdy se ve sporu využívá pouze vnitrostátního práva. </w:t>
      </w:r>
    </w:p>
    <w:p w:rsidR="002E350F" w:rsidRPr="009771C8" w:rsidRDefault="002E350F" w:rsidP="00CF2BF0">
      <w:r w:rsidRPr="009771C8">
        <w:t>V hlavě sedmé Listiny jsou dále stanoveny pod</w:t>
      </w:r>
      <w:r w:rsidR="00294696" w:rsidRPr="009771C8">
        <w:t>mínky pro omezení výkonu práv a </w:t>
      </w:r>
      <w:r w:rsidRPr="009771C8">
        <w:t>svobod. V následujících ustanoveních je také řešen vztah Listiny a Úmluvy – pokud Listin</w:t>
      </w:r>
      <w:r w:rsidR="003B777E" w:rsidRPr="009771C8">
        <w:t>a</w:t>
      </w:r>
      <w:r w:rsidRPr="009771C8">
        <w:t xml:space="preserve"> obsahuje práva, která jsou zaručena také Úmluvou, jsou smysl a rozsah těchto práv stejné jako</w:t>
      </w:r>
      <w:r w:rsidR="00DB1C10" w:rsidRPr="009771C8">
        <w:t> </w:t>
      </w:r>
      <w:r w:rsidR="009808FE" w:rsidRPr="009771C8">
        <w:t>ty, které jim přikládá Úmluva. T</w:t>
      </w:r>
      <w:r w:rsidRPr="009771C8">
        <w:t xml:space="preserve">o se ovšem nevztahuje na možné poskytnutí širší </w:t>
      </w:r>
      <w:r w:rsidR="009808FE" w:rsidRPr="009771C8">
        <w:t>ochrany právem Unie</w:t>
      </w:r>
      <w:r w:rsidRPr="009771C8">
        <w:t xml:space="preserve"> (čl. 52 odst. 3). </w:t>
      </w:r>
      <w:r w:rsidR="00D06A09" w:rsidRPr="009771C8">
        <w:t>V</w:t>
      </w:r>
      <w:r w:rsidR="00660AC5" w:rsidRPr="009771C8">
        <w:t xml:space="preserve"> posledních ustanoveních hlavy sedmé </w:t>
      </w:r>
      <w:r w:rsidR="00D06A09" w:rsidRPr="009771C8">
        <w:t xml:space="preserve">Listiny je </w:t>
      </w:r>
      <w:r w:rsidR="00660AC5" w:rsidRPr="009771C8">
        <w:t xml:space="preserve">poté </w:t>
      </w:r>
      <w:r w:rsidR="00D06A09" w:rsidRPr="009771C8">
        <w:t xml:space="preserve">vymezena úroveň ochrany lidských práv a základních svobod a zákaz zneužití práv. </w:t>
      </w:r>
    </w:p>
    <w:p w:rsidR="00505271" w:rsidRPr="009771C8" w:rsidRDefault="00505271" w:rsidP="00196BC4">
      <w:pPr>
        <w:ind w:firstLine="0"/>
      </w:pPr>
    </w:p>
    <w:p w:rsidR="00DC61B7" w:rsidRPr="009771C8" w:rsidRDefault="00DC61B7" w:rsidP="00CA66EB">
      <w:r w:rsidRPr="009771C8">
        <w:br w:type="page"/>
      </w:r>
    </w:p>
    <w:p w:rsidR="00DF354A" w:rsidRPr="009771C8" w:rsidRDefault="00411076" w:rsidP="004E71F9">
      <w:pPr>
        <w:pStyle w:val="NADPIS1"/>
      </w:pPr>
      <w:bookmarkStart w:id="13" w:name="_Toc291022218"/>
      <w:r w:rsidRPr="009771C8">
        <w:lastRenderedPageBreak/>
        <w:t>Listina v judikatuře rok po právní závaznosti</w:t>
      </w:r>
      <w:bookmarkEnd w:id="13"/>
    </w:p>
    <w:p w:rsidR="00F01CC1" w:rsidRPr="009771C8" w:rsidRDefault="00DF354A" w:rsidP="002E6E19">
      <w:r w:rsidRPr="009771C8">
        <w:t>Na úvod bych chtěla stručně vysvětlit postup při vyhledávání relevantní judikatury, jejichž shrnutí je jádrem mé diplomové práce. K získání potřebných rozhodnutí a stanovisek jsem používala vyhledávací formulář na oficiálním webovém portálu ESD</w:t>
      </w:r>
      <w:r w:rsidRPr="009771C8">
        <w:rPr>
          <w:rStyle w:val="Funotenzeichen"/>
        </w:rPr>
        <w:footnoteReference w:id="30"/>
      </w:r>
      <w:r w:rsidRPr="009771C8">
        <w:t>.</w:t>
      </w:r>
      <w:r w:rsidR="007A4F06" w:rsidRPr="009771C8">
        <w:t xml:space="preserve"> </w:t>
      </w:r>
      <w:r w:rsidRPr="009771C8">
        <w:t xml:space="preserve">V době </w:t>
      </w:r>
      <w:r w:rsidR="00841B61" w:rsidRPr="009771C8">
        <w:t xml:space="preserve">finalizování </w:t>
      </w:r>
      <w:r w:rsidRPr="009771C8">
        <w:t>práce (</w:t>
      </w:r>
      <w:r w:rsidR="003B777E" w:rsidRPr="009771C8">
        <w:t xml:space="preserve">tj. </w:t>
      </w:r>
      <w:r w:rsidRPr="009771C8">
        <w:t>k 4. únoru 2011) není dostupná statistika činnosti těchto lucemburských orgánů za rok 2010, a proto ve svých přehledech o absolutn</w:t>
      </w:r>
      <w:r w:rsidR="00762C7D" w:rsidRPr="009771C8">
        <w:t>ích číslech vydaných rozsudků a </w:t>
      </w:r>
      <w:r w:rsidRPr="009771C8">
        <w:t>stanovisek používám údaje z oficiálních webových stránek ESD z oblasti judikatury</w:t>
      </w:r>
      <w:r w:rsidRPr="009771C8">
        <w:rPr>
          <w:rStyle w:val="Funotenzeichen"/>
        </w:rPr>
        <w:footnoteReference w:id="31"/>
      </w:r>
      <w:r w:rsidRPr="009771C8">
        <w:t>.</w:t>
      </w:r>
      <w:r w:rsidR="00F01CC1" w:rsidRPr="009771C8">
        <w:t xml:space="preserve"> V období od 1. prosince 2009 do 4. února 2011 bylo na Listinu odkázáno </w:t>
      </w:r>
      <w:r w:rsidRPr="009771C8">
        <w:t>v</w:t>
      </w:r>
      <w:r w:rsidR="00CB11F8" w:rsidRPr="009771C8">
        <w:t xml:space="preserve">e </w:t>
      </w:r>
      <w:r w:rsidRPr="009771C8">
        <w:t>121</w:t>
      </w:r>
      <w:r w:rsidRPr="009771C8">
        <w:rPr>
          <w:rStyle w:val="Funotenzeichen"/>
        </w:rPr>
        <w:footnoteReference w:id="32"/>
      </w:r>
      <w:r w:rsidRPr="009771C8">
        <w:t xml:space="preserve"> rozhodnutích a stanoviscích</w:t>
      </w:r>
      <w:r w:rsidR="00294696" w:rsidRPr="009771C8">
        <w:t xml:space="preserve"> (odkaz</w:t>
      </w:r>
      <w:r w:rsidR="00AB7989" w:rsidRPr="009771C8">
        <w:t>ech</w:t>
      </w:r>
      <w:r w:rsidR="00294696" w:rsidRPr="009771C8">
        <w:t>)</w:t>
      </w:r>
      <w:r w:rsidR="003B777E" w:rsidRPr="009771C8">
        <w:t>. D</w:t>
      </w:r>
      <w:r w:rsidR="00D71E37" w:rsidRPr="009771C8">
        <w:t xml:space="preserve">o tohoto čísla se </w:t>
      </w:r>
      <w:r w:rsidR="003B777E" w:rsidRPr="009771C8">
        <w:t xml:space="preserve">však </w:t>
      </w:r>
      <w:r w:rsidR="00D71E37" w:rsidRPr="009771C8">
        <w:t>samostatně počít</w:t>
      </w:r>
      <w:r w:rsidR="003B777E" w:rsidRPr="009771C8">
        <w:t>ají</w:t>
      </w:r>
      <w:r w:rsidR="00D71E37" w:rsidRPr="009771C8">
        <w:t xml:space="preserve"> jak stanovisko, tak rozhodnutí v jednom a tom samém případě</w:t>
      </w:r>
      <w:r w:rsidRPr="009771C8">
        <w:t xml:space="preserve">. </w:t>
      </w:r>
    </w:p>
    <w:p w:rsidR="00DF354A" w:rsidRPr="009771C8" w:rsidRDefault="00DF354A" w:rsidP="002E6E19">
      <w:r w:rsidRPr="009771C8">
        <w:t>Judikaturu ESD, Tribunálu a stanovisek GA jsem r</w:t>
      </w:r>
      <w:r w:rsidR="002869AF" w:rsidRPr="009771C8">
        <w:t>ozdělila podle dělení, které se </w:t>
      </w:r>
      <w:r w:rsidRPr="009771C8">
        <w:t xml:space="preserve">používá ve vyhledávacím formuláři na oficiálním webovém portálu ESD, tzn. podle oblastí úpravy. V textu práce jsou oblasti zařazeny za sebou podle největšího k nejmenšímu počtu rozhodnutí a stanovisek, které na Listinu odkazují. V příloze </w:t>
      </w:r>
      <w:r w:rsidR="00841B61" w:rsidRPr="009771C8">
        <w:t xml:space="preserve">této práce </w:t>
      </w:r>
      <w:r w:rsidRPr="009771C8">
        <w:t xml:space="preserve">je ke každé oblasti </w:t>
      </w:r>
      <w:r w:rsidR="00841B61" w:rsidRPr="009771C8">
        <w:t>uveden</w:t>
      </w:r>
      <w:r w:rsidRPr="009771C8">
        <w:t xml:space="preserve"> seznam judikatury. </w:t>
      </w:r>
    </w:p>
    <w:p w:rsidR="00760F76" w:rsidRPr="009771C8" w:rsidRDefault="009A4F86" w:rsidP="002B3F8C">
      <w:r w:rsidRPr="009771C8">
        <w:t xml:space="preserve">Každá oblast obsahuje </w:t>
      </w:r>
      <w:r w:rsidR="00AB7989" w:rsidRPr="009771C8">
        <w:t>údaj o poč</w:t>
      </w:r>
      <w:r w:rsidRPr="009771C8">
        <w:t>t</w:t>
      </w:r>
      <w:r w:rsidR="00AB7989" w:rsidRPr="009771C8">
        <w:t>u</w:t>
      </w:r>
      <w:r w:rsidRPr="009771C8">
        <w:t xml:space="preserve"> rozsudků a stanovisek, ve kterých je Listina používána. V každé podkapitole je</w:t>
      </w:r>
      <w:r w:rsidR="00BF039E" w:rsidRPr="009771C8">
        <w:t xml:space="preserve"> uvedeno, o jaký druh řízení se jedn</w:t>
      </w:r>
      <w:r w:rsidRPr="009771C8">
        <w:t>á (drtivá většina rozhodnutí jsou </w:t>
      </w:r>
      <w:r w:rsidR="00BF039E" w:rsidRPr="009771C8">
        <w:t>řízením o předběžné otázce). Dále uvád</w:t>
      </w:r>
      <w:r w:rsidR="00AB7989" w:rsidRPr="009771C8">
        <w:t>ím, do jaké skutkové oblasti se </w:t>
      </w:r>
      <w:r w:rsidR="00BF039E" w:rsidRPr="009771C8">
        <w:t xml:space="preserve">případy soustředí a které unijní legislativy se dotýkají. V hlavní </w:t>
      </w:r>
      <w:r w:rsidR="00A207B2" w:rsidRPr="009771C8">
        <w:t xml:space="preserve">části kapitoly potom rozsudky a stanoviska dělím do dvou částí podle způsobu použití Listiny. V první části uvádím rozsudky a stanoviska, </w:t>
      </w:r>
      <w:r w:rsidR="00BE56D7" w:rsidRPr="009771C8">
        <w:t>ve kterých</w:t>
      </w:r>
      <w:r w:rsidR="00A207B2" w:rsidRPr="009771C8">
        <w:t xml:space="preserve"> je na Listinu odkazováno minimálně a způsob použití bych nazvala „technickým“. Jedná se o odkazy typu, že předmětná směrnice respektuje ustanovení Listiny apod. V hlavní části se po</w:t>
      </w:r>
      <w:r w:rsidR="00BE56D7" w:rsidRPr="009771C8">
        <w:t>tom věnuji stěžejním případům a </w:t>
      </w:r>
      <w:r w:rsidR="00A207B2" w:rsidRPr="009771C8">
        <w:t xml:space="preserve">popisuji, jakým způsobem je ESD, GA a Tribunál využívá. </w:t>
      </w:r>
    </w:p>
    <w:p w:rsidR="00FD76F3" w:rsidRPr="009771C8" w:rsidRDefault="00FD76F3" w:rsidP="002B3F8C">
      <w:r w:rsidRPr="009771C8">
        <w:t xml:space="preserve">Na závěr bych ráda uvedla, že v rozhodovací činnosti Tribunálu se Listina objevuje minimálně. Za předmětné období Tribunál použil ustanovení Listiny jen ve třech rozhodnutích a ve všech je Listina použita jako potvrzení konkrétního práva </w:t>
      </w:r>
      <w:r w:rsidR="00AF439C" w:rsidRPr="009771C8">
        <w:t xml:space="preserve">uznávaného </w:t>
      </w:r>
      <w:r w:rsidR="00AF439C" w:rsidRPr="009771C8">
        <w:lastRenderedPageBreak/>
        <w:t>na</w:t>
      </w:r>
      <w:r w:rsidR="006C05B0" w:rsidRPr="009771C8">
        <w:t> </w:t>
      </w:r>
      <w:r w:rsidR="00AF439C" w:rsidRPr="009771C8">
        <w:t xml:space="preserve">základě obecných zásad právních </w:t>
      </w:r>
      <w:r w:rsidRPr="009771C8">
        <w:t xml:space="preserve">(případy </w:t>
      </w:r>
      <w:r w:rsidRPr="009771C8">
        <w:rPr>
          <w:b/>
        </w:rPr>
        <w:t>Fahas v Rada</w:t>
      </w:r>
      <w:r w:rsidRPr="009771C8">
        <w:rPr>
          <w:rStyle w:val="Funotenzeichen"/>
          <w:b/>
        </w:rPr>
        <w:footnoteReference w:id="33"/>
      </w:r>
      <w:r w:rsidRPr="009771C8">
        <w:rPr>
          <w:b/>
        </w:rPr>
        <w:t xml:space="preserve">, </w:t>
      </w:r>
      <w:r w:rsidR="00FB0E66" w:rsidRPr="009771C8">
        <w:rPr>
          <w:b/>
        </w:rPr>
        <w:t>Agrofert Holding v Komise</w:t>
      </w:r>
      <w:r w:rsidR="00FB0E66" w:rsidRPr="009771C8">
        <w:rPr>
          <w:rStyle w:val="Funotenzeichen"/>
          <w:b/>
        </w:rPr>
        <w:footnoteReference w:id="34"/>
      </w:r>
      <w:r w:rsidR="00FB0E66" w:rsidRPr="009771C8">
        <w:rPr>
          <w:b/>
        </w:rPr>
        <w:t xml:space="preserve"> a</w:t>
      </w:r>
      <w:r w:rsidR="00AF439C" w:rsidRPr="009771C8">
        <w:rPr>
          <w:b/>
        </w:rPr>
        <w:t> </w:t>
      </w:r>
      <w:r w:rsidR="00FB0E66" w:rsidRPr="009771C8">
        <w:rPr>
          <w:b/>
        </w:rPr>
        <w:t>Tay Za v </w:t>
      </w:r>
      <w:proofErr w:type="gramStart"/>
      <w:r w:rsidR="00FB0E66" w:rsidRPr="009771C8">
        <w:rPr>
          <w:b/>
        </w:rPr>
        <w:t>Rada</w:t>
      </w:r>
      <w:proofErr w:type="gramEnd"/>
      <w:r w:rsidR="00FB0E66" w:rsidRPr="009771C8">
        <w:rPr>
          <w:rStyle w:val="Funotenzeichen"/>
        </w:rPr>
        <w:footnoteReference w:id="35"/>
      </w:r>
      <w:r w:rsidR="00FB0E66" w:rsidRPr="009771C8">
        <w:t xml:space="preserve">). </w:t>
      </w:r>
      <w:r w:rsidR="00AC7EAE" w:rsidRPr="009771C8">
        <w:t xml:space="preserve">Pro doplnění jen uvedu, že v těchto případech Tribunál odkazoval ve své argumentaci na ustanovení Listiny ohledně presumpce nevinny, práva na respektování soukromého a rodinného života, vlastnického práva, účinnou soudní ochranu a spravedlivý proces. </w:t>
      </w:r>
      <w:r w:rsidR="00BD2A43" w:rsidRPr="009771C8">
        <w:t>Z tohoto důvodu jsem rozhodovací činnost Tribunálu nezařadila do samostatné kapitoly a o jeho činnosti se zmiňuj</w:t>
      </w:r>
      <w:r w:rsidR="006C05B0" w:rsidRPr="009771C8">
        <w:t>i</w:t>
      </w:r>
      <w:r w:rsidR="00BD2A43" w:rsidRPr="009771C8">
        <w:t xml:space="preserve"> na tomto místě. </w:t>
      </w:r>
    </w:p>
    <w:p w:rsidR="002B3F8C" w:rsidRPr="009771C8" w:rsidRDefault="002B3F8C" w:rsidP="002B3F8C"/>
    <w:p w:rsidR="009A4F86" w:rsidRPr="009771C8" w:rsidRDefault="00FC7882" w:rsidP="009A4F86">
      <w:pPr>
        <w:pStyle w:val="NADPIS2"/>
        <w:outlineLvl w:val="0"/>
      </w:pPr>
      <w:bookmarkStart w:id="14" w:name="_Toc288488662"/>
      <w:bookmarkStart w:id="15" w:name="_Toc288490389"/>
      <w:bookmarkStart w:id="16" w:name="_Toc288491592"/>
      <w:bookmarkStart w:id="17" w:name="_Toc291022219"/>
      <w:r w:rsidRPr="009771C8">
        <w:t>3</w:t>
      </w:r>
      <w:r w:rsidR="006174FA" w:rsidRPr="009771C8">
        <w:t xml:space="preserve">.1 </w:t>
      </w:r>
      <w:r w:rsidR="00C73841" w:rsidRPr="009771C8">
        <w:t>Činnost Evropského soudního</w:t>
      </w:r>
      <w:r w:rsidR="003B3F4E" w:rsidRPr="009771C8">
        <w:t xml:space="preserve"> dvora a generálních advokátů a </w:t>
      </w:r>
      <w:r w:rsidR="00C73841" w:rsidRPr="009771C8">
        <w:t>advokátek</w:t>
      </w:r>
      <w:bookmarkStart w:id="18" w:name="_Toc288488663"/>
      <w:bookmarkStart w:id="19" w:name="_Toc288491593"/>
      <w:bookmarkEnd w:id="14"/>
      <w:bookmarkEnd w:id="15"/>
      <w:bookmarkEnd w:id="16"/>
      <w:bookmarkEnd w:id="17"/>
    </w:p>
    <w:p w:rsidR="00DF354A" w:rsidRPr="009771C8" w:rsidRDefault="00DF354A" w:rsidP="00420E79">
      <w:pPr>
        <w:pStyle w:val="NADPIS3"/>
        <w:outlineLvl w:val="0"/>
      </w:pPr>
      <w:bookmarkStart w:id="20" w:name="_Toc291022220"/>
      <w:r w:rsidRPr="009771C8">
        <w:t>Prostor svobody, bezpečnosti a práva</w:t>
      </w:r>
      <w:bookmarkEnd w:id="18"/>
      <w:bookmarkEnd w:id="19"/>
      <w:bookmarkEnd w:id="20"/>
    </w:p>
    <w:p w:rsidR="00BD2A43" w:rsidRPr="009771C8" w:rsidRDefault="00DF354A" w:rsidP="003C44B3">
      <w:r w:rsidRPr="009771C8">
        <w:t xml:space="preserve">V oblasti prostoru svobody, bezpečnosti a práva vydal ESD </w:t>
      </w:r>
      <w:r w:rsidR="00BD2A43" w:rsidRPr="009771C8">
        <w:t xml:space="preserve">za předmětné období </w:t>
      </w:r>
      <w:r w:rsidR="00760F76" w:rsidRPr="009771C8">
        <w:t xml:space="preserve">celkově </w:t>
      </w:r>
      <w:r w:rsidRPr="009771C8">
        <w:t>nejvíce rozhodnutí</w:t>
      </w:r>
      <w:r w:rsidR="00BD2A43" w:rsidRPr="009771C8">
        <w:t xml:space="preserve"> a stanov</w:t>
      </w:r>
      <w:r w:rsidR="006C05B0" w:rsidRPr="009771C8">
        <w:t>i</w:t>
      </w:r>
      <w:r w:rsidR="00BD2A43" w:rsidRPr="009771C8">
        <w:t>sek</w:t>
      </w:r>
      <w:r w:rsidRPr="009771C8">
        <w:t xml:space="preserve">, ve kterých </w:t>
      </w:r>
      <w:r w:rsidR="00BD2A43" w:rsidRPr="009771C8">
        <w:t>se odkazuje na Listinu</w:t>
      </w:r>
      <w:r w:rsidRPr="009771C8">
        <w:t xml:space="preserve">. </w:t>
      </w:r>
      <w:r w:rsidR="009A4F86" w:rsidRPr="009771C8">
        <w:t>J</w:t>
      </w:r>
      <w:r w:rsidRPr="009771C8">
        <w:t xml:space="preserve">edná </w:t>
      </w:r>
      <w:r w:rsidR="006C05B0" w:rsidRPr="009771C8">
        <w:t xml:space="preserve">se </w:t>
      </w:r>
      <w:r w:rsidRPr="009771C8">
        <w:t>o</w:t>
      </w:r>
      <w:r w:rsidR="006C05B0" w:rsidRPr="009771C8">
        <w:t> </w:t>
      </w:r>
      <w:r w:rsidRPr="009771C8">
        <w:t xml:space="preserve">následující případy: </w:t>
      </w:r>
      <w:r w:rsidR="00A86C28" w:rsidRPr="009771C8">
        <w:rPr>
          <w:b/>
        </w:rPr>
        <w:t>Aguirre Zarraga</w:t>
      </w:r>
      <w:r w:rsidRPr="009771C8">
        <w:rPr>
          <w:rStyle w:val="Funotenzeichen"/>
        </w:rPr>
        <w:footnoteReference w:id="36"/>
      </w:r>
      <w:r w:rsidRPr="009771C8">
        <w:t xml:space="preserve"> (rozsudek a stanovisko), spojené případy </w:t>
      </w:r>
      <w:r w:rsidR="006E1146" w:rsidRPr="009771C8">
        <w:rPr>
          <w:b/>
        </w:rPr>
        <w:t>B a D</w:t>
      </w:r>
      <w:r w:rsidRPr="009771C8">
        <w:rPr>
          <w:rStyle w:val="Funotenzeichen"/>
        </w:rPr>
        <w:footnoteReference w:id="37"/>
      </w:r>
      <w:r w:rsidRPr="009771C8">
        <w:t xml:space="preserve"> (rozsudek a stanovisko), </w:t>
      </w:r>
      <w:r w:rsidR="006E1146" w:rsidRPr="009771C8">
        <w:rPr>
          <w:b/>
        </w:rPr>
        <w:t>McB.</w:t>
      </w:r>
      <w:r w:rsidRPr="009771C8">
        <w:rPr>
          <w:rStyle w:val="Funotenzeichen"/>
        </w:rPr>
        <w:footnoteReference w:id="38"/>
      </w:r>
      <w:r w:rsidRPr="009771C8">
        <w:t xml:space="preserve"> (rozs</w:t>
      </w:r>
      <w:r w:rsidR="006E1146" w:rsidRPr="009771C8">
        <w:t>udek a stanovisko</w:t>
      </w:r>
      <w:r w:rsidRPr="009771C8">
        <w:t xml:space="preserve">), </w:t>
      </w:r>
      <w:r w:rsidR="006E1146" w:rsidRPr="009771C8">
        <w:rPr>
          <w:b/>
        </w:rPr>
        <w:t>Povse</w:t>
      </w:r>
      <w:r w:rsidRPr="009771C8">
        <w:rPr>
          <w:rStyle w:val="Funotenzeichen"/>
        </w:rPr>
        <w:footnoteReference w:id="39"/>
      </w:r>
      <w:r w:rsidRPr="009771C8">
        <w:t xml:space="preserve"> (rozsudek), spojené případy </w:t>
      </w:r>
      <w:r w:rsidR="006E1146" w:rsidRPr="009771C8">
        <w:rPr>
          <w:b/>
        </w:rPr>
        <w:t>Melki</w:t>
      </w:r>
      <w:r w:rsidRPr="009771C8">
        <w:rPr>
          <w:rStyle w:val="Funotenzeichen"/>
        </w:rPr>
        <w:footnoteReference w:id="40"/>
      </w:r>
      <w:r w:rsidRPr="009771C8">
        <w:t xml:space="preserve"> (rozsudek), </w:t>
      </w:r>
      <w:r w:rsidR="006E1146" w:rsidRPr="009771C8">
        <w:rPr>
          <w:b/>
        </w:rPr>
        <w:t>Bolbol</w:t>
      </w:r>
      <w:r w:rsidRPr="009771C8">
        <w:rPr>
          <w:rStyle w:val="Funotenzeichen"/>
        </w:rPr>
        <w:footnoteReference w:id="41"/>
      </w:r>
      <w:r w:rsidRPr="009771C8">
        <w:t xml:space="preserve"> (rozsudek), </w:t>
      </w:r>
      <w:r w:rsidR="006E1146" w:rsidRPr="009771C8">
        <w:rPr>
          <w:b/>
        </w:rPr>
        <w:t>Chakroun</w:t>
      </w:r>
      <w:r w:rsidRPr="009771C8">
        <w:rPr>
          <w:rStyle w:val="Funotenzeichen"/>
        </w:rPr>
        <w:footnoteReference w:id="42"/>
      </w:r>
      <w:r w:rsidR="006E1146" w:rsidRPr="009771C8">
        <w:t xml:space="preserve"> (rozsudek a </w:t>
      </w:r>
      <w:r w:rsidR="00BD2A43" w:rsidRPr="009771C8">
        <w:t>stanovisko), spojený</w:t>
      </w:r>
      <w:r w:rsidRPr="009771C8">
        <w:t xml:space="preserve"> případ</w:t>
      </w:r>
      <w:r w:rsidR="005926DE" w:rsidRPr="009771C8">
        <w:t xml:space="preserve"> </w:t>
      </w:r>
      <w:r w:rsidR="005926DE" w:rsidRPr="009771C8">
        <w:rPr>
          <w:b/>
        </w:rPr>
        <w:t>Salahadin Abdulla</w:t>
      </w:r>
      <w:r w:rsidRPr="009771C8">
        <w:rPr>
          <w:rStyle w:val="Funotenzeichen"/>
        </w:rPr>
        <w:footnoteReference w:id="43"/>
      </w:r>
      <w:r w:rsidRPr="009771C8">
        <w:t xml:space="preserve"> (rozsudek) a poslední </w:t>
      </w:r>
      <w:r w:rsidR="005926DE" w:rsidRPr="009771C8">
        <w:t>případ</w:t>
      </w:r>
      <w:r w:rsidR="005926DE" w:rsidRPr="009771C8">
        <w:rPr>
          <w:b/>
        </w:rPr>
        <w:t xml:space="preserve"> Detiček</w:t>
      </w:r>
      <w:r w:rsidRPr="009771C8">
        <w:rPr>
          <w:rStyle w:val="Funotenzeichen"/>
        </w:rPr>
        <w:footnoteReference w:id="44"/>
      </w:r>
      <w:r w:rsidRPr="009771C8">
        <w:t xml:space="preserve"> (rozhodnutí a</w:t>
      </w:r>
      <w:r w:rsidR="006C05B0" w:rsidRPr="009771C8">
        <w:t> </w:t>
      </w:r>
      <w:r w:rsidRPr="009771C8">
        <w:t xml:space="preserve">stanovisko), tedy 9 rozsudků a 5 stanovisek, celkově tedy 14 dokumentů. Ve všech případech se jedná o řízení o předběžné </w:t>
      </w:r>
      <w:r w:rsidR="00281E4D" w:rsidRPr="009771C8">
        <w:t>otázce. Případy se soustředí do oblastí</w:t>
      </w:r>
      <w:r w:rsidRPr="009771C8">
        <w:t xml:space="preserve"> svěření dítěte do péče jednomu z rodičů po rozvodu nebo rozluce, kdy partneři jsou odlišné národno</w:t>
      </w:r>
      <w:r w:rsidR="00BD2A43" w:rsidRPr="009771C8">
        <w:t>sti, právo na</w:t>
      </w:r>
      <w:r w:rsidR="006C05B0" w:rsidRPr="009771C8">
        <w:t> </w:t>
      </w:r>
      <w:r w:rsidR="00BD2A43" w:rsidRPr="009771C8">
        <w:t>sloučení rodiny a </w:t>
      </w:r>
      <w:r w:rsidRPr="009771C8">
        <w:t>přiznání statusu uprchlíka. Předběžnými otázkami se soudy dotazují na</w:t>
      </w:r>
      <w:r w:rsidR="006C05B0" w:rsidRPr="009771C8">
        <w:t> </w:t>
      </w:r>
      <w:r w:rsidRPr="009771C8">
        <w:t xml:space="preserve">výklad nařízení Rady (ES) č. 2201/2003 o příslušnosti a uznávání a výkonu </w:t>
      </w:r>
      <w:r w:rsidRPr="009771C8">
        <w:lastRenderedPageBreak/>
        <w:t>rozhodnutí ve</w:t>
      </w:r>
      <w:r w:rsidR="006C05B0" w:rsidRPr="009771C8">
        <w:t> </w:t>
      </w:r>
      <w:r w:rsidRPr="009771C8">
        <w:t>věcech manželských a ve</w:t>
      </w:r>
      <w:r w:rsidR="002104E6" w:rsidRPr="009771C8">
        <w:t> </w:t>
      </w:r>
      <w:r w:rsidRPr="009771C8">
        <w:t>věcech rodičovské zodpovědnosti</w:t>
      </w:r>
      <w:r w:rsidRPr="009771C8">
        <w:rPr>
          <w:rStyle w:val="Funotenzeichen"/>
        </w:rPr>
        <w:footnoteReference w:id="45"/>
      </w:r>
      <w:r w:rsidRPr="009771C8">
        <w:t>, směrnice Rady 2004/83/ES o minimálních normách, které musí splňovat státní příslušníci třetích zemí nebo osoby bez</w:t>
      </w:r>
      <w:r w:rsidR="006C05B0" w:rsidRPr="009771C8">
        <w:t> </w:t>
      </w:r>
      <w:r w:rsidRPr="009771C8">
        <w:t>státní příslušnosti, aby mohli žádat o postavení uprchlíka nebo osoby, která z jiných důvodů potřebuje mezinárodní ochranu</w:t>
      </w:r>
      <w:r w:rsidRPr="009771C8">
        <w:rPr>
          <w:rStyle w:val="Funotenzeichen"/>
        </w:rPr>
        <w:footnoteReference w:id="46"/>
      </w:r>
      <w:r w:rsidRPr="009771C8">
        <w:t xml:space="preserve"> a směr</w:t>
      </w:r>
      <w:r w:rsidR="005C25FE">
        <w:t>nice Rady 2003/86/ES o právu na </w:t>
      </w:r>
      <w:r w:rsidRPr="009771C8">
        <w:t>sloučení rodiny</w:t>
      </w:r>
      <w:r w:rsidRPr="009771C8">
        <w:rPr>
          <w:rStyle w:val="Funotenzeichen"/>
        </w:rPr>
        <w:footnoteReference w:id="47"/>
      </w:r>
      <w:r w:rsidRPr="009771C8">
        <w:t xml:space="preserve">. </w:t>
      </w:r>
    </w:p>
    <w:p w:rsidR="00DF354A" w:rsidRPr="009771C8" w:rsidRDefault="00DF354A" w:rsidP="00BD2A43">
      <w:r w:rsidRPr="009771C8">
        <w:t xml:space="preserve">Za stěžejní případy v této oblasti považuji podle povahy a počtu odkazů na Listinu v textu rozsudky </w:t>
      </w:r>
      <w:r w:rsidR="00281E4D" w:rsidRPr="009771C8">
        <w:t>a stanoviska k případům Aguirre Zarragou a McB</w:t>
      </w:r>
      <w:r w:rsidR="00BD2A43" w:rsidRPr="009771C8">
        <w:t>. V ostatních případech je </w:t>
      </w:r>
      <w:r w:rsidRPr="009771C8">
        <w:t>převážně Listina zmíněna v tom smyslu, že předmětná směrnice respektuje ustanovení Listiny (s</w:t>
      </w:r>
      <w:r w:rsidR="00281E4D" w:rsidRPr="009771C8">
        <w:t xml:space="preserve">pojené řízení B a D, Bolbol, Chakroun, spojené řízení Salahadin Abdulla). V rozsudku Povse </w:t>
      </w:r>
      <w:r w:rsidRPr="009771C8">
        <w:t xml:space="preserve">a rozsudku a stanovisku </w:t>
      </w:r>
      <w:r w:rsidR="00281E4D" w:rsidRPr="009771C8">
        <w:t xml:space="preserve">ve věci Detiček </w:t>
      </w:r>
      <w:r w:rsidRPr="009771C8">
        <w:t>ESD zdůrazňuje, že právo udržovat pravidelné osobní vztahy a přímý styk s oběma rodiči je jedním ze základních práv dítěte a je garantované Listinou v čl. 24 odst.</w:t>
      </w:r>
      <w:r w:rsidR="00281E4D" w:rsidRPr="009771C8">
        <w:t xml:space="preserve"> 3. V rozhodnutí Detiček </w:t>
      </w:r>
      <w:r w:rsidRPr="009771C8">
        <w:t>potom ve svém zdůvodnění uvádí výjimku z tohoto práva v případě, že by to bylo v rozporu se zájmy dítěte a</w:t>
      </w:r>
      <w:r w:rsidR="00760F76" w:rsidRPr="009771C8">
        <w:t> </w:t>
      </w:r>
      <w:r w:rsidRPr="009771C8">
        <w:t>odkazuje na ustanovení čl. 24 odst. 3 Listiny. V spoj</w:t>
      </w:r>
      <w:r w:rsidR="00281E4D" w:rsidRPr="009771C8">
        <w:t xml:space="preserve">eném řízení Melki </w:t>
      </w:r>
      <w:r w:rsidRPr="009771C8">
        <w:t>potom ESD na</w:t>
      </w:r>
      <w:r w:rsidR="006C05B0" w:rsidRPr="009771C8">
        <w:t> </w:t>
      </w:r>
      <w:r w:rsidRPr="009771C8">
        <w:t>Listinu odkazuj</w:t>
      </w:r>
      <w:r w:rsidR="00952BF2" w:rsidRPr="009771C8">
        <w:t>e hypoteticky v případě vydání určitého</w:t>
      </w:r>
      <w:r w:rsidRPr="009771C8">
        <w:t xml:space="preserve"> rozhodnutí, které by mohlo způsobit, že ESD by nemohl přezkoumat</w:t>
      </w:r>
      <w:r w:rsidR="005941FA" w:rsidRPr="009771C8">
        <w:t xml:space="preserve"> platnost předmětné směrnice na </w:t>
      </w:r>
      <w:r w:rsidRPr="009771C8">
        <w:t xml:space="preserve">žádost soudu členského státu z hlediska primárního práva a především práv, která jsou zaručena Listinou. </w:t>
      </w:r>
      <w:r w:rsidR="00BD2A43" w:rsidRPr="009771C8">
        <w:t>Použití Listiny v těchto případech tedy naznačuje, že Listin</w:t>
      </w:r>
      <w:r w:rsidR="00C028C8" w:rsidRPr="009771C8">
        <w:t>a</w:t>
      </w:r>
      <w:r w:rsidR="00BD2A43" w:rsidRPr="009771C8">
        <w:t xml:space="preserve"> je využívána jako potvrzení ochrany těchto lidských práv a základních svobod. Tímto pot</w:t>
      </w:r>
      <w:r w:rsidR="005C25FE">
        <w:t>vrzením ochrany lidských práv a </w:t>
      </w:r>
      <w:r w:rsidR="00BD2A43" w:rsidRPr="009771C8">
        <w:t>základních svobod mám na mysli potvrzení platnosti obecných zásad právních</w:t>
      </w:r>
      <w:r w:rsidR="001C577E" w:rsidRPr="009771C8">
        <w:t xml:space="preserve">, které ochranu lidským právům zajišťují. </w:t>
      </w:r>
    </w:p>
    <w:p w:rsidR="0070088C" w:rsidRPr="009771C8" w:rsidRDefault="00DF354A" w:rsidP="0070088C">
      <w:r w:rsidRPr="009771C8">
        <w:t xml:space="preserve">Původní spor případu </w:t>
      </w:r>
      <w:r w:rsidR="005941FA" w:rsidRPr="009771C8">
        <w:rPr>
          <w:b/>
        </w:rPr>
        <w:t xml:space="preserve">Aguirre Zarragu </w:t>
      </w:r>
      <w:r w:rsidRPr="009771C8">
        <w:t xml:space="preserve">se týkal rozhodnutí svěření dítěte do péče jednomu z rodičů po rozvodu, z nichž každý </w:t>
      </w:r>
      <w:r w:rsidR="0016538B" w:rsidRPr="009771C8">
        <w:t xml:space="preserve">byl </w:t>
      </w:r>
      <w:r w:rsidRPr="009771C8">
        <w:t xml:space="preserve">jiné národnosti a oba plánovali usadit </w:t>
      </w:r>
      <w:r w:rsidR="005C25FE">
        <w:t>se </w:t>
      </w:r>
      <w:r w:rsidRPr="009771C8">
        <w:t>ve</w:t>
      </w:r>
      <w:r w:rsidR="00C028C8" w:rsidRPr="009771C8">
        <w:t> </w:t>
      </w:r>
      <w:r w:rsidRPr="009771C8">
        <w:t>svých rodných zemích (Španělsko</w:t>
      </w:r>
      <w:r w:rsidR="00760F76" w:rsidRPr="009771C8">
        <w:t xml:space="preserve"> a </w:t>
      </w:r>
      <w:r w:rsidRPr="009771C8">
        <w:t xml:space="preserve">Německo). </w:t>
      </w:r>
      <w:r w:rsidR="0070088C" w:rsidRPr="009771C8">
        <w:t>R</w:t>
      </w:r>
      <w:r w:rsidR="0016538B" w:rsidRPr="009771C8">
        <w:t xml:space="preserve">ozsudek </w:t>
      </w:r>
      <w:r w:rsidR="0070088C" w:rsidRPr="009771C8">
        <w:t xml:space="preserve">byl vydán </w:t>
      </w:r>
      <w:r w:rsidR="0016538B" w:rsidRPr="009771C8">
        <w:t xml:space="preserve">22. prosince 2010. </w:t>
      </w:r>
      <w:r w:rsidRPr="009771C8">
        <w:t>Španělský soud, kde rodina žila (španělské národnosti je otec) rozhodl, že dcera zůstane s otcem v této zemi a upravil pravidelný kontakt matky se svým dítětem. V textu rozhodnutí je kromě konstatování, že předmětná směrnice je v souladu s ustanoveními Listiny</w:t>
      </w:r>
      <w:r w:rsidR="00C028C8" w:rsidRPr="009771C8">
        <w:t>,</w:t>
      </w:r>
      <w:r w:rsidRPr="009771C8">
        <w:t xml:space="preserve"> řada dalších odkazů na ni. Německý soud, který ve věci posléze taky rozhodoval, ve svém zdůvodnění odkázal na</w:t>
      </w:r>
      <w:r w:rsidR="00760F76" w:rsidRPr="009771C8">
        <w:t> </w:t>
      </w:r>
      <w:r w:rsidRPr="009771C8">
        <w:t xml:space="preserve">ustanovení 24 odst. 1, ve kterém se uvádí, že děti mají právo </w:t>
      </w:r>
      <w:r w:rsidRPr="009771C8">
        <w:lastRenderedPageBreak/>
        <w:t>se</w:t>
      </w:r>
      <w:r w:rsidR="005C25FE">
        <w:t> </w:t>
      </w:r>
      <w:r w:rsidRPr="009771C8">
        <w:t>vyjadřovat k záležitostem, které se jich týkají a také, že „</w:t>
      </w:r>
      <w:r w:rsidRPr="009771C8">
        <w:rPr>
          <w:i/>
        </w:rPr>
        <w:t>k jejich názoru se musí přihlížet s ohledem na jejich věk a</w:t>
      </w:r>
      <w:r w:rsidR="0028414C" w:rsidRPr="009771C8">
        <w:rPr>
          <w:i/>
        </w:rPr>
        <w:t> </w:t>
      </w:r>
      <w:r w:rsidRPr="009771C8">
        <w:rPr>
          <w:i/>
        </w:rPr>
        <w:t>vyspělost</w:t>
      </w:r>
      <w:r w:rsidRPr="009771C8">
        <w:t>“</w:t>
      </w:r>
      <w:r w:rsidRPr="009771C8">
        <w:rPr>
          <w:rStyle w:val="Funotenzeichen"/>
        </w:rPr>
        <w:footnoteReference w:id="48"/>
      </w:r>
      <w:r w:rsidR="0016538B" w:rsidRPr="009771C8">
        <w:t xml:space="preserve"> (bod 35). Následně se </w:t>
      </w:r>
      <w:r w:rsidRPr="009771C8">
        <w:t>ve své první předběžné otázce německý sou</w:t>
      </w:r>
      <w:r w:rsidR="0016538B" w:rsidRPr="009771C8">
        <w:t>d dotazoval na</w:t>
      </w:r>
      <w:r w:rsidR="00760F76" w:rsidRPr="009771C8">
        <w:t> </w:t>
      </w:r>
      <w:r w:rsidR="0016538B" w:rsidRPr="009771C8">
        <w:t xml:space="preserve">výklad nařízení Rady 2201/2003 o příslušnosti a uznávání a výkonu rozhodnutí ve věcech manželských a ve věcech rodičovské zodpovědnosti </w:t>
      </w:r>
      <w:r w:rsidRPr="009771C8">
        <w:t>v souladu s ustanovením Listiny (bod 37). Ve své předběžné otázce se ve stručnosti německý soud ptal na to, jestli může bránit výkonu rozhodnutí soudu jiného členského státu</w:t>
      </w:r>
      <w:r w:rsidR="0016538B" w:rsidRPr="009771C8">
        <w:t xml:space="preserve"> (v tomto případě rozhodnutí španělského soudu)</w:t>
      </w:r>
      <w:r w:rsidRPr="009771C8">
        <w:t>, pokud podle úvahy německého soudu, španělsk</w:t>
      </w:r>
      <w:r w:rsidR="0016538B" w:rsidRPr="009771C8">
        <w:t>ý soud nevyslechl dítě podle čl</w:t>
      </w:r>
      <w:r w:rsidRPr="009771C8">
        <w:t>.</w:t>
      </w:r>
      <w:r w:rsidR="0016538B" w:rsidRPr="009771C8">
        <w:t xml:space="preserve"> </w:t>
      </w:r>
      <w:r w:rsidRPr="009771C8">
        <w:t>24 odst. 1 Listiny a toto považoval za porušení základních práv. ESD odpověděl záporně, ve</w:t>
      </w:r>
      <w:r w:rsidR="00190CC1" w:rsidRPr="009771C8">
        <w:t> </w:t>
      </w:r>
      <w:r w:rsidRPr="009771C8">
        <w:t>svém zdůvodnění uvedl, že to ustanovení Listiny a ustanovení předmětné směrnice „</w:t>
      </w:r>
      <w:r w:rsidRPr="009771C8">
        <w:rPr>
          <w:i/>
        </w:rPr>
        <w:t>nevyžaduje nezbytně provedení výslechu před soudem členského státu původu, ale ukládá, aby byly dítěti dány k dispozici právní postupy a podmínky, které mu umožní svobodně vyjádřit svůj názor, který musí být soudem zohledněn</w:t>
      </w:r>
      <w:r w:rsidRPr="009771C8">
        <w:t>“</w:t>
      </w:r>
      <w:r w:rsidRPr="009771C8">
        <w:rPr>
          <w:rStyle w:val="Funotenzeichen"/>
        </w:rPr>
        <w:footnoteReference w:id="49"/>
      </w:r>
      <w:r w:rsidRPr="009771C8">
        <w:t xml:space="preserve"> (bod 65). </w:t>
      </w:r>
      <w:r w:rsidR="0016538B" w:rsidRPr="009771C8">
        <w:t xml:space="preserve">Yves Bot ve svém stanovisku, které bylo vydáno </w:t>
      </w:r>
      <w:r w:rsidR="0070088C" w:rsidRPr="009771C8">
        <w:t>7. prosince 2010</w:t>
      </w:r>
      <w:r w:rsidR="00DC3B4F" w:rsidRPr="009771C8">
        <w:t>,</w:t>
      </w:r>
      <w:r w:rsidR="0070088C" w:rsidRPr="009771C8">
        <w:t xml:space="preserve"> používá Listinu v zhruba stejném rozsahu, jeho doporučení na rozsudek se shoduje s konečným rozhodnutím, které ESD v tomto řízení vydal. </w:t>
      </w:r>
    </w:p>
    <w:p w:rsidR="00DF354A" w:rsidRPr="009771C8" w:rsidRDefault="00DF354A" w:rsidP="0016538B">
      <w:r w:rsidRPr="009771C8">
        <w:t xml:space="preserve">I v případu </w:t>
      </w:r>
      <w:r w:rsidR="005941FA" w:rsidRPr="009771C8">
        <w:rPr>
          <w:b/>
        </w:rPr>
        <w:t>McB.</w:t>
      </w:r>
      <w:r w:rsidRPr="009771C8">
        <w:t xml:space="preserve"> se v původním sporu jednalo o rozhodnutí svěření dítěte do</w:t>
      </w:r>
      <w:r w:rsidR="00190CC1" w:rsidRPr="009771C8">
        <w:t> </w:t>
      </w:r>
      <w:r w:rsidRPr="009771C8">
        <w:t xml:space="preserve">péče jednoho z rodičů, kteří nejsou manžely a každý pochází z jiného členského státu. </w:t>
      </w:r>
      <w:r w:rsidR="007914E3" w:rsidRPr="009771C8">
        <w:t>Stejný je i </w:t>
      </w:r>
      <w:r w:rsidR="008A12F7" w:rsidRPr="009771C8">
        <w:t>požadavek předkládajícího soudu, který se svou předběžnou otázkou dotazo</w:t>
      </w:r>
      <w:r w:rsidR="00190CC1" w:rsidRPr="009771C8">
        <w:t>val na </w:t>
      </w:r>
      <w:r w:rsidR="008A12F7" w:rsidRPr="009771C8">
        <w:t>soulad ustanovení nařízení Rady 2201/2003 s Listinou</w:t>
      </w:r>
      <w:r w:rsidRPr="009771C8">
        <w:t xml:space="preserve">. </w:t>
      </w:r>
      <w:r w:rsidR="008A12F7" w:rsidRPr="009771C8">
        <w:t xml:space="preserve">Rozsudek byl vydán 5. října 2010. </w:t>
      </w:r>
      <w:r w:rsidRPr="009771C8">
        <w:rPr>
          <w:szCs w:val="24"/>
        </w:rPr>
        <w:t xml:space="preserve">První odkaz na Listinu </w:t>
      </w:r>
      <w:r w:rsidR="008A12F7" w:rsidRPr="009771C8">
        <w:rPr>
          <w:szCs w:val="24"/>
        </w:rPr>
        <w:t xml:space="preserve">je </w:t>
      </w:r>
      <w:r w:rsidRPr="009771C8">
        <w:rPr>
          <w:szCs w:val="24"/>
        </w:rPr>
        <w:t>v tomto rozhodnutí v souvislosti s předmětným nařízením a to jako u</w:t>
      </w:r>
      <w:r w:rsidR="00190CC1" w:rsidRPr="009771C8">
        <w:rPr>
          <w:szCs w:val="24"/>
        </w:rPr>
        <w:t> </w:t>
      </w:r>
      <w:r w:rsidRPr="009771C8">
        <w:rPr>
          <w:szCs w:val="24"/>
        </w:rPr>
        <w:t>všech legislativních předpisů EU přijatých po roce 2000, kdy byla Listina slavnostně vyhlášena, ve smyslu, že zmíněny právní předpis respektuje ustanovení Listiny a je vykládán v souladu s jejím obsahem. Konkrétně, irský soud se ESD dotazoval ve sv</w:t>
      </w:r>
      <w:r w:rsidR="008A12F7" w:rsidRPr="009771C8">
        <w:rPr>
          <w:szCs w:val="24"/>
        </w:rPr>
        <w:t xml:space="preserve">é předběžné otázce, zda </w:t>
      </w:r>
      <w:r w:rsidRPr="009771C8">
        <w:rPr>
          <w:szCs w:val="24"/>
        </w:rPr>
        <w:t>předmětné nařízení bez ohledu na to, jestli je vykl</w:t>
      </w:r>
      <w:r w:rsidR="00190CC1" w:rsidRPr="009771C8">
        <w:rPr>
          <w:szCs w:val="24"/>
        </w:rPr>
        <w:t xml:space="preserve">ádáno na základě čl. 7 Listiny, </w:t>
      </w:r>
      <w:r w:rsidRPr="009771C8">
        <w:rPr>
          <w:szCs w:val="24"/>
        </w:rPr>
        <w:t>ve</w:t>
      </w:r>
      <w:r w:rsidR="00190CC1" w:rsidRPr="009771C8">
        <w:rPr>
          <w:szCs w:val="24"/>
        </w:rPr>
        <w:t> </w:t>
      </w:r>
      <w:r w:rsidRPr="009771C8">
        <w:rPr>
          <w:szCs w:val="24"/>
        </w:rPr>
        <w:t>kterém je zakotveno právo na respektování soukrom</w:t>
      </w:r>
      <w:r w:rsidR="00BC6550" w:rsidRPr="009771C8">
        <w:rPr>
          <w:szCs w:val="24"/>
        </w:rPr>
        <w:t xml:space="preserve">ého a rodinného života, </w:t>
      </w:r>
      <w:r w:rsidR="00B324F0" w:rsidRPr="009771C8">
        <w:rPr>
          <w:szCs w:val="24"/>
        </w:rPr>
        <w:t>nebo </w:t>
      </w:r>
      <w:r w:rsidR="00BC6550" w:rsidRPr="009771C8">
        <w:rPr>
          <w:szCs w:val="24"/>
        </w:rPr>
        <w:t>je </w:t>
      </w:r>
      <w:r w:rsidRPr="009771C8">
        <w:rPr>
          <w:szCs w:val="24"/>
        </w:rPr>
        <w:t>vykládáno nějak jinak, brání jinému členskému státu, aby podle svého vnitrostátního práva po</w:t>
      </w:r>
      <w:r w:rsidR="00190CC1" w:rsidRPr="009771C8">
        <w:rPr>
          <w:szCs w:val="24"/>
        </w:rPr>
        <w:t> </w:t>
      </w:r>
      <w:r w:rsidRPr="009771C8">
        <w:rPr>
          <w:szCs w:val="24"/>
        </w:rPr>
        <w:t>otci, který není s matkou dětí v manželském p</w:t>
      </w:r>
      <w:r w:rsidR="00B324F0" w:rsidRPr="009771C8">
        <w:rPr>
          <w:szCs w:val="24"/>
        </w:rPr>
        <w:t>oměru, požadoval, aby získal od </w:t>
      </w:r>
      <w:r w:rsidRPr="009771C8">
        <w:rPr>
          <w:szCs w:val="24"/>
        </w:rPr>
        <w:t xml:space="preserve">příslušného soudu potvrzení </w:t>
      </w:r>
      <w:r w:rsidR="00B324F0" w:rsidRPr="009771C8">
        <w:rPr>
          <w:szCs w:val="24"/>
        </w:rPr>
        <w:t>o svěření dětí do jeho péče. N</w:t>
      </w:r>
      <w:r w:rsidRPr="009771C8">
        <w:rPr>
          <w:szCs w:val="24"/>
        </w:rPr>
        <w:t>a základě toho</w:t>
      </w:r>
      <w:r w:rsidR="00B324F0" w:rsidRPr="009771C8">
        <w:rPr>
          <w:szCs w:val="24"/>
        </w:rPr>
        <w:t>to potvrzení</w:t>
      </w:r>
      <w:r w:rsidRPr="009771C8">
        <w:rPr>
          <w:szCs w:val="24"/>
        </w:rPr>
        <w:t xml:space="preserve"> </w:t>
      </w:r>
      <w:r w:rsidR="00B324F0" w:rsidRPr="009771C8">
        <w:rPr>
          <w:szCs w:val="24"/>
        </w:rPr>
        <w:t xml:space="preserve">potom </w:t>
      </w:r>
      <w:r w:rsidRPr="009771C8">
        <w:rPr>
          <w:szCs w:val="24"/>
        </w:rPr>
        <w:t>jako osoba, která má právo péče o dítě by se přemístění dětí z jejich trvalého bydliště do jiného členského státu bez</w:t>
      </w:r>
      <w:r w:rsidR="00190CC1" w:rsidRPr="009771C8">
        <w:rPr>
          <w:szCs w:val="24"/>
        </w:rPr>
        <w:t> </w:t>
      </w:r>
      <w:r w:rsidRPr="009771C8">
        <w:rPr>
          <w:szCs w:val="24"/>
        </w:rPr>
        <w:t>svolení otce stalo protiprávním v</w:t>
      </w:r>
      <w:r w:rsidR="008A12F7" w:rsidRPr="009771C8">
        <w:rPr>
          <w:szCs w:val="24"/>
        </w:rPr>
        <w:t xml:space="preserve">e smyslu ustanovení nařízení </w:t>
      </w:r>
      <w:r w:rsidRPr="009771C8">
        <w:rPr>
          <w:szCs w:val="24"/>
        </w:rPr>
        <w:t>2201/2003. ESD rozhodl, že Listina ani jiný výklad práva Unie takovému požadavku nebrání. Ve svém rozhodnutí se obšírně věnoval různý</w:t>
      </w:r>
      <w:r w:rsidR="00C028C8" w:rsidRPr="009771C8">
        <w:rPr>
          <w:szCs w:val="24"/>
        </w:rPr>
        <w:t>m</w:t>
      </w:r>
      <w:r w:rsidRPr="009771C8">
        <w:rPr>
          <w:szCs w:val="24"/>
        </w:rPr>
        <w:t xml:space="preserve"> ustanovením Listiny, citoval jiná rozhodnutí </w:t>
      </w:r>
      <w:r w:rsidRPr="009771C8">
        <w:rPr>
          <w:szCs w:val="24"/>
        </w:rPr>
        <w:lastRenderedPageBreak/>
        <w:t>Evropského soudu pro</w:t>
      </w:r>
      <w:r w:rsidR="00190CC1" w:rsidRPr="009771C8">
        <w:rPr>
          <w:szCs w:val="24"/>
        </w:rPr>
        <w:t> </w:t>
      </w:r>
      <w:r w:rsidRPr="009771C8">
        <w:rPr>
          <w:szCs w:val="24"/>
        </w:rPr>
        <w:t>lidská práva ve Štrasburku se s</w:t>
      </w:r>
      <w:r w:rsidR="008A12F7" w:rsidRPr="009771C8">
        <w:rPr>
          <w:szCs w:val="24"/>
        </w:rPr>
        <w:t>tejnými skutkovými okolnostmi a </w:t>
      </w:r>
      <w:r w:rsidRPr="009771C8">
        <w:rPr>
          <w:szCs w:val="24"/>
        </w:rPr>
        <w:t>v souvislosti s tím odkazoval na čl. 52 odst. 3 v Listině, kte</w:t>
      </w:r>
      <w:r w:rsidR="005C25FE">
        <w:rPr>
          <w:szCs w:val="24"/>
        </w:rPr>
        <w:t>rý se věnuje smyslu a rozsahu u </w:t>
      </w:r>
      <w:r w:rsidRPr="009771C8">
        <w:rPr>
          <w:szCs w:val="24"/>
        </w:rPr>
        <w:t xml:space="preserve">práv, která jsou garantována jak Listinou, tak Úmluvou. ESD ve svém rozhodnutí odkazoval na další články Listiny, konkrétně na čl. 24, který se věnuje právům dítěte a také na článek 51 odst. 2 který upravuje oblast použití Listiny a samozřejmě v souvislosti s tím i čl. 6 odst. 1 </w:t>
      </w:r>
      <w:r w:rsidR="005C25FE">
        <w:rPr>
          <w:szCs w:val="24"/>
        </w:rPr>
        <w:t>SEU</w:t>
      </w:r>
      <w:r w:rsidRPr="009771C8">
        <w:rPr>
          <w:szCs w:val="24"/>
        </w:rPr>
        <w:t xml:space="preserve"> na základě kterého má Listina stejnou právní sílu jako Smlouvy. </w:t>
      </w:r>
      <w:r w:rsidR="005C25FE">
        <w:rPr>
          <w:szCs w:val="24"/>
        </w:rPr>
        <w:t>V tomto rozsudku se </w:t>
      </w:r>
      <w:r w:rsidR="00EC6A44" w:rsidRPr="009771C8">
        <w:rPr>
          <w:szCs w:val="24"/>
        </w:rPr>
        <w:t>objevuje další typick</w:t>
      </w:r>
      <w:r w:rsidR="00C028C8" w:rsidRPr="009771C8">
        <w:rPr>
          <w:szCs w:val="24"/>
        </w:rPr>
        <w:t>ý</w:t>
      </w:r>
      <w:r w:rsidR="00EC6A44" w:rsidRPr="009771C8">
        <w:rPr>
          <w:szCs w:val="24"/>
        </w:rPr>
        <w:t xml:space="preserve"> rys pro rozhodovací činnost ESD a sice, že vedle ustanovení Listiny ESD odkazuje na ustanovení Úmluvy. </w:t>
      </w:r>
    </w:p>
    <w:p w:rsidR="005F6846" w:rsidRPr="009771C8" w:rsidRDefault="00DF354A" w:rsidP="005F6846">
      <w:pPr>
        <w:ind w:firstLine="284"/>
        <w:rPr>
          <w:szCs w:val="24"/>
        </w:rPr>
      </w:pPr>
      <w:r w:rsidRPr="009771C8">
        <w:rPr>
          <w:szCs w:val="24"/>
        </w:rPr>
        <w:t>Na úvod svého stanoviska</w:t>
      </w:r>
      <w:r w:rsidR="008A12F7" w:rsidRPr="009771C8">
        <w:rPr>
          <w:szCs w:val="24"/>
        </w:rPr>
        <w:t>, které bylo vydáno 22. září 2010,</w:t>
      </w:r>
      <w:r w:rsidRPr="009771C8">
        <w:rPr>
          <w:szCs w:val="24"/>
        </w:rPr>
        <w:t xml:space="preserve"> </w:t>
      </w:r>
      <w:r w:rsidR="005C25FE">
        <w:rPr>
          <w:szCs w:val="24"/>
        </w:rPr>
        <w:t>GA</w:t>
      </w:r>
      <w:r w:rsidRPr="009771C8">
        <w:rPr>
          <w:szCs w:val="24"/>
        </w:rPr>
        <w:t xml:space="preserve"> Niil Jääskinen uvádí Listinu jako závazný právní předpis. Do právního rámce, který se k případu vztahuje, </w:t>
      </w:r>
      <w:r w:rsidR="008A12F7" w:rsidRPr="009771C8">
        <w:rPr>
          <w:szCs w:val="24"/>
        </w:rPr>
        <w:t>GA</w:t>
      </w:r>
      <w:r w:rsidRPr="009771C8">
        <w:rPr>
          <w:szCs w:val="24"/>
        </w:rPr>
        <w:t xml:space="preserve"> zahrnuje také protokol ke Smlouvám č. 30, který se věnuje up</w:t>
      </w:r>
      <w:r w:rsidR="005C25FE">
        <w:rPr>
          <w:szCs w:val="24"/>
        </w:rPr>
        <w:t>latňování Listiny v Polsku a ve </w:t>
      </w:r>
      <w:r w:rsidRPr="009771C8">
        <w:rPr>
          <w:szCs w:val="24"/>
        </w:rPr>
        <w:t>Spojeném království a který limituje použití Listiny v těchto dvou státech</w:t>
      </w:r>
      <w:r w:rsidR="00E530F2" w:rsidRPr="009771C8">
        <w:rPr>
          <w:rStyle w:val="Funotenzeichen"/>
          <w:szCs w:val="24"/>
        </w:rPr>
        <w:footnoteReference w:id="50"/>
      </w:r>
      <w:r w:rsidRPr="009771C8">
        <w:rPr>
          <w:szCs w:val="24"/>
        </w:rPr>
        <w:t xml:space="preserve">. Tento protokol je relevantní k případu, protože britská partnerka irského otce dětí se s nimi přestěhovala do své vlasti. </w:t>
      </w:r>
      <w:r w:rsidR="008A12F7" w:rsidRPr="009771C8">
        <w:rPr>
          <w:szCs w:val="24"/>
        </w:rPr>
        <w:t>GA</w:t>
      </w:r>
      <w:r w:rsidRPr="009771C8">
        <w:rPr>
          <w:szCs w:val="24"/>
        </w:rPr>
        <w:t xml:space="preserve"> ve svém stanovisku vidí hlavn</w:t>
      </w:r>
      <w:r w:rsidR="005C25FE">
        <w:rPr>
          <w:szCs w:val="24"/>
        </w:rPr>
        <w:t>í požadavek otce v tom, zda bez </w:t>
      </w:r>
      <w:r w:rsidRPr="009771C8">
        <w:rPr>
          <w:szCs w:val="24"/>
        </w:rPr>
        <w:t xml:space="preserve">ohledu na irskou právní úpravu, která biologickému otci </w:t>
      </w:r>
      <w:r w:rsidR="008A12F7" w:rsidRPr="009771C8">
        <w:rPr>
          <w:szCs w:val="24"/>
        </w:rPr>
        <w:t>automaticky nezaručuje právo na </w:t>
      </w:r>
      <w:r w:rsidRPr="009771C8">
        <w:rPr>
          <w:szCs w:val="24"/>
        </w:rPr>
        <w:t>péči o své dítě, existuje implicitní právo v rámci Listiny. Otec argumentu</w:t>
      </w:r>
      <w:r w:rsidR="008A12F7" w:rsidRPr="009771C8">
        <w:rPr>
          <w:szCs w:val="24"/>
        </w:rPr>
        <w:t>je, že právo na </w:t>
      </w:r>
      <w:r w:rsidRPr="009771C8">
        <w:rPr>
          <w:szCs w:val="24"/>
        </w:rPr>
        <w:t xml:space="preserve">péči mu jako biologickému otci dětí musí být přiznáno, protože dlouhodobě žil s matkou </w:t>
      </w:r>
      <w:r w:rsidR="008A12F7" w:rsidRPr="009771C8">
        <w:rPr>
          <w:szCs w:val="24"/>
        </w:rPr>
        <w:t>a </w:t>
      </w:r>
      <w:r w:rsidRPr="009771C8">
        <w:rPr>
          <w:szCs w:val="24"/>
        </w:rPr>
        <w:t xml:space="preserve">účastnil se na výchově svých děti, plnil povinnosti plynoucí z rodinného života stejně jako </w:t>
      </w:r>
      <w:r w:rsidR="00C028C8" w:rsidRPr="009771C8">
        <w:rPr>
          <w:szCs w:val="24"/>
        </w:rPr>
        <w:t>kdy</w:t>
      </w:r>
      <w:r w:rsidRPr="009771C8">
        <w:rPr>
          <w:szCs w:val="24"/>
        </w:rPr>
        <w:t xml:space="preserve">by byl v manželském poměru s matkou dětí a odkazuje na čl. 8 Úmluvy a na čl. 7 a 24 odst. 3 Listiny. </w:t>
      </w:r>
      <w:r w:rsidR="008A12F7" w:rsidRPr="009771C8">
        <w:rPr>
          <w:szCs w:val="24"/>
        </w:rPr>
        <w:t>GA</w:t>
      </w:r>
      <w:r w:rsidRPr="009771C8">
        <w:rPr>
          <w:szCs w:val="24"/>
        </w:rPr>
        <w:t xml:space="preserve"> ve svém stanovisku uvádí, že Listina má stejnou</w:t>
      </w:r>
      <w:r w:rsidR="005C25FE">
        <w:rPr>
          <w:szCs w:val="24"/>
        </w:rPr>
        <w:t xml:space="preserve"> právní sílu jako </w:t>
      </w:r>
      <w:r w:rsidRPr="009771C8">
        <w:rPr>
          <w:szCs w:val="24"/>
        </w:rPr>
        <w:t>Smlouvy, ale zároveň v čl. 51 odst. 2 nerozšiřuje pravomoci Unie vymezené ve Smlouvách.</w:t>
      </w:r>
    </w:p>
    <w:p w:rsidR="005F6846" w:rsidRPr="009771C8" w:rsidRDefault="004C09E3" w:rsidP="005F6846">
      <w:pPr>
        <w:ind w:firstLine="284"/>
        <w:rPr>
          <w:szCs w:val="24"/>
        </w:rPr>
      </w:pPr>
      <w:r w:rsidRPr="009771C8">
        <w:rPr>
          <w:szCs w:val="24"/>
        </w:rPr>
        <w:t>Na </w:t>
      </w:r>
      <w:r w:rsidR="005F6846" w:rsidRPr="009771C8">
        <w:rPr>
          <w:szCs w:val="24"/>
        </w:rPr>
        <w:t>závěr</w:t>
      </w:r>
      <w:r w:rsidRPr="009771C8">
        <w:rPr>
          <w:szCs w:val="24"/>
        </w:rPr>
        <w:t xml:space="preserve"> této tématické oblasti</w:t>
      </w:r>
      <w:r w:rsidR="005F6846" w:rsidRPr="009771C8">
        <w:rPr>
          <w:szCs w:val="24"/>
        </w:rPr>
        <w:t xml:space="preserve"> bych ráda </w:t>
      </w:r>
      <w:r w:rsidRPr="009771C8">
        <w:rPr>
          <w:szCs w:val="24"/>
        </w:rPr>
        <w:t>konstatovala</w:t>
      </w:r>
      <w:r w:rsidR="005C25FE">
        <w:rPr>
          <w:szCs w:val="24"/>
        </w:rPr>
        <w:t>, že z těchto 15 rozsudků a </w:t>
      </w:r>
      <w:r w:rsidR="005F6846" w:rsidRPr="009771C8">
        <w:rPr>
          <w:szCs w:val="24"/>
        </w:rPr>
        <w:t>stanovisek ve čtyřech</w:t>
      </w:r>
      <w:r w:rsidRPr="009771C8">
        <w:rPr>
          <w:szCs w:val="24"/>
        </w:rPr>
        <w:t xml:space="preserve"> z nich</w:t>
      </w:r>
      <w:r w:rsidR="005F6846" w:rsidRPr="009771C8">
        <w:rPr>
          <w:szCs w:val="24"/>
        </w:rPr>
        <w:t xml:space="preserve"> </w:t>
      </w:r>
      <w:r w:rsidR="00EC6A44" w:rsidRPr="009771C8">
        <w:rPr>
          <w:szCs w:val="24"/>
        </w:rPr>
        <w:t>(</w:t>
      </w:r>
      <w:r w:rsidR="00EC6A44" w:rsidRPr="009771C8">
        <w:t>Aguirre Zarragu</w:t>
      </w:r>
      <w:r w:rsidR="00EC6A44" w:rsidRPr="009771C8">
        <w:rPr>
          <w:b/>
        </w:rPr>
        <w:t xml:space="preserve"> </w:t>
      </w:r>
      <w:r w:rsidR="00EC6A44" w:rsidRPr="009771C8">
        <w:t>a McB.</w:t>
      </w:r>
      <w:r w:rsidR="00EC6A44" w:rsidRPr="009771C8">
        <w:rPr>
          <w:b/>
        </w:rPr>
        <w:t xml:space="preserve"> – </w:t>
      </w:r>
      <w:r w:rsidR="00EC6A44" w:rsidRPr="009771C8">
        <w:t>v obou vydáno</w:t>
      </w:r>
      <w:r w:rsidR="00C76D22">
        <w:t xml:space="preserve"> stanovisko i </w:t>
      </w:r>
      <w:r w:rsidR="00EC6A44" w:rsidRPr="009771C8">
        <w:t xml:space="preserve">rozsudek) </w:t>
      </w:r>
      <w:r w:rsidR="005F6846" w:rsidRPr="009771C8">
        <w:rPr>
          <w:szCs w:val="24"/>
        </w:rPr>
        <w:t xml:space="preserve">podle mého názoru </w:t>
      </w:r>
      <w:r w:rsidRPr="009771C8">
        <w:rPr>
          <w:szCs w:val="24"/>
        </w:rPr>
        <w:t xml:space="preserve">zastává </w:t>
      </w:r>
      <w:r w:rsidR="005F6846" w:rsidRPr="009771C8">
        <w:rPr>
          <w:szCs w:val="24"/>
        </w:rPr>
        <w:t xml:space="preserve">Listina </w:t>
      </w:r>
      <w:r w:rsidR="00BC1D38" w:rsidRPr="009771C8">
        <w:rPr>
          <w:szCs w:val="24"/>
        </w:rPr>
        <w:t>„</w:t>
      </w:r>
      <w:r w:rsidR="005F6846" w:rsidRPr="009771C8">
        <w:rPr>
          <w:szCs w:val="24"/>
        </w:rPr>
        <w:t>prominentnější</w:t>
      </w:r>
      <w:r w:rsidR="00BC1D38" w:rsidRPr="009771C8">
        <w:rPr>
          <w:szCs w:val="24"/>
        </w:rPr>
        <w:t>“</w:t>
      </w:r>
      <w:r w:rsidR="005F6846" w:rsidRPr="009771C8">
        <w:rPr>
          <w:szCs w:val="24"/>
        </w:rPr>
        <w:t xml:space="preserve"> postavení. </w:t>
      </w:r>
      <w:r w:rsidR="00B324F0" w:rsidRPr="009771C8">
        <w:rPr>
          <w:szCs w:val="24"/>
        </w:rPr>
        <w:t>A to z toho důvodu, že ESD i </w:t>
      </w:r>
      <w:r w:rsidR="00071D16" w:rsidRPr="009771C8">
        <w:rPr>
          <w:szCs w:val="24"/>
        </w:rPr>
        <w:t>GA ustanovení Listiny p</w:t>
      </w:r>
      <w:r w:rsidR="00EC6A44" w:rsidRPr="009771C8">
        <w:rPr>
          <w:szCs w:val="24"/>
        </w:rPr>
        <w:t>oužívají pro svou argumentaci a p</w:t>
      </w:r>
      <w:r w:rsidR="00071D16" w:rsidRPr="009771C8">
        <w:rPr>
          <w:szCs w:val="24"/>
        </w:rPr>
        <w:t>očet odkazů na ní v</w:t>
      </w:r>
      <w:r w:rsidR="005941FA" w:rsidRPr="009771C8">
        <w:rPr>
          <w:szCs w:val="24"/>
        </w:rPr>
        <w:t> </w:t>
      </w:r>
      <w:r w:rsidR="00071D16" w:rsidRPr="009771C8">
        <w:rPr>
          <w:szCs w:val="24"/>
        </w:rPr>
        <w:t>textech</w:t>
      </w:r>
      <w:r w:rsidR="005941FA" w:rsidRPr="009771C8">
        <w:rPr>
          <w:szCs w:val="24"/>
        </w:rPr>
        <w:t xml:space="preserve"> těchto čtyř</w:t>
      </w:r>
      <w:r w:rsidR="00071D16" w:rsidRPr="009771C8">
        <w:rPr>
          <w:szCs w:val="24"/>
        </w:rPr>
        <w:t xml:space="preserve"> rozsudků a stanovisek je výrazně vyšší oproti </w:t>
      </w:r>
      <w:r w:rsidR="00EC6A44" w:rsidRPr="009771C8">
        <w:rPr>
          <w:szCs w:val="24"/>
        </w:rPr>
        <w:t>zbylým</w:t>
      </w:r>
      <w:r w:rsidR="00071D16" w:rsidRPr="009771C8">
        <w:rPr>
          <w:szCs w:val="24"/>
        </w:rPr>
        <w:t xml:space="preserve"> rozhodnutím </w:t>
      </w:r>
      <w:r w:rsidR="00C76D22">
        <w:rPr>
          <w:szCs w:val="24"/>
        </w:rPr>
        <w:t>a </w:t>
      </w:r>
      <w:r w:rsidR="00EC6A44" w:rsidRPr="009771C8">
        <w:rPr>
          <w:szCs w:val="24"/>
        </w:rPr>
        <w:t xml:space="preserve">stanoviskům </w:t>
      </w:r>
      <w:r w:rsidR="00071D16" w:rsidRPr="009771C8">
        <w:rPr>
          <w:szCs w:val="24"/>
        </w:rPr>
        <w:t xml:space="preserve">v této </w:t>
      </w:r>
      <w:r w:rsidRPr="009771C8">
        <w:rPr>
          <w:szCs w:val="24"/>
        </w:rPr>
        <w:t xml:space="preserve">tématické </w:t>
      </w:r>
      <w:r w:rsidR="00071D16" w:rsidRPr="009771C8">
        <w:rPr>
          <w:szCs w:val="24"/>
        </w:rPr>
        <w:t xml:space="preserve">oblasti. Dále </w:t>
      </w:r>
      <w:r w:rsidR="005F6846" w:rsidRPr="009771C8">
        <w:rPr>
          <w:szCs w:val="24"/>
        </w:rPr>
        <w:t xml:space="preserve">v obou případech </w:t>
      </w:r>
      <w:r w:rsidR="00EC6A44" w:rsidRPr="009771C8">
        <w:rPr>
          <w:szCs w:val="24"/>
        </w:rPr>
        <w:t xml:space="preserve">(Aguirre Zarragu a McB.) </w:t>
      </w:r>
      <w:r w:rsidR="00C76D22">
        <w:rPr>
          <w:szCs w:val="24"/>
        </w:rPr>
        <w:t>se </w:t>
      </w:r>
      <w:r w:rsidR="005F6846" w:rsidRPr="009771C8">
        <w:rPr>
          <w:szCs w:val="24"/>
        </w:rPr>
        <w:t xml:space="preserve">předkládající vnitrostátní soudy přímo ve svých předběžných otázkách </w:t>
      </w:r>
      <w:r w:rsidR="00071D16" w:rsidRPr="009771C8">
        <w:rPr>
          <w:szCs w:val="24"/>
        </w:rPr>
        <w:t xml:space="preserve">dotazují </w:t>
      </w:r>
      <w:r w:rsidR="005F6846" w:rsidRPr="009771C8">
        <w:rPr>
          <w:szCs w:val="24"/>
        </w:rPr>
        <w:t>na</w:t>
      </w:r>
      <w:r w:rsidRPr="009771C8">
        <w:rPr>
          <w:szCs w:val="24"/>
        </w:rPr>
        <w:t> </w:t>
      </w:r>
      <w:r w:rsidR="005F6846" w:rsidRPr="009771C8">
        <w:rPr>
          <w:szCs w:val="24"/>
        </w:rPr>
        <w:t>výklad v souladu s </w:t>
      </w:r>
      <w:r w:rsidR="00071D16" w:rsidRPr="009771C8">
        <w:rPr>
          <w:szCs w:val="24"/>
        </w:rPr>
        <w:t>Listinou</w:t>
      </w:r>
      <w:r w:rsidR="005F6846" w:rsidRPr="009771C8">
        <w:rPr>
          <w:szCs w:val="24"/>
        </w:rPr>
        <w:t xml:space="preserve">. </w:t>
      </w:r>
      <w:r w:rsidR="00BC1D38" w:rsidRPr="009771C8">
        <w:rPr>
          <w:szCs w:val="24"/>
        </w:rPr>
        <w:t>M</w:t>
      </w:r>
      <w:r w:rsidR="00071D16" w:rsidRPr="009771C8">
        <w:rPr>
          <w:szCs w:val="24"/>
        </w:rPr>
        <w:t>yslím si</w:t>
      </w:r>
      <w:r w:rsidR="00BC1D38" w:rsidRPr="009771C8">
        <w:rPr>
          <w:szCs w:val="24"/>
        </w:rPr>
        <w:t xml:space="preserve">, že </w:t>
      </w:r>
      <w:r w:rsidR="00EF01DE" w:rsidRPr="009771C8">
        <w:rPr>
          <w:szCs w:val="24"/>
        </w:rPr>
        <w:t>je to potvrzením</w:t>
      </w:r>
      <w:r w:rsidR="00BC1D38" w:rsidRPr="009771C8">
        <w:rPr>
          <w:szCs w:val="24"/>
        </w:rPr>
        <w:t>, že vnitrostátní soudy upřednost</w:t>
      </w:r>
      <w:r w:rsidR="005871AF" w:rsidRPr="009771C8">
        <w:rPr>
          <w:szCs w:val="24"/>
        </w:rPr>
        <w:t>ňují Listinu před </w:t>
      </w:r>
      <w:r w:rsidR="00BC1D38" w:rsidRPr="009771C8">
        <w:rPr>
          <w:szCs w:val="24"/>
        </w:rPr>
        <w:t xml:space="preserve">jinými prameny lidských práv </w:t>
      </w:r>
      <w:r w:rsidRPr="009771C8">
        <w:rPr>
          <w:szCs w:val="24"/>
        </w:rPr>
        <w:t>v Evropské unii</w:t>
      </w:r>
      <w:r w:rsidR="00BC1D38" w:rsidRPr="009771C8">
        <w:rPr>
          <w:szCs w:val="24"/>
        </w:rPr>
        <w:t>. Jinak by se totiž, podle mého názoru v těchto předběžných otázkách dotazovaly na výklad s obecnými zásadami právními</w:t>
      </w:r>
      <w:r w:rsidR="00EF01DE" w:rsidRPr="009771C8">
        <w:rPr>
          <w:szCs w:val="24"/>
        </w:rPr>
        <w:t xml:space="preserve"> a ne s Listinou</w:t>
      </w:r>
      <w:r w:rsidR="00BC1D38" w:rsidRPr="009771C8">
        <w:rPr>
          <w:szCs w:val="24"/>
        </w:rPr>
        <w:t xml:space="preserve">. </w:t>
      </w:r>
    </w:p>
    <w:p w:rsidR="00DF354A" w:rsidRPr="009771C8" w:rsidRDefault="00DF354A" w:rsidP="00420E79">
      <w:pPr>
        <w:pStyle w:val="NADPIS3"/>
        <w:outlineLvl w:val="0"/>
      </w:pPr>
      <w:bookmarkStart w:id="21" w:name="_Toc288488664"/>
      <w:bookmarkStart w:id="22" w:name="_Toc288491594"/>
      <w:bookmarkStart w:id="23" w:name="_Toc291022221"/>
      <w:r w:rsidRPr="009771C8">
        <w:lastRenderedPageBreak/>
        <w:t>Sociální politika</w:t>
      </w:r>
      <w:bookmarkEnd w:id="21"/>
      <w:bookmarkEnd w:id="22"/>
      <w:bookmarkEnd w:id="23"/>
    </w:p>
    <w:p w:rsidR="004C09E3" w:rsidRPr="009771C8" w:rsidRDefault="00DF354A" w:rsidP="00C474F8">
      <w:r w:rsidRPr="009771C8">
        <w:t xml:space="preserve">V oblasti sociální politiky ESD a GA vydali druhý největší počet rozsudků a </w:t>
      </w:r>
      <w:r w:rsidR="003F1F14" w:rsidRPr="009771C8">
        <w:t>stanovisek s odkazem na Listinu</w:t>
      </w:r>
      <w:r w:rsidR="004C09E3" w:rsidRPr="009771C8">
        <w:t xml:space="preserve">. Přesto se </w:t>
      </w:r>
      <w:r w:rsidR="00B01EEA" w:rsidRPr="009771C8">
        <w:t xml:space="preserve">domnívám, že se jedná o nejvýznamnější případy vzhledem k povaze </w:t>
      </w:r>
      <w:r w:rsidR="00D529F7" w:rsidRPr="009771C8">
        <w:t>použití ustanovení Listiny</w:t>
      </w:r>
      <w:r w:rsidRPr="009771C8">
        <w:t xml:space="preserve">. </w:t>
      </w:r>
    </w:p>
    <w:p w:rsidR="004C09E3" w:rsidRPr="009771C8" w:rsidRDefault="004C09E3" w:rsidP="00C474F8">
      <w:r w:rsidRPr="009771C8">
        <w:t>Úvodem bych ráda zmínila, že d</w:t>
      </w:r>
      <w:r w:rsidR="00AB0159" w:rsidRPr="009771C8">
        <w:t xml:space="preserve">o oblasti </w:t>
      </w:r>
      <w:r w:rsidRPr="009771C8">
        <w:t xml:space="preserve">sociální politiky </w:t>
      </w:r>
      <w:r w:rsidR="00AB0159" w:rsidRPr="009771C8">
        <w:t>jsem také zařadila rozsudek ESD ve věci Association Belge des Consommateurs Test-Achats</w:t>
      </w:r>
      <w:r w:rsidR="005736E0" w:rsidRPr="009771C8">
        <w:rPr>
          <w:rStyle w:val="Funotenzeichen"/>
        </w:rPr>
        <w:footnoteReference w:id="51"/>
      </w:r>
      <w:r w:rsidR="00AB0159" w:rsidRPr="009771C8">
        <w:t xml:space="preserve">, který byl </w:t>
      </w:r>
      <w:r w:rsidR="004076C6" w:rsidRPr="009771C8">
        <w:t xml:space="preserve">sice </w:t>
      </w:r>
      <w:r w:rsidR="00DA6C5D">
        <w:t>vydán po 4. </w:t>
      </w:r>
      <w:r w:rsidR="00AB0159" w:rsidRPr="009771C8">
        <w:t>únoru 2011, tedy datu, ke kterému jsem shromažďovala relevantní judikaturu</w:t>
      </w:r>
      <w:r w:rsidR="004076C6" w:rsidRPr="009771C8">
        <w:t>. Do</w:t>
      </w:r>
      <w:r w:rsidRPr="009771C8">
        <w:t> </w:t>
      </w:r>
      <w:r w:rsidR="004076C6" w:rsidRPr="009771C8">
        <w:t xml:space="preserve">textu diplomové práce jsem ho zařadila z toho důvodu, že se jedná </w:t>
      </w:r>
      <w:r w:rsidR="00532B6B" w:rsidRPr="009771C8">
        <w:t xml:space="preserve">o zajímavý </w:t>
      </w:r>
      <w:r w:rsidR="004076C6" w:rsidRPr="009771C8">
        <w:t>rozsudek</w:t>
      </w:r>
      <w:r w:rsidR="00532B6B" w:rsidRPr="009771C8">
        <w:t xml:space="preserve"> z hlediska závěru, ke kterému ESD dospěl</w:t>
      </w:r>
      <w:r w:rsidR="004076C6" w:rsidRPr="009771C8">
        <w:t xml:space="preserve">. </w:t>
      </w:r>
      <w:r w:rsidR="00DF354A" w:rsidRPr="009771C8">
        <w:t xml:space="preserve">Do této oblasti patří </w:t>
      </w:r>
      <w:r w:rsidR="004076C6" w:rsidRPr="009771C8">
        <w:t xml:space="preserve">ale </w:t>
      </w:r>
      <w:r w:rsidR="005736E0" w:rsidRPr="009771C8">
        <w:t>i rozsudek ve věci Kücü</w:t>
      </w:r>
      <w:r w:rsidR="00DA6C5D">
        <w:t>kdeveci, ve </w:t>
      </w:r>
      <w:r w:rsidR="00DF354A" w:rsidRPr="009771C8">
        <w:t>kterém byla Listina poprvé použita jako právně závazný dokument.</w:t>
      </w:r>
      <w:r w:rsidR="005736E0" w:rsidRPr="009771C8">
        <w:t xml:space="preserve"> </w:t>
      </w:r>
    </w:p>
    <w:p w:rsidR="00D529F7" w:rsidRPr="009771C8" w:rsidRDefault="00B01EEA" w:rsidP="00C474F8">
      <w:r w:rsidRPr="009771C8">
        <w:t xml:space="preserve">S odkazem na Listinu bylo do 4. února 2011 </w:t>
      </w:r>
      <w:r w:rsidR="005736E0" w:rsidRPr="009771C8">
        <w:t>zveřejněno celkem 11 </w:t>
      </w:r>
      <w:r w:rsidR="00DF354A" w:rsidRPr="009771C8">
        <w:t>rozsudků a</w:t>
      </w:r>
      <w:r w:rsidR="004C09E3" w:rsidRPr="009771C8">
        <w:t> </w:t>
      </w:r>
      <w:r w:rsidR="00DF354A" w:rsidRPr="009771C8">
        <w:t>stanovisek, konkrétně 6 rozsudk</w:t>
      </w:r>
      <w:r w:rsidRPr="009771C8">
        <w:t xml:space="preserve">ů a 5 stanovisek. </w:t>
      </w:r>
      <w:r w:rsidR="00DF354A" w:rsidRPr="009771C8">
        <w:t>Jedná se o</w:t>
      </w:r>
      <w:r w:rsidR="00D529F7" w:rsidRPr="009771C8">
        <w:t> </w:t>
      </w:r>
      <w:r w:rsidR="00DF354A" w:rsidRPr="009771C8">
        <w:t xml:space="preserve">následující případy: spojené řízení </w:t>
      </w:r>
      <w:r w:rsidR="005736E0" w:rsidRPr="009771C8">
        <w:rPr>
          <w:b/>
        </w:rPr>
        <w:t>Gavieiro Gavieiro</w:t>
      </w:r>
      <w:r w:rsidR="00DF354A" w:rsidRPr="009771C8">
        <w:rPr>
          <w:rStyle w:val="Funotenzeichen"/>
          <w:b/>
        </w:rPr>
        <w:footnoteReference w:id="52"/>
      </w:r>
      <w:r w:rsidR="00DF354A" w:rsidRPr="009771C8">
        <w:t xml:space="preserve"> (rozsudek), </w:t>
      </w:r>
      <w:r w:rsidR="005736E0" w:rsidRPr="009771C8">
        <w:rPr>
          <w:b/>
        </w:rPr>
        <w:t>Danosa</w:t>
      </w:r>
      <w:r w:rsidR="00DF354A" w:rsidRPr="009771C8">
        <w:rPr>
          <w:rStyle w:val="Funotenzeichen"/>
          <w:b/>
        </w:rPr>
        <w:footnoteReference w:id="53"/>
      </w:r>
      <w:r w:rsidR="00DF354A" w:rsidRPr="009771C8">
        <w:t xml:space="preserve"> (rozsudek a</w:t>
      </w:r>
      <w:r w:rsidR="00D529F7" w:rsidRPr="009771C8">
        <w:t> </w:t>
      </w:r>
      <w:r w:rsidR="00DF354A" w:rsidRPr="009771C8">
        <w:t xml:space="preserve">stanovisko), </w:t>
      </w:r>
      <w:r w:rsidR="005736E0" w:rsidRPr="009771C8">
        <w:rPr>
          <w:b/>
        </w:rPr>
        <w:t>Chatzi</w:t>
      </w:r>
      <w:r w:rsidR="00DF354A" w:rsidRPr="009771C8">
        <w:rPr>
          <w:rStyle w:val="Funotenzeichen"/>
          <w:b/>
        </w:rPr>
        <w:footnoteReference w:id="54"/>
      </w:r>
      <w:r w:rsidR="00DF354A" w:rsidRPr="009771C8">
        <w:t xml:space="preserve"> (rozsudek a stanovisko), </w:t>
      </w:r>
      <w:r w:rsidR="005736E0" w:rsidRPr="009771C8">
        <w:rPr>
          <w:b/>
        </w:rPr>
        <w:t>Fuß</w:t>
      </w:r>
      <w:r w:rsidR="00DF354A" w:rsidRPr="009771C8">
        <w:rPr>
          <w:rStyle w:val="Funotenzeichen"/>
          <w:b/>
        </w:rPr>
        <w:footnoteReference w:id="55"/>
      </w:r>
      <w:r w:rsidR="00DF354A" w:rsidRPr="009771C8">
        <w:t xml:space="preserve"> (rozsudek), </w:t>
      </w:r>
      <w:r w:rsidR="005736E0" w:rsidRPr="009771C8">
        <w:rPr>
          <w:b/>
        </w:rPr>
        <w:t>Association Belge des Consommateurs Test-Achats</w:t>
      </w:r>
      <w:r w:rsidR="00DF354A" w:rsidRPr="009771C8">
        <w:rPr>
          <w:rStyle w:val="Funotenzeichen"/>
          <w:b/>
        </w:rPr>
        <w:footnoteReference w:id="56"/>
      </w:r>
      <w:r w:rsidR="00DF354A" w:rsidRPr="009771C8">
        <w:t xml:space="preserve"> (stanovisko), </w:t>
      </w:r>
      <w:r w:rsidR="005728B9" w:rsidRPr="009771C8">
        <w:rPr>
          <w:b/>
        </w:rPr>
        <w:t>Kleist</w:t>
      </w:r>
      <w:r w:rsidR="00DF354A" w:rsidRPr="009771C8">
        <w:rPr>
          <w:rStyle w:val="Funotenzeichen"/>
          <w:b/>
        </w:rPr>
        <w:footnoteReference w:id="57"/>
      </w:r>
      <w:r w:rsidR="00DF354A" w:rsidRPr="009771C8">
        <w:t xml:space="preserve"> (stanovisko), </w:t>
      </w:r>
      <w:r w:rsidR="005728B9" w:rsidRPr="009771C8">
        <w:rPr>
          <w:b/>
        </w:rPr>
        <w:t>Andersen</w:t>
      </w:r>
      <w:r w:rsidR="00DF354A" w:rsidRPr="009771C8">
        <w:rPr>
          <w:rStyle w:val="Funotenzeichen"/>
          <w:b/>
        </w:rPr>
        <w:footnoteReference w:id="58"/>
      </w:r>
      <w:r w:rsidR="00DF354A" w:rsidRPr="009771C8">
        <w:t xml:space="preserve"> (stanovisko), </w:t>
      </w:r>
      <w:r w:rsidR="005728B9" w:rsidRPr="009771C8">
        <w:rPr>
          <w:b/>
        </w:rPr>
        <w:t>Rodríguez Mayor</w:t>
      </w:r>
      <w:r w:rsidR="00DF354A" w:rsidRPr="009771C8">
        <w:rPr>
          <w:rStyle w:val="Funotenzeichen"/>
          <w:b/>
        </w:rPr>
        <w:footnoteReference w:id="59"/>
      </w:r>
      <w:r w:rsidR="00EC6A44" w:rsidRPr="009771C8">
        <w:t xml:space="preserve"> (rozsudek) a </w:t>
      </w:r>
      <w:r w:rsidR="005728B9" w:rsidRPr="009771C8">
        <w:rPr>
          <w:b/>
        </w:rPr>
        <w:t>Kücükdeveci</w:t>
      </w:r>
      <w:r w:rsidR="00DF354A" w:rsidRPr="009771C8">
        <w:rPr>
          <w:rStyle w:val="Funotenzeichen"/>
          <w:b/>
        </w:rPr>
        <w:footnoteReference w:id="60"/>
      </w:r>
      <w:r w:rsidR="00DF354A" w:rsidRPr="009771C8">
        <w:t xml:space="preserve"> (rozsudek). </w:t>
      </w:r>
      <w:r w:rsidR="0008609D" w:rsidRPr="009771C8">
        <w:t>K 11 výše zmíněným rozsudkům a </w:t>
      </w:r>
      <w:r w:rsidR="00193111" w:rsidRPr="009771C8">
        <w:t xml:space="preserve">stanoviskům </w:t>
      </w:r>
      <w:r w:rsidR="001629DE" w:rsidRPr="009771C8">
        <w:t xml:space="preserve">ještě přiřazuji rozsudek ve věci </w:t>
      </w:r>
      <w:r w:rsidR="0008609D" w:rsidRPr="009771C8">
        <w:rPr>
          <w:b/>
        </w:rPr>
        <w:t>Association Belge des Consommateurs Test-Achats</w:t>
      </w:r>
      <w:r w:rsidR="00780C44" w:rsidRPr="009771C8">
        <w:rPr>
          <w:rStyle w:val="Funotenzeichen"/>
        </w:rPr>
        <w:footnoteReference w:id="61"/>
      </w:r>
      <w:r w:rsidR="00EC6A44" w:rsidRPr="009771C8">
        <w:t>, který byl zveřejněn prvního</w:t>
      </w:r>
      <w:r w:rsidR="00811C37" w:rsidRPr="009771C8">
        <w:t xml:space="preserve"> března 2011. </w:t>
      </w:r>
      <w:r w:rsidR="00DF354A" w:rsidRPr="009771C8">
        <w:t>Za stěžejní případy považuji kromě zmí</w:t>
      </w:r>
      <w:r w:rsidR="0008609D" w:rsidRPr="009771C8">
        <w:t xml:space="preserve">něného rozsudku ve věci </w:t>
      </w:r>
      <w:r w:rsidR="005736E0" w:rsidRPr="009771C8">
        <w:t>Kücü</w:t>
      </w:r>
      <w:r w:rsidR="0008609D" w:rsidRPr="009771C8">
        <w:t>kdeveci</w:t>
      </w:r>
      <w:r w:rsidR="00DF354A" w:rsidRPr="009771C8">
        <w:t>, stanoviska</w:t>
      </w:r>
      <w:r w:rsidR="0008609D" w:rsidRPr="009771C8">
        <w:t xml:space="preserve"> Andersen, Kleist, Association Belge des Consommateurs Test-Achats, Chatzi a rozsudek ve věci Association Belge des Consommateurs Test-Achats</w:t>
      </w:r>
      <w:r w:rsidR="00DF354A" w:rsidRPr="009771C8">
        <w:t>. Ve</w:t>
      </w:r>
      <w:r w:rsidR="004C09E3" w:rsidRPr="009771C8">
        <w:t> </w:t>
      </w:r>
      <w:r w:rsidR="00DF354A" w:rsidRPr="009771C8">
        <w:t>všech případech se jedná o řízení o</w:t>
      </w:r>
      <w:r w:rsidR="00760F76" w:rsidRPr="009771C8">
        <w:t> </w:t>
      </w:r>
      <w:r w:rsidR="00DF354A" w:rsidRPr="009771C8">
        <w:t>předběžné otázce. Spory v původních řízeních spadaly do</w:t>
      </w:r>
      <w:r w:rsidR="004C09E3" w:rsidRPr="009771C8">
        <w:t> </w:t>
      </w:r>
      <w:r w:rsidR="00DF354A" w:rsidRPr="009771C8">
        <w:t>oblastí pracovního práva, práva sociálního</w:t>
      </w:r>
      <w:r w:rsidR="005C0687" w:rsidRPr="009771C8">
        <w:t xml:space="preserve"> zabezpečení, základních práv - </w:t>
      </w:r>
      <w:r w:rsidR="00DF354A" w:rsidRPr="009771C8">
        <w:t xml:space="preserve">rovnost mezi </w:t>
      </w:r>
      <w:r w:rsidR="00DF354A" w:rsidRPr="009771C8">
        <w:lastRenderedPageBreak/>
        <w:t>ženami a muži. Předběžnými otázkami se soudy obraceli na výklad ustanovení následujících právních předpisů: směrnice Rady 1999/70/ES o rámcové dohodě o pracovních poměrech na</w:t>
      </w:r>
      <w:r w:rsidR="004C09E3" w:rsidRPr="009771C8">
        <w:t> </w:t>
      </w:r>
      <w:r w:rsidR="00DF354A" w:rsidRPr="009771C8">
        <w:t>dobu určitou uzavřené mezi</w:t>
      </w:r>
      <w:r w:rsidR="00760F76" w:rsidRPr="009771C8">
        <w:t> </w:t>
      </w:r>
      <w:r w:rsidR="00DF354A" w:rsidRPr="009771C8">
        <w:t>organizacemi UNICE, CEEP a EKOS</w:t>
      </w:r>
      <w:r w:rsidR="00DF354A" w:rsidRPr="009771C8">
        <w:rPr>
          <w:rStyle w:val="Funotenzeichen"/>
        </w:rPr>
        <w:footnoteReference w:id="62"/>
      </w:r>
      <w:r w:rsidR="00DF354A" w:rsidRPr="009771C8">
        <w:t>, směrnice Rady 92/85/EHS o zavádění opatření pro</w:t>
      </w:r>
      <w:r w:rsidR="00760F76" w:rsidRPr="009771C8">
        <w:t> </w:t>
      </w:r>
      <w:r w:rsidR="00DF354A" w:rsidRPr="009771C8">
        <w:t>zlepšení bezpečnosti a ochrany zdraví při práci těhotných zaměstnankyň</w:t>
      </w:r>
      <w:r w:rsidR="00DF354A" w:rsidRPr="009771C8">
        <w:rPr>
          <w:rStyle w:val="Funotenzeichen"/>
        </w:rPr>
        <w:footnoteReference w:id="63"/>
      </w:r>
      <w:r w:rsidR="00DF354A" w:rsidRPr="009771C8">
        <w:t>, směrnice Rady 96/34/ES o rámcové dohodě o rodičovské dovolené uzavřené mezi organizacemi UNICE, CEEP a EKOS</w:t>
      </w:r>
      <w:r w:rsidR="00DF354A" w:rsidRPr="009771C8">
        <w:rPr>
          <w:rStyle w:val="Funotenzeichen"/>
        </w:rPr>
        <w:footnoteReference w:id="64"/>
      </w:r>
      <w:r w:rsidR="00DF354A" w:rsidRPr="009771C8">
        <w:t>, směrnice Evropského parlamentu a Rady 2003/88/ES o některých aspektech úpravy pracovní doby</w:t>
      </w:r>
      <w:r w:rsidR="00DF354A" w:rsidRPr="009771C8">
        <w:rPr>
          <w:rStyle w:val="Funotenzeichen"/>
        </w:rPr>
        <w:footnoteReference w:id="65"/>
      </w:r>
      <w:r w:rsidR="00DF354A" w:rsidRPr="009771C8">
        <w:t>, směrnice Rady 2004/113/ES kterou se zavádí zásada rovného zacházení s muži a ženami v přístupu ke zboží a službám a</w:t>
      </w:r>
      <w:r w:rsidR="004C09E3" w:rsidRPr="009771C8">
        <w:t> </w:t>
      </w:r>
      <w:r w:rsidR="00DF354A" w:rsidRPr="009771C8">
        <w:t>jejich poskytování</w:t>
      </w:r>
      <w:r w:rsidR="00DF354A" w:rsidRPr="009771C8">
        <w:rPr>
          <w:rStyle w:val="Funotenzeichen"/>
        </w:rPr>
        <w:footnoteReference w:id="66"/>
      </w:r>
      <w:r w:rsidR="00DF354A" w:rsidRPr="009771C8">
        <w:t>, směrnice Rady 76/207/EHS o zavedení zásady rovného zacházení pro</w:t>
      </w:r>
      <w:r w:rsidR="004C09E3" w:rsidRPr="009771C8">
        <w:t> </w:t>
      </w:r>
      <w:r w:rsidR="00DF354A" w:rsidRPr="009771C8">
        <w:t>muže a ženy, pokud jde o přístup k zaměstnání, odbornému vzdělávání a postupu v zaměstnání a o pracovní podmínky</w:t>
      </w:r>
      <w:r w:rsidR="00DF354A" w:rsidRPr="009771C8">
        <w:rPr>
          <w:rStyle w:val="Funotenzeichen"/>
        </w:rPr>
        <w:footnoteReference w:id="67"/>
      </w:r>
      <w:r w:rsidR="00DF354A" w:rsidRPr="009771C8">
        <w:t>, směrnice Rady 2000/78/ES, kterou se stanoví obecný rámec pro rovné zacházení v zaměstnání a povolání</w:t>
      </w:r>
      <w:r w:rsidR="00DF354A" w:rsidRPr="009771C8">
        <w:rPr>
          <w:rStyle w:val="Funotenzeichen"/>
        </w:rPr>
        <w:footnoteReference w:id="68"/>
      </w:r>
      <w:r w:rsidR="00DF354A" w:rsidRPr="009771C8">
        <w:t xml:space="preserve"> a směrnice Rady 98/59/ES o sbližování právních předpisů členských států týkajících se hromadného propouštění</w:t>
      </w:r>
      <w:r w:rsidR="00DF354A" w:rsidRPr="009771C8">
        <w:rPr>
          <w:rStyle w:val="Funotenzeichen"/>
        </w:rPr>
        <w:footnoteReference w:id="69"/>
      </w:r>
      <w:r w:rsidR="00DF354A" w:rsidRPr="009771C8">
        <w:t xml:space="preserve">. </w:t>
      </w:r>
    </w:p>
    <w:p w:rsidR="003F0878" w:rsidRPr="009771C8" w:rsidRDefault="00E04E32" w:rsidP="00C474F8">
      <w:r w:rsidRPr="009771C8">
        <w:t>Kromě stěžejních případů, kterým se budu věnovat n</w:t>
      </w:r>
      <w:r w:rsidR="00D529F7" w:rsidRPr="009771C8">
        <w:t>íže</w:t>
      </w:r>
      <w:r w:rsidR="00101159">
        <w:t>, byla</w:t>
      </w:r>
      <w:r w:rsidR="00D529F7" w:rsidRPr="009771C8">
        <w:t xml:space="preserve"> v ostatních rozsudcích a </w:t>
      </w:r>
      <w:r w:rsidRPr="009771C8">
        <w:t xml:space="preserve">stanoviscích Listina zmíněna následovně. V odpovědi na předběžnou otázku ve spojených případech </w:t>
      </w:r>
      <w:r w:rsidR="00F46F03" w:rsidRPr="009771C8">
        <w:t xml:space="preserve">Gavieiro Gavieiro </w:t>
      </w:r>
      <w:r w:rsidRPr="009771C8">
        <w:t>se ESD věnuje také právu na soudní ochranu; v této souvislosti uvádí, že právo na soudní ochranu je obecnou zásadou práva Unie a jako taková</w:t>
      </w:r>
      <w:r w:rsidR="00EC6A44" w:rsidRPr="009771C8">
        <w:t xml:space="preserve"> je uznána i </w:t>
      </w:r>
      <w:r w:rsidRPr="009771C8">
        <w:t xml:space="preserve">v Listině v čl. 47. </w:t>
      </w:r>
      <w:r w:rsidR="00940C5E" w:rsidRPr="009771C8">
        <w:t xml:space="preserve">V rozsudku </w:t>
      </w:r>
      <w:r w:rsidR="00F46F03" w:rsidRPr="009771C8">
        <w:t xml:space="preserve">Danosa </w:t>
      </w:r>
      <w:r w:rsidR="003C376B" w:rsidRPr="009771C8">
        <w:t>se ESD opřel o ustanovení Listiny, o článek 23, ve</w:t>
      </w:r>
      <w:r w:rsidR="004C09E3" w:rsidRPr="009771C8">
        <w:t> </w:t>
      </w:r>
      <w:r w:rsidR="003C376B" w:rsidRPr="009771C8">
        <w:t>kterém j</w:t>
      </w:r>
      <w:r w:rsidR="004D09E1" w:rsidRPr="009771C8">
        <w:t>e zakotvena rovno</w:t>
      </w:r>
      <w:r w:rsidR="00B01EEA" w:rsidRPr="009771C8">
        <w:t>st žen a</w:t>
      </w:r>
      <w:r w:rsidR="00D529F7" w:rsidRPr="009771C8">
        <w:t> </w:t>
      </w:r>
      <w:r w:rsidR="00B62487" w:rsidRPr="009771C8">
        <w:t>mužů a GA Yves Bot</w:t>
      </w:r>
      <w:r w:rsidR="00B01EEA" w:rsidRPr="009771C8">
        <w:t xml:space="preserve"> </w:t>
      </w:r>
      <w:r w:rsidR="004D09E1" w:rsidRPr="009771C8">
        <w:t xml:space="preserve">na ní odkazuje v právním rámci Unie, který se k případu vztahuje. </w:t>
      </w:r>
      <w:r w:rsidR="00F46F03" w:rsidRPr="009771C8">
        <w:t>V případu Fuß</w:t>
      </w:r>
      <w:r w:rsidR="00675915" w:rsidRPr="009771C8">
        <w:t xml:space="preserve"> je odkázáno na Listinu v souvislosti s jejím ustanovením, které garantuje právo na účinnou soudní ochranu. </w:t>
      </w:r>
      <w:r w:rsidR="00C56A8D" w:rsidRPr="009771C8">
        <w:t xml:space="preserve">V rozhodnutí </w:t>
      </w:r>
      <w:r w:rsidR="00F46F03" w:rsidRPr="009771C8">
        <w:t xml:space="preserve">Rodríguez Mayor </w:t>
      </w:r>
      <w:r w:rsidR="00C56A8D" w:rsidRPr="009771C8">
        <w:t xml:space="preserve">se soud v poslední ze svých tří předběžných otázek přímo dotazuje na soulad španělské úpravy s ustanovením čl. 30 Listiny, které garantuje ochranu v případě </w:t>
      </w:r>
      <w:r w:rsidR="00C56A8D" w:rsidRPr="009771C8">
        <w:lastRenderedPageBreak/>
        <w:t>neoprávněného propuštění. Vzhledem k tomu, že podle rozhodnutí soudu se na tento případ předmětná směrnice nevztahuje, soud na předběžné otázky neodpovídal.</w:t>
      </w:r>
      <w:r w:rsidR="00B324F0" w:rsidRPr="009771C8">
        <w:t xml:space="preserve"> </w:t>
      </w:r>
      <w:r w:rsidR="00EC6A44" w:rsidRPr="009771C8">
        <w:t>Toto použití opět odpovídá závěru, který jsem uvedla v předchá</w:t>
      </w:r>
      <w:r w:rsidR="00B324F0" w:rsidRPr="009771C8">
        <w:t xml:space="preserve">zející kapitole. A sice, </w:t>
      </w:r>
      <w:r w:rsidR="00EC6A44" w:rsidRPr="009771C8">
        <w:t xml:space="preserve">že ESD ve svých rozsudcích Listinu využívá zatím jako potvrzení práv uznávaných na základě obecných zásad právních. </w:t>
      </w:r>
    </w:p>
    <w:p w:rsidR="00B811CC" w:rsidRPr="009771C8" w:rsidRDefault="00D529F7" w:rsidP="00B01EEA">
      <w:r w:rsidRPr="009771C8">
        <w:t>Následujících čtyři stanoviska</w:t>
      </w:r>
      <w:r w:rsidR="00D41A8A" w:rsidRPr="009771C8">
        <w:t xml:space="preserve"> a tři</w:t>
      </w:r>
      <w:r w:rsidR="00B01EEA" w:rsidRPr="009771C8">
        <w:t xml:space="preserve"> rozhodnutí, které považuji za stěžejní, mají společné mimo jiné </w:t>
      </w:r>
      <w:r w:rsidR="004C09E3" w:rsidRPr="009771C8">
        <w:t xml:space="preserve">i </w:t>
      </w:r>
      <w:r w:rsidR="00B01EEA" w:rsidRPr="009771C8">
        <w:t xml:space="preserve">to, že všechny stanoviska vypracovala německá GA Juliane Kokott. </w:t>
      </w:r>
      <w:r w:rsidR="003F0878" w:rsidRPr="009771C8">
        <w:t xml:space="preserve">Původní spor </w:t>
      </w:r>
      <w:r w:rsidR="00F46F03" w:rsidRPr="009771C8">
        <w:rPr>
          <w:b/>
        </w:rPr>
        <w:t>Chatzi</w:t>
      </w:r>
      <w:r w:rsidR="003F0878" w:rsidRPr="009771C8">
        <w:t xml:space="preserve"> se týkal přiznání mateřské dovolené ženě</w:t>
      </w:r>
      <w:r w:rsidR="00B811CC" w:rsidRPr="009771C8">
        <w:t xml:space="preserve"> v Řecku</w:t>
      </w:r>
      <w:r w:rsidR="003F0878" w:rsidRPr="009771C8">
        <w:t>, která porodila dvojčata</w:t>
      </w:r>
      <w:r w:rsidR="00B01EEA" w:rsidRPr="009771C8">
        <w:t xml:space="preserve">; konkrétně </w:t>
      </w:r>
      <w:r w:rsidR="003F0878" w:rsidRPr="009771C8">
        <w:t xml:space="preserve">zda má matka nárok na to, aby se rodičovská dovolená úměrně prodloužila při porodu více než jednoho dítěte. </w:t>
      </w:r>
      <w:r w:rsidR="00B01EEA" w:rsidRPr="009771C8">
        <w:t>Rozsudek byl vydán 16. září 2010. Obě předběžné otázky se týkaly</w:t>
      </w:r>
      <w:r w:rsidR="00B811CC" w:rsidRPr="009771C8">
        <w:t xml:space="preserve"> </w:t>
      </w:r>
      <w:r w:rsidR="00B01EEA" w:rsidRPr="009771C8">
        <w:t xml:space="preserve">výkladu směrnice Rady 96/34 </w:t>
      </w:r>
      <w:r w:rsidR="00B811CC" w:rsidRPr="009771C8">
        <w:t xml:space="preserve">o rodičovské dovolené. Původní soud </w:t>
      </w:r>
      <w:r w:rsidR="00B01EEA" w:rsidRPr="009771C8">
        <w:t>se přímo dotazoval</w:t>
      </w:r>
      <w:r w:rsidR="00B811CC" w:rsidRPr="009771C8">
        <w:t xml:space="preserve"> na</w:t>
      </w:r>
      <w:r w:rsidR="004C09E3" w:rsidRPr="009771C8">
        <w:t> </w:t>
      </w:r>
      <w:r w:rsidR="00B811CC" w:rsidRPr="009771C8">
        <w:t xml:space="preserve">výklad </w:t>
      </w:r>
      <w:r w:rsidR="00B01EEA" w:rsidRPr="009771C8">
        <w:t xml:space="preserve">předmětné směrnice </w:t>
      </w:r>
      <w:r w:rsidR="00B811CC" w:rsidRPr="009771C8">
        <w:t>v souladu s Listinou, v otázkách odkazuje na čl. 20, 21 a 24 (rovnost před zákonem, zákaz diskriminace a práva dítěte). Německá vláda při předložení svého stanoviska k případu taky odkazuje na Listinu</w:t>
      </w:r>
      <w:r w:rsidR="00F252C6" w:rsidRPr="009771C8">
        <w:t xml:space="preserve"> na </w:t>
      </w:r>
      <w:r w:rsidR="00B01EEA" w:rsidRPr="009771C8">
        <w:t>čl.</w:t>
      </w:r>
      <w:r w:rsidR="00DB1732" w:rsidRPr="009771C8">
        <w:t xml:space="preserve"> 28, který zaručuje právo na k</w:t>
      </w:r>
      <w:r w:rsidR="00B811CC" w:rsidRPr="009771C8">
        <w:t>olektivní vyjednávání. Soud při vysvětlení své odpovědi odkazuje dále na čl. 33 odst. 2, ve kterém je uvedeno právo na placenou mateřskou dovolenou. V rozsudku na dalších místech ESD opět při vysvětlení rozhodnutí odkazuje na</w:t>
      </w:r>
      <w:r w:rsidR="00F252C6" w:rsidRPr="009771C8">
        <w:t> </w:t>
      </w:r>
      <w:r w:rsidR="00B811CC" w:rsidRPr="009771C8">
        <w:t>výše uvedené články. Ve svém stanovisku</w:t>
      </w:r>
      <w:r w:rsidR="00B01EEA" w:rsidRPr="009771C8">
        <w:t xml:space="preserve"> zveřejněném 7. července 2010</w:t>
      </w:r>
      <w:r w:rsidR="00B811CC" w:rsidRPr="009771C8">
        <w:t xml:space="preserve"> </w:t>
      </w:r>
      <w:r w:rsidR="00B01EEA" w:rsidRPr="009771C8">
        <w:t xml:space="preserve">GA </w:t>
      </w:r>
      <w:r w:rsidR="00B811CC" w:rsidRPr="009771C8">
        <w:t xml:space="preserve">Juliane Kokott </w:t>
      </w:r>
      <w:r w:rsidR="00B01EEA" w:rsidRPr="009771C8">
        <w:t>aplikovala</w:t>
      </w:r>
      <w:r w:rsidR="00B811CC" w:rsidRPr="009771C8">
        <w:t xml:space="preserve"> Listinu ve stejném rozsahu jako ESD. </w:t>
      </w:r>
    </w:p>
    <w:p w:rsidR="00367A06" w:rsidRPr="009771C8" w:rsidRDefault="00F46F03" w:rsidP="007141A0">
      <w:pPr>
        <w:rPr>
          <w:bCs/>
        </w:rPr>
      </w:pPr>
      <w:r w:rsidRPr="009771C8">
        <w:t>V řízení</w:t>
      </w:r>
      <w:r w:rsidR="007141A0" w:rsidRPr="009771C8">
        <w:t xml:space="preserve"> ve věci </w:t>
      </w:r>
      <w:r w:rsidR="007141A0" w:rsidRPr="009771C8">
        <w:rPr>
          <w:b/>
          <w:bCs/>
        </w:rPr>
        <w:t>Association Belge des Consommateurs Test-Achats ASBL</w:t>
      </w:r>
      <w:r w:rsidRPr="009771C8">
        <w:rPr>
          <w:bCs/>
        </w:rPr>
        <w:t xml:space="preserve"> </w:t>
      </w:r>
      <w:r w:rsidR="00120CE1" w:rsidRPr="009771C8">
        <w:t>bylo do</w:t>
      </w:r>
      <w:r w:rsidR="004C09E3" w:rsidRPr="009771C8">
        <w:t> </w:t>
      </w:r>
      <w:r w:rsidR="00120CE1" w:rsidRPr="009771C8">
        <w:t xml:space="preserve">4. února </w:t>
      </w:r>
      <w:r w:rsidR="00B62487" w:rsidRPr="009771C8">
        <w:t xml:space="preserve">2011 </w:t>
      </w:r>
      <w:proofErr w:type="gramStart"/>
      <w:r w:rsidR="00120CE1" w:rsidRPr="009771C8">
        <w:t>zveřejněno</w:t>
      </w:r>
      <w:proofErr w:type="gramEnd"/>
      <w:r w:rsidR="007141A0" w:rsidRPr="009771C8">
        <w:t xml:space="preserve"> jen stanovisko GA </w:t>
      </w:r>
      <w:proofErr w:type="gramStart"/>
      <w:r w:rsidR="007141A0" w:rsidRPr="009771C8">
        <w:t>Juliane</w:t>
      </w:r>
      <w:proofErr w:type="gramEnd"/>
      <w:r w:rsidR="007141A0" w:rsidRPr="009771C8">
        <w:t xml:space="preserve"> Kokott. Stalo se tak 30. září 2010. </w:t>
      </w:r>
      <w:r w:rsidR="00367A06" w:rsidRPr="009771C8">
        <w:t>Prvního</w:t>
      </w:r>
      <w:r w:rsidR="00120CE1" w:rsidRPr="009771C8">
        <w:t xml:space="preserve"> března </w:t>
      </w:r>
      <w:r w:rsidR="00B62487" w:rsidRPr="009771C8">
        <w:t xml:space="preserve">2011 </w:t>
      </w:r>
      <w:r w:rsidR="00120CE1" w:rsidRPr="009771C8">
        <w:t xml:space="preserve">ESD vydal i svůj rozsudek v této věci. </w:t>
      </w:r>
      <w:r w:rsidR="007141A0" w:rsidRPr="009771C8">
        <w:t>Původní spor</w:t>
      </w:r>
      <w:r w:rsidR="00FF2D8F" w:rsidRPr="009771C8">
        <w:t xml:space="preserve"> se týká otázky, zda je zohlednění pohlaví pojištěnce jako rizikového faktoru při uzavírání soukromých pojistných smluv v souladu s</w:t>
      </w:r>
      <w:r w:rsidR="009E1E48">
        <w:t>e základními právy EU</w:t>
      </w:r>
      <w:r w:rsidR="00FF2D8F" w:rsidRPr="009771C8">
        <w:t xml:space="preserve">. Předběžná otázka se vztahuje na výklad </w:t>
      </w:r>
      <w:r w:rsidR="007141A0" w:rsidRPr="009771C8">
        <w:rPr>
          <w:bCs/>
        </w:rPr>
        <w:t>směrnice Rady 2004/113</w:t>
      </w:r>
      <w:r w:rsidR="00FF2D8F" w:rsidRPr="009771C8">
        <w:rPr>
          <w:bCs/>
        </w:rPr>
        <w:t>, kterou se zavádí zásada rovného zacházení s muži a ženami</w:t>
      </w:r>
      <w:r w:rsidR="00F252C6" w:rsidRPr="009771C8">
        <w:rPr>
          <w:bCs/>
        </w:rPr>
        <w:t> </w:t>
      </w:r>
      <w:r w:rsidR="008471BF">
        <w:rPr>
          <w:bCs/>
        </w:rPr>
        <w:t>v přístupu ke </w:t>
      </w:r>
      <w:r w:rsidR="00FF2D8F" w:rsidRPr="009771C8">
        <w:rPr>
          <w:bCs/>
        </w:rPr>
        <w:t xml:space="preserve">zboží a službám a jejich poskytování a čl. 6 </w:t>
      </w:r>
      <w:r w:rsidR="008471BF">
        <w:rPr>
          <w:bCs/>
        </w:rPr>
        <w:t>SEU</w:t>
      </w:r>
      <w:r w:rsidR="00FF2D8F" w:rsidRPr="009771C8">
        <w:rPr>
          <w:bCs/>
        </w:rPr>
        <w:t xml:space="preserve"> a</w:t>
      </w:r>
      <w:r w:rsidR="00F252C6" w:rsidRPr="009771C8">
        <w:rPr>
          <w:bCs/>
        </w:rPr>
        <w:t> </w:t>
      </w:r>
      <w:r w:rsidR="00FF2D8F" w:rsidRPr="009771C8">
        <w:rPr>
          <w:bCs/>
        </w:rPr>
        <w:t xml:space="preserve">samozřejmě Listina. Jedná se o další případ, kdy </w:t>
      </w:r>
      <w:r w:rsidR="007141A0" w:rsidRPr="009771C8">
        <w:rPr>
          <w:bCs/>
        </w:rPr>
        <w:t xml:space="preserve">se předběžná otázka </w:t>
      </w:r>
      <w:r w:rsidR="00FF2D8F" w:rsidRPr="009771C8">
        <w:rPr>
          <w:bCs/>
        </w:rPr>
        <w:t>přímo vztahuje na</w:t>
      </w:r>
      <w:r w:rsidR="00F252C6" w:rsidRPr="009771C8">
        <w:rPr>
          <w:bCs/>
        </w:rPr>
        <w:t> </w:t>
      </w:r>
      <w:r w:rsidR="00FF2D8F" w:rsidRPr="009771C8">
        <w:rPr>
          <w:bCs/>
        </w:rPr>
        <w:t>výklad smě</w:t>
      </w:r>
      <w:r w:rsidR="008471BF">
        <w:rPr>
          <w:bCs/>
        </w:rPr>
        <w:t>rnice v souvislosti s uznáním a </w:t>
      </w:r>
      <w:r w:rsidR="00FF2D8F" w:rsidRPr="009771C8">
        <w:rPr>
          <w:bCs/>
        </w:rPr>
        <w:t>ochranou základních práv a svobod v Evropské Unii. Na základě čl. 5 odst. 2 předmětné směrnice byla členským státům umožněna výjimka z rovného zacházení pro účely pojištění mezi muži a ženami v případě, že pohlaví je určujícím faktorem při hodnocení rizika a ty</w:t>
      </w:r>
      <w:r w:rsidR="00B340D4">
        <w:rPr>
          <w:bCs/>
        </w:rPr>
        <w:t>to</w:t>
      </w:r>
      <w:r w:rsidR="00FF2D8F" w:rsidRPr="009771C8">
        <w:rPr>
          <w:bCs/>
        </w:rPr>
        <w:t xml:space="preserve"> rozdíly mezi pohlavími lze odůvodnit na základě</w:t>
      </w:r>
      <w:r w:rsidR="00FF2D8F" w:rsidRPr="009771C8">
        <w:rPr>
          <w:bCs/>
          <w:i/>
        </w:rPr>
        <w:t xml:space="preserve"> „příslušných a přesných pojistně-matem</w:t>
      </w:r>
      <w:r w:rsidR="00F252C6" w:rsidRPr="009771C8">
        <w:rPr>
          <w:bCs/>
          <w:i/>
        </w:rPr>
        <w:t>atických a statistických údajů</w:t>
      </w:r>
      <w:r w:rsidR="00FF2D8F" w:rsidRPr="009771C8">
        <w:rPr>
          <w:bCs/>
          <w:i/>
        </w:rPr>
        <w:t>“</w:t>
      </w:r>
      <w:r w:rsidR="007141A0" w:rsidRPr="009771C8">
        <w:rPr>
          <w:rStyle w:val="Funotenzeichen"/>
          <w:bCs/>
          <w:i/>
        </w:rPr>
        <w:footnoteReference w:id="70"/>
      </w:r>
      <w:r w:rsidR="00FF2D8F" w:rsidRPr="009771C8">
        <w:rPr>
          <w:bCs/>
          <w:i/>
        </w:rPr>
        <w:t>.</w:t>
      </w:r>
      <w:r w:rsidR="00F252C6" w:rsidRPr="009771C8">
        <w:rPr>
          <w:bCs/>
        </w:rPr>
        <w:t xml:space="preserve"> Belgický soud se </w:t>
      </w:r>
      <w:r w:rsidR="00FF2D8F" w:rsidRPr="009771C8">
        <w:rPr>
          <w:bCs/>
        </w:rPr>
        <w:t xml:space="preserve">nyní obrací na ESD s předběžnou </w:t>
      </w:r>
      <w:r w:rsidR="00FF2D8F" w:rsidRPr="009771C8">
        <w:rPr>
          <w:bCs/>
        </w:rPr>
        <w:lastRenderedPageBreak/>
        <w:t>otázkou, jestli tato výjimka je v souladu se základním právem zákazu diskriminace na základě pohlaví. Z Listiny v právním rámci GA zmiňuje čl.</w:t>
      </w:r>
      <w:r w:rsidR="00F252C6" w:rsidRPr="009771C8">
        <w:rPr>
          <w:bCs/>
        </w:rPr>
        <w:t> </w:t>
      </w:r>
      <w:r w:rsidR="00FF2D8F" w:rsidRPr="009771C8">
        <w:rPr>
          <w:bCs/>
        </w:rPr>
        <w:t xml:space="preserve">20, 21 a 23 (rovnost před zákonem, zákaz diskriminace a rovnost žen a mužů). </w:t>
      </w:r>
    </w:p>
    <w:p w:rsidR="00367A06" w:rsidRPr="009771C8" w:rsidRDefault="007141A0" w:rsidP="007141A0">
      <w:pPr>
        <w:rPr>
          <w:bCs/>
        </w:rPr>
      </w:pPr>
      <w:r w:rsidRPr="009771C8">
        <w:rPr>
          <w:bCs/>
        </w:rPr>
        <w:t xml:space="preserve">Rozsudek v tomto řízení </w:t>
      </w:r>
      <w:r w:rsidR="00120CE1" w:rsidRPr="009771C8">
        <w:rPr>
          <w:bCs/>
        </w:rPr>
        <w:t xml:space="preserve">byl s napětím </w:t>
      </w:r>
      <w:r w:rsidR="004A3198" w:rsidRPr="009771C8">
        <w:rPr>
          <w:bCs/>
        </w:rPr>
        <w:t xml:space="preserve">všemi </w:t>
      </w:r>
      <w:r w:rsidR="00F4526D">
        <w:rPr>
          <w:bCs/>
        </w:rPr>
        <w:t>zúčastněnými subjekty</w:t>
      </w:r>
      <w:r w:rsidR="00F252C6" w:rsidRPr="009771C8">
        <w:rPr>
          <w:bCs/>
        </w:rPr>
        <w:t xml:space="preserve"> </w:t>
      </w:r>
      <w:r w:rsidR="004A3198" w:rsidRPr="009771C8">
        <w:rPr>
          <w:bCs/>
        </w:rPr>
        <w:t xml:space="preserve">očekáván. Spor byl často </w:t>
      </w:r>
      <w:r w:rsidRPr="009771C8">
        <w:rPr>
          <w:bCs/>
        </w:rPr>
        <w:t xml:space="preserve">diskutován na půdě evropských institucí: </w:t>
      </w:r>
      <w:r w:rsidR="00753949" w:rsidRPr="009771C8">
        <w:rPr>
          <w:bCs/>
        </w:rPr>
        <w:t xml:space="preserve">např. </w:t>
      </w:r>
      <w:r w:rsidRPr="009771C8">
        <w:rPr>
          <w:bCs/>
        </w:rPr>
        <w:t>příslušný výbor pro</w:t>
      </w:r>
      <w:r w:rsidR="00F252C6" w:rsidRPr="009771C8">
        <w:rPr>
          <w:bCs/>
        </w:rPr>
        <w:t> </w:t>
      </w:r>
      <w:r w:rsidRPr="009771C8">
        <w:rPr>
          <w:bCs/>
        </w:rPr>
        <w:t>práva žen a rovnost pohlaví v Evropském parlamentu (FEMM</w:t>
      </w:r>
      <w:r w:rsidR="00753949" w:rsidRPr="009771C8">
        <w:rPr>
          <w:bCs/>
        </w:rPr>
        <w:t xml:space="preserve">) </w:t>
      </w:r>
      <w:r w:rsidR="00C32F82" w:rsidRPr="009771C8">
        <w:rPr>
          <w:bCs/>
        </w:rPr>
        <w:t xml:space="preserve">ve svých stanoviscích souhlasí a doporučuje zrušení čl. 5 odst. 2 předmětné směrnice pro </w:t>
      </w:r>
      <w:r w:rsidRPr="009771C8">
        <w:rPr>
          <w:bCs/>
        </w:rPr>
        <w:t>nesoulad s</w:t>
      </w:r>
      <w:r w:rsidR="00753949" w:rsidRPr="009771C8">
        <w:rPr>
          <w:bCs/>
        </w:rPr>
        <w:t>e základní zásadou</w:t>
      </w:r>
      <w:r w:rsidRPr="009771C8">
        <w:rPr>
          <w:bCs/>
        </w:rPr>
        <w:t xml:space="preserve"> unijního práva zákazu diskriminace na základě pohlaví</w:t>
      </w:r>
      <w:r w:rsidR="00753949" w:rsidRPr="009771C8">
        <w:rPr>
          <w:bCs/>
        </w:rPr>
        <w:t>, konkrétně uvádí</w:t>
      </w:r>
      <w:r w:rsidR="00430C2A" w:rsidRPr="009771C8">
        <w:rPr>
          <w:bCs/>
        </w:rPr>
        <w:t xml:space="preserve">: </w:t>
      </w:r>
      <w:r w:rsidR="00430C2A" w:rsidRPr="009771C8">
        <w:rPr>
          <w:bCs/>
          <w:i/>
        </w:rPr>
        <w:t>Výbor pro práva žen a rovnost pohlaví vyzývá Komisi, aby zahájila postup, jehož cílem bude odstranění čl. 5 odst. 2 směrnice 2004/113/ES, který umožňuje diskriminaci žen v produktech penzijního pojištění</w:t>
      </w:r>
      <w:r w:rsidRPr="009771C8">
        <w:rPr>
          <w:rStyle w:val="Funotenzeichen"/>
          <w:bCs/>
        </w:rPr>
        <w:footnoteReference w:id="71"/>
      </w:r>
      <w:r w:rsidRPr="009771C8">
        <w:rPr>
          <w:bCs/>
        </w:rPr>
        <w:t xml:space="preserve">. </w:t>
      </w:r>
    </w:p>
    <w:p w:rsidR="00C65BC4" w:rsidRPr="009771C8" w:rsidRDefault="003E4F80" w:rsidP="007141A0">
      <w:pPr>
        <w:rPr>
          <w:bCs/>
        </w:rPr>
      </w:pPr>
      <w:r w:rsidRPr="009771C8">
        <w:rPr>
          <w:bCs/>
        </w:rPr>
        <w:t xml:space="preserve">Rozsudek ESD v této věci je oproti jiným rozhodnutím poměrně krátký, obsahuje pouze 36 bodů. </w:t>
      </w:r>
      <w:r w:rsidR="00403886" w:rsidRPr="009771C8">
        <w:rPr>
          <w:bCs/>
        </w:rPr>
        <w:t xml:space="preserve">To </w:t>
      </w:r>
      <w:r w:rsidR="004C09E3" w:rsidRPr="009771C8">
        <w:rPr>
          <w:bCs/>
        </w:rPr>
        <w:t>lze vysvětlit</w:t>
      </w:r>
      <w:r w:rsidR="00403886" w:rsidRPr="009771C8">
        <w:rPr>
          <w:bCs/>
        </w:rPr>
        <w:t xml:space="preserve"> snahou soudu o jednoduchý a kratší rozsudek, </w:t>
      </w:r>
      <w:r w:rsidR="00021C7F" w:rsidRPr="009771C8">
        <w:rPr>
          <w:bCs/>
        </w:rPr>
        <w:t xml:space="preserve">tak </w:t>
      </w:r>
      <w:r w:rsidR="00403886" w:rsidRPr="009771C8">
        <w:rPr>
          <w:bCs/>
        </w:rPr>
        <w:t xml:space="preserve">aby se s ním mohla seznámit široká laická veřejnost. </w:t>
      </w:r>
      <w:r w:rsidRPr="009771C8">
        <w:rPr>
          <w:bCs/>
        </w:rPr>
        <w:t>Listina je zmíněna v právním rámci, ESD uvádí čl. 21 a 23, který zaručuje rovné zacházení a zákaz diskriminace na základě pohlaví. Stejně tak jsou tyto ustanovení použita v části textu, který se věnuje podstatě př</w:t>
      </w:r>
      <w:r w:rsidR="00CE26B0">
        <w:rPr>
          <w:bCs/>
        </w:rPr>
        <w:t>edběžné otázky, tedy jestli čl. </w:t>
      </w:r>
      <w:r w:rsidRPr="009771C8">
        <w:rPr>
          <w:bCs/>
        </w:rPr>
        <w:t xml:space="preserve">5 odst. 2 směrnice 2004/113 tedy jako výjimka z rovného zacházení s muži a ženami v přístupu ke zboží a službám a jejich poskytování je v souladu se zásadou rovného zacházení s ženami a muži. </w:t>
      </w:r>
      <w:r w:rsidR="00E72B6A" w:rsidRPr="009771C8">
        <w:rPr>
          <w:bCs/>
        </w:rPr>
        <w:t xml:space="preserve">ESD ve své argumentaci uvádí, že </w:t>
      </w:r>
      <w:r w:rsidR="00E72B6A" w:rsidRPr="009771C8">
        <w:rPr>
          <w:bCs/>
          <w:i/>
        </w:rPr>
        <w:t>„obecná zásada rovného zacházení vyžaduje, aby se srovnatelnými situacemi nebylo zacházeno odlišně a s odlišnými situacemi stejně, není-li takové zacházení objektivně odůvodněno“</w:t>
      </w:r>
      <w:r w:rsidR="00363D48" w:rsidRPr="009771C8">
        <w:rPr>
          <w:rStyle w:val="Funotenzeichen"/>
          <w:bCs/>
          <w:i/>
        </w:rPr>
        <w:footnoteReference w:id="72"/>
      </w:r>
      <w:r w:rsidR="00E72B6A" w:rsidRPr="009771C8">
        <w:rPr>
          <w:bCs/>
        </w:rPr>
        <w:t xml:space="preserve"> jak</w:t>
      </w:r>
      <w:r w:rsidR="00AB6A05">
        <w:rPr>
          <w:bCs/>
        </w:rPr>
        <w:t>o definici rovného zacházení se </w:t>
      </w:r>
      <w:r w:rsidR="00E72B6A" w:rsidRPr="009771C8">
        <w:rPr>
          <w:bCs/>
        </w:rPr>
        <w:t>ženami a</w:t>
      </w:r>
      <w:r w:rsidR="00403886" w:rsidRPr="009771C8">
        <w:rPr>
          <w:bCs/>
        </w:rPr>
        <w:t> </w:t>
      </w:r>
      <w:r w:rsidR="00E72B6A" w:rsidRPr="009771C8">
        <w:rPr>
          <w:bCs/>
        </w:rPr>
        <w:t xml:space="preserve">muži, která vychází z ustálené judikatury. </w:t>
      </w:r>
      <w:r w:rsidR="00532B6B" w:rsidRPr="009771C8">
        <w:rPr>
          <w:bCs/>
        </w:rPr>
        <w:t xml:space="preserve">Jsou tady opět použity obecné zásady právní před ustanovením Listiny. </w:t>
      </w:r>
      <w:r w:rsidR="00086062" w:rsidRPr="009771C8">
        <w:rPr>
          <w:bCs/>
        </w:rPr>
        <w:t xml:space="preserve">ESD uvádí, že cílem předmětné směrnice je </w:t>
      </w:r>
      <w:r w:rsidR="00086062" w:rsidRPr="009771C8">
        <w:rPr>
          <w:bCs/>
          <w:i/>
        </w:rPr>
        <w:t>„použití pravidla stejné výše pojistného a stejného pojistného plnění pro obě pohlaví“</w:t>
      </w:r>
      <w:r w:rsidR="00086062" w:rsidRPr="009771C8">
        <w:rPr>
          <w:rStyle w:val="Funotenzeichen"/>
          <w:bCs/>
          <w:i/>
        </w:rPr>
        <w:footnoteReference w:id="73"/>
      </w:r>
      <w:r w:rsidR="00240188" w:rsidRPr="009771C8">
        <w:rPr>
          <w:bCs/>
        </w:rPr>
        <w:t>. D</w:t>
      </w:r>
      <w:r w:rsidR="001B202E" w:rsidRPr="009771C8">
        <w:rPr>
          <w:bCs/>
        </w:rPr>
        <w:t xml:space="preserve">ále </w:t>
      </w:r>
      <w:r w:rsidR="00532B6B" w:rsidRPr="009771C8">
        <w:rPr>
          <w:bCs/>
        </w:rPr>
        <w:t>ESD ve </w:t>
      </w:r>
      <w:r w:rsidR="00240188" w:rsidRPr="009771C8">
        <w:rPr>
          <w:bCs/>
        </w:rPr>
        <w:t>svém zdůvodnění argumentuje</w:t>
      </w:r>
      <w:r w:rsidR="001B202E" w:rsidRPr="009771C8">
        <w:rPr>
          <w:bCs/>
        </w:rPr>
        <w:t>, že z</w:t>
      </w:r>
      <w:r w:rsidR="00021C7F" w:rsidRPr="009771C8">
        <w:rPr>
          <w:bCs/>
        </w:rPr>
        <w:t> </w:t>
      </w:r>
      <w:r w:rsidR="001B202E" w:rsidRPr="009771C8">
        <w:rPr>
          <w:bCs/>
        </w:rPr>
        <w:t xml:space="preserve">ustanovení směrnice je zřejmé, že </w:t>
      </w:r>
      <w:r w:rsidR="001B202E" w:rsidRPr="009771C8">
        <w:rPr>
          <w:bCs/>
          <w:i/>
        </w:rPr>
        <w:t>„</w:t>
      </w:r>
      <w:r w:rsidR="006838A9" w:rsidRPr="009771C8">
        <w:rPr>
          <w:bCs/>
          <w:i/>
        </w:rPr>
        <w:t>používá</w:t>
      </w:r>
      <w:r w:rsidR="001B202E" w:rsidRPr="009771C8">
        <w:rPr>
          <w:bCs/>
          <w:i/>
        </w:rPr>
        <w:t xml:space="preserve">ní pohlaví jako pojistně-matematického faktoru by nemělo vést k rozdílům ve výši pojistného a v pojistném plnění a že </w:t>
      </w:r>
      <w:r w:rsidR="00240188" w:rsidRPr="009771C8">
        <w:rPr>
          <w:bCs/>
          <w:i/>
        </w:rPr>
        <w:t xml:space="preserve">směrnice </w:t>
      </w:r>
      <w:r w:rsidR="001B202E" w:rsidRPr="009771C8">
        <w:rPr>
          <w:bCs/>
          <w:i/>
        </w:rPr>
        <w:t>označuje možnost členských států nepoužít pravidlo stejné výše pojistného a stejného pojistného plnění pro obě pohlaví jako „výjimku“</w:t>
      </w:r>
      <w:r w:rsidR="00205B56" w:rsidRPr="009771C8">
        <w:rPr>
          <w:rStyle w:val="Funotenzeichen"/>
          <w:bCs/>
          <w:i/>
        </w:rPr>
        <w:footnoteReference w:id="74"/>
      </w:r>
      <w:r w:rsidR="00240188" w:rsidRPr="009771C8">
        <w:rPr>
          <w:bCs/>
        </w:rPr>
        <w:t xml:space="preserve">. </w:t>
      </w:r>
      <w:r w:rsidR="006838A9" w:rsidRPr="009771C8">
        <w:rPr>
          <w:bCs/>
        </w:rPr>
        <w:t xml:space="preserve">Tento odstavec je zakončen tvrzením, že </w:t>
      </w:r>
      <w:r w:rsidR="00B05A89" w:rsidRPr="009771C8">
        <w:rPr>
          <w:bCs/>
        </w:rPr>
        <w:t xml:space="preserve">předmětná směrnice </w:t>
      </w:r>
      <w:r w:rsidR="00B05A89" w:rsidRPr="009771C8">
        <w:rPr>
          <w:bCs/>
          <w:i/>
        </w:rPr>
        <w:t xml:space="preserve">„vychází z předpokladu, že pro účely použití zásady rovného zacházení s ženami a muži zakotvené v článcích 21 a 23 Listiny jsou </w:t>
      </w:r>
      <w:r w:rsidR="00B05A89" w:rsidRPr="009771C8">
        <w:rPr>
          <w:bCs/>
          <w:i/>
        </w:rPr>
        <w:lastRenderedPageBreak/>
        <w:t>situace žen a mužů, pokud jde o jimi sjednanou výši pojistného a pojistné plnění, srovnatelné“</w:t>
      </w:r>
      <w:r w:rsidR="00F2115E" w:rsidRPr="009771C8">
        <w:rPr>
          <w:rStyle w:val="Funotenzeichen"/>
          <w:bCs/>
          <w:i/>
        </w:rPr>
        <w:footnoteReference w:id="75"/>
      </w:r>
      <w:r w:rsidR="00B05A89" w:rsidRPr="009771C8">
        <w:rPr>
          <w:bCs/>
        </w:rPr>
        <w:t>.</w:t>
      </w:r>
      <w:r w:rsidR="00E1085C" w:rsidRPr="009771C8">
        <w:rPr>
          <w:bCs/>
        </w:rPr>
        <w:t xml:space="preserve"> </w:t>
      </w:r>
      <w:r w:rsidR="0016186D" w:rsidRPr="009771C8">
        <w:rPr>
          <w:bCs/>
        </w:rPr>
        <w:t>ESD následně argumentuje, že by hrozilo, že povolená výjimka by mohla platit neomezeně a to by odporovalo zásad</w:t>
      </w:r>
      <w:r w:rsidR="00403886" w:rsidRPr="009771C8">
        <w:rPr>
          <w:bCs/>
        </w:rPr>
        <w:t>ě rovnosti mezi ženami a muži a </w:t>
      </w:r>
      <w:r w:rsidR="0016186D" w:rsidRPr="009771C8">
        <w:rPr>
          <w:bCs/>
        </w:rPr>
        <w:t xml:space="preserve">bylo by to </w:t>
      </w:r>
      <w:r w:rsidR="00403886" w:rsidRPr="009771C8">
        <w:rPr>
          <w:bCs/>
        </w:rPr>
        <w:t xml:space="preserve">tudíž </w:t>
      </w:r>
      <w:r w:rsidR="0016186D" w:rsidRPr="009771C8">
        <w:rPr>
          <w:bCs/>
        </w:rPr>
        <w:t>neslučitelné s čl. 21 a 23 Listiny. ESD dochází k závěru, že v</w:t>
      </w:r>
      <w:r w:rsidR="00AB6A05">
        <w:rPr>
          <w:bCs/>
        </w:rPr>
        <w:t>zhledem k těmto skutečnostem je </w:t>
      </w:r>
      <w:r w:rsidR="0016186D" w:rsidRPr="009771C8">
        <w:rPr>
          <w:bCs/>
        </w:rPr>
        <w:t>čl. 5 odst. 2 předmětné směrnice neplatný a to s účinností od 21. prosince 2012.</w:t>
      </w:r>
    </w:p>
    <w:p w:rsidR="002D5423" w:rsidRPr="009771C8" w:rsidRDefault="008B492E" w:rsidP="000916FB">
      <w:pPr>
        <w:rPr>
          <w:rFonts w:eastAsia="Times New Roman"/>
          <w:szCs w:val="24"/>
          <w:lang w:eastAsia="de-DE"/>
        </w:rPr>
      </w:pPr>
      <w:r w:rsidRPr="009771C8">
        <w:rPr>
          <w:bCs/>
        </w:rPr>
        <w:t xml:space="preserve">Rozsudek ESD v této věci vyvolal očekávaně řadu </w:t>
      </w:r>
      <w:r w:rsidR="00021C7F" w:rsidRPr="009771C8">
        <w:rPr>
          <w:bCs/>
        </w:rPr>
        <w:t xml:space="preserve">rozporuplných </w:t>
      </w:r>
      <w:r w:rsidRPr="009771C8">
        <w:rPr>
          <w:bCs/>
        </w:rPr>
        <w:t xml:space="preserve">reakcí. Komentáře by </w:t>
      </w:r>
      <w:r w:rsidR="00ED6903" w:rsidRPr="009771C8">
        <w:rPr>
          <w:bCs/>
        </w:rPr>
        <w:t>se daly rozdělit do dvou skupin. První skupinu tvoří</w:t>
      </w:r>
      <w:r w:rsidRPr="009771C8">
        <w:rPr>
          <w:bCs/>
        </w:rPr>
        <w:t xml:space="preserve"> </w:t>
      </w:r>
      <w:r w:rsidR="00561E31" w:rsidRPr="009771C8">
        <w:rPr>
          <w:bCs/>
        </w:rPr>
        <w:t>soukromé s</w:t>
      </w:r>
      <w:r w:rsidRPr="009771C8">
        <w:rPr>
          <w:bCs/>
        </w:rPr>
        <w:t xml:space="preserve">polečnosti poskytující </w:t>
      </w:r>
      <w:r w:rsidR="00417235" w:rsidRPr="009771C8">
        <w:rPr>
          <w:bCs/>
        </w:rPr>
        <w:t>automobilové a </w:t>
      </w:r>
      <w:r w:rsidR="00561E31" w:rsidRPr="009771C8">
        <w:rPr>
          <w:bCs/>
        </w:rPr>
        <w:t>penzijní pojištění</w:t>
      </w:r>
      <w:r w:rsidR="00961B37" w:rsidRPr="009771C8">
        <w:rPr>
          <w:bCs/>
        </w:rPr>
        <w:t>, jejich právníci a</w:t>
      </w:r>
      <w:r w:rsidR="00561E31" w:rsidRPr="009771C8">
        <w:rPr>
          <w:bCs/>
        </w:rPr>
        <w:t xml:space="preserve"> analytici</w:t>
      </w:r>
      <w:r w:rsidR="00ED6903" w:rsidRPr="009771C8">
        <w:rPr>
          <w:bCs/>
        </w:rPr>
        <w:t>. Ti</w:t>
      </w:r>
      <w:r w:rsidR="00021C7F" w:rsidRPr="009771C8">
        <w:rPr>
          <w:bCs/>
        </w:rPr>
        <w:t>to</w:t>
      </w:r>
      <w:r w:rsidR="00561E31" w:rsidRPr="009771C8">
        <w:rPr>
          <w:bCs/>
        </w:rPr>
        <w:t xml:space="preserve"> rozsudek ESD kritizovali. Například </w:t>
      </w:r>
      <w:r w:rsidRPr="009771C8">
        <w:rPr>
          <w:bCs/>
        </w:rPr>
        <w:t xml:space="preserve">britský </w:t>
      </w:r>
      <w:r w:rsidRPr="009771C8">
        <w:rPr>
          <w:bCs/>
          <w:i/>
        </w:rPr>
        <w:t>Financial Times</w:t>
      </w:r>
      <w:r w:rsidRPr="009771C8">
        <w:rPr>
          <w:bCs/>
        </w:rPr>
        <w:t xml:space="preserve"> ve svém článku </w:t>
      </w:r>
      <w:r w:rsidRPr="009771C8">
        <w:rPr>
          <w:bCs/>
          <w:i/>
        </w:rPr>
        <w:t>„Insurance blow for youn</w:t>
      </w:r>
      <w:r w:rsidR="00561E31" w:rsidRPr="009771C8">
        <w:rPr>
          <w:bCs/>
          <w:i/>
        </w:rPr>
        <w:t>g women</w:t>
      </w:r>
      <w:r w:rsidR="00561E31" w:rsidRPr="009771C8">
        <w:rPr>
          <w:rStyle w:val="Funotenzeichen"/>
          <w:bCs/>
          <w:i/>
        </w:rPr>
        <w:footnoteReference w:id="76"/>
      </w:r>
      <w:r w:rsidR="00561E31" w:rsidRPr="009771C8">
        <w:rPr>
          <w:bCs/>
          <w:i/>
        </w:rPr>
        <w:t>“</w:t>
      </w:r>
      <w:r w:rsidR="00561E31" w:rsidRPr="009771C8">
        <w:rPr>
          <w:bCs/>
        </w:rPr>
        <w:t xml:space="preserve"> uvádí, že </w:t>
      </w:r>
      <w:r w:rsidR="00961B37" w:rsidRPr="009771C8">
        <w:rPr>
          <w:bCs/>
        </w:rPr>
        <w:t xml:space="preserve">podle těchto skupin je rozhodnutí ESD </w:t>
      </w:r>
      <w:r w:rsidR="00561E31" w:rsidRPr="009771C8">
        <w:rPr>
          <w:bCs/>
        </w:rPr>
        <w:t xml:space="preserve">nelogické a představuje zklamání. </w:t>
      </w:r>
      <w:r w:rsidR="00417235" w:rsidRPr="009771C8">
        <w:rPr>
          <w:bCs/>
        </w:rPr>
        <w:t>Stejný komentář obsahuje</w:t>
      </w:r>
      <w:r w:rsidR="008B59E5" w:rsidRPr="009771C8">
        <w:rPr>
          <w:bCs/>
        </w:rPr>
        <w:t xml:space="preserve"> i </w:t>
      </w:r>
      <w:r w:rsidR="00417235" w:rsidRPr="009771C8">
        <w:rPr>
          <w:bCs/>
        </w:rPr>
        <w:t>pasáž článku</w:t>
      </w:r>
      <w:r w:rsidR="008B59E5" w:rsidRPr="009771C8">
        <w:rPr>
          <w:bCs/>
        </w:rPr>
        <w:t xml:space="preserve"> </w:t>
      </w:r>
      <w:r w:rsidR="008B59E5" w:rsidRPr="009771C8">
        <w:rPr>
          <w:bCs/>
          <w:i/>
        </w:rPr>
        <w:t>„Insurance firms cannot discriminate on gender, court rules</w:t>
      </w:r>
      <w:r w:rsidR="005B3243" w:rsidRPr="009771C8">
        <w:rPr>
          <w:rStyle w:val="Funotenzeichen"/>
          <w:bCs/>
          <w:i/>
        </w:rPr>
        <w:footnoteReference w:id="77"/>
      </w:r>
      <w:r w:rsidR="008B59E5" w:rsidRPr="009771C8">
        <w:rPr>
          <w:bCs/>
          <w:i/>
        </w:rPr>
        <w:t>“</w:t>
      </w:r>
      <w:r w:rsidR="008B59E5" w:rsidRPr="009771C8">
        <w:rPr>
          <w:bCs/>
        </w:rPr>
        <w:t xml:space="preserve"> v internetovém vydání </w:t>
      </w:r>
      <w:r w:rsidR="008B59E5" w:rsidRPr="009771C8">
        <w:rPr>
          <w:bCs/>
          <w:i/>
        </w:rPr>
        <w:t>European voice</w:t>
      </w:r>
      <w:r w:rsidR="008B59E5" w:rsidRPr="009771C8">
        <w:rPr>
          <w:bCs/>
        </w:rPr>
        <w:t xml:space="preserve">. </w:t>
      </w:r>
      <w:r w:rsidR="00561E31" w:rsidRPr="009771C8">
        <w:rPr>
          <w:bCs/>
        </w:rPr>
        <w:t xml:space="preserve">Tento argument je kritiky rozhodnutí považován za nejpodstatnější, protože podle jejich tvrzení statistiky jasně naznačují, že ženy jsou bezpečnější řidičky než jejich kolegové, obzvláště pak </w:t>
      </w:r>
      <w:r w:rsidR="00ED6903" w:rsidRPr="009771C8">
        <w:rPr>
          <w:bCs/>
        </w:rPr>
        <w:t xml:space="preserve">u mladých mužů je riziko nehody vyšší než u jejich </w:t>
      </w:r>
      <w:r w:rsidR="00021C7F" w:rsidRPr="009771C8">
        <w:rPr>
          <w:bCs/>
        </w:rPr>
        <w:t>vrstevnic</w:t>
      </w:r>
      <w:r w:rsidR="00561E31" w:rsidRPr="009771C8">
        <w:rPr>
          <w:bCs/>
        </w:rPr>
        <w:t xml:space="preserve">. </w:t>
      </w:r>
      <w:r w:rsidR="002D5423" w:rsidRPr="009771C8">
        <w:rPr>
          <w:bCs/>
        </w:rPr>
        <w:t>Rozhodnutí se ovšem netýká jen havarijního pojištění, rozhodnutí koneckonců zrušilo ustanovení směrnice Rady</w:t>
      </w:r>
      <w:r w:rsidR="00305D0E" w:rsidRPr="009771C8">
        <w:rPr>
          <w:bCs/>
        </w:rPr>
        <w:t xml:space="preserve"> č. </w:t>
      </w:r>
      <w:r w:rsidR="002D5423" w:rsidRPr="009771C8">
        <w:rPr>
          <w:bCs/>
        </w:rPr>
        <w:t>2004/113, kterou se zavádí zásada rovného zacházení s muži a ženami v přístupu ke zboží a službám a jejich poskytování a proto se rozsudek vztahuje i na soukromé penzijní připojištění</w:t>
      </w:r>
      <w:r w:rsidR="00CB05EC" w:rsidRPr="009771C8">
        <w:rPr>
          <w:bCs/>
        </w:rPr>
        <w:t xml:space="preserve"> a další produkty</w:t>
      </w:r>
      <w:r w:rsidR="00403886" w:rsidRPr="009771C8">
        <w:rPr>
          <w:bCs/>
        </w:rPr>
        <w:t>. Tady podle statistik je </w:t>
      </w:r>
      <w:r w:rsidR="002D5423" w:rsidRPr="009771C8">
        <w:rPr>
          <w:bCs/>
        </w:rPr>
        <w:t>situ</w:t>
      </w:r>
      <w:r w:rsidR="00305D0E" w:rsidRPr="009771C8">
        <w:rPr>
          <w:bCs/>
        </w:rPr>
        <w:t xml:space="preserve">ace opačná, ženy v průměru </w:t>
      </w:r>
      <w:r w:rsidR="00ED6903" w:rsidRPr="009771C8">
        <w:rPr>
          <w:bCs/>
        </w:rPr>
        <w:t>žijí déle než muž</w:t>
      </w:r>
      <w:r w:rsidR="000916FB" w:rsidRPr="009771C8">
        <w:rPr>
          <w:bCs/>
        </w:rPr>
        <w:t>i</w:t>
      </w:r>
      <w:r w:rsidR="00C053C0" w:rsidRPr="009771C8">
        <w:rPr>
          <w:bCs/>
        </w:rPr>
        <w:t xml:space="preserve"> a proto </w:t>
      </w:r>
      <w:r w:rsidR="00305D0E" w:rsidRPr="009771C8">
        <w:rPr>
          <w:bCs/>
        </w:rPr>
        <w:t xml:space="preserve">obecně v rámci soukromého penzijního připojištění dostávají ročně nižší důchodový příjem </w:t>
      </w:r>
      <w:r w:rsidR="00ED6903" w:rsidRPr="009771C8">
        <w:rPr>
          <w:bCs/>
        </w:rPr>
        <w:t xml:space="preserve">než muži. To vše se bude muset do konce roku 2012 </w:t>
      </w:r>
      <w:r w:rsidR="008B59E5" w:rsidRPr="009771C8">
        <w:rPr>
          <w:bCs/>
        </w:rPr>
        <w:t xml:space="preserve">změnit. </w:t>
      </w:r>
      <w:r w:rsidR="000916FB" w:rsidRPr="009771C8">
        <w:rPr>
          <w:bCs/>
        </w:rPr>
        <w:t>Za zajímavý</w:t>
      </w:r>
      <w:r w:rsidR="00CB05EC" w:rsidRPr="009771C8">
        <w:rPr>
          <w:bCs/>
        </w:rPr>
        <w:t xml:space="preserve"> </w:t>
      </w:r>
      <w:r w:rsidR="000916FB" w:rsidRPr="009771C8">
        <w:rPr>
          <w:bCs/>
        </w:rPr>
        <w:t xml:space="preserve">považuji článek </w:t>
      </w:r>
      <w:r w:rsidR="000916FB" w:rsidRPr="009771C8">
        <w:rPr>
          <w:bCs/>
          <w:i/>
        </w:rPr>
        <w:t>„</w:t>
      </w:r>
      <w:r w:rsidR="000916FB" w:rsidRPr="009771C8">
        <w:rPr>
          <w:rFonts w:eastAsia="Times New Roman"/>
          <w:i/>
          <w:szCs w:val="24"/>
          <w:lang w:eastAsia="de-DE"/>
        </w:rPr>
        <w:t>A boy-racer's dream?</w:t>
      </w:r>
      <w:r w:rsidR="005B3FB7" w:rsidRPr="009771C8">
        <w:rPr>
          <w:rStyle w:val="Funotenzeichen"/>
          <w:rFonts w:eastAsia="Times New Roman"/>
          <w:i/>
          <w:szCs w:val="24"/>
          <w:lang w:eastAsia="de-DE"/>
        </w:rPr>
        <w:footnoteReference w:id="78"/>
      </w:r>
      <w:r w:rsidR="000916FB" w:rsidRPr="009771C8">
        <w:rPr>
          <w:rFonts w:eastAsia="Times New Roman"/>
          <w:i/>
          <w:szCs w:val="24"/>
          <w:lang w:eastAsia="de-DE"/>
        </w:rPr>
        <w:t>“</w:t>
      </w:r>
      <w:r w:rsidR="000916FB" w:rsidRPr="009771C8">
        <w:rPr>
          <w:rFonts w:eastAsia="Times New Roman"/>
          <w:szCs w:val="24"/>
          <w:lang w:eastAsia="de-DE"/>
        </w:rPr>
        <w:t xml:space="preserve"> v týdeníku </w:t>
      </w:r>
      <w:r w:rsidR="0066669A" w:rsidRPr="009771C8">
        <w:rPr>
          <w:bCs/>
          <w:i/>
        </w:rPr>
        <w:t>The Economist</w:t>
      </w:r>
      <w:r w:rsidR="0066669A" w:rsidRPr="009771C8">
        <w:rPr>
          <w:bCs/>
        </w:rPr>
        <w:t xml:space="preserve">, který </w:t>
      </w:r>
      <w:r w:rsidR="000916FB" w:rsidRPr="009771C8">
        <w:rPr>
          <w:bCs/>
        </w:rPr>
        <w:t>kromě jiného obsahuje i zdůvodnění</w:t>
      </w:r>
      <w:r w:rsidR="0066669A" w:rsidRPr="009771C8">
        <w:rPr>
          <w:bCs/>
        </w:rPr>
        <w:t xml:space="preserve"> GA Jualiane </w:t>
      </w:r>
      <w:r w:rsidR="000916FB" w:rsidRPr="009771C8">
        <w:rPr>
          <w:bCs/>
        </w:rPr>
        <w:t xml:space="preserve">Kokott. Ta v překladu do </w:t>
      </w:r>
      <w:r w:rsidR="0066669A" w:rsidRPr="009771C8">
        <w:rPr>
          <w:bCs/>
        </w:rPr>
        <w:t xml:space="preserve">českého jazyka uvádí </w:t>
      </w:r>
      <w:r w:rsidR="0066669A" w:rsidRPr="009771C8">
        <w:rPr>
          <w:bCs/>
          <w:i/>
        </w:rPr>
        <w:t>„</w:t>
      </w:r>
      <w:r w:rsidR="000334A4" w:rsidRPr="009771C8">
        <w:rPr>
          <w:bCs/>
          <w:i/>
        </w:rPr>
        <w:t>vzhledem k sociálním změnám ve společnosti</w:t>
      </w:r>
      <w:r w:rsidR="006C1256" w:rsidRPr="009771C8">
        <w:rPr>
          <w:bCs/>
          <w:i/>
        </w:rPr>
        <w:t xml:space="preserve"> </w:t>
      </w:r>
      <w:r w:rsidR="000916FB" w:rsidRPr="009771C8">
        <w:rPr>
          <w:bCs/>
          <w:i/>
        </w:rPr>
        <w:t xml:space="preserve">nemohou </w:t>
      </w:r>
      <w:r w:rsidR="006C1256" w:rsidRPr="009771C8">
        <w:rPr>
          <w:bCs/>
          <w:i/>
        </w:rPr>
        <w:t xml:space="preserve">být modely pojištění </w:t>
      </w:r>
      <w:r w:rsidR="00167F5C" w:rsidRPr="009771C8">
        <w:rPr>
          <w:bCs/>
          <w:i/>
        </w:rPr>
        <w:t xml:space="preserve">s určitostí </w:t>
      </w:r>
      <w:r w:rsidR="000916FB" w:rsidRPr="009771C8">
        <w:rPr>
          <w:bCs/>
          <w:i/>
        </w:rPr>
        <w:t>založeny jen na pohlaví pojištěnce, to je jen náhražka za jiné faktory a rozlišování pojistných modelů jen na základě pohlaví je neslučitelné se zásadou rovného zacházení s muži a ženami.</w:t>
      </w:r>
      <w:r w:rsidR="00CB05EC" w:rsidRPr="009771C8">
        <w:rPr>
          <w:rStyle w:val="Funotenzeichen"/>
          <w:bCs/>
          <w:i/>
        </w:rPr>
        <w:footnoteReference w:id="79"/>
      </w:r>
      <w:r w:rsidR="000916FB" w:rsidRPr="009771C8">
        <w:rPr>
          <w:bCs/>
          <w:i/>
        </w:rPr>
        <w:t>“</w:t>
      </w:r>
      <w:r w:rsidR="000916FB" w:rsidRPr="009771C8">
        <w:rPr>
          <w:bCs/>
        </w:rPr>
        <w:t xml:space="preserve"> </w:t>
      </w:r>
      <w:r w:rsidR="00862008" w:rsidRPr="009771C8">
        <w:rPr>
          <w:bCs/>
        </w:rPr>
        <w:t>Rozsudek naopak uvítaly především</w:t>
      </w:r>
      <w:r w:rsidR="0066669A" w:rsidRPr="009771C8">
        <w:rPr>
          <w:bCs/>
        </w:rPr>
        <w:t xml:space="preserve"> organizace hájící práva žen a rovnost mezi pohlavími, stejně jako </w:t>
      </w:r>
      <w:r w:rsidR="00631042" w:rsidRPr="009771C8">
        <w:rPr>
          <w:bCs/>
        </w:rPr>
        <w:t xml:space="preserve">místopředsedkyně EK a </w:t>
      </w:r>
      <w:r w:rsidR="0066669A" w:rsidRPr="009771C8">
        <w:rPr>
          <w:bCs/>
        </w:rPr>
        <w:t>Evropská komisařka</w:t>
      </w:r>
      <w:r w:rsidR="00631042" w:rsidRPr="009771C8">
        <w:rPr>
          <w:bCs/>
        </w:rPr>
        <w:t xml:space="preserve"> </w:t>
      </w:r>
      <w:r w:rsidR="00631042" w:rsidRPr="009771C8">
        <w:rPr>
          <w:bCs/>
        </w:rPr>
        <w:lastRenderedPageBreak/>
        <w:t>pro spravedlnost, základní práva a občanství</w:t>
      </w:r>
      <w:r w:rsidR="00D96DA8" w:rsidRPr="009771C8">
        <w:rPr>
          <w:bCs/>
        </w:rPr>
        <w:t xml:space="preserve"> Viviane Reding</w:t>
      </w:r>
      <w:r w:rsidR="00631042" w:rsidRPr="009771C8">
        <w:rPr>
          <w:rStyle w:val="Funotenzeichen"/>
          <w:bCs/>
        </w:rPr>
        <w:footnoteReference w:id="80"/>
      </w:r>
      <w:r w:rsidR="00D96DA8" w:rsidRPr="009771C8">
        <w:rPr>
          <w:bCs/>
        </w:rPr>
        <w:t>, která je i za tuto oblast zodpovědná</w:t>
      </w:r>
      <w:r w:rsidR="00862008" w:rsidRPr="009771C8">
        <w:rPr>
          <w:bCs/>
        </w:rPr>
        <w:t xml:space="preserve">. </w:t>
      </w:r>
      <w:r w:rsidR="00862008" w:rsidRPr="009771C8">
        <w:rPr>
          <w:bCs/>
          <w:i/>
        </w:rPr>
        <w:t xml:space="preserve">European Women’s </w:t>
      </w:r>
      <w:r w:rsidR="00174B32" w:rsidRPr="009771C8">
        <w:rPr>
          <w:bCs/>
          <w:i/>
        </w:rPr>
        <w:t>Lobby</w:t>
      </w:r>
      <w:r w:rsidR="00174B32" w:rsidRPr="009771C8">
        <w:rPr>
          <w:bCs/>
        </w:rPr>
        <w:t>, největší ev</w:t>
      </w:r>
      <w:r w:rsidR="00BE12E5" w:rsidRPr="009771C8">
        <w:rPr>
          <w:bCs/>
        </w:rPr>
        <w:t xml:space="preserve">ropská organizace pro práva žen, ve své tiskové zprávě </w:t>
      </w:r>
      <w:r w:rsidR="00BE12E5" w:rsidRPr="009771C8">
        <w:rPr>
          <w:bCs/>
          <w:i/>
        </w:rPr>
        <w:t>„ECJ ruling against sex discrimination in insurances key vicotry for women’s rights, say civil society organization</w:t>
      </w:r>
      <w:r w:rsidR="00407073" w:rsidRPr="009771C8">
        <w:rPr>
          <w:rStyle w:val="Funotenzeichen"/>
          <w:bCs/>
          <w:i/>
        </w:rPr>
        <w:footnoteReference w:id="81"/>
      </w:r>
      <w:r w:rsidR="00BE12E5" w:rsidRPr="009771C8">
        <w:rPr>
          <w:bCs/>
          <w:i/>
        </w:rPr>
        <w:t>“</w:t>
      </w:r>
      <w:r w:rsidR="00BE12E5" w:rsidRPr="009771C8">
        <w:rPr>
          <w:bCs/>
        </w:rPr>
        <w:t xml:space="preserve"> mimo jiné uvedla </w:t>
      </w:r>
      <w:r w:rsidR="00403886" w:rsidRPr="009771C8">
        <w:rPr>
          <w:bCs/>
        </w:rPr>
        <w:t>slovy své předsedkyně, že </w:t>
      </w:r>
      <w:r w:rsidR="00C9337C" w:rsidRPr="009771C8">
        <w:rPr>
          <w:bCs/>
        </w:rPr>
        <w:t>používání pohlaví jako kritéria pro stanovení prémií by měl</w:t>
      </w:r>
      <w:r w:rsidR="00061740">
        <w:rPr>
          <w:bCs/>
        </w:rPr>
        <w:t>o být zakázané – stejně jako by </w:t>
      </w:r>
      <w:r w:rsidR="00C9337C" w:rsidRPr="009771C8">
        <w:rPr>
          <w:bCs/>
        </w:rPr>
        <w:t>to bylo u kritéria barvy pleti – protože takovýto faktor nezohledňuje individuálního pojištěnce</w:t>
      </w:r>
      <w:r w:rsidR="00144063" w:rsidRPr="009771C8">
        <w:rPr>
          <w:rStyle w:val="Funotenzeichen"/>
          <w:bCs/>
        </w:rPr>
        <w:footnoteReference w:id="82"/>
      </w:r>
      <w:r w:rsidR="00C9337C" w:rsidRPr="009771C8">
        <w:rPr>
          <w:bCs/>
        </w:rPr>
        <w:t>. Dodala, že existují jiné faktory</w:t>
      </w:r>
      <w:r w:rsidR="00167F5C" w:rsidRPr="009771C8">
        <w:rPr>
          <w:bCs/>
        </w:rPr>
        <w:t xml:space="preserve"> (tyto faktory nejspíš </w:t>
      </w:r>
      <w:proofErr w:type="gramStart"/>
      <w:r w:rsidR="00167F5C" w:rsidRPr="009771C8">
        <w:rPr>
          <w:bCs/>
        </w:rPr>
        <w:t>měla</w:t>
      </w:r>
      <w:proofErr w:type="gramEnd"/>
      <w:r w:rsidR="00167F5C" w:rsidRPr="009771C8">
        <w:rPr>
          <w:bCs/>
        </w:rPr>
        <w:t xml:space="preserve"> na mysli právě GA </w:t>
      </w:r>
      <w:proofErr w:type="gramStart"/>
      <w:r w:rsidR="00167F5C" w:rsidRPr="009771C8">
        <w:rPr>
          <w:bCs/>
        </w:rPr>
        <w:t>Juliane</w:t>
      </w:r>
      <w:proofErr w:type="gramEnd"/>
      <w:r w:rsidR="00167F5C" w:rsidRPr="009771C8">
        <w:rPr>
          <w:bCs/>
        </w:rPr>
        <w:t xml:space="preserve"> Kokott)</w:t>
      </w:r>
      <w:r w:rsidR="00C9337C" w:rsidRPr="009771C8">
        <w:rPr>
          <w:bCs/>
        </w:rPr>
        <w:t>, které by měly hrát důležitější roli ve</w:t>
      </w:r>
      <w:r w:rsidR="00021C7F" w:rsidRPr="009771C8">
        <w:rPr>
          <w:bCs/>
        </w:rPr>
        <w:t> </w:t>
      </w:r>
      <w:r w:rsidR="00C9337C" w:rsidRPr="009771C8">
        <w:rPr>
          <w:bCs/>
        </w:rPr>
        <w:t xml:space="preserve">stanovení výše pojistky, jako například </w:t>
      </w:r>
      <w:r w:rsidR="00021C7F" w:rsidRPr="009771C8">
        <w:rPr>
          <w:bCs/>
        </w:rPr>
        <w:t xml:space="preserve">zdravotní rizika, tj. </w:t>
      </w:r>
      <w:r w:rsidR="00C9337C" w:rsidRPr="009771C8">
        <w:rPr>
          <w:bCs/>
        </w:rPr>
        <w:t xml:space="preserve">kouření, </w:t>
      </w:r>
      <w:r w:rsidR="00167F5C" w:rsidRPr="009771C8">
        <w:rPr>
          <w:bCs/>
        </w:rPr>
        <w:t xml:space="preserve">konzumace alkoholu, </w:t>
      </w:r>
      <w:r w:rsidR="00021C7F" w:rsidRPr="009771C8">
        <w:rPr>
          <w:bCs/>
        </w:rPr>
        <w:t xml:space="preserve">obecně zdrovatní stav či nemocnost </w:t>
      </w:r>
      <w:r w:rsidR="00167F5C" w:rsidRPr="009771C8">
        <w:rPr>
          <w:bCs/>
        </w:rPr>
        <w:t>pojištěnce</w:t>
      </w:r>
      <w:r w:rsidR="00C9337C" w:rsidRPr="009771C8">
        <w:rPr>
          <w:bCs/>
        </w:rPr>
        <w:t xml:space="preserve"> a další</w:t>
      </w:r>
      <w:r w:rsidR="00144063" w:rsidRPr="009771C8">
        <w:rPr>
          <w:rStyle w:val="Funotenzeichen"/>
          <w:bCs/>
        </w:rPr>
        <w:footnoteReference w:id="83"/>
      </w:r>
      <w:r w:rsidR="00C9337C" w:rsidRPr="009771C8">
        <w:rPr>
          <w:bCs/>
        </w:rPr>
        <w:t xml:space="preserve">. </w:t>
      </w:r>
      <w:r w:rsidR="00403886" w:rsidRPr="009771C8">
        <w:rPr>
          <w:bCs/>
        </w:rPr>
        <w:t>Myslím, že </w:t>
      </w:r>
      <w:r w:rsidR="000F621A" w:rsidRPr="009771C8">
        <w:rPr>
          <w:bCs/>
        </w:rPr>
        <w:t xml:space="preserve">výstižné je potom tvrzení, že rozsudek Evropského soudního dvora v této věci neznamená nic jiného než to, že pohlaví </w:t>
      </w:r>
      <w:r w:rsidR="00061740">
        <w:rPr>
          <w:bCs/>
        </w:rPr>
        <w:t>není rozhodujícím kritériem pro </w:t>
      </w:r>
      <w:r w:rsidR="000F621A" w:rsidRPr="009771C8">
        <w:rPr>
          <w:bCs/>
        </w:rPr>
        <w:t>stanovení rizika, ale že je potřeba používat jiné objektivní faktory, jako například skutečná nehodovost u konkrétní osoby z minulých let a</w:t>
      </w:r>
      <w:r w:rsidR="00403886" w:rsidRPr="009771C8">
        <w:rPr>
          <w:bCs/>
        </w:rPr>
        <w:t> </w:t>
      </w:r>
      <w:r w:rsidR="000F621A" w:rsidRPr="009771C8">
        <w:rPr>
          <w:bCs/>
        </w:rPr>
        <w:t>jiné, výše zmíněné</w:t>
      </w:r>
      <w:r w:rsidR="00167F5C" w:rsidRPr="009771C8">
        <w:rPr>
          <w:bCs/>
        </w:rPr>
        <w:t xml:space="preserve"> faktory</w:t>
      </w:r>
      <w:r w:rsidR="00144063" w:rsidRPr="009771C8">
        <w:rPr>
          <w:rStyle w:val="Funotenzeichen"/>
          <w:bCs/>
        </w:rPr>
        <w:footnoteReference w:id="84"/>
      </w:r>
      <w:r w:rsidR="000F621A" w:rsidRPr="009771C8">
        <w:rPr>
          <w:bCs/>
        </w:rPr>
        <w:t xml:space="preserve">. </w:t>
      </w:r>
      <w:r w:rsidR="00061740">
        <w:rPr>
          <w:bCs/>
        </w:rPr>
        <w:t>Jak </w:t>
      </w:r>
      <w:r w:rsidR="003846BF" w:rsidRPr="009771C8">
        <w:rPr>
          <w:bCs/>
        </w:rPr>
        <w:t>v tomto odstavci bylo ilustrováno, domnívám se, že uved</w:t>
      </w:r>
      <w:r w:rsidR="00061740">
        <w:rPr>
          <w:bCs/>
        </w:rPr>
        <w:t>ená diskuze svědčí o tom, že za </w:t>
      </w:r>
      <w:r w:rsidR="003846BF" w:rsidRPr="009771C8">
        <w:rPr>
          <w:bCs/>
        </w:rPr>
        <w:t xml:space="preserve">období posledních pár měsíců se jedná o mediálně nejviditelnější případ rozhodnutí ESD za použití Listiny. </w:t>
      </w:r>
    </w:p>
    <w:p w:rsidR="008A01C8" w:rsidRPr="009771C8" w:rsidRDefault="00A40CF7" w:rsidP="008A01C8">
      <w:r w:rsidRPr="009771C8">
        <w:t>Další s</w:t>
      </w:r>
      <w:r w:rsidR="008A01C8" w:rsidRPr="009771C8">
        <w:t xml:space="preserve">tanovisko </w:t>
      </w:r>
      <w:r w:rsidRPr="009771C8">
        <w:t>GA</w:t>
      </w:r>
      <w:r w:rsidR="008A01C8" w:rsidRPr="009771C8">
        <w:t xml:space="preserve"> Juliane Kokott </w:t>
      </w:r>
      <w:r w:rsidR="00645B97" w:rsidRPr="009771C8">
        <w:t xml:space="preserve">ve věci </w:t>
      </w:r>
      <w:r w:rsidR="00645B97" w:rsidRPr="009771C8">
        <w:rPr>
          <w:b/>
        </w:rPr>
        <w:t>Kleist</w:t>
      </w:r>
      <w:r w:rsidR="00645B97" w:rsidRPr="009771C8">
        <w:t xml:space="preserve"> </w:t>
      </w:r>
      <w:r w:rsidR="008A01C8" w:rsidRPr="009771C8">
        <w:t>bylo vydáno 16. září 2010. V pů</w:t>
      </w:r>
      <w:r w:rsidR="00645B97" w:rsidRPr="009771C8">
        <w:t xml:space="preserve">vodním sporu se jednalo o povinný odchod do důchodu žalobkyně, která dosáhla platného důchodového věku, přičemž věková hranice </w:t>
      </w:r>
      <w:r w:rsidR="008A01C8" w:rsidRPr="009771C8">
        <w:t xml:space="preserve">pro muže a ženy </w:t>
      </w:r>
      <w:r w:rsidR="00645B97" w:rsidRPr="009771C8">
        <w:t xml:space="preserve">byla stanovena rozdílně a </w:t>
      </w:r>
      <w:r w:rsidR="008A01C8" w:rsidRPr="009771C8">
        <w:t>v</w:t>
      </w:r>
      <w:r w:rsidR="00645B97" w:rsidRPr="009771C8">
        <w:t> </w:t>
      </w:r>
      <w:r w:rsidR="008A01C8" w:rsidRPr="009771C8">
        <w:t>tom</w:t>
      </w:r>
      <w:r w:rsidR="00645B97" w:rsidRPr="009771C8">
        <w:t>to aspektu žalobkyně</w:t>
      </w:r>
      <w:r w:rsidR="008A01C8" w:rsidRPr="009771C8">
        <w:t xml:space="preserve"> s</w:t>
      </w:r>
      <w:r w:rsidR="00645B97" w:rsidRPr="009771C8">
        <w:t>patřovala diskriminaci na základě pohlaví</w:t>
      </w:r>
      <w:r w:rsidR="008A01C8" w:rsidRPr="009771C8">
        <w:t xml:space="preserve">. Právní úprava tohoto případu se týká </w:t>
      </w:r>
      <w:r w:rsidR="00645B97" w:rsidRPr="009771C8">
        <w:t>s</w:t>
      </w:r>
      <w:r w:rsidR="008A01C8" w:rsidRPr="009771C8">
        <w:t xml:space="preserve">měrnice </w:t>
      </w:r>
      <w:r w:rsidR="00645B97" w:rsidRPr="009771C8">
        <w:t>2002/73</w:t>
      </w:r>
      <w:r w:rsidR="008A01C8" w:rsidRPr="009771C8">
        <w:t xml:space="preserve"> o zavede</w:t>
      </w:r>
      <w:r w:rsidR="00403886" w:rsidRPr="009771C8">
        <w:t>ní zásady rovného zacházení pro </w:t>
      </w:r>
      <w:r w:rsidR="008A01C8" w:rsidRPr="009771C8">
        <w:t xml:space="preserve">muže a ženy, pokud jde o přístup k zaměstnání, odbornému vzdělávání a postupu v zaměstnání a o pracovní podmínky. Ve svém stanovisku </w:t>
      </w:r>
      <w:r w:rsidR="00645B97" w:rsidRPr="009771C8">
        <w:t>GA</w:t>
      </w:r>
      <w:r w:rsidR="008A01C8" w:rsidRPr="009771C8">
        <w:t xml:space="preserve"> opírá své rozhodnutí i</w:t>
      </w:r>
      <w:r w:rsidR="00021C7F" w:rsidRPr="009771C8">
        <w:t> </w:t>
      </w:r>
      <w:r w:rsidR="008A01C8" w:rsidRPr="009771C8">
        <w:t>o</w:t>
      </w:r>
      <w:r w:rsidR="00403886" w:rsidRPr="009771C8">
        <w:t> </w:t>
      </w:r>
      <w:r w:rsidR="008A01C8" w:rsidRPr="009771C8">
        <w:t xml:space="preserve">ustanovení Listiny, čl. 23, který zajišťuje rovnost žen a mužů a taky o čl. 15, který zaručuje právo pracovat. </w:t>
      </w:r>
      <w:r w:rsidR="008523D8" w:rsidRPr="009771C8">
        <w:t xml:space="preserve">Ve svém rozhodnutí ESD ovšem Listinu vůbec nepoužívá. </w:t>
      </w:r>
    </w:p>
    <w:p w:rsidR="00184A34" w:rsidRPr="009771C8" w:rsidRDefault="007C7C30" w:rsidP="00184A34">
      <w:r w:rsidRPr="009771C8">
        <w:t xml:space="preserve">Posledním stanoviskem GA </w:t>
      </w:r>
      <w:r w:rsidR="00184A34" w:rsidRPr="009771C8">
        <w:t xml:space="preserve">Juliane Kokott </w:t>
      </w:r>
      <w:r w:rsidR="003B58B1" w:rsidRPr="009771C8">
        <w:t>v této oblasti je případ</w:t>
      </w:r>
      <w:r w:rsidRPr="009771C8">
        <w:t xml:space="preserve"> </w:t>
      </w:r>
      <w:r w:rsidRPr="009771C8">
        <w:rPr>
          <w:b/>
        </w:rPr>
        <w:t>Andersen</w:t>
      </w:r>
      <w:r w:rsidRPr="009771C8">
        <w:t xml:space="preserve">, které </w:t>
      </w:r>
      <w:r w:rsidR="00184A34" w:rsidRPr="009771C8">
        <w:t>bylo vydáno 6. května 2009</w:t>
      </w:r>
      <w:r w:rsidRPr="009771C8">
        <w:t>.</w:t>
      </w:r>
      <w:r w:rsidR="00184A34" w:rsidRPr="009771C8">
        <w:t xml:space="preserve"> Spor </w:t>
      </w:r>
      <w:r w:rsidR="001720AE" w:rsidRPr="009771C8">
        <w:t xml:space="preserve">se v původním řízení </w:t>
      </w:r>
      <w:r w:rsidR="00184A34" w:rsidRPr="009771C8">
        <w:t>týkal diskriminace na</w:t>
      </w:r>
      <w:r w:rsidR="00403886" w:rsidRPr="009771C8">
        <w:t> </w:t>
      </w:r>
      <w:r w:rsidR="00184A34" w:rsidRPr="009771C8">
        <w:t xml:space="preserve">základě věku v souvislosti s podmínkami propouštění starších zaměstnanců. Právní úprava se týkala </w:t>
      </w:r>
      <w:r w:rsidR="00184A34" w:rsidRPr="009771C8">
        <w:lastRenderedPageBreak/>
        <w:t>výkladu směrnice</w:t>
      </w:r>
      <w:r w:rsidR="001720AE" w:rsidRPr="009771C8">
        <w:t xml:space="preserve"> Rady 2000/78, kterou se stanoví</w:t>
      </w:r>
      <w:r w:rsidR="00184A34" w:rsidRPr="009771C8">
        <w:t xml:space="preserve"> obecný rámec pro rovné zacházení v zaměstnání a povolání. </w:t>
      </w:r>
      <w:r w:rsidR="001720AE" w:rsidRPr="009771C8">
        <w:t>GA</w:t>
      </w:r>
      <w:r w:rsidR="00184A34" w:rsidRPr="009771C8">
        <w:t xml:space="preserve"> Listinu </w:t>
      </w:r>
      <w:r w:rsidR="001720AE" w:rsidRPr="009771C8">
        <w:t xml:space="preserve">a konkrétně ustanovení čl. 15 Listiny, které garantuje právo pracovat, </w:t>
      </w:r>
      <w:r w:rsidR="00184A34" w:rsidRPr="009771C8">
        <w:t xml:space="preserve">zmiňuje jako </w:t>
      </w:r>
      <w:r w:rsidR="001720AE" w:rsidRPr="009771C8">
        <w:t>podpůrný bod pro své rozhodnutí.</w:t>
      </w:r>
    </w:p>
    <w:p w:rsidR="00816FD3" w:rsidRPr="009771C8" w:rsidRDefault="00CB3CA4" w:rsidP="00816FD3">
      <w:pPr>
        <w:rPr>
          <w:bCs/>
        </w:rPr>
      </w:pPr>
      <w:r w:rsidRPr="009771C8">
        <w:t>Sporu, kterému se zatím dostalo</w:t>
      </w:r>
      <w:r w:rsidR="00465C6E" w:rsidRPr="009771C8">
        <w:t xml:space="preserve"> největší pozornosti je </w:t>
      </w:r>
      <w:r w:rsidR="001F2B73" w:rsidRPr="009771C8">
        <w:t xml:space="preserve">případ </w:t>
      </w:r>
      <w:r w:rsidR="003B58B1" w:rsidRPr="009771C8">
        <w:rPr>
          <w:b/>
        </w:rPr>
        <w:t>Kücü</w:t>
      </w:r>
      <w:r w:rsidRPr="009771C8">
        <w:rPr>
          <w:b/>
        </w:rPr>
        <w:t>kdeveci</w:t>
      </w:r>
      <w:r w:rsidR="00F060FE" w:rsidRPr="009771C8">
        <w:t xml:space="preserve">. </w:t>
      </w:r>
      <w:r w:rsidR="00D20564" w:rsidRPr="009771C8">
        <w:t xml:space="preserve">Spor </w:t>
      </w:r>
      <w:r w:rsidR="0007083D" w:rsidRPr="009771C8">
        <w:t xml:space="preserve">se </w:t>
      </w:r>
      <w:r w:rsidR="00D20564" w:rsidRPr="009771C8">
        <w:t>v </w:t>
      </w:r>
      <w:r w:rsidR="0007083D" w:rsidRPr="009771C8">
        <w:t xml:space="preserve">původním řízení </w:t>
      </w:r>
      <w:r w:rsidR="00D20564" w:rsidRPr="009771C8">
        <w:t>týkal délky výpovědní dob</w:t>
      </w:r>
      <w:r w:rsidR="00021C7F" w:rsidRPr="009771C8">
        <w:t xml:space="preserve">y. Podle </w:t>
      </w:r>
      <w:r w:rsidR="00D20564" w:rsidRPr="009771C8">
        <w:t>n</w:t>
      </w:r>
      <w:r w:rsidR="00C43CC8" w:rsidRPr="009771C8">
        <w:t xml:space="preserve">ěmecké právní úpravy </w:t>
      </w:r>
      <w:r w:rsidR="00021C7F" w:rsidRPr="009771C8">
        <w:t xml:space="preserve">je výpovědní lhůta stanovena dle </w:t>
      </w:r>
      <w:r w:rsidR="00C61D49" w:rsidRPr="009771C8">
        <w:t>počtu odpracovaných let v</w:t>
      </w:r>
      <w:r w:rsidR="00021C7F" w:rsidRPr="009771C8">
        <w:t xml:space="preserve"> příslušné </w:t>
      </w:r>
      <w:r w:rsidR="00C61D49" w:rsidRPr="009771C8">
        <w:t>společnosti a</w:t>
      </w:r>
      <w:r w:rsidR="00D20564" w:rsidRPr="009771C8">
        <w:t xml:space="preserve"> podle věku zaměstnance</w:t>
      </w:r>
      <w:r w:rsidR="0007083D" w:rsidRPr="009771C8">
        <w:t xml:space="preserve"> v době</w:t>
      </w:r>
      <w:r w:rsidR="001F2B73" w:rsidRPr="009771C8">
        <w:t>, kdy nastoupil do zaměstnání s tím, že pracovníkům, kteří pro společnost pracovali déle než deset let, náleží výpovědní doba v délce čtyř měsíců.</w:t>
      </w:r>
      <w:r w:rsidR="00D20564" w:rsidRPr="009771C8">
        <w:t xml:space="preserve"> </w:t>
      </w:r>
      <w:r w:rsidR="00D96F16" w:rsidRPr="009771C8">
        <w:t>Paní Kücü</w:t>
      </w:r>
      <w:r w:rsidR="0068335E" w:rsidRPr="009771C8">
        <w:t xml:space="preserve">kdeveci začala v 18 letech pracovat pro německou společnost Swedex. Po zhruba deseti letech v roce 2006 byla propuštěna. </w:t>
      </w:r>
      <w:r w:rsidR="00D41A8A" w:rsidRPr="009771C8">
        <w:t>Podle výše</w:t>
      </w:r>
      <w:r w:rsidR="001F2B73" w:rsidRPr="009771C8">
        <w:t xml:space="preserve"> pops</w:t>
      </w:r>
      <w:r w:rsidR="00D96F16" w:rsidRPr="009771C8">
        <w:t>aného pravidla měla být paní Kücü</w:t>
      </w:r>
      <w:r w:rsidR="001F2B73" w:rsidRPr="009771C8">
        <w:t>kdeveci poskytnuta výpovědní doba v délce čtyř měsíců, protože pro společnost pracovala více než deset let</w:t>
      </w:r>
      <w:r w:rsidR="00D96F16" w:rsidRPr="009771C8">
        <w:t>. To se ovšem nestalo, paní Kücü</w:t>
      </w:r>
      <w:r w:rsidR="00C43CC8" w:rsidRPr="009771C8">
        <w:t>kdeveci</w:t>
      </w:r>
      <w:r w:rsidR="0068335E" w:rsidRPr="009771C8">
        <w:t xml:space="preserve"> byla </w:t>
      </w:r>
      <w:r w:rsidR="00C43CC8" w:rsidRPr="009771C8">
        <w:t>přiznána</w:t>
      </w:r>
      <w:r w:rsidR="0068335E" w:rsidRPr="009771C8">
        <w:t xml:space="preserve"> výpovědní doba pouze v délce jednoho měsíce a to proto, že podle ustanoven</w:t>
      </w:r>
      <w:r w:rsidR="00C43CC8" w:rsidRPr="009771C8">
        <w:t>í německého občanského práva se </w:t>
      </w:r>
      <w:r w:rsidR="0068335E" w:rsidRPr="009771C8">
        <w:t xml:space="preserve">nezohledňuje doba zaměstnání před 25 rokem. </w:t>
      </w:r>
      <w:r w:rsidR="00D96F16" w:rsidRPr="009771C8">
        <w:t>Toto ustanovení pro paní Kücü</w:t>
      </w:r>
      <w:r w:rsidR="00C43CC8" w:rsidRPr="009771C8">
        <w:t xml:space="preserve">kdeveci prakticky znamená, že výpovědní doba ji bude na místo reálně odpracovaných deseti let vypočítána jen ze tří let, které ve firmě odpracovala poté, co dosáhla věku 25 let. </w:t>
      </w:r>
      <w:r w:rsidR="00D96F16" w:rsidRPr="009771C8">
        <w:t>Paní Kücü</w:t>
      </w:r>
      <w:r w:rsidR="00D41A8A" w:rsidRPr="009771C8">
        <w:t xml:space="preserve">kdeveci </w:t>
      </w:r>
      <w:r w:rsidR="0068335E" w:rsidRPr="009771C8">
        <w:t>toto ustanovení přirozeně viděla jako diskriminující z důvodu věku a</w:t>
      </w:r>
      <w:r w:rsidR="00021C7F" w:rsidRPr="009771C8">
        <w:t xml:space="preserve"> soudně ho </w:t>
      </w:r>
      <w:r w:rsidR="0068335E" w:rsidRPr="009771C8">
        <w:t xml:space="preserve">napadla. Argumentovala tím, že </w:t>
      </w:r>
      <w:r w:rsidR="00C43CC8" w:rsidRPr="009771C8">
        <w:t>tento článek</w:t>
      </w:r>
      <w:r w:rsidR="0068335E" w:rsidRPr="009771C8">
        <w:t xml:space="preserve"> </w:t>
      </w:r>
      <w:r w:rsidR="00C43CC8" w:rsidRPr="009771C8">
        <w:t xml:space="preserve">je v nesouladu s unijní zásadou zákazu diskriminace na základě věku, </w:t>
      </w:r>
      <w:r w:rsidR="00EC36F2">
        <w:t>která je </w:t>
      </w:r>
      <w:r w:rsidR="0068335E" w:rsidRPr="009771C8">
        <w:t>zakotvena v unijním právu a spec</w:t>
      </w:r>
      <w:r w:rsidR="00C43CC8" w:rsidRPr="009771C8">
        <w:t>iálně ve</w:t>
      </w:r>
      <w:r w:rsidR="00021C7F" w:rsidRPr="009771C8">
        <w:t> </w:t>
      </w:r>
      <w:r w:rsidR="00C43CC8" w:rsidRPr="009771C8">
        <w:t>směrnici Rady 2000/78</w:t>
      </w:r>
      <w:r w:rsidR="0068335E" w:rsidRPr="009771C8">
        <w:t>, která stanovuje obecný rámec pro rovné zacházení v zaměstnání. Firma Swedex</w:t>
      </w:r>
      <w:r w:rsidR="00C43CC8" w:rsidRPr="009771C8">
        <w:t xml:space="preserve"> ve svém vyjádření</w:t>
      </w:r>
      <w:r w:rsidR="0068335E" w:rsidRPr="009771C8">
        <w:t xml:space="preserve">, což je důležité </w:t>
      </w:r>
      <w:r w:rsidR="00C43CC8" w:rsidRPr="009771C8">
        <w:t xml:space="preserve">vzhledem k rozsudku ESD, </w:t>
      </w:r>
      <w:r w:rsidR="00F37077" w:rsidRPr="009771C8">
        <w:t xml:space="preserve">mimo jiné </w:t>
      </w:r>
      <w:r w:rsidR="00D41A8A" w:rsidRPr="009771C8">
        <w:t>upozornila na fakt, že </w:t>
      </w:r>
      <w:r w:rsidR="0068335E" w:rsidRPr="009771C8">
        <w:t>směrnice se nedá přímo použít ve sporu mezi dvěma soukromými subjekty</w:t>
      </w:r>
      <w:r w:rsidR="00C43CC8" w:rsidRPr="009771C8">
        <w:t>, což v tomto příp</w:t>
      </w:r>
      <w:r w:rsidR="00011B9D" w:rsidRPr="009771C8">
        <w:t>adě společnost Swedex i paní Kücü</w:t>
      </w:r>
      <w:r w:rsidR="00C43CC8" w:rsidRPr="009771C8">
        <w:t>kdeveci jsou</w:t>
      </w:r>
      <w:r w:rsidR="0068335E" w:rsidRPr="009771C8">
        <w:t xml:space="preserve">. </w:t>
      </w:r>
      <w:r w:rsidR="00816FD3" w:rsidRPr="009771C8">
        <w:t>Nutno podotknout, že stanovisko GA Yves Boty bylo zveřejněno v době, kdy Listina ještě nebyla právně závaznou, konkrétně 7. července 2009 a rozsudek byl vydán 19. ledna 2010</w:t>
      </w:r>
      <w:r w:rsidR="00C43CC8" w:rsidRPr="009771C8">
        <w:t xml:space="preserve">, tzn. </w:t>
      </w:r>
      <w:r w:rsidR="00F4253A" w:rsidRPr="009771C8">
        <w:t>P</w:t>
      </w:r>
      <w:r w:rsidR="00C43CC8" w:rsidRPr="009771C8">
        <w:t>o</w:t>
      </w:r>
      <w:r w:rsidR="00F4253A" w:rsidRPr="009771C8">
        <w:t> </w:t>
      </w:r>
      <w:r w:rsidR="00C43CC8" w:rsidRPr="009771C8">
        <w:t>dokončení ratifikačního procesu Lisabonské smlouvy ve všech členských státech</w:t>
      </w:r>
      <w:r w:rsidR="00DC2909" w:rsidRPr="009771C8">
        <w:t xml:space="preserve">. </w:t>
      </w:r>
      <w:r w:rsidR="00816FD3" w:rsidRPr="009771C8">
        <w:t>V odborné literatuře je tento ro</w:t>
      </w:r>
      <w:r w:rsidR="00EC36F2">
        <w:t xml:space="preserve">zsudek považován za přelomový </w:t>
      </w:r>
      <w:r w:rsidR="00EC36F2" w:rsidRPr="00EC36F2">
        <w:t>a</w:t>
      </w:r>
      <w:r w:rsidR="00EC36F2">
        <w:t> </w:t>
      </w:r>
      <w:r w:rsidR="00EC36F2" w:rsidRPr="00EC36F2">
        <w:t>to</w:t>
      </w:r>
      <w:r w:rsidR="00EC36F2">
        <w:t> </w:t>
      </w:r>
      <w:r w:rsidR="00DC2909" w:rsidRPr="009771C8">
        <w:t>převážně z posledního ze dvou jmenovaných důvodů</w:t>
      </w:r>
      <w:r w:rsidR="00816FD3" w:rsidRPr="009771C8">
        <w:t xml:space="preserve">. </w:t>
      </w:r>
      <w:r w:rsidR="00816FD3" w:rsidRPr="009771C8">
        <w:rPr>
          <w:bCs/>
        </w:rPr>
        <w:t>Tím prvním</w:t>
      </w:r>
      <w:r w:rsidR="00DC2909" w:rsidRPr="009771C8">
        <w:rPr>
          <w:bCs/>
        </w:rPr>
        <w:t xml:space="preserve"> závěrem, který snižuje význam Listiny</w:t>
      </w:r>
      <w:r w:rsidR="00816FD3" w:rsidRPr="009771C8">
        <w:rPr>
          <w:bCs/>
        </w:rPr>
        <w:t xml:space="preserve">, </w:t>
      </w:r>
      <w:r w:rsidR="00DC2909" w:rsidRPr="009771C8">
        <w:rPr>
          <w:bCs/>
        </w:rPr>
        <w:t xml:space="preserve">je, </w:t>
      </w:r>
      <w:r w:rsidR="00816FD3" w:rsidRPr="009771C8">
        <w:rPr>
          <w:bCs/>
        </w:rPr>
        <w:t>jak nap</w:t>
      </w:r>
      <w:r w:rsidR="00DC2909" w:rsidRPr="009771C8">
        <w:rPr>
          <w:bCs/>
        </w:rPr>
        <w:t xml:space="preserve">ř. uvádí Bončková a Smekal, </w:t>
      </w:r>
      <w:r w:rsidR="00816FD3" w:rsidRPr="009771C8">
        <w:rPr>
          <w:bCs/>
        </w:rPr>
        <w:t xml:space="preserve">že nejnovější judikatura Soudního dvora </w:t>
      </w:r>
      <w:r w:rsidR="00816FD3" w:rsidRPr="009771C8">
        <w:rPr>
          <w:bCs/>
          <w:i/>
        </w:rPr>
        <w:t>„svědčí o skutečnosti, ze ESD nadále upřednostňuje aplikaci obecných zásad před právně závaznou Listinou</w:t>
      </w:r>
      <w:r w:rsidR="00816FD3" w:rsidRPr="009771C8">
        <w:rPr>
          <w:rStyle w:val="Funotenzeichen"/>
          <w:bCs/>
          <w:i/>
        </w:rPr>
        <w:footnoteReference w:id="85"/>
      </w:r>
      <w:r w:rsidR="00816FD3" w:rsidRPr="009771C8">
        <w:rPr>
          <w:bCs/>
          <w:i/>
        </w:rPr>
        <w:t>.“</w:t>
      </w:r>
      <w:r w:rsidR="00816FD3" w:rsidRPr="009771C8">
        <w:rPr>
          <w:bCs/>
        </w:rPr>
        <w:t xml:space="preserve"> V podobném duchu</w:t>
      </w:r>
      <w:r w:rsidR="00DC2909" w:rsidRPr="009771C8">
        <w:rPr>
          <w:bCs/>
        </w:rPr>
        <w:t>, i když ne tak negativně o významu Listiny,</w:t>
      </w:r>
      <w:r w:rsidR="00816FD3" w:rsidRPr="009771C8">
        <w:rPr>
          <w:bCs/>
        </w:rPr>
        <w:t xml:space="preserve"> se o Listině vyjadřuje i</w:t>
      </w:r>
      <w:r w:rsidR="00F4253A" w:rsidRPr="009771C8">
        <w:rPr>
          <w:bCs/>
        </w:rPr>
        <w:t> </w:t>
      </w:r>
      <w:r w:rsidR="00816FD3" w:rsidRPr="009771C8">
        <w:rPr>
          <w:bCs/>
        </w:rPr>
        <w:t>Šlosarčík, když uvádí, že „</w:t>
      </w:r>
      <w:r w:rsidR="00816FD3" w:rsidRPr="009771C8">
        <w:rPr>
          <w:bCs/>
          <w:i/>
        </w:rPr>
        <w:t xml:space="preserve">ESD v rozsudku použil Listinu jako důkaz </w:t>
      </w:r>
      <w:r w:rsidR="00816FD3" w:rsidRPr="009771C8">
        <w:rPr>
          <w:bCs/>
          <w:i/>
        </w:rPr>
        <w:lastRenderedPageBreak/>
        <w:t>toho, že zákaz diskriminace z důvodu věku patří mezi obecné zásady unijního práva</w:t>
      </w:r>
      <w:r w:rsidR="00816FD3" w:rsidRPr="009771C8">
        <w:rPr>
          <w:rStyle w:val="Funotenzeichen"/>
          <w:bCs/>
          <w:i/>
        </w:rPr>
        <w:footnoteReference w:id="86"/>
      </w:r>
      <w:r w:rsidR="00816FD3" w:rsidRPr="009771C8">
        <w:rPr>
          <w:bCs/>
          <w:i/>
        </w:rPr>
        <w:t>.</w:t>
      </w:r>
      <w:r w:rsidR="00816FD3" w:rsidRPr="009771C8">
        <w:rPr>
          <w:bCs/>
        </w:rPr>
        <w:t>“ Zároveň ale Šlosarčík, ale i hlavně Kokott a Sobotta</w:t>
      </w:r>
      <w:r w:rsidR="00816FD3" w:rsidRPr="009771C8">
        <w:rPr>
          <w:rStyle w:val="Funotenzeichen"/>
          <w:bCs/>
        </w:rPr>
        <w:footnoteReference w:id="87"/>
      </w:r>
      <w:r w:rsidR="00816FD3" w:rsidRPr="009771C8">
        <w:rPr>
          <w:bCs/>
        </w:rPr>
        <w:t xml:space="preserve"> a další </w:t>
      </w:r>
      <w:r w:rsidR="00DB1732" w:rsidRPr="009771C8">
        <w:rPr>
          <w:bCs/>
        </w:rPr>
        <w:t>považují</w:t>
      </w:r>
      <w:r w:rsidR="00816FD3" w:rsidRPr="009771C8">
        <w:rPr>
          <w:bCs/>
        </w:rPr>
        <w:t xml:space="preserve"> rozsudek Kücükdeveci za</w:t>
      </w:r>
      <w:r w:rsidR="00757078" w:rsidRPr="009771C8">
        <w:rPr>
          <w:bCs/>
        </w:rPr>
        <w:t> </w:t>
      </w:r>
      <w:r w:rsidR="00DB1732" w:rsidRPr="009771C8">
        <w:rPr>
          <w:bCs/>
        </w:rPr>
        <w:t>významný</w:t>
      </w:r>
      <w:r w:rsidR="00816FD3" w:rsidRPr="009771C8">
        <w:rPr>
          <w:bCs/>
        </w:rPr>
        <w:t xml:space="preserve">, protože </w:t>
      </w:r>
      <w:r w:rsidR="00DB1732" w:rsidRPr="009771C8">
        <w:rPr>
          <w:bCs/>
        </w:rPr>
        <w:t>posouvá do popředí princip přednosti</w:t>
      </w:r>
      <w:r w:rsidR="00816FD3" w:rsidRPr="009771C8">
        <w:rPr>
          <w:bCs/>
        </w:rPr>
        <w:t xml:space="preserve">. </w:t>
      </w:r>
    </w:p>
    <w:p w:rsidR="00B417A9" w:rsidRPr="009771C8" w:rsidRDefault="00D41A8A" w:rsidP="00816FD3">
      <w:pPr>
        <w:rPr>
          <w:bCs/>
        </w:rPr>
      </w:pPr>
      <w:r w:rsidRPr="009771C8">
        <w:rPr>
          <w:bCs/>
        </w:rPr>
        <w:t>Pro shrnutí uvádím, že z celkového počtu d</w:t>
      </w:r>
      <w:r w:rsidR="00906B4A" w:rsidRPr="009771C8">
        <w:rPr>
          <w:bCs/>
        </w:rPr>
        <w:t>vanácti dokumentů ve čtyřech stanoviscích a třech rozsudcích jsou ustanovení Listiny často využívána. Pravdou ovšem je, že ani v této kapitole, ostatně jako v žádné jiné ESD neargumentuje jen za</w:t>
      </w:r>
      <w:r w:rsidR="00EC36F2">
        <w:rPr>
          <w:bCs/>
        </w:rPr>
        <w:t xml:space="preserve"> pomoci ustanovení Listiny, ale </w:t>
      </w:r>
      <w:r w:rsidR="00906B4A" w:rsidRPr="009771C8">
        <w:rPr>
          <w:bCs/>
        </w:rPr>
        <w:t xml:space="preserve">naopak </w:t>
      </w:r>
      <w:r w:rsidR="00F4253A" w:rsidRPr="009771C8">
        <w:rPr>
          <w:bCs/>
        </w:rPr>
        <w:t xml:space="preserve">se </w:t>
      </w:r>
      <w:r w:rsidR="00906B4A" w:rsidRPr="009771C8">
        <w:rPr>
          <w:bCs/>
        </w:rPr>
        <w:t xml:space="preserve">ve svých závěrech opírá </w:t>
      </w:r>
      <w:r w:rsidR="00F4253A" w:rsidRPr="009771C8">
        <w:rPr>
          <w:bCs/>
        </w:rPr>
        <w:t xml:space="preserve">především </w:t>
      </w:r>
      <w:r w:rsidR="00906B4A" w:rsidRPr="009771C8">
        <w:rPr>
          <w:bCs/>
        </w:rPr>
        <w:t xml:space="preserve">o obecné zásady právní. </w:t>
      </w:r>
    </w:p>
    <w:p w:rsidR="00F4253A" w:rsidRPr="009771C8" w:rsidRDefault="00F4253A">
      <w:pPr>
        <w:spacing w:line="240" w:lineRule="auto"/>
        <w:ind w:firstLine="0"/>
        <w:jc w:val="left"/>
        <w:rPr>
          <w:bCs/>
        </w:rPr>
      </w:pPr>
      <w:r w:rsidRPr="009771C8">
        <w:rPr>
          <w:bCs/>
        </w:rPr>
        <w:br w:type="page"/>
      </w:r>
    </w:p>
    <w:p w:rsidR="00B417A9" w:rsidRPr="009771C8" w:rsidRDefault="00B417A9" w:rsidP="00420E79">
      <w:pPr>
        <w:pStyle w:val="NADPIS3"/>
        <w:outlineLvl w:val="0"/>
      </w:pPr>
      <w:bookmarkStart w:id="24" w:name="_Toc288488665"/>
      <w:bookmarkStart w:id="25" w:name="_Toc288491595"/>
      <w:bookmarkStart w:id="26" w:name="_Toc291022222"/>
      <w:r w:rsidRPr="009771C8">
        <w:lastRenderedPageBreak/>
        <w:t>Policejní a soudní spolupráce v trestních věcech</w:t>
      </w:r>
      <w:bookmarkEnd w:id="24"/>
      <w:bookmarkEnd w:id="25"/>
      <w:bookmarkEnd w:id="26"/>
    </w:p>
    <w:p w:rsidR="00F4253A" w:rsidRPr="009771C8" w:rsidRDefault="00A72152" w:rsidP="00816FD3">
      <w:pPr>
        <w:rPr>
          <w:bCs/>
        </w:rPr>
      </w:pPr>
      <w:r w:rsidRPr="009771C8">
        <w:t xml:space="preserve">V tomto </w:t>
      </w:r>
      <w:r w:rsidR="00F4253A" w:rsidRPr="009771C8">
        <w:t xml:space="preserve">tématickém </w:t>
      </w:r>
      <w:r w:rsidR="001B5AA3" w:rsidRPr="009771C8">
        <w:t xml:space="preserve">okruhu </w:t>
      </w:r>
      <w:r w:rsidR="00F4253A" w:rsidRPr="009771C8">
        <w:t xml:space="preserve">odkazovali ESD a GA na Listinu </w:t>
      </w:r>
      <w:r w:rsidR="00F31A6B" w:rsidRPr="009771C8">
        <w:t>v</w:t>
      </w:r>
      <w:r w:rsidR="00F4253A" w:rsidRPr="009771C8">
        <w:t xml:space="preserve"> celkově </w:t>
      </w:r>
      <w:r w:rsidR="00F31A6B" w:rsidRPr="009771C8">
        <w:t xml:space="preserve">pěti rozsudcích a stanoviscích </w:t>
      </w:r>
      <w:r w:rsidR="00DB1732" w:rsidRPr="009771C8">
        <w:t>(dva rozsudky a tři</w:t>
      </w:r>
      <w:r w:rsidR="00F93B1C" w:rsidRPr="009771C8">
        <w:t xml:space="preserve"> stanoviska</w:t>
      </w:r>
      <w:r w:rsidR="004E17A2" w:rsidRPr="009771C8">
        <w:t>)</w:t>
      </w:r>
      <w:r w:rsidR="00F31A6B" w:rsidRPr="009771C8">
        <w:t xml:space="preserve">. </w:t>
      </w:r>
      <w:r w:rsidR="003873CA" w:rsidRPr="009771C8">
        <w:t xml:space="preserve">Jedná se o případy: </w:t>
      </w:r>
      <w:r w:rsidR="001B5AA3" w:rsidRPr="009771C8">
        <w:rPr>
          <w:b/>
        </w:rPr>
        <w:t>Mantello</w:t>
      </w:r>
      <w:r w:rsidR="00946241" w:rsidRPr="009771C8">
        <w:rPr>
          <w:rStyle w:val="Funotenzeichen"/>
          <w:b/>
        </w:rPr>
        <w:footnoteReference w:id="88"/>
      </w:r>
      <w:r w:rsidR="007D7D05">
        <w:t xml:space="preserve"> (rozsudek a </w:t>
      </w:r>
      <w:r w:rsidR="003873CA" w:rsidRPr="009771C8">
        <w:t xml:space="preserve">stanovisko), </w:t>
      </w:r>
      <w:r w:rsidR="001B5AA3" w:rsidRPr="009771C8">
        <w:rPr>
          <w:b/>
        </w:rPr>
        <w:t>I. B.</w:t>
      </w:r>
      <w:r w:rsidR="006862CF" w:rsidRPr="009771C8">
        <w:rPr>
          <w:rStyle w:val="Funotenzeichen"/>
          <w:b/>
        </w:rPr>
        <w:footnoteReference w:id="89"/>
      </w:r>
      <w:r w:rsidR="003873CA" w:rsidRPr="009771C8">
        <w:t xml:space="preserve"> (rozsudek a stanovisko) a</w:t>
      </w:r>
      <w:r w:rsidR="00F4253A" w:rsidRPr="009771C8">
        <w:t> </w:t>
      </w:r>
      <w:r w:rsidR="001B5AA3" w:rsidRPr="009771C8">
        <w:rPr>
          <w:b/>
        </w:rPr>
        <w:t>Eredics</w:t>
      </w:r>
      <w:r w:rsidR="00EC3961" w:rsidRPr="009771C8">
        <w:rPr>
          <w:rStyle w:val="Funotenzeichen"/>
          <w:b/>
        </w:rPr>
        <w:footnoteReference w:id="90"/>
      </w:r>
      <w:r w:rsidR="003873CA" w:rsidRPr="009771C8">
        <w:t xml:space="preserve"> (stanovisko). </w:t>
      </w:r>
      <w:r w:rsidR="00E77413" w:rsidRPr="009771C8">
        <w:t xml:space="preserve">Ve všech případech se jednalo opět o řízení o předběžné otázce. </w:t>
      </w:r>
      <w:r w:rsidR="0070455E" w:rsidRPr="009771C8">
        <w:t>Rozsudky a stanoviska spadaly do</w:t>
      </w:r>
      <w:r w:rsidR="00633349" w:rsidRPr="009771C8">
        <w:t> </w:t>
      </w:r>
      <w:r w:rsidR="0070455E" w:rsidRPr="009771C8">
        <w:t>oblasti trestního řízení, vydání evropského zatýkacího rozkazu. Soudy se dotazovaly na</w:t>
      </w:r>
      <w:r w:rsidR="00633349" w:rsidRPr="009771C8">
        <w:t> </w:t>
      </w:r>
      <w:r w:rsidR="0070455E" w:rsidRPr="009771C8">
        <w:t xml:space="preserve">výklad </w:t>
      </w:r>
      <w:r w:rsidR="008F1A53" w:rsidRPr="009771C8">
        <w:t xml:space="preserve">rámcového rozhodnutí Rady </w:t>
      </w:r>
      <w:r w:rsidR="00A25644" w:rsidRPr="009771C8">
        <w:t xml:space="preserve">2002/584/SVV </w:t>
      </w:r>
      <w:r w:rsidR="008F1A53" w:rsidRPr="009771C8">
        <w:rPr>
          <w:bCs/>
        </w:rPr>
        <w:t>o</w:t>
      </w:r>
      <w:r w:rsidR="00F4253A" w:rsidRPr="009771C8">
        <w:rPr>
          <w:bCs/>
        </w:rPr>
        <w:t> </w:t>
      </w:r>
      <w:r w:rsidR="008F1A53" w:rsidRPr="009771C8">
        <w:rPr>
          <w:bCs/>
        </w:rPr>
        <w:t>evropském zatýkacím rozkazu a</w:t>
      </w:r>
      <w:r w:rsidR="00633349" w:rsidRPr="009771C8">
        <w:rPr>
          <w:bCs/>
        </w:rPr>
        <w:t> </w:t>
      </w:r>
      <w:r w:rsidR="008F1A53" w:rsidRPr="009771C8">
        <w:rPr>
          <w:bCs/>
        </w:rPr>
        <w:t>postupech předávání mezi členskými státy</w:t>
      </w:r>
      <w:r w:rsidR="00DE0646" w:rsidRPr="009771C8">
        <w:rPr>
          <w:rStyle w:val="Funotenzeichen"/>
        </w:rPr>
        <w:footnoteReference w:id="91"/>
      </w:r>
      <w:r w:rsidR="00011B9D" w:rsidRPr="009771C8">
        <w:rPr>
          <w:bCs/>
        </w:rPr>
        <w:t xml:space="preserve">. </w:t>
      </w:r>
    </w:p>
    <w:p w:rsidR="00B417A9" w:rsidRPr="009771C8" w:rsidRDefault="00423548" w:rsidP="00816FD3">
      <w:pPr>
        <w:rPr>
          <w:bCs/>
        </w:rPr>
      </w:pPr>
      <w:r w:rsidRPr="009771C8">
        <w:rPr>
          <w:bCs/>
        </w:rPr>
        <w:t xml:space="preserve">V rozhodnutích v těchto případech je Listina zmíněna jen v souvislosti, že předmětná směrnice ctí práva z Listiny vyplývající. </w:t>
      </w:r>
      <w:r w:rsidR="00936F0B" w:rsidRPr="009771C8">
        <w:rPr>
          <w:bCs/>
        </w:rPr>
        <w:t>Nad tuto aplikaci je Listina použita v</w:t>
      </w:r>
      <w:r w:rsidR="001C5D9E" w:rsidRPr="009771C8">
        <w:rPr>
          <w:bCs/>
        </w:rPr>
        <w:t>e</w:t>
      </w:r>
      <w:r w:rsidR="001B5AA3" w:rsidRPr="009771C8">
        <w:rPr>
          <w:bCs/>
        </w:rPr>
        <w:t> stanovisku k případu Mantello</w:t>
      </w:r>
      <w:r w:rsidR="00936F0B" w:rsidRPr="009771C8">
        <w:rPr>
          <w:bCs/>
        </w:rPr>
        <w:t xml:space="preserve"> </w:t>
      </w:r>
      <w:r w:rsidRPr="009771C8">
        <w:rPr>
          <w:bCs/>
        </w:rPr>
        <w:t xml:space="preserve">jako právní zakotvení </w:t>
      </w:r>
      <w:r w:rsidR="002A79C5" w:rsidRPr="009771C8">
        <w:rPr>
          <w:bCs/>
        </w:rPr>
        <w:t xml:space="preserve">obecné zásady práva Unie </w:t>
      </w:r>
      <w:r w:rsidR="00936F0B" w:rsidRPr="009771C8">
        <w:rPr>
          <w:bCs/>
          <w:i/>
        </w:rPr>
        <w:t>ne bis in idem</w:t>
      </w:r>
      <w:r w:rsidR="00936F0B" w:rsidRPr="009771C8">
        <w:rPr>
          <w:bCs/>
        </w:rPr>
        <w:t xml:space="preserve">. </w:t>
      </w:r>
      <w:r w:rsidR="007D7D05">
        <w:rPr>
          <w:bCs/>
        </w:rPr>
        <w:t>Tzn. </w:t>
      </w:r>
      <w:r w:rsidR="00633349" w:rsidRPr="009771C8">
        <w:rPr>
          <w:bCs/>
        </w:rPr>
        <w:t xml:space="preserve">v této oblasti je Listina používána jako potvrzení obecných zásad právních. </w:t>
      </w:r>
    </w:p>
    <w:p w:rsidR="00F93B1C" w:rsidRPr="009771C8" w:rsidRDefault="00F93B1C" w:rsidP="00420E79">
      <w:pPr>
        <w:pStyle w:val="NADPIS3"/>
        <w:outlineLvl w:val="0"/>
      </w:pPr>
      <w:bookmarkStart w:id="27" w:name="_Toc288488666"/>
      <w:bookmarkStart w:id="28" w:name="_Toc288491596"/>
    </w:p>
    <w:p w:rsidR="00DF354A" w:rsidRPr="009771C8" w:rsidRDefault="00225023" w:rsidP="00420E79">
      <w:pPr>
        <w:pStyle w:val="NADPIS3"/>
        <w:outlineLvl w:val="0"/>
      </w:pPr>
      <w:bookmarkStart w:id="29" w:name="_Toc291022223"/>
      <w:r w:rsidRPr="009771C8">
        <w:t>Evropské občanství</w:t>
      </w:r>
      <w:bookmarkEnd w:id="27"/>
      <w:bookmarkEnd w:id="28"/>
      <w:bookmarkEnd w:id="29"/>
    </w:p>
    <w:p w:rsidR="00F93B1C" w:rsidRPr="009771C8" w:rsidRDefault="00F4253A" w:rsidP="00B811CC">
      <w:r w:rsidRPr="009771C8">
        <w:t>Na Listinu je v oblasti evropského občanství</w:t>
      </w:r>
      <w:r w:rsidR="005765B4" w:rsidRPr="009771C8">
        <w:t xml:space="preserve"> </w:t>
      </w:r>
      <w:r w:rsidR="00B00FE1" w:rsidRPr="009771C8">
        <w:t xml:space="preserve">odkázáno </w:t>
      </w:r>
      <w:r w:rsidR="00432AA8">
        <w:t>v celkově sedmi rozsudcích a </w:t>
      </w:r>
      <w:r w:rsidRPr="009771C8">
        <w:t>stanoviscích</w:t>
      </w:r>
      <w:r w:rsidR="00291193" w:rsidRPr="009771C8">
        <w:t xml:space="preserve"> (tři rozsudky a</w:t>
      </w:r>
      <w:r w:rsidRPr="009771C8">
        <w:t> </w:t>
      </w:r>
      <w:r w:rsidR="00291193" w:rsidRPr="009771C8">
        <w:t>čtyři</w:t>
      </w:r>
      <w:r w:rsidR="004E17A2" w:rsidRPr="009771C8">
        <w:t xml:space="preserve"> stanoviska)</w:t>
      </w:r>
      <w:r w:rsidR="00B00FE1" w:rsidRPr="009771C8">
        <w:t xml:space="preserve">. </w:t>
      </w:r>
      <w:r w:rsidR="00501000" w:rsidRPr="009771C8">
        <w:t>Ve všech případech se opět jednalo o řízení o</w:t>
      </w:r>
      <w:r w:rsidR="00F93B1C" w:rsidRPr="009771C8">
        <w:t> </w:t>
      </w:r>
      <w:r w:rsidR="00501000" w:rsidRPr="009771C8">
        <w:t xml:space="preserve">předběžných otázkách. </w:t>
      </w:r>
      <w:r w:rsidR="00CD06F3" w:rsidRPr="009771C8">
        <w:t>Listina je až na jednu výjimku zmíněna buď v právním rámci</w:t>
      </w:r>
      <w:r w:rsidR="00BB3AD7" w:rsidRPr="009771C8">
        <w:t>, který se k</w:t>
      </w:r>
      <w:r w:rsidR="00CD06F3" w:rsidRPr="009771C8">
        <w:t xml:space="preserve"> případům </w:t>
      </w:r>
      <w:r w:rsidR="00BB3AD7" w:rsidRPr="009771C8">
        <w:t xml:space="preserve">vztahuje anebo jako potvrzení garance konkrétního práva. </w:t>
      </w:r>
      <w:r w:rsidR="00CD06F3" w:rsidRPr="009771C8">
        <w:t xml:space="preserve">Jedná se o tyto případy </w:t>
      </w:r>
      <w:r w:rsidR="00164BF0" w:rsidRPr="009771C8">
        <w:rPr>
          <w:b/>
        </w:rPr>
        <w:t>Sayn-Wittgenstein</w:t>
      </w:r>
      <w:r w:rsidR="003E7846" w:rsidRPr="009771C8">
        <w:rPr>
          <w:rStyle w:val="Funotenzeichen"/>
          <w:b/>
        </w:rPr>
        <w:footnoteReference w:id="92"/>
      </w:r>
      <w:r w:rsidR="00CD06F3" w:rsidRPr="009771C8">
        <w:t xml:space="preserve"> (rozsudek a stanovisko), </w:t>
      </w:r>
      <w:r w:rsidR="00164BF0" w:rsidRPr="009771C8">
        <w:rPr>
          <w:b/>
        </w:rPr>
        <w:t>McCarthy</w:t>
      </w:r>
      <w:r w:rsidR="003E7846" w:rsidRPr="009771C8">
        <w:rPr>
          <w:rStyle w:val="Funotenzeichen"/>
          <w:b/>
        </w:rPr>
        <w:footnoteReference w:id="93"/>
      </w:r>
      <w:r w:rsidR="00CD06F3" w:rsidRPr="009771C8">
        <w:t xml:space="preserve"> (stanovisko), </w:t>
      </w:r>
      <w:r w:rsidR="00164BF0" w:rsidRPr="009771C8">
        <w:rPr>
          <w:b/>
        </w:rPr>
        <w:t>Tsakouridis</w:t>
      </w:r>
      <w:r w:rsidR="003D2919" w:rsidRPr="009771C8">
        <w:rPr>
          <w:rStyle w:val="Funotenzeichen"/>
          <w:b/>
        </w:rPr>
        <w:footnoteReference w:id="94"/>
      </w:r>
      <w:r w:rsidR="00CD06F3" w:rsidRPr="009771C8">
        <w:t xml:space="preserve"> (rozsudek a</w:t>
      </w:r>
      <w:r w:rsidR="00F93B1C" w:rsidRPr="009771C8">
        <w:t> </w:t>
      </w:r>
      <w:r w:rsidR="00CD06F3" w:rsidRPr="009771C8">
        <w:t>stanovisko) a</w:t>
      </w:r>
      <w:r w:rsidR="00265FE7" w:rsidRPr="009771C8">
        <w:t xml:space="preserve"> </w:t>
      </w:r>
      <w:r w:rsidR="00164BF0" w:rsidRPr="009771C8">
        <w:rPr>
          <w:b/>
        </w:rPr>
        <w:t>Lassal</w:t>
      </w:r>
      <w:r w:rsidR="004C3417" w:rsidRPr="009771C8">
        <w:rPr>
          <w:rStyle w:val="Funotenzeichen"/>
          <w:b/>
        </w:rPr>
        <w:footnoteReference w:id="95"/>
      </w:r>
      <w:r w:rsidR="00CD06F3" w:rsidRPr="009771C8">
        <w:t xml:space="preserve"> (rozsudek). </w:t>
      </w:r>
      <w:r w:rsidR="006A3FD5" w:rsidRPr="009771C8">
        <w:t>Spory se týkaly dvojího občanství, oprávněno</w:t>
      </w:r>
      <w:r w:rsidR="004E17A2" w:rsidRPr="009771C8">
        <w:t>sti zrušení šlechtického titulu,</w:t>
      </w:r>
      <w:r w:rsidR="006A3FD5" w:rsidRPr="009771C8">
        <w:t xml:space="preserve"> přiznání trvalého pobytu na území členského státu. </w:t>
      </w:r>
    </w:p>
    <w:p w:rsidR="00225023" w:rsidRPr="009771C8" w:rsidRDefault="006A3FD5" w:rsidP="00B811CC">
      <w:r w:rsidRPr="009771C8">
        <w:lastRenderedPageBreak/>
        <w:t xml:space="preserve">Za stěžejní případ v této oblasti považuji </w:t>
      </w:r>
      <w:r w:rsidR="004E17A2" w:rsidRPr="009771C8">
        <w:t xml:space="preserve">stanovisko </w:t>
      </w:r>
      <w:r w:rsidR="002C2389" w:rsidRPr="009771C8">
        <w:rPr>
          <w:b/>
        </w:rPr>
        <w:t>Ruiz Zambrano</w:t>
      </w:r>
      <w:r w:rsidRPr="009771C8">
        <w:rPr>
          <w:rStyle w:val="Funotenzeichen"/>
          <w:b/>
        </w:rPr>
        <w:footnoteReference w:id="96"/>
      </w:r>
      <w:r w:rsidRPr="009771C8">
        <w:t xml:space="preserve">. </w:t>
      </w:r>
      <w:r w:rsidR="00432AA8">
        <w:t>Původní spor se </w:t>
      </w:r>
      <w:r w:rsidR="00126104" w:rsidRPr="009771C8">
        <w:t>týkal žádosti o přiznání postavení azylanta v Belgii pro rodinu</w:t>
      </w:r>
      <w:r w:rsidR="00FA56E0" w:rsidRPr="009771C8">
        <w:t>, jejíž členové byli</w:t>
      </w:r>
      <w:r w:rsidR="00126104" w:rsidRPr="009771C8">
        <w:t xml:space="preserve"> </w:t>
      </w:r>
      <w:r w:rsidR="00FA56E0" w:rsidRPr="009771C8">
        <w:t>kolumbijští státní příslušníci</w:t>
      </w:r>
      <w:r w:rsidR="00126104" w:rsidRPr="009771C8">
        <w:t>. Dvě ze tří předběžných otázek se dotazují na výklad v souvislosti s Listinou a GA Eleanor Sharpston v</w:t>
      </w:r>
      <w:r w:rsidR="003101F0" w:rsidRPr="009771C8">
        <w:t> argumentaci v</w:t>
      </w:r>
      <w:r w:rsidR="00126104" w:rsidRPr="009771C8">
        <w:t xml:space="preserve">e svém stanovisku </w:t>
      </w:r>
      <w:r w:rsidR="003101F0" w:rsidRPr="009771C8">
        <w:t>ustanovení Listiny často využívá</w:t>
      </w:r>
      <w:r w:rsidR="00126104" w:rsidRPr="009771C8">
        <w:t>. Předběžné otázky obsahují odkazy na čl. 21, 24 a 34 (zákaz diskriminace, práva dítěte a sociální zabezpečení a</w:t>
      </w:r>
      <w:r w:rsidR="00F4253A" w:rsidRPr="009771C8">
        <w:t> </w:t>
      </w:r>
      <w:r w:rsidR="00126104" w:rsidRPr="009771C8">
        <w:t>sociální pomoc). Listina je kromě několika zmínek v právním rámci, který se případu týká, uvedena v argumentaci GA. Jsou znovu opakována s čl. 7, která zaručuje právo na</w:t>
      </w:r>
      <w:r w:rsidR="00F4253A" w:rsidRPr="009771C8">
        <w:t> </w:t>
      </w:r>
      <w:r w:rsidR="00126104" w:rsidRPr="009771C8">
        <w:t xml:space="preserve">respektování soukromého a rodinného života výše zmíněná práva. </w:t>
      </w:r>
      <w:r w:rsidR="004C35F0" w:rsidRPr="009771C8">
        <w:t xml:space="preserve">GA uvádí, že sice v době, kdy spor vznikl, Listina nebyla závazná, měla povahu tzv. </w:t>
      </w:r>
      <w:r w:rsidR="004C35F0" w:rsidRPr="009771C8">
        <w:rPr>
          <w:i/>
        </w:rPr>
        <w:t>„soft law“</w:t>
      </w:r>
      <w:r w:rsidR="004C35F0" w:rsidRPr="009771C8">
        <w:t xml:space="preserve">, ale už tehdy byla používána jako nástroj k interpretaci v případech, které se týkaly práva na rodinný život. </w:t>
      </w:r>
      <w:r w:rsidR="004F48F7" w:rsidRPr="009771C8">
        <w:t>Závaznost Listiny se změnila po dokončení ratifikačního procesu Lisabonské smlouvy, Listina se stala součástí primárního práva. Tyto argumenty GA Sharspton používá, když argumentuje pro svůj závěr, že Belgie nejednala v souladu s právem Unie, když oso</w:t>
      </w:r>
      <w:r w:rsidR="00432AA8">
        <w:t>bám nepřiznala statut azylanta.</w:t>
      </w:r>
    </w:p>
    <w:p w:rsidR="00F93B1C" w:rsidRPr="009771C8" w:rsidRDefault="00F93B1C" w:rsidP="00F93B1C">
      <w:bookmarkStart w:id="30" w:name="_Toc288488667"/>
      <w:bookmarkStart w:id="31" w:name="_Toc288491597"/>
    </w:p>
    <w:p w:rsidR="000A454D" w:rsidRPr="009771C8" w:rsidRDefault="00F40621" w:rsidP="00420E79">
      <w:pPr>
        <w:pStyle w:val="NADPIS3"/>
        <w:outlineLvl w:val="0"/>
      </w:pPr>
      <w:bookmarkStart w:id="32" w:name="_Toc291022224"/>
      <w:r w:rsidRPr="009771C8">
        <w:t>Zásady práva společenství</w:t>
      </w:r>
      <w:bookmarkEnd w:id="30"/>
      <w:bookmarkEnd w:id="31"/>
      <w:bookmarkEnd w:id="32"/>
      <w:r w:rsidRPr="009771C8">
        <w:t xml:space="preserve"> </w:t>
      </w:r>
    </w:p>
    <w:p w:rsidR="00446C01" w:rsidRPr="009771C8" w:rsidRDefault="00F176EA" w:rsidP="00446C01">
      <w:r w:rsidRPr="009771C8">
        <w:t xml:space="preserve">V tomto </w:t>
      </w:r>
      <w:r w:rsidR="00F4253A" w:rsidRPr="009771C8">
        <w:t xml:space="preserve">tématickém </w:t>
      </w:r>
      <w:r w:rsidRPr="009771C8">
        <w:t>okruhu bylo vydáno celkově 16</w:t>
      </w:r>
      <w:r w:rsidR="007F34AE" w:rsidRPr="009771C8">
        <w:rPr>
          <w:rStyle w:val="Funotenzeichen"/>
        </w:rPr>
        <w:footnoteReference w:id="97"/>
      </w:r>
      <w:r w:rsidRPr="009771C8">
        <w:t xml:space="preserve"> rozsudků a stanovisek, z nichž </w:t>
      </w:r>
      <w:r w:rsidR="00F4253A" w:rsidRPr="009771C8">
        <w:t xml:space="preserve">pouze </w:t>
      </w:r>
      <w:r w:rsidRPr="009771C8">
        <w:t>v jednom rozsudku a stanovisku</w:t>
      </w:r>
      <w:r w:rsidR="007B1F3E" w:rsidRPr="009771C8">
        <w:t xml:space="preserve"> </w:t>
      </w:r>
      <w:r w:rsidRPr="009771C8">
        <w:t xml:space="preserve">bylo odkázáno na Listinu. </w:t>
      </w:r>
      <w:r w:rsidR="009F2393" w:rsidRPr="009771C8">
        <w:t>Jedná se o</w:t>
      </w:r>
      <w:r w:rsidR="00446C01" w:rsidRPr="009771C8">
        <w:t xml:space="preserve"> řízení o</w:t>
      </w:r>
      <w:r w:rsidR="00F4253A" w:rsidRPr="009771C8">
        <w:t> </w:t>
      </w:r>
      <w:r w:rsidR="00446C01" w:rsidRPr="009771C8">
        <w:t>předběžné otázce</w:t>
      </w:r>
      <w:r w:rsidR="009F2393" w:rsidRPr="009771C8">
        <w:t xml:space="preserve"> </w:t>
      </w:r>
      <w:r w:rsidR="00011B9D" w:rsidRPr="009771C8">
        <w:rPr>
          <w:b/>
        </w:rPr>
        <w:t>DEB</w:t>
      </w:r>
      <w:r w:rsidR="009F2393" w:rsidRPr="009771C8">
        <w:rPr>
          <w:rStyle w:val="Funotenzeichen"/>
          <w:b/>
        </w:rPr>
        <w:footnoteReference w:id="98"/>
      </w:r>
      <w:r w:rsidR="00D87FF4" w:rsidRPr="009771C8">
        <w:t xml:space="preserve">, na Listinu je v rozsudku a stanovisku </w:t>
      </w:r>
      <w:r w:rsidR="00DA5367" w:rsidRPr="009771C8">
        <w:t>mnohokrát</w:t>
      </w:r>
      <w:r w:rsidR="00D87FF4" w:rsidRPr="009771C8">
        <w:t xml:space="preserve"> odkazováno</w:t>
      </w:r>
      <w:r w:rsidR="009F2393" w:rsidRPr="009771C8">
        <w:t xml:space="preserve">. </w:t>
      </w:r>
      <w:r w:rsidR="00446C01" w:rsidRPr="009771C8">
        <w:t>V původním sporu se jednalo o výklad zásady efektivity v souvislosti s otázkou, zda tato zásada ukládá povinnost poskytnout právní pomoc právnic</w:t>
      </w:r>
      <w:r w:rsidR="002470B4">
        <w:t>kým osobám. Předběžná otázka se </w:t>
      </w:r>
      <w:r w:rsidR="00446C01" w:rsidRPr="009771C8">
        <w:t>vztahovala k výkladu směrnice Rady 2003/8 o zlepšení přístupu ke spravedlnosti</w:t>
      </w:r>
      <w:r w:rsidR="00446C01" w:rsidRPr="009771C8">
        <w:rPr>
          <w:rStyle w:val="Funotenzeichen"/>
        </w:rPr>
        <w:footnoteReference w:id="99"/>
      </w:r>
      <w:r w:rsidR="00446C01" w:rsidRPr="009771C8">
        <w:t xml:space="preserve">. Listina je zmíněna </w:t>
      </w:r>
      <w:r w:rsidR="00A81BC9" w:rsidRPr="009771C8">
        <w:t xml:space="preserve">tradičně </w:t>
      </w:r>
      <w:r w:rsidR="00446C01" w:rsidRPr="009771C8">
        <w:t>v úvodu v právním rámci, že obecně uznávané právo na přístup ke</w:t>
      </w:r>
      <w:r w:rsidR="00F4253A" w:rsidRPr="009771C8">
        <w:t> </w:t>
      </w:r>
      <w:r w:rsidR="00446C01" w:rsidRPr="009771C8">
        <w:t>spravedlnosti je zakotveno v </w:t>
      </w:r>
      <w:r w:rsidR="00A81BC9" w:rsidRPr="009771C8">
        <w:t>čl. 47 Listiny</w:t>
      </w:r>
      <w:r w:rsidR="00446C01" w:rsidRPr="009771C8">
        <w:t xml:space="preserve">. </w:t>
      </w:r>
      <w:r w:rsidR="00A81BC9" w:rsidRPr="009771C8">
        <w:t xml:space="preserve">V rozsudku se uvádí, že </w:t>
      </w:r>
      <w:r w:rsidR="00446C01" w:rsidRPr="009771C8">
        <w:t>zásada přístu</w:t>
      </w:r>
      <w:r w:rsidR="00F93B1C" w:rsidRPr="009771C8">
        <w:t>pu ke</w:t>
      </w:r>
      <w:r w:rsidR="00F4253A" w:rsidRPr="009771C8">
        <w:t> </w:t>
      </w:r>
      <w:r w:rsidR="00F93B1C" w:rsidRPr="009771C8">
        <w:t>spravedlnosti představuje </w:t>
      </w:r>
      <w:r w:rsidR="00446C01" w:rsidRPr="009771C8">
        <w:t xml:space="preserve">obecnou zásadu práva Unie, která vychází z ústavních tradic společných </w:t>
      </w:r>
      <w:r w:rsidR="006721C0" w:rsidRPr="009771C8">
        <w:t>členským státům a také byla zakotvena v ustavení Úmluvy</w:t>
      </w:r>
      <w:r w:rsidR="00446C01" w:rsidRPr="009771C8">
        <w:t xml:space="preserve">. </w:t>
      </w:r>
      <w:r w:rsidR="00A81BC9" w:rsidRPr="009771C8">
        <w:t>Tím</w:t>
      </w:r>
      <w:r w:rsidR="00565225" w:rsidRPr="009771C8">
        <w:t>,</w:t>
      </w:r>
      <w:r w:rsidR="00A81BC9" w:rsidRPr="009771C8">
        <w:t xml:space="preserve"> jakoby ESD </w:t>
      </w:r>
      <w:r w:rsidR="00A81BC9" w:rsidRPr="009771C8">
        <w:lastRenderedPageBreak/>
        <w:t xml:space="preserve">dával přednost těmto dvěma vyjádřením unijního práva před Listinou. </w:t>
      </w:r>
      <w:r w:rsidR="00446C01" w:rsidRPr="009771C8">
        <w:t xml:space="preserve">V následujícím </w:t>
      </w:r>
      <w:r w:rsidR="00A81BC9" w:rsidRPr="009771C8">
        <w:t>bodě</w:t>
      </w:r>
      <w:r w:rsidR="00446C01" w:rsidRPr="009771C8">
        <w:t xml:space="preserve"> ESD uvádí, že je nutné od vstupu Lisabonské smlouvy </w:t>
      </w:r>
      <w:r w:rsidR="00F4253A" w:rsidRPr="009771C8">
        <w:t xml:space="preserve">v platnost </w:t>
      </w:r>
      <w:r w:rsidR="00446C01" w:rsidRPr="009771C8">
        <w:t xml:space="preserve">zohlednit Listinu a dále zmiňuje, komu je Listina určena (čl. 51 odst. 1). </w:t>
      </w:r>
      <w:r w:rsidR="00D87FF4" w:rsidRPr="009771C8">
        <w:t>Z</w:t>
      </w:r>
      <w:r w:rsidR="00A81BC9" w:rsidRPr="009771C8">
        <w:t xml:space="preserve">míněn </w:t>
      </w:r>
      <w:r w:rsidR="00933B98" w:rsidRPr="009771C8">
        <w:t xml:space="preserve">je </w:t>
      </w:r>
      <w:r w:rsidR="00A81BC9" w:rsidRPr="009771C8">
        <w:t>čl. 47 Listiny, ve kterém je zakotveno právo na účinno</w:t>
      </w:r>
      <w:r w:rsidR="00933B98" w:rsidRPr="009771C8">
        <w:t>u právní ochranu a </w:t>
      </w:r>
      <w:r w:rsidR="00A81BC9" w:rsidRPr="009771C8">
        <w:t>spravedlivý proces</w:t>
      </w:r>
      <w:r w:rsidR="00446C01" w:rsidRPr="009771C8">
        <w:t>. V dalším bodě ESD odkazuje na vysvětlení k Listině, ve které</w:t>
      </w:r>
      <w:r w:rsidR="00A81BC9" w:rsidRPr="009771C8">
        <w:t>m</w:t>
      </w:r>
      <w:r w:rsidR="00446C01" w:rsidRPr="009771C8">
        <w:t xml:space="preserve"> se uvádí, že čl. 47 pododstavec druhý Lis</w:t>
      </w:r>
      <w:r w:rsidR="005F2FA4" w:rsidRPr="009771C8">
        <w:t>tiny odpovídá čl. 6 odst. 1 Úmluvy</w:t>
      </w:r>
      <w:r w:rsidR="00446C01" w:rsidRPr="009771C8">
        <w:t xml:space="preserve">. Na základě těchto skutečností ESD uvádí, že je třeba přeformulovat předběžnou otázku – část této nově formulované předběžné otázky obsahuje ujištění, že zásada účinné soudní ochrany je v Listině zakotvena v čl. 47. </w:t>
      </w:r>
      <w:r w:rsidR="00A81BC9" w:rsidRPr="009771C8">
        <w:t>Dále je</w:t>
      </w:r>
      <w:r w:rsidR="00446C01" w:rsidRPr="009771C8">
        <w:t xml:space="preserve"> zmíněna provázanost Listiny a </w:t>
      </w:r>
      <w:r w:rsidR="005F2FA4" w:rsidRPr="009771C8">
        <w:t>Úmluvy</w:t>
      </w:r>
      <w:r w:rsidR="00446C01" w:rsidRPr="009771C8">
        <w:t xml:space="preserve"> (čl. 52</w:t>
      </w:r>
      <w:r w:rsidR="00A81BC9" w:rsidRPr="009771C8">
        <w:t xml:space="preserve"> Listiny</w:t>
      </w:r>
      <w:r w:rsidR="00446C01" w:rsidRPr="009771C8">
        <w:t xml:space="preserve">). </w:t>
      </w:r>
      <w:r w:rsidR="00774CDF" w:rsidRPr="009771C8">
        <w:t>V další části rozsudku se rozebírá možnost, zda právní pomoc je možno poskytnou i právnické osobě či nikoliv. K tomuto j</w:t>
      </w:r>
      <w:r w:rsidR="00446C01" w:rsidRPr="009771C8">
        <w:t xml:space="preserve">e uvedeno stanovisko EK, která uvádí, že slovo každý v čl. 47 </w:t>
      </w:r>
      <w:r w:rsidR="00446C01" w:rsidRPr="009771C8">
        <w:rPr>
          <w:i/>
        </w:rPr>
        <w:t>„se může vztahovat na jednotlivce, ale z čistě lingvistického hlediska nevylučuje ani právnické osoby“</w:t>
      </w:r>
      <w:r w:rsidR="00933B98" w:rsidRPr="009771C8">
        <w:rPr>
          <w:i/>
        </w:rPr>
        <w:t xml:space="preserve"> </w:t>
      </w:r>
      <w:r w:rsidR="00933B98" w:rsidRPr="009771C8">
        <w:t>(bod 38 rozhodnutí)</w:t>
      </w:r>
      <w:r w:rsidR="00446C01" w:rsidRPr="009771C8">
        <w:t>. V dalším bodě je uvedeno, že právo na účinné prostředky nápravy před soudem je kromě čl. 47 uvedeno také v hlavě VI. týkající se soudnictví a taky, že když toto právo není uvedeno v hlavě IV. týkajíc</w:t>
      </w:r>
      <w:r w:rsidR="00774CDF" w:rsidRPr="009771C8">
        <w:t>í</w:t>
      </w:r>
      <w:r w:rsidR="00446C01" w:rsidRPr="009771C8">
        <w:t xml:space="preserve"> se Solidarity, naznačuje to, že to</w:t>
      </w:r>
      <w:r w:rsidR="00774CDF" w:rsidRPr="009771C8">
        <w:t>to právo není pojímáno jako sociální</w:t>
      </w:r>
      <w:r w:rsidR="00446C01" w:rsidRPr="009771C8">
        <w:t xml:space="preserve"> pomoc, jak je tomu v případě německého práva (a to je uváděno německou vládou jako potvrzení, že takové právo náleží jen fyzickým osobám). V bodě 42 je pak uvedeno, že začlenění práva do práv účinných prostředků práva před soudy, v tomto smyslu je potřeba vzít jako výchozí bod právo samotné osoby a ne obecný zájem spo</w:t>
      </w:r>
      <w:r w:rsidR="002470B4">
        <w:t>lečnosti. Na posledním místě je </w:t>
      </w:r>
      <w:r w:rsidR="00446C01" w:rsidRPr="009771C8">
        <w:t xml:space="preserve">Listina zmíněna v samotné odpovědi na předběžnou otázku v bodě 59. </w:t>
      </w:r>
    </w:p>
    <w:p w:rsidR="00446C01" w:rsidRPr="009771C8" w:rsidRDefault="00D87FF4" w:rsidP="00446C01">
      <w:r w:rsidRPr="009771C8">
        <w:t>GA</w:t>
      </w:r>
      <w:r w:rsidR="00446C01" w:rsidRPr="009771C8">
        <w:t xml:space="preserve"> Paolo Mengozzi ve svém stanovisku vydaném 2. září 2010 zmiňuje Listinu v právním rámci k případu. Dále je Listina zmíněna v otázce rozsahu právní pomoci právnických osobám – tedy jestli evropské právo zaručuje právnickým osobám právo na</w:t>
      </w:r>
      <w:r w:rsidR="00B53F73" w:rsidRPr="009771C8">
        <w:t> </w:t>
      </w:r>
      <w:r w:rsidR="00446C01" w:rsidRPr="009771C8">
        <w:t xml:space="preserve">právní pomoc. Listina je zmíněna </w:t>
      </w:r>
      <w:r w:rsidR="00933B98" w:rsidRPr="009771C8">
        <w:t>také na konci stanoviska</w:t>
      </w:r>
      <w:r w:rsidR="00446C01" w:rsidRPr="009771C8">
        <w:t xml:space="preserve">, kde se </w:t>
      </w:r>
      <w:r w:rsidR="00933B98" w:rsidRPr="009771C8">
        <w:t>GA</w:t>
      </w:r>
      <w:r w:rsidR="00446C01" w:rsidRPr="009771C8">
        <w:t xml:space="preserve"> opírá o její ustanovení při zdůvodňování svého rozhodnutí. </w:t>
      </w:r>
    </w:p>
    <w:p w:rsidR="00F93B1C" w:rsidRPr="009771C8" w:rsidRDefault="00F93B1C" w:rsidP="00446C01">
      <w:r w:rsidRPr="009771C8">
        <w:t>V tomto rozsudku Listina určitě zabírá významné místo vzhledem k množství odkazů na její ustanovení. Ovšem i tento rozsudek může být dalším potvrzením přístupu ESD, kdy lucemburský soud dává ve své argumentaci velký pr</w:t>
      </w:r>
      <w:r w:rsidR="00B53F73" w:rsidRPr="009771C8">
        <w:t>ostor obecným zásadám právním a </w:t>
      </w:r>
      <w:r w:rsidRPr="009771C8">
        <w:t>ustanovení</w:t>
      </w:r>
      <w:r w:rsidR="00B53F73" w:rsidRPr="009771C8">
        <w:t>m Úmluvy</w:t>
      </w:r>
      <w:r w:rsidRPr="009771C8">
        <w:t xml:space="preserve">. </w:t>
      </w:r>
    </w:p>
    <w:p w:rsidR="00575D4F" w:rsidRPr="009771C8" w:rsidRDefault="00575D4F">
      <w:pPr>
        <w:spacing w:line="240" w:lineRule="auto"/>
        <w:ind w:firstLine="0"/>
        <w:jc w:val="left"/>
      </w:pPr>
      <w:r w:rsidRPr="009771C8">
        <w:br w:type="page"/>
      </w:r>
    </w:p>
    <w:p w:rsidR="00A214E5" w:rsidRPr="009771C8" w:rsidRDefault="00A214E5" w:rsidP="00420E79">
      <w:pPr>
        <w:pStyle w:val="NADPIS3"/>
        <w:outlineLvl w:val="0"/>
      </w:pPr>
      <w:bookmarkStart w:id="33" w:name="_Toc288488668"/>
      <w:bookmarkStart w:id="34" w:name="_Toc288491598"/>
      <w:bookmarkStart w:id="35" w:name="_Toc291022225"/>
      <w:r w:rsidRPr="009771C8">
        <w:lastRenderedPageBreak/>
        <w:t>Svoboda usazování</w:t>
      </w:r>
      <w:bookmarkEnd w:id="33"/>
      <w:bookmarkEnd w:id="34"/>
      <w:bookmarkEnd w:id="35"/>
    </w:p>
    <w:p w:rsidR="00A214E5" w:rsidRPr="009771C8" w:rsidRDefault="00795EFA" w:rsidP="00446C01">
      <w:r w:rsidRPr="009771C8">
        <w:t>V</w:t>
      </w:r>
      <w:r w:rsidR="008F1E7B" w:rsidRPr="009771C8">
        <w:t> devíti případech je odkázáno v textu na Listinu</w:t>
      </w:r>
      <w:r w:rsidR="003D132E" w:rsidRPr="009771C8">
        <w:t>, jedná se o spojené řízení, takže ESD vydal jeden rozsudek a dvě stanoviska</w:t>
      </w:r>
      <w:r w:rsidR="008F1E7B" w:rsidRPr="009771C8">
        <w:t xml:space="preserve">. </w:t>
      </w:r>
      <w:r w:rsidR="00DD0615" w:rsidRPr="009771C8">
        <w:t xml:space="preserve">V této oblasti se také poprvé objevují jiné druhy řízení, než je řízení o předběžné otázce. </w:t>
      </w:r>
      <w:r w:rsidR="00B45B94" w:rsidRPr="009771C8">
        <w:t xml:space="preserve">Jedná o vydání společného stanoviska pro sedm případů </w:t>
      </w:r>
      <w:r w:rsidRPr="009771C8">
        <w:rPr>
          <w:b/>
        </w:rPr>
        <w:t>Komise v Belgie</w:t>
      </w:r>
      <w:r w:rsidR="00115B37" w:rsidRPr="009771C8">
        <w:rPr>
          <w:rStyle w:val="Funotenzeichen"/>
          <w:b/>
        </w:rPr>
        <w:footnoteReference w:id="100"/>
      </w:r>
      <w:r w:rsidR="00B45B94" w:rsidRPr="009771C8">
        <w:t xml:space="preserve"> (tyto případy budu citovat jako jednu položku)</w:t>
      </w:r>
      <w:r w:rsidR="00D44DD5" w:rsidRPr="009771C8">
        <w:t>, ve kterých EK podává žalobu pro nesplnění povinnosti</w:t>
      </w:r>
      <w:r w:rsidR="00B45B94" w:rsidRPr="009771C8">
        <w:t>, dále do</w:t>
      </w:r>
      <w:r w:rsidR="00824515" w:rsidRPr="009771C8">
        <w:t> </w:t>
      </w:r>
      <w:r w:rsidR="00B45B94" w:rsidRPr="009771C8">
        <w:t xml:space="preserve">této oblasti patří společné řízení </w:t>
      </w:r>
      <w:r w:rsidR="003D132E" w:rsidRPr="009771C8">
        <w:t xml:space="preserve">a vydání rozsudku </w:t>
      </w:r>
      <w:r w:rsidR="00B45B94" w:rsidRPr="009771C8">
        <w:t xml:space="preserve">ve věci </w:t>
      </w:r>
      <w:r w:rsidRPr="009771C8">
        <w:rPr>
          <w:b/>
        </w:rPr>
        <w:t>Blanco Pérez a Chao Gómez</w:t>
      </w:r>
      <w:r w:rsidR="00861504" w:rsidRPr="009771C8">
        <w:rPr>
          <w:rStyle w:val="Funotenzeichen"/>
          <w:b/>
        </w:rPr>
        <w:footnoteReference w:id="101"/>
      </w:r>
      <w:r w:rsidR="00D44DD5" w:rsidRPr="009771C8">
        <w:t>, které je řízením o předběžné otázce</w:t>
      </w:r>
      <w:r w:rsidR="00B45B94" w:rsidRPr="009771C8">
        <w:t xml:space="preserve">. </w:t>
      </w:r>
      <w:r w:rsidR="00DD0615" w:rsidRPr="009771C8">
        <w:t>Posledním případem je vydání stanoviska</w:t>
      </w:r>
      <w:r w:rsidR="00B45B94" w:rsidRPr="009771C8">
        <w:t xml:space="preserve"> v rozhodnutí sporu ve</w:t>
      </w:r>
      <w:r w:rsidR="00824515" w:rsidRPr="009771C8">
        <w:t> </w:t>
      </w:r>
      <w:r w:rsidR="00B45B94" w:rsidRPr="009771C8">
        <w:t xml:space="preserve">věci </w:t>
      </w:r>
      <w:r w:rsidRPr="009771C8">
        <w:rPr>
          <w:b/>
        </w:rPr>
        <w:t>Komise v Portugalsko</w:t>
      </w:r>
      <w:r w:rsidR="00F06612" w:rsidRPr="009771C8">
        <w:rPr>
          <w:rStyle w:val="Funotenzeichen"/>
          <w:b/>
        </w:rPr>
        <w:footnoteReference w:id="102"/>
      </w:r>
      <w:r w:rsidR="00B45B94" w:rsidRPr="009771C8">
        <w:t xml:space="preserve">. </w:t>
      </w:r>
      <w:r w:rsidR="00ED2E68" w:rsidRPr="009771C8">
        <w:t xml:space="preserve">Ve sporech se jedná o </w:t>
      </w:r>
      <w:r w:rsidR="00DD0615" w:rsidRPr="009771C8">
        <w:t>řízení o žalobách</w:t>
      </w:r>
      <w:r w:rsidR="00ED2E68" w:rsidRPr="009771C8">
        <w:t xml:space="preserve"> </w:t>
      </w:r>
      <w:r w:rsidR="00CA6643" w:rsidRPr="009771C8">
        <w:t>EK na členské</w:t>
      </w:r>
      <w:r w:rsidR="00DD0615" w:rsidRPr="009771C8">
        <w:t xml:space="preserve"> státy pro</w:t>
      </w:r>
      <w:r w:rsidR="00824515" w:rsidRPr="009771C8">
        <w:t> </w:t>
      </w:r>
      <w:r w:rsidR="00DD0615" w:rsidRPr="009771C8">
        <w:t>neprovedení směrnice</w:t>
      </w:r>
      <w:r w:rsidR="00CA6643" w:rsidRPr="009771C8">
        <w:t xml:space="preserve"> </w:t>
      </w:r>
      <w:r w:rsidR="00DD0615" w:rsidRPr="009771C8">
        <w:t xml:space="preserve">a </w:t>
      </w:r>
      <w:r w:rsidR="00CA6643" w:rsidRPr="009771C8">
        <w:t xml:space="preserve">svobodné podnikání. </w:t>
      </w:r>
      <w:r w:rsidR="00F80C59" w:rsidRPr="009771C8">
        <w:t>V prvn</w:t>
      </w:r>
      <w:r w:rsidR="004B1EE9">
        <w:t>ích dvou zmíněných případech je </w:t>
      </w:r>
      <w:r w:rsidR="00F80C59" w:rsidRPr="009771C8">
        <w:t>Listina použita jako potvrzení právního zakotvení předmětných práv, tzn.</w:t>
      </w:r>
      <w:r w:rsidR="001517DA" w:rsidRPr="009771C8">
        <w:t>,</w:t>
      </w:r>
      <w:r w:rsidR="00F80C59" w:rsidRPr="009771C8">
        <w:t xml:space="preserve"> ve společném stanovisku </w:t>
      </w:r>
      <w:r w:rsidR="0059008B" w:rsidRPr="009771C8">
        <w:t>sedmi řízení se jedná o zásadu rovnosti před zákonem a zákazu diskriminace (čl.</w:t>
      </w:r>
      <w:r w:rsidR="00575D4F" w:rsidRPr="009771C8">
        <w:t> </w:t>
      </w:r>
      <w:r w:rsidR="0059008B" w:rsidRPr="009771C8">
        <w:t xml:space="preserve">20 a 21 Listiny) a v řízení </w:t>
      </w:r>
      <w:r w:rsidRPr="009771C8">
        <w:t>Blanco Pérez a Chao Gómez</w:t>
      </w:r>
      <w:r w:rsidR="0059008B" w:rsidRPr="009771C8">
        <w:t xml:space="preserve"> </w:t>
      </w:r>
      <w:r w:rsidR="00F13A01" w:rsidRPr="009771C8">
        <w:t xml:space="preserve">zakotvená ochrana zdraví v čl. 35. </w:t>
      </w:r>
      <w:r w:rsidR="003D1D68" w:rsidRPr="009771C8">
        <w:t>V posledním případ</w:t>
      </w:r>
      <w:r w:rsidR="00575D4F" w:rsidRPr="009771C8">
        <w:t>ě</w:t>
      </w:r>
      <w:r w:rsidR="003D1D68" w:rsidRPr="009771C8">
        <w:t xml:space="preserve"> je Listina uváděna stranami sporu a ne ESD. </w:t>
      </w:r>
    </w:p>
    <w:p w:rsidR="00824515" w:rsidRPr="009771C8" w:rsidRDefault="00824515" w:rsidP="00446C01">
      <w:r w:rsidRPr="009771C8">
        <w:t xml:space="preserve">V této oblasti, stejně jako v okruhu případů k policejní a soudní spolupráci, je Listina </w:t>
      </w:r>
      <w:r w:rsidR="003F11A4" w:rsidRPr="009771C8">
        <w:t xml:space="preserve">opět </w:t>
      </w:r>
      <w:r w:rsidRPr="009771C8">
        <w:t>použita jako p</w:t>
      </w:r>
      <w:r w:rsidR="003F11A4" w:rsidRPr="009771C8">
        <w:t xml:space="preserve">otvrzení práv, která jsou v Unii chráněna na základě obecných zásad právních. </w:t>
      </w:r>
    </w:p>
    <w:p w:rsidR="00BC2F5D" w:rsidRPr="009771C8" w:rsidRDefault="00BC2F5D" w:rsidP="00446C01"/>
    <w:p w:rsidR="005C2966" w:rsidRPr="009771C8" w:rsidRDefault="005C2966" w:rsidP="00420E79">
      <w:pPr>
        <w:pStyle w:val="NADPIS3"/>
        <w:outlineLvl w:val="0"/>
      </w:pPr>
      <w:bookmarkStart w:id="36" w:name="_Toc288488669"/>
      <w:bookmarkStart w:id="37" w:name="_Toc288491599"/>
      <w:bookmarkStart w:id="38" w:name="_Toc291022226"/>
      <w:r w:rsidRPr="009771C8">
        <w:t>Hospodářská soutěž</w:t>
      </w:r>
      <w:bookmarkEnd w:id="36"/>
      <w:bookmarkEnd w:id="37"/>
      <w:bookmarkEnd w:id="38"/>
    </w:p>
    <w:p w:rsidR="00DB7B86" w:rsidRPr="009771C8" w:rsidRDefault="002E5FF7" w:rsidP="00B01BF6">
      <w:r w:rsidRPr="009771C8">
        <w:t>V</w:t>
      </w:r>
      <w:r w:rsidR="008758D4" w:rsidRPr="009771C8">
        <w:t xml:space="preserve">e čtyřech případech </w:t>
      </w:r>
      <w:r w:rsidR="00575D4F" w:rsidRPr="009771C8">
        <w:t xml:space="preserve">hospodářské soutěže </w:t>
      </w:r>
      <w:r w:rsidR="008758D4" w:rsidRPr="009771C8">
        <w:t>je odkázáno na Listinu</w:t>
      </w:r>
      <w:r w:rsidR="003D132E" w:rsidRPr="009771C8">
        <w:t xml:space="preserve"> (dva rozsudky a dvě stanoviska)</w:t>
      </w:r>
      <w:r w:rsidR="008758D4" w:rsidRPr="009771C8">
        <w:t xml:space="preserve">. </w:t>
      </w:r>
      <w:r w:rsidR="00D9076C" w:rsidRPr="009771C8">
        <w:t xml:space="preserve">V prvním případě stanoviska </w:t>
      </w:r>
      <w:r w:rsidR="00B01BF6" w:rsidRPr="009771C8">
        <w:rPr>
          <w:b/>
        </w:rPr>
        <w:t>Pfleiderer</w:t>
      </w:r>
      <w:r w:rsidR="00A74C65" w:rsidRPr="009771C8">
        <w:rPr>
          <w:rStyle w:val="Funotenzeichen"/>
          <w:b/>
        </w:rPr>
        <w:footnoteReference w:id="103"/>
      </w:r>
      <w:r w:rsidR="00D9076C" w:rsidRPr="009771C8">
        <w:t xml:space="preserve"> GA Jána Mazáka je Listina uvedena hned několikrát, jak v</w:t>
      </w:r>
      <w:r w:rsidR="00715CF4" w:rsidRPr="009771C8">
        <w:t> </w:t>
      </w:r>
      <w:r w:rsidR="00D9076C" w:rsidRPr="009771C8">
        <w:t xml:space="preserve">souvislosti s právním rámcem, tak ji </w:t>
      </w:r>
      <w:r w:rsidR="00575D4F" w:rsidRPr="009771C8">
        <w:t xml:space="preserve">Mazák </w:t>
      </w:r>
      <w:r w:rsidR="00D9076C" w:rsidRPr="009771C8">
        <w:t>využívá jako oporu pro své odůvodnění a v závěru v</w:t>
      </w:r>
      <w:r w:rsidR="00715CF4" w:rsidRPr="009771C8">
        <w:t> </w:t>
      </w:r>
      <w:r w:rsidR="00D9076C" w:rsidRPr="009771C8">
        <w:t xml:space="preserve">samotné odpovědi na předběžnou otázku. </w:t>
      </w:r>
      <w:r w:rsidR="00A74C65" w:rsidRPr="009771C8">
        <w:t>V rozsudku ESD v případu</w:t>
      </w:r>
      <w:r w:rsidR="00D9076C" w:rsidRPr="009771C8">
        <w:t xml:space="preserve"> </w:t>
      </w:r>
      <w:r w:rsidR="00B01BF6" w:rsidRPr="009771C8">
        <w:rPr>
          <w:b/>
        </w:rPr>
        <w:t xml:space="preserve">Knauf Gips v </w:t>
      </w:r>
      <w:r w:rsidR="0099566D" w:rsidRPr="009771C8">
        <w:rPr>
          <w:b/>
        </w:rPr>
        <w:t>Komise</w:t>
      </w:r>
      <w:r w:rsidR="00A74C65" w:rsidRPr="009771C8">
        <w:rPr>
          <w:rStyle w:val="Funotenzeichen"/>
          <w:b/>
        </w:rPr>
        <w:footnoteReference w:id="104"/>
      </w:r>
      <w:r w:rsidR="00A74C65" w:rsidRPr="009771C8">
        <w:t xml:space="preserve"> Listina</w:t>
      </w:r>
      <w:r w:rsidR="00D9076C" w:rsidRPr="009771C8">
        <w:t xml:space="preserve"> slouží jako potvrzení práva na účinnou právní ochranu. Nejvýznamnějším případem v této oblasti je </w:t>
      </w:r>
      <w:r w:rsidR="0055313F" w:rsidRPr="009771C8">
        <w:t>rozsudek, ale především stan</w:t>
      </w:r>
      <w:r w:rsidR="005C19D5" w:rsidRPr="009771C8">
        <w:t xml:space="preserve">ovisko GA Juliane </w:t>
      </w:r>
      <w:r w:rsidR="005C19D5" w:rsidRPr="009771C8">
        <w:lastRenderedPageBreak/>
        <w:t>Kokott ve věci</w:t>
      </w:r>
      <w:r w:rsidR="0055313F" w:rsidRPr="009771C8">
        <w:t xml:space="preserve"> </w:t>
      </w:r>
      <w:r w:rsidR="00B01BF6" w:rsidRPr="009771C8">
        <w:rPr>
          <w:b/>
        </w:rPr>
        <w:t>Akzo Nobel Chemicals and Akcros Chemicals v Komise</w:t>
      </w:r>
      <w:r w:rsidR="00F009FE" w:rsidRPr="009771C8">
        <w:rPr>
          <w:rStyle w:val="Funotenzeichen"/>
          <w:b/>
        </w:rPr>
        <w:footnoteReference w:id="105"/>
      </w:r>
      <w:r w:rsidR="0055313F" w:rsidRPr="009771C8">
        <w:t xml:space="preserve">. </w:t>
      </w:r>
      <w:r w:rsidR="00190F9F" w:rsidRPr="009771C8">
        <w:t>V</w:t>
      </w:r>
      <w:r w:rsidR="007A1C2A" w:rsidRPr="009771C8">
        <w:t> </w:t>
      </w:r>
      <w:r w:rsidR="00190F9F" w:rsidRPr="009771C8">
        <w:t xml:space="preserve">tomto případu se společnost </w:t>
      </w:r>
      <w:r w:rsidR="0099566D" w:rsidRPr="009771C8">
        <w:t>Akzo kasačním prostředkem domáha</w:t>
      </w:r>
      <w:r w:rsidR="00190F9F" w:rsidRPr="009771C8">
        <w:t>la zrušení rozsudku Soudu</w:t>
      </w:r>
      <w:r w:rsidR="007A1C2A" w:rsidRPr="009771C8">
        <w:t> </w:t>
      </w:r>
      <w:r w:rsidR="00190F9F" w:rsidRPr="009771C8">
        <w:t>prvního stupně (dnešního Tribunálu); v původním řízení šlo o spor mezi touto společností a</w:t>
      </w:r>
      <w:r w:rsidR="007A1C2A" w:rsidRPr="009771C8">
        <w:t> </w:t>
      </w:r>
      <w:r w:rsidR="00190F9F" w:rsidRPr="009771C8">
        <w:t xml:space="preserve">EK, která prováděla kontrolu, zadržela materiály ve společnosti kvůli podezření z porušování pravidel hospodářské soutěže. Při zásahu měli kontroloři EK nahlížet a také zabavit dokumenty, které obsahovaly důvěrnou konverzaci mezi právníky společnosti a jejich klienty. </w:t>
      </w:r>
      <w:r w:rsidR="00F63244" w:rsidRPr="009771C8">
        <w:t>Předběžná otázka se tedy týká toho, zda právo na ochranu komunikace mezi právníkem a jeho klientem se také vztahuje na komunikaci uvnitř</w:t>
      </w:r>
      <w:r w:rsidR="00EA1189" w:rsidRPr="009771C8">
        <w:t xml:space="preserve"> podniku mezi jejím vedením a zaměstnaných právníkem. </w:t>
      </w:r>
      <w:r w:rsidR="00DB1EAA" w:rsidRPr="009771C8">
        <w:t>Listina je v rozsudku zmíněna jako potvrzení zakotvení obecné zásady prává unie rovného zacházení v čl. 20 a 21 Listiny je v rozsudku odkázáno na právo na obhajobu. Stanovisko GA Juliane Kokott obsahuje přes dvacet odkazů na Listinu</w:t>
      </w:r>
      <w:r w:rsidR="00F63244" w:rsidRPr="009771C8">
        <w:t>.</w:t>
      </w:r>
      <w:r w:rsidR="001F2A29" w:rsidRPr="009771C8">
        <w:t xml:space="preserve"> GA Kokott uvádí Listinu v prvé řadě stejně jako v rozhodnutí jako potvrzení garance zásady účinné soudní ochrany v rámci unijního práva. V dalším bodě uvádí, že </w:t>
      </w:r>
      <w:r w:rsidR="002D0C6A" w:rsidRPr="009771C8">
        <w:t>ve všech 27 členských státech</w:t>
      </w:r>
      <w:r w:rsidR="001F2A29" w:rsidRPr="009771C8">
        <w:t xml:space="preserve"> </w:t>
      </w:r>
      <w:r w:rsidR="004A57F2" w:rsidRPr="009771C8">
        <w:t>požívá ochrana komunikace mezi právníkem a j</w:t>
      </w:r>
      <w:r w:rsidR="007A1C2A" w:rsidRPr="009771C8">
        <w:t>eho klientem ochrany a to ať už </w:t>
      </w:r>
      <w:r w:rsidR="004A57F2" w:rsidRPr="009771C8">
        <w:t xml:space="preserve">v nejnižší míře v rámci judikatury, většinou </w:t>
      </w:r>
      <w:r w:rsidR="002D0C6A" w:rsidRPr="009771C8">
        <w:t xml:space="preserve">ovšem </w:t>
      </w:r>
      <w:r w:rsidR="004A57F2" w:rsidRPr="009771C8">
        <w:t xml:space="preserve">ve formě zákona nebo je toto právo přímo </w:t>
      </w:r>
      <w:r w:rsidR="002D0C6A" w:rsidRPr="009771C8">
        <w:t>zakotveno v ústavních zákonech.</w:t>
      </w:r>
      <w:r w:rsidR="004A57F2" w:rsidRPr="009771C8">
        <w:t xml:space="preserve"> </w:t>
      </w:r>
      <w:r w:rsidR="00E448B9" w:rsidRPr="009771C8">
        <w:t>V</w:t>
      </w:r>
      <w:r w:rsidR="004A57F2" w:rsidRPr="009771C8">
        <w:t xml:space="preserve"> unijním právu má povahu obecné právní zásady, </w:t>
      </w:r>
      <w:r w:rsidR="00E448B9" w:rsidRPr="009771C8">
        <w:t>lze ji dovodit z Úmluvy a</w:t>
      </w:r>
      <w:r w:rsidR="00575D4F" w:rsidRPr="009771C8">
        <w:t> </w:t>
      </w:r>
      <w:r w:rsidR="00E448B9" w:rsidRPr="009771C8">
        <w:t>z</w:t>
      </w:r>
      <w:r w:rsidR="002D0C6A" w:rsidRPr="009771C8">
        <w:t> </w:t>
      </w:r>
      <w:r w:rsidR="00E448B9" w:rsidRPr="009771C8">
        <w:t>ustanovení</w:t>
      </w:r>
      <w:r w:rsidR="002D0C6A" w:rsidRPr="009771C8">
        <w:t xml:space="preserve"> čl. 7, kde je zaručeno respektování komunikace a ve spojení s čl. 47 a 48, kde jsou zajištěny práva na poradu, obhajobu a zastupování a respektování práv na obhajobu. </w:t>
      </w:r>
      <w:r w:rsidR="00E1708B" w:rsidRPr="009771C8">
        <w:t xml:space="preserve">V této souvislosti uvádí, že pokud by právník musel spolupracovat s veřejnými orgány v tom smyslu, že by bylo jeho povinností předávat těmto orgánům informace získané v průběhu právní komunikace, tak by nemohl dostát výše zmíněným právům. </w:t>
      </w:r>
      <w:r w:rsidR="00337695" w:rsidRPr="009771C8">
        <w:t xml:space="preserve">V další částí se GA </w:t>
      </w:r>
      <w:r w:rsidR="00B9291E" w:rsidRPr="009771C8">
        <w:t xml:space="preserve">Juliane </w:t>
      </w:r>
      <w:r w:rsidR="00337695" w:rsidRPr="009771C8">
        <w:t xml:space="preserve">Kokott zabývá </w:t>
      </w:r>
      <w:r w:rsidR="00575D4F" w:rsidRPr="009771C8">
        <w:t xml:space="preserve">1. </w:t>
      </w:r>
      <w:r w:rsidR="00337695" w:rsidRPr="009771C8">
        <w:t>rozsahem ochrany důvěrnosti komunikace mezi právníkem a jeho kli</w:t>
      </w:r>
      <w:r w:rsidR="00DA5367" w:rsidRPr="009771C8">
        <w:t>enty a </w:t>
      </w:r>
      <w:r w:rsidR="00575D4F" w:rsidRPr="009771C8">
        <w:t>2.</w:t>
      </w:r>
      <w:r w:rsidR="00B9291E" w:rsidRPr="009771C8">
        <w:t xml:space="preserve"> údajným</w:t>
      </w:r>
      <w:r w:rsidR="00337695" w:rsidRPr="009771C8">
        <w:t xml:space="preserve"> porušení</w:t>
      </w:r>
      <w:r w:rsidR="00B9291E" w:rsidRPr="009771C8">
        <w:t>m</w:t>
      </w:r>
      <w:r w:rsidR="00337695" w:rsidRPr="009771C8">
        <w:t xml:space="preserve"> zásady rovnosti. V první části se v podstatě řeší otázka, zda toto právo se vztahuje i na interní advokáty, kteří jsou ve firmě v pracovním poměru. </w:t>
      </w:r>
      <w:r w:rsidR="00DA5367" w:rsidRPr="009771C8">
        <w:t xml:space="preserve">Argumentaci pro tento závěr zde citovat nebudu, protože v ní Listina zmíněna není. </w:t>
      </w:r>
      <w:r w:rsidR="00EA4F14" w:rsidRPr="009771C8">
        <w:t xml:space="preserve">V další části je uvedeno, že podle stávající judikatury </w:t>
      </w:r>
      <w:r w:rsidR="007B415D" w:rsidRPr="009771C8">
        <w:t>je toto právo přiznáno advokátům, kteří kumulativně splní dvě podmínky, a sice komunikace musí probíhat v souvislosti s výkonem práva klienta na obhajobu a za druhé se musí jednat o nezávislého právníka, který není ke klientovi vázán pracovní smlouvou. GA Juliane Kokott se potom zabývá otázkou, zda tyto podmínky zakládají překážku v zásadě rovného zacházení, tedy s</w:t>
      </w:r>
      <w:r w:rsidR="004B1EE9">
        <w:t>tejného zacházení s interními a </w:t>
      </w:r>
      <w:r w:rsidR="007B415D" w:rsidRPr="009771C8">
        <w:t xml:space="preserve">externími advokáty. </w:t>
      </w:r>
      <w:r w:rsidR="00A90089" w:rsidRPr="009771C8">
        <w:t>Tady GA Kokott uvádí, že tato obecná zásada je zako</w:t>
      </w:r>
      <w:r w:rsidR="00B9291E" w:rsidRPr="009771C8">
        <w:t>t</w:t>
      </w:r>
      <w:r w:rsidR="00A90089" w:rsidRPr="009771C8">
        <w:t xml:space="preserve">vena v čl. 20 a 21 Listiny. Zajímavou částí je bod 96, ve kterém GA reaguje na stav, kdy neexistuje jednotný trend v členských státech týkající se ochrany komunikace mezi interními právníky. Tady GA </w:t>
      </w:r>
      <w:r w:rsidR="00A90089" w:rsidRPr="009771C8">
        <w:lastRenderedPageBreak/>
        <w:t xml:space="preserve">totiž uvádí, že zásada rovného zacházení, tedy zásada zákazu diskriminace v případě diskriminace na základě věku byla také uznávána unijním právem, když vnitrostátní práva členských států v tomto nebyly vůbec jednotné </w:t>
      </w:r>
      <w:r w:rsidR="00A90089" w:rsidRPr="009771C8">
        <w:rPr>
          <w:i/>
        </w:rPr>
        <w:t>„a</w:t>
      </w:r>
      <w:r w:rsidR="007A1C2A" w:rsidRPr="009771C8">
        <w:rPr>
          <w:i/>
        </w:rPr>
        <w:t> </w:t>
      </w:r>
      <w:r w:rsidR="00A90089" w:rsidRPr="009771C8">
        <w:rPr>
          <w:i/>
        </w:rPr>
        <w:t>byla nadto projevem nového trendu v oblasti ochrany základních práv na úrovni Unie, který byl Evropským parlamentem, Radou a Komisí vyjádřen slavnostním vyhlášením Listiny základních práv, a to s předchozím schválením hlavami států a předsedy vlád členských států na zasedání Evropské rady v Biarritz (říjen 2000)“</w:t>
      </w:r>
      <w:r w:rsidR="00E44FB6" w:rsidRPr="009771C8">
        <w:rPr>
          <w:rStyle w:val="Funotenzeichen"/>
          <w:i/>
        </w:rPr>
        <w:footnoteReference w:id="106"/>
      </w:r>
      <w:r w:rsidR="00A90089" w:rsidRPr="009771C8">
        <w:rPr>
          <w:i/>
        </w:rPr>
        <w:t>.</w:t>
      </w:r>
      <w:r w:rsidR="00EA0BFD" w:rsidRPr="009771C8">
        <w:t xml:space="preserve"> V další </w:t>
      </w:r>
      <w:r w:rsidR="000760D0" w:rsidRPr="009771C8">
        <w:t>části uvádí GA stanovisko</w:t>
      </w:r>
      <w:r w:rsidR="00EA0BFD" w:rsidRPr="009771C8">
        <w:t xml:space="preserve"> některých vedlejších účastníků (např. Irsko), kteří uvádějí, že vzhledem k výše popsanému je pro podniky méně zajímavé v rámci práva na nerušenou poradu, obhajobu a</w:t>
      </w:r>
      <w:r w:rsidR="00575D4F" w:rsidRPr="009771C8">
        <w:t> </w:t>
      </w:r>
      <w:r w:rsidR="00EA0BFD" w:rsidRPr="009771C8">
        <w:t>zastupování využívat poradenství interního právníka. Někteří účastníci v tom vidí porušení práva na</w:t>
      </w:r>
      <w:r w:rsidR="007A1C2A" w:rsidRPr="009771C8">
        <w:t> </w:t>
      </w:r>
      <w:r w:rsidR="00EA0BFD" w:rsidRPr="009771C8">
        <w:t>přiměřený čas a možnosti k přípravě své obhajoby a práva nechat se obhajovat obhájcem a</w:t>
      </w:r>
      <w:r w:rsidR="007A1C2A" w:rsidRPr="009771C8">
        <w:t> </w:t>
      </w:r>
      <w:r w:rsidR="00EA0BFD" w:rsidRPr="009771C8">
        <w:t xml:space="preserve">odkazují na čl. 47 a 48 Listiny. </w:t>
      </w:r>
      <w:r w:rsidR="000760D0" w:rsidRPr="009771C8">
        <w:t xml:space="preserve">S tímto argumentem GA ovšem nesouhlasí. </w:t>
      </w:r>
      <w:r w:rsidR="00825C54" w:rsidRPr="009771C8">
        <w:t>Dále ve</w:t>
      </w:r>
      <w:r w:rsidR="007A1C2A" w:rsidRPr="009771C8">
        <w:t> </w:t>
      </w:r>
      <w:r w:rsidR="00825C54" w:rsidRPr="009771C8">
        <w:t>stanovisku GA uvádí čl. 52 odst. 3 Listiny v souvislosti s tím, že toto ustanovení nerozšiřuje ochran</w:t>
      </w:r>
      <w:r w:rsidR="007A1C2A" w:rsidRPr="009771C8">
        <w:t>u důvěrnosti v unijním právu na </w:t>
      </w:r>
      <w:r w:rsidR="00825C54" w:rsidRPr="009771C8">
        <w:t>komunikaci i s interními právníky a dále používá čl.</w:t>
      </w:r>
      <w:r w:rsidR="007A1C2A" w:rsidRPr="009771C8">
        <w:t> </w:t>
      </w:r>
      <w:r w:rsidR="00825C54" w:rsidRPr="009771C8">
        <w:t>47 a 48 v tom smyslu, zda li tyto ustanovení zaručují právo na poradu, obhajobu a</w:t>
      </w:r>
      <w:r w:rsidR="007A1C2A" w:rsidRPr="009771C8">
        <w:t> </w:t>
      </w:r>
      <w:r w:rsidR="00825C54" w:rsidRPr="009771C8">
        <w:t>zastupování vlastními právníky v zaměstnaneckém poměru k podniku. Dále</w:t>
      </w:r>
      <w:r w:rsidR="00575D4F" w:rsidRPr="009771C8">
        <w:t xml:space="preserve"> GA</w:t>
      </w:r>
      <w:r w:rsidR="00825C54" w:rsidRPr="009771C8">
        <w:t xml:space="preserve"> uvádí čl. 7 s tím, že poskytuje obecnou ochranu soukromé </w:t>
      </w:r>
      <w:r w:rsidR="0078208B" w:rsidRPr="009771C8">
        <w:t xml:space="preserve">komunikaci, pod kterou spadá komunikace mezi podnikem a jeho interním advokátem. Tyto ustanovení využívá ke svému závěru, že doporučuje, aby se ochrana důvěrnosti komunikace nerozšiřovala na komunikaci mezi vedením podniku a interními advokáty. </w:t>
      </w:r>
    </w:p>
    <w:p w:rsidR="00337695" w:rsidRPr="009771C8" w:rsidRDefault="007A1C2A" w:rsidP="00446C01">
      <w:r w:rsidRPr="009771C8">
        <w:t>V této oblasti ze dvou stanovisek a dvou rozhodnutí považuji za důležité stanovisko (ale t</w:t>
      </w:r>
      <w:r w:rsidR="0099566D" w:rsidRPr="009771C8">
        <w:t xml:space="preserve">aké rozsudek) k případu </w:t>
      </w:r>
      <w:r w:rsidR="0099566D" w:rsidRPr="009771C8">
        <w:rPr>
          <w:b/>
        </w:rPr>
        <w:t>Akzo Nobel Chemicals and Akcros Chemicals v Komise</w:t>
      </w:r>
      <w:r w:rsidR="004B1EE9">
        <w:t>, ve </w:t>
      </w:r>
      <w:r w:rsidRPr="009771C8">
        <w:t xml:space="preserve">kterém GA Juliane Kokott </w:t>
      </w:r>
      <w:r w:rsidR="004B1EE9">
        <w:t>často</w:t>
      </w:r>
      <w:r w:rsidRPr="009771C8">
        <w:t xml:space="preserve"> na Listinu odkazuje a také uvádí, že tím, že Listina byla přijata institucemi EU, by</w:t>
      </w:r>
      <w:r w:rsidR="000C6698" w:rsidRPr="009771C8">
        <w:t>la</w:t>
      </w:r>
      <w:r w:rsidRPr="009771C8">
        <w:t xml:space="preserve"> těm</w:t>
      </w:r>
      <w:r w:rsidR="000C6698" w:rsidRPr="009771C8">
        <w:t>ito orgány nastolena nová fáze v</w:t>
      </w:r>
      <w:r w:rsidRPr="009771C8">
        <w:t xml:space="preserve"> přístupu uznávání a ochrany lidských práv a základních svobod v EU, tedy na základě Listiny. Jinými slovy považuje </w:t>
      </w:r>
      <w:r w:rsidR="00575D4F" w:rsidRPr="009771C8">
        <w:t xml:space="preserve">GA Juliane Kokott </w:t>
      </w:r>
      <w:r w:rsidRPr="009771C8">
        <w:t xml:space="preserve">právně závaznou Listinu za ten pramen, který je nyní zdrojem lidských práv v EU. </w:t>
      </w:r>
      <w:r w:rsidR="000C6698" w:rsidRPr="009771C8">
        <w:t xml:space="preserve">Myslím si, že podle počtu vydaných stanovisek s odkazem na Listinu a způsobem, jakým ji </w:t>
      </w:r>
      <w:r w:rsidR="0007165D" w:rsidRPr="009771C8">
        <w:t xml:space="preserve">GA Juliane Kokott </w:t>
      </w:r>
      <w:r w:rsidR="000C6698" w:rsidRPr="009771C8">
        <w:t>ve svých textech používá ve srovnání s ostatními GA, to Juliane Kokott řadí k zastáncům tohoto přístupu</w:t>
      </w:r>
      <w:r w:rsidR="00F5004E" w:rsidRPr="009771C8">
        <w:t xml:space="preserve">. </w:t>
      </w:r>
      <w:r w:rsidR="000C6698" w:rsidRPr="009771C8">
        <w:t xml:space="preserve">Pravdou je, že stanoviska </w:t>
      </w:r>
      <w:r w:rsidR="00140152" w:rsidRPr="009771C8">
        <w:t xml:space="preserve">GA </w:t>
      </w:r>
      <w:r w:rsidR="000C6698" w:rsidRPr="009771C8">
        <w:t>jsou pro ESD nezávazná</w:t>
      </w:r>
      <w:r w:rsidR="0007165D" w:rsidRPr="009771C8">
        <w:t xml:space="preserve">. Toto potvrzuje i fakt, </w:t>
      </w:r>
      <w:r w:rsidR="000C6698" w:rsidRPr="009771C8">
        <w:t xml:space="preserve">že již v období před právní závazností Listiny to byli právě GA, </w:t>
      </w:r>
      <w:proofErr w:type="gramStart"/>
      <w:r w:rsidR="000C6698" w:rsidRPr="009771C8">
        <w:t>kteří</w:t>
      </w:r>
      <w:proofErr w:type="gramEnd"/>
      <w:r w:rsidR="000C6698" w:rsidRPr="009771C8">
        <w:t xml:space="preserve"> ve svých textech Listinu na rozdíl od ESD častěji používali</w:t>
      </w:r>
      <w:r w:rsidR="00BC32F4" w:rsidRPr="009771C8">
        <w:t xml:space="preserve">. </w:t>
      </w:r>
      <w:r w:rsidR="00432865" w:rsidRPr="009771C8">
        <w:t xml:space="preserve">Nicméně v případě GA </w:t>
      </w:r>
      <w:r w:rsidR="00432865" w:rsidRPr="009771C8">
        <w:lastRenderedPageBreak/>
        <w:t xml:space="preserve">Juliane Kokott ESD následuje její stanoviska v  80% </w:t>
      </w:r>
      <w:r w:rsidR="0007165D" w:rsidRPr="009771C8">
        <w:t xml:space="preserve">všech </w:t>
      </w:r>
      <w:r w:rsidR="00432865" w:rsidRPr="009771C8">
        <w:t>jejích případů</w:t>
      </w:r>
      <w:r w:rsidR="00432865" w:rsidRPr="009771C8">
        <w:rPr>
          <w:rStyle w:val="Funotenzeichen"/>
        </w:rPr>
        <w:footnoteReference w:id="107"/>
      </w:r>
      <w:r w:rsidR="00432865" w:rsidRPr="009771C8">
        <w:t>. Ve svém článku, který se věnoval aplikaci Listiny v době její právní nezávazno</w:t>
      </w:r>
      <w:r w:rsidR="005D501A">
        <w:t>sti, Morijn uvádí, že odkazy na </w:t>
      </w:r>
      <w:r w:rsidR="00432865" w:rsidRPr="009771C8">
        <w:t>Listinu v tomto období ve stanoviscích GA byly početné. A že i přes tento statut někteří GA Listinu výslovně uváděli a zdůrazňovali demokratickou a základní hodnotu tohoto textu</w:t>
      </w:r>
      <w:r w:rsidR="00FE2329" w:rsidRPr="009771C8">
        <w:rPr>
          <w:rStyle w:val="Funotenzeichen"/>
        </w:rPr>
        <w:footnoteReference w:id="108"/>
      </w:r>
      <w:r w:rsidR="00432865" w:rsidRPr="009771C8">
        <w:t xml:space="preserve"> (pro ochranu lidských práv a základních svobod v EU).</w:t>
      </w:r>
      <w:r w:rsidR="000C6698" w:rsidRPr="009771C8">
        <w:t xml:space="preserve"> </w:t>
      </w:r>
    </w:p>
    <w:p w:rsidR="00432865" w:rsidRPr="009771C8" w:rsidRDefault="00432865" w:rsidP="00446C01"/>
    <w:p w:rsidR="00352A0F" w:rsidRPr="009771C8" w:rsidRDefault="00DB7B86" w:rsidP="00420E79">
      <w:pPr>
        <w:pStyle w:val="NADPIS3"/>
        <w:outlineLvl w:val="0"/>
      </w:pPr>
      <w:bookmarkStart w:id="39" w:name="_Toc288488670"/>
      <w:bookmarkStart w:id="40" w:name="_Toc288491600"/>
      <w:bookmarkStart w:id="41" w:name="_Toc291022227"/>
      <w:r w:rsidRPr="009771C8">
        <w:t>Volné poskytování služeb</w:t>
      </w:r>
      <w:bookmarkEnd w:id="39"/>
      <w:bookmarkEnd w:id="40"/>
      <w:bookmarkEnd w:id="41"/>
    </w:p>
    <w:p w:rsidR="00DB7B86" w:rsidRPr="009771C8" w:rsidRDefault="0009095E" w:rsidP="00446C01">
      <w:r w:rsidRPr="009771C8">
        <w:t>V pěti rozsudcích a stanoviscích</w:t>
      </w:r>
      <w:r w:rsidR="00F35F8B" w:rsidRPr="009771C8">
        <w:t xml:space="preserve"> se odkazuje na Listinu. </w:t>
      </w:r>
      <w:r w:rsidR="00017557" w:rsidRPr="009771C8">
        <w:t>V rozsudku a stanovisku ve</w:t>
      </w:r>
      <w:r w:rsidR="0007165D" w:rsidRPr="009771C8">
        <w:t> </w:t>
      </w:r>
      <w:r w:rsidR="00017557" w:rsidRPr="009771C8">
        <w:t xml:space="preserve">věci </w:t>
      </w:r>
      <w:r w:rsidR="002A2F7A" w:rsidRPr="009771C8">
        <w:rPr>
          <w:b/>
        </w:rPr>
        <w:t>Komise v Německo</w:t>
      </w:r>
      <w:r w:rsidR="00953FFE" w:rsidRPr="009771C8">
        <w:rPr>
          <w:rStyle w:val="Funotenzeichen"/>
          <w:b/>
        </w:rPr>
        <w:footnoteReference w:id="109"/>
      </w:r>
      <w:r w:rsidR="00017557" w:rsidRPr="009771C8">
        <w:t xml:space="preserve"> ve sporu mezi EK a</w:t>
      </w:r>
      <w:r w:rsidR="006860BD" w:rsidRPr="009771C8">
        <w:t> </w:t>
      </w:r>
      <w:r w:rsidR="00017557" w:rsidRPr="009771C8">
        <w:t>Německem je na Listinu často odkazováno. EK žalovala Německo, protože obecní a správní podniky uzavíraly přímo smlouvy na služby podnikového starobního pojištění bez vyhlášení veřejné zakázky. V rozsudku ESD je Listina zmíněna jak v právním rámci k případu, dále</w:t>
      </w:r>
      <w:r w:rsidR="005D501A">
        <w:t xml:space="preserve"> v návaznosti na </w:t>
      </w:r>
      <w:r w:rsidR="00017557" w:rsidRPr="009771C8">
        <w:t>jeden z argumentů, že při</w:t>
      </w:r>
      <w:r w:rsidR="0007165D" w:rsidRPr="009771C8">
        <w:t> </w:t>
      </w:r>
      <w:r w:rsidR="00017557" w:rsidRPr="009771C8">
        <w:t xml:space="preserve">uzavírání těchto smluv probíhalo v rámci kolektivního vyjednávání, které je povolené a dále čl. 28 Listiny, který právo na kolektivní vyjednávání garantuje. </w:t>
      </w:r>
      <w:r w:rsidR="008009AC" w:rsidRPr="009771C8">
        <w:t>ESD také uvádí, že čl. 28 a čl.</w:t>
      </w:r>
      <w:r w:rsidR="0007165D" w:rsidRPr="009771C8">
        <w:t> </w:t>
      </w:r>
      <w:r w:rsidR="008009AC" w:rsidRPr="009771C8">
        <w:t>52 odst. 6 musí zohledňo</w:t>
      </w:r>
      <w:r w:rsidR="005D501A">
        <w:t>vat vnitrostátní předpisy a </w:t>
      </w:r>
      <w:r w:rsidR="008009AC" w:rsidRPr="009771C8">
        <w:t>zvyklosti, ale v posledním ESD vyjadřuje svůj názor, že i přes toto musí být kolektivní právo vykonáváno v souladu s právem Unie. Ve</w:t>
      </w:r>
      <w:r w:rsidR="0007165D" w:rsidRPr="009771C8">
        <w:t> </w:t>
      </w:r>
      <w:r w:rsidR="008009AC" w:rsidRPr="009771C8">
        <w:t xml:space="preserve">stanovisku GA Verici Trstenjak je uvedeno, že Listina tyto práva garantuje a že vstupem Lisabonské smlouvy v účinnost se ustanovení Listiny dostávají na úroveň primárního práva Unie. </w:t>
      </w:r>
      <w:r w:rsidR="00B72757" w:rsidRPr="009771C8">
        <w:t xml:space="preserve">V rozsudku i stanovisku v případu </w:t>
      </w:r>
      <w:r w:rsidR="002A2F7A" w:rsidRPr="009771C8">
        <w:rPr>
          <w:b/>
        </w:rPr>
        <w:t>Winner Wetten</w:t>
      </w:r>
      <w:r w:rsidR="005733E2" w:rsidRPr="009771C8">
        <w:rPr>
          <w:rStyle w:val="Funotenzeichen"/>
          <w:b/>
        </w:rPr>
        <w:footnoteReference w:id="110"/>
      </w:r>
      <w:r w:rsidR="00B72757" w:rsidRPr="009771C8">
        <w:t xml:space="preserve"> je uvedeno, že čl. 47 v Listině představuje potvrzení obecné zásady účinné soudní ochrany. </w:t>
      </w:r>
      <w:r w:rsidR="00FF58E0" w:rsidRPr="009771C8">
        <w:t xml:space="preserve">V posledním případu </w:t>
      </w:r>
      <w:r w:rsidR="002A2F7A" w:rsidRPr="009771C8">
        <w:rPr>
          <w:b/>
        </w:rPr>
        <w:t>Santos Palhota</w:t>
      </w:r>
      <w:r w:rsidR="000240BC" w:rsidRPr="009771C8">
        <w:rPr>
          <w:rStyle w:val="Funotenzeichen"/>
          <w:b/>
        </w:rPr>
        <w:footnoteReference w:id="111"/>
      </w:r>
      <w:r w:rsidR="00FF58E0" w:rsidRPr="009771C8">
        <w:t xml:space="preserve"> stanoviska GA Pedra Cruz Villalóna nejde tak ani o počet odkazů na Listinu, jako uvedení, že </w:t>
      </w:r>
      <w:r w:rsidR="00FF58E0" w:rsidRPr="009771C8">
        <w:rPr>
          <w:i/>
        </w:rPr>
        <w:t>„sociální mandát je ještě více zdůrazněn v Listině“</w:t>
      </w:r>
      <w:r w:rsidR="00FF58E0" w:rsidRPr="009771C8">
        <w:t xml:space="preserve">, která je primárním právem Unie. </w:t>
      </w:r>
    </w:p>
    <w:p w:rsidR="0007165D" w:rsidRPr="009771C8" w:rsidRDefault="0007165D">
      <w:pPr>
        <w:spacing w:line="240" w:lineRule="auto"/>
        <w:ind w:firstLine="0"/>
        <w:jc w:val="left"/>
      </w:pPr>
      <w:r w:rsidRPr="009771C8">
        <w:br w:type="page"/>
      </w:r>
    </w:p>
    <w:p w:rsidR="00FF4708" w:rsidRPr="009771C8" w:rsidRDefault="00862BC2" w:rsidP="00420E79">
      <w:pPr>
        <w:pStyle w:val="NADPIS3"/>
        <w:outlineLvl w:val="0"/>
      </w:pPr>
      <w:bookmarkStart w:id="42" w:name="_Toc288488671"/>
      <w:bookmarkStart w:id="43" w:name="_Toc288491601"/>
      <w:bookmarkStart w:id="44" w:name="_Toc291022228"/>
      <w:r w:rsidRPr="009771C8">
        <w:lastRenderedPageBreak/>
        <w:t>Sbližování právních předpisů</w:t>
      </w:r>
      <w:bookmarkEnd w:id="42"/>
      <w:bookmarkEnd w:id="43"/>
      <w:bookmarkEnd w:id="44"/>
    </w:p>
    <w:p w:rsidR="00A52C4B" w:rsidRPr="009771C8" w:rsidRDefault="00A23981" w:rsidP="007D1204">
      <w:pPr>
        <w:rPr>
          <w:bCs/>
        </w:rPr>
      </w:pPr>
      <w:r w:rsidRPr="009771C8">
        <w:t xml:space="preserve">V tomto okruhu rozsudků a stanovisek bylo celkově </w:t>
      </w:r>
      <w:r w:rsidR="0037263E">
        <w:t xml:space="preserve">ve čtyřech </w:t>
      </w:r>
      <w:r w:rsidRPr="009771C8">
        <w:t xml:space="preserve">odkázáno na Listinu. </w:t>
      </w:r>
      <w:r w:rsidR="005A2B29" w:rsidRPr="009771C8">
        <w:t>V</w:t>
      </w:r>
      <w:r w:rsidR="00894BE1" w:rsidRPr="009771C8">
        <w:t>e</w:t>
      </w:r>
      <w:r w:rsidR="005A2B29" w:rsidRPr="009771C8">
        <w:t> stanoviscích GA Eleanor Sharpston v</w:t>
      </w:r>
      <w:r w:rsidR="002E5FF7" w:rsidRPr="009771C8">
        <w:t> </w:t>
      </w:r>
      <w:r w:rsidR="005A2B29" w:rsidRPr="009771C8">
        <w:t>případech</w:t>
      </w:r>
      <w:r w:rsidR="002E5FF7" w:rsidRPr="009771C8">
        <w:t xml:space="preserve"> </w:t>
      </w:r>
      <w:r w:rsidR="002E5FF7" w:rsidRPr="009771C8">
        <w:rPr>
          <w:b/>
        </w:rPr>
        <w:t>Komise v Litva</w:t>
      </w:r>
      <w:r w:rsidR="00F44527" w:rsidRPr="009771C8">
        <w:rPr>
          <w:rStyle w:val="Funotenzeichen"/>
          <w:b/>
        </w:rPr>
        <w:footnoteReference w:id="112"/>
      </w:r>
      <w:r w:rsidR="001B7806" w:rsidRPr="009771C8">
        <w:t xml:space="preserve"> a </w:t>
      </w:r>
      <w:r w:rsidR="002E5FF7" w:rsidRPr="009771C8">
        <w:rPr>
          <w:b/>
        </w:rPr>
        <w:t>Budějovický Budvar</w:t>
      </w:r>
      <w:r w:rsidR="00D81177" w:rsidRPr="009771C8">
        <w:rPr>
          <w:rStyle w:val="Funotenzeichen"/>
          <w:b/>
        </w:rPr>
        <w:footnoteReference w:id="113"/>
      </w:r>
      <w:r w:rsidR="005A2B29" w:rsidRPr="009771C8">
        <w:t xml:space="preserve"> je Listina použita jako potvrzení pro zakotvení práva k duševnímu vlastnictví majitele v právu Unie. </w:t>
      </w:r>
      <w:r w:rsidR="009754D3" w:rsidRPr="009771C8">
        <w:t>Významně je Listina používána ve</w:t>
      </w:r>
      <w:r w:rsidR="0007165D" w:rsidRPr="009771C8">
        <w:t> </w:t>
      </w:r>
      <w:r w:rsidR="009754D3" w:rsidRPr="009771C8">
        <w:t xml:space="preserve">stanovisku a rozsudku ve spojeném řízení </w:t>
      </w:r>
      <w:r w:rsidR="002E5FF7" w:rsidRPr="009771C8">
        <w:rPr>
          <w:b/>
        </w:rPr>
        <w:t>Volker und Markus Schecke</w:t>
      </w:r>
      <w:r w:rsidR="00C82B40" w:rsidRPr="009771C8">
        <w:rPr>
          <w:rStyle w:val="Funotenzeichen"/>
          <w:b/>
        </w:rPr>
        <w:footnoteReference w:id="114"/>
      </w:r>
      <w:r w:rsidR="009754D3" w:rsidRPr="009771C8">
        <w:t xml:space="preserve">, ve </w:t>
      </w:r>
      <w:r w:rsidR="00AF1B68" w:rsidRPr="009771C8">
        <w:t>k</w:t>
      </w:r>
      <w:r w:rsidR="00C164A0" w:rsidRPr="009771C8">
        <w:t>terých se </w:t>
      </w:r>
      <w:r w:rsidR="00AF1B68" w:rsidRPr="009771C8">
        <w:t xml:space="preserve">v rozsudku odkazuje na Listinu více než 30 </w:t>
      </w:r>
      <w:r w:rsidR="00C164A0" w:rsidRPr="009771C8">
        <w:t xml:space="preserve">krát </w:t>
      </w:r>
      <w:r w:rsidR="00AF1B68" w:rsidRPr="009771C8">
        <w:t>a ve stanovisku GA Eleanor Sharpston téměř 20</w:t>
      </w:r>
      <w:r w:rsidR="00C164A0" w:rsidRPr="009771C8">
        <w:t xml:space="preserve"> krát</w:t>
      </w:r>
      <w:r w:rsidR="00AF1B68" w:rsidRPr="009771C8">
        <w:t xml:space="preserve">. </w:t>
      </w:r>
      <w:r w:rsidR="005C4EF2" w:rsidRPr="009771C8">
        <w:t xml:space="preserve">Původní spor se týkal </w:t>
      </w:r>
      <w:r w:rsidR="00D4187A" w:rsidRPr="009771C8">
        <w:t>zveřejnění údajů o výši</w:t>
      </w:r>
      <w:r w:rsidR="005C4EF2" w:rsidRPr="009771C8">
        <w:t xml:space="preserve"> získaných prostředků pro d</w:t>
      </w:r>
      <w:r w:rsidR="00D4187A" w:rsidRPr="009771C8">
        <w:t>va německé zemědělské subjekty z</w:t>
      </w:r>
      <w:r w:rsidR="005C4EF2" w:rsidRPr="009771C8">
        <w:t xml:space="preserve"> prostředků </w:t>
      </w:r>
      <w:r w:rsidR="0007165D" w:rsidRPr="009771C8">
        <w:t>S</w:t>
      </w:r>
      <w:r w:rsidR="00D4187A" w:rsidRPr="009771C8">
        <w:t>polečné zemědělské politiky</w:t>
      </w:r>
      <w:r w:rsidR="0007165D" w:rsidRPr="009771C8">
        <w:t xml:space="preserve"> EU</w:t>
      </w:r>
      <w:r w:rsidR="00D4187A" w:rsidRPr="009771C8">
        <w:t xml:space="preserve"> a dále zveřejnění jejich jména, sídla a případně poštovního směrovacího čísla</w:t>
      </w:r>
      <w:r w:rsidR="0007165D" w:rsidRPr="009771C8">
        <w:t>. S</w:t>
      </w:r>
      <w:r w:rsidR="00D4187A" w:rsidRPr="009771C8">
        <w:t xml:space="preserve"> tímto zveřejněním </w:t>
      </w:r>
      <w:r w:rsidR="0007165D" w:rsidRPr="009771C8">
        <w:t xml:space="preserve">osobních údajů </w:t>
      </w:r>
      <w:r w:rsidR="00D4187A" w:rsidRPr="009771C8">
        <w:t xml:space="preserve">zemědělci nesouhlasili. V rozsudku </w:t>
      </w:r>
      <w:r w:rsidR="0007165D" w:rsidRPr="009771C8">
        <w:t xml:space="preserve">je </w:t>
      </w:r>
      <w:r w:rsidR="00D4187A" w:rsidRPr="009771C8">
        <w:t xml:space="preserve">Listina v prvé řadě zmíněna tradičně mezi právním rámcem, který se k případu vztahuje. </w:t>
      </w:r>
      <w:r w:rsidR="0007165D" w:rsidRPr="009771C8">
        <w:t>Z</w:t>
      </w:r>
      <w:r w:rsidR="00D4187A" w:rsidRPr="009771C8">
        <w:t xml:space="preserve">de </w:t>
      </w:r>
      <w:r w:rsidR="0007165D" w:rsidRPr="009771C8">
        <w:t xml:space="preserve">je </w:t>
      </w:r>
      <w:r w:rsidR="00D4187A" w:rsidRPr="009771C8">
        <w:t>uvede</w:t>
      </w:r>
      <w:r w:rsidR="00C34DBC" w:rsidRPr="009771C8">
        <w:t>no, že Listina je právně závazný</w:t>
      </w:r>
      <w:r w:rsidR="00D4187A" w:rsidRPr="009771C8">
        <w:t xml:space="preserve"> dokument na úrovni primárního práva, že předmětná nařízení musí respektovat ustanovení Listiny a že čl. 8 Listiny ga</w:t>
      </w:r>
      <w:r w:rsidR="00C34DBC" w:rsidRPr="009771C8">
        <w:t>rantuje ochranu osobních údajů a</w:t>
      </w:r>
      <w:r w:rsidR="000B7F20" w:rsidRPr="009771C8">
        <w:t> </w:t>
      </w:r>
      <w:r w:rsidR="00C34DBC" w:rsidRPr="009771C8">
        <w:t>v podstatě cituje tento článek a</w:t>
      </w:r>
      <w:r w:rsidR="0007165D" w:rsidRPr="009771C8">
        <w:t> </w:t>
      </w:r>
      <w:r w:rsidR="00C34DBC" w:rsidRPr="009771C8">
        <w:t xml:space="preserve">podmínky, které toto ustanovení klade na zveřejňování osobních údajů. </w:t>
      </w:r>
      <w:r w:rsidR="004E478E" w:rsidRPr="009771C8">
        <w:t>Dále je zde uveden čl.</w:t>
      </w:r>
      <w:r w:rsidR="0007165D" w:rsidRPr="009771C8">
        <w:t> </w:t>
      </w:r>
      <w:r w:rsidR="005032AE">
        <w:t>52 odst. 1, kde je uvedeno, za </w:t>
      </w:r>
      <w:r w:rsidR="004E478E" w:rsidRPr="009771C8">
        <w:t xml:space="preserve">jakých okolností mohou být základní práva omezena a dále čl. 52 odst. 3, který řeší vztah ustanovení Listiny s ustanoveními v Úmluvě a čl. 53 zabývající se úrovní ochrany práv Listinou zaručených. </w:t>
      </w:r>
      <w:r w:rsidR="007D1204" w:rsidRPr="009771C8">
        <w:t>Dále je Listina uvedena v rámci př</w:t>
      </w:r>
      <w:r w:rsidR="005032AE">
        <w:t>edmětných nařízení, na které se </w:t>
      </w:r>
      <w:r w:rsidR="007D1204" w:rsidRPr="009771C8">
        <w:t xml:space="preserve">předběžné otázky vztahují. Jedná se o nařízení 1290/2005 o financování </w:t>
      </w:r>
      <w:r w:rsidR="0007165D" w:rsidRPr="009771C8">
        <w:t>S</w:t>
      </w:r>
      <w:r w:rsidR="007D1204" w:rsidRPr="009771C8">
        <w:t>polečné zemědělské politiky</w:t>
      </w:r>
      <w:r w:rsidR="0007165D" w:rsidRPr="009771C8">
        <w:t xml:space="preserve"> EU</w:t>
      </w:r>
      <w:r w:rsidR="00FF67B7" w:rsidRPr="009771C8">
        <w:rPr>
          <w:rStyle w:val="Funotenzeichen"/>
        </w:rPr>
        <w:footnoteReference w:id="115"/>
      </w:r>
      <w:r w:rsidR="007D1204" w:rsidRPr="009771C8">
        <w:t xml:space="preserve"> a nařízení 259/2008 </w:t>
      </w:r>
      <w:r w:rsidR="007D1204" w:rsidRPr="009771C8">
        <w:rPr>
          <w:bCs/>
        </w:rPr>
        <w:t xml:space="preserve">kterým </w:t>
      </w:r>
      <w:r w:rsidR="0084221E">
        <w:rPr>
          <w:bCs/>
        </w:rPr>
        <w:t>se stanoví prováděcí pravidla k </w:t>
      </w:r>
      <w:r w:rsidR="007D1204" w:rsidRPr="009771C8">
        <w:rPr>
          <w:bCs/>
        </w:rPr>
        <w:t>nařízení Rady (ES) č. 1290/2005, pokud jde o zveřejňování informací o příjemcích finančních prostředků z Evropského zemědělského záručního fondu (EZZF) a Evropského zemědělského fondu pro rozvoj venkova (EZFRV)</w:t>
      </w:r>
      <w:r w:rsidR="003C5B8F" w:rsidRPr="009771C8">
        <w:rPr>
          <w:rStyle w:val="Funotenzeichen"/>
          <w:bCs/>
        </w:rPr>
        <w:footnoteReference w:id="116"/>
      </w:r>
      <w:r w:rsidR="007D1204" w:rsidRPr="009771C8">
        <w:rPr>
          <w:bCs/>
        </w:rPr>
        <w:t xml:space="preserve">. </w:t>
      </w:r>
      <w:r w:rsidR="00A1538C" w:rsidRPr="009771C8">
        <w:rPr>
          <w:bCs/>
        </w:rPr>
        <w:t xml:space="preserve">V těchto několika bodech </w:t>
      </w:r>
      <w:r w:rsidR="00DD2D85" w:rsidRPr="009771C8">
        <w:rPr>
          <w:bCs/>
        </w:rPr>
        <w:t>ESD uvádí, co je potřeba v souvislosti s předmětnými směrnice a</w:t>
      </w:r>
      <w:r w:rsidR="000B7F20" w:rsidRPr="009771C8">
        <w:rPr>
          <w:bCs/>
        </w:rPr>
        <w:t> </w:t>
      </w:r>
      <w:r w:rsidR="00DD2D85" w:rsidRPr="009771C8">
        <w:rPr>
          <w:bCs/>
        </w:rPr>
        <w:t>ustanoveními Listiny přezkoumat.</w:t>
      </w:r>
      <w:r w:rsidR="00A1538C" w:rsidRPr="009771C8">
        <w:rPr>
          <w:bCs/>
        </w:rPr>
        <w:t xml:space="preserve"> </w:t>
      </w:r>
      <w:r w:rsidR="00DD2D85" w:rsidRPr="009771C8">
        <w:rPr>
          <w:bCs/>
        </w:rPr>
        <w:t>Z ustanovení Listiny zde odkazuje především na čl. 7, 8 zaručující respekto</w:t>
      </w:r>
      <w:r w:rsidR="0086463B" w:rsidRPr="009771C8">
        <w:rPr>
          <w:bCs/>
        </w:rPr>
        <w:t xml:space="preserve">vání soukromého života a ochranu osobních údajů. </w:t>
      </w:r>
      <w:r w:rsidR="004A0091" w:rsidRPr="009771C8">
        <w:rPr>
          <w:bCs/>
        </w:rPr>
        <w:t xml:space="preserve">Tyto články jsou v další části rozsudku několikrát uváděny v souvislosti, kdy ESD přezkoumává povinnost zveřejňovat předmětné osobní údaje versus </w:t>
      </w:r>
      <w:r w:rsidR="004A0091" w:rsidRPr="009771C8">
        <w:rPr>
          <w:bCs/>
        </w:rPr>
        <w:lastRenderedPageBreak/>
        <w:t>právo na jejich ochranu, které je garantováno výše zmíněnými články v Listině. ESD ve svém rozsudku dochází k následujícímu závěru. Co se týče zveřejňování osobních údajů o</w:t>
      </w:r>
      <w:r w:rsidR="0007165D" w:rsidRPr="009771C8">
        <w:rPr>
          <w:bCs/>
        </w:rPr>
        <w:t> </w:t>
      </w:r>
      <w:r w:rsidR="004A0091" w:rsidRPr="009771C8">
        <w:rPr>
          <w:bCs/>
        </w:rPr>
        <w:t>fyzických osobách v kontextu,</w:t>
      </w:r>
      <w:r w:rsidR="00AC387B" w:rsidRPr="009771C8">
        <w:rPr>
          <w:bCs/>
        </w:rPr>
        <w:t xml:space="preserve"> v</w:t>
      </w:r>
      <w:r w:rsidR="004A0091" w:rsidRPr="009771C8">
        <w:rPr>
          <w:bCs/>
        </w:rPr>
        <w:t xml:space="preserve"> jakém ho napadli v původn</w:t>
      </w:r>
      <w:r w:rsidR="0084221E">
        <w:rPr>
          <w:bCs/>
        </w:rPr>
        <w:t>ím sporu žalobci, tak uvádí, že </w:t>
      </w:r>
      <w:r w:rsidR="004A0091" w:rsidRPr="009771C8">
        <w:rPr>
          <w:bCs/>
        </w:rPr>
        <w:t xml:space="preserve">Rada a EK </w:t>
      </w:r>
      <w:r w:rsidR="00AC387B" w:rsidRPr="009771C8">
        <w:rPr>
          <w:bCs/>
        </w:rPr>
        <w:t>překročily meze, které vyžaduje obecná zásada proporcionality a že si lze představit jiné řešení, které by vedlo k dosažení cíle, tedy transparentnosti v oblasti nakládání s unijními prostředky, které by vedlo k ne tak závažnému zásadu do základních práv a svobod občanů, tedy právo na ochranu osobních údajů a</w:t>
      </w:r>
      <w:r w:rsidR="000B7F20" w:rsidRPr="009771C8">
        <w:rPr>
          <w:bCs/>
        </w:rPr>
        <w:t> </w:t>
      </w:r>
      <w:r w:rsidR="00AC387B" w:rsidRPr="009771C8">
        <w:rPr>
          <w:bCs/>
        </w:rPr>
        <w:t>soukromého života. ESD uvádí, že cíl transparentnosti v této oblasti nemá absolutní přednost před právem na ochranu osobních údajů. K jinému závěru dochází ESD v souvislosti s práv</w:t>
      </w:r>
      <w:r w:rsidR="0084221E">
        <w:rPr>
          <w:bCs/>
        </w:rPr>
        <w:t>nickými osobami. Tady uvádí, že </w:t>
      </w:r>
      <w:r w:rsidR="00AC387B" w:rsidRPr="009771C8">
        <w:rPr>
          <w:bCs/>
        </w:rPr>
        <w:t xml:space="preserve">právo na ochranu osobních údajů u právnických osob má odlišnou povahu než u osob fyzických a proto napadené povinné zveřejňování výše uvedených údajů je v souladu s unijním právem. </w:t>
      </w:r>
    </w:p>
    <w:p w:rsidR="00862BC2" w:rsidRPr="009771C8" w:rsidRDefault="00DB0E9D" w:rsidP="007D1204">
      <w:pPr>
        <w:rPr>
          <w:bCs/>
        </w:rPr>
      </w:pPr>
      <w:r w:rsidRPr="009771C8">
        <w:rPr>
          <w:bCs/>
        </w:rPr>
        <w:t xml:space="preserve">I ve </w:t>
      </w:r>
      <w:r w:rsidR="0007165D" w:rsidRPr="009771C8">
        <w:rPr>
          <w:bCs/>
        </w:rPr>
        <w:t xml:space="preserve">svém </w:t>
      </w:r>
      <w:r w:rsidRPr="009771C8">
        <w:rPr>
          <w:bCs/>
        </w:rPr>
        <w:t>stanovisku</w:t>
      </w:r>
      <w:r w:rsidR="00A52C4B" w:rsidRPr="009771C8">
        <w:rPr>
          <w:bCs/>
        </w:rPr>
        <w:t xml:space="preserve"> GA Eleanor Sharpston </w:t>
      </w:r>
      <w:r w:rsidR="0007165D" w:rsidRPr="009771C8">
        <w:rPr>
          <w:bCs/>
        </w:rPr>
        <w:t>hojně</w:t>
      </w:r>
      <w:r w:rsidRPr="009771C8">
        <w:rPr>
          <w:bCs/>
        </w:rPr>
        <w:t xml:space="preserve"> </w:t>
      </w:r>
      <w:r w:rsidR="00A52C4B" w:rsidRPr="009771C8">
        <w:rPr>
          <w:bCs/>
        </w:rPr>
        <w:t xml:space="preserve">odkazuje na Listinu. </w:t>
      </w:r>
      <w:r w:rsidRPr="009771C8">
        <w:rPr>
          <w:bCs/>
        </w:rPr>
        <w:t xml:space="preserve">V právním rámci je Listina zmiňována stejně jako v rozsudku ESD. V úvodních poznámkách GA Eleanor Sharpston uvádí, že je </w:t>
      </w:r>
      <w:r w:rsidR="0007165D" w:rsidRPr="009771C8">
        <w:rPr>
          <w:bCs/>
        </w:rPr>
        <w:t xml:space="preserve">považuje </w:t>
      </w:r>
      <w:r w:rsidRPr="009771C8">
        <w:rPr>
          <w:bCs/>
        </w:rPr>
        <w:t xml:space="preserve">za nemožné, </w:t>
      </w:r>
      <w:r w:rsidR="0007165D" w:rsidRPr="009771C8">
        <w:rPr>
          <w:bCs/>
        </w:rPr>
        <w:t xml:space="preserve">aby </w:t>
      </w:r>
      <w:r w:rsidRPr="009771C8">
        <w:rPr>
          <w:bCs/>
        </w:rPr>
        <w:t xml:space="preserve">sekundární právní předpisy (v tomto případě předmětná nařízení) porušily základní práva a svobody, která jsou garantována jak Listinou, tak Úmluvou a ESD by je ponechal v platnosti. Dále se </w:t>
      </w:r>
      <w:r w:rsidR="0007165D" w:rsidRPr="009771C8">
        <w:rPr>
          <w:bCs/>
        </w:rPr>
        <w:t xml:space="preserve">GA </w:t>
      </w:r>
      <w:r w:rsidRPr="009771C8">
        <w:rPr>
          <w:bCs/>
        </w:rPr>
        <w:t>vyjadřuje k zásadě transparentnosti</w:t>
      </w:r>
      <w:r w:rsidR="0007165D" w:rsidRPr="009771C8">
        <w:rPr>
          <w:bCs/>
        </w:rPr>
        <w:t xml:space="preserve"> a </w:t>
      </w:r>
      <w:r w:rsidRPr="009771C8">
        <w:rPr>
          <w:bCs/>
        </w:rPr>
        <w:t xml:space="preserve">uvádí, že v politické rovině je považována </w:t>
      </w:r>
      <w:r w:rsidRPr="009771C8">
        <w:rPr>
          <w:bCs/>
          <w:i/>
        </w:rPr>
        <w:t>„za</w:t>
      </w:r>
      <w:r w:rsidR="0007165D" w:rsidRPr="009771C8">
        <w:rPr>
          <w:bCs/>
          <w:i/>
        </w:rPr>
        <w:t> </w:t>
      </w:r>
      <w:r w:rsidRPr="009771C8">
        <w:rPr>
          <w:bCs/>
          <w:i/>
        </w:rPr>
        <w:t>základní složku demokratické veřejné správy</w:t>
      </w:r>
      <w:r w:rsidRPr="009771C8">
        <w:rPr>
          <w:rStyle w:val="Funotenzeichen"/>
          <w:bCs/>
          <w:i/>
        </w:rPr>
        <w:footnoteReference w:id="117"/>
      </w:r>
      <w:r w:rsidRPr="009771C8">
        <w:rPr>
          <w:bCs/>
          <w:i/>
        </w:rPr>
        <w:t>“</w:t>
      </w:r>
      <w:r w:rsidRPr="009771C8">
        <w:rPr>
          <w:bCs/>
        </w:rPr>
        <w:t>, ovšem toto s určitostí není možné říci o</w:t>
      </w:r>
      <w:r w:rsidR="0007165D" w:rsidRPr="009771C8">
        <w:rPr>
          <w:bCs/>
        </w:rPr>
        <w:t> </w:t>
      </w:r>
      <w:r w:rsidRPr="009771C8">
        <w:rPr>
          <w:bCs/>
        </w:rPr>
        <w:t>uznání zásady transparentnosti za</w:t>
      </w:r>
      <w:r w:rsidR="000B7F20" w:rsidRPr="009771C8">
        <w:rPr>
          <w:bCs/>
        </w:rPr>
        <w:t> </w:t>
      </w:r>
      <w:r w:rsidRPr="009771C8">
        <w:rPr>
          <w:bCs/>
        </w:rPr>
        <w:t>obecnou zásadu p</w:t>
      </w:r>
      <w:r w:rsidR="0060777B" w:rsidRPr="009771C8">
        <w:rPr>
          <w:bCs/>
        </w:rPr>
        <w:t xml:space="preserve">ráva EU nebo za základní právo. GA Eleanor Sharpston dále uvádí, že přesto je </w:t>
      </w:r>
      <w:r w:rsidR="000E1F8D" w:rsidRPr="009771C8">
        <w:rPr>
          <w:bCs/>
        </w:rPr>
        <w:t xml:space="preserve">transparentnost </w:t>
      </w:r>
      <w:r w:rsidR="0060777B" w:rsidRPr="009771C8">
        <w:rPr>
          <w:bCs/>
          <w:i/>
        </w:rPr>
        <w:t>„žádoucí a nezbytný c</w:t>
      </w:r>
      <w:r w:rsidR="0084221E">
        <w:rPr>
          <w:bCs/>
          <w:i/>
        </w:rPr>
        <w:t>íl v demokratické společnosti a </w:t>
      </w:r>
      <w:r w:rsidR="0060777B" w:rsidRPr="009771C8">
        <w:rPr>
          <w:bCs/>
          <w:i/>
        </w:rPr>
        <w:t xml:space="preserve">výslovně se na ni odkazuje v Listině – mnohem novějším demokratickém </w:t>
      </w:r>
      <w:proofErr w:type="gramStart"/>
      <w:r w:rsidR="0060777B" w:rsidRPr="009771C8">
        <w:rPr>
          <w:bCs/>
          <w:i/>
        </w:rPr>
        <w:t>výčtu</w:t>
      </w:r>
      <w:proofErr w:type="gramEnd"/>
      <w:r w:rsidR="0060777B" w:rsidRPr="009771C8">
        <w:rPr>
          <w:bCs/>
          <w:i/>
        </w:rPr>
        <w:t xml:space="preserve"> základních práv“</w:t>
      </w:r>
      <w:r w:rsidR="0060777B" w:rsidRPr="009771C8">
        <w:rPr>
          <w:rStyle w:val="Funotenzeichen"/>
          <w:bCs/>
          <w:i/>
        </w:rPr>
        <w:footnoteReference w:id="118"/>
      </w:r>
      <w:r w:rsidR="0060777B" w:rsidRPr="009771C8">
        <w:rPr>
          <w:bCs/>
        </w:rPr>
        <w:t xml:space="preserve"> (ve srovnání s Úmluvou). </w:t>
      </w:r>
      <w:r w:rsidR="00703748" w:rsidRPr="009771C8">
        <w:rPr>
          <w:bCs/>
        </w:rPr>
        <w:t>V další části se GA vyjadřuje k právu na</w:t>
      </w:r>
      <w:r w:rsidR="0007165D" w:rsidRPr="009771C8">
        <w:rPr>
          <w:bCs/>
        </w:rPr>
        <w:t> </w:t>
      </w:r>
      <w:r w:rsidR="00703748" w:rsidRPr="009771C8">
        <w:rPr>
          <w:bCs/>
        </w:rPr>
        <w:t xml:space="preserve">soukromí a ochranu osobních údajů; uvádí, kde jsou práva v Listině zakotvena, práva nejsou absolutní, protože podle čl. 52 odst. 1 Listiny je po splnění obligatorních podmínek možno tyto práva omezit. Poslední místo, kde GA Sharpston odkazuje na Listinu je v souvislosti s otázkou, zda zásad byl v souladu se zákonem. Zde uvádí, že podle jejího názoru </w:t>
      </w:r>
      <w:r w:rsidR="00291E39" w:rsidRPr="009771C8">
        <w:rPr>
          <w:bCs/>
          <w:i/>
        </w:rPr>
        <w:t>„</w:t>
      </w:r>
      <w:r w:rsidR="00703748" w:rsidRPr="009771C8">
        <w:rPr>
          <w:bCs/>
          <w:i/>
        </w:rPr>
        <w:t xml:space="preserve">jsou požadavky na zveřejnění </w:t>
      </w:r>
      <w:r w:rsidR="00291E39" w:rsidRPr="009771C8">
        <w:rPr>
          <w:bCs/>
          <w:i/>
        </w:rPr>
        <w:t>dostatečně jasné a</w:t>
      </w:r>
      <w:r w:rsidR="000B7F20" w:rsidRPr="009771C8">
        <w:rPr>
          <w:bCs/>
          <w:i/>
        </w:rPr>
        <w:t> </w:t>
      </w:r>
      <w:r w:rsidR="00291E39" w:rsidRPr="009771C8">
        <w:rPr>
          <w:bCs/>
          <w:i/>
        </w:rPr>
        <w:t>přesné, aby vyhověly tomu, že zveřejnění je v souladu se zákonem“</w:t>
      </w:r>
      <w:r w:rsidR="00F1114D" w:rsidRPr="009771C8">
        <w:rPr>
          <w:rStyle w:val="Funotenzeichen"/>
          <w:bCs/>
          <w:i/>
        </w:rPr>
        <w:footnoteReference w:id="119"/>
      </w:r>
      <w:r w:rsidR="00291E39" w:rsidRPr="009771C8">
        <w:rPr>
          <w:bCs/>
        </w:rPr>
        <w:t xml:space="preserve"> – v Listině je tento požadavek vyjádřen v ustanovení čl. 52 odst. 1. A v dalším bodě potom GA uvádí, že </w:t>
      </w:r>
      <w:r w:rsidR="00291E39" w:rsidRPr="009771C8">
        <w:rPr>
          <w:bCs/>
          <w:i/>
        </w:rPr>
        <w:t xml:space="preserve">„vyjádřeno výrazy Listiny, posilování transparentnosti </w:t>
      </w:r>
      <w:r w:rsidR="00291E39" w:rsidRPr="009771C8">
        <w:rPr>
          <w:bCs/>
          <w:i/>
        </w:rPr>
        <w:lastRenderedPageBreak/>
        <w:t>demokratického procesu je „legitimním důvodem“ pro zpracovávání dat ve smyslu čl. 8 odst. 2 a „cílem v obecném zájmu uznávaném Unií“ pro účely článku 52 odst. 1.“</w:t>
      </w:r>
      <w:r w:rsidR="00F1114D" w:rsidRPr="009771C8">
        <w:rPr>
          <w:rStyle w:val="Funotenzeichen"/>
          <w:bCs/>
          <w:i/>
        </w:rPr>
        <w:footnoteReference w:id="120"/>
      </w:r>
      <w:r w:rsidR="00291E39" w:rsidRPr="009771C8">
        <w:rPr>
          <w:bCs/>
        </w:rPr>
        <w:t xml:space="preserve">. </w:t>
      </w:r>
    </w:p>
    <w:p w:rsidR="005C4EF2" w:rsidRPr="009771C8" w:rsidRDefault="000B7F20" w:rsidP="00B811CC">
      <w:r w:rsidRPr="009771C8">
        <w:t xml:space="preserve">V tomto rozsudku a stanovisku nepochybně je Listina použita vzhledem k velkému počtu odkazů na ni v textech. </w:t>
      </w:r>
      <w:r w:rsidR="00083943" w:rsidRPr="009771C8">
        <w:t xml:space="preserve">Kromě Listiny ovšem jako v předcházejících podkapitolách ESD uznává za pramen konkrétního práva především obecné zásady právní. </w:t>
      </w:r>
    </w:p>
    <w:p w:rsidR="00CE5268" w:rsidRPr="009771C8" w:rsidRDefault="00CE5268" w:rsidP="00CE5268">
      <w:bookmarkStart w:id="45" w:name="_Toc288488672"/>
    </w:p>
    <w:p w:rsidR="00FF4708" w:rsidRPr="009771C8" w:rsidRDefault="006174FA" w:rsidP="00420E79">
      <w:pPr>
        <w:pStyle w:val="NADPIS3"/>
        <w:outlineLvl w:val="0"/>
      </w:pPr>
      <w:r w:rsidRPr="009771C8">
        <w:t xml:space="preserve"> </w:t>
      </w:r>
      <w:bookmarkStart w:id="46" w:name="_Toc288491602"/>
      <w:bookmarkStart w:id="47" w:name="_Toc291022229"/>
      <w:r w:rsidR="00BF4D24" w:rsidRPr="009771C8">
        <w:t>Ostatní oblasti</w:t>
      </w:r>
      <w:bookmarkEnd w:id="45"/>
      <w:bookmarkEnd w:id="46"/>
      <w:bookmarkEnd w:id="47"/>
    </w:p>
    <w:p w:rsidR="00BF4D24" w:rsidRPr="009771C8" w:rsidRDefault="008E58BD" w:rsidP="00B811CC">
      <w:r w:rsidRPr="009771C8">
        <w:t xml:space="preserve">V ostatních oblastech, které následně vyjmenuji, ESD a GA vydali nejméně rozhodnutí a stanovisek </w:t>
      </w:r>
      <w:r w:rsidR="00D5542D" w:rsidRPr="009771C8">
        <w:t xml:space="preserve">ze všech deseti tématických oblastí. Tyto </w:t>
      </w:r>
      <w:r w:rsidR="00774C1E">
        <w:t>rozhodnutí a stanoviska jsou si </w:t>
      </w:r>
      <w:r w:rsidRPr="009771C8">
        <w:t xml:space="preserve">povahou použití Listiny </w:t>
      </w:r>
      <w:r w:rsidR="00D5542D" w:rsidRPr="009771C8">
        <w:t>velmi</w:t>
      </w:r>
      <w:r w:rsidRPr="009771C8">
        <w:t xml:space="preserve"> podobná. Vždy se jednalo o</w:t>
      </w:r>
      <w:r w:rsidR="00D5542D" w:rsidRPr="009771C8">
        <w:t> </w:t>
      </w:r>
      <w:r w:rsidRPr="009771C8">
        <w:t>opření se o ustanovení Listiny jako primárního práva Unie. Rozsudky a stan</w:t>
      </w:r>
      <w:r w:rsidR="00774C1E">
        <w:t>oviska byly</w:t>
      </w:r>
      <w:r w:rsidR="000B7698" w:rsidRPr="009771C8">
        <w:t xml:space="preserve"> vydán</w:t>
      </w:r>
      <w:r w:rsidR="00D5542D" w:rsidRPr="009771C8">
        <w:t>y</w:t>
      </w:r>
      <w:r w:rsidR="000B7698" w:rsidRPr="009771C8">
        <w:t xml:space="preserve"> v oblastech s</w:t>
      </w:r>
      <w:r w:rsidRPr="009771C8">
        <w:t xml:space="preserve">polečná zahraniční a bezpečnostní politika, právo podniků, životní prostředí a spotřebitelé (tady sice vydáno </w:t>
      </w:r>
      <w:r w:rsidR="00D5542D" w:rsidRPr="009771C8">
        <w:t xml:space="preserve">šest </w:t>
      </w:r>
      <w:r w:rsidR="00786369" w:rsidRPr="009771C8">
        <w:t>rozsudků a stanovisek, ale všechny obsahovaly využití Listiny, jak jsem zmínila výše)</w:t>
      </w:r>
      <w:r w:rsidR="00F15A24" w:rsidRPr="009771C8">
        <w:t xml:space="preserve"> </w:t>
      </w:r>
      <w:r w:rsidR="00667581" w:rsidRPr="009771C8">
        <w:t>a </w:t>
      </w:r>
      <w:r w:rsidRPr="009771C8">
        <w:t xml:space="preserve">duševní vlastnictví. </w:t>
      </w:r>
      <w:r w:rsidR="003F11A4" w:rsidRPr="009771C8">
        <w:t xml:space="preserve">Z tohoto důvodu jsem tyto oblasti zařadila do jedné kapitoly. </w:t>
      </w:r>
    </w:p>
    <w:p w:rsidR="00AD70C0" w:rsidRPr="009771C8" w:rsidRDefault="00AD70C0" w:rsidP="00B811CC">
      <w:r w:rsidRPr="009771C8">
        <w:t xml:space="preserve">V oblasti </w:t>
      </w:r>
      <w:r w:rsidRPr="009771C8">
        <w:rPr>
          <w:b/>
        </w:rPr>
        <w:t>společné zahrani</w:t>
      </w:r>
      <w:r w:rsidR="00AE08B2" w:rsidRPr="009771C8">
        <w:rPr>
          <w:b/>
        </w:rPr>
        <w:t>ční a bezpečnostní politiky</w:t>
      </w:r>
      <w:r w:rsidR="00FD3005" w:rsidRPr="009771C8">
        <w:t xml:space="preserve"> </w:t>
      </w:r>
      <w:r w:rsidR="000846B8" w:rsidRPr="009771C8">
        <w:t>bylo v jednom případě odkázáno na Listinu.</w:t>
      </w:r>
      <w:r w:rsidR="00AE08B2" w:rsidRPr="009771C8">
        <w:t xml:space="preserve"> </w:t>
      </w:r>
      <w:r w:rsidR="00F64824" w:rsidRPr="009771C8">
        <w:t xml:space="preserve">Jedná se o případ </w:t>
      </w:r>
      <w:r w:rsidR="000846B8" w:rsidRPr="009771C8">
        <w:rPr>
          <w:b/>
        </w:rPr>
        <w:t>E a F</w:t>
      </w:r>
      <w:r w:rsidR="00F64824" w:rsidRPr="009771C8">
        <w:rPr>
          <w:rStyle w:val="Funotenzeichen"/>
          <w:b/>
        </w:rPr>
        <w:footnoteReference w:id="121"/>
      </w:r>
      <w:r w:rsidR="00F64824" w:rsidRPr="009771C8">
        <w:t xml:space="preserve">. </w:t>
      </w:r>
      <w:r w:rsidR="00E5720F" w:rsidRPr="009771C8">
        <w:t xml:space="preserve">V tomto trestním řízení je Listina použita jako právní zakotvení zásady zákazu zpětné účinnosti trestního zákona v čl. 49. </w:t>
      </w:r>
    </w:p>
    <w:p w:rsidR="00D5542D" w:rsidRPr="009771C8" w:rsidRDefault="00112833" w:rsidP="00282E90">
      <w:r w:rsidRPr="009771C8">
        <w:t xml:space="preserve">V problematice </w:t>
      </w:r>
      <w:r w:rsidRPr="009771C8">
        <w:rPr>
          <w:b/>
        </w:rPr>
        <w:t>práva podniků</w:t>
      </w:r>
      <w:r w:rsidRPr="009771C8">
        <w:t xml:space="preserve"> </w:t>
      </w:r>
      <w:r w:rsidR="000846B8" w:rsidRPr="009771C8">
        <w:t xml:space="preserve">se </w:t>
      </w:r>
      <w:r w:rsidR="00187517" w:rsidRPr="009771C8">
        <w:t xml:space="preserve">ve třech </w:t>
      </w:r>
      <w:r w:rsidR="000846B8" w:rsidRPr="009771C8">
        <w:t>rozsudcích a stanoviscích odkazuje na </w:t>
      </w:r>
      <w:r w:rsidR="00187517" w:rsidRPr="009771C8">
        <w:t>Listinu</w:t>
      </w:r>
      <w:r w:rsidR="00251C1D" w:rsidRPr="009771C8">
        <w:t xml:space="preserve">. Jedná se o stanoviska ve věcech </w:t>
      </w:r>
      <w:r w:rsidR="000846B8" w:rsidRPr="009771C8">
        <w:rPr>
          <w:b/>
        </w:rPr>
        <w:t>Evropaïki Dynamiki v</w:t>
      </w:r>
      <w:r w:rsidR="003F11A4" w:rsidRPr="009771C8">
        <w:rPr>
          <w:b/>
        </w:rPr>
        <w:t> </w:t>
      </w:r>
      <w:r w:rsidR="000846B8" w:rsidRPr="009771C8">
        <w:rPr>
          <w:b/>
        </w:rPr>
        <w:t>E</w:t>
      </w:r>
      <w:r w:rsidR="003F11A4" w:rsidRPr="009771C8">
        <w:rPr>
          <w:b/>
        </w:rPr>
        <w:t>vropská centrální banka</w:t>
      </w:r>
      <w:r w:rsidR="00D24AE1" w:rsidRPr="009771C8">
        <w:rPr>
          <w:rStyle w:val="Funotenzeichen"/>
          <w:b/>
        </w:rPr>
        <w:footnoteReference w:id="122"/>
      </w:r>
      <w:r w:rsidR="00251C1D" w:rsidRPr="009771C8">
        <w:t xml:space="preserve">, </w:t>
      </w:r>
      <w:r w:rsidR="000846B8" w:rsidRPr="009771C8">
        <w:rPr>
          <w:b/>
        </w:rPr>
        <w:t>Idryma Typou</w:t>
      </w:r>
      <w:r w:rsidR="00846055" w:rsidRPr="009771C8">
        <w:rPr>
          <w:rStyle w:val="Funotenzeichen"/>
          <w:b/>
        </w:rPr>
        <w:footnoteReference w:id="123"/>
      </w:r>
      <w:r w:rsidR="00251C1D" w:rsidRPr="009771C8">
        <w:t xml:space="preserve">, </w:t>
      </w:r>
      <w:r w:rsidR="00A57E2A" w:rsidRPr="009771C8">
        <w:rPr>
          <w:b/>
        </w:rPr>
        <w:t>Symvoulio Apochetefseon Lefkosias</w:t>
      </w:r>
      <w:r w:rsidR="00EA3684" w:rsidRPr="009771C8">
        <w:rPr>
          <w:rStyle w:val="Funotenzeichen"/>
          <w:b/>
        </w:rPr>
        <w:footnoteReference w:id="124"/>
      </w:r>
      <w:r w:rsidR="00251C1D" w:rsidRPr="009771C8">
        <w:t xml:space="preserve">. </w:t>
      </w:r>
      <w:r w:rsidR="00766B50" w:rsidRPr="009771C8">
        <w:t xml:space="preserve">V případu </w:t>
      </w:r>
      <w:r w:rsidR="00A57E2A" w:rsidRPr="009771C8">
        <w:t xml:space="preserve">Evropaïki </w:t>
      </w:r>
      <w:r w:rsidR="003F11A4" w:rsidRPr="009771C8">
        <w:t>Dynamiki v Evropská centrální banka</w:t>
      </w:r>
      <w:r w:rsidR="00A57E2A" w:rsidRPr="009771C8">
        <w:t xml:space="preserve"> </w:t>
      </w:r>
      <w:r w:rsidR="00D5542D" w:rsidRPr="009771C8">
        <w:t xml:space="preserve">je </w:t>
      </w:r>
      <w:r w:rsidR="00766B50" w:rsidRPr="009771C8">
        <w:t xml:space="preserve">na Listinu odkazováno v souvislosti se zakotvením práva na účinnou soudní ochranu v čl. 47. </w:t>
      </w:r>
    </w:p>
    <w:p w:rsidR="00D5542D" w:rsidRPr="009771C8" w:rsidRDefault="00CE26C5" w:rsidP="00282E90">
      <w:r w:rsidRPr="009771C8">
        <w:t>Původní spor případu</w:t>
      </w:r>
      <w:r w:rsidR="00A57E2A" w:rsidRPr="009771C8">
        <w:t xml:space="preserve"> </w:t>
      </w:r>
      <w:r w:rsidR="00A57E2A" w:rsidRPr="009771C8">
        <w:rPr>
          <w:b/>
        </w:rPr>
        <w:t>Idryma Typou</w:t>
      </w:r>
      <w:r w:rsidR="00766B50" w:rsidRPr="009771C8">
        <w:t xml:space="preserve"> </w:t>
      </w:r>
      <w:r w:rsidR="00AD316A" w:rsidRPr="009771C8">
        <w:t>se </w:t>
      </w:r>
      <w:r w:rsidRPr="009771C8">
        <w:t>týkal udělení pokuty</w:t>
      </w:r>
      <w:r w:rsidR="00774C1E">
        <w:t xml:space="preserve"> Národní radou pro </w:t>
      </w:r>
      <w:r w:rsidR="00A57E2A" w:rsidRPr="009771C8">
        <w:t>rozhlasové a </w:t>
      </w:r>
      <w:r w:rsidRPr="009771C8">
        <w:t xml:space="preserve">televizní vysílání tamní řecké televizní stanici, protože mělo dojít k porušení </w:t>
      </w:r>
      <w:r w:rsidR="003651E4" w:rsidRPr="009771C8">
        <w:t>zásady</w:t>
      </w:r>
      <w:r w:rsidRPr="009771C8">
        <w:t xml:space="preserve"> respektovat osobnost, čest, dobré jméno a</w:t>
      </w:r>
      <w:r w:rsidR="00AD316A" w:rsidRPr="009771C8">
        <w:t> </w:t>
      </w:r>
      <w:r w:rsidRPr="009771C8">
        <w:t xml:space="preserve">soukromí u </w:t>
      </w:r>
      <w:r w:rsidR="003651E4" w:rsidRPr="009771C8">
        <w:t>dvou zpěváků a jednoho módního návrháře</w:t>
      </w:r>
      <w:r w:rsidRPr="009771C8">
        <w:t xml:space="preserve">, když televize odvysílala v hlavní zpravodajské relaci </w:t>
      </w:r>
      <w:r w:rsidR="003651E4" w:rsidRPr="009771C8">
        <w:t xml:space="preserve">osobní </w:t>
      </w:r>
      <w:r w:rsidRPr="009771C8">
        <w:t xml:space="preserve">informace </w:t>
      </w:r>
      <w:r w:rsidR="003651E4" w:rsidRPr="009771C8">
        <w:t>o</w:t>
      </w:r>
      <w:r w:rsidR="00D5542D" w:rsidRPr="009771C8">
        <w:t> </w:t>
      </w:r>
      <w:r w:rsidR="003651E4" w:rsidRPr="009771C8">
        <w:t xml:space="preserve">těchto lidech. </w:t>
      </w:r>
      <w:r w:rsidR="008326E4" w:rsidRPr="009771C8">
        <w:t xml:space="preserve">Listina je použita v části stanoviska, které se věnuje ochraně základních práv jako oprávněného zájmu. </w:t>
      </w:r>
      <w:r w:rsidR="002528E5" w:rsidRPr="009771C8">
        <w:t xml:space="preserve">Uvádí se zde, že </w:t>
      </w:r>
      <w:r w:rsidR="002528E5" w:rsidRPr="009771C8">
        <w:rPr>
          <w:i/>
        </w:rPr>
        <w:t xml:space="preserve">„základní práva jsou podle ustálené judikatury </w:t>
      </w:r>
      <w:r w:rsidR="002528E5" w:rsidRPr="009771C8">
        <w:rPr>
          <w:i/>
        </w:rPr>
        <w:lastRenderedPageBreak/>
        <w:t>nedílnou součástí obecných zásad právních</w:t>
      </w:r>
      <w:r w:rsidR="002528E5" w:rsidRPr="009771C8">
        <w:rPr>
          <w:rStyle w:val="Funotenzeichen"/>
          <w:i/>
        </w:rPr>
        <w:footnoteReference w:id="125"/>
      </w:r>
      <w:r w:rsidR="002528E5" w:rsidRPr="009771C8">
        <w:rPr>
          <w:i/>
        </w:rPr>
        <w:t>“</w:t>
      </w:r>
      <w:r w:rsidR="00DC7CF4" w:rsidRPr="009771C8">
        <w:t xml:space="preserve"> a dál uvádí, že </w:t>
      </w:r>
      <w:r w:rsidR="00DC7CF4" w:rsidRPr="009771C8">
        <w:rPr>
          <w:i/>
        </w:rPr>
        <w:t>„za účelem potvrzení existence určitých obecných právních zásad se ESD několikrát odvolal na Listinu základních práv Evropské unie“</w:t>
      </w:r>
      <w:r w:rsidR="00DC7CF4" w:rsidRPr="009771C8">
        <w:rPr>
          <w:rStyle w:val="Funotenzeichen"/>
          <w:i/>
        </w:rPr>
        <w:footnoteReference w:id="126"/>
      </w:r>
      <w:r w:rsidR="00DC7CF4" w:rsidRPr="009771C8">
        <w:t xml:space="preserve">. </w:t>
      </w:r>
      <w:r w:rsidR="002E0D8F" w:rsidRPr="009771C8">
        <w:t xml:space="preserve">Tedy i v tomto stanovisku se opět opakuje už známý fakt, že Listina je používána jako potvrzení obecných zásad právních. </w:t>
      </w:r>
      <w:r w:rsidR="005F00B4" w:rsidRPr="009771C8">
        <w:t xml:space="preserve">A dál uvádí, že právo na dodržování soukromí je zakotveno v čl. 7. </w:t>
      </w:r>
    </w:p>
    <w:p w:rsidR="00282E90" w:rsidRPr="009771C8" w:rsidRDefault="0054756A" w:rsidP="00282E90">
      <w:r w:rsidRPr="009771C8">
        <w:t xml:space="preserve">Předběžná otázka v případu </w:t>
      </w:r>
      <w:r w:rsidR="00E3348E" w:rsidRPr="009771C8">
        <w:t xml:space="preserve">Symvoulio Apochetefseon </w:t>
      </w:r>
      <w:r w:rsidR="00E3348E" w:rsidRPr="009771C8">
        <w:rPr>
          <w:b/>
        </w:rPr>
        <w:t>Lefkosias</w:t>
      </w:r>
      <w:r w:rsidR="00E3348E" w:rsidRPr="009771C8">
        <w:t xml:space="preserve"> </w:t>
      </w:r>
      <w:r w:rsidRPr="009771C8">
        <w:t>se týkala soudního přezkumu rozhodnut</w:t>
      </w:r>
      <w:r w:rsidR="00F93350" w:rsidRPr="009771C8">
        <w:t xml:space="preserve">í správního orgánu. V textu je několikrát zmíněn čl. 47 Listiny, který zaručuje právo na účinnou právní ochranu a spravedlivý proces </w:t>
      </w:r>
      <w:r w:rsidR="00B47175" w:rsidRPr="009771C8">
        <w:t>v místě</w:t>
      </w:r>
      <w:r w:rsidR="00F93350" w:rsidRPr="009771C8">
        <w:t>,</w:t>
      </w:r>
      <w:r w:rsidR="00B47175" w:rsidRPr="009771C8">
        <w:t xml:space="preserve"> kde</w:t>
      </w:r>
      <w:r w:rsidR="00F93350" w:rsidRPr="009771C8">
        <w:t xml:space="preserve"> ES</w:t>
      </w:r>
      <w:r w:rsidR="00B47175" w:rsidRPr="009771C8">
        <w:t>D ve svém rozsudku konstatuje</w:t>
      </w:r>
      <w:r w:rsidR="007A2453" w:rsidRPr="009771C8">
        <w:t xml:space="preserve">, </w:t>
      </w:r>
      <w:r w:rsidR="00632F92" w:rsidRPr="009771C8">
        <w:rPr>
          <w:i/>
        </w:rPr>
        <w:t>„</w:t>
      </w:r>
      <w:r w:rsidR="007A2453" w:rsidRPr="009771C8">
        <w:rPr>
          <w:i/>
        </w:rPr>
        <w:t>že procesní autonomie členských států zjevně není absolutní</w:t>
      </w:r>
      <w:r w:rsidR="00A30960" w:rsidRPr="009771C8">
        <w:rPr>
          <w:rStyle w:val="Funotenzeichen"/>
          <w:i/>
        </w:rPr>
        <w:footnoteReference w:id="127"/>
      </w:r>
      <w:r w:rsidR="00B47175" w:rsidRPr="009771C8">
        <w:rPr>
          <w:i/>
        </w:rPr>
        <w:t xml:space="preserve">“ </w:t>
      </w:r>
      <w:r w:rsidR="00B47175" w:rsidRPr="009771C8">
        <w:t xml:space="preserve">a to z toho </w:t>
      </w:r>
      <w:r w:rsidR="000F1323" w:rsidRPr="009771C8">
        <w:t>důvodu, že tam, kde se aplikuje v rámci unijního práva</w:t>
      </w:r>
      <w:r w:rsidR="00A30960" w:rsidRPr="009771C8">
        <w:t>,</w:t>
      </w:r>
      <w:r w:rsidR="000F1323" w:rsidRPr="009771C8">
        <w:t xml:space="preserve"> je nutné dodržovat obecné právní zásady především z oblasti „právního státu“, ale také dodržovat základní práva a</w:t>
      </w:r>
      <w:r w:rsidR="002E0D8F" w:rsidRPr="009771C8">
        <w:t> </w:t>
      </w:r>
      <w:r w:rsidR="000F1323" w:rsidRPr="009771C8">
        <w:t xml:space="preserve">především právo na právní ochranu a spravedlivý proces, který garantuje čl. 47 Listiny. </w:t>
      </w:r>
      <w:r w:rsidR="00486972" w:rsidRPr="009771C8">
        <w:t xml:space="preserve">Zároveň ale soud uvádí, že je problematická situace, kdy by se právnická osoba čl. 47 Listiny (což se v tomto případě přímo v předběžné otázce nestalo). </w:t>
      </w:r>
    </w:p>
    <w:p w:rsidR="007B342C" w:rsidRPr="009771C8" w:rsidRDefault="007B342C" w:rsidP="00D16542">
      <w:r w:rsidRPr="009771C8">
        <w:t xml:space="preserve">Třetí oblastí v této podkapitole je </w:t>
      </w:r>
      <w:r w:rsidR="00282E90" w:rsidRPr="009771C8">
        <w:rPr>
          <w:b/>
        </w:rPr>
        <w:t>životní prostředí a spotřebitelé</w:t>
      </w:r>
      <w:r w:rsidR="00282E90" w:rsidRPr="009771C8">
        <w:t xml:space="preserve">. </w:t>
      </w:r>
      <w:r w:rsidR="00E3348E" w:rsidRPr="009771C8">
        <w:t xml:space="preserve">V tomto okruhu se v pěti stanoviscích a rozsudcích odkazuje na </w:t>
      </w:r>
      <w:r w:rsidR="00682DDD" w:rsidRPr="009771C8">
        <w:t xml:space="preserve">Listinu. </w:t>
      </w:r>
      <w:r w:rsidR="0086189D" w:rsidRPr="009771C8">
        <w:t xml:space="preserve">Ve všech těchto případech je Listina použita jako potvrzení </w:t>
      </w:r>
      <w:r w:rsidR="00F8558C" w:rsidRPr="009771C8">
        <w:t>konkrétních práv. J</w:t>
      </w:r>
      <w:r w:rsidR="0086189D" w:rsidRPr="009771C8">
        <w:t xml:space="preserve">edná </w:t>
      </w:r>
      <w:r w:rsidR="00F8558C" w:rsidRPr="009771C8">
        <w:t xml:space="preserve">se </w:t>
      </w:r>
      <w:r w:rsidR="0086189D" w:rsidRPr="009771C8">
        <w:t>o právo na přístup k dokumentům podle čl.</w:t>
      </w:r>
      <w:r w:rsidR="00D5542D" w:rsidRPr="009771C8">
        <w:t> </w:t>
      </w:r>
      <w:r w:rsidR="0086189D" w:rsidRPr="009771C8">
        <w:t xml:space="preserve">42 v případu </w:t>
      </w:r>
      <w:r w:rsidR="004B560C" w:rsidRPr="009771C8">
        <w:rPr>
          <w:b/>
        </w:rPr>
        <w:t>Ville de Lyon</w:t>
      </w:r>
      <w:r w:rsidR="00FD07D5" w:rsidRPr="009771C8">
        <w:rPr>
          <w:rStyle w:val="Funotenzeichen"/>
          <w:b/>
        </w:rPr>
        <w:footnoteReference w:id="128"/>
      </w:r>
      <w:r w:rsidR="0086189D" w:rsidRPr="009771C8">
        <w:t xml:space="preserve">. </w:t>
      </w:r>
      <w:r w:rsidR="00F32338" w:rsidRPr="009771C8">
        <w:t>V spojeném řízení</w:t>
      </w:r>
      <w:r w:rsidR="000A0CB4" w:rsidRPr="009771C8">
        <w:t xml:space="preserve"> </w:t>
      </w:r>
      <w:r w:rsidR="004B560C" w:rsidRPr="009771C8">
        <w:rPr>
          <w:b/>
        </w:rPr>
        <w:t>Alassini</w:t>
      </w:r>
      <w:r w:rsidR="008B043F" w:rsidRPr="009771C8">
        <w:rPr>
          <w:rStyle w:val="Funotenzeichen"/>
          <w:b/>
        </w:rPr>
        <w:footnoteReference w:id="129"/>
      </w:r>
      <w:r w:rsidR="00F32338" w:rsidRPr="009771C8">
        <w:t xml:space="preserve"> se jedná o čl. 47 Listiny, tedy právo na účinnou právní ochranu a spravedlivý proces. </w:t>
      </w:r>
      <w:r w:rsidR="00D16542" w:rsidRPr="009771C8">
        <w:t xml:space="preserve">Ve stanovisku </w:t>
      </w:r>
      <w:r w:rsidR="00685D3B" w:rsidRPr="009771C8">
        <w:rPr>
          <w:b/>
        </w:rPr>
        <w:t>Komise v</w:t>
      </w:r>
      <w:r w:rsidR="00D5542D" w:rsidRPr="009771C8">
        <w:rPr>
          <w:b/>
        </w:rPr>
        <w:t> </w:t>
      </w:r>
      <w:proofErr w:type="gramStart"/>
      <w:r w:rsidR="00685D3B" w:rsidRPr="009771C8">
        <w:rPr>
          <w:b/>
        </w:rPr>
        <w:t>Lucembursko</w:t>
      </w:r>
      <w:proofErr w:type="gramEnd"/>
      <w:r w:rsidR="00DD7BC3" w:rsidRPr="009771C8">
        <w:rPr>
          <w:rStyle w:val="Funotenzeichen"/>
          <w:b/>
        </w:rPr>
        <w:footnoteReference w:id="130"/>
      </w:r>
      <w:r w:rsidR="00D16542" w:rsidRPr="009771C8">
        <w:t xml:space="preserve"> </w:t>
      </w:r>
      <w:r w:rsidR="005D42F9" w:rsidRPr="009771C8">
        <w:t xml:space="preserve">potom čl. 50, která garantuje právo nebýt dvakrát trestně stíhán nebo trestán za trestný čin. </w:t>
      </w:r>
      <w:r w:rsidR="00F35E57" w:rsidRPr="009771C8">
        <w:t xml:space="preserve">V rozsudku </w:t>
      </w:r>
      <w:r w:rsidR="00685D3B" w:rsidRPr="009771C8">
        <w:rPr>
          <w:b/>
        </w:rPr>
        <w:t>Martín Martín</w:t>
      </w:r>
      <w:r w:rsidR="00DD7BC3" w:rsidRPr="009771C8">
        <w:rPr>
          <w:rStyle w:val="Funotenzeichen"/>
          <w:b/>
        </w:rPr>
        <w:footnoteReference w:id="131"/>
      </w:r>
      <w:r w:rsidR="00F35E57" w:rsidRPr="009771C8">
        <w:t xml:space="preserve"> v předběžné otázce je obsažen čl. 38 (ochrana spotřebitele) Listiny, v následné argumentaci soudu už však ustanovení Listiny použita nejsou. </w:t>
      </w:r>
      <w:r w:rsidR="001C615E" w:rsidRPr="009771C8">
        <w:t>V</w:t>
      </w:r>
      <w:r w:rsidR="00F8558C" w:rsidRPr="009771C8">
        <w:t>e</w:t>
      </w:r>
      <w:r w:rsidR="001C615E" w:rsidRPr="009771C8">
        <w:t xml:space="preserve"> stanovisku </w:t>
      </w:r>
      <w:r w:rsidR="00685D3B" w:rsidRPr="009771C8">
        <w:rPr>
          <w:b/>
        </w:rPr>
        <w:t>Komise v Španělsko</w:t>
      </w:r>
      <w:r w:rsidR="00DD7BC3" w:rsidRPr="009771C8">
        <w:rPr>
          <w:rStyle w:val="Funotenzeichen"/>
          <w:b/>
        </w:rPr>
        <w:footnoteReference w:id="132"/>
      </w:r>
      <w:r w:rsidR="001C615E" w:rsidRPr="009771C8">
        <w:t xml:space="preserve"> je to potom právo na řádnou správu v čl. 41 Listiny. </w:t>
      </w:r>
    </w:p>
    <w:p w:rsidR="00825A7F" w:rsidRPr="009771C8" w:rsidRDefault="00F15A24" w:rsidP="00825A7F">
      <w:r w:rsidRPr="009771C8">
        <w:lastRenderedPageBreak/>
        <w:t xml:space="preserve">V oblasti </w:t>
      </w:r>
      <w:r w:rsidRPr="009771C8">
        <w:rPr>
          <w:b/>
        </w:rPr>
        <w:t>duševního vlastnictví</w:t>
      </w:r>
      <w:r w:rsidRPr="009771C8">
        <w:t xml:space="preserve"> </w:t>
      </w:r>
      <w:r w:rsidR="00685D3B" w:rsidRPr="009771C8">
        <w:t>se v jednom stanovisku odkázalo na Listinu -</w:t>
      </w:r>
      <w:r w:rsidR="00CD7D9D" w:rsidRPr="009771C8">
        <w:t xml:space="preserve"> ve věci</w:t>
      </w:r>
      <w:r w:rsidR="00685D3B" w:rsidRPr="009771C8">
        <w:t xml:space="preserve"> </w:t>
      </w:r>
      <w:r w:rsidR="00685D3B" w:rsidRPr="009771C8">
        <w:rPr>
          <w:b/>
        </w:rPr>
        <w:t>L'Oréal</w:t>
      </w:r>
      <w:r w:rsidR="00211DEE" w:rsidRPr="009771C8">
        <w:rPr>
          <w:rStyle w:val="Funotenzeichen"/>
          <w:b/>
        </w:rPr>
        <w:footnoteReference w:id="133"/>
      </w:r>
      <w:r w:rsidR="00CD7D9D" w:rsidRPr="009771C8">
        <w:t xml:space="preserve">. </w:t>
      </w:r>
      <w:r w:rsidR="001F4736" w:rsidRPr="009771C8">
        <w:t>Původní řízení se týkalo sporu o údajné napodobování značky L’oreál na</w:t>
      </w:r>
      <w:r w:rsidR="00D5542D" w:rsidRPr="009771C8">
        <w:t> </w:t>
      </w:r>
      <w:r w:rsidR="001F4736" w:rsidRPr="009771C8">
        <w:t xml:space="preserve">internetovém prodejním portále eBay. </w:t>
      </w:r>
      <w:r w:rsidR="000C075D" w:rsidRPr="009771C8">
        <w:t>V textu je několikrát odkázáno na ustanovení čl. 11 Listiny zaručující právo na svobodu projevu a informace.</w:t>
      </w:r>
    </w:p>
    <w:p w:rsidR="008E546F" w:rsidRPr="009771C8" w:rsidRDefault="00BF2F67" w:rsidP="00B1384F">
      <w:pPr>
        <w:spacing w:line="240" w:lineRule="auto"/>
        <w:ind w:firstLine="0"/>
        <w:jc w:val="left"/>
      </w:pPr>
      <w:r w:rsidRPr="009771C8">
        <w:tab/>
      </w:r>
    </w:p>
    <w:p w:rsidR="00816FD3" w:rsidRPr="009771C8" w:rsidRDefault="00816FD3">
      <w:pPr>
        <w:spacing w:line="240" w:lineRule="auto"/>
        <w:ind w:firstLine="0"/>
        <w:jc w:val="left"/>
      </w:pPr>
      <w:r w:rsidRPr="009771C8">
        <w:br w:type="page"/>
      </w:r>
    </w:p>
    <w:p w:rsidR="00424CA4" w:rsidRPr="009771C8" w:rsidRDefault="00424CA4" w:rsidP="004E71F9">
      <w:pPr>
        <w:pStyle w:val="NADPIS1"/>
      </w:pPr>
      <w:bookmarkStart w:id="48" w:name="_Toc288488674"/>
      <w:bookmarkStart w:id="49" w:name="_Toc288490391"/>
      <w:bookmarkStart w:id="50" w:name="_Toc288491604"/>
      <w:bookmarkStart w:id="51" w:name="_Toc291022230"/>
      <w:r w:rsidRPr="009771C8">
        <w:lastRenderedPageBreak/>
        <w:t xml:space="preserve">Zhodnocení aplikace </w:t>
      </w:r>
      <w:bookmarkEnd w:id="48"/>
      <w:bookmarkEnd w:id="49"/>
      <w:bookmarkEnd w:id="50"/>
      <w:r w:rsidR="000D381C" w:rsidRPr="009771C8">
        <w:t>Listiny</w:t>
      </w:r>
      <w:bookmarkEnd w:id="51"/>
    </w:p>
    <w:p w:rsidR="00E71564" w:rsidRPr="009771C8" w:rsidRDefault="00105FAD" w:rsidP="00E71564">
      <w:r w:rsidRPr="009771C8">
        <w:t>Cílem této kapitoly je shrnout význam a místo</w:t>
      </w:r>
      <w:r w:rsidR="00424CA4" w:rsidRPr="009771C8">
        <w:t xml:space="preserve"> Listiny v </w:t>
      </w:r>
      <w:r w:rsidR="000938E8" w:rsidRPr="009771C8">
        <w:t>rozhodovací</w:t>
      </w:r>
      <w:r w:rsidR="00424CA4" w:rsidRPr="009771C8">
        <w:t xml:space="preserve"> činnosti</w:t>
      </w:r>
      <w:r w:rsidR="00A91FBD" w:rsidRPr="009771C8">
        <w:t xml:space="preserve"> lucemburských soudních orgánů, tedy Evropského soudního dvora, Tribunálu a generálních advokátů a advokátek. Toto shrnutí se bude vztahovat </w:t>
      </w:r>
      <w:r w:rsidR="001C2AC0" w:rsidRPr="009771C8">
        <w:t>na období 14 měsíců od doby, kdy se </w:t>
      </w:r>
      <w:r w:rsidR="00424CA4" w:rsidRPr="009771C8">
        <w:t xml:space="preserve">Listina stala právně závaznou </w:t>
      </w:r>
      <w:r w:rsidR="000938E8" w:rsidRPr="009771C8">
        <w:t>součástí práva Evropské unie</w:t>
      </w:r>
      <w:r w:rsidR="00424CA4" w:rsidRPr="009771C8">
        <w:t>. Jedná se te</w:t>
      </w:r>
      <w:r w:rsidR="001C2AC0" w:rsidRPr="009771C8">
        <w:t>dy o období od 1. </w:t>
      </w:r>
      <w:r w:rsidR="00424CA4" w:rsidRPr="009771C8">
        <w:t>pro</w:t>
      </w:r>
      <w:r w:rsidR="000A6AD9" w:rsidRPr="009771C8">
        <w:t>since 2009 do 4.</w:t>
      </w:r>
      <w:r w:rsidR="00D25CE5" w:rsidRPr="009771C8">
        <w:t xml:space="preserve"> února 2011</w:t>
      </w:r>
      <w:r w:rsidR="00424CA4" w:rsidRPr="009771C8">
        <w:t xml:space="preserve">. Jedinou výjimku tvoří rozsudek ve věcí </w:t>
      </w:r>
      <w:r w:rsidR="004706C1" w:rsidRPr="009771C8">
        <w:t>Association Belge des Consommateurs Test-Achats</w:t>
      </w:r>
      <w:r w:rsidR="000A6AD9" w:rsidRPr="009771C8">
        <w:t xml:space="preserve">, který byl vydán 1. března </w:t>
      </w:r>
      <w:r w:rsidR="00D25CE5" w:rsidRPr="009771C8">
        <w:t>2011.</w:t>
      </w:r>
      <w:r w:rsidR="001C2AC0" w:rsidRPr="009771C8">
        <w:t xml:space="preserve"> Důvody, které mě vedly k zařazení tohoto rozsudku do mé práce, jsem uvedla </w:t>
      </w:r>
      <w:r w:rsidR="00D5542D" w:rsidRPr="009771C8">
        <w:t>v příslušné kapitole</w:t>
      </w:r>
      <w:r w:rsidR="000A6AD9" w:rsidRPr="009771C8">
        <w:t xml:space="preserve">. </w:t>
      </w:r>
      <w:r w:rsidR="001C2AC0" w:rsidRPr="009771C8">
        <w:t>Na</w:t>
      </w:r>
      <w:r w:rsidR="00D5542D" w:rsidRPr="009771C8">
        <w:t> </w:t>
      </w:r>
      <w:r w:rsidR="00BD7D88" w:rsidRPr="009771C8">
        <w:t>rozdíl od </w:t>
      </w:r>
      <w:r w:rsidR="001C2AC0" w:rsidRPr="009771C8">
        <w:t xml:space="preserve">závěru mé diplomové práce </w:t>
      </w:r>
      <w:r w:rsidR="00D5542D" w:rsidRPr="009771C8">
        <w:t xml:space="preserve">(kapitola 5) </w:t>
      </w:r>
      <w:r w:rsidR="00327B7D" w:rsidRPr="009771C8">
        <w:t xml:space="preserve">bych na tomto místě chtěla provést podrobnější rozbor. </w:t>
      </w:r>
    </w:p>
    <w:p w:rsidR="000628EA" w:rsidRPr="009771C8" w:rsidRDefault="001C2AC0" w:rsidP="004B54C3">
      <w:r w:rsidRPr="009771C8">
        <w:t xml:space="preserve">Jak už jsem uvedla v úvodu mé práce, </w:t>
      </w:r>
      <w:r w:rsidR="00D5542D" w:rsidRPr="009771C8">
        <w:t xml:space="preserve">komplexní </w:t>
      </w:r>
      <w:r w:rsidRPr="009771C8">
        <w:t>literatura, která by</w:t>
      </w:r>
      <w:r w:rsidR="000628EA" w:rsidRPr="009771C8">
        <w:t xml:space="preserve"> uceleně zhodnotila aplikaci Listiny lucemburskými soudními orgány za více než rok od její právní závaznosti,</w:t>
      </w:r>
      <w:r w:rsidRPr="009771C8">
        <w:t xml:space="preserve"> za</w:t>
      </w:r>
      <w:r w:rsidR="000628EA" w:rsidRPr="009771C8">
        <w:t>tím</w:t>
      </w:r>
      <w:r w:rsidR="00D5542D" w:rsidRPr="009771C8">
        <w:t xml:space="preserve"> neexistuje</w:t>
      </w:r>
      <w:r w:rsidRPr="009771C8">
        <w:t xml:space="preserve">. </w:t>
      </w:r>
      <w:r w:rsidR="000628EA" w:rsidRPr="009771C8">
        <w:t xml:space="preserve">I z toho důvodu je shrnutí judikatury nesnadným úkolem. </w:t>
      </w:r>
      <w:r w:rsidR="00BD7D88" w:rsidRPr="009771C8">
        <w:t>Dalším stěžujícím fakto</w:t>
      </w:r>
      <w:r w:rsidR="00D5542D" w:rsidRPr="009771C8">
        <w:t xml:space="preserve">rem je dle mého názoru nelehká identifikace kritérií, </w:t>
      </w:r>
      <w:r w:rsidR="0019759D" w:rsidRPr="009771C8">
        <w:t>na základě kterých by se dalo určit, jaké místo v rozhodovací činnosti Listina zaujímá. Proto pro toto hodnocení budu používat více hledisek.</w:t>
      </w:r>
    </w:p>
    <w:p w:rsidR="005C5BDA" w:rsidRPr="009771C8" w:rsidRDefault="004706C1" w:rsidP="004B54C3">
      <w:r w:rsidRPr="009771C8">
        <w:t>Jak jsem uvedla v předcházející kapitole, v rozhodovací činnosti Tribunálu je Listina využívána minimálně</w:t>
      </w:r>
      <w:r w:rsidR="0003380D" w:rsidRPr="009771C8">
        <w:t xml:space="preserve"> – v předmětném obdob</w:t>
      </w:r>
      <w:r w:rsidR="00D5542D" w:rsidRPr="009771C8">
        <w:t>í</w:t>
      </w:r>
      <w:r w:rsidR="0003380D" w:rsidRPr="009771C8">
        <w:t xml:space="preserve"> se odkaz na ni objevil jen u třech rozsudků. Z tohoto důvodu </w:t>
      </w:r>
      <w:r w:rsidRPr="009771C8">
        <w:t xml:space="preserve">ji v této části neuvádím. Kapitola je tedy rozdělena na využití Listiny v rozhodovací činnosti ESD a GA. </w:t>
      </w:r>
    </w:p>
    <w:p w:rsidR="00925D66" w:rsidRPr="009771C8" w:rsidRDefault="004706C1" w:rsidP="004B54C3">
      <w:r w:rsidRPr="009771C8">
        <w:t xml:space="preserve"> </w:t>
      </w:r>
    </w:p>
    <w:p w:rsidR="00A04BDC" w:rsidRPr="009771C8" w:rsidRDefault="004E71F9" w:rsidP="00420E79">
      <w:pPr>
        <w:pStyle w:val="NADPIS2"/>
        <w:outlineLvl w:val="0"/>
      </w:pPr>
      <w:bookmarkStart w:id="52" w:name="_Toc288488675"/>
      <w:bookmarkStart w:id="53" w:name="_Toc288490392"/>
      <w:bookmarkStart w:id="54" w:name="_Toc288491605"/>
      <w:bookmarkStart w:id="55" w:name="_Toc291022231"/>
      <w:r w:rsidRPr="009771C8">
        <w:t xml:space="preserve">4.1 </w:t>
      </w:r>
      <w:r w:rsidR="00A04BDC" w:rsidRPr="009771C8">
        <w:t>Evropský soudní dvůr</w:t>
      </w:r>
      <w:bookmarkEnd w:id="52"/>
      <w:bookmarkEnd w:id="53"/>
      <w:bookmarkEnd w:id="54"/>
      <w:bookmarkEnd w:id="55"/>
    </w:p>
    <w:p w:rsidR="008C6463" w:rsidRPr="009771C8" w:rsidRDefault="00BD7D88" w:rsidP="000A0CB4">
      <w:r w:rsidRPr="009771C8">
        <w:t xml:space="preserve">Na základě údajů z předcházejících kapitol </w:t>
      </w:r>
      <w:r w:rsidR="005A0E1B" w:rsidRPr="009771C8">
        <w:t>ESD v předmětném období odk</w:t>
      </w:r>
      <w:r w:rsidR="008C6463" w:rsidRPr="009771C8">
        <w:t>azoval na </w:t>
      </w:r>
      <w:r w:rsidR="005A0E1B" w:rsidRPr="009771C8">
        <w:t xml:space="preserve">Listinu ve 33 rozsudcích </w:t>
      </w:r>
      <w:r w:rsidRPr="009771C8">
        <w:t>ve 13 oblastech</w:t>
      </w:r>
      <w:r w:rsidR="005A0E1B" w:rsidRPr="009771C8">
        <w:t xml:space="preserve">. </w:t>
      </w:r>
      <w:r w:rsidR="008C6463" w:rsidRPr="009771C8">
        <w:t>Z těch</w:t>
      </w:r>
      <w:r w:rsidRPr="009771C8">
        <w:t>to</w:t>
      </w:r>
      <w:r w:rsidR="008C6463" w:rsidRPr="009771C8">
        <w:t xml:space="preserve"> 13 oblastí</w:t>
      </w:r>
      <w:r w:rsidR="00562ADE" w:rsidRPr="009771C8">
        <w:t xml:space="preserve">, ve kterých ESD </w:t>
      </w:r>
      <w:r w:rsidRPr="009771C8">
        <w:t>Listinu využíval</w:t>
      </w:r>
      <w:r w:rsidR="00562ADE" w:rsidRPr="009771C8">
        <w:t xml:space="preserve">, je </w:t>
      </w:r>
      <w:r w:rsidRPr="009771C8">
        <w:t xml:space="preserve">nejvíce rozsudků vydáno </w:t>
      </w:r>
      <w:r w:rsidR="00562ADE" w:rsidRPr="009771C8">
        <w:t xml:space="preserve">v oblasti svobody, bezpečnosti a práva a potom v sociální politice. </w:t>
      </w:r>
    </w:p>
    <w:p w:rsidR="00BC0062" w:rsidRPr="009771C8" w:rsidRDefault="00BC0062" w:rsidP="00BC0062">
      <w:r w:rsidRPr="009771C8">
        <w:t xml:space="preserve">Největší počet odkazů ESD na ustanovení Listiny se týká článků 7 a 8, které zaručují právo na respektování soukromého a rodinného života a ochrany osobních údajů. Dále potom čl. 21, který garantuje rovné zacházení a zákaz diskriminace. V sociální oblasti je to potom také často čl. 24, který zakotvuje práva dětí a určitě i čl. 47, ve kterém najdeme právo na účinnou právní ochranu a spravedlivý proces. </w:t>
      </w:r>
    </w:p>
    <w:p w:rsidR="00C732E1" w:rsidRPr="009771C8" w:rsidRDefault="006F5BB2" w:rsidP="00C732E1">
      <w:r w:rsidRPr="009771C8">
        <w:t>Těchto 33 rozsudků bych na základě způsobu použití Listiny rozdělila do dvou skup</w:t>
      </w:r>
      <w:r w:rsidR="00D60314" w:rsidRPr="009771C8">
        <w:t>in</w:t>
      </w:r>
      <w:r w:rsidRPr="009771C8">
        <w:t xml:space="preserve">. První skupinu tvoří ty rozsudky, ve kterých je Listina používána jako potvrzení existující svobody v unijním právu. Dále je zde Listina použita také ve smyslu, že předmětné směrnice </w:t>
      </w:r>
      <w:r w:rsidRPr="009771C8">
        <w:lastRenderedPageBreak/>
        <w:t xml:space="preserve">a nařízení respektují ustanovení Listiny. </w:t>
      </w:r>
      <w:r w:rsidR="00811B29" w:rsidRPr="009771C8">
        <w:t>Také</w:t>
      </w:r>
      <w:r w:rsidR="003463F3" w:rsidRPr="009771C8">
        <w:t xml:space="preserve"> počet odkazů na Listinu v této skupině rozsudků je </w:t>
      </w:r>
      <w:r w:rsidR="00811B29" w:rsidRPr="009771C8">
        <w:t>nižší ve srovnání s druhou skupinou</w:t>
      </w:r>
      <w:r w:rsidR="003463F3" w:rsidRPr="009771C8">
        <w:t xml:space="preserve">. </w:t>
      </w:r>
      <w:r w:rsidR="00811B29" w:rsidRPr="009771C8">
        <w:t xml:space="preserve">Do této první části patří většina rozhodnutí. </w:t>
      </w:r>
      <w:r w:rsidR="003463F3" w:rsidRPr="009771C8">
        <w:t xml:space="preserve">Druhou </w:t>
      </w:r>
      <w:r w:rsidR="00811B29" w:rsidRPr="009771C8">
        <w:t>skupinu</w:t>
      </w:r>
      <w:r w:rsidR="003463F3" w:rsidRPr="009771C8">
        <w:t xml:space="preserve"> </w:t>
      </w:r>
      <w:r w:rsidR="00811B29" w:rsidRPr="009771C8">
        <w:t xml:space="preserve">pak </w:t>
      </w:r>
      <w:r w:rsidR="003463F3" w:rsidRPr="009771C8">
        <w:t>tvoří rozsudky, které jsem v předcházející kapitole zařadila do stěžejních případů.</w:t>
      </w:r>
      <w:r w:rsidR="00811B29" w:rsidRPr="009771C8">
        <w:t xml:space="preserve"> Jedná se o deset rozhodnutí.</w:t>
      </w:r>
      <w:r w:rsidR="003463F3" w:rsidRPr="009771C8">
        <w:t xml:space="preserve"> </w:t>
      </w:r>
      <w:r w:rsidR="00D60314" w:rsidRPr="009771C8">
        <w:t xml:space="preserve">Ty také obsahují tyto druhy odkazů. </w:t>
      </w:r>
      <w:r w:rsidR="00811B29" w:rsidRPr="009771C8">
        <w:t xml:space="preserve">Ale počet odkazů na Listinu v jednotlivých textech je výrazně vyšší. Co se týče způsobu aplikace Listiny, ESD ji stejně tak využívá jako formální zakotvení práva uznávaného v Evropské unii na základě obecných zásad právních. Dále kromě těchto obecných zásad právních ESD ve svých rozsudcích používá i lidsko-právní katalog v rámci Rady Evropy, tedy Úmluvu. </w:t>
      </w:r>
    </w:p>
    <w:p w:rsidR="00C732E1" w:rsidRPr="009771C8" w:rsidRDefault="00811B29" w:rsidP="00C732E1">
      <w:r w:rsidRPr="009771C8">
        <w:t>Z této druhé skupiny rozsudků bych přece jen oddělila ještě jiný druh způsobu aplikace Listiny. I když tento není prováděn ESD, ale národními soudy, které se v rámci případu obracejí na ESD s předběžnou otázkou. Totiž z těchto deseti případů ve třech je Listina přímo uvedena v předběžné otázce a národní soud se tak ptá na výklad unijního práva s ustanoveními List</w:t>
      </w:r>
      <w:r w:rsidR="00AB4F4D" w:rsidRPr="009771C8">
        <w:t>iny. Jedná se o případy Aguirre Zarraga, McB. a Chatzi</w:t>
      </w:r>
      <w:r w:rsidRPr="009771C8">
        <w:t xml:space="preserve">. </w:t>
      </w:r>
      <w:r w:rsidR="00AD6091" w:rsidRPr="009771C8">
        <w:t>Myslím si, že to svědčí o uznávání Listiny i národními soudy jako pramen</w:t>
      </w:r>
      <w:r w:rsidR="008C0068" w:rsidRPr="009771C8">
        <w:t>u</w:t>
      </w:r>
      <w:r w:rsidR="00AD6091" w:rsidRPr="009771C8">
        <w:t xml:space="preserve"> ochrany lidských práv v Evropské unii. </w:t>
      </w:r>
      <w:r w:rsidR="002906A5" w:rsidRPr="009771C8">
        <w:t xml:space="preserve">Jinak by se národní soudy mohly ve svých předběžných otázkách dotazovat na soulad s obecnými zásadami právními. </w:t>
      </w:r>
    </w:p>
    <w:p w:rsidR="0003380D" w:rsidRPr="009771C8" w:rsidRDefault="0003380D" w:rsidP="00C732E1">
      <w:r w:rsidRPr="009771C8">
        <w:t xml:space="preserve">Přesto, jak jsem uváděla v průběhu své práce, ESD i GA využívají Listinu za toto předmětné období spíše jako podpůrný zdroj pro ochranu lidských práv a základních svobod v EU. </w:t>
      </w:r>
      <w:r w:rsidR="008C0068" w:rsidRPr="009771C8">
        <w:t>Na základě pro</w:t>
      </w:r>
      <w:r w:rsidRPr="009771C8">
        <w:t xml:space="preserve">zkoumané judikatury se </w:t>
      </w:r>
      <w:r w:rsidR="008C0068" w:rsidRPr="009771C8">
        <w:t>domnívám</w:t>
      </w:r>
      <w:r w:rsidRPr="009771C8">
        <w:t xml:space="preserve">, že pořád to jsou především obecné zásady právní, které představují primární garanci ochrany lidských práv v EU. Myslím si ovšem, že tento způsob používání Listiny je v podstatě vzhledem k cíli, který byl vytvořením formalizovaného katalogu lidských práv v EU sledován, logický – Listina měla sloužit jako jednotný katalog lidských práv a svobod, které jsou už v rámci Unie uznávány. A ty jsou v rámci Unie uznávány na základě obecných zásad právních. </w:t>
      </w:r>
      <w:r w:rsidR="004D2ACB" w:rsidRPr="009771C8">
        <w:t>Dalším aspektem je, že oba způsoby ochrany lidských práv jsou vytvářeny institucemi EU – obecné zásady právní byly vypracovány jako doktrína ESD na základě ústavních tradic společných členským státům EU. Stejně tak Listiny byla přijata EU, resp. členskými státy. Tento argument uvádím z toho důvodu, že v budoucnu je možné, že pro Listinu vyvstane jiný, „externí konkurent“ na poli ochrany lidských práv – Úmluva, ke které se EU zavázala, že přistoupí</w:t>
      </w:r>
      <w:r w:rsidR="001517DA" w:rsidRPr="009771C8">
        <w:rPr>
          <w:rStyle w:val="Funotenzeichen"/>
        </w:rPr>
        <w:footnoteReference w:id="134"/>
      </w:r>
      <w:r w:rsidR="004D2ACB" w:rsidRPr="009771C8">
        <w:t xml:space="preserve">. </w:t>
      </w:r>
    </w:p>
    <w:p w:rsidR="00CC0FFD" w:rsidRPr="009771C8" w:rsidRDefault="00CC0FFD" w:rsidP="00C732E1">
      <w:r w:rsidRPr="009771C8">
        <w:t>Na druhou stranu v této souvislosti mohu zmínit další aspekt ze strany některých států Evropské unie, který by spíše poukazoval na snahu oslabit postavení Listiny. Jedná se o onen známý tzv. Britsko-polský protokol č. 30, kterým tyto dva státy měly v úmyslu omezit působnost Listiny na jejich území</w:t>
      </w:r>
      <w:r w:rsidR="00D72F75" w:rsidRPr="009771C8">
        <w:t xml:space="preserve"> (každý z jiných důvodů)</w:t>
      </w:r>
      <w:r w:rsidRPr="009771C8">
        <w:t xml:space="preserve">. Koneckonců Česká republika, </w:t>
      </w:r>
      <w:r w:rsidRPr="009771C8">
        <w:lastRenderedPageBreak/>
        <w:t xml:space="preserve">resp. prezident </w:t>
      </w:r>
      <w:r w:rsidR="008C0068" w:rsidRPr="009771C8">
        <w:t xml:space="preserve">republiky </w:t>
      </w:r>
      <w:r w:rsidR="00D72F75" w:rsidRPr="009771C8">
        <w:t xml:space="preserve">si vymohl záruku ze strany ostatních členských států EU na summitu Evropské rady v říjnu 2009 k budoucímu přistoupení k tomuto protokolu, a sice při dalším rozšiřování EU, což bude nejspíš při příležitosti přijetí Chorvatska jako 28 člena EU. Zda k tomuto </w:t>
      </w:r>
      <w:r w:rsidR="00C7457F" w:rsidRPr="009771C8">
        <w:t xml:space="preserve">kroku </w:t>
      </w:r>
      <w:r w:rsidR="00D72F75" w:rsidRPr="009771C8">
        <w:t>česká vláda nakonec přistoupí nebo ne, není v tuto chvíli jasné.</w:t>
      </w:r>
      <w:r w:rsidR="00C7457F" w:rsidRPr="009771C8">
        <w:t xml:space="preserve"> Ostatně</w:t>
      </w:r>
      <w:r w:rsidR="002D31F1" w:rsidRPr="009771C8">
        <w:t xml:space="preserve"> zde se</w:t>
      </w:r>
      <w:r w:rsidR="00C7457F" w:rsidRPr="009771C8">
        <w:t xml:space="preserve"> liší právní názory na samotný Protokol č. 30, zda vůbec Protokol č. 30 ten tzv. opt-out z</w:t>
      </w:r>
      <w:r w:rsidR="002D31F1" w:rsidRPr="009771C8">
        <w:t> </w:t>
      </w:r>
      <w:r w:rsidR="00C7457F" w:rsidRPr="009771C8">
        <w:t xml:space="preserve">působnosti Listiny představuje nebo ne. </w:t>
      </w:r>
    </w:p>
    <w:p w:rsidR="00AD6091" w:rsidRPr="009771C8" w:rsidRDefault="008B6FC6" w:rsidP="00C732E1">
      <w:r w:rsidRPr="009771C8">
        <w:t>Č</w:t>
      </w:r>
      <w:r w:rsidR="00AD6091" w:rsidRPr="009771C8">
        <w:t xml:space="preserve">ísla </w:t>
      </w:r>
      <w:r w:rsidRPr="009771C8">
        <w:t xml:space="preserve">o počtu rozsudků, ve kterých ESD na Listinu odkazuje, </w:t>
      </w:r>
      <w:r w:rsidR="00AD6091" w:rsidRPr="009771C8">
        <w:t>nezní moc povzbudivě. P</w:t>
      </w:r>
      <w:r w:rsidR="00811B29" w:rsidRPr="009771C8">
        <w:t>řesto si myslím, že fakt, že Listina je více než rok právně závazným lidsko-právním dokumentem se odráží v rozhodovací činnosti ESD. A to právě počtem rozsudků</w:t>
      </w:r>
      <w:r w:rsidR="00AD6091" w:rsidRPr="009771C8">
        <w:t>, které za</w:t>
      </w:r>
      <w:r w:rsidR="002D31F1" w:rsidRPr="009771C8">
        <w:t> </w:t>
      </w:r>
      <w:r w:rsidR="00AD6091" w:rsidRPr="009771C8">
        <w:t xml:space="preserve">toto období vydala v porovnání s počtem rozsudků, </w:t>
      </w:r>
      <w:r w:rsidR="00E70B96" w:rsidRPr="009771C8">
        <w:t>ve </w:t>
      </w:r>
      <w:r w:rsidR="00AD6091" w:rsidRPr="009771C8">
        <w:t xml:space="preserve">kterých odkazuje na Listinu před její právní závazností. </w:t>
      </w:r>
      <w:r w:rsidR="00D05D88" w:rsidRPr="009771C8">
        <w:t>Margeta a Mésárošová uvádějí, že ESD nyní poměrně často odkazuje na</w:t>
      </w:r>
      <w:r w:rsidR="002D31F1" w:rsidRPr="009771C8">
        <w:t> </w:t>
      </w:r>
      <w:r w:rsidR="00D05D88" w:rsidRPr="009771C8">
        <w:t>Listinu a to i pod vlivem generálních advokátů a advokát</w:t>
      </w:r>
      <w:r w:rsidR="00BD7D88" w:rsidRPr="009771C8">
        <w:t>ek. Dále uvádějí, že existuje i </w:t>
      </w:r>
      <w:r w:rsidR="00D05D88" w:rsidRPr="009771C8">
        <w:t>případ, kdy ESD odkazuje na Listinu jako jediný „externí“ zdroj lidských práv</w:t>
      </w:r>
      <w:r w:rsidR="0055677E" w:rsidRPr="009771C8">
        <w:rPr>
          <w:rStyle w:val="Funotenzeichen"/>
        </w:rPr>
        <w:footnoteReference w:id="135"/>
      </w:r>
      <w:r w:rsidR="00D05D88" w:rsidRPr="009771C8">
        <w:t xml:space="preserve">. </w:t>
      </w:r>
    </w:p>
    <w:p w:rsidR="00811B29" w:rsidRPr="009771C8" w:rsidRDefault="00AD6091" w:rsidP="00C732E1">
      <w:r w:rsidRPr="009771C8">
        <w:t xml:space="preserve">Těchto 14 měsíců </w:t>
      </w:r>
      <w:r w:rsidR="00E70B96" w:rsidRPr="009771C8">
        <w:t>je každopádně</w:t>
      </w:r>
      <w:r w:rsidRPr="009771C8">
        <w:t xml:space="preserve"> příliš krátkou dobou na to, aby se daly z rozhodovací činnosti </w:t>
      </w:r>
      <w:r w:rsidR="00906043" w:rsidRPr="009771C8">
        <w:t xml:space="preserve">lucemburských soudních orgánů </w:t>
      </w:r>
      <w:r w:rsidRPr="009771C8">
        <w:t xml:space="preserve">tvořit závěry, zda si Listina v rámci unijního práva v budoucnu vydobyje primární postavení vedle obecných zásad právních nebo ustanovení Úmluvy. Myslím si, že právě z časového hlediska to není možné. Vždyť lidská práva ve společenství v rámci obecných zásad právních </w:t>
      </w:r>
      <w:r w:rsidR="00E70B96" w:rsidRPr="009771C8">
        <w:t xml:space="preserve">začala být uznávána </w:t>
      </w:r>
      <w:r w:rsidR="002906A5" w:rsidRPr="009771C8">
        <w:t>od rozsudku ve věci Stauder v město Ulm v roce 1969. Stejně tak Úmluva je lidsko-právním dokumentem, který byl přijat</w:t>
      </w:r>
      <w:r w:rsidR="001C1D49" w:rsidRPr="009771C8">
        <w:t xml:space="preserve"> a je aplikován od roku 1950.</w:t>
      </w:r>
      <w:r w:rsidR="002906A5" w:rsidRPr="009771C8">
        <w:t xml:space="preserve"> V tomto ohledu tedy není od Listiny ani možné očekávat, že by se za tak krátkou dobu mohla stát primárním pramenem úpravy lidských práv v EU. </w:t>
      </w:r>
    </w:p>
    <w:p w:rsidR="00CC0FFD" w:rsidRPr="009771C8" w:rsidRDefault="002906A5" w:rsidP="00CC0FFD">
      <w:r w:rsidRPr="009771C8">
        <w:t xml:space="preserve">Také </w:t>
      </w:r>
      <w:r w:rsidR="002D31F1" w:rsidRPr="009771C8">
        <w:t>se domnívám</w:t>
      </w:r>
      <w:r w:rsidRPr="009771C8">
        <w:t xml:space="preserve">, že </w:t>
      </w:r>
      <w:r w:rsidR="002D31F1" w:rsidRPr="009771C8">
        <w:t xml:space="preserve">pravděpodobně </w:t>
      </w:r>
      <w:r w:rsidRPr="009771C8">
        <w:t>není ani potřeba srovnávat tyto tři prameny úpravy lidských práv v EU a stavět je do pozice konkurentů. To obzvlášť platí pro</w:t>
      </w:r>
      <w:r w:rsidR="002D31F1" w:rsidRPr="009771C8">
        <w:t> </w:t>
      </w:r>
      <w:r w:rsidRPr="009771C8">
        <w:t>vztah obecných zásad právních a Listiny. Jak jsem uvedla výše, cílem přijetí katalogu lidských práv totiž nebylo vytvořit nová práva v rámci EU, ale vytvořit jednotný, formální seznam už existujících, uznávaných a chráněný práv –</w:t>
      </w:r>
      <w:r w:rsidR="0062469C" w:rsidRPr="009771C8">
        <w:t xml:space="preserve"> </w:t>
      </w:r>
      <w:r w:rsidR="001C1D49" w:rsidRPr="009771C8">
        <w:t xml:space="preserve">myšleno </w:t>
      </w:r>
      <w:r w:rsidRPr="009771C8">
        <w:t xml:space="preserve">na základě obecných zásad právních. </w:t>
      </w:r>
      <w:r w:rsidR="001C1D49" w:rsidRPr="009771C8">
        <w:t>A </w:t>
      </w:r>
      <w:r w:rsidRPr="009771C8">
        <w:t>obecné zásady právní nejsou nic jiného než práva vyplývající z ústavních tradic společných členských států (a také ustanovení Úmluvy)</w:t>
      </w:r>
      <w:r w:rsidR="001C1D49" w:rsidRPr="009771C8">
        <w:t>, které tvoří Evropskou unii</w:t>
      </w:r>
      <w:r w:rsidRPr="009771C8">
        <w:t xml:space="preserve">. </w:t>
      </w:r>
    </w:p>
    <w:p w:rsidR="00515AC5" w:rsidRPr="009771C8" w:rsidRDefault="00582C39" w:rsidP="007C3C5D">
      <w:r w:rsidRPr="009771C8">
        <w:t xml:space="preserve">V závěru </w:t>
      </w:r>
      <w:r w:rsidR="002D31F1" w:rsidRPr="009771C8">
        <w:t xml:space="preserve">této kapitoly </w:t>
      </w:r>
      <w:r w:rsidRPr="009771C8">
        <w:t xml:space="preserve">bych </w:t>
      </w:r>
      <w:r w:rsidR="002D31F1" w:rsidRPr="009771C8">
        <w:t xml:space="preserve">ráda zmínila </w:t>
      </w:r>
      <w:r w:rsidRPr="009771C8">
        <w:t>vztah Listiny a Úmluvy</w:t>
      </w:r>
      <w:r w:rsidR="001C1D49" w:rsidRPr="009771C8">
        <w:t>. V</w:t>
      </w:r>
      <w:r w:rsidR="00515AC5" w:rsidRPr="009771C8">
        <w:t> Lisabonské s</w:t>
      </w:r>
      <w:r w:rsidRPr="009771C8">
        <w:t>mlouvě čl. 6 </w:t>
      </w:r>
      <w:r w:rsidR="003D2DCC" w:rsidRPr="009771C8">
        <w:t xml:space="preserve">odst. 2 </w:t>
      </w:r>
      <w:r w:rsidR="00515AC5" w:rsidRPr="009771C8">
        <w:t xml:space="preserve">je uvedeno, že Evropská unie přistoupí k Úmluvě. </w:t>
      </w:r>
      <w:r w:rsidR="003D2DCC" w:rsidRPr="009771C8">
        <w:t xml:space="preserve">To znamená, že vedle systému ochrany základních práv a svobod na základě Listiny bude v EU paralelně probíhat </w:t>
      </w:r>
      <w:r w:rsidR="003D2DCC" w:rsidRPr="009771C8">
        <w:lastRenderedPageBreak/>
        <w:t xml:space="preserve">ochrana </w:t>
      </w:r>
      <w:r w:rsidR="002D31F1" w:rsidRPr="009771C8">
        <w:t xml:space="preserve">práv </w:t>
      </w:r>
      <w:r w:rsidR="003D2DCC" w:rsidRPr="009771C8">
        <w:t xml:space="preserve">na základě Úmluvy. </w:t>
      </w:r>
      <w:r w:rsidRPr="009771C8">
        <w:t xml:space="preserve">Už </w:t>
      </w:r>
      <w:r w:rsidR="003D2DCC" w:rsidRPr="009771C8">
        <w:t xml:space="preserve">nyní existuje provázanost mezi Listinou a </w:t>
      </w:r>
      <w:r w:rsidRPr="009771C8">
        <w:t>Úmluvou: a</w:t>
      </w:r>
      <w:r w:rsidR="007C2494">
        <w:t> </w:t>
      </w:r>
      <w:r w:rsidR="003D2DCC" w:rsidRPr="009771C8">
        <w:t>to jak v ustanovení SEU, která říká, že práva zaručená Úmluvou tvoří také tzv. obecné zásady právní, tak samotnými ustanoveními Listiny např. v čl. 52 odst. 3 – tedy, že pokud Listina obsahuje práva, která jsou také garantována Úmluvou, tak jsou smysl a</w:t>
      </w:r>
      <w:r w:rsidR="002D31F1" w:rsidRPr="009771C8">
        <w:t> </w:t>
      </w:r>
      <w:r w:rsidR="003D2DCC" w:rsidRPr="009771C8">
        <w:t xml:space="preserve">rozsah těchto práv stejné jako ty, které jim přikládá </w:t>
      </w:r>
      <w:r w:rsidR="007C3C5D" w:rsidRPr="009771C8">
        <w:t xml:space="preserve">Úmluva. </w:t>
      </w:r>
      <w:r w:rsidR="00515AC5" w:rsidRPr="009771C8">
        <w:t xml:space="preserve">Jak tyto dva systémy ochrany lidských práv v Evropě – tedy štrasburský a lucemburský – budou </w:t>
      </w:r>
      <w:r w:rsidR="00576E58" w:rsidRPr="009771C8">
        <w:t>vzájemně fungovat</w:t>
      </w:r>
      <w:r w:rsidR="00515AC5" w:rsidRPr="009771C8">
        <w:t xml:space="preserve">, se stále vyjednává (koneckonců v ustanovení SEU není stanoveno datum, do kdy k přistoupení má dojít). </w:t>
      </w:r>
      <w:r w:rsidRPr="009771C8">
        <w:t xml:space="preserve">Přesto si myslím, že je možné se domnívat, že po přistoupení k Úmluvě může postavení Listiny oslabovat a to z toho důvodu, že </w:t>
      </w:r>
      <w:r w:rsidR="00576E58" w:rsidRPr="009771C8">
        <w:t>Úmluva a Evropský sou</w:t>
      </w:r>
      <w:r w:rsidRPr="009771C8">
        <w:t xml:space="preserve">d pro lidská práva ve Štrasburku </w:t>
      </w:r>
      <w:r w:rsidR="002D31F1" w:rsidRPr="009771C8">
        <w:t>jsou </w:t>
      </w:r>
      <w:r w:rsidRPr="009771C8">
        <w:t>starší institucí</w:t>
      </w:r>
      <w:r w:rsidR="00BE0B55" w:rsidRPr="009771C8">
        <w:t xml:space="preserve">, </w:t>
      </w:r>
      <w:r w:rsidRPr="009771C8">
        <w:t>m</w:t>
      </w:r>
      <w:r w:rsidR="002D31F1" w:rsidRPr="009771C8">
        <w:t>ají</w:t>
      </w:r>
      <w:r w:rsidRPr="009771C8">
        <w:t xml:space="preserve"> rozvinutější judikaturu, systém a přístup občanů členských států Rady Evropy je jiný </w:t>
      </w:r>
      <w:r w:rsidR="00BE0B55" w:rsidRPr="009771C8">
        <w:t xml:space="preserve">a z těchto důvodů na poli lidských práv v Evropě </w:t>
      </w:r>
      <w:r w:rsidR="009C2C9F" w:rsidRPr="009771C8">
        <w:t>má možná už nyní vyšší váhu</w:t>
      </w:r>
      <w:r w:rsidR="001A35FA" w:rsidRPr="009771C8">
        <w:t xml:space="preserve">. </w:t>
      </w:r>
    </w:p>
    <w:p w:rsidR="0080390B" w:rsidRPr="009771C8" w:rsidRDefault="0080390B" w:rsidP="00B811CC"/>
    <w:p w:rsidR="0089557F" w:rsidRPr="009771C8" w:rsidRDefault="004E71F9" w:rsidP="00420E79">
      <w:pPr>
        <w:pStyle w:val="NADPIS2"/>
        <w:outlineLvl w:val="0"/>
      </w:pPr>
      <w:bookmarkStart w:id="56" w:name="_Toc288488676"/>
      <w:bookmarkStart w:id="57" w:name="_Toc288490393"/>
      <w:bookmarkStart w:id="58" w:name="_Toc288491606"/>
      <w:bookmarkStart w:id="59" w:name="_Toc291022232"/>
      <w:r w:rsidRPr="009771C8">
        <w:t xml:space="preserve">4.2 </w:t>
      </w:r>
      <w:r w:rsidR="0089557F" w:rsidRPr="009771C8">
        <w:t>Generální advokáti a advokátky</w:t>
      </w:r>
      <w:bookmarkEnd w:id="56"/>
      <w:bookmarkEnd w:id="57"/>
      <w:bookmarkEnd w:id="58"/>
      <w:bookmarkEnd w:id="59"/>
    </w:p>
    <w:p w:rsidR="00AD1751" w:rsidRPr="009771C8" w:rsidRDefault="00AD1751" w:rsidP="00B811CC">
      <w:r w:rsidRPr="009771C8">
        <w:t xml:space="preserve">Už v období právní nezávaznosti Listiny, tedy od roku 2000 do 2009 se odborná veřejnost shodovala v tom, že </w:t>
      </w:r>
      <w:r w:rsidR="00E1324F">
        <w:t>GA</w:t>
      </w:r>
      <w:r w:rsidRPr="009771C8">
        <w:t xml:space="preserve"> ve svých stanoviscích </w:t>
      </w:r>
      <w:r w:rsidR="00AE32C6" w:rsidRPr="009771C8">
        <w:t>pracují s Listinou častěji než ESD</w:t>
      </w:r>
      <w:r w:rsidRPr="009771C8">
        <w:t xml:space="preserve">. </w:t>
      </w:r>
    </w:p>
    <w:p w:rsidR="004706C1" w:rsidRDefault="001659EC" w:rsidP="006C68E0">
      <w:r w:rsidRPr="009771C8">
        <w:t xml:space="preserve">V období po právní závaznosti Listiny </w:t>
      </w:r>
      <w:r w:rsidR="003A49EA" w:rsidRPr="009771C8">
        <w:t xml:space="preserve">vydali GA celkem 36 stanovisek. Na základě tohoto čísla se může zdát, že rozdíl mezi rozsudky s odkazem na Listiny vydanými ESD a stanovisky s odkazem na Listinu vydanými GA není téměř žádný. Ovšem je si třeba uvědomit, že </w:t>
      </w:r>
      <w:r w:rsidR="006C68E0" w:rsidRPr="009771C8">
        <w:t xml:space="preserve">stanovisko se doručuje před vyhlášením rozsudku. Je tedy možné, že k mnohým rozsudkům z období po prosinci 2009 bylo stanovisko zveřejněno před tímto datem. </w:t>
      </w:r>
    </w:p>
    <w:p w:rsidR="007C2494" w:rsidRDefault="007C2494" w:rsidP="007C2494">
      <w:r>
        <w:t xml:space="preserve">Co se týče ustanovení Listiny, na které GA nejčastěji odkazují – ty se shodují s údaji, které jsem uvedla v předcházející kapitole ESD. Tedy, GA </w:t>
      </w:r>
      <w:r w:rsidR="00DD6AA7">
        <w:t xml:space="preserve">ve svých stanoviscích </w:t>
      </w:r>
      <w:r>
        <w:t xml:space="preserve">často odkazují na ustanovení Listiny, která zaručují </w:t>
      </w:r>
      <w:r w:rsidRPr="009771C8">
        <w:t xml:space="preserve">právo na respektování </w:t>
      </w:r>
      <w:r>
        <w:t xml:space="preserve">soukromého a rodinného života, </w:t>
      </w:r>
      <w:r w:rsidRPr="009771C8">
        <w:t>och</w:t>
      </w:r>
      <w:r>
        <w:t xml:space="preserve">rany osobních údajů, </w:t>
      </w:r>
      <w:r w:rsidRPr="009771C8">
        <w:t>rovné zacházení a zákaz diskriminace</w:t>
      </w:r>
      <w:r>
        <w:t xml:space="preserve"> a v neposlední řadě</w:t>
      </w:r>
      <w:r w:rsidRPr="009771C8">
        <w:t xml:space="preserve"> právo na účinnou právní</w:t>
      </w:r>
      <w:r>
        <w:t xml:space="preserve"> ochranu a spravedlivý proces. </w:t>
      </w:r>
    </w:p>
    <w:p w:rsidR="007C2494" w:rsidRPr="009771C8" w:rsidRDefault="00761E8A" w:rsidP="007C2494">
      <w:r w:rsidRPr="009771C8">
        <w:t xml:space="preserve">Z tohoto počtu ve 13 stanoviscích je Listina použita </w:t>
      </w:r>
      <w:r w:rsidR="004D5D25" w:rsidRPr="009771C8">
        <w:t xml:space="preserve">zásadním způsobem. </w:t>
      </w:r>
      <w:r w:rsidR="00E1324F">
        <w:t>GA ji </w:t>
      </w:r>
      <w:r w:rsidR="000E3584" w:rsidRPr="009771C8">
        <w:t>využívají jak potvrzení zakotvení lidských práv a svobod v EU, tak jako primární pramen v této oblasti. Především GA Juliane Kokott vydala několik stanovisek, ve kterých se výrazně opírá o ustanovení Listiny</w:t>
      </w:r>
      <w:r w:rsidR="004706C1" w:rsidRPr="009771C8">
        <w:t xml:space="preserve"> a také Listinu považuje za primární zdroj ochrany lidských práv v</w:t>
      </w:r>
      <w:r w:rsidR="002D31F1" w:rsidRPr="009771C8">
        <w:t> </w:t>
      </w:r>
      <w:r w:rsidR="004706C1" w:rsidRPr="009771C8">
        <w:t>EU</w:t>
      </w:r>
      <w:r w:rsidR="000E3584" w:rsidRPr="009771C8">
        <w:t>. GA také často ve svých textech uvádějí, že vzhledem k vstupu Lisabonské smlouvy v účinnosti a tedy i k nové právní situaci, kdy se Listina s</w:t>
      </w:r>
      <w:r w:rsidR="002C60E6" w:rsidRPr="009771C8">
        <w:t xml:space="preserve">tala právně závazným lidsko-právním dokumentem je nastolen nový trend v ochraně lidských práv v EU. </w:t>
      </w:r>
      <w:r w:rsidR="005B4A2B" w:rsidRPr="009771C8">
        <w:t>Pokud by tedy trend, kdy ESD ve svých rozhodnutích často následuje stanoviska GA</w:t>
      </w:r>
      <w:r w:rsidR="00A06ABC" w:rsidRPr="009771C8">
        <w:t>,</w:t>
      </w:r>
      <w:r w:rsidR="005B4A2B" w:rsidRPr="009771C8">
        <w:t xml:space="preserve"> pokračoval, </w:t>
      </w:r>
      <w:r w:rsidR="005B4A2B" w:rsidRPr="009771C8">
        <w:lastRenderedPageBreak/>
        <w:t xml:space="preserve">naznačovalo by to, že Listina určitě do budoucna bude zaujímat v rozhodovací činnosti ESD čím dál tím větší prostor. </w:t>
      </w:r>
    </w:p>
    <w:p w:rsidR="00823189" w:rsidRPr="009771C8" w:rsidRDefault="00823189">
      <w:pPr>
        <w:spacing w:line="240" w:lineRule="auto"/>
        <w:ind w:firstLine="0"/>
        <w:jc w:val="left"/>
      </w:pPr>
      <w:r w:rsidRPr="009771C8">
        <w:br w:type="page"/>
      </w:r>
    </w:p>
    <w:p w:rsidR="00823189" w:rsidRPr="009771C8" w:rsidRDefault="00823189" w:rsidP="00823189">
      <w:pPr>
        <w:pStyle w:val="NADPIS1"/>
      </w:pPr>
      <w:bookmarkStart w:id="60" w:name="_Toc288488678"/>
      <w:bookmarkStart w:id="61" w:name="_Toc288490395"/>
      <w:bookmarkStart w:id="62" w:name="_Toc288491608"/>
      <w:bookmarkStart w:id="63" w:name="_Toc291022233"/>
      <w:r w:rsidRPr="009771C8">
        <w:lastRenderedPageBreak/>
        <w:t>Závěr</w:t>
      </w:r>
      <w:bookmarkEnd w:id="60"/>
      <w:bookmarkEnd w:id="61"/>
      <w:bookmarkEnd w:id="62"/>
      <w:bookmarkEnd w:id="63"/>
    </w:p>
    <w:p w:rsidR="0041365C" w:rsidRPr="009771C8" w:rsidRDefault="004148FC" w:rsidP="006B17DE">
      <w:r w:rsidRPr="009771C8">
        <w:t>Cílem mé práce bylo zhodnotit, jak lucemburské</w:t>
      </w:r>
      <w:r w:rsidR="0041365C" w:rsidRPr="009771C8">
        <w:t xml:space="preserve"> </w:t>
      </w:r>
      <w:r w:rsidRPr="009771C8">
        <w:t>soudní orgány ve své rozhodovací činnosti používají Listinu a to</w:t>
      </w:r>
      <w:r w:rsidR="0041365C" w:rsidRPr="009771C8">
        <w:t xml:space="preserve"> za období od prosince 2009, kdy se Listina stala právně závaznou součástí unijního práva do února 2011, které jsem si zvolila záměrně z toho důvodu, abych práci mohla odevzdat v březnu 2011. </w:t>
      </w:r>
      <w:r w:rsidR="009467C1" w:rsidRPr="009771C8">
        <w:t>Jedná se tedy o zmapování rozhod</w:t>
      </w:r>
      <w:r w:rsidR="0000720C" w:rsidRPr="009771C8">
        <w:t xml:space="preserve">ovací činnosti za zhruba rok </w:t>
      </w:r>
      <w:r w:rsidR="002D31F1" w:rsidRPr="009771C8">
        <w:t>nabytí  </w:t>
      </w:r>
      <w:r w:rsidR="009467C1" w:rsidRPr="009771C8">
        <w:t xml:space="preserve">právní závaznosti. </w:t>
      </w:r>
    </w:p>
    <w:p w:rsidR="00CC1B51" w:rsidRPr="009771C8" w:rsidRDefault="009132B2" w:rsidP="006B17DE">
      <w:r w:rsidRPr="009771C8">
        <w:t>N</w:t>
      </w:r>
      <w:r w:rsidR="0041365C" w:rsidRPr="009771C8">
        <w:t>a rozdíl od obdo</w:t>
      </w:r>
      <w:r w:rsidR="00CC1B51" w:rsidRPr="009771C8">
        <w:t>bí devíti let od roku 2000, kdy </w:t>
      </w:r>
      <w:r w:rsidR="0041365C" w:rsidRPr="009771C8">
        <w:t xml:space="preserve">Listina existovala ve formě politické deklarace nezávazného charakteru, si vydobyla větší prostor v rozhodovací činnosti především ESD. </w:t>
      </w:r>
      <w:r w:rsidR="00CB28DA" w:rsidRPr="009771C8">
        <w:t xml:space="preserve">GA obecně s Listinou </w:t>
      </w:r>
      <w:r w:rsidR="0000720C" w:rsidRPr="009771C8">
        <w:t>pracují častěji než </w:t>
      </w:r>
      <w:r w:rsidR="00CB28DA" w:rsidRPr="009771C8">
        <w:t>ESD</w:t>
      </w:r>
      <w:r w:rsidR="0037495D" w:rsidRPr="009771C8">
        <w:t>, Listina se objevuje ve větším počtu rozsudků</w:t>
      </w:r>
      <w:r w:rsidR="000875BC" w:rsidRPr="009771C8">
        <w:t xml:space="preserve"> a stanovisek ESD a GA (naopak v rozhodnutích Tribunálu jsou využívána ustanovení Listiny minimálně)</w:t>
      </w:r>
      <w:r w:rsidR="00980D61" w:rsidRPr="009771C8">
        <w:t>. V</w:t>
      </w:r>
      <w:r w:rsidR="00CB28DA" w:rsidRPr="009771C8">
        <w:t>zhledem k tomu, že ESD se často ve svých r</w:t>
      </w:r>
      <w:r w:rsidR="00CC1B51" w:rsidRPr="009771C8">
        <w:t>ozsudcích shoduje se závěry ve </w:t>
      </w:r>
      <w:r w:rsidR="0000720C" w:rsidRPr="009771C8">
        <w:t>s</w:t>
      </w:r>
      <w:r w:rsidR="00CB28DA" w:rsidRPr="009771C8">
        <w:t xml:space="preserve">tanoviscích GA, je </w:t>
      </w:r>
      <w:r w:rsidR="00CC1B51" w:rsidRPr="009771C8">
        <w:t>z toho možné usuzovat, že</w:t>
      </w:r>
      <w:r w:rsidR="00CB28DA" w:rsidRPr="009771C8">
        <w:t xml:space="preserve"> v lidsko-právní oblasti v rozhodovací činnosti lucemburského soudu </w:t>
      </w:r>
      <w:r w:rsidR="00CC1B51" w:rsidRPr="009771C8">
        <w:t xml:space="preserve">bude Listina zaujímat </w:t>
      </w:r>
      <w:r w:rsidR="00CB28DA" w:rsidRPr="009771C8">
        <w:t>čím dál tím větší prostor.</w:t>
      </w:r>
      <w:r w:rsidR="00135408" w:rsidRPr="009771C8">
        <w:t xml:space="preserve"> To ovšem není hlavní důvod, proč by tomu tak mělo být. </w:t>
      </w:r>
      <w:r w:rsidR="002D31F1" w:rsidRPr="009771C8">
        <w:t>Jsem přesvědčena</w:t>
      </w:r>
      <w:r w:rsidR="00135408" w:rsidRPr="009771C8">
        <w:t>, že ten hlavní důvod pro</w:t>
      </w:r>
      <w:r w:rsidR="002D31F1" w:rsidRPr="009771C8">
        <w:t> </w:t>
      </w:r>
      <w:r w:rsidR="00135408" w:rsidRPr="009771C8">
        <w:t>takovýto trend je v samotném přijetí a následně přiznání Listině stejnou právní silu jako Smlouvám – tedy že Evropská unie, což znamená členské státy, se shodly a</w:t>
      </w:r>
      <w:r w:rsidR="002D31F1" w:rsidRPr="009771C8">
        <w:t> </w:t>
      </w:r>
      <w:r w:rsidR="00135408" w:rsidRPr="009771C8">
        <w:t xml:space="preserve">rozhodly pro takovýto směr. </w:t>
      </w:r>
      <w:r w:rsidR="007D40C4" w:rsidRPr="009771C8">
        <w:t>Jinými slovy, že Evropská unie si vytvořila svůj vlastní katalog lidských práv. Další</w:t>
      </w:r>
      <w:r w:rsidRPr="009771C8">
        <w:t xml:space="preserve"> argumentem </w:t>
      </w:r>
      <w:r w:rsidR="007D40C4" w:rsidRPr="009771C8">
        <w:t xml:space="preserve">pro tento vývoj </w:t>
      </w:r>
      <w:r w:rsidRPr="009771C8">
        <w:t xml:space="preserve">také je, že do tohoto procesu se </w:t>
      </w:r>
      <w:r w:rsidR="007D40C4" w:rsidRPr="009771C8">
        <w:t xml:space="preserve">již </w:t>
      </w:r>
      <w:r w:rsidRPr="009771C8">
        <w:t xml:space="preserve">investovalo </w:t>
      </w:r>
      <w:r w:rsidR="007D40C4" w:rsidRPr="009771C8">
        <w:t>nemalé množství</w:t>
      </w:r>
      <w:r w:rsidRPr="009771C8">
        <w:t xml:space="preserve"> finančních prostředků</w:t>
      </w:r>
      <w:r w:rsidR="00502C94" w:rsidRPr="009771C8">
        <w:t>, času a energie</w:t>
      </w:r>
      <w:r w:rsidRPr="009771C8">
        <w:t xml:space="preserve"> – od vypracování Listiny až po její propagaci mezi občany Unie</w:t>
      </w:r>
      <w:r w:rsidR="007D40C4" w:rsidRPr="009771C8">
        <w:t xml:space="preserve">. </w:t>
      </w:r>
      <w:r w:rsidR="00906043" w:rsidRPr="009771C8">
        <w:t xml:space="preserve">Bylo by tedy </w:t>
      </w:r>
      <w:r w:rsidR="00980D61" w:rsidRPr="009771C8">
        <w:t xml:space="preserve">bezpochyby </w:t>
      </w:r>
      <w:r w:rsidR="00906043" w:rsidRPr="009771C8">
        <w:t xml:space="preserve">pro EU ztrátou od tohoto projektu odstoupit. </w:t>
      </w:r>
    </w:p>
    <w:p w:rsidR="00A45FA7" w:rsidRPr="009771C8" w:rsidRDefault="00502C94" w:rsidP="006B17DE">
      <w:r w:rsidRPr="009771C8">
        <w:t>Ráda bych upozornila na fakt, že t</w:t>
      </w:r>
      <w:r w:rsidR="008B3348" w:rsidRPr="009771C8">
        <w:t xml:space="preserve">ěch zhruba 14 měsíců od </w:t>
      </w:r>
      <w:r w:rsidRPr="009771C8">
        <w:t xml:space="preserve">nabytí </w:t>
      </w:r>
      <w:r w:rsidR="008B3348" w:rsidRPr="009771C8">
        <w:t xml:space="preserve">právní závaznosti, které ve své práci shrnuji, je potřeba chápat jako </w:t>
      </w:r>
      <w:r w:rsidRPr="009771C8">
        <w:t xml:space="preserve">zaváděcí </w:t>
      </w:r>
      <w:r w:rsidR="008B3348" w:rsidRPr="009771C8">
        <w:t xml:space="preserve">testovací období, kdy se teprve přístup k používání listiny formuje. Tato </w:t>
      </w:r>
      <w:r w:rsidRPr="009771C8">
        <w:t xml:space="preserve">mimořádná </w:t>
      </w:r>
      <w:r w:rsidR="008B3348" w:rsidRPr="009771C8">
        <w:t xml:space="preserve">testovací fáze také není u konce a není ani možné říci, jak dlouho bude trvat. </w:t>
      </w:r>
      <w:r w:rsidR="00A45FA7" w:rsidRPr="009771C8">
        <w:t xml:space="preserve">Pro srovnání je možné se ohlédnout nad vývojem samotné ochrany lidských práv v EU nebo vývojem Úmluvy v rámci systému Rady Evropy. </w:t>
      </w:r>
    </w:p>
    <w:p w:rsidR="00980D61" w:rsidRPr="009771C8" w:rsidRDefault="00906043" w:rsidP="006B17DE">
      <w:r w:rsidRPr="009771C8">
        <w:t xml:space="preserve">Z rozhodovací činnosti lucemburských soudních orgánů za sledované období zatím vyplývá (a tento závěr se </w:t>
      </w:r>
      <w:r w:rsidR="00980D61" w:rsidRPr="009771C8">
        <w:t xml:space="preserve">prolíná </w:t>
      </w:r>
      <w:r w:rsidRPr="009771C8">
        <w:t xml:space="preserve">napříč mou prací), že zatím to jsou především obecné zásady právní, které jsou pro ESD a GA zásadní pro ochranu lidských práv a základních svobod. </w:t>
      </w:r>
      <w:r w:rsidR="00980D61" w:rsidRPr="009771C8">
        <w:t xml:space="preserve">Ale vzhledem k tomu, že Listina je v rozsudcích a stanoviscích častěji využívána, je možné, že se od tohoto konceptu pomalu bude ustupovat a </w:t>
      </w:r>
      <w:r w:rsidRPr="009771C8">
        <w:t xml:space="preserve">během následujících let se tento přístup změní, překlene a že to bude Listina, která zaujme místo primáta v rámci ochrany lidských práv. </w:t>
      </w:r>
    </w:p>
    <w:p w:rsidR="0041365C" w:rsidRPr="009771C8" w:rsidRDefault="00980D61" w:rsidP="006B17DE">
      <w:r w:rsidRPr="009771C8">
        <w:t>N</w:t>
      </w:r>
      <w:r w:rsidR="008B3348" w:rsidRPr="009771C8">
        <w:t xml:space="preserve">a postavení Listiny </w:t>
      </w:r>
      <w:r w:rsidRPr="009771C8">
        <w:t xml:space="preserve">v budoucnu </w:t>
      </w:r>
      <w:r w:rsidR="00A45FA7" w:rsidRPr="009771C8">
        <w:t xml:space="preserve">bude mít také výrazný vliv způsob, jakým bude upravena koexistence Listiny a Úmluvy jako dvou lidsko-právních dokumentů a dvou soudních systémů vedle sebe. EU se totiž zavázala v budoucnu k Úmluvě přistoupit. </w:t>
      </w:r>
    </w:p>
    <w:p w:rsidR="00736955" w:rsidRPr="009771C8" w:rsidRDefault="002E5BE0" w:rsidP="009E67B8">
      <w:r w:rsidRPr="009771C8">
        <w:lastRenderedPageBreak/>
        <w:t>Jak už jsem uvedla, oso</w:t>
      </w:r>
      <w:r w:rsidR="00825A7F" w:rsidRPr="009771C8">
        <w:t xml:space="preserve">bně pro mě bylo těžké zhodnotit, jak lucemburské soudní orgány, tedy především ESD a GA Listinu ve své rozhodovací činnosti využívají </w:t>
      </w:r>
      <w:r w:rsidRPr="009771C8">
        <w:t xml:space="preserve">vzhledem k neexistenci </w:t>
      </w:r>
      <w:r w:rsidR="00980D61" w:rsidRPr="009771C8">
        <w:t xml:space="preserve">komplexního </w:t>
      </w:r>
      <w:r w:rsidR="00502C94" w:rsidRPr="009771C8">
        <w:t xml:space="preserve">pokrytí tohoto </w:t>
      </w:r>
      <w:r w:rsidRPr="009771C8">
        <w:t xml:space="preserve">tématu </w:t>
      </w:r>
      <w:r w:rsidR="00502C94" w:rsidRPr="009771C8">
        <w:t xml:space="preserve">odbornou </w:t>
      </w:r>
      <w:r w:rsidRPr="009771C8">
        <w:t xml:space="preserve">literaturou. Stejně tak bylo obtížné </w:t>
      </w:r>
      <w:r w:rsidR="00736955" w:rsidRPr="009771C8">
        <w:t xml:space="preserve">sjednotit </w:t>
      </w:r>
      <w:r w:rsidR="00980D61" w:rsidRPr="009771C8">
        <w:t>a </w:t>
      </w:r>
      <w:r w:rsidR="00736955" w:rsidRPr="009771C8">
        <w:t>popsat způsoby, jak Listinu lucemburské soudní orgány používají a</w:t>
      </w:r>
      <w:r w:rsidR="00502C94" w:rsidRPr="009771C8">
        <w:t> </w:t>
      </w:r>
      <w:r w:rsidR="00736955" w:rsidRPr="009771C8">
        <w:t xml:space="preserve">najít kritéria podle kterých určit, jaké postavení Listina v rozhodovací činnosti zaujímá. </w:t>
      </w:r>
      <w:r w:rsidR="00670ED4" w:rsidRPr="009771C8">
        <w:t xml:space="preserve">To ovšem souvisí s tím, že tato problematika je </w:t>
      </w:r>
      <w:r w:rsidR="005C5BDA" w:rsidRPr="009771C8">
        <w:t xml:space="preserve">v </w:t>
      </w:r>
      <w:r w:rsidR="00670ED4" w:rsidRPr="009771C8">
        <w:t xml:space="preserve">evropském soudnictví </w:t>
      </w:r>
      <w:r w:rsidR="00CD6DC9" w:rsidRPr="009771C8">
        <w:t>aktuálním</w:t>
      </w:r>
      <w:r w:rsidR="00670ED4" w:rsidRPr="009771C8">
        <w:t xml:space="preserve"> tématem, přístup k Listině se teprve </w:t>
      </w:r>
      <w:r w:rsidR="00CD6DC9" w:rsidRPr="009771C8">
        <w:t>utváří</w:t>
      </w:r>
      <w:r w:rsidR="00670ED4" w:rsidRPr="009771C8">
        <w:t xml:space="preserve"> a umožňuje tak různé výklady. </w:t>
      </w:r>
    </w:p>
    <w:p w:rsidR="00FC0443" w:rsidRDefault="00FC0443">
      <w:pPr>
        <w:spacing w:line="240" w:lineRule="auto"/>
        <w:ind w:firstLine="0"/>
        <w:jc w:val="left"/>
      </w:pPr>
      <w:r>
        <w:br w:type="page"/>
      </w:r>
    </w:p>
    <w:p w:rsidR="00DF354A" w:rsidRPr="00634977" w:rsidRDefault="00DF354A" w:rsidP="004E71F9">
      <w:pPr>
        <w:pStyle w:val="NADPIS1"/>
      </w:pPr>
      <w:bookmarkStart w:id="64" w:name="_Toc288488679"/>
      <w:bookmarkStart w:id="65" w:name="_Toc288490396"/>
      <w:bookmarkStart w:id="66" w:name="_Toc288491609"/>
      <w:bookmarkStart w:id="67" w:name="_Toc291022234"/>
      <w:r w:rsidRPr="00634977">
        <w:lastRenderedPageBreak/>
        <w:t>Seznam použité literatury</w:t>
      </w:r>
      <w:bookmarkEnd w:id="64"/>
      <w:bookmarkEnd w:id="65"/>
      <w:bookmarkEnd w:id="66"/>
      <w:bookmarkEnd w:id="67"/>
    </w:p>
    <w:p w:rsidR="00942F69" w:rsidRPr="00634977" w:rsidRDefault="00942F69" w:rsidP="00942F69">
      <w:pPr>
        <w:pStyle w:val="NADPIS2"/>
        <w:outlineLvl w:val="0"/>
      </w:pPr>
      <w:bookmarkStart w:id="68" w:name="_Toc288491616"/>
      <w:bookmarkStart w:id="69" w:name="_Toc291022235"/>
      <w:r w:rsidRPr="00634977">
        <w:t>Knihy</w:t>
      </w:r>
      <w:bookmarkEnd w:id="68"/>
      <w:bookmarkEnd w:id="69"/>
    </w:p>
    <w:p w:rsidR="00942F69" w:rsidRPr="00634977" w:rsidRDefault="00942F69" w:rsidP="00942F69">
      <w:pPr>
        <w:pStyle w:val="BIBLIOGRAFIE"/>
        <w:numPr>
          <w:ilvl w:val="0"/>
          <w:numId w:val="0"/>
        </w:numPr>
      </w:pPr>
      <w:r w:rsidRPr="00634977">
        <w:rPr>
          <w:caps/>
        </w:rPr>
        <w:t>Šišková</w:t>
      </w:r>
      <w:r w:rsidRPr="00634977">
        <w:t xml:space="preserve">, Naděžda. </w:t>
      </w:r>
      <w:r w:rsidRPr="00634977">
        <w:rPr>
          <w:i/>
        </w:rPr>
        <w:t>Dimenze ochrany lidských práv v Evropské unii</w:t>
      </w:r>
      <w:r w:rsidRPr="00634977">
        <w:t>. 2. vydání. Praha:</w:t>
      </w:r>
      <w:r w:rsidR="00B400D6">
        <w:t xml:space="preserve"> </w:t>
      </w:r>
      <w:r w:rsidRPr="00634977">
        <w:t>Linde, 2008.</w:t>
      </w:r>
    </w:p>
    <w:p w:rsidR="00942F69" w:rsidRPr="00634977" w:rsidRDefault="00942F69" w:rsidP="00942F69">
      <w:pPr>
        <w:pStyle w:val="BIBLIOGRAFIE"/>
        <w:numPr>
          <w:ilvl w:val="0"/>
          <w:numId w:val="0"/>
        </w:numPr>
      </w:pPr>
      <w:r w:rsidRPr="00634977">
        <w:t xml:space="preserve">CHALMERS, Damian, DAVIES, Gareth, MONTI, Giorgio. </w:t>
      </w:r>
      <w:r w:rsidRPr="00634977">
        <w:rPr>
          <w:i/>
        </w:rPr>
        <w:t>European Union Law</w:t>
      </w:r>
      <w:r w:rsidRPr="00634977">
        <w:t>. 2. vydání. New York: Cambridge University Press, 2010.</w:t>
      </w:r>
    </w:p>
    <w:p w:rsidR="00942F69" w:rsidRPr="00634977" w:rsidRDefault="00942F69" w:rsidP="00942F69">
      <w:pPr>
        <w:pStyle w:val="BIBLIOGRAFIE"/>
        <w:numPr>
          <w:ilvl w:val="0"/>
          <w:numId w:val="0"/>
        </w:numPr>
      </w:pPr>
      <w:r w:rsidRPr="00634977">
        <w:t xml:space="preserve">PIRIS, Jean-Claude. </w:t>
      </w:r>
      <w:r w:rsidRPr="00634977">
        <w:rPr>
          <w:i/>
        </w:rPr>
        <w:t>The Lisbon Treaty – a Legal and Political Analysis - with a Forweword by Angela Merkel</w:t>
      </w:r>
      <w:r w:rsidRPr="00634977">
        <w:t>. 1. vydání. New York: Cambridge University Press, 2010.</w:t>
      </w:r>
    </w:p>
    <w:p w:rsidR="00F922BF" w:rsidRPr="00634977" w:rsidRDefault="00F922BF" w:rsidP="00FC7882">
      <w:pPr>
        <w:pStyle w:val="BIBLIOGRAFIE"/>
        <w:numPr>
          <w:ilvl w:val="0"/>
          <w:numId w:val="0"/>
        </w:numPr>
        <w:ind w:left="227"/>
      </w:pPr>
    </w:p>
    <w:p w:rsidR="00942F69" w:rsidRPr="00634977" w:rsidRDefault="00942F69" w:rsidP="00942F69">
      <w:pPr>
        <w:pStyle w:val="NADPIS2"/>
        <w:outlineLvl w:val="0"/>
      </w:pPr>
      <w:bookmarkStart w:id="70" w:name="_Toc288491615"/>
      <w:bookmarkStart w:id="71" w:name="_Toc291022236"/>
      <w:r w:rsidRPr="00634977">
        <w:t>Odborné č</w:t>
      </w:r>
      <w:bookmarkEnd w:id="70"/>
      <w:r w:rsidRPr="00634977">
        <w:t>lánky</w:t>
      </w:r>
      <w:bookmarkEnd w:id="71"/>
    </w:p>
    <w:p w:rsidR="00942F69" w:rsidRPr="00634977" w:rsidRDefault="00942F69" w:rsidP="00942F69">
      <w:pPr>
        <w:pStyle w:val="BIBLIOGRAFIE"/>
        <w:numPr>
          <w:ilvl w:val="0"/>
          <w:numId w:val="0"/>
        </w:numPr>
      </w:pPr>
      <w:r w:rsidRPr="00634977">
        <w:t>BONČKOVÁ, Helena, SMEKAL, Hubert. Česká republika a výjimka z Listiny základních práv Evropské unie. Studie Centra pro lidská práva a demokratizaci. 2010, č.  1/2010, 9 s. Dostupné na &lt;</w:t>
      </w:r>
      <w:hyperlink r:id="rId9" w:history="1">
        <w:r w:rsidRPr="00634977">
          <w:rPr>
            <w:rStyle w:val="Hyperlink"/>
            <w:color w:val="auto"/>
            <w:u w:val="none"/>
          </w:rPr>
          <w:t>http://www.iips.cz/data/files/Centrum%20LP/Position%20papers/Vyjimka_EU.pdf</w:t>
        </w:r>
      </w:hyperlink>
      <w:r w:rsidRPr="00634977">
        <w:t>&gt;</w:t>
      </w:r>
    </w:p>
    <w:p w:rsidR="00942F69" w:rsidRPr="00634977" w:rsidRDefault="00942F69" w:rsidP="00942F69">
      <w:pPr>
        <w:pStyle w:val="BIBLIOGRAFIE"/>
        <w:numPr>
          <w:ilvl w:val="0"/>
          <w:numId w:val="0"/>
        </w:numPr>
      </w:pPr>
      <w:r w:rsidRPr="00634977">
        <w:t xml:space="preserve">ŠLOSARČÍK, Ivo. Kücükdeveci: Expanze doktríny přímého účinku směrnic. </w:t>
      </w:r>
      <w:r w:rsidRPr="00634977">
        <w:rPr>
          <w:i/>
        </w:rPr>
        <w:t>Jurisprudence,</w:t>
      </w:r>
      <w:r w:rsidRPr="00634977">
        <w:t xml:space="preserve"> 2010, ročník XIX, č. 2, s. 32-38. </w:t>
      </w:r>
    </w:p>
    <w:p w:rsidR="00942F69" w:rsidRPr="00634977" w:rsidRDefault="00942F69" w:rsidP="00942F69">
      <w:pPr>
        <w:pStyle w:val="BIBLIOGRAFIE"/>
        <w:numPr>
          <w:ilvl w:val="0"/>
          <w:numId w:val="0"/>
        </w:numPr>
      </w:pPr>
      <w:r w:rsidRPr="00634977">
        <w:t xml:space="preserve">KOKOTT, Juliane, SOBOTTA, Christoph. Die Charta der Grundrechte der Europäischen Union nach dem Inkrafttreten des Vertrags von Lissabon. </w:t>
      </w:r>
      <w:r w:rsidRPr="00634977">
        <w:rPr>
          <w:i/>
        </w:rPr>
        <w:t>Europäische Grundrechte Zeitschrift</w:t>
      </w:r>
      <w:r w:rsidRPr="00634977">
        <w:t xml:space="preserve">, 2010, ročník 37, č. 10-13, s. 265-271. </w:t>
      </w:r>
    </w:p>
    <w:p w:rsidR="00942F69" w:rsidRPr="00634977" w:rsidRDefault="00942F69" w:rsidP="00942F69">
      <w:pPr>
        <w:pStyle w:val="BIBLIOGRAFIE"/>
        <w:numPr>
          <w:ilvl w:val="0"/>
          <w:numId w:val="0"/>
        </w:numPr>
      </w:pPr>
      <w:r w:rsidRPr="00634977">
        <w:t xml:space="preserve">BONČKOVÁ, Helena, SMEKAL, Hubert. Fragmentace společných hodnot? Výjimky z Listiny základních práv Evropské unie. </w:t>
      </w:r>
      <w:r w:rsidRPr="00634977">
        <w:rPr>
          <w:i/>
        </w:rPr>
        <w:t>Současná Evropa</w:t>
      </w:r>
      <w:r w:rsidRPr="00634977">
        <w:t xml:space="preserve">, 2010, roč. XV, č. 2, s. 61-77. </w:t>
      </w:r>
    </w:p>
    <w:p w:rsidR="00942F69" w:rsidRPr="00634977" w:rsidRDefault="00942F69" w:rsidP="00942F69">
      <w:pPr>
        <w:pStyle w:val="BIBLIOGRAFIE"/>
        <w:numPr>
          <w:ilvl w:val="0"/>
          <w:numId w:val="0"/>
        </w:numPr>
      </w:pPr>
      <w:r w:rsidRPr="00634977">
        <w:t xml:space="preserve">SCHWARZ, Josef. Protokol o uplatňování Charty základních práv Evropské unie. </w:t>
      </w:r>
      <w:r w:rsidRPr="00634977">
        <w:rPr>
          <w:i/>
        </w:rPr>
        <w:t>Jurisprudence</w:t>
      </w:r>
      <w:r w:rsidRPr="00634977">
        <w:t xml:space="preserve">, 2010, roč. 19, č. 2, 16-23. </w:t>
      </w:r>
    </w:p>
    <w:p w:rsidR="00942F69" w:rsidRPr="00634977" w:rsidRDefault="00942F69" w:rsidP="00942F69">
      <w:pPr>
        <w:pStyle w:val="BIBLIOGRAFIE"/>
        <w:numPr>
          <w:ilvl w:val="0"/>
          <w:numId w:val="0"/>
        </w:numPr>
      </w:pPr>
      <w:r w:rsidRPr="00634977">
        <w:t xml:space="preserve">DENMAN, Daniel. The Charter of Fundamental Rights. </w:t>
      </w:r>
      <w:r w:rsidRPr="00634977">
        <w:rPr>
          <w:i/>
        </w:rPr>
        <w:t>European Human Rights Law Review</w:t>
      </w:r>
      <w:r w:rsidRPr="00634977">
        <w:t xml:space="preserve">, 2010, č. 4, s. 349-359.  </w:t>
      </w:r>
    </w:p>
    <w:p w:rsidR="00942F69" w:rsidRPr="00634977" w:rsidRDefault="00942F69" w:rsidP="00942F69">
      <w:pPr>
        <w:pStyle w:val="BIBLIOGRAFIE"/>
        <w:numPr>
          <w:ilvl w:val="0"/>
          <w:numId w:val="0"/>
        </w:numPr>
      </w:pPr>
      <w:r w:rsidRPr="00634977">
        <w:t xml:space="preserve">KLINGENBRUNNER, Alexander, RAPTIS, Julia Lemonia. </w:t>
      </w:r>
      <w:r w:rsidRPr="00634977">
        <w:rPr>
          <w:i/>
        </w:rPr>
        <w:t>Journal für Rechtspolitik</w:t>
      </w:r>
      <w:r w:rsidRPr="00634977">
        <w:t>, 2008, roč. 16, č. 2, s. 139-146.</w:t>
      </w:r>
    </w:p>
    <w:p w:rsidR="00942F69" w:rsidRPr="00634977" w:rsidRDefault="00942F69" w:rsidP="00942F69">
      <w:pPr>
        <w:pStyle w:val="BIBLIOGRAFIE"/>
        <w:numPr>
          <w:ilvl w:val="0"/>
          <w:numId w:val="0"/>
        </w:numPr>
      </w:pPr>
      <w:r w:rsidRPr="00634977">
        <w:t xml:space="preserve">NIELSEN, Ruth. Free Movement and Fundamental Rights. </w:t>
      </w:r>
      <w:r w:rsidRPr="00634977">
        <w:rPr>
          <w:i/>
        </w:rPr>
        <w:t>European Labour Law Journal</w:t>
      </w:r>
      <w:r w:rsidRPr="00634977">
        <w:t xml:space="preserve">, 2010, svazek 1, č. 1, s. 19-32. </w:t>
      </w:r>
    </w:p>
    <w:p w:rsidR="00942F69" w:rsidRPr="00634977" w:rsidRDefault="00591753" w:rsidP="00942F69">
      <w:pPr>
        <w:pStyle w:val="BIBLIOGRAFIE"/>
        <w:numPr>
          <w:ilvl w:val="0"/>
          <w:numId w:val="0"/>
        </w:numPr>
      </w:pPr>
      <w:r>
        <w:rPr>
          <w:caps/>
        </w:rPr>
        <w:t>HamuľÁ</w:t>
      </w:r>
      <w:r w:rsidR="00942F69" w:rsidRPr="00634977">
        <w:rPr>
          <w:caps/>
        </w:rPr>
        <w:t>k</w:t>
      </w:r>
      <w:r w:rsidR="00942F69" w:rsidRPr="00634977">
        <w:t xml:space="preserve">, Ondrej. Zamýšlení se nad právní (ne)závazností Listiny základních práv Evropské unie. In </w:t>
      </w:r>
      <w:r w:rsidR="000A1A92">
        <w:rPr>
          <w:caps/>
        </w:rPr>
        <w:t>HamuľÁ</w:t>
      </w:r>
      <w:r w:rsidR="00942F69" w:rsidRPr="00634977">
        <w:rPr>
          <w:caps/>
        </w:rPr>
        <w:t>k</w:t>
      </w:r>
      <w:r w:rsidR="00942F69" w:rsidRPr="00634977">
        <w:t xml:space="preserve">, Ondrej (ed). </w:t>
      </w:r>
      <w:r w:rsidR="00942F69" w:rsidRPr="00634977">
        <w:rPr>
          <w:i/>
        </w:rPr>
        <w:t>Olomoucké debaty mladých právníků 2008</w:t>
      </w:r>
      <w:r w:rsidR="00942F69" w:rsidRPr="00634977">
        <w:t>. Olomouc: Nakladatelství UP, 2008, s. 91-103.</w:t>
      </w:r>
    </w:p>
    <w:p w:rsidR="00942F69" w:rsidRPr="00634977" w:rsidRDefault="00942F69" w:rsidP="00942F69">
      <w:pPr>
        <w:pStyle w:val="BIBLIOGRAFIE"/>
        <w:numPr>
          <w:ilvl w:val="0"/>
          <w:numId w:val="0"/>
        </w:numPr>
      </w:pPr>
      <w:r w:rsidRPr="00634977">
        <w:t xml:space="preserve">MARGETA, Karol, MÉSÁROŠOVÁ, Andrea. Vzťah judikatury ESD a Charty základných práv EÚ – Charta jako prameň práva ES/EÚ pod vplyvom judikatury ESD? In </w:t>
      </w:r>
      <w:r w:rsidR="004F37DC">
        <w:rPr>
          <w:caps/>
        </w:rPr>
        <w:t>HamuľÁ</w:t>
      </w:r>
      <w:r w:rsidR="004F37DC" w:rsidRPr="00634977">
        <w:rPr>
          <w:caps/>
        </w:rPr>
        <w:t>k</w:t>
      </w:r>
      <w:r w:rsidRPr="00634977">
        <w:t xml:space="preserve">, Ondrej (ed.). </w:t>
      </w:r>
      <w:r w:rsidRPr="00634977">
        <w:rPr>
          <w:i/>
        </w:rPr>
        <w:t>Fenomén judikatury v právu – Sborník z konference Olomoucké debaty mladých právníků 2009.</w:t>
      </w:r>
      <w:r w:rsidRPr="00634977">
        <w:t xml:space="preserve"> Praha: Leges, 2010, s. 250-258.</w:t>
      </w:r>
    </w:p>
    <w:p w:rsidR="00FE2329" w:rsidRPr="00634977" w:rsidRDefault="00FE2329" w:rsidP="00FE2329">
      <w:pPr>
        <w:pStyle w:val="BIBLIOGRAFIE"/>
        <w:numPr>
          <w:ilvl w:val="0"/>
          <w:numId w:val="0"/>
        </w:numPr>
      </w:pPr>
      <w:r w:rsidRPr="00634977">
        <w:lastRenderedPageBreak/>
        <w:t xml:space="preserve">MORIJN, John. </w:t>
      </w:r>
      <w:r w:rsidRPr="00634977">
        <w:rPr>
          <w:i/>
        </w:rPr>
        <w:t>Judicial Reference to the EU Fundamental Rights Charter – First experience and possible prospects</w:t>
      </w:r>
      <w:r w:rsidRPr="00634977">
        <w:t xml:space="preserve"> [online]. 27. března 2011 [cit. 27. března 2011]. Dostupné na &lt;</w:t>
      </w:r>
      <w:hyperlink r:id="rId10" w:history="1">
        <w:r w:rsidRPr="00634977">
          <w:rPr>
            <w:rStyle w:val="Hyperlink"/>
          </w:rPr>
          <w:t>http://www.fd.uc.pt/hrc/working_papers/john_morjin.pdf</w:t>
        </w:r>
      </w:hyperlink>
      <w:r w:rsidRPr="00634977">
        <w:t>&gt;.</w:t>
      </w:r>
    </w:p>
    <w:p w:rsidR="00FE2329" w:rsidRPr="00634977" w:rsidRDefault="00FE2329" w:rsidP="00942F69">
      <w:pPr>
        <w:pStyle w:val="BIBLIOGRAFIE"/>
        <w:numPr>
          <w:ilvl w:val="0"/>
          <w:numId w:val="0"/>
        </w:numPr>
      </w:pPr>
    </w:p>
    <w:p w:rsidR="00DF354A" w:rsidRPr="00634977" w:rsidRDefault="00DF354A" w:rsidP="00420E79">
      <w:pPr>
        <w:pStyle w:val="NADPIS2"/>
        <w:outlineLvl w:val="0"/>
      </w:pPr>
      <w:bookmarkStart w:id="72" w:name="_Toc288491613"/>
      <w:bookmarkStart w:id="73" w:name="_Toc291022237"/>
      <w:r w:rsidRPr="00634977">
        <w:t>Internet</w:t>
      </w:r>
      <w:r w:rsidR="00F60FCF" w:rsidRPr="00634977">
        <w:t xml:space="preserve"> – Statistiky, Novinové články</w:t>
      </w:r>
      <w:bookmarkEnd w:id="72"/>
      <w:bookmarkEnd w:id="73"/>
    </w:p>
    <w:p w:rsidR="00DF354A" w:rsidRPr="00634977" w:rsidRDefault="00DF354A" w:rsidP="004E71F9">
      <w:pPr>
        <w:pStyle w:val="BIBLIOGRAFIE"/>
        <w:numPr>
          <w:ilvl w:val="0"/>
          <w:numId w:val="0"/>
        </w:numPr>
      </w:pPr>
      <w:r w:rsidRPr="00634977">
        <w:rPr>
          <w:i/>
        </w:rPr>
        <w:t>Oficiální webový portál ESD, vyhledávací formulář judikatury</w:t>
      </w:r>
      <w:r w:rsidRPr="00634977">
        <w:t xml:space="preserve"> [online]. 4. února 2011 [cit. 5. února 2011]. Dostupné na &lt;</w:t>
      </w:r>
      <w:hyperlink r:id="rId11" w:history="1">
        <w:r w:rsidRPr="00634977">
          <w:rPr>
            <w:rStyle w:val="Hyperlink"/>
          </w:rPr>
          <w:t>http://curia.europa.eu/jurisp/cgi-bin/form.pl?lang=en</w:t>
        </w:r>
      </w:hyperlink>
      <w:r w:rsidRPr="00634977">
        <w:t>&gt;.</w:t>
      </w:r>
    </w:p>
    <w:p w:rsidR="00561E31" w:rsidRPr="00634977" w:rsidRDefault="0058205E" w:rsidP="004E71F9">
      <w:pPr>
        <w:pStyle w:val="BIBLIOGRAFIE"/>
        <w:numPr>
          <w:ilvl w:val="0"/>
          <w:numId w:val="0"/>
        </w:numPr>
      </w:pPr>
      <w:r w:rsidRPr="00634977">
        <w:t xml:space="preserve">DAVIES, Paul J, CROFT, Jane. </w:t>
      </w:r>
      <w:r w:rsidRPr="00634977">
        <w:rPr>
          <w:i/>
        </w:rPr>
        <w:t>Insurance blow for young women</w:t>
      </w:r>
      <w:r w:rsidRPr="00634977">
        <w:t xml:space="preserve"> [online]. Financial Times, 1. března 2011 [cit. 8. března 2011]. Dostupné na </w:t>
      </w:r>
      <w:hyperlink r:id="rId12" w:anchor="axzz1G5qCPdMJ" w:history="1">
        <w:r w:rsidRPr="00634977">
          <w:rPr>
            <w:rStyle w:val="Hyperlink"/>
          </w:rPr>
          <w:t>http://www.ft.com/cms/s/0/81384176-43e6-11e0-8f20-00144feab49a.html#axzz1G5qCPdMJ</w:t>
        </w:r>
      </w:hyperlink>
      <w:r w:rsidRPr="00634977">
        <w:t>.</w:t>
      </w:r>
    </w:p>
    <w:p w:rsidR="005B3243" w:rsidRPr="00634977" w:rsidRDefault="004116C3" w:rsidP="004E71F9">
      <w:pPr>
        <w:pStyle w:val="BIBLIOGRAFIE"/>
        <w:numPr>
          <w:ilvl w:val="0"/>
          <w:numId w:val="0"/>
        </w:numPr>
      </w:pPr>
      <w:r w:rsidRPr="00634977">
        <w:t xml:space="preserve">WISHART, Ian. </w:t>
      </w:r>
      <w:r w:rsidRPr="00634977">
        <w:rPr>
          <w:i/>
        </w:rPr>
        <w:t>Insurance firms cannot discriminate on gender</w:t>
      </w:r>
      <w:r w:rsidRPr="00634977">
        <w:t xml:space="preserve"> [online]. European Voice, 1. března 2011 [cit. 8. března 2011]. Dostupné na &lt; http://www.europeanvoice.com/article/2011/march/insurance-firms-cannot-discriminate-on-gender-court-rules/70390.aspx&gt;.</w:t>
      </w:r>
    </w:p>
    <w:p w:rsidR="00DF354A" w:rsidRPr="00634977" w:rsidRDefault="00CD031B" w:rsidP="004E71F9">
      <w:pPr>
        <w:pStyle w:val="BIBLIOGRAFIE"/>
        <w:numPr>
          <w:ilvl w:val="0"/>
          <w:numId w:val="0"/>
        </w:numPr>
      </w:pPr>
      <w:r w:rsidRPr="00634977">
        <w:rPr>
          <w:i/>
        </w:rPr>
        <w:t xml:space="preserve">A boy-racer's dream? A European Court puts and end to sex-based premiums </w:t>
      </w:r>
      <w:r w:rsidRPr="00634977">
        <w:t xml:space="preserve">[online]. The Economist, 3. března 2011 [cit. 8. března 2011]. Dostupné na &lt; </w:t>
      </w:r>
      <w:hyperlink r:id="rId13" w:history="1">
        <w:r w:rsidRPr="00634977">
          <w:rPr>
            <w:rStyle w:val="Hyperlink"/>
          </w:rPr>
          <w:t>http://www.economist.com/node/18285962?story_id=18285962</w:t>
        </w:r>
      </w:hyperlink>
      <w:r w:rsidRPr="00634977">
        <w:t xml:space="preserve">&gt;. </w:t>
      </w:r>
    </w:p>
    <w:p w:rsidR="00407073" w:rsidRPr="00634977" w:rsidRDefault="00407073" w:rsidP="004E71F9">
      <w:pPr>
        <w:pStyle w:val="BIBLIOGRAFIE"/>
        <w:numPr>
          <w:ilvl w:val="0"/>
          <w:numId w:val="0"/>
        </w:numPr>
      </w:pPr>
      <w:r w:rsidRPr="00634977">
        <w:rPr>
          <w:bCs/>
          <w:i/>
        </w:rPr>
        <w:t xml:space="preserve">ECJ ruling against sex discrimination in insurances key vicotry for women’s rights, say civil society organization </w:t>
      </w:r>
      <w:r w:rsidRPr="00634977">
        <w:rPr>
          <w:bCs/>
        </w:rPr>
        <w:t xml:space="preserve">[online]. European Women’s Lobby, 1. března 2011 [cit. 8. března 2011]. Dostupné na &lt;http://www.womenlobby.org/spip.php?page=comment_article&amp;id_article=1251&amp;comm=1#forum&gt;. </w:t>
      </w:r>
    </w:p>
    <w:p w:rsidR="000C6698" w:rsidRPr="00634977" w:rsidRDefault="00C802BE" w:rsidP="008A02B6">
      <w:pPr>
        <w:pStyle w:val="BIBLIOGRAFIE"/>
        <w:numPr>
          <w:ilvl w:val="0"/>
          <w:numId w:val="0"/>
        </w:numPr>
      </w:pPr>
      <w:r w:rsidRPr="00634977">
        <w:t xml:space="preserve">DÜRR, Anke. </w:t>
      </w:r>
      <w:r w:rsidRPr="00634977">
        <w:rPr>
          <w:i/>
        </w:rPr>
        <w:t>Wie viel passt in ein Leben?</w:t>
      </w:r>
      <w:r w:rsidRPr="00634977">
        <w:t xml:space="preserve"> [online]. Spiegel, 9. dubna 2006 [cit. 24. března 2011]. Dostupné na </w:t>
      </w:r>
      <w:hyperlink r:id="rId14" w:history="1">
        <w:r w:rsidRPr="00634977">
          <w:rPr>
            <w:rStyle w:val="Hyperlink"/>
          </w:rPr>
          <w:t>http://www.spiegel.de/kultur/literatur/0,1518,409854,00.html</w:t>
        </w:r>
      </w:hyperlink>
      <w:r w:rsidRPr="00634977">
        <w:t>.</w:t>
      </w:r>
    </w:p>
    <w:p w:rsidR="00942F69" w:rsidRPr="00634977" w:rsidRDefault="00942F69">
      <w:pPr>
        <w:spacing w:line="240" w:lineRule="auto"/>
        <w:ind w:firstLine="0"/>
        <w:jc w:val="left"/>
        <w:rPr>
          <w:szCs w:val="24"/>
        </w:rPr>
      </w:pPr>
    </w:p>
    <w:p w:rsidR="00DF354A" w:rsidRPr="00634977" w:rsidRDefault="00DF354A" w:rsidP="00420E79">
      <w:pPr>
        <w:pStyle w:val="NADPIS2"/>
        <w:outlineLvl w:val="0"/>
      </w:pPr>
      <w:bookmarkStart w:id="74" w:name="_Toc288491614"/>
      <w:bookmarkStart w:id="75" w:name="_Toc291022238"/>
      <w:r w:rsidRPr="00634977">
        <w:t>Právní předpisy</w:t>
      </w:r>
      <w:bookmarkEnd w:id="74"/>
      <w:bookmarkEnd w:id="75"/>
    </w:p>
    <w:p w:rsidR="00DF354A" w:rsidRPr="00634977" w:rsidRDefault="00DF354A" w:rsidP="004E71F9">
      <w:pPr>
        <w:pStyle w:val="BIBLIOGRAFIE"/>
        <w:numPr>
          <w:ilvl w:val="0"/>
          <w:numId w:val="0"/>
        </w:numPr>
      </w:pPr>
      <w:r w:rsidRPr="00634977">
        <w:t>Legislativa ES/EU: Nařízení Rady 2201/2003 ze dne 27. listopadu 2003 o příslušnosti a</w:t>
      </w:r>
      <w:r w:rsidR="00502C94">
        <w:t> </w:t>
      </w:r>
      <w:r w:rsidRPr="00634977">
        <w:t xml:space="preserve">uznávání a výkonu rozhodnutí ve věcech manželských a ve věcech rodičovské zodpovědnosti a o zrušení nařízení (ES) č. 1347/2000. Úř. věst. L 338/1, 23. prosince 2003, s. 243 a násl. </w:t>
      </w:r>
    </w:p>
    <w:p w:rsidR="00DF354A" w:rsidRPr="00634977" w:rsidRDefault="00DF354A" w:rsidP="004E71F9">
      <w:pPr>
        <w:pStyle w:val="BIBLIOGRAFIE"/>
        <w:numPr>
          <w:ilvl w:val="0"/>
          <w:numId w:val="0"/>
        </w:numPr>
      </w:pPr>
      <w:r w:rsidRPr="00634977">
        <w:t xml:space="preserve">Legislativa ES/EU: Směrnice Rady 2004/83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 Úř. věst. L 304/12, 30. září 2004, s. 96 a násl. </w:t>
      </w:r>
    </w:p>
    <w:p w:rsidR="00DF354A" w:rsidRPr="00634977" w:rsidRDefault="00DF354A" w:rsidP="004E71F9">
      <w:pPr>
        <w:pStyle w:val="BIBLIOGRAFIE"/>
        <w:numPr>
          <w:ilvl w:val="0"/>
          <w:numId w:val="0"/>
        </w:numPr>
      </w:pPr>
      <w:r w:rsidRPr="00634977">
        <w:t xml:space="preserve">Legislativa ES/EU: Směrnice Rady 2003/86 ze dne 22. září 2003 o právu na sloučení rodiny. Úř. věst. L 251/12, 3. října 2003, s. 224 a násl. </w:t>
      </w:r>
    </w:p>
    <w:p w:rsidR="00DF354A" w:rsidRPr="00634977" w:rsidRDefault="00DF354A" w:rsidP="004E71F9">
      <w:pPr>
        <w:pStyle w:val="BIBLIOGRAFIE"/>
        <w:numPr>
          <w:ilvl w:val="0"/>
          <w:numId w:val="0"/>
        </w:numPr>
      </w:pPr>
      <w:r w:rsidRPr="00634977">
        <w:t xml:space="preserve">Legislativa ES/EU: směrnice Rady 1999/70/ES ze dne 28. června 1999 o rámcové dohodě o pracovních poměrech na dobu určitou uzavřené mezi organizacemi UNICE, CEEP a EKOS. Úř. věst. L 175/43, 10. července 1999, s. 368 a násl. </w:t>
      </w:r>
    </w:p>
    <w:p w:rsidR="00DF354A" w:rsidRPr="00634977" w:rsidRDefault="00DF354A" w:rsidP="004E71F9">
      <w:pPr>
        <w:pStyle w:val="BIBLIOGRAFIE"/>
        <w:numPr>
          <w:ilvl w:val="0"/>
          <w:numId w:val="0"/>
        </w:numPr>
      </w:pPr>
      <w:r w:rsidRPr="00634977">
        <w:lastRenderedPageBreak/>
        <w:t>Legislativa ES/EU: směrnice Rady 92/85/EHS ze dne 19. října 1992 o zavádění opatření pro</w:t>
      </w:r>
      <w:r w:rsidR="002E19F8">
        <w:t> </w:t>
      </w:r>
      <w:r w:rsidRPr="00634977">
        <w:t xml:space="preserve">zlepšení bezpečnosti a ochrany zdraví při práci těhotných zaměstnankyň a zaměstnankyň krátce po porodu nebo kojících zaměstnankyň. Úř. věst. L 348/1, 28. listopadu 1992, s. 110 a násl. </w:t>
      </w:r>
    </w:p>
    <w:p w:rsidR="00DF354A" w:rsidRPr="00634977" w:rsidRDefault="00DF354A" w:rsidP="004E71F9">
      <w:pPr>
        <w:pStyle w:val="BIBLIOGRAFIE"/>
        <w:numPr>
          <w:ilvl w:val="0"/>
          <w:numId w:val="0"/>
        </w:numPr>
      </w:pPr>
      <w:r w:rsidRPr="00634977">
        <w:t>Legislativa ES/EU: směrnice Rady 96/34/ES ze dne 3. června 1996 o rámcové dohodě o</w:t>
      </w:r>
      <w:r w:rsidR="002E19F8">
        <w:t> </w:t>
      </w:r>
      <w:r w:rsidRPr="00634977">
        <w:t xml:space="preserve">rodičovské dovolené uzavřené mezi organizacemi UNICE, CEEP a EKOS. Úř. věst. L 145/4, 19. června 1996, s. 285 a násl. </w:t>
      </w:r>
    </w:p>
    <w:p w:rsidR="00DF354A" w:rsidRPr="00634977" w:rsidRDefault="00DF354A" w:rsidP="004E71F9">
      <w:pPr>
        <w:pStyle w:val="BIBLIOGRAFIE"/>
        <w:numPr>
          <w:ilvl w:val="0"/>
          <w:numId w:val="0"/>
        </w:numPr>
      </w:pPr>
      <w:r w:rsidRPr="00634977">
        <w:t xml:space="preserve">Legislativa ES/EU: směrnice Rady 2003/88/ES ze dne 4. listopadu 2003 o některých aspektech úpravy pracovní doby. Úř. věst. L 299/9, 18. listopadu 2003, s. 381 a násl. </w:t>
      </w:r>
    </w:p>
    <w:p w:rsidR="00DF354A" w:rsidRPr="00634977" w:rsidRDefault="00DF354A" w:rsidP="004E71F9">
      <w:pPr>
        <w:pStyle w:val="BIBLIOGRAFIE"/>
        <w:numPr>
          <w:ilvl w:val="0"/>
          <w:numId w:val="0"/>
        </w:numPr>
      </w:pPr>
      <w:r w:rsidRPr="00634977">
        <w:t xml:space="preserve">Legislativa ES/EU: směrnice Rady 2004/113/ES ze dne 13. prosince 2004, kterou se zavádí zásada rovného zacházení s muži a ženami v přístupu ke zboží a službám a jejich poskytování. Úř. věst. L 373, 23. prosince 2004, s. 37 a násl. </w:t>
      </w:r>
    </w:p>
    <w:p w:rsidR="00DF354A" w:rsidRPr="00634977" w:rsidRDefault="00DF354A" w:rsidP="004E71F9">
      <w:pPr>
        <w:pStyle w:val="BIBLIOGRAFIE"/>
        <w:numPr>
          <w:ilvl w:val="0"/>
          <w:numId w:val="0"/>
        </w:numPr>
      </w:pPr>
      <w:r w:rsidRPr="00634977">
        <w:t xml:space="preserve">Legislativa ES/EU: směrnice Rady 76/207/EHS ze dne 9. února 1976 o zavedení zásady rovného zacházení pro muže a ženy, pokud jde o přístup k zaměstnání, odbornému vzdělávání a postupu v zaměstnání a o pracovní podmínky. Úř. věst. L 39/40, 28. října 1980, s. 187 a násl. </w:t>
      </w:r>
    </w:p>
    <w:p w:rsidR="00DF354A" w:rsidRPr="00634977" w:rsidRDefault="00DF354A" w:rsidP="004E71F9">
      <w:pPr>
        <w:pStyle w:val="BIBLIOGRAFIE"/>
        <w:numPr>
          <w:ilvl w:val="0"/>
          <w:numId w:val="0"/>
        </w:numPr>
      </w:pPr>
      <w:r w:rsidRPr="00634977">
        <w:t xml:space="preserve">Legislativa ES/EU: směrnice Rady 2000/78/ES ze dne 27. listopadu 2000, kterou se stanoví obecný rámec pro rovné zacházení v zaměstnání a povolání. Úř. věst. L 303/16, 2. prosince 2000, s. 79 a násl. </w:t>
      </w:r>
    </w:p>
    <w:p w:rsidR="00DF354A" w:rsidRPr="00634977" w:rsidRDefault="00DF354A" w:rsidP="004E71F9">
      <w:pPr>
        <w:pStyle w:val="BIBLIOGRAFIE"/>
        <w:numPr>
          <w:ilvl w:val="0"/>
          <w:numId w:val="0"/>
        </w:numPr>
      </w:pPr>
      <w:r w:rsidRPr="00634977">
        <w:t xml:space="preserve">Legislativa ES/EU: směrnice Rady 98/59/ES ze dne 20. července 1998 o sbližování právních předpisů členských států týkajících se hromadného propouštění. Úř. věst. L 225/16, 12. srpna 1998, s. 327 a násl. </w:t>
      </w:r>
    </w:p>
    <w:p w:rsidR="00613E5A" w:rsidRPr="00634977" w:rsidRDefault="00D616A8" w:rsidP="004E71F9">
      <w:pPr>
        <w:pStyle w:val="BIBLIOGRAFIE"/>
        <w:numPr>
          <w:ilvl w:val="0"/>
          <w:numId w:val="0"/>
        </w:numPr>
        <w:rPr>
          <w:bCs/>
        </w:rPr>
      </w:pPr>
      <w:r w:rsidRPr="00634977">
        <w:rPr>
          <w:bCs/>
        </w:rPr>
        <w:t xml:space="preserve">Legislativa ES/EU: Rámcové rozhodnutí Rady 2002/584 SVV ze dne 13. června 2002 o evropském zatýkacím rozkazu a postupech předávání mezi členskými státy. Úř. věst. L 190/1, 18. července 2002, 34 a násl. </w:t>
      </w:r>
    </w:p>
    <w:p w:rsidR="00446C01" w:rsidRPr="00634977" w:rsidRDefault="00446C01" w:rsidP="004E71F9">
      <w:pPr>
        <w:pStyle w:val="BIBLIOGRAFIE"/>
        <w:numPr>
          <w:ilvl w:val="0"/>
          <w:numId w:val="0"/>
        </w:numPr>
        <w:rPr>
          <w:bCs/>
        </w:rPr>
      </w:pPr>
      <w:r w:rsidRPr="00634977">
        <w:t xml:space="preserve">Legislativa ES/EU: Směrnice Rady 2003/8/ES ze dne 27. ledna 2003 </w:t>
      </w:r>
      <w:r w:rsidRPr="00634977">
        <w:rPr>
          <w:bCs/>
        </w:rPr>
        <w:t xml:space="preserve">o zlepšení přístupu ke spravedlnosti v přeshraničních sporech stanovením minimálních společných pravidel pro právní pomoc v těchto sporech. Úř. věst. L 26/41, 31. ledna 2003, s. 90 a násl. </w:t>
      </w:r>
    </w:p>
    <w:p w:rsidR="00FF67B7" w:rsidRPr="00634977" w:rsidRDefault="00FF67B7" w:rsidP="004E71F9">
      <w:pPr>
        <w:pStyle w:val="BIBLIOGRAFIE"/>
        <w:numPr>
          <w:ilvl w:val="0"/>
          <w:numId w:val="0"/>
        </w:numPr>
      </w:pPr>
      <w:r w:rsidRPr="00634977">
        <w:t xml:space="preserve">Legislativa ES/EU: Nařízení Rady č. 1290/2005 ze dne 21. června 2005 o financování společné zemědělské politiky. Úř. věst. L 209/1, 11. srpna 2005, s. 1 a násl. </w:t>
      </w:r>
    </w:p>
    <w:p w:rsidR="003C5B8F" w:rsidRPr="00634977" w:rsidRDefault="00773839" w:rsidP="004E71F9">
      <w:pPr>
        <w:pStyle w:val="BIBLIOGRAFIE"/>
        <w:numPr>
          <w:ilvl w:val="0"/>
          <w:numId w:val="0"/>
        </w:numPr>
        <w:rPr>
          <w:bCs/>
        </w:rPr>
      </w:pPr>
      <w:r w:rsidRPr="00634977">
        <w:t xml:space="preserve">Legislativa ES/EU: Nařízení Komise č. 259/2008 ze dne 18. března 2008, kterým se </w:t>
      </w:r>
      <w:r w:rsidRPr="00634977">
        <w:rPr>
          <w:bCs/>
        </w:rPr>
        <w:t xml:space="preserve">stanoví prováděcí pravidla k nařízení Rady (ES) č. 1290/2005, pokud jde o zveřejňování informací o příjemcích finančních prostředků z Evropského zemědělského záručního fondu (EZZF) a Evropského zemědělského fondu pro rozvoj venkova (EZFRV). Úř. věst. L 76/28, 19. března 2008, s. 28 a násl. </w:t>
      </w:r>
    </w:p>
    <w:p w:rsidR="00DF354A" w:rsidRPr="00634977" w:rsidRDefault="00DF354A" w:rsidP="00FC7882">
      <w:pPr>
        <w:pStyle w:val="BIBLIOGRAFIE"/>
        <w:numPr>
          <w:ilvl w:val="0"/>
          <w:numId w:val="0"/>
        </w:numPr>
      </w:pPr>
    </w:p>
    <w:p w:rsidR="000C2A5A" w:rsidRPr="00634977" w:rsidRDefault="000C2A5A">
      <w:pPr>
        <w:spacing w:line="240" w:lineRule="auto"/>
        <w:ind w:firstLine="0"/>
        <w:jc w:val="left"/>
        <w:rPr>
          <w:b/>
          <w:smallCaps/>
          <w:sz w:val="28"/>
          <w:szCs w:val="24"/>
        </w:rPr>
      </w:pPr>
      <w:bookmarkStart w:id="76" w:name="_Toc288491617"/>
      <w:r w:rsidRPr="00634977">
        <w:br w:type="page"/>
      </w:r>
    </w:p>
    <w:p w:rsidR="00C32F82" w:rsidRPr="00634977" w:rsidRDefault="00A34FC0" w:rsidP="00420E79">
      <w:pPr>
        <w:pStyle w:val="NADPIS2"/>
        <w:outlineLvl w:val="0"/>
      </w:pPr>
      <w:bookmarkStart w:id="77" w:name="_Toc291022239"/>
      <w:r w:rsidRPr="00634977">
        <w:lastRenderedPageBreak/>
        <w:t xml:space="preserve">Dokumenty </w:t>
      </w:r>
      <w:bookmarkEnd w:id="76"/>
      <w:r w:rsidR="00810FBA">
        <w:t>institucí Evropské unie</w:t>
      </w:r>
      <w:bookmarkEnd w:id="77"/>
    </w:p>
    <w:p w:rsidR="007141A0" w:rsidRPr="00634977" w:rsidRDefault="00C32F82" w:rsidP="004E71F9">
      <w:pPr>
        <w:pStyle w:val="BIBLIOGRAFIE"/>
        <w:numPr>
          <w:ilvl w:val="0"/>
          <w:numId w:val="0"/>
        </w:numPr>
      </w:pPr>
      <w:r w:rsidRPr="00634977">
        <w:t xml:space="preserve">Zpráva Evropského parlamentu na téma </w:t>
      </w:r>
      <w:r w:rsidRPr="00634977">
        <w:rPr>
          <w:i/>
        </w:rPr>
        <w:t>„Na cestě k přiměřeným, udržitelným a spolehlivým důchodovým systémům v Evropě“</w:t>
      </w:r>
      <w:r w:rsidRPr="00634977">
        <w:t xml:space="preserve"> z 3. února 2011, 2010/2239 INI, zpravodajka Ria Oomen-Ruijten</w:t>
      </w:r>
      <w:r w:rsidR="00B03C82" w:rsidRPr="00634977">
        <w:t>, s. 35,</w:t>
      </w:r>
      <w:r w:rsidRPr="00634977">
        <w:t xml:space="preserve"> bod 13. </w:t>
      </w:r>
    </w:p>
    <w:p w:rsidR="00A34FC0" w:rsidRPr="00634977" w:rsidRDefault="00A34FC0" w:rsidP="004E71F9">
      <w:pPr>
        <w:pStyle w:val="BIBLIOGRAFIE"/>
        <w:numPr>
          <w:ilvl w:val="0"/>
          <w:numId w:val="0"/>
        </w:numPr>
      </w:pPr>
      <w:r w:rsidRPr="00634977">
        <w:t xml:space="preserve">Report of the Expert Group on Fundamental Rights, </w:t>
      </w:r>
      <w:r w:rsidRPr="00634977">
        <w:rPr>
          <w:i/>
        </w:rPr>
        <w:t>Affirming Fundamental Rights in the European Union: Time to A</w:t>
      </w:r>
      <w:r w:rsidR="00044665" w:rsidRPr="00634977">
        <w:rPr>
          <w:i/>
        </w:rPr>
        <w:t>ct</w:t>
      </w:r>
      <w:r w:rsidRPr="00634977">
        <w:t xml:space="preserve"> (Brussels, European Commission, 1999) (Simitis Report).</w:t>
      </w:r>
    </w:p>
    <w:p w:rsidR="00C802BE" w:rsidRPr="00634977" w:rsidRDefault="00C802BE" w:rsidP="00C802BE">
      <w:pPr>
        <w:pStyle w:val="BIBLIOGRAFIE"/>
        <w:numPr>
          <w:ilvl w:val="0"/>
          <w:numId w:val="0"/>
        </w:numPr>
      </w:pPr>
      <w:r w:rsidRPr="00634977">
        <w:t xml:space="preserve">Sex Discrimination in Insurance Contracts: Statement by European Commission Vice-President Viviane Reding, the EU’s Justice Commissioner, on the European Court of Justice's ruling in the Test-Achats case [online]. DG Justice, 1. března 2011 [cit. 8. března 2011]. Dostupné na &lt;http://europa.eu/rapid/pressReleasesAction.do?reference=MEMO/11/123&amp;format=HTML&amp;aged=0&amp;language=EN&amp;guiLanguage=en&gt;. </w:t>
      </w:r>
    </w:p>
    <w:p w:rsidR="00C32F82" w:rsidRPr="00634977" w:rsidRDefault="00C32F82" w:rsidP="004E71F9">
      <w:pPr>
        <w:pStyle w:val="BIBLIOGRAFIE"/>
        <w:numPr>
          <w:ilvl w:val="0"/>
          <w:numId w:val="0"/>
        </w:numPr>
      </w:pPr>
    </w:p>
    <w:p w:rsidR="00F04479" w:rsidRPr="00634977" w:rsidRDefault="00F04479" w:rsidP="00F04479">
      <w:pPr>
        <w:pStyle w:val="NADPIS2"/>
        <w:outlineLvl w:val="0"/>
      </w:pPr>
      <w:bookmarkStart w:id="78" w:name="_Toc291022240"/>
      <w:r w:rsidRPr="00634977">
        <w:t>Judikatura – rozsudky ESD</w:t>
      </w:r>
      <w:bookmarkEnd w:id="78"/>
    </w:p>
    <w:p w:rsidR="00F04479" w:rsidRPr="00634977" w:rsidRDefault="00F04479" w:rsidP="002E19F8">
      <w:pPr>
        <w:pStyle w:val="BIBLIOGRAFIE"/>
        <w:numPr>
          <w:ilvl w:val="0"/>
          <w:numId w:val="0"/>
        </w:numPr>
      </w:pPr>
      <w:r w:rsidRPr="00634977">
        <w:t xml:space="preserve">Evropský soudní dvůr: Rozsudek ze dne 12. prosince 1969, </w:t>
      </w:r>
      <w:r w:rsidRPr="00634977">
        <w:rPr>
          <w:i/>
        </w:rPr>
        <w:t>Stauder v město Ulm</w:t>
      </w:r>
      <w:r w:rsidRPr="00634977">
        <w:t>, 29/69, Sb. rozh. s. 419.</w:t>
      </w:r>
    </w:p>
    <w:p w:rsidR="00F04479" w:rsidRPr="00634977" w:rsidRDefault="00F04479" w:rsidP="00F04479">
      <w:pPr>
        <w:pStyle w:val="BIBLIOGRAFIE"/>
        <w:numPr>
          <w:ilvl w:val="0"/>
          <w:numId w:val="0"/>
        </w:numPr>
      </w:pPr>
      <w:r w:rsidRPr="00634977">
        <w:t xml:space="preserve">Evropský soudní dvůr: Rozsudek ze dne 16. září 2010, </w:t>
      </w:r>
      <w:r w:rsidRPr="00634977">
        <w:rPr>
          <w:i/>
        </w:rPr>
        <w:t>Zoi Chatzi v Ypourgos Oikonomikon</w:t>
      </w:r>
      <w:r w:rsidRPr="00634977">
        <w:t>, C-149/10.</w:t>
      </w:r>
    </w:p>
    <w:p w:rsidR="00F04479" w:rsidRPr="00634977" w:rsidRDefault="00F04479" w:rsidP="00F04479">
      <w:pPr>
        <w:pStyle w:val="BIBLIOGRAFIE"/>
        <w:numPr>
          <w:ilvl w:val="0"/>
          <w:numId w:val="0"/>
        </w:numPr>
      </w:pPr>
      <w:r w:rsidRPr="00634977">
        <w:t xml:space="preserve">Evropský soudní dvůr: Rozsudek ze dne 22. prosince 2010, </w:t>
      </w:r>
      <w:r w:rsidRPr="00634977">
        <w:rPr>
          <w:i/>
        </w:rPr>
        <w:t>Josebou Andoni Aguirre Zarraga v Simone Pelz</w:t>
      </w:r>
      <w:r w:rsidRPr="00634977">
        <w:t>, C-491/10.</w:t>
      </w:r>
    </w:p>
    <w:p w:rsidR="00F04479" w:rsidRPr="00634977" w:rsidRDefault="00F04479" w:rsidP="00F04479">
      <w:pPr>
        <w:pStyle w:val="BIBLIOGRAFIE"/>
        <w:numPr>
          <w:ilvl w:val="0"/>
          <w:numId w:val="0"/>
        </w:numPr>
      </w:pPr>
      <w:r w:rsidRPr="00634977">
        <w:t xml:space="preserve">Evropský soudní dvůr: Rozsudek ze dne 9. listopadu 2010, </w:t>
      </w:r>
      <w:r w:rsidRPr="00634977">
        <w:rPr>
          <w:i/>
        </w:rPr>
        <w:t>Spolková republika Německa v B a D</w:t>
      </w:r>
      <w:r w:rsidRPr="00634977">
        <w:t xml:space="preserve">, spojené řízení C-101/09 a C-57/09. </w:t>
      </w:r>
    </w:p>
    <w:p w:rsidR="00F04479" w:rsidRPr="00634977" w:rsidRDefault="00F04479" w:rsidP="00F04479">
      <w:pPr>
        <w:pStyle w:val="BIBLIOGRAFIE"/>
        <w:numPr>
          <w:ilvl w:val="0"/>
          <w:numId w:val="0"/>
        </w:numPr>
      </w:pPr>
      <w:r w:rsidRPr="00634977">
        <w:t>Evropský soudní dvůr: Rozsudek ze dne 5. října 2010, J</w:t>
      </w:r>
      <w:r w:rsidRPr="00634977">
        <w:rPr>
          <w:i/>
        </w:rPr>
        <w:t>. McB. v L.E.</w:t>
      </w:r>
      <w:r w:rsidRPr="00634977">
        <w:t xml:space="preserve">, C-400/10 PPU. </w:t>
      </w:r>
    </w:p>
    <w:p w:rsidR="00F04479" w:rsidRPr="00634977" w:rsidRDefault="00F04479" w:rsidP="00F04479">
      <w:pPr>
        <w:pStyle w:val="BIBLIOGRAFIE"/>
        <w:numPr>
          <w:ilvl w:val="0"/>
          <w:numId w:val="0"/>
        </w:numPr>
      </w:pPr>
      <w:r w:rsidRPr="00634977">
        <w:t xml:space="preserve">Evropský soudní dvůr: Rozsudek ze dne 1. července 2010, </w:t>
      </w:r>
      <w:r w:rsidRPr="00634977">
        <w:rPr>
          <w:i/>
        </w:rPr>
        <w:t>Doris Povse v Mauro Alpago</w:t>
      </w:r>
      <w:r w:rsidRPr="00634977">
        <w:t xml:space="preserve">, C-211/10 PPU. </w:t>
      </w:r>
    </w:p>
    <w:p w:rsidR="00F04479" w:rsidRPr="00634977" w:rsidRDefault="00F04479" w:rsidP="00F04479">
      <w:pPr>
        <w:pStyle w:val="BIBLIOGRAFIE"/>
        <w:numPr>
          <w:ilvl w:val="0"/>
          <w:numId w:val="0"/>
        </w:numPr>
      </w:pPr>
      <w:r w:rsidRPr="00634977">
        <w:t xml:space="preserve">Evropský soudní dvůr: Rozsudek ze dne 22. června 2010, </w:t>
      </w:r>
      <w:r w:rsidRPr="00634977">
        <w:rPr>
          <w:i/>
        </w:rPr>
        <w:t>Francie v Aziz Melki a Selim Abdeli</w:t>
      </w:r>
      <w:r w:rsidRPr="00634977">
        <w:t xml:space="preserve">, spojené řízení C-188/10 a C-189/10. </w:t>
      </w:r>
    </w:p>
    <w:p w:rsidR="00F04479" w:rsidRPr="00634977" w:rsidRDefault="00F04479" w:rsidP="00F04479">
      <w:pPr>
        <w:pStyle w:val="BIBLIOGRAFIE"/>
        <w:numPr>
          <w:ilvl w:val="0"/>
          <w:numId w:val="0"/>
        </w:numPr>
      </w:pPr>
      <w:r w:rsidRPr="00634977">
        <w:t xml:space="preserve">Evropský soudní dvůr: Rozsudek ze dne 17. června 2010, </w:t>
      </w:r>
      <w:r w:rsidRPr="00634977">
        <w:rPr>
          <w:i/>
        </w:rPr>
        <w:t>Bolbol v Bevándorlási és Állampolgársági Hivatal</w:t>
      </w:r>
      <w:r w:rsidRPr="00634977">
        <w:t xml:space="preserve">, C-31/09. </w:t>
      </w:r>
    </w:p>
    <w:p w:rsidR="00F04479" w:rsidRPr="00634977" w:rsidRDefault="00F04479" w:rsidP="00F04479">
      <w:pPr>
        <w:pStyle w:val="BIBLIOGRAFIE"/>
        <w:numPr>
          <w:ilvl w:val="0"/>
          <w:numId w:val="0"/>
        </w:numPr>
      </w:pPr>
      <w:r w:rsidRPr="00634977">
        <w:t xml:space="preserve">Evropský soudní dvůr: Rozsudek ze dne 4. března 2010, </w:t>
      </w:r>
      <w:r w:rsidRPr="00634977">
        <w:rPr>
          <w:i/>
        </w:rPr>
        <w:t>Chakroun v Minister van Buitenlandse Zaken</w:t>
      </w:r>
      <w:r w:rsidRPr="00634977">
        <w:t xml:space="preserve">, C-578/08. </w:t>
      </w:r>
    </w:p>
    <w:p w:rsidR="00F04479" w:rsidRPr="00634977" w:rsidRDefault="00F04479" w:rsidP="00F04479">
      <w:pPr>
        <w:pStyle w:val="BIBLIOGRAFIE"/>
        <w:numPr>
          <w:ilvl w:val="0"/>
          <w:numId w:val="0"/>
        </w:numPr>
      </w:pPr>
      <w:r w:rsidRPr="00634977">
        <w:t xml:space="preserve">Evropský soudní dvůr: Rozsudek ze dne 2. března 2010, </w:t>
      </w:r>
      <w:r w:rsidRPr="00634977">
        <w:rPr>
          <w:i/>
        </w:rPr>
        <w:t>Aydin Salahadin Abdulla, Kamil Hasan, Ahmed Adem a Hamrin Mosa Rashi a Dler Jamal v SRN</w:t>
      </w:r>
      <w:r w:rsidRPr="00634977">
        <w:t xml:space="preserve">, spojené řízení C-175/08, C-176/08, C-178/08 a C-179/08. </w:t>
      </w:r>
    </w:p>
    <w:p w:rsidR="00F04479" w:rsidRPr="00634977" w:rsidRDefault="00F04479" w:rsidP="00F04479">
      <w:pPr>
        <w:pStyle w:val="BIBLIOGRAFIE"/>
        <w:numPr>
          <w:ilvl w:val="0"/>
          <w:numId w:val="0"/>
        </w:numPr>
      </w:pPr>
      <w:r w:rsidRPr="00634977">
        <w:t xml:space="preserve">Evropský soudní dvůr: Rozsudek ze dne 23. prosince 2009, </w:t>
      </w:r>
      <w:r w:rsidRPr="00634977">
        <w:rPr>
          <w:i/>
        </w:rPr>
        <w:t>Jasna Detiček v Maurizio Sgueglia</w:t>
      </w:r>
      <w:r w:rsidRPr="00634977">
        <w:t>, C-403/09 PPU.</w:t>
      </w:r>
    </w:p>
    <w:p w:rsidR="00F04479" w:rsidRPr="00634977" w:rsidRDefault="00F04479" w:rsidP="00F04479">
      <w:pPr>
        <w:pStyle w:val="BIBLIOGRAFIE"/>
        <w:numPr>
          <w:ilvl w:val="0"/>
          <w:numId w:val="0"/>
        </w:numPr>
      </w:pPr>
      <w:r w:rsidRPr="00634977">
        <w:lastRenderedPageBreak/>
        <w:t xml:space="preserve">Evropský soudní dvůr: Rozsudek ze dne 22. prosince 2010, </w:t>
      </w:r>
      <w:r w:rsidRPr="00634977">
        <w:rPr>
          <w:i/>
        </w:rPr>
        <w:t>Rosa María Gavieiro Gavieiro v Consellería de Educación e Ordenación Universitaria de la Xunta de Galicia</w:t>
      </w:r>
      <w:r w:rsidRPr="00634977">
        <w:t>, spojené řízení C-444/09 a C-456/09.</w:t>
      </w:r>
    </w:p>
    <w:p w:rsidR="00F04479" w:rsidRPr="00634977" w:rsidRDefault="00F04479" w:rsidP="00F04479">
      <w:pPr>
        <w:pStyle w:val="BIBLIOGRAFIE"/>
        <w:numPr>
          <w:ilvl w:val="0"/>
          <w:numId w:val="0"/>
        </w:numPr>
      </w:pPr>
      <w:r w:rsidRPr="00634977">
        <w:t xml:space="preserve">Evropský soudní dvůr: Rozsudek ze dne 11. listopadu 2010, </w:t>
      </w:r>
      <w:r w:rsidRPr="00634977">
        <w:rPr>
          <w:i/>
        </w:rPr>
        <w:t>Dita Danosa v LKB Lizings SIA</w:t>
      </w:r>
      <w:r w:rsidRPr="00634977">
        <w:t xml:space="preserve">, C-232/09. </w:t>
      </w:r>
    </w:p>
    <w:p w:rsidR="00F04479" w:rsidRPr="00634977" w:rsidRDefault="00F04479" w:rsidP="00F04479">
      <w:pPr>
        <w:pStyle w:val="BIBLIOGRAFIE"/>
        <w:numPr>
          <w:ilvl w:val="0"/>
          <w:numId w:val="0"/>
        </w:numPr>
      </w:pPr>
      <w:r w:rsidRPr="00634977">
        <w:t xml:space="preserve">Evropský soudní dvůr: Rozsudek ze dne 14. října 2010, </w:t>
      </w:r>
      <w:r w:rsidRPr="00634977">
        <w:rPr>
          <w:i/>
        </w:rPr>
        <w:t>Günter Fuß v Stadt Halle</w:t>
      </w:r>
      <w:r w:rsidRPr="00634977">
        <w:t>, C-243/09.</w:t>
      </w:r>
    </w:p>
    <w:p w:rsidR="00F04479" w:rsidRPr="00634977" w:rsidRDefault="00F04479" w:rsidP="00F04479">
      <w:pPr>
        <w:pStyle w:val="BIBLIOGRAFIE"/>
        <w:numPr>
          <w:ilvl w:val="0"/>
          <w:numId w:val="0"/>
        </w:numPr>
      </w:pPr>
      <w:r w:rsidRPr="00634977">
        <w:t xml:space="preserve">Evropský soudní dvůr: Rozsudek ze dne 10. prosince 2009, </w:t>
      </w:r>
      <w:r w:rsidRPr="00634977">
        <w:rPr>
          <w:i/>
        </w:rPr>
        <w:t>Rodríguez Mayor a další v Succession vacante de Rafael de las Heras Dávila, Sagrario de las Heras Dávila</w:t>
      </w:r>
      <w:r w:rsidRPr="00634977">
        <w:t xml:space="preserve">, C-323/08. </w:t>
      </w:r>
    </w:p>
    <w:p w:rsidR="00F04479" w:rsidRPr="00634977" w:rsidRDefault="00F04479" w:rsidP="00F04479">
      <w:pPr>
        <w:pStyle w:val="BIBLIOGRAFIE"/>
        <w:numPr>
          <w:ilvl w:val="0"/>
          <w:numId w:val="0"/>
        </w:numPr>
      </w:pPr>
      <w:r w:rsidRPr="00634977">
        <w:t xml:space="preserve">Evropský soudní dvůr: Rozsudek ze dne 19. ledna 2010, </w:t>
      </w:r>
      <w:r w:rsidRPr="00634977">
        <w:rPr>
          <w:i/>
        </w:rPr>
        <w:t>Seda Kücükdeveci v Swedex GmbH &amp; Co. KG</w:t>
      </w:r>
      <w:r w:rsidRPr="00634977">
        <w:t xml:space="preserve">, C-555/07. </w:t>
      </w:r>
    </w:p>
    <w:p w:rsidR="00F04479" w:rsidRPr="00634977" w:rsidRDefault="00F04479" w:rsidP="00F04479">
      <w:pPr>
        <w:pStyle w:val="BIBLIOGRAFIE"/>
        <w:numPr>
          <w:ilvl w:val="0"/>
          <w:numId w:val="0"/>
        </w:numPr>
        <w:rPr>
          <w:bCs/>
        </w:rPr>
      </w:pPr>
      <w:r w:rsidRPr="00634977">
        <w:t xml:space="preserve">Evropský soudní dvůr: Rozsudek ze dne 16. listopadu 2010, </w:t>
      </w:r>
      <w:r w:rsidRPr="00634977">
        <w:rPr>
          <w:i/>
        </w:rPr>
        <w:t>Gaetano Mantello</w:t>
      </w:r>
      <w:r w:rsidRPr="00634977">
        <w:t>, C-261/09.</w:t>
      </w:r>
    </w:p>
    <w:p w:rsidR="00F04479" w:rsidRPr="00634977" w:rsidRDefault="00F04479" w:rsidP="00F04479">
      <w:pPr>
        <w:pStyle w:val="BIBLIOGRAFIE"/>
        <w:numPr>
          <w:ilvl w:val="0"/>
          <w:numId w:val="0"/>
        </w:numPr>
      </w:pPr>
      <w:r w:rsidRPr="00634977">
        <w:t xml:space="preserve">Evropský soudní dvůr: Rozsudek ze dne 21. října 2010, </w:t>
      </w:r>
      <w:r w:rsidRPr="00634977">
        <w:rPr>
          <w:i/>
        </w:rPr>
        <w:t>I. B.</w:t>
      </w:r>
      <w:r w:rsidRPr="00634977">
        <w:t xml:space="preserve">, C-306/09. </w:t>
      </w:r>
    </w:p>
    <w:p w:rsidR="00F04479" w:rsidRPr="00634977" w:rsidRDefault="00F04479" w:rsidP="00F04479">
      <w:pPr>
        <w:pStyle w:val="BIBLIOGRAFIE"/>
        <w:numPr>
          <w:ilvl w:val="0"/>
          <w:numId w:val="0"/>
        </w:numPr>
      </w:pPr>
      <w:r w:rsidRPr="00634977">
        <w:t xml:space="preserve">Evropský soudní dvůr: Rozsudek ze dne 22. prosince 2010, </w:t>
      </w:r>
      <w:r w:rsidRPr="00634977">
        <w:rPr>
          <w:i/>
        </w:rPr>
        <w:t>Ilonka Sayn-Wittgenstein</w:t>
      </w:r>
      <w:r w:rsidRPr="00634977">
        <w:t xml:space="preserve">, C-208/10. </w:t>
      </w:r>
    </w:p>
    <w:p w:rsidR="00F04479" w:rsidRPr="00634977" w:rsidRDefault="00F04479" w:rsidP="00F04479">
      <w:pPr>
        <w:pStyle w:val="BIBLIOGRAFIE"/>
        <w:numPr>
          <w:ilvl w:val="0"/>
          <w:numId w:val="0"/>
        </w:numPr>
      </w:pPr>
      <w:r w:rsidRPr="00634977">
        <w:t xml:space="preserve">Evropský soudní dvůr: Rozsudek ze dne 23. listopadu 2011, </w:t>
      </w:r>
      <w:r w:rsidRPr="00634977">
        <w:rPr>
          <w:bCs/>
          <w:i/>
        </w:rPr>
        <w:t>Land Baden-Württemberg</w:t>
      </w:r>
      <w:r w:rsidRPr="00634977">
        <w:rPr>
          <w:i/>
        </w:rPr>
        <w:t xml:space="preserve"> v </w:t>
      </w:r>
      <w:r w:rsidRPr="00634977">
        <w:rPr>
          <w:bCs/>
          <w:i/>
        </w:rPr>
        <w:t>Panagiotis Tsakouridis</w:t>
      </w:r>
      <w:r w:rsidRPr="00634977">
        <w:rPr>
          <w:bCs/>
        </w:rPr>
        <w:t xml:space="preserve">, C-145/09. </w:t>
      </w:r>
    </w:p>
    <w:p w:rsidR="00F04479" w:rsidRPr="00634977" w:rsidRDefault="00F04479" w:rsidP="00F04479">
      <w:pPr>
        <w:pStyle w:val="BIBLIOGRAFIE"/>
        <w:numPr>
          <w:ilvl w:val="0"/>
          <w:numId w:val="0"/>
        </w:numPr>
      </w:pPr>
      <w:r w:rsidRPr="00634977">
        <w:t xml:space="preserve">Evropský soudní dvůr: Rozsudek ze dne 7. října 2010, </w:t>
      </w:r>
      <w:r w:rsidRPr="00634977">
        <w:rPr>
          <w:bCs/>
          <w:i/>
        </w:rPr>
        <w:t>Secretary of State for Work and Pensions v Taous Lassal</w:t>
      </w:r>
      <w:r w:rsidRPr="00634977">
        <w:rPr>
          <w:bCs/>
        </w:rPr>
        <w:t xml:space="preserve">, C-162/09. </w:t>
      </w:r>
    </w:p>
    <w:p w:rsidR="00F04479" w:rsidRPr="00634977" w:rsidRDefault="00F04479" w:rsidP="00F04479">
      <w:pPr>
        <w:pStyle w:val="BIBLIOGRAFIE"/>
        <w:numPr>
          <w:ilvl w:val="0"/>
          <w:numId w:val="0"/>
        </w:numPr>
        <w:rPr>
          <w:bCs/>
        </w:rPr>
      </w:pPr>
      <w:r w:rsidRPr="00634977">
        <w:t xml:space="preserve">Evropský soudní dvůr: Rozsudek ze dne 22. prosince 2010, </w:t>
      </w:r>
      <w:r w:rsidRPr="00634977">
        <w:rPr>
          <w:bCs/>
          <w:i/>
        </w:rPr>
        <w:t>DEB Deutsche Energiehandels- und Beratungsgesellschaft GmbH v SRN</w:t>
      </w:r>
      <w:r w:rsidRPr="00634977">
        <w:rPr>
          <w:bCs/>
        </w:rPr>
        <w:t>, C-279/09.</w:t>
      </w:r>
    </w:p>
    <w:p w:rsidR="00F04479" w:rsidRPr="00634977" w:rsidRDefault="00F04479" w:rsidP="00F04479">
      <w:pPr>
        <w:pStyle w:val="BIBLIOGRAFIE"/>
        <w:numPr>
          <w:ilvl w:val="0"/>
          <w:numId w:val="0"/>
        </w:numPr>
        <w:rPr>
          <w:bCs/>
        </w:rPr>
      </w:pPr>
      <w:r w:rsidRPr="00634977">
        <w:t xml:space="preserve">Evropský soudní dvůr: Rozsudek ze dne 1. června 2010, </w:t>
      </w:r>
      <w:r w:rsidRPr="00634977">
        <w:rPr>
          <w:bCs/>
        </w:rPr>
        <w:t xml:space="preserve">José Manuel Blanco Pérez, María del Pilar Chao Gómez v Consejería de Salud y Servicios Sanitarios, Principado de Asturias, spojené řízení C-570/07 a C-571/07. </w:t>
      </w:r>
    </w:p>
    <w:p w:rsidR="00F04479" w:rsidRPr="00634977" w:rsidRDefault="00F04479" w:rsidP="00F04479">
      <w:pPr>
        <w:pStyle w:val="BIBLIOGRAFIE"/>
        <w:numPr>
          <w:ilvl w:val="0"/>
          <w:numId w:val="0"/>
        </w:numPr>
      </w:pPr>
      <w:r w:rsidRPr="00634977">
        <w:t xml:space="preserve">Evropský soudní dvůr: Rozsudek ze dne 1. července 2010, </w:t>
      </w:r>
      <w:r w:rsidRPr="00634977">
        <w:rPr>
          <w:i/>
        </w:rPr>
        <w:t>Knauf Gips v Komise</w:t>
      </w:r>
      <w:r w:rsidRPr="00634977">
        <w:t xml:space="preserve">, C-407/08. </w:t>
      </w:r>
    </w:p>
    <w:p w:rsidR="00F04479" w:rsidRPr="00634977" w:rsidRDefault="00F04479" w:rsidP="00F04479">
      <w:pPr>
        <w:pStyle w:val="BIBLIOGRAFIE"/>
        <w:numPr>
          <w:ilvl w:val="0"/>
          <w:numId w:val="0"/>
        </w:numPr>
      </w:pPr>
      <w:r w:rsidRPr="00634977">
        <w:t xml:space="preserve">Evropský soudní dvůr: Rozsudek ze dne 14. září 2010, </w:t>
      </w:r>
      <w:r w:rsidRPr="00634977">
        <w:rPr>
          <w:i/>
        </w:rPr>
        <w:t>Akzo Nobel Chemicals and Akcros Chemicals v Komise</w:t>
      </w:r>
      <w:r w:rsidRPr="00634977">
        <w:t xml:space="preserve">, C-550/07. </w:t>
      </w:r>
    </w:p>
    <w:p w:rsidR="00F04479" w:rsidRPr="00634977" w:rsidRDefault="00F04479" w:rsidP="00F04479">
      <w:pPr>
        <w:pStyle w:val="BIBLIOGRAFIE"/>
        <w:numPr>
          <w:ilvl w:val="0"/>
          <w:numId w:val="0"/>
        </w:numPr>
      </w:pPr>
      <w:r w:rsidRPr="00634977">
        <w:t xml:space="preserve">Evropský soudní dvůr: Rozsudek ze dne 15. července 2010, </w:t>
      </w:r>
      <w:r w:rsidRPr="00634977">
        <w:rPr>
          <w:i/>
        </w:rPr>
        <w:t>Komise v Německo</w:t>
      </w:r>
      <w:r w:rsidRPr="00634977">
        <w:t xml:space="preserve">, C-271/08. </w:t>
      </w:r>
    </w:p>
    <w:p w:rsidR="00F04479" w:rsidRPr="00634977" w:rsidRDefault="00F04479" w:rsidP="00F04479">
      <w:pPr>
        <w:pStyle w:val="BIBLIOGRAFIE"/>
        <w:numPr>
          <w:ilvl w:val="0"/>
          <w:numId w:val="0"/>
        </w:numPr>
      </w:pPr>
      <w:r w:rsidRPr="00634977">
        <w:t xml:space="preserve">Evropský soudní dvůr: Rozsudek ze dne 8. září 2010, </w:t>
      </w:r>
      <w:r w:rsidRPr="00634977">
        <w:rPr>
          <w:bCs/>
          <w:i/>
        </w:rPr>
        <w:t>Winner Wetten GmbH</w:t>
      </w:r>
      <w:r w:rsidRPr="00634977">
        <w:rPr>
          <w:i/>
        </w:rPr>
        <w:t xml:space="preserve"> v </w:t>
      </w:r>
      <w:r w:rsidRPr="00634977">
        <w:rPr>
          <w:bCs/>
          <w:i/>
        </w:rPr>
        <w:t>Bürgermeisterin der Stadt Bergheim</w:t>
      </w:r>
      <w:r w:rsidRPr="00634977">
        <w:rPr>
          <w:bCs/>
        </w:rPr>
        <w:t xml:space="preserve">, C-409/06. </w:t>
      </w:r>
    </w:p>
    <w:p w:rsidR="00F04479" w:rsidRPr="00634977" w:rsidRDefault="00F04479" w:rsidP="00F04479">
      <w:pPr>
        <w:pStyle w:val="BIBLIOGRAFIE"/>
        <w:numPr>
          <w:ilvl w:val="0"/>
          <w:numId w:val="0"/>
        </w:numPr>
        <w:rPr>
          <w:bCs/>
        </w:rPr>
      </w:pPr>
      <w:r w:rsidRPr="00634977">
        <w:t>Evropský soudní dvůr: Rozsudek ze dne 9. listopadu 2010,</w:t>
      </w:r>
      <w:r w:rsidRPr="00634977">
        <w:rPr>
          <w:bCs/>
        </w:rPr>
        <w:t xml:space="preserve"> </w:t>
      </w:r>
      <w:r w:rsidRPr="00634977">
        <w:rPr>
          <w:bCs/>
          <w:i/>
        </w:rPr>
        <w:t>Volker und Markus Schecke GbR</w:t>
      </w:r>
      <w:r w:rsidRPr="00634977">
        <w:rPr>
          <w:i/>
        </w:rPr>
        <w:t xml:space="preserve">, </w:t>
      </w:r>
      <w:r w:rsidRPr="00634977">
        <w:rPr>
          <w:bCs/>
          <w:i/>
        </w:rPr>
        <w:t xml:space="preserve">Hartmut Eifert </w:t>
      </w:r>
      <w:r w:rsidRPr="00634977">
        <w:rPr>
          <w:i/>
        </w:rPr>
        <w:t xml:space="preserve">v </w:t>
      </w:r>
      <w:r w:rsidRPr="00634977">
        <w:rPr>
          <w:bCs/>
          <w:i/>
        </w:rPr>
        <w:t>Land Hessen</w:t>
      </w:r>
      <w:r w:rsidRPr="00634977">
        <w:rPr>
          <w:bCs/>
        </w:rPr>
        <w:t xml:space="preserve">, spojené řízení C-92/09 a C-93/09. </w:t>
      </w:r>
    </w:p>
    <w:p w:rsidR="00F04479" w:rsidRPr="00634977" w:rsidRDefault="00F04479" w:rsidP="00F04479">
      <w:pPr>
        <w:pStyle w:val="BIBLIOGRAFIE"/>
        <w:numPr>
          <w:ilvl w:val="0"/>
          <w:numId w:val="0"/>
        </w:numPr>
      </w:pPr>
      <w:r w:rsidRPr="00634977">
        <w:t xml:space="preserve">Evropský soudní dvůr: Rozsudek ze dne 1. března 2011, </w:t>
      </w:r>
      <w:r w:rsidRPr="00634977">
        <w:rPr>
          <w:bCs/>
          <w:i/>
        </w:rPr>
        <w:t>Association belge des Consommateurs Test-Achats ASBL,</w:t>
      </w:r>
      <w:r w:rsidRPr="00634977">
        <w:rPr>
          <w:i/>
        </w:rPr>
        <w:t xml:space="preserve"> </w:t>
      </w:r>
      <w:r w:rsidRPr="00634977">
        <w:rPr>
          <w:bCs/>
          <w:i/>
        </w:rPr>
        <w:t>Yann van Vugt,</w:t>
      </w:r>
      <w:r w:rsidRPr="00634977">
        <w:rPr>
          <w:i/>
        </w:rPr>
        <w:t xml:space="preserve"> </w:t>
      </w:r>
      <w:r w:rsidRPr="00634977">
        <w:rPr>
          <w:bCs/>
          <w:i/>
        </w:rPr>
        <w:t>Charles Basselier</w:t>
      </w:r>
      <w:r w:rsidRPr="00634977">
        <w:rPr>
          <w:i/>
        </w:rPr>
        <w:t xml:space="preserve"> proti </w:t>
      </w:r>
      <w:r w:rsidRPr="00634977">
        <w:rPr>
          <w:bCs/>
          <w:i/>
        </w:rPr>
        <w:t>Conseil des ministres</w:t>
      </w:r>
      <w:r w:rsidRPr="00634977">
        <w:rPr>
          <w:bCs/>
        </w:rPr>
        <w:t>, C-236/09.</w:t>
      </w:r>
    </w:p>
    <w:p w:rsidR="00F04479" w:rsidRPr="00634977" w:rsidRDefault="00F04479" w:rsidP="00F04479">
      <w:pPr>
        <w:pStyle w:val="BIBLIOGRAFIE"/>
        <w:numPr>
          <w:ilvl w:val="0"/>
          <w:numId w:val="0"/>
        </w:numPr>
      </w:pPr>
      <w:r w:rsidRPr="00634977">
        <w:t xml:space="preserve">Evropský soudní dvůr: Rozsudek ze dne 18. března 2010, </w:t>
      </w:r>
      <w:r w:rsidRPr="00634977">
        <w:rPr>
          <w:bCs/>
          <w:i/>
        </w:rPr>
        <w:t xml:space="preserve">Rosalba Alassini </w:t>
      </w:r>
      <w:r w:rsidRPr="00634977">
        <w:rPr>
          <w:i/>
        </w:rPr>
        <w:t xml:space="preserve">v </w:t>
      </w:r>
      <w:r w:rsidRPr="00634977">
        <w:rPr>
          <w:bCs/>
          <w:i/>
        </w:rPr>
        <w:t>Telecom Italia SpA a další</w:t>
      </w:r>
      <w:r w:rsidRPr="00634977">
        <w:rPr>
          <w:bCs/>
        </w:rPr>
        <w:t>, spojené řízení C-317/08, C-318/08, C-319/08 a C-320/08.</w:t>
      </w:r>
    </w:p>
    <w:p w:rsidR="00F04479" w:rsidRPr="00634977" w:rsidRDefault="00F04479" w:rsidP="00F04479">
      <w:pPr>
        <w:pStyle w:val="BIBLIOGRAFIE"/>
        <w:numPr>
          <w:ilvl w:val="0"/>
          <w:numId w:val="0"/>
        </w:numPr>
      </w:pPr>
      <w:r w:rsidRPr="00634977">
        <w:lastRenderedPageBreak/>
        <w:t xml:space="preserve">Evropský soudní dvůr: Rozsudek ze dne 17. prosince 2010, </w:t>
      </w:r>
      <w:r w:rsidRPr="00634977">
        <w:rPr>
          <w:bCs/>
          <w:i/>
        </w:rPr>
        <w:t>Eva Martín Martín</w:t>
      </w:r>
      <w:r w:rsidRPr="00634977">
        <w:rPr>
          <w:i/>
        </w:rPr>
        <w:t xml:space="preserve"> v </w:t>
      </w:r>
      <w:r w:rsidRPr="00634977">
        <w:rPr>
          <w:bCs/>
          <w:i/>
        </w:rPr>
        <w:t>EDP Editores, SL</w:t>
      </w:r>
      <w:r w:rsidRPr="00634977">
        <w:rPr>
          <w:bCs/>
        </w:rPr>
        <w:t xml:space="preserve">, C-227/08. </w:t>
      </w:r>
    </w:p>
    <w:p w:rsidR="00F04479" w:rsidRPr="00634977" w:rsidRDefault="00F04479" w:rsidP="00F04479">
      <w:pPr>
        <w:pStyle w:val="BIBLIOGRAFIE"/>
        <w:numPr>
          <w:ilvl w:val="0"/>
          <w:numId w:val="0"/>
        </w:numPr>
      </w:pPr>
    </w:p>
    <w:p w:rsidR="00F04479" w:rsidRPr="00634977" w:rsidRDefault="00F04479" w:rsidP="00F04479">
      <w:pPr>
        <w:pStyle w:val="NADPIS2"/>
        <w:outlineLvl w:val="0"/>
      </w:pPr>
      <w:bookmarkStart w:id="79" w:name="_Toc291022241"/>
      <w:r w:rsidRPr="00634977">
        <w:t>Judikatura - stanoviska GA</w:t>
      </w:r>
      <w:bookmarkEnd w:id="79"/>
    </w:p>
    <w:p w:rsidR="00F04479" w:rsidRPr="00634977" w:rsidRDefault="00F04479" w:rsidP="00F04479">
      <w:pPr>
        <w:pStyle w:val="BIBLIOGRAFIE"/>
        <w:numPr>
          <w:ilvl w:val="0"/>
          <w:numId w:val="0"/>
        </w:numPr>
      </w:pPr>
      <w:r w:rsidRPr="00634977">
        <w:t xml:space="preserve">Evropský soudní dvůr: Stanovisko GA Yves Bot ze dne 7. prosince 2010, Josebou </w:t>
      </w:r>
      <w:r w:rsidRPr="00634977">
        <w:rPr>
          <w:i/>
        </w:rPr>
        <w:t>Andoni Aguirre Zarraga v Simone Pelz</w:t>
      </w:r>
      <w:r w:rsidRPr="00634977">
        <w:t>, C-491/10.</w:t>
      </w:r>
    </w:p>
    <w:p w:rsidR="00F04479" w:rsidRPr="00634977" w:rsidRDefault="00F04479" w:rsidP="00F04479">
      <w:pPr>
        <w:pStyle w:val="BIBLIOGRAFIE"/>
        <w:numPr>
          <w:ilvl w:val="0"/>
          <w:numId w:val="0"/>
        </w:numPr>
      </w:pPr>
      <w:r w:rsidRPr="00634977">
        <w:t xml:space="preserve">Evropský soudní dvůr: Stanovisko GA Paolo Mengozzi ze dne 1. června 2010, </w:t>
      </w:r>
      <w:r w:rsidRPr="00634977">
        <w:rPr>
          <w:i/>
        </w:rPr>
        <w:t>Spolková republika Německo v B a D</w:t>
      </w:r>
      <w:r w:rsidRPr="00634977">
        <w:t xml:space="preserve">, spojené řízení C-101/09 a C-57/09. </w:t>
      </w:r>
    </w:p>
    <w:p w:rsidR="00F04479" w:rsidRPr="00634977" w:rsidRDefault="00F04479" w:rsidP="00F04479">
      <w:pPr>
        <w:pStyle w:val="BIBLIOGRAFIE"/>
        <w:numPr>
          <w:ilvl w:val="0"/>
          <w:numId w:val="0"/>
        </w:numPr>
      </w:pPr>
      <w:r w:rsidRPr="00634977">
        <w:t>Evropský soudní dvůr: Stanovisko GA Niil Jääskinen ze dne 22. září 2010</w:t>
      </w:r>
      <w:r w:rsidRPr="00634977">
        <w:rPr>
          <w:i/>
        </w:rPr>
        <w:t>, J. McB. v L.E</w:t>
      </w:r>
      <w:r w:rsidRPr="00634977">
        <w:t xml:space="preserve">., C-400/10 PPU. </w:t>
      </w:r>
    </w:p>
    <w:p w:rsidR="00F04479" w:rsidRPr="00634977" w:rsidRDefault="00F04479" w:rsidP="00F04479">
      <w:pPr>
        <w:pStyle w:val="BIBLIOGRAFIE"/>
        <w:numPr>
          <w:ilvl w:val="0"/>
          <w:numId w:val="0"/>
        </w:numPr>
      </w:pPr>
      <w:r w:rsidRPr="00634977">
        <w:t xml:space="preserve">Evropský soudní dvůr: Stanovisko GA Eleanor Sharpston ze dne 10. prosince 2009, </w:t>
      </w:r>
      <w:r w:rsidRPr="00634977">
        <w:rPr>
          <w:i/>
        </w:rPr>
        <w:t>Chakroun v Minister van Buitenlandse Zaken</w:t>
      </w:r>
      <w:r w:rsidRPr="00634977">
        <w:t xml:space="preserve">, C-578/08. </w:t>
      </w:r>
    </w:p>
    <w:p w:rsidR="00F04479" w:rsidRPr="00634977" w:rsidRDefault="00F04479" w:rsidP="00F04479">
      <w:pPr>
        <w:pStyle w:val="BIBLIOGRAFIE"/>
        <w:numPr>
          <w:ilvl w:val="0"/>
          <w:numId w:val="0"/>
        </w:numPr>
      </w:pPr>
      <w:r w:rsidRPr="00634977">
        <w:t xml:space="preserve">Evropský soudní dvůr: Stanovisko GA Yves Bot ze dne 9. prosince 2009, </w:t>
      </w:r>
      <w:r w:rsidRPr="00634977">
        <w:rPr>
          <w:i/>
        </w:rPr>
        <w:t>Jasna Detiček v Maurizio Sgueglia</w:t>
      </w:r>
      <w:r w:rsidRPr="00634977">
        <w:t xml:space="preserve">, C-403/09 PPU. </w:t>
      </w:r>
    </w:p>
    <w:p w:rsidR="00F04479" w:rsidRPr="00634977" w:rsidRDefault="00F04479" w:rsidP="00F04479">
      <w:pPr>
        <w:pStyle w:val="BIBLIOGRAFIE"/>
        <w:numPr>
          <w:ilvl w:val="0"/>
          <w:numId w:val="0"/>
        </w:numPr>
      </w:pPr>
      <w:r w:rsidRPr="00634977">
        <w:t xml:space="preserve">Evropský soudní dvůr: Stanovisko GA Yves Bot ze dne 2. září 2010, </w:t>
      </w:r>
      <w:r w:rsidRPr="00634977">
        <w:rPr>
          <w:i/>
        </w:rPr>
        <w:t>Dita Danosa v LKB Lizings SIA</w:t>
      </w:r>
      <w:r w:rsidRPr="00634977">
        <w:t xml:space="preserve">, C-232/09. </w:t>
      </w:r>
    </w:p>
    <w:p w:rsidR="00F04479" w:rsidRPr="00634977" w:rsidRDefault="00F04479" w:rsidP="00F04479">
      <w:pPr>
        <w:pStyle w:val="BIBLIOGRAFIE"/>
        <w:numPr>
          <w:ilvl w:val="0"/>
          <w:numId w:val="0"/>
        </w:numPr>
      </w:pPr>
      <w:r w:rsidRPr="00634977">
        <w:t xml:space="preserve">Evropský soudní dvůr: Stanovisko GA Juliane Kokott ze dne 7. července 2010, </w:t>
      </w:r>
      <w:r w:rsidRPr="00634977">
        <w:rPr>
          <w:i/>
        </w:rPr>
        <w:t>Zoi Chatzi v Ypourgos Oikonomikon</w:t>
      </w:r>
      <w:r w:rsidRPr="00634977">
        <w:t>, C-149/10.</w:t>
      </w:r>
    </w:p>
    <w:p w:rsidR="00F04479" w:rsidRPr="00634977" w:rsidRDefault="00F04479" w:rsidP="00F04479">
      <w:pPr>
        <w:pStyle w:val="BIBLIOGRAFIE"/>
        <w:numPr>
          <w:ilvl w:val="0"/>
          <w:numId w:val="0"/>
        </w:numPr>
      </w:pPr>
      <w:r w:rsidRPr="00634977">
        <w:t xml:space="preserve">Evropský soudní dvůr: Stanovisko GA Juliane Kokott ze dne 30. září 2010, </w:t>
      </w:r>
      <w:r w:rsidRPr="00634977">
        <w:rPr>
          <w:i/>
        </w:rPr>
        <w:t>Association Belge des consommateurs Test-Achats ASBL, Yann van Vugt, Charles Basselier v Conseil des ministrem</w:t>
      </w:r>
      <w:r w:rsidRPr="00634977">
        <w:t>, C-236/09.</w:t>
      </w:r>
    </w:p>
    <w:p w:rsidR="00F04479" w:rsidRPr="00634977" w:rsidRDefault="00F04479" w:rsidP="00F04479">
      <w:pPr>
        <w:pStyle w:val="BIBLIOGRAFIE"/>
        <w:numPr>
          <w:ilvl w:val="0"/>
          <w:numId w:val="0"/>
        </w:numPr>
      </w:pPr>
      <w:r w:rsidRPr="00634977">
        <w:t xml:space="preserve">Evropský soudní dvůr: Stanovisko GA Juliane Kokott ze dne 16. září 2010, </w:t>
      </w:r>
      <w:r w:rsidRPr="00634977">
        <w:rPr>
          <w:i/>
        </w:rPr>
        <w:t>Pensionsversicherungsanstalt v Christine Kleist</w:t>
      </w:r>
      <w:r w:rsidRPr="00634977">
        <w:t xml:space="preserve">, C-356/09. </w:t>
      </w:r>
    </w:p>
    <w:p w:rsidR="00F04479" w:rsidRPr="00634977" w:rsidRDefault="00F04479" w:rsidP="00F04479">
      <w:pPr>
        <w:pStyle w:val="BIBLIOGRAFIE"/>
        <w:numPr>
          <w:ilvl w:val="0"/>
          <w:numId w:val="0"/>
        </w:numPr>
        <w:rPr>
          <w:bCs/>
        </w:rPr>
      </w:pPr>
      <w:r w:rsidRPr="00634977">
        <w:t>Evropský soudní dvůr: Stanovisko GA Juliane Kokott ze dne 6. května 2010, Ingeniørforeningen i Danmark jménem Ole Andersena</w:t>
      </w:r>
      <w:r w:rsidRPr="00634977">
        <w:rPr>
          <w:bCs/>
          <w:i/>
        </w:rPr>
        <w:t xml:space="preserve"> v Region Syddanmark</w:t>
      </w:r>
      <w:r w:rsidRPr="00634977">
        <w:rPr>
          <w:bCs/>
        </w:rPr>
        <w:t xml:space="preserve">, C-499/08. </w:t>
      </w:r>
    </w:p>
    <w:p w:rsidR="00F04479" w:rsidRPr="00634977" w:rsidRDefault="00F04479" w:rsidP="00F04479">
      <w:pPr>
        <w:pStyle w:val="BIBLIOGRAFIE"/>
        <w:numPr>
          <w:ilvl w:val="0"/>
          <w:numId w:val="0"/>
        </w:numPr>
        <w:rPr>
          <w:bCs/>
        </w:rPr>
      </w:pPr>
      <w:r w:rsidRPr="00634977">
        <w:t xml:space="preserve">Evropský soudní dvůr: Stanovisko GA Yves Bot ze dne 7. září 2010, </w:t>
      </w:r>
      <w:r w:rsidRPr="00634977">
        <w:rPr>
          <w:bCs/>
          <w:i/>
        </w:rPr>
        <w:t>Gaetano Mantello</w:t>
      </w:r>
      <w:r w:rsidRPr="00634977">
        <w:rPr>
          <w:bCs/>
        </w:rPr>
        <w:t xml:space="preserve">, C-261/09. </w:t>
      </w:r>
    </w:p>
    <w:p w:rsidR="00F04479" w:rsidRPr="00634977" w:rsidRDefault="00F04479" w:rsidP="00F04479">
      <w:pPr>
        <w:pStyle w:val="BIBLIOGRAFIE"/>
        <w:numPr>
          <w:ilvl w:val="0"/>
          <w:numId w:val="0"/>
        </w:numPr>
      </w:pPr>
      <w:r w:rsidRPr="00634977">
        <w:t xml:space="preserve">Evropský soudní dvůr: Stanovisko GA Pedra Cruz Villalóna ze dne 6. července 2010, </w:t>
      </w:r>
      <w:r w:rsidRPr="00634977">
        <w:rPr>
          <w:i/>
        </w:rPr>
        <w:t>I. B.</w:t>
      </w:r>
      <w:r w:rsidRPr="00634977">
        <w:t xml:space="preserve">, C-306/09. </w:t>
      </w:r>
    </w:p>
    <w:p w:rsidR="00F04479" w:rsidRPr="00634977" w:rsidRDefault="00F04479" w:rsidP="00F04479">
      <w:pPr>
        <w:pStyle w:val="BIBLIOGRAFIE"/>
        <w:numPr>
          <w:ilvl w:val="0"/>
          <w:numId w:val="0"/>
        </w:numPr>
      </w:pPr>
      <w:r w:rsidRPr="00634977">
        <w:t xml:space="preserve">Evropský soudní dvůr: Stanovisko GA Eleanor Sharpston ze dne 14. října 2010, </w:t>
      </w:r>
      <w:r w:rsidRPr="00634977">
        <w:rPr>
          <w:i/>
        </w:rPr>
        <w:t>Ilonka Sayn-Wittgenstein</w:t>
      </w:r>
      <w:r w:rsidRPr="00634977">
        <w:t xml:space="preserve">, C-208/10. </w:t>
      </w:r>
    </w:p>
    <w:p w:rsidR="00F04479" w:rsidRPr="00634977" w:rsidRDefault="00F04479" w:rsidP="00F04479">
      <w:pPr>
        <w:pStyle w:val="BIBLIOGRAFIE"/>
        <w:numPr>
          <w:ilvl w:val="0"/>
          <w:numId w:val="0"/>
        </w:numPr>
      </w:pPr>
      <w:r w:rsidRPr="00634977">
        <w:t xml:space="preserve">Evropský soudní dvůr: Stanovisko GA Juliane Kokott ze dne 1. července 2010, </w:t>
      </w:r>
      <w:r w:rsidRPr="00634977">
        <w:rPr>
          <w:bCs/>
          <w:i/>
        </w:rPr>
        <w:t>Szombathelyi Város Ügyészség proti Emilu Eredicsovi a Márii Vassné Sápi</w:t>
      </w:r>
      <w:r w:rsidRPr="00634977">
        <w:rPr>
          <w:bCs/>
        </w:rPr>
        <w:t>, C-205/09.</w:t>
      </w:r>
    </w:p>
    <w:p w:rsidR="00F04479" w:rsidRPr="00634977" w:rsidRDefault="00F04479" w:rsidP="00F04479">
      <w:pPr>
        <w:pStyle w:val="BIBLIOGRAFIE"/>
        <w:numPr>
          <w:ilvl w:val="0"/>
          <w:numId w:val="0"/>
        </w:numPr>
      </w:pPr>
      <w:r w:rsidRPr="00634977">
        <w:t xml:space="preserve">Evropský soudní dvůr: Stanovisko GA Juliane Kokott ze dne 25. listopadu 2010, </w:t>
      </w:r>
      <w:r w:rsidRPr="00634977">
        <w:rPr>
          <w:bCs/>
          <w:i/>
        </w:rPr>
        <w:t>Shirley McCarthy v Secretary of State for the Home Department</w:t>
      </w:r>
      <w:r w:rsidRPr="00634977">
        <w:rPr>
          <w:bCs/>
        </w:rPr>
        <w:t xml:space="preserve">, C-434/09. </w:t>
      </w:r>
    </w:p>
    <w:p w:rsidR="00F04479" w:rsidRPr="00634977" w:rsidRDefault="00F04479" w:rsidP="00F04479">
      <w:pPr>
        <w:pStyle w:val="BIBLIOGRAFIE"/>
        <w:numPr>
          <w:ilvl w:val="0"/>
          <w:numId w:val="0"/>
        </w:numPr>
      </w:pPr>
      <w:r w:rsidRPr="00634977">
        <w:t xml:space="preserve">Evropský soudní dvůr: Stanovisko GA Yves Bot ze dne 8. června 2010, </w:t>
      </w:r>
      <w:r w:rsidRPr="00634977">
        <w:rPr>
          <w:bCs/>
          <w:i/>
        </w:rPr>
        <w:t>Land Baden-Württemberg</w:t>
      </w:r>
      <w:r w:rsidRPr="00634977">
        <w:rPr>
          <w:i/>
        </w:rPr>
        <w:t xml:space="preserve"> v </w:t>
      </w:r>
      <w:r w:rsidRPr="00634977">
        <w:rPr>
          <w:bCs/>
          <w:i/>
        </w:rPr>
        <w:t>Panagiotis Tsakouridis</w:t>
      </w:r>
      <w:r w:rsidRPr="00634977">
        <w:rPr>
          <w:bCs/>
        </w:rPr>
        <w:t xml:space="preserve">, C-145/09. </w:t>
      </w:r>
    </w:p>
    <w:p w:rsidR="00F04479" w:rsidRPr="00634977" w:rsidRDefault="00F04479" w:rsidP="00F04479">
      <w:pPr>
        <w:pStyle w:val="BIBLIOGRAFIE"/>
        <w:numPr>
          <w:ilvl w:val="0"/>
          <w:numId w:val="0"/>
        </w:numPr>
      </w:pPr>
      <w:r w:rsidRPr="00634977">
        <w:lastRenderedPageBreak/>
        <w:t xml:space="preserve">Evropský soudní dvůr: Stanovisko GA Eleanor Sharpston ze dne 30. září 2009, </w:t>
      </w:r>
      <w:r w:rsidRPr="00634977">
        <w:rPr>
          <w:bCs/>
          <w:i/>
        </w:rPr>
        <w:t>Gerardo Ruiz Zambrano v Office national de l’emploi (ONEM)</w:t>
      </w:r>
      <w:r w:rsidRPr="00634977">
        <w:rPr>
          <w:bCs/>
        </w:rPr>
        <w:t xml:space="preserve">, C-34/09. </w:t>
      </w:r>
    </w:p>
    <w:p w:rsidR="00F04479" w:rsidRPr="00634977" w:rsidRDefault="00F04479" w:rsidP="00F04479">
      <w:pPr>
        <w:pStyle w:val="BIBLIOGRAFIE"/>
        <w:numPr>
          <w:ilvl w:val="0"/>
          <w:numId w:val="0"/>
        </w:numPr>
        <w:rPr>
          <w:bCs/>
        </w:rPr>
      </w:pPr>
      <w:r w:rsidRPr="00634977">
        <w:t xml:space="preserve">Evropský soudní dvůr: Stanovisko GA Paolo Mengozzi ze dne 2. září 2010, </w:t>
      </w:r>
      <w:r w:rsidRPr="00634977">
        <w:rPr>
          <w:bCs/>
          <w:i/>
        </w:rPr>
        <w:t>DEB Deutsche Energiehandels- und Beratungsgesellschaft GmbH v SRN</w:t>
      </w:r>
      <w:r w:rsidRPr="00634977">
        <w:rPr>
          <w:bCs/>
        </w:rPr>
        <w:t>, C-279/09.</w:t>
      </w:r>
    </w:p>
    <w:p w:rsidR="00F04479" w:rsidRPr="00634977" w:rsidRDefault="00F04479" w:rsidP="00F04479">
      <w:pPr>
        <w:pStyle w:val="BIBLIOGRAFIE"/>
        <w:numPr>
          <w:ilvl w:val="0"/>
          <w:numId w:val="0"/>
        </w:numPr>
      </w:pPr>
      <w:r w:rsidRPr="00634977">
        <w:t xml:space="preserve">Evropský soudní dvůr: Stanovisko GA Cruz Villalón ze dne 14. září 2010, </w:t>
      </w:r>
      <w:r w:rsidRPr="00634977">
        <w:rPr>
          <w:i/>
        </w:rPr>
        <w:t>Komise v Belgie, Francie, Lucembursko, Rakousko, Německo a Řecko</w:t>
      </w:r>
      <w:r w:rsidRPr="00634977">
        <w:t>, spojené řízení C-47/09, C-50/08, C-51/08, C-53/08, C-54/08, C-61/08.</w:t>
      </w:r>
    </w:p>
    <w:p w:rsidR="00F04479" w:rsidRPr="00634977" w:rsidRDefault="00F04479" w:rsidP="00F04479">
      <w:pPr>
        <w:pStyle w:val="BIBLIOGRAFIE"/>
        <w:numPr>
          <w:ilvl w:val="0"/>
          <w:numId w:val="0"/>
        </w:numPr>
      </w:pPr>
      <w:r w:rsidRPr="00634977">
        <w:t xml:space="preserve">Evropský soudní dvůr: Stanovisko GA Paolo Mengozzi ze dne 2. prosince 2009, </w:t>
      </w:r>
      <w:r w:rsidRPr="00634977">
        <w:rPr>
          <w:i/>
        </w:rPr>
        <w:t>Komise v Portugalsko</w:t>
      </w:r>
      <w:r w:rsidRPr="00634977">
        <w:t xml:space="preserve">, C-171/08. </w:t>
      </w:r>
    </w:p>
    <w:p w:rsidR="00F04479" w:rsidRPr="00634977" w:rsidRDefault="00F04479" w:rsidP="00F04479">
      <w:pPr>
        <w:pStyle w:val="BIBLIOGRAFIE"/>
        <w:numPr>
          <w:ilvl w:val="0"/>
          <w:numId w:val="0"/>
        </w:numPr>
      </w:pPr>
      <w:r w:rsidRPr="00634977">
        <w:t xml:space="preserve">Evropský soudní dvůr: Stanovisko GA Jána Mazáka ze dne 16. prosince 2010, </w:t>
      </w:r>
      <w:r w:rsidRPr="00634977">
        <w:rPr>
          <w:i/>
        </w:rPr>
        <w:t>Pfleiderer AG v Bundeskartellamt</w:t>
      </w:r>
      <w:r w:rsidRPr="00634977">
        <w:t xml:space="preserve">, C-360/09. </w:t>
      </w:r>
    </w:p>
    <w:p w:rsidR="00F04479" w:rsidRPr="00634977" w:rsidRDefault="00F04479" w:rsidP="00F04479">
      <w:pPr>
        <w:pStyle w:val="BIBLIOGRAFIE"/>
        <w:numPr>
          <w:ilvl w:val="0"/>
          <w:numId w:val="0"/>
        </w:numPr>
      </w:pPr>
      <w:r w:rsidRPr="00634977">
        <w:t xml:space="preserve">Evropský soudní dvůr: Stanovisko GA Juliane Kokott ze dne 29. dubna 2010, </w:t>
      </w:r>
      <w:r w:rsidRPr="00634977">
        <w:rPr>
          <w:i/>
        </w:rPr>
        <w:t>Akzo Nobel Chemicals and Akcros Chemicals v Komise</w:t>
      </w:r>
      <w:r w:rsidRPr="00634977">
        <w:t xml:space="preserve">, C-550/07. </w:t>
      </w:r>
    </w:p>
    <w:p w:rsidR="00F04479" w:rsidRPr="00634977" w:rsidRDefault="00F04479" w:rsidP="00F04479">
      <w:pPr>
        <w:pStyle w:val="BIBLIOGRAFIE"/>
        <w:numPr>
          <w:ilvl w:val="0"/>
          <w:numId w:val="0"/>
        </w:numPr>
      </w:pPr>
      <w:r w:rsidRPr="00634977">
        <w:t xml:space="preserve">Evropský soudní dvůr: Stanovisko GA Verici Trstenjak ze dne 14. dubna 2010, </w:t>
      </w:r>
      <w:r w:rsidRPr="00634977">
        <w:rPr>
          <w:i/>
        </w:rPr>
        <w:t>Komise v Německo</w:t>
      </w:r>
      <w:r w:rsidRPr="00634977">
        <w:t xml:space="preserve">, C-271/08. </w:t>
      </w:r>
    </w:p>
    <w:p w:rsidR="00F04479" w:rsidRPr="00634977" w:rsidRDefault="00F04479" w:rsidP="00F04479">
      <w:pPr>
        <w:pStyle w:val="BIBLIOGRAFIE"/>
        <w:numPr>
          <w:ilvl w:val="0"/>
          <w:numId w:val="0"/>
        </w:numPr>
        <w:rPr>
          <w:bCs/>
        </w:rPr>
      </w:pPr>
      <w:r w:rsidRPr="00634977">
        <w:t xml:space="preserve">Evropský soudní dvůr: Rozsudek Stanovisko GA Yves Bot ze dne 26. ledna 2010, </w:t>
      </w:r>
      <w:r w:rsidRPr="00634977">
        <w:rPr>
          <w:bCs/>
          <w:i/>
        </w:rPr>
        <w:t>Winner Wetten GmbH</w:t>
      </w:r>
      <w:r w:rsidRPr="00634977">
        <w:rPr>
          <w:i/>
        </w:rPr>
        <w:t xml:space="preserve"> v </w:t>
      </w:r>
      <w:r w:rsidRPr="00634977">
        <w:rPr>
          <w:bCs/>
          <w:i/>
        </w:rPr>
        <w:t>Bürgermeisterin der Stadt Bergheim</w:t>
      </w:r>
      <w:r w:rsidRPr="00634977">
        <w:rPr>
          <w:bCs/>
        </w:rPr>
        <w:t xml:space="preserve">, C-409/06. </w:t>
      </w:r>
    </w:p>
    <w:p w:rsidR="00F04479" w:rsidRPr="00634977" w:rsidRDefault="00F04479" w:rsidP="00F04479">
      <w:pPr>
        <w:pStyle w:val="BIBLIOGRAFIE"/>
        <w:numPr>
          <w:ilvl w:val="0"/>
          <w:numId w:val="0"/>
        </w:numPr>
      </w:pPr>
      <w:r w:rsidRPr="00634977">
        <w:t xml:space="preserve">Evropský soudní dvůr: Stanovisko GA Pedra Cruz Villalóna ze dne 5. května 2010, </w:t>
      </w:r>
      <w:r w:rsidRPr="00634977">
        <w:rPr>
          <w:i/>
        </w:rPr>
        <w:t>Santos Palhota a další</w:t>
      </w:r>
      <w:r w:rsidRPr="00634977">
        <w:t xml:space="preserve">, C-515/08. </w:t>
      </w:r>
    </w:p>
    <w:p w:rsidR="00F04479" w:rsidRPr="00634977" w:rsidRDefault="00F04479" w:rsidP="00F04479">
      <w:pPr>
        <w:pStyle w:val="BIBLIOGRAFIE"/>
        <w:numPr>
          <w:ilvl w:val="0"/>
          <w:numId w:val="0"/>
        </w:numPr>
      </w:pPr>
      <w:r w:rsidRPr="00634977">
        <w:t xml:space="preserve">Evropský soudní dvůr: Stanovisko GA Eleanor Sharspton ze dne 22. dubna 2010, </w:t>
      </w:r>
      <w:r w:rsidRPr="00634977">
        <w:rPr>
          <w:i/>
        </w:rPr>
        <w:t>Komise v Litva</w:t>
      </w:r>
      <w:r w:rsidRPr="00634977">
        <w:t>, C-350/08.</w:t>
      </w:r>
    </w:p>
    <w:p w:rsidR="00F04479" w:rsidRPr="00634977" w:rsidRDefault="00F04479" w:rsidP="00F04479">
      <w:pPr>
        <w:pStyle w:val="BIBLIOGRAFIE"/>
        <w:numPr>
          <w:ilvl w:val="0"/>
          <w:numId w:val="0"/>
        </w:numPr>
      </w:pPr>
      <w:r w:rsidRPr="00634977">
        <w:t xml:space="preserve">Evropský soudní dvůr: Stanovisko GA Eleanor Sharpston ze dne 3. února 2011, </w:t>
      </w:r>
      <w:r w:rsidRPr="00634977">
        <w:rPr>
          <w:bCs/>
          <w:i/>
        </w:rPr>
        <w:t>Budějovický Budvar, národní podnik v Anheuser-Busch, Inc</w:t>
      </w:r>
      <w:r w:rsidRPr="00634977">
        <w:rPr>
          <w:bCs/>
        </w:rPr>
        <w:t xml:space="preserve">., C-482/09. </w:t>
      </w:r>
    </w:p>
    <w:p w:rsidR="00F04479" w:rsidRPr="00634977" w:rsidRDefault="00F04479" w:rsidP="00F04479">
      <w:pPr>
        <w:pStyle w:val="BIBLIOGRAFIE"/>
        <w:numPr>
          <w:ilvl w:val="0"/>
          <w:numId w:val="0"/>
        </w:numPr>
        <w:rPr>
          <w:bCs/>
        </w:rPr>
      </w:pPr>
      <w:r w:rsidRPr="00634977">
        <w:t>Evropský soudní dvůr: Stanovisko GA Eleanor Sharpston ze dne 17. června 2010,</w:t>
      </w:r>
      <w:r w:rsidRPr="00634977">
        <w:rPr>
          <w:bCs/>
        </w:rPr>
        <w:t xml:space="preserve"> </w:t>
      </w:r>
      <w:r w:rsidRPr="00634977">
        <w:rPr>
          <w:bCs/>
          <w:i/>
        </w:rPr>
        <w:t>Volker und Markus Schecke GbR</w:t>
      </w:r>
      <w:r w:rsidRPr="00634977">
        <w:rPr>
          <w:i/>
        </w:rPr>
        <w:t xml:space="preserve">, </w:t>
      </w:r>
      <w:r w:rsidRPr="00634977">
        <w:rPr>
          <w:bCs/>
          <w:i/>
        </w:rPr>
        <w:t xml:space="preserve">Hartmut Eifert </w:t>
      </w:r>
      <w:r w:rsidRPr="00634977">
        <w:rPr>
          <w:i/>
        </w:rPr>
        <w:t xml:space="preserve">v </w:t>
      </w:r>
      <w:r w:rsidRPr="00634977">
        <w:rPr>
          <w:bCs/>
          <w:i/>
        </w:rPr>
        <w:t>Land Hessen</w:t>
      </w:r>
      <w:r w:rsidRPr="00634977">
        <w:rPr>
          <w:bCs/>
        </w:rPr>
        <w:t xml:space="preserve">, spojené řízení C-92/09 a C-93/09. </w:t>
      </w:r>
    </w:p>
    <w:p w:rsidR="00F04479" w:rsidRPr="00634977" w:rsidRDefault="00F04479" w:rsidP="00F04479">
      <w:pPr>
        <w:pStyle w:val="BIBLIOGRAFIE"/>
        <w:numPr>
          <w:ilvl w:val="0"/>
          <w:numId w:val="0"/>
        </w:numPr>
      </w:pPr>
      <w:r w:rsidRPr="00634977">
        <w:t xml:space="preserve">Evropský soudní dvůr: Stanovisko GA Paolo Mengozzi ze dne 17. května 2010, </w:t>
      </w:r>
      <w:r w:rsidRPr="00634977">
        <w:rPr>
          <w:bCs/>
          <w:i/>
        </w:rPr>
        <w:t>Der Generalbundesanwalt beim Bundesgerichtshof v E, F</w:t>
      </w:r>
      <w:r w:rsidRPr="00634977">
        <w:rPr>
          <w:bCs/>
        </w:rPr>
        <w:t xml:space="preserve">, C-550/09. </w:t>
      </w:r>
    </w:p>
    <w:p w:rsidR="00F04479" w:rsidRPr="00634977" w:rsidRDefault="00F04479" w:rsidP="00F04479">
      <w:pPr>
        <w:pStyle w:val="BIBLIOGRAFIE"/>
        <w:numPr>
          <w:ilvl w:val="0"/>
          <w:numId w:val="0"/>
        </w:numPr>
        <w:rPr>
          <w:bCs/>
        </w:rPr>
      </w:pPr>
      <w:r w:rsidRPr="00634977">
        <w:t xml:space="preserve">Evropský soudní dvůr: Stanovisko GA Paolo Mengozzi ze dne 27. ledna 2011, </w:t>
      </w:r>
      <w:r w:rsidRPr="00634977">
        <w:rPr>
          <w:bCs/>
          <w:i/>
        </w:rPr>
        <w:t>Evropaïki Dynamiki - Proigmena Systimata Tilepikoinonion Pliroforikis kai Tilematikis AE v European Central Bank</w:t>
      </w:r>
      <w:r w:rsidRPr="00634977">
        <w:rPr>
          <w:bCs/>
        </w:rPr>
        <w:t>, C-401/09.</w:t>
      </w:r>
    </w:p>
    <w:p w:rsidR="00F04479" w:rsidRPr="00634977" w:rsidRDefault="00F04479" w:rsidP="00F04479">
      <w:pPr>
        <w:pStyle w:val="BIBLIOGRAFIE"/>
        <w:numPr>
          <w:ilvl w:val="0"/>
          <w:numId w:val="0"/>
        </w:numPr>
      </w:pPr>
      <w:r w:rsidRPr="00634977">
        <w:t xml:space="preserve">Evropský soudní dvůr: Stanovisko GA Verici Trstenjak ze dne 2. června 2010, </w:t>
      </w:r>
      <w:r w:rsidRPr="00634977">
        <w:rPr>
          <w:bCs/>
          <w:i/>
        </w:rPr>
        <w:t>Idrima Tipou A.E. v Ipourgos Tipou Kai Meson Mazikis Enimerosis</w:t>
      </w:r>
      <w:r w:rsidRPr="00634977">
        <w:rPr>
          <w:bCs/>
        </w:rPr>
        <w:t xml:space="preserve">, C-81/09. </w:t>
      </w:r>
    </w:p>
    <w:p w:rsidR="00F04479" w:rsidRPr="00634977" w:rsidRDefault="00F04479" w:rsidP="00F04479">
      <w:pPr>
        <w:pStyle w:val="BIBLIOGRAFIE"/>
        <w:numPr>
          <w:ilvl w:val="0"/>
          <w:numId w:val="0"/>
        </w:numPr>
      </w:pPr>
      <w:r w:rsidRPr="00634977">
        <w:t xml:space="preserve">Evropský soudní dvůr: Stanovisko GA Pedra Cruz Villalóna ze dne 1. června 2010, </w:t>
      </w:r>
      <w:r w:rsidRPr="00634977">
        <w:rPr>
          <w:bCs/>
          <w:i/>
        </w:rPr>
        <w:t>Simvoulio Apokhetevseon Lefkosias v Anatheoritiki Arkhi Prosforon</w:t>
      </w:r>
      <w:r w:rsidRPr="00634977">
        <w:rPr>
          <w:bCs/>
        </w:rPr>
        <w:t xml:space="preserve">, C-570/08. </w:t>
      </w:r>
    </w:p>
    <w:p w:rsidR="00F04479" w:rsidRPr="00634977" w:rsidRDefault="00F04479" w:rsidP="00F04479">
      <w:pPr>
        <w:pStyle w:val="BIBLIOGRAFIE"/>
        <w:numPr>
          <w:ilvl w:val="0"/>
          <w:numId w:val="0"/>
        </w:numPr>
      </w:pPr>
      <w:r w:rsidRPr="00634977">
        <w:t xml:space="preserve">Evropský soudní dvůr: Stanovisko GA Juliane Kokott ze dne 14. října 2010, </w:t>
      </w:r>
      <w:r w:rsidRPr="00634977">
        <w:rPr>
          <w:bCs/>
          <w:i/>
        </w:rPr>
        <w:t>Ville de Lyon v Caisse des dépôts et consignations</w:t>
      </w:r>
      <w:r w:rsidRPr="00634977">
        <w:rPr>
          <w:bCs/>
        </w:rPr>
        <w:t xml:space="preserve">, C-524/09. </w:t>
      </w:r>
    </w:p>
    <w:p w:rsidR="00F04479" w:rsidRPr="00634977" w:rsidRDefault="00F04479" w:rsidP="00F04479">
      <w:pPr>
        <w:pStyle w:val="BIBLIOGRAFIE"/>
        <w:numPr>
          <w:ilvl w:val="0"/>
          <w:numId w:val="0"/>
        </w:numPr>
      </w:pPr>
      <w:r w:rsidRPr="00634977">
        <w:t xml:space="preserve">Evropský soudní dvůr: Stanovisko GA Juliane Kokott ze dne 28. ledna 2010, </w:t>
      </w:r>
      <w:r w:rsidRPr="00634977">
        <w:rPr>
          <w:i/>
        </w:rPr>
        <w:t>Komise v Lucembursko</w:t>
      </w:r>
      <w:r w:rsidRPr="00634977">
        <w:t xml:space="preserve">, C-526/08. </w:t>
      </w:r>
    </w:p>
    <w:p w:rsidR="00F04479" w:rsidRPr="00634977" w:rsidRDefault="00F04479" w:rsidP="00F04479">
      <w:pPr>
        <w:pStyle w:val="BIBLIOGRAFIE"/>
        <w:numPr>
          <w:ilvl w:val="0"/>
          <w:numId w:val="0"/>
        </w:numPr>
      </w:pPr>
      <w:r w:rsidRPr="00634977">
        <w:lastRenderedPageBreak/>
        <w:t xml:space="preserve">Evropský soudní dvůr: Stanovisko GA Juliane Kokott ze dne 10. prosince 2009, </w:t>
      </w:r>
      <w:r w:rsidRPr="00634977">
        <w:rPr>
          <w:i/>
        </w:rPr>
        <w:t>Komise v Španělsko</w:t>
      </w:r>
      <w:r w:rsidRPr="00634977">
        <w:t xml:space="preserve">, C-392/08. </w:t>
      </w:r>
    </w:p>
    <w:p w:rsidR="00F04479" w:rsidRPr="00634977" w:rsidRDefault="00F04479" w:rsidP="00F04479">
      <w:pPr>
        <w:pStyle w:val="BIBLIOGRAFIE"/>
        <w:numPr>
          <w:ilvl w:val="0"/>
          <w:numId w:val="0"/>
        </w:numPr>
      </w:pPr>
      <w:r w:rsidRPr="00634977">
        <w:t xml:space="preserve">Evropský soudní dvůr: Stanovisko GA </w:t>
      </w:r>
      <w:r w:rsidRPr="00634977">
        <w:rPr>
          <w:bCs/>
        </w:rPr>
        <w:t xml:space="preserve">Niilo Jääskinen ze dne 9. prosince 2010, </w:t>
      </w:r>
      <w:r w:rsidRPr="00634977">
        <w:rPr>
          <w:bCs/>
          <w:i/>
        </w:rPr>
        <w:t>L’Oréal SA Lancôme parfums et beauté &amp; Cie Laboratoire Garnier &amp; Cie L’Oréal (UK) Limited v eBay International AG eBay Europe SARL eBay (UK) Limited</w:t>
      </w:r>
      <w:r w:rsidRPr="00634977">
        <w:rPr>
          <w:bCs/>
        </w:rPr>
        <w:t xml:space="preserve">, C-324/09. </w:t>
      </w:r>
    </w:p>
    <w:p w:rsidR="00F04479" w:rsidRPr="00634977" w:rsidRDefault="00F04479" w:rsidP="00F04479">
      <w:pPr>
        <w:ind w:firstLine="0"/>
      </w:pPr>
    </w:p>
    <w:p w:rsidR="00F04479" w:rsidRPr="00634977" w:rsidRDefault="00F04479" w:rsidP="00F04479">
      <w:pPr>
        <w:pStyle w:val="NADPIS2"/>
        <w:outlineLvl w:val="0"/>
      </w:pPr>
      <w:bookmarkStart w:id="80" w:name="_Toc291022242"/>
      <w:r w:rsidRPr="00634977">
        <w:t>Judikatura – Tribunál</w:t>
      </w:r>
      <w:bookmarkEnd w:id="80"/>
    </w:p>
    <w:p w:rsidR="00F04479" w:rsidRPr="00634977" w:rsidRDefault="00F04479" w:rsidP="00F04479">
      <w:pPr>
        <w:pStyle w:val="BIBLIOGRAFIE"/>
        <w:numPr>
          <w:ilvl w:val="0"/>
          <w:numId w:val="0"/>
        </w:numPr>
      </w:pPr>
      <w:r w:rsidRPr="00634977">
        <w:t xml:space="preserve">Tribunál: Rozsudek ze dne 7. prosince 2010, </w:t>
      </w:r>
      <w:r w:rsidRPr="00634977">
        <w:rPr>
          <w:i/>
        </w:rPr>
        <w:t>Sofiane Fahas v Rada</w:t>
      </w:r>
      <w:r w:rsidRPr="00634977">
        <w:t>, T-49/07.</w:t>
      </w:r>
    </w:p>
    <w:p w:rsidR="00F04479" w:rsidRPr="00634977" w:rsidRDefault="00F04479" w:rsidP="00F04479">
      <w:pPr>
        <w:pStyle w:val="BIBLIOGRAFIE"/>
        <w:numPr>
          <w:ilvl w:val="0"/>
          <w:numId w:val="0"/>
        </w:numPr>
      </w:pPr>
      <w:r w:rsidRPr="00634977">
        <w:t xml:space="preserve">Tribunál: Rozsudek ze dne 7. července 2010, </w:t>
      </w:r>
      <w:r w:rsidRPr="00634977">
        <w:rPr>
          <w:i/>
        </w:rPr>
        <w:t>Agrofert Holding a.s. v Komise</w:t>
      </w:r>
      <w:r w:rsidRPr="00634977">
        <w:t>, T-111/07.</w:t>
      </w:r>
    </w:p>
    <w:p w:rsidR="00F04479" w:rsidRPr="00634977" w:rsidRDefault="00F04479" w:rsidP="00F04479">
      <w:pPr>
        <w:pStyle w:val="BIBLIOGRAFIE"/>
        <w:numPr>
          <w:ilvl w:val="0"/>
          <w:numId w:val="0"/>
        </w:numPr>
      </w:pPr>
      <w:r w:rsidRPr="00634977">
        <w:t xml:space="preserve">Tribunál: Rozsudek ze dne 19. května 2010, </w:t>
      </w:r>
      <w:r w:rsidRPr="00634977">
        <w:rPr>
          <w:i/>
        </w:rPr>
        <w:t>Pye Phyo Tay Za v Rada</w:t>
      </w:r>
      <w:r w:rsidRPr="00634977">
        <w:t>, T-181/08.</w:t>
      </w:r>
    </w:p>
    <w:p w:rsidR="00041498" w:rsidRPr="00634977" w:rsidRDefault="00041498" w:rsidP="004E71F9">
      <w:pPr>
        <w:pStyle w:val="BIBLIOGRAFIE"/>
        <w:numPr>
          <w:ilvl w:val="0"/>
          <w:numId w:val="0"/>
        </w:numPr>
      </w:pPr>
    </w:p>
    <w:p w:rsidR="00041498" w:rsidRPr="00634977" w:rsidRDefault="00041498">
      <w:pPr>
        <w:spacing w:line="240" w:lineRule="auto"/>
        <w:ind w:firstLine="0"/>
        <w:jc w:val="left"/>
        <w:rPr>
          <w:szCs w:val="24"/>
        </w:rPr>
      </w:pPr>
      <w:r w:rsidRPr="00634977">
        <w:br w:type="page"/>
      </w:r>
    </w:p>
    <w:p w:rsidR="000C2A5A" w:rsidRPr="00634977" w:rsidRDefault="002655AC" w:rsidP="000C2A5A">
      <w:pPr>
        <w:pStyle w:val="NADPIS1"/>
      </w:pPr>
      <w:bookmarkStart w:id="81" w:name="_Toc291022243"/>
      <w:bookmarkStart w:id="82" w:name="_Toc288488685"/>
      <w:bookmarkStart w:id="83" w:name="_Toc288490398"/>
      <w:bookmarkStart w:id="84" w:name="_Toc288491623"/>
      <w:r w:rsidRPr="00634977">
        <w:lastRenderedPageBreak/>
        <w:t>Další</w:t>
      </w:r>
      <w:bookmarkEnd w:id="81"/>
    </w:p>
    <w:p w:rsidR="0017379F" w:rsidRPr="00634977" w:rsidRDefault="0017379F" w:rsidP="000C2A5A">
      <w:pPr>
        <w:pStyle w:val="NADPIS2"/>
      </w:pPr>
      <w:bookmarkStart w:id="85" w:name="_Toc291022244"/>
      <w:r w:rsidRPr="00634977">
        <w:t>Seznam použitých zkratek</w:t>
      </w:r>
      <w:bookmarkEnd w:id="85"/>
    </w:p>
    <w:p w:rsidR="0017379F" w:rsidRPr="00634977" w:rsidRDefault="0017379F" w:rsidP="0017379F">
      <w:pPr>
        <w:ind w:firstLine="0"/>
      </w:pPr>
    </w:p>
    <w:p w:rsidR="0017379F" w:rsidRPr="00634977" w:rsidRDefault="0017379F" w:rsidP="000C2A5A">
      <w:pPr>
        <w:tabs>
          <w:tab w:val="left" w:pos="1134"/>
        </w:tabs>
        <w:ind w:firstLine="0"/>
      </w:pPr>
      <w:r w:rsidRPr="00634977">
        <w:t>AJ</w:t>
      </w:r>
      <w:r w:rsidRPr="00634977">
        <w:tab/>
        <w:t>anglický jazyk</w:t>
      </w:r>
    </w:p>
    <w:p w:rsidR="0017379F" w:rsidRPr="00634977" w:rsidRDefault="0017379F" w:rsidP="000C2A5A">
      <w:pPr>
        <w:tabs>
          <w:tab w:val="left" w:pos="1134"/>
        </w:tabs>
        <w:ind w:firstLine="0"/>
      </w:pPr>
      <w:r w:rsidRPr="00634977">
        <w:t>ČJ</w:t>
      </w:r>
      <w:r w:rsidRPr="00634977">
        <w:tab/>
        <w:t>český jazyk</w:t>
      </w:r>
    </w:p>
    <w:p w:rsidR="0017379F" w:rsidRPr="00634977" w:rsidRDefault="0017379F" w:rsidP="000C2A5A">
      <w:pPr>
        <w:tabs>
          <w:tab w:val="left" w:pos="1134"/>
        </w:tabs>
        <w:ind w:firstLine="0"/>
      </w:pPr>
      <w:r w:rsidRPr="00634977">
        <w:t>EK</w:t>
      </w:r>
      <w:r w:rsidRPr="00634977">
        <w:tab/>
        <w:t>Evropská komise</w:t>
      </w:r>
    </w:p>
    <w:p w:rsidR="0017379F" w:rsidRPr="00634977" w:rsidRDefault="0017379F" w:rsidP="000C2A5A">
      <w:pPr>
        <w:tabs>
          <w:tab w:val="left" w:pos="1134"/>
        </w:tabs>
        <w:ind w:firstLine="0"/>
      </w:pPr>
      <w:r w:rsidRPr="00634977">
        <w:t>EU</w:t>
      </w:r>
      <w:r w:rsidRPr="00634977">
        <w:tab/>
        <w:t>Evropská unie</w:t>
      </w:r>
    </w:p>
    <w:p w:rsidR="0017379F" w:rsidRPr="00634977" w:rsidRDefault="0017379F" w:rsidP="000C2A5A">
      <w:pPr>
        <w:tabs>
          <w:tab w:val="left" w:pos="1134"/>
        </w:tabs>
        <w:ind w:firstLine="0"/>
      </w:pPr>
      <w:r w:rsidRPr="00634977">
        <w:t>ESD</w:t>
      </w:r>
      <w:r w:rsidRPr="00634977">
        <w:tab/>
        <w:t>Evropský soudní dvůr v Lucemburku</w:t>
      </w:r>
    </w:p>
    <w:p w:rsidR="0017379F" w:rsidRPr="00634977" w:rsidRDefault="0017379F" w:rsidP="000C2A5A">
      <w:pPr>
        <w:tabs>
          <w:tab w:val="left" w:pos="1134"/>
        </w:tabs>
        <w:ind w:firstLine="0"/>
      </w:pPr>
      <w:r w:rsidRPr="00634977">
        <w:t>GA</w:t>
      </w:r>
      <w:r w:rsidRPr="00634977">
        <w:tab/>
        <w:t>Generální advokát/ advokátka/ advokáti</w:t>
      </w:r>
    </w:p>
    <w:p w:rsidR="0017379F" w:rsidRPr="00634977" w:rsidRDefault="0017379F" w:rsidP="000C2A5A">
      <w:pPr>
        <w:tabs>
          <w:tab w:val="left" w:pos="1134"/>
        </w:tabs>
        <w:ind w:firstLine="0"/>
      </w:pPr>
      <w:r w:rsidRPr="00634977">
        <w:t>Listina</w:t>
      </w:r>
      <w:r w:rsidRPr="00634977">
        <w:tab/>
        <w:t>Listina základních práv Evropské unie</w:t>
      </w:r>
    </w:p>
    <w:p w:rsidR="0017379F" w:rsidRPr="00634977" w:rsidRDefault="0017379F" w:rsidP="000C2A5A">
      <w:pPr>
        <w:tabs>
          <w:tab w:val="left" w:pos="1134"/>
        </w:tabs>
        <w:ind w:firstLine="0"/>
      </w:pPr>
      <w:r w:rsidRPr="00634977">
        <w:t>Úmluva</w:t>
      </w:r>
      <w:r w:rsidRPr="00634977">
        <w:tab/>
        <w:t>Úmluva o ochraně lidských práv a základních svobod</w:t>
      </w:r>
    </w:p>
    <w:p w:rsidR="0017379F" w:rsidRPr="00634977" w:rsidRDefault="0017379F" w:rsidP="000C2A5A">
      <w:pPr>
        <w:tabs>
          <w:tab w:val="left" w:pos="1134"/>
        </w:tabs>
        <w:ind w:firstLine="0"/>
      </w:pPr>
      <w:r w:rsidRPr="00634977">
        <w:t>Rada</w:t>
      </w:r>
      <w:r w:rsidRPr="00634977">
        <w:tab/>
        <w:t>Rada Evropské unie neboli Rada ministrů</w:t>
      </w:r>
    </w:p>
    <w:p w:rsidR="0017379F" w:rsidRPr="00634977" w:rsidRDefault="0017379F" w:rsidP="000C2A5A">
      <w:pPr>
        <w:tabs>
          <w:tab w:val="left" w:pos="1134"/>
        </w:tabs>
        <w:ind w:firstLine="0"/>
      </w:pPr>
      <w:r w:rsidRPr="00634977">
        <w:t>SEU</w:t>
      </w:r>
      <w:r w:rsidRPr="00634977">
        <w:tab/>
        <w:t>Smlouva o Evropské unii</w:t>
      </w:r>
    </w:p>
    <w:p w:rsidR="0017379F" w:rsidRPr="00634977" w:rsidRDefault="0017379F" w:rsidP="000C2A5A">
      <w:pPr>
        <w:tabs>
          <w:tab w:val="left" w:pos="1134"/>
        </w:tabs>
        <w:ind w:firstLine="0"/>
      </w:pPr>
      <w:r w:rsidRPr="00634977">
        <w:t>SFEU</w:t>
      </w:r>
      <w:r w:rsidRPr="00634977">
        <w:tab/>
        <w:t>Smlouva o fungování Evropské unie</w:t>
      </w:r>
    </w:p>
    <w:p w:rsidR="0017379F" w:rsidRPr="00634977" w:rsidRDefault="0017379F" w:rsidP="0017379F">
      <w:pPr>
        <w:ind w:firstLine="0"/>
      </w:pPr>
    </w:p>
    <w:p w:rsidR="0017379F" w:rsidRPr="00634977" w:rsidRDefault="0017379F">
      <w:pPr>
        <w:spacing w:line="240" w:lineRule="auto"/>
        <w:ind w:firstLine="0"/>
        <w:jc w:val="left"/>
      </w:pPr>
    </w:p>
    <w:p w:rsidR="0017379F" w:rsidRPr="00634977" w:rsidRDefault="0017379F">
      <w:pPr>
        <w:spacing w:line="240" w:lineRule="auto"/>
        <w:ind w:firstLine="0"/>
        <w:jc w:val="left"/>
        <w:rPr>
          <w:b/>
          <w:smallCaps/>
          <w:sz w:val="28"/>
          <w:szCs w:val="24"/>
        </w:rPr>
      </w:pPr>
      <w:r w:rsidRPr="00634977">
        <w:br w:type="page"/>
      </w:r>
    </w:p>
    <w:p w:rsidR="002655AC" w:rsidRPr="00634977" w:rsidRDefault="002655AC" w:rsidP="00420E79">
      <w:pPr>
        <w:pStyle w:val="NADPIS2"/>
        <w:outlineLvl w:val="0"/>
      </w:pPr>
      <w:bookmarkStart w:id="86" w:name="_Toc291022245"/>
      <w:r w:rsidRPr="00634977">
        <w:lastRenderedPageBreak/>
        <w:t>Shrnutí diplomové práce v čj i aj</w:t>
      </w:r>
      <w:bookmarkEnd w:id="86"/>
    </w:p>
    <w:p w:rsidR="002655AC" w:rsidRPr="00502C94" w:rsidRDefault="00304831" w:rsidP="00420E79">
      <w:pPr>
        <w:outlineLvl w:val="0"/>
        <w:rPr>
          <w:b/>
        </w:rPr>
      </w:pPr>
      <w:r w:rsidRPr="00304831">
        <w:rPr>
          <w:b/>
        </w:rPr>
        <w:t xml:space="preserve">Shrnutí diplomové práce </w:t>
      </w:r>
    </w:p>
    <w:p w:rsidR="002655AC" w:rsidRPr="00634977" w:rsidRDefault="002655AC" w:rsidP="002655AC">
      <w:r w:rsidRPr="00634977">
        <w:t xml:space="preserve">Cílem diplomové práce na téma </w:t>
      </w:r>
      <w:r w:rsidRPr="00634977">
        <w:rPr>
          <w:i/>
        </w:rPr>
        <w:t>Listina základních práv EU v činnosti soudních orgánů EU</w:t>
      </w:r>
      <w:r w:rsidR="00D94AE7" w:rsidRPr="00634977">
        <w:rPr>
          <w:i/>
        </w:rPr>
        <w:t xml:space="preserve"> </w:t>
      </w:r>
      <w:r w:rsidRPr="00634977">
        <w:t>je shrnout význam a místo Listiny v rozhodovací činnosti lucemburských soudních orgánů, tedy Evropského soudního dvora, generálních advokátů a advokátek a Tribunálu. Tato analýza se vztahuje k době od prosince 2009 do února 20</w:t>
      </w:r>
      <w:r w:rsidR="001B0740">
        <w:t xml:space="preserve">11, tedy zhruba rok poté, </w:t>
      </w:r>
      <w:r w:rsidR="001B0740" w:rsidRPr="001B0740">
        <w:t>co</w:t>
      </w:r>
      <w:r w:rsidR="001B0740">
        <w:t> </w:t>
      </w:r>
      <w:r w:rsidR="001B0740" w:rsidRPr="001B0740">
        <w:t>se</w:t>
      </w:r>
      <w:r w:rsidR="001B0740">
        <w:t> </w:t>
      </w:r>
      <w:r w:rsidRPr="00634977">
        <w:t>Listina stala právně závaznou součástí unijního práva.</w:t>
      </w:r>
    </w:p>
    <w:p w:rsidR="002655AC" w:rsidRPr="00634977" w:rsidRDefault="002655AC" w:rsidP="002655AC">
      <w:pPr>
        <w:pStyle w:val="BIBLIOGRAFIE"/>
        <w:numPr>
          <w:ilvl w:val="0"/>
          <w:numId w:val="0"/>
        </w:numPr>
        <w:ind w:left="227"/>
      </w:pPr>
    </w:p>
    <w:p w:rsidR="002655AC" w:rsidRPr="00502C94" w:rsidRDefault="00304831" w:rsidP="00420E79">
      <w:pPr>
        <w:outlineLvl w:val="0"/>
        <w:rPr>
          <w:b/>
        </w:rPr>
      </w:pPr>
      <w:r w:rsidRPr="00304831">
        <w:rPr>
          <w:b/>
        </w:rPr>
        <w:t xml:space="preserve">Summary of the diploma thesis </w:t>
      </w:r>
    </w:p>
    <w:p w:rsidR="002655AC" w:rsidRPr="00634977" w:rsidRDefault="002655AC" w:rsidP="002655AC">
      <w:r w:rsidRPr="00634977">
        <w:t xml:space="preserve">The aim of </w:t>
      </w:r>
      <w:proofErr w:type="gramStart"/>
      <w:r w:rsidRPr="00634977">
        <w:t>my</w:t>
      </w:r>
      <w:proofErr w:type="gramEnd"/>
      <w:r w:rsidRPr="00634977">
        <w:t xml:space="preserve"> diploma thesis which is called </w:t>
      </w:r>
      <w:r w:rsidRPr="00634977">
        <w:rPr>
          <w:i/>
        </w:rPr>
        <w:t>The Chart</w:t>
      </w:r>
      <w:r w:rsidR="00BB3CA0" w:rsidRPr="00634977">
        <w:rPr>
          <w:i/>
        </w:rPr>
        <w:t>er of Fundamental Rights of the </w:t>
      </w:r>
      <w:r w:rsidRPr="00634977">
        <w:rPr>
          <w:i/>
        </w:rPr>
        <w:t>European Union</w:t>
      </w:r>
      <w:r w:rsidR="00D94AE7" w:rsidRPr="00634977">
        <w:rPr>
          <w:i/>
        </w:rPr>
        <w:t xml:space="preserve"> </w:t>
      </w:r>
      <w:r w:rsidR="00EA58AA">
        <w:rPr>
          <w:i/>
        </w:rPr>
        <w:t xml:space="preserve">in the </w:t>
      </w:r>
      <w:r w:rsidR="006E2B04">
        <w:rPr>
          <w:i/>
        </w:rPr>
        <w:t>Work</w:t>
      </w:r>
      <w:r w:rsidR="00EA58AA">
        <w:rPr>
          <w:i/>
        </w:rPr>
        <w:t xml:space="preserve"> of </w:t>
      </w:r>
      <w:r w:rsidR="006E2B04">
        <w:rPr>
          <w:i/>
        </w:rPr>
        <w:t xml:space="preserve">EU </w:t>
      </w:r>
      <w:r w:rsidR="00EA58AA">
        <w:rPr>
          <w:i/>
        </w:rPr>
        <w:t xml:space="preserve">Judicial Bodies </w:t>
      </w:r>
      <w:r w:rsidR="00EA58AA">
        <w:t>is to provide a </w:t>
      </w:r>
      <w:r w:rsidR="00C363BB">
        <w:t>complex analysis of </w:t>
      </w:r>
      <w:r w:rsidRPr="00634977">
        <w:t xml:space="preserve">the meaning and place of the Charter in the </w:t>
      </w:r>
      <w:r w:rsidR="00C363BB">
        <w:t>work of the judicial bodies in </w:t>
      </w:r>
      <w:r w:rsidRPr="00634977">
        <w:t xml:space="preserve">Luxembourg, namely the Court of Justice, General Court and Advocates General. </w:t>
      </w:r>
      <w:r w:rsidR="00C363BB">
        <w:t>T</w:t>
      </w:r>
      <w:r w:rsidRPr="00634977">
        <w:t xml:space="preserve">his </w:t>
      </w:r>
      <w:r w:rsidR="00C363BB">
        <w:t>analysis is related to </w:t>
      </w:r>
      <w:r w:rsidRPr="00634977">
        <w:t>the period of time from December 2009 when the Charter became legally bindi</w:t>
      </w:r>
      <w:r w:rsidR="00C363BB">
        <w:t>ng till</w:t>
      </w:r>
      <w:r w:rsidRPr="00634977">
        <w:t xml:space="preserve"> February 2011.  </w:t>
      </w:r>
    </w:p>
    <w:p w:rsidR="002655AC" w:rsidRPr="00634977" w:rsidRDefault="002655AC" w:rsidP="002655AC"/>
    <w:p w:rsidR="002655AC" w:rsidRPr="00634977" w:rsidRDefault="002655AC" w:rsidP="002655AC">
      <w:pPr>
        <w:spacing w:line="240" w:lineRule="auto"/>
        <w:ind w:firstLine="0"/>
        <w:jc w:val="left"/>
      </w:pPr>
      <w:r w:rsidRPr="00634977">
        <w:br w:type="page"/>
      </w:r>
    </w:p>
    <w:p w:rsidR="002655AC" w:rsidRPr="00634977" w:rsidRDefault="002655AC" w:rsidP="00420E79">
      <w:pPr>
        <w:pStyle w:val="NADPIS2"/>
        <w:outlineLvl w:val="0"/>
      </w:pPr>
      <w:bookmarkStart w:id="87" w:name="_Toc291022246"/>
      <w:r w:rsidRPr="00634977">
        <w:lastRenderedPageBreak/>
        <w:t>Seznam klíčových slov v čj i aj</w:t>
      </w:r>
      <w:bookmarkEnd w:id="87"/>
    </w:p>
    <w:p w:rsidR="002655AC" w:rsidRPr="00634977" w:rsidRDefault="002655AC" w:rsidP="00420E79">
      <w:pPr>
        <w:ind w:firstLine="0"/>
        <w:outlineLvl w:val="0"/>
        <w:rPr>
          <w:b/>
        </w:rPr>
      </w:pPr>
      <w:r w:rsidRPr="00634977">
        <w:rPr>
          <w:b/>
        </w:rPr>
        <w:t>Seznam klíčových slov</w:t>
      </w:r>
    </w:p>
    <w:p w:rsidR="002655AC" w:rsidRPr="00634977" w:rsidRDefault="002655AC" w:rsidP="002655AC">
      <w:pPr>
        <w:ind w:firstLine="426"/>
      </w:pPr>
      <w:r w:rsidRPr="00634977">
        <w:t>Listina základn</w:t>
      </w:r>
      <w:r w:rsidR="006E558C">
        <w:t>ích práv Evropské Unie; Evropský soudní dvůr; g</w:t>
      </w:r>
      <w:r w:rsidRPr="00634977">
        <w:t>enerální</w:t>
      </w:r>
      <w:r w:rsidR="006E558C">
        <w:t xml:space="preserve"> advokát; advokátka; Tribunál; j</w:t>
      </w:r>
      <w:r w:rsidRPr="00634977">
        <w:t xml:space="preserve">udikatura; </w:t>
      </w:r>
      <w:r w:rsidR="006E558C">
        <w:t>obecné zásady právní, r</w:t>
      </w:r>
      <w:r w:rsidRPr="00634977">
        <w:t>ozhodo</w:t>
      </w:r>
      <w:r w:rsidR="006E558C">
        <w:t>vací činnost; p</w:t>
      </w:r>
      <w:r w:rsidRPr="00634977">
        <w:t xml:space="preserve">rimární právo Evropské unie. </w:t>
      </w:r>
    </w:p>
    <w:p w:rsidR="002655AC" w:rsidRPr="00634977" w:rsidRDefault="002655AC" w:rsidP="002655AC"/>
    <w:p w:rsidR="002655AC" w:rsidRPr="00634977" w:rsidRDefault="002655AC" w:rsidP="00420E79">
      <w:pPr>
        <w:ind w:firstLine="0"/>
        <w:outlineLvl w:val="0"/>
        <w:rPr>
          <w:b/>
        </w:rPr>
      </w:pPr>
      <w:r w:rsidRPr="00634977">
        <w:rPr>
          <w:b/>
        </w:rPr>
        <w:t>The List of Key Words</w:t>
      </w:r>
    </w:p>
    <w:p w:rsidR="005E0544" w:rsidRDefault="002655AC" w:rsidP="002655AC">
      <w:pPr>
        <w:pStyle w:val="BIBLIOGRAFIE"/>
        <w:numPr>
          <w:ilvl w:val="0"/>
          <w:numId w:val="0"/>
        </w:numPr>
        <w:ind w:firstLine="426"/>
      </w:pPr>
      <w:r w:rsidRPr="00634977">
        <w:t>The Charter of Fundamental Rights of the European Union; European Court of Just</w:t>
      </w:r>
      <w:r w:rsidR="00D83698">
        <w:t>ice; General Advocate; General Court; Case l</w:t>
      </w:r>
      <w:r w:rsidRPr="00634977">
        <w:t xml:space="preserve">aw, </w:t>
      </w:r>
      <w:r w:rsidR="002C06A5">
        <w:t>General p</w:t>
      </w:r>
      <w:r w:rsidR="00A2004B">
        <w:t xml:space="preserve">rinciples of </w:t>
      </w:r>
      <w:r w:rsidR="00D83698">
        <w:t>l</w:t>
      </w:r>
      <w:r w:rsidR="00A2004B">
        <w:t>aw</w:t>
      </w:r>
      <w:r w:rsidR="007D219D" w:rsidRPr="007D219D">
        <w:rPr>
          <w:lang w:val="en-US"/>
        </w:rPr>
        <w:t xml:space="preserve">; </w:t>
      </w:r>
      <w:r w:rsidR="00D83698">
        <w:t>Primary l</w:t>
      </w:r>
      <w:r w:rsidRPr="00634977">
        <w:t xml:space="preserve">aw.  </w:t>
      </w:r>
    </w:p>
    <w:p w:rsidR="005E0544" w:rsidRDefault="005E0544">
      <w:pPr>
        <w:spacing w:line="240" w:lineRule="auto"/>
        <w:ind w:firstLine="0"/>
        <w:jc w:val="left"/>
        <w:rPr>
          <w:szCs w:val="24"/>
        </w:rPr>
      </w:pPr>
      <w:r>
        <w:br w:type="page"/>
      </w:r>
    </w:p>
    <w:p w:rsidR="002655AC" w:rsidRDefault="005E0544" w:rsidP="005E0544">
      <w:pPr>
        <w:pStyle w:val="NADPIS2"/>
      </w:pPr>
      <w:bookmarkStart w:id="88" w:name="_Toc291022247"/>
      <w:r>
        <w:lastRenderedPageBreak/>
        <w:t>Souhlas se zpracováním osobních údajů</w:t>
      </w:r>
      <w:bookmarkEnd w:id="88"/>
    </w:p>
    <w:p w:rsidR="003B3196" w:rsidRDefault="002E040B" w:rsidP="00D60E96">
      <w:pPr>
        <w:ind w:firstLine="708"/>
        <w:rPr>
          <w:szCs w:val="24"/>
        </w:rPr>
      </w:pPr>
      <w:r>
        <w:t xml:space="preserve">Já, níže podepsaná </w:t>
      </w:r>
      <w:r w:rsidRPr="003B3196">
        <w:t>Hana Maláčová</w:t>
      </w:r>
      <w:r>
        <w:t xml:space="preserve">, autorka diplomové práce </w:t>
      </w:r>
      <w:r w:rsidR="003B3196" w:rsidRPr="00810013">
        <w:rPr>
          <w:i/>
        </w:rPr>
        <w:t>Listina základních práv </w:t>
      </w:r>
      <w:r w:rsidR="00B50292">
        <w:rPr>
          <w:i/>
        </w:rPr>
        <w:t>Evropské unie</w:t>
      </w:r>
      <w:r w:rsidRPr="00810013">
        <w:rPr>
          <w:i/>
        </w:rPr>
        <w:t xml:space="preserve"> v činnosti soudních orgánů E</w:t>
      </w:r>
      <w:r w:rsidR="00B50292">
        <w:rPr>
          <w:i/>
        </w:rPr>
        <w:t>vropské unie</w:t>
      </w:r>
      <w:r>
        <w:t xml:space="preserve">, </w:t>
      </w:r>
      <w:r w:rsidRPr="002E040B">
        <w:rPr>
          <w:szCs w:val="24"/>
        </w:rPr>
        <w:t>která je literárním díl</w:t>
      </w:r>
      <w:r w:rsidR="00B50292">
        <w:rPr>
          <w:szCs w:val="24"/>
        </w:rPr>
        <w:t>em ve </w:t>
      </w:r>
      <w:r>
        <w:rPr>
          <w:szCs w:val="24"/>
        </w:rPr>
        <w:t>smyslu zákona č. 121/2000 </w:t>
      </w:r>
      <w:r w:rsidRPr="002E040B">
        <w:rPr>
          <w:szCs w:val="24"/>
        </w:rPr>
        <w:t xml:space="preserve">Sb., </w:t>
      </w:r>
      <w:r w:rsidRPr="003B3196">
        <w:rPr>
          <w:b/>
          <w:szCs w:val="24"/>
        </w:rPr>
        <w:t>dávám tímto</w:t>
      </w:r>
      <w:r w:rsidRPr="002E040B">
        <w:rPr>
          <w:szCs w:val="24"/>
        </w:rPr>
        <w:t xml:space="preserve"> jako subjekt údajů </w:t>
      </w:r>
      <w:r w:rsidRPr="003B3196">
        <w:rPr>
          <w:b/>
          <w:szCs w:val="24"/>
        </w:rPr>
        <w:t>svůj souhlas</w:t>
      </w:r>
      <w:r w:rsidRPr="002E040B">
        <w:rPr>
          <w:szCs w:val="24"/>
        </w:rPr>
        <w:t xml:space="preserve"> ve smyslu </w:t>
      </w:r>
      <w:r w:rsidR="001B2BDF">
        <w:rPr>
          <w:szCs w:val="24"/>
        </w:rPr>
        <w:t>§ </w:t>
      </w:r>
      <w:r w:rsidRPr="002E040B">
        <w:rPr>
          <w:szCs w:val="24"/>
        </w:rPr>
        <w:t xml:space="preserve">4 písm. e) </w:t>
      </w:r>
      <w:r w:rsidR="00810013">
        <w:t>zákona </w:t>
      </w:r>
      <w:r>
        <w:t xml:space="preserve">č. 101/2000 Sb., </w:t>
      </w:r>
      <w:r w:rsidRPr="003B3196">
        <w:rPr>
          <w:b/>
        </w:rPr>
        <w:t>správci, tedy Univerzitě Palackého v</w:t>
      </w:r>
      <w:r w:rsidR="00810013">
        <w:rPr>
          <w:b/>
        </w:rPr>
        <w:t> </w:t>
      </w:r>
      <w:r w:rsidRPr="003B3196">
        <w:rPr>
          <w:b/>
        </w:rPr>
        <w:t>Olomouci</w:t>
      </w:r>
      <w:r w:rsidR="00810013">
        <w:t xml:space="preserve"> (</w:t>
      </w:r>
      <w:r>
        <w:t xml:space="preserve">Křížkovského 8, </w:t>
      </w:r>
      <w:r w:rsidR="003B3196">
        <w:t>Olomouc 771 47, Česká republika</w:t>
      </w:r>
      <w:r w:rsidR="00810013">
        <w:t>)</w:t>
      </w:r>
      <w:r w:rsidR="003B3196">
        <w:t xml:space="preserve"> </w:t>
      </w:r>
      <w:r w:rsidR="003B3196" w:rsidRPr="003B3196">
        <w:rPr>
          <w:b/>
        </w:rPr>
        <w:t xml:space="preserve">ke </w:t>
      </w:r>
      <w:r w:rsidR="001B2BDF">
        <w:rPr>
          <w:b/>
          <w:szCs w:val="24"/>
        </w:rPr>
        <w:t>zpracování osobních údajů v </w:t>
      </w:r>
      <w:r w:rsidRPr="003B3196">
        <w:rPr>
          <w:b/>
          <w:szCs w:val="24"/>
        </w:rPr>
        <w:t>rozsahu</w:t>
      </w:r>
      <w:r w:rsidR="001C5927">
        <w:rPr>
          <w:szCs w:val="24"/>
        </w:rPr>
        <w:t>: jméno</w:t>
      </w:r>
      <w:r w:rsidR="00810013">
        <w:rPr>
          <w:szCs w:val="24"/>
        </w:rPr>
        <w:t> </w:t>
      </w:r>
      <w:r w:rsidR="003B3196">
        <w:rPr>
          <w:szCs w:val="24"/>
        </w:rPr>
        <w:t>a </w:t>
      </w:r>
      <w:r w:rsidRPr="002E040B">
        <w:rPr>
          <w:szCs w:val="24"/>
        </w:rPr>
        <w:t>příjm</w:t>
      </w:r>
      <w:r w:rsidR="003B3196">
        <w:t>ení v </w:t>
      </w:r>
      <w:r>
        <w:t xml:space="preserve">informačním systému, a to </w:t>
      </w:r>
      <w:r w:rsidRPr="002E040B">
        <w:rPr>
          <w:szCs w:val="24"/>
        </w:rPr>
        <w:t>včetně zařazení do katalogů,</w:t>
      </w:r>
      <w:r w:rsidR="00810013">
        <w:rPr>
          <w:szCs w:val="24"/>
        </w:rPr>
        <w:t xml:space="preserve"> a dále ke </w:t>
      </w:r>
      <w:r w:rsidR="003B3196">
        <w:rPr>
          <w:szCs w:val="24"/>
        </w:rPr>
        <w:t>zpřístupnění jména a </w:t>
      </w:r>
      <w:r w:rsidRPr="002E040B">
        <w:rPr>
          <w:szCs w:val="24"/>
        </w:rPr>
        <w:t>příjmení v katalozích a in</w:t>
      </w:r>
      <w:r w:rsidR="00810013">
        <w:rPr>
          <w:szCs w:val="24"/>
        </w:rPr>
        <w:t>formačních systémech Univerzity </w:t>
      </w:r>
      <w:r w:rsidRPr="002E040B">
        <w:rPr>
          <w:szCs w:val="24"/>
        </w:rPr>
        <w:t xml:space="preserve">Palackého, a to včetně neadresného zpřístupnění pomocí metod dálkového přístupu. Údaje mohou být takto zpřístupněny </w:t>
      </w:r>
      <w:r w:rsidR="003B3196">
        <w:rPr>
          <w:szCs w:val="24"/>
        </w:rPr>
        <w:t>uživatelům služeb</w:t>
      </w:r>
      <w:r w:rsidRPr="002E040B">
        <w:rPr>
          <w:szCs w:val="24"/>
        </w:rPr>
        <w:t xml:space="preserve"> Univerzity Palackého. Realizaci zpřístupnění zajišťuje ke dni tohoto prohlášení vnitřní </w:t>
      </w:r>
      <w:r w:rsidR="003B3196">
        <w:rPr>
          <w:szCs w:val="24"/>
        </w:rPr>
        <w:t>složka</w:t>
      </w:r>
      <w:r w:rsidRPr="002E040B">
        <w:rPr>
          <w:szCs w:val="24"/>
        </w:rPr>
        <w:t xml:space="preserve"> Univerzity Palackého, která se nazývá Knihovna Univerzity Palackého. </w:t>
      </w:r>
    </w:p>
    <w:p w:rsidR="002E040B" w:rsidRDefault="002E040B" w:rsidP="00D60E96">
      <w:pPr>
        <w:ind w:firstLine="708"/>
        <w:rPr>
          <w:szCs w:val="24"/>
        </w:rPr>
      </w:pPr>
      <w:r w:rsidRPr="002E040B">
        <w:rPr>
          <w:szCs w:val="24"/>
        </w:rPr>
        <w:t xml:space="preserve">Souhlas se poskytuje na dobu ochrany autorského díla dle zákona č. 121/2000 Sb. </w:t>
      </w:r>
      <w:r w:rsidR="00D60E96">
        <w:rPr>
          <w:szCs w:val="24"/>
        </w:rPr>
        <w:t xml:space="preserve">Zároveň prohlašuji, </w:t>
      </w:r>
      <w:r w:rsidR="003B3196">
        <w:rPr>
          <w:szCs w:val="24"/>
        </w:rPr>
        <w:t>ž</w:t>
      </w:r>
      <w:r w:rsidRPr="002E040B">
        <w:rPr>
          <w:szCs w:val="24"/>
        </w:rPr>
        <w:t xml:space="preserve">e moje osobní údaje uvedené výše jsou pravdivé. </w:t>
      </w:r>
    </w:p>
    <w:p w:rsidR="00810013" w:rsidRDefault="00810013" w:rsidP="003B3196">
      <w:pPr>
        <w:ind w:firstLine="0"/>
        <w:rPr>
          <w:szCs w:val="24"/>
        </w:rPr>
      </w:pPr>
    </w:p>
    <w:p w:rsidR="00810013" w:rsidRDefault="00810013" w:rsidP="003B3196">
      <w:pPr>
        <w:ind w:firstLine="0"/>
        <w:rPr>
          <w:szCs w:val="24"/>
        </w:rPr>
      </w:pPr>
    </w:p>
    <w:p w:rsidR="00810013" w:rsidRDefault="00810013" w:rsidP="003B3196">
      <w:pPr>
        <w:ind w:firstLine="0"/>
        <w:rPr>
          <w:szCs w:val="24"/>
        </w:rPr>
      </w:pPr>
    </w:p>
    <w:p w:rsidR="00810013" w:rsidRPr="002E040B" w:rsidRDefault="00810013" w:rsidP="003B3196">
      <w:pPr>
        <w:ind w:firstLine="0"/>
        <w:rPr>
          <w:szCs w:val="24"/>
        </w:rPr>
      </w:pPr>
      <w:r>
        <w:rPr>
          <w:szCs w:val="24"/>
        </w:rPr>
        <w:t>V Uherském Hradišti dne 28. března 2011</w:t>
      </w:r>
    </w:p>
    <w:p w:rsidR="002E040B" w:rsidRPr="00634977" w:rsidRDefault="002E040B" w:rsidP="002E040B"/>
    <w:bookmarkEnd w:id="82"/>
    <w:bookmarkEnd w:id="83"/>
    <w:bookmarkEnd w:id="84"/>
    <w:p w:rsidR="006472E7" w:rsidRPr="00634977" w:rsidRDefault="006472E7" w:rsidP="002E040B">
      <w:pPr>
        <w:rPr>
          <w:szCs w:val="24"/>
        </w:rPr>
      </w:pPr>
    </w:p>
    <w:p w:rsidR="00810FBA" w:rsidRDefault="00810FBA">
      <w:pPr>
        <w:spacing w:line="240" w:lineRule="auto"/>
        <w:ind w:firstLine="0"/>
        <w:jc w:val="left"/>
        <w:rPr>
          <w:szCs w:val="24"/>
        </w:rPr>
      </w:pPr>
      <w:r>
        <w:rPr>
          <w:szCs w:val="24"/>
        </w:rPr>
        <w:br w:type="page"/>
      </w:r>
    </w:p>
    <w:p w:rsidR="00810FBA" w:rsidRPr="00634977" w:rsidRDefault="00810FBA" w:rsidP="00810FBA">
      <w:pPr>
        <w:pStyle w:val="NADPIS1"/>
        <w:numPr>
          <w:ilvl w:val="0"/>
          <w:numId w:val="44"/>
        </w:numPr>
      </w:pPr>
      <w:bookmarkStart w:id="89" w:name="_Toc291022248"/>
      <w:r w:rsidRPr="00634977">
        <w:lastRenderedPageBreak/>
        <w:t>Přílohy</w:t>
      </w:r>
      <w:r>
        <w:t>: Seznam judikatury</w:t>
      </w:r>
      <w:bookmarkEnd w:id="89"/>
    </w:p>
    <w:p w:rsidR="00810FBA" w:rsidRPr="00634977" w:rsidRDefault="00810FBA" w:rsidP="00810FBA">
      <w:pPr>
        <w:pStyle w:val="BIBLIOGRAFIE"/>
        <w:numPr>
          <w:ilvl w:val="0"/>
          <w:numId w:val="0"/>
        </w:numPr>
        <w:outlineLvl w:val="0"/>
        <w:rPr>
          <w:b/>
        </w:rPr>
      </w:pPr>
      <w:r w:rsidRPr="00634977">
        <w:rPr>
          <w:b/>
        </w:rPr>
        <w:t xml:space="preserve">Příloha č. 1 - Seznam judikatury k podkapitole </w:t>
      </w:r>
      <w:r w:rsidRPr="00634977">
        <w:rPr>
          <w:b/>
          <w:i/>
        </w:rPr>
        <w:t>„Oblast svobody, bezpečnosti a práva“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268"/>
        <w:gridCol w:w="1701"/>
        <w:gridCol w:w="2410"/>
        <w:gridCol w:w="2015"/>
      </w:tblGrid>
      <w:tr w:rsidR="00810FBA" w:rsidRPr="00634977" w:rsidTr="00605BA1">
        <w:tc>
          <w:tcPr>
            <w:tcW w:w="817" w:type="dxa"/>
          </w:tcPr>
          <w:p w:rsidR="00810FBA" w:rsidRPr="00634977" w:rsidRDefault="00810FBA" w:rsidP="00605BA1">
            <w:pPr>
              <w:pStyle w:val="TABULKYTEXT"/>
              <w:rPr>
                <w:lang w:val="cs-CZ"/>
              </w:rPr>
            </w:pPr>
          </w:p>
        </w:tc>
        <w:tc>
          <w:tcPr>
            <w:tcW w:w="2268" w:type="dxa"/>
          </w:tcPr>
          <w:p w:rsidR="00810FBA" w:rsidRPr="00634977" w:rsidRDefault="00810FBA" w:rsidP="00605BA1">
            <w:pPr>
              <w:pStyle w:val="TABULKYTEXT"/>
              <w:rPr>
                <w:lang w:val="cs-CZ"/>
              </w:rPr>
            </w:pPr>
            <w:r w:rsidRPr="00634977">
              <w:rPr>
                <w:lang w:val="cs-CZ"/>
              </w:rPr>
              <w:t>Spisová značka</w:t>
            </w:r>
          </w:p>
        </w:tc>
        <w:tc>
          <w:tcPr>
            <w:tcW w:w="1701" w:type="dxa"/>
          </w:tcPr>
          <w:p w:rsidR="00810FBA" w:rsidRPr="00634977" w:rsidRDefault="00810FBA" w:rsidP="00605BA1">
            <w:pPr>
              <w:pStyle w:val="TABULKYTEXT"/>
              <w:rPr>
                <w:lang w:val="cs-CZ"/>
              </w:rPr>
            </w:pPr>
            <w:r w:rsidRPr="00634977">
              <w:rPr>
                <w:lang w:val="cs-CZ"/>
              </w:rPr>
              <w:t>Datum</w:t>
            </w:r>
          </w:p>
        </w:tc>
        <w:tc>
          <w:tcPr>
            <w:tcW w:w="2410" w:type="dxa"/>
          </w:tcPr>
          <w:p w:rsidR="00810FBA" w:rsidRPr="00634977" w:rsidRDefault="00810FBA" w:rsidP="00605BA1">
            <w:pPr>
              <w:pStyle w:val="TABULKYTEXT"/>
              <w:rPr>
                <w:lang w:val="cs-CZ"/>
              </w:rPr>
            </w:pPr>
            <w:r w:rsidRPr="00634977">
              <w:rPr>
                <w:lang w:val="cs-CZ"/>
              </w:rPr>
              <w:t>Strany</w:t>
            </w:r>
          </w:p>
        </w:tc>
        <w:tc>
          <w:tcPr>
            <w:tcW w:w="2015"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C-491/10 PPU</w:t>
            </w:r>
          </w:p>
        </w:tc>
        <w:tc>
          <w:tcPr>
            <w:tcW w:w="1701" w:type="dxa"/>
            <w:vAlign w:val="center"/>
          </w:tcPr>
          <w:p w:rsidR="00810FBA" w:rsidRPr="00634977" w:rsidRDefault="00810FBA" w:rsidP="00605BA1">
            <w:pPr>
              <w:pStyle w:val="TABULKYTEXT"/>
              <w:rPr>
                <w:lang w:val="cs-CZ"/>
              </w:rPr>
            </w:pPr>
            <w:r w:rsidRPr="00634977">
              <w:rPr>
                <w:lang w:val="cs-CZ"/>
              </w:rPr>
              <w:t>22. 12. 2010</w:t>
            </w:r>
          </w:p>
        </w:tc>
        <w:tc>
          <w:tcPr>
            <w:tcW w:w="2410" w:type="dxa"/>
            <w:vAlign w:val="center"/>
          </w:tcPr>
          <w:p w:rsidR="00810FBA" w:rsidRPr="00634977" w:rsidRDefault="00810FBA" w:rsidP="00605BA1">
            <w:pPr>
              <w:pStyle w:val="TABULKYTEXT"/>
              <w:rPr>
                <w:lang w:val="cs-CZ"/>
              </w:rPr>
            </w:pPr>
            <w:r w:rsidRPr="00634977">
              <w:rPr>
                <w:bCs/>
                <w:lang w:val="cs-CZ"/>
              </w:rPr>
              <w:t>Joseba Andoni Aguirre Zarraga</w:t>
            </w:r>
            <w:r w:rsidRPr="00634977">
              <w:rPr>
                <w:lang w:val="cs-CZ"/>
              </w:rPr>
              <w:t xml:space="preserve"> v </w:t>
            </w:r>
            <w:r w:rsidRPr="00634977">
              <w:rPr>
                <w:bCs/>
                <w:lang w:val="cs-CZ"/>
              </w:rPr>
              <w:t>Simone Pelz</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C-491/PPU</w:t>
            </w:r>
          </w:p>
        </w:tc>
        <w:tc>
          <w:tcPr>
            <w:tcW w:w="1701" w:type="dxa"/>
            <w:vAlign w:val="center"/>
          </w:tcPr>
          <w:p w:rsidR="00810FBA" w:rsidRPr="00634977" w:rsidRDefault="00810FBA" w:rsidP="00605BA1">
            <w:pPr>
              <w:pStyle w:val="TABULKYTEXT"/>
              <w:rPr>
                <w:lang w:val="cs-CZ"/>
              </w:rPr>
            </w:pPr>
            <w:r w:rsidRPr="00634977">
              <w:rPr>
                <w:lang w:val="cs-CZ"/>
              </w:rPr>
              <w:t>7. 12. 2010</w:t>
            </w:r>
          </w:p>
        </w:tc>
        <w:tc>
          <w:tcPr>
            <w:tcW w:w="2410" w:type="dxa"/>
            <w:vAlign w:val="center"/>
          </w:tcPr>
          <w:p w:rsidR="00810FBA" w:rsidRPr="00634977" w:rsidRDefault="00810FBA" w:rsidP="00605BA1">
            <w:pPr>
              <w:pStyle w:val="TABULKYTEXT"/>
              <w:rPr>
                <w:lang w:val="cs-CZ"/>
              </w:rPr>
            </w:pPr>
            <w:r w:rsidRPr="00634977">
              <w:rPr>
                <w:bCs/>
                <w:lang w:val="cs-CZ"/>
              </w:rPr>
              <w:t>Joseba Andoni Aguirre Zarraga</w:t>
            </w:r>
            <w:r w:rsidRPr="00634977">
              <w:rPr>
                <w:lang w:val="cs-CZ"/>
              </w:rPr>
              <w:t xml:space="preserve"> v </w:t>
            </w:r>
            <w:r w:rsidRPr="00634977">
              <w:rPr>
                <w:bCs/>
                <w:lang w:val="cs-CZ"/>
              </w:rPr>
              <w:t>Simone Pelz</w:t>
            </w:r>
          </w:p>
        </w:tc>
        <w:tc>
          <w:tcPr>
            <w:tcW w:w="2015"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C-101/09</w:t>
            </w:r>
          </w:p>
        </w:tc>
        <w:tc>
          <w:tcPr>
            <w:tcW w:w="1701" w:type="dxa"/>
            <w:vAlign w:val="center"/>
          </w:tcPr>
          <w:p w:rsidR="00810FBA" w:rsidRPr="00634977" w:rsidRDefault="00810FBA" w:rsidP="00605BA1">
            <w:pPr>
              <w:pStyle w:val="TABULKYTEXT"/>
              <w:rPr>
                <w:lang w:val="cs-CZ"/>
              </w:rPr>
            </w:pPr>
            <w:r w:rsidRPr="00634977">
              <w:rPr>
                <w:lang w:val="cs-CZ"/>
              </w:rPr>
              <w:t>9. 11. 2010</w:t>
            </w:r>
          </w:p>
        </w:tc>
        <w:tc>
          <w:tcPr>
            <w:tcW w:w="2410" w:type="dxa"/>
            <w:vAlign w:val="center"/>
          </w:tcPr>
          <w:p w:rsidR="00810FBA" w:rsidRPr="00634977" w:rsidRDefault="00810FBA" w:rsidP="00605BA1">
            <w:pPr>
              <w:pStyle w:val="TABULKYTEXT"/>
              <w:rPr>
                <w:lang w:val="cs-CZ"/>
              </w:rPr>
            </w:pPr>
            <w:r w:rsidRPr="00634977">
              <w:rPr>
                <w:lang w:val="cs-CZ"/>
              </w:rPr>
              <w:t>SRN v B</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C-57/09</w:t>
            </w:r>
          </w:p>
        </w:tc>
        <w:tc>
          <w:tcPr>
            <w:tcW w:w="1701" w:type="dxa"/>
            <w:vAlign w:val="center"/>
          </w:tcPr>
          <w:p w:rsidR="00810FBA" w:rsidRPr="00634977" w:rsidRDefault="00810FBA" w:rsidP="00605BA1">
            <w:pPr>
              <w:pStyle w:val="TABULKYTEXT"/>
              <w:rPr>
                <w:lang w:val="cs-CZ"/>
              </w:rPr>
            </w:pPr>
            <w:r w:rsidRPr="00634977">
              <w:rPr>
                <w:lang w:val="cs-CZ"/>
              </w:rPr>
              <w:t>9. 11. 2010</w:t>
            </w:r>
          </w:p>
        </w:tc>
        <w:tc>
          <w:tcPr>
            <w:tcW w:w="2410" w:type="dxa"/>
            <w:vAlign w:val="center"/>
          </w:tcPr>
          <w:p w:rsidR="00810FBA" w:rsidRPr="00634977" w:rsidRDefault="00810FBA" w:rsidP="00605BA1">
            <w:pPr>
              <w:pStyle w:val="TABULKYTEXT"/>
              <w:rPr>
                <w:lang w:val="cs-CZ"/>
              </w:rPr>
            </w:pPr>
            <w:r w:rsidRPr="00634977">
              <w:rPr>
                <w:lang w:val="cs-CZ"/>
              </w:rPr>
              <w:t>SRN v B</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C-400/10 PPU</w:t>
            </w:r>
          </w:p>
        </w:tc>
        <w:tc>
          <w:tcPr>
            <w:tcW w:w="1701" w:type="dxa"/>
            <w:vAlign w:val="center"/>
          </w:tcPr>
          <w:p w:rsidR="00810FBA" w:rsidRPr="00634977" w:rsidRDefault="00810FBA" w:rsidP="00605BA1">
            <w:pPr>
              <w:pStyle w:val="TABULKYTEXT"/>
              <w:rPr>
                <w:lang w:val="cs-CZ"/>
              </w:rPr>
            </w:pPr>
            <w:r w:rsidRPr="00634977">
              <w:rPr>
                <w:lang w:val="cs-CZ"/>
              </w:rPr>
              <w:t>5. 10. 2010</w:t>
            </w:r>
          </w:p>
        </w:tc>
        <w:tc>
          <w:tcPr>
            <w:tcW w:w="2410" w:type="dxa"/>
            <w:vAlign w:val="center"/>
          </w:tcPr>
          <w:p w:rsidR="00810FBA" w:rsidRPr="00634977" w:rsidRDefault="00810FBA" w:rsidP="00605BA1">
            <w:pPr>
              <w:pStyle w:val="TABULKYTEXT"/>
              <w:rPr>
                <w:lang w:val="cs-CZ"/>
              </w:rPr>
            </w:pPr>
            <w:r w:rsidRPr="00634977">
              <w:rPr>
                <w:lang w:val="cs-CZ"/>
              </w:rPr>
              <w:t>J. McB v </w:t>
            </w:r>
            <w:proofErr w:type="gramStart"/>
            <w:r w:rsidRPr="00634977">
              <w:rPr>
                <w:lang w:val="cs-CZ"/>
              </w:rPr>
              <w:t>L.E.</w:t>
            </w:r>
            <w:proofErr w:type="gramEnd"/>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C-400/10 PPU</w:t>
            </w:r>
          </w:p>
        </w:tc>
        <w:tc>
          <w:tcPr>
            <w:tcW w:w="1701" w:type="dxa"/>
            <w:vAlign w:val="center"/>
          </w:tcPr>
          <w:p w:rsidR="00810FBA" w:rsidRPr="00634977" w:rsidRDefault="00810FBA" w:rsidP="00605BA1">
            <w:pPr>
              <w:pStyle w:val="TABULKYTEXT"/>
              <w:rPr>
                <w:lang w:val="cs-CZ"/>
              </w:rPr>
            </w:pPr>
            <w:r w:rsidRPr="00634977">
              <w:rPr>
                <w:lang w:val="cs-CZ"/>
              </w:rPr>
              <w:t>22. 9. 2010</w:t>
            </w:r>
          </w:p>
        </w:tc>
        <w:tc>
          <w:tcPr>
            <w:tcW w:w="2410" w:type="dxa"/>
            <w:vAlign w:val="center"/>
          </w:tcPr>
          <w:p w:rsidR="00810FBA" w:rsidRPr="00634977" w:rsidRDefault="00810FBA" w:rsidP="00605BA1">
            <w:pPr>
              <w:pStyle w:val="TABULKYTEXT"/>
              <w:rPr>
                <w:lang w:val="cs-CZ"/>
              </w:rPr>
            </w:pPr>
            <w:r w:rsidRPr="00634977">
              <w:rPr>
                <w:lang w:val="cs-CZ"/>
              </w:rPr>
              <w:t>J. McB v </w:t>
            </w:r>
            <w:proofErr w:type="gramStart"/>
            <w:r w:rsidRPr="00634977">
              <w:rPr>
                <w:lang w:val="cs-CZ"/>
              </w:rPr>
              <w:t>L.E.</w:t>
            </w:r>
            <w:proofErr w:type="gramEnd"/>
          </w:p>
        </w:tc>
        <w:tc>
          <w:tcPr>
            <w:tcW w:w="2015" w:type="dxa"/>
            <w:vAlign w:val="center"/>
          </w:tcPr>
          <w:p w:rsidR="00810FBA" w:rsidRPr="00634977" w:rsidRDefault="00810FBA" w:rsidP="00605BA1">
            <w:pPr>
              <w:pStyle w:val="TABULKYTEXT"/>
              <w:rPr>
                <w:lang w:val="cs-CZ"/>
              </w:rPr>
            </w:pPr>
            <w:r w:rsidRPr="00634977">
              <w:rPr>
                <w:lang w:val="cs-CZ"/>
              </w:rPr>
              <w:t>názor</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C-211/10 PPU</w:t>
            </w:r>
          </w:p>
        </w:tc>
        <w:tc>
          <w:tcPr>
            <w:tcW w:w="1701" w:type="dxa"/>
            <w:vAlign w:val="center"/>
          </w:tcPr>
          <w:p w:rsidR="00810FBA" w:rsidRPr="00634977" w:rsidRDefault="00810FBA" w:rsidP="00605BA1">
            <w:pPr>
              <w:pStyle w:val="TABULKYTEXT"/>
              <w:rPr>
                <w:lang w:val="cs-CZ"/>
              </w:rPr>
            </w:pPr>
            <w:r w:rsidRPr="00634977">
              <w:rPr>
                <w:lang w:val="cs-CZ"/>
              </w:rPr>
              <w:t>1. 7. 2010</w:t>
            </w:r>
          </w:p>
        </w:tc>
        <w:tc>
          <w:tcPr>
            <w:tcW w:w="2410" w:type="dxa"/>
            <w:vAlign w:val="center"/>
          </w:tcPr>
          <w:p w:rsidR="00810FBA" w:rsidRPr="00634977" w:rsidRDefault="00810FBA" w:rsidP="00605BA1">
            <w:pPr>
              <w:pStyle w:val="TABULKYTEXT"/>
              <w:rPr>
                <w:lang w:val="cs-CZ"/>
              </w:rPr>
            </w:pPr>
            <w:r w:rsidRPr="00634977">
              <w:rPr>
                <w:lang w:val="cs-CZ"/>
              </w:rPr>
              <w:t>Doris Povse v Mauro Alpago</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C-188/10</w:t>
            </w:r>
          </w:p>
        </w:tc>
        <w:tc>
          <w:tcPr>
            <w:tcW w:w="1701" w:type="dxa"/>
            <w:vAlign w:val="center"/>
          </w:tcPr>
          <w:p w:rsidR="00810FBA" w:rsidRPr="00634977" w:rsidRDefault="00810FBA" w:rsidP="00605BA1">
            <w:pPr>
              <w:pStyle w:val="TABULKYTEXT"/>
              <w:rPr>
                <w:lang w:val="cs-CZ"/>
              </w:rPr>
            </w:pPr>
            <w:r w:rsidRPr="00634977">
              <w:rPr>
                <w:lang w:val="cs-CZ"/>
              </w:rPr>
              <w:t>22. 6. 2010</w:t>
            </w:r>
          </w:p>
        </w:tc>
        <w:tc>
          <w:tcPr>
            <w:tcW w:w="2410" w:type="dxa"/>
            <w:vAlign w:val="center"/>
          </w:tcPr>
          <w:p w:rsidR="00810FBA" w:rsidRPr="00634977" w:rsidRDefault="00810FBA" w:rsidP="00605BA1">
            <w:pPr>
              <w:pStyle w:val="TABULKYTEXT"/>
              <w:rPr>
                <w:lang w:val="cs-CZ"/>
              </w:rPr>
            </w:pPr>
            <w:r w:rsidRPr="00634977">
              <w:rPr>
                <w:lang w:val="cs-CZ"/>
              </w:rPr>
              <w:t>Francie v Melki</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C-189/10</w:t>
            </w:r>
          </w:p>
        </w:tc>
        <w:tc>
          <w:tcPr>
            <w:tcW w:w="1701" w:type="dxa"/>
            <w:vAlign w:val="center"/>
          </w:tcPr>
          <w:p w:rsidR="00810FBA" w:rsidRPr="00634977" w:rsidRDefault="00810FBA" w:rsidP="00605BA1">
            <w:pPr>
              <w:pStyle w:val="TABULKYTEXT"/>
              <w:rPr>
                <w:lang w:val="cs-CZ"/>
              </w:rPr>
            </w:pPr>
            <w:r w:rsidRPr="00634977">
              <w:rPr>
                <w:lang w:val="cs-CZ"/>
              </w:rPr>
              <w:t>22. 6. 2010</w:t>
            </w:r>
          </w:p>
        </w:tc>
        <w:tc>
          <w:tcPr>
            <w:tcW w:w="2410" w:type="dxa"/>
            <w:vAlign w:val="center"/>
          </w:tcPr>
          <w:p w:rsidR="00810FBA" w:rsidRPr="00634977" w:rsidRDefault="00810FBA" w:rsidP="00605BA1">
            <w:pPr>
              <w:pStyle w:val="TABULKYTEXT"/>
              <w:rPr>
                <w:lang w:val="cs-CZ"/>
              </w:rPr>
            </w:pPr>
            <w:r w:rsidRPr="00634977">
              <w:rPr>
                <w:lang w:val="cs-CZ"/>
              </w:rPr>
              <w:t>Francie v Melki</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C-31/09</w:t>
            </w:r>
          </w:p>
        </w:tc>
        <w:tc>
          <w:tcPr>
            <w:tcW w:w="1701" w:type="dxa"/>
            <w:vAlign w:val="center"/>
          </w:tcPr>
          <w:p w:rsidR="00810FBA" w:rsidRPr="00634977" w:rsidRDefault="00810FBA" w:rsidP="00605BA1">
            <w:pPr>
              <w:pStyle w:val="TABULKYTEXT"/>
              <w:rPr>
                <w:lang w:val="cs-CZ"/>
              </w:rPr>
            </w:pPr>
            <w:r w:rsidRPr="00634977">
              <w:rPr>
                <w:lang w:val="cs-CZ"/>
              </w:rPr>
              <w:t>17. 6. 2010</w:t>
            </w:r>
          </w:p>
        </w:tc>
        <w:tc>
          <w:tcPr>
            <w:tcW w:w="2410" w:type="dxa"/>
            <w:vAlign w:val="center"/>
          </w:tcPr>
          <w:p w:rsidR="00810FBA" w:rsidRPr="00634977" w:rsidRDefault="00810FBA" w:rsidP="00605BA1">
            <w:pPr>
              <w:pStyle w:val="TABULKYTEXT"/>
              <w:rPr>
                <w:lang w:val="cs-CZ"/>
              </w:rPr>
            </w:pPr>
            <w:r w:rsidRPr="00634977">
              <w:rPr>
                <w:lang w:val="cs-CZ"/>
              </w:rPr>
              <w:t xml:space="preserve">Bolbol v </w:t>
            </w:r>
            <w:r w:rsidRPr="00634977">
              <w:rPr>
                <w:bCs/>
                <w:lang w:val="cs-CZ"/>
              </w:rPr>
              <w:t>Bevándorlási és Állampolgársági Hivatal</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C-101/09</w:t>
            </w:r>
          </w:p>
        </w:tc>
        <w:tc>
          <w:tcPr>
            <w:tcW w:w="1701" w:type="dxa"/>
            <w:vAlign w:val="center"/>
          </w:tcPr>
          <w:p w:rsidR="00810FBA" w:rsidRPr="00634977" w:rsidRDefault="00810FBA" w:rsidP="00605BA1">
            <w:pPr>
              <w:pStyle w:val="TABULKYTEXT"/>
              <w:rPr>
                <w:lang w:val="cs-CZ"/>
              </w:rPr>
            </w:pPr>
            <w:r w:rsidRPr="00634977">
              <w:rPr>
                <w:lang w:val="cs-CZ"/>
              </w:rPr>
              <w:t>1. 6. 2010</w:t>
            </w:r>
          </w:p>
        </w:tc>
        <w:tc>
          <w:tcPr>
            <w:tcW w:w="2410" w:type="dxa"/>
            <w:vAlign w:val="center"/>
          </w:tcPr>
          <w:p w:rsidR="00810FBA" w:rsidRPr="00634977" w:rsidRDefault="00810FBA" w:rsidP="00605BA1">
            <w:pPr>
              <w:pStyle w:val="TABULKYTEXT"/>
              <w:rPr>
                <w:lang w:val="cs-CZ"/>
              </w:rPr>
            </w:pPr>
            <w:r w:rsidRPr="00634977">
              <w:rPr>
                <w:lang w:val="cs-CZ"/>
              </w:rPr>
              <w:t>SRN v B</w:t>
            </w:r>
          </w:p>
        </w:tc>
        <w:tc>
          <w:tcPr>
            <w:tcW w:w="2015"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C-57/09</w:t>
            </w:r>
          </w:p>
        </w:tc>
        <w:tc>
          <w:tcPr>
            <w:tcW w:w="1701" w:type="dxa"/>
            <w:vAlign w:val="center"/>
          </w:tcPr>
          <w:p w:rsidR="00810FBA" w:rsidRPr="00634977" w:rsidRDefault="00810FBA" w:rsidP="00605BA1">
            <w:pPr>
              <w:pStyle w:val="TABULKYTEXT"/>
              <w:rPr>
                <w:lang w:val="cs-CZ"/>
              </w:rPr>
            </w:pPr>
            <w:r w:rsidRPr="00634977">
              <w:rPr>
                <w:lang w:val="cs-CZ"/>
              </w:rPr>
              <w:t>1. 6. 2010</w:t>
            </w:r>
          </w:p>
        </w:tc>
        <w:tc>
          <w:tcPr>
            <w:tcW w:w="2410" w:type="dxa"/>
            <w:vAlign w:val="center"/>
          </w:tcPr>
          <w:p w:rsidR="00810FBA" w:rsidRPr="00634977" w:rsidRDefault="00810FBA" w:rsidP="00605BA1">
            <w:pPr>
              <w:pStyle w:val="TABULKYTEXT"/>
              <w:rPr>
                <w:lang w:val="cs-CZ"/>
              </w:rPr>
            </w:pPr>
            <w:r w:rsidRPr="00634977">
              <w:rPr>
                <w:lang w:val="cs-CZ"/>
              </w:rPr>
              <w:t>SRN v B</w:t>
            </w:r>
          </w:p>
        </w:tc>
        <w:tc>
          <w:tcPr>
            <w:tcW w:w="2015"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ind w:left="720"/>
              <w:jc w:val="both"/>
              <w:rPr>
                <w:lang w:val="cs-CZ"/>
              </w:rPr>
            </w:pPr>
            <w:r w:rsidRPr="00634977">
              <w:rPr>
                <w:lang w:val="cs-CZ"/>
              </w:rPr>
              <w:t>C-578/08</w:t>
            </w:r>
          </w:p>
        </w:tc>
        <w:tc>
          <w:tcPr>
            <w:tcW w:w="1701" w:type="dxa"/>
            <w:vAlign w:val="center"/>
          </w:tcPr>
          <w:p w:rsidR="00810FBA" w:rsidRPr="00634977" w:rsidRDefault="00810FBA" w:rsidP="00605BA1">
            <w:pPr>
              <w:pStyle w:val="TABULKYTEXT"/>
              <w:rPr>
                <w:lang w:val="cs-CZ"/>
              </w:rPr>
            </w:pPr>
            <w:r w:rsidRPr="00634977">
              <w:rPr>
                <w:lang w:val="cs-CZ"/>
              </w:rPr>
              <w:t>4. 3. 2010</w:t>
            </w:r>
          </w:p>
        </w:tc>
        <w:tc>
          <w:tcPr>
            <w:tcW w:w="2410" w:type="dxa"/>
            <w:vAlign w:val="center"/>
          </w:tcPr>
          <w:p w:rsidR="00810FBA" w:rsidRPr="00634977" w:rsidRDefault="00810FBA" w:rsidP="00605BA1">
            <w:pPr>
              <w:pStyle w:val="TABULKYTEXT"/>
              <w:rPr>
                <w:lang w:val="cs-CZ"/>
              </w:rPr>
            </w:pPr>
            <w:r w:rsidRPr="00634977">
              <w:rPr>
                <w:lang w:val="cs-CZ"/>
              </w:rPr>
              <w:t xml:space="preserve">Chakroun v </w:t>
            </w:r>
            <w:r w:rsidRPr="00634977">
              <w:rPr>
                <w:bCs/>
                <w:lang w:val="cs-CZ"/>
              </w:rPr>
              <w:t>Minister van Buitenlandse Zaken</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C-175/08</w:t>
            </w:r>
          </w:p>
        </w:tc>
        <w:tc>
          <w:tcPr>
            <w:tcW w:w="1701" w:type="dxa"/>
            <w:vAlign w:val="center"/>
          </w:tcPr>
          <w:p w:rsidR="00810FBA" w:rsidRPr="00634977" w:rsidRDefault="00810FBA" w:rsidP="00605BA1">
            <w:pPr>
              <w:pStyle w:val="TABULKYTEXT"/>
              <w:rPr>
                <w:lang w:val="cs-CZ"/>
              </w:rPr>
            </w:pPr>
            <w:r w:rsidRPr="00634977">
              <w:rPr>
                <w:lang w:val="cs-CZ"/>
              </w:rPr>
              <w:t>2. 3. 2010</w:t>
            </w:r>
          </w:p>
        </w:tc>
        <w:tc>
          <w:tcPr>
            <w:tcW w:w="2410" w:type="dxa"/>
            <w:vAlign w:val="center"/>
          </w:tcPr>
          <w:p w:rsidR="00810FBA" w:rsidRPr="00634977" w:rsidRDefault="00810FBA" w:rsidP="00605BA1">
            <w:pPr>
              <w:pStyle w:val="TABULKYTEXT"/>
              <w:rPr>
                <w:lang w:val="cs-CZ"/>
              </w:rPr>
            </w:pPr>
            <w:r w:rsidRPr="00634977">
              <w:rPr>
                <w:bCs/>
                <w:lang w:val="cs-CZ"/>
              </w:rPr>
              <w:t>Aydin Salahadin Abdulla v SRN</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C-176/08</w:t>
            </w:r>
          </w:p>
        </w:tc>
        <w:tc>
          <w:tcPr>
            <w:tcW w:w="1701" w:type="dxa"/>
            <w:vAlign w:val="center"/>
          </w:tcPr>
          <w:p w:rsidR="00810FBA" w:rsidRPr="00634977" w:rsidRDefault="00810FBA" w:rsidP="00605BA1">
            <w:pPr>
              <w:pStyle w:val="TABULKYTEXT"/>
              <w:rPr>
                <w:lang w:val="cs-CZ"/>
              </w:rPr>
            </w:pPr>
            <w:r w:rsidRPr="00634977">
              <w:rPr>
                <w:lang w:val="cs-CZ"/>
              </w:rPr>
              <w:t>2. 3. 2010</w:t>
            </w:r>
          </w:p>
        </w:tc>
        <w:tc>
          <w:tcPr>
            <w:tcW w:w="2410" w:type="dxa"/>
            <w:vAlign w:val="center"/>
          </w:tcPr>
          <w:p w:rsidR="00810FBA" w:rsidRPr="00634977" w:rsidRDefault="00810FBA" w:rsidP="00605BA1">
            <w:pPr>
              <w:pStyle w:val="TABULKYTEXT"/>
              <w:rPr>
                <w:lang w:val="cs-CZ"/>
              </w:rPr>
            </w:pPr>
            <w:r w:rsidRPr="00634977">
              <w:rPr>
                <w:bCs/>
                <w:lang w:val="cs-CZ"/>
              </w:rPr>
              <w:t>Kamil Hasan v SRN</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C-177/08</w:t>
            </w:r>
          </w:p>
        </w:tc>
        <w:tc>
          <w:tcPr>
            <w:tcW w:w="1701" w:type="dxa"/>
            <w:vAlign w:val="center"/>
          </w:tcPr>
          <w:p w:rsidR="00810FBA" w:rsidRPr="00634977" w:rsidRDefault="00810FBA" w:rsidP="00605BA1">
            <w:pPr>
              <w:pStyle w:val="TABULKYTEXT"/>
              <w:rPr>
                <w:lang w:val="cs-CZ"/>
              </w:rPr>
            </w:pPr>
            <w:r w:rsidRPr="00634977">
              <w:rPr>
                <w:lang w:val="cs-CZ"/>
              </w:rPr>
              <w:t>2. 3. 2010</w:t>
            </w:r>
          </w:p>
        </w:tc>
        <w:tc>
          <w:tcPr>
            <w:tcW w:w="2410" w:type="dxa"/>
            <w:vAlign w:val="center"/>
          </w:tcPr>
          <w:p w:rsidR="00810FBA" w:rsidRPr="00634977" w:rsidRDefault="00810FBA" w:rsidP="00605BA1">
            <w:pPr>
              <w:pStyle w:val="TABULKYTEXT"/>
              <w:rPr>
                <w:lang w:val="cs-CZ"/>
              </w:rPr>
            </w:pPr>
            <w:r w:rsidRPr="00634977">
              <w:rPr>
                <w:bCs/>
                <w:lang w:val="cs-CZ"/>
              </w:rPr>
              <w:t>Ahmed Adem a Hamrin Mosa Rashi</w:t>
            </w:r>
            <w:r w:rsidRPr="00634977">
              <w:rPr>
                <w:b/>
                <w:bCs/>
                <w:lang w:val="cs-CZ"/>
              </w:rPr>
              <w:t xml:space="preserve"> </w:t>
            </w:r>
            <w:r w:rsidRPr="00634977">
              <w:rPr>
                <w:bCs/>
                <w:lang w:val="cs-CZ"/>
              </w:rPr>
              <w:t>v SRN</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C-179/08</w:t>
            </w:r>
          </w:p>
        </w:tc>
        <w:tc>
          <w:tcPr>
            <w:tcW w:w="1701" w:type="dxa"/>
            <w:vAlign w:val="center"/>
          </w:tcPr>
          <w:p w:rsidR="00810FBA" w:rsidRPr="00634977" w:rsidRDefault="00810FBA" w:rsidP="00605BA1">
            <w:pPr>
              <w:pStyle w:val="TABULKYTEXT"/>
              <w:rPr>
                <w:lang w:val="cs-CZ"/>
              </w:rPr>
            </w:pPr>
            <w:r w:rsidRPr="00634977">
              <w:rPr>
                <w:lang w:val="cs-CZ"/>
              </w:rPr>
              <w:t>2. 3. 2010</w:t>
            </w:r>
          </w:p>
        </w:tc>
        <w:tc>
          <w:tcPr>
            <w:tcW w:w="2410" w:type="dxa"/>
            <w:vAlign w:val="center"/>
          </w:tcPr>
          <w:p w:rsidR="00810FBA" w:rsidRPr="00634977" w:rsidRDefault="00810FBA" w:rsidP="00605BA1">
            <w:pPr>
              <w:pStyle w:val="TABULKYTEXT"/>
              <w:rPr>
                <w:lang w:val="cs-CZ"/>
              </w:rPr>
            </w:pPr>
            <w:r w:rsidRPr="00634977">
              <w:rPr>
                <w:bCs/>
                <w:lang w:val="cs-CZ"/>
              </w:rPr>
              <w:t>Dler Jamal v SRN</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C-403/09 PPU</w:t>
            </w:r>
          </w:p>
        </w:tc>
        <w:tc>
          <w:tcPr>
            <w:tcW w:w="1701" w:type="dxa"/>
            <w:vAlign w:val="center"/>
          </w:tcPr>
          <w:p w:rsidR="00810FBA" w:rsidRPr="00634977" w:rsidRDefault="00810FBA" w:rsidP="00605BA1">
            <w:pPr>
              <w:pStyle w:val="TABULKYTEXT"/>
              <w:rPr>
                <w:lang w:val="cs-CZ"/>
              </w:rPr>
            </w:pPr>
            <w:r w:rsidRPr="00634977">
              <w:rPr>
                <w:lang w:val="cs-CZ"/>
              </w:rPr>
              <w:t>23. 12. 2009</w:t>
            </w:r>
          </w:p>
        </w:tc>
        <w:tc>
          <w:tcPr>
            <w:tcW w:w="2410" w:type="dxa"/>
            <w:vAlign w:val="center"/>
          </w:tcPr>
          <w:p w:rsidR="00810FBA" w:rsidRPr="00634977" w:rsidRDefault="00810FBA" w:rsidP="00605BA1">
            <w:pPr>
              <w:pStyle w:val="TABULKYTEXT"/>
              <w:rPr>
                <w:lang w:val="cs-CZ"/>
              </w:rPr>
            </w:pPr>
            <w:r w:rsidRPr="00634977">
              <w:rPr>
                <w:bCs/>
                <w:lang w:val="cs-CZ"/>
              </w:rPr>
              <w:t>Jasna Detiček</w:t>
            </w:r>
            <w:r w:rsidRPr="00634977">
              <w:rPr>
                <w:lang w:val="cs-CZ"/>
              </w:rPr>
              <w:t xml:space="preserve"> v </w:t>
            </w:r>
            <w:r w:rsidRPr="00634977">
              <w:rPr>
                <w:bCs/>
                <w:lang w:val="cs-CZ"/>
              </w:rPr>
              <w:t>Maurizio Sgueglia</w:t>
            </w:r>
          </w:p>
        </w:tc>
        <w:tc>
          <w:tcPr>
            <w:tcW w:w="2015"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C-578/08</w:t>
            </w:r>
          </w:p>
        </w:tc>
        <w:tc>
          <w:tcPr>
            <w:tcW w:w="1701" w:type="dxa"/>
            <w:vAlign w:val="center"/>
          </w:tcPr>
          <w:p w:rsidR="00810FBA" w:rsidRPr="00634977" w:rsidRDefault="00810FBA" w:rsidP="00605BA1">
            <w:pPr>
              <w:pStyle w:val="TABULKYTEXT"/>
              <w:rPr>
                <w:lang w:val="cs-CZ"/>
              </w:rPr>
            </w:pPr>
            <w:r w:rsidRPr="00634977">
              <w:rPr>
                <w:lang w:val="cs-CZ"/>
              </w:rPr>
              <w:t>10. 12. 2009</w:t>
            </w:r>
          </w:p>
        </w:tc>
        <w:tc>
          <w:tcPr>
            <w:tcW w:w="2410" w:type="dxa"/>
            <w:vAlign w:val="center"/>
          </w:tcPr>
          <w:p w:rsidR="00810FBA" w:rsidRPr="00634977" w:rsidRDefault="00810FBA" w:rsidP="00605BA1">
            <w:pPr>
              <w:pStyle w:val="TABULKYTEXT"/>
              <w:rPr>
                <w:lang w:val="cs-CZ"/>
              </w:rPr>
            </w:pPr>
            <w:r w:rsidRPr="00634977">
              <w:rPr>
                <w:lang w:val="cs-CZ"/>
              </w:rPr>
              <w:t xml:space="preserve">Chakroun v </w:t>
            </w:r>
            <w:r w:rsidRPr="00634977">
              <w:rPr>
                <w:bCs/>
                <w:lang w:val="cs-CZ"/>
              </w:rPr>
              <w:t>Minister van Buitenlandse Zaken</w:t>
            </w:r>
          </w:p>
        </w:tc>
        <w:tc>
          <w:tcPr>
            <w:tcW w:w="2015"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817" w:type="dxa"/>
            <w:vAlign w:val="center"/>
          </w:tcPr>
          <w:p w:rsidR="00810FBA" w:rsidRPr="00634977" w:rsidRDefault="00810FBA" w:rsidP="00605BA1">
            <w:pPr>
              <w:pStyle w:val="TABULKYTEXT"/>
              <w:numPr>
                <w:ilvl w:val="0"/>
                <w:numId w:val="15"/>
              </w:numPr>
              <w:rPr>
                <w:lang w:val="cs-CZ"/>
              </w:rPr>
            </w:pPr>
          </w:p>
        </w:tc>
        <w:tc>
          <w:tcPr>
            <w:tcW w:w="2268" w:type="dxa"/>
            <w:vAlign w:val="center"/>
          </w:tcPr>
          <w:p w:rsidR="00810FBA" w:rsidRPr="00634977" w:rsidRDefault="00810FBA" w:rsidP="00605BA1">
            <w:pPr>
              <w:pStyle w:val="TABULKYTEXT"/>
              <w:rPr>
                <w:lang w:val="cs-CZ"/>
              </w:rPr>
            </w:pPr>
            <w:r w:rsidRPr="00634977">
              <w:rPr>
                <w:lang w:val="cs-CZ"/>
              </w:rPr>
              <w:t>C-403/09 PPU</w:t>
            </w:r>
          </w:p>
        </w:tc>
        <w:tc>
          <w:tcPr>
            <w:tcW w:w="1701" w:type="dxa"/>
            <w:vAlign w:val="center"/>
          </w:tcPr>
          <w:p w:rsidR="00810FBA" w:rsidRPr="00634977" w:rsidRDefault="00810FBA" w:rsidP="00605BA1">
            <w:pPr>
              <w:pStyle w:val="TABULKYTEXT"/>
              <w:rPr>
                <w:lang w:val="cs-CZ"/>
              </w:rPr>
            </w:pPr>
            <w:r w:rsidRPr="00634977">
              <w:rPr>
                <w:lang w:val="cs-CZ"/>
              </w:rPr>
              <w:t>9. 12. 2010</w:t>
            </w:r>
          </w:p>
        </w:tc>
        <w:tc>
          <w:tcPr>
            <w:tcW w:w="2410" w:type="dxa"/>
            <w:vAlign w:val="center"/>
          </w:tcPr>
          <w:p w:rsidR="00810FBA" w:rsidRPr="00634977" w:rsidRDefault="00810FBA" w:rsidP="00605BA1">
            <w:pPr>
              <w:pStyle w:val="TABULKYTEXT"/>
              <w:rPr>
                <w:lang w:val="cs-CZ"/>
              </w:rPr>
            </w:pPr>
            <w:r w:rsidRPr="00634977">
              <w:rPr>
                <w:bCs/>
                <w:lang w:val="cs-CZ"/>
              </w:rPr>
              <w:t>Jasna Detiček</w:t>
            </w:r>
            <w:r w:rsidRPr="00634977">
              <w:rPr>
                <w:lang w:val="cs-CZ"/>
              </w:rPr>
              <w:t xml:space="preserve"> v </w:t>
            </w:r>
            <w:r w:rsidRPr="00634977">
              <w:rPr>
                <w:bCs/>
                <w:lang w:val="cs-CZ"/>
              </w:rPr>
              <w:t>Maurizio Sgueglia</w:t>
            </w:r>
          </w:p>
        </w:tc>
        <w:tc>
          <w:tcPr>
            <w:tcW w:w="2015" w:type="dxa"/>
            <w:vAlign w:val="center"/>
          </w:tcPr>
          <w:p w:rsidR="00810FBA" w:rsidRPr="00634977" w:rsidRDefault="00810FBA" w:rsidP="00605BA1">
            <w:pPr>
              <w:pStyle w:val="TABULKYTEXT"/>
              <w:rPr>
                <w:lang w:val="cs-CZ"/>
              </w:rPr>
            </w:pPr>
            <w:r w:rsidRPr="00634977">
              <w:rPr>
                <w:lang w:val="cs-CZ"/>
              </w:rPr>
              <w:t>názor</w:t>
            </w:r>
          </w:p>
        </w:tc>
      </w:tr>
    </w:tbl>
    <w:p w:rsidR="00810FBA" w:rsidRPr="00634977" w:rsidRDefault="00810FBA" w:rsidP="00810FBA">
      <w:pPr>
        <w:spacing w:after="200" w:line="276" w:lineRule="auto"/>
        <w:ind w:firstLine="0"/>
        <w:jc w:val="left"/>
        <w:outlineLvl w:val="0"/>
        <w:rPr>
          <w:b/>
        </w:rPr>
      </w:pPr>
      <w:r w:rsidRPr="00634977">
        <w:br w:type="page"/>
      </w:r>
      <w:r w:rsidRPr="00634977">
        <w:rPr>
          <w:b/>
        </w:rPr>
        <w:lastRenderedPageBreak/>
        <w:t xml:space="preserve">Příloha č. 2 – Seznam judikatury k podkapitole </w:t>
      </w:r>
      <w:r w:rsidRPr="00634977">
        <w:rPr>
          <w:b/>
          <w:i/>
        </w:rPr>
        <w:t>„Sociální politika“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C-444/09</w:t>
            </w:r>
          </w:p>
        </w:tc>
        <w:tc>
          <w:tcPr>
            <w:tcW w:w="1518" w:type="dxa"/>
            <w:vAlign w:val="center"/>
          </w:tcPr>
          <w:p w:rsidR="00810FBA" w:rsidRPr="00634977" w:rsidRDefault="00810FBA" w:rsidP="00605BA1">
            <w:pPr>
              <w:pStyle w:val="TABULKYTEXT"/>
              <w:rPr>
                <w:lang w:val="cs-CZ"/>
              </w:rPr>
            </w:pPr>
            <w:r w:rsidRPr="00634977">
              <w:rPr>
                <w:lang w:val="cs-CZ"/>
              </w:rPr>
              <w:t>22. 12. 2010</w:t>
            </w:r>
          </w:p>
        </w:tc>
        <w:tc>
          <w:tcPr>
            <w:tcW w:w="3029" w:type="dxa"/>
            <w:vAlign w:val="center"/>
          </w:tcPr>
          <w:p w:rsidR="00810FBA" w:rsidRPr="00634977" w:rsidRDefault="00810FBA" w:rsidP="00605BA1">
            <w:pPr>
              <w:pStyle w:val="TABULKYTEXT"/>
              <w:rPr>
                <w:lang w:val="cs-CZ"/>
              </w:rPr>
            </w:pPr>
            <w:r w:rsidRPr="00634977">
              <w:rPr>
                <w:bCs/>
                <w:lang w:val="cs-CZ"/>
              </w:rPr>
              <w:t>Rosa María Gavieiro Gavieiro v Consellería de Educación e Ordenación Universitaria de la Xunta de Galicia</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C-456/09</w:t>
            </w:r>
          </w:p>
        </w:tc>
        <w:tc>
          <w:tcPr>
            <w:tcW w:w="1518" w:type="dxa"/>
            <w:vAlign w:val="center"/>
          </w:tcPr>
          <w:p w:rsidR="00810FBA" w:rsidRPr="00634977" w:rsidRDefault="00810FBA" w:rsidP="00605BA1">
            <w:pPr>
              <w:pStyle w:val="TABULKYTEXT"/>
              <w:rPr>
                <w:lang w:val="cs-CZ"/>
              </w:rPr>
            </w:pPr>
            <w:r w:rsidRPr="00634977">
              <w:rPr>
                <w:lang w:val="cs-CZ"/>
              </w:rPr>
              <w:t>22. 12. 2010</w:t>
            </w:r>
          </w:p>
        </w:tc>
        <w:tc>
          <w:tcPr>
            <w:tcW w:w="3029" w:type="dxa"/>
            <w:vAlign w:val="center"/>
          </w:tcPr>
          <w:p w:rsidR="00810FBA" w:rsidRPr="00634977" w:rsidRDefault="00810FBA" w:rsidP="00605BA1">
            <w:pPr>
              <w:pStyle w:val="TABULKYTEXT"/>
              <w:rPr>
                <w:lang w:val="cs-CZ"/>
              </w:rPr>
            </w:pPr>
            <w:r w:rsidRPr="00634977">
              <w:rPr>
                <w:bCs/>
                <w:lang w:val="cs-CZ"/>
              </w:rPr>
              <w:t>Ana María Iglesias Torres v Consellería de Educación e Ordenación Universitaria de la Xunta de Galicia</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C-232/09</w:t>
            </w:r>
          </w:p>
        </w:tc>
        <w:tc>
          <w:tcPr>
            <w:tcW w:w="1518" w:type="dxa"/>
            <w:vAlign w:val="center"/>
          </w:tcPr>
          <w:p w:rsidR="00810FBA" w:rsidRPr="00634977" w:rsidRDefault="00810FBA" w:rsidP="00605BA1">
            <w:pPr>
              <w:pStyle w:val="TABULKYTEXT"/>
              <w:rPr>
                <w:lang w:val="cs-CZ"/>
              </w:rPr>
            </w:pPr>
            <w:r w:rsidRPr="00634977">
              <w:rPr>
                <w:lang w:val="cs-CZ"/>
              </w:rPr>
              <w:t>11. 11. 2010</w:t>
            </w:r>
          </w:p>
        </w:tc>
        <w:tc>
          <w:tcPr>
            <w:tcW w:w="3029" w:type="dxa"/>
            <w:vAlign w:val="center"/>
          </w:tcPr>
          <w:p w:rsidR="00810FBA" w:rsidRPr="00634977" w:rsidRDefault="00810FBA" w:rsidP="00605BA1">
            <w:pPr>
              <w:pStyle w:val="TABULKYTEXT"/>
              <w:rPr>
                <w:lang w:val="cs-CZ"/>
              </w:rPr>
            </w:pPr>
            <w:r w:rsidRPr="00634977">
              <w:rPr>
                <w:bCs/>
                <w:lang w:val="cs-CZ"/>
              </w:rPr>
              <w:t>Dita Danosa</w:t>
            </w:r>
            <w:r w:rsidRPr="00634977">
              <w:rPr>
                <w:lang w:val="cs-CZ"/>
              </w:rPr>
              <w:t xml:space="preserve"> v </w:t>
            </w:r>
            <w:r w:rsidRPr="00634977">
              <w:rPr>
                <w:bCs/>
                <w:lang w:val="cs-CZ"/>
              </w:rPr>
              <w:t>LKB Līzings SIA</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C-243/09</w:t>
            </w:r>
          </w:p>
        </w:tc>
        <w:tc>
          <w:tcPr>
            <w:tcW w:w="1518" w:type="dxa"/>
            <w:vAlign w:val="center"/>
          </w:tcPr>
          <w:p w:rsidR="00810FBA" w:rsidRPr="00634977" w:rsidRDefault="00810FBA" w:rsidP="00605BA1">
            <w:pPr>
              <w:pStyle w:val="TABULKYTEXT"/>
              <w:rPr>
                <w:lang w:val="cs-CZ"/>
              </w:rPr>
            </w:pPr>
            <w:r w:rsidRPr="00634977">
              <w:rPr>
                <w:lang w:val="cs-CZ"/>
              </w:rPr>
              <w:t>14. 10. 2010</w:t>
            </w:r>
          </w:p>
        </w:tc>
        <w:tc>
          <w:tcPr>
            <w:tcW w:w="3029" w:type="dxa"/>
            <w:vAlign w:val="center"/>
          </w:tcPr>
          <w:p w:rsidR="00810FBA" w:rsidRPr="00634977" w:rsidRDefault="00810FBA" w:rsidP="00605BA1">
            <w:pPr>
              <w:pStyle w:val="TABULKYTEXT"/>
              <w:rPr>
                <w:lang w:val="cs-CZ"/>
              </w:rPr>
            </w:pPr>
            <w:r w:rsidRPr="00634977">
              <w:rPr>
                <w:bCs/>
                <w:lang w:val="cs-CZ"/>
              </w:rPr>
              <w:t>Günter Fuß</w:t>
            </w:r>
            <w:r w:rsidRPr="00634977">
              <w:rPr>
                <w:lang w:val="cs-CZ"/>
              </w:rPr>
              <w:t xml:space="preserve"> v </w:t>
            </w:r>
            <w:r w:rsidRPr="00634977">
              <w:rPr>
                <w:bCs/>
                <w:lang w:val="cs-CZ"/>
              </w:rPr>
              <w:t>Stadt Halle</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C-236/09</w:t>
            </w:r>
          </w:p>
        </w:tc>
        <w:tc>
          <w:tcPr>
            <w:tcW w:w="1518" w:type="dxa"/>
            <w:vAlign w:val="center"/>
          </w:tcPr>
          <w:p w:rsidR="00810FBA" w:rsidRPr="00634977" w:rsidRDefault="00810FBA" w:rsidP="00605BA1">
            <w:pPr>
              <w:pStyle w:val="TABULKYTEXT"/>
              <w:rPr>
                <w:lang w:val="cs-CZ"/>
              </w:rPr>
            </w:pPr>
            <w:r w:rsidRPr="00634977">
              <w:rPr>
                <w:lang w:val="cs-CZ"/>
              </w:rPr>
              <w:t>30. 9. 2010</w:t>
            </w:r>
          </w:p>
        </w:tc>
        <w:tc>
          <w:tcPr>
            <w:tcW w:w="3029" w:type="dxa"/>
            <w:vAlign w:val="center"/>
          </w:tcPr>
          <w:p w:rsidR="00810FBA" w:rsidRPr="00634977" w:rsidRDefault="00810FBA" w:rsidP="00605BA1">
            <w:pPr>
              <w:pStyle w:val="TABULKYTEXT"/>
              <w:rPr>
                <w:lang w:val="cs-CZ"/>
              </w:rPr>
            </w:pPr>
            <w:r w:rsidRPr="00634977">
              <w:rPr>
                <w:lang w:val="cs-CZ"/>
              </w:rPr>
              <w:t>Association Belge des Consommateurs Test-Achats ASBL, Yann van Vugt, Charles Basselier</w:t>
            </w:r>
          </w:p>
          <w:p w:rsidR="00810FBA" w:rsidRPr="00634977" w:rsidRDefault="00810FBA" w:rsidP="00605BA1">
            <w:pPr>
              <w:pStyle w:val="TABULKYTEXT"/>
              <w:rPr>
                <w:lang w:val="cs-CZ"/>
              </w:rPr>
            </w:pPr>
            <w:r w:rsidRPr="00634977">
              <w:rPr>
                <w:lang w:val="cs-CZ"/>
              </w:rPr>
              <w:t>v Conseil des ministres</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C-149/10</w:t>
            </w:r>
          </w:p>
        </w:tc>
        <w:tc>
          <w:tcPr>
            <w:tcW w:w="1518" w:type="dxa"/>
            <w:vAlign w:val="center"/>
          </w:tcPr>
          <w:p w:rsidR="00810FBA" w:rsidRPr="00634977" w:rsidRDefault="00810FBA" w:rsidP="00605BA1">
            <w:pPr>
              <w:pStyle w:val="TABULKYTEXT"/>
              <w:rPr>
                <w:lang w:val="cs-CZ"/>
              </w:rPr>
            </w:pPr>
            <w:r w:rsidRPr="00634977">
              <w:rPr>
                <w:lang w:val="cs-CZ"/>
              </w:rPr>
              <w:t>16. 9. 2010</w:t>
            </w:r>
          </w:p>
        </w:tc>
        <w:tc>
          <w:tcPr>
            <w:tcW w:w="3029" w:type="dxa"/>
            <w:vAlign w:val="center"/>
          </w:tcPr>
          <w:p w:rsidR="00810FBA" w:rsidRPr="00634977" w:rsidRDefault="00810FBA" w:rsidP="00605BA1">
            <w:pPr>
              <w:pStyle w:val="TABULKYTEXT"/>
              <w:rPr>
                <w:lang w:val="cs-CZ"/>
              </w:rPr>
            </w:pPr>
            <w:r w:rsidRPr="00634977">
              <w:rPr>
                <w:bCs/>
                <w:lang w:val="cs-CZ"/>
              </w:rPr>
              <w:t>Zoi Chatzi</w:t>
            </w:r>
            <w:r w:rsidRPr="00634977">
              <w:rPr>
                <w:lang w:val="cs-CZ"/>
              </w:rPr>
              <w:t xml:space="preserve"> v </w:t>
            </w:r>
            <w:r w:rsidRPr="00634977">
              <w:rPr>
                <w:bCs/>
                <w:lang w:val="cs-CZ"/>
              </w:rPr>
              <w:t>Ypourgos Oikonomikon</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C-356/09</w:t>
            </w:r>
          </w:p>
        </w:tc>
        <w:tc>
          <w:tcPr>
            <w:tcW w:w="1518" w:type="dxa"/>
            <w:vAlign w:val="center"/>
          </w:tcPr>
          <w:p w:rsidR="00810FBA" w:rsidRPr="00634977" w:rsidRDefault="00810FBA" w:rsidP="00605BA1">
            <w:pPr>
              <w:pStyle w:val="TABULKYTEXT"/>
              <w:rPr>
                <w:lang w:val="cs-CZ"/>
              </w:rPr>
            </w:pPr>
            <w:r w:rsidRPr="00634977">
              <w:rPr>
                <w:lang w:val="cs-CZ"/>
              </w:rPr>
              <w:t>16. 9. 2010</w:t>
            </w:r>
          </w:p>
        </w:tc>
        <w:tc>
          <w:tcPr>
            <w:tcW w:w="3029" w:type="dxa"/>
            <w:vAlign w:val="center"/>
          </w:tcPr>
          <w:p w:rsidR="00810FBA" w:rsidRPr="00634977" w:rsidRDefault="00810FBA" w:rsidP="00605BA1">
            <w:pPr>
              <w:pStyle w:val="TABULKYTEXT"/>
              <w:rPr>
                <w:lang w:val="cs-CZ"/>
              </w:rPr>
            </w:pPr>
            <w:r w:rsidRPr="00634977">
              <w:rPr>
                <w:bCs/>
                <w:lang w:val="cs-CZ"/>
              </w:rPr>
              <w:t>Pensionsversicherungsanstalt</w:t>
            </w:r>
            <w:r w:rsidRPr="00634977">
              <w:rPr>
                <w:lang w:val="cs-CZ"/>
              </w:rPr>
              <w:t xml:space="preserve"> v </w:t>
            </w:r>
            <w:r w:rsidRPr="00634977">
              <w:rPr>
                <w:bCs/>
                <w:lang w:val="cs-CZ"/>
              </w:rPr>
              <w:t>Christine Kleist</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C-232/09</w:t>
            </w:r>
          </w:p>
        </w:tc>
        <w:tc>
          <w:tcPr>
            <w:tcW w:w="1518" w:type="dxa"/>
            <w:vAlign w:val="center"/>
          </w:tcPr>
          <w:p w:rsidR="00810FBA" w:rsidRPr="00634977" w:rsidRDefault="00810FBA" w:rsidP="00605BA1">
            <w:pPr>
              <w:pStyle w:val="TABULKYTEXT"/>
              <w:rPr>
                <w:lang w:val="cs-CZ"/>
              </w:rPr>
            </w:pPr>
            <w:r w:rsidRPr="00634977">
              <w:rPr>
                <w:lang w:val="cs-CZ"/>
              </w:rPr>
              <w:t>2. 9. 2010</w:t>
            </w:r>
          </w:p>
        </w:tc>
        <w:tc>
          <w:tcPr>
            <w:tcW w:w="3029" w:type="dxa"/>
            <w:vAlign w:val="center"/>
          </w:tcPr>
          <w:p w:rsidR="00810FBA" w:rsidRPr="00634977" w:rsidRDefault="00810FBA" w:rsidP="00605BA1">
            <w:pPr>
              <w:pStyle w:val="TABULKYTEXT"/>
              <w:rPr>
                <w:lang w:val="cs-CZ"/>
              </w:rPr>
            </w:pPr>
            <w:r w:rsidRPr="00634977">
              <w:rPr>
                <w:bCs/>
                <w:lang w:val="cs-CZ"/>
              </w:rPr>
              <w:t>Dita Danosa</w:t>
            </w:r>
            <w:r w:rsidRPr="00634977">
              <w:rPr>
                <w:lang w:val="cs-CZ"/>
              </w:rPr>
              <w:t xml:space="preserve"> v </w:t>
            </w:r>
            <w:r w:rsidRPr="00634977">
              <w:rPr>
                <w:bCs/>
                <w:lang w:val="cs-CZ"/>
              </w:rPr>
              <w:t>LKB Līzings SIA</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C-149/10</w:t>
            </w:r>
          </w:p>
        </w:tc>
        <w:tc>
          <w:tcPr>
            <w:tcW w:w="1518" w:type="dxa"/>
            <w:vAlign w:val="center"/>
          </w:tcPr>
          <w:p w:rsidR="00810FBA" w:rsidRPr="00634977" w:rsidRDefault="00810FBA" w:rsidP="00605BA1">
            <w:pPr>
              <w:pStyle w:val="TABULKYTEXT"/>
              <w:rPr>
                <w:lang w:val="cs-CZ"/>
              </w:rPr>
            </w:pPr>
            <w:r w:rsidRPr="00634977">
              <w:rPr>
                <w:lang w:val="cs-CZ"/>
              </w:rPr>
              <w:t>7. 7. 2010</w:t>
            </w:r>
          </w:p>
        </w:tc>
        <w:tc>
          <w:tcPr>
            <w:tcW w:w="3029" w:type="dxa"/>
            <w:vAlign w:val="center"/>
          </w:tcPr>
          <w:p w:rsidR="00810FBA" w:rsidRPr="00634977" w:rsidRDefault="00810FBA" w:rsidP="00605BA1">
            <w:pPr>
              <w:pStyle w:val="TABULKYTEXT"/>
              <w:rPr>
                <w:lang w:val="cs-CZ"/>
              </w:rPr>
            </w:pPr>
            <w:r w:rsidRPr="00634977">
              <w:rPr>
                <w:bCs/>
                <w:lang w:val="cs-CZ"/>
              </w:rPr>
              <w:t>Zoi Chatzi</w:t>
            </w:r>
            <w:r w:rsidRPr="00634977">
              <w:rPr>
                <w:lang w:val="cs-CZ"/>
              </w:rPr>
              <w:t xml:space="preserve"> v </w:t>
            </w:r>
            <w:r w:rsidRPr="00634977">
              <w:rPr>
                <w:bCs/>
                <w:lang w:val="cs-CZ"/>
              </w:rPr>
              <w:t>Ypourgos Oikonomikon</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C-499/08</w:t>
            </w:r>
          </w:p>
        </w:tc>
        <w:tc>
          <w:tcPr>
            <w:tcW w:w="1518" w:type="dxa"/>
            <w:vAlign w:val="center"/>
          </w:tcPr>
          <w:p w:rsidR="00810FBA" w:rsidRPr="00634977" w:rsidRDefault="00810FBA" w:rsidP="00605BA1">
            <w:pPr>
              <w:pStyle w:val="TABULKYTEXT"/>
              <w:rPr>
                <w:lang w:val="cs-CZ"/>
              </w:rPr>
            </w:pPr>
            <w:r w:rsidRPr="00634977">
              <w:rPr>
                <w:lang w:val="cs-CZ"/>
              </w:rPr>
              <w:t>6. 5. 2010</w:t>
            </w:r>
          </w:p>
        </w:tc>
        <w:tc>
          <w:tcPr>
            <w:tcW w:w="3029" w:type="dxa"/>
            <w:vAlign w:val="center"/>
          </w:tcPr>
          <w:p w:rsidR="00810FBA" w:rsidRPr="00634977" w:rsidRDefault="00810FBA" w:rsidP="00605BA1">
            <w:pPr>
              <w:pStyle w:val="TABULKYTEXT"/>
              <w:rPr>
                <w:lang w:val="cs-CZ"/>
              </w:rPr>
            </w:pPr>
            <w:r w:rsidRPr="00634977">
              <w:rPr>
                <w:bCs/>
                <w:lang w:val="cs-CZ"/>
              </w:rPr>
              <w:t xml:space="preserve">Ingeniørforeningen i Danmark </w:t>
            </w:r>
            <w:r w:rsidRPr="00634977">
              <w:rPr>
                <w:lang w:val="cs-CZ"/>
              </w:rPr>
              <w:t xml:space="preserve">jménem Ole Andersena v </w:t>
            </w:r>
            <w:r w:rsidRPr="00634977">
              <w:rPr>
                <w:bCs/>
                <w:lang w:val="cs-CZ"/>
              </w:rPr>
              <w:t>Region Syddanmark</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C-555/07</w:t>
            </w:r>
          </w:p>
        </w:tc>
        <w:tc>
          <w:tcPr>
            <w:tcW w:w="1518" w:type="dxa"/>
            <w:vAlign w:val="center"/>
          </w:tcPr>
          <w:p w:rsidR="00810FBA" w:rsidRPr="00634977" w:rsidRDefault="00810FBA" w:rsidP="00605BA1">
            <w:pPr>
              <w:pStyle w:val="TABULKYTEXT"/>
              <w:rPr>
                <w:lang w:val="cs-CZ"/>
              </w:rPr>
            </w:pPr>
            <w:r w:rsidRPr="00634977">
              <w:rPr>
                <w:lang w:val="cs-CZ"/>
              </w:rPr>
              <w:t>19. 1. 2010</w:t>
            </w:r>
          </w:p>
        </w:tc>
        <w:tc>
          <w:tcPr>
            <w:tcW w:w="3029" w:type="dxa"/>
            <w:vAlign w:val="center"/>
          </w:tcPr>
          <w:p w:rsidR="00810FBA" w:rsidRPr="00634977" w:rsidRDefault="00810FBA" w:rsidP="00605BA1">
            <w:pPr>
              <w:pStyle w:val="TABULKYTEXT"/>
              <w:rPr>
                <w:lang w:val="cs-CZ"/>
              </w:rPr>
            </w:pPr>
            <w:r w:rsidRPr="00634977">
              <w:rPr>
                <w:bCs/>
                <w:lang w:val="cs-CZ"/>
              </w:rPr>
              <w:t>Seda Kücükdeveci</w:t>
            </w:r>
            <w:r w:rsidRPr="00634977">
              <w:rPr>
                <w:lang w:val="cs-CZ"/>
              </w:rPr>
              <w:t xml:space="preserve"> v </w:t>
            </w:r>
            <w:r w:rsidRPr="00634977">
              <w:rPr>
                <w:bCs/>
                <w:lang w:val="cs-CZ"/>
              </w:rPr>
              <w:t>Swedex GmbH &amp; Co. KG</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C-323/08</w:t>
            </w:r>
          </w:p>
        </w:tc>
        <w:tc>
          <w:tcPr>
            <w:tcW w:w="1518" w:type="dxa"/>
            <w:vAlign w:val="center"/>
          </w:tcPr>
          <w:p w:rsidR="00810FBA" w:rsidRPr="00634977" w:rsidRDefault="00810FBA" w:rsidP="00605BA1">
            <w:pPr>
              <w:pStyle w:val="TABULKYTEXT"/>
              <w:rPr>
                <w:lang w:val="cs-CZ"/>
              </w:rPr>
            </w:pPr>
            <w:r w:rsidRPr="00634977">
              <w:rPr>
                <w:lang w:val="cs-CZ"/>
              </w:rPr>
              <w:t>10. 12. 2009</w:t>
            </w:r>
          </w:p>
        </w:tc>
        <w:tc>
          <w:tcPr>
            <w:tcW w:w="3029" w:type="dxa"/>
            <w:vAlign w:val="center"/>
          </w:tcPr>
          <w:p w:rsidR="00810FBA" w:rsidRPr="00634977" w:rsidRDefault="00810FBA" w:rsidP="00605BA1">
            <w:pPr>
              <w:pStyle w:val="TABULKYTEXT"/>
              <w:rPr>
                <w:lang w:val="cs-CZ"/>
              </w:rPr>
            </w:pPr>
            <w:r w:rsidRPr="00634977">
              <w:rPr>
                <w:lang w:val="cs-CZ"/>
              </w:rPr>
              <w:t>Rodríguez Mayor a další v Succession vacante de Rafael de las Heras Dávila, Sagrario de las Heras Dávila</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C-236/09</w:t>
            </w:r>
          </w:p>
        </w:tc>
        <w:tc>
          <w:tcPr>
            <w:tcW w:w="1518" w:type="dxa"/>
            <w:vAlign w:val="center"/>
          </w:tcPr>
          <w:p w:rsidR="00810FBA" w:rsidRPr="00634977" w:rsidRDefault="00810FBA" w:rsidP="00605BA1">
            <w:pPr>
              <w:pStyle w:val="TABULKYTEXT"/>
              <w:rPr>
                <w:lang w:val="cs-CZ"/>
              </w:rPr>
            </w:pPr>
            <w:r w:rsidRPr="00634977">
              <w:rPr>
                <w:lang w:val="cs-CZ"/>
              </w:rPr>
              <w:t>1. 3. 2011</w:t>
            </w:r>
          </w:p>
        </w:tc>
        <w:tc>
          <w:tcPr>
            <w:tcW w:w="3029" w:type="dxa"/>
            <w:vAlign w:val="center"/>
          </w:tcPr>
          <w:p w:rsidR="00810FBA" w:rsidRPr="00634977" w:rsidRDefault="00810FBA" w:rsidP="00605BA1">
            <w:pPr>
              <w:pStyle w:val="TABULKYTEXT"/>
              <w:rPr>
                <w:lang w:val="cs-CZ"/>
              </w:rPr>
            </w:pPr>
            <w:r w:rsidRPr="00634977">
              <w:rPr>
                <w:bCs/>
                <w:lang w:val="cs-CZ"/>
              </w:rPr>
              <w:t>Association belge des Consommateurs Test-Achats ASBL,</w:t>
            </w:r>
            <w:r w:rsidRPr="00634977">
              <w:rPr>
                <w:lang w:val="cs-CZ"/>
              </w:rPr>
              <w:t xml:space="preserve"> </w:t>
            </w:r>
            <w:r w:rsidRPr="00634977">
              <w:rPr>
                <w:bCs/>
                <w:lang w:val="cs-CZ"/>
              </w:rPr>
              <w:t>Yann van Vugt,</w:t>
            </w:r>
            <w:r w:rsidRPr="00634977">
              <w:rPr>
                <w:lang w:val="cs-CZ"/>
              </w:rPr>
              <w:t xml:space="preserve"> </w:t>
            </w:r>
            <w:r w:rsidRPr="00634977">
              <w:rPr>
                <w:bCs/>
                <w:lang w:val="cs-CZ"/>
              </w:rPr>
              <w:t>Charles Basselier</w:t>
            </w:r>
            <w:r w:rsidRPr="00634977">
              <w:rPr>
                <w:lang w:val="cs-CZ"/>
              </w:rPr>
              <w:t xml:space="preserve"> proti </w:t>
            </w:r>
            <w:r w:rsidRPr="00634977">
              <w:rPr>
                <w:bCs/>
                <w:lang w:val="cs-CZ"/>
              </w:rPr>
              <w:t>Conseil des ministres</w:t>
            </w:r>
          </w:p>
        </w:tc>
        <w:tc>
          <w:tcPr>
            <w:tcW w:w="2070" w:type="dxa"/>
            <w:vAlign w:val="center"/>
          </w:tcPr>
          <w:p w:rsidR="00810FBA" w:rsidRPr="00634977" w:rsidRDefault="00810FBA" w:rsidP="00605BA1">
            <w:pPr>
              <w:pStyle w:val="TABULKYTEXT"/>
              <w:rPr>
                <w:lang w:val="cs-CZ"/>
              </w:rPr>
            </w:pPr>
            <w:r w:rsidRPr="00634977">
              <w:rPr>
                <w:lang w:val="cs-CZ"/>
              </w:rPr>
              <w:t>rozsudek</w:t>
            </w:r>
          </w:p>
        </w:tc>
      </w:tr>
    </w:tbl>
    <w:p w:rsidR="00810FBA" w:rsidRPr="00634977" w:rsidRDefault="00810FBA" w:rsidP="00810FBA">
      <w:pPr>
        <w:spacing w:line="240" w:lineRule="auto"/>
        <w:ind w:firstLine="0"/>
        <w:jc w:val="left"/>
        <w:rPr>
          <w:szCs w:val="24"/>
        </w:rPr>
      </w:pPr>
      <w:r w:rsidRPr="00634977">
        <w:br w:type="page"/>
      </w:r>
    </w:p>
    <w:p w:rsidR="00810FBA" w:rsidRPr="00634977" w:rsidRDefault="00810FBA" w:rsidP="00810FBA">
      <w:pPr>
        <w:pStyle w:val="BIBLIOGRAFIE"/>
        <w:numPr>
          <w:ilvl w:val="0"/>
          <w:numId w:val="0"/>
        </w:numPr>
        <w:rPr>
          <w:b/>
          <w:i/>
        </w:rPr>
      </w:pPr>
      <w:r w:rsidRPr="00634977">
        <w:rPr>
          <w:b/>
        </w:rPr>
        <w:lastRenderedPageBreak/>
        <w:t xml:space="preserve">Příloha č. 3 – Seznam judikatury k podkapitole </w:t>
      </w:r>
      <w:r w:rsidRPr="00634977">
        <w:rPr>
          <w:b/>
          <w:i/>
        </w:rPr>
        <w:t>„Policejní a soudní spolupráce v trestních věcech“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18"/>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C-261/09</w:t>
            </w:r>
          </w:p>
        </w:tc>
        <w:tc>
          <w:tcPr>
            <w:tcW w:w="1518" w:type="dxa"/>
            <w:vAlign w:val="center"/>
          </w:tcPr>
          <w:p w:rsidR="00810FBA" w:rsidRPr="00634977" w:rsidRDefault="00810FBA" w:rsidP="00605BA1">
            <w:pPr>
              <w:pStyle w:val="TABULKYTEXT"/>
              <w:rPr>
                <w:lang w:val="cs-CZ"/>
              </w:rPr>
            </w:pPr>
            <w:r w:rsidRPr="00634977">
              <w:rPr>
                <w:lang w:val="cs-CZ"/>
              </w:rPr>
              <w:t>16. 11. 2010</w:t>
            </w:r>
          </w:p>
        </w:tc>
        <w:tc>
          <w:tcPr>
            <w:tcW w:w="3029" w:type="dxa"/>
            <w:vAlign w:val="center"/>
          </w:tcPr>
          <w:p w:rsidR="00810FBA" w:rsidRPr="00634977" w:rsidRDefault="00810FBA" w:rsidP="00605BA1">
            <w:pPr>
              <w:pStyle w:val="TABULKYTEXT"/>
              <w:rPr>
                <w:lang w:val="cs-CZ"/>
              </w:rPr>
            </w:pPr>
            <w:r w:rsidRPr="00634977">
              <w:rPr>
                <w:lang w:val="cs-CZ"/>
              </w:rPr>
              <w:t>Gaetano Mantello</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8"/>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C-306/09</w:t>
            </w:r>
          </w:p>
        </w:tc>
        <w:tc>
          <w:tcPr>
            <w:tcW w:w="1518" w:type="dxa"/>
            <w:vAlign w:val="center"/>
          </w:tcPr>
          <w:p w:rsidR="00810FBA" w:rsidRPr="00634977" w:rsidRDefault="00810FBA" w:rsidP="00605BA1">
            <w:pPr>
              <w:pStyle w:val="TABULKYTEXT"/>
              <w:rPr>
                <w:lang w:val="cs-CZ"/>
              </w:rPr>
            </w:pPr>
            <w:r w:rsidRPr="00634977">
              <w:rPr>
                <w:lang w:val="cs-CZ"/>
              </w:rPr>
              <w:t>21. 10. 2010</w:t>
            </w:r>
          </w:p>
        </w:tc>
        <w:tc>
          <w:tcPr>
            <w:tcW w:w="3029" w:type="dxa"/>
            <w:vAlign w:val="center"/>
          </w:tcPr>
          <w:p w:rsidR="00810FBA" w:rsidRPr="00634977" w:rsidRDefault="00810FBA" w:rsidP="00605BA1">
            <w:pPr>
              <w:pStyle w:val="TABULKYTEXT"/>
              <w:rPr>
                <w:lang w:val="cs-CZ"/>
              </w:rPr>
            </w:pPr>
            <w:r w:rsidRPr="00634977">
              <w:rPr>
                <w:lang w:val="cs-CZ"/>
              </w:rPr>
              <w:t xml:space="preserve">I. B. </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8"/>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C-261/09</w:t>
            </w:r>
          </w:p>
        </w:tc>
        <w:tc>
          <w:tcPr>
            <w:tcW w:w="1518" w:type="dxa"/>
            <w:vAlign w:val="center"/>
          </w:tcPr>
          <w:p w:rsidR="00810FBA" w:rsidRPr="00634977" w:rsidRDefault="00810FBA" w:rsidP="00605BA1">
            <w:pPr>
              <w:pStyle w:val="TABULKYTEXT"/>
              <w:rPr>
                <w:lang w:val="cs-CZ"/>
              </w:rPr>
            </w:pPr>
            <w:r w:rsidRPr="00634977">
              <w:rPr>
                <w:lang w:val="cs-CZ"/>
              </w:rPr>
              <w:t>7. 9. 2010</w:t>
            </w:r>
          </w:p>
        </w:tc>
        <w:tc>
          <w:tcPr>
            <w:tcW w:w="3029" w:type="dxa"/>
            <w:vAlign w:val="center"/>
          </w:tcPr>
          <w:p w:rsidR="00810FBA" w:rsidRPr="00634977" w:rsidRDefault="00810FBA" w:rsidP="00605BA1">
            <w:pPr>
              <w:pStyle w:val="TABULKYTEXT"/>
              <w:rPr>
                <w:lang w:val="cs-CZ"/>
              </w:rPr>
            </w:pPr>
            <w:r w:rsidRPr="00634977">
              <w:rPr>
                <w:lang w:val="cs-CZ"/>
              </w:rPr>
              <w:t>Gaetano Mantello</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8"/>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C-306/09</w:t>
            </w:r>
          </w:p>
        </w:tc>
        <w:tc>
          <w:tcPr>
            <w:tcW w:w="1518" w:type="dxa"/>
            <w:vAlign w:val="center"/>
          </w:tcPr>
          <w:p w:rsidR="00810FBA" w:rsidRPr="00634977" w:rsidRDefault="00810FBA" w:rsidP="00605BA1">
            <w:pPr>
              <w:pStyle w:val="TABULKYTEXT"/>
              <w:rPr>
                <w:lang w:val="cs-CZ"/>
              </w:rPr>
            </w:pPr>
            <w:r w:rsidRPr="00634977">
              <w:rPr>
                <w:lang w:val="cs-CZ"/>
              </w:rPr>
              <w:t>6. 7. 2010</w:t>
            </w:r>
          </w:p>
        </w:tc>
        <w:tc>
          <w:tcPr>
            <w:tcW w:w="3029" w:type="dxa"/>
            <w:vAlign w:val="center"/>
          </w:tcPr>
          <w:p w:rsidR="00810FBA" w:rsidRPr="00634977" w:rsidRDefault="00810FBA" w:rsidP="00605BA1">
            <w:pPr>
              <w:pStyle w:val="TABULKYTEXT"/>
              <w:rPr>
                <w:lang w:val="cs-CZ"/>
              </w:rPr>
            </w:pPr>
            <w:r w:rsidRPr="00634977">
              <w:rPr>
                <w:lang w:val="cs-CZ"/>
              </w:rPr>
              <w:t>I. B.</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8"/>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C-205/09</w:t>
            </w:r>
          </w:p>
        </w:tc>
        <w:tc>
          <w:tcPr>
            <w:tcW w:w="1518" w:type="dxa"/>
            <w:vAlign w:val="center"/>
          </w:tcPr>
          <w:p w:rsidR="00810FBA" w:rsidRPr="00634977" w:rsidRDefault="00810FBA" w:rsidP="00605BA1">
            <w:pPr>
              <w:pStyle w:val="TABULKYTEXT"/>
              <w:rPr>
                <w:lang w:val="cs-CZ"/>
              </w:rPr>
            </w:pPr>
            <w:r w:rsidRPr="00634977">
              <w:rPr>
                <w:lang w:val="cs-CZ"/>
              </w:rPr>
              <w:t>1. 7. 2010</w:t>
            </w:r>
          </w:p>
        </w:tc>
        <w:tc>
          <w:tcPr>
            <w:tcW w:w="3029" w:type="dxa"/>
            <w:vAlign w:val="center"/>
          </w:tcPr>
          <w:p w:rsidR="00810FBA" w:rsidRPr="00634977" w:rsidRDefault="00810FBA" w:rsidP="00605BA1">
            <w:pPr>
              <w:pStyle w:val="TABULKYTEXT"/>
              <w:rPr>
                <w:bCs/>
                <w:lang w:val="cs-CZ"/>
              </w:rPr>
            </w:pPr>
            <w:r w:rsidRPr="00634977">
              <w:rPr>
                <w:bCs/>
                <w:lang w:val="cs-CZ"/>
              </w:rPr>
              <w:t>Szombathelyi Város Ügyészség proti Emilu Eredicsovi a Márii Vassné Sápi</w:t>
            </w:r>
            <w:r w:rsidRPr="00634977">
              <w:rPr>
                <w:b/>
                <w:bCs/>
                <w:lang w:val="cs-CZ"/>
              </w:rPr>
              <w:t xml:space="preserve"> </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rPr>
          <w:b/>
          <w:i/>
        </w:rPr>
      </w:pPr>
      <w:r w:rsidRPr="00634977">
        <w:rPr>
          <w:b/>
        </w:rPr>
        <w:t xml:space="preserve">Příloha č. 4 – Seznam judikatury k podkapitole </w:t>
      </w:r>
      <w:r w:rsidRPr="00634977">
        <w:rPr>
          <w:b/>
          <w:i/>
        </w:rPr>
        <w:t>„Evropské občanství“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C-208/09</w:t>
            </w:r>
          </w:p>
        </w:tc>
        <w:tc>
          <w:tcPr>
            <w:tcW w:w="1518" w:type="dxa"/>
            <w:vAlign w:val="center"/>
          </w:tcPr>
          <w:p w:rsidR="00810FBA" w:rsidRPr="00634977" w:rsidRDefault="00810FBA" w:rsidP="00605BA1">
            <w:pPr>
              <w:pStyle w:val="TABULKYTEXT"/>
              <w:rPr>
                <w:lang w:val="cs-CZ"/>
              </w:rPr>
            </w:pPr>
            <w:r w:rsidRPr="00634977">
              <w:rPr>
                <w:lang w:val="cs-CZ"/>
              </w:rPr>
              <w:t>22. 12. 2010</w:t>
            </w:r>
          </w:p>
        </w:tc>
        <w:tc>
          <w:tcPr>
            <w:tcW w:w="3029" w:type="dxa"/>
            <w:vAlign w:val="center"/>
          </w:tcPr>
          <w:p w:rsidR="00810FBA" w:rsidRPr="00634977" w:rsidRDefault="00810FBA" w:rsidP="00605BA1">
            <w:pPr>
              <w:pStyle w:val="TABULKYTEXT"/>
              <w:rPr>
                <w:lang w:val="cs-CZ"/>
              </w:rPr>
            </w:pPr>
            <w:r w:rsidRPr="00634977">
              <w:rPr>
                <w:lang w:val="cs-CZ"/>
              </w:rPr>
              <w:t>Ilonka Sayn-Wittgenstein</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C-434/09</w:t>
            </w:r>
          </w:p>
        </w:tc>
        <w:tc>
          <w:tcPr>
            <w:tcW w:w="1518" w:type="dxa"/>
            <w:vAlign w:val="center"/>
          </w:tcPr>
          <w:p w:rsidR="00810FBA" w:rsidRPr="00634977" w:rsidRDefault="00810FBA" w:rsidP="00605BA1">
            <w:pPr>
              <w:pStyle w:val="TABULKYTEXT"/>
              <w:rPr>
                <w:lang w:val="cs-CZ"/>
              </w:rPr>
            </w:pPr>
            <w:r w:rsidRPr="00634977">
              <w:rPr>
                <w:lang w:val="cs-CZ"/>
              </w:rPr>
              <w:t>25. 11. 2010</w:t>
            </w:r>
          </w:p>
        </w:tc>
        <w:tc>
          <w:tcPr>
            <w:tcW w:w="3029" w:type="dxa"/>
            <w:vAlign w:val="center"/>
          </w:tcPr>
          <w:p w:rsidR="00810FBA" w:rsidRPr="00634977" w:rsidRDefault="00810FBA" w:rsidP="00605BA1">
            <w:pPr>
              <w:pStyle w:val="TABULKYTEXT"/>
              <w:rPr>
                <w:bCs/>
                <w:lang w:val="cs-CZ"/>
              </w:rPr>
            </w:pPr>
            <w:r w:rsidRPr="00634977">
              <w:rPr>
                <w:bCs/>
                <w:lang w:val="cs-CZ"/>
              </w:rPr>
              <w:t xml:space="preserve">Shirley McCarthy v Secretary of </w:t>
            </w:r>
            <w:proofErr w:type="gramStart"/>
            <w:r w:rsidRPr="00634977">
              <w:rPr>
                <w:bCs/>
                <w:lang w:val="cs-CZ"/>
              </w:rPr>
              <w:t>State</w:t>
            </w:r>
            <w:proofErr w:type="gramEnd"/>
            <w:r w:rsidRPr="00634977">
              <w:rPr>
                <w:bCs/>
                <w:lang w:val="cs-CZ"/>
              </w:rPr>
              <w:t xml:space="preserve"> for the Home Department </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C-145/09</w:t>
            </w:r>
          </w:p>
        </w:tc>
        <w:tc>
          <w:tcPr>
            <w:tcW w:w="1518" w:type="dxa"/>
            <w:vAlign w:val="center"/>
          </w:tcPr>
          <w:p w:rsidR="00810FBA" w:rsidRPr="00634977" w:rsidRDefault="00810FBA" w:rsidP="00605BA1">
            <w:pPr>
              <w:pStyle w:val="TABULKYTEXT"/>
              <w:rPr>
                <w:lang w:val="cs-CZ"/>
              </w:rPr>
            </w:pPr>
            <w:r w:rsidRPr="00634977">
              <w:rPr>
                <w:lang w:val="cs-CZ"/>
              </w:rPr>
              <w:t>23. 11. 2010</w:t>
            </w:r>
          </w:p>
        </w:tc>
        <w:tc>
          <w:tcPr>
            <w:tcW w:w="3029" w:type="dxa"/>
            <w:vAlign w:val="center"/>
          </w:tcPr>
          <w:p w:rsidR="00810FBA" w:rsidRPr="00634977" w:rsidRDefault="00810FBA" w:rsidP="00605BA1">
            <w:pPr>
              <w:pStyle w:val="TABULKYTEXT"/>
              <w:rPr>
                <w:lang w:val="cs-CZ"/>
              </w:rPr>
            </w:pPr>
            <w:r w:rsidRPr="00634977">
              <w:rPr>
                <w:bCs/>
                <w:lang w:val="cs-CZ"/>
              </w:rPr>
              <w:t>Land Baden-Württemberg</w:t>
            </w:r>
            <w:r w:rsidRPr="00634977">
              <w:rPr>
                <w:lang w:val="cs-CZ"/>
              </w:rPr>
              <w:t xml:space="preserve"> v </w:t>
            </w:r>
            <w:r w:rsidRPr="00634977">
              <w:rPr>
                <w:bCs/>
                <w:lang w:val="cs-CZ"/>
              </w:rPr>
              <w:t>Panagiotis Tsakouridis</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C-208/09</w:t>
            </w:r>
          </w:p>
        </w:tc>
        <w:tc>
          <w:tcPr>
            <w:tcW w:w="1518" w:type="dxa"/>
            <w:vAlign w:val="center"/>
          </w:tcPr>
          <w:p w:rsidR="00810FBA" w:rsidRPr="00634977" w:rsidRDefault="00810FBA" w:rsidP="00605BA1">
            <w:pPr>
              <w:pStyle w:val="TABULKYTEXT"/>
              <w:rPr>
                <w:lang w:val="cs-CZ"/>
              </w:rPr>
            </w:pPr>
            <w:r w:rsidRPr="00634977">
              <w:rPr>
                <w:lang w:val="cs-CZ"/>
              </w:rPr>
              <w:t>14. 10. 2010</w:t>
            </w:r>
          </w:p>
        </w:tc>
        <w:tc>
          <w:tcPr>
            <w:tcW w:w="3029" w:type="dxa"/>
            <w:vAlign w:val="center"/>
          </w:tcPr>
          <w:p w:rsidR="00810FBA" w:rsidRPr="00634977" w:rsidRDefault="00810FBA" w:rsidP="00605BA1">
            <w:pPr>
              <w:pStyle w:val="TABULKYTEXT"/>
              <w:rPr>
                <w:lang w:val="cs-CZ"/>
              </w:rPr>
            </w:pPr>
            <w:r w:rsidRPr="00634977">
              <w:rPr>
                <w:lang w:val="cs-CZ"/>
              </w:rPr>
              <w:t>Ilonka Sayn-Wittgenstein</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C-162/09</w:t>
            </w:r>
          </w:p>
        </w:tc>
        <w:tc>
          <w:tcPr>
            <w:tcW w:w="1518" w:type="dxa"/>
            <w:vAlign w:val="center"/>
          </w:tcPr>
          <w:p w:rsidR="00810FBA" w:rsidRPr="00634977" w:rsidRDefault="00810FBA" w:rsidP="00605BA1">
            <w:pPr>
              <w:pStyle w:val="TABULKYTEXT"/>
              <w:rPr>
                <w:lang w:val="cs-CZ"/>
              </w:rPr>
            </w:pPr>
            <w:r w:rsidRPr="00634977">
              <w:rPr>
                <w:lang w:val="cs-CZ"/>
              </w:rPr>
              <w:t>7. 10. 2010</w:t>
            </w:r>
          </w:p>
        </w:tc>
        <w:tc>
          <w:tcPr>
            <w:tcW w:w="3029" w:type="dxa"/>
            <w:vAlign w:val="center"/>
          </w:tcPr>
          <w:p w:rsidR="00810FBA" w:rsidRPr="00634977" w:rsidRDefault="00810FBA" w:rsidP="00605BA1">
            <w:pPr>
              <w:pStyle w:val="TABULKYTEXT"/>
              <w:rPr>
                <w:bCs/>
                <w:lang w:val="cs-CZ"/>
              </w:rPr>
            </w:pPr>
            <w:r w:rsidRPr="00634977">
              <w:rPr>
                <w:bCs/>
                <w:lang w:val="cs-CZ"/>
              </w:rPr>
              <w:t xml:space="preserve">Secretary of </w:t>
            </w:r>
            <w:proofErr w:type="gramStart"/>
            <w:r w:rsidRPr="00634977">
              <w:rPr>
                <w:bCs/>
                <w:lang w:val="cs-CZ"/>
              </w:rPr>
              <w:t>State</w:t>
            </w:r>
            <w:proofErr w:type="gramEnd"/>
            <w:r w:rsidRPr="00634977">
              <w:rPr>
                <w:bCs/>
                <w:lang w:val="cs-CZ"/>
              </w:rPr>
              <w:t xml:space="preserve"> for Work and Pensions v Taous Lassal</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C-34/09</w:t>
            </w:r>
          </w:p>
        </w:tc>
        <w:tc>
          <w:tcPr>
            <w:tcW w:w="1518" w:type="dxa"/>
            <w:vAlign w:val="center"/>
          </w:tcPr>
          <w:p w:rsidR="00810FBA" w:rsidRPr="00634977" w:rsidRDefault="00810FBA" w:rsidP="00605BA1">
            <w:pPr>
              <w:pStyle w:val="TABULKYTEXT"/>
              <w:rPr>
                <w:lang w:val="cs-CZ"/>
              </w:rPr>
            </w:pPr>
            <w:r w:rsidRPr="00634977">
              <w:rPr>
                <w:lang w:val="cs-CZ"/>
              </w:rPr>
              <w:t>30. 9. 2010</w:t>
            </w:r>
          </w:p>
        </w:tc>
        <w:tc>
          <w:tcPr>
            <w:tcW w:w="3029" w:type="dxa"/>
            <w:vAlign w:val="center"/>
          </w:tcPr>
          <w:p w:rsidR="00810FBA" w:rsidRPr="00634977" w:rsidRDefault="00810FBA" w:rsidP="00605BA1">
            <w:pPr>
              <w:pStyle w:val="TABULKYTEXT"/>
              <w:rPr>
                <w:bCs/>
                <w:lang w:val="cs-CZ"/>
              </w:rPr>
            </w:pPr>
            <w:r w:rsidRPr="00634977">
              <w:rPr>
                <w:bCs/>
                <w:lang w:val="cs-CZ"/>
              </w:rPr>
              <w:t xml:space="preserve">Gerardo Ruiz Zambrano v Office national de l’emploi (ONEM) </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1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C-145/09</w:t>
            </w:r>
          </w:p>
        </w:tc>
        <w:tc>
          <w:tcPr>
            <w:tcW w:w="1518" w:type="dxa"/>
            <w:vAlign w:val="center"/>
          </w:tcPr>
          <w:p w:rsidR="00810FBA" w:rsidRPr="00634977" w:rsidRDefault="00810FBA" w:rsidP="00605BA1">
            <w:pPr>
              <w:pStyle w:val="TABULKYTEXT"/>
              <w:rPr>
                <w:lang w:val="cs-CZ"/>
              </w:rPr>
            </w:pPr>
            <w:r w:rsidRPr="00634977">
              <w:rPr>
                <w:lang w:val="cs-CZ"/>
              </w:rPr>
              <w:t>8. 6. 2010</w:t>
            </w:r>
          </w:p>
        </w:tc>
        <w:tc>
          <w:tcPr>
            <w:tcW w:w="3029" w:type="dxa"/>
            <w:vAlign w:val="center"/>
          </w:tcPr>
          <w:p w:rsidR="00810FBA" w:rsidRPr="00634977" w:rsidRDefault="00810FBA" w:rsidP="00605BA1">
            <w:pPr>
              <w:pStyle w:val="TABULKYTEXT"/>
              <w:rPr>
                <w:bCs/>
                <w:lang w:val="cs-CZ"/>
              </w:rPr>
            </w:pPr>
            <w:r w:rsidRPr="00634977">
              <w:rPr>
                <w:bCs/>
                <w:lang w:val="cs-CZ"/>
              </w:rPr>
              <w:t>Land Baden-Württemberg</w:t>
            </w:r>
            <w:r w:rsidRPr="00634977">
              <w:rPr>
                <w:lang w:val="cs-CZ"/>
              </w:rPr>
              <w:t xml:space="preserve"> v </w:t>
            </w:r>
            <w:r w:rsidRPr="00634977">
              <w:rPr>
                <w:bCs/>
                <w:lang w:val="cs-CZ"/>
              </w:rPr>
              <w:t>Panagiotis Tsakouridis</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rPr>
          <w:b/>
        </w:rPr>
      </w:pPr>
      <w:r w:rsidRPr="00634977">
        <w:rPr>
          <w:b/>
        </w:rPr>
        <w:t xml:space="preserve">Příloha č. 5 – Seznam judikatury k podkapitole </w:t>
      </w:r>
      <w:r w:rsidRPr="00634977">
        <w:rPr>
          <w:b/>
          <w:i/>
        </w:rPr>
        <w:t>„Zásady práva společenství“</w:t>
      </w:r>
      <w:r w:rsidRPr="0063497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0"/>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C-279/09</w:t>
            </w:r>
          </w:p>
        </w:tc>
        <w:tc>
          <w:tcPr>
            <w:tcW w:w="1518" w:type="dxa"/>
            <w:vAlign w:val="center"/>
          </w:tcPr>
          <w:p w:rsidR="00810FBA" w:rsidRPr="00634977" w:rsidRDefault="00810FBA" w:rsidP="00605BA1">
            <w:pPr>
              <w:pStyle w:val="TABULKYTEXT"/>
              <w:rPr>
                <w:lang w:val="cs-CZ"/>
              </w:rPr>
            </w:pPr>
            <w:r w:rsidRPr="00634977">
              <w:rPr>
                <w:lang w:val="cs-CZ"/>
              </w:rPr>
              <w:t>22. 12. 2010</w:t>
            </w:r>
          </w:p>
        </w:tc>
        <w:tc>
          <w:tcPr>
            <w:tcW w:w="3029" w:type="dxa"/>
            <w:vAlign w:val="center"/>
          </w:tcPr>
          <w:p w:rsidR="00810FBA" w:rsidRPr="00634977" w:rsidRDefault="00810FBA" w:rsidP="00605BA1">
            <w:pPr>
              <w:pStyle w:val="TABULKYTEXT"/>
              <w:rPr>
                <w:bCs/>
                <w:lang w:val="cs-CZ"/>
              </w:rPr>
            </w:pPr>
            <w:r w:rsidRPr="00634977">
              <w:rPr>
                <w:bCs/>
                <w:lang w:val="cs-CZ"/>
              </w:rPr>
              <w:t>DEB Deutsche Energiehandels- und Beratungsgesellschaft GmbH v SRN</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0"/>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C-279/09</w:t>
            </w:r>
          </w:p>
        </w:tc>
        <w:tc>
          <w:tcPr>
            <w:tcW w:w="1518" w:type="dxa"/>
            <w:vAlign w:val="center"/>
          </w:tcPr>
          <w:p w:rsidR="00810FBA" w:rsidRPr="00634977" w:rsidRDefault="00810FBA" w:rsidP="00605BA1">
            <w:pPr>
              <w:pStyle w:val="TABULKYTEXT"/>
              <w:rPr>
                <w:lang w:val="cs-CZ"/>
              </w:rPr>
            </w:pPr>
            <w:r w:rsidRPr="00634977">
              <w:rPr>
                <w:lang w:val="cs-CZ"/>
              </w:rPr>
              <w:t>2. 9. 2020</w:t>
            </w:r>
          </w:p>
        </w:tc>
        <w:tc>
          <w:tcPr>
            <w:tcW w:w="3029" w:type="dxa"/>
            <w:vAlign w:val="center"/>
          </w:tcPr>
          <w:p w:rsidR="00810FBA" w:rsidRPr="00634977" w:rsidRDefault="00810FBA" w:rsidP="00605BA1">
            <w:pPr>
              <w:pStyle w:val="TABULKYTEXT"/>
              <w:rPr>
                <w:bCs/>
                <w:lang w:val="cs-CZ"/>
              </w:rPr>
            </w:pPr>
            <w:r w:rsidRPr="00634977">
              <w:rPr>
                <w:bCs/>
                <w:lang w:val="cs-CZ"/>
              </w:rPr>
              <w:t>DEB Deutsche Energiehandels- und Beratungsgesellschaft GmbH v SRN</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spacing w:line="240" w:lineRule="auto"/>
        <w:ind w:firstLine="0"/>
        <w:jc w:val="left"/>
        <w:rPr>
          <w:szCs w:val="24"/>
        </w:rPr>
      </w:pPr>
      <w:r w:rsidRPr="00634977">
        <w:br w:type="page"/>
      </w:r>
    </w:p>
    <w:p w:rsidR="00810FBA" w:rsidRPr="00634977" w:rsidRDefault="00810FBA" w:rsidP="00810FBA">
      <w:pPr>
        <w:pStyle w:val="BIBLIOGRAFIE"/>
        <w:numPr>
          <w:ilvl w:val="0"/>
          <w:numId w:val="0"/>
        </w:numPr>
        <w:outlineLvl w:val="0"/>
        <w:rPr>
          <w:b/>
          <w:i/>
        </w:rPr>
      </w:pPr>
      <w:r w:rsidRPr="00634977">
        <w:rPr>
          <w:b/>
        </w:rPr>
        <w:lastRenderedPageBreak/>
        <w:t xml:space="preserve">Příloha č. 6 – Seznam judikatury k podkapitole </w:t>
      </w:r>
      <w:r w:rsidRPr="00634977">
        <w:rPr>
          <w:b/>
          <w:i/>
        </w:rPr>
        <w:t xml:space="preserve">„Svoboda usazování“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1"/>
              </w:numPr>
              <w:rPr>
                <w:lang w:val="cs-CZ"/>
              </w:rPr>
            </w:pPr>
          </w:p>
        </w:tc>
        <w:tc>
          <w:tcPr>
            <w:tcW w:w="1984" w:type="dxa"/>
            <w:vAlign w:val="center"/>
          </w:tcPr>
          <w:p w:rsidR="00810FBA" w:rsidRPr="00634977" w:rsidRDefault="00810FBA" w:rsidP="00605BA1">
            <w:pPr>
              <w:pStyle w:val="TABULKYTEXT"/>
              <w:rPr>
                <w:lang w:val="cs-CZ"/>
              </w:rPr>
            </w:pPr>
            <w:r w:rsidRPr="00634977">
              <w:rPr>
                <w:lang w:val="cs-CZ"/>
              </w:rPr>
              <w:t>spojené řízení, C-47/09, C-50/08, C-51/08, C-53/08, C-54/08, C-61/08</w:t>
            </w:r>
          </w:p>
        </w:tc>
        <w:tc>
          <w:tcPr>
            <w:tcW w:w="1518" w:type="dxa"/>
            <w:vAlign w:val="center"/>
          </w:tcPr>
          <w:p w:rsidR="00810FBA" w:rsidRPr="00634977" w:rsidRDefault="00810FBA" w:rsidP="00605BA1">
            <w:pPr>
              <w:pStyle w:val="TABULKYTEXT"/>
              <w:rPr>
                <w:lang w:val="cs-CZ"/>
              </w:rPr>
            </w:pPr>
            <w:r w:rsidRPr="00634977">
              <w:rPr>
                <w:lang w:val="cs-CZ"/>
              </w:rPr>
              <w:t>14. 9. 2010</w:t>
            </w:r>
          </w:p>
        </w:tc>
        <w:tc>
          <w:tcPr>
            <w:tcW w:w="3029" w:type="dxa"/>
            <w:vAlign w:val="center"/>
          </w:tcPr>
          <w:p w:rsidR="00810FBA" w:rsidRPr="00634977" w:rsidRDefault="00810FBA" w:rsidP="00605BA1">
            <w:pPr>
              <w:pStyle w:val="TABULKYTEXT"/>
              <w:rPr>
                <w:lang w:val="cs-CZ"/>
              </w:rPr>
            </w:pPr>
            <w:r w:rsidRPr="00634977">
              <w:rPr>
                <w:lang w:val="cs-CZ"/>
              </w:rPr>
              <w:t>Komise v </w:t>
            </w:r>
            <w:proofErr w:type="gramStart"/>
            <w:r w:rsidRPr="00634977">
              <w:rPr>
                <w:lang w:val="cs-CZ"/>
              </w:rPr>
              <w:t>Belgie</w:t>
            </w:r>
            <w:proofErr w:type="gramEnd"/>
            <w:r w:rsidRPr="00634977">
              <w:rPr>
                <w:lang w:val="cs-CZ"/>
              </w:rPr>
              <w:t>, Francie, Lucembursko, Rakousko, Německo a Řecko</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1"/>
              </w:numPr>
              <w:rPr>
                <w:lang w:val="cs-CZ"/>
              </w:rPr>
            </w:pPr>
          </w:p>
        </w:tc>
        <w:tc>
          <w:tcPr>
            <w:tcW w:w="1984" w:type="dxa"/>
            <w:vAlign w:val="center"/>
          </w:tcPr>
          <w:p w:rsidR="00810FBA" w:rsidRPr="00634977" w:rsidRDefault="00810FBA" w:rsidP="00605BA1">
            <w:pPr>
              <w:pStyle w:val="TABULKYTEXT"/>
              <w:rPr>
                <w:lang w:val="cs-CZ"/>
              </w:rPr>
            </w:pPr>
            <w:r w:rsidRPr="00634977">
              <w:rPr>
                <w:lang w:val="cs-CZ"/>
              </w:rPr>
              <w:t>spojené řízení, C-570/07 a C-571/07</w:t>
            </w:r>
          </w:p>
        </w:tc>
        <w:tc>
          <w:tcPr>
            <w:tcW w:w="1518" w:type="dxa"/>
            <w:vAlign w:val="center"/>
          </w:tcPr>
          <w:p w:rsidR="00810FBA" w:rsidRPr="00634977" w:rsidRDefault="00810FBA" w:rsidP="00605BA1">
            <w:pPr>
              <w:pStyle w:val="TABULKYTEXT"/>
              <w:rPr>
                <w:lang w:val="cs-CZ"/>
              </w:rPr>
            </w:pPr>
            <w:r w:rsidRPr="00634977">
              <w:rPr>
                <w:lang w:val="cs-CZ"/>
              </w:rPr>
              <w:t>1. 6. 2010</w:t>
            </w:r>
          </w:p>
        </w:tc>
        <w:tc>
          <w:tcPr>
            <w:tcW w:w="3029" w:type="dxa"/>
            <w:vAlign w:val="center"/>
          </w:tcPr>
          <w:p w:rsidR="00810FBA" w:rsidRPr="00634977" w:rsidRDefault="00810FBA" w:rsidP="00605BA1">
            <w:pPr>
              <w:pStyle w:val="TABULKYTEXT"/>
              <w:rPr>
                <w:bCs/>
                <w:lang w:val="cs-CZ"/>
              </w:rPr>
            </w:pPr>
            <w:r w:rsidRPr="00634977">
              <w:rPr>
                <w:bCs/>
                <w:lang w:val="cs-CZ"/>
              </w:rPr>
              <w:t>José Manuel Blanco Pérez, María del Pilar Chao Gómez v Consejería de Salud y Servicios Sanitarios, Principado de Asturias</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1"/>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C-171/08</w:t>
            </w:r>
          </w:p>
        </w:tc>
        <w:tc>
          <w:tcPr>
            <w:tcW w:w="1518" w:type="dxa"/>
            <w:vAlign w:val="center"/>
          </w:tcPr>
          <w:p w:rsidR="00810FBA" w:rsidRPr="00634977" w:rsidRDefault="00810FBA" w:rsidP="00605BA1">
            <w:pPr>
              <w:pStyle w:val="TABULKYTEXT"/>
              <w:rPr>
                <w:lang w:val="cs-CZ"/>
              </w:rPr>
            </w:pPr>
            <w:r w:rsidRPr="00634977">
              <w:rPr>
                <w:lang w:val="cs-CZ"/>
              </w:rPr>
              <w:t>2. 12. 2009</w:t>
            </w:r>
          </w:p>
        </w:tc>
        <w:tc>
          <w:tcPr>
            <w:tcW w:w="3029" w:type="dxa"/>
            <w:vAlign w:val="center"/>
          </w:tcPr>
          <w:p w:rsidR="00810FBA" w:rsidRPr="00634977" w:rsidRDefault="00810FBA" w:rsidP="00605BA1">
            <w:pPr>
              <w:pStyle w:val="TABULKYTEXT"/>
              <w:rPr>
                <w:lang w:val="cs-CZ"/>
              </w:rPr>
            </w:pPr>
            <w:r w:rsidRPr="00634977">
              <w:rPr>
                <w:lang w:val="cs-CZ"/>
              </w:rPr>
              <w:t xml:space="preserve">Komise v </w:t>
            </w:r>
            <w:proofErr w:type="gramStart"/>
            <w:r w:rsidRPr="00634977">
              <w:rPr>
                <w:lang w:val="cs-CZ"/>
              </w:rPr>
              <w:t>Portugalsko</w:t>
            </w:r>
            <w:proofErr w:type="gramEnd"/>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rPr>
          <w:b/>
        </w:rPr>
      </w:pPr>
      <w:r w:rsidRPr="00634977">
        <w:rPr>
          <w:b/>
        </w:rPr>
        <w:t xml:space="preserve">Příloha č. 7 – Seznam judikatury k podkapitole </w:t>
      </w:r>
      <w:r w:rsidRPr="00634977">
        <w:rPr>
          <w:b/>
          <w:i/>
        </w:rPr>
        <w:t>„Hospodářská soutěž“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2"/>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C-360/09</w:t>
            </w:r>
          </w:p>
        </w:tc>
        <w:tc>
          <w:tcPr>
            <w:tcW w:w="1518" w:type="dxa"/>
            <w:vAlign w:val="center"/>
          </w:tcPr>
          <w:p w:rsidR="00810FBA" w:rsidRPr="00634977" w:rsidRDefault="00810FBA" w:rsidP="00605BA1">
            <w:pPr>
              <w:pStyle w:val="TABULKYTEXT"/>
              <w:rPr>
                <w:lang w:val="cs-CZ"/>
              </w:rPr>
            </w:pPr>
            <w:r w:rsidRPr="00634977">
              <w:rPr>
                <w:lang w:val="cs-CZ"/>
              </w:rPr>
              <w:t>16. 12. 2010</w:t>
            </w:r>
          </w:p>
        </w:tc>
        <w:tc>
          <w:tcPr>
            <w:tcW w:w="3029" w:type="dxa"/>
            <w:vAlign w:val="center"/>
          </w:tcPr>
          <w:p w:rsidR="00810FBA" w:rsidRPr="00634977" w:rsidRDefault="00810FBA" w:rsidP="00605BA1">
            <w:pPr>
              <w:pStyle w:val="TABULKYTEXT"/>
              <w:rPr>
                <w:lang w:val="cs-CZ"/>
              </w:rPr>
            </w:pPr>
            <w:r w:rsidRPr="00634977">
              <w:rPr>
                <w:lang w:val="cs-CZ"/>
              </w:rPr>
              <w:t>Pfleiderer AG v Bundeskartellamt</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2"/>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C-550/07</w:t>
            </w:r>
          </w:p>
        </w:tc>
        <w:tc>
          <w:tcPr>
            <w:tcW w:w="1518" w:type="dxa"/>
            <w:vAlign w:val="center"/>
          </w:tcPr>
          <w:p w:rsidR="00810FBA" w:rsidRPr="00634977" w:rsidRDefault="00810FBA" w:rsidP="00605BA1">
            <w:pPr>
              <w:pStyle w:val="TABULKYTEXT"/>
              <w:rPr>
                <w:lang w:val="cs-CZ"/>
              </w:rPr>
            </w:pPr>
            <w:r w:rsidRPr="00634977">
              <w:rPr>
                <w:lang w:val="cs-CZ"/>
              </w:rPr>
              <w:t>14. 9. 2010</w:t>
            </w:r>
          </w:p>
        </w:tc>
        <w:tc>
          <w:tcPr>
            <w:tcW w:w="3029" w:type="dxa"/>
            <w:vAlign w:val="center"/>
          </w:tcPr>
          <w:p w:rsidR="00810FBA" w:rsidRPr="00634977" w:rsidRDefault="00810FBA" w:rsidP="00605BA1">
            <w:pPr>
              <w:pStyle w:val="TABULKYTEXT"/>
              <w:rPr>
                <w:bCs/>
                <w:lang w:val="cs-CZ"/>
              </w:rPr>
            </w:pPr>
            <w:r w:rsidRPr="00634977">
              <w:rPr>
                <w:lang w:val="cs-CZ"/>
              </w:rPr>
              <w:t>Akzo Nobel Chemicals and Akcros Chemicals v Komise</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2"/>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C-407/08</w:t>
            </w:r>
          </w:p>
        </w:tc>
        <w:tc>
          <w:tcPr>
            <w:tcW w:w="1518" w:type="dxa"/>
            <w:vAlign w:val="center"/>
          </w:tcPr>
          <w:p w:rsidR="00810FBA" w:rsidRPr="00634977" w:rsidRDefault="00810FBA" w:rsidP="00605BA1">
            <w:pPr>
              <w:pStyle w:val="TABULKYTEXT"/>
              <w:rPr>
                <w:lang w:val="cs-CZ"/>
              </w:rPr>
            </w:pPr>
            <w:r w:rsidRPr="00634977">
              <w:rPr>
                <w:lang w:val="cs-CZ"/>
              </w:rPr>
              <w:t>1. 7. 2010</w:t>
            </w:r>
          </w:p>
        </w:tc>
        <w:tc>
          <w:tcPr>
            <w:tcW w:w="3029" w:type="dxa"/>
            <w:vAlign w:val="center"/>
          </w:tcPr>
          <w:p w:rsidR="00810FBA" w:rsidRPr="00634977" w:rsidRDefault="00810FBA" w:rsidP="00605BA1">
            <w:pPr>
              <w:pStyle w:val="TABULKYTEXT"/>
              <w:rPr>
                <w:lang w:val="cs-CZ"/>
              </w:rPr>
            </w:pPr>
            <w:r w:rsidRPr="00634977">
              <w:rPr>
                <w:lang w:val="cs-CZ"/>
              </w:rPr>
              <w:t>Kanuf Gips v Komise</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2"/>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C-550/07</w:t>
            </w:r>
          </w:p>
        </w:tc>
        <w:tc>
          <w:tcPr>
            <w:tcW w:w="1518" w:type="dxa"/>
            <w:vAlign w:val="center"/>
          </w:tcPr>
          <w:p w:rsidR="00810FBA" w:rsidRPr="00634977" w:rsidRDefault="00810FBA" w:rsidP="00605BA1">
            <w:pPr>
              <w:pStyle w:val="TABULKYTEXT"/>
              <w:rPr>
                <w:lang w:val="cs-CZ"/>
              </w:rPr>
            </w:pPr>
            <w:r w:rsidRPr="00634977">
              <w:rPr>
                <w:lang w:val="cs-CZ"/>
              </w:rPr>
              <w:t>29. 4. 2010</w:t>
            </w:r>
          </w:p>
        </w:tc>
        <w:tc>
          <w:tcPr>
            <w:tcW w:w="3029" w:type="dxa"/>
            <w:vAlign w:val="center"/>
          </w:tcPr>
          <w:p w:rsidR="00810FBA" w:rsidRPr="00634977" w:rsidRDefault="00810FBA" w:rsidP="00605BA1">
            <w:pPr>
              <w:pStyle w:val="TABULKYTEXT"/>
              <w:rPr>
                <w:lang w:val="cs-CZ"/>
              </w:rPr>
            </w:pPr>
            <w:r w:rsidRPr="00634977">
              <w:rPr>
                <w:lang w:val="cs-CZ"/>
              </w:rPr>
              <w:t>Akzo Nobel Chemicals and Akcros Chemicals v Komise</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rPr>
          <w:b/>
        </w:rPr>
      </w:pPr>
      <w:r w:rsidRPr="00634977">
        <w:rPr>
          <w:b/>
        </w:rPr>
        <w:t xml:space="preserve">Příloha č. 8 – Seznam judikatury k podkapitole </w:t>
      </w:r>
      <w:r w:rsidRPr="00634977">
        <w:rPr>
          <w:b/>
          <w:i/>
        </w:rPr>
        <w:t>„Volné poskytování služeb“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3"/>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C-409/06</w:t>
            </w:r>
          </w:p>
        </w:tc>
        <w:tc>
          <w:tcPr>
            <w:tcW w:w="1518" w:type="dxa"/>
            <w:vAlign w:val="center"/>
          </w:tcPr>
          <w:p w:rsidR="00810FBA" w:rsidRPr="00634977" w:rsidRDefault="00810FBA" w:rsidP="00605BA1">
            <w:pPr>
              <w:pStyle w:val="TABULKYTEXT"/>
              <w:rPr>
                <w:lang w:val="cs-CZ"/>
              </w:rPr>
            </w:pPr>
            <w:r w:rsidRPr="00634977">
              <w:rPr>
                <w:lang w:val="cs-CZ"/>
              </w:rPr>
              <w:t>8. 9. 2010</w:t>
            </w:r>
          </w:p>
        </w:tc>
        <w:tc>
          <w:tcPr>
            <w:tcW w:w="3029" w:type="dxa"/>
            <w:vAlign w:val="center"/>
          </w:tcPr>
          <w:p w:rsidR="00810FBA" w:rsidRPr="00634977" w:rsidRDefault="00810FBA" w:rsidP="00605BA1">
            <w:pPr>
              <w:pStyle w:val="TABULKYTEXT"/>
              <w:rPr>
                <w:lang w:val="cs-CZ"/>
              </w:rPr>
            </w:pPr>
            <w:r w:rsidRPr="00634977">
              <w:rPr>
                <w:bCs/>
                <w:lang w:val="cs-CZ"/>
              </w:rPr>
              <w:t>Winner Wetten GmbH</w:t>
            </w:r>
            <w:r w:rsidRPr="00634977">
              <w:rPr>
                <w:lang w:val="cs-CZ"/>
              </w:rPr>
              <w:t xml:space="preserve"> v </w:t>
            </w:r>
            <w:r w:rsidRPr="00634977">
              <w:rPr>
                <w:bCs/>
                <w:lang w:val="cs-CZ"/>
              </w:rPr>
              <w:t>Bürgermeisterin der Stadt Bergheim</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3"/>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C-271/08</w:t>
            </w:r>
          </w:p>
        </w:tc>
        <w:tc>
          <w:tcPr>
            <w:tcW w:w="1518" w:type="dxa"/>
            <w:vAlign w:val="center"/>
          </w:tcPr>
          <w:p w:rsidR="00810FBA" w:rsidRPr="00634977" w:rsidRDefault="00810FBA" w:rsidP="00605BA1">
            <w:pPr>
              <w:pStyle w:val="TABULKYTEXT"/>
              <w:rPr>
                <w:lang w:val="cs-CZ"/>
              </w:rPr>
            </w:pPr>
            <w:r w:rsidRPr="00634977">
              <w:rPr>
                <w:lang w:val="cs-CZ"/>
              </w:rPr>
              <w:t>15. 7. 2010</w:t>
            </w:r>
          </w:p>
        </w:tc>
        <w:tc>
          <w:tcPr>
            <w:tcW w:w="3029" w:type="dxa"/>
            <w:vAlign w:val="center"/>
          </w:tcPr>
          <w:p w:rsidR="00810FBA" w:rsidRPr="00634977" w:rsidRDefault="00810FBA" w:rsidP="00605BA1">
            <w:pPr>
              <w:pStyle w:val="TABULKYTEXT"/>
              <w:rPr>
                <w:lang w:val="cs-CZ"/>
              </w:rPr>
            </w:pPr>
            <w:r w:rsidRPr="00634977">
              <w:rPr>
                <w:lang w:val="cs-CZ"/>
              </w:rPr>
              <w:t xml:space="preserve">Komise v </w:t>
            </w:r>
            <w:proofErr w:type="gramStart"/>
            <w:r w:rsidRPr="00634977">
              <w:rPr>
                <w:lang w:val="cs-CZ"/>
              </w:rPr>
              <w:t>Německo</w:t>
            </w:r>
            <w:proofErr w:type="gramEnd"/>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3"/>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C-515/08</w:t>
            </w:r>
          </w:p>
        </w:tc>
        <w:tc>
          <w:tcPr>
            <w:tcW w:w="1518" w:type="dxa"/>
            <w:vAlign w:val="center"/>
          </w:tcPr>
          <w:p w:rsidR="00810FBA" w:rsidRPr="00634977" w:rsidRDefault="00810FBA" w:rsidP="00605BA1">
            <w:pPr>
              <w:pStyle w:val="TABULKYTEXT"/>
              <w:rPr>
                <w:lang w:val="cs-CZ"/>
              </w:rPr>
            </w:pPr>
            <w:r w:rsidRPr="00634977">
              <w:rPr>
                <w:lang w:val="cs-CZ"/>
              </w:rPr>
              <w:t>5. 5. 2010</w:t>
            </w:r>
          </w:p>
        </w:tc>
        <w:tc>
          <w:tcPr>
            <w:tcW w:w="3029" w:type="dxa"/>
            <w:vAlign w:val="center"/>
          </w:tcPr>
          <w:p w:rsidR="00810FBA" w:rsidRPr="00634977" w:rsidRDefault="00810FBA" w:rsidP="00605BA1">
            <w:pPr>
              <w:pStyle w:val="TABULKYTEXT"/>
              <w:rPr>
                <w:lang w:val="cs-CZ"/>
              </w:rPr>
            </w:pPr>
            <w:r w:rsidRPr="00634977">
              <w:rPr>
                <w:lang w:val="cs-CZ"/>
              </w:rPr>
              <w:t>trestní řízení proti Santos Palhota a dalším</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3"/>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C-271/08</w:t>
            </w:r>
          </w:p>
        </w:tc>
        <w:tc>
          <w:tcPr>
            <w:tcW w:w="1518" w:type="dxa"/>
            <w:vAlign w:val="center"/>
          </w:tcPr>
          <w:p w:rsidR="00810FBA" w:rsidRPr="00634977" w:rsidRDefault="00810FBA" w:rsidP="00605BA1">
            <w:pPr>
              <w:pStyle w:val="TABULKYTEXT"/>
              <w:rPr>
                <w:lang w:val="cs-CZ"/>
              </w:rPr>
            </w:pPr>
            <w:r w:rsidRPr="00634977">
              <w:rPr>
                <w:lang w:val="cs-CZ"/>
              </w:rPr>
              <w:t>14. 4. 2010</w:t>
            </w:r>
          </w:p>
        </w:tc>
        <w:tc>
          <w:tcPr>
            <w:tcW w:w="3029" w:type="dxa"/>
            <w:vAlign w:val="center"/>
          </w:tcPr>
          <w:p w:rsidR="00810FBA" w:rsidRPr="00634977" w:rsidRDefault="00810FBA" w:rsidP="00605BA1">
            <w:pPr>
              <w:pStyle w:val="TABULKYTEXT"/>
              <w:rPr>
                <w:lang w:val="cs-CZ"/>
              </w:rPr>
            </w:pPr>
            <w:r w:rsidRPr="00634977">
              <w:rPr>
                <w:lang w:val="cs-CZ"/>
              </w:rPr>
              <w:t>Komise v </w:t>
            </w:r>
            <w:proofErr w:type="gramStart"/>
            <w:r w:rsidRPr="00634977">
              <w:rPr>
                <w:lang w:val="cs-CZ"/>
              </w:rPr>
              <w:t>Německo</w:t>
            </w:r>
            <w:proofErr w:type="gramEnd"/>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3"/>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C-409/06</w:t>
            </w:r>
          </w:p>
        </w:tc>
        <w:tc>
          <w:tcPr>
            <w:tcW w:w="1518" w:type="dxa"/>
            <w:vAlign w:val="center"/>
          </w:tcPr>
          <w:p w:rsidR="00810FBA" w:rsidRPr="00634977" w:rsidRDefault="00810FBA" w:rsidP="00605BA1">
            <w:pPr>
              <w:pStyle w:val="TABULKYTEXT"/>
              <w:rPr>
                <w:lang w:val="cs-CZ"/>
              </w:rPr>
            </w:pPr>
            <w:r w:rsidRPr="00634977">
              <w:rPr>
                <w:lang w:val="cs-CZ"/>
              </w:rPr>
              <w:t>26. 1. 2010</w:t>
            </w:r>
          </w:p>
        </w:tc>
        <w:tc>
          <w:tcPr>
            <w:tcW w:w="3029" w:type="dxa"/>
            <w:vAlign w:val="center"/>
          </w:tcPr>
          <w:p w:rsidR="00810FBA" w:rsidRPr="00634977" w:rsidRDefault="00810FBA" w:rsidP="00605BA1">
            <w:pPr>
              <w:pStyle w:val="TABULKYTEXT"/>
              <w:rPr>
                <w:bCs/>
                <w:lang w:val="cs-CZ"/>
              </w:rPr>
            </w:pPr>
            <w:r w:rsidRPr="00634977">
              <w:rPr>
                <w:bCs/>
                <w:lang w:val="cs-CZ"/>
              </w:rPr>
              <w:t>Winner Wetten GmbH</w:t>
            </w:r>
            <w:r w:rsidRPr="00634977">
              <w:rPr>
                <w:lang w:val="cs-CZ"/>
              </w:rPr>
              <w:t xml:space="preserve"> v </w:t>
            </w:r>
            <w:r w:rsidRPr="00634977">
              <w:rPr>
                <w:bCs/>
                <w:lang w:val="cs-CZ"/>
              </w:rPr>
              <w:t>Bürgermeisterin der Stadt Bergheim</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spacing w:line="240" w:lineRule="auto"/>
        <w:ind w:firstLine="0"/>
        <w:jc w:val="left"/>
        <w:rPr>
          <w:szCs w:val="24"/>
        </w:rPr>
      </w:pPr>
      <w:r w:rsidRPr="00634977">
        <w:br w:type="page"/>
      </w:r>
    </w:p>
    <w:p w:rsidR="00810FBA" w:rsidRPr="00634977" w:rsidRDefault="00810FBA" w:rsidP="00810FBA">
      <w:pPr>
        <w:pStyle w:val="BIBLIOGRAFIE"/>
        <w:numPr>
          <w:ilvl w:val="0"/>
          <w:numId w:val="0"/>
        </w:numPr>
        <w:outlineLvl w:val="0"/>
        <w:rPr>
          <w:b/>
        </w:rPr>
      </w:pPr>
      <w:r w:rsidRPr="00634977">
        <w:rPr>
          <w:b/>
        </w:rPr>
        <w:lastRenderedPageBreak/>
        <w:t xml:space="preserve">Příloha č. 9 – Seznam judikatury k podkapitole </w:t>
      </w:r>
      <w:r w:rsidRPr="00634977">
        <w:rPr>
          <w:b/>
          <w:i/>
        </w:rPr>
        <w:t>„Sbližování právních předpisů“</w:t>
      </w:r>
      <w:r w:rsidRPr="0063497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4"/>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C-350/08</w:t>
            </w:r>
          </w:p>
        </w:tc>
        <w:tc>
          <w:tcPr>
            <w:tcW w:w="1518" w:type="dxa"/>
            <w:vAlign w:val="center"/>
          </w:tcPr>
          <w:p w:rsidR="00810FBA" w:rsidRPr="00634977" w:rsidRDefault="00810FBA" w:rsidP="00605BA1">
            <w:pPr>
              <w:pStyle w:val="TABULKYTEXT"/>
              <w:rPr>
                <w:lang w:val="cs-CZ"/>
              </w:rPr>
            </w:pPr>
            <w:r w:rsidRPr="00634977">
              <w:rPr>
                <w:lang w:val="cs-CZ"/>
              </w:rPr>
              <w:t>22. 4. 2010</w:t>
            </w:r>
          </w:p>
        </w:tc>
        <w:tc>
          <w:tcPr>
            <w:tcW w:w="3029" w:type="dxa"/>
            <w:vAlign w:val="center"/>
          </w:tcPr>
          <w:p w:rsidR="00810FBA" w:rsidRPr="00634977" w:rsidRDefault="00810FBA" w:rsidP="00605BA1">
            <w:pPr>
              <w:pStyle w:val="TABULKYTEXT"/>
              <w:rPr>
                <w:lang w:val="cs-CZ"/>
              </w:rPr>
            </w:pPr>
            <w:r w:rsidRPr="00634977">
              <w:rPr>
                <w:lang w:val="cs-CZ"/>
              </w:rPr>
              <w:t xml:space="preserve">Komise v </w:t>
            </w:r>
            <w:proofErr w:type="gramStart"/>
            <w:r w:rsidRPr="00634977">
              <w:rPr>
                <w:lang w:val="cs-CZ"/>
              </w:rPr>
              <w:t>Litva</w:t>
            </w:r>
            <w:proofErr w:type="gramEnd"/>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4"/>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C-482/09</w:t>
            </w:r>
          </w:p>
        </w:tc>
        <w:tc>
          <w:tcPr>
            <w:tcW w:w="1518" w:type="dxa"/>
            <w:vAlign w:val="center"/>
          </w:tcPr>
          <w:p w:rsidR="00810FBA" w:rsidRPr="00634977" w:rsidRDefault="00810FBA" w:rsidP="00605BA1">
            <w:pPr>
              <w:pStyle w:val="TABULKYTEXT"/>
              <w:rPr>
                <w:lang w:val="cs-CZ"/>
              </w:rPr>
            </w:pPr>
            <w:r w:rsidRPr="00634977">
              <w:rPr>
                <w:lang w:val="cs-CZ"/>
              </w:rPr>
              <w:t>3. 2. 2011</w:t>
            </w:r>
          </w:p>
        </w:tc>
        <w:tc>
          <w:tcPr>
            <w:tcW w:w="3029" w:type="dxa"/>
            <w:vAlign w:val="center"/>
          </w:tcPr>
          <w:p w:rsidR="00810FBA" w:rsidRPr="00634977" w:rsidRDefault="00810FBA" w:rsidP="00605BA1">
            <w:pPr>
              <w:pStyle w:val="TABULKYTEXT"/>
              <w:rPr>
                <w:bCs/>
                <w:lang w:val="cs-CZ"/>
              </w:rPr>
            </w:pPr>
            <w:r w:rsidRPr="00634977">
              <w:rPr>
                <w:bCs/>
                <w:lang w:val="cs-CZ"/>
              </w:rPr>
              <w:t xml:space="preserve">Budějovický Budvar, národní podnik v </w:t>
            </w:r>
            <w:proofErr w:type="gramStart"/>
            <w:r w:rsidRPr="00634977">
              <w:rPr>
                <w:bCs/>
                <w:lang w:val="cs-CZ"/>
              </w:rPr>
              <w:t>Anheuser-Busch</w:t>
            </w:r>
            <w:proofErr w:type="gramEnd"/>
            <w:r w:rsidRPr="00634977">
              <w:rPr>
                <w:bCs/>
                <w:lang w:val="cs-CZ"/>
              </w:rPr>
              <w:t>, Inc.</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4"/>
              </w:numPr>
              <w:rPr>
                <w:lang w:val="cs-CZ"/>
              </w:rPr>
            </w:pPr>
          </w:p>
        </w:tc>
        <w:tc>
          <w:tcPr>
            <w:tcW w:w="1984" w:type="dxa"/>
            <w:vAlign w:val="center"/>
          </w:tcPr>
          <w:p w:rsidR="00810FBA" w:rsidRPr="00634977" w:rsidRDefault="00810FBA" w:rsidP="00605BA1">
            <w:pPr>
              <w:pStyle w:val="TABULKYTEXT"/>
              <w:rPr>
                <w:lang w:val="cs-CZ"/>
              </w:rPr>
            </w:pPr>
            <w:r w:rsidRPr="00634977">
              <w:rPr>
                <w:lang w:val="cs-CZ"/>
              </w:rPr>
              <w:t>spojené řízení C-93/09 a C-92/09</w:t>
            </w:r>
          </w:p>
        </w:tc>
        <w:tc>
          <w:tcPr>
            <w:tcW w:w="1518" w:type="dxa"/>
            <w:vAlign w:val="center"/>
          </w:tcPr>
          <w:p w:rsidR="00810FBA" w:rsidRPr="00634977" w:rsidRDefault="00810FBA" w:rsidP="00605BA1">
            <w:pPr>
              <w:pStyle w:val="TABULKYTEXT"/>
              <w:rPr>
                <w:lang w:val="cs-CZ"/>
              </w:rPr>
            </w:pPr>
            <w:r w:rsidRPr="00634977">
              <w:rPr>
                <w:lang w:val="cs-CZ"/>
              </w:rPr>
              <w:t>9. 11. 2010</w:t>
            </w:r>
          </w:p>
        </w:tc>
        <w:tc>
          <w:tcPr>
            <w:tcW w:w="3029" w:type="dxa"/>
            <w:vAlign w:val="center"/>
          </w:tcPr>
          <w:p w:rsidR="00810FBA" w:rsidRPr="00634977" w:rsidRDefault="00810FBA" w:rsidP="00605BA1">
            <w:pPr>
              <w:pStyle w:val="TABULKYTEXT"/>
              <w:rPr>
                <w:lang w:val="cs-CZ"/>
              </w:rPr>
            </w:pPr>
            <w:r w:rsidRPr="00634977">
              <w:rPr>
                <w:bCs/>
                <w:lang w:val="cs-CZ"/>
              </w:rPr>
              <w:t>Volker und Markus Schecke GbR</w:t>
            </w:r>
            <w:r w:rsidRPr="00634977">
              <w:rPr>
                <w:lang w:val="cs-CZ"/>
              </w:rPr>
              <w:t xml:space="preserve">, </w:t>
            </w:r>
            <w:r w:rsidRPr="00634977">
              <w:rPr>
                <w:bCs/>
                <w:lang w:val="cs-CZ"/>
              </w:rPr>
              <w:t xml:space="preserve">Hartmut Eifert </w:t>
            </w:r>
            <w:r w:rsidRPr="00634977">
              <w:rPr>
                <w:lang w:val="cs-CZ"/>
              </w:rPr>
              <w:t xml:space="preserve">v </w:t>
            </w:r>
            <w:r w:rsidRPr="00634977">
              <w:rPr>
                <w:bCs/>
                <w:lang w:val="cs-CZ"/>
              </w:rPr>
              <w:t>Land Hessen</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4"/>
              </w:numPr>
              <w:rPr>
                <w:lang w:val="cs-CZ"/>
              </w:rPr>
            </w:pPr>
          </w:p>
        </w:tc>
        <w:tc>
          <w:tcPr>
            <w:tcW w:w="1984" w:type="dxa"/>
            <w:vAlign w:val="center"/>
          </w:tcPr>
          <w:p w:rsidR="00810FBA" w:rsidRPr="00634977" w:rsidRDefault="00810FBA" w:rsidP="00605BA1">
            <w:pPr>
              <w:pStyle w:val="TABULKYTEXT"/>
              <w:rPr>
                <w:lang w:val="cs-CZ"/>
              </w:rPr>
            </w:pPr>
            <w:r w:rsidRPr="00634977">
              <w:rPr>
                <w:lang w:val="cs-CZ"/>
              </w:rPr>
              <w:t>spojené řízení C-93/09 a C-92/09</w:t>
            </w:r>
          </w:p>
        </w:tc>
        <w:tc>
          <w:tcPr>
            <w:tcW w:w="1518" w:type="dxa"/>
            <w:vAlign w:val="center"/>
          </w:tcPr>
          <w:p w:rsidR="00810FBA" w:rsidRPr="00634977" w:rsidRDefault="00810FBA" w:rsidP="00605BA1">
            <w:pPr>
              <w:pStyle w:val="TABULKYTEXT"/>
              <w:rPr>
                <w:lang w:val="cs-CZ"/>
              </w:rPr>
            </w:pPr>
            <w:r w:rsidRPr="00634977">
              <w:rPr>
                <w:lang w:val="cs-CZ"/>
              </w:rPr>
              <w:t>17. 6. 2010</w:t>
            </w:r>
          </w:p>
        </w:tc>
        <w:tc>
          <w:tcPr>
            <w:tcW w:w="3029" w:type="dxa"/>
            <w:vAlign w:val="center"/>
          </w:tcPr>
          <w:p w:rsidR="00810FBA" w:rsidRPr="00634977" w:rsidRDefault="00810FBA" w:rsidP="00605BA1">
            <w:pPr>
              <w:pStyle w:val="TABULKYTEXT"/>
              <w:rPr>
                <w:lang w:val="cs-CZ"/>
              </w:rPr>
            </w:pPr>
            <w:r w:rsidRPr="00634977">
              <w:rPr>
                <w:bCs/>
                <w:lang w:val="cs-CZ"/>
              </w:rPr>
              <w:t>Volker und Markus Schecke GbR</w:t>
            </w:r>
            <w:r w:rsidRPr="00634977">
              <w:rPr>
                <w:lang w:val="cs-CZ"/>
              </w:rPr>
              <w:t xml:space="preserve">, </w:t>
            </w:r>
            <w:r w:rsidRPr="00634977">
              <w:rPr>
                <w:bCs/>
                <w:lang w:val="cs-CZ"/>
              </w:rPr>
              <w:t xml:space="preserve">Hartmut Eifert </w:t>
            </w:r>
            <w:r w:rsidRPr="00634977">
              <w:rPr>
                <w:lang w:val="cs-CZ"/>
              </w:rPr>
              <w:t xml:space="preserve">v </w:t>
            </w:r>
            <w:r w:rsidRPr="00634977">
              <w:rPr>
                <w:bCs/>
                <w:lang w:val="cs-CZ"/>
              </w:rPr>
              <w:t>Land Hessen</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rPr>
          <w:b/>
          <w:i/>
        </w:rPr>
      </w:pPr>
      <w:r w:rsidRPr="00634977">
        <w:rPr>
          <w:b/>
        </w:rPr>
        <w:t xml:space="preserve">Příloha č. 10 – Seznam judikatury k podkapitole </w:t>
      </w:r>
      <w:r w:rsidRPr="00634977">
        <w:rPr>
          <w:b/>
          <w:i/>
        </w:rPr>
        <w:t>„Ostatní oblasti“</w:t>
      </w:r>
    </w:p>
    <w:p w:rsidR="00810FBA" w:rsidRPr="00634977" w:rsidRDefault="00810FBA" w:rsidP="00810FBA">
      <w:pPr>
        <w:pStyle w:val="BIBLIOGRAFIE"/>
        <w:numPr>
          <w:ilvl w:val="0"/>
          <w:numId w:val="0"/>
        </w:numPr>
        <w:outlineLvl w:val="0"/>
      </w:pPr>
      <w:r w:rsidRPr="00634977">
        <w:t>a) Společná zahraniční a bezpečnostní politika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jc w:val="both"/>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5"/>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C-550/09</w:t>
            </w:r>
          </w:p>
        </w:tc>
        <w:tc>
          <w:tcPr>
            <w:tcW w:w="1518" w:type="dxa"/>
            <w:vAlign w:val="center"/>
          </w:tcPr>
          <w:p w:rsidR="00810FBA" w:rsidRPr="00634977" w:rsidRDefault="00810FBA" w:rsidP="00605BA1">
            <w:pPr>
              <w:pStyle w:val="TABULKYTEXT"/>
              <w:rPr>
                <w:lang w:val="cs-CZ"/>
              </w:rPr>
            </w:pPr>
            <w:r w:rsidRPr="00634977">
              <w:rPr>
                <w:lang w:val="cs-CZ"/>
              </w:rPr>
              <w:t>17. 5. 2010</w:t>
            </w:r>
          </w:p>
        </w:tc>
        <w:tc>
          <w:tcPr>
            <w:tcW w:w="3029" w:type="dxa"/>
            <w:vAlign w:val="center"/>
          </w:tcPr>
          <w:p w:rsidR="00810FBA" w:rsidRPr="00634977" w:rsidRDefault="00810FBA" w:rsidP="00605BA1">
            <w:pPr>
              <w:pStyle w:val="TABULKYTEXT"/>
              <w:rPr>
                <w:bCs/>
                <w:lang w:val="cs-CZ"/>
              </w:rPr>
            </w:pPr>
            <w:r w:rsidRPr="00634977">
              <w:rPr>
                <w:bCs/>
                <w:lang w:val="cs-CZ"/>
              </w:rPr>
              <w:t xml:space="preserve">Der Generalbundesanwalt beim Bundesgerichtshof proti E, F </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pPr>
      <w:r w:rsidRPr="00634977">
        <w:t>b) Právo podniků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C-401/09</w:t>
            </w:r>
          </w:p>
        </w:tc>
        <w:tc>
          <w:tcPr>
            <w:tcW w:w="1518" w:type="dxa"/>
            <w:vAlign w:val="center"/>
          </w:tcPr>
          <w:p w:rsidR="00810FBA" w:rsidRPr="00634977" w:rsidRDefault="00810FBA" w:rsidP="00605BA1">
            <w:pPr>
              <w:pStyle w:val="TABULKYTEXT"/>
              <w:rPr>
                <w:lang w:val="cs-CZ"/>
              </w:rPr>
            </w:pPr>
            <w:r w:rsidRPr="00634977">
              <w:rPr>
                <w:lang w:val="cs-CZ"/>
              </w:rPr>
              <w:t>27. 1. 2011</w:t>
            </w:r>
          </w:p>
        </w:tc>
        <w:tc>
          <w:tcPr>
            <w:tcW w:w="3029" w:type="dxa"/>
            <w:vAlign w:val="center"/>
          </w:tcPr>
          <w:p w:rsidR="00810FBA" w:rsidRPr="00634977" w:rsidRDefault="00810FBA" w:rsidP="00605BA1">
            <w:pPr>
              <w:pStyle w:val="TABULKYTEXT"/>
              <w:rPr>
                <w:bCs/>
                <w:lang w:val="cs-CZ"/>
              </w:rPr>
            </w:pPr>
            <w:r w:rsidRPr="00634977">
              <w:rPr>
                <w:bCs/>
                <w:lang w:val="cs-CZ"/>
              </w:rPr>
              <w:t>Evropaïki Dynamiki - Proigmena Systimata Tilepikoinonion Pliroforikis kai Tilematikis AE proti European Central Bank</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C-81/09</w:t>
            </w:r>
          </w:p>
        </w:tc>
        <w:tc>
          <w:tcPr>
            <w:tcW w:w="1518" w:type="dxa"/>
            <w:vAlign w:val="center"/>
          </w:tcPr>
          <w:p w:rsidR="00810FBA" w:rsidRPr="00634977" w:rsidRDefault="00810FBA" w:rsidP="00605BA1">
            <w:pPr>
              <w:pStyle w:val="TABULKYTEXT"/>
              <w:rPr>
                <w:lang w:val="cs-CZ"/>
              </w:rPr>
            </w:pPr>
            <w:r w:rsidRPr="00634977">
              <w:rPr>
                <w:lang w:val="cs-CZ"/>
              </w:rPr>
              <w:t>2. 6. 2010</w:t>
            </w:r>
          </w:p>
        </w:tc>
        <w:tc>
          <w:tcPr>
            <w:tcW w:w="3029" w:type="dxa"/>
            <w:vAlign w:val="center"/>
          </w:tcPr>
          <w:p w:rsidR="00810FBA" w:rsidRPr="00634977" w:rsidRDefault="00810FBA" w:rsidP="00605BA1">
            <w:pPr>
              <w:pStyle w:val="TABULKYTEXT"/>
              <w:rPr>
                <w:bCs/>
                <w:lang w:val="cs-CZ"/>
              </w:rPr>
            </w:pPr>
            <w:r w:rsidRPr="00634977">
              <w:rPr>
                <w:bCs/>
                <w:lang w:val="cs-CZ"/>
              </w:rPr>
              <w:t xml:space="preserve">Idrima Tipou </w:t>
            </w:r>
            <w:proofErr w:type="gramStart"/>
            <w:r w:rsidRPr="00634977">
              <w:rPr>
                <w:bCs/>
                <w:lang w:val="cs-CZ"/>
              </w:rPr>
              <w:t>A.E. proti</w:t>
            </w:r>
            <w:proofErr w:type="gramEnd"/>
            <w:r w:rsidRPr="00634977">
              <w:rPr>
                <w:bCs/>
                <w:lang w:val="cs-CZ"/>
              </w:rPr>
              <w:t xml:space="preserve"> Ipourgos Tipou Kai Meson Mazikis Enimerosis </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6"/>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C-570/08</w:t>
            </w:r>
          </w:p>
        </w:tc>
        <w:tc>
          <w:tcPr>
            <w:tcW w:w="1518" w:type="dxa"/>
            <w:vAlign w:val="center"/>
          </w:tcPr>
          <w:p w:rsidR="00810FBA" w:rsidRPr="00634977" w:rsidRDefault="00810FBA" w:rsidP="00605BA1">
            <w:pPr>
              <w:pStyle w:val="TABULKYTEXT"/>
              <w:rPr>
                <w:lang w:val="cs-CZ"/>
              </w:rPr>
            </w:pPr>
            <w:r w:rsidRPr="00634977">
              <w:rPr>
                <w:lang w:val="cs-CZ"/>
              </w:rPr>
              <w:t>1. 6. 2010</w:t>
            </w:r>
          </w:p>
        </w:tc>
        <w:tc>
          <w:tcPr>
            <w:tcW w:w="3029" w:type="dxa"/>
            <w:vAlign w:val="center"/>
          </w:tcPr>
          <w:p w:rsidR="00810FBA" w:rsidRPr="00634977" w:rsidRDefault="00810FBA" w:rsidP="00605BA1">
            <w:pPr>
              <w:pStyle w:val="TABULKYTEXT"/>
              <w:rPr>
                <w:bCs/>
                <w:lang w:val="cs-CZ"/>
              </w:rPr>
            </w:pPr>
            <w:r w:rsidRPr="00634977">
              <w:rPr>
                <w:bCs/>
                <w:lang w:val="cs-CZ"/>
              </w:rPr>
              <w:t xml:space="preserve">Simvoulio Apokhetevseon Lefkosias v Anatheoritiki Arkhi Prosforon </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pPr>
      <w:r w:rsidRPr="00634977">
        <w:t>c) Životní prostředí a spotřebitelé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7"/>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C-524/09</w:t>
            </w:r>
          </w:p>
        </w:tc>
        <w:tc>
          <w:tcPr>
            <w:tcW w:w="1518" w:type="dxa"/>
            <w:vAlign w:val="center"/>
          </w:tcPr>
          <w:p w:rsidR="00810FBA" w:rsidRPr="00634977" w:rsidRDefault="00810FBA" w:rsidP="00605BA1">
            <w:pPr>
              <w:pStyle w:val="TABULKYTEXT"/>
              <w:rPr>
                <w:lang w:val="cs-CZ"/>
              </w:rPr>
            </w:pPr>
            <w:r w:rsidRPr="00634977">
              <w:rPr>
                <w:lang w:val="cs-CZ"/>
              </w:rPr>
              <w:t>14. 10. 2010</w:t>
            </w:r>
          </w:p>
        </w:tc>
        <w:tc>
          <w:tcPr>
            <w:tcW w:w="3029" w:type="dxa"/>
            <w:vAlign w:val="center"/>
          </w:tcPr>
          <w:p w:rsidR="00810FBA" w:rsidRPr="00634977" w:rsidRDefault="00810FBA" w:rsidP="00605BA1">
            <w:pPr>
              <w:pStyle w:val="TABULKYTEXT"/>
              <w:rPr>
                <w:bCs/>
                <w:lang w:val="cs-CZ"/>
              </w:rPr>
            </w:pPr>
            <w:r w:rsidRPr="00634977">
              <w:rPr>
                <w:bCs/>
                <w:lang w:val="cs-CZ"/>
              </w:rPr>
              <w:t>Ville de Lyon v Caisse des dépôts et consignations</w:t>
            </w:r>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7"/>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C-317/08 až C-320/08</w:t>
            </w:r>
          </w:p>
        </w:tc>
        <w:tc>
          <w:tcPr>
            <w:tcW w:w="1518" w:type="dxa"/>
            <w:vAlign w:val="center"/>
          </w:tcPr>
          <w:p w:rsidR="00810FBA" w:rsidRPr="00634977" w:rsidRDefault="00810FBA" w:rsidP="00605BA1">
            <w:pPr>
              <w:pStyle w:val="TABULKYTEXT"/>
              <w:rPr>
                <w:lang w:val="cs-CZ"/>
              </w:rPr>
            </w:pPr>
            <w:r w:rsidRPr="00634977">
              <w:rPr>
                <w:lang w:val="cs-CZ"/>
              </w:rPr>
              <w:t>18. 3. 2010</w:t>
            </w:r>
          </w:p>
        </w:tc>
        <w:tc>
          <w:tcPr>
            <w:tcW w:w="3029" w:type="dxa"/>
            <w:vAlign w:val="center"/>
          </w:tcPr>
          <w:p w:rsidR="00810FBA" w:rsidRPr="00634977" w:rsidRDefault="00810FBA" w:rsidP="00605BA1">
            <w:pPr>
              <w:pStyle w:val="TABULKYTEXT"/>
              <w:rPr>
                <w:lang w:val="cs-CZ"/>
              </w:rPr>
            </w:pPr>
            <w:r w:rsidRPr="00634977">
              <w:rPr>
                <w:bCs/>
                <w:lang w:val="cs-CZ"/>
              </w:rPr>
              <w:t xml:space="preserve">Rosalba Alassini </w:t>
            </w:r>
            <w:r w:rsidRPr="00634977">
              <w:rPr>
                <w:lang w:val="cs-CZ"/>
              </w:rPr>
              <w:t xml:space="preserve">v </w:t>
            </w:r>
            <w:r w:rsidRPr="00634977">
              <w:rPr>
                <w:bCs/>
                <w:lang w:val="cs-CZ"/>
              </w:rPr>
              <w:t>Telecom Italia SpA a další</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7"/>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C-526/08</w:t>
            </w:r>
          </w:p>
        </w:tc>
        <w:tc>
          <w:tcPr>
            <w:tcW w:w="1518" w:type="dxa"/>
            <w:vAlign w:val="center"/>
          </w:tcPr>
          <w:p w:rsidR="00810FBA" w:rsidRPr="00634977" w:rsidRDefault="00810FBA" w:rsidP="00605BA1">
            <w:pPr>
              <w:pStyle w:val="TABULKYTEXT"/>
              <w:rPr>
                <w:lang w:val="cs-CZ"/>
              </w:rPr>
            </w:pPr>
            <w:r w:rsidRPr="00634977">
              <w:rPr>
                <w:lang w:val="cs-CZ"/>
              </w:rPr>
              <w:t>28. 1. 2010</w:t>
            </w:r>
          </w:p>
        </w:tc>
        <w:tc>
          <w:tcPr>
            <w:tcW w:w="3029" w:type="dxa"/>
            <w:vAlign w:val="center"/>
          </w:tcPr>
          <w:p w:rsidR="00810FBA" w:rsidRPr="00634977" w:rsidRDefault="00810FBA" w:rsidP="00605BA1">
            <w:pPr>
              <w:pStyle w:val="TABULKYTEXT"/>
              <w:rPr>
                <w:lang w:val="cs-CZ"/>
              </w:rPr>
            </w:pPr>
            <w:r w:rsidRPr="00634977">
              <w:rPr>
                <w:lang w:val="cs-CZ"/>
              </w:rPr>
              <w:t xml:space="preserve">Komise v </w:t>
            </w:r>
            <w:proofErr w:type="gramStart"/>
            <w:r w:rsidRPr="00634977">
              <w:rPr>
                <w:lang w:val="cs-CZ"/>
              </w:rPr>
              <w:t>Lucembursko</w:t>
            </w:r>
            <w:proofErr w:type="gramEnd"/>
          </w:p>
        </w:tc>
        <w:tc>
          <w:tcPr>
            <w:tcW w:w="2070" w:type="dxa"/>
            <w:vAlign w:val="center"/>
          </w:tcPr>
          <w:p w:rsidR="00810FBA" w:rsidRPr="00634977" w:rsidRDefault="00810FBA" w:rsidP="00605BA1">
            <w:pPr>
              <w:pStyle w:val="TABULKYTEXT"/>
              <w:rPr>
                <w:lang w:val="cs-CZ"/>
              </w:rPr>
            </w:pPr>
            <w:r w:rsidRPr="00634977">
              <w:rPr>
                <w:lang w:val="cs-CZ"/>
              </w:rPr>
              <w:t>stanovisko</w:t>
            </w:r>
          </w:p>
        </w:tc>
      </w:tr>
      <w:tr w:rsidR="00810FBA" w:rsidRPr="00634977" w:rsidTr="00605BA1">
        <w:tc>
          <w:tcPr>
            <w:tcW w:w="686" w:type="dxa"/>
            <w:vAlign w:val="center"/>
          </w:tcPr>
          <w:p w:rsidR="00810FBA" w:rsidRPr="00634977" w:rsidRDefault="00810FBA" w:rsidP="00605BA1">
            <w:pPr>
              <w:pStyle w:val="TABULKYTEXT"/>
              <w:numPr>
                <w:ilvl w:val="0"/>
                <w:numId w:val="27"/>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C-227/08</w:t>
            </w:r>
          </w:p>
        </w:tc>
        <w:tc>
          <w:tcPr>
            <w:tcW w:w="1518" w:type="dxa"/>
            <w:vAlign w:val="center"/>
          </w:tcPr>
          <w:p w:rsidR="00810FBA" w:rsidRPr="00634977" w:rsidRDefault="00810FBA" w:rsidP="00605BA1">
            <w:pPr>
              <w:pStyle w:val="TABULKYTEXT"/>
              <w:rPr>
                <w:lang w:val="cs-CZ"/>
              </w:rPr>
            </w:pPr>
            <w:r w:rsidRPr="00634977">
              <w:rPr>
                <w:lang w:val="cs-CZ"/>
              </w:rPr>
              <w:t>17. 12. 2009</w:t>
            </w:r>
          </w:p>
        </w:tc>
        <w:tc>
          <w:tcPr>
            <w:tcW w:w="3029" w:type="dxa"/>
            <w:vAlign w:val="center"/>
          </w:tcPr>
          <w:p w:rsidR="00810FBA" w:rsidRPr="00634977" w:rsidRDefault="00810FBA" w:rsidP="00605BA1">
            <w:pPr>
              <w:pStyle w:val="TABULKYTEXT"/>
              <w:rPr>
                <w:lang w:val="cs-CZ"/>
              </w:rPr>
            </w:pPr>
            <w:r w:rsidRPr="00634977">
              <w:rPr>
                <w:bCs/>
                <w:lang w:val="cs-CZ"/>
              </w:rPr>
              <w:t>Eva Martín Martín</w:t>
            </w:r>
            <w:r w:rsidRPr="00634977">
              <w:rPr>
                <w:lang w:val="cs-CZ"/>
              </w:rPr>
              <w:t xml:space="preserve"> v </w:t>
            </w:r>
            <w:r w:rsidRPr="00634977">
              <w:rPr>
                <w:bCs/>
                <w:lang w:val="cs-CZ"/>
              </w:rPr>
              <w:t>EDP Editores, SL</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7"/>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C-392/08</w:t>
            </w:r>
          </w:p>
        </w:tc>
        <w:tc>
          <w:tcPr>
            <w:tcW w:w="1518" w:type="dxa"/>
            <w:vAlign w:val="center"/>
          </w:tcPr>
          <w:p w:rsidR="00810FBA" w:rsidRPr="00634977" w:rsidRDefault="00810FBA" w:rsidP="00605BA1">
            <w:pPr>
              <w:pStyle w:val="TABULKYTEXT"/>
              <w:rPr>
                <w:lang w:val="cs-CZ"/>
              </w:rPr>
            </w:pPr>
            <w:r w:rsidRPr="00634977">
              <w:rPr>
                <w:lang w:val="cs-CZ"/>
              </w:rPr>
              <w:t>10. 12. 2009</w:t>
            </w:r>
          </w:p>
        </w:tc>
        <w:tc>
          <w:tcPr>
            <w:tcW w:w="3029" w:type="dxa"/>
            <w:vAlign w:val="center"/>
          </w:tcPr>
          <w:p w:rsidR="00810FBA" w:rsidRPr="00634977" w:rsidRDefault="00810FBA" w:rsidP="00605BA1">
            <w:pPr>
              <w:pStyle w:val="TABULKYTEXT"/>
              <w:rPr>
                <w:bCs/>
                <w:lang w:val="cs-CZ"/>
              </w:rPr>
            </w:pPr>
            <w:r w:rsidRPr="00634977">
              <w:rPr>
                <w:bCs/>
                <w:lang w:val="cs-CZ"/>
              </w:rPr>
              <w:t xml:space="preserve">Komise v </w:t>
            </w:r>
            <w:proofErr w:type="gramStart"/>
            <w:r w:rsidRPr="00634977">
              <w:rPr>
                <w:bCs/>
                <w:lang w:val="cs-CZ"/>
              </w:rPr>
              <w:t>Španělsko</w:t>
            </w:r>
            <w:proofErr w:type="gramEnd"/>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pPr>
      <w:r w:rsidRPr="00634977">
        <w:t>d) Duševní vlastnictví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8"/>
              </w:numPr>
              <w:rPr>
                <w:lang w:val="cs-CZ"/>
              </w:rPr>
            </w:pPr>
          </w:p>
        </w:tc>
        <w:tc>
          <w:tcPr>
            <w:tcW w:w="1984" w:type="dxa"/>
            <w:vAlign w:val="center"/>
          </w:tcPr>
          <w:p w:rsidR="00810FBA" w:rsidRPr="00634977" w:rsidRDefault="00810FBA" w:rsidP="00605BA1">
            <w:pPr>
              <w:pStyle w:val="TABULKYTEXT"/>
              <w:rPr>
                <w:lang w:val="cs-CZ"/>
              </w:rPr>
            </w:pPr>
            <w:r w:rsidRPr="00634977">
              <w:rPr>
                <w:lang w:val="cs-CZ"/>
              </w:rPr>
              <w:t>C-324/09</w:t>
            </w:r>
          </w:p>
        </w:tc>
        <w:tc>
          <w:tcPr>
            <w:tcW w:w="1518" w:type="dxa"/>
            <w:vAlign w:val="center"/>
          </w:tcPr>
          <w:p w:rsidR="00810FBA" w:rsidRPr="00634977" w:rsidRDefault="00810FBA" w:rsidP="00605BA1">
            <w:pPr>
              <w:pStyle w:val="TABULKYTEXT"/>
              <w:rPr>
                <w:lang w:val="cs-CZ"/>
              </w:rPr>
            </w:pPr>
            <w:r w:rsidRPr="00634977">
              <w:rPr>
                <w:lang w:val="cs-CZ"/>
              </w:rPr>
              <w:t>9. 12. 2010</w:t>
            </w:r>
          </w:p>
        </w:tc>
        <w:tc>
          <w:tcPr>
            <w:tcW w:w="3029" w:type="dxa"/>
            <w:vAlign w:val="center"/>
          </w:tcPr>
          <w:p w:rsidR="00810FBA" w:rsidRPr="00634977" w:rsidRDefault="00810FBA" w:rsidP="00605BA1">
            <w:pPr>
              <w:pStyle w:val="TABULKYTEXT"/>
              <w:rPr>
                <w:bCs/>
                <w:lang w:val="cs-CZ"/>
              </w:rPr>
            </w:pPr>
            <w:r w:rsidRPr="00634977">
              <w:rPr>
                <w:bCs/>
                <w:lang w:val="cs-CZ"/>
              </w:rPr>
              <w:t xml:space="preserve">L’Oréal SA Lancôme parfums et beauté &amp; Cie Laboratoire Garnier &amp; Cie L’Oréal (UK) Limited v eBay International AG eBay Europe SARL eBay (UK) Limited </w:t>
            </w:r>
          </w:p>
        </w:tc>
        <w:tc>
          <w:tcPr>
            <w:tcW w:w="2070" w:type="dxa"/>
            <w:vAlign w:val="center"/>
          </w:tcPr>
          <w:p w:rsidR="00810FBA" w:rsidRPr="00634977" w:rsidRDefault="00810FBA" w:rsidP="00605BA1">
            <w:pPr>
              <w:pStyle w:val="TABULKYTEXT"/>
              <w:rPr>
                <w:lang w:val="cs-CZ"/>
              </w:rPr>
            </w:pPr>
            <w:r w:rsidRPr="00634977">
              <w:rPr>
                <w:lang w:val="cs-CZ"/>
              </w:rPr>
              <w:t>stanovisko</w:t>
            </w:r>
          </w:p>
        </w:tc>
      </w:tr>
    </w:tbl>
    <w:p w:rsidR="00810FBA" w:rsidRPr="00634977" w:rsidRDefault="00810FBA" w:rsidP="00810FBA">
      <w:pPr>
        <w:pStyle w:val="BIBLIOGRAFIE"/>
        <w:numPr>
          <w:ilvl w:val="0"/>
          <w:numId w:val="0"/>
        </w:numPr>
      </w:pPr>
    </w:p>
    <w:p w:rsidR="00810FBA" w:rsidRPr="00634977" w:rsidRDefault="00810FBA" w:rsidP="00810FBA">
      <w:pPr>
        <w:pStyle w:val="BIBLIOGRAFIE"/>
        <w:numPr>
          <w:ilvl w:val="0"/>
          <w:numId w:val="0"/>
        </w:numPr>
        <w:outlineLvl w:val="0"/>
        <w:rPr>
          <w:b/>
        </w:rPr>
      </w:pPr>
      <w:r w:rsidRPr="00634977">
        <w:rPr>
          <w:b/>
        </w:rPr>
        <w:t>Příloha č. 11 – Seznam judikatury k činnosti Tribunálu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984"/>
        <w:gridCol w:w="1518"/>
        <w:gridCol w:w="3029"/>
        <w:gridCol w:w="2070"/>
      </w:tblGrid>
      <w:tr w:rsidR="00810FBA" w:rsidRPr="00634977" w:rsidTr="00605BA1">
        <w:tc>
          <w:tcPr>
            <w:tcW w:w="686" w:type="dxa"/>
          </w:tcPr>
          <w:p w:rsidR="00810FBA" w:rsidRPr="00634977" w:rsidRDefault="00810FBA" w:rsidP="00605BA1">
            <w:pPr>
              <w:pStyle w:val="TABULKYTEXT"/>
              <w:rPr>
                <w:lang w:val="cs-CZ"/>
              </w:rPr>
            </w:pPr>
          </w:p>
        </w:tc>
        <w:tc>
          <w:tcPr>
            <w:tcW w:w="1984" w:type="dxa"/>
          </w:tcPr>
          <w:p w:rsidR="00810FBA" w:rsidRPr="00634977" w:rsidRDefault="00810FBA" w:rsidP="00605BA1">
            <w:pPr>
              <w:pStyle w:val="TABULKYTEXT"/>
              <w:rPr>
                <w:lang w:val="cs-CZ"/>
              </w:rPr>
            </w:pPr>
            <w:r w:rsidRPr="00634977">
              <w:rPr>
                <w:lang w:val="cs-CZ"/>
              </w:rPr>
              <w:t>Spisová značka</w:t>
            </w:r>
          </w:p>
        </w:tc>
        <w:tc>
          <w:tcPr>
            <w:tcW w:w="1518" w:type="dxa"/>
          </w:tcPr>
          <w:p w:rsidR="00810FBA" w:rsidRPr="00634977" w:rsidRDefault="00810FBA" w:rsidP="00605BA1">
            <w:pPr>
              <w:pStyle w:val="TABULKYTEXT"/>
              <w:rPr>
                <w:lang w:val="cs-CZ"/>
              </w:rPr>
            </w:pPr>
            <w:r w:rsidRPr="00634977">
              <w:rPr>
                <w:lang w:val="cs-CZ"/>
              </w:rPr>
              <w:t>Datum</w:t>
            </w:r>
          </w:p>
        </w:tc>
        <w:tc>
          <w:tcPr>
            <w:tcW w:w="3029" w:type="dxa"/>
          </w:tcPr>
          <w:p w:rsidR="00810FBA" w:rsidRPr="00634977" w:rsidRDefault="00810FBA" w:rsidP="00605BA1">
            <w:pPr>
              <w:pStyle w:val="TABULKYTEXT"/>
              <w:rPr>
                <w:lang w:val="cs-CZ"/>
              </w:rPr>
            </w:pPr>
            <w:r w:rsidRPr="00634977">
              <w:rPr>
                <w:lang w:val="cs-CZ"/>
              </w:rPr>
              <w:t>Strany</w:t>
            </w:r>
          </w:p>
        </w:tc>
        <w:tc>
          <w:tcPr>
            <w:tcW w:w="2070" w:type="dxa"/>
          </w:tcPr>
          <w:p w:rsidR="00810FBA" w:rsidRPr="00634977" w:rsidRDefault="00810FBA" w:rsidP="00605BA1">
            <w:pPr>
              <w:pStyle w:val="TABULKYTEXT"/>
              <w:rPr>
                <w:lang w:val="cs-CZ"/>
              </w:rPr>
            </w:pPr>
            <w:r w:rsidRPr="00634977">
              <w:rPr>
                <w:lang w:val="cs-CZ"/>
              </w:rPr>
              <w:t>Druh rozhodnutí</w:t>
            </w:r>
          </w:p>
        </w:tc>
      </w:tr>
      <w:tr w:rsidR="00810FBA" w:rsidRPr="00634977" w:rsidTr="00605BA1">
        <w:tc>
          <w:tcPr>
            <w:tcW w:w="686" w:type="dxa"/>
            <w:vAlign w:val="center"/>
          </w:tcPr>
          <w:p w:rsidR="00810FBA" w:rsidRPr="00634977" w:rsidRDefault="00810FBA" w:rsidP="00605BA1">
            <w:pPr>
              <w:pStyle w:val="TABULKYTEXT"/>
              <w:numPr>
                <w:ilvl w:val="0"/>
                <w:numId w:val="2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T-49/07</w:t>
            </w:r>
          </w:p>
        </w:tc>
        <w:tc>
          <w:tcPr>
            <w:tcW w:w="1518" w:type="dxa"/>
            <w:vAlign w:val="center"/>
          </w:tcPr>
          <w:p w:rsidR="00810FBA" w:rsidRPr="00634977" w:rsidRDefault="00810FBA" w:rsidP="00605BA1">
            <w:pPr>
              <w:pStyle w:val="TABULKYTEXT"/>
              <w:rPr>
                <w:lang w:val="cs-CZ"/>
              </w:rPr>
            </w:pPr>
            <w:r w:rsidRPr="00634977">
              <w:rPr>
                <w:lang w:val="cs-CZ"/>
              </w:rPr>
              <w:t>7. 12. 2010</w:t>
            </w:r>
          </w:p>
        </w:tc>
        <w:tc>
          <w:tcPr>
            <w:tcW w:w="3029" w:type="dxa"/>
            <w:vAlign w:val="center"/>
          </w:tcPr>
          <w:p w:rsidR="00810FBA" w:rsidRPr="00634977" w:rsidRDefault="00810FBA" w:rsidP="00605BA1">
            <w:pPr>
              <w:pStyle w:val="TABULKYTEXT"/>
              <w:rPr>
                <w:bCs/>
                <w:lang w:val="cs-CZ"/>
              </w:rPr>
            </w:pPr>
            <w:r w:rsidRPr="00634977">
              <w:rPr>
                <w:bCs/>
                <w:lang w:val="cs-CZ"/>
              </w:rPr>
              <w:t>Fahas v Rada</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T-111/07</w:t>
            </w:r>
          </w:p>
        </w:tc>
        <w:tc>
          <w:tcPr>
            <w:tcW w:w="1518" w:type="dxa"/>
            <w:vAlign w:val="center"/>
          </w:tcPr>
          <w:p w:rsidR="00810FBA" w:rsidRPr="00634977" w:rsidRDefault="00810FBA" w:rsidP="00605BA1">
            <w:pPr>
              <w:pStyle w:val="TABULKYTEXT"/>
              <w:rPr>
                <w:lang w:val="cs-CZ"/>
              </w:rPr>
            </w:pPr>
            <w:r w:rsidRPr="00634977">
              <w:rPr>
                <w:lang w:val="cs-CZ"/>
              </w:rPr>
              <w:t>7. 7. 2010</w:t>
            </w:r>
          </w:p>
        </w:tc>
        <w:tc>
          <w:tcPr>
            <w:tcW w:w="3029" w:type="dxa"/>
            <w:vAlign w:val="center"/>
          </w:tcPr>
          <w:p w:rsidR="00810FBA" w:rsidRPr="00634977" w:rsidRDefault="00810FBA" w:rsidP="00605BA1">
            <w:pPr>
              <w:pStyle w:val="TABULKYTEXT"/>
              <w:rPr>
                <w:lang w:val="cs-CZ"/>
              </w:rPr>
            </w:pPr>
            <w:r w:rsidRPr="00634977">
              <w:rPr>
                <w:lang w:val="cs-CZ"/>
              </w:rPr>
              <w:t xml:space="preserve">Agrofert Holding a.s. v </w:t>
            </w:r>
          </w:p>
        </w:tc>
        <w:tc>
          <w:tcPr>
            <w:tcW w:w="2070" w:type="dxa"/>
            <w:vAlign w:val="center"/>
          </w:tcPr>
          <w:p w:rsidR="00810FBA" w:rsidRPr="00634977" w:rsidRDefault="00810FBA" w:rsidP="00605BA1">
            <w:pPr>
              <w:pStyle w:val="TABULKYTEXT"/>
              <w:rPr>
                <w:lang w:val="cs-CZ"/>
              </w:rPr>
            </w:pPr>
            <w:r w:rsidRPr="00634977">
              <w:rPr>
                <w:lang w:val="cs-CZ"/>
              </w:rPr>
              <w:t>rozsudek</w:t>
            </w:r>
          </w:p>
        </w:tc>
      </w:tr>
      <w:tr w:rsidR="00810FBA" w:rsidRPr="00634977" w:rsidTr="00605BA1">
        <w:tc>
          <w:tcPr>
            <w:tcW w:w="686" w:type="dxa"/>
            <w:vAlign w:val="center"/>
          </w:tcPr>
          <w:p w:rsidR="00810FBA" w:rsidRPr="00634977" w:rsidRDefault="00810FBA" w:rsidP="00605BA1">
            <w:pPr>
              <w:pStyle w:val="TABULKYTEXT"/>
              <w:numPr>
                <w:ilvl w:val="0"/>
                <w:numId w:val="29"/>
              </w:numPr>
              <w:rPr>
                <w:lang w:val="cs-CZ"/>
              </w:rPr>
            </w:pPr>
          </w:p>
        </w:tc>
        <w:tc>
          <w:tcPr>
            <w:tcW w:w="1984" w:type="dxa"/>
            <w:vAlign w:val="center"/>
          </w:tcPr>
          <w:p w:rsidR="00810FBA" w:rsidRPr="00634977" w:rsidRDefault="00810FBA" w:rsidP="00605BA1">
            <w:pPr>
              <w:pStyle w:val="TABULKYTEXT"/>
              <w:rPr>
                <w:lang w:val="cs-CZ"/>
              </w:rPr>
            </w:pPr>
            <w:r w:rsidRPr="00634977">
              <w:rPr>
                <w:lang w:val="cs-CZ"/>
              </w:rPr>
              <w:t>T-181/08</w:t>
            </w:r>
          </w:p>
        </w:tc>
        <w:tc>
          <w:tcPr>
            <w:tcW w:w="1518" w:type="dxa"/>
            <w:vAlign w:val="center"/>
          </w:tcPr>
          <w:p w:rsidR="00810FBA" w:rsidRPr="00634977" w:rsidRDefault="00810FBA" w:rsidP="00605BA1">
            <w:pPr>
              <w:pStyle w:val="TABULKYTEXT"/>
              <w:rPr>
                <w:lang w:val="cs-CZ"/>
              </w:rPr>
            </w:pPr>
            <w:r w:rsidRPr="00634977">
              <w:rPr>
                <w:lang w:val="cs-CZ"/>
              </w:rPr>
              <w:t>19. 5. 2010</w:t>
            </w:r>
          </w:p>
        </w:tc>
        <w:tc>
          <w:tcPr>
            <w:tcW w:w="3029" w:type="dxa"/>
            <w:vAlign w:val="center"/>
          </w:tcPr>
          <w:p w:rsidR="00810FBA" w:rsidRPr="00634977" w:rsidRDefault="00810FBA" w:rsidP="00605BA1">
            <w:pPr>
              <w:pStyle w:val="TABULKYTEXT"/>
              <w:rPr>
                <w:lang w:val="cs-CZ"/>
              </w:rPr>
            </w:pPr>
            <w:r w:rsidRPr="00634977">
              <w:rPr>
                <w:lang w:val="cs-CZ"/>
              </w:rPr>
              <w:t>Tay Zay v Rada</w:t>
            </w:r>
          </w:p>
        </w:tc>
        <w:tc>
          <w:tcPr>
            <w:tcW w:w="2070" w:type="dxa"/>
            <w:vAlign w:val="center"/>
          </w:tcPr>
          <w:p w:rsidR="00810FBA" w:rsidRPr="00634977" w:rsidRDefault="00810FBA" w:rsidP="00605BA1">
            <w:pPr>
              <w:pStyle w:val="TABULKYTEXT"/>
              <w:rPr>
                <w:lang w:val="cs-CZ"/>
              </w:rPr>
            </w:pPr>
            <w:r w:rsidRPr="00634977">
              <w:rPr>
                <w:lang w:val="cs-CZ"/>
              </w:rPr>
              <w:t>rozsudek</w:t>
            </w:r>
          </w:p>
        </w:tc>
      </w:tr>
    </w:tbl>
    <w:p w:rsidR="00D84BAC" w:rsidRPr="00634977" w:rsidRDefault="00D84BAC" w:rsidP="00B73887">
      <w:pPr>
        <w:spacing w:line="240" w:lineRule="auto"/>
        <w:ind w:firstLine="0"/>
        <w:jc w:val="left"/>
        <w:rPr>
          <w:szCs w:val="24"/>
        </w:rPr>
      </w:pPr>
    </w:p>
    <w:sectPr w:rsidR="00D84BAC" w:rsidRPr="00634977" w:rsidSect="001F6609">
      <w:footerReference w:type="default" r:id="rId15"/>
      <w:footerReference w:type="first" r:id="rId16"/>
      <w:pgSz w:w="11906" w:h="16838"/>
      <w:pgMar w:top="1418" w:right="1134" w:bottom="1134" w:left="1701"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41" w:rsidRDefault="00F51C41" w:rsidP="00854163">
      <w:pPr>
        <w:spacing w:line="240" w:lineRule="auto"/>
      </w:pPr>
      <w:r>
        <w:separator/>
      </w:r>
    </w:p>
  </w:endnote>
  <w:endnote w:type="continuationSeparator" w:id="0">
    <w:p w:rsidR="00F51C41" w:rsidRDefault="00F51C41" w:rsidP="008541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0B" w:rsidRPr="00F92D1A" w:rsidRDefault="002E040B" w:rsidP="00F92D1A">
    <w:pPr>
      <w:pStyle w:val="Fuzeil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9073"/>
      <w:docPartObj>
        <w:docPartGallery w:val="Page Numbers (Bottom of Page)"/>
        <w:docPartUnique/>
      </w:docPartObj>
    </w:sdtPr>
    <w:sdtEndPr>
      <w:rPr>
        <w:sz w:val="22"/>
      </w:rPr>
    </w:sdtEndPr>
    <w:sdtContent>
      <w:p w:rsidR="002E040B" w:rsidRPr="00A067CC" w:rsidRDefault="000042CF" w:rsidP="00A067CC">
        <w:pPr>
          <w:pStyle w:val="Fuzeile"/>
          <w:jc w:val="center"/>
        </w:pPr>
        <w:r w:rsidRPr="00A067CC">
          <w:rPr>
            <w:sz w:val="22"/>
          </w:rPr>
          <w:fldChar w:fldCharType="begin"/>
        </w:r>
        <w:r w:rsidR="002E040B" w:rsidRPr="00A067CC">
          <w:rPr>
            <w:sz w:val="22"/>
          </w:rPr>
          <w:instrText xml:space="preserve"> PAGE   \* MERGEFORMAT </w:instrText>
        </w:r>
        <w:r w:rsidRPr="00A067CC">
          <w:rPr>
            <w:sz w:val="22"/>
          </w:rPr>
          <w:fldChar w:fldCharType="separate"/>
        </w:r>
        <w:r w:rsidR="00B07F5A">
          <w:rPr>
            <w:noProof/>
            <w:sz w:val="22"/>
          </w:rPr>
          <w:t>25</w:t>
        </w:r>
        <w:r w:rsidRPr="00A067CC">
          <w:rPr>
            <w:sz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893"/>
      <w:docPartObj>
        <w:docPartGallery w:val="Page Numbers (Bottom of Page)"/>
        <w:docPartUnique/>
      </w:docPartObj>
    </w:sdtPr>
    <w:sdtContent>
      <w:p w:rsidR="002E040B" w:rsidRDefault="000042CF" w:rsidP="001F3474">
        <w:pPr>
          <w:pStyle w:val="Fuzeile"/>
          <w:jc w:val="center"/>
        </w:pPr>
        <w:fldSimple w:instr=" PAGE   \* MERGEFORMAT ">
          <w:r w:rsidR="00B07F5A">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41" w:rsidRDefault="00F51C41" w:rsidP="00854163">
      <w:pPr>
        <w:spacing w:line="240" w:lineRule="auto"/>
      </w:pPr>
      <w:r>
        <w:separator/>
      </w:r>
    </w:p>
  </w:footnote>
  <w:footnote w:type="continuationSeparator" w:id="0">
    <w:p w:rsidR="00F51C41" w:rsidRDefault="00F51C41" w:rsidP="00854163">
      <w:pPr>
        <w:spacing w:line="240" w:lineRule="auto"/>
      </w:pPr>
      <w:r>
        <w:continuationSeparator/>
      </w:r>
    </w:p>
  </w:footnote>
  <w:footnote w:id="1">
    <w:p w:rsidR="002E040B" w:rsidRPr="00AC2306" w:rsidRDefault="002E040B" w:rsidP="00AC2306">
      <w:pPr>
        <w:pStyle w:val="PODCAROU"/>
      </w:pPr>
      <w:r>
        <w:rPr>
          <w:rStyle w:val="Funotenzeichen"/>
        </w:rPr>
        <w:footnoteRef/>
      </w:r>
      <w:r>
        <w:t xml:space="preserve"> ŠIŠKOVÁ</w:t>
      </w:r>
      <w:r w:rsidRPr="00AC2306">
        <w:t xml:space="preserve">, Naděžda. </w:t>
      </w:r>
      <w:r w:rsidRPr="00AC2306">
        <w:rPr>
          <w:i/>
        </w:rPr>
        <w:t>Dimenze ochrany lidských práv v Evropské unii</w:t>
      </w:r>
      <w:r w:rsidRPr="00AC2306">
        <w:t>. 2. vydání. Praha:Linde, 2008.</w:t>
      </w:r>
      <w:r>
        <w:t xml:space="preserve"> 75 s. </w:t>
      </w:r>
    </w:p>
  </w:footnote>
  <w:footnote w:id="2">
    <w:p w:rsidR="002E040B" w:rsidRPr="006A5BBE" w:rsidRDefault="002E040B" w:rsidP="006A5BBE">
      <w:pPr>
        <w:pStyle w:val="PODCAROU"/>
      </w:pPr>
      <w:r>
        <w:rPr>
          <w:rStyle w:val="Funotenzeichen"/>
        </w:rPr>
        <w:footnoteRef/>
      </w:r>
      <w:r>
        <w:t xml:space="preserve"> </w:t>
      </w:r>
      <w:r w:rsidRPr="006A5BBE">
        <w:rPr>
          <w:i/>
        </w:rPr>
        <w:t>Oficiální webový portál ESD, vyhledávací formulář judikatury</w:t>
      </w:r>
      <w:r>
        <w:t>:</w:t>
      </w:r>
      <w:r w:rsidRPr="006A5BBE">
        <w:t xml:space="preserve"> &lt;</w:t>
      </w:r>
      <w:hyperlink r:id="rId1" w:history="1">
        <w:r w:rsidRPr="006A5BBE">
          <w:rPr>
            <w:rStyle w:val="Hyperlink"/>
          </w:rPr>
          <w:t>http://curia.europa.eu/jurisp/cgi-bin/form.pl?lang=en</w:t>
        </w:r>
      </w:hyperlink>
      <w:r>
        <w:t>&gt;.</w:t>
      </w:r>
    </w:p>
  </w:footnote>
  <w:footnote w:id="3">
    <w:p w:rsidR="002E040B" w:rsidRPr="005F4420" w:rsidRDefault="002E040B" w:rsidP="005F4420">
      <w:pPr>
        <w:pStyle w:val="PODCAROU"/>
      </w:pPr>
      <w:r>
        <w:rPr>
          <w:rStyle w:val="Funotenzeichen"/>
        </w:rPr>
        <w:footnoteRef/>
      </w:r>
      <w:r>
        <w:t xml:space="preserve"> </w:t>
      </w:r>
      <w:r w:rsidRPr="005F4420">
        <w:t xml:space="preserve">Evropský soudní dvůr: Rozsudek ze dne 19. ledna 2010, </w:t>
      </w:r>
      <w:r w:rsidRPr="005F4420">
        <w:rPr>
          <w:i/>
        </w:rPr>
        <w:t>Seda Kücükdeveci v Swedex GmbH &amp; Co. KG</w:t>
      </w:r>
      <w:r>
        <w:t xml:space="preserve">, C-555/07. </w:t>
      </w:r>
    </w:p>
  </w:footnote>
  <w:footnote w:id="4">
    <w:p w:rsidR="002E040B" w:rsidRPr="00C20EC1" w:rsidRDefault="002E040B" w:rsidP="00C20EC1">
      <w:pPr>
        <w:pStyle w:val="PODCAROU"/>
      </w:pPr>
      <w:r>
        <w:rPr>
          <w:rStyle w:val="Funotenzeichen"/>
        </w:rPr>
        <w:footnoteRef/>
      </w:r>
      <w:r>
        <w:t xml:space="preserve"> BONČKOVÁ, Helena, SMEKAL, Hubert. Fragmentace společných hodnot? Výjimky z Listiny základních práv Evropské unie. </w:t>
      </w:r>
      <w:r w:rsidRPr="00270338">
        <w:rPr>
          <w:i/>
        </w:rPr>
        <w:t>Současná Evropa</w:t>
      </w:r>
      <w:r>
        <w:t xml:space="preserve">, 2010, roč. XV, č. 2, s. 61-77. </w:t>
      </w:r>
    </w:p>
  </w:footnote>
  <w:footnote w:id="5">
    <w:p w:rsidR="002E040B" w:rsidRPr="00A47919" w:rsidRDefault="002E040B" w:rsidP="00A47919">
      <w:pPr>
        <w:pStyle w:val="PODCAROU"/>
      </w:pPr>
      <w:r>
        <w:rPr>
          <w:rStyle w:val="Funotenzeichen"/>
        </w:rPr>
        <w:footnoteRef/>
      </w:r>
      <w:r w:rsidRPr="00A47919">
        <w:t xml:space="preserve"> </w:t>
      </w:r>
      <w:r>
        <w:t>Smlouva o založení Evropského společenství uhlí a oceli (tzv. Pařížská smlouva z 1951), Smlouva o založení Evropského hospodářského společenství a Smlouva o založení Evropského společenství pro atomovou energii (tzv. Římské smlouva, 1957)</w:t>
      </w:r>
    </w:p>
  </w:footnote>
  <w:footnote w:id="6">
    <w:p w:rsidR="002E040B" w:rsidRPr="003540FF" w:rsidRDefault="002E040B" w:rsidP="003540FF">
      <w:pPr>
        <w:pStyle w:val="PODCAROU"/>
      </w:pPr>
      <w:r>
        <w:rPr>
          <w:rStyle w:val="Funotenzeichen"/>
        </w:rPr>
        <w:footnoteRef/>
      </w:r>
      <w:r>
        <w:t xml:space="preserve"> Evropský soudní dvůr: Rozsudek ze dne 12. prosince 1969, </w:t>
      </w:r>
      <w:r w:rsidRPr="003540FF">
        <w:rPr>
          <w:i/>
        </w:rPr>
        <w:t>Stauder v město Ulm</w:t>
      </w:r>
      <w:r>
        <w:t xml:space="preserve">, 29/69, Sb. rozh. s. 419. </w:t>
      </w:r>
    </w:p>
  </w:footnote>
  <w:footnote w:id="7">
    <w:p w:rsidR="002E040B" w:rsidRPr="002E7CE9" w:rsidRDefault="002E040B" w:rsidP="002E7CE9">
      <w:pPr>
        <w:pStyle w:val="PODCAROU"/>
      </w:pPr>
      <w:r>
        <w:rPr>
          <w:rStyle w:val="Funotenzeichen"/>
        </w:rPr>
        <w:footnoteRef/>
      </w:r>
      <w:r w:rsidRPr="002E7CE9">
        <w:t xml:space="preserve"> </w:t>
      </w:r>
      <w:r w:rsidRPr="002E7CE9">
        <w:rPr>
          <w:caps/>
        </w:rPr>
        <w:t>Šišková</w:t>
      </w:r>
      <w:r>
        <w:t xml:space="preserve">, Naděžda. </w:t>
      </w:r>
      <w:r w:rsidRPr="003E0803">
        <w:rPr>
          <w:i/>
        </w:rPr>
        <w:t>Dimenze ochrany lidských práv v Evropské unii</w:t>
      </w:r>
      <w:r>
        <w:t xml:space="preserve">. 2. vydání. Praha:Linde, 2008. 75 s. </w:t>
      </w:r>
    </w:p>
  </w:footnote>
  <w:footnote w:id="8">
    <w:p w:rsidR="002E040B" w:rsidRPr="00D8757B" w:rsidRDefault="002E040B" w:rsidP="00D8757B">
      <w:pPr>
        <w:pStyle w:val="PODCAROU"/>
      </w:pPr>
      <w:r>
        <w:rPr>
          <w:rStyle w:val="Funotenzeichen"/>
        </w:rPr>
        <w:footnoteRef/>
      </w:r>
      <w:r w:rsidRPr="00D8757B">
        <w:t xml:space="preserve"> </w:t>
      </w:r>
      <w:r>
        <w:t xml:space="preserve">PIRIS, Jean-Claude. </w:t>
      </w:r>
      <w:r w:rsidRPr="00D8757B">
        <w:rPr>
          <w:i/>
        </w:rPr>
        <w:t xml:space="preserve">The Lisbon Treaty – a Legal and Political Analysis - </w:t>
      </w:r>
      <w:r>
        <w:rPr>
          <w:i/>
        </w:rPr>
        <w:t>with a Forweword</w:t>
      </w:r>
      <w:r w:rsidRPr="00D8757B">
        <w:rPr>
          <w:i/>
        </w:rPr>
        <w:t xml:space="preserve"> by Angela Merkel</w:t>
      </w:r>
      <w:r>
        <w:t xml:space="preserve">. 1. vydání. New York: Cambridge University Press, 2010. 148 s. </w:t>
      </w:r>
    </w:p>
  </w:footnote>
  <w:footnote w:id="9">
    <w:p w:rsidR="002E040B" w:rsidRPr="00B4678A" w:rsidRDefault="002E040B" w:rsidP="00B4678A">
      <w:pPr>
        <w:pStyle w:val="PODCAROU"/>
      </w:pPr>
      <w:r>
        <w:rPr>
          <w:rStyle w:val="Funotenzeichen"/>
        </w:rPr>
        <w:footnoteRef/>
      </w:r>
      <w:r w:rsidRPr="00B4678A">
        <w:t xml:space="preserve"> </w:t>
      </w:r>
      <w:r>
        <w:t xml:space="preserve">CHALMERS, Damian, DAVIES, Gareth, MONTI, Giorgio. </w:t>
      </w:r>
      <w:r w:rsidRPr="00E12B0C">
        <w:rPr>
          <w:i/>
        </w:rPr>
        <w:t>European Union Law</w:t>
      </w:r>
      <w:r>
        <w:t xml:space="preserve">. 2. vydání. New York: Cambridge University Press, 2010. 230 s. </w:t>
      </w:r>
    </w:p>
  </w:footnote>
  <w:footnote w:id="10">
    <w:p w:rsidR="002E040B" w:rsidRPr="00F12EDD" w:rsidRDefault="002E040B" w:rsidP="00BA36C6">
      <w:pPr>
        <w:pStyle w:val="PODCAROU"/>
      </w:pPr>
      <w:r>
        <w:rPr>
          <w:rStyle w:val="Funotenzeichen"/>
        </w:rPr>
        <w:footnoteRef/>
      </w:r>
      <w:r w:rsidRPr="00F12EDD">
        <w:t xml:space="preserve"> </w:t>
      </w:r>
      <w:r>
        <w:t xml:space="preserve">Report of the Expert Group on Fundamental Rights, </w:t>
      </w:r>
      <w:r w:rsidRPr="005712D9">
        <w:rPr>
          <w:i/>
        </w:rPr>
        <w:t>Affirming Fundamental Rights in the European Union: Time to Act</w:t>
      </w:r>
      <w:r>
        <w:t xml:space="preserve"> (Brussels, European Commission, 1999) (Simitis Report). In CHALMERS, Damian, DAVIES, Gareth, MONTI, Giorgio. </w:t>
      </w:r>
      <w:r w:rsidRPr="00E12B0C">
        <w:rPr>
          <w:i/>
        </w:rPr>
        <w:t>European Union Law</w:t>
      </w:r>
      <w:r>
        <w:t xml:space="preserve">. 2. vydání. New York: Cambridge University Press, 2010. 237 s. </w:t>
      </w:r>
    </w:p>
  </w:footnote>
  <w:footnote w:id="11">
    <w:p w:rsidR="002E040B" w:rsidRPr="00F62306" w:rsidRDefault="002E040B" w:rsidP="00BA36C6">
      <w:pPr>
        <w:pStyle w:val="PODCAROU"/>
      </w:pPr>
      <w:r>
        <w:rPr>
          <w:rStyle w:val="Funotenzeichen"/>
        </w:rPr>
        <w:footnoteRef/>
      </w:r>
      <w:r w:rsidRPr="00F62306">
        <w:t xml:space="preserve"> </w:t>
      </w:r>
      <w:r>
        <w:t xml:space="preserve">DENMAN, Daniel. The Charter of Fundamental Rights. </w:t>
      </w:r>
      <w:r>
        <w:rPr>
          <w:i/>
        </w:rPr>
        <w:t>European Human Rights Law Review</w:t>
      </w:r>
      <w:r>
        <w:t xml:space="preserve">, 2010, č. 4, s. 349-359.  </w:t>
      </w:r>
    </w:p>
  </w:footnote>
  <w:footnote w:id="12">
    <w:p w:rsidR="002E040B" w:rsidRPr="008527DA" w:rsidRDefault="002E040B" w:rsidP="00BA36C6">
      <w:pPr>
        <w:pStyle w:val="PODCAROU"/>
      </w:pPr>
      <w:r>
        <w:rPr>
          <w:rStyle w:val="Funotenzeichen"/>
        </w:rPr>
        <w:footnoteRef/>
      </w:r>
      <w:r>
        <w:t xml:space="preserve"> ŠIŠKOVÁ, Naděžda. </w:t>
      </w:r>
      <w:r w:rsidRPr="003E0803">
        <w:rPr>
          <w:i/>
        </w:rPr>
        <w:t>Dimenze ochrany lidských práv v Evropské unii</w:t>
      </w:r>
      <w:r>
        <w:t>. 2. vydání. Praha:Linde, 2008. 205 s.</w:t>
      </w:r>
    </w:p>
  </w:footnote>
  <w:footnote w:id="13">
    <w:p w:rsidR="002E040B" w:rsidRPr="00B27BC3" w:rsidRDefault="002E040B" w:rsidP="00BA36C6">
      <w:pPr>
        <w:pStyle w:val="PODCAROU"/>
      </w:pPr>
      <w:r>
        <w:rPr>
          <w:rStyle w:val="Funotenzeichen"/>
        </w:rPr>
        <w:footnoteRef/>
      </w:r>
      <w:r>
        <w:t xml:space="preserve"> CHALMERS, Damian, DAVIES, Gareth, MONTI, Giorgio. </w:t>
      </w:r>
      <w:r w:rsidRPr="00E12B0C">
        <w:rPr>
          <w:i/>
        </w:rPr>
        <w:t>European Union Law</w:t>
      </w:r>
      <w:r>
        <w:t>. 2. vydání. New York: Cambridge University Press, 2010. 239 s.</w:t>
      </w:r>
    </w:p>
  </w:footnote>
  <w:footnote w:id="14">
    <w:p w:rsidR="002E040B" w:rsidRPr="002A0E2B" w:rsidRDefault="002E040B" w:rsidP="002A0E2B">
      <w:pPr>
        <w:pStyle w:val="PODCAROU"/>
      </w:pPr>
      <w:r>
        <w:rPr>
          <w:rStyle w:val="Funotenzeichen"/>
        </w:rPr>
        <w:footnoteRef/>
      </w:r>
      <w:r>
        <w:t xml:space="preserve"> PIRIS, Jean-Claude. </w:t>
      </w:r>
      <w:r w:rsidRPr="00D8757B">
        <w:rPr>
          <w:i/>
        </w:rPr>
        <w:t xml:space="preserve">The Lisbon Treaty – a Legal and Political Analysis - </w:t>
      </w:r>
      <w:r>
        <w:rPr>
          <w:i/>
        </w:rPr>
        <w:t>with a Forweword</w:t>
      </w:r>
      <w:r w:rsidRPr="00D8757B">
        <w:rPr>
          <w:i/>
        </w:rPr>
        <w:t xml:space="preserve"> by Angela Merkel</w:t>
      </w:r>
      <w:r>
        <w:t xml:space="preserve">. 1. vydání. New York: Cambridge University Press, 2010. 150 s. </w:t>
      </w:r>
    </w:p>
  </w:footnote>
  <w:footnote w:id="15">
    <w:p w:rsidR="002E040B" w:rsidRPr="00E53246" w:rsidRDefault="002E040B" w:rsidP="00E53246">
      <w:pPr>
        <w:pStyle w:val="PODCAROU"/>
      </w:pPr>
      <w:r>
        <w:rPr>
          <w:rStyle w:val="Funotenzeichen"/>
        </w:rPr>
        <w:footnoteRef/>
      </w:r>
      <w:r w:rsidRPr="00E53246">
        <w:t xml:space="preserve"> </w:t>
      </w:r>
      <w:r>
        <w:t xml:space="preserve">SCHWARZ, Josef. Protokol o uplatňování Charty základních práv Evropské unie. </w:t>
      </w:r>
      <w:r w:rsidRPr="002C6E98">
        <w:rPr>
          <w:i/>
        </w:rPr>
        <w:t>Jurisprudence</w:t>
      </w:r>
      <w:r>
        <w:t xml:space="preserve">, 2010, </w:t>
      </w:r>
      <w:r w:rsidRPr="002A0E2B">
        <w:t xml:space="preserve">roč. 19, č. 2, 16-23. </w:t>
      </w:r>
    </w:p>
  </w:footnote>
  <w:footnote w:id="16">
    <w:p w:rsidR="002E040B" w:rsidRPr="00C51637" w:rsidRDefault="002E040B" w:rsidP="00C51637">
      <w:pPr>
        <w:pStyle w:val="PODCAROU"/>
      </w:pPr>
      <w:r>
        <w:rPr>
          <w:rStyle w:val="Funotenzeichen"/>
        </w:rPr>
        <w:footnoteRef/>
      </w:r>
      <w:r w:rsidRPr="00C51637">
        <w:t xml:space="preserve"> </w:t>
      </w:r>
      <w:r>
        <w:t xml:space="preserve">SCHWARZ, Josef. Protokol o uplatňování Charty základních práv Evropské unie. </w:t>
      </w:r>
      <w:r w:rsidRPr="002C6E98">
        <w:rPr>
          <w:i/>
        </w:rPr>
        <w:t>Jurisprudence</w:t>
      </w:r>
      <w:r>
        <w:t xml:space="preserve">, 2010, </w:t>
      </w:r>
      <w:r w:rsidRPr="002A0E2B">
        <w:t xml:space="preserve">roč. 19, č. 2, 16-23. </w:t>
      </w:r>
    </w:p>
  </w:footnote>
  <w:footnote w:id="17">
    <w:p w:rsidR="002E040B" w:rsidRPr="00CE536F" w:rsidRDefault="002E040B" w:rsidP="00CE536F">
      <w:pPr>
        <w:pStyle w:val="PODCAROU"/>
      </w:pPr>
      <w:r>
        <w:rPr>
          <w:rStyle w:val="Funotenzeichen"/>
        </w:rPr>
        <w:footnoteRef/>
      </w:r>
      <w:r>
        <w:t xml:space="preserve"> ŠIŠKOVÁ, </w:t>
      </w:r>
      <w:r w:rsidRPr="00CE536F">
        <w:t xml:space="preserve">Naděžda. </w:t>
      </w:r>
      <w:r w:rsidRPr="00CE536F">
        <w:rPr>
          <w:i/>
        </w:rPr>
        <w:t>Dimenze ochrany lidských práv v Evropské unii</w:t>
      </w:r>
      <w:r w:rsidRPr="00CE536F">
        <w:t xml:space="preserve">. </w:t>
      </w:r>
      <w:r w:rsidRPr="002245E2">
        <w:t>2. vydání. Praha:Linde, 2008. 205 s.</w:t>
      </w:r>
    </w:p>
  </w:footnote>
  <w:footnote w:id="18">
    <w:p w:rsidR="002E040B" w:rsidRPr="00CE536F" w:rsidRDefault="002E040B" w:rsidP="00CE536F">
      <w:pPr>
        <w:pStyle w:val="PODCAROU"/>
      </w:pPr>
      <w:r>
        <w:rPr>
          <w:rStyle w:val="Funotenzeichen"/>
        </w:rPr>
        <w:footnoteRef/>
      </w:r>
      <w:r>
        <w:t xml:space="preserve"> ŠIŠKOVÁ, </w:t>
      </w:r>
      <w:r w:rsidRPr="00CE536F">
        <w:t xml:space="preserve">Naděžda. </w:t>
      </w:r>
      <w:r w:rsidRPr="00CE536F">
        <w:rPr>
          <w:i/>
        </w:rPr>
        <w:t>Dimenze ochrany lidských práv v Evropské unii</w:t>
      </w:r>
      <w:r w:rsidRPr="00CE536F">
        <w:t xml:space="preserve">. </w:t>
      </w:r>
      <w:r w:rsidRPr="002245E2">
        <w:t>2. vydání. Praha:Linde, 2008. 205 s.</w:t>
      </w:r>
    </w:p>
  </w:footnote>
  <w:footnote w:id="19">
    <w:p w:rsidR="002E040B" w:rsidRPr="00CE536F" w:rsidRDefault="002E040B" w:rsidP="00CE536F">
      <w:pPr>
        <w:pStyle w:val="PODCAROU"/>
      </w:pPr>
      <w:r>
        <w:rPr>
          <w:rStyle w:val="Funotenzeichen"/>
        </w:rPr>
        <w:footnoteRef/>
      </w:r>
      <w:r>
        <w:t xml:space="preserve"> ŠIŠKOVÁ, </w:t>
      </w:r>
      <w:r w:rsidRPr="00CE536F">
        <w:t xml:space="preserve">Naděžda. </w:t>
      </w:r>
      <w:r w:rsidRPr="00CE536F">
        <w:rPr>
          <w:i/>
        </w:rPr>
        <w:t>Dimenze ochrany lidských práv v Evropské unii</w:t>
      </w:r>
      <w:r w:rsidRPr="00CE536F">
        <w:t xml:space="preserve">. </w:t>
      </w:r>
      <w:r w:rsidRPr="002245E2">
        <w:t>2. vydání. Praha:Linde, 2008. 205 s.</w:t>
      </w:r>
    </w:p>
  </w:footnote>
  <w:footnote w:id="20">
    <w:p w:rsidR="002E040B" w:rsidRPr="000A0A48" w:rsidRDefault="002E040B" w:rsidP="00BB6462">
      <w:pPr>
        <w:pStyle w:val="PODCAROU"/>
      </w:pPr>
      <w:r>
        <w:rPr>
          <w:rStyle w:val="Funotenzeichen"/>
        </w:rPr>
        <w:footnoteRef/>
      </w:r>
      <w:r w:rsidRPr="00BB6462">
        <w:t xml:space="preserve"> </w:t>
      </w:r>
      <w:r>
        <w:t xml:space="preserve">KLINGENBRUNNER, Alexander, RAPTIS, Julia Lemonia. </w:t>
      </w:r>
      <w:r w:rsidRPr="00730EFC">
        <w:rPr>
          <w:i/>
        </w:rPr>
        <w:t>Journal f</w:t>
      </w:r>
      <w:r w:rsidRPr="00730EFC">
        <w:rPr>
          <w:i/>
          <w:lang w:val="de-DE"/>
        </w:rPr>
        <w:t>ür Rechtspolitik</w:t>
      </w:r>
      <w:r>
        <w:rPr>
          <w:lang w:val="de-DE"/>
        </w:rPr>
        <w:t xml:space="preserve">, 2008, </w:t>
      </w:r>
      <w:r>
        <w:t>roč. 16, č. 2, s. 139-146.</w:t>
      </w:r>
    </w:p>
  </w:footnote>
  <w:footnote w:id="21">
    <w:p w:rsidR="002E040B" w:rsidRPr="000B17CE" w:rsidRDefault="002E040B" w:rsidP="000B17CE">
      <w:pPr>
        <w:pStyle w:val="PODCAROU"/>
      </w:pPr>
      <w:r>
        <w:rPr>
          <w:rStyle w:val="Funotenzeichen"/>
        </w:rPr>
        <w:footnoteRef/>
      </w:r>
      <w:r w:rsidRPr="000B17CE">
        <w:t xml:space="preserve"> </w:t>
      </w:r>
      <w:r>
        <w:t xml:space="preserve">ŠIŠKOVÁ, Naděžda. </w:t>
      </w:r>
      <w:r w:rsidRPr="003E0803">
        <w:rPr>
          <w:i/>
        </w:rPr>
        <w:t>Dimenze ochrany lidských práv v Evropské unii</w:t>
      </w:r>
      <w:r>
        <w:t>. 2. vydání. Praha:Linde, 2008. 206 s.</w:t>
      </w:r>
    </w:p>
  </w:footnote>
  <w:footnote w:id="22">
    <w:p w:rsidR="002E040B" w:rsidRPr="00D056A2" w:rsidRDefault="002E040B" w:rsidP="00D056A2">
      <w:pPr>
        <w:pStyle w:val="PODCAROU"/>
      </w:pPr>
      <w:r>
        <w:rPr>
          <w:rStyle w:val="Funotenzeichen"/>
        </w:rPr>
        <w:footnoteRef/>
      </w:r>
      <w:r>
        <w:t xml:space="preserve"> ŠIŠKOVÁ, </w:t>
      </w:r>
      <w:r w:rsidRPr="00CE536F">
        <w:t xml:space="preserve">Naděžda. </w:t>
      </w:r>
      <w:r w:rsidRPr="00CE536F">
        <w:rPr>
          <w:i/>
        </w:rPr>
        <w:t>Dimenze ochrany lidských práv v Evropské unii</w:t>
      </w:r>
      <w:r w:rsidRPr="00CE536F">
        <w:t xml:space="preserve">. </w:t>
      </w:r>
      <w:r w:rsidRPr="002245E2">
        <w:t>2. vydání. Praha:Linde, 2008. 205 s.</w:t>
      </w:r>
    </w:p>
  </w:footnote>
  <w:footnote w:id="23">
    <w:p w:rsidR="002E040B" w:rsidRPr="002245E2" w:rsidRDefault="002E040B" w:rsidP="002245E2">
      <w:pPr>
        <w:pStyle w:val="PODCAROU"/>
      </w:pPr>
      <w:r>
        <w:rPr>
          <w:rStyle w:val="Funotenzeichen"/>
        </w:rPr>
        <w:footnoteRef/>
      </w:r>
      <w:r>
        <w:t xml:space="preserve"> NIELSEN, Ruth. Free Movement and Fundamental Rights. </w:t>
      </w:r>
      <w:r w:rsidRPr="004E0ED5">
        <w:rPr>
          <w:i/>
        </w:rPr>
        <w:t>European Labour Law Journal</w:t>
      </w:r>
      <w:r>
        <w:t xml:space="preserve">, 2010, svazek 1, č. 1, s. 19-32. </w:t>
      </w:r>
    </w:p>
  </w:footnote>
  <w:footnote w:id="24">
    <w:p w:rsidR="002E040B" w:rsidRPr="00C8052B" w:rsidRDefault="002E040B" w:rsidP="00C8052B">
      <w:pPr>
        <w:pStyle w:val="PODCAROU"/>
      </w:pPr>
      <w:r>
        <w:rPr>
          <w:rStyle w:val="Funotenzeichen"/>
        </w:rPr>
        <w:footnoteRef/>
      </w:r>
      <w:r w:rsidRPr="00C8052B">
        <w:t xml:space="preserve"> </w:t>
      </w:r>
      <w:r>
        <w:t xml:space="preserve">PIRIS, Jean-Claude. </w:t>
      </w:r>
      <w:r w:rsidRPr="00D8757B">
        <w:rPr>
          <w:i/>
        </w:rPr>
        <w:t xml:space="preserve">The Lisbon Treaty – a Legal and Political Analysis - </w:t>
      </w:r>
      <w:r>
        <w:rPr>
          <w:i/>
        </w:rPr>
        <w:t>with a Forweword</w:t>
      </w:r>
      <w:r w:rsidRPr="00D8757B">
        <w:rPr>
          <w:i/>
        </w:rPr>
        <w:t xml:space="preserve"> by Angela Merkel</w:t>
      </w:r>
      <w:r>
        <w:t xml:space="preserve">. 1. vydání. New York: Cambridge University Press, 2010. 153 s. </w:t>
      </w:r>
    </w:p>
  </w:footnote>
  <w:footnote w:id="25">
    <w:p w:rsidR="002E040B" w:rsidRPr="00002133" w:rsidRDefault="002E040B" w:rsidP="00002133">
      <w:pPr>
        <w:pStyle w:val="PODCAROU"/>
      </w:pPr>
      <w:r>
        <w:rPr>
          <w:rStyle w:val="Funotenzeichen"/>
        </w:rPr>
        <w:footnoteRef/>
      </w:r>
      <w:r w:rsidRPr="00002133">
        <w:t xml:space="preserve"> </w:t>
      </w:r>
      <w:r>
        <w:t xml:space="preserve">PIRIS, Jean-Claude. </w:t>
      </w:r>
      <w:r w:rsidRPr="00D8757B">
        <w:rPr>
          <w:i/>
        </w:rPr>
        <w:t xml:space="preserve">The Lisbon Treaty – a Legal and Political Analysis - </w:t>
      </w:r>
      <w:r>
        <w:rPr>
          <w:i/>
        </w:rPr>
        <w:t>with a Forweword</w:t>
      </w:r>
      <w:r w:rsidRPr="00D8757B">
        <w:rPr>
          <w:i/>
        </w:rPr>
        <w:t xml:space="preserve"> by Angela Merkel</w:t>
      </w:r>
      <w:r>
        <w:t xml:space="preserve">. 1. vydání. New York: Cambridge University Press, 2010. 153 s. </w:t>
      </w:r>
    </w:p>
  </w:footnote>
  <w:footnote w:id="26">
    <w:p w:rsidR="002E040B" w:rsidRPr="00871886" w:rsidRDefault="002E040B" w:rsidP="00871886">
      <w:pPr>
        <w:pStyle w:val="PODCAROU"/>
      </w:pPr>
      <w:r>
        <w:rPr>
          <w:rStyle w:val="Funotenzeichen"/>
        </w:rPr>
        <w:footnoteRef/>
      </w:r>
      <w:r w:rsidRPr="00871886">
        <w:t xml:space="preserve"> </w:t>
      </w:r>
      <w:r>
        <w:rPr>
          <w:caps/>
        </w:rPr>
        <w:t>HamuľÁ</w:t>
      </w:r>
      <w:r w:rsidRPr="00871886">
        <w:rPr>
          <w:caps/>
        </w:rPr>
        <w:t>k</w:t>
      </w:r>
      <w:r w:rsidRPr="00871886">
        <w:t xml:space="preserve">, Ondrej. Zamýšlení se nad právní (ne)závazností Listiny základních práv Evropské unie. In </w:t>
      </w:r>
      <w:r>
        <w:rPr>
          <w:caps/>
        </w:rPr>
        <w:t>HamuľÁ</w:t>
      </w:r>
      <w:r w:rsidRPr="00871886">
        <w:rPr>
          <w:caps/>
        </w:rPr>
        <w:t>k</w:t>
      </w:r>
      <w:r w:rsidRPr="00871886">
        <w:t xml:space="preserve">, Ondrej (ed). </w:t>
      </w:r>
      <w:r w:rsidRPr="00871886">
        <w:rPr>
          <w:i/>
        </w:rPr>
        <w:t>Olomoucké debaty mladých právníků 2008</w:t>
      </w:r>
      <w:r w:rsidRPr="00871886">
        <w:t>. Olomouc: Nakl</w:t>
      </w:r>
      <w:r>
        <w:t>adatelství UP, 2008, 96 s.</w:t>
      </w:r>
    </w:p>
  </w:footnote>
  <w:footnote w:id="27">
    <w:p w:rsidR="002E040B" w:rsidRPr="00D34F00" w:rsidRDefault="002E040B" w:rsidP="00D34F00">
      <w:pPr>
        <w:pStyle w:val="PODCAROU"/>
      </w:pPr>
      <w:r>
        <w:rPr>
          <w:rStyle w:val="Funotenzeichen"/>
        </w:rPr>
        <w:footnoteRef/>
      </w:r>
      <w:r w:rsidRPr="00D34F00">
        <w:t xml:space="preserve"> </w:t>
      </w:r>
      <w:r>
        <w:t xml:space="preserve">CHALMERS, Damian, DAVIES, Gareth, MONTI, Giorgio. </w:t>
      </w:r>
      <w:r w:rsidRPr="00E12B0C">
        <w:rPr>
          <w:i/>
        </w:rPr>
        <w:t>European Union Law</w:t>
      </w:r>
      <w:r>
        <w:t>. 2. vydání. New York: Cambridge University Press, 2010. 239 s.</w:t>
      </w:r>
    </w:p>
  </w:footnote>
  <w:footnote w:id="28">
    <w:p w:rsidR="002E040B" w:rsidRPr="00AC0444" w:rsidRDefault="002E040B" w:rsidP="00AC0444">
      <w:pPr>
        <w:pStyle w:val="PODCAROU"/>
      </w:pPr>
      <w:r>
        <w:rPr>
          <w:rStyle w:val="Funotenzeichen"/>
        </w:rPr>
        <w:footnoteRef/>
      </w:r>
      <w:r>
        <w:t xml:space="preserve"> DENMAN, Daniel. The Charter of Fundamental Rights. </w:t>
      </w:r>
      <w:r>
        <w:rPr>
          <w:i/>
        </w:rPr>
        <w:t>European Human Rights Law Review</w:t>
      </w:r>
      <w:r>
        <w:t xml:space="preserve">, 2010, č. 4, s. 349-359.  </w:t>
      </w:r>
    </w:p>
  </w:footnote>
  <w:footnote w:id="29">
    <w:p w:rsidR="002E040B" w:rsidRPr="00531416" w:rsidRDefault="002E040B" w:rsidP="00531416">
      <w:pPr>
        <w:pStyle w:val="PODCAROU"/>
      </w:pPr>
      <w:r>
        <w:rPr>
          <w:rStyle w:val="Funotenzeichen"/>
        </w:rPr>
        <w:footnoteRef/>
      </w:r>
      <w:r>
        <w:t xml:space="preserve"> PIRIS, Jean-Claude. </w:t>
      </w:r>
      <w:r w:rsidRPr="00D8757B">
        <w:rPr>
          <w:i/>
        </w:rPr>
        <w:t xml:space="preserve">The Lisbon Treaty – a Legal and Political Analysis - </w:t>
      </w:r>
      <w:r>
        <w:rPr>
          <w:i/>
        </w:rPr>
        <w:t>with a Forweword</w:t>
      </w:r>
      <w:r w:rsidRPr="00D8757B">
        <w:rPr>
          <w:i/>
        </w:rPr>
        <w:t xml:space="preserve"> by Angela Merkel</w:t>
      </w:r>
      <w:r>
        <w:t>. 1. vydání. New York: Cambridge University Press, 2010. 160 s.</w:t>
      </w:r>
    </w:p>
  </w:footnote>
  <w:footnote w:id="30">
    <w:p w:rsidR="002E040B" w:rsidRDefault="002E040B" w:rsidP="00FB6837">
      <w:pPr>
        <w:pStyle w:val="PODCAROU"/>
      </w:pPr>
      <w:r>
        <w:rPr>
          <w:rStyle w:val="Funotenzeichen"/>
        </w:rPr>
        <w:footnoteRef/>
      </w:r>
      <w:r>
        <w:t xml:space="preserve"> </w:t>
      </w:r>
      <w:r w:rsidRPr="005F1CA8">
        <w:rPr>
          <w:i/>
        </w:rPr>
        <w:t>Oficiální webový portál ESD, vyhledávací formulář judikatury</w:t>
      </w:r>
      <w:r>
        <w:t xml:space="preserve"> [online]. 4. února 2011 [cit. 5. února 2011]. Dostupné na &lt;</w:t>
      </w:r>
      <w:hyperlink r:id="rId2" w:history="1">
        <w:r w:rsidRPr="006D705C">
          <w:rPr>
            <w:rStyle w:val="Hyperlink"/>
          </w:rPr>
          <w:t>http://curia.europa.eu/jurisp/cgi-bin/form.pl?lang=en</w:t>
        </w:r>
      </w:hyperlink>
      <w:r>
        <w:t>&gt;.</w:t>
      </w:r>
    </w:p>
  </w:footnote>
  <w:footnote w:id="31">
    <w:p w:rsidR="002E040B" w:rsidRDefault="002E040B" w:rsidP="00B55791">
      <w:pPr>
        <w:pStyle w:val="PODCAROU"/>
      </w:pPr>
      <w:r>
        <w:rPr>
          <w:rStyle w:val="Funotenzeichen"/>
        </w:rPr>
        <w:footnoteRef/>
      </w:r>
      <w:r>
        <w:t xml:space="preserve"> </w:t>
      </w:r>
      <w:r w:rsidRPr="0094601C">
        <w:rPr>
          <w:i/>
        </w:rPr>
        <w:t>Oficiální webový portál ESD, vyhledávací formulář judikatury</w:t>
      </w:r>
      <w:r>
        <w:t xml:space="preserve"> [online]. 4. února 2011 [cit. 5. února 2011]. Dostupné na &lt;</w:t>
      </w:r>
      <w:hyperlink r:id="rId3" w:history="1">
        <w:r w:rsidRPr="006D705C">
          <w:rPr>
            <w:rStyle w:val="Hyperlink"/>
          </w:rPr>
          <w:t>http://curia.europa.eu/jurisp/cgi-bin/form.pl?lang=en</w:t>
        </w:r>
      </w:hyperlink>
      <w:r>
        <w:t>&gt;.</w:t>
      </w:r>
    </w:p>
  </w:footnote>
  <w:footnote w:id="32">
    <w:p w:rsidR="002E040B" w:rsidRDefault="002E040B" w:rsidP="006463BD">
      <w:pPr>
        <w:pStyle w:val="PODCAROU"/>
      </w:pPr>
      <w:r>
        <w:rPr>
          <w:rStyle w:val="Funotenzeichen"/>
        </w:rPr>
        <w:footnoteRef/>
      </w:r>
      <w:r>
        <w:t xml:space="preserve"> </w:t>
      </w:r>
      <w:r w:rsidRPr="00A25B6A">
        <w:rPr>
          <w:i/>
        </w:rPr>
        <w:t>Oficiální webový portál ESD, vyhledávací formulář judikatury</w:t>
      </w:r>
      <w:r>
        <w:t xml:space="preserve"> [online]. 4. února 2011 [cit. 5. února 2011]. Dostupné na &lt;</w:t>
      </w:r>
      <w:hyperlink r:id="rId4" w:history="1">
        <w:r w:rsidRPr="006D705C">
          <w:rPr>
            <w:rStyle w:val="Hyperlink"/>
          </w:rPr>
          <w:t>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amp;mots=Charter+of+Fundamental+Rights&amp;resmax=150&amp;Submit=Submit</w:t>
        </w:r>
      </w:hyperlink>
      <w:r>
        <w:t>&gt;.</w:t>
      </w:r>
    </w:p>
  </w:footnote>
  <w:footnote w:id="33">
    <w:p w:rsidR="002E040B" w:rsidRPr="00FD76F3" w:rsidRDefault="002E040B" w:rsidP="00FD76F3">
      <w:pPr>
        <w:pStyle w:val="PODCAROU"/>
      </w:pPr>
      <w:r>
        <w:rPr>
          <w:rStyle w:val="Funotenzeichen"/>
        </w:rPr>
        <w:footnoteRef/>
      </w:r>
      <w:r w:rsidRPr="00FD76F3">
        <w:t xml:space="preserve"> Tribunál: Rozsudek ze dne 7. prosince 2010, </w:t>
      </w:r>
      <w:r w:rsidRPr="00FD76F3">
        <w:rPr>
          <w:i/>
        </w:rPr>
        <w:t>Sofiane Fahas v Rada</w:t>
      </w:r>
      <w:r>
        <w:t>, T-49/07.</w:t>
      </w:r>
    </w:p>
  </w:footnote>
  <w:footnote w:id="34">
    <w:p w:rsidR="002E040B" w:rsidRPr="00FB0E66" w:rsidRDefault="002E040B" w:rsidP="00FB0E66">
      <w:pPr>
        <w:pStyle w:val="PODCAROU"/>
      </w:pPr>
      <w:r>
        <w:rPr>
          <w:rStyle w:val="Funotenzeichen"/>
        </w:rPr>
        <w:footnoteRef/>
      </w:r>
      <w:r w:rsidRPr="00FB0E66">
        <w:t xml:space="preserve"> Tribunál: Rozsudek ze dne 7. července 2010, </w:t>
      </w:r>
      <w:r w:rsidRPr="00FB0E66">
        <w:rPr>
          <w:i/>
        </w:rPr>
        <w:t>Agrofert Holding a.s. v Komise</w:t>
      </w:r>
      <w:r w:rsidRPr="00FB0E66">
        <w:t>, T-111/07.</w:t>
      </w:r>
    </w:p>
  </w:footnote>
  <w:footnote w:id="35">
    <w:p w:rsidR="002E040B" w:rsidRPr="00FB0E66" w:rsidRDefault="002E040B" w:rsidP="00FB0E66">
      <w:pPr>
        <w:pStyle w:val="PODCAROU"/>
      </w:pPr>
      <w:r>
        <w:rPr>
          <w:rStyle w:val="Funotenzeichen"/>
        </w:rPr>
        <w:footnoteRef/>
      </w:r>
      <w:r w:rsidRPr="00FB0E66">
        <w:t xml:space="preserve"> Tribunál: Rozsudek ze dne 19. května 2010, </w:t>
      </w:r>
      <w:r w:rsidRPr="00FB0E66">
        <w:rPr>
          <w:i/>
        </w:rPr>
        <w:t>Pye Phyo Tay Za v Rada</w:t>
      </w:r>
      <w:r w:rsidRPr="00FB0E66">
        <w:t>, T-181/08.</w:t>
      </w:r>
    </w:p>
  </w:footnote>
  <w:footnote w:id="36">
    <w:p w:rsidR="002E040B" w:rsidRDefault="002E040B" w:rsidP="00836A23">
      <w:pPr>
        <w:pStyle w:val="PODCAROU"/>
      </w:pPr>
      <w:r>
        <w:rPr>
          <w:rStyle w:val="Funotenzeichen"/>
        </w:rPr>
        <w:footnoteRef/>
      </w:r>
      <w:r>
        <w:t xml:space="preserve"> Evropský soudní dvůr: Rozsudek ze dne 22. prosince 2010 a stanovisko GA Yves Bot ze dne 7. prosince 2010, </w:t>
      </w:r>
      <w:r>
        <w:rPr>
          <w:bCs/>
          <w:i/>
        </w:rPr>
        <w:t>Josebou Andoni Aguirre Zarraga</w:t>
      </w:r>
      <w:r w:rsidRPr="00DA5424">
        <w:rPr>
          <w:i/>
        </w:rPr>
        <w:t xml:space="preserve"> v Simone Pelz</w:t>
      </w:r>
      <w:r>
        <w:t xml:space="preserve">, C-491/10. </w:t>
      </w:r>
    </w:p>
  </w:footnote>
  <w:footnote w:id="37">
    <w:p w:rsidR="002E040B" w:rsidRDefault="002E040B" w:rsidP="00270EB3">
      <w:pPr>
        <w:pStyle w:val="PODCAROU"/>
      </w:pPr>
      <w:r>
        <w:rPr>
          <w:rStyle w:val="Funotenzeichen"/>
        </w:rPr>
        <w:footnoteRef/>
      </w:r>
      <w:r>
        <w:t xml:space="preserve"> Evropský soudní dvůr: Rozsudek ze dne 9. listopadu 2010 a stanovisko GA Paolo Mengozzi ze dne 1. června 2010, </w:t>
      </w:r>
      <w:r w:rsidRPr="0020267B">
        <w:rPr>
          <w:i/>
        </w:rPr>
        <w:t>Spolková republika Německo v B a D</w:t>
      </w:r>
      <w:r>
        <w:t xml:space="preserve">, spojené řízení C-101/09 a C-57/09. </w:t>
      </w:r>
    </w:p>
  </w:footnote>
  <w:footnote w:id="38">
    <w:p w:rsidR="002E040B" w:rsidRDefault="002E040B" w:rsidP="0004117B">
      <w:pPr>
        <w:pStyle w:val="PODCAROU"/>
      </w:pPr>
      <w:r>
        <w:rPr>
          <w:rStyle w:val="Funotenzeichen"/>
        </w:rPr>
        <w:footnoteRef/>
      </w:r>
      <w:r>
        <w:t xml:space="preserve"> Evropský soudní dvůr: Rozsudek ze dne 5. října 2010 a stanovisko GA Niil J</w:t>
      </w:r>
      <w:r w:rsidRPr="0004117B">
        <w:t>ääs</w:t>
      </w:r>
      <w:r>
        <w:t xml:space="preserve">kinen ze dne 22. září 2010, </w:t>
      </w:r>
      <w:r w:rsidRPr="00FA7C04">
        <w:rPr>
          <w:i/>
        </w:rPr>
        <w:t>J. McB. v L.E</w:t>
      </w:r>
      <w:r>
        <w:t xml:space="preserve">., C-400/10 PPU. </w:t>
      </w:r>
    </w:p>
  </w:footnote>
  <w:footnote w:id="39">
    <w:p w:rsidR="002E040B" w:rsidRDefault="002E040B" w:rsidP="00415647">
      <w:pPr>
        <w:pStyle w:val="PODCAROU"/>
      </w:pPr>
      <w:r>
        <w:rPr>
          <w:rStyle w:val="Funotenzeichen"/>
        </w:rPr>
        <w:footnoteRef/>
      </w:r>
      <w:r>
        <w:t xml:space="preserve"> Evropský soudní dvůr: Rozsudek ze dne 1. července 2010, </w:t>
      </w:r>
      <w:r w:rsidRPr="00415647">
        <w:rPr>
          <w:i/>
        </w:rPr>
        <w:t>Doris Povse v Mauro Alpago</w:t>
      </w:r>
      <w:r>
        <w:t xml:space="preserve">, C-211/10 PPU. </w:t>
      </w:r>
    </w:p>
  </w:footnote>
  <w:footnote w:id="40">
    <w:p w:rsidR="002E040B" w:rsidRDefault="002E040B" w:rsidP="00E66110">
      <w:pPr>
        <w:pStyle w:val="PODCAROU"/>
      </w:pPr>
      <w:r>
        <w:rPr>
          <w:rStyle w:val="Funotenzeichen"/>
        </w:rPr>
        <w:footnoteRef/>
      </w:r>
      <w:r>
        <w:t xml:space="preserve"> Evropský soudní dvůr: Rozsudek ze dne 22. června 2010, </w:t>
      </w:r>
      <w:r w:rsidRPr="00E66110">
        <w:rPr>
          <w:i/>
        </w:rPr>
        <w:t>Francie v Aziz Melki a Selim Abdeli</w:t>
      </w:r>
      <w:r>
        <w:t xml:space="preserve">, spojené řízení C-188/10 a C-189/10. </w:t>
      </w:r>
    </w:p>
  </w:footnote>
  <w:footnote w:id="41">
    <w:p w:rsidR="002E040B" w:rsidRDefault="002E040B" w:rsidP="00774EF1">
      <w:pPr>
        <w:pStyle w:val="PODCAROU"/>
      </w:pPr>
      <w:r>
        <w:rPr>
          <w:rStyle w:val="Funotenzeichen"/>
        </w:rPr>
        <w:footnoteRef/>
      </w:r>
      <w:r>
        <w:t xml:space="preserve"> Evropský soudní dvůr: Rozsudek ze dne 17. června 2010, </w:t>
      </w:r>
      <w:r w:rsidRPr="00774EF1">
        <w:rPr>
          <w:i/>
        </w:rPr>
        <w:t xml:space="preserve">Bolbol v </w:t>
      </w:r>
      <w:r w:rsidRPr="00774EF1">
        <w:rPr>
          <w:bCs/>
          <w:i/>
        </w:rPr>
        <w:t>Bevándorlási és Állampolgársági Hivatal</w:t>
      </w:r>
      <w:r>
        <w:rPr>
          <w:bCs/>
        </w:rPr>
        <w:t xml:space="preserve">, C-31/09. </w:t>
      </w:r>
    </w:p>
  </w:footnote>
  <w:footnote w:id="42">
    <w:p w:rsidR="002E040B" w:rsidRDefault="002E040B" w:rsidP="00774EF1">
      <w:pPr>
        <w:pStyle w:val="PODCAROU"/>
      </w:pPr>
      <w:r>
        <w:rPr>
          <w:rStyle w:val="Funotenzeichen"/>
        </w:rPr>
        <w:footnoteRef/>
      </w:r>
      <w:r>
        <w:t xml:space="preserve"> Evropský soudní dvůr: Rozsudek ze dne 4. března 2010 a stanovisko GA Eleanor Sharpston ze dne 10. prosince 2009, </w:t>
      </w:r>
      <w:r w:rsidRPr="00774EF1">
        <w:rPr>
          <w:i/>
        </w:rPr>
        <w:t xml:space="preserve">Chakroun v </w:t>
      </w:r>
      <w:r w:rsidRPr="00774EF1">
        <w:rPr>
          <w:bCs/>
          <w:i/>
        </w:rPr>
        <w:t>Minister van Buitenlandse Zaken</w:t>
      </w:r>
      <w:r>
        <w:rPr>
          <w:bCs/>
        </w:rPr>
        <w:t xml:space="preserve">, C-578/08. </w:t>
      </w:r>
    </w:p>
  </w:footnote>
  <w:footnote w:id="43">
    <w:p w:rsidR="002E040B" w:rsidRDefault="002E040B" w:rsidP="00306982">
      <w:pPr>
        <w:pStyle w:val="PODCAROU"/>
      </w:pPr>
      <w:r>
        <w:rPr>
          <w:rStyle w:val="Funotenzeichen"/>
        </w:rPr>
        <w:footnoteRef/>
      </w:r>
      <w:r>
        <w:t xml:space="preserve"> Evropský soudní dvůr: Rozsudek ze dne 2. března 2010, </w:t>
      </w:r>
      <w:r w:rsidRPr="00306982">
        <w:rPr>
          <w:bCs/>
          <w:i/>
        </w:rPr>
        <w:t>Aydin Salahadin Abdulla, Kamil Hasan, Ahmed Adem a Hamrin Mosa Rashi a Dler Jamal v SRN</w:t>
      </w:r>
      <w:r>
        <w:rPr>
          <w:bCs/>
        </w:rPr>
        <w:t xml:space="preserve">, spojené řízení C-175/08, C-176/08, C-178/08 a C-179/08. </w:t>
      </w:r>
    </w:p>
  </w:footnote>
  <w:footnote w:id="44">
    <w:p w:rsidR="002E040B" w:rsidRDefault="002E040B" w:rsidP="00FF501B">
      <w:pPr>
        <w:pStyle w:val="PODCAROU"/>
      </w:pPr>
      <w:r>
        <w:rPr>
          <w:rStyle w:val="Funotenzeichen"/>
        </w:rPr>
        <w:footnoteRef/>
      </w:r>
      <w:r>
        <w:t xml:space="preserve"> Evropský soudní dvůr: Rozsudek ze dne 23. prosince 2009 a stanovisko GA Yves Bot ze dne 9. prosince 2009, </w:t>
      </w:r>
      <w:r w:rsidRPr="00FF501B">
        <w:rPr>
          <w:bCs/>
          <w:i/>
        </w:rPr>
        <w:t>Jasna Detiček</w:t>
      </w:r>
      <w:r w:rsidRPr="00FF501B">
        <w:rPr>
          <w:i/>
        </w:rPr>
        <w:t xml:space="preserve"> v </w:t>
      </w:r>
      <w:r w:rsidRPr="00FF501B">
        <w:rPr>
          <w:bCs/>
          <w:i/>
        </w:rPr>
        <w:t>Maurizio Sgueglia</w:t>
      </w:r>
      <w:r>
        <w:rPr>
          <w:bCs/>
        </w:rPr>
        <w:t xml:space="preserve">, C-403/09 PPU. </w:t>
      </w:r>
    </w:p>
  </w:footnote>
  <w:footnote w:id="45">
    <w:p w:rsidR="002E040B" w:rsidRDefault="002E040B" w:rsidP="002F11D0">
      <w:pPr>
        <w:pStyle w:val="PODCAROU"/>
      </w:pPr>
      <w:r>
        <w:rPr>
          <w:rStyle w:val="Funotenzeichen"/>
        </w:rPr>
        <w:footnoteRef/>
      </w:r>
      <w:r>
        <w:t xml:space="preserve"> L</w:t>
      </w:r>
      <w:r w:rsidRPr="002F11D0">
        <w:t xml:space="preserve">egislativa ES/EU: Nařízení Rady 2201/2003 ze dne 27. listopadu 2003 </w:t>
      </w:r>
      <w:r w:rsidRPr="002F11D0">
        <w:rPr>
          <w:bCs/>
        </w:rPr>
        <w:t>o příslušnosti a uznávání a výkonu rozhodnutí ve věcech manželských a ve věcech rodičovské zodpovědnosti a o zrušení nařízení (ES) č</w:t>
      </w:r>
      <w:r>
        <w:rPr>
          <w:bCs/>
        </w:rPr>
        <w:t>. </w:t>
      </w:r>
      <w:r w:rsidRPr="002F11D0">
        <w:rPr>
          <w:bCs/>
        </w:rPr>
        <w:t>1347/2000</w:t>
      </w:r>
      <w:r>
        <w:rPr>
          <w:bCs/>
        </w:rPr>
        <w:t xml:space="preserve">. Úř. věst. L 338/1, 23. prosince 2003, s. 243 a násl. </w:t>
      </w:r>
    </w:p>
  </w:footnote>
  <w:footnote w:id="46">
    <w:p w:rsidR="002E040B" w:rsidRDefault="002E040B" w:rsidP="00A67773">
      <w:pPr>
        <w:pStyle w:val="PODCAROU"/>
      </w:pPr>
      <w:r>
        <w:rPr>
          <w:rStyle w:val="Funotenzeichen"/>
        </w:rPr>
        <w:footnoteRef/>
      </w:r>
      <w:r>
        <w:t xml:space="preserve"> </w:t>
      </w:r>
      <w:r w:rsidRPr="00A67773">
        <w:t xml:space="preserve">Legislativa ES/EU: Směrnice Rady 2004/83 ze dne 29. dubna 2004 </w:t>
      </w:r>
      <w:r w:rsidRPr="00A67773">
        <w:rPr>
          <w:bCs/>
        </w:rPr>
        <w:t>o minimálních normách, které musí splňovat státní příslušníci třetích zemí nebo osoby bez státní příslušnosti, aby mohli žádat o postavení uprchlíka nebo osoby, která z jiných důvodů potřebuje mezinárodní ochranu, a o obsahu poskytované ochrany</w:t>
      </w:r>
      <w:r>
        <w:rPr>
          <w:bCs/>
        </w:rPr>
        <w:t xml:space="preserve">. Úř. věst. L 304/12, 30. září 2004, s. 96 a násl. </w:t>
      </w:r>
    </w:p>
  </w:footnote>
  <w:footnote w:id="47">
    <w:p w:rsidR="002E040B" w:rsidRDefault="002E040B" w:rsidP="00C3416C">
      <w:pPr>
        <w:pStyle w:val="PODCAROU"/>
      </w:pPr>
      <w:r>
        <w:rPr>
          <w:rStyle w:val="Funotenzeichen"/>
        </w:rPr>
        <w:footnoteRef/>
      </w:r>
      <w:r>
        <w:t xml:space="preserve"> Legislativa ES/EU: Směrnice Rady 2003/86 ze dne 22. září 2003 o právu na sloučení rodiny. Úř. věst. L 251/12, 3. října 2003, s. 224 a násl. </w:t>
      </w:r>
    </w:p>
  </w:footnote>
  <w:footnote w:id="48">
    <w:p w:rsidR="002E040B" w:rsidRDefault="002E040B" w:rsidP="00E933C2">
      <w:pPr>
        <w:pStyle w:val="PODCAROU"/>
      </w:pPr>
      <w:r>
        <w:rPr>
          <w:rStyle w:val="Funotenzeichen"/>
        </w:rPr>
        <w:footnoteRef/>
      </w:r>
      <w:r>
        <w:t xml:space="preserve"> Legislativa ES/EU: </w:t>
      </w:r>
      <w:r w:rsidRPr="00E933C2">
        <w:rPr>
          <w:i/>
        </w:rPr>
        <w:t>Listina základních práv Evropské unie</w:t>
      </w:r>
      <w:r>
        <w:t xml:space="preserve">, čl. 24 odst. 1. </w:t>
      </w:r>
    </w:p>
  </w:footnote>
  <w:footnote w:id="49">
    <w:p w:rsidR="002E040B" w:rsidRDefault="002E040B" w:rsidP="00A133D8">
      <w:pPr>
        <w:pStyle w:val="PODCAROU"/>
      </w:pPr>
      <w:r>
        <w:rPr>
          <w:rStyle w:val="Funotenzeichen"/>
        </w:rPr>
        <w:footnoteRef/>
      </w:r>
      <w:r>
        <w:t xml:space="preserve"> Evropský soudní dvůr: Rozsudek ze dne 22. prosince 2010, </w:t>
      </w:r>
      <w:r w:rsidRPr="00DA5424">
        <w:rPr>
          <w:bCs/>
          <w:i/>
        </w:rPr>
        <w:t>Josebou Andoni Aguirre Zarragou</w:t>
      </w:r>
      <w:r w:rsidRPr="00DA5424">
        <w:rPr>
          <w:i/>
        </w:rPr>
        <w:t xml:space="preserve"> v Simone Pelz</w:t>
      </w:r>
      <w:r>
        <w:t xml:space="preserve">, C-491/10, bod 65. </w:t>
      </w:r>
    </w:p>
  </w:footnote>
  <w:footnote w:id="50">
    <w:p w:rsidR="002E040B" w:rsidRPr="00E530F2" w:rsidRDefault="002E040B" w:rsidP="00E530F2">
      <w:pPr>
        <w:pStyle w:val="PODCAROU"/>
      </w:pPr>
      <w:r>
        <w:rPr>
          <w:rStyle w:val="Funotenzeichen"/>
        </w:rPr>
        <w:footnoteRef/>
      </w:r>
      <w:r w:rsidRPr="00E530F2">
        <w:t xml:space="preserve"> </w:t>
      </w:r>
      <w:r>
        <w:t xml:space="preserve">I když, zda tento Protokol vůbec představuje omezení působnosti ustanovení Listiny v těchto dvou státech, je předmětem odborných diskuzí. </w:t>
      </w:r>
    </w:p>
  </w:footnote>
  <w:footnote w:id="51">
    <w:p w:rsidR="002E040B" w:rsidRPr="005736E0" w:rsidRDefault="002E040B" w:rsidP="005736E0">
      <w:pPr>
        <w:pStyle w:val="PODCAROU"/>
      </w:pPr>
      <w:r>
        <w:rPr>
          <w:rStyle w:val="Funotenzeichen"/>
        </w:rPr>
        <w:footnoteRef/>
      </w:r>
      <w:r w:rsidRPr="005736E0">
        <w:t xml:space="preserve"> Evropský soudní dvůr: Rozsudek ze dne 1. března 2011, </w:t>
      </w:r>
      <w:r w:rsidRPr="005736E0">
        <w:rPr>
          <w:bCs/>
          <w:i/>
          <w:lang w:val="fr-FR"/>
        </w:rPr>
        <w:t>Association belge des Consommateurs Test-Achats ASBL,</w:t>
      </w:r>
      <w:r w:rsidRPr="005736E0">
        <w:rPr>
          <w:i/>
          <w:lang w:val="fr-FR"/>
        </w:rPr>
        <w:t xml:space="preserve"> </w:t>
      </w:r>
      <w:r w:rsidRPr="005736E0">
        <w:rPr>
          <w:bCs/>
          <w:i/>
          <w:lang w:val="fr-FR"/>
        </w:rPr>
        <w:t>Yann van Vugt,</w:t>
      </w:r>
      <w:r w:rsidRPr="005736E0">
        <w:rPr>
          <w:i/>
          <w:lang w:val="fr-FR"/>
        </w:rPr>
        <w:t xml:space="preserve"> </w:t>
      </w:r>
      <w:r w:rsidRPr="005736E0">
        <w:rPr>
          <w:bCs/>
          <w:i/>
          <w:lang w:val="fr-FR"/>
        </w:rPr>
        <w:t>Charles Basselier</w:t>
      </w:r>
      <w:r w:rsidRPr="005736E0">
        <w:rPr>
          <w:i/>
          <w:lang w:val="fr-FR"/>
        </w:rPr>
        <w:t xml:space="preserve"> proti </w:t>
      </w:r>
      <w:r w:rsidRPr="005736E0">
        <w:rPr>
          <w:bCs/>
          <w:i/>
          <w:lang w:val="fr-FR"/>
        </w:rPr>
        <w:t>Conseil des ministres</w:t>
      </w:r>
      <w:r w:rsidRPr="005736E0">
        <w:rPr>
          <w:bCs/>
          <w:lang w:val="fr-FR"/>
        </w:rPr>
        <w:t>, C-236/09.</w:t>
      </w:r>
    </w:p>
  </w:footnote>
  <w:footnote w:id="52">
    <w:p w:rsidR="002E040B" w:rsidRDefault="002E040B" w:rsidP="005C0687">
      <w:pPr>
        <w:pStyle w:val="PODCAROU"/>
      </w:pPr>
      <w:r>
        <w:rPr>
          <w:rStyle w:val="Funotenzeichen"/>
        </w:rPr>
        <w:footnoteRef/>
      </w:r>
      <w:r w:rsidRPr="00BE6ED5">
        <w:t xml:space="preserve"> </w:t>
      </w:r>
      <w:r>
        <w:t xml:space="preserve">Evropský soudní dvůr: Rozsudek ze dne 22. prosince 2010, </w:t>
      </w:r>
      <w:r w:rsidRPr="00BE6ED5">
        <w:t>Rosa María Gavieiro Gavieiro v Consellería de Educación e Ordenación Universitaria de la Xunta de Galicia</w:t>
      </w:r>
      <w:r>
        <w:t>, spojené řízení C-444/09 a C-456/09.</w:t>
      </w:r>
    </w:p>
  </w:footnote>
  <w:footnote w:id="53">
    <w:p w:rsidR="002E040B" w:rsidRDefault="002E040B" w:rsidP="005C0687">
      <w:pPr>
        <w:pStyle w:val="PODCAROU"/>
      </w:pPr>
      <w:r>
        <w:rPr>
          <w:rStyle w:val="Funotenzeichen"/>
        </w:rPr>
        <w:footnoteRef/>
      </w:r>
      <w:r w:rsidRPr="00BE6ED5">
        <w:t xml:space="preserve"> </w:t>
      </w:r>
      <w:r>
        <w:t xml:space="preserve">Evropský soudní dvůr: Rozsudek ze dne 11. listopadu 2010 a stanovisko GA Yves Bot ze dne 2. září 2010, </w:t>
      </w:r>
      <w:r w:rsidRPr="00226ACC">
        <w:t>Dita Danosa v LKB Lizings SIA</w:t>
      </w:r>
      <w:r>
        <w:t xml:space="preserve">, C-232/09. </w:t>
      </w:r>
    </w:p>
  </w:footnote>
  <w:footnote w:id="54">
    <w:p w:rsidR="002E040B" w:rsidRDefault="002E040B" w:rsidP="005C0687">
      <w:pPr>
        <w:pStyle w:val="PODCAROU"/>
      </w:pPr>
      <w:r>
        <w:rPr>
          <w:rStyle w:val="Funotenzeichen"/>
        </w:rPr>
        <w:footnoteRef/>
      </w:r>
      <w:r w:rsidRPr="001325CE">
        <w:t xml:space="preserve"> </w:t>
      </w:r>
      <w:r w:rsidRPr="00053C80">
        <w:t>E</w:t>
      </w:r>
      <w:r w:rsidRPr="001325CE">
        <w:t>vropský soudní dvůr: Rozsudek ze dne 16. září 2010</w:t>
      </w:r>
      <w:r>
        <w:t xml:space="preserve"> a stanovisko GA Juliane Kokott ze dne 7. července 2010</w:t>
      </w:r>
      <w:r w:rsidRPr="001325CE">
        <w:t>, Zoi Chatzi v Ypourgos Oikonomikon, C-149/10.</w:t>
      </w:r>
    </w:p>
  </w:footnote>
  <w:footnote w:id="55">
    <w:p w:rsidR="002E040B" w:rsidRDefault="002E040B" w:rsidP="005C0687">
      <w:pPr>
        <w:pStyle w:val="PODCAROU"/>
      </w:pPr>
      <w:r>
        <w:rPr>
          <w:rStyle w:val="Funotenzeichen"/>
        </w:rPr>
        <w:footnoteRef/>
      </w:r>
      <w:r w:rsidRPr="00F97DCC">
        <w:t xml:space="preserve"> </w:t>
      </w:r>
      <w:r>
        <w:t xml:space="preserve">Evropský soudní dvůr: Rozsudek ze dne 14. října 2010, </w:t>
      </w:r>
      <w:r w:rsidRPr="00F97DCC">
        <w:t>Günter Fuß v Stadt Halle</w:t>
      </w:r>
      <w:r>
        <w:t xml:space="preserve">, C-243/09. </w:t>
      </w:r>
    </w:p>
  </w:footnote>
  <w:footnote w:id="56">
    <w:p w:rsidR="002E040B" w:rsidRDefault="002E040B" w:rsidP="005C0687">
      <w:pPr>
        <w:pStyle w:val="PODCAROU"/>
      </w:pPr>
      <w:r>
        <w:rPr>
          <w:rStyle w:val="Funotenzeichen"/>
        </w:rPr>
        <w:footnoteRef/>
      </w:r>
      <w:r w:rsidRPr="00F97DCC">
        <w:t xml:space="preserve"> </w:t>
      </w:r>
      <w:r>
        <w:t xml:space="preserve">Evropský soudní dvůr: Stanovisko GA Juliane Kokott ze dne 30. září 2010, </w:t>
      </w:r>
      <w:r w:rsidRPr="00380811">
        <w:t>Association Belge des consommateurs Test-Achats ASBL, Yann van Vugt, Charles Basselier v Conseil des ministrem</w:t>
      </w:r>
      <w:r>
        <w:t xml:space="preserve">, C-236/09. </w:t>
      </w:r>
    </w:p>
  </w:footnote>
  <w:footnote w:id="57">
    <w:p w:rsidR="002E040B" w:rsidRDefault="002E040B" w:rsidP="005C0687">
      <w:pPr>
        <w:pStyle w:val="PODCAROU"/>
      </w:pPr>
      <w:r>
        <w:rPr>
          <w:rStyle w:val="Funotenzeichen"/>
        </w:rPr>
        <w:footnoteRef/>
      </w:r>
      <w:r w:rsidRPr="00D303BD">
        <w:t xml:space="preserve"> </w:t>
      </w:r>
      <w:r>
        <w:t xml:space="preserve">Evropský soudní dvůr: Stanovisko GA Juliane Kokott ze dne 16. září 2010, </w:t>
      </w:r>
      <w:r w:rsidRPr="00B635ED">
        <w:t>Pensionsversicherungsanstalt v</w:t>
      </w:r>
      <w:r>
        <w:t> </w:t>
      </w:r>
      <w:r w:rsidRPr="00B635ED">
        <w:t>Christine Kleist</w:t>
      </w:r>
      <w:r>
        <w:t xml:space="preserve">, C-356/09. </w:t>
      </w:r>
    </w:p>
  </w:footnote>
  <w:footnote w:id="58">
    <w:p w:rsidR="002E040B" w:rsidRDefault="002E040B" w:rsidP="005C0687">
      <w:pPr>
        <w:pStyle w:val="PODCAROU"/>
      </w:pPr>
      <w:r>
        <w:rPr>
          <w:rStyle w:val="Funotenzeichen"/>
        </w:rPr>
        <w:footnoteRef/>
      </w:r>
      <w:r w:rsidRPr="00FC0C16">
        <w:t xml:space="preserve"> </w:t>
      </w:r>
      <w:r>
        <w:t xml:space="preserve">Evropský soudní dvůr: Stanovisko GA Juliane Kokott ze dne 6. května 2010, </w:t>
      </w:r>
      <w:r w:rsidRPr="00A158E9">
        <w:t>Ingeniørforeningen i Danmark jménem Ole Andersena v Region Syddanmark</w:t>
      </w:r>
      <w:r>
        <w:t xml:space="preserve">, C-499/08. </w:t>
      </w:r>
    </w:p>
  </w:footnote>
  <w:footnote w:id="59">
    <w:p w:rsidR="002E040B" w:rsidRDefault="002E040B" w:rsidP="005C0687">
      <w:pPr>
        <w:pStyle w:val="PODCAROU"/>
      </w:pPr>
      <w:r>
        <w:rPr>
          <w:rStyle w:val="Funotenzeichen"/>
        </w:rPr>
        <w:footnoteRef/>
      </w:r>
      <w:r w:rsidRPr="00DC4011">
        <w:t xml:space="preserve"> </w:t>
      </w:r>
      <w:r>
        <w:t xml:space="preserve">Evropský soudní dvůr: Rozsudek ze dne 10. prosince 2009, </w:t>
      </w:r>
      <w:r w:rsidRPr="008E11D3">
        <w:t>Rodríguez Mayor a další v Succession vacante de Rafael de las Heras Dávila, Sagrario de las Heras Dávila</w:t>
      </w:r>
      <w:r>
        <w:t xml:space="preserve">, C-323/08. </w:t>
      </w:r>
    </w:p>
  </w:footnote>
  <w:footnote w:id="60">
    <w:p w:rsidR="002E040B" w:rsidRPr="005C0687" w:rsidRDefault="002E040B" w:rsidP="005C0687">
      <w:pPr>
        <w:pStyle w:val="PODCAROU"/>
      </w:pPr>
      <w:r>
        <w:rPr>
          <w:rStyle w:val="Funotenzeichen"/>
        </w:rPr>
        <w:footnoteRef/>
      </w:r>
      <w:r w:rsidRPr="00547D8E">
        <w:t xml:space="preserve"> </w:t>
      </w:r>
      <w:r>
        <w:t xml:space="preserve">Evropský soudní dvůr: Rozsudek ze dne 19. ledna 2010, </w:t>
      </w:r>
      <w:r w:rsidRPr="005D6346">
        <w:t>Seda Kücükdeveci v Swedex GmbH &amp; Co. KG</w:t>
      </w:r>
      <w:r>
        <w:t xml:space="preserve">, C-555/07. </w:t>
      </w:r>
    </w:p>
  </w:footnote>
  <w:footnote w:id="61">
    <w:p w:rsidR="002E040B" w:rsidRPr="00780C44" w:rsidRDefault="002E040B" w:rsidP="00780C44">
      <w:pPr>
        <w:pStyle w:val="PODCAROU"/>
      </w:pPr>
      <w:r>
        <w:rPr>
          <w:rStyle w:val="Funotenzeichen"/>
        </w:rPr>
        <w:footnoteRef/>
      </w:r>
      <w:r w:rsidRPr="00780C44">
        <w:t xml:space="preserve"> </w:t>
      </w:r>
      <w:r>
        <w:t xml:space="preserve">Evropský soudní dvůr: Rozsudek ze dne 1. března 2011, </w:t>
      </w:r>
      <w:r w:rsidRPr="00780C44">
        <w:rPr>
          <w:bCs/>
          <w:lang w:val="fr-FR"/>
        </w:rPr>
        <w:t>Association belge des Consommateurs Test-Achats ASBL,</w:t>
      </w:r>
      <w:r w:rsidRPr="00780C44">
        <w:rPr>
          <w:lang w:val="fr-FR"/>
        </w:rPr>
        <w:t xml:space="preserve"> </w:t>
      </w:r>
      <w:r w:rsidRPr="00780C44">
        <w:rPr>
          <w:bCs/>
          <w:lang w:val="fr-FR"/>
        </w:rPr>
        <w:t>Yann van Vugt,</w:t>
      </w:r>
      <w:r w:rsidRPr="00780C44">
        <w:rPr>
          <w:lang w:val="fr-FR"/>
        </w:rPr>
        <w:t xml:space="preserve"> </w:t>
      </w:r>
      <w:r w:rsidRPr="00780C44">
        <w:rPr>
          <w:bCs/>
          <w:lang w:val="fr-FR"/>
        </w:rPr>
        <w:t>Charles Basselier</w:t>
      </w:r>
      <w:r w:rsidRPr="00780C44">
        <w:rPr>
          <w:lang w:val="fr-FR"/>
        </w:rPr>
        <w:t xml:space="preserve"> proti </w:t>
      </w:r>
      <w:r w:rsidRPr="00780C44">
        <w:rPr>
          <w:bCs/>
          <w:lang w:val="fr-FR"/>
        </w:rPr>
        <w:t>Conseil des ministres</w:t>
      </w:r>
      <w:r>
        <w:rPr>
          <w:bCs/>
          <w:lang w:val="fr-FR"/>
        </w:rPr>
        <w:t>, C-236/09.</w:t>
      </w:r>
    </w:p>
  </w:footnote>
  <w:footnote w:id="62">
    <w:p w:rsidR="002E040B" w:rsidRDefault="002E040B" w:rsidP="005C0687">
      <w:pPr>
        <w:pStyle w:val="PODCAROU"/>
      </w:pPr>
      <w:r>
        <w:rPr>
          <w:rStyle w:val="Funotenzeichen"/>
        </w:rPr>
        <w:footnoteRef/>
      </w:r>
      <w:r w:rsidRPr="001325CE">
        <w:t xml:space="preserve"> </w:t>
      </w:r>
      <w:r>
        <w:t xml:space="preserve">Legislativa ES/EU: směrnice Rady 1999/70/ES ze dne 28. června 1999 o rámcové dohodě o pracovních poměrech na dobu určitou uzavřené mezi organizacemi UNICE, CEEP a EKOS. Úř. věst. L 175/43, 10. července 1999, s. 368 a násl. </w:t>
      </w:r>
    </w:p>
  </w:footnote>
  <w:footnote w:id="63">
    <w:p w:rsidR="002E040B" w:rsidRDefault="002E040B" w:rsidP="005C0687">
      <w:pPr>
        <w:pStyle w:val="PODCAROU"/>
      </w:pPr>
      <w:r>
        <w:rPr>
          <w:rStyle w:val="Funotenzeichen"/>
        </w:rPr>
        <w:footnoteRef/>
      </w:r>
      <w:r w:rsidRPr="00F0475A">
        <w:t xml:space="preserve"> </w:t>
      </w:r>
      <w:r>
        <w:t xml:space="preserve">Legislativa ES/EU: směrnice Rady 92/85/EHS ze dne 19. října 1992 o zavádění opatření pro zlepšení bezpečnosti a ochrany zdraví při práci těhotných zaměstnankyň a zaměstnankyň krátce po porodu nebo kojících zaměstnankyň. Úř. věst. L 348/1, 28. listopadu 1992, s. 110 a násl. </w:t>
      </w:r>
    </w:p>
  </w:footnote>
  <w:footnote w:id="64">
    <w:p w:rsidR="002E040B" w:rsidRDefault="002E040B" w:rsidP="005C0687">
      <w:pPr>
        <w:pStyle w:val="PODCAROU"/>
      </w:pPr>
      <w:r>
        <w:rPr>
          <w:rStyle w:val="Funotenzeichen"/>
        </w:rPr>
        <w:footnoteRef/>
      </w:r>
      <w:r w:rsidRPr="00961059">
        <w:t xml:space="preserve"> </w:t>
      </w:r>
      <w:r>
        <w:t xml:space="preserve">Legislativa ES/EU: směrnice Rady 96/34/ES ze dne 3. června 1996 o </w:t>
      </w:r>
      <w:r w:rsidRPr="00961059">
        <w:t>rámcové dohodě o rodičovské dovolené uzavřené mezi organizacemi UNICE, CEEP a EKOS</w:t>
      </w:r>
      <w:r>
        <w:t xml:space="preserve">. Úř. věst. L 145/4, 19. června 1996, s. 285 a násl. </w:t>
      </w:r>
    </w:p>
  </w:footnote>
  <w:footnote w:id="65">
    <w:p w:rsidR="002E040B" w:rsidRDefault="002E040B" w:rsidP="005C0687">
      <w:pPr>
        <w:pStyle w:val="PODCAROU"/>
      </w:pPr>
      <w:r>
        <w:rPr>
          <w:rStyle w:val="Funotenzeichen"/>
        </w:rPr>
        <w:footnoteRef/>
      </w:r>
      <w:r w:rsidRPr="00BA2E05">
        <w:t xml:space="preserve"> </w:t>
      </w:r>
      <w:r>
        <w:t xml:space="preserve">Legislativa ES/EU: směrnice Rady 2003/88/ES ze dne 4. listopadu 2003 o některých aspektech úpravy pracovní doby. Úř. věst. L 299/9, 18. listopadu 2003, s. 381 a násl. </w:t>
      </w:r>
    </w:p>
  </w:footnote>
  <w:footnote w:id="66">
    <w:p w:rsidR="002E040B" w:rsidRDefault="002E040B" w:rsidP="005C0687">
      <w:pPr>
        <w:pStyle w:val="PODCAROU"/>
      </w:pPr>
      <w:r>
        <w:rPr>
          <w:rStyle w:val="Funotenzeichen"/>
        </w:rPr>
        <w:footnoteRef/>
      </w:r>
      <w:r w:rsidRPr="00CE1725">
        <w:t xml:space="preserve"> </w:t>
      </w:r>
      <w:r>
        <w:t xml:space="preserve">Legislativa ES/EU: směrnice Rady 2004/113/ES ze dne 13. prosince 2004, kterou se zavádí </w:t>
      </w:r>
      <w:r w:rsidRPr="00CE1725">
        <w:t>zásada rovného zacházení s muži a ženami v přístupu ke zboží a službám a jejich poskytován</w:t>
      </w:r>
      <w:r>
        <w:t xml:space="preserve">í. Úř. věst. L 373, 23. prosince 2004, s. 37 a násl. </w:t>
      </w:r>
    </w:p>
  </w:footnote>
  <w:footnote w:id="67">
    <w:p w:rsidR="002E040B" w:rsidRPr="005C0687" w:rsidRDefault="002E040B" w:rsidP="005C0687">
      <w:pPr>
        <w:pStyle w:val="PODCAROU"/>
      </w:pPr>
      <w:r>
        <w:rPr>
          <w:rStyle w:val="Funotenzeichen"/>
        </w:rPr>
        <w:footnoteRef/>
      </w:r>
      <w:r w:rsidRPr="005C0687">
        <w:t xml:space="preserve"> </w:t>
      </w:r>
      <w:r>
        <w:t xml:space="preserve">Legislativa ES/EU: směrnice Rady 76/207/EHS ze dne 9. února 1976 </w:t>
      </w:r>
      <w:r w:rsidRPr="00057276">
        <w:t>o zavedení zásady rovného zacházení pro muže a ženy, pokud jde o přístup k zaměstnání, odbornému vzdělávání a postupu v zaměstnání a o pracovní podmínky</w:t>
      </w:r>
      <w:r>
        <w:t xml:space="preserve">. Úř. věst. L 39/40, 28. října 1980, s. 187 a násl. </w:t>
      </w:r>
    </w:p>
  </w:footnote>
  <w:footnote w:id="68">
    <w:p w:rsidR="002E040B" w:rsidRPr="005C0687" w:rsidRDefault="002E040B" w:rsidP="005C0687">
      <w:pPr>
        <w:pStyle w:val="PODCAROU"/>
      </w:pPr>
      <w:r>
        <w:rPr>
          <w:rStyle w:val="Funotenzeichen"/>
        </w:rPr>
        <w:footnoteRef/>
      </w:r>
      <w:r w:rsidRPr="004352C0">
        <w:t xml:space="preserve"> </w:t>
      </w:r>
      <w:r>
        <w:t xml:space="preserve">Legislativa ES/EU: směrnice Rady 2000/78/ES ze dne 27. listopadu 2000, kterou </w:t>
      </w:r>
      <w:r w:rsidRPr="004352C0">
        <w:t>se stanoví obecný rámec pro</w:t>
      </w:r>
      <w:r>
        <w:t> </w:t>
      </w:r>
      <w:r w:rsidRPr="004352C0">
        <w:t>rovné zacházení v zaměstnání a povolání</w:t>
      </w:r>
      <w:r>
        <w:t xml:space="preserve">. Úř. věst. L 303/16, 2. prosince 2000, s. 79 a násl. </w:t>
      </w:r>
    </w:p>
  </w:footnote>
  <w:footnote w:id="69">
    <w:p w:rsidR="002E040B" w:rsidRDefault="002E040B" w:rsidP="005C0687">
      <w:pPr>
        <w:pStyle w:val="PODCAROU"/>
      </w:pPr>
      <w:r>
        <w:rPr>
          <w:rStyle w:val="Funotenzeichen"/>
        </w:rPr>
        <w:footnoteRef/>
      </w:r>
      <w:r w:rsidRPr="00FA16CC">
        <w:t xml:space="preserve"> </w:t>
      </w:r>
      <w:r>
        <w:t xml:space="preserve">Legislativa ES/EU: směrnice Rady 98/59/ES ze dne 20. července 1998 o sbližování právních předpisů členských států týkajících se hromadného propouštění. Úř. věst. L 225/16, 12. srpna 1998, s. 327 a násl. </w:t>
      </w:r>
    </w:p>
  </w:footnote>
  <w:footnote w:id="70">
    <w:p w:rsidR="002E040B" w:rsidRPr="007141A0" w:rsidRDefault="002E040B" w:rsidP="007141A0">
      <w:pPr>
        <w:pStyle w:val="PODCAROU"/>
      </w:pPr>
      <w:r>
        <w:rPr>
          <w:rStyle w:val="Funotenzeichen"/>
        </w:rPr>
        <w:footnoteRef/>
      </w:r>
      <w:r w:rsidRPr="007141A0">
        <w:t xml:space="preserve"> Legislativa ES/EU: směrnice Rady 2004/113/ES ze dne 13. prosince 2004, kterou se zavádí zásada rovného zacházení s muži a ženami v přístupu ke zboží a službám a jejich poskytování. Úř. věst. L 373, 23. prosince 2004, s. 37 a násl. </w:t>
      </w:r>
    </w:p>
  </w:footnote>
  <w:footnote w:id="71">
    <w:p w:rsidR="002E040B" w:rsidRPr="007141A0" w:rsidRDefault="002E040B" w:rsidP="007141A0">
      <w:pPr>
        <w:pStyle w:val="PODCAROU"/>
      </w:pPr>
      <w:r>
        <w:rPr>
          <w:rStyle w:val="Funotenzeichen"/>
        </w:rPr>
        <w:footnoteRef/>
      </w:r>
      <w:r w:rsidRPr="007141A0">
        <w:t xml:space="preserve"> </w:t>
      </w:r>
      <w:r>
        <w:t xml:space="preserve">např. ve zprávě EP na téma </w:t>
      </w:r>
      <w:r w:rsidRPr="00C32F82">
        <w:rPr>
          <w:i/>
        </w:rPr>
        <w:t>„Na cestě k přiměřeným, udržitelným a spolehlivým důchodovým systémům v Evropě“</w:t>
      </w:r>
      <w:r>
        <w:t xml:space="preserve"> z 3. února 2011, 2010/2239 INI, zpravodajka Ria Oomen-Ruijten, s. 35/ bod 13. </w:t>
      </w:r>
    </w:p>
  </w:footnote>
  <w:footnote w:id="72">
    <w:p w:rsidR="002E040B" w:rsidRPr="00363D48" w:rsidRDefault="002E040B" w:rsidP="00363D48">
      <w:pPr>
        <w:pStyle w:val="PODCAROU"/>
      </w:pPr>
      <w:r>
        <w:rPr>
          <w:rStyle w:val="Funotenzeichen"/>
        </w:rPr>
        <w:footnoteRef/>
      </w:r>
      <w:r>
        <w:t>Evropský s</w:t>
      </w:r>
      <w:r w:rsidRPr="00363D48">
        <w:t xml:space="preserve">oudní dvůr: Rozsudek ze dne 1. března 2011, </w:t>
      </w:r>
      <w:r w:rsidRPr="00363D48">
        <w:rPr>
          <w:bCs/>
          <w:lang w:val="fr-FR"/>
        </w:rPr>
        <w:t>Association belge des Consommateurs Test-Achats ASBL,</w:t>
      </w:r>
      <w:r w:rsidRPr="00363D48">
        <w:rPr>
          <w:lang w:val="fr-FR"/>
        </w:rPr>
        <w:t xml:space="preserve"> </w:t>
      </w:r>
      <w:r w:rsidRPr="00363D48">
        <w:rPr>
          <w:bCs/>
          <w:lang w:val="fr-FR"/>
        </w:rPr>
        <w:t>Yann van Vugt,</w:t>
      </w:r>
      <w:r w:rsidRPr="00363D48">
        <w:rPr>
          <w:lang w:val="fr-FR"/>
        </w:rPr>
        <w:t xml:space="preserve"> </w:t>
      </w:r>
      <w:r w:rsidRPr="00363D48">
        <w:rPr>
          <w:bCs/>
          <w:lang w:val="fr-FR"/>
        </w:rPr>
        <w:t>Charles Basselier</w:t>
      </w:r>
      <w:r w:rsidRPr="00363D48">
        <w:rPr>
          <w:lang w:val="fr-FR"/>
        </w:rPr>
        <w:t xml:space="preserve"> proti </w:t>
      </w:r>
      <w:r w:rsidRPr="00363D48">
        <w:rPr>
          <w:bCs/>
          <w:lang w:val="fr-FR"/>
        </w:rPr>
        <w:t>Conseil des ministres</w:t>
      </w:r>
      <w:r>
        <w:rPr>
          <w:bCs/>
          <w:lang w:val="fr-FR"/>
        </w:rPr>
        <w:t xml:space="preserve">, C-236/09, bod 28. </w:t>
      </w:r>
    </w:p>
  </w:footnote>
  <w:footnote w:id="73">
    <w:p w:rsidR="002E040B" w:rsidRPr="00086062" w:rsidRDefault="002E040B" w:rsidP="00086062">
      <w:pPr>
        <w:pStyle w:val="PODCAROU"/>
      </w:pPr>
      <w:r>
        <w:rPr>
          <w:rStyle w:val="Funotenzeichen"/>
        </w:rPr>
        <w:footnoteRef/>
      </w:r>
      <w:r w:rsidR="00B07F5A">
        <w:t xml:space="preserve"> Evropský s</w:t>
      </w:r>
      <w:r w:rsidR="00B07F5A" w:rsidRPr="00363D48">
        <w:t xml:space="preserve">oudní dvůr: Rozsudek ze dne 1. března 2011, </w:t>
      </w:r>
      <w:r w:rsidR="00B07F5A" w:rsidRPr="00363D48">
        <w:rPr>
          <w:bCs/>
          <w:lang w:val="fr-FR"/>
        </w:rPr>
        <w:t>Association belge des Consommateurs Test-Achats ASBL,</w:t>
      </w:r>
      <w:r w:rsidR="00B07F5A" w:rsidRPr="00363D48">
        <w:rPr>
          <w:lang w:val="fr-FR"/>
        </w:rPr>
        <w:t xml:space="preserve"> </w:t>
      </w:r>
      <w:r w:rsidR="00B07F5A" w:rsidRPr="00363D48">
        <w:rPr>
          <w:bCs/>
          <w:lang w:val="fr-FR"/>
        </w:rPr>
        <w:t>Yann van Vugt,</w:t>
      </w:r>
      <w:r w:rsidR="00B07F5A" w:rsidRPr="00363D48">
        <w:rPr>
          <w:lang w:val="fr-FR"/>
        </w:rPr>
        <w:t xml:space="preserve"> </w:t>
      </w:r>
      <w:r w:rsidR="00B07F5A" w:rsidRPr="00363D48">
        <w:rPr>
          <w:bCs/>
          <w:lang w:val="fr-FR"/>
        </w:rPr>
        <w:t>Charles Basselier</w:t>
      </w:r>
      <w:r w:rsidR="00B07F5A" w:rsidRPr="00363D48">
        <w:rPr>
          <w:lang w:val="fr-FR"/>
        </w:rPr>
        <w:t xml:space="preserve"> proti </w:t>
      </w:r>
      <w:r w:rsidR="00B07F5A" w:rsidRPr="00363D48">
        <w:rPr>
          <w:bCs/>
          <w:lang w:val="fr-FR"/>
        </w:rPr>
        <w:t>Conseil des ministres</w:t>
      </w:r>
      <w:r w:rsidR="00B07F5A">
        <w:rPr>
          <w:bCs/>
          <w:lang w:val="fr-FR"/>
        </w:rPr>
        <w:t>, C-236/09, bod 30.</w:t>
      </w:r>
    </w:p>
  </w:footnote>
  <w:footnote w:id="74">
    <w:p w:rsidR="002E040B" w:rsidRPr="00205B56" w:rsidRDefault="002E040B" w:rsidP="00205B56">
      <w:pPr>
        <w:pStyle w:val="PODCAROU"/>
      </w:pPr>
      <w:r>
        <w:rPr>
          <w:rStyle w:val="Funotenzeichen"/>
        </w:rPr>
        <w:footnoteRef/>
      </w:r>
      <w:r w:rsidR="00B07F5A">
        <w:t xml:space="preserve"> Evropský s</w:t>
      </w:r>
      <w:r w:rsidR="00B07F5A" w:rsidRPr="00363D48">
        <w:t xml:space="preserve">oudní dvůr: Rozsudek ze dne 1. března 2011, </w:t>
      </w:r>
      <w:r w:rsidR="00B07F5A" w:rsidRPr="00363D48">
        <w:rPr>
          <w:bCs/>
          <w:lang w:val="fr-FR"/>
        </w:rPr>
        <w:t>Association belge des Consommateurs Test-Achats ASBL,</w:t>
      </w:r>
      <w:r w:rsidR="00B07F5A" w:rsidRPr="00363D48">
        <w:rPr>
          <w:lang w:val="fr-FR"/>
        </w:rPr>
        <w:t xml:space="preserve"> </w:t>
      </w:r>
      <w:r w:rsidR="00B07F5A" w:rsidRPr="00363D48">
        <w:rPr>
          <w:bCs/>
          <w:lang w:val="fr-FR"/>
        </w:rPr>
        <w:t>Yann van Vugt,</w:t>
      </w:r>
      <w:r w:rsidR="00B07F5A" w:rsidRPr="00363D48">
        <w:rPr>
          <w:lang w:val="fr-FR"/>
        </w:rPr>
        <w:t xml:space="preserve"> </w:t>
      </w:r>
      <w:r w:rsidR="00B07F5A" w:rsidRPr="00363D48">
        <w:rPr>
          <w:bCs/>
          <w:lang w:val="fr-FR"/>
        </w:rPr>
        <w:t>Charles Basselier</w:t>
      </w:r>
      <w:r w:rsidR="00B07F5A" w:rsidRPr="00363D48">
        <w:rPr>
          <w:lang w:val="fr-FR"/>
        </w:rPr>
        <w:t xml:space="preserve"> proti </w:t>
      </w:r>
      <w:r w:rsidR="00B07F5A" w:rsidRPr="00363D48">
        <w:rPr>
          <w:bCs/>
          <w:lang w:val="fr-FR"/>
        </w:rPr>
        <w:t>Conseil des ministres</w:t>
      </w:r>
      <w:r w:rsidR="00B07F5A">
        <w:rPr>
          <w:bCs/>
          <w:lang w:val="fr-FR"/>
        </w:rPr>
        <w:t>, C-236/09, bod 30.</w:t>
      </w:r>
    </w:p>
  </w:footnote>
  <w:footnote w:id="75">
    <w:p w:rsidR="002E040B" w:rsidRPr="00F2115E" w:rsidRDefault="002E040B" w:rsidP="00F2115E">
      <w:pPr>
        <w:pStyle w:val="PODCAROU"/>
      </w:pPr>
      <w:r>
        <w:rPr>
          <w:rStyle w:val="Funotenzeichen"/>
        </w:rPr>
        <w:footnoteRef/>
      </w:r>
      <w:r w:rsidR="00B07F5A">
        <w:t xml:space="preserve"> Evropský s</w:t>
      </w:r>
      <w:r w:rsidR="00B07F5A" w:rsidRPr="00363D48">
        <w:t xml:space="preserve">oudní dvůr: Rozsudek ze dne 1. </w:t>
      </w:r>
      <w:r w:rsidR="00B07F5A" w:rsidRPr="00363D48">
        <w:t xml:space="preserve">března 2011, </w:t>
      </w:r>
      <w:r w:rsidR="00B07F5A" w:rsidRPr="00363D48">
        <w:rPr>
          <w:bCs/>
          <w:lang w:val="fr-FR"/>
        </w:rPr>
        <w:t>Association belge des Consommateurs Test-Achats ASBL,</w:t>
      </w:r>
      <w:r w:rsidR="00B07F5A" w:rsidRPr="00363D48">
        <w:rPr>
          <w:lang w:val="fr-FR"/>
        </w:rPr>
        <w:t xml:space="preserve"> </w:t>
      </w:r>
      <w:r w:rsidR="00B07F5A" w:rsidRPr="00363D48">
        <w:rPr>
          <w:bCs/>
          <w:lang w:val="fr-FR"/>
        </w:rPr>
        <w:t>Yann van Vugt,</w:t>
      </w:r>
      <w:r w:rsidR="00B07F5A" w:rsidRPr="00363D48">
        <w:rPr>
          <w:lang w:val="fr-FR"/>
        </w:rPr>
        <w:t xml:space="preserve"> </w:t>
      </w:r>
      <w:r w:rsidR="00B07F5A" w:rsidRPr="00363D48">
        <w:rPr>
          <w:bCs/>
          <w:lang w:val="fr-FR"/>
        </w:rPr>
        <w:t>Charles Basselier</w:t>
      </w:r>
      <w:r w:rsidR="00B07F5A" w:rsidRPr="00363D48">
        <w:rPr>
          <w:lang w:val="fr-FR"/>
        </w:rPr>
        <w:t xml:space="preserve"> proti </w:t>
      </w:r>
      <w:r w:rsidR="00B07F5A" w:rsidRPr="00363D48">
        <w:rPr>
          <w:bCs/>
          <w:lang w:val="fr-FR"/>
        </w:rPr>
        <w:t>Conseil des ministres</w:t>
      </w:r>
      <w:r w:rsidR="00B07F5A">
        <w:rPr>
          <w:bCs/>
          <w:lang w:val="fr-FR"/>
        </w:rPr>
        <w:t>, C-236/09, bod 30.</w:t>
      </w:r>
    </w:p>
  </w:footnote>
  <w:footnote w:id="76">
    <w:p w:rsidR="002E040B" w:rsidRPr="00561E31" w:rsidRDefault="002E040B" w:rsidP="00561E31">
      <w:pPr>
        <w:pStyle w:val="PODCAROU"/>
      </w:pPr>
      <w:r>
        <w:rPr>
          <w:rStyle w:val="Funotenzeichen"/>
        </w:rPr>
        <w:footnoteRef/>
      </w:r>
      <w:r>
        <w:t xml:space="preserve"> DAVIES, Paul J, CROFT, Jane. </w:t>
      </w:r>
      <w:r w:rsidRPr="0058205E">
        <w:rPr>
          <w:i/>
        </w:rPr>
        <w:t>Insurance blow for young women</w:t>
      </w:r>
      <w:r>
        <w:t xml:space="preserve"> [online]. Financial Times, 1. března 2011 [cit. 8. března 2011]. Dostupné na </w:t>
      </w:r>
      <w:hyperlink r:id="rId5" w:anchor="axzz1G5qCPdMJ" w:history="1">
        <w:r w:rsidRPr="00F6551A">
          <w:rPr>
            <w:rStyle w:val="Hyperlink"/>
          </w:rPr>
          <w:t>http://www.ft.com/cms/s/0/81384176-43e6-11e0-8f20-00144feab49a.html#axzz1G5qCPdMJ</w:t>
        </w:r>
      </w:hyperlink>
      <w:r>
        <w:t>.</w:t>
      </w:r>
    </w:p>
  </w:footnote>
  <w:footnote w:id="77">
    <w:p w:rsidR="002E040B" w:rsidRPr="005B3243" w:rsidRDefault="002E040B" w:rsidP="005B3243">
      <w:pPr>
        <w:pStyle w:val="PODCAROU"/>
      </w:pPr>
      <w:r>
        <w:rPr>
          <w:rStyle w:val="Funotenzeichen"/>
        </w:rPr>
        <w:footnoteRef/>
      </w:r>
      <w:r w:rsidRPr="005B3243">
        <w:t xml:space="preserve"> </w:t>
      </w:r>
      <w:r>
        <w:t xml:space="preserve">WISHART, Ian. </w:t>
      </w:r>
      <w:r w:rsidRPr="004116C3">
        <w:rPr>
          <w:i/>
        </w:rPr>
        <w:t>Insurance firms cannot discriminate on gender</w:t>
      </w:r>
      <w:r>
        <w:t xml:space="preserve"> [online]. European Voice, 1. března 2011 [cit. 8. března 2011]. Dostupné na &lt;</w:t>
      </w:r>
      <w:r w:rsidRPr="005B3243">
        <w:t xml:space="preserve"> </w:t>
      </w:r>
      <w:hyperlink r:id="rId6" w:history="1">
        <w:r w:rsidRPr="00F6551A">
          <w:rPr>
            <w:rStyle w:val="Hyperlink"/>
          </w:rPr>
          <w:t>http://www.europeanvoice.com/article/2011/march/insurance-firms-cannot-discriminate-on-gender-court-rules/70390.aspx</w:t>
        </w:r>
      </w:hyperlink>
      <w:r>
        <w:t xml:space="preserve">&gt;. </w:t>
      </w:r>
    </w:p>
  </w:footnote>
  <w:footnote w:id="78">
    <w:p w:rsidR="002E040B" w:rsidRPr="00B37CD3" w:rsidRDefault="002E040B" w:rsidP="005B3FB7">
      <w:pPr>
        <w:pStyle w:val="PODCAROU"/>
      </w:pPr>
      <w:r>
        <w:rPr>
          <w:rStyle w:val="Funotenzeichen"/>
        </w:rPr>
        <w:footnoteRef/>
      </w:r>
      <w:r>
        <w:t xml:space="preserve"> </w:t>
      </w:r>
      <w:r w:rsidRPr="005B3FB7">
        <w:rPr>
          <w:i/>
        </w:rPr>
        <w:t>A boy-racer's dream?</w:t>
      </w:r>
      <w:r>
        <w:rPr>
          <w:i/>
        </w:rPr>
        <w:t xml:space="preserve"> A European Court puts and end to sex-based premiums </w:t>
      </w:r>
      <w:r w:rsidRPr="00B37CD3">
        <w:t>[</w:t>
      </w:r>
      <w:r>
        <w:t>online</w:t>
      </w:r>
      <w:r w:rsidRPr="00B37CD3">
        <w:t>]</w:t>
      </w:r>
      <w:r>
        <w:t>. The Economist, 3. března 2011 [cit. 8. března 2011]. Dostupné na &lt;</w:t>
      </w:r>
      <w:hyperlink r:id="rId7" w:history="1">
        <w:r w:rsidRPr="00F6551A">
          <w:rPr>
            <w:rStyle w:val="Hyperlink"/>
          </w:rPr>
          <w:t>http://www.economist.com/node/18285962?story_id=18285962</w:t>
        </w:r>
      </w:hyperlink>
      <w:r>
        <w:t xml:space="preserve">&gt;. </w:t>
      </w:r>
    </w:p>
  </w:footnote>
  <w:footnote w:id="79">
    <w:p w:rsidR="002E040B" w:rsidRPr="00CB05EC" w:rsidRDefault="002E040B" w:rsidP="00CB05EC">
      <w:pPr>
        <w:pStyle w:val="PODCAROU"/>
      </w:pPr>
      <w:r>
        <w:rPr>
          <w:rStyle w:val="Funotenzeichen"/>
        </w:rPr>
        <w:footnoteRef/>
      </w:r>
      <w:r>
        <w:t xml:space="preserve"> Tamtéž. </w:t>
      </w:r>
    </w:p>
  </w:footnote>
  <w:footnote w:id="80">
    <w:p w:rsidR="002E040B" w:rsidRPr="00E01DB1" w:rsidRDefault="002E040B" w:rsidP="00631042">
      <w:pPr>
        <w:pStyle w:val="PODCAROU"/>
        <w:rPr>
          <w:bCs/>
          <w:lang w:val="fr-FR"/>
        </w:rPr>
      </w:pPr>
      <w:r>
        <w:rPr>
          <w:rStyle w:val="Funotenzeichen"/>
        </w:rPr>
        <w:footnoteRef/>
      </w:r>
      <w:r w:rsidRPr="00631042">
        <w:t xml:space="preserve"> </w:t>
      </w:r>
      <w:r w:rsidRPr="00E01DB1">
        <w:rPr>
          <w:bCs/>
          <w:lang w:val="en-US"/>
        </w:rPr>
        <w:t xml:space="preserve">Sex Discrimination in Insurance Contracts: Statement by European Commission Vice-President Viviane Reding, the EU’s Justice Commissioner, on the European Court of Justice's ruling in the Test-Achats case </w:t>
      </w:r>
      <w:r>
        <w:rPr>
          <w:bCs/>
          <w:lang w:val="en-US"/>
        </w:rPr>
        <w:t xml:space="preserve">[online]. </w:t>
      </w:r>
      <w:r w:rsidRPr="00E01DB1">
        <w:rPr>
          <w:bCs/>
          <w:lang w:val="fr-FR"/>
        </w:rPr>
        <w:t xml:space="preserve">DG Justice, 1. </w:t>
      </w:r>
      <w:proofErr w:type="gramStart"/>
      <w:r w:rsidRPr="00E01DB1">
        <w:rPr>
          <w:bCs/>
          <w:lang w:val="fr-FR"/>
        </w:rPr>
        <w:t>března</w:t>
      </w:r>
      <w:proofErr w:type="gramEnd"/>
      <w:r w:rsidRPr="00E01DB1">
        <w:rPr>
          <w:bCs/>
          <w:lang w:val="fr-FR"/>
        </w:rPr>
        <w:t xml:space="preserve"> 2011 [cit. 8. března 2011]. Dostupné na &lt;http://europa.eu/rapid/pressReleasesAction.do?reference=MEMO/11/123&amp;format=HTML&amp;aged=0&amp;language=EN&amp;guiLanguage=en&gt;.</w:t>
      </w:r>
      <w:r>
        <w:rPr>
          <w:bCs/>
          <w:lang w:val="fr-FR"/>
        </w:rPr>
        <w:t xml:space="preserve"> </w:t>
      </w:r>
    </w:p>
  </w:footnote>
  <w:footnote w:id="81">
    <w:p w:rsidR="002E040B" w:rsidRPr="00407073" w:rsidRDefault="002E040B" w:rsidP="00407073">
      <w:pPr>
        <w:pStyle w:val="PODCAROU"/>
      </w:pPr>
      <w:r>
        <w:rPr>
          <w:rStyle w:val="Funotenzeichen"/>
        </w:rPr>
        <w:footnoteRef/>
      </w:r>
      <w:r>
        <w:t xml:space="preserve"> </w:t>
      </w:r>
      <w:r w:rsidRPr="00BE12E5">
        <w:rPr>
          <w:bCs/>
          <w:i/>
        </w:rPr>
        <w:t>ECJ ruling against sex discrimination in insurances key vicotry for women’s rights, say civil society organization</w:t>
      </w:r>
      <w:r>
        <w:rPr>
          <w:bCs/>
          <w:i/>
        </w:rPr>
        <w:t xml:space="preserve"> </w:t>
      </w:r>
      <w:r w:rsidRPr="00407073">
        <w:rPr>
          <w:bCs/>
        </w:rPr>
        <w:t>[</w:t>
      </w:r>
      <w:r>
        <w:rPr>
          <w:bCs/>
        </w:rPr>
        <w:t>online</w:t>
      </w:r>
      <w:r w:rsidRPr="00407073">
        <w:rPr>
          <w:bCs/>
        </w:rPr>
        <w:t>]</w:t>
      </w:r>
      <w:r>
        <w:rPr>
          <w:bCs/>
        </w:rPr>
        <w:t xml:space="preserve">. </w:t>
      </w:r>
      <w:r w:rsidRPr="00407073">
        <w:rPr>
          <w:bCs/>
        </w:rPr>
        <w:t>European Women’s Lobby</w:t>
      </w:r>
      <w:r>
        <w:rPr>
          <w:bCs/>
        </w:rPr>
        <w:t>, 1. března 2011 [cit. 8. března 2011]. Dostupné na &lt;</w:t>
      </w:r>
      <w:r w:rsidRPr="00407073">
        <w:rPr>
          <w:bCs/>
        </w:rPr>
        <w:t>http://www.womenlobby.org/spip.php?page=comment_article&amp;id_article=1251&amp;comm=1#forum</w:t>
      </w:r>
      <w:r>
        <w:rPr>
          <w:bCs/>
        </w:rPr>
        <w:t xml:space="preserve">&gt;. </w:t>
      </w:r>
    </w:p>
  </w:footnote>
  <w:footnote w:id="82">
    <w:p w:rsidR="002E040B" w:rsidRPr="00144063" w:rsidRDefault="002E040B" w:rsidP="00144063">
      <w:pPr>
        <w:pStyle w:val="PODCAROU"/>
      </w:pPr>
      <w:r>
        <w:rPr>
          <w:rStyle w:val="Funotenzeichen"/>
        </w:rPr>
        <w:footnoteRef/>
      </w:r>
      <w:r>
        <w:t xml:space="preserve"> Tamtéž.</w:t>
      </w:r>
    </w:p>
  </w:footnote>
  <w:footnote w:id="83">
    <w:p w:rsidR="002E040B" w:rsidRPr="00144063" w:rsidRDefault="002E040B" w:rsidP="00144063">
      <w:pPr>
        <w:pStyle w:val="PODCAROU"/>
      </w:pPr>
      <w:r>
        <w:rPr>
          <w:rStyle w:val="Funotenzeichen"/>
        </w:rPr>
        <w:footnoteRef/>
      </w:r>
      <w:r w:rsidRPr="00144063">
        <w:t xml:space="preserve"> </w:t>
      </w:r>
      <w:r>
        <w:t xml:space="preserve">Tamtéž. </w:t>
      </w:r>
    </w:p>
  </w:footnote>
  <w:footnote w:id="84">
    <w:p w:rsidR="002E040B" w:rsidRPr="00144063" w:rsidRDefault="002E040B" w:rsidP="00144063">
      <w:pPr>
        <w:pStyle w:val="PODCAROU"/>
      </w:pPr>
      <w:r>
        <w:rPr>
          <w:rStyle w:val="Funotenzeichen"/>
        </w:rPr>
        <w:footnoteRef/>
      </w:r>
      <w:r>
        <w:t xml:space="preserve"> Tamtéž.</w:t>
      </w:r>
    </w:p>
  </w:footnote>
  <w:footnote w:id="85">
    <w:p w:rsidR="002E040B" w:rsidRPr="007D7426" w:rsidRDefault="002E040B" w:rsidP="00D00F8D">
      <w:pPr>
        <w:pStyle w:val="PODCAROU"/>
      </w:pPr>
      <w:r w:rsidRPr="007D7426">
        <w:rPr>
          <w:rStyle w:val="Funotenzeichen"/>
        </w:rPr>
        <w:footnoteRef/>
      </w:r>
      <w:r w:rsidRPr="00816FD3">
        <w:t xml:space="preserve"> </w:t>
      </w:r>
      <w:r w:rsidRPr="00D00F8D">
        <w:t>B</w:t>
      </w:r>
      <w:r w:rsidRPr="007D7426">
        <w:t xml:space="preserve">ONČKOVÁ, Helena, SMEKAL, Hubert. Česká republika a výjimka z Listiny základních práv Evropské unie. </w:t>
      </w:r>
      <w:r w:rsidRPr="007D7426">
        <w:rPr>
          <w:i/>
          <w:iCs/>
        </w:rPr>
        <w:t>Studie Centra pro lidská práva a demokratizaci</w:t>
      </w:r>
      <w:r w:rsidRPr="007D7426">
        <w:t>. 2010, č.  1/2010, 9 s. Dostupné na &lt;</w:t>
      </w:r>
      <w:hyperlink r:id="rId8" w:history="1">
        <w:r w:rsidRPr="007D7426">
          <w:rPr>
            <w:rStyle w:val="Hyperlink"/>
            <w:bCs/>
          </w:rPr>
          <w:t>http://www.iips.cz/data/files/Centrum%20LP/Position%20papers/Vyjimka_EU.pdf</w:t>
        </w:r>
      </w:hyperlink>
      <w:r w:rsidRPr="007D7426">
        <w:t>&gt;</w:t>
      </w:r>
      <w:r>
        <w:t>.</w:t>
      </w:r>
    </w:p>
  </w:footnote>
  <w:footnote w:id="86">
    <w:p w:rsidR="002E040B" w:rsidRPr="007D7426" w:rsidRDefault="002E040B" w:rsidP="00D00F8D">
      <w:pPr>
        <w:pStyle w:val="PODCAROU"/>
      </w:pPr>
      <w:r w:rsidRPr="007D7426">
        <w:rPr>
          <w:rStyle w:val="Funotenzeichen"/>
        </w:rPr>
        <w:footnoteRef/>
      </w:r>
      <w:r w:rsidRPr="007D7426">
        <w:t xml:space="preserve"> </w:t>
      </w:r>
      <w:r w:rsidRPr="00D00F8D">
        <w:t>Š</w:t>
      </w:r>
      <w:r w:rsidRPr="007D7426">
        <w:t xml:space="preserve">LOSARČÍK, Ivo. Kücükdeveci: Expanze doktríny přímého účinku směrnic. Jurisprudence, 2010, ročník XIX, č. 2, s. 32-38. </w:t>
      </w:r>
    </w:p>
  </w:footnote>
  <w:footnote w:id="87">
    <w:p w:rsidR="002E040B" w:rsidRPr="007D7426" w:rsidRDefault="002E040B" w:rsidP="00D00F8D">
      <w:pPr>
        <w:pStyle w:val="PODCAROU"/>
      </w:pPr>
      <w:r w:rsidRPr="007D7426">
        <w:rPr>
          <w:rStyle w:val="Funotenzeichen"/>
        </w:rPr>
        <w:footnoteRef/>
      </w:r>
      <w:r w:rsidRPr="007D7426">
        <w:t xml:space="preserve"> </w:t>
      </w:r>
      <w:r w:rsidRPr="00D00F8D">
        <w:t>K</w:t>
      </w:r>
      <w:r w:rsidRPr="007D7426">
        <w:t xml:space="preserve">OKOTT, Juliane, SOBOTTA, Christoph. Die Charta der Grundrechte der Europäischen Union nach dem Inkrafttreten des Vertrags von Lissabon. </w:t>
      </w:r>
      <w:r w:rsidRPr="007D7426">
        <w:rPr>
          <w:i/>
        </w:rPr>
        <w:t>Europäische Grundrechte Zeitschrift</w:t>
      </w:r>
      <w:r w:rsidRPr="007D7426">
        <w:t xml:space="preserve">, 2010, ročník 37, č. 10-13, s. 265-271. </w:t>
      </w:r>
    </w:p>
  </w:footnote>
  <w:footnote w:id="88">
    <w:p w:rsidR="002E040B" w:rsidRPr="00D37AE9" w:rsidRDefault="002E040B" w:rsidP="00946241">
      <w:pPr>
        <w:pStyle w:val="PODCAROU"/>
        <w:rPr>
          <w:bCs/>
        </w:rPr>
      </w:pPr>
      <w:r>
        <w:rPr>
          <w:rStyle w:val="Funotenzeichen"/>
        </w:rPr>
        <w:footnoteRef/>
      </w:r>
      <w:r>
        <w:t xml:space="preserve"> Evropský soudní dvůr: Rozsudek ze dne 16. listopadu 2010 a stanovisko GA Yves </w:t>
      </w:r>
      <w:r w:rsidRPr="00D37AE9">
        <w:t xml:space="preserve">Bot ze dne 7. září 2010, </w:t>
      </w:r>
      <w:r w:rsidRPr="00D37AE9">
        <w:rPr>
          <w:bCs/>
          <w:i/>
        </w:rPr>
        <w:t>Gaetano Mantello</w:t>
      </w:r>
      <w:r>
        <w:rPr>
          <w:bCs/>
        </w:rPr>
        <w:t xml:space="preserve">, C-261/09. </w:t>
      </w:r>
    </w:p>
  </w:footnote>
  <w:footnote w:id="89">
    <w:p w:rsidR="002E040B" w:rsidRPr="006862CF" w:rsidRDefault="002E040B" w:rsidP="006862CF">
      <w:pPr>
        <w:pStyle w:val="PODCAROU"/>
      </w:pPr>
      <w:r>
        <w:rPr>
          <w:rStyle w:val="Funotenzeichen"/>
        </w:rPr>
        <w:footnoteRef/>
      </w:r>
      <w:r>
        <w:t xml:space="preserve"> Evropský soudní dvůr: Rozsudek ze dne 21. října 2010 a stanovisko GA Pedra Cruz Villalóna ze dne 6. července 2010, </w:t>
      </w:r>
      <w:r w:rsidRPr="002E5992">
        <w:rPr>
          <w:i/>
        </w:rPr>
        <w:t>I. B.</w:t>
      </w:r>
      <w:r>
        <w:t xml:space="preserve">, C-306/09. </w:t>
      </w:r>
    </w:p>
  </w:footnote>
  <w:footnote w:id="90">
    <w:p w:rsidR="002E040B" w:rsidRPr="00EC3961" w:rsidRDefault="002E040B" w:rsidP="00EC3961">
      <w:pPr>
        <w:pStyle w:val="PODCAROU"/>
      </w:pPr>
      <w:r>
        <w:rPr>
          <w:rStyle w:val="Funotenzeichen"/>
        </w:rPr>
        <w:footnoteRef/>
      </w:r>
      <w:r>
        <w:t xml:space="preserve"> Evropský soudní dvůr: Stanovisko GA Juliane Kokott ze dne 1. července 2010, </w:t>
      </w:r>
      <w:r w:rsidRPr="008D0466">
        <w:rPr>
          <w:bCs/>
          <w:i/>
        </w:rPr>
        <w:t>Szombathelyi Város Ügyészség proti Emilu Eredicsovi a Márii Vassné Sápi</w:t>
      </w:r>
      <w:r>
        <w:rPr>
          <w:bCs/>
        </w:rPr>
        <w:t xml:space="preserve">, C-205/09. </w:t>
      </w:r>
    </w:p>
  </w:footnote>
  <w:footnote w:id="91">
    <w:p w:rsidR="002E040B" w:rsidRPr="00613E5A" w:rsidRDefault="002E040B" w:rsidP="00DE0646">
      <w:pPr>
        <w:pStyle w:val="PODCAROU"/>
      </w:pPr>
      <w:r>
        <w:rPr>
          <w:rStyle w:val="Funotenzeichen"/>
        </w:rPr>
        <w:footnoteRef/>
      </w:r>
      <w:r>
        <w:t xml:space="preserve"> Legislativa ES/EU: Rámcové rozhodnutí Rady 2002/584 SVV ze dne 13. června 2002 </w:t>
      </w:r>
      <w:r w:rsidRPr="00613E5A">
        <w:rPr>
          <w:bCs/>
        </w:rPr>
        <w:t>o evropsk</w:t>
      </w:r>
      <w:r w:rsidRPr="00613E5A">
        <w:rPr>
          <w:rFonts w:hint="eastAsia"/>
          <w:bCs/>
        </w:rPr>
        <w:t>é</w:t>
      </w:r>
      <w:r w:rsidRPr="00613E5A">
        <w:rPr>
          <w:bCs/>
        </w:rPr>
        <w:t>m zat</w:t>
      </w:r>
      <w:r w:rsidRPr="00613E5A">
        <w:rPr>
          <w:rFonts w:hint="eastAsia"/>
          <w:bCs/>
        </w:rPr>
        <w:t>ý</w:t>
      </w:r>
      <w:r w:rsidRPr="00613E5A">
        <w:rPr>
          <w:bCs/>
        </w:rPr>
        <w:t>kac</w:t>
      </w:r>
      <w:r w:rsidRPr="00613E5A">
        <w:rPr>
          <w:rFonts w:hint="eastAsia"/>
          <w:bCs/>
        </w:rPr>
        <w:t>í</w:t>
      </w:r>
      <w:r>
        <w:rPr>
          <w:bCs/>
        </w:rPr>
        <w:t xml:space="preserve">m rozkazu </w:t>
      </w:r>
      <w:r w:rsidRPr="004C0D89">
        <w:t>a</w:t>
      </w:r>
      <w:r>
        <w:t> </w:t>
      </w:r>
      <w:r w:rsidRPr="004C0D89">
        <w:t>postupech</w:t>
      </w:r>
      <w:r w:rsidRPr="00613E5A">
        <w:rPr>
          <w:bCs/>
        </w:rPr>
        <w:t xml:space="preserve"> p</w:t>
      </w:r>
      <w:r w:rsidRPr="00613E5A">
        <w:rPr>
          <w:rFonts w:hint="eastAsia"/>
          <w:bCs/>
        </w:rPr>
        <w:t>ř</w:t>
      </w:r>
      <w:r w:rsidRPr="00613E5A">
        <w:rPr>
          <w:bCs/>
        </w:rPr>
        <w:t>ed</w:t>
      </w:r>
      <w:r w:rsidRPr="00613E5A">
        <w:rPr>
          <w:rFonts w:hint="eastAsia"/>
          <w:bCs/>
        </w:rPr>
        <w:t>á</w:t>
      </w:r>
      <w:r w:rsidRPr="00613E5A">
        <w:rPr>
          <w:bCs/>
        </w:rPr>
        <w:t>v</w:t>
      </w:r>
      <w:r w:rsidRPr="00613E5A">
        <w:rPr>
          <w:rFonts w:hint="eastAsia"/>
          <w:bCs/>
        </w:rPr>
        <w:t>á</w:t>
      </w:r>
      <w:r w:rsidRPr="00613E5A">
        <w:rPr>
          <w:bCs/>
        </w:rPr>
        <w:t>n</w:t>
      </w:r>
      <w:r w:rsidRPr="00613E5A">
        <w:rPr>
          <w:rFonts w:hint="eastAsia"/>
          <w:bCs/>
        </w:rPr>
        <w:t>í</w:t>
      </w:r>
      <w:r w:rsidRPr="00613E5A">
        <w:rPr>
          <w:bCs/>
        </w:rPr>
        <w:t xml:space="preserve"> mezi </w:t>
      </w:r>
      <w:r w:rsidRPr="00613E5A">
        <w:rPr>
          <w:rFonts w:hint="eastAsia"/>
          <w:bCs/>
        </w:rPr>
        <w:t>č</w:t>
      </w:r>
      <w:r w:rsidRPr="00613E5A">
        <w:rPr>
          <w:bCs/>
        </w:rPr>
        <w:t>lensk</w:t>
      </w:r>
      <w:r w:rsidRPr="00613E5A">
        <w:rPr>
          <w:rFonts w:hint="eastAsia"/>
          <w:bCs/>
        </w:rPr>
        <w:t>ý</w:t>
      </w:r>
      <w:r w:rsidRPr="00613E5A">
        <w:rPr>
          <w:bCs/>
        </w:rPr>
        <w:t>mi st</w:t>
      </w:r>
      <w:r w:rsidRPr="00613E5A">
        <w:rPr>
          <w:rFonts w:hint="eastAsia"/>
          <w:bCs/>
        </w:rPr>
        <w:t>á</w:t>
      </w:r>
      <w:r w:rsidRPr="00613E5A">
        <w:rPr>
          <w:bCs/>
        </w:rPr>
        <w:t>ty</w:t>
      </w:r>
      <w:r>
        <w:rPr>
          <w:bCs/>
        </w:rPr>
        <w:t xml:space="preserve">. Úř. věst. L 190/1, 18. července 2002, 34 a násl. </w:t>
      </w:r>
    </w:p>
  </w:footnote>
  <w:footnote w:id="92">
    <w:p w:rsidR="002E040B" w:rsidRPr="003E7846" w:rsidRDefault="002E040B" w:rsidP="003E7846">
      <w:pPr>
        <w:pStyle w:val="PODCAROU"/>
      </w:pPr>
      <w:r>
        <w:rPr>
          <w:rStyle w:val="Funotenzeichen"/>
        </w:rPr>
        <w:footnoteRef/>
      </w:r>
      <w:r>
        <w:t xml:space="preserve"> Evropský soudní dvůr: Rozsudek ze dne 22. prosince 2010 a stanovisko GA Eleanor Sharpston ze dne 14. října 2010, </w:t>
      </w:r>
      <w:r w:rsidRPr="003E7846">
        <w:rPr>
          <w:i/>
        </w:rPr>
        <w:t>Ilonka Sayn-Wittgenstein</w:t>
      </w:r>
      <w:r>
        <w:t xml:space="preserve">, C-208/10. </w:t>
      </w:r>
    </w:p>
  </w:footnote>
  <w:footnote w:id="93">
    <w:p w:rsidR="002E040B" w:rsidRPr="003E7846" w:rsidRDefault="002E040B" w:rsidP="003E7846">
      <w:pPr>
        <w:pStyle w:val="PODCAROU"/>
      </w:pPr>
      <w:r>
        <w:rPr>
          <w:rStyle w:val="Funotenzeichen"/>
        </w:rPr>
        <w:footnoteRef/>
      </w:r>
      <w:r>
        <w:t xml:space="preserve"> Evropský soudní dvůr: Stanovisko GA Juliane Kokott ze dne 25. listopadu 2010, </w:t>
      </w:r>
      <w:r w:rsidRPr="00DC4AD4">
        <w:rPr>
          <w:bCs/>
          <w:i/>
        </w:rPr>
        <w:t xml:space="preserve">Shirley McCarthy v Secretary of </w:t>
      </w:r>
      <w:proofErr w:type="gramStart"/>
      <w:r w:rsidRPr="00DC4AD4">
        <w:rPr>
          <w:bCs/>
          <w:i/>
        </w:rPr>
        <w:t>State</w:t>
      </w:r>
      <w:proofErr w:type="gramEnd"/>
      <w:r w:rsidRPr="00DC4AD4">
        <w:rPr>
          <w:bCs/>
          <w:i/>
        </w:rPr>
        <w:t xml:space="preserve"> for the Home Department</w:t>
      </w:r>
      <w:r w:rsidRPr="00DC4AD4">
        <w:rPr>
          <w:bCs/>
        </w:rPr>
        <w:t xml:space="preserve">, C-434/09. </w:t>
      </w:r>
    </w:p>
  </w:footnote>
  <w:footnote w:id="94">
    <w:p w:rsidR="002E040B" w:rsidRPr="003D2919" w:rsidRDefault="002E040B" w:rsidP="003D2919">
      <w:pPr>
        <w:pStyle w:val="PODCAROU"/>
      </w:pPr>
      <w:r>
        <w:rPr>
          <w:rStyle w:val="Funotenzeichen"/>
        </w:rPr>
        <w:footnoteRef/>
      </w:r>
      <w:r>
        <w:t xml:space="preserve"> Evropský soudní dvůr: Rozsudek ze dne 23. listopadu 2011 a stanovisko GA Yves Bot ze dne 8. června 2010, </w:t>
      </w:r>
      <w:r w:rsidRPr="003D2919">
        <w:rPr>
          <w:bCs/>
          <w:i/>
        </w:rPr>
        <w:t>Land Baden-Württemberg</w:t>
      </w:r>
      <w:r w:rsidRPr="003D2919">
        <w:rPr>
          <w:i/>
        </w:rPr>
        <w:t xml:space="preserve"> v </w:t>
      </w:r>
      <w:r w:rsidRPr="003D2919">
        <w:rPr>
          <w:bCs/>
          <w:i/>
        </w:rPr>
        <w:t>Panagiotis Tsakouridis</w:t>
      </w:r>
      <w:r>
        <w:rPr>
          <w:bCs/>
        </w:rPr>
        <w:t xml:space="preserve">, C-145/09. </w:t>
      </w:r>
    </w:p>
  </w:footnote>
  <w:footnote w:id="95">
    <w:p w:rsidR="002E040B" w:rsidRPr="004C3417" w:rsidRDefault="002E040B" w:rsidP="004C3417">
      <w:pPr>
        <w:pStyle w:val="PODCAROU"/>
      </w:pPr>
      <w:r>
        <w:rPr>
          <w:rStyle w:val="Funotenzeichen"/>
        </w:rPr>
        <w:footnoteRef/>
      </w:r>
      <w:r>
        <w:t xml:space="preserve"> Evropský soudní dvůr: Rozsudek ze dne 7. října 2010, </w:t>
      </w:r>
      <w:r w:rsidRPr="004C3417">
        <w:rPr>
          <w:bCs/>
          <w:i/>
          <w:lang w:val="en-US"/>
        </w:rPr>
        <w:t>Secretary of State for Work and Pensions v Taous Lassal</w:t>
      </w:r>
      <w:r>
        <w:rPr>
          <w:bCs/>
          <w:lang w:val="en-US"/>
        </w:rPr>
        <w:t xml:space="preserve">, C-162/09. </w:t>
      </w:r>
    </w:p>
  </w:footnote>
  <w:footnote w:id="96">
    <w:p w:rsidR="002E040B" w:rsidRPr="006A3FD5" w:rsidRDefault="002E040B" w:rsidP="006A3FD5">
      <w:pPr>
        <w:pStyle w:val="PODCAROU"/>
      </w:pPr>
      <w:r>
        <w:rPr>
          <w:rStyle w:val="Funotenzeichen"/>
        </w:rPr>
        <w:footnoteRef/>
      </w:r>
      <w:r>
        <w:t xml:space="preserve"> Evropský soudní dvůr: Stanovisko GA Eleanor Sharpston ze dne 30. září 2009, </w:t>
      </w:r>
      <w:r w:rsidRPr="006A3FD5">
        <w:rPr>
          <w:bCs/>
          <w:i/>
        </w:rPr>
        <w:t>Gerardo Ruiz Zambrano v</w:t>
      </w:r>
      <w:r>
        <w:rPr>
          <w:bCs/>
          <w:i/>
        </w:rPr>
        <w:t> </w:t>
      </w:r>
      <w:r w:rsidRPr="006A3FD5">
        <w:rPr>
          <w:bCs/>
          <w:i/>
        </w:rPr>
        <w:t>Office national de l’emploi (ONEM)</w:t>
      </w:r>
      <w:r>
        <w:rPr>
          <w:bCs/>
        </w:rPr>
        <w:t xml:space="preserve">, C-34/09. </w:t>
      </w:r>
    </w:p>
  </w:footnote>
  <w:footnote w:id="97">
    <w:p w:rsidR="002E040B" w:rsidRPr="007F34AE" w:rsidRDefault="002E040B" w:rsidP="007F34AE">
      <w:pPr>
        <w:pStyle w:val="PODCAROU"/>
        <w:rPr>
          <w:lang w:val="fr-FR"/>
        </w:rPr>
      </w:pPr>
      <w:r>
        <w:rPr>
          <w:rStyle w:val="Funotenzeichen"/>
        </w:rPr>
        <w:footnoteRef/>
      </w:r>
      <w:r>
        <w:t xml:space="preserve"> </w:t>
      </w:r>
      <w:r w:rsidRPr="007F34AE">
        <w:rPr>
          <w:i/>
        </w:rPr>
        <w:t>Oficiální webový portál ESD, vyhledávací formulář judikatury</w:t>
      </w:r>
      <w:r w:rsidRPr="007F34AE">
        <w:t xml:space="preserve"> [online]. </w:t>
      </w:r>
      <w:r>
        <w:rPr>
          <w:lang w:val="fr-FR"/>
        </w:rPr>
        <w:t>20. února 2011 [cit. 20</w:t>
      </w:r>
      <w:r w:rsidRPr="007F34AE">
        <w:rPr>
          <w:lang w:val="fr-FR"/>
        </w:rPr>
        <w:t>. února 2011]. Dostupné na</w:t>
      </w:r>
      <w:r w:rsidRPr="007F34AE">
        <w:t xml:space="preserve"> </w:t>
      </w:r>
      <w:hyperlink r:id="rId9" w:history="1">
        <w:r w:rsidRPr="00B77969">
          <w:rPr>
            <w:rStyle w:val="Hyperlink"/>
            <w:lang w:val="fr-FR"/>
          </w:rPr>
          <w:t>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PRIN&amp;mots=&amp;resmax=300&amp;Submit=Submit</w:t>
        </w:r>
      </w:hyperlink>
      <w:r>
        <w:rPr>
          <w:lang w:val="fr-FR"/>
        </w:rPr>
        <w:t>.</w:t>
      </w:r>
    </w:p>
  </w:footnote>
  <w:footnote w:id="98">
    <w:p w:rsidR="002E040B" w:rsidRPr="005F21C0" w:rsidRDefault="002E040B" w:rsidP="009F2393">
      <w:pPr>
        <w:pStyle w:val="PODCAROU"/>
        <w:rPr>
          <w:lang w:val="fr-FR"/>
        </w:rPr>
      </w:pPr>
      <w:r>
        <w:rPr>
          <w:rStyle w:val="Funotenzeichen"/>
        </w:rPr>
        <w:footnoteRef/>
      </w:r>
      <w:r>
        <w:t xml:space="preserve"> Evropský soudní dvůr: Rozsudek ze dne 22. prosince 2010 a stanovisko GA Paolo Mengozzi ze dne 2. září 2010, </w:t>
      </w:r>
      <w:r w:rsidRPr="00E451A7">
        <w:rPr>
          <w:bCs/>
          <w:i/>
          <w:lang w:val="fr-FR"/>
        </w:rPr>
        <w:t>DEB Deutsche Energiehandels- und Beratungsgesellschaft GmbH v SRN</w:t>
      </w:r>
      <w:r>
        <w:rPr>
          <w:bCs/>
          <w:lang w:val="fr-FR"/>
        </w:rPr>
        <w:t>, C-279/09.</w:t>
      </w:r>
    </w:p>
  </w:footnote>
  <w:footnote w:id="99">
    <w:p w:rsidR="002E040B" w:rsidRPr="00446C01" w:rsidRDefault="002E040B" w:rsidP="00446C01">
      <w:pPr>
        <w:pStyle w:val="PODCAROU"/>
        <w:rPr>
          <w:bCs/>
        </w:rPr>
      </w:pPr>
      <w:r>
        <w:rPr>
          <w:rStyle w:val="Funotenzeichen"/>
        </w:rPr>
        <w:footnoteRef/>
      </w:r>
      <w:r>
        <w:t xml:space="preserve"> Legislativa ES/EU: Směrnice </w:t>
      </w:r>
      <w:r w:rsidRPr="00446C01">
        <w:t xml:space="preserve">Rady 2003/8/ES ze dne 27. ledna 2003 </w:t>
      </w:r>
      <w:r w:rsidRPr="00446C01">
        <w:rPr>
          <w:bCs/>
        </w:rPr>
        <w:t>o zlepšení přístupu ke spravedlnosti v</w:t>
      </w:r>
      <w:r>
        <w:rPr>
          <w:bCs/>
        </w:rPr>
        <w:t> </w:t>
      </w:r>
      <w:r w:rsidRPr="00446C01">
        <w:rPr>
          <w:bCs/>
        </w:rPr>
        <w:t xml:space="preserve">přeshraničních sporech stanovením minimálních společných pravidel pro právní pomoc v těchto sporech. </w:t>
      </w:r>
      <w:r>
        <w:rPr>
          <w:bCs/>
        </w:rPr>
        <w:t xml:space="preserve">Úř. věst. L 26/41, 31. ledna 2003, s. 90 a násl. </w:t>
      </w:r>
    </w:p>
  </w:footnote>
  <w:footnote w:id="100">
    <w:p w:rsidR="002E040B" w:rsidRPr="00115B37" w:rsidRDefault="002E040B" w:rsidP="00115B37">
      <w:pPr>
        <w:pStyle w:val="PODCAROU"/>
      </w:pPr>
      <w:r>
        <w:rPr>
          <w:rStyle w:val="Funotenzeichen"/>
        </w:rPr>
        <w:footnoteRef/>
      </w:r>
      <w:r>
        <w:t xml:space="preserve"> Evropský soudní dvůr: Stanovisko GA Cruz Villalón ze dne 14. září 2010, </w:t>
      </w:r>
      <w:r w:rsidRPr="00115B37">
        <w:rPr>
          <w:i/>
        </w:rPr>
        <w:t>Komise v Belgie, Francie, Lucembursko, Rakousko, Německo a Řecko</w:t>
      </w:r>
      <w:r>
        <w:t xml:space="preserve">, spojené řízení C-47/09, C-50/08, C-51/08, C-53/08, C-54/08, C-61/08. </w:t>
      </w:r>
    </w:p>
  </w:footnote>
  <w:footnote w:id="101">
    <w:p w:rsidR="002E040B" w:rsidRPr="00861504" w:rsidRDefault="002E040B" w:rsidP="00861504">
      <w:pPr>
        <w:pStyle w:val="PODCAROU"/>
      </w:pPr>
      <w:r>
        <w:rPr>
          <w:rStyle w:val="Funotenzeichen"/>
        </w:rPr>
        <w:footnoteRef/>
      </w:r>
      <w:r>
        <w:t xml:space="preserve"> Evropský soudní dvůr: Rozsudek ze dne 1. června 2010, </w:t>
      </w:r>
      <w:r w:rsidRPr="00956F63">
        <w:rPr>
          <w:bCs/>
          <w:i/>
        </w:rPr>
        <w:t>José Manuel Blanco Pérez, María del Pilar Chao Gómez v Consejería de Salud y Servicios Sanitarios, Principado de Asturias</w:t>
      </w:r>
      <w:r>
        <w:rPr>
          <w:bCs/>
        </w:rPr>
        <w:t xml:space="preserve">, spojené řízení C-570/07 a C-571/07. </w:t>
      </w:r>
    </w:p>
  </w:footnote>
  <w:footnote w:id="102">
    <w:p w:rsidR="002E040B" w:rsidRPr="00F06612" w:rsidRDefault="002E040B" w:rsidP="00F06612">
      <w:pPr>
        <w:pStyle w:val="PODCAROU"/>
      </w:pPr>
      <w:r>
        <w:rPr>
          <w:rStyle w:val="Funotenzeichen"/>
        </w:rPr>
        <w:footnoteRef/>
      </w:r>
      <w:r>
        <w:t xml:space="preserve"> Evropský soudní dvůr: Stanovisko GA Paolo Mengozzi ze dne 2. prosince 2009, </w:t>
      </w:r>
      <w:r w:rsidRPr="00956F63">
        <w:rPr>
          <w:i/>
        </w:rPr>
        <w:t>Komise v Portugalsko</w:t>
      </w:r>
      <w:r>
        <w:t xml:space="preserve">, C-171/08. </w:t>
      </w:r>
    </w:p>
  </w:footnote>
  <w:footnote w:id="103">
    <w:p w:rsidR="002E040B" w:rsidRPr="00A74C65" w:rsidRDefault="002E040B" w:rsidP="00A74C65">
      <w:pPr>
        <w:pStyle w:val="PODCAROU"/>
      </w:pPr>
      <w:r>
        <w:rPr>
          <w:rStyle w:val="Funotenzeichen"/>
        </w:rPr>
        <w:footnoteRef/>
      </w:r>
      <w:r>
        <w:t xml:space="preserve"> Evropský soudní dvůr: Stanovisko GA Jána Mazáka ze dne 16. prosince 2010, </w:t>
      </w:r>
      <w:r w:rsidRPr="00A74C65">
        <w:rPr>
          <w:i/>
        </w:rPr>
        <w:t>Pfleiderer AG v Bundeskartellamt</w:t>
      </w:r>
      <w:r>
        <w:t>, C-360/09.</w:t>
      </w:r>
    </w:p>
  </w:footnote>
  <w:footnote w:id="104">
    <w:p w:rsidR="002E040B" w:rsidRPr="00A74C65" w:rsidRDefault="002E040B" w:rsidP="00A74C65">
      <w:pPr>
        <w:pStyle w:val="PODCAROU"/>
      </w:pPr>
      <w:r>
        <w:rPr>
          <w:rStyle w:val="Funotenzeichen"/>
        </w:rPr>
        <w:footnoteRef/>
      </w:r>
      <w:r>
        <w:t xml:space="preserve"> Evropský soudní dvůr: Rozsudek ze dne 1. července 2010, </w:t>
      </w:r>
      <w:r w:rsidRPr="00A74C65">
        <w:rPr>
          <w:i/>
        </w:rPr>
        <w:t>Knauf Gips v Komise</w:t>
      </w:r>
      <w:r>
        <w:t xml:space="preserve">, C-407/08. </w:t>
      </w:r>
    </w:p>
  </w:footnote>
  <w:footnote w:id="105">
    <w:p w:rsidR="002E040B" w:rsidRPr="00F009FE" w:rsidRDefault="002E040B" w:rsidP="00F009FE">
      <w:pPr>
        <w:pStyle w:val="PODCAROU"/>
      </w:pPr>
      <w:r>
        <w:rPr>
          <w:rStyle w:val="Funotenzeichen"/>
        </w:rPr>
        <w:footnoteRef/>
      </w:r>
      <w:r>
        <w:t xml:space="preserve"> Evropský soudní dvůr: Rozsudek ze dne 14. září 2010 a stanovisko GA Juliane Kokott ze dne 29. dubna 2010, </w:t>
      </w:r>
      <w:r w:rsidRPr="00F009FE">
        <w:rPr>
          <w:i/>
        </w:rPr>
        <w:t>Akzo Nobel Chemicals and Akcros Chemicals v Komise</w:t>
      </w:r>
      <w:r>
        <w:t xml:space="preserve">, C-550/07. </w:t>
      </w:r>
    </w:p>
  </w:footnote>
  <w:footnote w:id="106">
    <w:p w:rsidR="002E040B" w:rsidRPr="00E44FB6" w:rsidRDefault="002E040B" w:rsidP="00E44FB6">
      <w:pPr>
        <w:pStyle w:val="PODCAROU"/>
      </w:pPr>
      <w:r>
        <w:rPr>
          <w:rStyle w:val="Funotenzeichen"/>
        </w:rPr>
        <w:footnoteRef/>
      </w:r>
      <w:r w:rsidRPr="00E44FB6">
        <w:t xml:space="preserve"> </w:t>
      </w:r>
      <w:r w:rsidRPr="00F9312C">
        <w:t xml:space="preserve">Evropský soudní dvůr: Stanovisko GA Juliane Kokott ze dne 29. dubna 2010, </w:t>
      </w:r>
      <w:r w:rsidRPr="00F9312C">
        <w:rPr>
          <w:i/>
        </w:rPr>
        <w:t>Akzo Nobel Chemicals and Akcros Chemicals v Komise</w:t>
      </w:r>
      <w:r>
        <w:t xml:space="preserve">, C-550/07, bod 96. </w:t>
      </w:r>
    </w:p>
  </w:footnote>
  <w:footnote w:id="107">
    <w:p w:rsidR="002E040B" w:rsidRPr="00147E3C" w:rsidRDefault="002E040B" w:rsidP="00432865">
      <w:pPr>
        <w:pStyle w:val="PODCAROU"/>
      </w:pPr>
      <w:r>
        <w:rPr>
          <w:rStyle w:val="Funotenzeichen"/>
        </w:rPr>
        <w:footnoteRef/>
      </w:r>
      <w:r w:rsidRPr="000C6698">
        <w:t xml:space="preserve"> </w:t>
      </w:r>
      <w:r w:rsidRPr="00FE2329">
        <w:t xml:space="preserve">DÜRR, Anke. </w:t>
      </w:r>
      <w:r w:rsidRPr="00C802BE">
        <w:rPr>
          <w:i/>
          <w:lang w:val="de-DE"/>
        </w:rPr>
        <w:t>Wie viel passt in ein Leben?</w:t>
      </w:r>
      <w:r>
        <w:rPr>
          <w:lang w:val="de-DE"/>
        </w:rPr>
        <w:t xml:space="preserve"> [online]. </w:t>
      </w:r>
      <w:r>
        <w:t xml:space="preserve">Spiegel, 9. dubna 2006 [cit. 24. března 2011]. Dostupné na </w:t>
      </w:r>
      <w:hyperlink r:id="rId10" w:history="1">
        <w:r w:rsidRPr="00997BD0">
          <w:rPr>
            <w:rStyle w:val="Hyperlink"/>
          </w:rPr>
          <w:t>http://www.spiegel.de/kultur/literatur/0,1518,409854,00.html</w:t>
        </w:r>
      </w:hyperlink>
      <w:r>
        <w:t>.</w:t>
      </w:r>
    </w:p>
  </w:footnote>
  <w:footnote w:id="108">
    <w:p w:rsidR="002E040B" w:rsidRPr="00FE2329" w:rsidRDefault="002E040B" w:rsidP="00FE2329">
      <w:pPr>
        <w:pStyle w:val="PODCAROU"/>
      </w:pPr>
      <w:r>
        <w:rPr>
          <w:rStyle w:val="Funotenzeichen"/>
        </w:rPr>
        <w:footnoteRef/>
      </w:r>
      <w:r>
        <w:t xml:space="preserve"> MORIJN, John. </w:t>
      </w:r>
      <w:r w:rsidRPr="00FE2329">
        <w:rPr>
          <w:i/>
        </w:rPr>
        <w:t>Judicial Reference to the EU Fundamental Rights Charter – First experience and possible prospects</w:t>
      </w:r>
      <w:r>
        <w:t xml:space="preserve"> [online]. 27. března 2011 [cit. 27. března 2011]. Dostupné na &lt;</w:t>
      </w:r>
      <w:hyperlink r:id="rId11" w:history="1">
        <w:r w:rsidRPr="00BE32CB">
          <w:rPr>
            <w:rStyle w:val="Hyperlink"/>
          </w:rPr>
          <w:t>http://www.fd.uc.pt/hrc/working_papers/john_morjin.pdf</w:t>
        </w:r>
      </w:hyperlink>
      <w:r>
        <w:t>&gt;.</w:t>
      </w:r>
    </w:p>
  </w:footnote>
  <w:footnote w:id="109">
    <w:p w:rsidR="002E040B" w:rsidRPr="00953FFE" w:rsidRDefault="002E040B" w:rsidP="00953FFE">
      <w:pPr>
        <w:pStyle w:val="PODCAROU"/>
      </w:pPr>
      <w:r>
        <w:rPr>
          <w:rStyle w:val="Funotenzeichen"/>
        </w:rPr>
        <w:footnoteRef/>
      </w:r>
      <w:r>
        <w:t xml:space="preserve"> Evropský soudní dvůr: Rozsudek ze dne 15. července 2010 a stanovisko GA Verici Trstenjak ze dne 14. dubna 2010, </w:t>
      </w:r>
      <w:r w:rsidRPr="00953FFE">
        <w:rPr>
          <w:i/>
        </w:rPr>
        <w:t>Komise v Německo</w:t>
      </w:r>
      <w:r>
        <w:t xml:space="preserve">, C-271/08. </w:t>
      </w:r>
    </w:p>
  </w:footnote>
  <w:footnote w:id="110">
    <w:p w:rsidR="002E040B" w:rsidRPr="005733E2" w:rsidRDefault="002E040B" w:rsidP="005733E2">
      <w:pPr>
        <w:pStyle w:val="PODCAROU"/>
      </w:pPr>
      <w:r>
        <w:rPr>
          <w:rStyle w:val="Funotenzeichen"/>
        </w:rPr>
        <w:footnoteRef/>
      </w:r>
      <w:r>
        <w:t xml:space="preserve"> Evropský soudní dvůr: Rozsudek ze dne 8. září 2010 a stanovisko GA Yves Bot ze dne 26. ledna 2010, </w:t>
      </w:r>
      <w:r w:rsidRPr="00B13407">
        <w:rPr>
          <w:bCs/>
          <w:i/>
        </w:rPr>
        <w:t>Winner Wetten GmbH</w:t>
      </w:r>
      <w:r w:rsidRPr="00B13407">
        <w:rPr>
          <w:i/>
        </w:rPr>
        <w:t xml:space="preserve"> v </w:t>
      </w:r>
      <w:r w:rsidRPr="00B13407">
        <w:rPr>
          <w:bCs/>
          <w:i/>
        </w:rPr>
        <w:t>Bürgermeisterin der Stadt Bergheim</w:t>
      </w:r>
      <w:r>
        <w:rPr>
          <w:bCs/>
        </w:rPr>
        <w:t xml:space="preserve">, C-409/06. </w:t>
      </w:r>
    </w:p>
  </w:footnote>
  <w:footnote w:id="111">
    <w:p w:rsidR="002E040B" w:rsidRPr="000240BC" w:rsidRDefault="002E040B" w:rsidP="000240BC">
      <w:pPr>
        <w:pStyle w:val="PODCAROU"/>
      </w:pPr>
      <w:r>
        <w:rPr>
          <w:rStyle w:val="Funotenzeichen"/>
        </w:rPr>
        <w:footnoteRef/>
      </w:r>
      <w:r>
        <w:t xml:space="preserve"> Evropský soudní dvůr: Stanovisko GA Pedra Cruz Villalóna ze dne 5. května 2010, </w:t>
      </w:r>
      <w:r w:rsidRPr="000240BC">
        <w:rPr>
          <w:i/>
        </w:rPr>
        <w:t>Santos Palhota a další</w:t>
      </w:r>
      <w:r>
        <w:t xml:space="preserve">, C-515/08. </w:t>
      </w:r>
    </w:p>
  </w:footnote>
  <w:footnote w:id="112">
    <w:p w:rsidR="002E040B" w:rsidRPr="00F44527" w:rsidRDefault="002E040B" w:rsidP="00F44527">
      <w:pPr>
        <w:pStyle w:val="PODCAROU"/>
      </w:pPr>
      <w:r>
        <w:rPr>
          <w:rStyle w:val="Funotenzeichen"/>
        </w:rPr>
        <w:footnoteRef/>
      </w:r>
      <w:r>
        <w:t xml:space="preserve"> Evropský soudní dvůr: Stanovisko GA Eleanor Sharspton ze dne 22. dubna 2010, </w:t>
      </w:r>
      <w:r w:rsidRPr="00F44527">
        <w:rPr>
          <w:i/>
        </w:rPr>
        <w:t>Komise v </w:t>
      </w:r>
      <w:proofErr w:type="gramStart"/>
      <w:r w:rsidRPr="00F44527">
        <w:rPr>
          <w:i/>
        </w:rPr>
        <w:t>Litva</w:t>
      </w:r>
      <w:proofErr w:type="gramEnd"/>
      <w:r>
        <w:t xml:space="preserve">, C-350/08. </w:t>
      </w:r>
    </w:p>
  </w:footnote>
  <w:footnote w:id="113">
    <w:p w:rsidR="002E040B" w:rsidRPr="00D81177" w:rsidRDefault="002E040B" w:rsidP="00D81177">
      <w:pPr>
        <w:pStyle w:val="PODCAROU"/>
      </w:pPr>
      <w:r>
        <w:rPr>
          <w:rStyle w:val="Funotenzeichen"/>
        </w:rPr>
        <w:footnoteRef/>
      </w:r>
      <w:r>
        <w:t xml:space="preserve"> Evropský soudní dvůr: Stanovisko GA Eleanor Sharpston ze dne 3. února 2011, </w:t>
      </w:r>
      <w:r w:rsidRPr="00D81177">
        <w:rPr>
          <w:bCs/>
          <w:i/>
        </w:rPr>
        <w:t>Budějovický Budvar, národní podnik v Anheuser-Busch, Inc</w:t>
      </w:r>
      <w:r w:rsidRPr="00D81177">
        <w:rPr>
          <w:bCs/>
        </w:rPr>
        <w:t>.</w:t>
      </w:r>
      <w:r>
        <w:rPr>
          <w:bCs/>
        </w:rPr>
        <w:t xml:space="preserve">, C-482/09. </w:t>
      </w:r>
    </w:p>
  </w:footnote>
  <w:footnote w:id="114">
    <w:p w:rsidR="002E040B" w:rsidRPr="00C82B40" w:rsidRDefault="002E040B" w:rsidP="00C82B40">
      <w:pPr>
        <w:pStyle w:val="PODCAROU"/>
      </w:pPr>
      <w:r>
        <w:rPr>
          <w:rStyle w:val="Funotenzeichen"/>
        </w:rPr>
        <w:footnoteRef/>
      </w:r>
      <w:r>
        <w:t xml:space="preserve"> Evropský soudní dvůr: Rozsudek ze dne 9. listopadu 2010 a stanovisko GA Eleanor Sharpston ze dne 17. června 2010,</w:t>
      </w:r>
      <w:r>
        <w:rPr>
          <w:bCs/>
        </w:rPr>
        <w:t xml:space="preserve"> </w:t>
      </w:r>
      <w:r w:rsidRPr="00655067">
        <w:rPr>
          <w:bCs/>
          <w:i/>
        </w:rPr>
        <w:t>Volker und Markus Schecke GbR</w:t>
      </w:r>
      <w:r w:rsidRPr="00655067">
        <w:rPr>
          <w:i/>
        </w:rPr>
        <w:t xml:space="preserve">, </w:t>
      </w:r>
      <w:r w:rsidRPr="00655067">
        <w:rPr>
          <w:bCs/>
          <w:i/>
        </w:rPr>
        <w:t xml:space="preserve">Hartmut Eifert </w:t>
      </w:r>
      <w:r w:rsidRPr="00655067">
        <w:rPr>
          <w:i/>
        </w:rPr>
        <w:t xml:space="preserve">v </w:t>
      </w:r>
      <w:r w:rsidRPr="00655067">
        <w:rPr>
          <w:bCs/>
          <w:i/>
        </w:rPr>
        <w:t>Land Hessen</w:t>
      </w:r>
      <w:r>
        <w:rPr>
          <w:bCs/>
        </w:rPr>
        <w:t xml:space="preserve">, spojené řízení C-92/09 a C-93/09. </w:t>
      </w:r>
    </w:p>
  </w:footnote>
  <w:footnote w:id="115">
    <w:p w:rsidR="002E040B" w:rsidRPr="00FF67B7" w:rsidRDefault="002E040B" w:rsidP="00FF67B7">
      <w:pPr>
        <w:pStyle w:val="PODCAROU"/>
      </w:pPr>
      <w:r>
        <w:rPr>
          <w:rStyle w:val="Funotenzeichen"/>
        </w:rPr>
        <w:footnoteRef/>
      </w:r>
      <w:r>
        <w:t xml:space="preserve"> Legislativa ES/EU: Nařízení Rady č. 1290/2005 ze dne 21. června 2005 o financování společné zemědělské politiky. Úř. věst. L 209/1, 11. srpna 2005, s. 1 a násl. </w:t>
      </w:r>
    </w:p>
  </w:footnote>
  <w:footnote w:id="116">
    <w:p w:rsidR="002E040B" w:rsidRPr="003C5B8F" w:rsidRDefault="002E040B" w:rsidP="003C5B8F">
      <w:pPr>
        <w:pStyle w:val="PODCAROU"/>
        <w:rPr>
          <w:bCs/>
        </w:rPr>
      </w:pPr>
      <w:r>
        <w:rPr>
          <w:rStyle w:val="Funotenzeichen"/>
        </w:rPr>
        <w:footnoteRef/>
      </w:r>
      <w:r>
        <w:t xml:space="preserve"> Legislativa ES/EU: Nařízení Komise č. 259/2008 ze dne 18. března 2008, </w:t>
      </w:r>
      <w:r w:rsidRPr="003C5B8F">
        <w:t xml:space="preserve">kterým se </w:t>
      </w:r>
      <w:r w:rsidRPr="003C5B8F">
        <w:rPr>
          <w:bCs/>
        </w:rPr>
        <w:t>stanoví prováděcí pravidla k nařízení Rady (ES) č. 1290/2005, pokud jde o zveřejňování informací o příjemcích finančních prostředků z Evropského zemědělského záručního fondu (EZZF) a Evropského zemědělského fondu pro rozvoj venkova (EZFRV)</w:t>
      </w:r>
      <w:r>
        <w:rPr>
          <w:bCs/>
        </w:rPr>
        <w:t xml:space="preserve">. Úř. věst. L 76/28, 19. března 2008, s. 28 a násl. </w:t>
      </w:r>
    </w:p>
  </w:footnote>
  <w:footnote w:id="117">
    <w:p w:rsidR="002E040B" w:rsidRPr="00DB0E9D" w:rsidRDefault="002E040B" w:rsidP="00DB0E9D">
      <w:pPr>
        <w:pStyle w:val="PODCAROU"/>
      </w:pPr>
      <w:r>
        <w:rPr>
          <w:rStyle w:val="Funotenzeichen"/>
        </w:rPr>
        <w:footnoteRef/>
      </w:r>
      <w:r>
        <w:t xml:space="preserve"> Evropský soudní dvůr: S</w:t>
      </w:r>
      <w:r w:rsidRPr="006A6A03">
        <w:t>tanovisko GA Eleanor Sharpston ze dne 17. června 2010,</w:t>
      </w:r>
      <w:r w:rsidRPr="006A6A03">
        <w:rPr>
          <w:bCs/>
        </w:rPr>
        <w:t xml:space="preserve"> </w:t>
      </w:r>
      <w:r w:rsidRPr="006A6A03">
        <w:rPr>
          <w:bCs/>
          <w:i/>
        </w:rPr>
        <w:t>Volker und Markus Schecke GbR</w:t>
      </w:r>
      <w:r w:rsidRPr="006A6A03">
        <w:rPr>
          <w:i/>
        </w:rPr>
        <w:t xml:space="preserve">, </w:t>
      </w:r>
      <w:r w:rsidRPr="006A6A03">
        <w:rPr>
          <w:bCs/>
          <w:i/>
        </w:rPr>
        <w:t xml:space="preserve">Hartmut Eifert </w:t>
      </w:r>
      <w:r w:rsidRPr="006A6A03">
        <w:rPr>
          <w:i/>
        </w:rPr>
        <w:t xml:space="preserve">v </w:t>
      </w:r>
      <w:r w:rsidRPr="006A6A03">
        <w:rPr>
          <w:bCs/>
          <w:i/>
        </w:rPr>
        <w:t>Land Hessen</w:t>
      </w:r>
      <w:r w:rsidRPr="006A6A03">
        <w:rPr>
          <w:bCs/>
        </w:rPr>
        <w:t xml:space="preserve">, spojené řízení C-92/09 </w:t>
      </w:r>
      <w:r>
        <w:rPr>
          <w:bCs/>
        </w:rPr>
        <w:t xml:space="preserve">a C-93/09, bod 66. </w:t>
      </w:r>
    </w:p>
  </w:footnote>
  <w:footnote w:id="118">
    <w:p w:rsidR="002E040B" w:rsidRPr="0060777B" w:rsidRDefault="002E040B" w:rsidP="0060777B">
      <w:pPr>
        <w:pStyle w:val="PODCAROU"/>
      </w:pPr>
      <w:r>
        <w:rPr>
          <w:rStyle w:val="Funotenzeichen"/>
        </w:rPr>
        <w:footnoteRef/>
      </w:r>
      <w:r>
        <w:t xml:space="preserve"> Evropský soudní dvůr: S</w:t>
      </w:r>
      <w:r w:rsidRPr="006A6A03">
        <w:t>tanovisko GA Eleanor Sharpston ze dne 17. června 2010,</w:t>
      </w:r>
      <w:r w:rsidRPr="006A6A03">
        <w:rPr>
          <w:bCs/>
        </w:rPr>
        <w:t xml:space="preserve"> </w:t>
      </w:r>
      <w:r w:rsidRPr="006A6A03">
        <w:rPr>
          <w:bCs/>
          <w:i/>
        </w:rPr>
        <w:t>Volker und Markus Schecke GbR</w:t>
      </w:r>
      <w:r w:rsidRPr="006A6A03">
        <w:rPr>
          <w:i/>
        </w:rPr>
        <w:t xml:space="preserve">, </w:t>
      </w:r>
      <w:r w:rsidRPr="006A6A03">
        <w:rPr>
          <w:bCs/>
          <w:i/>
        </w:rPr>
        <w:t xml:space="preserve">Hartmut Eifert </w:t>
      </w:r>
      <w:r w:rsidRPr="006A6A03">
        <w:rPr>
          <w:i/>
        </w:rPr>
        <w:t xml:space="preserve">v </w:t>
      </w:r>
      <w:r w:rsidRPr="006A6A03">
        <w:rPr>
          <w:bCs/>
          <w:i/>
        </w:rPr>
        <w:t>Land Hessen</w:t>
      </w:r>
      <w:r w:rsidRPr="006A6A03">
        <w:rPr>
          <w:bCs/>
        </w:rPr>
        <w:t xml:space="preserve">, spojené řízení C-92/09 </w:t>
      </w:r>
      <w:r>
        <w:rPr>
          <w:bCs/>
        </w:rPr>
        <w:t xml:space="preserve">a C-93/09, bod 68. </w:t>
      </w:r>
    </w:p>
  </w:footnote>
  <w:footnote w:id="119">
    <w:p w:rsidR="002E040B" w:rsidRPr="00F1114D" w:rsidRDefault="002E040B" w:rsidP="00F1114D">
      <w:pPr>
        <w:pStyle w:val="PODCAROU"/>
      </w:pPr>
      <w:r>
        <w:rPr>
          <w:rStyle w:val="Funotenzeichen"/>
        </w:rPr>
        <w:footnoteRef/>
      </w:r>
      <w:r>
        <w:t xml:space="preserve"> Evropský soudní dvůr: S</w:t>
      </w:r>
      <w:r w:rsidRPr="006A6A03">
        <w:t>tanovisko GA Eleanor Sharpston ze dne 17. června 2010,</w:t>
      </w:r>
      <w:r w:rsidRPr="006A6A03">
        <w:rPr>
          <w:bCs/>
        </w:rPr>
        <w:t xml:space="preserve"> </w:t>
      </w:r>
      <w:r w:rsidRPr="006A6A03">
        <w:rPr>
          <w:bCs/>
          <w:i/>
        </w:rPr>
        <w:t>Volker und Markus Schecke GbR</w:t>
      </w:r>
      <w:r w:rsidRPr="006A6A03">
        <w:rPr>
          <w:i/>
        </w:rPr>
        <w:t xml:space="preserve">, </w:t>
      </w:r>
      <w:r w:rsidRPr="006A6A03">
        <w:rPr>
          <w:bCs/>
          <w:i/>
        </w:rPr>
        <w:t xml:space="preserve">Hartmut Eifert </w:t>
      </w:r>
      <w:r w:rsidRPr="006A6A03">
        <w:rPr>
          <w:i/>
        </w:rPr>
        <w:t xml:space="preserve">v </w:t>
      </w:r>
      <w:r w:rsidRPr="006A6A03">
        <w:rPr>
          <w:bCs/>
          <w:i/>
        </w:rPr>
        <w:t>Land Hessen</w:t>
      </w:r>
      <w:r w:rsidRPr="006A6A03">
        <w:rPr>
          <w:bCs/>
        </w:rPr>
        <w:t xml:space="preserve">, spojené řízení C-92/09 </w:t>
      </w:r>
      <w:r>
        <w:rPr>
          <w:bCs/>
        </w:rPr>
        <w:t xml:space="preserve">a C-93/09, </w:t>
      </w:r>
      <w:r>
        <w:t>bod 93.</w:t>
      </w:r>
    </w:p>
  </w:footnote>
  <w:footnote w:id="120">
    <w:p w:rsidR="002E040B" w:rsidRPr="00F1114D" w:rsidRDefault="002E040B" w:rsidP="00F1114D">
      <w:pPr>
        <w:pStyle w:val="PODCAROU"/>
      </w:pPr>
      <w:r>
        <w:rPr>
          <w:rStyle w:val="Funotenzeichen"/>
        </w:rPr>
        <w:footnoteRef/>
      </w:r>
      <w:r>
        <w:t xml:space="preserve"> Evropský soudní dvůr: S</w:t>
      </w:r>
      <w:r w:rsidRPr="006A6A03">
        <w:t>tanovisko GA Eleanor Sharpston ze dne 17. června 2010,</w:t>
      </w:r>
      <w:r w:rsidRPr="006A6A03">
        <w:rPr>
          <w:bCs/>
        </w:rPr>
        <w:t xml:space="preserve"> </w:t>
      </w:r>
      <w:r w:rsidRPr="006A6A03">
        <w:rPr>
          <w:bCs/>
          <w:i/>
        </w:rPr>
        <w:t>Volker und Markus Schecke GbR</w:t>
      </w:r>
      <w:r w:rsidRPr="006A6A03">
        <w:rPr>
          <w:i/>
        </w:rPr>
        <w:t xml:space="preserve">, </w:t>
      </w:r>
      <w:r w:rsidRPr="006A6A03">
        <w:rPr>
          <w:bCs/>
          <w:i/>
        </w:rPr>
        <w:t xml:space="preserve">Hartmut Eifert </w:t>
      </w:r>
      <w:r w:rsidRPr="006A6A03">
        <w:rPr>
          <w:i/>
        </w:rPr>
        <w:t xml:space="preserve">v </w:t>
      </w:r>
      <w:r w:rsidRPr="006A6A03">
        <w:rPr>
          <w:bCs/>
          <w:i/>
        </w:rPr>
        <w:t>Land Hessen</w:t>
      </w:r>
      <w:r w:rsidRPr="006A6A03">
        <w:rPr>
          <w:bCs/>
        </w:rPr>
        <w:t xml:space="preserve">, spojené řízení C-92/09 </w:t>
      </w:r>
      <w:r>
        <w:rPr>
          <w:bCs/>
        </w:rPr>
        <w:t xml:space="preserve">a C-93/09, </w:t>
      </w:r>
      <w:r>
        <w:t xml:space="preserve">bod 95. </w:t>
      </w:r>
    </w:p>
  </w:footnote>
  <w:footnote w:id="121">
    <w:p w:rsidR="002E040B" w:rsidRPr="00F64824" w:rsidRDefault="002E040B" w:rsidP="00F64824">
      <w:pPr>
        <w:pStyle w:val="PODCAROU"/>
      </w:pPr>
      <w:r>
        <w:rPr>
          <w:rStyle w:val="Funotenzeichen"/>
        </w:rPr>
        <w:footnoteRef/>
      </w:r>
      <w:r>
        <w:t xml:space="preserve"> Evropský soudní dvůr: Stanovisko GA Paolo Mengozzi ze dne 17. května 2010, </w:t>
      </w:r>
      <w:r w:rsidRPr="00390D27">
        <w:rPr>
          <w:bCs/>
          <w:i/>
          <w:lang w:val="de-DE"/>
        </w:rPr>
        <w:t xml:space="preserve">Der Generalbundesanwalt beim Bundesgerichtshof </w:t>
      </w:r>
      <w:r>
        <w:rPr>
          <w:bCs/>
          <w:i/>
        </w:rPr>
        <w:t>v</w:t>
      </w:r>
      <w:r w:rsidRPr="00390D27">
        <w:rPr>
          <w:bCs/>
          <w:i/>
          <w:lang w:val="de-DE"/>
        </w:rPr>
        <w:t xml:space="preserve"> E, F</w:t>
      </w:r>
      <w:r>
        <w:rPr>
          <w:bCs/>
          <w:lang w:val="de-DE"/>
        </w:rPr>
        <w:t xml:space="preserve">, C-550/09. </w:t>
      </w:r>
    </w:p>
  </w:footnote>
  <w:footnote w:id="122">
    <w:p w:rsidR="002E040B" w:rsidRPr="00D24AE1" w:rsidRDefault="002E040B" w:rsidP="00D24AE1">
      <w:pPr>
        <w:pStyle w:val="PODCAROU"/>
      </w:pPr>
      <w:r>
        <w:rPr>
          <w:rStyle w:val="Funotenzeichen"/>
        </w:rPr>
        <w:footnoteRef/>
      </w:r>
      <w:r>
        <w:t xml:space="preserve"> Evropský soudní dvůr: Stanovisko GA Paolo Mengozzi ze dne 27. ledna 2011, </w:t>
      </w:r>
      <w:r w:rsidRPr="00F81678">
        <w:rPr>
          <w:bCs/>
          <w:i/>
        </w:rPr>
        <w:t xml:space="preserve">Evropaïki Dynamiki - Proigmena Systimata Tilepikoinonion Pliroforikis kai Tilematikis AE </w:t>
      </w:r>
      <w:r>
        <w:rPr>
          <w:bCs/>
          <w:i/>
        </w:rPr>
        <w:t>v</w:t>
      </w:r>
      <w:r w:rsidRPr="00F81678">
        <w:rPr>
          <w:bCs/>
          <w:i/>
        </w:rPr>
        <w:t xml:space="preserve"> European Central Bank</w:t>
      </w:r>
      <w:r>
        <w:rPr>
          <w:bCs/>
        </w:rPr>
        <w:t xml:space="preserve">, C-401/09. </w:t>
      </w:r>
    </w:p>
  </w:footnote>
  <w:footnote w:id="123">
    <w:p w:rsidR="002E040B" w:rsidRPr="00846055" w:rsidRDefault="002E040B" w:rsidP="00846055">
      <w:pPr>
        <w:pStyle w:val="PODCAROU"/>
      </w:pPr>
      <w:r>
        <w:rPr>
          <w:rStyle w:val="Funotenzeichen"/>
        </w:rPr>
        <w:footnoteRef/>
      </w:r>
      <w:r>
        <w:t xml:space="preserve"> Evropský soudní dvůr: Stanovisko GA Verici Trstenjak ze dne 2. června 2010, </w:t>
      </w:r>
      <w:r w:rsidRPr="00846055">
        <w:rPr>
          <w:bCs/>
          <w:i/>
        </w:rPr>
        <w:t xml:space="preserve">Idrima Tipou A.E. </w:t>
      </w:r>
      <w:r>
        <w:rPr>
          <w:bCs/>
          <w:i/>
        </w:rPr>
        <w:t xml:space="preserve">v </w:t>
      </w:r>
      <w:r w:rsidRPr="00846055">
        <w:rPr>
          <w:bCs/>
          <w:i/>
        </w:rPr>
        <w:t>Ipourgos Tipou Kai Meson Mazikis Enimerosis</w:t>
      </w:r>
      <w:r>
        <w:rPr>
          <w:bCs/>
        </w:rPr>
        <w:t xml:space="preserve">, C-81/09. </w:t>
      </w:r>
    </w:p>
  </w:footnote>
  <w:footnote w:id="124">
    <w:p w:rsidR="002E040B" w:rsidRPr="00EA3684" w:rsidRDefault="002E040B" w:rsidP="00EA3684">
      <w:pPr>
        <w:pStyle w:val="PODCAROU"/>
      </w:pPr>
      <w:r>
        <w:rPr>
          <w:rStyle w:val="Funotenzeichen"/>
        </w:rPr>
        <w:footnoteRef/>
      </w:r>
      <w:r>
        <w:t xml:space="preserve"> Evropský soudní dvůr: Stanovisko GA Pedra Cruz Villalóna ze dne 1. června 2010, </w:t>
      </w:r>
      <w:r w:rsidRPr="00EA3684">
        <w:rPr>
          <w:bCs/>
          <w:i/>
        </w:rPr>
        <w:t>Simvoulio Apokhetevseon Lefkosias v Anatheoritiki Arkhi Prosforon</w:t>
      </w:r>
      <w:r>
        <w:rPr>
          <w:bCs/>
        </w:rPr>
        <w:t xml:space="preserve">, C-570/08. </w:t>
      </w:r>
    </w:p>
  </w:footnote>
  <w:footnote w:id="125">
    <w:p w:rsidR="002E040B" w:rsidRPr="002528E5" w:rsidRDefault="002E040B" w:rsidP="002528E5">
      <w:pPr>
        <w:pStyle w:val="PODCAROU"/>
      </w:pPr>
      <w:r>
        <w:rPr>
          <w:rStyle w:val="Funotenzeichen"/>
        </w:rPr>
        <w:footnoteRef/>
      </w:r>
      <w:r>
        <w:t xml:space="preserve"> Evropský soudní dvůr: Stanovisko GA Verici Trstenjak ze dne 2. června 2010, </w:t>
      </w:r>
      <w:r w:rsidRPr="00846055">
        <w:rPr>
          <w:bCs/>
          <w:i/>
        </w:rPr>
        <w:t xml:space="preserve">Idrima Tipou A.E. </w:t>
      </w:r>
      <w:r>
        <w:rPr>
          <w:bCs/>
          <w:i/>
        </w:rPr>
        <w:t xml:space="preserve">v </w:t>
      </w:r>
      <w:r w:rsidRPr="00846055">
        <w:rPr>
          <w:bCs/>
          <w:i/>
        </w:rPr>
        <w:t>Ipourgos Tipou Kai Meson Mazikis Enimerosis</w:t>
      </w:r>
      <w:r>
        <w:rPr>
          <w:bCs/>
        </w:rPr>
        <w:t xml:space="preserve">, C-81/09, bod 82. </w:t>
      </w:r>
    </w:p>
  </w:footnote>
  <w:footnote w:id="126">
    <w:p w:rsidR="002E040B" w:rsidRPr="00DC7CF4" w:rsidRDefault="002E040B" w:rsidP="00DC7CF4">
      <w:pPr>
        <w:pStyle w:val="PODCAROU"/>
      </w:pPr>
      <w:r>
        <w:rPr>
          <w:rStyle w:val="Funotenzeichen"/>
        </w:rPr>
        <w:footnoteRef/>
      </w:r>
      <w:r>
        <w:t xml:space="preserve"> Tamtéž, bod 82. </w:t>
      </w:r>
    </w:p>
  </w:footnote>
  <w:footnote w:id="127">
    <w:p w:rsidR="002E040B" w:rsidRPr="00A30960" w:rsidRDefault="002E040B" w:rsidP="00A30960">
      <w:pPr>
        <w:pStyle w:val="PODCAROU"/>
      </w:pPr>
      <w:r>
        <w:rPr>
          <w:rStyle w:val="Funotenzeichen"/>
        </w:rPr>
        <w:footnoteRef/>
      </w:r>
      <w:r>
        <w:t xml:space="preserve"> Evropský soudní dvůr: Stanovisko GA Pedra Cruz Villalóna ze dne 1. června 2010, </w:t>
      </w:r>
      <w:r w:rsidRPr="00EA3684">
        <w:rPr>
          <w:bCs/>
          <w:i/>
        </w:rPr>
        <w:t>Simvoulio Apokhetevseon Lefkosias v Anatheoritiki Arkhi Prosforon</w:t>
      </w:r>
      <w:r>
        <w:rPr>
          <w:bCs/>
        </w:rPr>
        <w:t xml:space="preserve">, C-570/08, bod 46. </w:t>
      </w:r>
    </w:p>
  </w:footnote>
  <w:footnote w:id="128">
    <w:p w:rsidR="002E040B" w:rsidRPr="00FD07D5" w:rsidRDefault="002E040B" w:rsidP="00FD07D5">
      <w:pPr>
        <w:pStyle w:val="PODCAROU"/>
      </w:pPr>
      <w:r>
        <w:rPr>
          <w:rStyle w:val="Funotenzeichen"/>
        </w:rPr>
        <w:footnoteRef/>
      </w:r>
      <w:r>
        <w:t xml:space="preserve"> Evropský soudní dvůr: Stanovisko GA Juliane Kokott ze dne 14. října 2010, </w:t>
      </w:r>
      <w:r w:rsidRPr="00845962">
        <w:rPr>
          <w:bCs/>
          <w:i/>
          <w:lang w:val="fr-FR"/>
        </w:rPr>
        <w:t>Ville de Lyon v Caisse des dépôts et consignations</w:t>
      </w:r>
      <w:r>
        <w:rPr>
          <w:bCs/>
          <w:lang w:val="fr-FR"/>
        </w:rPr>
        <w:t xml:space="preserve">, C-524/09. </w:t>
      </w:r>
    </w:p>
  </w:footnote>
  <w:footnote w:id="129">
    <w:p w:rsidR="002E040B" w:rsidRPr="008B043F" w:rsidRDefault="002E040B" w:rsidP="008B043F">
      <w:pPr>
        <w:pStyle w:val="PODCAROU"/>
      </w:pPr>
      <w:r>
        <w:rPr>
          <w:rStyle w:val="Funotenzeichen"/>
        </w:rPr>
        <w:footnoteRef/>
      </w:r>
      <w:r>
        <w:t xml:space="preserve"> Evropský soudní dvůr: Rozsudek ze dne 18. března 2010, </w:t>
      </w:r>
      <w:r w:rsidRPr="008B043F">
        <w:rPr>
          <w:bCs/>
          <w:i/>
        </w:rPr>
        <w:t xml:space="preserve">Rosalba Alassini </w:t>
      </w:r>
      <w:r w:rsidRPr="008B043F">
        <w:rPr>
          <w:i/>
        </w:rPr>
        <w:t xml:space="preserve">v </w:t>
      </w:r>
      <w:r w:rsidRPr="008B043F">
        <w:rPr>
          <w:bCs/>
          <w:i/>
        </w:rPr>
        <w:t>Telecom Italia SpA a další</w:t>
      </w:r>
      <w:r>
        <w:rPr>
          <w:bCs/>
        </w:rPr>
        <w:t>, spojené řízení C-317/08, C-318/08, C-319/08 a C-320/08.</w:t>
      </w:r>
    </w:p>
  </w:footnote>
  <w:footnote w:id="130">
    <w:p w:rsidR="002E040B" w:rsidRPr="00DD7BC3" w:rsidRDefault="002E040B" w:rsidP="00DD7BC3">
      <w:pPr>
        <w:pStyle w:val="PODCAROU"/>
      </w:pPr>
      <w:r>
        <w:rPr>
          <w:rStyle w:val="Funotenzeichen"/>
        </w:rPr>
        <w:footnoteRef/>
      </w:r>
      <w:r>
        <w:t xml:space="preserve"> Evropský soudní dvůr: Stanovisko GA Juliane Kokott ze dne 28. ledna 2010, </w:t>
      </w:r>
      <w:r w:rsidRPr="00DD7BC3">
        <w:rPr>
          <w:i/>
        </w:rPr>
        <w:t>Komise v Lucembursko</w:t>
      </w:r>
      <w:r>
        <w:t xml:space="preserve">, C-526/08. </w:t>
      </w:r>
    </w:p>
  </w:footnote>
  <w:footnote w:id="131">
    <w:p w:rsidR="002E040B" w:rsidRPr="00DD7BC3" w:rsidRDefault="002E040B" w:rsidP="00DD7BC3">
      <w:pPr>
        <w:pStyle w:val="PODCAROU"/>
      </w:pPr>
      <w:r>
        <w:rPr>
          <w:rStyle w:val="Funotenzeichen"/>
        </w:rPr>
        <w:footnoteRef/>
      </w:r>
      <w:r>
        <w:t xml:space="preserve"> Evropský soudní dvůr: Rozsudek ze dne 17. prosince 2010, </w:t>
      </w:r>
      <w:r w:rsidRPr="00DD7BC3">
        <w:rPr>
          <w:bCs/>
          <w:i/>
        </w:rPr>
        <w:t>Eva Martín Martín</w:t>
      </w:r>
      <w:r w:rsidRPr="00DD7BC3">
        <w:rPr>
          <w:i/>
        </w:rPr>
        <w:t xml:space="preserve"> v </w:t>
      </w:r>
      <w:r w:rsidRPr="00DD7BC3">
        <w:rPr>
          <w:bCs/>
          <w:i/>
        </w:rPr>
        <w:t>EDP Editores, SL</w:t>
      </w:r>
      <w:r>
        <w:rPr>
          <w:bCs/>
        </w:rPr>
        <w:t xml:space="preserve">, C-227/08. </w:t>
      </w:r>
    </w:p>
  </w:footnote>
  <w:footnote w:id="132">
    <w:p w:rsidR="002E040B" w:rsidRPr="00DD7BC3" w:rsidRDefault="002E040B" w:rsidP="00DD7BC3">
      <w:pPr>
        <w:pStyle w:val="PODCAROU"/>
      </w:pPr>
      <w:r>
        <w:rPr>
          <w:rStyle w:val="Funotenzeichen"/>
        </w:rPr>
        <w:footnoteRef/>
      </w:r>
      <w:r>
        <w:t xml:space="preserve"> Evropský soudní dvůr: Stanovisko GA Juliane Kokott ze dne 10. prosince 2009, </w:t>
      </w:r>
      <w:r w:rsidRPr="00DD7BC3">
        <w:rPr>
          <w:i/>
        </w:rPr>
        <w:t>Komise v Španělsko</w:t>
      </w:r>
      <w:r>
        <w:t xml:space="preserve">, C-392/08. </w:t>
      </w:r>
    </w:p>
  </w:footnote>
  <w:footnote w:id="133">
    <w:p w:rsidR="002E040B" w:rsidRPr="009D36D7" w:rsidRDefault="002E040B" w:rsidP="00211DEE">
      <w:pPr>
        <w:pStyle w:val="PODCAROU"/>
        <w:rPr>
          <w:bCs/>
        </w:rPr>
      </w:pPr>
      <w:r>
        <w:rPr>
          <w:rStyle w:val="Funotenzeichen"/>
        </w:rPr>
        <w:footnoteRef/>
      </w:r>
      <w:r>
        <w:t xml:space="preserve"> Evropský soudní dvůr: Stanovisko GA </w:t>
      </w:r>
      <w:r w:rsidRPr="00A729AA">
        <w:rPr>
          <w:bCs/>
        </w:rPr>
        <w:t xml:space="preserve">Niilo Jääskinen </w:t>
      </w:r>
      <w:r>
        <w:rPr>
          <w:bCs/>
        </w:rPr>
        <w:t xml:space="preserve">ze dne 9. prosince 2010, </w:t>
      </w:r>
      <w:r w:rsidRPr="00A729AA">
        <w:rPr>
          <w:bCs/>
          <w:i/>
        </w:rPr>
        <w:t>L’Oréal SA Lancôme parfums et beauté &amp; Cie Laboratoire Garnier &amp; Cie L’Oréal (UK) Limited v eBay International AG eBay Europe SARL eBay (UK) Limited</w:t>
      </w:r>
      <w:r>
        <w:rPr>
          <w:bCs/>
        </w:rPr>
        <w:t xml:space="preserve">, C-324/09. </w:t>
      </w:r>
    </w:p>
  </w:footnote>
  <w:footnote w:id="134">
    <w:p w:rsidR="001517DA" w:rsidRDefault="001517DA" w:rsidP="001517DA">
      <w:pPr>
        <w:pStyle w:val="PODCAROU"/>
      </w:pPr>
      <w:r>
        <w:rPr>
          <w:rStyle w:val="Funotenzeichen"/>
        </w:rPr>
        <w:footnoteRef/>
      </w:r>
      <w:r>
        <w:t xml:space="preserve"> čl. 6 odst. 2 SEU</w:t>
      </w:r>
    </w:p>
  </w:footnote>
  <w:footnote w:id="135">
    <w:p w:rsidR="002E040B" w:rsidRPr="00467AC0" w:rsidRDefault="002E040B" w:rsidP="0055677E">
      <w:pPr>
        <w:pStyle w:val="PODCAROU"/>
      </w:pPr>
      <w:r>
        <w:rPr>
          <w:rStyle w:val="Funotenzeichen"/>
        </w:rPr>
        <w:footnoteRef/>
      </w:r>
      <w:r>
        <w:t xml:space="preserve"> MARGETA, Karol, MÉSÁROŠOVÁ, Andrea. Vzťah judikatury ESD a Charty základných práv EÚ – Charta jako prameň práva ES/EÚ pod vplyvom judikatury ESD? In </w:t>
      </w:r>
      <w:r w:rsidRPr="002D2458">
        <w:rPr>
          <w:caps/>
        </w:rPr>
        <w:t>Hamuľák</w:t>
      </w:r>
      <w:r w:rsidRPr="0055677E">
        <w:t xml:space="preserve">, Ondrej (ed.). </w:t>
      </w:r>
      <w:r w:rsidRPr="00467AC0">
        <w:rPr>
          <w:i/>
        </w:rPr>
        <w:t>Fenomén judikatury v právu – Sborník z konference Olomoucké debaty mladých právníků 2009</w:t>
      </w:r>
      <w:r>
        <w:rPr>
          <w:i/>
        </w:rPr>
        <w:t>.</w:t>
      </w:r>
      <w:r>
        <w:t xml:space="preserve"> Praha: Leges, 2010, s. 250-258.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A26FAA"/>
    <w:lvl w:ilvl="0">
      <w:start w:val="1"/>
      <w:numFmt w:val="decimal"/>
      <w:lvlText w:val="%1."/>
      <w:lvlJc w:val="left"/>
      <w:pPr>
        <w:tabs>
          <w:tab w:val="num" w:pos="1492"/>
        </w:tabs>
        <w:ind w:left="1492" w:hanging="360"/>
      </w:pPr>
    </w:lvl>
  </w:abstractNum>
  <w:abstractNum w:abstractNumId="1">
    <w:nsid w:val="FFFFFF7D"/>
    <w:multiLevelType w:val="singleLevel"/>
    <w:tmpl w:val="97565B18"/>
    <w:lvl w:ilvl="0">
      <w:start w:val="1"/>
      <w:numFmt w:val="decimal"/>
      <w:lvlText w:val="%1."/>
      <w:lvlJc w:val="left"/>
      <w:pPr>
        <w:tabs>
          <w:tab w:val="num" w:pos="1209"/>
        </w:tabs>
        <w:ind w:left="1209" w:hanging="360"/>
      </w:pPr>
    </w:lvl>
  </w:abstractNum>
  <w:abstractNum w:abstractNumId="2">
    <w:nsid w:val="FFFFFF7E"/>
    <w:multiLevelType w:val="singleLevel"/>
    <w:tmpl w:val="38C8A932"/>
    <w:lvl w:ilvl="0">
      <w:start w:val="1"/>
      <w:numFmt w:val="decimal"/>
      <w:lvlText w:val="%1."/>
      <w:lvlJc w:val="left"/>
      <w:pPr>
        <w:tabs>
          <w:tab w:val="num" w:pos="926"/>
        </w:tabs>
        <w:ind w:left="926" w:hanging="360"/>
      </w:pPr>
    </w:lvl>
  </w:abstractNum>
  <w:abstractNum w:abstractNumId="3">
    <w:nsid w:val="FFFFFF7F"/>
    <w:multiLevelType w:val="singleLevel"/>
    <w:tmpl w:val="21926588"/>
    <w:lvl w:ilvl="0">
      <w:start w:val="1"/>
      <w:numFmt w:val="decimal"/>
      <w:lvlText w:val="%1."/>
      <w:lvlJc w:val="left"/>
      <w:pPr>
        <w:tabs>
          <w:tab w:val="num" w:pos="643"/>
        </w:tabs>
        <w:ind w:left="643" w:hanging="360"/>
      </w:pPr>
    </w:lvl>
  </w:abstractNum>
  <w:abstractNum w:abstractNumId="4">
    <w:nsid w:val="FFFFFF80"/>
    <w:multiLevelType w:val="singleLevel"/>
    <w:tmpl w:val="8FE84B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42D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46A5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F8C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80571C"/>
    <w:lvl w:ilvl="0">
      <w:start w:val="1"/>
      <w:numFmt w:val="decimal"/>
      <w:lvlText w:val="%1."/>
      <w:lvlJc w:val="left"/>
      <w:pPr>
        <w:tabs>
          <w:tab w:val="num" w:pos="360"/>
        </w:tabs>
        <w:ind w:left="360" w:hanging="360"/>
      </w:pPr>
    </w:lvl>
  </w:abstractNum>
  <w:abstractNum w:abstractNumId="9">
    <w:nsid w:val="FFFFFF89"/>
    <w:multiLevelType w:val="singleLevel"/>
    <w:tmpl w:val="40C89C7E"/>
    <w:lvl w:ilvl="0">
      <w:start w:val="1"/>
      <w:numFmt w:val="bullet"/>
      <w:lvlText w:val=""/>
      <w:lvlJc w:val="left"/>
      <w:pPr>
        <w:tabs>
          <w:tab w:val="num" w:pos="360"/>
        </w:tabs>
        <w:ind w:left="360" w:hanging="360"/>
      </w:pPr>
      <w:rPr>
        <w:rFonts w:ascii="Symbol" w:hAnsi="Symbol" w:hint="default"/>
      </w:rPr>
    </w:lvl>
  </w:abstractNum>
  <w:abstractNum w:abstractNumId="10">
    <w:nsid w:val="074A638F"/>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1">
    <w:nsid w:val="07F579C2"/>
    <w:multiLevelType w:val="hybridMultilevel"/>
    <w:tmpl w:val="D010786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nsid w:val="08821540"/>
    <w:multiLevelType w:val="hybridMultilevel"/>
    <w:tmpl w:val="EED4F5C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094D0D32"/>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4">
    <w:nsid w:val="0CC62BB6"/>
    <w:multiLevelType w:val="hybridMultilevel"/>
    <w:tmpl w:val="332C7B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8714A9D"/>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6">
    <w:nsid w:val="234701DB"/>
    <w:multiLevelType w:val="hybridMultilevel"/>
    <w:tmpl w:val="A29CA6EE"/>
    <w:lvl w:ilvl="0" w:tplc="0407000F">
      <w:start w:val="1"/>
      <w:numFmt w:val="decimal"/>
      <w:lvlText w:val="%1."/>
      <w:lvlJc w:val="left"/>
      <w:pPr>
        <w:ind w:left="1080"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7">
    <w:nsid w:val="23830990"/>
    <w:multiLevelType w:val="hybridMultilevel"/>
    <w:tmpl w:val="75E2E4B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2EFC46EB"/>
    <w:multiLevelType w:val="hybridMultilevel"/>
    <w:tmpl w:val="C51082A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nsid w:val="326336F1"/>
    <w:multiLevelType w:val="hybridMultilevel"/>
    <w:tmpl w:val="AEC09A7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nsid w:val="3284209D"/>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1">
    <w:nsid w:val="34EF6A6C"/>
    <w:multiLevelType w:val="hybridMultilevel"/>
    <w:tmpl w:val="E16805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35E60584"/>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3">
    <w:nsid w:val="367B3AE0"/>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4">
    <w:nsid w:val="3860055B"/>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5">
    <w:nsid w:val="399F3A27"/>
    <w:multiLevelType w:val="hybridMultilevel"/>
    <w:tmpl w:val="70943C2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nsid w:val="43556180"/>
    <w:multiLevelType w:val="hybridMultilevel"/>
    <w:tmpl w:val="70F27944"/>
    <w:lvl w:ilvl="0" w:tplc="A31A8FA0">
      <w:start w:val="1"/>
      <w:numFmt w:val="decimal"/>
      <w:lvlText w:val="%1."/>
      <w:lvlJc w:val="center"/>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nsid w:val="43654CD9"/>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8">
    <w:nsid w:val="44B04946"/>
    <w:multiLevelType w:val="hybridMultilevel"/>
    <w:tmpl w:val="7B10BA04"/>
    <w:lvl w:ilvl="0" w:tplc="0407000F">
      <w:start w:val="1"/>
      <w:numFmt w:val="decimal"/>
      <w:lvlText w:val="%1."/>
      <w:lvlJc w:val="left"/>
      <w:pPr>
        <w:ind w:left="1080"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9">
    <w:nsid w:val="47F133EB"/>
    <w:multiLevelType w:val="hybridMultilevel"/>
    <w:tmpl w:val="833E7D5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4B095777"/>
    <w:multiLevelType w:val="multilevel"/>
    <w:tmpl w:val="AE92C134"/>
    <w:lvl w:ilvl="0">
      <w:start w:val="1"/>
      <w:numFmt w:val="decimal"/>
      <w:lvlText w:val="%1."/>
      <w:lvlJc w:val="right"/>
      <w:pPr>
        <w:ind w:left="928" w:hanging="360"/>
      </w:pPr>
      <w:rPr>
        <w:rFonts w:cs="Times New Roman" w:hint="default"/>
      </w:rPr>
    </w:lvl>
    <w:lvl w:ilvl="1">
      <w:start w:val="11"/>
      <w:numFmt w:val="decimal"/>
      <w:isLgl/>
      <w:lvlText w:val="%1.%2."/>
      <w:lvlJc w:val="left"/>
      <w:pPr>
        <w:ind w:left="1168"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1">
    <w:nsid w:val="4B164AFD"/>
    <w:multiLevelType w:val="hybridMultilevel"/>
    <w:tmpl w:val="12905FE8"/>
    <w:lvl w:ilvl="0" w:tplc="233881B6">
      <w:start w:val="1"/>
      <w:numFmt w:val="decimal"/>
      <w:lvlText w:val="%1."/>
      <w:lvlJc w:val="righ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2">
    <w:nsid w:val="51FB4D4B"/>
    <w:multiLevelType w:val="hybridMultilevel"/>
    <w:tmpl w:val="730AE25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nsid w:val="5FA3431C"/>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4">
    <w:nsid w:val="71535795"/>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5">
    <w:nsid w:val="73957418"/>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6">
    <w:nsid w:val="7555035D"/>
    <w:multiLevelType w:val="hybridMultilevel"/>
    <w:tmpl w:val="F266D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62F4523"/>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8">
    <w:nsid w:val="76A31A05"/>
    <w:multiLevelType w:val="hybridMultilevel"/>
    <w:tmpl w:val="9E2C695C"/>
    <w:lvl w:ilvl="0" w:tplc="1E2E54CC">
      <w:start w:val="1"/>
      <w:numFmt w:val="decimal"/>
      <w:lvlText w:val="%1."/>
      <w:lvlJc w:val="left"/>
      <w:pPr>
        <w:ind w:left="1440" w:hanging="360"/>
      </w:pPr>
      <w:rPr>
        <w:rFonts w:cs="Times New Roman" w:hint="default"/>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39">
    <w:nsid w:val="78A353B2"/>
    <w:multiLevelType w:val="hybridMultilevel"/>
    <w:tmpl w:val="2F343618"/>
    <w:lvl w:ilvl="0" w:tplc="09CA0C1C">
      <w:start w:val="1"/>
      <w:numFmt w:val="decimal"/>
      <w:pStyle w:val="NADPIS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9201B3A"/>
    <w:multiLevelType w:val="hybridMultilevel"/>
    <w:tmpl w:val="2B524D00"/>
    <w:lvl w:ilvl="0" w:tplc="B402339A">
      <w:start w:val="19"/>
      <w:numFmt w:val="bullet"/>
      <w:lvlText w:val="-"/>
      <w:lvlJc w:val="left"/>
      <w:pPr>
        <w:ind w:left="927" w:hanging="360"/>
      </w:pPr>
      <w:rPr>
        <w:rFonts w:ascii="Times New Roman" w:eastAsia="Calibri"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1">
    <w:nsid w:val="7B16603A"/>
    <w:multiLevelType w:val="hybridMultilevel"/>
    <w:tmpl w:val="637AD0EE"/>
    <w:lvl w:ilvl="0" w:tplc="24DA336E">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2">
    <w:nsid w:val="7D3F1AF9"/>
    <w:multiLevelType w:val="hybridMultilevel"/>
    <w:tmpl w:val="790670D0"/>
    <w:lvl w:ilvl="0" w:tplc="6190407E">
      <w:start w:val="1"/>
      <w:numFmt w:val="decimal"/>
      <w:lvlText w:val="%1."/>
      <w:lvlJc w:val="right"/>
      <w:pPr>
        <w:ind w:left="928"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3">
    <w:nsid w:val="7DC2589E"/>
    <w:multiLevelType w:val="hybridMultilevel"/>
    <w:tmpl w:val="D382A2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6"/>
  </w:num>
  <w:num w:numId="2">
    <w:abstractNumId w:val="18"/>
  </w:num>
  <w:num w:numId="3">
    <w:abstractNumId w:val="32"/>
  </w:num>
  <w:num w:numId="4">
    <w:abstractNumId w:val="21"/>
  </w:num>
  <w:num w:numId="5">
    <w:abstractNumId w:val="25"/>
  </w:num>
  <w:num w:numId="6">
    <w:abstractNumId w:val="17"/>
  </w:num>
  <w:num w:numId="7">
    <w:abstractNumId w:val="41"/>
  </w:num>
  <w:num w:numId="8">
    <w:abstractNumId w:val="38"/>
  </w:num>
  <w:num w:numId="9">
    <w:abstractNumId w:val="19"/>
  </w:num>
  <w:num w:numId="10">
    <w:abstractNumId w:val="29"/>
  </w:num>
  <w:num w:numId="11">
    <w:abstractNumId w:val="12"/>
  </w:num>
  <w:num w:numId="12">
    <w:abstractNumId w:val="43"/>
  </w:num>
  <w:num w:numId="13">
    <w:abstractNumId w:val="16"/>
  </w:num>
  <w:num w:numId="14">
    <w:abstractNumId w:val="28"/>
  </w:num>
  <w:num w:numId="15">
    <w:abstractNumId w:val="30"/>
  </w:num>
  <w:num w:numId="16">
    <w:abstractNumId w:val="15"/>
  </w:num>
  <w:num w:numId="17">
    <w:abstractNumId w:val="11"/>
  </w:num>
  <w:num w:numId="18">
    <w:abstractNumId w:val="22"/>
  </w:num>
  <w:num w:numId="19">
    <w:abstractNumId w:val="34"/>
  </w:num>
  <w:num w:numId="20">
    <w:abstractNumId w:val="42"/>
  </w:num>
  <w:num w:numId="21">
    <w:abstractNumId w:val="37"/>
  </w:num>
  <w:num w:numId="22">
    <w:abstractNumId w:val="27"/>
  </w:num>
  <w:num w:numId="23">
    <w:abstractNumId w:val="10"/>
  </w:num>
  <w:num w:numId="24">
    <w:abstractNumId w:val="23"/>
  </w:num>
  <w:num w:numId="25">
    <w:abstractNumId w:val="13"/>
  </w:num>
  <w:num w:numId="26">
    <w:abstractNumId w:val="24"/>
  </w:num>
  <w:num w:numId="27">
    <w:abstractNumId w:val="20"/>
  </w:num>
  <w:num w:numId="28">
    <w:abstractNumId w:val="35"/>
  </w:num>
  <w:num w:numId="29">
    <w:abstractNumId w:val="33"/>
  </w:num>
  <w:num w:numId="30">
    <w:abstractNumId w:val="4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6"/>
  </w:num>
  <w:num w:numId="42">
    <w:abstractNumId w:val="39"/>
  </w:num>
  <w:num w:numId="43">
    <w:abstractNumId w:val="14"/>
  </w:num>
  <w:num w:numId="44">
    <w:abstractNumId w:val="39"/>
    <w:lvlOverride w:ilvl="0">
      <w:startOverride w:val="7"/>
    </w:lvlOverride>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1024"/>
  <w:stylePaneSortMethod w:val="00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62F92"/>
    <w:rsid w:val="00002133"/>
    <w:rsid w:val="00002600"/>
    <w:rsid w:val="000028E9"/>
    <w:rsid w:val="000042CF"/>
    <w:rsid w:val="00005DCF"/>
    <w:rsid w:val="0000720C"/>
    <w:rsid w:val="00007433"/>
    <w:rsid w:val="00011B9D"/>
    <w:rsid w:val="00017557"/>
    <w:rsid w:val="00021764"/>
    <w:rsid w:val="00021C7F"/>
    <w:rsid w:val="00023168"/>
    <w:rsid w:val="00023536"/>
    <w:rsid w:val="00023B35"/>
    <w:rsid w:val="00023FCC"/>
    <w:rsid w:val="000240BC"/>
    <w:rsid w:val="0002570B"/>
    <w:rsid w:val="0002661F"/>
    <w:rsid w:val="00026A85"/>
    <w:rsid w:val="00026F90"/>
    <w:rsid w:val="000273CA"/>
    <w:rsid w:val="000308B7"/>
    <w:rsid w:val="00030AB5"/>
    <w:rsid w:val="00031433"/>
    <w:rsid w:val="00031D82"/>
    <w:rsid w:val="00032153"/>
    <w:rsid w:val="000334A4"/>
    <w:rsid w:val="0003380D"/>
    <w:rsid w:val="00034593"/>
    <w:rsid w:val="00036245"/>
    <w:rsid w:val="0004117B"/>
    <w:rsid w:val="00041498"/>
    <w:rsid w:val="00044665"/>
    <w:rsid w:val="000450EF"/>
    <w:rsid w:val="00053C80"/>
    <w:rsid w:val="00054573"/>
    <w:rsid w:val="0005537A"/>
    <w:rsid w:val="00057276"/>
    <w:rsid w:val="00061740"/>
    <w:rsid w:val="00061A14"/>
    <w:rsid w:val="000628EA"/>
    <w:rsid w:val="00063502"/>
    <w:rsid w:val="000636D4"/>
    <w:rsid w:val="00064218"/>
    <w:rsid w:val="00064FBD"/>
    <w:rsid w:val="00065336"/>
    <w:rsid w:val="0007083D"/>
    <w:rsid w:val="0007165D"/>
    <w:rsid w:val="00071D16"/>
    <w:rsid w:val="000738AD"/>
    <w:rsid w:val="00074EA3"/>
    <w:rsid w:val="00075864"/>
    <w:rsid w:val="000760D0"/>
    <w:rsid w:val="00077B31"/>
    <w:rsid w:val="00083943"/>
    <w:rsid w:val="000844CB"/>
    <w:rsid w:val="000846B8"/>
    <w:rsid w:val="00086062"/>
    <w:rsid w:val="0008609D"/>
    <w:rsid w:val="000875BC"/>
    <w:rsid w:val="0009095E"/>
    <w:rsid w:val="00090B46"/>
    <w:rsid w:val="000911E2"/>
    <w:rsid w:val="000916FB"/>
    <w:rsid w:val="000938E8"/>
    <w:rsid w:val="000A0A48"/>
    <w:rsid w:val="000A0CB4"/>
    <w:rsid w:val="000A19DE"/>
    <w:rsid w:val="000A1A92"/>
    <w:rsid w:val="000A2937"/>
    <w:rsid w:val="000A454D"/>
    <w:rsid w:val="000A5A23"/>
    <w:rsid w:val="000A6AD9"/>
    <w:rsid w:val="000B0246"/>
    <w:rsid w:val="000B17CE"/>
    <w:rsid w:val="000B7698"/>
    <w:rsid w:val="000B7F20"/>
    <w:rsid w:val="000C075D"/>
    <w:rsid w:val="000C1065"/>
    <w:rsid w:val="000C23ED"/>
    <w:rsid w:val="000C2A5A"/>
    <w:rsid w:val="000C33D3"/>
    <w:rsid w:val="000C56A3"/>
    <w:rsid w:val="000C591B"/>
    <w:rsid w:val="000C6211"/>
    <w:rsid w:val="000C6698"/>
    <w:rsid w:val="000D0F52"/>
    <w:rsid w:val="000D1239"/>
    <w:rsid w:val="000D381C"/>
    <w:rsid w:val="000D6490"/>
    <w:rsid w:val="000D7A7B"/>
    <w:rsid w:val="000E0385"/>
    <w:rsid w:val="000E1F8D"/>
    <w:rsid w:val="000E3584"/>
    <w:rsid w:val="000E4BBF"/>
    <w:rsid w:val="000E5139"/>
    <w:rsid w:val="000E7050"/>
    <w:rsid w:val="000F1323"/>
    <w:rsid w:val="000F18D3"/>
    <w:rsid w:val="000F25CB"/>
    <w:rsid w:val="000F3BCD"/>
    <w:rsid w:val="000F621A"/>
    <w:rsid w:val="000F743F"/>
    <w:rsid w:val="00100971"/>
    <w:rsid w:val="00100B1F"/>
    <w:rsid w:val="00101159"/>
    <w:rsid w:val="001020BD"/>
    <w:rsid w:val="00102694"/>
    <w:rsid w:val="00105FAD"/>
    <w:rsid w:val="001104AC"/>
    <w:rsid w:val="00112833"/>
    <w:rsid w:val="001128E6"/>
    <w:rsid w:val="00113B69"/>
    <w:rsid w:val="00114895"/>
    <w:rsid w:val="00115488"/>
    <w:rsid w:val="00115B37"/>
    <w:rsid w:val="00120B04"/>
    <w:rsid w:val="00120CE1"/>
    <w:rsid w:val="00123537"/>
    <w:rsid w:val="00126104"/>
    <w:rsid w:val="0012723E"/>
    <w:rsid w:val="00127971"/>
    <w:rsid w:val="00127B93"/>
    <w:rsid w:val="00127F96"/>
    <w:rsid w:val="00130F10"/>
    <w:rsid w:val="001325CE"/>
    <w:rsid w:val="00135408"/>
    <w:rsid w:val="00137E17"/>
    <w:rsid w:val="00140152"/>
    <w:rsid w:val="001401F7"/>
    <w:rsid w:val="00140D1A"/>
    <w:rsid w:val="00141BA6"/>
    <w:rsid w:val="00144063"/>
    <w:rsid w:val="00145987"/>
    <w:rsid w:val="00147104"/>
    <w:rsid w:val="00147E3C"/>
    <w:rsid w:val="00151709"/>
    <w:rsid w:val="001517DA"/>
    <w:rsid w:val="00151985"/>
    <w:rsid w:val="00152473"/>
    <w:rsid w:val="0016186D"/>
    <w:rsid w:val="001629DE"/>
    <w:rsid w:val="001638B1"/>
    <w:rsid w:val="00164BF0"/>
    <w:rsid w:val="00164F2A"/>
    <w:rsid w:val="0016538B"/>
    <w:rsid w:val="00165431"/>
    <w:rsid w:val="001659EC"/>
    <w:rsid w:val="00167719"/>
    <w:rsid w:val="00167F5C"/>
    <w:rsid w:val="001720AE"/>
    <w:rsid w:val="0017379F"/>
    <w:rsid w:val="00174B32"/>
    <w:rsid w:val="001765FD"/>
    <w:rsid w:val="00176645"/>
    <w:rsid w:val="001776FA"/>
    <w:rsid w:val="001819EE"/>
    <w:rsid w:val="00182596"/>
    <w:rsid w:val="001834D8"/>
    <w:rsid w:val="00184A34"/>
    <w:rsid w:val="00184D8F"/>
    <w:rsid w:val="001854F4"/>
    <w:rsid w:val="00187517"/>
    <w:rsid w:val="00190CC1"/>
    <w:rsid w:val="00190F9F"/>
    <w:rsid w:val="001914BA"/>
    <w:rsid w:val="00191541"/>
    <w:rsid w:val="00191625"/>
    <w:rsid w:val="00193111"/>
    <w:rsid w:val="00196BC4"/>
    <w:rsid w:val="00196DC0"/>
    <w:rsid w:val="0019759D"/>
    <w:rsid w:val="001A0DD6"/>
    <w:rsid w:val="001A35FA"/>
    <w:rsid w:val="001A7737"/>
    <w:rsid w:val="001B0596"/>
    <w:rsid w:val="001B0740"/>
    <w:rsid w:val="001B0A14"/>
    <w:rsid w:val="001B202E"/>
    <w:rsid w:val="001B2BDF"/>
    <w:rsid w:val="001B4081"/>
    <w:rsid w:val="001B5AA3"/>
    <w:rsid w:val="001B7481"/>
    <w:rsid w:val="001B7806"/>
    <w:rsid w:val="001B7F3B"/>
    <w:rsid w:val="001C1D49"/>
    <w:rsid w:val="001C22D6"/>
    <w:rsid w:val="001C2AC0"/>
    <w:rsid w:val="001C577E"/>
    <w:rsid w:val="001C5927"/>
    <w:rsid w:val="001C5D9E"/>
    <w:rsid w:val="001C615E"/>
    <w:rsid w:val="001D1803"/>
    <w:rsid w:val="001D2DA7"/>
    <w:rsid w:val="001D598C"/>
    <w:rsid w:val="001D6441"/>
    <w:rsid w:val="001E09C4"/>
    <w:rsid w:val="001E1022"/>
    <w:rsid w:val="001E10C9"/>
    <w:rsid w:val="001E3B18"/>
    <w:rsid w:val="001E4C48"/>
    <w:rsid w:val="001E56AB"/>
    <w:rsid w:val="001E73C4"/>
    <w:rsid w:val="001F2A29"/>
    <w:rsid w:val="001F2B73"/>
    <w:rsid w:val="001F3474"/>
    <w:rsid w:val="001F4736"/>
    <w:rsid w:val="001F4BDF"/>
    <w:rsid w:val="001F614B"/>
    <w:rsid w:val="001F6609"/>
    <w:rsid w:val="001F6611"/>
    <w:rsid w:val="001F670A"/>
    <w:rsid w:val="001F67BF"/>
    <w:rsid w:val="001F723C"/>
    <w:rsid w:val="001F77CC"/>
    <w:rsid w:val="002021FF"/>
    <w:rsid w:val="0020267B"/>
    <w:rsid w:val="00204690"/>
    <w:rsid w:val="00205B56"/>
    <w:rsid w:val="002065F0"/>
    <w:rsid w:val="0021033C"/>
    <w:rsid w:val="002104E6"/>
    <w:rsid w:val="00211DEE"/>
    <w:rsid w:val="00221BCD"/>
    <w:rsid w:val="00222E28"/>
    <w:rsid w:val="00223DE7"/>
    <w:rsid w:val="002245E2"/>
    <w:rsid w:val="0022470A"/>
    <w:rsid w:val="00225023"/>
    <w:rsid w:val="00225D4E"/>
    <w:rsid w:val="00226ACC"/>
    <w:rsid w:val="00226C53"/>
    <w:rsid w:val="0022702D"/>
    <w:rsid w:val="002275E6"/>
    <w:rsid w:val="0023342E"/>
    <w:rsid w:val="00236A88"/>
    <w:rsid w:val="00240188"/>
    <w:rsid w:val="002470B4"/>
    <w:rsid w:val="0024758D"/>
    <w:rsid w:val="00247BD7"/>
    <w:rsid w:val="00247E74"/>
    <w:rsid w:val="002506A8"/>
    <w:rsid w:val="00251C1D"/>
    <w:rsid w:val="002520BA"/>
    <w:rsid w:val="0025260D"/>
    <w:rsid w:val="002528E5"/>
    <w:rsid w:val="00254AEB"/>
    <w:rsid w:val="0025539C"/>
    <w:rsid w:val="00261239"/>
    <w:rsid w:val="0026144A"/>
    <w:rsid w:val="0026452B"/>
    <w:rsid w:val="002655AC"/>
    <w:rsid w:val="00265FE7"/>
    <w:rsid w:val="002671C3"/>
    <w:rsid w:val="00267D23"/>
    <w:rsid w:val="00270338"/>
    <w:rsid w:val="00270EB3"/>
    <w:rsid w:val="002771C0"/>
    <w:rsid w:val="0028014D"/>
    <w:rsid w:val="00281825"/>
    <w:rsid w:val="00281E4D"/>
    <w:rsid w:val="00282E90"/>
    <w:rsid w:val="0028414C"/>
    <w:rsid w:val="002869AF"/>
    <w:rsid w:val="00286CBE"/>
    <w:rsid w:val="002876DF"/>
    <w:rsid w:val="002904F5"/>
    <w:rsid w:val="002906A5"/>
    <w:rsid w:val="00291193"/>
    <w:rsid w:val="00291E39"/>
    <w:rsid w:val="00294696"/>
    <w:rsid w:val="00294760"/>
    <w:rsid w:val="002951BB"/>
    <w:rsid w:val="00295702"/>
    <w:rsid w:val="00297787"/>
    <w:rsid w:val="002A0AD3"/>
    <w:rsid w:val="002A0E2B"/>
    <w:rsid w:val="002A1C8A"/>
    <w:rsid w:val="002A2C55"/>
    <w:rsid w:val="002A2F7A"/>
    <w:rsid w:val="002A3911"/>
    <w:rsid w:val="002A60E4"/>
    <w:rsid w:val="002A79C5"/>
    <w:rsid w:val="002B19F0"/>
    <w:rsid w:val="002B31AB"/>
    <w:rsid w:val="002B3F8C"/>
    <w:rsid w:val="002B6744"/>
    <w:rsid w:val="002B75FA"/>
    <w:rsid w:val="002C06A5"/>
    <w:rsid w:val="002C1AC7"/>
    <w:rsid w:val="002C2389"/>
    <w:rsid w:val="002C25D5"/>
    <w:rsid w:val="002C2A33"/>
    <w:rsid w:val="002C60E6"/>
    <w:rsid w:val="002C6E98"/>
    <w:rsid w:val="002C743F"/>
    <w:rsid w:val="002D0C6A"/>
    <w:rsid w:val="002D2146"/>
    <w:rsid w:val="002D2458"/>
    <w:rsid w:val="002D28B4"/>
    <w:rsid w:val="002D31F1"/>
    <w:rsid w:val="002D3FDE"/>
    <w:rsid w:val="002D5423"/>
    <w:rsid w:val="002D5554"/>
    <w:rsid w:val="002E040B"/>
    <w:rsid w:val="002E0D8F"/>
    <w:rsid w:val="002E19F8"/>
    <w:rsid w:val="002E1CFA"/>
    <w:rsid w:val="002E29CC"/>
    <w:rsid w:val="002E2B73"/>
    <w:rsid w:val="002E350F"/>
    <w:rsid w:val="002E45D1"/>
    <w:rsid w:val="002E5992"/>
    <w:rsid w:val="002E5BE0"/>
    <w:rsid w:val="002E5FF7"/>
    <w:rsid w:val="002E6E19"/>
    <w:rsid w:val="002E7815"/>
    <w:rsid w:val="002E7CE9"/>
    <w:rsid w:val="002F11D0"/>
    <w:rsid w:val="002F5365"/>
    <w:rsid w:val="00301A88"/>
    <w:rsid w:val="003047F3"/>
    <w:rsid w:val="00304831"/>
    <w:rsid w:val="00305D0E"/>
    <w:rsid w:val="00305E53"/>
    <w:rsid w:val="00306982"/>
    <w:rsid w:val="003101F0"/>
    <w:rsid w:val="00310527"/>
    <w:rsid w:val="003107E9"/>
    <w:rsid w:val="0031138B"/>
    <w:rsid w:val="00321C74"/>
    <w:rsid w:val="00322454"/>
    <w:rsid w:val="003225BF"/>
    <w:rsid w:val="003235CE"/>
    <w:rsid w:val="00324B93"/>
    <w:rsid w:val="00327B7D"/>
    <w:rsid w:val="00331D7F"/>
    <w:rsid w:val="00335B34"/>
    <w:rsid w:val="00336748"/>
    <w:rsid w:val="00336C76"/>
    <w:rsid w:val="00337695"/>
    <w:rsid w:val="003437DD"/>
    <w:rsid w:val="003463F3"/>
    <w:rsid w:val="00347EB2"/>
    <w:rsid w:val="00352A0F"/>
    <w:rsid w:val="003540FF"/>
    <w:rsid w:val="00360722"/>
    <w:rsid w:val="0036240D"/>
    <w:rsid w:val="00363D48"/>
    <w:rsid w:val="00363FA0"/>
    <w:rsid w:val="00364855"/>
    <w:rsid w:val="003651E4"/>
    <w:rsid w:val="00367A06"/>
    <w:rsid w:val="003706A2"/>
    <w:rsid w:val="00371B35"/>
    <w:rsid w:val="0037263E"/>
    <w:rsid w:val="0037495D"/>
    <w:rsid w:val="003751AD"/>
    <w:rsid w:val="00375391"/>
    <w:rsid w:val="003754E2"/>
    <w:rsid w:val="00380811"/>
    <w:rsid w:val="003846BF"/>
    <w:rsid w:val="00385570"/>
    <w:rsid w:val="003873CA"/>
    <w:rsid w:val="00390D27"/>
    <w:rsid w:val="0039297E"/>
    <w:rsid w:val="00393505"/>
    <w:rsid w:val="00393544"/>
    <w:rsid w:val="0039554C"/>
    <w:rsid w:val="0039777A"/>
    <w:rsid w:val="003A49EA"/>
    <w:rsid w:val="003A7584"/>
    <w:rsid w:val="003B18A4"/>
    <w:rsid w:val="003B295D"/>
    <w:rsid w:val="003B3196"/>
    <w:rsid w:val="003B3F4E"/>
    <w:rsid w:val="003B58B1"/>
    <w:rsid w:val="003B777E"/>
    <w:rsid w:val="003C0E37"/>
    <w:rsid w:val="003C1FF5"/>
    <w:rsid w:val="003C244F"/>
    <w:rsid w:val="003C2ACB"/>
    <w:rsid w:val="003C376B"/>
    <w:rsid w:val="003C44B3"/>
    <w:rsid w:val="003C5B8F"/>
    <w:rsid w:val="003C5C62"/>
    <w:rsid w:val="003C6C2C"/>
    <w:rsid w:val="003C750F"/>
    <w:rsid w:val="003D132E"/>
    <w:rsid w:val="003D1D68"/>
    <w:rsid w:val="003D1F63"/>
    <w:rsid w:val="003D2919"/>
    <w:rsid w:val="003D2DCC"/>
    <w:rsid w:val="003D6882"/>
    <w:rsid w:val="003E0803"/>
    <w:rsid w:val="003E4F80"/>
    <w:rsid w:val="003E7846"/>
    <w:rsid w:val="003E7F94"/>
    <w:rsid w:val="003F0878"/>
    <w:rsid w:val="003F11A4"/>
    <w:rsid w:val="003F1F14"/>
    <w:rsid w:val="003F408B"/>
    <w:rsid w:val="00400840"/>
    <w:rsid w:val="00400901"/>
    <w:rsid w:val="00403886"/>
    <w:rsid w:val="00404D52"/>
    <w:rsid w:val="00407073"/>
    <w:rsid w:val="004076C6"/>
    <w:rsid w:val="00411076"/>
    <w:rsid w:val="004116C3"/>
    <w:rsid w:val="00412172"/>
    <w:rsid w:val="004131B8"/>
    <w:rsid w:val="0041365C"/>
    <w:rsid w:val="004148FC"/>
    <w:rsid w:val="00414C5C"/>
    <w:rsid w:val="00415647"/>
    <w:rsid w:val="00417235"/>
    <w:rsid w:val="00417EEE"/>
    <w:rsid w:val="00420E56"/>
    <w:rsid w:val="00420E79"/>
    <w:rsid w:val="00422888"/>
    <w:rsid w:val="00423548"/>
    <w:rsid w:val="00424528"/>
    <w:rsid w:val="00424CA4"/>
    <w:rsid w:val="00426604"/>
    <w:rsid w:val="00426612"/>
    <w:rsid w:val="00430C2A"/>
    <w:rsid w:val="004314B1"/>
    <w:rsid w:val="00432432"/>
    <w:rsid w:val="00432865"/>
    <w:rsid w:val="00432AA8"/>
    <w:rsid w:val="004352C0"/>
    <w:rsid w:val="00436163"/>
    <w:rsid w:val="004419BD"/>
    <w:rsid w:val="004422E6"/>
    <w:rsid w:val="004423E5"/>
    <w:rsid w:val="00446B27"/>
    <w:rsid w:val="00446C01"/>
    <w:rsid w:val="00452B32"/>
    <w:rsid w:val="00452CD4"/>
    <w:rsid w:val="00460A95"/>
    <w:rsid w:val="00461F98"/>
    <w:rsid w:val="00463965"/>
    <w:rsid w:val="004650E5"/>
    <w:rsid w:val="004658F0"/>
    <w:rsid w:val="00465C6E"/>
    <w:rsid w:val="00466318"/>
    <w:rsid w:val="00467AC0"/>
    <w:rsid w:val="0047017C"/>
    <w:rsid w:val="004706C1"/>
    <w:rsid w:val="0047145A"/>
    <w:rsid w:val="00473732"/>
    <w:rsid w:val="00486972"/>
    <w:rsid w:val="00490180"/>
    <w:rsid w:val="00490599"/>
    <w:rsid w:val="00491FB5"/>
    <w:rsid w:val="00494CDC"/>
    <w:rsid w:val="00495CBD"/>
    <w:rsid w:val="00496CD3"/>
    <w:rsid w:val="00497ECB"/>
    <w:rsid w:val="004A0091"/>
    <w:rsid w:val="004A24B5"/>
    <w:rsid w:val="004A3198"/>
    <w:rsid w:val="004A41A1"/>
    <w:rsid w:val="004A48E8"/>
    <w:rsid w:val="004A4BA6"/>
    <w:rsid w:val="004A57F2"/>
    <w:rsid w:val="004B1EE9"/>
    <w:rsid w:val="004B3BD5"/>
    <w:rsid w:val="004B5231"/>
    <w:rsid w:val="004B54C3"/>
    <w:rsid w:val="004B560C"/>
    <w:rsid w:val="004B7108"/>
    <w:rsid w:val="004C09E3"/>
    <w:rsid w:val="004C0D89"/>
    <w:rsid w:val="004C3417"/>
    <w:rsid w:val="004C35F0"/>
    <w:rsid w:val="004C3C29"/>
    <w:rsid w:val="004C4444"/>
    <w:rsid w:val="004C537B"/>
    <w:rsid w:val="004C5ABE"/>
    <w:rsid w:val="004C7D83"/>
    <w:rsid w:val="004D09E1"/>
    <w:rsid w:val="004D2ACB"/>
    <w:rsid w:val="004D5D25"/>
    <w:rsid w:val="004D6FFC"/>
    <w:rsid w:val="004D7A89"/>
    <w:rsid w:val="004E0ED5"/>
    <w:rsid w:val="004E17A2"/>
    <w:rsid w:val="004E427C"/>
    <w:rsid w:val="004E478E"/>
    <w:rsid w:val="004E71F9"/>
    <w:rsid w:val="004F1861"/>
    <w:rsid w:val="004F2559"/>
    <w:rsid w:val="004F30E0"/>
    <w:rsid w:val="004F34C4"/>
    <w:rsid w:val="004F35FE"/>
    <w:rsid w:val="004F37DC"/>
    <w:rsid w:val="004F48F7"/>
    <w:rsid w:val="004F5850"/>
    <w:rsid w:val="004F6D97"/>
    <w:rsid w:val="00501000"/>
    <w:rsid w:val="00502C94"/>
    <w:rsid w:val="005032AE"/>
    <w:rsid w:val="00505271"/>
    <w:rsid w:val="00507708"/>
    <w:rsid w:val="00511F96"/>
    <w:rsid w:val="00512821"/>
    <w:rsid w:val="0051402F"/>
    <w:rsid w:val="005142DC"/>
    <w:rsid w:val="005157F4"/>
    <w:rsid w:val="00515AC5"/>
    <w:rsid w:val="00517E45"/>
    <w:rsid w:val="0052166A"/>
    <w:rsid w:val="0052344B"/>
    <w:rsid w:val="00525002"/>
    <w:rsid w:val="00525352"/>
    <w:rsid w:val="005262CD"/>
    <w:rsid w:val="00531416"/>
    <w:rsid w:val="00532B6B"/>
    <w:rsid w:val="005334AB"/>
    <w:rsid w:val="00534F00"/>
    <w:rsid w:val="005439C5"/>
    <w:rsid w:val="0054573D"/>
    <w:rsid w:val="00546CB0"/>
    <w:rsid w:val="0054756A"/>
    <w:rsid w:val="00547D8E"/>
    <w:rsid w:val="00547DA6"/>
    <w:rsid w:val="00551359"/>
    <w:rsid w:val="0055266B"/>
    <w:rsid w:val="00552BC0"/>
    <w:rsid w:val="0055313F"/>
    <w:rsid w:val="00554481"/>
    <w:rsid w:val="00555CBA"/>
    <w:rsid w:val="0055677E"/>
    <w:rsid w:val="00557C61"/>
    <w:rsid w:val="00561E31"/>
    <w:rsid w:val="00562ADE"/>
    <w:rsid w:val="00565225"/>
    <w:rsid w:val="005712D9"/>
    <w:rsid w:val="00571BB0"/>
    <w:rsid w:val="005728B9"/>
    <w:rsid w:val="005733E2"/>
    <w:rsid w:val="005736E0"/>
    <w:rsid w:val="005750F9"/>
    <w:rsid w:val="00575D4F"/>
    <w:rsid w:val="005765B4"/>
    <w:rsid w:val="00576D1C"/>
    <w:rsid w:val="00576E58"/>
    <w:rsid w:val="0058205E"/>
    <w:rsid w:val="00582C39"/>
    <w:rsid w:val="005871AF"/>
    <w:rsid w:val="00587EE9"/>
    <w:rsid w:val="0059008B"/>
    <w:rsid w:val="00590677"/>
    <w:rsid w:val="0059083F"/>
    <w:rsid w:val="00591753"/>
    <w:rsid w:val="005926DE"/>
    <w:rsid w:val="005941FA"/>
    <w:rsid w:val="005954BA"/>
    <w:rsid w:val="005960F0"/>
    <w:rsid w:val="00596456"/>
    <w:rsid w:val="005A0E1B"/>
    <w:rsid w:val="005A10A3"/>
    <w:rsid w:val="005A2B29"/>
    <w:rsid w:val="005A48F0"/>
    <w:rsid w:val="005B0A79"/>
    <w:rsid w:val="005B2436"/>
    <w:rsid w:val="005B25A2"/>
    <w:rsid w:val="005B3243"/>
    <w:rsid w:val="005B3FB7"/>
    <w:rsid w:val="005B46FC"/>
    <w:rsid w:val="005B4A2B"/>
    <w:rsid w:val="005B50AE"/>
    <w:rsid w:val="005B79C7"/>
    <w:rsid w:val="005C0687"/>
    <w:rsid w:val="005C19D5"/>
    <w:rsid w:val="005C25FE"/>
    <w:rsid w:val="005C2966"/>
    <w:rsid w:val="005C2D0A"/>
    <w:rsid w:val="005C30AA"/>
    <w:rsid w:val="005C4EF2"/>
    <w:rsid w:val="005C5BDA"/>
    <w:rsid w:val="005C77C9"/>
    <w:rsid w:val="005D1453"/>
    <w:rsid w:val="005D2FD5"/>
    <w:rsid w:val="005D3E53"/>
    <w:rsid w:val="005D42F9"/>
    <w:rsid w:val="005D501A"/>
    <w:rsid w:val="005D6346"/>
    <w:rsid w:val="005D6D18"/>
    <w:rsid w:val="005D73C3"/>
    <w:rsid w:val="005E0544"/>
    <w:rsid w:val="005E309F"/>
    <w:rsid w:val="005E4B95"/>
    <w:rsid w:val="005F00B4"/>
    <w:rsid w:val="005F133E"/>
    <w:rsid w:val="005F1CA8"/>
    <w:rsid w:val="005F21C0"/>
    <w:rsid w:val="005F2FA4"/>
    <w:rsid w:val="005F4420"/>
    <w:rsid w:val="005F6846"/>
    <w:rsid w:val="006039A0"/>
    <w:rsid w:val="00605BA1"/>
    <w:rsid w:val="0060777B"/>
    <w:rsid w:val="0061288A"/>
    <w:rsid w:val="00613E5A"/>
    <w:rsid w:val="006154F9"/>
    <w:rsid w:val="006174FA"/>
    <w:rsid w:val="006202EC"/>
    <w:rsid w:val="006237F3"/>
    <w:rsid w:val="00623DC9"/>
    <w:rsid w:val="0062469C"/>
    <w:rsid w:val="006256D9"/>
    <w:rsid w:val="00631042"/>
    <w:rsid w:val="0063140B"/>
    <w:rsid w:val="00632888"/>
    <w:rsid w:val="00632F92"/>
    <w:rsid w:val="00633349"/>
    <w:rsid w:val="00634977"/>
    <w:rsid w:val="006351BA"/>
    <w:rsid w:val="00640FF2"/>
    <w:rsid w:val="0064111E"/>
    <w:rsid w:val="0064188D"/>
    <w:rsid w:val="006443BE"/>
    <w:rsid w:val="00645275"/>
    <w:rsid w:val="00645B97"/>
    <w:rsid w:val="006463BD"/>
    <w:rsid w:val="006472E7"/>
    <w:rsid w:val="006507E2"/>
    <w:rsid w:val="006541A3"/>
    <w:rsid w:val="00654A32"/>
    <w:rsid w:val="00655067"/>
    <w:rsid w:val="00655E75"/>
    <w:rsid w:val="00657809"/>
    <w:rsid w:val="00660AC5"/>
    <w:rsid w:val="00661963"/>
    <w:rsid w:val="00663807"/>
    <w:rsid w:val="00663970"/>
    <w:rsid w:val="0066669A"/>
    <w:rsid w:val="00667581"/>
    <w:rsid w:val="00670ED4"/>
    <w:rsid w:val="00671325"/>
    <w:rsid w:val="006721C0"/>
    <w:rsid w:val="00672397"/>
    <w:rsid w:val="00675915"/>
    <w:rsid w:val="00675AA4"/>
    <w:rsid w:val="00676560"/>
    <w:rsid w:val="00676C2B"/>
    <w:rsid w:val="00682DDD"/>
    <w:rsid w:val="0068335E"/>
    <w:rsid w:val="006838A9"/>
    <w:rsid w:val="0068523D"/>
    <w:rsid w:val="006856E0"/>
    <w:rsid w:val="00685D3B"/>
    <w:rsid w:val="006860BD"/>
    <w:rsid w:val="006862CF"/>
    <w:rsid w:val="00690391"/>
    <w:rsid w:val="006911EC"/>
    <w:rsid w:val="00694155"/>
    <w:rsid w:val="006972EF"/>
    <w:rsid w:val="006A0170"/>
    <w:rsid w:val="006A0357"/>
    <w:rsid w:val="006A064F"/>
    <w:rsid w:val="006A376A"/>
    <w:rsid w:val="006A3FD5"/>
    <w:rsid w:val="006A5BBE"/>
    <w:rsid w:val="006A6019"/>
    <w:rsid w:val="006A6A03"/>
    <w:rsid w:val="006B17DE"/>
    <w:rsid w:val="006B2297"/>
    <w:rsid w:val="006B35EB"/>
    <w:rsid w:val="006C05B0"/>
    <w:rsid w:val="006C0A46"/>
    <w:rsid w:val="006C1256"/>
    <w:rsid w:val="006C1B6C"/>
    <w:rsid w:val="006C21FB"/>
    <w:rsid w:val="006C29CC"/>
    <w:rsid w:val="006C518E"/>
    <w:rsid w:val="006C5F2B"/>
    <w:rsid w:val="006C68E0"/>
    <w:rsid w:val="006C7D91"/>
    <w:rsid w:val="006D20C5"/>
    <w:rsid w:val="006D4802"/>
    <w:rsid w:val="006D705C"/>
    <w:rsid w:val="006E1146"/>
    <w:rsid w:val="006E242F"/>
    <w:rsid w:val="006E2B04"/>
    <w:rsid w:val="006E2DBE"/>
    <w:rsid w:val="006E4324"/>
    <w:rsid w:val="006E558C"/>
    <w:rsid w:val="006E788F"/>
    <w:rsid w:val="006F5BB2"/>
    <w:rsid w:val="0070088C"/>
    <w:rsid w:val="007008B2"/>
    <w:rsid w:val="00700CC6"/>
    <w:rsid w:val="00703748"/>
    <w:rsid w:val="0070455E"/>
    <w:rsid w:val="00711346"/>
    <w:rsid w:val="00712C2B"/>
    <w:rsid w:val="007141A0"/>
    <w:rsid w:val="007157BA"/>
    <w:rsid w:val="00715890"/>
    <w:rsid w:val="00715CF4"/>
    <w:rsid w:val="00722E71"/>
    <w:rsid w:val="00724151"/>
    <w:rsid w:val="007251CB"/>
    <w:rsid w:val="00726147"/>
    <w:rsid w:val="007301B1"/>
    <w:rsid w:val="00730316"/>
    <w:rsid w:val="00730EFC"/>
    <w:rsid w:val="00734AEA"/>
    <w:rsid w:val="00734B31"/>
    <w:rsid w:val="00735CFD"/>
    <w:rsid w:val="00736955"/>
    <w:rsid w:val="00737DB6"/>
    <w:rsid w:val="0074018F"/>
    <w:rsid w:val="00740461"/>
    <w:rsid w:val="00745991"/>
    <w:rsid w:val="007478A4"/>
    <w:rsid w:val="00747B96"/>
    <w:rsid w:val="00750F54"/>
    <w:rsid w:val="00751C6D"/>
    <w:rsid w:val="00753449"/>
    <w:rsid w:val="00753949"/>
    <w:rsid w:val="007547D6"/>
    <w:rsid w:val="00755455"/>
    <w:rsid w:val="00757078"/>
    <w:rsid w:val="007573E1"/>
    <w:rsid w:val="007603DC"/>
    <w:rsid w:val="00760F76"/>
    <w:rsid w:val="00761E8A"/>
    <w:rsid w:val="00762C7D"/>
    <w:rsid w:val="00763F92"/>
    <w:rsid w:val="00766B50"/>
    <w:rsid w:val="00771C01"/>
    <w:rsid w:val="00773839"/>
    <w:rsid w:val="00773BC7"/>
    <w:rsid w:val="00774C1E"/>
    <w:rsid w:val="00774CDF"/>
    <w:rsid w:val="00774EF1"/>
    <w:rsid w:val="0077774B"/>
    <w:rsid w:val="00780099"/>
    <w:rsid w:val="00780C44"/>
    <w:rsid w:val="0078208B"/>
    <w:rsid w:val="0078273B"/>
    <w:rsid w:val="00782938"/>
    <w:rsid w:val="00782FBE"/>
    <w:rsid w:val="0078457A"/>
    <w:rsid w:val="00784955"/>
    <w:rsid w:val="00784EB7"/>
    <w:rsid w:val="007862B5"/>
    <w:rsid w:val="00786369"/>
    <w:rsid w:val="0079009B"/>
    <w:rsid w:val="007914E3"/>
    <w:rsid w:val="007922C1"/>
    <w:rsid w:val="00793C8C"/>
    <w:rsid w:val="00795D31"/>
    <w:rsid w:val="00795EFA"/>
    <w:rsid w:val="00796838"/>
    <w:rsid w:val="007A14F2"/>
    <w:rsid w:val="007A1C2A"/>
    <w:rsid w:val="007A2453"/>
    <w:rsid w:val="007A305F"/>
    <w:rsid w:val="007A4F06"/>
    <w:rsid w:val="007A59DF"/>
    <w:rsid w:val="007A714C"/>
    <w:rsid w:val="007A7E47"/>
    <w:rsid w:val="007B0779"/>
    <w:rsid w:val="007B0849"/>
    <w:rsid w:val="007B1F3E"/>
    <w:rsid w:val="007B25EB"/>
    <w:rsid w:val="007B342C"/>
    <w:rsid w:val="007B415D"/>
    <w:rsid w:val="007B593F"/>
    <w:rsid w:val="007B7B15"/>
    <w:rsid w:val="007B7F73"/>
    <w:rsid w:val="007C2494"/>
    <w:rsid w:val="007C31DC"/>
    <w:rsid w:val="007C3C5D"/>
    <w:rsid w:val="007C448F"/>
    <w:rsid w:val="007C67B5"/>
    <w:rsid w:val="007C7C2C"/>
    <w:rsid w:val="007C7C30"/>
    <w:rsid w:val="007D02C5"/>
    <w:rsid w:val="007D05E0"/>
    <w:rsid w:val="007D109C"/>
    <w:rsid w:val="007D1204"/>
    <w:rsid w:val="007D158C"/>
    <w:rsid w:val="007D15B2"/>
    <w:rsid w:val="007D219D"/>
    <w:rsid w:val="007D40C4"/>
    <w:rsid w:val="007D40EB"/>
    <w:rsid w:val="007D64B0"/>
    <w:rsid w:val="007D64BB"/>
    <w:rsid w:val="007D78D1"/>
    <w:rsid w:val="007D7D05"/>
    <w:rsid w:val="007E00F7"/>
    <w:rsid w:val="007E16F9"/>
    <w:rsid w:val="007E3E60"/>
    <w:rsid w:val="007E5475"/>
    <w:rsid w:val="007F34AE"/>
    <w:rsid w:val="007F3CC5"/>
    <w:rsid w:val="007F6E50"/>
    <w:rsid w:val="007F7767"/>
    <w:rsid w:val="008009AC"/>
    <w:rsid w:val="00800D41"/>
    <w:rsid w:val="00800ED7"/>
    <w:rsid w:val="0080231F"/>
    <w:rsid w:val="0080275F"/>
    <w:rsid w:val="0080390B"/>
    <w:rsid w:val="00806EB9"/>
    <w:rsid w:val="008077FA"/>
    <w:rsid w:val="00810013"/>
    <w:rsid w:val="00810373"/>
    <w:rsid w:val="00810FBA"/>
    <w:rsid w:val="008119B7"/>
    <w:rsid w:val="00811B29"/>
    <w:rsid w:val="00811C37"/>
    <w:rsid w:val="0081276E"/>
    <w:rsid w:val="00816BCE"/>
    <w:rsid w:val="00816FD3"/>
    <w:rsid w:val="00820566"/>
    <w:rsid w:val="00823189"/>
    <w:rsid w:val="00824248"/>
    <w:rsid w:val="00824515"/>
    <w:rsid w:val="00825A7F"/>
    <w:rsid w:val="00825C54"/>
    <w:rsid w:val="0082662E"/>
    <w:rsid w:val="0083008B"/>
    <w:rsid w:val="0083133F"/>
    <w:rsid w:val="008326E4"/>
    <w:rsid w:val="008338F0"/>
    <w:rsid w:val="00836A23"/>
    <w:rsid w:val="00837AB2"/>
    <w:rsid w:val="00840080"/>
    <w:rsid w:val="00841B61"/>
    <w:rsid w:val="0084221E"/>
    <w:rsid w:val="008427BE"/>
    <w:rsid w:val="008444F7"/>
    <w:rsid w:val="00845516"/>
    <w:rsid w:val="00845962"/>
    <w:rsid w:val="00845D5F"/>
    <w:rsid w:val="00845DC5"/>
    <w:rsid w:val="00846055"/>
    <w:rsid w:val="008471BF"/>
    <w:rsid w:val="00847EB1"/>
    <w:rsid w:val="008523D8"/>
    <w:rsid w:val="008527DA"/>
    <w:rsid w:val="00854163"/>
    <w:rsid w:val="0085683D"/>
    <w:rsid w:val="00861504"/>
    <w:rsid w:val="0086189D"/>
    <w:rsid w:val="00861F49"/>
    <w:rsid w:val="00862008"/>
    <w:rsid w:val="008621CA"/>
    <w:rsid w:val="00862BC2"/>
    <w:rsid w:val="008630FA"/>
    <w:rsid w:val="0086463B"/>
    <w:rsid w:val="00871886"/>
    <w:rsid w:val="008723AC"/>
    <w:rsid w:val="008758D4"/>
    <w:rsid w:val="00881589"/>
    <w:rsid w:val="00881D6A"/>
    <w:rsid w:val="00894BE1"/>
    <w:rsid w:val="00895546"/>
    <w:rsid w:val="0089557F"/>
    <w:rsid w:val="008A01C8"/>
    <w:rsid w:val="008A02B6"/>
    <w:rsid w:val="008A12F7"/>
    <w:rsid w:val="008A3C6A"/>
    <w:rsid w:val="008A5235"/>
    <w:rsid w:val="008A5754"/>
    <w:rsid w:val="008A74C3"/>
    <w:rsid w:val="008B043F"/>
    <w:rsid w:val="008B19CF"/>
    <w:rsid w:val="008B3348"/>
    <w:rsid w:val="008B492E"/>
    <w:rsid w:val="008B5594"/>
    <w:rsid w:val="008B5904"/>
    <w:rsid w:val="008B59E5"/>
    <w:rsid w:val="008B62B8"/>
    <w:rsid w:val="008B63B2"/>
    <w:rsid w:val="008B6FC6"/>
    <w:rsid w:val="008B7519"/>
    <w:rsid w:val="008C0068"/>
    <w:rsid w:val="008C0089"/>
    <w:rsid w:val="008C10C3"/>
    <w:rsid w:val="008C1327"/>
    <w:rsid w:val="008C6332"/>
    <w:rsid w:val="008C6463"/>
    <w:rsid w:val="008D0466"/>
    <w:rsid w:val="008D0914"/>
    <w:rsid w:val="008D15B6"/>
    <w:rsid w:val="008D1959"/>
    <w:rsid w:val="008D2D0F"/>
    <w:rsid w:val="008D50D3"/>
    <w:rsid w:val="008D66D0"/>
    <w:rsid w:val="008D715D"/>
    <w:rsid w:val="008D7E6B"/>
    <w:rsid w:val="008E01F8"/>
    <w:rsid w:val="008E0DA2"/>
    <w:rsid w:val="008E11D3"/>
    <w:rsid w:val="008E3F3C"/>
    <w:rsid w:val="008E3FFC"/>
    <w:rsid w:val="008E546F"/>
    <w:rsid w:val="008E58BD"/>
    <w:rsid w:val="008E7FC5"/>
    <w:rsid w:val="008F0653"/>
    <w:rsid w:val="008F11B6"/>
    <w:rsid w:val="008F1631"/>
    <w:rsid w:val="008F1A53"/>
    <w:rsid w:val="008F1E7B"/>
    <w:rsid w:val="008F33FE"/>
    <w:rsid w:val="008F52D8"/>
    <w:rsid w:val="008F5D71"/>
    <w:rsid w:val="008F6BF0"/>
    <w:rsid w:val="009012AE"/>
    <w:rsid w:val="009030D6"/>
    <w:rsid w:val="00904CF6"/>
    <w:rsid w:val="00906043"/>
    <w:rsid w:val="00906475"/>
    <w:rsid w:val="00906B4A"/>
    <w:rsid w:val="00906DBB"/>
    <w:rsid w:val="009132B2"/>
    <w:rsid w:val="00914082"/>
    <w:rsid w:val="009151A4"/>
    <w:rsid w:val="00916EB2"/>
    <w:rsid w:val="00922B80"/>
    <w:rsid w:val="00923241"/>
    <w:rsid w:val="0092491D"/>
    <w:rsid w:val="009253D3"/>
    <w:rsid w:val="009259AF"/>
    <w:rsid w:val="00925D59"/>
    <w:rsid w:val="00925D66"/>
    <w:rsid w:val="00930633"/>
    <w:rsid w:val="00931291"/>
    <w:rsid w:val="009318F0"/>
    <w:rsid w:val="00933952"/>
    <w:rsid w:val="00933B98"/>
    <w:rsid w:val="00936F0B"/>
    <w:rsid w:val="0093778C"/>
    <w:rsid w:val="00940C5E"/>
    <w:rsid w:val="00942F69"/>
    <w:rsid w:val="00944F6F"/>
    <w:rsid w:val="0094601C"/>
    <w:rsid w:val="00946241"/>
    <w:rsid w:val="009467C1"/>
    <w:rsid w:val="00952BF2"/>
    <w:rsid w:val="00953DD3"/>
    <w:rsid w:val="00953FFE"/>
    <w:rsid w:val="00955B3A"/>
    <w:rsid w:val="00956F20"/>
    <w:rsid w:val="00956F63"/>
    <w:rsid w:val="00961059"/>
    <w:rsid w:val="00961B37"/>
    <w:rsid w:val="00966EB2"/>
    <w:rsid w:val="00967AFB"/>
    <w:rsid w:val="009754D3"/>
    <w:rsid w:val="009771C8"/>
    <w:rsid w:val="009808FE"/>
    <w:rsid w:val="00980D61"/>
    <w:rsid w:val="00983D38"/>
    <w:rsid w:val="00987DA8"/>
    <w:rsid w:val="00987FDC"/>
    <w:rsid w:val="009918E7"/>
    <w:rsid w:val="00993671"/>
    <w:rsid w:val="00994DEA"/>
    <w:rsid w:val="00994E0F"/>
    <w:rsid w:val="0099566D"/>
    <w:rsid w:val="009A24A3"/>
    <w:rsid w:val="009A4AB2"/>
    <w:rsid w:val="009A4F86"/>
    <w:rsid w:val="009A79F7"/>
    <w:rsid w:val="009B0D02"/>
    <w:rsid w:val="009B3B04"/>
    <w:rsid w:val="009B54AF"/>
    <w:rsid w:val="009B6048"/>
    <w:rsid w:val="009C25C1"/>
    <w:rsid w:val="009C2C9F"/>
    <w:rsid w:val="009C3436"/>
    <w:rsid w:val="009C49B5"/>
    <w:rsid w:val="009C5DF2"/>
    <w:rsid w:val="009C78C7"/>
    <w:rsid w:val="009D36D7"/>
    <w:rsid w:val="009D4A3D"/>
    <w:rsid w:val="009D4A6D"/>
    <w:rsid w:val="009D5B96"/>
    <w:rsid w:val="009E1E48"/>
    <w:rsid w:val="009E67B8"/>
    <w:rsid w:val="009F2393"/>
    <w:rsid w:val="009F277A"/>
    <w:rsid w:val="009F3023"/>
    <w:rsid w:val="009F4277"/>
    <w:rsid w:val="009F53D1"/>
    <w:rsid w:val="009F5463"/>
    <w:rsid w:val="009F5CBB"/>
    <w:rsid w:val="00A0349F"/>
    <w:rsid w:val="00A041F8"/>
    <w:rsid w:val="00A04240"/>
    <w:rsid w:val="00A047B3"/>
    <w:rsid w:val="00A04BDC"/>
    <w:rsid w:val="00A05356"/>
    <w:rsid w:val="00A067CC"/>
    <w:rsid w:val="00A06ABC"/>
    <w:rsid w:val="00A1228F"/>
    <w:rsid w:val="00A1274E"/>
    <w:rsid w:val="00A127A1"/>
    <w:rsid w:val="00A133D8"/>
    <w:rsid w:val="00A1393F"/>
    <w:rsid w:val="00A13EAF"/>
    <w:rsid w:val="00A1538C"/>
    <w:rsid w:val="00A158E9"/>
    <w:rsid w:val="00A17FAF"/>
    <w:rsid w:val="00A2004B"/>
    <w:rsid w:val="00A207B2"/>
    <w:rsid w:val="00A20D75"/>
    <w:rsid w:val="00A214E5"/>
    <w:rsid w:val="00A23981"/>
    <w:rsid w:val="00A25644"/>
    <w:rsid w:val="00A25B6A"/>
    <w:rsid w:val="00A26D8A"/>
    <w:rsid w:val="00A26E02"/>
    <w:rsid w:val="00A30960"/>
    <w:rsid w:val="00A30D88"/>
    <w:rsid w:val="00A3127A"/>
    <w:rsid w:val="00A33B50"/>
    <w:rsid w:val="00A346BA"/>
    <w:rsid w:val="00A34CF1"/>
    <w:rsid w:val="00A34FC0"/>
    <w:rsid w:val="00A36766"/>
    <w:rsid w:val="00A40499"/>
    <w:rsid w:val="00A40CF7"/>
    <w:rsid w:val="00A4331B"/>
    <w:rsid w:val="00A43818"/>
    <w:rsid w:val="00A45984"/>
    <w:rsid w:val="00A45FA7"/>
    <w:rsid w:val="00A4632B"/>
    <w:rsid w:val="00A47919"/>
    <w:rsid w:val="00A50CA5"/>
    <w:rsid w:val="00A52C4B"/>
    <w:rsid w:val="00A537E1"/>
    <w:rsid w:val="00A53F19"/>
    <w:rsid w:val="00A56409"/>
    <w:rsid w:val="00A57E2A"/>
    <w:rsid w:val="00A615D8"/>
    <w:rsid w:val="00A6413A"/>
    <w:rsid w:val="00A67773"/>
    <w:rsid w:val="00A67E36"/>
    <w:rsid w:val="00A72152"/>
    <w:rsid w:val="00A729AA"/>
    <w:rsid w:val="00A74A38"/>
    <w:rsid w:val="00A74C65"/>
    <w:rsid w:val="00A80DD7"/>
    <w:rsid w:val="00A81245"/>
    <w:rsid w:val="00A81BC9"/>
    <w:rsid w:val="00A84991"/>
    <w:rsid w:val="00A86C28"/>
    <w:rsid w:val="00A8772A"/>
    <w:rsid w:val="00A90089"/>
    <w:rsid w:val="00A903E9"/>
    <w:rsid w:val="00A91FBD"/>
    <w:rsid w:val="00A9202B"/>
    <w:rsid w:val="00A948CD"/>
    <w:rsid w:val="00A96832"/>
    <w:rsid w:val="00AA195E"/>
    <w:rsid w:val="00AA1E7A"/>
    <w:rsid w:val="00AA638A"/>
    <w:rsid w:val="00AA7E2E"/>
    <w:rsid w:val="00AB0159"/>
    <w:rsid w:val="00AB194D"/>
    <w:rsid w:val="00AB3646"/>
    <w:rsid w:val="00AB4F4D"/>
    <w:rsid w:val="00AB6A05"/>
    <w:rsid w:val="00AB7989"/>
    <w:rsid w:val="00AB7B73"/>
    <w:rsid w:val="00AC043A"/>
    <w:rsid w:val="00AC0444"/>
    <w:rsid w:val="00AC0785"/>
    <w:rsid w:val="00AC1C8B"/>
    <w:rsid w:val="00AC2306"/>
    <w:rsid w:val="00AC2DFA"/>
    <w:rsid w:val="00AC387B"/>
    <w:rsid w:val="00AC624F"/>
    <w:rsid w:val="00AC7EAE"/>
    <w:rsid w:val="00AC7FB0"/>
    <w:rsid w:val="00AD1751"/>
    <w:rsid w:val="00AD1F52"/>
    <w:rsid w:val="00AD2D65"/>
    <w:rsid w:val="00AD316A"/>
    <w:rsid w:val="00AD3A78"/>
    <w:rsid w:val="00AD6091"/>
    <w:rsid w:val="00AD70C0"/>
    <w:rsid w:val="00AE08B2"/>
    <w:rsid w:val="00AE1DAB"/>
    <w:rsid w:val="00AE2C95"/>
    <w:rsid w:val="00AE32C6"/>
    <w:rsid w:val="00AE57F9"/>
    <w:rsid w:val="00AF1B68"/>
    <w:rsid w:val="00AF2A4B"/>
    <w:rsid w:val="00AF439C"/>
    <w:rsid w:val="00AF7D77"/>
    <w:rsid w:val="00B009B6"/>
    <w:rsid w:val="00B00FE1"/>
    <w:rsid w:val="00B01A3F"/>
    <w:rsid w:val="00B01BF6"/>
    <w:rsid w:val="00B01CC1"/>
    <w:rsid w:val="00B01EEA"/>
    <w:rsid w:val="00B01F38"/>
    <w:rsid w:val="00B03C82"/>
    <w:rsid w:val="00B03DCF"/>
    <w:rsid w:val="00B04CFF"/>
    <w:rsid w:val="00B05A89"/>
    <w:rsid w:val="00B07F5A"/>
    <w:rsid w:val="00B1130A"/>
    <w:rsid w:val="00B13096"/>
    <w:rsid w:val="00B13407"/>
    <w:rsid w:val="00B1384F"/>
    <w:rsid w:val="00B208B2"/>
    <w:rsid w:val="00B25C10"/>
    <w:rsid w:val="00B278E7"/>
    <w:rsid w:val="00B27BC3"/>
    <w:rsid w:val="00B30130"/>
    <w:rsid w:val="00B324F0"/>
    <w:rsid w:val="00B340D4"/>
    <w:rsid w:val="00B37CD3"/>
    <w:rsid w:val="00B400D6"/>
    <w:rsid w:val="00B41716"/>
    <w:rsid w:val="00B417A9"/>
    <w:rsid w:val="00B448FC"/>
    <w:rsid w:val="00B44C4C"/>
    <w:rsid w:val="00B45B94"/>
    <w:rsid w:val="00B4678A"/>
    <w:rsid w:val="00B47175"/>
    <w:rsid w:val="00B50292"/>
    <w:rsid w:val="00B5130D"/>
    <w:rsid w:val="00B518AB"/>
    <w:rsid w:val="00B534F2"/>
    <w:rsid w:val="00B53F73"/>
    <w:rsid w:val="00B55078"/>
    <w:rsid w:val="00B55791"/>
    <w:rsid w:val="00B5687A"/>
    <w:rsid w:val="00B57631"/>
    <w:rsid w:val="00B62487"/>
    <w:rsid w:val="00B635ED"/>
    <w:rsid w:val="00B709DC"/>
    <w:rsid w:val="00B72757"/>
    <w:rsid w:val="00B73887"/>
    <w:rsid w:val="00B74438"/>
    <w:rsid w:val="00B77EB2"/>
    <w:rsid w:val="00B811CC"/>
    <w:rsid w:val="00B84C2D"/>
    <w:rsid w:val="00B871A6"/>
    <w:rsid w:val="00B878D9"/>
    <w:rsid w:val="00B90C47"/>
    <w:rsid w:val="00B9291E"/>
    <w:rsid w:val="00B92A5A"/>
    <w:rsid w:val="00B9539D"/>
    <w:rsid w:val="00B96816"/>
    <w:rsid w:val="00BA160C"/>
    <w:rsid w:val="00BA1C3C"/>
    <w:rsid w:val="00BA2AB0"/>
    <w:rsid w:val="00BA2E05"/>
    <w:rsid w:val="00BA36C6"/>
    <w:rsid w:val="00BB14DB"/>
    <w:rsid w:val="00BB2543"/>
    <w:rsid w:val="00BB3AD7"/>
    <w:rsid w:val="00BB3CA0"/>
    <w:rsid w:val="00BB5D8C"/>
    <w:rsid w:val="00BB5E8F"/>
    <w:rsid w:val="00BB6462"/>
    <w:rsid w:val="00BC0062"/>
    <w:rsid w:val="00BC1D38"/>
    <w:rsid w:val="00BC2951"/>
    <w:rsid w:val="00BC2F5D"/>
    <w:rsid w:val="00BC32F4"/>
    <w:rsid w:val="00BC37E7"/>
    <w:rsid w:val="00BC4990"/>
    <w:rsid w:val="00BC6550"/>
    <w:rsid w:val="00BC69A5"/>
    <w:rsid w:val="00BD2A43"/>
    <w:rsid w:val="00BD2FBD"/>
    <w:rsid w:val="00BD3409"/>
    <w:rsid w:val="00BD7D88"/>
    <w:rsid w:val="00BE0B55"/>
    <w:rsid w:val="00BE0F00"/>
    <w:rsid w:val="00BE12E5"/>
    <w:rsid w:val="00BE25FC"/>
    <w:rsid w:val="00BE5091"/>
    <w:rsid w:val="00BE56D7"/>
    <w:rsid w:val="00BE5976"/>
    <w:rsid w:val="00BE6ED5"/>
    <w:rsid w:val="00BF039E"/>
    <w:rsid w:val="00BF2F67"/>
    <w:rsid w:val="00BF4D24"/>
    <w:rsid w:val="00BF4E8E"/>
    <w:rsid w:val="00BF517B"/>
    <w:rsid w:val="00BF5CA5"/>
    <w:rsid w:val="00C00686"/>
    <w:rsid w:val="00C0082E"/>
    <w:rsid w:val="00C00A2E"/>
    <w:rsid w:val="00C028C8"/>
    <w:rsid w:val="00C033B2"/>
    <w:rsid w:val="00C03528"/>
    <w:rsid w:val="00C0524D"/>
    <w:rsid w:val="00C053C0"/>
    <w:rsid w:val="00C062C6"/>
    <w:rsid w:val="00C108E1"/>
    <w:rsid w:val="00C140F7"/>
    <w:rsid w:val="00C14BCC"/>
    <w:rsid w:val="00C164A0"/>
    <w:rsid w:val="00C1710A"/>
    <w:rsid w:val="00C20EC1"/>
    <w:rsid w:val="00C213CE"/>
    <w:rsid w:val="00C2356C"/>
    <w:rsid w:val="00C2491E"/>
    <w:rsid w:val="00C25239"/>
    <w:rsid w:val="00C25AC3"/>
    <w:rsid w:val="00C2759A"/>
    <w:rsid w:val="00C32F82"/>
    <w:rsid w:val="00C330B7"/>
    <w:rsid w:val="00C3319C"/>
    <w:rsid w:val="00C3416C"/>
    <w:rsid w:val="00C34DBC"/>
    <w:rsid w:val="00C35AB3"/>
    <w:rsid w:val="00C3619D"/>
    <w:rsid w:val="00C363BB"/>
    <w:rsid w:val="00C36CC3"/>
    <w:rsid w:val="00C40BC9"/>
    <w:rsid w:val="00C43CC8"/>
    <w:rsid w:val="00C44765"/>
    <w:rsid w:val="00C474F8"/>
    <w:rsid w:val="00C51637"/>
    <w:rsid w:val="00C56A8D"/>
    <w:rsid w:val="00C56D14"/>
    <w:rsid w:val="00C57A4E"/>
    <w:rsid w:val="00C61D1D"/>
    <w:rsid w:val="00C61D49"/>
    <w:rsid w:val="00C6417F"/>
    <w:rsid w:val="00C646AD"/>
    <w:rsid w:val="00C65BC4"/>
    <w:rsid w:val="00C732E1"/>
    <w:rsid w:val="00C73841"/>
    <w:rsid w:val="00C7457F"/>
    <w:rsid w:val="00C76167"/>
    <w:rsid w:val="00C76B3D"/>
    <w:rsid w:val="00C76D22"/>
    <w:rsid w:val="00C802BE"/>
    <w:rsid w:val="00C8052B"/>
    <w:rsid w:val="00C80B91"/>
    <w:rsid w:val="00C82B40"/>
    <w:rsid w:val="00C86218"/>
    <w:rsid w:val="00C90A3C"/>
    <w:rsid w:val="00C93215"/>
    <w:rsid w:val="00C9337C"/>
    <w:rsid w:val="00C933AF"/>
    <w:rsid w:val="00C97453"/>
    <w:rsid w:val="00CA06E9"/>
    <w:rsid w:val="00CA1B84"/>
    <w:rsid w:val="00CA6643"/>
    <w:rsid w:val="00CA66EB"/>
    <w:rsid w:val="00CA6830"/>
    <w:rsid w:val="00CA6F3A"/>
    <w:rsid w:val="00CB05EC"/>
    <w:rsid w:val="00CB11F8"/>
    <w:rsid w:val="00CB28DA"/>
    <w:rsid w:val="00CB3CA4"/>
    <w:rsid w:val="00CB4941"/>
    <w:rsid w:val="00CB49C5"/>
    <w:rsid w:val="00CB6758"/>
    <w:rsid w:val="00CB6783"/>
    <w:rsid w:val="00CB7B89"/>
    <w:rsid w:val="00CC0FFD"/>
    <w:rsid w:val="00CC1B51"/>
    <w:rsid w:val="00CC2E30"/>
    <w:rsid w:val="00CC64D3"/>
    <w:rsid w:val="00CC6EE0"/>
    <w:rsid w:val="00CD031B"/>
    <w:rsid w:val="00CD06F3"/>
    <w:rsid w:val="00CD6DC9"/>
    <w:rsid w:val="00CD7D9D"/>
    <w:rsid w:val="00CE1725"/>
    <w:rsid w:val="00CE1BDB"/>
    <w:rsid w:val="00CE26B0"/>
    <w:rsid w:val="00CE26C5"/>
    <w:rsid w:val="00CE3264"/>
    <w:rsid w:val="00CE39AB"/>
    <w:rsid w:val="00CE4CD9"/>
    <w:rsid w:val="00CE5268"/>
    <w:rsid w:val="00CE536F"/>
    <w:rsid w:val="00CE5AC1"/>
    <w:rsid w:val="00CF2BF0"/>
    <w:rsid w:val="00CF7469"/>
    <w:rsid w:val="00D002EC"/>
    <w:rsid w:val="00D00558"/>
    <w:rsid w:val="00D00F8D"/>
    <w:rsid w:val="00D02EF1"/>
    <w:rsid w:val="00D056A2"/>
    <w:rsid w:val="00D05D88"/>
    <w:rsid w:val="00D067A9"/>
    <w:rsid w:val="00D06A09"/>
    <w:rsid w:val="00D16542"/>
    <w:rsid w:val="00D171A1"/>
    <w:rsid w:val="00D20564"/>
    <w:rsid w:val="00D229CD"/>
    <w:rsid w:val="00D230C1"/>
    <w:rsid w:val="00D24AE1"/>
    <w:rsid w:val="00D25CE5"/>
    <w:rsid w:val="00D266B4"/>
    <w:rsid w:val="00D270CE"/>
    <w:rsid w:val="00D303BD"/>
    <w:rsid w:val="00D34F00"/>
    <w:rsid w:val="00D37AE9"/>
    <w:rsid w:val="00D37E0B"/>
    <w:rsid w:val="00D4005E"/>
    <w:rsid w:val="00D4187A"/>
    <w:rsid w:val="00D41A8A"/>
    <w:rsid w:val="00D44D5E"/>
    <w:rsid w:val="00D44DD5"/>
    <w:rsid w:val="00D47E88"/>
    <w:rsid w:val="00D529F7"/>
    <w:rsid w:val="00D5542D"/>
    <w:rsid w:val="00D569AD"/>
    <w:rsid w:val="00D60314"/>
    <w:rsid w:val="00D60E96"/>
    <w:rsid w:val="00D616A8"/>
    <w:rsid w:val="00D6628C"/>
    <w:rsid w:val="00D67A0E"/>
    <w:rsid w:val="00D70E1E"/>
    <w:rsid w:val="00D71E37"/>
    <w:rsid w:val="00D72F75"/>
    <w:rsid w:val="00D73C99"/>
    <w:rsid w:val="00D75954"/>
    <w:rsid w:val="00D75C48"/>
    <w:rsid w:val="00D81177"/>
    <w:rsid w:val="00D819E0"/>
    <w:rsid w:val="00D81A52"/>
    <w:rsid w:val="00D82DF2"/>
    <w:rsid w:val="00D83698"/>
    <w:rsid w:val="00D84BAC"/>
    <w:rsid w:val="00D850C0"/>
    <w:rsid w:val="00D8757B"/>
    <w:rsid w:val="00D8780E"/>
    <w:rsid w:val="00D87FF4"/>
    <w:rsid w:val="00D9076C"/>
    <w:rsid w:val="00D93FA9"/>
    <w:rsid w:val="00D94AE7"/>
    <w:rsid w:val="00D95B5E"/>
    <w:rsid w:val="00D96B1F"/>
    <w:rsid w:val="00D96DA8"/>
    <w:rsid w:val="00D96F16"/>
    <w:rsid w:val="00DA5367"/>
    <w:rsid w:val="00DA5424"/>
    <w:rsid w:val="00DA5EF5"/>
    <w:rsid w:val="00DA6C5D"/>
    <w:rsid w:val="00DB0E9D"/>
    <w:rsid w:val="00DB1732"/>
    <w:rsid w:val="00DB1C10"/>
    <w:rsid w:val="00DB1EAA"/>
    <w:rsid w:val="00DB2A55"/>
    <w:rsid w:val="00DB45FC"/>
    <w:rsid w:val="00DB4F6D"/>
    <w:rsid w:val="00DB5ED7"/>
    <w:rsid w:val="00DB6829"/>
    <w:rsid w:val="00DB7B86"/>
    <w:rsid w:val="00DB7DDF"/>
    <w:rsid w:val="00DC000A"/>
    <w:rsid w:val="00DC0D78"/>
    <w:rsid w:val="00DC2909"/>
    <w:rsid w:val="00DC3B4F"/>
    <w:rsid w:val="00DC3D47"/>
    <w:rsid w:val="00DC4011"/>
    <w:rsid w:val="00DC4A7E"/>
    <w:rsid w:val="00DC4AD4"/>
    <w:rsid w:val="00DC61B7"/>
    <w:rsid w:val="00DC7CF4"/>
    <w:rsid w:val="00DD0615"/>
    <w:rsid w:val="00DD131B"/>
    <w:rsid w:val="00DD22F8"/>
    <w:rsid w:val="00DD2D85"/>
    <w:rsid w:val="00DD56AA"/>
    <w:rsid w:val="00DD651D"/>
    <w:rsid w:val="00DD6AA7"/>
    <w:rsid w:val="00DD7BC3"/>
    <w:rsid w:val="00DD7D3B"/>
    <w:rsid w:val="00DE0646"/>
    <w:rsid w:val="00DE41FF"/>
    <w:rsid w:val="00DE42B6"/>
    <w:rsid w:val="00DE53EE"/>
    <w:rsid w:val="00DF22E7"/>
    <w:rsid w:val="00DF354A"/>
    <w:rsid w:val="00DF58D7"/>
    <w:rsid w:val="00DF6635"/>
    <w:rsid w:val="00DF6687"/>
    <w:rsid w:val="00DF684F"/>
    <w:rsid w:val="00E01DB1"/>
    <w:rsid w:val="00E0403A"/>
    <w:rsid w:val="00E040E2"/>
    <w:rsid w:val="00E04E32"/>
    <w:rsid w:val="00E10026"/>
    <w:rsid w:val="00E1085C"/>
    <w:rsid w:val="00E10A76"/>
    <w:rsid w:val="00E10ADC"/>
    <w:rsid w:val="00E10E8F"/>
    <w:rsid w:val="00E12B0C"/>
    <w:rsid w:val="00E1324F"/>
    <w:rsid w:val="00E1708B"/>
    <w:rsid w:val="00E21188"/>
    <w:rsid w:val="00E2226D"/>
    <w:rsid w:val="00E26144"/>
    <w:rsid w:val="00E30764"/>
    <w:rsid w:val="00E314BC"/>
    <w:rsid w:val="00E32FAE"/>
    <w:rsid w:val="00E3348E"/>
    <w:rsid w:val="00E3508C"/>
    <w:rsid w:val="00E37FDE"/>
    <w:rsid w:val="00E428EF"/>
    <w:rsid w:val="00E4436E"/>
    <w:rsid w:val="00E444AF"/>
    <w:rsid w:val="00E448B9"/>
    <w:rsid w:val="00E44FB6"/>
    <w:rsid w:val="00E451A7"/>
    <w:rsid w:val="00E45C7C"/>
    <w:rsid w:val="00E46B95"/>
    <w:rsid w:val="00E5015F"/>
    <w:rsid w:val="00E50B76"/>
    <w:rsid w:val="00E5218A"/>
    <w:rsid w:val="00E52D31"/>
    <w:rsid w:val="00E530F2"/>
    <w:rsid w:val="00E53246"/>
    <w:rsid w:val="00E5355A"/>
    <w:rsid w:val="00E5560A"/>
    <w:rsid w:val="00E5720F"/>
    <w:rsid w:val="00E60212"/>
    <w:rsid w:val="00E6516F"/>
    <w:rsid w:val="00E66110"/>
    <w:rsid w:val="00E70B96"/>
    <w:rsid w:val="00E71564"/>
    <w:rsid w:val="00E71DE9"/>
    <w:rsid w:val="00E72314"/>
    <w:rsid w:val="00E72B6A"/>
    <w:rsid w:val="00E74443"/>
    <w:rsid w:val="00E77413"/>
    <w:rsid w:val="00E84C13"/>
    <w:rsid w:val="00E8523F"/>
    <w:rsid w:val="00E91B3E"/>
    <w:rsid w:val="00E933C2"/>
    <w:rsid w:val="00E94862"/>
    <w:rsid w:val="00E94930"/>
    <w:rsid w:val="00EA0BFD"/>
    <w:rsid w:val="00EA1189"/>
    <w:rsid w:val="00EA3684"/>
    <w:rsid w:val="00EA4177"/>
    <w:rsid w:val="00EA4DB4"/>
    <w:rsid w:val="00EA4F14"/>
    <w:rsid w:val="00EA58AA"/>
    <w:rsid w:val="00EA64A6"/>
    <w:rsid w:val="00EB12B6"/>
    <w:rsid w:val="00EB2EEC"/>
    <w:rsid w:val="00EB45A6"/>
    <w:rsid w:val="00EB5682"/>
    <w:rsid w:val="00EB7FD8"/>
    <w:rsid w:val="00EC08D9"/>
    <w:rsid w:val="00EC1B44"/>
    <w:rsid w:val="00EC36F2"/>
    <w:rsid w:val="00EC3961"/>
    <w:rsid w:val="00EC534A"/>
    <w:rsid w:val="00EC6A44"/>
    <w:rsid w:val="00ED1178"/>
    <w:rsid w:val="00ED2E68"/>
    <w:rsid w:val="00ED416D"/>
    <w:rsid w:val="00ED49AE"/>
    <w:rsid w:val="00ED6903"/>
    <w:rsid w:val="00ED6DB3"/>
    <w:rsid w:val="00ED7F30"/>
    <w:rsid w:val="00EE0EAE"/>
    <w:rsid w:val="00EE4F69"/>
    <w:rsid w:val="00EE51BD"/>
    <w:rsid w:val="00EE526F"/>
    <w:rsid w:val="00EE67C6"/>
    <w:rsid w:val="00EF01DE"/>
    <w:rsid w:val="00EF1271"/>
    <w:rsid w:val="00EF1450"/>
    <w:rsid w:val="00EF25C2"/>
    <w:rsid w:val="00EF7FCB"/>
    <w:rsid w:val="00F009FE"/>
    <w:rsid w:val="00F01CC1"/>
    <w:rsid w:val="00F04479"/>
    <w:rsid w:val="00F0475A"/>
    <w:rsid w:val="00F05622"/>
    <w:rsid w:val="00F05E24"/>
    <w:rsid w:val="00F060FE"/>
    <w:rsid w:val="00F06612"/>
    <w:rsid w:val="00F069FB"/>
    <w:rsid w:val="00F07056"/>
    <w:rsid w:val="00F1114D"/>
    <w:rsid w:val="00F12EDD"/>
    <w:rsid w:val="00F13075"/>
    <w:rsid w:val="00F13A01"/>
    <w:rsid w:val="00F15A24"/>
    <w:rsid w:val="00F176EA"/>
    <w:rsid w:val="00F2115E"/>
    <w:rsid w:val="00F22CB3"/>
    <w:rsid w:val="00F231F8"/>
    <w:rsid w:val="00F248B7"/>
    <w:rsid w:val="00F24F83"/>
    <w:rsid w:val="00F252C6"/>
    <w:rsid w:val="00F260CE"/>
    <w:rsid w:val="00F31A6B"/>
    <w:rsid w:val="00F32338"/>
    <w:rsid w:val="00F33AD4"/>
    <w:rsid w:val="00F3587F"/>
    <w:rsid w:val="00F35AA8"/>
    <w:rsid w:val="00F35E57"/>
    <w:rsid w:val="00F35F8B"/>
    <w:rsid w:val="00F37077"/>
    <w:rsid w:val="00F37F10"/>
    <w:rsid w:val="00F40621"/>
    <w:rsid w:val="00F41551"/>
    <w:rsid w:val="00F4253A"/>
    <w:rsid w:val="00F44527"/>
    <w:rsid w:val="00F4526D"/>
    <w:rsid w:val="00F46F03"/>
    <w:rsid w:val="00F5004E"/>
    <w:rsid w:val="00F51554"/>
    <w:rsid w:val="00F5188B"/>
    <w:rsid w:val="00F51C41"/>
    <w:rsid w:val="00F5251B"/>
    <w:rsid w:val="00F52A51"/>
    <w:rsid w:val="00F534A0"/>
    <w:rsid w:val="00F564E6"/>
    <w:rsid w:val="00F605B9"/>
    <w:rsid w:val="00F60FCF"/>
    <w:rsid w:val="00F62306"/>
    <w:rsid w:val="00F62F92"/>
    <w:rsid w:val="00F63244"/>
    <w:rsid w:val="00F64824"/>
    <w:rsid w:val="00F65E13"/>
    <w:rsid w:val="00F662DE"/>
    <w:rsid w:val="00F7207A"/>
    <w:rsid w:val="00F728F3"/>
    <w:rsid w:val="00F742B2"/>
    <w:rsid w:val="00F76E65"/>
    <w:rsid w:val="00F77B52"/>
    <w:rsid w:val="00F80C59"/>
    <w:rsid w:val="00F81249"/>
    <w:rsid w:val="00F81678"/>
    <w:rsid w:val="00F819BA"/>
    <w:rsid w:val="00F822A1"/>
    <w:rsid w:val="00F8558C"/>
    <w:rsid w:val="00F922BF"/>
    <w:rsid w:val="00F92D1A"/>
    <w:rsid w:val="00F9312C"/>
    <w:rsid w:val="00F93350"/>
    <w:rsid w:val="00F93B1C"/>
    <w:rsid w:val="00F9405C"/>
    <w:rsid w:val="00F96745"/>
    <w:rsid w:val="00F9762F"/>
    <w:rsid w:val="00F97DCC"/>
    <w:rsid w:val="00FA16CC"/>
    <w:rsid w:val="00FA48E5"/>
    <w:rsid w:val="00FA56E0"/>
    <w:rsid w:val="00FA6EDB"/>
    <w:rsid w:val="00FA757C"/>
    <w:rsid w:val="00FA7C04"/>
    <w:rsid w:val="00FB0859"/>
    <w:rsid w:val="00FB0E66"/>
    <w:rsid w:val="00FB1FB3"/>
    <w:rsid w:val="00FB2208"/>
    <w:rsid w:val="00FB3B24"/>
    <w:rsid w:val="00FB481F"/>
    <w:rsid w:val="00FB550D"/>
    <w:rsid w:val="00FB5524"/>
    <w:rsid w:val="00FB6837"/>
    <w:rsid w:val="00FC0443"/>
    <w:rsid w:val="00FC0C16"/>
    <w:rsid w:val="00FC1E67"/>
    <w:rsid w:val="00FC1F70"/>
    <w:rsid w:val="00FC2505"/>
    <w:rsid w:val="00FC7882"/>
    <w:rsid w:val="00FC7F5E"/>
    <w:rsid w:val="00FD07D5"/>
    <w:rsid w:val="00FD3005"/>
    <w:rsid w:val="00FD3769"/>
    <w:rsid w:val="00FD3EA4"/>
    <w:rsid w:val="00FD47DE"/>
    <w:rsid w:val="00FD4DF1"/>
    <w:rsid w:val="00FD6ED8"/>
    <w:rsid w:val="00FD76F3"/>
    <w:rsid w:val="00FD7E49"/>
    <w:rsid w:val="00FE0132"/>
    <w:rsid w:val="00FE2329"/>
    <w:rsid w:val="00FF0CDB"/>
    <w:rsid w:val="00FF1170"/>
    <w:rsid w:val="00FF1560"/>
    <w:rsid w:val="00FF2D8F"/>
    <w:rsid w:val="00FF3101"/>
    <w:rsid w:val="00FF4708"/>
    <w:rsid w:val="00FF501B"/>
    <w:rsid w:val="00FF51F2"/>
    <w:rsid w:val="00FF54F6"/>
    <w:rsid w:val="00FF58E0"/>
    <w:rsid w:val="00FF5AAD"/>
    <w:rsid w:val="00FF5F45"/>
    <w:rsid w:val="00FF67B7"/>
    <w:rsid w:val="00FF70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B9539D"/>
    <w:pPr>
      <w:spacing w:line="360" w:lineRule="auto"/>
      <w:ind w:firstLine="567"/>
      <w:jc w:val="both"/>
    </w:pPr>
    <w:rPr>
      <w:rFonts w:ascii="Times New Roman" w:hAnsi="Times New Roman"/>
      <w:sz w:val="24"/>
      <w:szCs w:val="22"/>
      <w:lang w:val="cs-CZ" w:eastAsia="en-US"/>
    </w:rPr>
  </w:style>
  <w:style w:type="paragraph" w:styleId="berschrift1">
    <w:name w:val="heading 1"/>
    <w:basedOn w:val="Standard"/>
    <w:next w:val="Standard"/>
    <w:link w:val="berschrift1Zchn"/>
    <w:qFormat/>
    <w:locked/>
    <w:rsid w:val="00B9539D"/>
    <w:pPr>
      <w:keepNext/>
      <w:pBdr>
        <w:bottom w:val="single" w:sz="4" w:space="1" w:color="auto"/>
      </w:pBdr>
      <w:spacing w:before="120" w:after="120"/>
      <w:outlineLvl w:val="0"/>
    </w:pPr>
    <w:rPr>
      <w:rFonts w:ascii="Cambria" w:eastAsia="Times New Roman" w:hAnsi="Cambria"/>
      <w:b/>
      <w:bCs/>
      <w:smallCaps/>
      <w:kern w:val="32"/>
      <w:sz w:val="32"/>
      <w:szCs w:val="32"/>
    </w:rPr>
  </w:style>
  <w:style w:type="paragraph" w:styleId="berschrift2">
    <w:name w:val="heading 2"/>
    <w:basedOn w:val="Standard"/>
    <w:next w:val="Standard"/>
    <w:link w:val="berschrift2Zchn"/>
    <w:unhideWhenUsed/>
    <w:qFormat/>
    <w:locked/>
    <w:rsid w:val="00B9539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locked/>
    <w:rsid w:val="00B9539D"/>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DPIS1">
    <w:name w:val="NADPIS 1"/>
    <w:uiPriority w:val="99"/>
    <w:rsid w:val="00BD3409"/>
    <w:pPr>
      <w:numPr>
        <w:numId w:val="42"/>
      </w:numPr>
      <w:spacing w:before="120" w:after="120" w:line="276" w:lineRule="auto"/>
      <w:ind w:left="0" w:firstLine="0"/>
    </w:pPr>
    <w:rPr>
      <w:rFonts w:ascii="Times New Roman" w:hAnsi="Times New Roman"/>
      <w:b/>
      <w:smallCaps/>
      <w:sz w:val="32"/>
      <w:szCs w:val="24"/>
      <w:lang w:val="cs-CZ" w:eastAsia="en-US"/>
    </w:rPr>
  </w:style>
  <w:style w:type="paragraph" w:customStyle="1" w:styleId="NADPIS2">
    <w:name w:val="NADPIS2"/>
    <w:uiPriority w:val="99"/>
    <w:rsid w:val="000E5139"/>
    <w:pPr>
      <w:spacing w:after="200" w:line="276" w:lineRule="auto"/>
    </w:pPr>
    <w:rPr>
      <w:rFonts w:ascii="Times New Roman" w:hAnsi="Times New Roman"/>
      <w:b/>
      <w:smallCaps/>
      <w:sz w:val="28"/>
      <w:szCs w:val="24"/>
      <w:lang w:val="cs-CZ" w:eastAsia="en-US"/>
    </w:rPr>
  </w:style>
  <w:style w:type="paragraph" w:customStyle="1" w:styleId="PODCAROU">
    <w:name w:val="POD CAROU"/>
    <w:basedOn w:val="NADPIS2"/>
    <w:uiPriority w:val="99"/>
    <w:rsid w:val="000E5139"/>
    <w:pPr>
      <w:spacing w:after="0" w:line="240" w:lineRule="auto"/>
      <w:jc w:val="both"/>
    </w:pPr>
    <w:rPr>
      <w:b w:val="0"/>
      <w:smallCaps w:val="0"/>
      <w:sz w:val="20"/>
    </w:rPr>
  </w:style>
  <w:style w:type="paragraph" w:customStyle="1" w:styleId="OBSAHBODY">
    <w:name w:val="OBSAH_BODY"/>
    <w:uiPriority w:val="99"/>
    <w:rsid w:val="002E6E19"/>
    <w:pPr>
      <w:spacing w:after="200" w:line="276" w:lineRule="auto"/>
    </w:pPr>
    <w:rPr>
      <w:rFonts w:ascii="Times New Roman" w:hAnsi="Times New Roman"/>
      <w:sz w:val="24"/>
      <w:szCs w:val="24"/>
      <w:lang w:val="cs-CZ" w:eastAsia="en-US"/>
    </w:rPr>
  </w:style>
  <w:style w:type="paragraph" w:customStyle="1" w:styleId="DRUHYBIBLI">
    <w:name w:val="DRUHY BIBLI"/>
    <w:basedOn w:val="NADPIS1"/>
    <w:uiPriority w:val="99"/>
    <w:rsid w:val="005D6D18"/>
    <w:rPr>
      <w:sz w:val="28"/>
    </w:rPr>
  </w:style>
  <w:style w:type="paragraph" w:customStyle="1" w:styleId="BIBLIOGRAFIE">
    <w:name w:val="BIBLIOGRAFIE"/>
    <w:basedOn w:val="DRUHYBIBLI"/>
    <w:uiPriority w:val="99"/>
    <w:rsid w:val="00587EE9"/>
    <w:pPr>
      <w:ind w:left="227" w:hanging="227"/>
      <w:jc w:val="both"/>
    </w:pPr>
    <w:rPr>
      <w:b w:val="0"/>
      <w:smallCaps w:val="0"/>
      <w:sz w:val="24"/>
    </w:rPr>
  </w:style>
  <w:style w:type="paragraph" w:customStyle="1" w:styleId="TITULNISTRANA">
    <w:name w:val="TITULNI STRANA"/>
    <w:aliases w:val="BEZ CISLOVANI"/>
    <w:uiPriority w:val="99"/>
    <w:rsid w:val="0080275F"/>
    <w:pPr>
      <w:spacing w:after="200" w:line="276" w:lineRule="auto"/>
      <w:jc w:val="center"/>
    </w:pPr>
    <w:rPr>
      <w:rFonts w:ascii="Times New Roman" w:hAnsi="Times New Roman"/>
      <w:b/>
      <w:smallCaps/>
      <w:sz w:val="32"/>
      <w:szCs w:val="24"/>
      <w:lang w:val="cs-CZ" w:eastAsia="en-US"/>
    </w:rPr>
  </w:style>
  <w:style w:type="paragraph" w:styleId="Untertitel">
    <w:name w:val="Subtitle"/>
    <w:basedOn w:val="Standard"/>
    <w:next w:val="Standard"/>
    <w:link w:val="UntertitelZchn"/>
    <w:uiPriority w:val="99"/>
    <w:qFormat/>
    <w:rsid w:val="00420E56"/>
    <w:pPr>
      <w:numPr>
        <w:ilvl w:val="1"/>
      </w:numPr>
      <w:ind w:firstLine="567"/>
    </w:pPr>
    <w:rPr>
      <w:rFonts w:ascii="Cambria" w:eastAsia="Times New Roman" w:hAnsi="Cambria"/>
      <w:i/>
      <w:iCs/>
      <w:color w:val="4F81BD"/>
      <w:spacing w:val="15"/>
      <w:szCs w:val="24"/>
    </w:rPr>
  </w:style>
  <w:style w:type="character" w:customStyle="1" w:styleId="UntertitelZchn">
    <w:name w:val="Untertitel Zchn"/>
    <w:basedOn w:val="Absatz-Standardschriftart"/>
    <w:link w:val="Untertitel"/>
    <w:uiPriority w:val="99"/>
    <w:locked/>
    <w:rsid w:val="00420E56"/>
    <w:rPr>
      <w:rFonts w:ascii="Cambria" w:hAnsi="Cambria" w:cs="Times New Roman"/>
      <w:i/>
      <w:iCs/>
      <w:color w:val="4F81BD"/>
      <w:spacing w:val="15"/>
      <w:sz w:val="24"/>
      <w:szCs w:val="24"/>
    </w:rPr>
  </w:style>
  <w:style w:type="paragraph" w:styleId="Funotentext">
    <w:name w:val="footnote text"/>
    <w:basedOn w:val="Standard"/>
    <w:link w:val="FunotentextZchn"/>
    <w:uiPriority w:val="99"/>
    <w:semiHidden/>
    <w:rsid w:val="00854163"/>
    <w:pPr>
      <w:spacing w:line="240" w:lineRule="auto"/>
    </w:pPr>
    <w:rPr>
      <w:sz w:val="20"/>
      <w:szCs w:val="20"/>
    </w:rPr>
  </w:style>
  <w:style w:type="character" w:customStyle="1" w:styleId="FunotentextZchn">
    <w:name w:val="Fußnotentext Zchn"/>
    <w:basedOn w:val="Absatz-Standardschriftart"/>
    <w:link w:val="Funotentext"/>
    <w:uiPriority w:val="99"/>
    <w:semiHidden/>
    <w:locked/>
    <w:rsid w:val="00854163"/>
    <w:rPr>
      <w:rFonts w:ascii="Times New Roman" w:hAnsi="Times New Roman" w:cs="Times New Roman"/>
      <w:sz w:val="20"/>
      <w:szCs w:val="20"/>
    </w:rPr>
  </w:style>
  <w:style w:type="character" w:styleId="Funotenzeichen">
    <w:name w:val="footnote reference"/>
    <w:basedOn w:val="Absatz-Standardschriftart"/>
    <w:uiPriority w:val="99"/>
    <w:semiHidden/>
    <w:rsid w:val="00854163"/>
    <w:rPr>
      <w:rFonts w:cs="Times New Roman"/>
      <w:vertAlign w:val="superscript"/>
    </w:rPr>
  </w:style>
  <w:style w:type="character" w:styleId="Hyperlink">
    <w:name w:val="Hyperlink"/>
    <w:basedOn w:val="Absatz-Standardschriftart"/>
    <w:uiPriority w:val="99"/>
    <w:rsid w:val="009F5CBB"/>
    <w:rPr>
      <w:rFonts w:cs="Times New Roman"/>
      <w:color w:val="0000FF"/>
      <w:u w:val="single"/>
    </w:rPr>
  </w:style>
  <w:style w:type="table" w:styleId="Tabellengitternetz">
    <w:name w:val="Table Grid"/>
    <w:basedOn w:val="NormaleTabelle"/>
    <w:uiPriority w:val="99"/>
    <w:rsid w:val="002C1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YTEXT">
    <w:name w:val="TABULKY_TEXT"/>
    <w:uiPriority w:val="99"/>
    <w:rsid w:val="002C1AC7"/>
    <w:pPr>
      <w:jc w:val="center"/>
    </w:pPr>
    <w:rPr>
      <w:rFonts w:ascii="Times New Roman" w:hAnsi="Times New Roman"/>
      <w:sz w:val="24"/>
      <w:szCs w:val="22"/>
      <w:lang w:eastAsia="en-US"/>
    </w:rPr>
  </w:style>
  <w:style w:type="paragraph" w:styleId="Kopfzeile">
    <w:name w:val="header"/>
    <w:basedOn w:val="Standard"/>
    <w:link w:val="KopfzeileZchn"/>
    <w:uiPriority w:val="99"/>
    <w:unhideWhenUsed/>
    <w:rsid w:val="00446C0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46C01"/>
    <w:rPr>
      <w:rFonts w:ascii="Times New Roman" w:hAnsi="Times New Roman"/>
      <w:sz w:val="24"/>
      <w:lang w:val="de-DE" w:eastAsia="en-US"/>
    </w:rPr>
  </w:style>
  <w:style w:type="paragraph" w:styleId="Fuzeile">
    <w:name w:val="footer"/>
    <w:basedOn w:val="Standard"/>
    <w:link w:val="FuzeileZchn"/>
    <w:uiPriority w:val="99"/>
    <w:unhideWhenUsed/>
    <w:rsid w:val="00446C0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46C01"/>
    <w:rPr>
      <w:rFonts w:ascii="Times New Roman" w:hAnsi="Times New Roman"/>
      <w:sz w:val="24"/>
      <w:lang w:val="de-DE" w:eastAsia="en-US"/>
    </w:rPr>
  </w:style>
  <w:style w:type="character" w:styleId="Kommentarzeichen">
    <w:name w:val="annotation reference"/>
    <w:basedOn w:val="Absatz-Standardschriftart"/>
    <w:uiPriority w:val="99"/>
    <w:semiHidden/>
    <w:unhideWhenUsed/>
    <w:rsid w:val="00352A0F"/>
    <w:rPr>
      <w:sz w:val="16"/>
      <w:szCs w:val="16"/>
    </w:rPr>
  </w:style>
  <w:style w:type="paragraph" w:styleId="Kommentartext">
    <w:name w:val="annotation text"/>
    <w:basedOn w:val="Standard"/>
    <w:link w:val="KommentartextZchn"/>
    <w:uiPriority w:val="99"/>
    <w:semiHidden/>
    <w:unhideWhenUsed/>
    <w:rsid w:val="00352A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A0F"/>
    <w:rPr>
      <w:rFonts w:ascii="Times New Roman" w:hAnsi="Times New Roman"/>
      <w:sz w:val="20"/>
      <w:szCs w:val="20"/>
      <w:lang w:val="de-DE" w:eastAsia="en-US"/>
    </w:rPr>
  </w:style>
  <w:style w:type="paragraph" w:styleId="Kommentarthema">
    <w:name w:val="annotation subject"/>
    <w:basedOn w:val="Kommentartext"/>
    <w:next w:val="Kommentartext"/>
    <w:link w:val="KommentarthemaZchn"/>
    <w:uiPriority w:val="99"/>
    <w:semiHidden/>
    <w:unhideWhenUsed/>
    <w:rsid w:val="00352A0F"/>
    <w:rPr>
      <w:b/>
      <w:bCs/>
    </w:rPr>
  </w:style>
  <w:style w:type="character" w:customStyle="1" w:styleId="KommentarthemaZchn">
    <w:name w:val="Kommentarthema Zchn"/>
    <w:basedOn w:val="KommentartextZchn"/>
    <w:link w:val="Kommentarthema"/>
    <w:uiPriority w:val="99"/>
    <w:semiHidden/>
    <w:rsid w:val="00352A0F"/>
    <w:rPr>
      <w:b/>
      <w:bCs/>
    </w:rPr>
  </w:style>
  <w:style w:type="paragraph" w:styleId="Sprechblasentext">
    <w:name w:val="Balloon Text"/>
    <w:basedOn w:val="Standard"/>
    <w:link w:val="SprechblasentextZchn"/>
    <w:uiPriority w:val="99"/>
    <w:semiHidden/>
    <w:unhideWhenUsed/>
    <w:rsid w:val="00352A0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2A0F"/>
    <w:rPr>
      <w:rFonts w:ascii="Tahoma" w:hAnsi="Tahoma" w:cs="Tahoma"/>
      <w:sz w:val="16"/>
      <w:szCs w:val="16"/>
      <w:lang w:val="de-DE" w:eastAsia="en-US"/>
    </w:rPr>
  </w:style>
  <w:style w:type="paragraph" w:customStyle="1" w:styleId="NADPIS3">
    <w:name w:val="NADPIS 3"/>
    <w:basedOn w:val="NADPIS2"/>
    <w:qFormat/>
    <w:rsid w:val="004E71F9"/>
    <w:rPr>
      <w:b w:val="0"/>
      <w:sz w:val="26"/>
    </w:rPr>
  </w:style>
  <w:style w:type="character" w:customStyle="1" w:styleId="berschrift1Zchn">
    <w:name w:val="Überschrift 1 Zchn"/>
    <w:basedOn w:val="Absatz-Standardschriftart"/>
    <w:link w:val="berschrift1"/>
    <w:rsid w:val="00B9539D"/>
    <w:rPr>
      <w:rFonts w:ascii="Cambria" w:eastAsia="Times New Roman" w:hAnsi="Cambria" w:cs="Times New Roman"/>
      <w:b/>
      <w:bCs/>
      <w:smallCaps/>
      <w:kern w:val="32"/>
      <w:sz w:val="32"/>
      <w:szCs w:val="32"/>
      <w:lang w:eastAsia="en-US"/>
    </w:rPr>
  </w:style>
  <w:style w:type="paragraph" w:styleId="Inhaltsverzeichnisberschrift">
    <w:name w:val="TOC Heading"/>
    <w:basedOn w:val="berschrift1"/>
    <w:next w:val="Standard"/>
    <w:uiPriority w:val="39"/>
    <w:semiHidden/>
    <w:unhideWhenUsed/>
    <w:qFormat/>
    <w:rsid w:val="00B9539D"/>
    <w:pPr>
      <w:keepLines/>
      <w:pBdr>
        <w:bottom w:val="none" w:sz="0" w:space="0" w:color="auto"/>
      </w:pBdr>
      <w:spacing w:before="480" w:after="0" w:line="276" w:lineRule="auto"/>
      <w:ind w:firstLine="0"/>
      <w:jc w:val="left"/>
      <w:outlineLvl w:val="9"/>
    </w:pPr>
    <w:rPr>
      <w:smallCaps w:val="0"/>
      <w:color w:val="365F91"/>
      <w:kern w:val="0"/>
      <w:sz w:val="28"/>
      <w:szCs w:val="28"/>
    </w:rPr>
  </w:style>
  <w:style w:type="paragraph" w:styleId="Verzeichnis2">
    <w:name w:val="toc 2"/>
    <w:basedOn w:val="Standard"/>
    <w:next w:val="Standard"/>
    <w:autoRedefine/>
    <w:uiPriority w:val="39"/>
    <w:unhideWhenUsed/>
    <w:qFormat/>
    <w:locked/>
    <w:rsid w:val="00B9539D"/>
    <w:pPr>
      <w:ind w:left="240"/>
      <w:jc w:val="left"/>
    </w:pPr>
    <w:rPr>
      <w:rFonts w:ascii="Calibri" w:hAnsi="Calibri" w:cs="Calibri"/>
      <w:smallCaps/>
      <w:sz w:val="20"/>
      <w:szCs w:val="20"/>
    </w:rPr>
  </w:style>
  <w:style w:type="paragraph" w:styleId="Verzeichnis1">
    <w:name w:val="toc 1"/>
    <w:basedOn w:val="Standard"/>
    <w:next w:val="Standard"/>
    <w:autoRedefine/>
    <w:uiPriority w:val="39"/>
    <w:unhideWhenUsed/>
    <w:qFormat/>
    <w:locked/>
    <w:rsid w:val="00B9539D"/>
    <w:pPr>
      <w:spacing w:before="120" w:after="120"/>
      <w:jc w:val="left"/>
    </w:pPr>
    <w:rPr>
      <w:rFonts w:ascii="Calibri" w:hAnsi="Calibri" w:cs="Calibri"/>
      <w:b/>
      <w:bCs/>
      <w:caps/>
      <w:sz w:val="20"/>
      <w:szCs w:val="20"/>
    </w:rPr>
  </w:style>
  <w:style w:type="paragraph" w:styleId="Verzeichnis3">
    <w:name w:val="toc 3"/>
    <w:basedOn w:val="Standard"/>
    <w:next w:val="Standard"/>
    <w:autoRedefine/>
    <w:uiPriority w:val="39"/>
    <w:unhideWhenUsed/>
    <w:qFormat/>
    <w:locked/>
    <w:rsid w:val="00B9539D"/>
    <w:pPr>
      <w:ind w:left="480"/>
      <w:jc w:val="left"/>
    </w:pPr>
    <w:rPr>
      <w:rFonts w:ascii="Calibri" w:hAnsi="Calibri" w:cs="Calibri"/>
      <w:i/>
      <w:iCs/>
      <w:sz w:val="20"/>
      <w:szCs w:val="20"/>
    </w:rPr>
  </w:style>
  <w:style w:type="character" w:customStyle="1" w:styleId="berschrift2Zchn">
    <w:name w:val="Überschrift 2 Zchn"/>
    <w:basedOn w:val="Absatz-Standardschriftart"/>
    <w:link w:val="berschrift2"/>
    <w:rsid w:val="00B9539D"/>
    <w:rPr>
      <w:rFonts w:ascii="Cambria" w:eastAsia="Times New Roman" w:hAnsi="Cambria" w:cs="Times New Roman"/>
      <w:b/>
      <w:bCs/>
      <w:i/>
      <w:iCs/>
      <w:sz w:val="28"/>
      <w:szCs w:val="28"/>
      <w:lang w:eastAsia="en-US"/>
    </w:rPr>
  </w:style>
  <w:style w:type="character" w:customStyle="1" w:styleId="berschrift3Zchn">
    <w:name w:val="Überschrift 3 Zchn"/>
    <w:basedOn w:val="Absatz-Standardschriftart"/>
    <w:link w:val="berschrift3"/>
    <w:semiHidden/>
    <w:rsid w:val="00B9539D"/>
    <w:rPr>
      <w:rFonts w:ascii="Cambria" w:eastAsia="Times New Roman" w:hAnsi="Cambria" w:cs="Times New Roman"/>
      <w:b/>
      <w:bCs/>
      <w:sz w:val="26"/>
      <w:szCs w:val="26"/>
      <w:lang w:eastAsia="en-US"/>
    </w:rPr>
  </w:style>
  <w:style w:type="paragraph" w:styleId="Verzeichnis4">
    <w:name w:val="toc 4"/>
    <w:basedOn w:val="Standard"/>
    <w:next w:val="Standard"/>
    <w:autoRedefine/>
    <w:locked/>
    <w:rsid w:val="00B9539D"/>
    <w:pPr>
      <w:ind w:left="720"/>
      <w:jc w:val="left"/>
    </w:pPr>
    <w:rPr>
      <w:rFonts w:ascii="Calibri" w:hAnsi="Calibri" w:cs="Calibri"/>
      <w:sz w:val="18"/>
      <w:szCs w:val="18"/>
    </w:rPr>
  </w:style>
  <w:style w:type="paragraph" w:styleId="Verzeichnis5">
    <w:name w:val="toc 5"/>
    <w:basedOn w:val="Standard"/>
    <w:next w:val="Standard"/>
    <w:autoRedefine/>
    <w:locked/>
    <w:rsid w:val="00B9539D"/>
    <w:pPr>
      <w:ind w:left="960"/>
      <w:jc w:val="left"/>
    </w:pPr>
    <w:rPr>
      <w:rFonts w:ascii="Calibri" w:hAnsi="Calibri" w:cs="Calibri"/>
      <w:sz w:val="18"/>
      <w:szCs w:val="18"/>
    </w:rPr>
  </w:style>
  <w:style w:type="paragraph" w:styleId="Verzeichnis6">
    <w:name w:val="toc 6"/>
    <w:basedOn w:val="Standard"/>
    <w:next w:val="Standard"/>
    <w:autoRedefine/>
    <w:locked/>
    <w:rsid w:val="00B9539D"/>
    <w:pPr>
      <w:ind w:left="1200"/>
      <w:jc w:val="left"/>
    </w:pPr>
    <w:rPr>
      <w:rFonts w:ascii="Calibri" w:hAnsi="Calibri" w:cs="Calibri"/>
      <w:sz w:val="18"/>
      <w:szCs w:val="18"/>
    </w:rPr>
  </w:style>
  <w:style w:type="paragraph" w:styleId="Verzeichnis7">
    <w:name w:val="toc 7"/>
    <w:basedOn w:val="Standard"/>
    <w:next w:val="Standard"/>
    <w:autoRedefine/>
    <w:locked/>
    <w:rsid w:val="00B9539D"/>
    <w:pPr>
      <w:ind w:left="1440"/>
      <w:jc w:val="left"/>
    </w:pPr>
    <w:rPr>
      <w:rFonts w:ascii="Calibri" w:hAnsi="Calibri" w:cs="Calibri"/>
      <w:sz w:val="18"/>
      <w:szCs w:val="18"/>
    </w:rPr>
  </w:style>
  <w:style w:type="paragraph" w:styleId="Verzeichnis8">
    <w:name w:val="toc 8"/>
    <w:basedOn w:val="Standard"/>
    <w:next w:val="Standard"/>
    <w:autoRedefine/>
    <w:locked/>
    <w:rsid w:val="00B9539D"/>
    <w:pPr>
      <w:ind w:left="1680"/>
      <w:jc w:val="left"/>
    </w:pPr>
    <w:rPr>
      <w:rFonts w:ascii="Calibri" w:hAnsi="Calibri" w:cs="Calibri"/>
      <w:sz w:val="18"/>
      <w:szCs w:val="18"/>
    </w:rPr>
  </w:style>
  <w:style w:type="paragraph" w:styleId="Verzeichnis9">
    <w:name w:val="toc 9"/>
    <w:basedOn w:val="Standard"/>
    <w:next w:val="Standard"/>
    <w:autoRedefine/>
    <w:locked/>
    <w:rsid w:val="00B9539D"/>
    <w:pPr>
      <w:ind w:left="1920"/>
      <w:jc w:val="left"/>
    </w:pPr>
    <w:rPr>
      <w:rFonts w:ascii="Calibri" w:hAnsi="Calibri" w:cs="Calibri"/>
      <w:sz w:val="18"/>
      <w:szCs w:val="18"/>
    </w:rPr>
  </w:style>
  <w:style w:type="paragraph" w:styleId="NurText">
    <w:name w:val="Plain Text"/>
    <w:basedOn w:val="Standard"/>
    <w:link w:val="NurTextZchn"/>
    <w:uiPriority w:val="99"/>
    <w:unhideWhenUsed/>
    <w:rsid w:val="00555CBA"/>
    <w:rPr>
      <w:rFonts w:ascii="Courier New" w:hAnsi="Courier New" w:cs="Courier New"/>
      <w:sz w:val="20"/>
      <w:szCs w:val="20"/>
    </w:rPr>
  </w:style>
  <w:style w:type="character" w:customStyle="1" w:styleId="NurTextZchn">
    <w:name w:val="Nur Text Zchn"/>
    <w:basedOn w:val="Absatz-Standardschriftart"/>
    <w:link w:val="NurText"/>
    <w:uiPriority w:val="99"/>
    <w:rsid w:val="00555CBA"/>
    <w:rPr>
      <w:rFonts w:ascii="Courier New" w:hAnsi="Courier New" w:cs="Courier New"/>
      <w:lang w:eastAsia="en-US"/>
    </w:rPr>
  </w:style>
  <w:style w:type="paragraph" w:styleId="Dokumentstruktur">
    <w:name w:val="Document Map"/>
    <w:basedOn w:val="Standard"/>
    <w:link w:val="DokumentstrukturZchn"/>
    <w:uiPriority w:val="99"/>
    <w:semiHidden/>
    <w:unhideWhenUsed/>
    <w:rsid w:val="00420E7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20E7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089305">
      <w:bodyDiv w:val="1"/>
      <w:marLeft w:val="0"/>
      <w:marRight w:val="0"/>
      <w:marTop w:val="0"/>
      <w:marBottom w:val="0"/>
      <w:divBdr>
        <w:top w:val="none" w:sz="0" w:space="0" w:color="auto"/>
        <w:left w:val="none" w:sz="0" w:space="0" w:color="auto"/>
        <w:bottom w:val="none" w:sz="0" w:space="0" w:color="auto"/>
        <w:right w:val="none" w:sz="0" w:space="0" w:color="auto"/>
      </w:divBdr>
    </w:div>
    <w:div w:id="36470289">
      <w:bodyDiv w:val="1"/>
      <w:marLeft w:val="0"/>
      <w:marRight w:val="0"/>
      <w:marTop w:val="0"/>
      <w:marBottom w:val="0"/>
      <w:divBdr>
        <w:top w:val="none" w:sz="0" w:space="0" w:color="auto"/>
        <w:left w:val="none" w:sz="0" w:space="0" w:color="auto"/>
        <w:bottom w:val="none" w:sz="0" w:space="0" w:color="auto"/>
        <w:right w:val="none" w:sz="0" w:space="0" w:color="auto"/>
      </w:divBdr>
    </w:div>
    <w:div w:id="173227509">
      <w:bodyDiv w:val="1"/>
      <w:marLeft w:val="0"/>
      <w:marRight w:val="0"/>
      <w:marTop w:val="0"/>
      <w:marBottom w:val="0"/>
      <w:divBdr>
        <w:top w:val="none" w:sz="0" w:space="0" w:color="auto"/>
        <w:left w:val="none" w:sz="0" w:space="0" w:color="auto"/>
        <w:bottom w:val="none" w:sz="0" w:space="0" w:color="auto"/>
        <w:right w:val="none" w:sz="0" w:space="0" w:color="auto"/>
      </w:divBdr>
    </w:div>
    <w:div w:id="262999325">
      <w:bodyDiv w:val="1"/>
      <w:marLeft w:val="0"/>
      <w:marRight w:val="0"/>
      <w:marTop w:val="0"/>
      <w:marBottom w:val="0"/>
      <w:divBdr>
        <w:top w:val="none" w:sz="0" w:space="0" w:color="auto"/>
        <w:left w:val="none" w:sz="0" w:space="0" w:color="auto"/>
        <w:bottom w:val="none" w:sz="0" w:space="0" w:color="auto"/>
        <w:right w:val="none" w:sz="0" w:space="0" w:color="auto"/>
      </w:divBdr>
    </w:div>
    <w:div w:id="270014655">
      <w:bodyDiv w:val="1"/>
      <w:marLeft w:val="0"/>
      <w:marRight w:val="0"/>
      <w:marTop w:val="0"/>
      <w:marBottom w:val="0"/>
      <w:divBdr>
        <w:top w:val="none" w:sz="0" w:space="0" w:color="auto"/>
        <w:left w:val="none" w:sz="0" w:space="0" w:color="auto"/>
        <w:bottom w:val="none" w:sz="0" w:space="0" w:color="auto"/>
        <w:right w:val="none" w:sz="0" w:space="0" w:color="auto"/>
      </w:divBdr>
    </w:div>
    <w:div w:id="271519865">
      <w:bodyDiv w:val="1"/>
      <w:marLeft w:val="0"/>
      <w:marRight w:val="0"/>
      <w:marTop w:val="0"/>
      <w:marBottom w:val="0"/>
      <w:divBdr>
        <w:top w:val="none" w:sz="0" w:space="0" w:color="auto"/>
        <w:left w:val="none" w:sz="0" w:space="0" w:color="auto"/>
        <w:bottom w:val="none" w:sz="0" w:space="0" w:color="auto"/>
        <w:right w:val="none" w:sz="0" w:space="0" w:color="auto"/>
      </w:divBdr>
    </w:div>
    <w:div w:id="314839730">
      <w:bodyDiv w:val="1"/>
      <w:marLeft w:val="0"/>
      <w:marRight w:val="0"/>
      <w:marTop w:val="0"/>
      <w:marBottom w:val="0"/>
      <w:divBdr>
        <w:top w:val="none" w:sz="0" w:space="0" w:color="auto"/>
        <w:left w:val="none" w:sz="0" w:space="0" w:color="auto"/>
        <w:bottom w:val="none" w:sz="0" w:space="0" w:color="auto"/>
        <w:right w:val="none" w:sz="0" w:space="0" w:color="auto"/>
      </w:divBdr>
      <w:divsChild>
        <w:div w:id="1770083598">
          <w:marLeft w:val="0"/>
          <w:marRight w:val="0"/>
          <w:marTop w:val="0"/>
          <w:marBottom w:val="0"/>
          <w:divBdr>
            <w:top w:val="none" w:sz="0" w:space="0" w:color="auto"/>
            <w:left w:val="none" w:sz="0" w:space="0" w:color="auto"/>
            <w:bottom w:val="none" w:sz="0" w:space="0" w:color="auto"/>
            <w:right w:val="none" w:sz="0" w:space="0" w:color="auto"/>
          </w:divBdr>
          <w:divsChild>
            <w:div w:id="802387519">
              <w:marLeft w:val="0"/>
              <w:marRight w:val="0"/>
              <w:marTop w:val="0"/>
              <w:marBottom w:val="0"/>
              <w:divBdr>
                <w:top w:val="none" w:sz="0" w:space="0" w:color="auto"/>
                <w:left w:val="none" w:sz="0" w:space="0" w:color="auto"/>
                <w:bottom w:val="none" w:sz="0" w:space="0" w:color="auto"/>
                <w:right w:val="none" w:sz="0" w:space="0" w:color="auto"/>
              </w:divBdr>
              <w:divsChild>
                <w:div w:id="1010527891">
                  <w:marLeft w:val="0"/>
                  <w:marRight w:val="0"/>
                  <w:marTop w:val="0"/>
                  <w:marBottom w:val="0"/>
                  <w:divBdr>
                    <w:top w:val="none" w:sz="0" w:space="0" w:color="auto"/>
                    <w:left w:val="none" w:sz="0" w:space="0" w:color="auto"/>
                    <w:bottom w:val="none" w:sz="0" w:space="0" w:color="auto"/>
                    <w:right w:val="none" w:sz="0" w:space="0" w:color="auto"/>
                  </w:divBdr>
                  <w:divsChild>
                    <w:div w:id="796610891">
                      <w:marLeft w:val="0"/>
                      <w:marRight w:val="0"/>
                      <w:marTop w:val="0"/>
                      <w:marBottom w:val="0"/>
                      <w:divBdr>
                        <w:top w:val="none" w:sz="0" w:space="0" w:color="auto"/>
                        <w:left w:val="none" w:sz="0" w:space="0" w:color="auto"/>
                        <w:bottom w:val="none" w:sz="0" w:space="0" w:color="auto"/>
                        <w:right w:val="none" w:sz="0" w:space="0" w:color="auto"/>
                      </w:divBdr>
                      <w:divsChild>
                        <w:div w:id="1945728436">
                          <w:marLeft w:val="0"/>
                          <w:marRight w:val="0"/>
                          <w:marTop w:val="0"/>
                          <w:marBottom w:val="0"/>
                          <w:divBdr>
                            <w:top w:val="none" w:sz="0" w:space="0" w:color="auto"/>
                            <w:left w:val="none" w:sz="0" w:space="0" w:color="auto"/>
                            <w:bottom w:val="none" w:sz="0" w:space="0" w:color="auto"/>
                            <w:right w:val="none" w:sz="0" w:space="0" w:color="auto"/>
                          </w:divBdr>
                          <w:divsChild>
                            <w:div w:id="511995114">
                              <w:marLeft w:val="0"/>
                              <w:marRight w:val="0"/>
                              <w:marTop w:val="0"/>
                              <w:marBottom w:val="0"/>
                              <w:divBdr>
                                <w:top w:val="none" w:sz="0" w:space="0" w:color="auto"/>
                                <w:left w:val="none" w:sz="0" w:space="0" w:color="auto"/>
                                <w:bottom w:val="none" w:sz="0" w:space="0" w:color="auto"/>
                                <w:right w:val="none" w:sz="0" w:space="0" w:color="auto"/>
                              </w:divBdr>
                              <w:divsChild>
                                <w:div w:id="1562793183">
                                  <w:marLeft w:val="0"/>
                                  <w:marRight w:val="0"/>
                                  <w:marTop w:val="0"/>
                                  <w:marBottom w:val="0"/>
                                  <w:divBdr>
                                    <w:top w:val="none" w:sz="0" w:space="0" w:color="auto"/>
                                    <w:left w:val="none" w:sz="0" w:space="0" w:color="auto"/>
                                    <w:bottom w:val="none" w:sz="0" w:space="0" w:color="auto"/>
                                    <w:right w:val="none" w:sz="0" w:space="0" w:color="auto"/>
                                  </w:divBdr>
                                  <w:divsChild>
                                    <w:div w:id="1683045219">
                                      <w:marLeft w:val="0"/>
                                      <w:marRight w:val="0"/>
                                      <w:marTop w:val="0"/>
                                      <w:marBottom w:val="0"/>
                                      <w:divBdr>
                                        <w:top w:val="none" w:sz="0" w:space="0" w:color="auto"/>
                                        <w:left w:val="none" w:sz="0" w:space="0" w:color="auto"/>
                                        <w:bottom w:val="none" w:sz="0" w:space="0" w:color="auto"/>
                                        <w:right w:val="none" w:sz="0" w:space="0" w:color="auto"/>
                                      </w:divBdr>
                                      <w:divsChild>
                                        <w:div w:id="1821144295">
                                          <w:marLeft w:val="0"/>
                                          <w:marRight w:val="0"/>
                                          <w:marTop w:val="0"/>
                                          <w:marBottom w:val="0"/>
                                          <w:divBdr>
                                            <w:top w:val="none" w:sz="0" w:space="0" w:color="auto"/>
                                            <w:left w:val="none" w:sz="0" w:space="0" w:color="auto"/>
                                            <w:bottom w:val="none" w:sz="0" w:space="0" w:color="auto"/>
                                            <w:right w:val="none" w:sz="0" w:space="0" w:color="auto"/>
                                          </w:divBdr>
                                          <w:divsChild>
                                            <w:div w:id="5756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800293">
      <w:bodyDiv w:val="1"/>
      <w:marLeft w:val="0"/>
      <w:marRight w:val="0"/>
      <w:marTop w:val="0"/>
      <w:marBottom w:val="0"/>
      <w:divBdr>
        <w:top w:val="none" w:sz="0" w:space="0" w:color="auto"/>
        <w:left w:val="none" w:sz="0" w:space="0" w:color="auto"/>
        <w:bottom w:val="none" w:sz="0" w:space="0" w:color="auto"/>
        <w:right w:val="none" w:sz="0" w:space="0" w:color="auto"/>
      </w:divBdr>
    </w:div>
    <w:div w:id="405224075">
      <w:bodyDiv w:val="1"/>
      <w:marLeft w:val="0"/>
      <w:marRight w:val="0"/>
      <w:marTop w:val="0"/>
      <w:marBottom w:val="0"/>
      <w:divBdr>
        <w:top w:val="none" w:sz="0" w:space="0" w:color="auto"/>
        <w:left w:val="none" w:sz="0" w:space="0" w:color="auto"/>
        <w:bottom w:val="none" w:sz="0" w:space="0" w:color="auto"/>
        <w:right w:val="none" w:sz="0" w:space="0" w:color="auto"/>
      </w:divBdr>
    </w:div>
    <w:div w:id="528302778">
      <w:bodyDiv w:val="1"/>
      <w:marLeft w:val="0"/>
      <w:marRight w:val="0"/>
      <w:marTop w:val="0"/>
      <w:marBottom w:val="0"/>
      <w:divBdr>
        <w:top w:val="none" w:sz="0" w:space="0" w:color="auto"/>
        <w:left w:val="none" w:sz="0" w:space="0" w:color="auto"/>
        <w:bottom w:val="none" w:sz="0" w:space="0" w:color="auto"/>
        <w:right w:val="none" w:sz="0" w:space="0" w:color="auto"/>
      </w:divBdr>
      <w:divsChild>
        <w:div w:id="773750403">
          <w:marLeft w:val="0"/>
          <w:marRight w:val="0"/>
          <w:marTop w:val="0"/>
          <w:marBottom w:val="0"/>
          <w:divBdr>
            <w:top w:val="none" w:sz="0" w:space="0" w:color="auto"/>
            <w:left w:val="none" w:sz="0" w:space="0" w:color="auto"/>
            <w:bottom w:val="none" w:sz="0" w:space="0" w:color="auto"/>
            <w:right w:val="none" w:sz="0" w:space="0" w:color="auto"/>
          </w:divBdr>
          <w:divsChild>
            <w:div w:id="1837958909">
              <w:marLeft w:val="0"/>
              <w:marRight w:val="0"/>
              <w:marTop w:val="0"/>
              <w:marBottom w:val="0"/>
              <w:divBdr>
                <w:top w:val="none" w:sz="0" w:space="0" w:color="auto"/>
                <w:left w:val="none" w:sz="0" w:space="0" w:color="auto"/>
                <w:bottom w:val="none" w:sz="0" w:space="0" w:color="auto"/>
                <w:right w:val="none" w:sz="0" w:space="0" w:color="auto"/>
              </w:divBdr>
              <w:divsChild>
                <w:div w:id="664626770">
                  <w:marLeft w:val="0"/>
                  <w:marRight w:val="0"/>
                  <w:marTop w:val="0"/>
                  <w:marBottom w:val="0"/>
                  <w:divBdr>
                    <w:top w:val="none" w:sz="0" w:space="0" w:color="auto"/>
                    <w:left w:val="none" w:sz="0" w:space="0" w:color="auto"/>
                    <w:bottom w:val="none" w:sz="0" w:space="0" w:color="auto"/>
                    <w:right w:val="none" w:sz="0" w:space="0" w:color="auto"/>
                  </w:divBdr>
                  <w:divsChild>
                    <w:div w:id="1773545105">
                      <w:marLeft w:val="180"/>
                      <w:marRight w:val="0"/>
                      <w:marTop w:val="0"/>
                      <w:marBottom w:val="0"/>
                      <w:divBdr>
                        <w:top w:val="none" w:sz="0" w:space="0" w:color="auto"/>
                        <w:left w:val="none" w:sz="0" w:space="0" w:color="auto"/>
                        <w:bottom w:val="none" w:sz="0" w:space="0" w:color="auto"/>
                        <w:right w:val="none" w:sz="0" w:space="0" w:color="auto"/>
                      </w:divBdr>
                      <w:divsChild>
                        <w:div w:id="869344208">
                          <w:marLeft w:val="0"/>
                          <w:marRight w:val="0"/>
                          <w:marTop w:val="0"/>
                          <w:marBottom w:val="0"/>
                          <w:divBdr>
                            <w:top w:val="none" w:sz="0" w:space="0" w:color="auto"/>
                            <w:left w:val="none" w:sz="0" w:space="0" w:color="auto"/>
                            <w:bottom w:val="none" w:sz="0" w:space="0" w:color="auto"/>
                            <w:right w:val="none" w:sz="0" w:space="0" w:color="auto"/>
                          </w:divBdr>
                          <w:divsChild>
                            <w:div w:id="18455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39714">
      <w:bodyDiv w:val="1"/>
      <w:marLeft w:val="0"/>
      <w:marRight w:val="0"/>
      <w:marTop w:val="0"/>
      <w:marBottom w:val="0"/>
      <w:divBdr>
        <w:top w:val="none" w:sz="0" w:space="0" w:color="auto"/>
        <w:left w:val="none" w:sz="0" w:space="0" w:color="auto"/>
        <w:bottom w:val="none" w:sz="0" w:space="0" w:color="auto"/>
        <w:right w:val="none" w:sz="0" w:space="0" w:color="auto"/>
      </w:divBdr>
    </w:div>
    <w:div w:id="627124291">
      <w:bodyDiv w:val="1"/>
      <w:marLeft w:val="0"/>
      <w:marRight w:val="0"/>
      <w:marTop w:val="0"/>
      <w:marBottom w:val="0"/>
      <w:divBdr>
        <w:top w:val="none" w:sz="0" w:space="0" w:color="auto"/>
        <w:left w:val="none" w:sz="0" w:space="0" w:color="auto"/>
        <w:bottom w:val="none" w:sz="0" w:space="0" w:color="auto"/>
        <w:right w:val="none" w:sz="0" w:space="0" w:color="auto"/>
      </w:divBdr>
    </w:div>
    <w:div w:id="655302815">
      <w:bodyDiv w:val="1"/>
      <w:marLeft w:val="0"/>
      <w:marRight w:val="0"/>
      <w:marTop w:val="0"/>
      <w:marBottom w:val="0"/>
      <w:divBdr>
        <w:top w:val="none" w:sz="0" w:space="0" w:color="auto"/>
        <w:left w:val="none" w:sz="0" w:space="0" w:color="auto"/>
        <w:bottom w:val="none" w:sz="0" w:space="0" w:color="auto"/>
        <w:right w:val="none" w:sz="0" w:space="0" w:color="auto"/>
      </w:divBdr>
    </w:div>
    <w:div w:id="663237834">
      <w:bodyDiv w:val="1"/>
      <w:marLeft w:val="0"/>
      <w:marRight w:val="0"/>
      <w:marTop w:val="0"/>
      <w:marBottom w:val="0"/>
      <w:divBdr>
        <w:top w:val="none" w:sz="0" w:space="0" w:color="auto"/>
        <w:left w:val="none" w:sz="0" w:space="0" w:color="auto"/>
        <w:bottom w:val="none" w:sz="0" w:space="0" w:color="auto"/>
        <w:right w:val="none" w:sz="0" w:space="0" w:color="auto"/>
      </w:divBdr>
    </w:div>
    <w:div w:id="755712215">
      <w:bodyDiv w:val="1"/>
      <w:marLeft w:val="0"/>
      <w:marRight w:val="0"/>
      <w:marTop w:val="0"/>
      <w:marBottom w:val="0"/>
      <w:divBdr>
        <w:top w:val="none" w:sz="0" w:space="0" w:color="auto"/>
        <w:left w:val="none" w:sz="0" w:space="0" w:color="auto"/>
        <w:bottom w:val="none" w:sz="0" w:space="0" w:color="auto"/>
        <w:right w:val="none" w:sz="0" w:space="0" w:color="auto"/>
      </w:divBdr>
    </w:div>
    <w:div w:id="760487089">
      <w:bodyDiv w:val="1"/>
      <w:marLeft w:val="0"/>
      <w:marRight w:val="0"/>
      <w:marTop w:val="0"/>
      <w:marBottom w:val="0"/>
      <w:divBdr>
        <w:top w:val="none" w:sz="0" w:space="0" w:color="auto"/>
        <w:left w:val="none" w:sz="0" w:space="0" w:color="auto"/>
        <w:bottom w:val="none" w:sz="0" w:space="0" w:color="auto"/>
        <w:right w:val="none" w:sz="0" w:space="0" w:color="auto"/>
      </w:divBdr>
    </w:div>
    <w:div w:id="774129870">
      <w:bodyDiv w:val="1"/>
      <w:marLeft w:val="0"/>
      <w:marRight w:val="0"/>
      <w:marTop w:val="0"/>
      <w:marBottom w:val="0"/>
      <w:divBdr>
        <w:top w:val="none" w:sz="0" w:space="0" w:color="auto"/>
        <w:left w:val="none" w:sz="0" w:space="0" w:color="auto"/>
        <w:bottom w:val="none" w:sz="0" w:space="0" w:color="auto"/>
        <w:right w:val="none" w:sz="0" w:space="0" w:color="auto"/>
      </w:divBdr>
    </w:div>
    <w:div w:id="792208518">
      <w:bodyDiv w:val="1"/>
      <w:marLeft w:val="0"/>
      <w:marRight w:val="0"/>
      <w:marTop w:val="0"/>
      <w:marBottom w:val="0"/>
      <w:divBdr>
        <w:top w:val="none" w:sz="0" w:space="0" w:color="auto"/>
        <w:left w:val="none" w:sz="0" w:space="0" w:color="auto"/>
        <w:bottom w:val="none" w:sz="0" w:space="0" w:color="auto"/>
        <w:right w:val="none" w:sz="0" w:space="0" w:color="auto"/>
      </w:divBdr>
      <w:divsChild>
        <w:div w:id="938098170">
          <w:marLeft w:val="0"/>
          <w:marRight w:val="0"/>
          <w:marTop w:val="0"/>
          <w:marBottom w:val="0"/>
          <w:divBdr>
            <w:top w:val="none" w:sz="0" w:space="0" w:color="auto"/>
            <w:left w:val="none" w:sz="0" w:space="0" w:color="auto"/>
            <w:bottom w:val="none" w:sz="0" w:space="0" w:color="auto"/>
            <w:right w:val="none" w:sz="0" w:space="0" w:color="auto"/>
          </w:divBdr>
          <w:divsChild>
            <w:div w:id="1260259150">
              <w:marLeft w:val="120"/>
              <w:marRight w:val="120"/>
              <w:marTop w:val="0"/>
              <w:marBottom w:val="120"/>
              <w:divBdr>
                <w:top w:val="none" w:sz="0" w:space="0" w:color="auto"/>
                <w:left w:val="none" w:sz="0" w:space="0" w:color="auto"/>
                <w:bottom w:val="none" w:sz="0" w:space="0" w:color="auto"/>
                <w:right w:val="none" w:sz="0" w:space="0" w:color="auto"/>
              </w:divBdr>
              <w:divsChild>
                <w:div w:id="398748755">
                  <w:marLeft w:val="300"/>
                  <w:marRight w:val="300"/>
                  <w:marTop w:val="0"/>
                  <w:marBottom w:val="0"/>
                  <w:divBdr>
                    <w:top w:val="none" w:sz="0" w:space="0" w:color="auto"/>
                    <w:left w:val="none" w:sz="0" w:space="0" w:color="auto"/>
                    <w:bottom w:val="none" w:sz="0" w:space="0" w:color="auto"/>
                    <w:right w:val="none" w:sz="0" w:space="0" w:color="auto"/>
                  </w:divBdr>
                  <w:divsChild>
                    <w:div w:id="882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2085">
      <w:bodyDiv w:val="1"/>
      <w:marLeft w:val="0"/>
      <w:marRight w:val="0"/>
      <w:marTop w:val="0"/>
      <w:marBottom w:val="0"/>
      <w:divBdr>
        <w:top w:val="none" w:sz="0" w:space="0" w:color="auto"/>
        <w:left w:val="none" w:sz="0" w:space="0" w:color="auto"/>
        <w:bottom w:val="none" w:sz="0" w:space="0" w:color="auto"/>
        <w:right w:val="none" w:sz="0" w:space="0" w:color="auto"/>
      </w:divBdr>
      <w:divsChild>
        <w:div w:id="323507938">
          <w:marLeft w:val="0"/>
          <w:marRight w:val="0"/>
          <w:marTop w:val="0"/>
          <w:marBottom w:val="0"/>
          <w:divBdr>
            <w:top w:val="none" w:sz="0" w:space="0" w:color="auto"/>
            <w:left w:val="none" w:sz="0" w:space="0" w:color="auto"/>
            <w:bottom w:val="none" w:sz="0" w:space="0" w:color="auto"/>
            <w:right w:val="none" w:sz="0" w:space="0" w:color="auto"/>
          </w:divBdr>
          <w:divsChild>
            <w:div w:id="14963198">
              <w:marLeft w:val="0"/>
              <w:marRight w:val="0"/>
              <w:marTop w:val="0"/>
              <w:marBottom w:val="0"/>
              <w:divBdr>
                <w:top w:val="none" w:sz="0" w:space="0" w:color="auto"/>
                <w:left w:val="none" w:sz="0" w:space="0" w:color="auto"/>
                <w:bottom w:val="none" w:sz="0" w:space="0" w:color="auto"/>
                <w:right w:val="none" w:sz="0" w:space="0" w:color="auto"/>
              </w:divBdr>
              <w:divsChild>
                <w:div w:id="548610821">
                  <w:marLeft w:val="0"/>
                  <w:marRight w:val="0"/>
                  <w:marTop w:val="0"/>
                  <w:marBottom w:val="0"/>
                  <w:divBdr>
                    <w:top w:val="none" w:sz="0" w:space="0" w:color="auto"/>
                    <w:left w:val="none" w:sz="0" w:space="0" w:color="auto"/>
                    <w:bottom w:val="none" w:sz="0" w:space="0" w:color="auto"/>
                    <w:right w:val="none" w:sz="0" w:space="0" w:color="auto"/>
                  </w:divBdr>
                  <w:divsChild>
                    <w:div w:id="1388214068">
                      <w:marLeft w:val="180"/>
                      <w:marRight w:val="0"/>
                      <w:marTop w:val="0"/>
                      <w:marBottom w:val="0"/>
                      <w:divBdr>
                        <w:top w:val="none" w:sz="0" w:space="0" w:color="auto"/>
                        <w:left w:val="none" w:sz="0" w:space="0" w:color="auto"/>
                        <w:bottom w:val="none" w:sz="0" w:space="0" w:color="auto"/>
                        <w:right w:val="none" w:sz="0" w:space="0" w:color="auto"/>
                      </w:divBdr>
                      <w:divsChild>
                        <w:div w:id="499320187">
                          <w:marLeft w:val="0"/>
                          <w:marRight w:val="0"/>
                          <w:marTop w:val="0"/>
                          <w:marBottom w:val="0"/>
                          <w:divBdr>
                            <w:top w:val="none" w:sz="0" w:space="0" w:color="auto"/>
                            <w:left w:val="none" w:sz="0" w:space="0" w:color="auto"/>
                            <w:bottom w:val="none" w:sz="0" w:space="0" w:color="auto"/>
                            <w:right w:val="none" w:sz="0" w:space="0" w:color="auto"/>
                          </w:divBdr>
                          <w:divsChild>
                            <w:div w:id="8223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160897">
      <w:bodyDiv w:val="1"/>
      <w:marLeft w:val="0"/>
      <w:marRight w:val="0"/>
      <w:marTop w:val="0"/>
      <w:marBottom w:val="0"/>
      <w:divBdr>
        <w:top w:val="none" w:sz="0" w:space="0" w:color="auto"/>
        <w:left w:val="none" w:sz="0" w:space="0" w:color="auto"/>
        <w:bottom w:val="none" w:sz="0" w:space="0" w:color="auto"/>
        <w:right w:val="none" w:sz="0" w:space="0" w:color="auto"/>
      </w:divBdr>
      <w:divsChild>
        <w:div w:id="705522613">
          <w:marLeft w:val="0"/>
          <w:marRight w:val="0"/>
          <w:marTop w:val="0"/>
          <w:marBottom w:val="0"/>
          <w:divBdr>
            <w:top w:val="none" w:sz="0" w:space="0" w:color="auto"/>
            <w:left w:val="none" w:sz="0" w:space="0" w:color="auto"/>
            <w:bottom w:val="none" w:sz="0" w:space="0" w:color="auto"/>
            <w:right w:val="none" w:sz="0" w:space="0" w:color="auto"/>
          </w:divBdr>
          <w:divsChild>
            <w:div w:id="1429889519">
              <w:marLeft w:val="0"/>
              <w:marRight w:val="0"/>
              <w:marTop w:val="0"/>
              <w:marBottom w:val="0"/>
              <w:divBdr>
                <w:top w:val="none" w:sz="0" w:space="0" w:color="auto"/>
                <w:left w:val="none" w:sz="0" w:space="0" w:color="auto"/>
                <w:bottom w:val="none" w:sz="0" w:space="0" w:color="auto"/>
                <w:right w:val="none" w:sz="0" w:space="0" w:color="auto"/>
              </w:divBdr>
              <w:divsChild>
                <w:div w:id="2023513564">
                  <w:marLeft w:val="0"/>
                  <w:marRight w:val="0"/>
                  <w:marTop w:val="0"/>
                  <w:marBottom w:val="0"/>
                  <w:divBdr>
                    <w:top w:val="none" w:sz="0" w:space="0" w:color="auto"/>
                    <w:left w:val="none" w:sz="0" w:space="0" w:color="auto"/>
                    <w:bottom w:val="none" w:sz="0" w:space="0" w:color="auto"/>
                    <w:right w:val="none" w:sz="0" w:space="0" w:color="auto"/>
                  </w:divBdr>
                  <w:divsChild>
                    <w:div w:id="1246845758">
                      <w:marLeft w:val="0"/>
                      <w:marRight w:val="0"/>
                      <w:marTop w:val="0"/>
                      <w:marBottom w:val="0"/>
                      <w:divBdr>
                        <w:top w:val="none" w:sz="0" w:space="0" w:color="auto"/>
                        <w:left w:val="none" w:sz="0" w:space="0" w:color="auto"/>
                        <w:bottom w:val="none" w:sz="0" w:space="0" w:color="auto"/>
                        <w:right w:val="none" w:sz="0" w:space="0" w:color="auto"/>
                      </w:divBdr>
                      <w:divsChild>
                        <w:div w:id="1790659448">
                          <w:marLeft w:val="0"/>
                          <w:marRight w:val="0"/>
                          <w:marTop w:val="0"/>
                          <w:marBottom w:val="0"/>
                          <w:divBdr>
                            <w:top w:val="none" w:sz="0" w:space="0" w:color="auto"/>
                            <w:left w:val="none" w:sz="0" w:space="0" w:color="auto"/>
                            <w:bottom w:val="none" w:sz="0" w:space="0" w:color="auto"/>
                            <w:right w:val="none" w:sz="0" w:space="0" w:color="auto"/>
                          </w:divBdr>
                          <w:divsChild>
                            <w:div w:id="937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055591">
      <w:bodyDiv w:val="1"/>
      <w:marLeft w:val="0"/>
      <w:marRight w:val="0"/>
      <w:marTop w:val="0"/>
      <w:marBottom w:val="0"/>
      <w:divBdr>
        <w:top w:val="none" w:sz="0" w:space="0" w:color="auto"/>
        <w:left w:val="none" w:sz="0" w:space="0" w:color="auto"/>
        <w:bottom w:val="none" w:sz="0" w:space="0" w:color="auto"/>
        <w:right w:val="none" w:sz="0" w:space="0" w:color="auto"/>
      </w:divBdr>
    </w:div>
    <w:div w:id="975138422">
      <w:bodyDiv w:val="1"/>
      <w:marLeft w:val="0"/>
      <w:marRight w:val="0"/>
      <w:marTop w:val="0"/>
      <w:marBottom w:val="0"/>
      <w:divBdr>
        <w:top w:val="none" w:sz="0" w:space="0" w:color="auto"/>
        <w:left w:val="none" w:sz="0" w:space="0" w:color="auto"/>
        <w:bottom w:val="none" w:sz="0" w:space="0" w:color="auto"/>
        <w:right w:val="none" w:sz="0" w:space="0" w:color="auto"/>
      </w:divBdr>
    </w:div>
    <w:div w:id="1008219439">
      <w:bodyDiv w:val="1"/>
      <w:marLeft w:val="0"/>
      <w:marRight w:val="0"/>
      <w:marTop w:val="0"/>
      <w:marBottom w:val="0"/>
      <w:divBdr>
        <w:top w:val="none" w:sz="0" w:space="0" w:color="auto"/>
        <w:left w:val="none" w:sz="0" w:space="0" w:color="auto"/>
        <w:bottom w:val="none" w:sz="0" w:space="0" w:color="auto"/>
        <w:right w:val="none" w:sz="0" w:space="0" w:color="auto"/>
      </w:divBdr>
    </w:div>
    <w:div w:id="1045105341">
      <w:bodyDiv w:val="1"/>
      <w:marLeft w:val="0"/>
      <w:marRight w:val="0"/>
      <w:marTop w:val="0"/>
      <w:marBottom w:val="0"/>
      <w:divBdr>
        <w:top w:val="none" w:sz="0" w:space="0" w:color="auto"/>
        <w:left w:val="none" w:sz="0" w:space="0" w:color="auto"/>
        <w:bottom w:val="none" w:sz="0" w:space="0" w:color="auto"/>
        <w:right w:val="none" w:sz="0" w:space="0" w:color="auto"/>
      </w:divBdr>
    </w:div>
    <w:div w:id="1045176774">
      <w:bodyDiv w:val="1"/>
      <w:marLeft w:val="0"/>
      <w:marRight w:val="0"/>
      <w:marTop w:val="0"/>
      <w:marBottom w:val="0"/>
      <w:divBdr>
        <w:top w:val="none" w:sz="0" w:space="0" w:color="auto"/>
        <w:left w:val="none" w:sz="0" w:space="0" w:color="auto"/>
        <w:bottom w:val="none" w:sz="0" w:space="0" w:color="auto"/>
        <w:right w:val="none" w:sz="0" w:space="0" w:color="auto"/>
      </w:divBdr>
    </w:div>
    <w:div w:id="1084764955">
      <w:bodyDiv w:val="1"/>
      <w:marLeft w:val="0"/>
      <w:marRight w:val="0"/>
      <w:marTop w:val="0"/>
      <w:marBottom w:val="0"/>
      <w:divBdr>
        <w:top w:val="none" w:sz="0" w:space="0" w:color="auto"/>
        <w:left w:val="none" w:sz="0" w:space="0" w:color="auto"/>
        <w:bottom w:val="none" w:sz="0" w:space="0" w:color="auto"/>
        <w:right w:val="none" w:sz="0" w:space="0" w:color="auto"/>
      </w:divBdr>
    </w:div>
    <w:div w:id="1090586512">
      <w:bodyDiv w:val="1"/>
      <w:marLeft w:val="0"/>
      <w:marRight w:val="0"/>
      <w:marTop w:val="0"/>
      <w:marBottom w:val="0"/>
      <w:divBdr>
        <w:top w:val="none" w:sz="0" w:space="0" w:color="auto"/>
        <w:left w:val="none" w:sz="0" w:space="0" w:color="auto"/>
        <w:bottom w:val="none" w:sz="0" w:space="0" w:color="auto"/>
        <w:right w:val="none" w:sz="0" w:space="0" w:color="auto"/>
      </w:divBdr>
    </w:div>
    <w:div w:id="1109860623">
      <w:bodyDiv w:val="1"/>
      <w:marLeft w:val="0"/>
      <w:marRight w:val="0"/>
      <w:marTop w:val="0"/>
      <w:marBottom w:val="0"/>
      <w:divBdr>
        <w:top w:val="none" w:sz="0" w:space="0" w:color="auto"/>
        <w:left w:val="none" w:sz="0" w:space="0" w:color="auto"/>
        <w:bottom w:val="none" w:sz="0" w:space="0" w:color="auto"/>
        <w:right w:val="none" w:sz="0" w:space="0" w:color="auto"/>
      </w:divBdr>
    </w:div>
    <w:div w:id="1130125956">
      <w:bodyDiv w:val="1"/>
      <w:marLeft w:val="0"/>
      <w:marRight w:val="0"/>
      <w:marTop w:val="0"/>
      <w:marBottom w:val="0"/>
      <w:divBdr>
        <w:top w:val="none" w:sz="0" w:space="0" w:color="auto"/>
        <w:left w:val="none" w:sz="0" w:space="0" w:color="auto"/>
        <w:bottom w:val="none" w:sz="0" w:space="0" w:color="auto"/>
        <w:right w:val="none" w:sz="0" w:space="0" w:color="auto"/>
      </w:divBdr>
    </w:div>
    <w:div w:id="1132602310">
      <w:bodyDiv w:val="1"/>
      <w:marLeft w:val="0"/>
      <w:marRight w:val="0"/>
      <w:marTop w:val="0"/>
      <w:marBottom w:val="0"/>
      <w:divBdr>
        <w:top w:val="none" w:sz="0" w:space="0" w:color="auto"/>
        <w:left w:val="none" w:sz="0" w:space="0" w:color="auto"/>
        <w:bottom w:val="none" w:sz="0" w:space="0" w:color="auto"/>
        <w:right w:val="none" w:sz="0" w:space="0" w:color="auto"/>
      </w:divBdr>
    </w:div>
    <w:div w:id="1154299335">
      <w:bodyDiv w:val="1"/>
      <w:marLeft w:val="0"/>
      <w:marRight w:val="0"/>
      <w:marTop w:val="0"/>
      <w:marBottom w:val="0"/>
      <w:divBdr>
        <w:top w:val="none" w:sz="0" w:space="0" w:color="auto"/>
        <w:left w:val="none" w:sz="0" w:space="0" w:color="auto"/>
        <w:bottom w:val="none" w:sz="0" w:space="0" w:color="auto"/>
        <w:right w:val="none" w:sz="0" w:space="0" w:color="auto"/>
      </w:divBdr>
    </w:div>
    <w:div w:id="1199661300">
      <w:bodyDiv w:val="1"/>
      <w:marLeft w:val="0"/>
      <w:marRight w:val="0"/>
      <w:marTop w:val="0"/>
      <w:marBottom w:val="0"/>
      <w:divBdr>
        <w:top w:val="none" w:sz="0" w:space="0" w:color="auto"/>
        <w:left w:val="none" w:sz="0" w:space="0" w:color="auto"/>
        <w:bottom w:val="none" w:sz="0" w:space="0" w:color="auto"/>
        <w:right w:val="none" w:sz="0" w:space="0" w:color="auto"/>
      </w:divBdr>
    </w:div>
    <w:div w:id="1233663627">
      <w:bodyDiv w:val="1"/>
      <w:marLeft w:val="0"/>
      <w:marRight w:val="0"/>
      <w:marTop w:val="0"/>
      <w:marBottom w:val="0"/>
      <w:divBdr>
        <w:top w:val="none" w:sz="0" w:space="0" w:color="auto"/>
        <w:left w:val="none" w:sz="0" w:space="0" w:color="auto"/>
        <w:bottom w:val="none" w:sz="0" w:space="0" w:color="auto"/>
        <w:right w:val="none" w:sz="0" w:space="0" w:color="auto"/>
      </w:divBdr>
    </w:div>
    <w:div w:id="1262059127">
      <w:bodyDiv w:val="1"/>
      <w:marLeft w:val="0"/>
      <w:marRight w:val="0"/>
      <w:marTop w:val="0"/>
      <w:marBottom w:val="0"/>
      <w:divBdr>
        <w:top w:val="none" w:sz="0" w:space="0" w:color="auto"/>
        <w:left w:val="none" w:sz="0" w:space="0" w:color="auto"/>
        <w:bottom w:val="none" w:sz="0" w:space="0" w:color="auto"/>
        <w:right w:val="none" w:sz="0" w:space="0" w:color="auto"/>
      </w:divBdr>
    </w:div>
    <w:div w:id="1271165556">
      <w:bodyDiv w:val="1"/>
      <w:marLeft w:val="0"/>
      <w:marRight w:val="0"/>
      <w:marTop w:val="0"/>
      <w:marBottom w:val="0"/>
      <w:divBdr>
        <w:top w:val="none" w:sz="0" w:space="0" w:color="auto"/>
        <w:left w:val="none" w:sz="0" w:space="0" w:color="auto"/>
        <w:bottom w:val="none" w:sz="0" w:space="0" w:color="auto"/>
        <w:right w:val="none" w:sz="0" w:space="0" w:color="auto"/>
      </w:divBdr>
      <w:divsChild>
        <w:div w:id="1725712454">
          <w:marLeft w:val="0"/>
          <w:marRight w:val="0"/>
          <w:marTop w:val="0"/>
          <w:marBottom w:val="0"/>
          <w:divBdr>
            <w:top w:val="none" w:sz="0" w:space="0" w:color="auto"/>
            <w:left w:val="none" w:sz="0" w:space="0" w:color="auto"/>
            <w:bottom w:val="none" w:sz="0" w:space="0" w:color="auto"/>
            <w:right w:val="none" w:sz="0" w:space="0" w:color="auto"/>
          </w:divBdr>
          <w:divsChild>
            <w:div w:id="2009668189">
              <w:marLeft w:val="0"/>
              <w:marRight w:val="0"/>
              <w:marTop w:val="0"/>
              <w:marBottom w:val="0"/>
              <w:divBdr>
                <w:top w:val="none" w:sz="0" w:space="0" w:color="auto"/>
                <w:left w:val="none" w:sz="0" w:space="0" w:color="auto"/>
                <w:bottom w:val="none" w:sz="0" w:space="0" w:color="auto"/>
                <w:right w:val="none" w:sz="0" w:space="0" w:color="auto"/>
              </w:divBdr>
              <w:divsChild>
                <w:div w:id="1189174288">
                  <w:marLeft w:val="0"/>
                  <w:marRight w:val="0"/>
                  <w:marTop w:val="0"/>
                  <w:marBottom w:val="0"/>
                  <w:divBdr>
                    <w:top w:val="none" w:sz="0" w:space="0" w:color="auto"/>
                    <w:left w:val="none" w:sz="0" w:space="0" w:color="auto"/>
                    <w:bottom w:val="none" w:sz="0" w:space="0" w:color="auto"/>
                    <w:right w:val="none" w:sz="0" w:space="0" w:color="auto"/>
                  </w:divBdr>
                  <w:divsChild>
                    <w:div w:id="1594389701">
                      <w:marLeft w:val="0"/>
                      <w:marRight w:val="0"/>
                      <w:marTop w:val="0"/>
                      <w:marBottom w:val="0"/>
                      <w:divBdr>
                        <w:top w:val="none" w:sz="0" w:space="0" w:color="auto"/>
                        <w:left w:val="none" w:sz="0" w:space="0" w:color="auto"/>
                        <w:bottom w:val="none" w:sz="0" w:space="0" w:color="auto"/>
                        <w:right w:val="none" w:sz="0" w:space="0" w:color="auto"/>
                      </w:divBdr>
                      <w:divsChild>
                        <w:div w:id="1859348363">
                          <w:marLeft w:val="0"/>
                          <w:marRight w:val="0"/>
                          <w:marTop w:val="0"/>
                          <w:marBottom w:val="0"/>
                          <w:divBdr>
                            <w:top w:val="none" w:sz="0" w:space="0" w:color="auto"/>
                            <w:left w:val="none" w:sz="0" w:space="0" w:color="auto"/>
                            <w:bottom w:val="none" w:sz="0" w:space="0" w:color="auto"/>
                            <w:right w:val="none" w:sz="0" w:space="0" w:color="auto"/>
                          </w:divBdr>
                          <w:divsChild>
                            <w:div w:id="19187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6787">
      <w:bodyDiv w:val="1"/>
      <w:marLeft w:val="0"/>
      <w:marRight w:val="0"/>
      <w:marTop w:val="0"/>
      <w:marBottom w:val="0"/>
      <w:divBdr>
        <w:top w:val="none" w:sz="0" w:space="0" w:color="auto"/>
        <w:left w:val="none" w:sz="0" w:space="0" w:color="auto"/>
        <w:bottom w:val="none" w:sz="0" w:space="0" w:color="auto"/>
        <w:right w:val="none" w:sz="0" w:space="0" w:color="auto"/>
      </w:divBdr>
    </w:div>
    <w:div w:id="1327442472">
      <w:bodyDiv w:val="1"/>
      <w:marLeft w:val="0"/>
      <w:marRight w:val="0"/>
      <w:marTop w:val="0"/>
      <w:marBottom w:val="0"/>
      <w:divBdr>
        <w:top w:val="none" w:sz="0" w:space="0" w:color="auto"/>
        <w:left w:val="none" w:sz="0" w:space="0" w:color="auto"/>
        <w:bottom w:val="none" w:sz="0" w:space="0" w:color="auto"/>
        <w:right w:val="none" w:sz="0" w:space="0" w:color="auto"/>
      </w:divBdr>
    </w:div>
    <w:div w:id="1387988530">
      <w:bodyDiv w:val="1"/>
      <w:marLeft w:val="0"/>
      <w:marRight w:val="0"/>
      <w:marTop w:val="0"/>
      <w:marBottom w:val="0"/>
      <w:divBdr>
        <w:top w:val="none" w:sz="0" w:space="0" w:color="auto"/>
        <w:left w:val="none" w:sz="0" w:space="0" w:color="auto"/>
        <w:bottom w:val="none" w:sz="0" w:space="0" w:color="auto"/>
        <w:right w:val="none" w:sz="0" w:space="0" w:color="auto"/>
      </w:divBdr>
    </w:div>
    <w:div w:id="1415663115">
      <w:bodyDiv w:val="1"/>
      <w:marLeft w:val="0"/>
      <w:marRight w:val="0"/>
      <w:marTop w:val="0"/>
      <w:marBottom w:val="0"/>
      <w:divBdr>
        <w:top w:val="none" w:sz="0" w:space="0" w:color="auto"/>
        <w:left w:val="none" w:sz="0" w:space="0" w:color="auto"/>
        <w:bottom w:val="none" w:sz="0" w:space="0" w:color="auto"/>
        <w:right w:val="none" w:sz="0" w:space="0" w:color="auto"/>
      </w:divBdr>
    </w:div>
    <w:div w:id="1419447210">
      <w:bodyDiv w:val="1"/>
      <w:marLeft w:val="0"/>
      <w:marRight w:val="0"/>
      <w:marTop w:val="0"/>
      <w:marBottom w:val="0"/>
      <w:divBdr>
        <w:top w:val="none" w:sz="0" w:space="0" w:color="auto"/>
        <w:left w:val="none" w:sz="0" w:space="0" w:color="auto"/>
        <w:bottom w:val="none" w:sz="0" w:space="0" w:color="auto"/>
        <w:right w:val="none" w:sz="0" w:space="0" w:color="auto"/>
      </w:divBdr>
    </w:div>
    <w:div w:id="1425569375">
      <w:bodyDiv w:val="1"/>
      <w:marLeft w:val="0"/>
      <w:marRight w:val="0"/>
      <w:marTop w:val="0"/>
      <w:marBottom w:val="0"/>
      <w:divBdr>
        <w:top w:val="none" w:sz="0" w:space="0" w:color="auto"/>
        <w:left w:val="none" w:sz="0" w:space="0" w:color="auto"/>
        <w:bottom w:val="none" w:sz="0" w:space="0" w:color="auto"/>
        <w:right w:val="none" w:sz="0" w:space="0" w:color="auto"/>
      </w:divBdr>
    </w:div>
    <w:div w:id="1467506784">
      <w:bodyDiv w:val="1"/>
      <w:marLeft w:val="0"/>
      <w:marRight w:val="0"/>
      <w:marTop w:val="0"/>
      <w:marBottom w:val="0"/>
      <w:divBdr>
        <w:top w:val="none" w:sz="0" w:space="0" w:color="auto"/>
        <w:left w:val="none" w:sz="0" w:space="0" w:color="auto"/>
        <w:bottom w:val="none" w:sz="0" w:space="0" w:color="auto"/>
        <w:right w:val="none" w:sz="0" w:space="0" w:color="auto"/>
      </w:divBdr>
      <w:divsChild>
        <w:div w:id="1551916574">
          <w:marLeft w:val="0"/>
          <w:marRight w:val="0"/>
          <w:marTop w:val="0"/>
          <w:marBottom w:val="0"/>
          <w:divBdr>
            <w:top w:val="none" w:sz="0" w:space="0" w:color="auto"/>
            <w:left w:val="none" w:sz="0" w:space="0" w:color="auto"/>
            <w:bottom w:val="none" w:sz="0" w:space="0" w:color="auto"/>
            <w:right w:val="none" w:sz="0" w:space="0" w:color="auto"/>
          </w:divBdr>
          <w:divsChild>
            <w:div w:id="2079396347">
              <w:marLeft w:val="0"/>
              <w:marRight w:val="0"/>
              <w:marTop w:val="0"/>
              <w:marBottom w:val="0"/>
              <w:divBdr>
                <w:top w:val="none" w:sz="0" w:space="0" w:color="auto"/>
                <w:left w:val="none" w:sz="0" w:space="0" w:color="auto"/>
                <w:bottom w:val="none" w:sz="0" w:space="0" w:color="auto"/>
                <w:right w:val="none" w:sz="0" w:space="0" w:color="auto"/>
              </w:divBdr>
              <w:divsChild>
                <w:div w:id="2084914624">
                  <w:marLeft w:val="0"/>
                  <w:marRight w:val="0"/>
                  <w:marTop w:val="0"/>
                  <w:marBottom w:val="0"/>
                  <w:divBdr>
                    <w:top w:val="none" w:sz="0" w:space="0" w:color="auto"/>
                    <w:left w:val="none" w:sz="0" w:space="0" w:color="auto"/>
                    <w:bottom w:val="none" w:sz="0" w:space="0" w:color="auto"/>
                    <w:right w:val="none" w:sz="0" w:space="0" w:color="auto"/>
                  </w:divBdr>
                  <w:divsChild>
                    <w:div w:id="1618639130">
                      <w:marLeft w:val="0"/>
                      <w:marRight w:val="0"/>
                      <w:marTop w:val="0"/>
                      <w:marBottom w:val="0"/>
                      <w:divBdr>
                        <w:top w:val="none" w:sz="0" w:space="0" w:color="auto"/>
                        <w:left w:val="none" w:sz="0" w:space="0" w:color="auto"/>
                        <w:bottom w:val="none" w:sz="0" w:space="0" w:color="auto"/>
                        <w:right w:val="none" w:sz="0" w:space="0" w:color="auto"/>
                      </w:divBdr>
                      <w:divsChild>
                        <w:div w:id="942956857">
                          <w:marLeft w:val="0"/>
                          <w:marRight w:val="0"/>
                          <w:marTop w:val="0"/>
                          <w:marBottom w:val="0"/>
                          <w:divBdr>
                            <w:top w:val="none" w:sz="0" w:space="0" w:color="auto"/>
                            <w:left w:val="none" w:sz="0" w:space="0" w:color="auto"/>
                            <w:bottom w:val="none" w:sz="0" w:space="0" w:color="auto"/>
                            <w:right w:val="none" w:sz="0" w:space="0" w:color="auto"/>
                          </w:divBdr>
                          <w:divsChild>
                            <w:div w:id="1726441557">
                              <w:marLeft w:val="0"/>
                              <w:marRight w:val="0"/>
                              <w:marTop w:val="0"/>
                              <w:marBottom w:val="0"/>
                              <w:divBdr>
                                <w:top w:val="none" w:sz="0" w:space="0" w:color="auto"/>
                                <w:left w:val="none" w:sz="0" w:space="0" w:color="auto"/>
                                <w:bottom w:val="none" w:sz="0" w:space="0" w:color="auto"/>
                                <w:right w:val="none" w:sz="0" w:space="0" w:color="auto"/>
                              </w:divBdr>
                              <w:divsChild>
                                <w:div w:id="2022586511">
                                  <w:marLeft w:val="0"/>
                                  <w:marRight w:val="0"/>
                                  <w:marTop w:val="0"/>
                                  <w:marBottom w:val="0"/>
                                  <w:divBdr>
                                    <w:top w:val="none" w:sz="0" w:space="0" w:color="auto"/>
                                    <w:left w:val="none" w:sz="0" w:space="0" w:color="auto"/>
                                    <w:bottom w:val="none" w:sz="0" w:space="0" w:color="auto"/>
                                    <w:right w:val="none" w:sz="0" w:space="0" w:color="auto"/>
                                  </w:divBdr>
                                  <w:divsChild>
                                    <w:div w:id="1305429877">
                                      <w:marLeft w:val="0"/>
                                      <w:marRight w:val="0"/>
                                      <w:marTop w:val="0"/>
                                      <w:marBottom w:val="0"/>
                                      <w:divBdr>
                                        <w:top w:val="none" w:sz="0" w:space="0" w:color="auto"/>
                                        <w:left w:val="none" w:sz="0" w:space="0" w:color="auto"/>
                                        <w:bottom w:val="none" w:sz="0" w:space="0" w:color="auto"/>
                                        <w:right w:val="none" w:sz="0" w:space="0" w:color="auto"/>
                                      </w:divBdr>
                                      <w:divsChild>
                                        <w:div w:id="1271354653">
                                          <w:marLeft w:val="0"/>
                                          <w:marRight w:val="0"/>
                                          <w:marTop w:val="0"/>
                                          <w:marBottom w:val="0"/>
                                          <w:divBdr>
                                            <w:top w:val="none" w:sz="0" w:space="0" w:color="auto"/>
                                            <w:left w:val="none" w:sz="0" w:space="0" w:color="auto"/>
                                            <w:bottom w:val="none" w:sz="0" w:space="0" w:color="auto"/>
                                            <w:right w:val="none" w:sz="0" w:space="0" w:color="auto"/>
                                          </w:divBdr>
                                          <w:divsChild>
                                            <w:div w:id="12149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488128">
      <w:bodyDiv w:val="1"/>
      <w:marLeft w:val="0"/>
      <w:marRight w:val="0"/>
      <w:marTop w:val="0"/>
      <w:marBottom w:val="0"/>
      <w:divBdr>
        <w:top w:val="none" w:sz="0" w:space="0" w:color="auto"/>
        <w:left w:val="none" w:sz="0" w:space="0" w:color="auto"/>
        <w:bottom w:val="none" w:sz="0" w:space="0" w:color="auto"/>
        <w:right w:val="none" w:sz="0" w:space="0" w:color="auto"/>
      </w:divBdr>
    </w:div>
    <w:div w:id="1561134172">
      <w:bodyDiv w:val="1"/>
      <w:marLeft w:val="0"/>
      <w:marRight w:val="0"/>
      <w:marTop w:val="0"/>
      <w:marBottom w:val="0"/>
      <w:divBdr>
        <w:top w:val="none" w:sz="0" w:space="0" w:color="auto"/>
        <w:left w:val="none" w:sz="0" w:space="0" w:color="auto"/>
        <w:bottom w:val="none" w:sz="0" w:space="0" w:color="auto"/>
        <w:right w:val="none" w:sz="0" w:space="0" w:color="auto"/>
      </w:divBdr>
    </w:div>
    <w:div w:id="1582521833">
      <w:bodyDiv w:val="1"/>
      <w:marLeft w:val="0"/>
      <w:marRight w:val="0"/>
      <w:marTop w:val="0"/>
      <w:marBottom w:val="0"/>
      <w:divBdr>
        <w:top w:val="none" w:sz="0" w:space="0" w:color="auto"/>
        <w:left w:val="none" w:sz="0" w:space="0" w:color="auto"/>
        <w:bottom w:val="none" w:sz="0" w:space="0" w:color="auto"/>
        <w:right w:val="none" w:sz="0" w:space="0" w:color="auto"/>
      </w:divBdr>
    </w:div>
    <w:div w:id="1668828643">
      <w:bodyDiv w:val="1"/>
      <w:marLeft w:val="0"/>
      <w:marRight w:val="0"/>
      <w:marTop w:val="0"/>
      <w:marBottom w:val="0"/>
      <w:divBdr>
        <w:top w:val="none" w:sz="0" w:space="0" w:color="auto"/>
        <w:left w:val="none" w:sz="0" w:space="0" w:color="auto"/>
        <w:bottom w:val="none" w:sz="0" w:space="0" w:color="auto"/>
        <w:right w:val="none" w:sz="0" w:space="0" w:color="auto"/>
      </w:divBdr>
    </w:div>
    <w:div w:id="1674719632">
      <w:bodyDiv w:val="1"/>
      <w:marLeft w:val="0"/>
      <w:marRight w:val="0"/>
      <w:marTop w:val="0"/>
      <w:marBottom w:val="0"/>
      <w:divBdr>
        <w:top w:val="none" w:sz="0" w:space="0" w:color="auto"/>
        <w:left w:val="none" w:sz="0" w:space="0" w:color="auto"/>
        <w:bottom w:val="none" w:sz="0" w:space="0" w:color="auto"/>
        <w:right w:val="none" w:sz="0" w:space="0" w:color="auto"/>
      </w:divBdr>
    </w:div>
    <w:div w:id="1706444019">
      <w:bodyDiv w:val="1"/>
      <w:marLeft w:val="0"/>
      <w:marRight w:val="0"/>
      <w:marTop w:val="0"/>
      <w:marBottom w:val="0"/>
      <w:divBdr>
        <w:top w:val="none" w:sz="0" w:space="0" w:color="auto"/>
        <w:left w:val="none" w:sz="0" w:space="0" w:color="auto"/>
        <w:bottom w:val="none" w:sz="0" w:space="0" w:color="auto"/>
        <w:right w:val="none" w:sz="0" w:space="0" w:color="auto"/>
      </w:divBdr>
    </w:div>
    <w:div w:id="1709377699">
      <w:bodyDiv w:val="1"/>
      <w:marLeft w:val="0"/>
      <w:marRight w:val="0"/>
      <w:marTop w:val="0"/>
      <w:marBottom w:val="0"/>
      <w:divBdr>
        <w:top w:val="none" w:sz="0" w:space="0" w:color="auto"/>
        <w:left w:val="none" w:sz="0" w:space="0" w:color="auto"/>
        <w:bottom w:val="none" w:sz="0" w:space="0" w:color="auto"/>
        <w:right w:val="none" w:sz="0" w:space="0" w:color="auto"/>
      </w:divBdr>
    </w:div>
    <w:div w:id="1710186507">
      <w:bodyDiv w:val="1"/>
      <w:marLeft w:val="0"/>
      <w:marRight w:val="0"/>
      <w:marTop w:val="0"/>
      <w:marBottom w:val="0"/>
      <w:divBdr>
        <w:top w:val="none" w:sz="0" w:space="0" w:color="auto"/>
        <w:left w:val="none" w:sz="0" w:space="0" w:color="auto"/>
        <w:bottom w:val="none" w:sz="0" w:space="0" w:color="auto"/>
        <w:right w:val="none" w:sz="0" w:space="0" w:color="auto"/>
      </w:divBdr>
      <w:divsChild>
        <w:div w:id="760374942">
          <w:marLeft w:val="0"/>
          <w:marRight w:val="0"/>
          <w:marTop w:val="0"/>
          <w:marBottom w:val="0"/>
          <w:divBdr>
            <w:top w:val="none" w:sz="0" w:space="0" w:color="auto"/>
            <w:left w:val="none" w:sz="0" w:space="0" w:color="auto"/>
            <w:bottom w:val="none" w:sz="0" w:space="0" w:color="auto"/>
            <w:right w:val="none" w:sz="0" w:space="0" w:color="auto"/>
          </w:divBdr>
          <w:divsChild>
            <w:div w:id="1393655324">
              <w:marLeft w:val="0"/>
              <w:marRight w:val="0"/>
              <w:marTop w:val="0"/>
              <w:marBottom w:val="0"/>
              <w:divBdr>
                <w:top w:val="none" w:sz="0" w:space="0" w:color="auto"/>
                <w:left w:val="none" w:sz="0" w:space="0" w:color="auto"/>
                <w:bottom w:val="none" w:sz="0" w:space="0" w:color="auto"/>
                <w:right w:val="none" w:sz="0" w:space="0" w:color="auto"/>
              </w:divBdr>
              <w:divsChild>
                <w:div w:id="389767193">
                  <w:marLeft w:val="0"/>
                  <w:marRight w:val="0"/>
                  <w:marTop w:val="0"/>
                  <w:marBottom w:val="0"/>
                  <w:divBdr>
                    <w:top w:val="none" w:sz="0" w:space="0" w:color="auto"/>
                    <w:left w:val="none" w:sz="0" w:space="0" w:color="auto"/>
                    <w:bottom w:val="none" w:sz="0" w:space="0" w:color="auto"/>
                    <w:right w:val="none" w:sz="0" w:space="0" w:color="auto"/>
                  </w:divBdr>
                  <w:divsChild>
                    <w:div w:id="272127129">
                      <w:marLeft w:val="0"/>
                      <w:marRight w:val="0"/>
                      <w:marTop w:val="0"/>
                      <w:marBottom w:val="0"/>
                      <w:divBdr>
                        <w:top w:val="none" w:sz="0" w:space="0" w:color="auto"/>
                        <w:left w:val="none" w:sz="0" w:space="0" w:color="auto"/>
                        <w:bottom w:val="none" w:sz="0" w:space="0" w:color="auto"/>
                        <w:right w:val="none" w:sz="0" w:space="0" w:color="auto"/>
                      </w:divBdr>
                    </w:div>
                    <w:div w:id="1116756858">
                      <w:marLeft w:val="0"/>
                      <w:marRight w:val="0"/>
                      <w:marTop w:val="0"/>
                      <w:marBottom w:val="0"/>
                      <w:divBdr>
                        <w:top w:val="none" w:sz="0" w:space="0" w:color="auto"/>
                        <w:left w:val="none" w:sz="0" w:space="0" w:color="auto"/>
                        <w:bottom w:val="none" w:sz="0" w:space="0" w:color="auto"/>
                        <w:right w:val="none" w:sz="0" w:space="0" w:color="auto"/>
                      </w:divBdr>
                    </w:div>
                    <w:div w:id="2027436273">
                      <w:marLeft w:val="0"/>
                      <w:marRight w:val="0"/>
                      <w:marTop w:val="0"/>
                      <w:marBottom w:val="0"/>
                      <w:divBdr>
                        <w:top w:val="none" w:sz="0" w:space="0" w:color="auto"/>
                        <w:left w:val="none" w:sz="0" w:space="0" w:color="auto"/>
                        <w:bottom w:val="none" w:sz="0" w:space="0" w:color="auto"/>
                        <w:right w:val="none" w:sz="0" w:space="0" w:color="auto"/>
                      </w:divBdr>
                    </w:div>
                  </w:divsChild>
                </w:div>
                <w:div w:id="990403545">
                  <w:marLeft w:val="0"/>
                  <w:marRight w:val="0"/>
                  <w:marTop w:val="0"/>
                  <w:marBottom w:val="0"/>
                  <w:divBdr>
                    <w:top w:val="none" w:sz="0" w:space="0" w:color="auto"/>
                    <w:left w:val="none" w:sz="0" w:space="0" w:color="auto"/>
                    <w:bottom w:val="none" w:sz="0" w:space="0" w:color="auto"/>
                    <w:right w:val="none" w:sz="0" w:space="0" w:color="auto"/>
                  </w:divBdr>
                  <w:divsChild>
                    <w:div w:id="288824744">
                      <w:marLeft w:val="0"/>
                      <w:marRight w:val="0"/>
                      <w:marTop w:val="0"/>
                      <w:marBottom w:val="0"/>
                      <w:divBdr>
                        <w:top w:val="none" w:sz="0" w:space="0" w:color="auto"/>
                        <w:left w:val="none" w:sz="0" w:space="0" w:color="auto"/>
                        <w:bottom w:val="none" w:sz="0" w:space="0" w:color="auto"/>
                        <w:right w:val="none" w:sz="0" w:space="0" w:color="auto"/>
                      </w:divBdr>
                      <w:divsChild>
                        <w:div w:id="1461387758">
                          <w:marLeft w:val="0"/>
                          <w:marRight w:val="0"/>
                          <w:marTop w:val="0"/>
                          <w:marBottom w:val="0"/>
                          <w:divBdr>
                            <w:top w:val="none" w:sz="0" w:space="0" w:color="auto"/>
                            <w:left w:val="none" w:sz="0" w:space="0" w:color="auto"/>
                            <w:bottom w:val="none" w:sz="0" w:space="0" w:color="auto"/>
                            <w:right w:val="none" w:sz="0" w:space="0" w:color="auto"/>
                          </w:divBdr>
                        </w:div>
                      </w:divsChild>
                    </w:div>
                    <w:div w:id="404031892">
                      <w:marLeft w:val="0"/>
                      <w:marRight w:val="0"/>
                      <w:marTop w:val="0"/>
                      <w:marBottom w:val="0"/>
                      <w:divBdr>
                        <w:top w:val="none" w:sz="0" w:space="0" w:color="auto"/>
                        <w:left w:val="none" w:sz="0" w:space="0" w:color="auto"/>
                        <w:bottom w:val="none" w:sz="0" w:space="0" w:color="auto"/>
                        <w:right w:val="none" w:sz="0" w:space="0" w:color="auto"/>
                      </w:divBdr>
                      <w:divsChild>
                        <w:div w:id="1657611490">
                          <w:marLeft w:val="0"/>
                          <w:marRight w:val="0"/>
                          <w:marTop w:val="0"/>
                          <w:marBottom w:val="0"/>
                          <w:divBdr>
                            <w:top w:val="none" w:sz="0" w:space="0" w:color="auto"/>
                            <w:left w:val="none" w:sz="0" w:space="0" w:color="auto"/>
                            <w:bottom w:val="none" w:sz="0" w:space="0" w:color="auto"/>
                            <w:right w:val="none" w:sz="0" w:space="0" w:color="auto"/>
                          </w:divBdr>
                        </w:div>
                        <w:div w:id="2136412721">
                          <w:marLeft w:val="0"/>
                          <w:marRight w:val="0"/>
                          <w:marTop w:val="0"/>
                          <w:marBottom w:val="0"/>
                          <w:divBdr>
                            <w:top w:val="none" w:sz="0" w:space="0" w:color="auto"/>
                            <w:left w:val="none" w:sz="0" w:space="0" w:color="auto"/>
                            <w:bottom w:val="none" w:sz="0" w:space="0" w:color="auto"/>
                            <w:right w:val="none" w:sz="0" w:space="0" w:color="auto"/>
                          </w:divBdr>
                        </w:div>
                      </w:divsChild>
                    </w:div>
                    <w:div w:id="809516301">
                      <w:marLeft w:val="0"/>
                      <w:marRight w:val="0"/>
                      <w:marTop w:val="0"/>
                      <w:marBottom w:val="0"/>
                      <w:divBdr>
                        <w:top w:val="none" w:sz="0" w:space="0" w:color="auto"/>
                        <w:left w:val="none" w:sz="0" w:space="0" w:color="auto"/>
                        <w:bottom w:val="none" w:sz="0" w:space="0" w:color="auto"/>
                        <w:right w:val="none" w:sz="0" w:space="0" w:color="auto"/>
                      </w:divBdr>
                      <w:divsChild>
                        <w:div w:id="20711219">
                          <w:marLeft w:val="0"/>
                          <w:marRight w:val="0"/>
                          <w:marTop w:val="0"/>
                          <w:marBottom w:val="0"/>
                          <w:divBdr>
                            <w:top w:val="none" w:sz="0" w:space="0" w:color="auto"/>
                            <w:left w:val="none" w:sz="0" w:space="0" w:color="auto"/>
                            <w:bottom w:val="none" w:sz="0" w:space="0" w:color="auto"/>
                            <w:right w:val="none" w:sz="0" w:space="0" w:color="auto"/>
                          </w:divBdr>
                        </w:div>
                        <w:div w:id="996424970">
                          <w:marLeft w:val="0"/>
                          <w:marRight w:val="0"/>
                          <w:marTop w:val="0"/>
                          <w:marBottom w:val="0"/>
                          <w:divBdr>
                            <w:top w:val="none" w:sz="0" w:space="0" w:color="auto"/>
                            <w:left w:val="none" w:sz="0" w:space="0" w:color="auto"/>
                            <w:bottom w:val="none" w:sz="0" w:space="0" w:color="auto"/>
                            <w:right w:val="none" w:sz="0" w:space="0" w:color="auto"/>
                          </w:divBdr>
                        </w:div>
                      </w:divsChild>
                    </w:div>
                    <w:div w:id="826092056">
                      <w:marLeft w:val="0"/>
                      <w:marRight w:val="0"/>
                      <w:marTop w:val="0"/>
                      <w:marBottom w:val="0"/>
                      <w:divBdr>
                        <w:top w:val="none" w:sz="0" w:space="0" w:color="auto"/>
                        <w:left w:val="none" w:sz="0" w:space="0" w:color="auto"/>
                        <w:bottom w:val="none" w:sz="0" w:space="0" w:color="auto"/>
                        <w:right w:val="none" w:sz="0" w:space="0" w:color="auto"/>
                      </w:divBdr>
                      <w:divsChild>
                        <w:div w:id="1801878456">
                          <w:marLeft w:val="0"/>
                          <w:marRight w:val="0"/>
                          <w:marTop w:val="0"/>
                          <w:marBottom w:val="0"/>
                          <w:divBdr>
                            <w:top w:val="none" w:sz="0" w:space="0" w:color="auto"/>
                            <w:left w:val="none" w:sz="0" w:space="0" w:color="auto"/>
                            <w:bottom w:val="none" w:sz="0" w:space="0" w:color="auto"/>
                            <w:right w:val="none" w:sz="0" w:space="0" w:color="auto"/>
                          </w:divBdr>
                        </w:div>
                        <w:div w:id="2104303276">
                          <w:marLeft w:val="0"/>
                          <w:marRight w:val="0"/>
                          <w:marTop w:val="0"/>
                          <w:marBottom w:val="0"/>
                          <w:divBdr>
                            <w:top w:val="none" w:sz="0" w:space="0" w:color="auto"/>
                            <w:left w:val="none" w:sz="0" w:space="0" w:color="auto"/>
                            <w:bottom w:val="none" w:sz="0" w:space="0" w:color="auto"/>
                            <w:right w:val="none" w:sz="0" w:space="0" w:color="auto"/>
                          </w:divBdr>
                        </w:div>
                      </w:divsChild>
                    </w:div>
                    <w:div w:id="1021080523">
                      <w:marLeft w:val="0"/>
                      <w:marRight w:val="0"/>
                      <w:marTop w:val="0"/>
                      <w:marBottom w:val="0"/>
                      <w:divBdr>
                        <w:top w:val="none" w:sz="0" w:space="0" w:color="auto"/>
                        <w:left w:val="none" w:sz="0" w:space="0" w:color="auto"/>
                        <w:bottom w:val="none" w:sz="0" w:space="0" w:color="auto"/>
                        <w:right w:val="none" w:sz="0" w:space="0" w:color="auto"/>
                      </w:divBdr>
                      <w:divsChild>
                        <w:div w:id="475487450">
                          <w:marLeft w:val="0"/>
                          <w:marRight w:val="0"/>
                          <w:marTop w:val="0"/>
                          <w:marBottom w:val="0"/>
                          <w:divBdr>
                            <w:top w:val="none" w:sz="0" w:space="0" w:color="auto"/>
                            <w:left w:val="none" w:sz="0" w:space="0" w:color="auto"/>
                            <w:bottom w:val="none" w:sz="0" w:space="0" w:color="auto"/>
                            <w:right w:val="none" w:sz="0" w:space="0" w:color="auto"/>
                          </w:divBdr>
                        </w:div>
                        <w:div w:id="1639187273">
                          <w:marLeft w:val="0"/>
                          <w:marRight w:val="0"/>
                          <w:marTop w:val="0"/>
                          <w:marBottom w:val="0"/>
                          <w:divBdr>
                            <w:top w:val="none" w:sz="0" w:space="0" w:color="auto"/>
                            <w:left w:val="none" w:sz="0" w:space="0" w:color="auto"/>
                            <w:bottom w:val="none" w:sz="0" w:space="0" w:color="auto"/>
                            <w:right w:val="none" w:sz="0" w:space="0" w:color="auto"/>
                          </w:divBdr>
                        </w:div>
                      </w:divsChild>
                    </w:div>
                    <w:div w:id="1348369115">
                      <w:marLeft w:val="0"/>
                      <w:marRight w:val="0"/>
                      <w:marTop w:val="0"/>
                      <w:marBottom w:val="0"/>
                      <w:divBdr>
                        <w:top w:val="none" w:sz="0" w:space="0" w:color="auto"/>
                        <w:left w:val="none" w:sz="0" w:space="0" w:color="auto"/>
                        <w:bottom w:val="none" w:sz="0" w:space="0" w:color="auto"/>
                        <w:right w:val="none" w:sz="0" w:space="0" w:color="auto"/>
                      </w:divBdr>
                      <w:divsChild>
                        <w:div w:id="82336837">
                          <w:marLeft w:val="0"/>
                          <w:marRight w:val="0"/>
                          <w:marTop w:val="0"/>
                          <w:marBottom w:val="0"/>
                          <w:divBdr>
                            <w:top w:val="none" w:sz="0" w:space="0" w:color="auto"/>
                            <w:left w:val="none" w:sz="0" w:space="0" w:color="auto"/>
                            <w:bottom w:val="none" w:sz="0" w:space="0" w:color="auto"/>
                            <w:right w:val="none" w:sz="0" w:space="0" w:color="auto"/>
                          </w:divBdr>
                        </w:div>
                        <w:div w:id="1711605696">
                          <w:marLeft w:val="0"/>
                          <w:marRight w:val="0"/>
                          <w:marTop w:val="0"/>
                          <w:marBottom w:val="0"/>
                          <w:divBdr>
                            <w:top w:val="none" w:sz="0" w:space="0" w:color="auto"/>
                            <w:left w:val="none" w:sz="0" w:space="0" w:color="auto"/>
                            <w:bottom w:val="none" w:sz="0" w:space="0" w:color="auto"/>
                            <w:right w:val="none" w:sz="0" w:space="0" w:color="auto"/>
                          </w:divBdr>
                        </w:div>
                      </w:divsChild>
                    </w:div>
                    <w:div w:id="1661501119">
                      <w:marLeft w:val="0"/>
                      <w:marRight w:val="0"/>
                      <w:marTop w:val="0"/>
                      <w:marBottom w:val="0"/>
                      <w:divBdr>
                        <w:top w:val="none" w:sz="0" w:space="0" w:color="auto"/>
                        <w:left w:val="none" w:sz="0" w:space="0" w:color="auto"/>
                        <w:bottom w:val="none" w:sz="0" w:space="0" w:color="auto"/>
                        <w:right w:val="none" w:sz="0" w:space="0" w:color="auto"/>
                      </w:divBdr>
                      <w:divsChild>
                        <w:div w:id="894388131">
                          <w:marLeft w:val="0"/>
                          <w:marRight w:val="0"/>
                          <w:marTop w:val="0"/>
                          <w:marBottom w:val="0"/>
                          <w:divBdr>
                            <w:top w:val="none" w:sz="0" w:space="0" w:color="auto"/>
                            <w:left w:val="none" w:sz="0" w:space="0" w:color="auto"/>
                            <w:bottom w:val="none" w:sz="0" w:space="0" w:color="auto"/>
                            <w:right w:val="none" w:sz="0" w:space="0" w:color="auto"/>
                          </w:divBdr>
                        </w:div>
                        <w:div w:id="1168785867">
                          <w:marLeft w:val="0"/>
                          <w:marRight w:val="0"/>
                          <w:marTop w:val="0"/>
                          <w:marBottom w:val="0"/>
                          <w:divBdr>
                            <w:top w:val="none" w:sz="0" w:space="0" w:color="auto"/>
                            <w:left w:val="none" w:sz="0" w:space="0" w:color="auto"/>
                            <w:bottom w:val="none" w:sz="0" w:space="0" w:color="auto"/>
                            <w:right w:val="none" w:sz="0" w:space="0" w:color="auto"/>
                          </w:divBdr>
                        </w:div>
                      </w:divsChild>
                    </w:div>
                    <w:div w:id="1942756897">
                      <w:marLeft w:val="0"/>
                      <w:marRight w:val="0"/>
                      <w:marTop w:val="0"/>
                      <w:marBottom w:val="0"/>
                      <w:divBdr>
                        <w:top w:val="none" w:sz="0" w:space="0" w:color="auto"/>
                        <w:left w:val="none" w:sz="0" w:space="0" w:color="auto"/>
                        <w:bottom w:val="none" w:sz="0" w:space="0" w:color="auto"/>
                        <w:right w:val="none" w:sz="0" w:space="0" w:color="auto"/>
                      </w:divBdr>
                      <w:divsChild>
                        <w:div w:id="353457931">
                          <w:marLeft w:val="0"/>
                          <w:marRight w:val="0"/>
                          <w:marTop w:val="0"/>
                          <w:marBottom w:val="0"/>
                          <w:divBdr>
                            <w:top w:val="none" w:sz="0" w:space="0" w:color="auto"/>
                            <w:left w:val="none" w:sz="0" w:space="0" w:color="auto"/>
                            <w:bottom w:val="none" w:sz="0" w:space="0" w:color="auto"/>
                            <w:right w:val="none" w:sz="0" w:space="0" w:color="auto"/>
                          </w:divBdr>
                        </w:div>
                        <w:div w:id="12845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771123">
      <w:bodyDiv w:val="1"/>
      <w:marLeft w:val="0"/>
      <w:marRight w:val="0"/>
      <w:marTop w:val="0"/>
      <w:marBottom w:val="0"/>
      <w:divBdr>
        <w:top w:val="none" w:sz="0" w:space="0" w:color="auto"/>
        <w:left w:val="none" w:sz="0" w:space="0" w:color="auto"/>
        <w:bottom w:val="none" w:sz="0" w:space="0" w:color="auto"/>
        <w:right w:val="none" w:sz="0" w:space="0" w:color="auto"/>
      </w:divBdr>
    </w:div>
    <w:div w:id="1839811616">
      <w:marLeft w:val="0"/>
      <w:marRight w:val="0"/>
      <w:marTop w:val="0"/>
      <w:marBottom w:val="0"/>
      <w:divBdr>
        <w:top w:val="none" w:sz="0" w:space="0" w:color="auto"/>
        <w:left w:val="none" w:sz="0" w:space="0" w:color="auto"/>
        <w:bottom w:val="none" w:sz="0" w:space="0" w:color="auto"/>
        <w:right w:val="none" w:sz="0" w:space="0" w:color="auto"/>
      </w:divBdr>
    </w:div>
    <w:div w:id="1839811617">
      <w:marLeft w:val="0"/>
      <w:marRight w:val="0"/>
      <w:marTop w:val="0"/>
      <w:marBottom w:val="0"/>
      <w:divBdr>
        <w:top w:val="none" w:sz="0" w:space="0" w:color="auto"/>
        <w:left w:val="none" w:sz="0" w:space="0" w:color="auto"/>
        <w:bottom w:val="none" w:sz="0" w:space="0" w:color="auto"/>
        <w:right w:val="none" w:sz="0" w:space="0" w:color="auto"/>
      </w:divBdr>
    </w:div>
    <w:div w:id="1839811618">
      <w:marLeft w:val="0"/>
      <w:marRight w:val="0"/>
      <w:marTop w:val="0"/>
      <w:marBottom w:val="0"/>
      <w:divBdr>
        <w:top w:val="none" w:sz="0" w:space="0" w:color="auto"/>
        <w:left w:val="none" w:sz="0" w:space="0" w:color="auto"/>
        <w:bottom w:val="none" w:sz="0" w:space="0" w:color="auto"/>
        <w:right w:val="none" w:sz="0" w:space="0" w:color="auto"/>
      </w:divBdr>
    </w:div>
    <w:div w:id="1839811619">
      <w:marLeft w:val="0"/>
      <w:marRight w:val="0"/>
      <w:marTop w:val="0"/>
      <w:marBottom w:val="0"/>
      <w:divBdr>
        <w:top w:val="none" w:sz="0" w:space="0" w:color="auto"/>
        <w:left w:val="none" w:sz="0" w:space="0" w:color="auto"/>
        <w:bottom w:val="none" w:sz="0" w:space="0" w:color="auto"/>
        <w:right w:val="none" w:sz="0" w:space="0" w:color="auto"/>
      </w:divBdr>
    </w:div>
    <w:div w:id="1839811620">
      <w:marLeft w:val="0"/>
      <w:marRight w:val="0"/>
      <w:marTop w:val="0"/>
      <w:marBottom w:val="0"/>
      <w:divBdr>
        <w:top w:val="none" w:sz="0" w:space="0" w:color="auto"/>
        <w:left w:val="none" w:sz="0" w:space="0" w:color="auto"/>
        <w:bottom w:val="none" w:sz="0" w:space="0" w:color="auto"/>
        <w:right w:val="none" w:sz="0" w:space="0" w:color="auto"/>
      </w:divBdr>
    </w:div>
    <w:div w:id="1839811621">
      <w:marLeft w:val="0"/>
      <w:marRight w:val="0"/>
      <w:marTop w:val="0"/>
      <w:marBottom w:val="0"/>
      <w:divBdr>
        <w:top w:val="none" w:sz="0" w:space="0" w:color="auto"/>
        <w:left w:val="none" w:sz="0" w:space="0" w:color="auto"/>
        <w:bottom w:val="none" w:sz="0" w:space="0" w:color="auto"/>
        <w:right w:val="none" w:sz="0" w:space="0" w:color="auto"/>
      </w:divBdr>
    </w:div>
    <w:div w:id="1839811622">
      <w:marLeft w:val="0"/>
      <w:marRight w:val="0"/>
      <w:marTop w:val="0"/>
      <w:marBottom w:val="0"/>
      <w:divBdr>
        <w:top w:val="none" w:sz="0" w:space="0" w:color="auto"/>
        <w:left w:val="none" w:sz="0" w:space="0" w:color="auto"/>
        <w:bottom w:val="none" w:sz="0" w:space="0" w:color="auto"/>
        <w:right w:val="none" w:sz="0" w:space="0" w:color="auto"/>
      </w:divBdr>
    </w:div>
    <w:div w:id="1839811623">
      <w:marLeft w:val="0"/>
      <w:marRight w:val="0"/>
      <w:marTop w:val="0"/>
      <w:marBottom w:val="0"/>
      <w:divBdr>
        <w:top w:val="none" w:sz="0" w:space="0" w:color="auto"/>
        <w:left w:val="none" w:sz="0" w:space="0" w:color="auto"/>
        <w:bottom w:val="none" w:sz="0" w:space="0" w:color="auto"/>
        <w:right w:val="none" w:sz="0" w:space="0" w:color="auto"/>
      </w:divBdr>
    </w:div>
    <w:div w:id="1839811624">
      <w:marLeft w:val="0"/>
      <w:marRight w:val="0"/>
      <w:marTop w:val="0"/>
      <w:marBottom w:val="0"/>
      <w:divBdr>
        <w:top w:val="none" w:sz="0" w:space="0" w:color="auto"/>
        <w:left w:val="none" w:sz="0" w:space="0" w:color="auto"/>
        <w:bottom w:val="none" w:sz="0" w:space="0" w:color="auto"/>
        <w:right w:val="none" w:sz="0" w:space="0" w:color="auto"/>
      </w:divBdr>
    </w:div>
    <w:div w:id="1839811625">
      <w:marLeft w:val="0"/>
      <w:marRight w:val="0"/>
      <w:marTop w:val="0"/>
      <w:marBottom w:val="0"/>
      <w:divBdr>
        <w:top w:val="none" w:sz="0" w:space="0" w:color="auto"/>
        <w:left w:val="none" w:sz="0" w:space="0" w:color="auto"/>
        <w:bottom w:val="none" w:sz="0" w:space="0" w:color="auto"/>
        <w:right w:val="none" w:sz="0" w:space="0" w:color="auto"/>
      </w:divBdr>
    </w:div>
    <w:div w:id="1839811626">
      <w:marLeft w:val="0"/>
      <w:marRight w:val="0"/>
      <w:marTop w:val="0"/>
      <w:marBottom w:val="0"/>
      <w:divBdr>
        <w:top w:val="none" w:sz="0" w:space="0" w:color="auto"/>
        <w:left w:val="none" w:sz="0" w:space="0" w:color="auto"/>
        <w:bottom w:val="none" w:sz="0" w:space="0" w:color="auto"/>
        <w:right w:val="none" w:sz="0" w:space="0" w:color="auto"/>
      </w:divBdr>
    </w:div>
    <w:div w:id="1839811627">
      <w:marLeft w:val="0"/>
      <w:marRight w:val="0"/>
      <w:marTop w:val="0"/>
      <w:marBottom w:val="0"/>
      <w:divBdr>
        <w:top w:val="none" w:sz="0" w:space="0" w:color="auto"/>
        <w:left w:val="none" w:sz="0" w:space="0" w:color="auto"/>
        <w:bottom w:val="none" w:sz="0" w:space="0" w:color="auto"/>
        <w:right w:val="none" w:sz="0" w:space="0" w:color="auto"/>
      </w:divBdr>
    </w:div>
    <w:div w:id="1839811628">
      <w:marLeft w:val="0"/>
      <w:marRight w:val="0"/>
      <w:marTop w:val="0"/>
      <w:marBottom w:val="0"/>
      <w:divBdr>
        <w:top w:val="none" w:sz="0" w:space="0" w:color="auto"/>
        <w:left w:val="none" w:sz="0" w:space="0" w:color="auto"/>
        <w:bottom w:val="none" w:sz="0" w:space="0" w:color="auto"/>
        <w:right w:val="none" w:sz="0" w:space="0" w:color="auto"/>
      </w:divBdr>
    </w:div>
    <w:div w:id="1839811629">
      <w:marLeft w:val="0"/>
      <w:marRight w:val="0"/>
      <w:marTop w:val="0"/>
      <w:marBottom w:val="0"/>
      <w:divBdr>
        <w:top w:val="none" w:sz="0" w:space="0" w:color="auto"/>
        <w:left w:val="none" w:sz="0" w:space="0" w:color="auto"/>
        <w:bottom w:val="none" w:sz="0" w:space="0" w:color="auto"/>
        <w:right w:val="none" w:sz="0" w:space="0" w:color="auto"/>
      </w:divBdr>
    </w:div>
    <w:div w:id="1839811630">
      <w:marLeft w:val="0"/>
      <w:marRight w:val="0"/>
      <w:marTop w:val="0"/>
      <w:marBottom w:val="0"/>
      <w:divBdr>
        <w:top w:val="none" w:sz="0" w:space="0" w:color="auto"/>
        <w:left w:val="none" w:sz="0" w:space="0" w:color="auto"/>
        <w:bottom w:val="none" w:sz="0" w:space="0" w:color="auto"/>
        <w:right w:val="none" w:sz="0" w:space="0" w:color="auto"/>
      </w:divBdr>
    </w:div>
    <w:div w:id="1839811631">
      <w:marLeft w:val="0"/>
      <w:marRight w:val="0"/>
      <w:marTop w:val="0"/>
      <w:marBottom w:val="0"/>
      <w:divBdr>
        <w:top w:val="none" w:sz="0" w:space="0" w:color="auto"/>
        <w:left w:val="none" w:sz="0" w:space="0" w:color="auto"/>
        <w:bottom w:val="none" w:sz="0" w:space="0" w:color="auto"/>
        <w:right w:val="none" w:sz="0" w:space="0" w:color="auto"/>
      </w:divBdr>
    </w:div>
    <w:div w:id="1839811632">
      <w:marLeft w:val="0"/>
      <w:marRight w:val="0"/>
      <w:marTop w:val="0"/>
      <w:marBottom w:val="0"/>
      <w:divBdr>
        <w:top w:val="none" w:sz="0" w:space="0" w:color="auto"/>
        <w:left w:val="none" w:sz="0" w:space="0" w:color="auto"/>
        <w:bottom w:val="none" w:sz="0" w:space="0" w:color="auto"/>
        <w:right w:val="none" w:sz="0" w:space="0" w:color="auto"/>
      </w:divBdr>
    </w:div>
    <w:div w:id="1839811633">
      <w:marLeft w:val="0"/>
      <w:marRight w:val="0"/>
      <w:marTop w:val="0"/>
      <w:marBottom w:val="0"/>
      <w:divBdr>
        <w:top w:val="none" w:sz="0" w:space="0" w:color="auto"/>
        <w:left w:val="none" w:sz="0" w:space="0" w:color="auto"/>
        <w:bottom w:val="none" w:sz="0" w:space="0" w:color="auto"/>
        <w:right w:val="none" w:sz="0" w:space="0" w:color="auto"/>
      </w:divBdr>
    </w:div>
    <w:div w:id="1839811634">
      <w:marLeft w:val="0"/>
      <w:marRight w:val="0"/>
      <w:marTop w:val="0"/>
      <w:marBottom w:val="0"/>
      <w:divBdr>
        <w:top w:val="none" w:sz="0" w:space="0" w:color="auto"/>
        <w:left w:val="none" w:sz="0" w:space="0" w:color="auto"/>
        <w:bottom w:val="none" w:sz="0" w:space="0" w:color="auto"/>
        <w:right w:val="none" w:sz="0" w:space="0" w:color="auto"/>
      </w:divBdr>
    </w:div>
    <w:div w:id="1839811635">
      <w:marLeft w:val="0"/>
      <w:marRight w:val="0"/>
      <w:marTop w:val="0"/>
      <w:marBottom w:val="0"/>
      <w:divBdr>
        <w:top w:val="none" w:sz="0" w:space="0" w:color="auto"/>
        <w:left w:val="none" w:sz="0" w:space="0" w:color="auto"/>
        <w:bottom w:val="none" w:sz="0" w:space="0" w:color="auto"/>
        <w:right w:val="none" w:sz="0" w:space="0" w:color="auto"/>
      </w:divBdr>
    </w:div>
    <w:div w:id="1839811636">
      <w:marLeft w:val="0"/>
      <w:marRight w:val="0"/>
      <w:marTop w:val="0"/>
      <w:marBottom w:val="0"/>
      <w:divBdr>
        <w:top w:val="none" w:sz="0" w:space="0" w:color="auto"/>
        <w:left w:val="none" w:sz="0" w:space="0" w:color="auto"/>
        <w:bottom w:val="none" w:sz="0" w:space="0" w:color="auto"/>
        <w:right w:val="none" w:sz="0" w:space="0" w:color="auto"/>
      </w:divBdr>
    </w:div>
    <w:div w:id="1839811637">
      <w:marLeft w:val="0"/>
      <w:marRight w:val="0"/>
      <w:marTop w:val="0"/>
      <w:marBottom w:val="0"/>
      <w:divBdr>
        <w:top w:val="none" w:sz="0" w:space="0" w:color="auto"/>
        <w:left w:val="none" w:sz="0" w:space="0" w:color="auto"/>
        <w:bottom w:val="none" w:sz="0" w:space="0" w:color="auto"/>
        <w:right w:val="none" w:sz="0" w:space="0" w:color="auto"/>
      </w:divBdr>
    </w:div>
    <w:div w:id="1839811638">
      <w:marLeft w:val="0"/>
      <w:marRight w:val="0"/>
      <w:marTop w:val="0"/>
      <w:marBottom w:val="0"/>
      <w:divBdr>
        <w:top w:val="none" w:sz="0" w:space="0" w:color="auto"/>
        <w:left w:val="none" w:sz="0" w:space="0" w:color="auto"/>
        <w:bottom w:val="none" w:sz="0" w:space="0" w:color="auto"/>
        <w:right w:val="none" w:sz="0" w:space="0" w:color="auto"/>
      </w:divBdr>
    </w:div>
    <w:div w:id="1839811639">
      <w:marLeft w:val="0"/>
      <w:marRight w:val="0"/>
      <w:marTop w:val="0"/>
      <w:marBottom w:val="0"/>
      <w:divBdr>
        <w:top w:val="none" w:sz="0" w:space="0" w:color="auto"/>
        <w:left w:val="none" w:sz="0" w:space="0" w:color="auto"/>
        <w:bottom w:val="none" w:sz="0" w:space="0" w:color="auto"/>
        <w:right w:val="none" w:sz="0" w:space="0" w:color="auto"/>
      </w:divBdr>
    </w:div>
    <w:div w:id="1859852896">
      <w:bodyDiv w:val="1"/>
      <w:marLeft w:val="0"/>
      <w:marRight w:val="0"/>
      <w:marTop w:val="0"/>
      <w:marBottom w:val="0"/>
      <w:divBdr>
        <w:top w:val="none" w:sz="0" w:space="0" w:color="auto"/>
        <w:left w:val="none" w:sz="0" w:space="0" w:color="auto"/>
        <w:bottom w:val="none" w:sz="0" w:space="0" w:color="auto"/>
        <w:right w:val="none" w:sz="0" w:space="0" w:color="auto"/>
      </w:divBdr>
      <w:divsChild>
        <w:div w:id="1385252932">
          <w:marLeft w:val="0"/>
          <w:marRight w:val="0"/>
          <w:marTop w:val="0"/>
          <w:marBottom w:val="0"/>
          <w:divBdr>
            <w:top w:val="none" w:sz="0" w:space="0" w:color="auto"/>
            <w:left w:val="none" w:sz="0" w:space="0" w:color="auto"/>
            <w:bottom w:val="none" w:sz="0" w:space="0" w:color="auto"/>
            <w:right w:val="none" w:sz="0" w:space="0" w:color="auto"/>
          </w:divBdr>
          <w:divsChild>
            <w:div w:id="1633092447">
              <w:marLeft w:val="120"/>
              <w:marRight w:val="120"/>
              <w:marTop w:val="0"/>
              <w:marBottom w:val="120"/>
              <w:divBdr>
                <w:top w:val="none" w:sz="0" w:space="0" w:color="auto"/>
                <w:left w:val="none" w:sz="0" w:space="0" w:color="auto"/>
                <w:bottom w:val="none" w:sz="0" w:space="0" w:color="auto"/>
                <w:right w:val="none" w:sz="0" w:space="0" w:color="auto"/>
              </w:divBdr>
              <w:divsChild>
                <w:div w:id="1776167334">
                  <w:marLeft w:val="300"/>
                  <w:marRight w:val="300"/>
                  <w:marTop w:val="0"/>
                  <w:marBottom w:val="0"/>
                  <w:divBdr>
                    <w:top w:val="none" w:sz="0" w:space="0" w:color="auto"/>
                    <w:left w:val="none" w:sz="0" w:space="0" w:color="auto"/>
                    <w:bottom w:val="none" w:sz="0" w:space="0" w:color="auto"/>
                    <w:right w:val="none" w:sz="0" w:space="0" w:color="auto"/>
                  </w:divBdr>
                  <w:divsChild>
                    <w:div w:id="835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88231">
      <w:bodyDiv w:val="1"/>
      <w:marLeft w:val="0"/>
      <w:marRight w:val="0"/>
      <w:marTop w:val="0"/>
      <w:marBottom w:val="0"/>
      <w:divBdr>
        <w:top w:val="none" w:sz="0" w:space="0" w:color="auto"/>
        <w:left w:val="none" w:sz="0" w:space="0" w:color="auto"/>
        <w:bottom w:val="none" w:sz="0" w:space="0" w:color="auto"/>
        <w:right w:val="none" w:sz="0" w:space="0" w:color="auto"/>
      </w:divBdr>
    </w:div>
    <w:div w:id="1933926591">
      <w:bodyDiv w:val="1"/>
      <w:marLeft w:val="0"/>
      <w:marRight w:val="0"/>
      <w:marTop w:val="0"/>
      <w:marBottom w:val="0"/>
      <w:divBdr>
        <w:top w:val="none" w:sz="0" w:space="0" w:color="auto"/>
        <w:left w:val="none" w:sz="0" w:space="0" w:color="auto"/>
        <w:bottom w:val="none" w:sz="0" w:space="0" w:color="auto"/>
        <w:right w:val="none" w:sz="0" w:space="0" w:color="auto"/>
      </w:divBdr>
    </w:div>
    <w:div w:id="2009937245">
      <w:bodyDiv w:val="1"/>
      <w:marLeft w:val="0"/>
      <w:marRight w:val="0"/>
      <w:marTop w:val="0"/>
      <w:marBottom w:val="0"/>
      <w:divBdr>
        <w:top w:val="none" w:sz="0" w:space="0" w:color="auto"/>
        <w:left w:val="none" w:sz="0" w:space="0" w:color="auto"/>
        <w:bottom w:val="none" w:sz="0" w:space="0" w:color="auto"/>
        <w:right w:val="none" w:sz="0" w:space="0" w:color="auto"/>
      </w:divBdr>
    </w:div>
    <w:div w:id="2017730268">
      <w:bodyDiv w:val="1"/>
      <w:marLeft w:val="0"/>
      <w:marRight w:val="0"/>
      <w:marTop w:val="0"/>
      <w:marBottom w:val="0"/>
      <w:divBdr>
        <w:top w:val="none" w:sz="0" w:space="0" w:color="auto"/>
        <w:left w:val="none" w:sz="0" w:space="0" w:color="auto"/>
        <w:bottom w:val="none" w:sz="0" w:space="0" w:color="auto"/>
        <w:right w:val="none" w:sz="0" w:space="0" w:color="auto"/>
      </w:divBdr>
    </w:div>
    <w:div w:id="20485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nomist.com/node/18285962?story_id=18285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com/cms/s/0/81384176-43e6-11e0-8f20-00144feab49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ia.europa.eu/jurisp/cgi-bin/form.pl?la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d.uc.pt/hrc/working_papers/john_morjin.pdf" TargetMode="External"/><Relationship Id="rId4" Type="http://schemas.openxmlformats.org/officeDocument/2006/relationships/settings" Target="settings.xml"/><Relationship Id="rId9" Type="http://schemas.openxmlformats.org/officeDocument/2006/relationships/hyperlink" Target="http://www.iips.cz/data/files/Centrum%20LP/Position%20papers/Vyjimka_EU.pdf" TargetMode="External"/><Relationship Id="rId14" Type="http://schemas.openxmlformats.org/officeDocument/2006/relationships/hyperlink" Target="http://www.spiegel.de/kultur/literatur/0,1518,409854,0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ips.cz/data/files/Centrum%20LP/Position%20papers/Vyjimka_EU.pdf" TargetMode="External"/><Relationship Id="rId3" Type="http://schemas.openxmlformats.org/officeDocument/2006/relationships/hyperlink" Target="http://curia.europa.eu/jurisp/cgi-bin/form.pl?lang=en" TargetMode="External"/><Relationship Id="rId7" Type="http://schemas.openxmlformats.org/officeDocument/2006/relationships/hyperlink" Target="http://www.economist.com/node/18285962?story_id=18285962" TargetMode="External"/><Relationship Id="rId2" Type="http://schemas.openxmlformats.org/officeDocument/2006/relationships/hyperlink" Target="http://curia.europa.eu/jurisp/cgi-bin/form.pl?lang=en" TargetMode="External"/><Relationship Id="rId1" Type="http://schemas.openxmlformats.org/officeDocument/2006/relationships/hyperlink" Target="http://curia.europa.eu/jurisp/cgi-bin/form.pl?lang=en" TargetMode="External"/><Relationship Id="rId6" Type="http://schemas.openxmlformats.org/officeDocument/2006/relationships/hyperlink" Target="http://www.europeanvoice.com/article/2011/march/insurance-firms-cannot-discriminate-on-gender-court-rules/70390.aspx" TargetMode="External"/><Relationship Id="rId11" Type="http://schemas.openxmlformats.org/officeDocument/2006/relationships/hyperlink" Target="http://www.fd.uc.pt/hrc/working_papers/john_morjin.pdf" TargetMode="External"/><Relationship Id="rId5" Type="http://schemas.openxmlformats.org/officeDocument/2006/relationships/hyperlink" Target="http://www.ft.com/cms/s/0/81384176-43e6-11e0-8f20-00144feab49a.html" TargetMode="External"/><Relationship Id="rId10" Type="http://schemas.openxmlformats.org/officeDocument/2006/relationships/hyperlink" Target="http://www.spiegel.de/kultur/literatur/0,1518,409854,00.html" TargetMode="External"/><Relationship Id="rId4" Type="http://schemas.openxmlformats.org/officeDocument/2006/relationships/hyperlink" Target="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amp;mots=Charter+of+Fundamental+Rights&amp;resmax=150&amp;Submit=Submit" TargetMode="External"/><Relationship Id="rId9" Type="http://schemas.openxmlformats.org/officeDocument/2006/relationships/hyperlink" Target="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PRIN&amp;mots=&amp;resmax=300&amp;Submit=Submi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39D6-0C04-40C7-B806-8D55EBA9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15947</Words>
  <Characters>100472</Characters>
  <Application>Microsoft Office Word</Application>
  <DocSecurity>0</DocSecurity>
  <Lines>837</Lines>
  <Paragraphs>232</Paragraphs>
  <ScaleCrop>false</ScaleCrop>
  <HeadingPairs>
    <vt:vector size="2" baseType="variant">
      <vt:variant>
        <vt:lpstr>Titel</vt:lpstr>
      </vt:variant>
      <vt:variant>
        <vt:i4>1</vt:i4>
      </vt:variant>
    </vt:vector>
  </HeadingPairs>
  <TitlesOfParts>
    <vt:vector size="1" baseType="lpstr">
      <vt:lpstr>UNIVERZITA PALACKÉHO V OLOMOUCI</vt:lpstr>
    </vt:vector>
  </TitlesOfParts>
  <Company/>
  <LinksUpToDate>false</LinksUpToDate>
  <CharactersWithSpaces>116187</CharactersWithSpaces>
  <SharedDoc>false</SharedDoc>
  <HLinks>
    <vt:vector size="360" baseType="variant">
      <vt:variant>
        <vt:i4>4063315</vt:i4>
      </vt:variant>
      <vt:variant>
        <vt:i4>243</vt:i4>
      </vt:variant>
      <vt:variant>
        <vt:i4>0</vt:i4>
      </vt:variant>
      <vt:variant>
        <vt:i4>5</vt:i4>
      </vt:variant>
      <vt:variant>
        <vt:lpwstr>http://www.iips.cz/data/files/Centrum LP/Position papers/Vyjimka_EU.pdf</vt:lpwstr>
      </vt:variant>
      <vt:variant>
        <vt:lpwstr/>
      </vt:variant>
      <vt:variant>
        <vt:i4>4784165</vt:i4>
      </vt:variant>
      <vt:variant>
        <vt:i4>240</vt:i4>
      </vt:variant>
      <vt:variant>
        <vt:i4>0</vt:i4>
      </vt:variant>
      <vt:variant>
        <vt:i4>5</vt:i4>
      </vt:variant>
      <vt:variant>
        <vt:lpwstr>http://www.economist.com/node/18285962?story_id=18285962</vt:lpwstr>
      </vt:variant>
      <vt:variant>
        <vt:lpwstr/>
      </vt:variant>
      <vt:variant>
        <vt:i4>7274559</vt:i4>
      </vt:variant>
      <vt:variant>
        <vt:i4>237</vt:i4>
      </vt:variant>
      <vt:variant>
        <vt:i4>0</vt:i4>
      </vt:variant>
      <vt:variant>
        <vt:i4>5</vt:i4>
      </vt:variant>
      <vt:variant>
        <vt:lpwstr>http://www.ft.com/cms/s/0/81384176-43e6-11e0-8f20-00144feab49a.html</vt:lpwstr>
      </vt:variant>
      <vt:variant>
        <vt:lpwstr>axzz1G5qCPdMJ</vt:lpwstr>
      </vt:variant>
      <vt:variant>
        <vt:i4>4587586</vt:i4>
      </vt:variant>
      <vt:variant>
        <vt:i4>234</vt:i4>
      </vt:variant>
      <vt:variant>
        <vt:i4>0</vt:i4>
      </vt:variant>
      <vt:variant>
        <vt:i4>5</vt:i4>
      </vt:variant>
      <vt:variant>
        <vt:lpwstr>http://curia.europa.eu/jcms/upload/docs/application/pdf/2010-05/ra09_stat_cour_final_cs.pdf</vt:lpwstr>
      </vt:variant>
      <vt:variant>
        <vt:lpwstr/>
      </vt:variant>
      <vt:variant>
        <vt:i4>65545</vt:i4>
      </vt:variant>
      <vt:variant>
        <vt:i4>231</vt:i4>
      </vt:variant>
      <vt:variant>
        <vt:i4>0</vt:i4>
      </vt:variant>
      <vt:variant>
        <vt:i4>5</vt:i4>
      </vt:variant>
      <vt:variant>
        <vt:lpwstr>http://curia.europa.eu/jurisp/cgi-bin/form.pl?lang=en</vt:lpwstr>
      </vt:variant>
      <vt:variant>
        <vt:lpwstr/>
      </vt:variant>
      <vt:variant>
        <vt:i4>2031672</vt:i4>
      </vt:variant>
      <vt:variant>
        <vt:i4>224</vt:i4>
      </vt:variant>
      <vt:variant>
        <vt:i4>0</vt:i4>
      </vt:variant>
      <vt:variant>
        <vt:i4>5</vt:i4>
      </vt:variant>
      <vt:variant>
        <vt:lpwstr/>
      </vt:variant>
      <vt:variant>
        <vt:lpwstr>_Toc288601277</vt:lpwstr>
      </vt:variant>
      <vt:variant>
        <vt:i4>2031672</vt:i4>
      </vt:variant>
      <vt:variant>
        <vt:i4>218</vt:i4>
      </vt:variant>
      <vt:variant>
        <vt:i4>0</vt:i4>
      </vt:variant>
      <vt:variant>
        <vt:i4>5</vt:i4>
      </vt:variant>
      <vt:variant>
        <vt:lpwstr/>
      </vt:variant>
      <vt:variant>
        <vt:lpwstr>_Toc288601276</vt:lpwstr>
      </vt:variant>
      <vt:variant>
        <vt:i4>2031672</vt:i4>
      </vt:variant>
      <vt:variant>
        <vt:i4>212</vt:i4>
      </vt:variant>
      <vt:variant>
        <vt:i4>0</vt:i4>
      </vt:variant>
      <vt:variant>
        <vt:i4>5</vt:i4>
      </vt:variant>
      <vt:variant>
        <vt:lpwstr/>
      </vt:variant>
      <vt:variant>
        <vt:lpwstr>_Toc288601275</vt:lpwstr>
      </vt:variant>
      <vt:variant>
        <vt:i4>2031672</vt:i4>
      </vt:variant>
      <vt:variant>
        <vt:i4>206</vt:i4>
      </vt:variant>
      <vt:variant>
        <vt:i4>0</vt:i4>
      </vt:variant>
      <vt:variant>
        <vt:i4>5</vt:i4>
      </vt:variant>
      <vt:variant>
        <vt:lpwstr/>
      </vt:variant>
      <vt:variant>
        <vt:lpwstr>_Toc288601274</vt:lpwstr>
      </vt:variant>
      <vt:variant>
        <vt:i4>2031672</vt:i4>
      </vt:variant>
      <vt:variant>
        <vt:i4>200</vt:i4>
      </vt:variant>
      <vt:variant>
        <vt:i4>0</vt:i4>
      </vt:variant>
      <vt:variant>
        <vt:i4>5</vt:i4>
      </vt:variant>
      <vt:variant>
        <vt:lpwstr/>
      </vt:variant>
      <vt:variant>
        <vt:lpwstr>_Toc288601273</vt:lpwstr>
      </vt:variant>
      <vt:variant>
        <vt:i4>2031672</vt:i4>
      </vt:variant>
      <vt:variant>
        <vt:i4>194</vt:i4>
      </vt:variant>
      <vt:variant>
        <vt:i4>0</vt:i4>
      </vt:variant>
      <vt:variant>
        <vt:i4>5</vt:i4>
      </vt:variant>
      <vt:variant>
        <vt:lpwstr/>
      </vt:variant>
      <vt:variant>
        <vt:lpwstr>_Toc288601272</vt:lpwstr>
      </vt:variant>
      <vt:variant>
        <vt:i4>2031672</vt:i4>
      </vt:variant>
      <vt:variant>
        <vt:i4>188</vt:i4>
      </vt:variant>
      <vt:variant>
        <vt:i4>0</vt:i4>
      </vt:variant>
      <vt:variant>
        <vt:i4>5</vt:i4>
      </vt:variant>
      <vt:variant>
        <vt:lpwstr/>
      </vt:variant>
      <vt:variant>
        <vt:lpwstr>_Toc288601271</vt:lpwstr>
      </vt:variant>
      <vt:variant>
        <vt:i4>2031672</vt:i4>
      </vt:variant>
      <vt:variant>
        <vt:i4>182</vt:i4>
      </vt:variant>
      <vt:variant>
        <vt:i4>0</vt:i4>
      </vt:variant>
      <vt:variant>
        <vt:i4>5</vt:i4>
      </vt:variant>
      <vt:variant>
        <vt:lpwstr/>
      </vt:variant>
      <vt:variant>
        <vt:lpwstr>_Toc288601270</vt:lpwstr>
      </vt:variant>
      <vt:variant>
        <vt:i4>1966136</vt:i4>
      </vt:variant>
      <vt:variant>
        <vt:i4>176</vt:i4>
      </vt:variant>
      <vt:variant>
        <vt:i4>0</vt:i4>
      </vt:variant>
      <vt:variant>
        <vt:i4>5</vt:i4>
      </vt:variant>
      <vt:variant>
        <vt:lpwstr/>
      </vt:variant>
      <vt:variant>
        <vt:lpwstr>_Toc288601269</vt:lpwstr>
      </vt:variant>
      <vt:variant>
        <vt:i4>1966136</vt:i4>
      </vt:variant>
      <vt:variant>
        <vt:i4>170</vt:i4>
      </vt:variant>
      <vt:variant>
        <vt:i4>0</vt:i4>
      </vt:variant>
      <vt:variant>
        <vt:i4>5</vt:i4>
      </vt:variant>
      <vt:variant>
        <vt:lpwstr/>
      </vt:variant>
      <vt:variant>
        <vt:lpwstr>_Toc288601268</vt:lpwstr>
      </vt:variant>
      <vt:variant>
        <vt:i4>1966136</vt:i4>
      </vt:variant>
      <vt:variant>
        <vt:i4>164</vt:i4>
      </vt:variant>
      <vt:variant>
        <vt:i4>0</vt:i4>
      </vt:variant>
      <vt:variant>
        <vt:i4>5</vt:i4>
      </vt:variant>
      <vt:variant>
        <vt:lpwstr/>
      </vt:variant>
      <vt:variant>
        <vt:lpwstr>_Toc288601267</vt:lpwstr>
      </vt:variant>
      <vt:variant>
        <vt:i4>1966136</vt:i4>
      </vt:variant>
      <vt:variant>
        <vt:i4>158</vt:i4>
      </vt:variant>
      <vt:variant>
        <vt:i4>0</vt:i4>
      </vt:variant>
      <vt:variant>
        <vt:i4>5</vt:i4>
      </vt:variant>
      <vt:variant>
        <vt:lpwstr/>
      </vt:variant>
      <vt:variant>
        <vt:lpwstr>_Toc288601266</vt:lpwstr>
      </vt:variant>
      <vt:variant>
        <vt:i4>1966136</vt:i4>
      </vt:variant>
      <vt:variant>
        <vt:i4>152</vt:i4>
      </vt:variant>
      <vt:variant>
        <vt:i4>0</vt:i4>
      </vt:variant>
      <vt:variant>
        <vt:i4>5</vt:i4>
      </vt:variant>
      <vt:variant>
        <vt:lpwstr/>
      </vt:variant>
      <vt:variant>
        <vt:lpwstr>_Toc288601265</vt:lpwstr>
      </vt:variant>
      <vt:variant>
        <vt:i4>1966136</vt:i4>
      </vt:variant>
      <vt:variant>
        <vt:i4>146</vt:i4>
      </vt:variant>
      <vt:variant>
        <vt:i4>0</vt:i4>
      </vt:variant>
      <vt:variant>
        <vt:i4>5</vt:i4>
      </vt:variant>
      <vt:variant>
        <vt:lpwstr/>
      </vt:variant>
      <vt:variant>
        <vt:lpwstr>_Toc288601264</vt:lpwstr>
      </vt:variant>
      <vt:variant>
        <vt:i4>1966136</vt:i4>
      </vt:variant>
      <vt:variant>
        <vt:i4>140</vt:i4>
      </vt:variant>
      <vt:variant>
        <vt:i4>0</vt:i4>
      </vt:variant>
      <vt:variant>
        <vt:i4>5</vt:i4>
      </vt:variant>
      <vt:variant>
        <vt:lpwstr/>
      </vt:variant>
      <vt:variant>
        <vt:lpwstr>_Toc288601263</vt:lpwstr>
      </vt:variant>
      <vt:variant>
        <vt:i4>1966136</vt:i4>
      </vt:variant>
      <vt:variant>
        <vt:i4>134</vt:i4>
      </vt:variant>
      <vt:variant>
        <vt:i4>0</vt:i4>
      </vt:variant>
      <vt:variant>
        <vt:i4>5</vt:i4>
      </vt:variant>
      <vt:variant>
        <vt:lpwstr/>
      </vt:variant>
      <vt:variant>
        <vt:lpwstr>_Toc288601262</vt:lpwstr>
      </vt:variant>
      <vt:variant>
        <vt:i4>1966136</vt:i4>
      </vt:variant>
      <vt:variant>
        <vt:i4>128</vt:i4>
      </vt:variant>
      <vt:variant>
        <vt:i4>0</vt:i4>
      </vt:variant>
      <vt:variant>
        <vt:i4>5</vt:i4>
      </vt:variant>
      <vt:variant>
        <vt:lpwstr/>
      </vt:variant>
      <vt:variant>
        <vt:lpwstr>_Toc288601261</vt:lpwstr>
      </vt:variant>
      <vt:variant>
        <vt:i4>1966136</vt:i4>
      </vt:variant>
      <vt:variant>
        <vt:i4>122</vt:i4>
      </vt:variant>
      <vt:variant>
        <vt:i4>0</vt:i4>
      </vt:variant>
      <vt:variant>
        <vt:i4>5</vt:i4>
      </vt:variant>
      <vt:variant>
        <vt:lpwstr/>
      </vt:variant>
      <vt:variant>
        <vt:lpwstr>_Toc288601260</vt:lpwstr>
      </vt:variant>
      <vt:variant>
        <vt:i4>1900600</vt:i4>
      </vt:variant>
      <vt:variant>
        <vt:i4>116</vt:i4>
      </vt:variant>
      <vt:variant>
        <vt:i4>0</vt:i4>
      </vt:variant>
      <vt:variant>
        <vt:i4>5</vt:i4>
      </vt:variant>
      <vt:variant>
        <vt:lpwstr/>
      </vt:variant>
      <vt:variant>
        <vt:lpwstr>_Toc288601259</vt:lpwstr>
      </vt:variant>
      <vt:variant>
        <vt:i4>1900600</vt:i4>
      </vt:variant>
      <vt:variant>
        <vt:i4>110</vt:i4>
      </vt:variant>
      <vt:variant>
        <vt:i4>0</vt:i4>
      </vt:variant>
      <vt:variant>
        <vt:i4>5</vt:i4>
      </vt:variant>
      <vt:variant>
        <vt:lpwstr/>
      </vt:variant>
      <vt:variant>
        <vt:lpwstr>_Toc288601258</vt:lpwstr>
      </vt:variant>
      <vt:variant>
        <vt:i4>1900600</vt:i4>
      </vt:variant>
      <vt:variant>
        <vt:i4>104</vt:i4>
      </vt:variant>
      <vt:variant>
        <vt:i4>0</vt:i4>
      </vt:variant>
      <vt:variant>
        <vt:i4>5</vt:i4>
      </vt:variant>
      <vt:variant>
        <vt:lpwstr/>
      </vt:variant>
      <vt:variant>
        <vt:lpwstr>_Toc288601257</vt:lpwstr>
      </vt:variant>
      <vt:variant>
        <vt:i4>1900600</vt:i4>
      </vt:variant>
      <vt:variant>
        <vt:i4>98</vt:i4>
      </vt:variant>
      <vt:variant>
        <vt:i4>0</vt:i4>
      </vt:variant>
      <vt:variant>
        <vt:i4>5</vt:i4>
      </vt:variant>
      <vt:variant>
        <vt:lpwstr/>
      </vt:variant>
      <vt:variant>
        <vt:lpwstr>_Toc288601256</vt:lpwstr>
      </vt:variant>
      <vt:variant>
        <vt:i4>1900600</vt:i4>
      </vt:variant>
      <vt:variant>
        <vt:i4>92</vt:i4>
      </vt:variant>
      <vt:variant>
        <vt:i4>0</vt:i4>
      </vt:variant>
      <vt:variant>
        <vt:i4>5</vt:i4>
      </vt:variant>
      <vt:variant>
        <vt:lpwstr/>
      </vt:variant>
      <vt:variant>
        <vt:lpwstr>_Toc288601255</vt:lpwstr>
      </vt:variant>
      <vt:variant>
        <vt:i4>1900600</vt:i4>
      </vt:variant>
      <vt:variant>
        <vt:i4>86</vt:i4>
      </vt:variant>
      <vt:variant>
        <vt:i4>0</vt:i4>
      </vt:variant>
      <vt:variant>
        <vt:i4>5</vt:i4>
      </vt:variant>
      <vt:variant>
        <vt:lpwstr/>
      </vt:variant>
      <vt:variant>
        <vt:lpwstr>_Toc288601254</vt:lpwstr>
      </vt:variant>
      <vt:variant>
        <vt:i4>1900600</vt:i4>
      </vt:variant>
      <vt:variant>
        <vt:i4>80</vt:i4>
      </vt:variant>
      <vt:variant>
        <vt:i4>0</vt:i4>
      </vt:variant>
      <vt:variant>
        <vt:i4>5</vt:i4>
      </vt:variant>
      <vt:variant>
        <vt:lpwstr/>
      </vt:variant>
      <vt:variant>
        <vt:lpwstr>_Toc288601253</vt:lpwstr>
      </vt:variant>
      <vt:variant>
        <vt:i4>1900600</vt:i4>
      </vt:variant>
      <vt:variant>
        <vt:i4>74</vt:i4>
      </vt:variant>
      <vt:variant>
        <vt:i4>0</vt:i4>
      </vt:variant>
      <vt:variant>
        <vt:i4>5</vt:i4>
      </vt:variant>
      <vt:variant>
        <vt:lpwstr/>
      </vt:variant>
      <vt:variant>
        <vt:lpwstr>_Toc288601252</vt:lpwstr>
      </vt:variant>
      <vt:variant>
        <vt:i4>1900600</vt:i4>
      </vt:variant>
      <vt:variant>
        <vt:i4>68</vt:i4>
      </vt:variant>
      <vt:variant>
        <vt:i4>0</vt:i4>
      </vt:variant>
      <vt:variant>
        <vt:i4>5</vt:i4>
      </vt:variant>
      <vt:variant>
        <vt:lpwstr/>
      </vt:variant>
      <vt:variant>
        <vt:lpwstr>_Toc288601251</vt:lpwstr>
      </vt:variant>
      <vt:variant>
        <vt:i4>1900600</vt:i4>
      </vt:variant>
      <vt:variant>
        <vt:i4>62</vt:i4>
      </vt:variant>
      <vt:variant>
        <vt:i4>0</vt:i4>
      </vt:variant>
      <vt:variant>
        <vt:i4>5</vt:i4>
      </vt:variant>
      <vt:variant>
        <vt:lpwstr/>
      </vt:variant>
      <vt:variant>
        <vt:lpwstr>_Toc288601250</vt:lpwstr>
      </vt:variant>
      <vt:variant>
        <vt:i4>1835064</vt:i4>
      </vt:variant>
      <vt:variant>
        <vt:i4>56</vt:i4>
      </vt:variant>
      <vt:variant>
        <vt:i4>0</vt:i4>
      </vt:variant>
      <vt:variant>
        <vt:i4>5</vt:i4>
      </vt:variant>
      <vt:variant>
        <vt:lpwstr/>
      </vt:variant>
      <vt:variant>
        <vt:lpwstr>_Toc288601249</vt:lpwstr>
      </vt:variant>
      <vt:variant>
        <vt:i4>1835064</vt:i4>
      </vt:variant>
      <vt:variant>
        <vt:i4>50</vt:i4>
      </vt:variant>
      <vt:variant>
        <vt:i4>0</vt:i4>
      </vt:variant>
      <vt:variant>
        <vt:i4>5</vt:i4>
      </vt:variant>
      <vt:variant>
        <vt:lpwstr/>
      </vt:variant>
      <vt:variant>
        <vt:lpwstr>_Toc288601248</vt:lpwstr>
      </vt:variant>
      <vt:variant>
        <vt:i4>1835064</vt:i4>
      </vt:variant>
      <vt:variant>
        <vt:i4>44</vt:i4>
      </vt:variant>
      <vt:variant>
        <vt:i4>0</vt:i4>
      </vt:variant>
      <vt:variant>
        <vt:i4>5</vt:i4>
      </vt:variant>
      <vt:variant>
        <vt:lpwstr/>
      </vt:variant>
      <vt:variant>
        <vt:lpwstr>_Toc288601247</vt:lpwstr>
      </vt:variant>
      <vt:variant>
        <vt:i4>1835064</vt:i4>
      </vt:variant>
      <vt:variant>
        <vt:i4>38</vt:i4>
      </vt:variant>
      <vt:variant>
        <vt:i4>0</vt:i4>
      </vt:variant>
      <vt:variant>
        <vt:i4>5</vt:i4>
      </vt:variant>
      <vt:variant>
        <vt:lpwstr/>
      </vt:variant>
      <vt:variant>
        <vt:lpwstr>_Toc288601246</vt:lpwstr>
      </vt:variant>
      <vt:variant>
        <vt:i4>1835064</vt:i4>
      </vt:variant>
      <vt:variant>
        <vt:i4>32</vt:i4>
      </vt:variant>
      <vt:variant>
        <vt:i4>0</vt:i4>
      </vt:variant>
      <vt:variant>
        <vt:i4>5</vt:i4>
      </vt:variant>
      <vt:variant>
        <vt:lpwstr/>
      </vt:variant>
      <vt:variant>
        <vt:lpwstr>_Toc288601245</vt:lpwstr>
      </vt:variant>
      <vt:variant>
        <vt:i4>1835064</vt:i4>
      </vt:variant>
      <vt:variant>
        <vt:i4>26</vt:i4>
      </vt:variant>
      <vt:variant>
        <vt:i4>0</vt:i4>
      </vt:variant>
      <vt:variant>
        <vt:i4>5</vt:i4>
      </vt:variant>
      <vt:variant>
        <vt:lpwstr/>
      </vt:variant>
      <vt:variant>
        <vt:lpwstr>_Toc288601244</vt:lpwstr>
      </vt:variant>
      <vt:variant>
        <vt:i4>1835064</vt:i4>
      </vt:variant>
      <vt:variant>
        <vt:i4>20</vt:i4>
      </vt:variant>
      <vt:variant>
        <vt:i4>0</vt:i4>
      </vt:variant>
      <vt:variant>
        <vt:i4>5</vt:i4>
      </vt:variant>
      <vt:variant>
        <vt:lpwstr/>
      </vt:variant>
      <vt:variant>
        <vt:lpwstr>_Toc288601243</vt:lpwstr>
      </vt:variant>
      <vt:variant>
        <vt:i4>1835064</vt:i4>
      </vt:variant>
      <vt:variant>
        <vt:i4>14</vt:i4>
      </vt:variant>
      <vt:variant>
        <vt:i4>0</vt:i4>
      </vt:variant>
      <vt:variant>
        <vt:i4>5</vt:i4>
      </vt:variant>
      <vt:variant>
        <vt:lpwstr/>
      </vt:variant>
      <vt:variant>
        <vt:lpwstr>_Toc288601242</vt:lpwstr>
      </vt:variant>
      <vt:variant>
        <vt:i4>1835064</vt:i4>
      </vt:variant>
      <vt:variant>
        <vt:i4>8</vt:i4>
      </vt:variant>
      <vt:variant>
        <vt:i4>0</vt:i4>
      </vt:variant>
      <vt:variant>
        <vt:i4>5</vt:i4>
      </vt:variant>
      <vt:variant>
        <vt:lpwstr/>
      </vt:variant>
      <vt:variant>
        <vt:lpwstr>_Toc288601241</vt:lpwstr>
      </vt:variant>
      <vt:variant>
        <vt:i4>1835064</vt:i4>
      </vt:variant>
      <vt:variant>
        <vt:i4>2</vt:i4>
      </vt:variant>
      <vt:variant>
        <vt:i4>0</vt:i4>
      </vt:variant>
      <vt:variant>
        <vt:i4>5</vt:i4>
      </vt:variant>
      <vt:variant>
        <vt:lpwstr/>
      </vt:variant>
      <vt:variant>
        <vt:lpwstr>_Toc288601240</vt:lpwstr>
      </vt:variant>
      <vt:variant>
        <vt:i4>2424958</vt:i4>
      </vt:variant>
      <vt:variant>
        <vt:i4>48</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INTE&amp;mots=&amp;resmax=1400&amp;Submit=Submit</vt:lpwstr>
      </vt:variant>
      <vt:variant>
        <vt:lpwstr/>
      </vt:variant>
      <vt:variant>
        <vt:i4>2424958</vt:i4>
      </vt:variant>
      <vt:variant>
        <vt:i4>45</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ENVC&amp;mots=&amp;resmax=600&amp;Submit=Submit</vt:lpwstr>
      </vt:variant>
      <vt:variant>
        <vt:lpwstr/>
      </vt:variant>
      <vt:variant>
        <vt:i4>2424958</vt:i4>
      </vt:variant>
      <vt:variant>
        <vt:i4>42</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ENTR&amp;mots=&amp;resmax=600&amp;Submit=Submit</vt:lpwstr>
      </vt:variant>
      <vt:variant>
        <vt:lpwstr/>
      </vt:variant>
      <vt:variant>
        <vt:i4>2424958</vt:i4>
      </vt:variant>
      <vt:variant>
        <vt:i4>39</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ETAB&amp;mots=&amp;resmax=300&amp;Submit=Submit</vt:lpwstr>
      </vt:variant>
      <vt:variant>
        <vt:lpwstr/>
      </vt:variant>
      <vt:variant>
        <vt:i4>2424958</vt:i4>
      </vt:variant>
      <vt:variant>
        <vt:i4>36</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PRIN&amp;mots=&amp;resmax=300&amp;Submit=Submit</vt:lpwstr>
      </vt:variant>
      <vt:variant>
        <vt:lpwstr/>
      </vt:variant>
      <vt:variant>
        <vt:i4>2424958</vt:i4>
      </vt:variant>
      <vt:variant>
        <vt:i4>33</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CITU&amp;mots=&amp;resmax=300&amp;Submit=Submit</vt:lpwstr>
      </vt:variant>
      <vt:variant>
        <vt:lpwstr/>
      </vt:variant>
      <vt:variant>
        <vt:i4>2424958</vt:i4>
      </vt:variant>
      <vt:variant>
        <vt:i4>30</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CPJP&amp;mots=&amp;resmax=500&amp;Submit=Submit</vt:lpwstr>
      </vt:variant>
      <vt:variant>
        <vt:lpwstr/>
      </vt:variant>
      <vt:variant>
        <vt:i4>4063315</vt:i4>
      </vt:variant>
      <vt:variant>
        <vt:i4>27</vt:i4>
      </vt:variant>
      <vt:variant>
        <vt:i4>0</vt:i4>
      </vt:variant>
      <vt:variant>
        <vt:i4>5</vt:i4>
      </vt:variant>
      <vt:variant>
        <vt:lpwstr>http://www.iips.cz/data/files/Centrum LP/Position papers/Vyjimka_EU.pdf</vt:lpwstr>
      </vt:variant>
      <vt:variant>
        <vt:lpwstr/>
      </vt:variant>
      <vt:variant>
        <vt:i4>4784165</vt:i4>
      </vt:variant>
      <vt:variant>
        <vt:i4>24</vt:i4>
      </vt:variant>
      <vt:variant>
        <vt:i4>0</vt:i4>
      </vt:variant>
      <vt:variant>
        <vt:i4>5</vt:i4>
      </vt:variant>
      <vt:variant>
        <vt:lpwstr>http://www.economist.com/node/18285962?story_id=18285962</vt:lpwstr>
      </vt:variant>
      <vt:variant>
        <vt:lpwstr/>
      </vt:variant>
      <vt:variant>
        <vt:i4>1966163</vt:i4>
      </vt:variant>
      <vt:variant>
        <vt:i4>21</vt:i4>
      </vt:variant>
      <vt:variant>
        <vt:i4>0</vt:i4>
      </vt:variant>
      <vt:variant>
        <vt:i4>5</vt:i4>
      </vt:variant>
      <vt:variant>
        <vt:lpwstr>http://www.europeanvoice.com/article/2011/march/insurance-firms-cannot-discriminate-on-gender-court-rules/70390.aspx</vt:lpwstr>
      </vt:variant>
      <vt:variant>
        <vt:lpwstr/>
      </vt:variant>
      <vt:variant>
        <vt:i4>7274559</vt:i4>
      </vt:variant>
      <vt:variant>
        <vt:i4>18</vt:i4>
      </vt:variant>
      <vt:variant>
        <vt:i4>0</vt:i4>
      </vt:variant>
      <vt:variant>
        <vt:i4>5</vt:i4>
      </vt:variant>
      <vt:variant>
        <vt:lpwstr>http://www.ft.com/cms/s/0/81384176-43e6-11e0-8f20-00144feab49a.html</vt:lpwstr>
      </vt:variant>
      <vt:variant>
        <vt:lpwstr>axzz1G5qCPdMJ</vt:lpwstr>
      </vt:variant>
      <vt:variant>
        <vt:i4>2424958</vt:i4>
      </vt:variant>
      <vt:variant>
        <vt:i4>15</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ELSJ&amp;mots=&amp;resmax=1700&amp;Submit=Submit</vt:lpwstr>
      </vt:variant>
      <vt:variant>
        <vt:lpwstr/>
      </vt:variant>
      <vt:variant>
        <vt:i4>4587586</vt:i4>
      </vt:variant>
      <vt:variant>
        <vt:i4>12</vt:i4>
      </vt:variant>
      <vt:variant>
        <vt:i4>0</vt:i4>
      </vt:variant>
      <vt:variant>
        <vt:i4>5</vt:i4>
      </vt:variant>
      <vt:variant>
        <vt:lpwstr>http://curia.europa.eu/jcms/upload/docs/application/pdf/2010-05/ra09_stat_cour_final_cs.pdf</vt:lpwstr>
      </vt:variant>
      <vt:variant>
        <vt:lpwstr/>
      </vt:variant>
      <vt:variant>
        <vt:i4>2424958</vt:i4>
      </vt:variant>
      <vt:variant>
        <vt:i4>9</vt:i4>
      </vt:variant>
      <vt:variant>
        <vt:i4>0</vt:i4>
      </vt:variant>
      <vt:variant>
        <vt:i4>5</vt:i4>
      </vt:variant>
      <vt:variant>
        <vt:lpwstr>http://curia.europa.eu/jurisp/cgi-bin/form.pl?lang=en&amp;newform=newform&amp;jurcdj=jurcdj&amp;jurtpi=jurtpi&amp;docj=docj&amp;docor=docor&amp;docop=docop&amp;docppoag=docppoag&amp;docav=docav&amp;alldocnorec=alldocnorec&amp;docnoj=docnoj&amp;docnoor=docnoor&amp;radtypeord=on&amp;typeord=ALL&amp;docnodecision=docnodecision&amp;affclose=affclose&amp;numaff=&amp;ddatefs=1&amp;mdatefs=12&amp;ydatefs=2009&amp;ddatefe=4&amp;mdatefe=2&amp;ydatefe=2011&amp;nomusuel=&amp;domaine=&amp;mots=Charter+of+Fundamental+Rights&amp;resmax=150&amp;Submit=Submit</vt:lpwstr>
      </vt:variant>
      <vt:variant>
        <vt:lpwstr/>
      </vt:variant>
      <vt:variant>
        <vt:i4>7733364</vt:i4>
      </vt:variant>
      <vt:variant>
        <vt:i4>6</vt:i4>
      </vt:variant>
      <vt:variant>
        <vt:i4>0</vt:i4>
      </vt:variant>
      <vt:variant>
        <vt:i4>5</vt:i4>
      </vt:variant>
      <vt:variant>
        <vt:lpwstr>http://curia.europa.eu/jurisp/cgi-bin/form.pl?lang=en&amp;newform=newform&amp;jurcdj=jurcdj&amp;jurtpi=jurtpi&amp;docj=docj&amp;docor=docor&amp;docop=docop&amp;docppoag=docppoag&amp;alldocnorec=alldocnorec&amp;docnoj=docnoj&amp;docnoor=docnoor&amp;radtypeord=on&amp;typeord=ALL&amp;docnodecision=docnodecision&amp;affclose=affclose&amp;numaff=&amp;ddatefs=1&amp;mdatefs=12&amp;ydatefs=2009&amp;ddatefe=4&amp;mdatefe=2&amp;ydatefe=2011&amp;nomusuel=&amp;domaine=&amp;mots=&amp;resmax=3500&amp;Submit=Submit</vt:lpwstr>
      </vt:variant>
      <vt:variant>
        <vt:lpwstr/>
      </vt:variant>
      <vt:variant>
        <vt:i4>65545</vt:i4>
      </vt:variant>
      <vt:variant>
        <vt:i4>3</vt:i4>
      </vt:variant>
      <vt:variant>
        <vt:i4>0</vt:i4>
      </vt:variant>
      <vt:variant>
        <vt:i4>5</vt:i4>
      </vt:variant>
      <vt:variant>
        <vt:lpwstr>http://curia.europa.eu/jurisp/cgi-bin/form.pl?lang=en</vt:lpwstr>
      </vt:variant>
      <vt:variant>
        <vt:lpwstr/>
      </vt:variant>
      <vt:variant>
        <vt:i4>65545</vt:i4>
      </vt:variant>
      <vt:variant>
        <vt:i4>0</vt:i4>
      </vt:variant>
      <vt:variant>
        <vt:i4>0</vt:i4>
      </vt:variant>
      <vt:variant>
        <vt:i4>5</vt:i4>
      </vt:variant>
      <vt:variant>
        <vt:lpwstr>http://curia.europa.eu/jurisp/cgi-bin/form.pl?lang=en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creator>Hana Malacova</dc:creator>
  <cp:lastModifiedBy>Hana Malacova</cp:lastModifiedBy>
  <cp:revision>105</cp:revision>
  <dcterms:created xsi:type="dcterms:W3CDTF">2011-04-18T19:16:00Z</dcterms:created>
  <dcterms:modified xsi:type="dcterms:W3CDTF">2011-04-20T06:21:00Z</dcterms:modified>
</cp:coreProperties>
</file>