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1FA595" w14:textId="1F0E8B8F" w:rsidR="000E136D" w:rsidRPr="00C41936" w:rsidRDefault="005B2F68" w:rsidP="00C41936">
      <w:pPr>
        <w:jc w:val="center"/>
        <w:rPr>
          <w:b/>
          <w:bCs/>
          <w:sz w:val="44"/>
          <w:szCs w:val="44"/>
          <w:lang w:val="sk-SK"/>
        </w:rPr>
      </w:pPr>
      <w:r w:rsidRPr="00C41936">
        <w:rPr>
          <w:b/>
          <w:bCs/>
          <w:sz w:val="44"/>
          <w:szCs w:val="44"/>
          <w:lang w:val="sk-SK"/>
        </w:rPr>
        <w:t>Univerzita Palackého v Olomouci</w:t>
      </w:r>
    </w:p>
    <w:p w14:paraId="722033DF" w14:textId="77777777" w:rsidR="005B2F68" w:rsidRDefault="005B2F68" w:rsidP="00AE5FFB"/>
    <w:p w14:paraId="5872DDD5" w14:textId="77777777" w:rsidR="005B2F68" w:rsidRDefault="005B2F68" w:rsidP="00AE5FFB"/>
    <w:p w14:paraId="49B51CE7" w14:textId="77777777" w:rsidR="005B2F68" w:rsidRDefault="005B2F68" w:rsidP="00AE5FFB"/>
    <w:p w14:paraId="4422B2AB" w14:textId="77777777" w:rsidR="005B2F68" w:rsidRDefault="005B2F68" w:rsidP="00AE5FFB"/>
    <w:p w14:paraId="022D216B" w14:textId="77777777" w:rsidR="005B2F68" w:rsidRDefault="005B2F68" w:rsidP="00AE5FFB"/>
    <w:p w14:paraId="1867AA70" w14:textId="77777777" w:rsidR="005B2F68" w:rsidRPr="00C41936" w:rsidRDefault="005B2F68" w:rsidP="00C41936">
      <w:pPr>
        <w:jc w:val="center"/>
        <w:rPr>
          <w:b/>
          <w:bCs/>
          <w:sz w:val="56"/>
          <w:szCs w:val="56"/>
          <w:lang w:val="sk-SK"/>
        </w:rPr>
      </w:pPr>
      <w:proofErr w:type="spellStart"/>
      <w:r w:rsidRPr="00C41936">
        <w:rPr>
          <w:b/>
          <w:bCs/>
          <w:sz w:val="56"/>
          <w:szCs w:val="56"/>
          <w:lang w:val="sk-SK"/>
        </w:rPr>
        <w:t>Bakalářská</w:t>
      </w:r>
      <w:proofErr w:type="spellEnd"/>
      <w:r w:rsidRPr="00C41936">
        <w:rPr>
          <w:b/>
          <w:bCs/>
          <w:sz w:val="56"/>
          <w:szCs w:val="56"/>
          <w:lang w:val="sk-SK"/>
        </w:rPr>
        <w:t xml:space="preserve"> práce</w:t>
      </w:r>
    </w:p>
    <w:p w14:paraId="5C0256BE" w14:textId="77777777" w:rsidR="005B2F68" w:rsidRDefault="005B2F68" w:rsidP="00AE5FFB"/>
    <w:p w14:paraId="60C68F83" w14:textId="77777777" w:rsidR="005B2F68" w:rsidRDefault="005B2F68" w:rsidP="00AE5FFB"/>
    <w:p w14:paraId="3C7C8249" w14:textId="77777777" w:rsidR="005B2F68" w:rsidRDefault="005B2F68" w:rsidP="00AE5FFB"/>
    <w:p w14:paraId="0F9F015D" w14:textId="77777777" w:rsidR="005B2F68" w:rsidRDefault="005B2F68" w:rsidP="00AE5FFB"/>
    <w:p w14:paraId="62041444" w14:textId="77777777" w:rsidR="005B2F68" w:rsidRDefault="005B2F68" w:rsidP="00AE5FFB"/>
    <w:p w14:paraId="518A597B" w14:textId="77777777" w:rsidR="005B2F68" w:rsidRDefault="005B2F68" w:rsidP="00AE5FFB"/>
    <w:p w14:paraId="4397A949" w14:textId="77777777" w:rsidR="005B2F68" w:rsidRDefault="005B2F68" w:rsidP="00AE5FFB"/>
    <w:p w14:paraId="2C463B0D" w14:textId="77777777" w:rsidR="005B2F68" w:rsidRDefault="005B2F68" w:rsidP="00AE5FFB"/>
    <w:p w14:paraId="1D5419EC" w14:textId="77777777" w:rsidR="005B2F68" w:rsidRDefault="005B2F68" w:rsidP="00AE5FFB"/>
    <w:p w14:paraId="3E732F0D" w14:textId="77777777" w:rsidR="005B2F68" w:rsidRDefault="005B2F68" w:rsidP="00AE5FFB"/>
    <w:p w14:paraId="63E0E807" w14:textId="77777777" w:rsidR="005B2F68" w:rsidRDefault="005B2F68" w:rsidP="00AE5FFB"/>
    <w:p w14:paraId="46323A5F" w14:textId="77777777" w:rsidR="005B2F68" w:rsidRDefault="005B2F68" w:rsidP="00AE5FFB"/>
    <w:p w14:paraId="0FF62296" w14:textId="77777777" w:rsidR="005B2F68" w:rsidRDefault="005B2F68" w:rsidP="00AE5FFB"/>
    <w:p w14:paraId="70998053" w14:textId="77777777" w:rsidR="005B2F68" w:rsidRDefault="005B2F68" w:rsidP="00AE5FFB"/>
    <w:p w14:paraId="65E4FB26" w14:textId="03498C2B" w:rsidR="00E8344D" w:rsidRPr="00810CED" w:rsidRDefault="005B2F68" w:rsidP="00810CED">
      <w:pPr>
        <w:jc w:val="center"/>
        <w:rPr>
          <w:rFonts w:eastAsia="Times New Roman"/>
          <w:kern w:val="0"/>
          <w:sz w:val="44"/>
          <w:szCs w:val="44"/>
          <w:lang w:val="sk-SK"/>
          <w14:ligatures w14:val="none"/>
        </w:rPr>
      </w:pPr>
      <w:r w:rsidRPr="00C41936">
        <w:rPr>
          <w:b/>
          <w:bCs/>
          <w:sz w:val="44"/>
          <w:szCs w:val="44"/>
          <w:lang w:val="sk-SK"/>
        </w:rPr>
        <w:t>Olomouc</w:t>
      </w:r>
      <w:r w:rsidRPr="007616F9">
        <w:rPr>
          <w:rFonts w:eastAsia="Times New Roman"/>
          <w:kern w:val="0"/>
          <w:sz w:val="44"/>
          <w:szCs w:val="44"/>
          <w:lang w:val="sk-SK"/>
          <w14:ligatures w14:val="none"/>
        </w:rPr>
        <w:t xml:space="preserve"> </w:t>
      </w:r>
      <w:r w:rsidRPr="00C41936">
        <w:rPr>
          <w:b/>
          <w:bCs/>
          <w:sz w:val="44"/>
          <w:szCs w:val="44"/>
          <w:lang w:val="sk-SK"/>
        </w:rPr>
        <w:t>2024</w:t>
      </w:r>
      <w:r w:rsidR="001F75E7">
        <w:rPr>
          <w:rFonts w:eastAsia="Times New Roman"/>
          <w:kern w:val="0"/>
          <w:sz w:val="44"/>
          <w:szCs w:val="44"/>
          <w:lang w:val="sk-SK"/>
          <w14:ligatures w14:val="none"/>
        </w:rPr>
        <w:t xml:space="preserve">                   </w:t>
      </w:r>
      <w:r w:rsidR="00C41936">
        <w:rPr>
          <w:rFonts w:eastAsia="Times New Roman"/>
          <w:kern w:val="0"/>
          <w:sz w:val="44"/>
          <w:szCs w:val="44"/>
          <w:lang w:val="sk-SK"/>
          <w14:ligatures w14:val="none"/>
        </w:rPr>
        <w:t xml:space="preserve">  </w:t>
      </w:r>
      <w:r w:rsidR="001F75E7">
        <w:rPr>
          <w:rFonts w:eastAsia="Times New Roman"/>
          <w:kern w:val="0"/>
          <w:sz w:val="44"/>
          <w:szCs w:val="44"/>
          <w:lang w:val="sk-SK"/>
          <w14:ligatures w14:val="none"/>
        </w:rPr>
        <w:t xml:space="preserve">    </w:t>
      </w:r>
      <w:r w:rsidRPr="00C41936">
        <w:rPr>
          <w:b/>
          <w:bCs/>
          <w:sz w:val="44"/>
          <w:szCs w:val="44"/>
          <w:lang w:val="sk-SK"/>
        </w:rPr>
        <w:t>Adéla</w:t>
      </w:r>
      <w:r w:rsidRPr="007616F9">
        <w:rPr>
          <w:rFonts w:eastAsia="Times New Roman"/>
          <w:kern w:val="0"/>
          <w:sz w:val="44"/>
          <w:szCs w:val="44"/>
          <w:lang w:val="sk-SK"/>
          <w14:ligatures w14:val="none"/>
        </w:rPr>
        <w:t xml:space="preserve"> </w:t>
      </w:r>
      <w:r w:rsidRPr="00C41936">
        <w:rPr>
          <w:b/>
          <w:bCs/>
          <w:sz w:val="44"/>
          <w:szCs w:val="44"/>
          <w:lang w:val="sk-SK"/>
        </w:rPr>
        <w:t>Matejzíková</w:t>
      </w:r>
    </w:p>
    <w:p w14:paraId="662FDB32" w14:textId="77777777" w:rsidR="004208DD" w:rsidRDefault="004208DD" w:rsidP="004208DD">
      <w:pPr>
        <w:spacing w:before="57"/>
        <w:ind w:left="2267" w:right="2052"/>
        <w:jc w:val="center"/>
        <w:rPr>
          <w:b/>
          <w:sz w:val="32"/>
        </w:rPr>
      </w:pPr>
      <w:r>
        <w:rPr>
          <w:b/>
          <w:sz w:val="32"/>
        </w:rPr>
        <w:lastRenderedPageBreak/>
        <w:t>Univerzita</w:t>
      </w:r>
      <w:r>
        <w:rPr>
          <w:b/>
          <w:spacing w:val="-9"/>
          <w:sz w:val="32"/>
        </w:rPr>
        <w:t xml:space="preserve"> </w:t>
      </w:r>
      <w:r>
        <w:rPr>
          <w:b/>
          <w:sz w:val="32"/>
        </w:rPr>
        <w:t>Palackého</w:t>
      </w:r>
      <w:r>
        <w:rPr>
          <w:b/>
          <w:spacing w:val="-9"/>
          <w:sz w:val="32"/>
        </w:rPr>
        <w:t xml:space="preserve"> </w:t>
      </w:r>
      <w:r>
        <w:rPr>
          <w:b/>
          <w:sz w:val="32"/>
        </w:rPr>
        <w:t>v</w:t>
      </w:r>
      <w:r>
        <w:rPr>
          <w:b/>
          <w:spacing w:val="-9"/>
          <w:sz w:val="32"/>
        </w:rPr>
        <w:t xml:space="preserve"> </w:t>
      </w:r>
      <w:r>
        <w:rPr>
          <w:b/>
          <w:sz w:val="32"/>
        </w:rPr>
        <w:t>Olomouci Přírodovědecká fakulta</w:t>
      </w:r>
    </w:p>
    <w:p w14:paraId="54F8FEE7" w14:textId="77777777" w:rsidR="004208DD" w:rsidRDefault="004208DD" w:rsidP="004208DD">
      <w:pPr>
        <w:ind w:left="206"/>
        <w:jc w:val="center"/>
        <w:rPr>
          <w:b/>
          <w:sz w:val="32"/>
        </w:rPr>
      </w:pPr>
      <w:bookmarkStart w:id="0" w:name="_Hlk159852335"/>
      <w:r>
        <w:rPr>
          <w:b/>
          <w:sz w:val="32"/>
        </w:rPr>
        <w:t>Katedra</w:t>
      </w:r>
      <w:r>
        <w:rPr>
          <w:b/>
          <w:spacing w:val="-4"/>
          <w:sz w:val="32"/>
        </w:rPr>
        <w:t xml:space="preserve"> </w:t>
      </w:r>
      <w:r>
        <w:rPr>
          <w:b/>
          <w:sz w:val="32"/>
        </w:rPr>
        <w:t>buněčné</w:t>
      </w:r>
      <w:r>
        <w:rPr>
          <w:b/>
          <w:spacing w:val="-3"/>
          <w:sz w:val="32"/>
        </w:rPr>
        <w:t xml:space="preserve"> </w:t>
      </w:r>
      <w:r>
        <w:rPr>
          <w:b/>
          <w:sz w:val="32"/>
        </w:rPr>
        <w:t>biologie</w:t>
      </w:r>
      <w:r>
        <w:rPr>
          <w:b/>
          <w:spacing w:val="-3"/>
          <w:sz w:val="32"/>
        </w:rPr>
        <w:t xml:space="preserve"> </w:t>
      </w:r>
      <w:r>
        <w:rPr>
          <w:b/>
          <w:sz w:val="32"/>
        </w:rPr>
        <w:t>a</w:t>
      </w:r>
      <w:r>
        <w:rPr>
          <w:b/>
          <w:spacing w:val="-3"/>
          <w:sz w:val="32"/>
        </w:rPr>
        <w:t xml:space="preserve"> </w:t>
      </w:r>
      <w:r>
        <w:rPr>
          <w:b/>
          <w:spacing w:val="-2"/>
          <w:sz w:val="32"/>
        </w:rPr>
        <w:t>genetiky</w:t>
      </w:r>
    </w:p>
    <w:bookmarkEnd w:id="0"/>
    <w:p w14:paraId="6F57D9C7" w14:textId="77777777" w:rsidR="004208DD" w:rsidRDefault="004208DD" w:rsidP="004208DD">
      <w:pPr>
        <w:pStyle w:val="Zkladntext"/>
        <w:rPr>
          <w:b/>
          <w:sz w:val="20"/>
        </w:rPr>
      </w:pPr>
    </w:p>
    <w:p w14:paraId="184A9CC9" w14:textId="77777777" w:rsidR="004208DD" w:rsidRDefault="004208DD" w:rsidP="004208DD">
      <w:pPr>
        <w:pStyle w:val="Zkladntext"/>
        <w:rPr>
          <w:b/>
          <w:sz w:val="20"/>
        </w:rPr>
      </w:pPr>
    </w:p>
    <w:p w14:paraId="016D774E" w14:textId="77777777" w:rsidR="004208DD" w:rsidRDefault="004208DD" w:rsidP="004208DD">
      <w:pPr>
        <w:pStyle w:val="Zkladntext"/>
        <w:rPr>
          <w:b/>
          <w:sz w:val="20"/>
        </w:rPr>
      </w:pPr>
    </w:p>
    <w:p w14:paraId="5F86AC39" w14:textId="77777777" w:rsidR="004208DD" w:rsidRDefault="004208DD" w:rsidP="004208DD">
      <w:pPr>
        <w:pStyle w:val="Zkladntext"/>
        <w:spacing w:before="192"/>
        <w:rPr>
          <w:b/>
          <w:sz w:val="20"/>
        </w:rPr>
      </w:pPr>
      <w:r>
        <w:rPr>
          <w:noProof/>
        </w:rPr>
        <mc:AlternateContent>
          <mc:Choice Requires="wpg">
            <w:drawing>
              <wp:anchor distT="0" distB="0" distL="0" distR="0" simplePos="0" relativeHeight="251658241" behindDoc="1" locked="0" layoutInCell="1" allowOverlap="1" wp14:anchorId="675F13D7" wp14:editId="45890BAD">
                <wp:simplePos x="0" y="0"/>
                <wp:positionH relativeFrom="page">
                  <wp:posOffset>3214877</wp:posOffset>
                </wp:positionH>
                <wp:positionV relativeFrom="paragraph">
                  <wp:posOffset>283199</wp:posOffset>
                </wp:positionV>
                <wp:extent cx="1488440" cy="1572895"/>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8440" cy="1572895"/>
                          <a:chOff x="0" y="0"/>
                          <a:chExt cx="1488440" cy="1572895"/>
                        </a:xfrm>
                      </wpg:grpSpPr>
                      <wps:wsp>
                        <wps:cNvPr id="2" name="Graphic 2"/>
                        <wps:cNvSpPr/>
                        <wps:spPr>
                          <a:xfrm>
                            <a:off x="0" y="0"/>
                            <a:ext cx="1488440" cy="1572895"/>
                          </a:xfrm>
                          <a:custGeom>
                            <a:avLst/>
                            <a:gdLst/>
                            <a:ahLst/>
                            <a:cxnLst/>
                            <a:rect l="l" t="t" r="r" b="b"/>
                            <a:pathLst>
                              <a:path w="1488440" h="1572895">
                                <a:moveTo>
                                  <a:pt x="1488186" y="0"/>
                                </a:moveTo>
                                <a:lnTo>
                                  <a:pt x="1433480" y="13172"/>
                                </a:lnTo>
                                <a:lnTo>
                                  <a:pt x="1379431" y="25760"/>
                                </a:lnTo>
                                <a:lnTo>
                                  <a:pt x="1326017" y="37729"/>
                                </a:lnTo>
                                <a:lnTo>
                                  <a:pt x="1273218" y="49043"/>
                                </a:lnTo>
                                <a:lnTo>
                                  <a:pt x="1221012" y="59665"/>
                                </a:lnTo>
                                <a:lnTo>
                                  <a:pt x="1169381" y="69560"/>
                                </a:lnTo>
                                <a:lnTo>
                                  <a:pt x="1118302" y="78691"/>
                                </a:lnTo>
                                <a:lnTo>
                                  <a:pt x="1067756" y="87024"/>
                                </a:lnTo>
                                <a:lnTo>
                                  <a:pt x="1017721" y="94521"/>
                                </a:lnTo>
                                <a:lnTo>
                                  <a:pt x="968179" y="101147"/>
                                </a:lnTo>
                                <a:lnTo>
                                  <a:pt x="919107" y="106867"/>
                                </a:lnTo>
                                <a:lnTo>
                                  <a:pt x="870485" y="111644"/>
                                </a:lnTo>
                                <a:lnTo>
                                  <a:pt x="822293" y="115443"/>
                                </a:lnTo>
                                <a:lnTo>
                                  <a:pt x="774510" y="118226"/>
                                </a:lnTo>
                                <a:lnTo>
                                  <a:pt x="727116" y="119960"/>
                                </a:lnTo>
                                <a:lnTo>
                                  <a:pt x="680090" y="120607"/>
                                </a:lnTo>
                                <a:lnTo>
                                  <a:pt x="633411" y="120132"/>
                                </a:lnTo>
                                <a:lnTo>
                                  <a:pt x="587059" y="118499"/>
                                </a:lnTo>
                                <a:lnTo>
                                  <a:pt x="541014" y="115672"/>
                                </a:lnTo>
                                <a:lnTo>
                                  <a:pt x="495255" y="111615"/>
                                </a:lnTo>
                                <a:lnTo>
                                  <a:pt x="449761" y="106292"/>
                                </a:lnTo>
                                <a:lnTo>
                                  <a:pt x="404512" y="99668"/>
                                </a:lnTo>
                                <a:lnTo>
                                  <a:pt x="359487" y="91706"/>
                                </a:lnTo>
                                <a:lnTo>
                                  <a:pt x="314665" y="82370"/>
                                </a:lnTo>
                                <a:lnTo>
                                  <a:pt x="270027" y="71626"/>
                                </a:lnTo>
                                <a:lnTo>
                                  <a:pt x="225552" y="59436"/>
                                </a:lnTo>
                                <a:lnTo>
                                  <a:pt x="210738" y="107977"/>
                                </a:lnTo>
                                <a:lnTo>
                                  <a:pt x="191766" y="149094"/>
                                </a:lnTo>
                                <a:lnTo>
                                  <a:pt x="167648" y="183759"/>
                                </a:lnTo>
                                <a:lnTo>
                                  <a:pt x="137399" y="212946"/>
                                </a:lnTo>
                                <a:lnTo>
                                  <a:pt x="100033" y="237628"/>
                                </a:lnTo>
                                <a:lnTo>
                                  <a:pt x="54561" y="258777"/>
                                </a:lnTo>
                                <a:lnTo>
                                  <a:pt x="0" y="277368"/>
                                </a:lnTo>
                                <a:lnTo>
                                  <a:pt x="12047" y="325312"/>
                                </a:lnTo>
                                <a:lnTo>
                                  <a:pt x="24872" y="372834"/>
                                </a:lnTo>
                                <a:lnTo>
                                  <a:pt x="38475" y="419945"/>
                                </a:lnTo>
                                <a:lnTo>
                                  <a:pt x="52857" y="466653"/>
                                </a:lnTo>
                                <a:lnTo>
                                  <a:pt x="68019" y="512970"/>
                                </a:lnTo>
                                <a:lnTo>
                                  <a:pt x="83960" y="558905"/>
                                </a:lnTo>
                                <a:lnTo>
                                  <a:pt x="100681" y="604468"/>
                                </a:lnTo>
                                <a:lnTo>
                                  <a:pt x="118183" y="649670"/>
                                </a:lnTo>
                                <a:lnTo>
                                  <a:pt x="136467" y="694519"/>
                                </a:lnTo>
                                <a:lnTo>
                                  <a:pt x="155532" y="739027"/>
                                </a:lnTo>
                                <a:lnTo>
                                  <a:pt x="175380" y="783202"/>
                                </a:lnTo>
                                <a:lnTo>
                                  <a:pt x="196010" y="827056"/>
                                </a:lnTo>
                                <a:lnTo>
                                  <a:pt x="217424" y="870598"/>
                                </a:lnTo>
                                <a:lnTo>
                                  <a:pt x="239622" y="913838"/>
                                </a:lnTo>
                                <a:lnTo>
                                  <a:pt x="262604" y="956786"/>
                                </a:lnTo>
                                <a:lnTo>
                                  <a:pt x="286371" y="999452"/>
                                </a:lnTo>
                                <a:lnTo>
                                  <a:pt x="310923" y="1041846"/>
                                </a:lnTo>
                                <a:lnTo>
                                  <a:pt x="336261" y="1083978"/>
                                </a:lnTo>
                                <a:lnTo>
                                  <a:pt x="362385" y="1125858"/>
                                </a:lnTo>
                                <a:lnTo>
                                  <a:pt x="389297" y="1167496"/>
                                </a:lnTo>
                                <a:lnTo>
                                  <a:pt x="416996" y="1208903"/>
                                </a:lnTo>
                                <a:lnTo>
                                  <a:pt x="445482" y="1250087"/>
                                </a:lnTo>
                                <a:lnTo>
                                  <a:pt x="474757" y="1291059"/>
                                </a:lnTo>
                                <a:lnTo>
                                  <a:pt x="504821" y="1331829"/>
                                </a:lnTo>
                                <a:lnTo>
                                  <a:pt x="535675" y="1372407"/>
                                </a:lnTo>
                                <a:lnTo>
                                  <a:pt x="567318" y="1412803"/>
                                </a:lnTo>
                                <a:lnTo>
                                  <a:pt x="599752" y="1453028"/>
                                </a:lnTo>
                                <a:lnTo>
                                  <a:pt x="632977" y="1493090"/>
                                </a:lnTo>
                                <a:lnTo>
                                  <a:pt x="666993" y="1533000"/>
                                </a:lnTo>
                                <a:lnTo>
                                  <a:pt x="701802" y="1572768"/>
                                </a:lnTo>
                                <a:lnTo>
                                  <a:pt x="732958" y="1541090"/>
                                </a:lnTo>
                                <a:lnTo>
                                  <a:pt x="763720" y="1508137"/>
                                </a:lnTo>
                                <a:lnTo>
                                  <a:pt x="794077" y="1473952"/>
                                </a:lnTo>
                                <a:lnTo>
                                  <a:pt x="824017" y="1438582"/>
                                </a:lnTo>
                                <a:lnTo>
                                  <a:pt x="853531" y="1402071"/>
                                </a:lnTo>
                                <a:lnTo>
                                  <a:pt x="882607" y="1364464"/>
                                </a:lnTo>
                                <a:lnTo>
                                  <a:pt x="911236" y="1325806"/>
                                </a:lnTo>
                                <a:lnTo>
                                  <a:pt x="939406" y="1286143"/>
                                </a:lnTo>
                                <a:lnTo>
                                  <a:pt x="967107" y="1245520"/>
                                </a:lnTo>
                                <a:lnTo>
                                  <a:pt x="994330" y="1203982"/>
                                </a:lnTo>
                                <a:lnTo>
                                  <a:pt x="1021062" y="1161573"/>
                                </a:lnTo>
                                <a:lnTo>
                                  <a:pt x="1047293" y="1118339"/>
                                </a:lnTo>
                                <a:lnTo>
                                  <a:pt x="1073013" y="1074326"/>
                                </a:lnTo>
                                <a:lnTo>
                                  <a:pt x="1098212" y="1029577"/>
                                </a:lnTo>
                                <a:lnTo>
                                  <a:pt x="1122879" y="984139"/>
                                </a:lnTo>
                                <a:lnTo>
                                  <a:pt x="1147002" y="938056"/>
                                </a:lnTo>
                                <a:lnTo>
                                  <a:pt x="1170573" y="891374"/>
                                </a:lnTo>
                                <a:lnTo>
                                  <a:pt x="1193579" y="844137"/>
                                </a:lnTo>
                                <a:lnTo>
                                  <a:pt x="1216011" y="796391"/>
                                </a:lnTo>
                                <a:lnTo>
                                  <a:pt x="1237859" y="748181"/>
                                </a:lnTo>
                                <a:lnTo>
                                  <a:pt x="1259110" y="699552"/>
                                </a:lnTo>
                                <a:lnTo>
                                  <a:pt x="1279755" y="650549"/>
                                </a:lnTo>
                                <a:lnTo>
                                  <a:pt x="1299784" y="601217"/>
                                </a:lnTo>
                                <a:lnTo>
                                  <a:pt x="1319186" y="551601"/>
                                </a:lnTo>
                                <a:lnTo>
                                  <a:pt x="1337949" y="501747"/>
                                </a:lnTo>
                                <a:lnTo>
                                  <a:pt x="1356065" y="451698"/>
                                </a:lnTo>
                                <a:lnTo>
                                  <a:pt x="1373521" y="401502"/>
                                </a:lnTo>
                                <a:lnTo>
                                  <a:pt x="1390308" y="351202"/>
                                </a:lnTo>
                                <a:lnTo>
                                  <a:pt x="1406415" y="300844"/>
                                </a:lnTo>
                                <a:lnTo>
                                  <a:pt x="1421832" y="250473"/>
                                </a:lnTo>
                                <a:lnTo>
                                  <a:pt x="1436547" y="200134"/>
                                </a:lnTo>
                                <a:lnTo>
                                  <a:pt x="1450550" y="149872"/>
                                </a:lnTo>
                                <a:lnTo>
                                  <a:pt x="1463832" y="99732"/>
                                </a:lnTo>
                                <a:lnTo>
                                  <a:pt x="1476380" y="49760"/>
                                </a:lnTo>
                                <a:lnTo>
                                  <a:pt x="1488186" y="0"/>
                                </a:lnTo>
                                <a:close/>
                              </a:path>
                            </a:pathLst>
                          </a:custGeom>
                          <a:solidFill>
                            <a:srgbClr val="000000"/>
                          </a:solidFill>
                        </wps:spPr>
                        <wps:bodyPr wrap="square" lIns="0" tIns="0" rIns="0" bIns="0" rtlCol="0">
                          <a:prstTxWarp prst="textNoShape">
                            <a:avLst/>
                          </a:prstTxWarp>
                          <a:noAutofit/>
                        </wps:bodyPr>
                      </wps:wsp>
                      <wps:wsp>
                        <wps:cNvPr id="3" name="Graphic 3"/>
                        <wps:cNvSpPr/>
                        <wps:spPr>
                          <a:xfrm>
                            <a:off x="54864" y="57150"/>
                            <a:ext cx="1367790" cy="1431290"/>
                          </a:xfrm>
                          <a:custGeom>
                            <a:avLst/>
                            <a:gdLst/>
                            <a:ahLst/>
                            <a:cxnLst/>
                            <a:rect l="l" t="t" r="r" b="b"/>
                            <a:pathLst>
                              <a:path w="1367790" h="1431290">
                                <a:moveTo>
                                  <a:pt x="1367790" y="0"/>
                                </a:moveTo>
                                <a:lnTo>
                                  <a:pt x="1310272" y="14757"/>
                                </a:lnTo>
                                <a:lnTo>
                                  <a:pt x="1253591" y="28595"/>
                                </a:lnTo>
                                <a:lnTo>
                                  <a:pt x="1197720" y="41487"/>
                                </a:lnTo>
                                <a:lnTo>
                                  <a:pt x="1142631" y="53405"/>
                                </a:lnTo>
                                <a:lnTo>
                                  <a:pt x="1088296" y="64319"/>
                                </a:lnTo>
                                <a:lnTo>
                                  <a:pt x="1034688" y="74203"/>
                                </a:lnTo>
                                <a:lnTo>
                                  <a:pt x="981780" y="83027"/>
                                </a:lnTo>
                                <a:lnTo>
                                  <a:pt x="929544" y="90763"/>
                                </a:lnTo>
                                <a:lnTo>
                                  <a:pt x="877953" y="97384"/>
                                </a:lnTo>
                                <a:lnTo>
                                  <a:pt x="826980" y="102861"/>
                                </a:lnTo>
                                <a:lnTo>
                                  <a:pt x="776596" y="107166"/>
                                </a:lnTo>
                                <a:lnTo>
                                  <a:pt x="726775" y="110271"/>
                                </a:lnTo>
                                <a:lnTo>
                                  <a:pt x="677489" y="112147"/>
                                </a:lnTo>
                                <a:lnTo>
                                  <a:pt x="628711" y="112767"/>
                                </a:lnTo>
                                <a:lnTo>
                                  <a:pt x="580413" y="112102"/>
                                </a:lnTo>
                                <a:lnTo>
                                  <a:pt x="532568" y="110124"/>
                                </a:lnTo>
                                <a:lnTo>
                                  <a:pt x="485148" y="106805"/>
                                </a:lnTo>
                                <a:lnTo>
                                  <a:pt x="438126" y="102117"/>
                                </a:lnTo>
                                <a:lnTo>
                                  <a:pt x="391475" y="96031"/>
                                </a:lnTo>
                                <a:lnTo>
                                  <a:pt x="345166" y="88520"/>
                                </a:lnTo>
                                <a:lnTo>
                                  <a:pt x="299174" y="79554"/>
                                </a:lnTo>
                                <a:lnTo>
                                  <a:pt x="253469" y="69107"/>
                                </a:lnTo>
                                <a:lnTo>
                                  <a:pt x="208026" y="57150"/>
                                </a:lnTo>
                                <a:lnTo>
                                  <a:pt x="189230" y="106591"/>
                                </a:lnTo>
                                <a:lnTo>
                                  <a:pt x="168148" y="147630"/>
                                </a:lnTo>
                                <a:lnTo>
                                  <a:pt x="141732" y="181641"/>
                                </a:lnTo>
                                <a:lnTo>
                                  <a:pt x="106934" y="210001"/>
                                </a:lnTo>
                                <a:lnTo>
                                  <a:pt x="60706" y="234085"/>
                                </a:lnTo>
                                <a:lnTo>
                                  <a:pt x="0" y="255270"/>
                                </a:lnTo>
                                <a:lnTo>
                                  <a:pt x="14074" y="306214"/>
                                </a:lnTo>
                                <a:lnTo>
                                  <a:pt x="28711" y="356128"/>
                                </a:lnTo>
                                <a:lnTo>
                                  <a:pt x="43935" y="405068"/>
                                </a:lnTo>
                                <a:lnTo>
                                  <a:pt x="59770" y="453089"/>
                                </a:lnTo>
                                <a:lnTo>
                                  <a:pt x="76238" y="500246"/>
                                </a:lnTo>
                                <a:lnTo>
                                  <a:pt x="93365" y="546594"/>
                                </a:lnTo>
                                <a:lnTo>
                                  <a:pt x="111173" y="592189"/>
                                </a:lnTo>
                                <a:lnTo>
                                  <a:pt x="129686" y="637086"/>
                                </a:lnTo>
                                <a:lnTo>
                                  <a:pt x="148928" y="681340"/>
                                </a:lnTo>
                                <a:lnTo>
                                  <a:pt x="168923" y="725007"/>
                                </a:lnTo>
                                <a:lnTo>
                                  <a:pt x="189694" y="768142"/>
                                </a:lnTo>
                                <a:lnTo>
                                  <a:pt x="211265" y="810800"/>
                                </a:lnTo>
                                <a:lnTo>
                                  <a:pt x="233659" y="853036"/>
                                </a:lnTo>
                                <a:lnTo>
                                  <a:pt x="256901" y="894906"/>
                                </a:lnTo>
                                <a:lnTo>
                                  <a:pt x="281014" y="936465"/>
                                </a:lnTo>
                                <a:lnTo>
                                  <a:pt x="306022" y="977768"/>
                                </a:lnTo>
                                <a:lnTo>
                                  <a:pt x="331948" y="1018871"/>
                                </a:lnTo>
                                <a:lnTo>
                                  <a:pt x="358817" y="1059829"/>
                                </a:lnTo>
                                <a:lnTo>
                                  <a:pt x="386651" y="1100696"/>
                                </a:lnTo>
                                <a:lnTo>
                                  <a:pt x="415475" y="1141529"/>
                                </a:lnTo>
                                <a:lnTo>
                                  <a:pt x="445312" y="1182383"/>
                                </a:lnTo>
                                <a:lnTo>
                                  <a:pt x="476186" y="1223313"/>
                                </a:lnTo>
                                <a:lnTo>
                                  <a:pt x="508120" y="1264374"/>
                                </a:lnTo>
                                <a:lnTo>
                                  <a:pt x="541139" y="1305621"/>
                                </a:lnTo>
                                <a:lnTo>
                                  <a:pt x="575265" y="1347110"/>
                                </a:lnTo>
                                <a:lnTo>
                                  <a:pt x="610524" y="1388897"/>
                                </a:lnTo>
                                <a:lnTo>
                                  <a:pt x="646938" y="1431036"/>
                                </a:lnTo>
                                <a:lnTo>
                                  <a:pt x="680184" y="1396061"/>
                                </a:lnTo>
                                <a:lnTo>
                                  <a:pt x="712772" y="1360030"/>
                                </a:lnTo>
                                <a:lnTo>
                                  <a:pt x="744696" y="1322986"/>
                                </a:lnTo>
                                <a:lnTo>
                                  <a:pt x="775955" y="1284973"/>
                                </a:lnTo>
                                <a:lnTo>
                                  <a:pt x="806545" y="1246031"/>
                                </a:lnTo>
                                <a:lnTo>
                                  <a:pt x="836462" y="1206205"/>
                                </a:lnTo>
                                <a:lnTo>
                                  <a:pt x="865703" y="1165536"/>
                                </a:lnTo>
                                <a:lnTo>
                                  <a:pt x="894266" y="1124069"/>
                                </a:lnTo>
                                <a:lnTo>
                                  <a:pt x="922147" y="1081844"/>
                                </a:lnTo>
                                <a:lnTo>
                                  <a:pt x="949342" y="1038905"/>
                                </a:lnTo>
                                <a:lnTo>
                                  <a:pt x="975849" y="995295"/>
                                </a:lnTo>
                                <a:lnTo>
                                  <a:pt x="1001665" y="951056"/>
                                </a:lnTo>
                                <a:lnTo>
                                  <a:pt x="1026786" y="906231"/>
                                </a:lnTo>
                                <a:lnTo>
                                  <a:pt x="1051208" y="860863"/>
                                </a:lnTo>
                                <a:lnTo>
                                  <a:pt x="1074929" y="814994"/>
                                </a:lnTo>
                                <a:lnTo>
                                  <a:pt x="1097946" y="768667"/>
                                </a:lnTo>
                                <a:lnTo>
                                  <a:pt x="1120255" y="721925"/>
                                </a:lnTo>
                                <a:lnTo>
                                  <a:pt x="1141854" y="674810"/>
                                </a:lnTo>
                                <a:lnTo>
                                  <a:pt x="1162738" y="627366"/>
                                </a:lnTo>
                                <a:lnTo>
                                  <a:pt x="1182905" y="579634"/>
                                </a:lnTo>
                                <a:lnTo>
                                  <a:pt x="1202351" y="531658"/>
                                </a:lnTo>
                                <a:lnTo>
                                  <a:pt x="1221074" y="483481"/>
                                </a:lnTo>
                                <a:lnTo>
                                  <a:pt x="1239070" y="435144"/>
                                </a:lnTo>
                                <a:lnTo>
                                  <a:pt x="1256335" y="386691"/>
                                </a:lnTo>
                                <a:lnTo>
                                  <a:pt x="1272867" y="338164"/>
                                </a:lnTo>
                                <a:lnTo>
                                  <a:pt x="1288663" y="289606"/>
                                </a:lnTo>
                                <a:lnTo>
                                  <a:pt x="1303719" y="241060"/>
                                </a:lnTo>
                                <a:lnTo>
                                  <a:pt x="1318032" y="192568"/>
                                </a:lnTo>
                                <a:lnTo>
                                  <a:pt x="1331599" y="144174"/>
                                </a:lnTo>
                                <a:lnTo>
                                  <a:pt x="1344416" y="95919"/>
                                </a:lnTo>
                                <a:lnTo>
                                  <a:pt x="1356481" y="47847"/>
                                </a:lnTo>
                                <a:lnTo>
                                  <a:pt x="1367790"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295656" y="241554"/>
                            <a:ext cx="821690" cy="951230"/>
                          </a:xfrm>
                          <a:custGeom>
                            <a:avLst/>
                            <a:gdLst/>
                            <a:ahLst/>
                            <a:cxnLst/>
                            <a:rect l="l" t="t" r="r" b="b"/>
                            <a:pathLst>
                              <a:path w="821690" h="951230">
                                <a:moveTo>
                                  <a:pt x="151638" y="348995"/>
                                </a:moveTo>
                                <a:lnTo>
                                  <a:pt x="0" y="348995"/>
                                </a:lnTo>
                                <a:lnTo>
                                  <a:pt x="11215" y="352853"/>
                                </a:lnTo>
                                <a:lnTo>
                                  <a:pt x="37147" y="367855"/>
                                </a:lnTo>
                                <a:lnTo>
                                  <a:pt x="66222" y="399145"/>
                                </a:lnTo>
                                <a:lnTo>
                                  <a:pt x="86868" y="451865"/>
                                </a:lnTo>
                                <a:lnTo>
                                  <a:pt x="106454" y="552816"/>
                                </a:lnTo>
                                <a:lnTo>
                                  <a:pt x="117824" y="611123"/>
                                </a:lnTo>
                                <a:lnTo>
                                  <a:pt x="129257" y="669177"/>
                                </a:lnTo>
                                <a:lnTo>
                                  <a:pt x="140013" y="722869"/>
                                </a:lnTo>
                                <a:lnTo>
                                  <a:pt x="149352" y="768095"/>
                                </a:lnTo>
                                <a:lnTo>
                                  <a:pt x="165365" y="810363"/>
                                </a:lnTo>
                                <a:lnTo>
                                  <a:pt x="190023" y="849058"/>
                                </a:lnTo>
                                <a:lnTo>
                                  <a:pt x="217423" y="880633"/>
                                </a:lnTo>
                                <a:lnTo>
                                  <a:pt x="267581" y="917817"/>
                                </a:lnTo>
                                <a:lnTo>
                                  <a:pt x="323635" y="940558"/>
                                </a:lnTo>
                                <a:lnTo>
                                  <a:pt x="379523" y="950535"/>
                                </a:lnTo>
                                <a:lnTo>
                                  <a:pt x="403098" y="951071"/>
                                </a:lnTo>
                                <a:lnTo>
                                  <a:pt x="444246" y="950213"/>
                                </a:lnTo>
                                <a:lnTo>
                                  <a:pt x="515207" y="931163"/>
                                </a:lnTo>
                                <a:lnTo>
                                  <a:pt x="579882" y="896111"/>
                                </a:lnTo>
                                <a:lnTo>
                                  <a:pt x="593727" y="882395"/>
                                </a:lnTo>
                                <a:lnTo>
                                  <a:pt x="387858" y="882395"/>
                                </a:lnTo>
                                <a:lnTo>
                                  <a:pt x="331862" y="880633"/>
                                </a:lnTo>
                                <a:lnTo>
                                  <a:pt x="317087" y="879728"/>
                                </a:lnTo>
                                <a:lnTo>
                                  <a:pt x="347031" y="879395"/>
                                </a:lnTo>
                                <a:lnTo>
                                  <a:pt x="387858" y="879370"/>
                                </a:lnTo>
                                <a:lnTo>
                                  <a:pt x="387858" y="852677"/>
                                </a:lnTo>
                                <a:lnTo>
                                  <a:pt x="303276" y="852677"/>
                                </a:lnTo>
                                <a:lnTo>
                                  <a:pt x="294251" y="846570"/>
                                </a:lnTo>
                                <a:lnTo>
                                  <a:pt x="273367" y="828389"/>
                                </a:lnTo>
                                <a:lnTo>
                                  <a:pt x="249912" y="798349"/>
                                </a:lnTo>
                                <a:lnTo>
                                  <a:pt x="233172" y="756665"/>
                                </a:lnTo>
                                <a:lnTo>
                                  <a:pt x="151638" y="348995"/>
                                </a:lnTo>
                                <a:close/>
                              </a:path>
                              <a:path w="821690" h="951230">
                                <a:moveTo>
                                  <a:pt x="387858" y="879370"/>
                                </a:moveTo>
                                <a:lnTo>
                                  <a:pt x="347031" y="879395"/>
                                </a:lnTo>
                                <a:lnTo>
                                  <a:pt x="317087" y="879728"/>
                                </a:lnTo>
                                <a:lnTo>
                                  <a:pt x="331862" y="880633"/>
                                </a:lnTo>
                                <a:lnTo>
                                  <a:pt x="387858" y="882395"/>
                                </a:lnTo>
                                <a:lnTo>
                                  <a:pt x="387858" y="879370"/>
                                </a:lnTo>
                                <a:close/>
                              </a:path>
                              <a:path w="821690" h="951230">
                                <a:moveTo>
                                  <a:pt x="821436" y="348995"/>
                                </a:moveTo>
                                <a:lnTo>
                                  <a:pt x="656082" y="348995"/>
                                </a:lnTo>
                                <a:lnTo>
                                  <a:pt x="647688" y="396882"/>
                                </a:lnTo>
                                <a:lnTo>
                                  <a:pt x="627792" y="509777"/>
                                </a:lnTo>
                                <a:lnTo>
                                  <a:pt x="604325" y="641532"/>
                                </a:lnTo>
                                <a:lnTo>
                                  <a:pt x="585216" y="745997"/>
                                </a:lnTo>
                                <a:lnTo>
                                  <a:pt x="563819" y="801709"/>
                                </a:lnTo>
                                <a:lnTo>
                                  <a:pt x="529986" y="840010"/>
                                </a:lnTo>
                                <a:lnTo>
                                  <a:pt x="490849" y="863791"/>
                                </a:lnTo>
                                <a:lnTo>
                                  <a:pt x="453542" y="875940"/>
                                </a:lnTo>
                                <a:lnTo>
                                  <a:pt x="387858" y="879370"/>
                                </a:lnTo>
                                <a:lnTo>
                                  <a:pt x="387858" y="882395"/>
                                </a:lnTo>
                                <a:lnTo>
                                  <a:pt x="593727" y="882395"/>
                                </a:lnTo>
                                <a:lnTo>
                                  <a:pt x="604015" y="872204"/>
                                </a:lnTo>
                                <a:lnTo>
                                  <a:pt x="628935" y="839723"/>
                                </a:lnTo>
                                <a:lnTo>
                                  <a:pt x="650283" y="802671"/>
                                </a:lnTo>
                                <a:lnTo>
                                  <a:pt x="663702" y="765047"/>
                                </a:lnTo>
                                <a:lnTo>
                                  <a:pt x="671890" y="722620"/>
                                </a:lnTo>
                                <a:lnTo>
                                  <a:pt x="692213" y="614611"/>
                                </a:lnTo>
                                <a:lnTo>
                                  <a:pt x="702961" y="558308"/>
                                </a:lnTo>
                                <a:lnTo>
                                  <a:pt x="713176" y="506656"/>
                                </a:lnTo>
                                <a:lnTo>
                                  <a:pt x="722164" y="464295"/>
                                </a:lnTo>
                                <a:lnTo>
                                  <a:pt x="729234" y="435863"/>
                                </a:lnTo>
                                <a:lnTo>
                                  <a:pt x="739675" y="391644"/>
                                </a:lnTo>
                                <a:lnTo>
                                  <a:pt x="752760" y="367855"/>
                                </a:lnTo>
                                <a:lnTo>
                                  <a:pt x="777132" y="356354"/>
                                </a:lnTo>
                                <a:lnTo>
                                  <a:pt x="821436" y="348995"/>
                                </a:lnTo>
                                <a:close/>
                              </a:path>
                              <a:path w="821690" h="951230">
                                <a:moveTo>
                                  <a:pt x="582930" y="57149"/>
                                </a:moveTo>
                                <a:lnTo>
                                  <a:pt x="300990" y="57149"/>
                                </a:lnTo>
                                <a:lnTo>
                                  <a:pt x="303276" y="852677"/>
                                </a:lnTo>
                                <a:lnTo>
                                  <a:pt x="387858" y="852677"/>
                                </a:lnTo>
                                <a:lnTo>
                                  <a:pt x="387858" y="517397"/>
                                </a:lnTo>
                                <a:lnTo>
                                  <a:pt x="428244" y="517397"/>
                                </a:lnTo>
                                <a:lnTo>
                                  <a:pt x="490918" y="509111"/>
                                </a:lnTo>
                                <a:lnTo>
                                  <a:pt x="536043" y="491359"/>
                                </a:lnTo>
                                <a:lnTo>
                                  <a:pt x="579882" y="457961"/>
                                </a:lnTo>
                                <a:lnTo>
                                  <a:pt x="609790" y="412742"/>
                                </a:lnTo>
                                <a:lnTo>
                                  <a:pt x="628269" y="361949"/>
                                </a:lnTo>
                                <a:lnTo>
                                  <a:pt x="638175" y="316301"/>
                                </a:lnTo>
                                <a:lnTo>
                                  <a:pt x="643604" y="254055"/>
                                </a:lnTo>
                                <a:lnTo>
                                  <a:pt x="643699" y="222884"/>
                                </a:lnTo>
                                <a:lnTo>
                                  <a:pt x="642366" y="192857"/>
                                </a:lnTo>
                                <a:lnTo>
                                  <a:pt x="639318" y="163829"/>
                                </a:lnTo>
                                <a:lnTo>
                                  <a:pt x="632971" y="137410"/>
                                </a:lnTo>
                                <a:lnTo>
                                  <a:pt x="623411" y="111347"/>
                                </a:lnTo>
                                <a:lnTo>
                                  <a:pt x="607706" y="84855"/>
                                </a:lnTo>
                                <a:lnTo>
                                  <a:pt x="582930" y="57149"/>
                                </a:lnTo>
                                <a:close/>
                              </a:path>
                              <a:path w="821690" h="951230">
                                <a:moveTo>
                                  <a:pt x="438912" y="0"/>
                                </a:moveTo>
                                <a:lnTo>
                                  <a:pt x="38100" y="0"/>
                                </a:lnTo>
                                <a:lnTo>
                                  <a:pt x="8382" y="65531"/>
                                </a:lnTo>
                                <a:lnTo>
                                  <a:pt x="300990" y="57149"/>
                                </a:lnTo>
                                <a:lnTo>
                                  <a:pt x="582930" y="57149"/>
                                </a:lnTo>
                                <a:lnTo>
                                  <a:pt x="554426" y="36647"/>
                                </a:lnTo>
                                <a:lnTo>
                                  <a:pt x="517779" y="17716"/>
                                </a:lnTo>
                                <a:lnTo>
                                  <a:pt x="477702" y="4214"/>
                                </a:lnTo>
                                <a:lnTo>
                                  <a:pt x="438912" y="0"/>
                                </a:lnTo>
                                <a:close/>
                              </a:path>
                            </a:pathLst>
                          </a:custGeom>
                          <a:solidFill>
                            <a:srgbClr val="000000"/>
                          </a:solidFill>
                        </wps:spPr>
                        <wps:bodyPr wrap="square" lIns="0" tIns="0" rIns="0" bIns="0" rtlCol="0">
                          <a:prstTxWarp prst="textNoShape">
                            <a:avLst/>
                          </a:prstTxWarp>
                          <a:noAutofit/>
                        </wps:bodyPr>
                      </wps:wsp>
                      <wps:wsp>
                        <wps:cNvPr id="5" name="Graphic 5"/>
                        <wps:cNvSpPr/>
                        <wps:spPr>
                          <a:xfrm>
                            <a:off x="685800" y="296418"/>
                            <a:ext cx="170815" cy="391795"/>
                          </a:xfrm>
                          <a:custGeom>
                            <a:avLst/>
                            <a:gdLst/>
                            <a:ahLst/>
                            <a:cxnLst/>
                            <a:rect l="l" t="t" r="r" b="b"/>
                            <a:pathLst>
                              <a:path w="170815" h="391795">
                                <a:moveTo>
                                  <a:pt x="51815" y="0"/>
                                </a:moveTo>
                                <a:lnTo>
                                  <a:pt x="0" y="0"/>
                                </a:lnTo>
                                <a:lnTo>
                                  <a:pt x="0" y="391668"/>
                                </a:lnTo>
                                <a:lnTo>
                                  <a:pt x="48767" y="391668"/>
                                </a:lnTo>
                                <a:lnTo>
                                  <a:pt x="86689" y="390775"/>
                                </a:lnTo>
                                <a:lnTo>
                                  <a:pt x="125384" y="367557"/>
                                </a:lnTo>
                                <a:lnTo>
                                  <a:pt x="154936" y="305097"/>
                                </a:lnTo>
                                <a:lnTo>
                                  <a:pt x="168771" y="227683"/>
                                </a:lnTo>
                                <a:lnTo>
                                  <a:pt x="170687" y="179832"/>
                                </a:lnTo>
                                <a:lnTo>
                                  <a:pt x="168425" y="132826"/>
                                </a:lnTo>
                                <a:lnTo>
                                  <a:pt x="155900" y="67960"/>
                                </a:lnTo>
                                <a:lnTo>
                                  <a:pt x="131754" y="32146"/>
                                </a:lnTo>
                                <a:lnTo>
                                  <a:pt x="81414" y="4238"/>
                                </a:lnTo>
                                <a:lnTo>
                                  <a:pt x="5181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9AB733E" id="Group 1" o:spid="_x0000_s1026" style="position:absolute;margin-left:253.15pt;margin-top:22.3pt;width:117.2pt;height:123.85pt;z-index:-251658239;mso-wrap-distance-left:0;mso-wrap-distance-right:0;mso-position-horizontal-relative:page" coordsize="14884,15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">
                <v:shape id="Graphic 2" o:spid="_x0000_s1027" style="position:absolute;width:14884;height:15728;visibility:visible;mso-wrap-style:square;v-text-anchor:top" coordsize="1488440,157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" path="m1488186,r-54706,13172l1379431,25760r-53414,11969l1273218,49043r-52206,10622l1169381,69560r-51079,9131l1067756,87024r-50035,7497l968179,101147r-49072,5720l870485,111644r-48192,3799l774510,118226r-47394,1734l680090,120607r-46679,-475l587059,118499r-46045,-2827l495255,111615r-45494,-5323l404512,99668,359487,91706,314665,82370,270027,71626,225552,59436r-14814,48541l191766,149094r-24118,34665l137399,212946r-37366,24682l54561,258777,,277368r12047,47944l24872,372834r13603,47111l52857,466653r15162,46317l83960,558905r16721,45563l118183,649670r18284,44849l155532,739027r19848,44175l196010,827056r21414,43542l239622,913838r22982,42948l286371,999452r24552,42394l336261,1083978r26124,41880l389297,1167496r27699,41407l445482,1250087r29275,40972l504821,1331829r30854,40578l567318,1412803r32434,40225l632977,1493090r34016,39910l701802,1572768r31156,-31678l763720,1508137r30357,-34185l824017,1438582r29514,-36511l882607,1364464r28629,-38658l939406,1286143r27701,-40623l994330,1203982r26732,-42409l1047293,1118339r25720,-44013l1098212,1029577r24667,-45438l1147002,938056r23571,-46682l1193579,844137r22432,-47746l1237859,748181r21251,-48629l1279755,650549r20029,-49332l1319186,551601r18763,-49854l1356065,451698r17456,-50196l1390308,351202r16107,-50358l1421832,250473r14715,-50339l1450550,149872r13282,-50140l1476380,49760,1488186,xe" fillcolor="black" stroked="f">
                  <v:path arrowok="t"/>
                </v:shape>
                <v:shape id="Graphic 3" o:spid="_x0000_s1028" style="position:absolute;left:548;top:571;width:13678;height:14313;visibility:visible;mso-wrap-style:square;v-text-anchor:top" coordsize="1367790,14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" path="m1367790,r-57518,14757l1253591,28595r-55871,12892l1142631,53405r-54335,10914l1034688,74203r-52908,8824l929544,90763r-51591,6621l826980,102861r-50384,4305l726775,110271r-49286,1876l628711,112767r-48298,-665l532568,110124r-47420,-3319l438126,102117,391475,96031,345166,88520,299174,79554,253469,69107,208026,57150r-18796,49441l168148,147630r-26416,34011l106934,210001,60706,234085,,255270r14074,50944l28711,356128r15224,48940l59770,453089r16468,47157l93365,546594r17808,45595l129686,637086r19242,44254l168923,725007r20771,43135l211265,810800r22394,42236l256901,894906r24113,41559l306022,977768r25926,41103l358817,1059829r27834,40867l415475,1141529r29837,40854l476186,1223313r31934,41061l541139,1305621r34126,41489l610524,1388897r36414,42139l680184,1396061r32588,-36031l744696,1322986r31259,-38013l806545,1246031r29917,-39826l865703,1165536r28563,-41467l922147,1081844r27195,-42939l975849,995295r25816,-44239l1026786,906231r24422,-45368l1074929,814994r23017,-46327l1120255,721925r21599,-47115l1162738,627366r20167,-47732l1202351,531658r18723,-48177l1239070,435144r17265,-48453l1272867,338164r15796,-48558l1303719,241060r14313,-48492l1331599,144174r12817,-48255l1356481,47847,1367790,xe" stroked="f">
                  <v:path arrowok="t"/>
                </v:shape>
                <v:shape id="Graphic 4" o:spid="_x0000_s1029" style="position:absolute;left:2956;top:2415;width:8217;height:9512;visibility:visible;mso-wrap-style:square;v-text-anchor:top" coordsize="821690,9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" path="m151638,348995l,348995r11215,3858l37147,367855r29075,31290l86868,451865r19586,100951l117824,611123r11433,58054l140013,722869r9339,45226l165365,810363r24658,38695l217423,880633r50158,37184l323635,940558r55888,9977l403098,951071r41148,-858l515207,931163r64675,-35052l593727,882395r-205869,l331862,880633r-14775,-905l347031,879395r40827,-25l387858,852677r-84582,l294251,846570,273367,828389,249912,798349,233172,756665,151638,348995xem387858,879370r-40827,25l317087,879728r14775,905l387858,882395r,-3025xem821436,348995r-165354,l647688,396882,627792,509777,604325,641532,585216,745997r-21397,55712l529986,840010r-39137,23781l453542,875940r-65684,3430l387858,882395r205869,l604015,872204r24920,-32481l650283,802671r13419,-37624l671890,722620,692213,614611r10748,-56303l713176,506656r8988,-42361l729234,435863r10441,-44219l752760,367855r24372,-11501l821436,348995xem582930,57149r-281940,l303276,852677r84582,l387858,517397r40386,l490918,509111r45125,-17752l579882,457961r29908,-45219l628269,361949r9906,-45648l643604,254055r95,-31171l642366,192857r-3048,-29028l632971,137410r-9560,-26063l607706,84855,582930,57149xem438912,l38100,,8382,65531,300990,57149r281940,l554426,36647,517779,17716,477702,4214,438912,xe" fillcolor="black" stroked="f">
                  <v:path arrowok="t"/>
                </v:shape>
                <v:shape id="Graphic 5" o:spid="_x0000_s1030" style="position:absolute;left:6858;top:2964;width:1708;height:3918;visibility:visible;mso-wrap-style:square;v-text-anchor:top" coordsize="17081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" path="m51815,l,,,391668r48767,l86689,390775r38695,-23218l154936,305097r13835,-77414l170687,179832r-2262,-47006l155900,67960,131754,32146,81414,4238,51815,xe" stroked="f">
                  <v:path arrowok="t"/>
                </v:shape>
                <w10:wrap type="topAndBottom" anchorx="page"/>
              </v:group>
            </w:pict>
          </mc:Fallback>
        </mc:AlternateContent>
      </w:r>
    </w:p>
    <w:p w14:paraId="4C89EC16" w14:textId="77777777" w:rsidR="004208DD" w:rsidRDefault="004208DD" w:rsidP="004208DD">
      <w:pPr>
        <w:pStyle w:val="Zkladntext"/>
        <w:rPr>
          <w:b/>
          <w:sz w:val="44"/>
        </w:rPr>
      </w:pPr>
    </w:p>
    <w:p w14:paraId="6232E414" w14:textId="77777777" w:rsidR="004208DD" w:rsidRDefault="004208DD" w:rsidP="004208DD">
      <w:pPr>
        <w:pStyle w:val="Zkladntext"/>
        <w:rPr>
          <w:b/>
          <w:sz w:val="44"/>
        </w:rPr>
      </w:pPr>
    </w:p>
    <w:p w14:paraId="13AD86D6" w14:textId="651F0460" w:rsidR="004208DD" w:rsidRPr="00810CED" w:rsidRDefault="004208DD" w:rsidP="00810CED">
      <w:pPr>
        <w:jc w:val="center"/>
        <w:rPr>
          <w:b/>
          <w:bCs/>
          <w:sz w:val="32"/>
          <w:szCs w:val="32"/>
        </w:rPr>
      </w:pPr>
      <w:r w:rsidRPr="00810CED">
        <w:rPr>
          <w:b/>
          <w:bCs/>
          <w:sz w:val="32"/>
          <w:szCs w:val="32"/>
        </w:rPr>
        <w:t xml:space="preserve">Studium vlivu monocyklických monoterpenoidů na transkripční aktivitu </w:t>
      </w:r>
      <w:proofErr w:type="spellStart"/>
      <w:r w:rsidRPr="00810CED">
        <w:rPr>
          <w:b/>
          <w:bCs/>
          <w:sz w:val="32"/>
          <w:szCs w:val="32"/>
        </w:rPr>
        <w:t>pregnanového</w:t>
      </w:r>
      <w:proofErr w:type="spellEnd"/>
      <w:r w:rsidRPr="00810CED">
        <w:rPr>
          <w:b/>
          <w:bCs/>
          <w:sz w:val="32"/>
          <w:szCs w:val="32"/>
        </w:rPr>
        <w:t xml:space="preserve"> X receptoru (PXR) v lidské nádorové buněčné linii LS180</w:t>
      </w:r>
    </w:p>
    <w:p w14:paraId="031A72D9" w14:textId="77777777" w:rsidR="004208DD" w:rsidRDefault="004208DD" w:rsidP="004208DD">
      <w:pPr>
        <w:pStyle w:val="Zkladntext"/>
        <w:spacing w:before="322"/>
        <w:rPr>
          <w:b/>
          <w:sz w:val="44"/>
        </w:rPr>
      </w:pPr>
    </w:p>
    <w:p w14:paraId="28B49DAA" w14:textId="77777777" w:rsidR="004208DD" w:rsidRPr="00810CED" w:rsidRDefault="004208DD" w:rsidP="00810CED">
      <w:pPr>
        <w:jc w:val="center"/>
        <w:rPr>
          <w:b/>
          <w:bCs/>
          <w:sz w:val="28"/>
          <w:szCs w:val="28"/>
        </w:rPr>
      </w:pPr>
      <w:r w:rsidRPr="00810CED">
        <w:rPr>
          <w:b/>
          <w:bCs/>
          <w:sz w:val="28"/>
          <w:szCs w:val="28"/>
        </w:rPr>
        <w:t>Bakalářská</w:t>
      </w:r>
      <w:r w:rsidRPr="00810CED">
        <w:rPr>
          <w:b/>
          <w:bCs/>
          <w:spacing w:val="51"/>
          <w:sz w:val="28"/>
          <w:szCs w:val="28"/>
        </w:rPr>
        <w:t xml:space="preserve"> </w:t>
      </w:r>
      <w:r w:rsidRPr="00810CED">
        <w:rPr>
          <w:b/>
          <w:bCs/>
          <w:spacing w:val="-4"/>
          <w:sz w:val="28"/>
          <w:szCs w:val="28"/>
        </w:rPr>
        <w:t>práce</w:t>
      </w:r>
    </w:p>
    <w:p w14:paraId="34114A65" w14:textId="77777777" w:rsidR="004208DD" w:rsidRDefault="004208DD" w:rsidP="004208DD">
      <w:pPr>
        <w:pStyle w:val="Zkladntext"/>
        <w:spacing w:before="299"/>
        <w:rPr>
          <w:b/>
        </w:rPr>
      </w:pPr>
    </w:p>
    <w:p w14:paraId="165FC1B0" w14:textId="74FFD789" w:rsidR="004208DD" w:rsidRPr="00810CED" w:rsidRDefault="00A31566" w:rsidP="00810CED">
      <w:pPr>
        <w:jc w:val="center"/>
        <w:rPr>
          <w:b/>
          <w:bCs/>
          <w:sz w:val="36"/>
          <w:szCs w:val="36"/>
        </w:rPr>
      </w:pPr>
      <w:r w:rsidRPr="00810CED">
        <w:rPr>
          <w:b/>
          <w:bCs/>
          <w:sz w:val="36"/>
          <w:szCs w:val="36"/>
        </w:rPr>
        <w:t>Adéla Matejzíková</w:t>
      </w:r>
    </w:p>
    <w:p w14:paraId="05F76DC1" w14:textId="77777777" w:rsidR="004208DD" w:rsidRDefault="004208DD" w:rsidP="004208DD">
      <w:pPr>
        <w:pStyle w:val="Zkladntext"/>
        <w:spacing w:before="204"/>
        <w:rPr>
          <w:b/>
          <w:sz w:val="36"/>
        </w:rPr>
      </w:pPr>
    </w:p>
    <w:p w14:paraId="003A3632" w14:textId="77777777" w:rsidR="004208DD" w:rsidRPr="00810CED" w:rsidRDefault="004208DD" w:rsidP="00810CED">
      <w:pPr>
        <w:jc w:val="center"/>
        <w:rPr>
          <w:sz w:val="28"/>
          <w:szCs w:val="28"/>
        </w:rPr>
      </w:pPr>
      <w:r w:rsidRPr="00810CED">
        <w:rPr>
          <w:sz w:val="28"/>
          <w:szCs w:val="28"/>
        </w:rPr>
        <w:t>Studijní</w:t>
      </w:r>
      <w:r w:rsidRPr="00810CED">
        <w:rPr>
          <w:spacing w:val="-12"/>
          <w:sz w:val="28"/>
          <w:szCs w:val="28"/>
        </w:rPr>
        <w:t xml:space="preserve"> </w:t>
      </w:r>
      <w:r w:rsidRPr="00810CED">
        <w:rPr>
          <w:sz w:val="28"/>
          <w:szCs w:val="28"/>
        </w:rPr>
        <w:t>program:</w:t>
      </w:r>
      <w:r w:rsidRPr="00810CED">
        <w:rPr>
          <w:spacing w:val="-11"/>
          <w:sz w:val="28"/>
          <w:szCs w:val="28"/>
        </w:rPr>
        <w:t xml:space="preserve"> </w:t>
      </w:r>
      <w:r w:rsidRPr="00810CED">
        <w:rPr>
          <w:spacing w:val="-2"/>
          <w:sz w:val="28"/>
          <w:szCs w:val="28"/>
        </w:rPr>
        <w:t>Biologie</w:t>
      </w:r>
    </w:p>
    <w:p w14:paraId="3548ADDD" w14:textId="77777777" w:rsidR="007C3DB0" w:rsidRPr="00810CED" w:rsidRDefault="004208DD" w:rsidP="00810CED">
      <w:pPr>
        <w:jc w:val="center"/>
        <w:rPr>
          <w:sz w:val="28"/>
          <w:szCs w:val="28"/>
        </w:rPr>
      </w:pPr>
      <w:r w:rsidRPr="00810CED">
        <w:rPr>
          <w:sz w:val="28"/>
          <w:szCs w:val="28"/>
        </w:rPr>
        <w:t>Studijní</w:t>
      </w:r>
      <w:r w:rsidRPr="00810CED">
        <w:rPr>
          <w:spacing w:val="-7"/>
          <w:sz w:val="28"/>
          <w:szCs w:val="28"/>
        </w:rPr>
        <w:t xml:space="preserve"> </w:t>
      </w:r>
      <w:r w:rsidRPr="00810CED">
        <w:rPr>
          <w:sz w:val="28"/>
          <w:szCs w:val="28"/>
        </w:rPr>
        <w:t>obor:</w:t>
      </w:r>
      <w:r w:rsidRPr="00810CED">
        <w:rPr>
          <w:spacing w:val="-7"/>
          <w:sz w:val="28"/>
          <w:szCs w:val="28"/>
        </w:rPr>
        <w:t xml:space="preserve"> </w:t>
      </w:r>
      <w:r w:rsidRPr="00810CED">
        <w:rPr>
          <w:sz w:val="28"/>
          <w:szCs w:val="28"/>
        </w:rPr>
        <w:t>Molekulární</w:t>
      </w:r>
      <w:r w:rsidRPr="00810CED">
        <w:rPr>
          <w:spacing w:val="-7"/>
          <w:sz w:val="28"/>
          <w:szCs w:val="28"/>
        </w:rPr>
        <w:t xml:space="preserve"> </w:t>
      </w:r>
      <w:r w:rsidRPr="00810CED">
        <w:rPr>
          <w:sz w:val="28"/>
          <w:szCs w:val="28"/>
        </w:rPr>
        <w:t>a</w:t>
      </w:r>
      <w:r w:rsidRPr="00810CED">
        <w:rPr>
          <w:spacing w:val="-7"/>
          <w:sz w:val="28"/>
          <w:szCs w:val="28"/>
        </w:rPr>
        <w:t xml:space="preserve"> </w:t>
      </w:r>
      <w:r w:rsidRPr="00810CED">
        <w:rPr>
          <w:sz w:val="28"/>
          <w:szCs w:val="28"/>
        </w:rPr>
        <w:t>buněčná</w:t>
      </w:r>
      <w:r w:rsidRPr="00810CED">
        <w:rPr>
          <w:spacing w:val="-7"/>
          <w:sz w:val="28"/>
          <w:szCs w:val="28"/>
        </w:rPr>
        <w:t xml:space="preserve"> </w:t>
      </w:r>
      <w:r w:rsidRPr="00810CED">
        <w:rPr>
          <w:sz w:val="28"/>
          <w:szCs w:val="28"/>
        </w:rPr>
        <w:t>biologie</w:t>
      </w:r>
    </w:p>
    <w:p w14:paraId="543DCEAA" w14:textId="0DBD6141" w:rsidR="004208DD" w:rsidRPr="00810CED" w:rsidRDefault="004208DD" w:rsidP="00810CED">
      <w:pPr>
        <w:jc w:val="center"/>
        <w:rPr>
          <w:sz w:val="28"/>
          <w:szCs w:val="28"/>
        </w:rPr>
      </w:pPr>
      <w:r w:rsidRPr="00810CED">
        <w:rPr>
          <w:sz w:val="28"/>
          <w:szCs w:val="28"/>
        </w:rPr>
        <w:t>Forma studia: Prezenční</w:t>
      </w:r>
    </w:p>
    <w:p w14:paraId="622E39EE" w14:textId="77777777" w:rsidR="004208DD" w:rsidRDefault="004208DD" w:rsidP="004208DD">
      <w:pPr>
        <w:pStyle w:val="Zkladntext"/>
      </w:pPr>
    </w:p>
    <w:p w14:paraId="74CC664B" w14:textId="1AB04912" w:rsidR="004208DD" w:rsidRPr="00810CED" w:rsidRDefault="004208DD" w:rsidP="00810CED">
      <w:pPr>
        <w:jc w:val="center"/>
        <w:rPr>
          <w:b/>
          <w:bCs/>
          <w:sz w:val="28"/>
          <w:szCs w:val="28"/>
          <w:lang w:val="sk-SK"/>
        </w:rPr>
      </w:pPr>
      <w:r w:rsidRPr="00810CED">
        <w:rPr>
          <w:b/>
          <w:bCs/>
          <w:sz w:val="28"/>
          <w:szCs w:val="28"/>
          <w:lang w:val="sk-SK"/>
        </w:rPr>
        <w:t>Olomouc 20</w:t>
      </w:r>
      <w:r w:rsidR="00BC7420">
        <w:rPr>
          <w:b/>
          <w:bCs/>
          <w:sz w:val="28"/>
          <w:szCs w:val="28"/>
          <w:lang w:val="sk-SK"/>
        </w:rPr>
        <w:t>2</w:t>
      </w:r>
      <w:r w:rsidRPr="00810CED">
        <w:rPr>
          <w:b/>
          <w:bCs/>
          <w:sz w:val="28"/>
          <w:szCs w:val="28"/>
          <w:lang w:val="sk-SK"/>
        </w:rPr>
        <w:t>4</w:t>
      </w:r>
      <w:r w:rsidRPr="00810CED">
        <w:rPr>
          <w:b/>
          <w:bCs/>
          <w:sz w:val="28"/>
          <w:szCs w:val="28"/>
          <w:lang w:val="sk-SK"/>
        </w:rPr>
        <w:tab/>
      </w:r>
      <w:r w:rsidR="00810CED">
        <w:rPr>
          <w:b/>
          <w:bCs/>
          <w:sz w:val="28"/>
          <w:szCs w:val="28"/>
          <w:lang w:val="sk-SK"/>
        </w:rPr>
        <w:tab/>
        <w:t xml:space="preserve">          </w:t>
      </w:r>
      <w:r w:rsidR="007C206C" w:rsidRPr="00810CED">
        <w:rPr>
          <w:b/>
          <w:bCs/>
          <w:sz w:val="28"/>
          <w:szCs w:val="28"/>
          <w:lang w:val="sk-SK"/>
        </w:rPr>
        <w:tab/>
      </w:r>
      <w:proofErr w:type="spellStart"/>
      <w:r w:rsidRPr="00810CED">
        <w:rPr>
          <w:b/>
          <w:bCs/>
          <w:sz w:val="28"/>
          <w:szCs w:val="28"/>
          <w:lang w:val="sk-SK"/>
        </w:rPr>
        <w:t>Vedoucí</w:t>
      </w:r>
      <w:proofErr w:type="spellEnd"/>
      <w:r w:rsidRPr="00810CED">
        <w:rPr>
          <w:b/>
          <w:bCs/>
          <w:sz w:val="28"/>
          <w:szCs w:val="28"/>
          <w:lang w:val="sk-SK"/>
        </w:rPr>
        <w:t xml:space="preserve"> práce: </w:t>
      </w:r>
      <w:r w:rsidR="004462EF">
        <w:rPr>
          <w:b/>
          <w:bCs/>
          <w:sz w:val="28"/>
          <w:szCs w:val="28"/>
          <w:lang w:val="sk-SK"/>
        </w:rPr>
        <w:t xml:space="preserve">Mgr. </w:t>
      </w:r>
      <w:r w:rsidR="007C206C" w:rsidRPr="00810CED">
        <w:rPr>
          <w:b/>
          <w:bCs/>
          <w:sz w:val="28"/>
          <w:szCs w:val="28"/>
          <w:lang w:val="sk-SK"/>
        </w:rPr>
        <w:t>Iveta</w:t>
      </w:r>
      <w:r w:rsidR="0071408E">
        <w:rPr>
          <w:b/>
          <w:bCs/>
          <w:sz w:val="28"/>
          <w:szCs w:val="28"/>
          <w:lang w:val="sk-SK"/>
        </w:rPr>
        <w:t xml:space="preserve"> </w:t>
      </w:r>
      <w:proofErr w:type="spellStart"/>
      <w:r w:rsidR="0071408E">
        <w:rPr>
          <w:b/>
          <w:bCs/>
          <w:sz w:val="28"/>
          <w:szCs w:val="28"/>
          <w:lang w:val="sk-SK"/>
        </w:rPr>
        <w:t>Zůvalová</w:t>
      </w:r>
      <w:proofErr w:type="spellEnd"/>
      <w:r w:rsidR="000F45A0">
        <w:rPr>
          <w:b/>
          <w:bCs/>
          <w:sz w:val="28"/>
          <w:szCs w:val="28"/>
          <w:lang w:val="sk-SK"/>
        </w:rPr>
        <w:t>,</w:t>
      </w:r>
      <w:r w:rsidR="007C206C" w:rsidRPr="00810CED">
        <w:rPr>
          <w:b/>
          <w:bCs/>
          <w:sz w:val="28"/>
          <w:szCs w:val="28"/>
          <w:lang w:val="sk-SK"/>
        </w:rPr>
        <w:t xml:space="preserve"> </w:t>
      </w:r>
      <w:proofErr w:type="spellStart"/>
      <w:r w:rsidR="007C206C" w:rsidRPr="00810CED">
        <w:rPr>
          <w:b/>
          <w:bCs/>
          <w:sz w:val="28"/>
          <w:szCs w:val="28"/>
          <w:lang w:val="sk-SK"/>
        </w:rPr>
        <w:t>Ph.D</w:t>
      </w:r>
      <w:proofErr w:type="spellEnd"/>
      <w:r w:rsidR="00FE2828" w:rsidRPr="00810CED">
        <w:rPr>
          <w:b/>
          <w:bCs/>
          <w:sz w:val="28"/>
          <w:szCs w:val="28"/>
          <w:lang w:val="sk-SK"/>
        </w:rPr>
        <w:t>.</w:t>
      </w:r>
    </w:p>
    <w:p w14:paraId="49E0FF8B" w14:textId="19B0C5AF" w:rsidR="00D55DCE" w:rsidRDefault="003C319C" w:rsidP="00AE5FFB">
      <w:r w:rsidRPr="003C319C">
        <w:rPr>
          <w:noProof/>
        </w:rPr>
        <w:lastRenderedPageBreak/>
        <w:drawing>
          <wp:anchor distT="0" distB="0" distL="114300" distR="114300" simplePos="0" relativeHeight="251658240" behindDoc="0" locked="0" layoutInCell="1" allowOverlap="1" wp14:anchorId="2D9C9B46" wp14:editId="137F0F52">
            <wp:simplePos x="0" y="0"/>
            <wp:positionH relativeFrom="margin">
              <wp:align>center</wp:align>
            </wp:positionH>
            <wp:positionV relativeFrom="margin">
              <wp:align>center</wp:align>
            </wp:positionV>
            <wp:extent cx="7552800" cy="10699200"/>
            <wp:effectExtent l="0" t="0" r="0" b="6985"/>
            <wp:wrapSquare wrapText="bothSides"/>
            <wp:docPr id="2131899955" name="Obrázek 1" descr="Obsah obrázku text, snímek obrazovky, dokument,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99955" name="Obrázek 1" descr="Obsah obrázku text, snímek obrazovky, dokument, Písmo&#10;&#10;Popis byl vytvořen automaticky"/>
                    <pic:cNvPicPr/>
                  </pic:nvPicPr>
                  <pic:blipFill>
                    <a:blip r:embed="rId8">
                      <a:extLst>
                        <a:ext uri="{28A0092B-C50C-407E-A947-70E740481C1C}">
                          <a14:useLocalDpi xmlns:a14="http://schemas.microsoft.com/office/drawing/2010/main" val="0"/>
                        </a:ext>
                      </a:extLst>
                    </a:blip>
                    <a:stretch>
                      <a:fillRect/>
                    </a:stretch>
                  </pic:blipFill>
                  <pic:spPr>
                    <a:xfrm>
                      <a:off x="0" y="0"/>
                      <a:ext cx="7552800" cy="10699200"/>
                    </a:xfrm>
                    <a:prstGeom prst="rect">
                      <a:avLst/>
                    </a:prstGeom>
                  </pic:spPr>
                </pic:pic>
              </a:graphicData>
            </a:graphic>
            <wp14:sizeRelH relativeFrom="margin">
              <wp14:pctWidth>0</wp14:pctWidth>
            </wp14:sizeRelH>
            <wp14:sizeRelV relativeFrom="margin">
              <wp14:pctHeight>0</wp14:pctHeight>
            </wp14:sizeRelV>
          </wp:anchor>
        </w:drawing>
      </w:r>
    </w:p>
    <w:p w14:paraId="4962F34F" w14:textId="35D8311D" w:rsidR="00AE23F6" w:rsidRDefault="00ED45E4" w:rsidP="00AE5FFB">
      <w:pPr>
        <w:sectPr w:rsidR="00AE23F6" w:rsidSect="00040668">
          <w:footerReference w:type="first" r:id="rId9"/>
          <w:pgSz w:w="11906" w:h="16838"/>
          <w:pgMar w:top="1417" w:right="1417" w:bottom="1417" w:left="1417" w:header="708" w:footer="708" w:gutter="0"/>
          <w:pgNumType w:fmt="upperRoman" w:start="1"/>
          <w:cols w:space="708"/>
          <w:titlePg/>
          <w:docGrid w:linePitch="360"/>
        </w:sectPr>
      </w:pPr>
      <w:r w:rsidRPr="00ED45E4">
        <w:rPr>
          <w:noProof/>
        </w:rPr>
        <w:lastRenderedPageBreak/>
        <w:drawing>
          <wp:anchor distT="0" distB="0" distL="114300" distR="114300" simplePos="0" relativeHeight="251668490" behindDoc="0" locked="0" layoutInCell="1" allowOverlap="1" wp14:anchorId="41E105D1" wp14:editId="06A71433">
            <wp:simplePos x="0" y="0"/>
            <wp:positionH relativeFrom="page">
              <wp:align>left</wp:align>
            </wp:positionH>
            <wp:positionV relativeFrom="page">
              <wp:align>top</wp:align>
            </wp:positionV>
            <wp:extent cx="7530454" cy="10350500"/>
            <wp:effectExtent l="0" t="0" r="0" b="0"/>
            <wp:wrapSquare wrapText="bothSides"/>
            <wp:docPr id="614478850" name="Obrázek 1" descr="Obsah obrázku text,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78850" name="Obrázek 1" descr="Obsah obrázku text, snímek obrazovky&#10;&#10;Popis byl vytvořen automaticky"/>
                    <pic:cNvPicPr/>
                  </pic:nvPicPr>
                  <pic:blipFill>
                    <a:blip r:embed="rId10">
                      <a:extLst>
                        <a:ext uri="{28A0092B-C50C-407E-A947-70E740481C1C}">
                          <a14:useLocalDpi xmlns:a14="http://schemas.microsoft.com/office/drawing/2010/main" val="0"/>
                        </a:ext>
                      </a:extLst>
                    </a:blip>
                    <a:stretch>
                      <a:fillRect/>
                    </a:stretch>
                  </pic:blipFill>
                  <pic:spPr>
                    <a:xfrm>
                      <a:off x="0" y="0"/>
                      <a:ext cx="7540581" cy="10364419"/>
                    </a:xfrm>
                    <a:prstGeom prst="rect">
                      <a:avLst/>
                    </a:prstGeom>
                  </pic:spPr>
                </pic:pic>
              </a:graphicData>
            </a:graphic>
            <wp14:sizeRelH relativeFrom="margin">
              <wp14:pctWidth>0</wp14:pctWidth>
            </wp14:sizeRelH>
            <wp14:sizeRelV relativeFrom="margin">
              <wp14:pctHeight>0</wp14:pctHeight>
            </wp14:sizeRelV>
          </wp:anchor>
        </w:drawing>
      </w:r>
      <w:r w:rsidR="0053439B">
        <w:br w:type="page"/>
      </w:r>
    </w:p>
    <w:p w14:paraId="1A31B934" w14:textId="1B62E864" w:rsidR="0053439B" w:rsidRPr="00676BC1" w:rsidRDefault="00B45FAC" w:rsidP="00AE5FFB">
      <w:pPr>
        <w:rPr>
          <w:b/>
          <w:bCs/>
        </w:rPr>
      </w:pPr>
      <w:r w:rsidRPr="00676BC1">
        <w:rPr>
          <w:b/>
          <w:bCs/>
        </w:rPr>
        <w:lastRenderedPageBreak/>
        <w:t>Bibliografické údaje</w:t>
      </w:r>
    </w:p>
    <w:p w14:paraId="74EFDAA5" w14:textId="29548F11" w:rsidR="00B45FAC" w:rsidRDefault="00E77C4E" w:rsidP="00AE5FFB">
      <w:r w:rsidRPr="00676BC1">
        <w:rPr>
          <w:b/>
          <w:bCs/>
        </w:rPr>
        <w:t>Jméno a příjmení autora:</w:t>
      </w:r>
      <w:r w:rsidRPr="00A51B10">
        <w:t xml:space="preserve"> </w:t>
      </w:r>
      <w:r w:rsidRPr="008D5F56">
        <w:t>Adéla Matejzíková</w:t>
      </w:r>
    </w:p>
    <w:p w14:paraId="17334874" w14:textId="71F7B1AF" w:rsidR="00A51B10" w:rsidRPr="00547EA1" w:rsidRDefault="00A51B10" w:rsidP="00AE5FFB">
      <w:r>
        <w:rPr>
          <w:b/>
          <w:bCs/>
        </w:rPr>
        <w:t>Název práce:</w:t>
      </w:r>
      <w:r w:rsidR="008D5F56">
        <w:rPr>
          <w:b/>
          <w:bCs/>
        </w:rPr>
        <w:t xml:space="preserve"> </w:t>
      </w:r>
      <w:r w:rsidR="008D5F56" w:rsidRPr="00547EA1">
        <w:t xml:space="preserve">Studium vlivu monocyklických monoterpenoidů na transkripční aktivitu </w:t>
      </w:r>
      <w:proofErr w:type="spellStart"/>
      <w:r w:rsidR="008D5F56" w:rsidRPr="00547EA1">
        <w:t>pregnanového</w:t>
      </w:r>
      <w:proofErr w:type="spellEnd"/>
      <w:r w:rsidR="008D5F56" w:rsidRPr="00547EA1">
        <w:t xml:space="preserve"> X receptoru (PXR) v lidské nádorové buněčné linii LS180</w:t>
      </w:r>
    </w:p>
    <w:p w14:paraId="667D66F8" w14:textId="7385E828" w:rsidR="00A51B10" w:rsidRPr="00A209DB" w:rsidRDefault="00F320C3" w:rsidP="00AE5FFB">
      <w:r w:rsidRPr="00676BC1">
        <w:rPr>
          <w:b/>
          <w:bCs/>
        </w:rPr>
        <w:t>Typ práce:</w:t>
      </w:r>
      <w:r w:rsidR="00A209DB">
        <w:t xml:space="preserve"> </w:t>
      </w:r>
      <w:r w:rsidR="008D5F56">
        <w:t>Bakalářská</w:t>
      </w:r>
    </w:p>
    <w:p w14:paraId="4A25F497" w14:textId="1E3F2A11" w:rsidR="00F320C3" w:rsidRPr="00A209DB" w:rsidRDefault="00F320C3" w:rsidP="00AE5FFB">
      <w:r>
        <w:rPr>
          <w:b/>
          <w:bCs/>
        </w:rPr>
        <w:t>Pracoviště:</w:t>
      </w:r>
      <w:r w:rsidR="00A209DB">
        <w:rPr>
          <w:b/>
          <w:bCs/>
        </w:rPr>
        <w:t xml:space="preserve"> </w:t>
      </w:r>
      <w:r w:rsidR="00A209DB">
        <w:t>Katedra buněčné biologie a genetiky</w:t>
      </w:r>
    </w:p>
    <w:p w14:paraId="465712F3" w14:textId="33A7DFC8" w:rsidR="00E77C4E" w:rsidRPr="00B277B0" w:rsidRDefault="00F320C3" w:rsidP="00AE5FFB">
      <w:r>
        <w:rPr>
          <w:b/>
          <w:bCs/>
        </w:rPr>
        <w:t>Vedoucí práce:</w:t>
      </w:r>
      <w:r w:rsidR="00B277B0">
        <w:rPr>
          <w:b/>
          <w:bCs/>
        </w:rPr>
        <w:t xml:space="preserve"> </w:t>
      </w:r>
      <w:r w:rsidR="00B71073" w:rsidRPr="00B71073">
        <w:t>Mgr.</w:t>
      </w:r>
      <w:r w:rsidR="00B71073">
        <w:rPr>
          <w:b/>
          <w:bCs/>
        </w:rPr>
        <w:t xml:space="preserve"> </w:t>
      </w:r>
      <w:r w:rsidR="00A209DB">
        <w:t>Iveta</w:t>
      </w:r>
      <w:r w:rsidR="0071408E">
        <w:t xml:space="preserve"> </w:t>
      </w:r>
      <w:proofErr w:type="spellStart"/>
      <w:r w:rsidR="0071408E">
        <w:t>Zůvalová</w:t>
      </w:r>
      <w:proofErr w:type="spellEnd"/>
      <w:r w:rsidR="0071408E">
        <w:t>,</w:t>
      </w:r>
      <w:r w:rsidR="00A209DB">
        <w:t xml:space="preserve"> Ph.D.</w:t>
      </w:r>
    </w:p>
    <w:p w14:paraId="0A73CDD0" w14:textId="36F98251" w:rsidR="00F320C3" w:rsidRPr="00F0619F" w:rsidRDefault="00F320C3" w:rsidP="00AE5FFB">
      <w:r w:rsidRPr="00676BC1">
        <w:rPr>
          <w:b/>
          <w:bCs/>
        </w:rPr>
        <w:t>Rok obhajoby práce:</w:t>
      </w:r>
      <w:r w:rsidR="00B277B0">
        <w:t xml:space="preserve"> 2024</w:t>
      </w:r>
    </w:p>
    <w:p w14:paraId="7890E6FA" w14:textId="3D3C9E53" w:rsidR="00B277B0" w:rsidRPr="00451B2D" w:rsidRDefault="00B277B0" w:rsidP="00AE5FFB">
      <w:r w:rsidRPr="00676BC1">
        <w:rPr>
          <w:b/>
          <w:bCs/>
        </w:rPr>
        <w:t>Klíčová slova:</w:t>
      </w:r>
      <w:r w:rsidR="00B5353A">
        <w:rPr>
          <w:b/>
          <w:bCs/>
        </w:rPr>
        <w:t xml:space="preserve"> </w:t>
      </w:r>
      <w:r w:rsidR="00451B2D">
        <w:t xml:space="preserve">reportérová esej, </w:t>
      </w:r>
      <w:proofErr w:type="spellStart"/>
      <w:r w:rsidR="0092449A">
        <w:t>pregnanový</w:t>
      </w:r>
      <w:proofErr w:type="spellEnd"/>
      <w:r w:rsidR="0092449A">
        <w:t xml:space="preserve"> X receptor, monocyklické monoterpenoidy, </w:t>
      </w:r>
      <w:r w:rsidR="009652A2">
        <w:t>biotransformace</w:t>
      </w:r>
    </w:p>
    <w:p w14:paraId="0CEFAE82" w14:textId="5557BBE1" w:rsidR="00B277B0" w:rsidRPr="00881035" w:rsidRDefault="00B277B0" w:rsidP="00AE5FFB">
      <w:r w:rsidRPr="00676BC1">
        <w:rPr>
          <w:b/>
          <w:bCs/>
        </w:rPr>
        <w:t>Počet stran:</w:t>
      </w:r>
      <w:r w:rsidR="0037044A">
        <w:rPr>
          <w:b/>
          <w:bCs/>
        </w:rPr>
        <w:t xml:space="preserve"> </w:t>
      </w:r>
      <w:r w:rsidR="00881035">
        <w:t>4</w:t>
      </w:r>
      <w:r w:rsidR="001119B5">
        <w:t>7</w:t>
      </w:r>
    </w:p>
    <w:p w14:paraId="3F5D0082" w14:textId="5CA44BDC" w:rsidR="00B277B0" w:rsidRPr="00676BC1" w:rsidRDefault="00B277B0" w:rsidP="00AE5FFB">
      <w:pPr>
        <w:rPr>
          <w:b/>
          <w:bCs/>
        </w:rPr>
      </w:pPr>
      <w:r w:rsidRPr="00676BC1">
        <w:rPr>
          <w:b/>
          <w:bCs/>
        </w:rPr>
        <w:t>Počet příloh:</w:t>
      </w:r>
      <w:r w:rsidR="00B5353A">
        <w:rPr>
          <w:b/>
          <w:bCs/>
        </w:rPr>
        <w:t xml:space="preserve"> </w:t>
      </w:r>
      <w:r w:rsidR="00B5353A" w:rsidRPr="00B5353A">
        <w:t>0</w:t>
      </w:r>
    </w:p>
    <w:p w14:paraId="2D950745" w14:textId="09759EAA" w:rsidR="00932749" w:rsidRDefault="00B277B0" w:rsidP="00AE5FFB">
      <w:r w:rsidRPr="00676BC1">
        <w:rPr>
          <w:b/>
          <w:bCs/>
        </w:rPr>
        <w:t xml:space="preserve">Jazyk: </w:t>
      </w:r>
      <w:r w:rsidRPr="00676BC1">
        <w:t>český</w:t>
      </w:r>
    </w:p>
    <w:p w14:paraId="1968569F" w14:textId="33BC533D" w:rsidR="00F0619F" w:rsidRDefault="00F0619F" w:rsidP="00AE5FFB">
      <w:pPr>
        <w:rPr>
          <w:b/>
          <w:bCs/>
        </w:rPr>
      </w:pPr>
      <w:r>
        <w:rPr>
          <w:b/>
          <w:bCs/>
        </w:rPr>
        <w:t>Souhrn:</w:t>
      </w:r>
    </w:p>
    <w:p w14:paraId="481682E0" w14:textId="0107C77A" w:rsidR="0053094E" w:rsidRPr="00257BE6" w:rsidRDefault="0053094E" w:rsidP="00AE5FFB">
      <w:r>
        <w:rPr>
          <w:b/>
          <w:bCs/>
        </w:rPr>
        <w:tab/>
      </w:r>
      <w:proofErr w:type="spellStart"/>
      <w:r w:rsidR="00257BE6">
        <w:t>Pregnanový</w:t>
      </w:r>
      <w:proofErr w:type="spellEnd"/>
      <w:r w:rsidR="00257BE6">
        <w:t xml:space="preserve"> X receptor </w:t>
      </w:r>
      <w:proofErr w:type="gramStart"/>
      <w:r w:rsidR="00257BE6">
        <w:t>slouží</w:t>
      </w:r>
      <w:proofErr w:type="gramEnd"/>
      <w:r w:rsidR="00257BE6">
        <w:t xml:space="preserve"> v organismu jako transkripční faktor</w:t>
      </w:r>
      <w:r w:rsidR="003C3C6A">
        <w:t xml:space="preserve"> a je aktivován řadou ligandů.</w:t>
      </w:r>
      <w:r w:rsidR="006B4CA3">
        <w:t xml:space="preserve"> </w:t>
      </w:r>
      <w:r w:rsidR="00870EB8">
        <w:t xml:space="preserve">Zapojuje se do mnoha fyziologických a patofyziologických procesů. </w:t>
      </w:r>
      <w:r w:rsidR="006B4CA3">
        <w:t xml:space="preserve">Jeho funkcí je regulace exprese velkého množství </w:t>
      </w:r>
      <w:r w:rsidR="00686231">
        <w:t xml:space="preserve">genů, které kódují enzymy podílející se na metabolismu </w:t>
      </w:r>
      <w:r w:rsidR="00793D3A">
        <w:t>endogenních a exogenních látek.</w:t>
      </w:r>
      <w:r w:rsidR="000135CF">
        <w:t xml:space="preserve"> </w:t>
      </w:r>
      <w:r w:rsidR="0020028C">
        <w:t>Cílem</w:t>
      </w:r>
      <w:r w:rsidR="00BC0006">
        <w:t> této bakalářské prác</w:t>
      </w:r>
      <w:r w:rsidR="0020028C">
        <w:t>e</w:t>
      </w:r>
      <w:r w:rsidR="00BC0006">
        <w:t xml:space="preserve"> byl</w:t>
      </w:r>
      <w:r w:rsidR="0020028C">
        <w:t>o</w:t>
      </w:r>
      <w:r w:rsidR="00BC0006">
        <w:t xml:space="preserve"> </w:t>
      </w:r>
      <w:r w:rsidR="00795347">
        <w:t>sledovat</w:t>
      </w:r>
      <w:r w:rsidR="00BC0006">
        <w:t xml:space="preserve"> vliv vybraných monocyklických monoterpenoidů na </w:t>
      </w:r>
      <w:r w:rsidR="00F657F7">
        <w:t>transkripční aktivitu PXR.</w:t>
      </w:r>
      <w:r w:rsidR="005F338B">
        <w:t xml:space="preserve"> B</w:t>
      </w:r>
      <w:r w:rsidR="00687235">
        <w:t>ylo prokázáno,</w:t>
      </w:r>
      <w:r w:rsidR="0020028C">
        <w:t xml:space="preserve"> </w:t>
      </w:r>
      <w:r w:rsidR="00687235">
        <w:t>že jednotlivé monocyklické monoterpenoidy</w:t>
      </w:r>
      <w:r w:rsidR="00993FAF">
        <w:t xml:space="preserve"> nemají cytotoxický efekt na buněčnou linii LS180</w:t>
      </w:r>
      <w:r w:rsidR="00D25987">
        <w:t xml:space="preserve">. Dále pomocí </w:t>
      </w:r>
      <w:proofErr w:type="spellStart"/>
      <w:r w:rsidR="00D25987">
        <w:t>reportérové</w:t>
      </w:r>
      <w:proofErr w:type="spellEnd"/>
      <w:r w:rsidR="00D25987">
        <w:t xml:space="preserve"> eseje bylo zjištěno, že testované látky </w:t>
      </w:r>
      <w:r w:rsidR="00687235">
        <w:t>mají indukující účinek</w:t>
      </w:r>
      <w:r w:rsidR="00017EF5">
        <w:t xml:space="preserve"> </w:t>
      </w:r>
      <w:r w:rsidR="00687235">
        <w:t>na transkripční aktivitu PX</w:t>
      </w:r>
      <w:r w:rsidR="006459D9">
        <w:t>R. Největší vliv na indukci PXR měly látky</w:t>
      </w:r>
      <w:r w:rsidR="00CA6CB8">
        <w:t xml:space="preserve"> R-</w:t>
      </w:r>
      <w:proofErr w:type="spellStart"/>
      <w:r w:rsidR="00CA6CB8">
        <w:t>karvon</w:t>
      </w:r>
      <w:proofErr w:type="spellEnd"/>
      <w:r w:rsidR="00CA6CB8">
        <w:t xml:space="preserve">, 3-methyl-S-karvon, </w:t>
      </w:r>
      <w:proofErr w:type="spellStart"/>
      <w:r w:rsidR="0019579F">
        <w:t>piperit</w:t>
      </w:r>
      <w:r w:rsidR="0065394B">
        <w:t>en</w:t>
      </w:r>
      <w:r w:rsidR="0019579F">
        <w:t>on</w:t>
      </w:r>
      <w:proofErr w:type="spellEnd"/>
      <w:r w:rsidR="0019579F">
        <w:t xml:space="preserve"> a EN2, naopak nejmenší vliv na aktivaci PXR měla látka S</w:t>
      </w:r>
      <w:proofErr w:type="gramStart"/>
      <w:r w:rsidR="0019579F">
        <w:t>-</w:t>
      </w:r>
      <w:r w:rsidR="00CA55A0">
        <w:t>(</w:t>
      </w:r>
      <w:proofErr w:type="gramEnd"/>
      <w:r w:rsidR="00CA55A0">
        <w:t>-)-</w:t>
      </w:r>
      <w:proofErr w:type="spellStart"/>
      <w:r w:rsidR="0019579F">
        <w:t>perillylalkohol</w:t>
      </w:r>
      <w:proofErr w:type="spellEnd"/>
      <w:r w:rsidR="0019579F">
        <w:t>.</w:t>
      </w:r>
      <w:r w:rsidR="00CC7205">
        <w:t xml:space="preserve"> Zároveň </w:t>
      </w:r>
      <w:r w:rsidR="001174BB">
        <w:t>bylo z</w:t>
      </w:r>
      <w:r w:rsidR="00A7580C">
        <w:t xml:space="preserve">jištěno, že </w:t>
      </w:r>
      <w:r w:rsidR="0018284B">
        <w:t>žádná z testovaných látek nebyla antagonistou PXR.</w:t>
      </w:r>
      <w:r w:rsidR="000F04A5">
        <w:t xml:space="preserve"> Tato bakalářská práce </w:t>
      </w:r>
      <w:r w:rsidR="002C0865">
        <w:t>prohlubuje znalosti o účinnosti jednotlivých složek esenciálních olejů rostlin</w:t>
      </w:r>
      <w:r w:rsidR="009B12A1">
        <w:t xml:space="preserve"> na transkripční aktivitu PXR.</w:t>
      </w:r>
    </w:p>
    <w:p w14:paraId="39728E2E" w14:textId="59E71AA6" w:rsidR="00932749" w:rsidRDefault="004C3A56" w:rsidP="00AE5FFB">
      <w:pPr>
        <w:sectPr w:rsidR="00932749" w:rsidSect="00040668">
          <w:footerReference w:type="first" r:id="rId11"/>
          <w:pgSz w:w="11906" w:h="16838"/>
          <w:pgMar w:top="1417" w:right="1417" w:bottom="1417" w:left="1417" w:header="708" w:footer="708" w:gutter="0"/>
          <w:pgNumType w:fmt="lowerRoman" w:start="1"/>
          <w:cols w:space="708"/>
          <w:titlePg/>
          <w:docGrid w:linePitch="360"/>
        </w:sectPr>
      </w:pPr>
      <w:r>
        <w:br w:type="page"/>
      </w:r>
    </w:p>
    <w:p w14:paraId="44E7D24B" w14:textId="62E8E340" w:rsidR="004C3A56" w:rsidRPr="00676BC1" w:rsidRDefault="004C3A56" w:rsidP="00AE5FFB">
      <w:pPr>
        <w:rPr>
          <w:b/>
          <w:bCs/>
        </w:rPr>
      </w:pPr>
      <w:proofErr w:type="spellStart"/>
      <w:r w:rsidRPr="00676BC1">
        <w:rPr>
          <w:b/>
          <w:bCs/>
        </w:rPr>
        <w:lastRenderedPageBreak/>
        <w:t>Bibliografical</w:t>
      </w:r>
      <w:proofErr w:type="spellEnd"/>
      <w:r w:rsidRPr="00676BC1">
        <w:rPr>
          <w:b/>
          <w:bCs/>
        </w:rPr>
        <w:t xml:space="preserve"> </w:t>
      </w:r>
      <w:proofErr w:type="spellStart"/>
      <w:r w:rsidR="00F8302D" w:rsidRPr="00676BC1">
        <w:rPr>
          <w:b/>
          <w:bCs/>
        </w:rPr>
        <w:t>identification</w:t>
      </w:r>
      <w:proofErr w:type="spellEnd"/>
    </w:p>
    <w:p w14:paraId="0C7B533A" w14:textId="5FE64A26" w:rsidR="004C3A56" w:rsidRDefault="006D6C56" w:rsidP="00AE5FFB">
      <w:proofErr w:type="spellStart"/>
      <w:r w:rsidRPr="00676BC1">
        <w:rPr>
          <w:b/>
          <w:bCs/>
        </w:rPr>
        <w:t>Author</w:t>
      </w:r>
      <w:r w:rsidR="008B7A22" w:rsidRPr="00676BC1">
        <w:rPr>
          <w:b/>
          <w:bCs/>
        </w:rPr>
        <w:t>s</w:t>
      </w:r>
      <w:proofErr w:type="spellEnd"/>
      <w:r w:rsidR="008B7A22" w:rsidRPr="00676BC1">
        <w:rPr>
          <w:b/>
          <w:bCs/>
        </w:rPr>
        <w:t xml:space="preserve"> </w:t>
      </w:r>
      <w:proofErr w:type="spellStart"/>
      <w:r w:rsidR="008B7A22" w:rsidRPr="00676BC1">
        <w:rPr>
          <w:b/>
          <w:bCs/>
        </w:rPr>
        <w:t>name</w:t>
      </w:r>
      <w:proofErr w:type="spellEnd"/>
      <w:r w:rsidR="008B7A22" w:rsidRPr="00676BC1">
        <w:rPr>
          <w:b/>
          <w:bCs/>
        </w:rPr>
        <w:t xml:space="preserve"> and </w:t>
      </w:r>
      <w:proofErr w:type="spellStart"/>
      <w:r w:rsidR="008B7A22" w:rsidRPr="00676BC1">
        <w:rPr>
          <w:b/>
          <w:bCs/>
        </w:rPr>
        <w:t>surname</w:t>
      </w:r>
      <w:proofErr w:type="spellEnd"/>
      <w:r w:rsidR="004C3A56" w:rsidRPr="00676BC1">
        <w:rPr>
          <w:b/>
          <w:bCs/>
        </w:rPr>
        <w:t>:</w:t>
      </w:r>
      <w:r w:rsidR="004C3A56" w:rsidRPr="00A51B10">
        <w:t xml:space="preserve"> </w:t>
      </w:r>
      <w:r w:rsidR="004C3A56" w:rsidRPr="008D5F56">
        <w:t>Adéla Matejzíková</w:t>
      </w:r>
    </w:p>
    <w:p w14:paraId="72349296" w14:textId="38E799C0" w:rsidR="004C3A56" w:rsidRPr="00565F82" w:rsidRDefault="008B7A22" w:rsidP="00AE5FFB">
      <w:pPr>
        <w:rPr>
          <w:b/>
          <w:bCs/>
        </w:rPr>
      </w:pPr>
      <w:proofErr w:type="spellStart"/>
      <w:r>
        <w:rPr>
          <w:b/>
          <w:bCs/>
        </w:rPr>
        <w:t>Title</w:t>
      </w:r>
      <w:proofErr w:type="spellEnd"/>
      <w:r w:rsidR="004C3A56">
        <w:rPr>
          <w:b/>
          <w:bCs/>
        </w:rPr>
        <w:t xml:space="preserve">: </w:t>
      </w:r>
      <w:proofErr w:type="spellStart"/>
      <w:r w:rsidR="00E74C70" w:rsidRPr="00E74C70">
        <w:t>Effects</w:t>
      </w:r>
      <w:proofErr w:type="spellEnd"/>
      <w:r w:rsidR="00E74C70" w:rsidRPr="00E74C70">
        <w:t xml:space="preserve"> </w:t>
      </w:r>
      <w:proofErr w:type="spellStart"/>
      <w:r w:rsidR="00E74C70" w:rsidRPr="00E74C70">
        <w:t>of</w:t>
      </w:r>
      <w:proofErr w:type="spellEnd"/>
      <w:r w:rsidR="00E74C70" w:rsidRPr="00E74C70">
        <w:t xml:space="preserve"> </w:t>
      </w:r>
      <w:proofErr w:type="spellStart"/>
      <w:r w:rsidR="00E74C70" w:rsidRPr="00E74C70">
        <w:t>monocyclic</w:t>
      </w:r>
      <w:proofErr w:type="spellEnd"/>
      <w:r w:rsidR="00E74C70" w:rsidRPr="00E74C70">
        <w:t xml:space="preserve"> </w:t>
      </w:r>
      <w:proofErr w:type="spellStart"/>
      <w:r w:rsidR="00E74C70" w:rsidRPr="00E74C70">
        <w:t>monoterpenoids</w:t>
      </w:r>
      <w:proofErr w:type="spellEnd"/>
      <w:r w:rsidR="00E74C70" w:rsidRPr="00E74C70">
        <w:t xml:space="preserve"> on </w:t>
      </w:r>
      <w:proofErr w:type="spellStart"/>
      <w:r w:rsidR="00E74C70" w:rsidRPr="00E74C70">
        <w:t>the</w:t>
      </w:r>
      <w:proofErr w:type="spellEnd"/>
      <w:r w:rsidR="00E74C70" w:rsidRPr="00E74C70">
        <w:t xml:space="preserve"> </w:t>
      </w:r>
      <w:proofErr w:type="spellStart"/>
      <w:r w:rsidR="00E74C70" w:rsidRPr="00E74C70">
        <w:t>transcriptional</w:t>
      </w:r>
      <w:proofErr w:type="spellEnd"/>
      <w:r w:rsidR="00E74C70" w:rsidRPr="00E74C70">
        <w:t xml:space="preserve"> </w:t>
      </w:r>
      <w:proofErr w:type="spellStart"/>
      <w:r w:rsidR="00E74C70" w:rsidRPr="00E74C70">
        <w:t>activity</w:t>
      </w:r>
      <w:proofErr w:type="spellEnd"/>
      <w:r w:rsidR="00E74C70" w:rsidRPr="00E74C70">
        <w:t xml:space="preserve"> </w:t>
      </w:r>
      <w:proofErr w:type="spellStart"/>
      <w:r w:rsidR="00E74C70" w:rsidRPr="00E74C70">
        <w:t>of</w:t>
      </w:r>
      <w:proofErr w:type="spellEnd"/>
      <w:r w:rsidR="00E74C70" w:rsidRPr="00E74C70">
        <w:t xml:space="preserve"> </w:t>
      </w:r>
      <w:proofErr w:type="spellStart"/>
      <w:r w:rsidR="00E74C70" w:rsidRPr="00E74C70">
        <w:t>human</w:t>
      </w:r>
      <w:proofErr w:type="spellEnd"/>
      <w:r w:rsidR="00802E65">
        <w:br/>
      </w:r>
      <w:proofErr w:type="spellStart"/>
      <w:r w:rsidR="00E74C70" w:rsidRPr="00E74C70">
        <w:t>pregnane</w:t>
      </w:r>
      <w:proofErr w:type="spellEnd"/>
      <w:r w:rsidR="00E74C70" w:rsidRPr="00E74C70">
        <w:t xml:space="preserve"> X </w:t>
      </w:r>
      <w:r w:rsidR="00E74C70" w:rsidRPr="00565F82">
        <w:t>receptor</w:t>
      </w:r>
      <w:r w:rsidR="00565F82" w:rsidRPr="00565F82">
        <w:t xml:space="preserve"> </w:t>
      </w:r>
      <w:r w:rsidR="00E74C70" w:rsidRPr="00565F82">
        <w:t xml:space="preserve">(PXR) in </w:t>
      </w:r>
      <w:proofErr w:type="spellStart"/>
      <w:r w:rsidR="00E74C70" w:rsidRPr="00565F82">
        <w:t>human</w:t>
      </w:r>
      <w:proofErr w:type="spellEnd"/>
      <w:r w:rsidR="00E74C70" w:rsidRPr="00565F82">
        <w:t xml:space="preserve"> </w:t>
      </w:r>
      <w:proofErr w:type="spellStart"/>
      <w:r w:rsidR="00E74C70" w:rsidRPr="00565F82">
        <w:t>cancer</w:t>
      </w:r>
      <w:proofErr w:type="spellEnd"/>
      <w:r w:rsidR="00E74C70" w:rsidRPr="00565F82">
        <w:t xml:space="preserve"> cell line LS180</w:t>
      </w:r>
    </w:p>
    <w:p w14:paraId="65E87F5F" w14:textId="4E0B9C73" w:rsidR="004C3A56" w:rsidRPr="00A209DB" w:rsidRDefault="004C3A56" w:rsidP="00AE5FFB">
      <w:r w:rsidRPr="00676BC1">
        <w:rPr>
          <w:b/>
          <w:bCs/>
        </w:rPr>
        <w:t>Typ</w:t>
      </w:r>
      <w:r w:rsidR="002A31C6" w:rsidRPr="00676BC1">
        <w:rPr>
          <w:b/>
          <w:bCs/>
        </w:rPr>
        <w:t xml:space="preserve">e </w:t>
      </w:r>
      <w:proofErr w:type="spellStart"/>
      <w:r w:rsidR="002A31C6" w:rsidRPr="00676BC1">
        <w:rPr>
          <w:b/>
          <w:bCs/>
        </w:rPr>
        <w:t>of</w:t>
      </w:r>
      <w:proofErr w:type="spellEnd"/>
      <w:r w:rsidR="002A31C6" w:rsidRPr="00676BC1">
        <w:rPr>
          <w:b/>
          <w:bCs/>
        </w:rPr>
        <w:t xml:space="preserve"> thesis</w:t>
      </w:r>
      <w:r w:rsidRPr="00676BC1">
        <w:rPr>
          <w:b/>
          <w:bCs/>
        </w:rPr>
        <w:t>:</w:t>
      </w:r>
      <w:r>
        <w:t xml:space="preserve"> </w:t>
      </w:r>
      <w:proofErr w:type="spellStart"/>
      <w:r>
        <w:t>Ba</w:t>
      </w:r>
      <w:r w:rsidR="00A13077">
        <w:t>chelor</w:t>
      </w:r>
      <w:proofErr w:type="spellEnd"/>
    </w:p>
    <w:p w14:paraId="236B5B85" w14:textId="34571308" w:rsidR="004C3A56" w:rsidRPr="00A209DB" w:rsidRDefault="00386E31" w:rsidP="00AE5FFB">
      <w:r>
        <w:rPr>
          <w:b/>
          <w:bCs/>
        </w:rPr>
        <w:t>Department</w:t>
      </w:r>
      <w:r w:rsidR="004C3A56">
        <w:rPr>
          <w:b/>
          <w:bCs/>
        </w:rPr>
        <w:t xml:space="preserve">: </w:t>
      </w:r>
      <w:r w:rsidR="003C5BF2">
        <w:t xml:space="preserve">Department </w:t>
      </w:r>
      <w:proofErr w:type="spellStart"/>
      <w:r w:rsidR="003C5BF2">
        <w:t>of</w:t>
      </w:r>
      <w:proofErr w:type="spellEnd"/>
      <w:r w:rsidR="003C5BF2">
        <w:t xml:space="preserve"> Cell </w:t>
      </w:r>
      <w:r w:rsidR="00F17A60">
        <w:t>B</w:t>
      </w:r>
      <w:r w:rsidR="003C5BF2">
        <w:t xml:space="preserve">iology and </w:t>
      </w:r>
      <w:proofErr w:type="spellStart"/>
      <w:r w:rsidR="003C5BF2">
        <w:t>Genetics</w:t>
      </w:r>
      <w:proofErr w:type="spellEnd"/>
    </w:p>
    <w:p w14:paraId="68A2C864" w14:textId="2F2EE239" w:rsidR="004C3A56" w:rsidRPr="00B277B0" w:rsidRDefault="00386E31" w:rsidP="00AE5FFB">
      <w:r>
        <w:rPr>
          <w:b/>
          <w:bCs/>
        </w:rPr>
        <w:t>Supervisor</w:t>
      </w:r>
      <w:r w:rsidR="004C3A56">
        <w:rPr>
          <w:b/>
          <w:bCs/>
        </w:rPr>
        <w:t xml:space="preserve">: </w:t>
      </w:r>
      <w:r w:rsidR="009F244B" w:rsidRPr="00B71073">
        <w:t>Mgr.</w:t>
      </w:r>
      <w:r w:rsidR="009F244B">
        <w:rPr>
          <w:b/>
          <w:bCs/>
        </w:rPr>
        <w:t xml:space="preserve"> </w:t>
      </w:r>
      <w:r w:rsidR="009F244B">
        <w:t xml:space="preserve">Iveta </w:t>
      </w:r>
      <w:proofErr w:type="spellStart"/>
      <w:r w:rsidR="009F244B">
        <w:t>Zůvalová</w:t>
      </w:r>
      <w:proofErr w:type="spellEnd"/>
      <w:r w:rsidR="009F244B">
        <w:t>, Ph.D.</w:t>
      </w:r>
    </w:p>
    <w:p w14:paraId="293086D2" w14:textId="25FAB2F5" w:rsidR="004C3A56" w:rsidRPr="00350F8C" w:rsidRDefault="00A0198A" w:rsidP="00AE5FFB">
      <w:pPr>
        <w:rPr>
          <w:b/>
          <w:bCs/>
        </w:rPr>
      </w:pPr>
      <w:proofErr w:type="spellStart"/>
      <w:r w:rsidRPr="00350F8C">
        <w:rPr>
          <w:b/>
          <w:bCs/>
        </w:rPr>
        <w:t>The</w:t>
      </w:r>
      <w:proofErr w:type="spellEnd"/>
      <w:r w:rsidRPr="00350F8C">
        <w:rPr>
          <w:b/>
          <w:bCs/>
        </w:rPr>
        <w:t xml:space="preserve"> </w:t>
      </w:r>
      <w:proofErr w:type="spellStart"/>
      <w:r w:rsidRPr="00350F8C">
        <w:rPr>
          <w:b/>
          <w:bCs/>
        </w:rPr>
        <w:t>year</w:t>
      </w:r>
      <w:proofErr w:type="spellEnd"/>
      <w:r w:rsidRPr="00350F8C">
        <w:rPr>
          <w:b/>
          <w:bCs/>
        </w:rPr>
        <w:t xml:space="preserve"> </w:t>
      </w:r>
      <w:proofErr w:type="spellStart"/>
      <w:r w:rsidRPr="00350F8C">
        <w:rPr>
          <w:b/>
          <w:bCs/>
        </w:rPr>
        <w:t>of</w:t>
      </w:r>
      <w:proofErr w:type="spellEnd"/>
      <w:r w:rsidRPr="00350F8C">
        <w:rPr>
          <w:b/>
          <w:bCs/>
        </w:rPr>
        <w:t xml:space="preserve"> </w:t>
      </w:r>
      <w:proofErr w:type="spellStart"/>
      <w:r w:rsidRPr="00350F8C">
        <w:rPr>
          <w:b/>
          <w:bCs/>
        </w:rPr>
        <w:t>presentation</w:t>
      </w:r>
      <w:proofErr w:type="spellEnd"/>
      <w:r w:rsidR="004C3A56" w:rsidRPr="00350F8C">
        <w:rPr>
          <w:b/>
          <w:bCs/>
        </w:rPr>
        <w:t xml:space="preserve">: </w:t>
      </w:r>
      <w:r w:rsidR="004C3A56" w:rsidRPr="00350F8C">
        <w:t>2024</w:t>
      </w:r>
    </w:p>
    <w:p w14:paraId="45B0F770" w14:textId="17585797" w:rsidR="004C3A56" w:rsidRPr="00DA039D" w:rsidRDefault="004C3A56" w:rsidP="00AE5FFB">
      <w:proofErr w:type="spellStart"/>
      <w:r w:rsidRPr="00350F8C">
        <w:rPr>
          <w:b/>
          <w:bCs/>
        </w:rPr>
        <w:t>K</w:t>
      </w:r>
      <w:r w:rsidR="00A0198A" w:rsidRPr="00350F8C">
        <w:rPr>
          <w:b/>
          <w:bCs/>
        </w:rPr>
        <w:t>eywords</w:t>
      </w:r>
      <w:proofErr w:type="spellEnd"/>
      <w:r w:rsidRPr="00350F8C">
        <w:rPr>
          <w:b/>
          <w:bCs/>
        </w:rPr>
        <w:t>:</w:t>
      </w:r>
      <w:r w:rsidR="00DA039D">
        <w:rPr>
          <w:b/>
          <w:bCs/>
        </w:rPr>
        <w:t xml:space="preserve"> </w:t>
      </w:r>
      <w:proofErr w:type="spellStart"/>
      <w:r w:rsidR="00DA039D">
        <w:t>reporter</w:t>
      </w:r>
      <w:proofErr w:type="spellEnd"/>
      <w:r w:rsidR="00DA039D">
        <w:t xml:space="preserve"> </w:t>
      </w:r>
      <w:proofErr w:type="spellStart"/>
      <w:r w:rsidR="00DA039D">
        <w:t>essay</w:t>
      </w:r>
      <w:proofErr w:type="spellEnd"/>
      <w:r w:rsidR="00DA039D">
        <w:t xml:space="preserve">, </w:t>
      </w:r>
      <w:proofErr w:type="spellStart"/>
      <w:r w:rsidR="00B36AA5">
        <w:t>pregnane</w:t>
      </w:r>
      <w:proofErr w:type="spellEnd"/>
      <w:r w:rsidR="00B36AA5">
        <w:t xml:space="preserve"> X receptor, </w:t>
      </w:r>
      <w:proofErr w:type="spellStart"/>
      <w:r w:rsidR="00B36AA5">
        <w:t>monocyclic</w:t>
      </w:r>
      <w:proofErr w:type="spellEnd"/>
      <w:r w:rsidR="00B36AA5">
        <w:t xml:space="preserve"> </w:t>
      </w:r>
      <w:proofErr w:type="spellStart"/>
      <w:r w:rsidR="00B36AA5">
        <w:t>monoterpenoids</w:t>
      </w:r>
      <w:proofErr w:type="spellEnd"/>
      <w:r w:rsidR="00B36AA5">
        <w:t xml:space="preserve">, </w:t>
      </w:r>
      <w:proofErr w:type="spellStart"/>
      <w:r w:rsidR="00B36AA5">
        <w:t>biotransformation</w:t>
      </w:r>
      <w:proofErr w:type="spellEnd"/>
    </w:p>
    <w:p w14:paraId="311152AA" w14:textId="32F16381" w:rsidR="004C3A56" w:rsidRPr="00881035" w:rsidRDefault="006A2B2F" w:rsidP="00AE5FFB">
      <w:proofErr w:type="spellStart"/>
      <w:r w:rsidRPr="00350F8C">
        <w:rPr>
          <w:b/>
          <w:bCs/>
        </w:rPr>
        <w:t>Number</w:t>
      </w:r>
      <w:proofErr w:type="spellEnd"/>
      <w:r w:rsidRPr="00350F8C">
        <w:rPr>
          <w:b/>
          <w:bCs/>
        </w:rPr>
        <w:t xml:space="preserve"> </w:t>
      </w:r>
      <w:proofErr w:type="spellStart"/>
      <w:r w:rsidRPr="00350F8C">
        <w:rPr>
          <w:b/>
          <w:bCs/>
        </w:rPr>
        <w:t>of</w:t>
      </w:r>
      <w:proofErr w:type="spellEnd"/>
      <w:r w:rsidRPr="00350F8C">
        <w:rPr>
          <w:b/>
          <w:bCs/>
        </w:rPr>
        <w:t xml:space="preserve"> </w:t>
      </w:r>
      <w:proofErr w:type="spellStart"/>
      <w:r w:rsidRPr="00350F8C">
        <w:rPr>
          <w:b/>
          <w:bCs/>
        </w:rPr>
        <w:t>pages</w:t>
      </w:r>
      <w:proofErr w:type="spellEnd"/>
      <w:r w:rsidR="004C3A56" w:rsidRPr="00350F8C">
        <w:rPr>
          <w:b/>
          <w:bCs/>
        </w:rPr>
        <w:t>:</w:t>
      </w:r>
      <w:r w:rsidR="00881035">
        <w:rPr>
          <w:b/>
          <w:bCs/>
        </w:rPr>
        <w:t xml:space="preserve"> </w:t>
      </w:r>
      <w:r w:rsidR="00881035">
        <w:t>4</w:t>
      </w:r>
      <w:r w:rsidR="001119B5">
        <w:t>7</w:t>
      </w:r>
    </w:p>
    <w:p w14:paraId="009D0879" w14:textId="4A23A19C" w:rsidR="004C3A56" w:rsidRPr="00B5353A" w:rsidRDefault="006A2B2F" w:rsidP="00AE5FFB">
      <w:proofErr w:type="spellStart"/>
      <w:r w:rsidRPr="00350F8C">
        <w:rPr>
          <w:b/>
          <w:bCs/>
        </w:rPr>
        <w:t>Number</w:t>
      </w:r>
      <w:proofErr w:type="spellEnd"/>
      <w:r w:rsidRPr="00350F8C">
        <w:rPr>
          <w:b/>
          <w:bCs/>
        </w:rPr>
        <w:t xml:space="preserve"> </w:t>
      </w:r>
      <w:proofErr w:type="spellStart"/>
      <w:r w:rsidRPr="00350F8C">
        <w:rPr>
          <w:b/>
          <w:bCs/>
        </w:rPr>
        <w:t>of</w:t>
      </w:r>
      <w:proofErr w:type="spellEnd"/>
      <w:r w:rsidRPr="00350F8C">
        <w:rPr>
          <w:b/>
          <w:bCs/>
        </w:rPr>
        <w:t xml:space="preserve"> </w:t>
      </w:r>
      <w:proofErr w:type="spellStart"/>
      <w:r w:rsidRPr="00350F8C">
        <w:rPr>
          <w:b/>
          <w:bCs/>
        </w:rPr>
        <w:t>appendices</w:t>
      </w:r>
      <w:proofErr w:type="spellEnd"/>
      <w:r w:rsidR="004C3A56" w:rsidRPr="00350F8C">
        <w:rPr>
          <w:b/>
          <w:bCs/>
        </w:rPr>
        <w:t>:</w:t>
      </w:r>
      <w:r w:rsidR="00B5353A">
        <w:rPr>
          <w:b/>
          <w:bCs/>
        </w:rPr>
        <w:t xml:space="preserve"> </w:t>
      </w:r>
      <w:r w:rsidR="00B5353A">
        <w:t>0</w:t>
      </w:r>
    </w:p>
    <w:p w14:paraId="07EC1C4A" w14:textId="35A9559F" w:rsidR="001861EB" w:rsidRDefault="003C5BF2" w:rsidP="00AE5FFB">
      <w:proofErr w:type="spellStart"/>
      <w:r w:rsidRPr="00350F8C">
        <w:rPr>
          <w:b/>
          <w:bCs/>
        </w:rPr>
        <w:t>Language</w:t>
      </w:r>
      <w:proofErr w:type="spellEnd"/>
      <w:r w:rsidR="004C3A56" w:rsidRPr="00350F8C">
        <w:rPr>
          <w:b/>
          <w:bCs/>
        </w:rPr>
        <w:t xml:space="preserve">: </w:t>
      </w:r>
      <w:r w:rsidRPr="00350F8C">
        <w:t>Czech</w:t>
      </w:r>
    </w:p>
    <w:p w14:paraId="0750A162" w14:textId="2802333E" w:rsidR="00F0619F" w:rsidRDefault="00F0619F" w:rsidP="00AE5FFB">
      <w:pPr>
        <w:rPr>
          <w:b/>
          <w:bCs/>
        </w:rPr>
      </w:pPr>
      <w:proofErr w:type="spellStart"/>
      <w:r>
        <w:rPr>
          <w:b/>
          <w:bCs/>
        </w:rPr>
        <w:t>Summary</w:t>
      </w:r>
      <w:proofErr w:type="spellEnd"/>
      <w:r>
        <w:rPr>
          <w:b/>
          <w:bCs/>
        </w:rPr>
        <w:t>:</w:t>
      </w:r>
    </w:p>
    <w:p w14:paraId="77617175" w14:textId="78BAC4B9" w:rsidR="00477C75" w:rsidRDefault="00802E65" w:rsidP="00AE5FFB">
      <w:pPr>
        <w:sectPr w:rsidR="00477C75" w:rsidSect="00040668">
          <w:pgSz w:w="11906" w:h="16838"/>
          <w:pgMar w:top="1417" w:right="1417" w:bottom="1417" w:left="1417" w:header="708" w:footer="708" w:gutter="0"/>
          <w:pgNumType w:fmt="lowerRoman"/>
          <w:cols w:space="708"/>
          <w:titlePg/>
          <w:docGrid w:linePitch="360"/>
        </w:sectPr>
      </w:pPr>
      <w:r>
        <w:rPr>
          <w:b/>
          <w:bCs/>
        </w:rPr>
        <w:tab/>
      </w:r>
      <w:proofErr w:type="spellStart"/>
      <w:r w:rsidR="009100FC" w:rsidRPr="009100FC">
        <w:t>The</w:t>
      </w:r>
      <w:proofErr w:type="spellEnd"/>
      <w:r w:rsidR="009100FC" w:rsidRPr="009100FC">
        <w:t xml:space="preserve"> </w:t>
      </w:r>
      <w:proofErr w:type="spellStart"/>
      <w:r w:rsidR="0015362F">
        <w:t>p</w:t>
      </w:r>
      <w:r w:rsidR="009100FC" w:rsidRPr="009100FC">
        <w:t>regnane</w:t>
      </w:r>
      <w:proofErr w:type="spellEnd"/>
      <w:r w:rsidR="009100FC" w:rsidRPr="009100FC">
        <w:t xml:space="preserve"> X receptor </w:t>
      </w:r>
      <w:proofErr w:type="spellStart"/>
      <w:r w:rsidR="009100FC" w:rsidRPr="009100FC">
        <w:t>serves</w:t>
      </w:r>
      <w:proofErr w:type="spellEnd"/>
      <w:r w:rsidR="009100FC" w:rsidRPr="009100FC">
        <w:t xml:space="preserve"> in </w:t>
      </w:r>
      <w:proofErr w:type="spellStart"/>
      <w:r w:rsidR="009100FC" w:rsidRPr="009100FC">
        <w:t>the</w:t>
      </w:r>
      <w:proofErr w:type="spellEnd"/>
      <w:r w:rsidR="009100FC" w:rsidRPr="009100FC">
        <w:t xml:space="preserve"> </w:t>
      </w:r>
      <w:proofErr w:type="spellStart"/>
      <w:r w:rsidR="009100FC" w:rsidRPr="009100FC">
        <w:t>organism</w:t>
      </w:r>
      <w:proofErr w:type="spellEnd"/>
      <w:r w:rsidR="009100FC" w:rsidRPr="009100FC">
        <w:t xml:space="preserve"> as a </w:t>
      </w:r>
      <w:proofErr w:type="spellStart"/>
      <w:r w:rsidR="009100FC" w:rsidRPr="009100FC">
        <w:t>transcription</w:t>
      </w:r>
      <w:proofErr w:type="spellEnd"/>
      <w:r w:rsidR="009100FC" w:rsidRPr="009100FC">
        <w:t xml:space="preserve"> </w:t>
      </w:r>
      <w:proofErr w:type="spellStart"/>
      <w:r w:rsidR="009100FC" w:rsidRPr="009100FC">
        <w:t>factor</w:t>
      </w:r>
      <w:proofErr w:type="spellEnd"/>
      <w:r w:rsidR="009100FC" w:rsidRPr="009100FC">
        <w:t xml:space="preserve"> and </w:t>
      </w:r>
      <w:proofErr w:type="spellStart"/>
      <w:r w:rsidR="009100FC" w:rsidRPr="009100FC">
        <w:t>is</w:t>
      </w:r>
      <w:proofErr w:type="spellEnd"/>
      <w:r w:rsidR="009100FC" w:rsidRPr="009100FC">
        <w:t xml:space="preserve"> </w:t>
      </w:r>
      <w:proofErr w:type="spellStart"/>
      <w:r w:rsidR="009100FC" w:rsidRPr="009100FC">
        <w:t>activated</w:t>
      </w:r>
      <w:proofErr w:type="spellEnd"/>
      <w:r w:rsidR="009100FC" w:rsidRPr="009100FC">
        <w:t xml:space="preserve"> by a variety </w:t>
      </w:r>
      <w:proofErr w:type="spellStart"/>
      <w:r w:rsidR="009100FC" w:rsidRPr="009100FC">
        <w:t>of</w:t>
      </w:r>
      <w:proofErr w:type="spellEnd"/>
      <w:r w:rsidR="009100FC" w:rsidRPr="009100FC">
        <w:t xml:space="preserve"> </w:t>
      </w:r>
      <w:proofErr w:type="spellStart"/>
      <w:r w:rsidR="009100FC" w:rsidRPr="009100FC">
        <w:t>ligands</w:t>
      </w:r>
      <w:proofErr w:type="spellEnd"/>
      <w:r w:rsidR="009100FC" w:rsidRPr="009100FC">
        <w:t xml:space="preserve">. It </w:t>
      </w:r>
      <w:proofErr w:type="spellStart"/>
      <w:r w:rsidR="009100FC" w:rsidRPr="009100FC">
        <w:t>is</w:t>
      </w:r>
      <w:proofErr w:type="spellEnd"/>
      <w:r w:rsidR="009100FC" w:rsidRPr="009100FC">
        <w:t xml:space="preserve"> </w:t>
      </w:r>
      <w:proofErr w:type="spellStart"/>
      <w:r w:rsidR="009100FC" w:rsidRPr="009100FC">
        <w:t>involved</w:t>
      </w:r>
      <w:proofErr w:type="spellEnd"/>
      <w:r w:rsidR="009100FC" w:rsidRPr="009100FC">
        <w:t xml:space="preserve"> in many </w:t>
      </w:r>
      <w:proofErr w:type="spellStart"/>
      <w:r w:rsidR="009100FC" w:rsidRPr="009100FC">
        <w:t>physiological</w:t>
      </w:r>
      <w:proofErr w:type="spellEnd"/>
      <w:r w:rsidR="009100FC" w:rsidRPr="009100FC">
        <w:t xml:space="preserve"> and </w:t>
      </w:r>
      <w:proofErr w:type="spellStart"/>
      <w:r w:rsidR="009100FC" w:rsidRPr="009100FC">
        <w:t>pathophysiological</w:t>
      </w:r>
      <w:proofErr w:type="spellEnd"/>
      <w:r w:rsidR="009100FC" w:rsidRPr="009100FC">
        <w:t xml:space="preserve"> </w:t>
      </w:r>
      <w:proofErr w:type="spellStart"/>
      <w:r w:rsidR="009100FC" w:rsidRPr="009100FC">
        <w:t>processes</w:t>
      </w:r>
      <w:proofErr w:type="spellEnd"/>
      <w:r w:rsidR="009100FC" w:rsidRPr="009100FC">
        <w:t xml:space="preserve">. </w:t>
      </w:r>
      <w:proofErr w:type="spellStart"/>
      <w:r w:rsidR="009100FC" w:rsidRPr="009100FC">
        <w:t>Its</w:t>
      </w:r>
      <w:proofErr w:type="spellEnd"/>
      <w:r w:rsidR="009100FC" w:rsidRPr="009100FC">
        <w:t xml:space="preserve"> </w:t>
      </w:r>
      <w:proofErr w:type="spellStart"/>
      <w:r w:rsidR="009100FC" w:rsidRPr="009100FC">
        <w:t>function</w:t>
      </w:r>
      <w:proofErr w:type="spellEnd"/>
      <w:r w:rsidR="009100FC" w:rsidRPr="009100FC">
        <w:t xml:space="preserve"> </w:t>
      </w:r>
      <w:proofErr w:type="spellStart"/>
      <w:r w:rsidR="009100FC" w:rsidRPr="009100FC">
        <w:t>is</w:t>
      </w:r>
      <w:proofErr w:type="spellEnd"/>
      <w:r w:rsidR="009100FC" w:rsidRPr="009100FC">
        <w:t xml:space="preserve"> </w:t>
      </w:r>
      <w:proofErr w:type="spellStart"/>
      <w:r w:rsidR="009100FC" w:rsidRPr="009100FC">
        <w:t>the</w:t>
      </w:r>
      <w:proofErr w:type="spellEnd"/>
      <w:r w:rsidR="009100FC" w:rsidRPr="009100FC">
        <w:t xml:space="preserve"> </w:t>
      </w:r>
      <w:proofErr w:type="spellStart"/>
      <w:r w:rsidR="009100FC" w:rsidRPr="009100FC">
        <w:t>regulation</w:t>
      </w:r>
      <w:proofErr w:type="spellEnd"/>
      <w:r w:rsidR="009100FC" w:rsidRPr="009100FC">
        <w:t xml:space="preserve"> </w:t>
      </w:r>
      <w:proofErr w:type="spellStart"/>
      <w:r w:rsidR="009100FC" w:rsidRPr="009100FC">
        <w:t>of</w:t>
      </w:r>
      <w:proofErr w:type="spellEnd"/>
      <w:r w:rsidR="009100FC" w:rsidRPr="009100FC">
        <w:t xml:space="preserve"> </w:t>
      </w:r>
      <w:proofErr w:type="spellStart"/>
      <w:r w:rsidR="009100FC" w:rsidRPr="009100FC">
        <w:t>the</w:t>
      </w:r>
      <w:proofErr w:type="spellEnd"/>
      <w:r w:rsidR="009100FC" w:rsidRPr="009100FC">
        <w:t xml:space="preserve"> </w:t>
      </w:r>
      <w:proofErr w:type="spellStart"/>
      <w:r w:rsidR="009100FC" w:rsidRPr="009100FC">
        <w:t>expression</w:t>
      </w:r>
      <w:proofErr w:type="spellEnd"/>
      <w:r w:rsidR="009100FC" w:rsidRPr="009100FC">
        <w:t xml:space="preserve"> </w:t>
      </w:r>
      <w:proofErr w:type="spellStart"/>
      <w:r w:rsidR="009100FC" w:rsidRPr="009100FC">
        <w:t>of</w:t>
      </w:r>
      <w:proofErr w:type="spellEnd"/>
      <w:r w:rsidR="009100FC" w:rsidRPr="009100FC">
        <w:t xml:space="preserve"> a </w:t>
      </w:r>
      <w:proofErr w:type="spellStart"/>
      <w:r w:rsidR="009100FC" w:rsidRPr="009100FC">
        <w:t>large</w:t>
      </w:r>
      <w:proofErr w:type="spellEnd"/>
      <w:r w:rsidR="009100FC" w:rsidRPr="009100FC">
        <w:t xml:space="preserve"> </w:t>
      </w:r>
      <w:proofErr w:type="spellStart"/>
      <w:r w:rsidR="009100FC" w:rsidRPr="009100FC">
        <w:t>number</w:t>
      </w:r>
      <w:proofErr w:type="spellEnd"/>
      <w:r w:rsidR="009100FC" w:rsidRPr="009100FC">
        <w:t xml:space="preserve"> </w:t>
      </w:r>
      <w:proofErr w:type="spellStart"/>
      <w:r w:rsidR="009100FC" w:rsidRPr="009100FC">
        <w:t>of</w:t>
      </w:r>
      <w:proofErr w:type="spellEnd"/>
      <w:r w:rsidR="009100FC" w:rsidRPr="009100FC">
        <w:t xml:space="preserve"> </w:t>
      </w:r>
      <w:proofErr w:type="spellStart"/>
      <w:r w:rsidR="009100FC" w:rsidRPr="009100FC">
        <w:t>genes</w:t>
      </w:r>
      <w:proofErr w:type="spellEnd"/>
      <w:r w:rsidR="009100FC" w:rsidRPr="009100FC">
        <w:t xml:space="preserve"> </w:t>
      </w:r>
      <w:proofErr w:type="spellStart"/>
      <w:r w:rsidR="009100FC" w:rsidRPr="009100FC">
        <w:t>encoding</w:t>
      </w:r>
      <w:proofErr w:type="spellEnd"/>
      <w:r w:rsidR="009100FC" w:rsidRPr="009100FC">
        <w:t xml:space="preserve"> </w:t>
      </w:r>
      <w:proofErr w:type="spellStart"/>
      <w:r w:rsidR="009100FC" w:rsidRPr="009100FC">
        <w:t>enzymes</w:t>
      </w:r>
      <w:proofErr w:type="spellEnd"/>
      <w:r w:rsidR="009100FC" w:rsidRPr="009100FC">
        <w:t xml:space="preserve"> </w:t>
      </w:r>
      <w:proofErr w:type="spellStart"/>
      <w:r w:rsidR="009100FC" w:rsidRPr="009100FC">
        <w:t>involved</w:t>
      </w:r>
      <w:proofErr w:type="spellEnd"/>
      <w:r w:rsidR="009100FC" w:rsidRPr="009100FC">
        <w:t xml:space="preserve"> in </w:t>
      </w:r>
      <w:proofErr w:type="spellStart"/>
      <w:r w:rsidR="009100FC" w:rsidRPr="009100FC">
        <w:t>the</w:t>
      </w:r>
      <w:proofErr w:type="spellEnd"/>
      <w:r w:rsidR="009100FC" w:rsidRPr="009100FC">
        <w:t xml:space="preserve"> </w:t>
      </w:r>
      <w:proofErr w:type="spellStart"/>
      <w:r w:rsidR="009100FC" w:rsidRPr="009100FC">
        <w:t>metabolism</w:t>
      </w:r>
      <w:proofErr w:type="spellEnd"/>
      <w:r w:rsidR="009100FC" w:rsidRPr="009100FC">
        <w:t xml:space="preserve"> </w:t>
      </w:r>
      <w:proofErr w:type="spellStart"/>
      <w:r w:rsidR="009100FC" w:rsidRPr="009100FC">
        <w:t>of</w:t>
      </w:r>
      <w:proofErr w:type="spellEnd"/>
      <w:r w:rsidR="009100FC" w:rsidRPr="009100FC">
        <w:t xml:space="preserve"> </w:t>
      </w:r>
      <w:proofErr w:type="spellStart"/>
      <w:r w:rsidR="009100FC" w:rsidRPr="009100FC">
        <w:t>endogenous</w:t>
      </w:r>
      <w:proofErr w:type="spellEnd"/>
      <w:r w:rsidR="009100FC" w:rsidRPr="009100FC">
        <w:t xml:space="preserve"> and </w:t>
      </w:r>
      <w:proofErr w:type="spellStart"/>
      <w:r w:rsidR="009100FC" w:rsidRPr="009100FC">
        <w:t>exogenous</w:t>
      </w:r>
      <w:proofErr w:type="spellEnd"/>
      <w:r w:rsidR="009100FC" w:rsidRPr="009100FC">
        <w:t xml:space="preserve"> </w:t>
      </w:r>
      <w:proofErr w:type="spellStart"/>
      <w:r w:rsidR="009100FC" w:rsidRPr="009100FC">
        <w:t>substances</w:t>
      </w:r>
      <w:proofErr w:type="spellEnd"/>
      <w:r w:rsidR="009100FC" w:rsidRPr="009100FC">
        <w:t xml:space="preserve">. </w:t>
      </w:r>
      <w:proofErr w:type="spellStart"/>
      <w:r w:rsidR="009100FC" w:rsidRPr="009100FC">
        <w:t>The</w:t>
      </w:r>
      <w:proofErr w:type="spellEnd"/>
      <w:r w:rsidR="009100FC" w:rsidRPr="009100FC">
        <w:t xml:space="preserve"> </w:t>
      </w:r>
      <w:proofErr w:type="spellStart"/>
      <w:r w:rsidR="009100FC" w:rsidRPr="009100FC">
        <w:t>aim</w:t>
      </w:r>
      <w:proofErr w:type="spellEnd"/>
      <w:r w:rsidR="009100FC" w:rsidRPr="009100FC">
        <w:t xml:space="preserve"> </w:t>
      </w:r>
      <w:proofErr w:type="spellStart"/>
      <w:r w:rsidR="009100FC" w:rsidRPr="009100FC">
        <w:t>of</w:t>
      </w:r>
      <w:proofErr w:type="spellEnd"/>
      <w:r w:rsidR="009100FC" w:rsidRPr="009100FC">
        <w:t xml:space="preserve"> </w:t>
      </w:r>
      <w:proofErr w:type="spellStart"/>
      <w:r w:rsidR="009100FC" w:rsidRPr="009100FC">
        <w:t>this</w:t>
      </w:r>
      <w:proofErr w:type="spellEnd"/>
      <w:r w:rsidR="009100FC" w:rsidRPr="009100FC">
        <w:t xml:space="preserve"> </w:t>
      </w:r>
      <w:proofErr w:type="spellStart"/>
      <w:r w:rsidR="009100FC" w:rsidRPr="009100FC">
        <w:t>bachelor</w:t>
      </w:r>
      <w:proofErr w:type="spellEnd"/>
      <w:r w:rsidR="009100FC" w:rsidRPr="009100FC">
        <w:t xml:space="preserve"> thesis </w:t>
      </w:r>
      <w:proofErr w:type="spellStart"/>
      <w:r w:rsidR="009100FC" w:rsidRPr="009100FC">
        <w:t>was</w:t>
      </w:r>
      <w:proofErr w:type="spellEnd"/>
      <w:r w:rsidR="009100FC" w:rsidRPr="009100FC">
        <w:t xml:space="preserve"> to monitor </w:t>
      </w:r>
      <w:proofErr w:type="spellStart"/>
      <w:r w:rsidR="009100FC" w:rsidRPr="009100FC">
        <w:t>the</w:t>
      </w:r>
      <w:proofErr w:type="spellEnd"/>
      <w:r w:rsidR="009100FC" w:rsidRPr="009100FC">
        <w:t xml:space="preserve"> </w:t>
      </w:r>
      <w:proofErr w:type="spellStart"/>
      <w:r w:rsidR="009100FC" w:rsidRPr="009100FC">
        <w:t>effect</w:t>
      </w:r>
      <w:r w:rsidR="0036610F">
        <w:t>s</w:t>
      </w:r>
      <w:proofErr w:type="spellEnd"/>
      <w:r w:rsidR="009100FC" w:rsidRPr="009100FC">
        <w:t xml:space="preserve"> </w:t>
      </w:r>
      <w:proofErr w:type="spellStart"/>
      <w:r w:rsidR="009100FC" w:rsidRPr="009100FC">
        <w:t>of</w:t>
      </w:r>
      <w:proofErr w:type="spellEnd"/>
      <w:r w:rsidR="009100FC" w:rsidRPr="009100FC">
        <w:t xml:space="preserve"> </w:t>
      </w:r>
      <w:proofErr w:type="spellStart"/>
      <w:r w:rsidR="009100FC" w:rsidRPr="009100FC">
        <w:t>selected</w:t>
      </w:r>
      <w:proofErr w:type="spellEnd"/>
      <w:r w:rsidR="009100FC" w:rsidRPr="009100FC">
        <w:t xml:space="preserve"> </w:t>
      </w:r>
      <w:proofErr w:type="spellStart"/>
      <w:r w:rsidR="009100FC" w:rsidRPr="009100FC">
        <w:t>monocyclic</w:t>
      </w:r>
      <w:proofErr w:type="spellEnd"/>
      <w:r w:rsidR="009100FC" w:rsidRPr="009100FC">
        <w:t xml:space="preserve"> </w:t>
      </w:r>
      <w:proofErr w:type="spellStart"/>
      <w:r w:rsidR="009100FC" w:rsidRPr="009100FC">
        <w:t>monoterpenoids</w:t>
      </w:r>
      <w:proofErr w:type="spellEnd"/>
      <w:r w:rsidR="009100FC" w:rsidRPr="009100FC">
        <w:t xml:space="preserve"> on </w:t>
      </w:r>
      <w:proofErr w:type="spellStart"/>
      <w:r w:rsidR="009100FC" w:rsidRPr="009100FC">
        <w:t>the</w:t>
      </w:r>
      <w:proofErr w:type="spellEnd"/>
      <w:r w:rsidR="009100FC" w:rsidRPr="009100FC">
        <w:t xml:space="preserve"> </w:t>
      </w:r>
      <w:proofErr w:type="spellStart"/>
      <w:r w:rsidR="009100FC" w:rsidRPr="009100FC">
        <w:t>transcriptional</w:t>
      </w:r>
      <w:proofErr w:type="spellEnd"/>
      <w:r w:rsidR="009100FC" w:rsidRPr="009100FC">
        <w:t xml:space="preserve"> </w:t>
      </w:r>
      <w:proofErr w:type="spellStart"/>
      <w:r w:rsidR="009100FC" w:rsidRPr="009100FC">
        <w:t>activity</w:t>
      </w:r>
      <w:proofErr w:type="spellEnd"/>
      <w:r w:rsidR="009100FC" w:rsidRPr="009100FC">
        <w:t xml:space="preserve"> </w:t>
      </w:r>
      <w:proofErr w:type="spellStart"/>
      <w:r w:rsidR="009100FC" w:rsidRPr="009100FC">
        <w:t>of</w:t>
      </w:r>
      <w:proofErr w:type="spellEnd"/>
      <w:r w:rsidR="009100FC" w:rsidRPr="009100FC">
        <w:t xml:space="preserve"> PXR. It has </w:t>
      </w:r>
      <w:proofErr w:type="spellStart"/>
      <w:r w:rsidR="009100FC" w:rsidRPr="009100FC">
        <w:t>been</w:t>
      </w:r>
      <w:proofErr w:type="spellEnd"/>
      <w:r w:rsidR="009100FC" w:rsidRPr="009100FC">
        <w:t xml:space="preserve"> </w:t>
      </w:r>
      <w:proofErr w:type="spellStart"/>
      <w:r w:rsidR="009100FC" w:rsidRPr="009100FC">
        <w:t>demonstrated</w:t>
      </w:r>
      <w:proofErr w:type="spellEnd"/>
      <w:r w:rsidR="009100FC" w:rsidRPr="009100FC">
        <w:t xml:space="preserve"> </w:t>
      </w:r>
      <w:proofErr w:type="spellStart"/>
      <w:r w:rsidR="009100FC" w:rsidRPr="009100FC">
        <w:t>that</w:t>
      </w:r>
      <w:proofErr w:type="spellEnd"/>
      <w:r w:rsidR="009100FC" w:rsidRPr="009100FC">
        <w:t xml:space="preserve"> </w:t>
      </w:r>
      <w:proofErr w:type="spellStart"/>
      <w:r w:rsidR="009100FC" w:rsidRPr="009100FC">
        <w:t>individual</w:t>
      </w:r>
      <w:proofErr w:type="spellEnd"/>
      <w:r w:rsidR="009100FC" w:rsidRPr="009100FC">
        <w:t xml:space="preserve"> </w:t>
      </w:r>
      <w:proofErr w:type="spellStart"/>
      <w:r w:rsidR="009100FC" w:rsidRPr="009100FC">
        <w:t>monocyclic</w:t>
      </w:r>
      <w:proofErr w:type="spellEnd"/>
      <w:r w:rsidR="009100FC" w:rsidRPr="009100FC">
        <w:t xml:space="preserve"> </w:t>
      </w:r>
      <w:proofErr w:type="spellStart"/>
      <w:r w:rsidR="009100FC" w:rsidRPr="009100FC">
        <w:t>monoterpenoids</w:t>
      </w:r>
      <w:proofErr w:type="spellEnd"/>
      <w:r w:rsidR="009100FC" w:rsidRPr="009100FC">
        <w:t xml:space="preserve"> do not </w:t>
      </w:r>
      <w:proofErr w:type="spellStart"/>
      <w:r w:rsidR="009100FC" w:rsidRPr="009100FC">
        <w:t>have</w:t>
      </w:r>
      <w:proofErr w:type="spellEnd"/>
      <w:r w:rsidR="009100FC" w:rsidRPr="009100FC">
        <w:t xml:space="preserve"> a </w:t>
      </w:r>
      <w:proofErr w:type="spellStart"/>
      <w:r w:rsidR="009100FC" w:rsidRPr="009100FC">
        <w:t>cytotoxic</w:t>
      </w:r>
      <w:proofErr w:type="spellEnd"/>
      <w:r w:rsidR="009100FC" w:rsidRPr="009100FC">
        <w:t xml:space="preserve"> </w:t>
      </w:r>
      <w:proofErr w:type="spellStart"/>
      <w:r w:rsidR="009100FC" w:rsidRPr="009100FC">
        <w:t>effect</w:t>
      </w:r>
      <w:proofErr w:type="spellEnd"/>
      <w:r w:rsidR="009100FC" w:rsidRPr="009100FC">
        <w:t xml:space="preserve"> on </w:t>
      </w:r>
      <w:proofErr w:type="spellStart"/>
      <w:r w:rsidR="009100FC" w:rsidRPr="009100FC">
        <w:t>the</w:t>
      </w:r>
      <w:proofErr w:type="spellEnd"/>
      <w:r w:rsidR="009100FC" w:rsidRPr="009100FC">
        <w:t xml:space="preserve"> LS180 cell line. </w:t>
      </w:r>
      <w:proofErr w:type="spellStart"/>
      <w:r w:rsidR="009100FC" w:rsidRPr="009100FC">
        <w:t>Furthermore</w:t>
      </w:r>
      <w:proofErr w:type="spellEnd"/>
      <w:r w:rsidR="009100FC" w:rsidRPr="009100FC">
        <w:t xml:space="preserve">, </w:t>
      </w:r>
      <w:proofErr w:type="spellStart"/>
      <w:r w:rsidR="009100FC" w:rsidRPr="009100FC">
        <w:t>using</w:t>
      </w:r>
      <w:proofErr w:type="spellEnd"/>
      <w:r w:rsidR="009100FC" w:rsidRPr="009100FC">
        <w:t xml:space="preserve"> a </w:t>
      </w:r>
      <w:proofErr w:type="spellStart"/>
      <w:r w:rsidR="009100FC" w:rsidRPr="009100FC">
        <w:t>reporter</w:t>
      </w:r>
      <w:proofErr w:type="spellEnd"/>
      <w:r w:rsidR="009100FC" w:rsidRPr="009100FC">
        <w:t xml:space="preserve"> </w:t>
      </w:r>
      <w:proofErr w:type="spellStart"/>
      <w:r w:rsidR="009100FC" w:rsidRPr="009100FC">
        <w:t>assay</w:t>
      </w:r>
      <w:proofErr w:type="spellEnd"/>
      <w:r w:rsidR="009100FC" w:rsidRPr="009100FC">
        <w:t xml:space="preserve">, </w:t>
      </w:r>
      <w:proofErr w:type="spellStart"/>
      <w:r w:rsidR="009100FC" w:rsidRPr="009100FC">
        <w:t>it</w:t>
      </w:r>
      <w:proofErr w:type="spellEnd"/>
      <w:r w:rsidR="009100FC" w:rsidRPr="009100FC">
        <w:t xml:space="preserve"> </w:t>
      </w:r>
      <w:proofErr w:type="spellStart"/>
      <w:r w:rsidR="009100FC" w:rsidRPr="009100FC">
        <w:t>was</w:t>
      </w:r>
      <w:proofErr w:type="spellEnd"/>
      <w:r w:rsidR="009100FC" w:rsidRPr="009100FC">
        <w:t xml:space="preserve"> </w:t>
      </w:r>
      <w:proofErr w:type="spellStart"/>
      <w:r w:rsidR="009100FC" w:rsidRPr="009100FC">
        <w:t>found</w:t>
      </w:r>
      <w:proofErr w:type="spellEnd"/>
      <w:r w:rsidR="009100FC" w:rsidRPr="009100FC">
        <w:t xml:space="preserve"> </w:t>
      </w:r>
      <w:proofErr w:type="spellStart"/>
      <w:r w:rsidR="009100FC" w:rsidRPr="009100FC">
        <w:t>that</w:t>
      </w:r>
      <w:proofErr w:type="spellEnd"/>
      <w:r w:rsidR="009100FC" w:rsidRPr="009100FC">
        <w:t xml:space="preserve"> </w:t>
      </w:r>
      <w:proofErr w:type="spellStart"/>
      <w:r w:rsidR="009100FC" w:rsidRPr="009100FC">
        <w:t>the</w:t>
      </w:r>
      <w:proofErr w:type="spellEnd"/>
      <w:r w:rsidR="009100FC" w:rsidRPr="009100FC">
        <w:t xml:space="preserve"> </w:t>
      </w:r>
      <w:proofErr w:type="spellStart"/>
      <w:r w:rsidR="009100FC" w:rsidRPr="009100FC">
        <w:t>tested</w:t>
      </w:r>
      <w:proofErr w:type="spellEnd"/>
      <w:r w:rsidR="009100FC" w:rsidRPr="009100FC">
        <w:t xml:space="preserve"> </w:t>
      </w:r>
      <w:proofErr w:type="spellStart"/>
      <w:r w:rsidR="009100FC" w:rsidRPr="009100FC">
        <w:t>substances</w:t>
      </w:r>
      <w:proofErr w:type="spellEnd"/>
      <w:r w:rsidR="009100FC" w:rsidRPr="009100FC">
        <w:t xml:space="preserve"> </w:t>
      </w:r>
      <w:proofErr w:type="spellStart"/>
      <w:r w:rsidR="009100FC" w:rsidRPr="009100FC">
        <w:t>have</w:t>
      </w:r>
      <w:proofErr w:type="spellEnd"/>
      <w:r w:rsidR="009100FC" w:rsidRPr="009100FC">
        <w:t xml:space="preserve"> </w:t>
      </w:r>
      <w:proofErr w:type="spellStart"/>
      <w:r w:rsidR="009100FC" w:rsidRPr="009100FC">
        <w:t>an</w:t>
      </w:r>
      <w:proofErr w:type="spellEnd"/>
      <w:r w:rsidR="009100FC" w:rsidRPr="009100FC">
        <w:t xml:space="preserve"> </w:t>
      </w:r>
      <w:proofErr w:type="spellStart"/>
      <w:r w:rsidR="009100FC" w:rsidRPr="009100FC">
        <w:t>inducing</w:t>
      </w:r>
      <w:proofErr w:type="spellEnd"/>
      <w:r w:rsidR="009100FC" w:rsidRPr="009100FC">
        <w:t xml:space="preserve"> </w:t>
      </w:r>
      <w:proofErr w:type="spellStart"/>
      <w:r w:rsidR="009100FC" w:rsidRPr="009100FC">
        <w:t>effect</w:t>
      </w:r>
      <w:proofErr w:type="spellEnd"/>
      <w:r w:rsidR="009100FC" w:rsidRPr="009100FC">
        <w:t xml:space="preserve"> on </w:t>
      </w:r>
      <w:proofErr w:type="spellStart"/>
      <w:r w:rsidR="009100FC" w:rsidRPr="009100FC">
        <w:t>the</w:t>
      </w:r>
      <w:proofErr w:type="spellEnd"/>
      <w:r w:rsidR="009100FC" w:rsidRPr="009100FC">
        <w:t xml:space="preserve"> </w:t>
      </w:r>
      <w:proofErr w:type="spellStart"/>
      <w:r w:rsidR="009100FC" w:rsidRPr="009100FC">
        <w:t>transcriptional</w:t>
      </w:r>
      <w:proofErr w:type="spellEnd"/>
      <w:r w:rsidR="009100FC" w:rsidRPr="009100FC">
        <w:t xml:space="preserve"> </w:t>
      </w:r>
      <w:proofErr w:type="spellStart"/>
      <w:r w:rsidR="009100FC" w:rsidRPr="009100FC">
        <w:t>activity</w:t>
      </w:r>
      <w:proofErr w:type="spellEnd"/>
      <w:r w:rsidR="009100FC" w:rsidRPr="009100FC">
        <w:t xml:space="preserve"> </w:t>
      </w:r>
      <w:proofErr w:type="spellStart"/>
      <w:r w:rsidR="009100FC" w:rsidRPr="009100FC">
        <w:t>of</w:t>
      </w:r>
      <w:proofErr w:type="spellEnd"/>
      <w:r w:rsidR="009100FC" w:rsidRPr="009100FC">
        <w:t xml:space="preserve"> PXR.</w:t>
      </w:r>
      <w:r w:rsidR="00B90B7E">
        <w:br/>
      </w:r>
      <w:proofErr w:type="spellStart"/>
      <w:r w:rsidR="009100FC" w:rsidRPr="009100FC">
        <w:t>The</w:t>
      </w:r>
      <w:proofErr w:type="spellEnd"/>
      <w:r w:rsidR="009100FC" w:rsidRPr="009100FC">
        <w:t xml:space="preserve"> </w:t>
      </w:r>
      <w:proofErr w:type="spellStart"/>
      <w:r w:rsidR="009100FC" w:rsidRPr="009100FC">
        <w:t>greatest</w:t>
      </w:r>
      <w:proofErr w:type="spellEnd"/>
      <w:r w:rsidR="009100FC" w:rsidRPr="009100FC">
        <w:t xml:space="preserve"> </w:t>
      </w:r>
      <w:proofErr w:type="spellStart"/>
      <w:r w:rsidR="009100FC" w:rsidRPr="009100FC">
        <w:t>impact</w:t>
      </w:r>
      <w:proofErr w:type="spellEnd"/>
      <w:r w:rsidR="009100FC" w:rsidRPr="009100FC">
        <w:t xml:space="preserve"> on PXR </w:t>
      </w:r>
      <w:proofErr w:type="spellStart"/>
      <w:r w:rsidR="009100FC" w:rsidRPr="009100FC">
        <w:t>induction</w:t>
      </w:r>
      <w:proofErr w:type="spellEnd"/>
      <w:r w:rsidR="009100FC" w:rsidRPr="009100FC">
        <w:t xml:space="preserve"> </w:t>
      </w:r>
      <w:proofErr w:type="spellStart"/>
      <w:r w:rsidR="009100FC" w:rsidRPr="009100FC">
        <w:t>was</w:t>
      </w:r>
      <w:proofErr w:type="spellEnd"/>
      <w:r w:rsidR="009100FC" w:rsidRPr="009100FC">
        <w:t xml:space="preserve"> </w:t>
      </w:r>
      <w:proofErr w:type="spellStart"/>
      <w:r w:rsidR="009100FC" w:rsidRPr="009100FC">
        <w:t>observed</w:t>
      </w:r>
      <w:proofErr w:type="spellEnd"/>
      <w:r w:rsidR="009100FC" w:rsidRPr="009100FC">
        <w:t xml:space="preserve"> </w:t>
      </w:r>
      <w:proofErr w:type="spellStart"/>
      <w:r w:rsidR="009100FC" w:rsidRPr="009100FC">
        <w:t>with</w:t>
      </w:r>
      <w:proofErr w:type="spellEnd"/>
      <w:r w:rsidR="009100FC" w:rsidRPr="009100FC">
        <w:t xml:space="preserve"> </w:t>
      </w:r>
      <w:proofErr w:type="spellStart"/>
      <w:r w:rsidR="009100FC" w:rsidRPr="009100FC">
        <w:t>the</w:t>
      </w:r>
      <w:proofErr w:type="spellEnd"/>
      <w:r w:rsidR="009100FC" w:rsidRPr="009100FC">
        <w:t xml:space="preserve"> </w:t>
      </w:r>
      <w:proofErr w:type="spellStart"/>
      <w:r w:rsidR="009100FC" w:rsidRPr="009100FC">
        <w:t>substances</w:t>
      </w:r>
      <w:proofErr w:type="spellEnd"/>
      <w:r w:rsidR="009100FC" w:rsidRPr="009100FC">
        <w:t xml:space="preserve"> R-</w:t>
      </w:r>
      <w:proofErr w:type="spellStart"/>
      <w:r w:rsidR="009100FC" w:rsidRPr="009100FC">
        <w:t>carvone</w:t>
      </w:r>
      <w:proofErr w:type="spellEnd"/>
      <w:r w:rsidR="009100FC" w:rsidRPr="009100FC">
        <w:t>,</w:t>
      </w:r>
      <w:r w:rsidR="00241AA2">
        <w:br/>
      </w:r>
      <w:r w:rsidR="009100FC" w:rsidRPr="009100FC">
        <w:t xml:space="preserve">3-methyl-S-carvone, </w:t>
      </w:r>
      <w:proofErr w:type="spellStart"/>
      <w:r w:rsidR="009100FC" w:rsidRPr="009100FC">
        <w:t>piperitenone</w:t>
      </w:r>
      <w:proofErr w:type="spellEnd"/>
      <w:r w:rsidR="009100FC" w:rsidRPr="009100FC">
        <w:t xml:space="preserve">, and EN2, </w:t>
      </w:r>
      <w:proofErr w:type="spellStart"/>
      <w:r w:rsidR="009100FC" w:rsidRPr="009100FC">
        <w:t>while</w:t>
      </w:r>
      <w:proofErr w:type="spellEnd"/>
      <w:r w:rsidR="009100FC" w:rsidRPr="009100FC">
        <w:t xml:space="preserve"> </w:t>
      </w:r>
      <w:proofErr w:type="spellStart"/>
      <w:r w:rsidR="009100FC" w:rsidRPr="009100FC">
        <w:t>the</w:t>
      </w:r>
      <w:proofErr w:type="spellEnd"/>
      <w:r w:rsidR="009100FC" w:rsidRPr="009100FC">
        <w:t xml:space="preserve"> substance S</w:t>
      </w:r>
      <w:proofErr w:type="gramStart"/>
      <w:r w:rsidR="009100FC" w:rsidRPr="009100FC">
        <w:t>-</w:t>
      </w:r>
      <w:r w:rsidR="003972CD">
        <w:t>(</w:t>
      </w:r>
      <w:proofErr w:type="gramEnd"/>
      <w:r w:rsidR="003972CD">
        <w:t>-)-</w:t>
      </w:r>
      <w:proofErr w:type="spellStart"/>
      <w:r w:rsidR="009100FC" w:rsidRPr="009100FC">
        <w:t>perillyl</w:t>
      </w:r>
      <w:proofErr w:type="spellEnd"/>
      <w:r w:rsidR="009100FC" w:rsidRPr="009100FC">
        <w:t xml:space="preserve"> </w:t>
      </w:r>
      <w:proofErr w:type="spellStart"/>
      <w:r w:rsidR="009100FC" w:rsidRPr="009100FC">
        <w:t>alcohol</w:t>
      </w:r>
      <w:proofErr w:type="spellEnd"/>
      <w:r w:rsidR="009100FC" w:rsidRPr="009100FC">
        <w:t xml:space="preserve"> had </w:t>
      </w:r>
      <w:proofErr w:type="spellStart"/>
      <w:r w:rsidR="009100FC" w:rsidRPr="009100FC">
        <w:t>the</w:t>
      </w:r>
      <w:proofErr w:type="spellEnd"/>
      <w:r w:rsidR="009100FC" w:rsidRPr="009100FC">
        <w:t xml:space="preserve"> least </w:t>
      </w:r>
      <w:proofErr w:type="spellStart"/>
      <w:r w:rsidR="009100FC" w:rsidRPr="009100FC">
        <w:t>effect</w:t>
      </w:r>
      <w:proofErr w:type="spellEnd"/>
      <w:r w:rsidR="009100FC" w:rsidRPr="009100FC">
        <w:t xml:space="preserve"> on PXR </w:t>
      </w:r>
      <w:proofErr w:type="spellStart"/>
      <w:r w:rsidR="009100FC" w:rsidRPr="009100FC">
        <w:t>activation</w:t>
      </w:r>
      <w:proofErr w:type="spellEnd"/>
      <w:r w:rsidR="009100FC" w:rsidRPr="009100FC">
        <w:t xml:space="preserve">. It </w:t>
      </w:r>
      <w:proofErr w:type="spellStart"/>
      <w:r w:rsidR="009100FC" w:rsidRPr="009100FC">
        <w:t>was</w:t>
      </w:r>
      <w:proofErr w:type="spellEnd"/>
      <w:r w:rsidR="009100FC" w:rsidRPr="009100FC">
        <w:t xml:space="preserve"> </w:t>
      </w:r>
      <w:proofErr w:type="spellStart"/>
      <w:r w:rsidR="009100FC" w:rsidRPr="009100FC">
        <w:t>also</w:t>
      </w:r>
      <w:proofErr w:type="spellEnd"/>
      <w:r w:rsidR="009100FC" w:rsidRPr="009100FC">
        <w:t xml:space="preserve"> </w:t>
      </w:r>
      <w:proofErr w:type="spellStart"/>
      <w:r w:rsidR="009100FC" w:rsidRPr="009100FC">
        <w:t>found</w:t>
      </w:r>
      <w:proofErr w:type="spellEnd"/>
      <w:r w:rsidR="009100FC" w:rsidRPr="009100FC">
        <w:t xml:space="preserve"> </w:t>
      </w:r>
      <w:proofErr w:type="spellStart"/>
      <w:r w:rsidR="009100FC" w:rsidRPr="009100FC">
        <w:t>that</w:t>
      </w:r>
      <w:proofErr w:type="spellEnd"/>
      <w:r w:rsidR="009100FC" w:rsidRPr="009100FC">
        <w:t xml:space="preserve"> </w:t>
      </w:r>
      <w:proofErr w:type="spellStart"/>
      <w:r w:rsidR="009100FC" w:rsidRPr="009100FC">
        <w:t>none</w:t>
      </w:r>
      <w:proofErr w:type="spellEnd"/>
      <w:r w:rsidR="009100FC" w:rsidRPr="009100FC">
        <w:t xml:space="preserve"> </w:t>
      </w:r>
      <w:proofErr w:type="spellStart"/>
      <w:r w:rsidR="009100FC" w:rsidRPr="009100FC">
        <w:t>of</w:t>
      </w:r>
      <w:proofErr w:type="spellEnd"/>
      <w:r w:rsidR="009100FC" w:rsidRPr="009100FC">
        <w:t xml:space="preserve"> </w:t>
      </w:r>
      <w:proofErr w:type="spellStart"/>
      <w:r w:rsidR="009100FC" w:rsidRPr="009100FC">
        <w:t>the</w:t>
      </w:r>
      <w:proofErr w:type="spellEnd"/>
      <w:r w:rsidR="009100FC" w:rsidRPr="009100FC">
        <w:t xml:space="preserve"> </w:t>
      </w:r>
      <w:proofErr w:type="spellStart"/>
      <w:r w:rsidR="009100FC" w:rsidRPr="009100FC">
        <w:t>tested</w:t>
      </w:r>
      <w:proofErr w:type="spellEnd"/>
      <w:r w:rsidR="009100FC" w:rsidRPr="009100FC">
        <w:t xml:space="preserve"> </w:t>
      </w:r>
      <w:proofErr w:type="spellStart"/>
      <w:r w:rsidR="009100FC" w:rsidRPr="009100FC">
        <w:t>substances</w:t>
      </w:r>
      <w:proofErr w:type="spellEnd"/>
      <w:r w:rsidR="009100FC" w:rsidRPr="009100FC">
        <w:t xml:space="preserve"> </w:t>
      </w:r>
      <w:proofErr w:type="spellStart"/>
      <w:r w:rsidR="009100FC" w:rsidRPr="009100FC">
        <w:t>were</w:t>
      </w:r>
      <w:proofErr w:type="spellEnd"/>
      <w:r w:rsidR="009100FC" w:rsidRPr="009100FC">
        <w:t xml:space="preserve"> PXR </w:t>
      </w:r>
      <w:proofErr w:type="spellStart"/>
      <w:r w:rsidR="009100FC" w:rsidRPr="009100FC">
        <w:t>antagonists</w:t>
      </w:r>
      <w:proofErr w:type="spellEnd"/>
      <w:r w:rsidR="009100FC" w:rsidRPr="009100FC">
        <w:t xml:space="preserve">. </w:t>
      </w:r>
      <w:proofErr w:type="spellStart"/>
      <w:r w:rsidR="009100FC" w:rsidRPr="009100FC">
        <w:t>This</w:t>
      </w:r>
      <w:proofErr w:type="spellEnd"/>
      <w:r w:rsidR="009100FC" w:rsidRPr="009100FC">
        <w:t xml:space="preserve"> </w:t>
      </w:r>
      <w:proofErr w:type="spellStart"/>
      <w:r w:rsidR="009100FC" w:rsidRPr="009100FC">
        <w:t>bachelor</w:t>
      </w:r>
      <w:proofErr w:type="spellEnd"/>
      <w:r w:rsidR="009100FC" w:rsidRPr="009100FC">
        <w:t xml:space="preserve"> thesis </w:t>
      </w:r>
      <w:proofErr w:type="spellStart"/>
      <w:r w:rsidR="009100FC" w:rsidRPr="009100FC">
        <w:t>deepens</w:t>
      </w:r>
      <w:proofErr w:type="spellEnd"/>
      <w:r w:rsidR="009100FC" w:rsidRPr="009100FC">
        <w:t xml:space="preserve"> </w:t>
      </w:r>
      <w:proofErr w:type="spellStart"/>
      <w:r w:rsidR="009100FC" w:rsidRPr="009100FC">
        <w:t>the</w:t>
      </w:r>
      <w:proofErr w:type="spellEnd"/>
      <w:r w:rsidR="009100FC" w:rsidRPr="009100FC">
        <w:t xml:space="preserve"> </w:t>
      </w:r>
      <w:proofErr w:type="spellStart"/>
      <w:r w:rsidR="009100FC" w:rsidRPr="009100FC">
        <w:t>knowledge</w:t>
      </w:r>
      <w:proofErr w:type="spellEnd"/>
      <w:r w:rsidR="009100FC" w:rsidRPr="009100FC">
        <w:t xml:space="preserve"> </w:t>
      </w:r>
      <w:proofErr w:type="spellStart"/>
      <w:r w:rsidR="009100FC" w:rsidRPr="009100FC">
        <w:t>about</w:t>
      </w:r>
      <w:proofErr w:type="spellEnd"/>
      <w:r w:rsidR="009100FC" w:rsidRPr="009100FC">
        <w:t xml:space="preserve"> </w:t>
      </w:r>
      <w:proofErr w:type="spellStart"/>
      <w:r w:rsidR="009100FC" w:rsidRPr="009100FC">
        <w:t>the</w:t>
      </w:r>
      <w:proofErr w:type="spellEnd"/>
      <w:r w:rsidR="009100FC" w:rsidRPr="009100FC">
        <w:t xml:space="preserve"> </w:t>
      </w:r>
      <w:proofErr w:type="spellStart"/>
      <w:r w:rsidR="009100FC" w:rsidRPr="009100FC">
        <w:t>effect</w:t>
      </w:r>
      <w:r w:rsidR="00C610F6">
        <w:t>s</w:t>
      </w:r>
      <w:proofErr w:type="spellEnd"/>
      <w:r w:rsidR="009100FC" w:rsidRPr="009100FC">
        <w:t xml:space="preserve"> </w:t>
      </w:r>
      <w:proofErr w:type="spellStart"/>
      <w:r w:rsidR="009100FC" w:rsidRPr="009100FC">
        <w:t>of</w:t>
      </w:r>
      <w:proofErr w:type="spellEnd"/>
      <w:r w:rsidR="009100FC" w:rsidRPr="009100FC">
        <w:t xml:space="preserve"> </w:t>
      </w:r>
      <w:proofErr w:type="spellStart"/>
      <w:r w:rsidR="009100FC" w:rsidRPr="009100FC">
        <w:t>individual</w:t>
      </w:r>
      <w:proofErr w:type="spellEnd"/>
      <w:r w:rsidR="009100FC" w:rsidRPr="009100FC">
        <w:t xml:space="preserve"> </w:t>
      </w:r>
      <w:proofErr w:type="spellStart"/>
      <w:r w:rsidR="009100FC" w:rsidRPr="009100FC">
        <w:t>components</w:t>
      </w:r>
      <w:proofErr w:type="spellEnd"/>
      <w:r w:rsidR="009100FC" w:rsidRPr="009100FC">
        <w:t xml:space="preserve"> </w:t>
      </w:r>
      <w:proofErr w:type="spellStart"/>
      <w:r w:rsidR="009100FC" w:rsidRPr="009100FC">
        <w:t>of</w:t>
      </w:r>
      <w:proofErr w:type="spellEnd"/>
      <w:r w:rsidR="009100FC" w:rsidRPr="009100FC">
        <w:t xml:space="preserve"> </w:t>
      </w:r>
      <w:r w:rsidR="0017662A">
        <w:t xml:space="preserve">plant </w:t>
      </w:r>
      <w:proofErr w:type="spellStart"/>
      <w:r w:rsidR="009100FC" w:rsidRPr="009100FC">
        <w:t>essential</w:t>
      </w:r>
      <w:proofErr w:type="spellEnd"/>
      <w:r w:rsidR="009100FC" w:rsidRPr="009100FC">
        <w:t xml:space="preserve"> </w:t>
      </w:r>
      <w:proofErr w:type="spellStart"/>
      <w:r w:rsidR="009100FC" w:rsidRPr="009100FC">
        <w:t>oils</w:t>
      </w:r>
      <w:proofErr w:type="spellEnd"/>
      <w:r w:rsidR="009100FC" w:rsidRPr="009100FC">
        <w:t xml:space="preserve"> on </w:t>
      </w:r>
      <w:proofErr w:type="spellStart"/>
      <w:r w:rsidR="009100FC" w:rsidRPr="009100FC">
        <w:t>the</w:t>
      </w:r>
      <w:proofErr w:type="spellEnd"/>
      <w:r w:rsidR="009100FC" w:rsidRPr="009100FC">
        <w:t xml:space="preserve"> </w:t>
      </w:r>
      <w:proofErr w:type="spellStart"/>
      <w:r w:rsidR="009100FC" w:rsidRPr="009100FC">
        <w:t>transcriptional</w:t>
      </w:r>
      <w:proofErr w:type="spellEnd"/>
      <w:r w:rsidR="009100FC" w:rsidRPr="009100FC">
        <w:t xml:space="preserve"> </w:t>
      </w:r>
      <w:proofErr w:type="spellStart"/>
      <w:r w:rsidR="009100FC" w:rsidRPr="009100FC">
        <w:t>activity</w:t>
      </w:r>
      <w:proofErr w:type="spellEnd"/>
      <w:r w:rsidR="009100FC" w:rsidRPr="009100FC">
        <w:t xml:space="preserve"> </w:t>
      </w:r>
      <w:proofErr w:type="spellStart"/>
      <w:r w:rsidR="009100FC" w:rsidRPr="009100FC">
        <w:t>of</w:t>
      </w:r>
      <w:proofErr w:type="spellEnd"/>
      <w:r w:rsidR="009100FC" w:rsidRPr="009100FC">
        <w:t xml:space="preserve"> PXR.</w:t>
      </w:r>
    </w:p>
    <w:p w14:paraId="6422800D" w14:textId="77777777" w:rsidR="008D2D82" w:rsidRDefault="008D2D82" w:rsidP="00AE5FFB"/>
    <w:p w14:paraId="396F6157" w14:textId="77777777" w:rsidR="008D2D82" w:rsidRDefault="008D2D82" w:rsidP="00AE5FFB"/>
    <w:p w14:paraId="7A1FCB6C" w14:textId="77777777" w:rsidR="008D2D82" w:rsidRDefault="008D2D82" w:rsidP="00AE5FFB"/>
    <w:p w14:paraId="1B86F064" w14:textId="77777777" w:rsidR="008D2D82" w:rsidRDefault="008D2D82" w:rsidP="00AE5FFB"/>
    <w:p w14:paraId="5EA3F8FF" w14:textId="77777777" w:rsidR="008D2D82" w:rsidRDefault="008D2D82" w:rsidP="00AE5FFB"/>
    <w:p w14:paraId="75B0C430" w14:textId="77777777" w:rsidR="008D2D82" w:rsidRDefault="008D2D82" w:rsidP="00AE5FFB"/>
    <w:p w14:paraId="142E028A" w14:textId="77777777" w:rsidR="008D2D82" w:rsidRDefault="008D2D82" w:rsidP="00AE5FFB"/>
    <w:p w14:paraId="3960948B" w14:textId="77777777" w:rsidR="008D2D82" w:rsidRDefault="008D2D82" w:rsidP="00AE5FFB"/>
    <w:p w14:paraId="388AA9B9" w14:textId="77777777" w:rsidR="008D2D82" w:rsidRDefault="008D2D82" w:rsidP="00AE5FFB"/>
    <w:p w14:paraId="56A3F42A" w14:textId="77777777" w:rsidR="008D2D82" w:rsidRDefault="008D2D82" w:rsidP="00AE5FFB"/>
    <w:p w14:paraId="667B7497" w14:textId="77777777" w:rsidR="008D2D82" w:rsidRDefault="008D2D82" w:rsidP="00AE5FFB"/>
    <w:p w14:paraId="62DB62C8" w14:textId="77777777" w:rsidR="008D2D82" w:rsidRDefault="008D2D82" w:rsidP="00AE5FFB"/>
    <w:p w14:paraId="0C792783" w14:textId="77777777" w:rsidR="008D2D82" w:rsidRDefault="008D2D82" w:rsidP="00AE5FFB"/>
    <w:p w14:paraId="1B64BAAC" w14:textId="77777777" w:rsidR="008D2D82" w:rsidRDefault="008D2D82" w:rsidP="00AE5FFB"/>
    <w:p w14:paraId="57F63B15" w14:textId="77777777" w:rsidR="008D2D82" w:rsidRDefault="008D2D82" w:rsidP="00AE5FFB"/>
    <w:p w14:paraId="68107E67" w14:textId="77777777" w:rsidR="00647050" w:rsidRDefault="00647050" w:rsidP="00AE5FFB"/>
    <w:p w14:paraId="6E89A551" w14:textId="77777777" w:rsidR="008D2D82" w:rsidRDefault="008D2D82" w:rsidP="00AE5FFB"/>
    <w:p w14:paraId="6B595994" w14:textId="77777777" w:rsidR="008D2D82" w:rsidRDefault="008D2D82" w:rsidP="00AE5FFB"/>
    <w:p w14:paraId="54416FE9" w14:textId="549938DF" w:rsidR="008D2D82" w:rsidRPr="00350F8C" w:rsidRDefault="00175337" w:rsidP="00AE5FFB">
      <w:pPr>
        <w:rPr>
          <w:b/>
          <w:bCs/>
        </w:rPr>
      </w:pPr>
      <w:r w:rsidRPr="00350F8C">
        <w:rPr>
          <w:b/>
          <w:bCs/>
        </w:rPr>
        <w:t>Prohlášení</w:t>
      </w:r>
    </w:p>
    <w:p w14:paraId="1FE136C5" w14:textId="626D1D3D" w:rsidR="00B277B0" w:rsidRDefault="001861EB" w:rsidP="00BE3340">
      <w:pPr>
        <w:ind w:firstLine="708"/>
      </w:pPr>
      <w:r>
        <w:t>Prohlašuji, že jsem tuto bakalářkou práci vypracoval</w:t>
      </w:r>
      <w:r w:rsidR="00F94E2E">
        <w:t>a</w:t>
      </w:r>
      <w:r>
        <w:t xml:space="preserve"> samostatně v průběhu bakalářského studia pod vedením Mgr. </w:t>
      </w:r>
      <w:r w:rsidR="00577F36">
        <w:t xml:space="preserve">Ivety </w:t>
      </w:r>
      <w:proofErr w:type="spellStart"/>
      <w:r w:rsidR="00577F36">
        <w:t>Zůvalové</w:t>
      </w:r>
      <w:proofErr w:type="spellEnd"/>
      <w:r w:rsidR="00BE3340">
        <w:t>,</w:t>
      </w:r>
      <w:r w:rsidR="00577F36">
        <w:t xml:space="preserve"> Ph.D. s použitím uvedených literárních zdrojů.</w:t>
      </w:r>
    </w:p>
    <w:p w14:paraId="19F06120" w14:textId="77777777" w:rsidR="00BE422A" w:rsidRDefault="00BE422A" w:rsidP="00AE5FFB"/>
    <w:p w14:paraId="58C11F6F" w14:textId="67EEFC53" w:rsidR="00DC43C1" w:rsidRDefault="00577F36" w:rsidP="00AE5FFB">
      <w:r>
        <w:t>V Olomouci dne</w:t>
      </w:r>
      <w:r w:rsidR="00DC43C1">
        <w:t>: ……………………</w:t>
      </w:r>
      <w:r w:rsidR="00DC43C1">
        <w:tab/>
      </w:r>
      <w:r w:rsidR="00DC43C1">
        <w:tab/>
      </w:r>
      <w:r w:rsidR="00DC43C1">
        <w:tab/>
      </w:r>
      <w:r w:rsidR="006411AB">
        <w:tab/>
      </w:r>
      <w:r w:rsidR="00DC43C1">
        <w:t>………………………</w:t>
      </w:r>
      <w:r w:rsidR="006411AB">
        <w:t>…….</w:t>
      </w:r>
    </w:p>
    <w:p w14:paraId="5C6C8E29" w14:textId="5EACD865" w:rsidR="00EB6363" w:rsidRPr="00DC43C1" w:rsidRDefault="00DC43C1" w:rsidP="00AE5FFB">
      <w:r>
        <w:rPr>
          <w:b/>
          <w:bCs/>
        </w:rPr>
        <w:tab/>
      </w:r>
      <w:r>
        <w:rPr>
          <w:b/>
          <w:bCs/>
        </w:rPr>
        <w:tab/>
      </w:r>
      <w:r>
        <w:rPr>
          <w:b/>
          <w:bCs/>
        </w:rPr>
        <w:tab/>
      </w:r>
      <w:r>
        <w:rPr>
          <w:b/>
          <w:bCs/>
        </w:rPr>
        <w:tab/>
      </w:r>
      <w:r>
        <w:rPr>
          <w:b/>
          <w:bCs/>
        </w:rPr>
        <w:tab/>
      </w:r>
      <w:r>
        <w:rPr>
          <w:b/>
          <w:bCs/>
        </w:rPr>
        <w:tab/>
      </w:r>
      <w:r>
        <w:rPr>
          <w:b/>
          <w:bCs/>
        </w:rPr>
        <w:tab/>
      </w:r>
      <w:r>
        <w:rPr>
          <w:b/>
          <w:bCs/>
        </w:rPr>
        <w:tab/>
      </w:r>
      <w:r w:rsidR="006411AB">
        <w:rPr>
          <w:b/>
          <w:bCs/>
        </w:rPr>
        <w:tab/>
        <w:t xml:space="preserve">       </w:t>
      </w:r>
      <w:r w:rsidRPr="00DC43C1">
        <w:t>Adéla Matejzíková</w:t>
      </w:r>
    </w:p>
    <w:p w14:paraId="704A9F72" w14:textId="77777777" w:rsidR="00477C75" w:rsidRDefault="00477C75" w:rsidP="00AE5FFB">
      <w:pPr>
        <w:sectPr w:rsidR="00477C75" w:rsidSect="00040668">
          <w:pgSz w:w="11906" w:h="16838"/>
          <w:pgMar w:top="1417" w:right="1417" w:bottom="1417" w:left="1417" w:header="708" w:footer="708" w:gutter="0"/>
          <w:pgNumType w:fmt="lowerRoman"/>
          <w:cols w:space="708"/>
          <w:titlePg/>
          <w:docGrid w:linePitch="360"/>
        </w:sectPr>
      </w:pPr>
    </w:p>
    <w:p w14:paraId="6B6FFAFC" w14:textId="77777777" w:rsidR="00EB6363" w:rsidRDefault="00EB6363" w:rsidP="00AE5FFB"/>
    <w:p w14:paraId="0D5DEE4D" w14:textId="77777777" w:rsidR="00EB6363" w:rsidRDefault="00EB6363" w:rsidP="00AE5FFB"/>
    <w:p w14:paraId="749E3DE3" w14:textId="77777777" w:rsidR="00EB6363" w:rsidRDefault="00EB6363" w:rsidP="00AE5FFB"/>
    <w:p w14:paraId="5B1FB60B" w14:textId="77777777" w:rsidR="00EB6363" w:rsidRDefault="00EB6363" w:rsidP="00AE5FFB"/>
    <w:p w14:paraId="577D562B" w14:textId="77777777" w:rsidR="00EB6363" w:rsidRDefault="00EB6363" w:rsidP="00AE5FFB"/>
    <w:p w14:paraId="351A63A8" w14:textId="77777777" w:rsidR="00EB6363" w:rsidRDefault="00EB6363" w:rsidP="00AE5FFB"/>
    <w:p w14:paraId="25CB3008" w14:textId="77777777" w:rsidR="00EB6363" w:rsidRDefault="00EB6363" w:rsidP="00AE5FFB"/>
    <w:p w14:paraId="019D58BD" w14:textId="77777777" w:rsidR="00EB6363" w:rsidRDefault="00EB6363" w:rsidP="00AE5FFB"/>
    <w:p w14:paraId="263CD7F1" w14:textId="77777777" w:rsidR="00EB6363" w:rsidRDefault="00EB6363" w:rsidP="00AE5FFB"/>
    <w:p w14:paraId="17A10400" w14:textId="77777777" w:rsidR="00EB6363" w:rsidRDefault="00EB6363" w:rsidP="00AE5FFB"/>
    <w:p w14:paraId="3EF6E3A8" w14:textId="77777777" w:rsidR="00EB6363" w:rsidRDefault="00EB6363" w:rsidP="00AE5FFB"/>
    <w:p w14:paraId="2C7BD661" w14:textId="77777777" w:rsidR="00EB6363" w:rsidRDefault="00EB6363" w:rsidP="00AE5FFB"/>
    <w:p w14:paraId="045902B5" w14:textId="77777777" w:rsidR="00EB6363" w:rsidRDefault="00EB6363" w:rsidP="00AE5FFB"/>
    <w:p w14:paraId="7F2DAE42" w14:textId="77777777" w:rsidR="00EB6363" w:rsidRDefault="00EB6363" w:rsidP="00AE5FFB"/>
    <w:p w14:paraId="3F0EA2C5" w14:textId="77777777" w:rsidR="00EB6363" w:rsidRDefault="00EB6363" w:rsidP="00AE5FFB"/>
    <w:p w14:paraId="6E7EE14F" w14:textId="77777777" w:rsidR="00EB6363" w:rsidRDefault="00EB6363" w:rsidP="00AE5FFB"/>
    <w:p w14:paraId="6D6D50D7" w14:textId="77777777" w:rsidR="00EB6363" w:rsidRDefault="00EB6363" w:rsidP="00AE5FFB"/>
    <w:p w14:paraId="78F776AF" w14:textId="77777777" w:rsidR="00BE3340" w:rsidRDefault="00BE3340" w:rsidP="00AE5FFB"/>
    <w:p w14:paraId="7E30A2BB" w14:textId="77777777" w:rsidR="00BE3340" w:rsidRDefault="00BE3340" w:rsidP="00AE5FFB"/>
    <w:p w14:paraId="22D84BC9" w14:textId="1673815C" w:rsidR="00EB6363" w:rsidRPr="00762580" w:rsidRDefault="00830A68" w:rsidP="00AE5FFB">
      <w:pPr>
        <w:rPr>
          <w:b/>
          <w:bCs/>
        </w:rPr>
      </w:pPr>
      <w:r w:rsidRPr="00762580">
        <w:rPr>
          <w:b/>
          <w:bCs/>
        </w:rPr>
        <w:t>Poděkování</w:t>
      </w:r>
    </w:p>
    <w:p w14:paraId="79D3C1AF" w14:textId="4BD1A27F" w:rsidR="00BE3340" w:rsidRPr="00762580" w:rsidRDefault="00830A68" w:rsidP="00AE5FFB">
      <w:pPr>
        <w:sectPr w:rsidR="00BE3340" w:rsidRPr="00762580" w:rsidSect="00040668">
          <w:pgSz w:w="11906" w:h="16838"/>
          <w:pgMar w:top="1417" w:right="1417" w:bottom="1417" w:left="1417" w:header="708" w:footer="708" w:gutter="0"/>
          <w:pgNumType w:fmt="lowerRoman"/>
          <w:cols w:space="708"/>
          <w:titlePg/>
          <w:docGrid w:linePitch="360"/>
        </w:sectPr>
      </w:pPr>
      <w:r>
        <w:tab/>
        <w:t xml:space="preserve">V prvé řadě bych ráda poděkovala vedoucí své bakalářské práce, </w:t>
      </w:r>
      <w:r w:rsidR="00762580">
        <w:t xml:space="preserve">Mgr. Ivetě </w:t>
      </w:r>
      <w:proofErr w:type="spellStart"/>
      <w:r w:rsidR="00762580">
        <w:t>Zůvalové</w:t>
      </w:r>
      <w:proofErr w:type="spellEnd"/>
      <w:r w:rsidR="00762580">
        <w:t>, Ph</w:t>
      </w:r>
      <w:r w:rsidR="005D6105">
        <w:t>.</w:t>
      </w:r>
      <w:r w:rsidR="00762580">
        <w:t xml:space="preserve">D., </w:t>
      </w:r>
      <w:r w:rsidR="00E2023F">
        <w:t xml:space="preserve">za </w:t>
      </w:r>
      <w:r w:rsidR="002B1CC6">
        <w:t>odbornou pomoc při zpracovávání této bakalářské prác</w:t>
      </w:r>
      <w:r w:rsidR="00873ADD">
        <w:t>e</w:t>
      </w:r>
      <w:r w:rsidR="00683409">
        <w:t xml:space="preserve">, </w:t>
      </w:r>
      <w:r w:rsidR="007F0171">
        <w:t>za vstřícnost a cenné rady při práci v</w:t>
      </w:r>
      <w:r w:rsidR="00B35CA7">
        <w:t> </w:t>
      </w:r>
      <w:r w:rsidR="007F0171">
        <w:t>laboratoři</w:t>
      </w:r>
      <w:r w:rsidR="00B35CA7">
        <w:t xml:space="preserve"> a </w:t>
      </w:r>
      <w:r w:rsidR="0091719B">
        <w:t xml:space="preserve">za </w:t>
      </w:r>
      <w:r w:rsidR="00B35CA7">
        <w:t>čas, který mi věnovala</w:t>
      </w:r>
      <w:r w:rsidR="00BC6A41">
        <w:t xml:space="preserve">. Také bych chtěla poděkovat </w:t>
      </w:r>
      <w:r w:rsidR="00221F77">
        <w:t>kolektiv</w:t>
      </w:r>
      <w:r w:rsidR="00A56CBC">
        <w:t>u Katedry buněčné biologie a genetik</w:t>
      </w:r>
      <w:r w:rsidR="00555D45">
        <w:t xml:space="preserve">y </w:t>
      </w:r>
      <w:r w:rsidR="00400872">
        <w:t>za ochotu při práci v</w:t>
      </w:r>
      <w:r w:rsidR="009A5E89">
        <w:t> </w:t>
      </w:r>
      <w:r w:rsidR="00400872">
        <w:t>laboratoři</w:t>
      </w:r>
      <w:r w:rsidR="009A5E89">
        <w:t>. Nakonec bych ráda poděkovala</w:t>
      </w:r>
      <w:r w:rsidR="00226CBC">
        <w:t xml:space="preserve"> své</w:t>
      </w:r>
      <w:r w:rsidR="009A5E89">
        <w:t xml:space="preserve"> </w:t>
      </w:r>
      <w:r w:rsidR="00F47BDA">
        <w:t>rodině a přátelům, kteří mě po celou do</w:t>
      </w:r>
      <w:r w:rsidR="00A31CB4">
        <w:t>bu</w:t>
      </w:r>
      <w:r w:rsidR="00E22DFC">
        <w:t xml:space="preserve"> studia podporovali.</w:t>
      </w:r>
    </w:p>
    <w:p w14:paraId="38913CE9" w14:textId="3A08EFDE" w:rsidR="00200599" w:rsidRPr="0025679B" w:rsidRDefault="00200599" w:rsidP="0025679B">
      <w:pPr>
        <w:pStyle w:val="Nzev"/>
        <w:spacing w:line="360" w:lineRule="auto"/>
        <w:rPr>
          <w:rFonts w:ascii="Times New Roman" w:hAnsi="Times New Roman" w:cs="Times New Roman"/>
          <w:b/>
          <w:bCs/>
          <w:sz w:val="32"/>
          <w:szCs w:val="32"/>
        </w:rPr>
      </w:pPr>
      <w:r w:rsidRPr="0025679B">
        <w:rPr>
          <w:rFonts w:ascii="Times New Roman" w:hAnsi="Times New Roman" w:cs="Times New Roman"/>
          <w:b/>
          <w:bCs/>
          <w:sz w:val="32"/>
          <w:szCs w:val="32"/>
        </w:rPr>
        <w:lastRenderedPageBreak/>
        <w:t>OBSAH</w:t>
      </w:r>
    </w:p>
    <w:p w14:paraId="24F888E7" w14:textId="33F877F6" w:rsidR="00017714" w:rsidRDefault="000763B3">
      <w:pPr>
        <w:pStyle w:val="Obsah1"/>
        <w:rPr>
          <w:rFonts w:asciiTheme="minorHAnsi" w:eastAsiaTheme="minorEastAsia" w:hAnsiTheme="minorHAnsi" w:cstheme="minorBidi"/>
          <w:b w:val="0"/>
          <w:bCs w:val="0"/>
          <w:lang w:eastAsia="cs-CZ"/>
        </w:rPr>
      </w:pPr>
      <w:r>
        <w:fldChar w:fldCharType="begin"/>
      </w:r>
      <w:r>
        <w:instrText xml:space="preserve"> TOC \o "1-4" \u </w:instrText>
      </w:r>
      <w:r>
        <w:fldChar w:fldCharType="separate"/>
      </w:r>
      <w:r w:rsidR="00017714">
        <w:t>SEZNAM SYMBOLŮ A ZKRATEK</w:t>
      </w:r>
      <w:r w:rsidR="00017714">
        <w:tab/>
      </w:r>
      <w:r w:rsidR="00017714">
        <w:fldChar w:fldCharType="begin"/>
      </w:r>
      <w:r w:rsidR="00017714">
        <w:instrText xml:space="preserve"> PAGEREF _Toc165492870 \h </w:instrText>
      </w:r>
      <w:r w:rsidR="00017714">
        <w:fldChar w:fldCharType="separate"/>
      </w:r>
      <w:r w:rsidR="00A63ED2">
        <w:t>vii</w:t>
      </w:r>
      <w:r w:rsidR="00017714">
        <w:fldChar w:fldCharType="end"/>
      </w:r>
    </w:p>
    <w:p w14:paraId="6DA8DB2F" w14:textId="5FFD3DF0" w:rsidR="00017714" w:rsidRDefault="00017714">
      <w:pPr>
        <w:pStyle w:val="Obsah1"/>
        <w:rPr>
          <w:rFonts w:asciiTheme="minorHAnsi" w:eastAsiaTheme="minorEastAsia" w:hAnsiTheme="minorHAnsi" w:cstheme="minorBidi"/>
          <w:b w:val="0"/>
          <w:bCs w:val="0"/>
          <w:lang w:eastAsia="cs-CZ"/>
        </w:rPr>
      </w:pPr>
      <w:r>
        <w:t>SEZNAM OBRÁZKŮ</w:t>
      </w:r>
      <w:r>
        <w:tab/>
      </w:r>
      <w:r>
        <w:fldChar w:fldCharType="begin"/>
      </w:r>
      <w:r>
        <w:instrText xml:space="preserve"> PAGEREF _Toc165492871 \h </w:instrText>
      </w:r>
      <w:r>
        <w:fldChar w:fldCharType="separate"/>
      </w:r>
      <w:r w:rsidR="00A63ED2">
        <w:t>x</w:t>
      </w:r>
      <w:r>
        <w:fldChar w:fldCharType="end"/>
      </w:r>
    </w:p>
    <w:p w14:paraId="01ED8F0B" w14:textId="15B5A1CA" w:rsidR="00017714" w:rsidRDefault="00017714">
      <w:pPr>
        <w:pStyle w:val="Obsah1"/>
        <w:rPr>
          <w:rFonts w:asciiTheme="minorHAnsi" w:eastAsiaTheme="minorEastAsia" w:hAnsiTheme="minorHAnsi" w:cstheme="minorBidi"/>
          <w:b w:val="0"/>
          <w:bCs w:val="0"/>
          <w:lang w:eastAsia="cs-CZ"/>
        </w:rPr>
      </w:pPr>
      <w:r>
        <w:t>SEZNAM TABULEK</w:t>
      </w:r>
      <w:r>
        <w:tab/>
      </w:r>
      <w:r>
        <w:fldChar w:fldCharType="begin"/>
      </w:r>
      <w:r>
        <w:instrText xml:space="preserve"> PAGEREF _Toc165492872 \h </w:instrText>
      </w:r>
      <w:r>
        <w:fldChar w:fldCharType="separate"/>
      </w:r>
      <w:r w:rsidR="00A63ED2">
        <w:t>xi</w:t>
      </w:r>
      <w:r>
        <w:fldChar w:fldCharType="end"/>
      </w:r>
    </w:p>
    <w:p w14:paraId="11953AF1" w14:textId="1F820E88" w:rsidR="00017714" w:rsidRDefault="00017714">
      <w:pPr>
        <w:pStyle w:val="Obsah1"/>
        <w:rPr>
          <w:rFonts w:asciiTheme="minorHAnsi" w:eastAsiaTheme="minorEastAsia" w:hAnsiTheme="minorHAnsi" w:cstheme="minorBidi"/>
          <w:b w:val="0"/>
          <w:bCs w:val="0"/>
          <w:lang w:eastAsia="cs-CZ"/>
        </w:rPr>
      </w:pPr>
      <w:r>
        <w:t>1</w:t>
      </w:r>
      <w:r>
        <w:rPr>
          <w:rFonts w:asciiTheme="minorHAnsi" w:eastAsiaTheme="minorEastAsia" w:hAnsiTheme="minorHAnsi" w:cstheme="minorBidi"/>
          <w:b w:val="0"/>
          <w:bCs w:val="0"/>
          <w:lang w:eastAsia="cs-CZ"/>
        </w:rPr>
        <w:tab/>
      </w:r>
      <w:r>
        <w:t>ÚVOD</w:t>
      </w:r>
      <w:r>
        <w:tab/>
      </w:r>
      <w:r>
        <w:fldChar w:fldCharType="begin"/>
      </w:r>
      <w:r>
        <w:instrText xml:space="preserve"> PAGEREF _Toc165492873 \h </w:instrText>
      </w:r>
      <w:r>
        <w:fldChar w:fldCharType="separate"/>
      </w:r>
      <w:r w:rsidR="00A63ED2">
        <w:t>1</w:t>
      </w:r>
      <w:r>
        <w:fldChar w:fldCharType="end"/>
      </w:r>
    </w:p>
    <w:p w14:paraId="2502EDE5" w14:textId="168644C5" w:rsidR="00017714" w:rsidRDefault="00017714">
      <w:pPr>
        <w:pStyle w:val="Obsah1"/>
        <w:rPr>
          <w:rFonts w:asciiTheme="minorHAnsi" w:eastAsiaTheme="minorEastAsia" w:hAnsiTheme="minorHAnsi" w:cstheme="minorBidi"/>
          <w:b w:val="0"/>
          <w:bCs w:val="0"/>
          <w:lang w:eastAsia="cs-CZ"/>
        </w:rPr>
      </w:pPr>
      <w:r>
        <w:t>2</w:t>
      </w:r>
      <w:r>
        <w:rPr>
          <w:rFonts w:asciiTheme="minorHAnsi" w:eastAsiaTheme="minorEastAsia" w:hAnsiTheme="minorHAnsi" w:cstheme="minorBidi"/>
          <w:b w:val="0"/>
          <w:bCs w:val="0"/>
          <w:lang w:eastAsia="cs-CZ"/>
        </w:rPr>
        <w:tab/>
      </w:r>
      <w:r>
        <w:t>CÍLE PRÁCE</w:t>
      </w:r>
      <w:r>
        <w:tab/>
      </w:r>
      <w:r>
        <w:fldChar w:fldCharType="begin"/>
      </w:r>
      <w:r>
        <w:instrText xml:space="preserve"> PAGEREF _Toc165492874 \h </w:instrText>
      </w:r>
      <w:r>
        <w:fldChar w:fldCharType="separate"/>
      </w:r>
      <w:r w:rsidR="00A63ED2">
        <w:t>2</w:t>
      </w:r>
      <w:r>
        <w:fldChar w:fldCharType="end"/>
      </w:r>
    </w:p>
    <w:p w14:paraId="7C6D3976" w14:textId="4CF5A894" w:rsidR="00017714" w:rsidRDefault="00017714">
      <w:pPr>
        <w:pStyle w:val="Obsah1"/>
        <w:rPr>
          <w:rFonts w:asciiTheme="minorHAnsi" w:eastAsiaTheme="minorEastAsia" w:hAnsiTheme="minorHAnsi" w:cstheme="minorBidi"/>
          <w:b w:val="0"/>
          <w:bCs w:val="0"/>
          <w:lang w:eastAsia="cs-CZ"/>
        </w:rPr>
      </w:pPr>
      <w:r>
        <w:t>3</w:t>
      </w:r>
      <w:r>
        <w:rPr>
          <w:rFonts w:asciiTheme="minorHAnsi" w:eastAsiaTheme="minorEastAsia" w:hAnsiTheme="minorHAnsi" w:cstheme="minorBidi"/>
          <w:b w:val="0"/>
          <w:bCs w:val="0"/>
          <w:lang w:eastAsia="cs-CZ"/>
        </w:rPr>
        <w:tab/>
      </w:r>
      <w:r>
        <w:t>LITERÁRNÍ PŘEHLED</w:t>
      </w:r>
      <w:r>
        <w:tab/>
      </w:r>
      <w:r>
        <w:fldChar w:fldCharType="begin"/>
      </w:r>
      <w:r>
        <w:instrText xml:space="preserve"> PAGEREF _Toc165492875 \h </w:instrText>
      </w:r>
      <w:r>
        <w:fldChar w:fldCharType="separate"/>
      </w:r>
      <w:r w:rsidR="00A63ED2">
        <w:t>3</w:t>
      </w:r>
      <w:r>
        <w:fldChar w:fldCharType="end"/>
      </w:r>
    </w:p>
    <w:p w14:paraId="05426AD1" w14:textId="4A0493AC" w:rsidR="00017714" w:rsidRDefault="00017714">
      <w:pPr>
        <w:pStyle w:val="Obsah2"/>
        <w:rPr>
          <w:rFonts w:asciiTheme="minorHAnsi" w:eastAsiaTheme="minorEastAsia" w:hAnsiTheme="minorHAnsi" w:cstheme="minorBidi"/>
          <w:b w:val="0"/>
          <w:bCs w:val="0"/>
          <w:lang w:eastAsia="cs-CZ"/>
        </w:rPr>
      </w:pPr>
      <w:r>
        <w:t>3.1</w:t>
      </w:r>
      <w:r>
        <w:rPr>
          <w:rFonts w:asciiTheme="minorHAnsi" w:eastAsiaTheme="minorEastAsia" w:hAnsiTheme="minorHAnsi" w:cstheme="minorBidi"/>
          <w:b w:val="0"/>
          <w:bCs w:val="0"/>
          <w:lang w:eastAsia="cs-CZ"/>
        </w:rPr>
        <w:tab/>
      </w:r>
      <w:r>
        <w:t>Biotransformace</w:t>
      </w:r>
      <w:r>
        <w:tab/>
      </w:r>
      <w:r>
        <w:fldChar w:fldCharType="begin"/>
      </w:r>
      <w:r>
        <w:instrText xml:space="preserve"> PAGEREF _Toc165492876 \h </w:instrText>
      </w:r>
      <w:r>
        <w:fldChar w:fldCharType="separate"/>
      </w:r>
      <w:r w:rsidR="00A63ED2">
        <w:t>3</w:t>
      </w:r>
      <w:r>
        <w:fldChar w:fldCharType="end"/>
      </w:r>
    </w:p>
    <w:p w14:paraId="60088CA5" w14:textId="6002812F" w:rsidR="00017714" w:rsidRDefault="00017714">
      <w:pPr>
        <w:pStyle w:val="Obsah3"/>
        <w:tabs>
          <w:tab w:val="left" w:pos="1200"/>
          <w:tab w:val="right" w:leader="dot" w:pos="9062"/>
        </w:tabs>
        <w:rPr>
          <w:rFonts w:asciiTheme="minorHAnsi" w:eastAsiaTheme="minorEastAsia" w:hAnsiTheme="minorHAnsi" w:cstheme="minorBidi"/>
          <w:noProof/>
          <w:lang w:eastAsia="cs-CZ"/>
        </w:rPr>
      </w:pPr>
      <w:r>
        <w:rPr>
          <w:noProof/>
        </w:rPr>
        <w:t>3.1.1</w:t>
      </w:r>
      <w:r>
        <w:rPr>
          <w:rFonts w:asciiTheme="minorHAnsi" w:eastAsiaTheme="minorEastAsia" w:hAnsiTheme="minorHAnsi" w:cstheme="minorBidi"/>
          <w:noProof/>
          <w:lang w:eastAsia="cs-CZ"/>
        </w:rPr>
        <w:tab/>
      </w:r>
      <w:r>
        <w:rPr>
          <w:noProof/>
        </w:rPr>
        <w:t>I. fáze biotransformace</w:t>
      </w:r>
      <w:r>
        <w:rPr>
          <w:noProof/>
        </w:rPr>
        <w:tab/>
      </w:r>
      <w:r>
        <w:rPr>
          <w:noProof/>
        </w:rPr>
        <w:fldChar w:fldCharType="begin"/>
      </w:r>
      <w:r>
        <w:rPr>
          <w:noProof/>
        </w:rPr>
        <w:instrText xml:space="preserve"> PAGEREF _Toc165492877 \h </w:instrText>
      </w:r>
      <w:r>
        <w:rPr>
          <w:noProof/>
        </w:rPr>
      </w:r>
      <w:r>
        <w:rPr>
          <w:noProof/>
        </w:rPr>
        <w:fldChar w:fldCharType="separate"/>
      </w:r>
      <w:r w:rsidR="00A63ED2">
        <w:rPr>
          <w:noProof/>
        </w:rPr>
        <w:t>3</w:t>
      </w:r>
      <w:r>
        <w:rPr>
          <w:noProof/>
        </w:rPr>
        <w:fldChar w:fldCharType="end"/>
      </w:r>
    </w:p>
    <w:p w14:paraId="4308830A" w14:textId="614D6A78" w:rsidR="00017714" w:rsidRDefault="00017714">
      <w:pPr>
        <w:pStyle w:val="Obsah3"/>
        <w:tabs>
          <w:tab w:val="left" w:pos="1200"/>
          <w:tab w:val="right" w:leader="dot" w:pos="9062"/>
        </w:tabs>
        <w:rPr>
          <w:rFonts w:asciiTheme="minorHAnsi" w:eastAsiaTheme="minorEastAsia" w:hAnsiTheme="minorHAnsi" w:cstheme="minorBidi"/>
          <w:noProof/>
          <w:lang w:eastAsia="cs-CZ"/>
        </w:rPr>
      </w:pPr>
      <w:r>
        <w:rPr>
          <w:noProof/>
        </w:rPr>
        <w:t>3.1.2</w:t>
      </w:r>
      <w:r>
        <w:rPr>
          <w:rFonts w:asciiTheme="minorHAnsi" w:eastAsiaTheme="minorEastAsia" w:hAnsiTheme="minorHAnsi" w:cstheme="minorBidi"/>
          <w:noProof/>
          <w:lang w:eastAsia="cs-CZ"/>
        </w:rPr>
        <w:tab/>
      </w:r>
      <w:r>
        <w:rPr>
          <w:noProof/>
        </w:rPr>
        <w:t>II. fáze biotransformace</w:t>
      </w:r>
      <w:r>
        <w:rPr>
          <w:noProof/>
        </w:rPr>
        <w:tab/>
      </w:r>
      <w:r>
        <w:rPr>
          <w:noProof/>
        </w:rPr>
        <w:fldChar w:fldCharType="begin"/>
      </w:r>
      <w:r>
        <w:rPr>
          <w:noProof/>
        </w:rPr>
        <w:instrText xml:space="preserve"> PAGEREF _Toc165492878 \h </w:instrText>
      </w:r>
      <w:r>
        <w:rPr>
          <w:noProof/>
        </w:rPr>
      </w:r>
      <w:r>
        <w:rPr>
          <w:noProof/>
        </w:rPr>
        <w:fldChar w:fldCharType="separate"/>
      </w:r>
      <w:r w:rsidR="00A63ED2">
        <w:rPr>
          <w:noProof/>
        </w:rPr>
        <w:t>5</w:t>
      </w:r>
      <w:r>
        <w:rPr>
          <w:noProof/>
        </w:rPr>
        <w:fldChar w:fldCharType="end"/>
      </w:r>
    </w:p>
    <w:p w14:paraId="3897DC18" w14:textId="2E1B366D" w:rsidR="00017714" w:rsidRDefault="00017714">
      <w:pPr>
        <w:pStyle w:val="Obsah3"/>
        <w:tabs>
          <w:tab w:val="left" w:pos="1200"/>
          <w:tab w:val="right" w:leader="dot" w:pos="9062"/>
        </w:tabs>
        <w:rPr>
          <w:rFonts w:asciiTheme="minorHAnsi" w:eastAsiaTheme="minorEastAsia" w:hAnsiTheme="minorHAnsi" w:cstheme="minorBidi"/>
          <w:noProof/>
          <w:lang w:eastAsia="cs-CZ"/>
        </w:rPr>
      </w:pPr>
      <w:r>
        <w:rPr>
          <w:noProof/>
        </w:rPr>
        <w:t>3.1.3</w:t>
      </w:r>
      <w:r>
        <w:rPr>
          <w:rFonts w:asciiTheme="minorHAnsi" w:eastAsiaTheme="minorEastAsia" w:hAnsiTheme="minorHAnsi" w:cstheme="minorBidi"/>
          <w:noProof/>
          <w:lang w:eastAsia="cs-CZ"/>
        </w:rPr>
        <w:tab/>
      </w:r>
      <w:r>
        <w:rPr>
          <w:noProof/>
        </w:rPr>
        <w:t>III. fáze biotransformace</w:t>
      </w:r>
      <w:r>
        <w:rPr>
          <w:noProof/>
        </w:rPr>
        <w:tab/>
      </w:r>
      <w:r>
        <w:rPr>
          <w:noProof/>
        </w:rPr>
        <w:fldChar w:fldCharType="begin"/>
      </w:r>
      <w:r>
        <w:rPr>
          <w:noProof/>
        </w:rPr>
        <w:instrText xml:space="preserve"> PAGEREF _Toc165492879 \h </w:instrText>
      </w:r>
      <w:r>
        <w:rPr>
          <w:noProof/>
        </w:rPr>
      </w:r>
      <w:r>
        <w:rPr>
          <w:noProof/>
        </w:rPr>
        <w:fldChar w:fldCharType="separate"/>
      </w:r>
      <w:r w:rsidR="00A63ED2">
        <w:rPr>
          <w:noProof/>
        </w:rPr>
        <w:t>5</w:t>
      </w:r>
      <w:r>
        <w:rPr>
          <w:noProof/>
        </w:rPr>
        <w:fldChar w:fldCharType="end"/>
      </w:r>
    </w:p>
    <w:p w14:paraId="34E346CE" w14:textId="5B802F4B" w:rsidR="00017714" w:rsidRDefault="00017714">
      <w:pPr>
        <w:pStyle w:val="Obsah2"/>
        <w:rPr>
          <w:rFonts w:asciiTheme="minorHAnsi" w:eastAsiaTheme="minorEastAsia" w:hAnsiTheme="minorHAnsi" w:cstheme="minorBidi"/>
          <w:b w:val="0"/>
          <w:bCs w:val="0"/>
          <w:lang w:eastAsia="cs-CZ"/>
        </w:rPr>
      </w:pPr>
      <w:r>
        <w:t>3.2</w:t>
      </w:r>
      <w:r>
        <w:rPr>
          <w:rFonts w:asciiTheme="minorHAnsi" w:eastAsiaTheme="minorEastAsia" w:hAnsiTheme="minorHAnsi" w:cstheme="minorBidi"/>
          <w:b w:val="0"/>
          <w:bCs w:val="0"/>
          <w:lang w:eastAsia="cs-CZ"/>
        </w:rPr>
        <w:tab/>
      </w:r>
      <w:r>
        <w:t>Pregnanový X receptor</w:t>
      </w:r>
      <w:r>
        <w:tab/>
      </w:r>
      <w:r>
        <w:fldChar w:fldCharType="begin"/>
      </w:r>
      <w:r>
        <w:instrText xml:space="preserve"> PAGEREF _Toc165492880 \h </w:instrText>
      </w:r>
      <w:r>
        <w:fldChar w:fldCharType="separate"/>
      </w:r>
      <w:r w:rsidR="00A63ED2">
        <w:t>6</w:t>
      </w:r>
      <w:r>
        <w:fldChar w:fldCharType="end"/>
      </w:r>
    </w:p>
    <w:p w14:paraId="0E202E9F" w14:textId="12AC12FE" w:rsidR="00017714" w:rsidRDefault="00017714">
      <w:pPr>
        <w:pStyle w:val="Obsah3"/>
        <w:tabs>
          <w:tab w:val="left" w:pos="1200"/>
          <w:tab w:val="right" w:leader="dot" w:pos="9062"/>
        </w:tabs>
        <w:rPr>
          <w:rFonts w:asciiTheme="minorHAnsi" w:eastAsiaTheme="minorEastAsia" w:hAnsiTheme="minorHAnsi" w:cstheme="minorBidi"/>
          <w:noProof/>
          <w:lang w:eastAsia="cs-CZ"/>
        </w:rPr>
      </w:pPr>
      <w:r>
        <w:rPr>
          <w:noProof/>
        </w:rPr>
        <w:t>3.2.1</w:t>
      </w:r>
      <w:r>
        <w:rPr>
          <w:rFonts w:asciiTheme="minorHAnsi" w:eastAsiaTheme="minorEastAsia" w:hAnsiTheme="minorHAnsi" w:cstheme="minorBidi"/>
          <w:noProof/>
          <w:lang w:eastAsia="cs-CZ"/>
        </w:rPr>
        <w:tab/>
      </w:r>
      <w:r>
        <w:rPr>
          <w:noProof/>
        </w:rPr>
        <w:t>Funkce PXR ve fyziologických a patofyziologických procesech</w:t>
      </w:r>
      <w:r>
        <w:rPr>
          <w:noProof/>
        </w:rPr>
        <w:tab/>
      </w:r>
      <w:r>
        <w:rPr>
          <w:noProof/>
        </w:rPr>
        <w:fldChar w:fldCharType="begin"/>
      </w:r>
      <w:r>
        <w:rPr>
          <w:noProof/>
        </w:rPr>
        <w:instrText xml:space="preserve"> PAGEREF _Toc165492881 \h </w:instrText>
      </w:r>
      <w:r>
        <w:rPr>
          <w:noProof/>
        </w:rPr>
      </w:r>
      <w:r>
        <w:rPr>
          <w:noProof/>
        </w:rPr>
        <w:fldChar w:fldCharType="separate"/>
      </w:r>
      <w:r w:rsidR="00A63ED2">
        <w:rPr>
          <w:noProof/>
        </w:rPr>
        <w:t>8</w:t>
      </w:r>
      <w:r>
        <w:rPr>
          <w:noProof/>
        </w:rPr>
        <w:fldChar w:fldCharType="end"/>
      </w:r>
    </w:p>
    <w:p w14:paraId="03A93ED1" w14:textId="2896F1E7" w:rsidR="00017714" w:rsidRDefault="00017714">
      <w:pPr>
        <w:pStyle w:val="Obsah3"/>
        <w:tabs>
          <w:tab w:val="left" w:pos="1200"/>
          <w:tab w:val="right" w:leader="dot" w:pos="9062"/>
        </w:tabs>
        <w:rPr>
          <w:rFonts w:asciiTheme="minorHAnsi" w:eastAsiaTheme="minorEastAsia" w:hAnsiTheme="minorHAnsi" w:cstheme="minorBidi"/>
          <w:noProof/>
          <w:lang w:eastAsia="cs-CZ"/>
        </w:rPr>
      </w:pPr>
      <w:r>
        <w:rPr>
          <w:noProof/>
        </w:rPr>
        <w:t>3.2.2</w:t>
      </w:r>
      <w:r>
        <w:rPr>
          <w:rFonts w:asciiTheme="minorHAnsi" w:eastAsiaTheme="minorEastAsia" w:hAnsiTheme="minorHAnsi" w:cstheme="minorBidi"/>
          <w:noProof/>
          <w:lang w:eastAsia="cs-CZ"/>
        </w:rPr>
        <w:tab/>
      </w:r>
      <w:r>
        <w:rPr>
          <w:noProof/>
        </w:rPr>
        <w:t>Endogenní a exogenní ligandy</w:t>
      </w:r>
      <w:r>
        <w:rPr>
          <w:noProof/>
        </w:rPr>
        <w:tab/>
      </w:r>
      <w:r>
        <w:rPr>
          <w:noProof/>
        </w:rPr>
        <w:fldChar w:fldCharType="begin"/>
      </w:r>
      <w:r>
        <w:rPr>
          <w:noProof/>
        </w:rPr>
        <w:instrText xml:space="preserve"> PAGEREF _Toc165492882 \h </w:instrText>
      </w:r>
      <w:r>
        <w:rPr>
          <w:noProof/>
        </w:rPr>
      </w:r>
      <w:r>
        <w:rPr>
          <w:noProof/>
        </w:rPr>
        <w:fldChar w:fldCharType="separate"/>
      </w:r>
      <w:r w:rsidR="00A63ED2">
        <w:rPr>
          <w:noProof/>
        </w:rPr>
        <w:t>11</w:t>
      </w:r>
      <w:r>
        <w:rPr>
          <w:noProof/>
        </w:rPr>
        <w:fldChar w:fldCharType="end"/>
      </w:r>
    </w:p>
    <w:p w14:paraId="0EDB7C1F" w14:textId="22716FF2" w:rsidR="00017714" w:rsidRDefault="00017714">
      <w:pPr>
        <w:pStyle w:val="Obsah2"/>
        <w:rPr>
          <w:rFonts w:asciiTheme="minorHAnsi" w:eastAsiaTheme="minorEastAsia" w:hAnsiTheme="minorHAnsi" w:cstheme="minorBidi"/>
          <w:b w:val="0"/>
          <w:bCs w:val="0"/>
          <w:lang w:eastAsia="cs-CZ"/>
        </w:rPr>
      </w:pPr>
      <w:r>
        <w:t>3.3</w:t>
      </w:r>
      <w:r>
        <w:rPr>
          <w:rFonts w:asciiTheme="minorHAnsi" w:eastAsiaTheme="minorEastAsia" w:hAnsiTheme="minorHAnsi" w:cstheme="minorBidi"/>
          <w:b w:val="0"/>
          <w:bCs w:val="0"/>
          <w:lang w:eastAsia="cs-CZ"/>
        </w:rPr>
        <w:tab/>
      </w:r>
      <w:r>
        <w:t>Receptorová teorie</w:t>
      </w:r>
      <w:r>
        <w:tab/>
      </w:r>
      <w:r>
        <w:fldChar w:fldCharType="begin"/>
      </w:r>
      <w:r>
        <w:instrText xml:space="preserve"> PAGEREF _Toc165492883 \h </w:instrText>
      </w:r>
      <w:r>
        <w:fldChar w:fldCharType="separate"/>
      </w:r>
      <w:r w:rsidR="00A63ED2">
        <w:t>11</w:t>
      </w:r>
      <w:r>
        <w:fldChar w:fldCharType="end"/>
      </w:r>
    </w:p>
    <w:p w14:paraId="15355A7A" w14:textId="5FE83E14" w:rsidR="00017714" w:rsidRDefault="00017714">
      <w:pPr>
        <w:pStyle w:val="Obsah3"/>
        <w:tabs>
          <w:tab w:val="left" w:pos="1200"/>
          <w:tab w:val="right" w:leader="dot" w:pos="9062"/>
        </w:tabs>
        <w:rPr>
          <w:rFonts w:asciiTheme="minorHAnsi" w:eastAsiaTheme="minorEastAsia" w:hAnsiTheme="minorHAnsi" w:cstheme="minorBidi"/>
          <w:noProof/>
          <w:lang w:eastAsia="cs-CZ"/>
        </w:rPr>
      </w:pPr>
      <w:r>
        <w:rPr>
          <w:noProof/>
        </w:rPr>
        <w:t>3.3.1</w:t>
      </w:r>
      <w:r>
        <w:rPr>
          <w:rFonts w:asciiTheme="minorHAnsi" w:eastAsiaTheme="minorEastAsia" w:hAnsiTheme="minorHAnsi" w:cstheme="minorBidi"/>
          <w:noProof/>
          <w:lang w:eastAsia="cs-CZ"/>
        </w:rPr>
        <w:tab/>
      </w:r>
      <w:r>
        <w:rPr>
          <w:noProof/>
        </w:rPr>
        <w:t>Agonismus</w:t>
      </w:r>
      <w:r>
        <w:rPr>
          <w:noProof/>
        </w:rPr>
        <w:tab/>
      </w:r>
      <w:r>
        <w:rPr>
          <w:noProof/>
        </w:rPr>
        <w:fldChar w:fldCharType="begin"/>
      </w:r>
      <w:r>
        <w:rPr>
          <w:noProof/>
        </w:rPr>
        <w:instrText xml:space="preserve"> PAGEREF _Toc165492884 \h </w:instrText>
      </w:r>
      <w:r>
        <w:rPr>
          <w:noProof/>
        </w:rPr>
      </w:r>
      <w:r>
        <w:rPr>
          <w:noProof/>
        </w:rPr>
        <w:fldChar w:fldCharType="separate"/>
      </w:r>
      <w:r w:rsidR="00A63ED2">
        <w:rPr>
          <w:noProof/>
        </w:rPr>
        <w:t>12</w:t>
      </w:r>
      <w:r>
        <w:rPr>
          <w:noProof/>
        </w:rPr>
        <w:fldChar w:fldCharType="end"/>
      </w:r>
    </w:p>
    <w:p w14:paraId="3ADCAA0D" w14:textId="5229BDD2" w:rsidR="00017714" w:rsidRDefault="00017714">
      <w:pPr>
        <w:pStyle w:val="Obsah3"/>
        <w:tabs>
          <w:tab w:val="left" w:pos="1200"/>
          <w:tab w:val="right" w:leader="dot" w:pos="9062"/>
        </w:tabs>
        <w:rPr>
          <w:rFonts w:asciiTheme="minorHAnsi" w:eastAsiaTheme="minorEastAsia" w:hAnsiTheme="minorHAnsi" w:cstheme="minorBidi"/>
          <w:noProof/>
          <w:lang w:eastAsia="cs-CZ"/>
        </w:rPr>
      </w:pPr>
      <w:r>
        <w:rPr>
          <w:noProof/>
        </w:rPr>
        <w:t>3.3.2</w:t>
      </w:r>
      <w:r>
        <w:rPr>
          <w:rFonts w:asciiTheme="minorHAnsi" w:eastAsiaTheme="minorEastAsia" w:hAnsiTheme="minorHAnsi" w:cstheme="minorBidi"/>
          <w:noProof/>
          <w:lang w:eastAsia="cs-CZ"/>
        </w:rPr>
        <w:tab/>
      </w:r>
      <w:r>
        <w:rPr>
          <w:noProof/>
        </w:rPr>
        <w:t>Antagonismus</w:t>
      </w:r>
      <w:r>
        <w:rPr>
          <w:noProof/>
        </w:rPr>
        <w:tab/>
      </w:r>
      <w:r>
        <w:rPr>
          <w:noProof/>
        </w:rPr>
        <w:fldChar w:fldCharType="begin"/>
      </w:r>
      <w:r>
        <w:rPr>
          <w:noProof/>
        </w:rPr>
        <w:instrText xml:space="preserve"> PAGEREF _Toc165492885 \h </w:instrText>
      </w:r>
      <w:r>
        <w:rPr>
          <w:noProof/>
        </w:rPr>
      </w:r>
      <w:r>
        <w:rPr>
          <w:noProof/>
        </w:rPr>
        <w:fldChar w:fldCharType="separate"/>
      </w:r>
      <w:r w:rsidR="00A63ED2">
        <w:rPr>
          <w:noProof/>
        </w:rPr>
        <w:t>13</w:t>
      </w:r>
      <w:r>
        <w:rPr>
          <w:noProof/>
        </w:rPr>
        <w:fldChar w:fldCharType="end"/>
      </w:r>
    </w:p>
    <w:p w14:paraId="3E74833F" w14:textId="65D0E535" w:rsidR="00017714" w:rsidRDefault="00017714">
      <w:pPr>
        <w:pStyle w:val="Obsah2"/>
        <w:rPr>
          <w:rFonts w:asciiTheme="minorHAnsi" w:eastAsiaTheme="minorEastAsia" w:hAnsiTheme="minorHAnsi" w:cstheme="minorBidi"/>
          <w:b w:val="0"/>
          <w:bCs w:val="0"/>
          <w:lang w:eastAsia="cs-CZ"/>
        </w:rPr>
      </w:pPr>
      <w:r>
        <w:t>3.4</w:t>
      </w:r>
      <w:r>
        <w:rPr>
          <w:rFonts w:asciiTheme="minorHAnsi" w:eastAsiaTheme="minorEastAsia" w:hAnsiTheme="minorHAnsi" w:cstheme="minorBidi"/>
          <w:b w:val="0"/>
          <w:bCs w:val="0"/>
          <w:lang w:eastAsia="cs-CZ"/>
        </w:rPr>
        <w:tab/>
      </w:r>
      <w:r>
        <w:t>Terpeny a terpenoidy</w:t>
      </w:r>
      <w:r>
        <w:tab/>
      </w:r>
      <w:r>
        <w:fldChar w:fldCharType="begin"/>
      </w:r>
      <w:r>
        <w:instrText xml:space="preserve"> PAGEREF _Toc165492886 \h </w:instrText>
      </w:r>
      <w:r>
        <w:fldChar w:fldCharType="separate"/>
      </w:r>
      <w:r w:rsidR="00A63ED2">
        <w:t>13</w:t>
      </w:r>
      <w:r>
        <w:fldChar w:fldCharType="end"/>
      </w:r>
    </w:p>
    <w:p w14:paraId="16DBEF84" w14:textId="11868056" w:rsidR="00017714" w:rsidRDefault="00017714">
      <w:pPr>
        <w:pStyle w:val="Obsah3"/>
        <w:tabs>
          <w:tab w:val="left" w:pos="1200"/>
          <w:tab w:val="right" w:leader="dot" w:pos="9062"/>
        </w:tabs>
        <w:rPr>
          <w:rFonts w:asciiTheme="minorHAnsi" w:eastAsiaTheme="minorEastAsia" w:hAnsiTheme="minorHAnsi" w:cstheme="minorBidi"/>
          <w:noProof/>
          <w:lang w:eastAsia="cs-CZ"/>
        </w:rPr>
      </w:pPr>
      <w:r>
        <w:rPr>
          <w:noProof/>
        </w:rPr>
        <w:t>3.4.1</w:t>
      </w:r>
      <w:r>
        <w:rPr>
          <w:rFonts w:asciiTheme="minorHAnsi" w:eastAsiaTheme="minorEastAsia" w:hAnsiTheme="minorHAnsi" w:cstheme="minorBidi"/>
          <w:noProof/>
          <w:lang w:eastAsia="cs-CZ"/>
        </w:rPr>
        <w:tab/>
      </w:r>
      <w:r>
        <w:rPr>
          <w:noProof/>
        </w:rPr>
        <w:t>Vliv esenciálních olejů a monoterpenoidů na jaderné a steroidní receptory</w:t>
      </w:r>
      <w:r>
        <w:rPr>
          <w:noProof/>
        </w:rPr>
        <w:tab/>
      </w:r>
      <w:r>
        <w:rPr>
          <w:noProof/>
        </w:rPr>
        <w:fldChar w:fldCharType="begin"/>
      </w:r>
      <w:r>
        <w:rPr>
          <w:noProof/>
        </w:rPr>
        <w:instrText xml:space="preserve"> PAGEREF _Toc165492887 \h </w:instrText>
      </w:r>
      <w:r>
        <w:rPr>
          <w:noProof/>
        </w:rPr>
      </w:r>
      <w:r>
        <w:rPr>
          <w:noProof/>
        </w:rPr>
        <w:fldChar w:fldCharType="separate"/>
      </w:r>
      <w:r w:rsidR="00A63ED2">
        <w:rPr>
          <w:noProof/>
        </w:rPr>
        <w:t>15</w:t>
      </w:r>
      <w:r>
        <w:rPr>
          <w:noProof/>
        </w:rPr>
        <w:fldChar w:fldCharType="end"/>
      </w:r>
    </w:p>
    <w:p w14:paraId="0E805673" w14:textId="4F50DCD3" w:rsidR="00017714" w:rsidRDefault="00017714">
      <w:pPr>
        <w:pStyle w:val="Obsah1"/>
        <w:rPr>
          <w:rFonts w:asciiTheme="minorHAnsi" w:eastAsiaTheme="minorEastAsia" w:hAnsiTheme="minorHAnsi" w:cstheme="minorBidi"/>
          <w:b w:val="0"/>
          <w:bCs w:val="0"/>
          <w:lang w:eastAsia="cs-CZ"/>
        </w:rPr>
      </w:pPr>
      <w:r>
        <w:t>4</w:t>
      </w:r>
      <w:r>
        <w:rPr>
          <w:rFonts w:asciiTheme="minorHAnsi" w:eastAsiaTheme="minorEastAsia" w:hAnsiTheme="minorHAnsi" w:cstheme="minorBidi"/>
          <w:b w:val="0"/>
          <w:bCs w:val="0"/>
          <w:lang w:eastAsia="cs-CZ"/>
        </w:rPr>
        <w:tab/>
      </w:r>
      <w:r>
        <w:t>MATERIÁL A METODY</w:t>
      </w:r>
      <w:r>
        <w:tab/>
      </w:r>
      <w:r>
        <w:fldChar w:fldCharType="begin"/>
      </w:r>
      <w:r>
        <w:instrText xml:space="preserve"> PAGEREF _Toc165492888 \h </w:instrText>
      </w:r>
      <w:r>
        <w:fldChar w:fldCharType="separate"/>
      </w:r>
      <w:r w:rsidR="00A63ED2">
        <w:t>19</w:t>
      </w:r>
      <w:r>
        <w:fldChar w:fldCharType="end"/>
      </w:r>
    </w:p>
    <w:p w14:paraId="6C8135CB" w14:textId="3286F5DC" w:rsidR="00017714" w:rsidRDefault="00017714">
      <w:pPr>
        <w:pStyle w:val="Obsah2"/>
        <w:rPr>
          <w:rFonts w:asciiTheme="minorHAnsi" w:eastAsiaTheme="minorEastAsia" w:hAnsiTheme="minorHAnsi" w:cstheme="minorBidi"/>
          <w:b w:val="0"/>
          <w:bCs w:val="0"/>
          <w:lang w:eastAsia="cs-CZ"/>
        </w:rPr>
      </w:pPr>
      <w:r>
        <w:t>4.1</w:t>
      </w:r>
      <w:r>
        <w:rPr>
          <w:rFonts w:asciiTheme="minorHAnsi" w:eastAsiaTheme="minorEastAsia" w:hAnsiTheme="minorHAnsi" w:cstheme="minorBidi"/>
          <w:b w:val="0"/>
          <w:bCs w:val="0"/>
          <w:lang w:eastAsia="cs-CZ"/>
        </w:rPr>
        <w:tab/>
      </w:r>
      <w:r>
        <w:t>Biologický materiál</w:t>
      </w:r>
      <w:r>
        <w:tab/>
      </w:r>
      <w:r>
        <w:fldChar w:fldCharType="begin"/>
      </w:r>
      <w:r>
        <w:instrText xml:space="preserve"> PAGEREF _Toc165492889 \h </w:instrText>
      </w:r>
      <w:r>
        <w:fldChar w:fldCharType="separate"/>
      </w:r>
      <w:r w:rsidR="00A63ED2">
        <w:t>19</w:t>
      </w:r>
      <w:r>
        <w:fldChar w:fldCharType="end"/>
      </w:r>
    </w:p>
    <w:p w14:paraId="33F9998B" w14:textId="5E1FFD61" w:rsidR="00017714" w:rsidRDefault="00017714">
      <w:pPr>
        <w:pStyle w:val="Obsah2"/>
        <w:rPr>
          <w:rFonts w:asciiTheme="minorHAnsi" w:eastAsiaTheme="minorEastAsia" w:hAnsiTheme="minorHAnsi" w:cstheme="minorBidi"/>
          <w:b w:val="0"/>
          <w:bCs w:val="0"/>
          <w:lang w:eastAsia="cs-CZ"/>
        </w:rPr>
      </w:pPr>
      <w:r>
        <w:t>4.2</w:t>
      </w:r>
      <w:r>
        <w:rPr>
          <w:rFonts w:asciiTheme="minorHAnsi" w:eastAsiaTheme="minorEastAsia" w:hAnsiTheme="minorHAnsi" w:cstheme="minorBidi"/>
          <w:b w:val="0"/>
          <w:bCs w:val="0"/>
          <w:lang w:eastAsia="cs-CZ"/>
        </w:rPr>
        <w:tab/>
      </w:r>
      <w:r>
        <w:t>Použité chemikálie, soupravy a roztoky</w:t>
      </w:r>
      <w:r>
        <w:tab/>
      </w:r>
      <w:r>
        <w:fldChar w:fldCharType="begin"/>
      </w:r>
      <w:r>
        <w:instrText xml:space="preserve"> PAGEREF _Toc165492890 \h </w:instrText>
      </w:r>
      <w:r>
        <w:fldChar w:fldCharType="separate"/>
      </w:r>
      <w:r w:rsidR="00A63ED2">
        <w:t>19</w:t>
      </w:r>
      <w:r>
        <w:fldChar w:fldCharType="end"/>
      </w:r>
    </w:p>
    <w:p w14:paraId="09843973" w14:textId="4C3F7113" w:rsidR="00017714" w:rsidRDefault="00017714">
      <w:pPr>
        <w:pStyle w:val="Obsah2"/>
        <w:rPr>
          <w:rFonts w:asciiTheme="minorHAnsi" w:eastAsiaTheme="minorEastAsia" w:hAnsiTheme="minorHAnsi" w:cstheme="minorBidi"/>
          <w:b w:val="0"/>
          <w:bCs w:val="0"/>
          <w:lang w:eastAsia="cs-CZ"/>
        </w:rPr>
      </w:pPr>
      <w:r>
        <w:t>4.3</w:t>
      </w:r>
      <w:r>
        <w:rPr>
          <w:rFonts w:asciiTheme="minorHAnsi" w:eastAsiaTheme="minorEastAsia" w:hAnsiTheme="minorHAnsi" w:cstheme="minorBidi"/>
          <w:b w:val="0"/>
          <w:bCs w:val="0"/>
          <w:lang w:eastAsia="cs-CZ"/>
        </w:rPr>
        <w:tab/>
      </w:r>
      <w:r>
        <w:t>Laboratorní pomůcky</w:t>
      </w:r>
      <w:r>
        <w:tab/>
      </w:r>
      <w:r>
        <w:fldChar w:fldCharType="begin"/>
      </w:r>
      <w:r>
        <w:instrText xml:space="preserve"> PAGEREF _Toc165492891 \h </w:instrText>
      </w:r>
      <w:r>
        <w:fldChar w:fldCharType="separate"/>
      </w:r>
      <w:r w:rsidR="00A63ED2">
        <w:t>21</w:t>
      </w:r>
      <w:r>
        <w:fldChar w:fldCharType="end"/>
      </w:r>
    </w:p>
    <w:p w14:paraId="309C9CFC" w14:textId="49F85181" w:rsidR="00017714" w:rsidRDefault="00017714">
      <w:pPr>
        <w:pStyle w:val="Obsah2"/>
        <w:rPr>
          <w:rFonts w:asciiTheme="minorHAnsi" w:eastAsiaTheme="minorEastAsia" w:hAnsiTheme="minorHAnsi" w:cstheme="minorBidi"/>
          <w:b w:val="0"/>
          <w:bCs w:val="0"/>
          <w:lang w:eastAsia="cs-CZ"/>
        </w:rPr>
      </w:pPr>
      <w:r>
        <w:t>4.4</w:t>
      </w:r>
      <w:r>
        <w:rPr>
          <w:rFonts w:asciiTheme="minorHAnsi" w:eastAsiaTheme="minorEastAsia" w:hAnsiTheme="minorHAnsi" w:cstheme="minorBidi"/>
          <w:b w:val="0"/>
          <w:bCs w:val="0"/>
          <w:lang w:eastAsia="cs-CZ"/>
        </w:rPr>
        <w:tab/>
      </w:r>
      <w:r>
        <w:t>Přístroje</w:t>
      </w:r>
      <w:r>
        <w:tab/>
      </w:r>
      <w:r>
        <w:fldChar w:fldCharType="begin"/>
      </w:r>
      <w:r>
        <w:instrText xml:space="preserve"> PAGEREF _Toc165492892 \h </w:instrText>
      </w:r>
      <w:r>
        <w:fldChar w:fldCharType="separate"/>
      </w:r>
      <w:r w:rsidR="00A63ED2">
        <w:t>21</w:t>
      </w:r>
      <w:r>
        <w:fldChar w:fldCharType="end"/>
      </w:r>
    </w:p>
    <w:p w14:paraId="033F4FD5" w14:textId="10F8B684" w:rsidR="00017714" w:rsidRDefault="00017714">
      <w:pPr>
        <w:pStyle w:val="Obsah2"/>
        <w:rPr>
          <w:rFonts w:asciiTheme="minorHAnsi" w:eastAsiaTheme="minorEastAsia" w:hAnsiTheme="minorHAnsi" w:cstheme="minorBidi"/>
          <w:b w:val="0"/>
          <w:bCs w:val="0"/>
          <w:lang w:eastAsia="cs-CZ"/>
        </w:rPr>
      </w:pPr>
      <w:r>
        <w:t>4.5</w:t>
      </w:r>
      <w:r>
        <w:rPr>
          <w:rFonts w:asciiTheme="minorHAnsi" w:eastAsiaTheme="minorEastAsia" w:hAnsiTheme="minorHAnsi" w:cstheme="minorBidi"/>
          <w:b w:val="0"/>
          <w:bCs w:val="0"/>
          <w:lang w:eastAsia="cs-CZ"/>
        </w:rPr>
        <w:tab/>
      </w:r>
      <w:r>
        <w:t>Použité metody</w:t>
      </w:r>
      <w:r>
        <w:tab/>
      </w:r>
      <w:r>
        <w:fldChar w:fldCharType="begin"/>
      </w:r>
      <w:r>
        <w:instrText xml:space="preserve"> PAGEREF _Toc165492893 \h </w:instrText>
      </w:r>
      <w:r>
        <w:fldChar w:fldCharType="separate"/>
      </w:r>
      <w:r w:rsidR="00A63ED2">
        <w:t>22</w:t>
      </w:r>
      <w:r>
        <w:fldChar w:fldCharType="end"/>
      </w:r>
    </w:p>
    <w:p w14:paraId="2EE66184" w14:textId="0762F983" w:rsidR="00017714" w:rsidRDefault="00017714">
      <w:pPr>
        <w:pStyle w:val="Obsah3"/>
        <w:tabs>
          <w:tab w:val="left" w:pos="1200"/>
          <w:tab w:val="right" w:leader="dot" w:pos="9062"/>
        </w:tabs>
        <w:rPr>
          <w:rFonts w:asciiTheme="minorHAnsi" w:eastAsiaTheme="minorEastAsia" w:hAnsiTheme="minorHAnsi" w:cstheme="minorBidi"/>
          <w:noProof/>
          <w:lang w:eastAsia="cs-CZ"/>
        </w:rPr>
      </w:pPr>
      <w:r>
        <w:rPr>
          <w:noProof/>
        </w:rPr>
        <w:t>4.5.1</w:t>
      </w:r>
      <w:r>
        <w:rPr>
          <w:rFonts w:asciiTheme="minorHAnsi" w:eastAsiaTheme="minorEastAsia" w:hAnsiTheme="minorHAnsi" w:cstheme="minorBidi"/>
          <w:noProof/>
          <w:lang w:eastAsia="cs-CZ"/>
        </w:rPr>
        <w:tab/>
      </w:r>
      <w:r>
        <w:rPr>
          <w:noProof/>
        </w:rPr>
        <w:t>Izolace plazmidu</w:t>
      </w:r>
      <w:r>
        <w:rPr>
          <w:noProof/>
        </w:rPr>
        <w:tab/>
      </w:r>
      <w:r>
        <w:rPr>
          <w:noProof/>
        </w:rPr>
        <w:fldChar w:fldCharType="begin"/>
      </w:r>
      <w:r>
        <w:rPr>
          <w:noProof/>
        </w:rPr>
        <w:instrText xml:space="preserve"> PAGEREF _Toc165492894 \h </w:instrText>
      </w:r>
      <w:r>
        <w:rPr>
          <w:noProof/>
        </w:rPr>
      </w:r>
      <w:r>
        <w:rPr>
          <w:noProof/>
        </w:rPr>
        <w:fldChar w:fldCharType="separate"/>
      </w:r>
      <w:r w:rsidR="00A63ED2">
        <w:rPr>
          <w:noProof/>
        </w:rPr>
        <w:t>22</w:t>
      </w:r>
      <w:r>
        <w:rPr>
          <w:noProof/>
        </w:rPr>
        <w:fldChar w:fldCharType="end"/>
      </w:r>
    </w:p>
    <w:p w14:paraId="5737D534" w14:textId="66F9CB3A" w:rsidR="00017714" w:rsidRDefault="00017714">
      <w:pPr>
        <w:pStyle w:val="Obsah3"/>
        <w:tabs>
          <w:tab w:val="left" w:pos="1200"/>
          <w:tab w:val="right" w:leader="dot" w:pos="9062"/>
        </w:tabs>
        <w:rPr>
          <w:rFonts w:asciiTheme="minorHAnsi" w:eastAsiaTheme="minorEastAsia" w:hAnsiTheme="minorHAnsi" w:cstheme="minorBidi"/>
          <w:noProof/>
          <w:lang w:eastAsia="cs-CZ"/>
        </w:rPr>
      </w:pPr>
      <w:r>
        <w:rPr>
          <w:noProof/>
        </w:rPr>
        <w:t>4.5.2</w:t>
      </w:r>
      <w:r>
        <w:rPr>
          <w:rFonts w:asciiTheme="minorHAnsi" w:eastAsiaTheme="minorEastAsia" w:hAnsiTheme="minorHAnsi" w:cstheme="minorBidi"/>
          <w:noProof/>
          <w:lang w:eastAsia="cs-CZ"/>
        </w:rPr>
        <w:tab/>
      </w:r>
      <w:r>
        <w:rPr>
          <w:noProof/>
        </w:rPr>
        <w:t>Kultivace a pasážování buněk</w:t>
      </w:r>
      <w:r>
        <w:rPr>
          <w:noProof/>
        </w:rPr>
        <w:tab/>
      </w:r>
      <w:r>
        <w:rPr>
          <w:noProof/>
        </w:rPr>
        <w:fldChar w:fldCharType="begin"/>
      </w:r>
      <w:r>
        <w:rPr>
          <w:noProof/>
        </w:rPr>
        <w:instrText xml:space="preserve"> PAGEREF _Toc165492895 \h </w:instrText>
      </w:r>
      <w:r>
        <w:rPr>
          <w:noProof/>
        </w:rPr>
      </w:r>
      <w:r>
        <w:rPr>
          <w:noProof/>
        </w:rPr>
        <w:fldChar w:fldCharType="separate"/>
      </w:r>
      <w:r w:rsidR="00A63ED2">
        <w:rPr>
          <w:noProof/>
        </w:rPr>
        <w:t>22</w:t>
      </w:r>
      <w:r>
        <w:rPr>
          <w:noProof/>
        </w:rPr>
        <w:fldChar w:fldCharType="end"/>
      </w:r>
    </w:p>
    <w:p w14:paraId="13FB0AFA" w14:textId="610DA3D4" w:rsidR="00017714" w:rsidRDefault="00017714">
      <w:pPr>
        <w:pStyle w:val="Obsah3"/>
        <w:tabs>
          <w:tab w:val="left" w:pos="1200"/>
          <w:tab w:val="right" w:leader="dot" w:pos="9062"/>
        </w:tabs>
        <w:rPr>
          <w:rFonts w:asciiTheme="minorHAnsi" w:eastAsiaTheme="minorEastAsia" w:hAnsiTheme="minorHAnsi" w:cstheme="minorBidi"/>
          <w:noProof/>
          <w:lang w:eastAsia="cs-CZ"/>
        </w:rPr>
      </w:pPr>
      <w:r>
        <w:rPr>
          <w:noProof/>
        </w:rPr>
        <w:lastRenderedPageBreak/>
        <w:t>4.5.3</w:t>
      </w:r>
      <w:r>
        <w:rPr>
          <w:rFonts w:asciiTheme="minorHAnsi" w:eastAsiaTheme="minorEastAsia" w:hAnsiTheme="minorHAnsi" w:cstheme="minorBidi"/>
          <w:noProof/>
          <w:lang w:eastAsia="cs-CZ"/>
        </w:rPr>
        <w:tab/>
      </w:r>
      <w:r>
        <w:rPr>
          <w:noProof/>
        </w:rPr>
        <w:t>Příprava buněk na experiment</w:t>
      </w:r>
      <w:r>
        <w:rPr>
          <w:noProof/>
        </w:rPr>
        <w:tab/>
      </w:r>
      <w:r>
        <w:rPr>
          <w:noProof/>
        </w:rPr>
        <w:fldChar w:fldCharType="begin"/>
      </w:r>
      <w:r>
        <w:rPr>
          <w:noProof/>
        </w:rPr>
        <w:instrText xml:space="preserve"> PAGEREF _Toc165492896 \h </w:instrText>
      </w:r>
      <w:r>
        <w:rPr>
          <w:noProof/>
        </w:rPr>
      </w:r>
      <w:r>
        <w:rPr>
          <w:noProof/>
        </w:rPr>
        <w:fldChar w:fldCharType="separate"/>
      </w:r>
      <w:r w:rsidR="00A63ED2">
        <w:rPr>
          <w:noProof/>
        </w:rPr>
        <w:t>23</w:t>
      </w:r>
      <w:r>
        <w:rPr>
          <w:noProof/>
        </w:rPr>
        <w:fldChar w:fldCharType="end"/>
      </w:r>
    </w:p>
    <w:p w14:paraId="20E0DF8E" w14:textId="7EBD2361" w:rsidR="00017714" w:rsidRDefault="00017714">
      <w:pPr>
        <w:pStyle w:val="Obsah3"/>
        <w:tabs>
          <w:tab w:val="left" w:pos="1200"/>
          <w:tab w:val="right" w:leader="dot" w:pos="9062"/>
        </w:tabs>
        <w:rPr>
          <w:rFonts w:asciiTheme="minorHAnsi" w:eastAsiaTheme="minorEastAsia" w:hAnsiTheme="minorHAnsi" w:cstheme="minorBidi"/>
          <w:noProof/>
          <w:lang w:eastAsia="cs-CZ"/>
        </w:rPr>
      </w:pPr>
      <w:r>
        <w:rPr>
          <w:noProof/>
        </w:rPr>
        <w:t>4.5.4</w:t>
      </w:r>
      <w:r>
        <w:rPr>
          <w:rFonts w:asciiTheme="minorHAnsi" w:eastAsiaTheme="minorEastAsia" w:hAnsiTheme="minorHAnsi" w:cstheme="minorBidi"/>
          <w:noProof/>
          <w:lang w:eastAsia="cs-CZ"/>
        </w:rPr>
        <w:tab/>
      </w:r>
      <w:r>
        <w:rPr>
          <w:noProof/>
        </w:rPr>
        <w:t>Transfekce buněk</w:t>
      </w:r>
      <w:r>
        <w:rPr>
          <w:noProof/>
        </w:rPr>
        <w:tab/>
      </w:r>
      <w:r>
        <w:rPr>
          <w:noProof/>
        </w:rPr>
        <w:fldChar w:fldCharType="begin"/>
      </w:r>
      <w:r>
        <w:rPr>
          <w:noProof/>
        </w:rPr>
        <w:instrText xml:space="preserve"> PAGEREF _Toc165492897 \h </w:instrText>
      </w:r>
      <w:r>
        <w:rPr>
          <w:noProof/>
        </w:rPr>
      </w:r>
      <w:r>
        <w:rPr>
          <w:noProof/>
        </w:rPr>
        <w:fldChar w:fldCharType="separate"/>
      </w:r>
      <w:r w:rsidR="00A63ED2">
        <w:rPr>
          <w:noProof/>
        </w:rPr>
        <w:t>23</w:t>
      </w:r>
      <w:r>
        <w:rPr>
          <w:noProof/>
        </w:rPr>
        <w:fldChar w:fldCharType="end"/>
      </w:r>
    </w:p>
    <w:p w14:paraId="6DED100B" w14:textId="4B171474" w:rsidR="00017714" w:rsidRDefault="00017714">
      <w:pPr>
        <w:pStyle w:val="Obsah3"/>
        <w:tabs>
          <w:tab w:val="left" w:pos="1200"/>
          <w:tab w:val="right" w:leader="dot" w:pos="9062"/>
        </w:tabs>
        <w:rPr>
          <w:rFonts w:asciiTheme="minorHAnsi" w:eastAsiaTheme="minorEastAsia" w:hAnsiTheme="minorHAnsi" w:cstheme="minorBidi"/>
          <w:noProof/>
          <w:lang w:eastAsia="cs-CZ"/>
        </w:rPr>
      </w:pPr>
      <w:r>
        <w:rPr>
          <w:noProof/>
        </w:rPr>
        <w:t>4.5.5</w:t>
      </w:r>
      <w:r>
        <w:rPr>
          <w:rFonts w:asciiTheme="minorHAnsi" w:eastAsiaTheme="minorEastAsia" w:hAnsiTheme="minorHAnsi" w:cstheme="minorBidi"/>
          <w:noProof/>
          <w:lang w:eastAsia="cs-CZ"/>
        </w:rPr>
        <w:tab/>
      </w:r>
      <w:r>
        <w:rPr>
          <w:noProof/>
        </w:rPr>
        <w:t>Aplikace monocyklických monoterpenoidů a kontrol na buňky</w:t>
      </w:r>
      <w:r>
        <w:rPr>
          <w:noProof/>
        </w:rPr>
        <w:tab/>
      </w:r>
      <w:r>
        <w:rPr>
          <w:noProof/>
        </w:rPr>
        <w:fldChar w:fldCharType="begin"/>
      </w:r>
      <w:r>
        <w:rPr>
          <w:noProof/>
        </w:rPr>
        <w:instrText xml:space="preserve"> PAGEREF _Toc165492898 \h </w:instrText>
      </w:r>
      <w:r>
        <w:rPr>
          <w:noProof/>
        </w:rPr>
      </w:r>
      <w:r>
        <w:rPr>
          <w:noProof/>
        </w:rPr>
        <w:fldChar w:fldCharType="separate"/>
      </w:r>
      <w:r w:rsidR="00A63ED2">
        <w:rPr>
          <w:noProof/>
        </w:rPr>
        <w:t>24</w:t>
      </w:r>
      <w:r>
        <w:rPr>
          <w:noProof/>
        </w:rPr>
        <w:fldChar w:fldCharType="end"/>
      </w:r>
    </w:p>
    <w:p w14:paraId="3A8D5E72" w14:textId="5FAF90E0" w:rsidR="00017714" w:rsidRDefault="00017714">
      <w:pPr>
        <w:pStyle w:val="Obsah3"/>
        <w:tabs>
          <w:tab w:val="left" w:pos="1200"/>
          <w:tab w:val="right" w:leader="dot" w:pos="9062"/>
        </w:tabs>
        <w:rPr>
          <w:rFonts w:asciiTheme="minorHAnsi" w:eastAsiaTheme="minorEastAsia" w:hAnsiTheme="minorHAnsi" w:cstheme="minorBidi"/>
          <w:noProof/>
          <w:lang w:eastAsia="cs-CZ"/>
        </w:rPr>
      </w:pPr>
      <w:r>
        <w:rPr>
          <w:noProof/>
        </w:rPr>
        <w:t>4.5.6</w:t>
      </w:r>
      <w:r>
        <w:rPr>
          <w:rFonts w:asciiTheme="minorHAnsi" w:eastAsiaTheme="minorEastAsia" w:hAnsiTheme="minorHAnsi" w:cstheme="minorBidi"/>
          <w:noProof/>
          <w:lang w:eastAsia="cs-CZ"/>
        </w:rPr>
        <w:tab/>
      </w:r>
      <w:r>
        <w:rPr>
          <w:noProof/>
        </w:rPr>
        <w:t>MTT test</w:t>
      </w:r>
      <w:r>
        <w:rPr>
          <w:noProof/>
        </w:rPr>
        <w:tab/>
      </w:r>
      <w:r>
        <w:rPr>
          <w:noProof/>
        </w:rPr>
        <w:fldChar w:fldCharType="begin"/>
      </w:r>
      <w:r>
        <w:rPr>
          <w:noProof/>
        </w:rPr>
        <w:instrText xml:space="preserve"> PAGEREF _Toc165492899 \h </w:instrText>
      </w:r>
      <w:r>
        <w:rPr>
          <w:noProof/>
        </w:rPr>
      </w:r>
      <w:r>
        <w:rPr>
          <w:noProof/>
        </w:rPr>
        <w:fldChar w:fldCharType="separate"/>
      </w:r>
      <w:r w:rsidR="00A63ED2">
        <w:rPr>
          <w:noProof/>
        </w:rPr>
        <w:t>25</w:t>
      </w:r>
      <w:r>
        <w:rPr>
          <w:noProof/>
        </w:rPr>
        <w:fldChar w:fldCharType="end"/>
      </w:r>
    </w:p>
    <w:p w14:paraId="5C6D1D58" w14:textId="1068B736" w:rsidR="00017714" w:rsidRDefault="00017714">
      <w:pPr>
        <w:pStyle w:val="Obsah3"/>
        <w:tabs>
          <w:tab w:val="left" w:pos="1200"/>
          <w:tab w:val="right" w:leader="dot" w:pos="9062"/>
        </w:tabs>
        <w:rPr>
          <w:rFonts w:asciiTheme="minorHAnsi" w:eastAsiaTheme="minorEastAsia" w:hAnsiTheme="minorHAnsi" w:cstheme="minorBidi"/>
          <w:noProof/>
          <w:lang w:eastAsia="cs-CZ"/>
        </w:rPr>
      </w:pPr>
      <w:r>
        <w:rPr>
          <w:noProof/>
        </w:rPr>
        <w:t>4.5.7</w:t>
      </w:r>
      <w:r>
        <w:rPr>
          <w:rFonts w:asciiTheme="minorHAnsi" w:eastAsiaTheme="minorEastAsia" w:hAnsiTheme="minorHAnsi" w:cstheme="minorBidi"/>
          <w:noProof/>
          <w:lang w:eastAsia="cs-CZ"/>
        </w:rPr>
        <w:tab/>
      </w:r>
      <w:r>
        <w:rPr>
          <w:noProof/>
        </w:rPr>
        <w:t>Luciferázová reportérová esej</w:t>
      </w:r>
      <w:r>
        <w:rPr>
          <w:noProof/>
        </w:rPr>
        <w:tab/>
      </w:r>
      <w:r>
        <w:rPr>
          <w:noProof/>
        </w:rPr>
        <w:fldChar w:fldCharType="begin"/>
      </w:r>
      <w:r>
        <w:rPr>
          <w:noProof/>
        </w:rPr>
        <w:instrText xml:space="preserve"> PAGEREF _Toc165492900 \h </w:instrText>
      </w:r>
      <w:r>
        <w:rPr>
          <w:noProof/>
        </w:rPr>
      </w:r>
      <w:r>
        <w:rPr>
          <w:noProof/>
        </w:rPr>
        <w:fldChar w:fldCharType="separate"/>
      </w:r>
      <w:r w:rsidR="00A63ED2">
        <w:rPr>
          <w:noProof/>
        </w:rPr>
        <w:t>25</w:t>
      </w:r>
      <w:r>
        <w:rPr>
          <w:noProof/>
        </w:rPr>
        <w:fldChar w:fldCharType="end"/>
      </w:r>
    </w:p>
    <w:p w14:paraId="610BA251" w14:textId="43604964" w:rsidR="00017714" w:rsidRDefault="00017714">
      <w:pPr>
        <w:pStyle w:val="Obsah3"/>
        <w:tabs>
          <w:tab w:val="left" w:pos="1200"/>
          <w:tab w:val="right" w:leader="dot" w:pos="9062"/>
        </w:tabs>
        <w:rPr>
          <w:rFonts w:asciiTheme="minorHAnsi" w:eastAsiaTheme="minorEastAsia" w:hAnsiTheme="minorHAnsi" w:cstheme="minorBidi"/>
          <w:noProof/>
          <w:lang w:eastAsia="cs-CZ"/>
        </w:rPr>
      </w:pPr>
      <w:r>
        <w:rPr>
          <w:noProof/>
        </w:rPr>
        <w:t>4.5.8</w:t>
      </w:r>
      <w:r>
        <w:rPr>
          <w:rFonts w:asciiTheme="minorHAnsi" w:eastAsiaTheme="minorEastAsia" w:hAnsiTheme="minorHAnsi" w:cstheme="minorBidi"/>
          <w:noProof/>
          <w:lang w:eastAsia="cs-CZ"/>
        </w:rPr>
        <w:tab/>
      </w:r>
      <w:r>
        <w:rPr>
          <w:noProof/>
        </w:rPr>
        <w:t>Vyhodnocení experimentálních dat</w:t>
      </w:r>
      <w:r>
        <w:rPr>
          <w:noProof/>
        </w:rPr>
        <w:tab/>
      </w:r>
      <w:r>
        <w:rPr>
          <w:noProof/>
        </w:rPr>
        <w:fldChar w:fldCharType="begin"/>
      </w:r>
      <w:r>
        <w:rPr>
          <w:noProof/>
        </w:rPr>
        <w:instrText xml:space="preserve"> PAGEREF _Toc165492901 \h </w:instrText>
      </w:r>
      <w:r>
        <w:rPr>
          <w:noProof/>
        </w:rPr>
      </w:r>
      <w:r>
        <w:rPr>
          <w:noProof/>
        </w:rPr>
        <w:fldChar w:fldCharType="separate"/>
      </w:r>
      <w:r w:rsidR="00A63ED2">
        <w:rPr>
          <w:noProof/>
        </w:rPr>
        <w:t>26</w:t>
      </w:r>
      <w:r>
        <w:rPr>
          <w:noProof/>
        </w:rPr>
        <w:fldChar w:fldCharType="end"/>
      </w:r>
    </w:p>
    <w:p w14:paraId="165EE61A" w14:textId="06BAB198" w:rsidR="00017714" w:rsidRDefault="00017714">
      <w:pPr>
        <w:pStyle w:val="Obsah1"/>
        <w:rPr>
          <w:rFonts w:asciiTheme="minorHAnsi" w:eastAsiaTheme="minorEastAsia" w:hAnsiTheme="minorHAnsi" w:cstheme="minorBidi"/>
          <w:b w:val="0"/>
          <w:bCs w:val="0"/>
          <w:lang w:eastAsia="cs-CZ"/>
        </w:rPr>
      </w:pPr>
      <w:r>
        <w:t>5</w:t>
      </w:r>
      <w:r>
        <w:rPr>
          <w:rFonts w:asciiTheme="minorHAnsi" w:eastAsiaTheme="minorEastAsia" w:hAnsiTheme="minorHAnsi" w:cstheme="minorBidi"/>
          <w:b w:val="0"/>
          <w:bCs w:val="0"/>
          <w:lang w:eastAsia="cs-CZ"/>
        </w:rPr>
        <w:tab/>
      </w:r>
      <w:r>
        <w:t>VÝSLEDKY</w:t>
      </w:r>
      <w:r>
        <w:tab/>
      </w:r>
      <w:r>
        <w:fldChar w:fldCharType="begin"/>
      </w:r>
      <w:r>
        <w:instrText xml:space="preserve"> PAGEREF _Toc165492902 \h </w:instrText>
      </w:r>
      <w:r>
        <w:fldChar w:fldCharType="separate"/>
      </w:r>
      <w:r w:rsidR="00A63ED2">
        <w:t>27</w:t>
      </w:r>
      <w:r>
        <w:fldChar w:fldCharType="end"/>
      </w:r>
    </w:p>
    <w:p w14:paraId="51AE43C5" w14:textId="5305F2F1" w:rsidR="00017714" w:rsidRDefault="00017714">
      <w:pPr>
        <w:pStyle w:val="Obsah2"/>
        <w:rPr>
          <w:rFonts w:asciiTheme="minorHAnsi" w:eastAsiaTheme="minorEastAsia" w:hAnsiTheme="minorHAnsi" w:cstheme="minorBidi"/>
          <w:b w:val="0"/>
          <w:bCs w:val="0"/>
          <w:lang w:eastAsia="cs-CZ"/>
        </w:rPr>
      </w:pPr>
      <w:r>
        <w:t>5.1</w:t>
      </w:r>
      <w:r>
        <w:rPr>
          <w:rFonts w:asciiTheme="minorHAnsi" w:eastAsiaTheme="minorEastAsia" w:hAnsiTheme="minorHAnsi" w:cstheme="minorBidi"/>
          <w:b w:val="0"/>
          <w:bCs w:val="0"/>
          <w:lang w:eastAsia="cs-CZ"/>
        </w:rPr>
        <w:tab/>
      </w:r>
      <w:r>
        <w:t>Stanovení cytotoxicity účinků monocyklických monoterpenoidů na buněčnou linii LS180</w:t>
      </w:r>
      <w:r>
        <w:tab/>
      </w:r>
      <w:r w:rsidR="00A63ED2">
        <w:tab/>
      </w:r>
      <w:r>
        <w:fldChar w:fldCharType="begin"/>
      </w:r>
      <w:r>
        <w:instrText xml:space="preserve"> PAGEREF _Toc165492903 \h </w:instrText>
      </w:r>
      <w:r>
        <w:fldChar w:fldCharType="separate"/>
      </w:r>
      <w:r w:rsidR="00A63ED2">
        <w:t>27</w:t>
      </w:r>
      <w:r>
        <w:fldChar w:fldCharType="end"/>
      </w:r>
    </w:p>
    <w:p w14:paraId="256AAB9E" w14:textId="2FAEB075" w:rsidR="00017714" w:rsidRDefault="00017714">
      <w:pPr>
        <w:pStyle w:val="Obsah2"/>
        <w:rPr>
          <w:rFonts w:asciiTheme="minorHAnsi" w:eastAsiaTheme="minorEastAsia" w:hAnsiTheme="minorHAnsi" w:cstheme="minorBidi"/>
          <w:b w:val="0"/>
          <w:bCs w:val="0"/>
          <w:lang w:eastAsia="cs-CZ"/>
        </w:rPr>
      </w:pPr>
      <w:r>
        <w:t>5.2</w:t>
      </w:r>
      <w:r>
        <w:rPr>
          <w:rFonts w:asciiTheme="minorHAnsi" w:eastAsiaTheme="minorEastAsia" w:hAnsiTheme="minorHAnsi" w:cstheme="minorBidi"/>
          <w:b w:val="0"/>
          <w:bCs w:val="0"/>
          <w:lang w:eastAsia="cs-CZ"/>
        </w:rPr>
        <w:tab/>
      </w:r>
      <w:r>
        <w:t>Vliv monocyklických monoterpenoidů na transkripční aktivitu PXR</w:t>
      </w:r>
      <w:r>
        <w:tab/>
      </w:r>
      <w:r>
        <w:fldChar w:fldCharType="begin"/>
      </w:r>
      <w:r>
        <w:instrText xml:space="preserve"> PAGEREF _Toc165492904 \h </w:instrText>
      </w:r>
      <w:r>
        <w:fldChar w:fldCharType="separate"/>
      </w:r>
      <w:r w:rsidR="00A63ED2">
        <w:t>29</w:t>
      </w:r>
      <w:r>
        <w:fldChar w:fldCharType="end"/>
      </w:r>
    </w:p>
    <w:p w14:paraId="08469814" w14:textId="2C24758B" w:rsidR="00017714" w:rsidRDefault="00017714">
      <w:pPr>
        <w:pStyle w:val="Obsah3"/>
        <w:tabs>
          <w:tab w:val="left" w:pos="1200"/>
          <w:tab w:val="right" w:leader="dot" w:pos="9062"/>
        </w:tabs>
        <w:rPr>
          <w:rFonts w:asciiTheme="minorHAnsi" w:eastAsiaTheme="minorEastAsia" w:hAnsiTheme="minorHAnsi" w:cstheme="minorBidi"/>
          <w:noProof/>
          <w:lang w:eastAsia="cs-CZ"/>
        </w:rPr>
      </w:pPr>
      <w:r>
        <w:rPr>
          <w:noProof/>
        </w:rPr>
        <w:t>5.2.1</w:t>
      </w:r>
      <w:r>
        <w:rPr>
          <w:rFonts w:asciiTheme="minorHAnsi" w:eastAsiaTheme="minorEastAsia" w:hAnsiTheme="minorHAnsi" w:cstheme="minorBidi"/>
          <w:noProof/>
          <w:lang w:eastAsia="cs-CZ"/>
        </w:rPr>
        <w:tab/>
      </w:r>
      <w:r>
        <w:rPr>
          <w:noProof/>
        </w:rPr>
        <w:t>Agonistický mód</w:t>
      </w:r>
      <w:r>
        <w:rPr>
          <w:noProof/>
        </w:rPr>
        <w:tab/>
      </w:r>
      <w:r>
        <w:rPr>
          <w:noProof/>
        </w:rPr>
        <w:fldChar w:fldCharType="begin"/>
      </w:r>
      <w:r>
        <w:rPr>
          <w:noProof/>
        </w:rPr>
        <w:instrText xml:space="preserve"> PAGEREF _Toc165492905 \h </w:instrText>
      </w:r>
      <w:r>
        <w:rPr>
          <w:noProof/>
        </w:rPr>
      </w:r>
      <w:r>
        <w:rPr>
          <w:noProof/>
        </w:rPr>
        <w:fldChar w:fldCharType="separate"/>
      </w:r>
      <w:r w:rsidR="00A63ED2">
        <w:rPr>
          <w:noProof/>
        </w:rPr>
        <w:t>29</w:t>
      </w:r>
      <w:r>
        <w:rPr>
          <w:noProof/>
        </w:rPr>
        <w:fldChar w:fldCharType="end"/>
      </w:r>
    </w:p>
    <w:p w14:paraId="1744FC47" w14:textId="52FA159F" w:rsidR="00017714" w:rsidRDefault="00017714">
      <w:pPr>
        <w:pStyle w:val="Obsah3"/>
        <w:tabs>
          <w:tab w:val="left" w:pos="1200"/>
          <w:tab w:val="right" w:leader="dot" w:pos="9062"/>
        </w:tabs>
        <w:rPr>
          <w:rFonts w:asciiTheme="minorHAnsi" w:eastAsiaTheme="minorEastAsia" w:hAnsiTheme="minorHAnsi" w:cstheme="minorBidi"/>
          <w:noProof/>
          <w:lang w:eastAsia="cs-CZ"/>
        </w:rPr>
      </w:pPr>
      <w:r>
        <w:rPr>
          <w:noProof/>
        </w:rPr>
        <w:t>5.2.2</w:t>
      </w:r>
      <w:r>
        <w:rPr>
          <w:rFonts w:asciiTheme="minorHAnsi" w:eastAsiaTheme="minorEastAsia" w:hAnsiTheme="minorHAnsi" w:cstheme="minorBidi"/>
          <w:noProof/>
          <w:lang w:eastAsia="cs-CZ"/>
        </w:rPr>
        <w:tab/>
      </w:r>
      <w:r>
        <w:rPr>
          <w:noProof/>
        </w:rPr>
        <w:t>Antagonistický mód</w:t>
      </w:r>
      <w:r>
        <w:rPr>
          <w:noProof/>
        </w:rPr>
        <w:tab/>
      </w:r>
      <w:r>
        <w:rPr>
          <w:noProof/>
        </w:rPr>
        <w:fldChar w:fldCharType="begin"/>
      </w:r>
      <w:r>
        <w:rPr>
          <w:noProof/>
        </w:rPr>
        <w:instrText xml:space="preserve"> PAGEREF _Toc165492906 \h </w:instrText>
      </w:r>
      <w:r>
        <w:rPr>
          <w:noProof/>
        </w:rPr>
      </w:r>
      <w:r>
        <w:rPr>
          <w:noProof/>
        </w:rPr>
        <w:fldChar w:fldCharType="separate"/>
      </w:r>
      <w:r w:rsidR="00A63ED2">
        <w:rPr>
          <w:noProof/>
        </w:rPr>
        <w:t>32</w:t>
      </w:r>
      <w:r>
        <w:rPr>
          <w:noProof/>
        </w:rPr>
        <w:fldChar w:fldCharType="end"/>
      </w:r>
    </w:p>
    <w:p w14:paraId="4C8EEE6F" w14:textId="5E2822C9" w:rsidR="00017714" w:rsidRDefault="00017714">
      <w:pPr>
        <w:pStyle w:val="Obsah1"/>
        <w:rPr>
          <w:rFonts w:asciiTheme="minorHAnsi" w:eastAsiaTheme="minorEastAsia" w:hAnsiTheme="minorHAnsi" w:cstheme="minorBidi"/>
          <w:b w:val="0"/>
          <w:bCs w:val="0"/>
          <w:lang w:eastAsia="cs-CZ"/>
        </w:rPr>
      </w:pPr>
      <w:r>
        <w:t>6</w:t>
      </w:r>
      <w:r>
        <w:rPr>
          <w:rFonts w:asciiTheme="minorHAnsi" w:eastAsiaTheme="minorEastAsia" w:hAnsiTheme="minorHAnsi" w:cstheme="minorBidi"/>
          <w:b w:val="0"/>
          <w:bCs w:val="0"/>
          <w:lang w:eastAsia="cs-CZ"/>
        </w:rPr>
        <w:tab/>
      </w:r>
      <w:r>
        <w:t>DISKUZE</w:t>
      </w:r>
      <w:r>
        <w:tab/>
      </w:r>
      <w:r>
        <w:fldChar w:fldCharType="begin"/>
      </w:r>
      <w:r>
        <w:instrText xml:space="preserve"> PAGEREF _Toc165492907 \h </w:instrText>
      </w:r>
      <w:r>
        <w:fldChar w:fldCharType="separate"/>
      </w:r>
      <w:r w:rsidR="00A63ED2">
        <w:t>34</w:t>
      </w:r>
      <w:r>
        <w:fldChar w:fldCharType="end"/>
      </w:r>
    </w:p>
    <w:p w14:paraId="225DEC79" w14:textId="494D3B8A" w:rsidR="00017714" w:rsidRDefault="00017714">
      <w:pPr>
        <w:pStyle w:val="Obsah1"/>
        <w:rPr>
          <w:rFonts w:asciiTheme="minorHAnsi" w:eastAsiaTheme="minorEastAsia" w:hAnsiTheme="minorHAnsi" w:cstheme="minorBidi"/>
          <w:b w:val="0"/>
          <w:bCs w:val="0"/>
          <w:lang w:eastAsia="cs-CZ"/>
        </w:rPr>
      </w:pPr>
      <w:r>
        <w:t>7</w:t>
      </w:r>
      <w:r>
        <w:rPr>
          <w:rFonts w:asciiTheme="minorHAnsi" w:eastAsiaTheme="minorEastAsia" w:hAnsiTheme="minorHAnsi" w:cstheme="minorBidi"/>
          <w:b w:val="0"/>
          <w:bCs w:val="0"/>
          <w:lang w:eastAsia="cs-CZ"/>
        </w:rPr>
        <w:tab/>
      </w:r>
      <w:r>
        <w:t>ZÁVĚR</w:t>
      </w:r>
      <w:r>
        <w:tab/>
      </w:r>
      <w:r>
        <w:fldChar w:fldCharType="begin"/>
      </w:r>
      <w:r>
        <w:instrText xml:space="preserve"> PAGEREF _Toc165492908 \h </w:instrText>
      </w:r>
      <w:r>
        <w:fldChar w:fldCharType="separate"/>
      </w:r>
      <w:r w:rsidR="00A63ED2">
        <w:t>37</w:t>
      </w:r>
      <w:r>
        <w:fldChar w:fldCharType="end"/>
      </w:r>
    </w:p>
    <w:p w14:paraId="084590C3" w14:textId="07A7FF9E" w:rsidR="00017714" w:rsidRDefault="00017714">
      <w:pPr>
        <w:pStyle w:val="Obsah1"/>
        <w:rPr>
          <w:rFonts w:asciiTheme="minorHAnsi" w:eastAsiaTheme="minorEastAsia" w:hAnsiTheme="minorHAnsi" w:cstheme="minorBidi"/>
          <w:b w:val="0"/>
          <w:bCs w:val="0"/>
          <w:lang w:eastAsia="cs-CZ"/>
        </w:rPr>
      </w:pPr>
      <w:r>
        <w:t>8</w:t>
      </w:r>
      <w:r>
        <w:rPr>
          <w:rFonts w:asciiTheme="minorHAnsi" w:eastAsiaTheme="minorEastAsia" w:hAnsiTheme="minorHAnsi" w:cstheme="minorBidi"/>
          <w:b w:val="0"/>
          <w:bCs w:val="0"/>
          <w:lang w:eastAsia="cs-CZ"/>
        </w:rPr>
        <w:tab/>
      </w:r>
      <w:r>
        <w:t>LITERATURA</w:t>
      </w:r>
      <w:r>
        <w:tab/>
      </w:r>
      <w:r>
        <w:fldChar w:fldCharType="begin"/>
      </w:r>
      <w:r>
        <w:instrText xml:space="preserve"> PAGEREF _Toc165492909 \h </w:instrText>
      </w:r>
      <w:r>
        <w:fldChar w:fldCharType="separate"/>
      </w:r>
      <w:r w:rsidR="00A63ED2">
        <w:t>38</w:t>
      </w:r>
      <w:r>
        <w:fldChar w:fldCharType="end"/>
      </w:r>
    </w:p>
    <w:p w14:paraId="0A8104E0" w14:textId="6FCF4228" w:rsidR="00DC759A" w:rsidRPr="00DC759A" w:rsidRDefault="000763B3" w:rsidP="0025679B">
      <w:pPr>
        <w:rPr>
          <w:sz w:val="28"/>
          <w:szCs w:val="28"/>
        </w:rPr>
        <w:sectPr w:rsidR="00DC759A" w:rsidRPr="00DC759A" w:rsidSect="00040668">
          <w:pgSz w:w="11906" w:h="16838"/>
          <w:pgMar w:top="1417" w:right="1417" w:bottom="1417" w:left="1417" w:header="708" w:footer="708" w:gutter="0"/>
          <w:pgNumType w:fmt="lowerRoman"/>
          <w:cols w:space="708"/>
          <w:titlePg/>
          <w:docGrid w:linePitch="360"/>
        </w:sectPr>
      </w:pPr>
      <w:r>
        <w:fldChar w:fldCharType="end"/>
      </w:r>
    </w:p>
    <w:p w14:paraId="503BF8E1" w14:textId="52C59811" w:rsidR="00F81662" w:rsidRPr="00F81662" w:rsidRDefault="00D6031B" w:rsidP="00AE5FFB">
      <w:pPr>
        <w:pStyle w:val="Nadpis1"/>
      </w:pPr>
      <w:bookmarkStart w:id="1" w:name="_Toc165492870"/>
      <w:r w:rsidRPr="0083696E">
        <w:lastRenderedPageBreak/>
        <w:t>SEZNAM SYMBOLŮ A ZKRATEK</w:t>
      </w:r>
      <w:bookmarkEnd w:id="1"/>
    </w:p>
    <w:p w14:paraId="594E14DF" w14:textId="77777777" w:rsidR="00DB2DD4" w:rsidRDefault="00DB2DD4" w:rsidP="00082B97">
      <w:r>
        <w:t>ABC</w:t>
      </w:r>
      <w:r>
        <w:tab/>
      </w:r>
      <w:r>
        <w:tab/>
        <w:t>ATP-</w:t>
      </w:r>
      <w:proofErr w:type="spellStart"/>
      <w:r>
        <w:t>binding</w:t>
      </w:r>
      <w:proofErr w:type="spellEnd"/>
      <w:r>
        <w:t xml:space="preserve"> </w:t>
      </w:r>
      <w:proofErr w:type="spellStart"/>
      <w:r>
        <w:t>cassete</w:t>
      </w:r>
      <w:proofErr w:type="spellEnd"/>
    </w:p>
    <w:p w14:paraId="238388B4" w14:textId="77777777" w:rsidR="00DB2DD4" w:rsidRDefault="00DB2DD4" w:rsidP="00082B97">
      <w:r>
        <w:t>AF</w:t>
      </w:r>
      <w:r>
        <w:tab/>
      </w:r>
      <w:r>
        <w:tab/>
        <w:t>aktivační funkce</w:t>
      </w:r>
    </w:p>
    <w:p w14:paraId="08202521" w14:textId="77777777" w:rsidR="00DB2DD4" w:rsidRDefault="00DB2DD4" w:rsidP="00082B97">
      <w:proofErr w:type="spellStart"/>
      <w:r>
        <w:t>AhR</w:t>
      </w:r>
      <w:proofErr w:type="spellEnd"/>
      <w:r>
        <w:tab/>
      </w:r>
      <w:r>
        <w:tab/>
        <w:t>aryl uhlovodíkový receptor</w:t>
      </w:r>
    </w:p>
    <w:p w14:paraId="543D1E41" w14:textId="77777777" w:rsidR="00DB2DD4" w:rsidRDefault="00DB2DD4" w:rsidP="00082B97">
      <w:r>
        <w:t>AR</w:t>
      </w:r>
      <w:r>
        <w:tab/>
      </w:r>
      <w:r>
        <w:tab/>
        <w:t>androgenní receptor</w:t>
      </w:r>
    </w:p>
    <w:p w14:paraId="47BE9774" w14:textId="77777777" w:rsidR="00DB2DD4" w:rsidRDefault="00DB2DD4" w:rsidP="00082B97">
      <w:r>
        <w:t>ARNT</w:t>
      </w:r>
      <w:r>
        <w:tab/>
      </w:r>
      <w:r>
        <w:tab/>
        <w:t xml:space="preserve">jaderný </w:t>
      </w:r>
      <w:proofErr w:type="spellStart"/>
      <w:r>
        <w:t>translokátor</w:t>
      </w:r>
      <w:proofErr w:type="spellEnd"/>
      <w:r>
        <w:t xml:space="preserve"> aryl uhlovodíkového receptoru</w:t>
      </w:r>
    </w:p>
    <w:p w14:paraId="75C50FEF" w14:textId="77777777" w:rsidR="00DB2DD4" w:rsidRDefault="00DB2DD4" w:rsidP="00082B97">
      <w:r>
        <w:t>ATP</w:t>
      </w:r>
      <w:r>
        <w:tab/>
      </w:r>
      <w:r>
        <w:tab/>
        <w:t>adenosintrifosfát</w:t>
      </w:r>
    </w:p>
    <w:p w14:paraId="24013904" w14:textId="77777777" w:rsidR="00DB2DD4" w:rsidRDefault="00DB2DD4" w:rsidP="00082B97">
      <w:r>
        <w:t>BXR</w:t>
      </w:r>
      <w:r>
        <w:tab/>
      </w:r>
      <w:r>
        <w:tab/>
      </w:r>
      <w:proofErr w:type="spellStart"/>
      <w:r>
        <w:t>benzoátový</w:t>
      </w:r>
      <w:proofErr w:type="spellEnd"/>
      <w:r>
        <w:t xml:space="preserve"> X receptor</w:t>
      </w:r>
    </w:p>
    <w:p w14:paraId="5DF50539" w14:textId="77777777" w:rsidR="00DB2DD4" w:rsidRDefault="00DB2DD4" w:rsidP="00082B97">
      <w:r>
        <w:t>CPT1A</w:t>
      </w:r>
      <w:r>
        <w:tab/>
      </w:r>
      <w:r>
        <w:rPr>
          <w:kern w:val="0"/>
          <w14:ligatures w14:val="none"/>
        </w:rPr>
        <w:t xml:space="preserve">karnitin </w:t>
      </w:r>
      <w:proofErr w:type="spellStart"/>
      <w:r>
        <w:rPr>
          <w:kern w:val="0"/>
          <w14:ligatures w14:val="none"/>
        </w:rPr>
        <w:t>palmitoyltransferáza</w:t>
      </w:r>
      <w:proofErr w:type="spellEnd"/>
      <w:r>
        <w:rPr>
          <w:kern w:val="0"/>
          <w14:ligatures w14:val="none"/>
        </w:rPr>
        <w:t xml:space="preserve"> </w:t>
      </w:r>
      <w:proofErr w:type="gramStart"/>
      <w:r>
        <w:rPr>
          <w:kern w:val="0"/>
          <w14:ligatures w14:val="none"/>
        </w:rPr>
        <w:t>1A</w:t>
      </w:r>
      <w:proofErr w:type="gramEnd"/>
    </w:p>
    <w:p w14:paraId="1BD65372" w14:textId="77777777" w:rsidR="00DB2DD4" w:rsidRDefault="00DB2DD4" w:rsidP="00082B97">
      <w:r>
        <w:t>CYP450</w:t>
      </w:r>
      <w:r>
        <w:tab/>
        <w:t>cytochrom P450</w:t>
      </w:r>
    </w:p>
    <w:p w14:paraId="084BF9EF" w14:textId="77777777" w:rsidR="00DB2DD4" w:rsidRDefault="00DB2DD4" w:rsidP="00082B97">
      <w:r>
        <w:t>DBD</w:t>
      </w:r>
      <w:r>
        <w:tab/>
      </w:r>
      <w:r>
        <w:tab/>
        <w:t>DNA vazebná doména</w:t>
      </w:r>
    </w:p>
    <w:p w14:paraId="65BFFE2B" w14:textId="77777777" w:rsidR="00DB2DD4" w:rsidRDefault="00DB2DD4" w:rsidP="00082B97">
      <w:r>
        <w:t>DMEM</w:t>
      </w:r>
      <w:r>
        <w:tab/>
      </w:r>
      <w:proofErr w:type="spellStart"/>
      <w:r w:rsidRPr="001D664C">
        <w:t>Dulbecco’s</w:t>
      </w:r>
      <w:proofErr w:type="spellEnd"/>
      <w:r w:rsidRPr="001D664C">
        <w:t xml:space="preserve"> </w:t>
      </w:r>
      <w:proofErr w:type="spellStart"/>
      <w:r w:rsidRPr="001D664C">
        <w:t>Modified</w:t>
      </w:r>
      <w:proofErr w:type="spellEnd"/>
      <w:r w:rsidRPr="001D664C">
        <w:t xml:space="preserve"> </w:t>
      </w:r>
      <w:proofErr w:type="spellStart"/>
      <w:r w:rsidRPr="001D664C">
        <w:t>Eagle’s</w:t>
      </w:r>
      <w:proofErr w:type="spellEnd"/>
      <w:r w:rsidRPr="001D664C">
        <w:t xml:space="preserve"> Medium</w:t>
      </w:r>
    </w:p>
    <w:p w14:paraId="1186A83E" w14:textId="77777777" w:rsidR="00DB2DD4" w:rsidRDefault="00DB2DD4" w:rsidP="00082B97">
      <w:r>
        <w:t>DMEM-CS</w:t>
      </w:r>
      <w:r>
        <w:tab/>
      </w:r>
      <w:proofErr w:type="spellStart"/>
      <w:r w:rsidRPr="001D664C">
        <w:t>Dulbecco’s</w:t>
      </w:r>
      <w:proofErr w:type="spellEnd"/>
      <w:r w:rsidRPr="001D664C">
        <w:t xml:space="preserve"> </w:t>
      </w:r>
      <w:proofErr w:type="spellStart"/>
      <w:r w:rsidRPr="001D664C">
        <w:t>Modified</w:t>
      </w:r>
      <w:proofErr w:type="spellEnd"/>
      <w:r w:rsidRPr="001D664C">
        <w:t xml:space="preserve"> </w:t>
      </w:r>
      <w:proofErr w:type="spellStart"/>
      <w:r w:rsidRPr="001D664C">
        <w:t>Eagle’s</w:t>
      </w:r>
      <w:proofErr w:type="spellEnd"/>
      <w:r w:rsidRPr="001D664C">
        <w:t xml:space="preserve"> Medium s hormonálně inaktivovaným FBS</w:t>
      </w:r>
    </w:p>
    <w:p w14:paraId="75F10639" w14:textId="77777777" w:rsidR="00DB2DD4" w:rsidRDefault="00DB2DD4" w:rsidP="00082B97">
      <w:r>
        <w:t>DMSO</w:t>
      </w:r>
      <w:r>
        <w:tab/>
      </w:r>
      <w:r>
        <w:tab/>
        <w:t>dimethylsulfoxid</w:t>
      </w:r>
    </w:p>
    <w:p w14:paraId="3A889F49" w14:textId="77777777" w:rsidR="00DB2DD4" w:rsidRDefault="00DB2DD4" w:rsidP="00082B97">
      <w:r>
        <w:t>DR</w:t>
      </w:r>
      <w:r>
        <w:tab/>
      </w:r>
      <w:r>
        <w:tab/>
        <w:t xml:space="preserve">direct </w:t>
      </w:r>
      <w:proofErr w:type="spellStart"/>
      <w:r>
        <w:t>repeats</w:t>
      </w:r>
      <w:proofErr w:type="spellEnd"/>
    </w:p>
    <w:p w14:paraId="2653809F" w14:textId="77777777" w:rsidR="00DB2DD4" w:rsidRDefault="00DB2DD4" w:rsidP="00082B97">
      <w:r>
        <w:t>DTT</w:t>
      </w:r>
      <w:r>
        <w:tab/>
      </w:r>
      <w:r>
        <w:tab/>
      </w:r>
      <w:proofErr w:type="spellStart"/>
      <w:r>
        <w:t>dithiotreitol</w:t>
      </w:r>
      <w:proofErr w:type="spellEnd"/>
    </w:p>
    <w:p w14:paraId="6C7A2A14" w14:textId="77777777" w:rsidR="00DB2DD4" w:rsidRDefault="00DB2DD4" w:rsidP="00082B97">
      <w:pPr>
        <w:rPr>
          <w:kern w:val="0"/>
          <w14:ligatures w14:val="none"/>
        </w:rPr>
      </w:pPr>
      <w:r>
        <w:rPr>
          <w:kern w:val="0"/>
          <w14:ligatures w14:val="none"/>
        </w:rPr>
        <w:t>EC</w:t>
      </w:r>
      <w:r w:rsidRPr="00764B08">
        <w:rPr>
          <w:kern w:val="0"/>
          <w:vertAlign w:val="subscript"/>
          <w14:ligatures w14:val="none"/>
        </w:rPr>
        <w:t>50</w:t>
      </w:r>
      <w:r>
        <w:rPr>
          <w:kern w:val="0"/>
          <w14:ligatures w14:val="none"/>
        </w:rPr>
        <w:tab/>
      </w:r>
      <w:r>
        <w:rPr>
          <w:kern w:val="0"/>
          <w14:ligatures w14:val="none"/>
        </w:rPr>
        <w:tab/>
      </w:r>
      <w:r w:rsidRPr="004A6CB7">
        <w:rPr>
          <w:kern w:val="0"/>
          <w14:ligatures w14:val="none"/>
        </w:rPr>
        <w:t>poloviční maximální efektivní koncentrace</w:t>
      </w:r>
    </w:p>
    <w:p w14:paraId="25AD24B3" w14:textId="77777777" w:rsidR="00DB2DD4" w:rsidRDefault="00DB2DD4" w:rsidP="00082B97">
      <w:r>
        <w:t>EDTA</w:t>
      </w:r>
      <w:r>
        <w:tab/>
      </w:r>
      <w:r>
        <w:tab/>
        <w:t xml:space="preserve">kyselina </w:t>
      </w:r>
      <w:proofErr w:type="spellStart"/>
      <w:r>
        <w:t>ethylendiamintetraoctová</w:t>
      </w:r>
      <w:proofErr w:type="spellEnd"/>
    </w:p>
    <w:p w14:paraId="7E659C00" w14:textId="77777777" w:rsidR="00DB2DD4" w:rsidRDefault="00DB2DD4" w:rsidP="00082B97">
      <w:r>
        <w:t>EST</w:t>
      </w:r>
      <w:r>
        <w:tab/>
      </w:r>
      <w:r>
        <w:tab/>
      </w:r>
      <w:proofErr w:type="spellStart"/>
      <w:r>
        <w:t>expressed-sequence</w:t>
      </w:r>
      <w:proofErr w:type="spellEnd"/>
      <w:r>
        <w:t xml:space="preserve"> tag</w:t>
      </w:r>
    </w:p>
    <w:p w14:paraId="1B1E95F4" w14:textId="77777777" w:rsidR="00DB2DD4" w:rsidRDefault="00DB2DD4" w:rsidP="00082B97">
      <w:pPr>
        <w:rPr>
          <w:kern w:val="0"/>
          <w14:ligatures w14:val="none"/>
        </w:rPr>
      </w:pPr>
      <w:r>
        <w:rPr>
          <w:kern w:val="0"/>
          <w14:ligatures w14:val="none"/>
        </w:rPr>
        <w:t>FGF</w:t>
      </w:r>
      <w:r>
        <w:rPr>
          <w:kern w:val="0"/>
          <w14:ligatures w14:val="none"/>
        </w:rPr>
        <w:tab/>
      </w:r>
      <w:r>
        <w:rPr>
          <w:kern w:val="0"/>
          <w14:ligatures w14:val="none"/>
        </w:rPr>
        <w:tab/>
        <w:t>fibroblastový růstový faktor</w:t>
      </w:r>
    </w:p>
    <w:p w14:paraId="7F6B5F1E" w14:textId="77777777" w:rsidR="00DB2DD4" w:rsidRDefault="00DB2DD4" w:rsidP="00082B97">
      <w:r>
        <w:t>FMO</w:t>
      </w:r>
      <w:r>
        <w:tab/>
      </w:r>
      <w:r>
        <w:tab/>
        <w:t xml:space="preserve">flavinové </w:t>
      </w:r>
      <w:proofErr w:type="spellStart"/>
      <w:r>
        <w:t>monooxygenázy</w:t>
      </w:r>
      <w:proofErr w:type="spellEnd"/>
    </w:p>
    <w:p w14:paraId="552D0BEA" w14:textId="77777777" w:rsidR="00DB2DD4" w:rsidRDefault="00DB2DD4" w:rsidP="00082B97">
      <w:r>
        <w:t>FoxO1</w:t>
      </w:r>
      <w:r>
        <w:tab/>
      </w:r>
      <w:r>
        <w:tab/>
      </w:r>
      <w:proofErr w:type="spellStart"/>
      <w:r>
        <w:t>forkhead</w:t>
      </w:r>
      <w:proofErr w:type="spellEnd"/>
      <w:r>
        <w:t xml:space="preserve"> box protein O1</w:t>
      </w:r>
    </w:p>
    <w:p w14:paraId="3C2F0053" w14:textId="77777777" w:rsidR="00DB2DD4" w:rsidRDefault="00DB2DD4" w:rsidP="00082B97">
      <w:r>
        <w:t>G6P</w:t>
      </w:r>
      <w:r>
        <w:tab/>
      </w:r>
      <w:r>
        <w:tab/>
        <w:t>glukóza-</w:t>
      </w:r>
      <w:proofErr w:type="gramStart"/>
      <w:r>
        <w:t>6-fosfatáza</w:t>
      </w:r>
      <w:proofErr w:type="gramEnd"/>
    </w:p>
    <w:p w14:paraId="722C54B4" w14:textId="77777777" w:rsidR="00DB2DD4" w:rsidRDefault="00DB2DD4" w:rsidP="00082B97">
      <w:r>
        <w:t>GPP</w:t>
      </w:r>
      <w:r>
        <w:tab/>
      </w:r>
      <w:r>
        <w:tab/>
      </w:r>
      <w:proofErr w:type="spellStart"/>
      <w:r>
        <w:t>geranylpyrofosfát</w:t>
      </w:r>
      <w:proofErr w:type="spellEnd"/>
    </w:p>
    <w:p w14:paraId="29BA7474" w14:textId="77777777" w:rsidR="00DB2DD4" w:rsidRDefault="00DB2DD4" w:rsidP="00082B97">
      <w:r>
        <w:lastRenderedPageBreak/>
        <w:t>GR</w:t>
      </w:r>
      <w:r>
        <w:tab/>
      </w:r>
      <w:r>
        <w:tab/>
        <w:t>glukokortikoidní receptor</w:t>
      </w:r>
    </w:p>
    <w:p w14:paraId="711251BE" w14:textId="77777777" w:rsidR="00DB2DD4" w:rsidRDefault="00DB2DD4" w:rsidP="00082B97">
      <w:r>
        <w:t>GST</w:t>
      </w:r>
      <w:r>
        <w:tab/>
      </w:r>
      <w:r>
        <w:tab/>
        <w:t>glutation S-transferázy</w:t>
      </w:r>
    </w:p>
    <w:p w14:paraId="66D6CA6D" w14:textId="77777777" w:rsidR="00DB2DD4" w:rsidRDefault="00DB2DD4" w:rsidP="00082B97">
      <w:r>
        <w:t>HAT</w:t>
      </w:r>
      <w:r>
        <w:tab/>
      </w:r>
      <w:r>
        <w:tab/>
        <w:t xml:space="preserve">histon </w:t>
      </w:r>
      <w:proofErr w:type="spellStart"/>
      <w:r>
        <w:t>acetyltransferázy</w:t>
      </w:r>
      <w:proofErr w:type="spellEnd"/>
    </w:p>
    <w:p w14:paraId="5920A0B9" w14:textId="77777777" w:rsidR="00DB2DD4" w:rsidRDefault="00DB2DD4" w:rsidP="00082B97">
      <w:r>
        <w:t>HDAC</w:t>
      </w:r>
      <w:r>
        <w:tab/>
      </w:r>
      <w:r>
        <w:tab/>
      </w:r>
      <w:proofErr w:type="spellStart"/>
      <w:r>
        <w:t>histondeacetylázová</w:t>
      </w:r>
      <w:proofErr w:type="spellEnd"/>
      <w:r>
        <w:t xml:space="preserve"> aktivita</w:t>
      </w:r>
    </w:p>
    <w:p w14:paraId="53C2ACFA" w14:textId="77777777" w:rsidR="00DB2DD4" w:rsidRDefault="00DB2DD4" w:rsidP="00082B97">
      <w:pPr>
        <w:rPr>
          <w:kern w:val="0"/>
          <w14:ligatures w14:val="none"/>
        </w:rPr>
      </w:pPr>
      <w:r>
        <w:rPr>
          <w:kern w:val="0"/>
          <w14:ligatures w14:val="none"/>
        </w:rPr>
        <w:t>HMGCS2</w:t>
      </w:r>
      <w:r>
        <w:rPr>
          <w:kern w:val="0"/>
          <w14:ligatures w14:val="none"/>
        </w:rPr>
        <w:tab/>
        <w:t>3-hydroxy-</w:t>
      </w:r>
      <w:proofErr w:type="gramStart"/>
      <w:r>
        <w:rPr>
          <w:kern w:val="0"/>
          <w14:ligatures w14:val="none"/>
        </w:rPr>
        <w:t>3-metylglutarát</w:t>
      </w:r>
      <w:proofErr w:type="gramEnd"/>
      <w:r>
        <w:rPr>
          <w:kern w:val="0"/>
          <w14:ligatures w14:val="none"/>
        </w:rPr>
        <w:t xml:space="preserve">-CoA </w:t>
      </w:r>
      <w:proofErr w:type="spellStart"/>
      <w:r>
        <w:rPr>
          <w:kern w:val="0"/>
          <w14:ligatures w14:val="none"/>
        </w:rPr>
        <w:t>syntáza</w:t>
      </w:r>
      <w:proofErr w:type="spellEnd"/>
      <w:r>
        <w:rPr>
          <w:kern w:val="0"/>
          <w14:ligatures w14:val="none"/>
        </w:rPr>
        <w:t xml:space="preserve"> 2</w:t>
      </w:r>
    </w:p>
    <w:p w14:paraId="6E72CF81" w14:textId="77777777" w:rsidR="00DB2DD4" w:rsidRPr="00223A1C" w:rsidRDefault="00DB2DD4" w:rsidP="00082B97">
      <w:r>
        <w:rPr>
          <w:kern w:val="0"/>
          <w14:ligatures w14:val="none"/>
        </w:rPr>
        <w:t>IC</w:t>
      </w:r>
      <w:r w:rsidRPr="003B4B18">
        <w:rPr>
          <w:kern w:val="0"/>
          <w:vertAlign w:val="subscript"/>
          <w14:ligatures w14:val="none"/>
        </w:rPr>
        <w:t>50</w:t>
      </w:r>
      <w:r>
        <w:rPr>
          <w:kern w:val="0"/>
          <w14:ligatures w14:val="none"/>
        </w:rPr>
        <w:tab/>
      </w:r>
      <w:r>
        <w:rPr>
          <w:kern w:val="0"/>
          <w14:ligatures w14:val="none"/>
        </w:rPr>
        <w:tab/>
        <w:t>p</w:t>
      </w:r>
      <w:r w:rsidRPr="004322F9">
        <w:rPr>
          <w:kern w:val="0"/>
          <w14:ligatures w14:val="none"/>
        </w:rPr>
        <w:t>oloviční maximální inhibiční koncentrace</w:t>
      </w:r>
    </w:p>
    <w:p w14:paraId="458F7C27" w14:textId="77777777" w:rsidR="00DB2DD4" w:rsidRDefault="00DB2DD4" w:rsidP="00082B97">
      <w:pPr>
        <w:rPr>
          <w:kern w:val="0"/>
          <w14:ligatures w14:val="none"/>
        </w:rPr>
      </w:pPr>
      <w:r>
        <w:rPr>
          <w:kern w:val="0"/>
          <w14:ligatures w14:val="none"/>
        </w:rPr>
        <w:t>IFN-</w:t>
      </w:r>
      <w:r w:rsidRPr="008F297F">
        <w:rPr>
          <w:kern w:val="0"/>
          <w14:ligatures w14:val="none"/>
        </w:rPr>
        <w:t>γ</w:t>
      </w:r>
      <w:r>
        <w:rPr>
          <w:kern w:val="0"/>
          <w14:ligatures w14:val="none"/>
        </w:rPr>
        <w:tab/>
      </w:r>
      <w:r>
        <w:rPr>
          <w:kern w:val="0"/>
          <w14:ligatures w14:val="none"/>
        </w:rPr>
        <w:tab/>
        <w:t>interferon-</w:t>
      </w:r>
      <w:r w:rsidRPr="008F297F">
        <w:rPr>
          <w:kern w:val="0"/>
          <w14:ligatures w14:val="none"/>
        </w:rPr>
        <w:t>γ</w:t>
      </w:r>
    </w:p>
    <w:p w14:paraId="2C9ABA69" w14:textId="77777777" w:rsidR="00DB2DD4" w:rsidRDefault="00DB2DD4" w:rsidP="00082B97">
      <w:pPr>
        <w:rPr>
          <w:kern w:val="0"/>
          <w14:ligatures w14:val="none"/>
        </w:rPr>
      </w:pPr>
      <w:r>
        <w:rPr>
          <w:kern w:val="0"/>
          <w14:ligatures w14:val="none"/>
        </w:rPr>
        <w:t>IL-1β</w:t>
      </w:r>
      <w:r>
        <w:rPr>
          <w:kern w:val="0"/>
          <w14:ligatures w14:val="none"/>
        </w:rPr>
        <w:tab/>
      </w:r>
      <w:r>
        <w:rPr>
          <w:kern w:val="0"/>
          <w14:ligatures w14:val="none"/>
        </w:rPr>
        <w:tab/>
        <w:t>interleukin-1β</w:t>
      </w:r>
    </w:p>
    <w:p w14:paraId="46EE2A9B" w14:textId="77777777" w:rsidR="00DB2DD4" w:rsidRDefault="00DB2DD4" w:rsidP="00082B97">
      <w:r>
        <w:t>IRS</w:t>
      </w:r>
      <w:r>
        <w:tab/>
      </w:r>
      <w:r>
        <w:tab/>
        <w:t>inzulinový receptorový substrát</w:t>
      </w:r>
    </w:p>
    <w:p w14:paraId="39E55BB1" w14:textId="77777777" w:rsidR="00DB2DD4" w:rsidRDefault="00DB2DD4" w:rsidP="00082B97">
      <w:r>
        <w:t>LBD</w:t>
      </w:r>
      <w:r>
        <w:tab/>
      </w:r>
      <w:r>
        <w:tab/>
        <w:t>ligand vazebná doména</w:t>
      </w:r>
    </w:p>
    <w:p w14:paraId="2EFB77E8" w14:textId="7AB9E17A" w:rsidR="00DB2DD4" w:rsidRDefault="00DB2DD4" w:rsidP="00082B97">
      <w:r>
        <w:t>MATE</w:t>
      </w:r>
      <w:r>
        <w:tab/>
      </w:r>
      <w:r>
        <w:tab/>
      </w:r>
      <w:proofErr w:type="spellStart"/>
      <w:r>
        <w:t>multidrug</w:t>
      </w:r>
      <w:proofErr w:type="spellEnd"/>
      <w:r>
        <w:t xml:space="preserve"> a</w:t>
      </w:r>
      <w:r w:rsidR="008C6B68">
        <w:t>nd</w:t>
      </w:r>
      <w:r>
        <w:t xml:space="preserve"> toxin </w:t>
      </w:r>
      <w:proofErr w:type="spellStart"/>
      <w:r>
        <w:t>extrusion</w:t>
      </w:r>
      <w:proofErr w:type="spellEnd"/>
      <w:r>
        <w:t xml:space="preserve"> transportér</w:t>
      </w:r>
    </w:p>
    <w:p w14:paraId="0033DAA0" w14:textId="07562801" w:rsidR="00DB2DD4" w:rsidRDefault="00DB2DD4" w:rsidP="00082B97">
      <w:r>
        <w:t>MDR</w:t>
      </w:r>
      <w:r>
        <w:tab/>
      </w:r>
      <w:r>
        <w:tab/>
      </w:r>
      <w:proofErr w:type="spellStart"/>
      <w:r>
        <w:t>multidrug</w:t>
      </w:r>
      <w:proofErr w:type="spellEnd"/>
      <w:r>
        <w:t xml:space="preserve"> re</w:t>
      </w:r>
      <w:r w:rsidR="001C5D11">
        <w:t>sistence transport</w:t>
      </w:r>
      <w:r w:rsidR="00641749">
        <w:t>ér</w:t>
      </w:r>
    </w:p>
    <w:p w14:paraId="6056C958" w14:textId="77777777" w:rsidR="00DB2DD4" w:rsidRDefault="00DB2DD4" w:rsidP="00082B97">
      <w:r>
        <w:t>MEP</w:t>
      </w:r>
      <w:r>
        <w:tab/>
      </w:r>
      <w:r>
        <w:tab/>
      </w:r>
      <w:proofErr w:type="spellStart"/>
      <w:r>
        <w:t>nemevalonátová</w:t>
      </w:r>
      <w:proofErr w:type="spellEnd"/>
      <w:r>
        <w:t xml:space="preserve"> dráha</w:t>
      </w:r>
    </w:p>
    <w:p w14:paraId="7C772F06" w14:textId="72C0A597" w:rsidR="00DB2DD4" w:rsidRDefault="00DB2DD4" w:rsidP="00082B97">
      <w:r>
        <w:t>MRP</w:t>
      </w:r>
      <w:r>
        <w:tab/>
      </w:r>
      <w:r>
        <w:tab/>
      </w:r>
      <w:proofErr w:type="spellStart"/>
      <w:r>
        <w:t>multidrug</w:t>
      </w:r>
      <w:proofErr w:type="spellEnd"/>
      <w:r>
        <w:t xml:space="preserve"> re</w:t>
      </w:r>
      <w:r w:rsidR="00641749">
        <w:t>sistence</w:t>
      </w:r>
      <w:r>
        <w:t xml:space="preserve"> protein</w:t>
      </w:r>
    </w:p>
    <w:p w14:paraId="035403A7" w14:textId="77777777" w:rsidR="00DB2DD4" w:rsidRDefault="00DB2DD4" w:rsidP="00082B97">
      <w:r>
        <w:t>MTT</w:t>
      </w:r>
      <w:r>
        <w:tab/>
      </w:r>
      <w:r>
        <w:tab/>
      </w:r>
      <w:proofErr w:type="spellStart"/>
      <w:r>
        <w:t>methyltetrazoliová</w:t>
      </w:r>
      <w:proofErr w:type="spellEnd"/>
      <w:r>
        <w:t xml:space="preserve"> sůl</w:t>
      </w:r>
    </w:p>
    <w:p w14:paraId="491CC48E" w14:textId="77777777" w:rsidR="00DB2DD4" w:rsidRDefault="00DB2DD4" w:rsidP="00082B97">
      <w:r>
        <w:t>MVA</w:t>
      </w:r>
      <w:r>
        <w:tab/>
      </w:r>
      <w:r>
        <w:tab/>
      </w:r>
      <w:proofErr w:type="spellStart"/>
      <w:r>
        <w:t>mevalonátová</w:t>
      </w:r>
      <w:proofErr w:type="spellEnd"/>
      <w:r>
        <w:t xml:space="preserve"> dráha</w:t>
      </w:r>
    </w:p>
    <w:p w14:paraId="6FAD5FD7" w14:textId="77777777" w:rsidR="00DB2DD4" w:rsidRDefault="00DB2DD4" w:rsidP="00082B97">
      <w:r>
        <w:t>NADPH</w:t>
      </w:r>
      <w:r>
        <w:tab/>
      </w:r>
      <w:proofErr w:type="spellStart"/>
      <w:r>
        <w:t>n</w:t>
      </w:r>
      <w:r w:rsidRPr="00BD6784">
        <w:t>ikotinamidadenindinukleotidfosfát</w:t>
      </w:r>
      <w:proofErr w:type="spellEnd"/>
    </w:p>
    <w:p w14:paraId="6942AD4B" w14:textId="77777777" w:rsidR="00DB2DD4" w:rsidRDefault="00DB2DD4" w:rsidP="00082B97">
      <w:r>
        <w:t>NAT</w:t>
      </w:r>
      <w:r>
        <w:tab/>
      </w:r>
      <w:r>
        <w:tab/>
        <w:t>N-</w:t>
      </w:r>
      <w:proofErr w:type="spellStart"/>
      <w:r>
        <w:t>acetyltransferáza</w:t>
      </w:r>
      <w:proofErr w:type="spellEnd"/>
    </w:p>
    <w:p w14:paraId="3DFF0F8E" w14:textId="77777777" w:rsidR="00DB2DD4" w:rsidRDefault="00DB2DD4" w:rsidP="00082B97">
      <w:proofErr w:type="spellStart"/>
      <w:r>
        <w:t>NCoR</w:t>
      </w:r>
      <w:proofErr w:type="spellEnd"/>
      <w:r>
        <w:tab/>
      </w:r>
      <w:r>
        <w:tab/>
        <w:t>korepresor jaderného receptoru</w:t>
      </w:r>
    </w:p>
    <w:p w14:paraId="7D049758" w14:textId="77777777" w:rsidR="00DB2DD4" w:rsidRDefault="00DB2DD4" w:rsidP="00082B97">
      <w:pPr>
        <w:rPr>
          <w:kern w:val="0"/>
          <w14:ligatures w14:val="none"/>
        </w:rPr>
      </w:pPr>
      <w:r>
        <w:rPr>
          <w:kern w:val="0"/>
          <w14:ligatures w14:val="none"/>
        </w:rPr>
        <w:t>NF-</w:t>
      </w:r>
      <w:proofErr w:type="spellStart"/>
      <w:r w:rsidRPr="00CA6B19">
        <w:rPr>
          <w:kern w:val="0"/>
          <w14:ligatures w14:val="none"/>
        </w:rPr>
        <w:t>κB</w:t>
      </w:r>
      <w:proofErr w:type="spellEnd"/>
      <w:r>
        <w:rPr>
          <w:kern w:val="0"/>
          <w14:ligatures w14:val="none"/>
        </w:rPr>
        <w:tab/>
      </w:r>
      <w:r>
        <w:rPr>
          <w:kern w:val="0"/>
          <w14:ligatures w14:val="none"/>
        </w:rPr>
        <w:tab/>
        <w:t>nukleární faktor kappa B</w:t>
      </w:r>
    </w:p>
    <w:p w14:paraId="342F063A" w14:textId="77777777" w:rsidR="00DB2DD4" w:rsidRDefault="00DB2DD4" w:rsidP="00082B97">
      <w:r>
        <w:t>NRI12</w:t>
      </w:r>
      <w:r>
        <w:tab/>
      </w:r>
      <w:r>
        <w:tab/>
      </w:r>
      <w:r w:rsidRPr="00433E5C">
        <w:t xml:space="preserve">jaderný receptor </w:t>
      </w:r>
      <w:proofErr w:type="spellStart"/>
      <w:r w:rsidRPr="00433E5C">
        <w:t>podrodiny</w:t>
      </w:r>
      <w:proofErr w:type="spellEnd"/>
      <w:r w:rsidRPr="00433E5C">
        <w:t xml:space="preserve"> 1, skupiny I, člen 2</w:t>
      </w:r>
    </w:p>
    <w:p w14:paraId="0B0EB145" w14:textId="77777777" w:rsidR="00DB2DD4" w:rsidRDefault="00DB2DD4" w:rsidP="00082B97">
      <w:r>
        <w:t>OAT</w:t>
      </w:r>
      <w:r>
        <w:tab/>
      </w:r>
      <w:r>
        <w:tab/>
        <w:t>organické anionové transportéry</w:t>
      </w:r>
    </w:p>
    <w:p w14:paraId="4DB36182" w14:textId="77777777" w:rsidR="00DB2DD4" w:rsidRDefault="00DB2DD4" w:rsidP="00082B97">
      <w:r>
        <w:t>OATP</w:t>
      </w:r>
      <w:r>
        <w:tab/>
      </w:r>
      <w:r>
        <w:tab/>
        <w:t>organické anionové transportující polypeptidy</w:t>
      </w:r>
    </w:p>
    <w:p w14:paraId="75B08FF7" w14:textId="77777777" w:rsidR="00DB2DD4" w:rsidRDefault="00DB2DD4" w:rsidP="00082B97">
      <w:r>
        <w:t>OCT</w:t>
      </w:r>
      <w:r>
        <w:tab/>
      </w:r>
      <w:r>
        <w:tab/>
        <w:t>organické kationové transportéry</w:t>
      </w:r>
    </w:p>
    <w:p w14:paraId="118FEB79" w14:textId="72EEC65E" w:rsidR="00DB2DD4" w:rsidRDefault="00DB2DD4" w:rsidP="00082B97">
      <w:r>
        <w:lastRenderedPageBreak/>
        <w:t>PAPS</w:t>
      </w:r>
      <w:r>
        <w:tab/>
      </w:r>
      <w:r>
        <w:tab/>
      </w:r>
      <w:r w:rsidRPr="00507D2C">
        <w:t>3′-</w:t>
      </w:r>
      <w:r>
        <w:t>fosfoadenozin</w:t>
      </w:r>
      <w:r w:rsidR="00B94312">
        <w:t>-</w:t>
      </w:r>
      <w:r w:rsidRPr="00507D2C">
        <w:t>5′-</w:t>
      </w:r>
      <w:r>
        <w:t>fosfosulfát</w:t>
      </w:r>
    </w:p>
    <w:p w14:paraId="5949346E" w14:textId="3991DA5F" w:rsidR="00DB2DD4" w:rsidRDefault="00DB2DD4" w:rsidP="00082B97">
      <w:r>
        <w:t>PAPSS2</w:t>
      </w:r>
      <w:r>
        <w:tab/>
      </w:r>
      <w:r w:rsidRPr="00507D2C">
        <w:t>3′-</w:t>
      </w:r>
      <w:r>
        <w:t>fosfoadenozin</w:t>
      </w:r>
      <w:r w:rsidR="00B94312">
        <w:t>-</w:t>
      </w:r>
      <w:r w:rsidRPr="00507D2C">
        <w:t>5′-</w:t>
      </w:r>
      <w:r>
        <w:t xml:space="preserve">fosfosulfát </w:t>
      </w:r>
      <w:proofErr w:type="spellStart"/>
      <w:r>
        <w:t>syntetáza</w:t>
      </w:r>
      <w:proofErr w:type="spellEnd"/>
      <w:r>
        <w:t xml:space="preserve"> 2</w:t>
      </w:r>
    </w:p>
    <w:p w14:paraId="686D57FE" w14:textId="77777777" w:rsidR="00DB2DD4" w:rsidRDefault="00DB2DD4" w:rsidP="00082B97">
      <w:r>
        <w:t>PBS</w:t>
      </w:r>
      <w:r>
        <w:tab/>
      </w:r>
      <w:r>
        <w:tab/>
        <w:t>fosfátový pufr</w:t>
      </w:r>
    </w:p>
    <w:p w14:paraId="45D5AB07" w14:textId="77777777" w:rsidR="00DB2DD4" w:rsidRDefault="00DB2DD4" w:rsidP="00082B97">
      <w:r>
        <w:t>PEPCK</w:t>
      </w:r>
      <w:r>
        <w:tab/>
      </w:r>
      <w:proofErr w:type="spellStart"/>
      <w:r>
        <w:t>fosfoenolpyruvát</w:t>
      </w:r>
      <w:proofErr w:type="spellEnd"/>
      <w:r>
        <w:t xml:space="preserve"> </w:t>
      </w:r>
      <w:proofErr w:type="spellStart"/>
      <w:r>
        <w:t>karboxykináza</w:t>
      </w:r>
      <w:proofErr w:type="spellEnd"/>
    </w:p>
    <w:p w14:paraId="310EF9C5" w14:textId="77777777" w:rsidR="00DB2DD4" w:rsidRDefault="00DB2DD4" w:rsidP="00082B97">
      <w:r w:rsidRPr="00AE5FFB">
        <w:t>PXR</w:t>
      </w:r>
      <w:r>
        <w:tab/>
      </w:r>
      <w:r>
        <w:tab/>
      </w:r>
      <w:proofErr w:type="spellStart"/>
      <w:r>
        <w:t>pregnanový</w:t>
      </w:r>
      <w:proofErr w:type="spellEnd"/>
      <w:r>
        <w:t xml:space="preserve"> X receptor</w:t>
      </w:r>
    </w:p>
    <w:p w14:paraId="2690C652" w14:textId="77777777" w:rsidR="00DB2DD4" w:rsidRDefault="00DB2DD4" w:rsidP="00082B97">
      <w:r>
        <w:t>RIF</w:t>
      </w:r>
      <w:r>
        <w:tab/>
      </w:r>
      <w:r>
        <w:tab/>
      </w:r>
      <w:proofErr w:type="spellStart"/>
      <w:r>
        <w:t>rifampicin</w:t>
      </w:r>
      <w:proofErr w:type="spellEnd"/>
    </w:p>
    <w:p w14:paraId="1B1503C5" w14:textId="77777777" w:rsidR="00DB2DD4" w:rsidRDefault="00DB2DD4" w:rsidP="00082B97">
      <w:r>
        <w:t>RXR</w:t>
      </w:r>
      <w:r>
        <w:tab/>
      </w:r>
      <w:r>
        <w:tab/>
      </w:r>
      <w:proofErr w:type="spellStart"/>
      <w:r>
        <w:t>retinoidní</w:t>
      </w:r>
      <w:proofErr w:type="spellEnd"/>
      <w:r>
        <w:t xml:space="preserve"> X receptor</w:t>
      </w:r>
    </w:p>
    <w:p w14:paraId="103E5717" w14:textId="77777777" w:rsidR="00DB2DD4" w:rsidRDefault="00DB2DD4" w:rsidP="00082B97">
      <w:pPr>
        <w:rPr>
          <w:kern w:val="0"/>
          <w14:ligatures w14:val="none"/>
        </w:rPr>
      </w:pPr>
      <w:r>
        <w:rPr>
          <w:kern w:val="0"/>
          <w14:ligatures w14:val="none"/>
        </w:rPr>
        <w:t>SCD1</w:t>
      </w:r>
      <w:r>
        <w:rPr>
          <w:kern w:val="0"/>
          <w14:ligatures w14:val="none"/>
        </w:rPr>
        <w:tab/>
      </w:r>
      <w:r>
        <w:rPr>
          <w:kern w:val="0"/>
          <w14:ligatures w14:val="none"/>
        </w:rPr>
        <w:tab/>
      </w:r>
      <w:proofErr w:type="spellStart"/>
      <w:r>
        <w:rPr>
          <w:kern w:val="0"/>
          <w14:ligatures w14:val="none"/>
        </w:rPr>
        <w:t>stearoyl-CoA</w:t>
      </w:r>
      <w:proofErr w:type="spellEnd"/>
      <w:r>
        <w:rPr>
          <w:kern w:val="0"/>
          <w14:ligatures w14:val="none"/>
        </w:rPr>
        <w:t xml:space="preserve"> </w:t>
      </w:r>
      <w:proofErr w:type="spellStart"/>
      <w:r>
        <w:rPr>
          <w:kern w:val="0"/>
          <w14:ligatures w14:val="none"/>
        </w:rPr>
        <w:t>desaturáza</w:t>
      </w:r>
      <w:proofErr w:type="spellEnd"/>
      <w:r>
        <w:rPr>
          <w:kern w:val="0"/>
          <w14:ligatures w14:val="none"/>
        </w:rPr>
        <w:t xml:space="preserve"> 1</w:t>
      </w:r>
    </w:p>
    <w:p w14:paraId="429FBB83" w14:textId="77777777" w:rsidR="00DB2DD4" w:rsidRDefault="00DB2DD4" w:rsidP="00082B97">
      <w:r>
        <w:t>SLC</w:t>
      </w:r>
      <w:r>
        <w:tab/>
      </w:r>
      <w:r>
        <w:tab/>
      </w:r>
      <w:proofErr w:type="spellStart"/>
      <w:r>
        <w:t>solute</w:t>
      </w:r>
      <w:proofErr w:type="spellEnd"/>
      <w:r>
        <w:t xml:space="preserve"> </w:t>
      </w:r>
      <w:proofErr w:type="spellStart"/>
      <w:r>
        <w:t>carrier</w:t>
      </w:r>
      <w:proofErr w:type="spellEnd"/>
    </w:p>
    <w:p w14:paraId="04E9663D" w14:textId="77777777" w:rsidR="00DB2DD4" w:rsidRDefault="00DB2DD4" w:rsidP="00082B97">
      <w:r>
        <w:t>SRC</w:t>
      </w:r>
      <w:r>
        <w:tab/>
      </w:r>
      <w:r>
        <w:tab/>
      </w:r>
      <w:proofErr w:type="spellStart"/>
      <w:r>
        <w:t>koaktivátor</w:t>
      </w:r>
      <w:proofErr w:type="spellEnd"/>
      <w:r>
        <w:t xml:space="preserve"> steroidního receptoru</w:t>
      </w:r>
    </w:p>
    <w:p w14:paraId="0903D6E1" w14:textId="77777777" w:rsidR="00DB2DD4" w:rsidRDefault="00DB2DD4" w:rsidP="00082B97">
      <w:r>
        <w:t>SULT</w:t>
      </w:r>
      <w:r>
        <w:tab/>
      </w:r>
      <w:r>
        <w:tab/>
      </w:r>
      <w:proofErr w:type="spellStart"/>
      <w:r>
        <w:t>sulfotranferáza</w:t>
      </w:r>
      <w:proofErr w:type="spellEnd"/>
    </w:p>
    <w:p w14:paraId="7357295C" w14:textId="77777777" w:rsidR="00DB2DD4" w:rsidRDefault="00DB2DD4" w:rsidP="00082B97">
      <w:r>
        <w:t>SXR</w:t>
      </w:r>
      <w:r>
        <w:tab/>
      </w:r>
      <w:r>
        <w:tab/>
        <w:t>steroidní X receptor</w:t>
      </w:r>
    </w:p>
    <w:p w14:paraId="71DAB464" w14:textId="77777777" w:rsidR="00DB2DD4" w:rsidRDefault="00DB2DD4" w:rsidP="00082B97">
      <w:pPr>
        <w:rPr>
          <w:kern w:val="0"/>
          <w14:ligatures w14:val="none"/>
        </w:rPr>
      </w:pPr>
      <w:r>
        <w:rPr>
          <w:kern w:val="0"/>
          <w14:ligatures w14:val="none"/>
        </w:rPr>
        <w:t>TNF-α</w:t>
      </w:r>
      <w:r>
        <w:rPr>
          <w:kern w:val="0"/>
          <w14:ligatures w14:val="none"/>
        </w:rPr>
        <w:tab/>
      </w:r>
      <w:r>
        <w:rPr>
          <w:kern w:val="0"/>
          <w14:ligatures w14:val="none"/>
        </w:rPr>
        <w:tab/>
        <w:t>tumor nekrotizující faktor-α</w:t>
      </w:r>
    </w:p>
    <w:p w14:paraId="6E4757D6" w14:textId="77777777" w:rsidR="00DB2DD4" w:rsidRDefault="00DB2DD4" w:rsidP="00082B97">
      <w:r>
        <w:t>UDPGA</w:t>
      </w:r>
      <w:r>
        <w:tab/>
        <w:t>kyselina uridin-5'-difosfoglukuronová</w:t>
      </w:r>
    </w:p>
    <w:p w14:paraId="4201A228" w14:textId="77777777" w:rsidR="00DB2DD4" w:rsidRDefault="00DB2DD4" w:rsidP="00082B97">
      <w:r>
        <w:t>UGT</w:t>
      </w:r>
      <w:r>
        <w:tab/>
      </w:r>
      <w:r>
        <w:tab/>
        <w:t>UDP-</w:t>
      </w:r>
      <w:proofErr w:type="spellStart"/>
      <w:r w:rsidRPr="00C744FB">
        <w:t>glukuronosyltransferáz</w:t>
      </w:r>
      <w:r>
        <w:t>a</w:t>
      </w:r>
      <w:proofErr w:type="spellEnd"/>
    </w:p>
    <w:p w14:paraId="53B6A448" w14:textId="77777777" w:rsidR="00DB2DD4" w:rsidRDefault="00DB2DD4" w:rsidP="00082B97">
      <w:r>
        <w:t>UT</w:t>
      </w:r>
      <w:r>
        <w:tab/>
      </w:r>
      <w:r>
        <w:tab/>
      </w:r>
      <w:proofErr w:type="spellStart"/>
      <w:r>
        <w:t>untreated</w:t>
      </w:r>
      <w:proofErr w:type="spellEnd"/>
    </w:p>
    <w:p w14:paraId="20C95080" w14:textId="77777777" w:rsidR="00DB2DD4" w:rsidRDefault="00DB2DD4" w:rsidP="00082B97">
      <w:r>
        <w:t>VDR</w:t>
      </w:r>
      <w:r>
        <w:tab/>
      </w:r>
      <w:r>
        <w:tab/>
        <w:t>vitamin D receptor</w:t>
      </w:r>
    </w:p>
    <w:p w14:paraId="1B8EAE35" w14:textId="4BBDEFEF" w:rsidR="00D6031B" w:rsidRDefault="00D6031B" w:rsidP="00AE5FFB">
      <w:r>
        <w:br w:type="page"/>
      </w:r>
    </w:p>
    <w:p w14:paraId="12A4B57B" w14:textId="77777777" w:rsidR="00477C75" w:rsidRDefault="00477C75" w:rsidP="00AE5FFB">
      <w:pPr>
        <w:sectPr w:rsidR="00477C75" w:rsidSect="00040668">
          <w:pgSz w:w="11906" w:h="16838"/>
          <w:pgMar w:top="1417" w:right="1417" w:bottom="1417" w:left="1417" w:header="708" w:footer="708" w:gutter="0"/>
          <w:pgNumType w:fmt="lowerRoman"/>
          <w:cols w:space="708"/>
          <w:titlePg/>
          <w:docGrid w:linePitch="360"/>
        </w:sectPr>
      </w:pPr>
    </w:p>
    <w:p w14:paraId="50AA8501" w14:textId="04036DF7" w:rsidR="00D6031B" w:rsidRDefault="00836913" w:rsidP="00AE5FFB">
      <w:pPr>
        <w:pStyle w:val="Nadpis1"/>
      </w:pPr>
      <w:bookmarkStart w:id="2" w:name="_Toc165492871"/>
      <w:r>
        <w:lastRenderedPageBreak/>
        <w:t>SEZNAM OBRÁZKŮ</w:t>
      </w:r>
      <w:bookmarkEnd w:id="2"/>
    </w:p>
    <w:p w14:paraId="3C270BE0" w14:textId="0D32E63B" w:rsidR="00095690" w:rsidRPr="00095690" w:rsidRDefault="00095690" w:rsidP="0033251D">
      <w:pPr>
        <w:rPr>
          <w:noProof/>
        </w:rPr>
      </w:pPr>
      <w:r>
        <w:rPr>
          <w:b/>
          <w:bCs/>
          <w:noProof/>
        </w:rPr>
        <w:t xml:space="preserve">Obrázek </w:t>
      </w:r>
      <w:r w:rsidR="007B144C">
        <w:rPr>
          <w:b/>
          <w:bCs/>
          <w:noProof/>
        </w:rPr>
        <w:t>1</w:t>
      </w:r>
      <w:r>
        <w:rPr>
          <w:b/>
          <w:bCs/>
          <w:noProof/>
        </w:rPr>
        <w:t xml:space="preserve">: </w:t>
      </w:r>
      <w:r>
        <w:rPr>
          <w:noProof/>
        </w:rPr>
        <w:t>Struktura pregnanového X receptoru</w:t>
      </w:r>
    </w:p>
    <w:p w14:paraId="4C8F54B4" w14:textId="3020CA5C" w:rsidR="00411CF2" w:rsidRDefault="00411CF2" w:rsidP="0033251D">
      <w:r>
        <w:rPr>
          <w:b/>
          <w:bCs/>
        </w:rPr>
        <w:t xml:space="preserve">Obrázek </w:t>
      </w:r>
      <w:r w:rsidR="007B144C">
        <w:rPr>
          <w:b/>
          <w:bCs/>
        </w:rPr>
        <w:t>2</w:t>
      </w:r>
      <w:r>
        <w:rPr>
          <w:b/>
          <w:bCs/>
        </w:rPr>
        <w:t xml:space="preserve">: </w:t>
      </w:r>
      <w:r>
        <w:t>Přehled funkcí PXR v lidském organismu a jeho aktivace</w:t>
      </w:r>
    </w:p>
    <w:p w14:paraId="4FDF21D6" w14:textId="1B38BFA3" w:rsidR="00522467" w:rsidRPr="00522467" w:rsidRDefault="00522467" w:rsidP="00522467">
      <w:r>
        <w:rPr>
          <w:b/>
          <w:bCs/>
        </w:rPr>
        <w:t xml:space="preserve">Obrázek </w:t>
      </w:r>
      <w:r w:rsidR="007B144C">
        <w:rPr>
          <w:b/>
          <w:bCs/>
        </w:rPr>
        <w:t>3</w:t>
      </w:r>
      <w:r>
        <w:rPr>
          <w:b/>
          <w:bCs/>
        </w:rPr>
        <w:t xml:space="preserve">: </w:t>
      </w:r>
      <w:r>
        <w:t>Chemická struktura izoprenové jednotky</w:t>
      </w:r>
    </w:p>
    <w:p w14:paraId="13B358D3" w14:textId="35579376" w:rsidR="00836913" w:rsidRDefault="0033251D" w:rsidP="0033251D">
      <w:r w:rsidRPr="001E6B9F">
        <w:rPr>
          <w:b/>
          <w:bCs/>
        </w:rPr>
        <w:t xml:space="preserve">Obrázek </w:t>
      </w:r>
      <w:r w:rsidR="00EB4FDB">
        <w:rPr>
          <w:b/>
          <w:bCs/>
        </w:rPr>
        <w:t>4</w:t>
      </w:r>
      <w:r w:rsidRPr="001E6B9F">
        <w:rPr>
          <w:b/>
          <w:bCs/>
        </w:rPr>
        <w:t>:</w:t>
      </w:r>
      <w:r>
        <w:t xml:space="preserve"> Vliv monocyklických monoterpenoidů na </w:t>
      </w:r>
      <w:r w:rsidR="008B221C">
        <w:t>životaschopnost</w:t>
      </w:r>
      <w:r>
        <w:t xml:space="preserve"> buněk LS180</w:t>
      </w:r>
      <w:r w:rsidR="00192874">
        <w:br/>
      </w:r>
      <w:r w:rsidR="00F44DA3">
        <w:t xml:space="preserve">po </w:t>
      </w:r>
      <w:r w:rsidR="008333A8">
        <w:t>působení</w:t>
      </w:r>
      <w:r w:rsidR="009325F1">
        <w:t xml:space="preserve"> </w:t>
      </w:r>
      <w:r w:rsidR="008333A8">
        <w:t>24 hodin</w:t>
      </w:r>
    </w:p>
    <w:p w14:paraId="70B03C66" w14:textId="45415103" w:rsidR="0033251D" w:rsidRDefault="0033251D" w:rsidP="0033251D">
      <w:r w:rsidRPr="0033251D">
        <w:rPr>
          <w:b/>
          <w:bCs/>
        </w:rPr>
        <w:t xml:space="preserve">Obrázek </w:t>
      </w:r>
      <w:r w:rsidR="00EB4FDB">
        <w:rPr>
          <w:b/>
          <w:bCs/>
        </w:rPr>
        <w:t>5</w:t>
      </w:r>
      <w:r w:rsidRPr="0033251D">
        <w:rPr>
          <w:b/>
          <w:bCs/>
        </w:rPr>
        <w:t xml:space="preserve">: </w:t>
      </w:r>
      <w:r>
        <w:t xml:space="preserve">Vliv monocyklických monoterpenoidů na transkripční aktivitu </w:t>
      </w:r>
      <w:r w:rsidR="003F1641">
        <w:t>PXR v buněčné linii LS180</w:t>
      </w:r>
      <w:r w:rsidR="00B7287D">
        <w:t xml:space="preserve"> po působení 24 hodin</w:t>
      </w:r>
      <w:r w:rsidR="004B2DDA">
        <w:t xml:space="preserve"> </w:t>
      </w:r>
      <w:r w:rsidR="00762481">
        <w:t>v</w:t>
      </w:r>
      <w:r w:rsidR="004B2DDA">
        <w:t xml:space="preserve"> agon</w:t>
      </w:r>
      <w:r w:rsidR="00C139DB">
        <w:t>istick</w:t>
      </w:r>
      <w:r w:rsidR="00762481">
        <w:t>ém</w:t>
      </w:r>
      <w:r w:rsidR="00C139DB">
        <w:t xml:space="preserve"> mód</w:t>
      </w:r>
      <w:r w:rsidR="00762481">
        <w:t>u</w:t>
      </w:r>
    </w:p>
    <w:p w14:paraId="3BB53B2A" w14:textId="7298F7A7" w:rsidR="004B2DDA" w:rsidRPr="0033251D" w:rsidRDefault="004B2DDA" w:rsidP="004B2DDA">
      <w:r w:rsidRPr="0033251D">
        <w:rPr>
          <w:b/>
          <w:bCs/>
        </w:rPr>
        <w:t xml:space="preserve">Obrázek </w:t>
      </w:r>
      <w:r w:rsidR="00EB4FDB">
        <w:rPr>
          <w:b/>
          <w:bCs/>
        </w:rPr>
        <w:t>6</w:t>
      </w:r>
      <w:r w:rsidRPr="0033251D">
        <w:rPr>
          <w:b/>
          <w:bCs/>
        </w:rPr>
        <w:t xml:space="preserve">: </w:t>
      </w:r>
      <w:r>
        <w:t xml:space="preserve">Vliv monocyklických monoterpenoidů na transkripční aktivitu PXR v buněčné linii LS180 po působení 24 hodin </w:t>
      </w:r>
      <w:r w:rsidR="00762481">
        <w:t>v</w:t>
      </w:r>
      <w:r>
        <w:t xml:space="preserve"> antagon</w:t>
      </w:r>
      <w:r w:rsidR="00C139DB">
        <w:t>istick</w:t>
      </w:r>
      <w:r w:rsidR="00762481">
        <w:t>ém</w:t>
      </w:r>
      <w:r w:rsidR="00C139DB">
        <w:t xml:space="preserve"> mód</w:t>
      </w:r>
      <w:r w:rsidR="00762481">
        <w:t>u</w:t>
      </w:r>
    </w:p>
    <w:p w14:paraId="2693DEE7" w14:textId="77777777" w:rsidR="004B2DDA" w:rsidRPr="0033251D" w:rsidRDefault="004B2DDA" w:rsidP="0033251D"/>
    <w:p w14:paraId="2EC4DF38" w14:textId="77777777" w:rsidR="00836913" w:rsidRDefault="00836913" w:rsidP="00AE5FFB">
      <w:r>
        <w:br w:type="page"/>
      </w:r>
    </w:p>
    <w:p w14:paraId="53D2FAB0" w14:textId="77777777" w:rsidR="00477C75" w:rsidRDefault="00477C75" w:rsidP="00AE5FFB">
      <w:pPr>
        <w:sectPr w:rsidR="00477C75" w:rsidSect="00040668">
          <w:pgSz w:w="11906" w:h="16838"/>
          <w:pgMar w:top="1417" w:right="1417" w:bottom="1417" w:left="1417" w:header="708" w:footer="708" w:gutter="0"/>
          <w:pgNumType w:fmt="lowerRoman"/>
          <w:cols w:space="708"/>
          <w:titlePg/>
          <w:docGrid w:linePitch="360"/>
        </w:sectPr>
      </w:pPr>
    </w:p>
    <w:p w14:paraId="67618A78" w14:textId="0797E59E" w:rsidR="004A1C0C" w:rsidRDefault="00836913" w:rsidP="00AE5FFB">
      <w:pPr>
        <w:pStyle w:val="Nadpis1"/>
      </w:pPr>
      <w:bookmarkStart w:id="3" w:name="_Toc165492872"/>
      <w:r>
        <w:lastRenderedPageBreak/>
        <w:t>SEZNAM TABULEK</w:t>
      </w:r>
      <w:bookmarkEnd w:id="3"/>
    </w:p>
    <w:p w14:paraId="5132E47B" w14:textId="36DC6259" w:rsidR="00836913" w:rsidRDefault="008A0BF4" w:rsidP="00AE5FFB">
      <w:r>
        <w:rPr>
          <w:b/>
          <w:bCs/>
        </w:rPr>
        <w:t xml:space="preserve">Tabulka </w:t>
      </w:r>
      <w:r w:rsidR="00471FC2">
        <w:rPr>
          <w:b/>
          <w:bCs/>
        </w:rPr>
        <w:t>1</w:t>
      </w:r>
      <w:r>
        <w:rPr>
          <w:b/>
          <w:bCs/>
        </w:rPr>
        <w:t xml:space="preserve">: </w:t>
      </w:r>
      <w:r>
        <w:t xml:space="preserve">Přehled </w:t>
      </w:r>
      <w:r w:rsidR="00287C41">
        <w:t xml:space="preserve">testovaných </w:t>
      </w:r>
      <w:r>
        <w:t>monocyklických monoterpenoidů</w:t>
      </w:r>
    </w:p>
    <w:p w14:paraId="705BE9EA" w14:textId="0310BD05" w:rsidR="00471FC2" w:rsidRPr="00471FC2" w:rsidRDefault="00471FC2" w:rsidP="00AE5FFB">
      <w:pPr>
        <w:rPr>
          <w:b/>
          <w:bCs/>
        </w:rPr>
      </w:pPr>
      <w:r>
        <w:rPr>
          <w:b/>
          <w:bCs/>
        </w:rPr>
        <w:t xml:space="preserve">Tabulka 2: </w:t>
      </w:r>
      <w:r w:rsidRPr="00DC2423">
        <w:t>Množství látek pro přípravu transfekční směsi</w:t>
      </w:r>
    </w:p>
    <w:p w14:paraId="66F1D431" w14:textId="45C31B32" w:rsidR="00287C41" w:rsidRPr="00287C41" w:rsidRDefault="00287C41" w:rsidP="00AE5FFB">
      <w:r>
        <w:rPr>
          <w:b/>
          <w:bCs/>
        </w:rPr>
        <w:t xml:space="preserve">Tabulka </w:t>
      </w:r>
      <w:r w:rsidR="00471FC2">
        <w:rPr>
          <w:b/>
          <w:bCs/>
        </w:rPr>
        <w:t>3</w:t>
      </w:r>
      <w:r>
        <w:rPr>
          <w:b/>
          <w:bCs/>
        </w:rPr>
        <w:t xml:space="preserve">: </w:t>
      </w:r>
      <w:r w:rsidR="009B033E">
        <w:t>Hodnoty EC</w:t>
      </w:r>
      <w:r w:rsidR="009B033E" w:rsidRPr="003A681F">
        <w:rPr>
          <w:vertAlign w:val="subscript"/>
        </w:rPr>
        <w:t>50</w:t>
      </w:r>
      <w:r w:rsidR="009B033E">
        <w:t xml:space="preserve"> testovaných monocyklických monoterpenoidů</w:t>
      </w:r>
    </w:p>
    <w:p w14:paraId="5F363629" w14:textId="77777777" w:rsidR="00836913" w:rsidRDefault="00836913" w:rsidP="00AE5FFB">
      <w:r>
        <w:br w:type="page"/>
      </w:r>
    </w:p>
    <w:p w14:paraId="03CAEE58" w14:textId="77777777" w:rsidR="00AD62E2" w:rsidRDefault="00AD62E2" w:rsidP="00AE5FFB">
      <w:pPr>
        <w:sectPr w:rsidR="00AD62E2" w:rsidSect="00040668">
          <w:footerReference w:type="default" r:id="rId12"/>
          <w:pgSz w:w="11906" w:h="16838"/>
          <w:pgMar w:top="1417" w:right="1417" w:bottom="1417" w:left="1417" w:header="708" w:footer="708" w:gutter="0"/>
          <w:pgNumType w:fmt="lowerRoman"/>
          <w:cols w:space="708"/>
          <w:titlePg/>
          <w:docGrid w:linePitch="360"/>
        </w:sectPr>
      </w:pPr>
    </w:p>
    <w:p w14:paraId="093D94F1" w14:textId="3A3769AB" w:rsidR="00836913" w:rsidRDefault="00836913" w:rsidP="00AE5FFB">
      <w:pPr>
        <w:pStyle w:val="Nadpis1"/>
      </w:pPr>
      <w:bookmarkStart w:id="4" w:name="_Toc165492873"/>
      <w:r>
        <w:lastRenderedPageBreak/>
        <w:t>1</w:t>
      </w:r>
      <w:r w:rsidR="002C50D2">
        <w:tab/>
      </w:r>
      <w:r>
        <w:t>ÚVOD</w:t>
      </w:r>
      <w:bookmarkEnd w:id="4"/>
    </w:p>
    <w:p w14:paraId="38EEB8C5" w14:textId="2DDF2DDF" w:rsidR="00D9215E" w:rsidRDefault="00E40570" w:rsidP="00D9215E">
      <w:pPr>
        <w:ind w:firstLine="708"/>
      </w:pPr>
      <w:proofErr w:type="spellStart"/>
      <w:r>
        <w:t>Pregnanový</w:t>
      </w:r>
      <w:proofErr w:type="spellEnd"/>
      <w:r>
        <w:t xml:space="preserve"> X receptor (PXR) </w:t>
      </w:r>
      <w:r w:rsidR="001A3423">
        <w:t>je ligandem aktivovaný transkripční faktor</w:t>
      </w:r>
      <w:r w:rsidR="005E5A89">
        <w:t xml:space="preserve"> a </w:t>
      </w:r>
      <w:r w:rsidR="00F95498">
        <w:t>spadá</w:t>
      </w:r>
      <w:r w:rsidR="005A0BF4">
        <w:br/>
      </w:r>
      <w:r w:rsidR="00F95498">
        <w:t>do</w:t>
      </w:r>
      <w:r w:rsidR="009418B5">
        <w:t xml:space="preserve"> </w:t>
      </w:r>
      <w:r w:rsidR="00F95498">
        <w:t>rodiny jaderných receptorů</w:t>
      </w:r>
      <w:r w:rsidR="005E5A89">
        <w:t>.</w:t>
      </w:r>
      <w:r w:rsidR="009418B5">
        <w:t xml:space="preserve"> Hraje velkou roli v</w:t>
      </w:r>
      <w:r w:rsidR="0042442B">
        <w:t xml:space="preserve"> </w:t>
      </w:r>
      <w:r w:rsidR="0016076D">
        <w:t xml:space="preserve">metabolismu </w:t>
      </w:r>
      <w:proofErr w:type="spellStart"/>
      <w:r w:rsidR="0016076D">
        <w:t>xenobiotik</w:t>
      </w:r>
      <w:proofErr w:type="spellEnd"/>
      <w:r w:rsidR="0016076D">
        <w:t xml:space="preserve"> v tělech savců</w:t>
      </w:r>
      <w:r w:rsidR="000124BD">
        <w:br/>
      </w:r>
      <w:r w:rsidR="00F8320C">
        <w:t xml:space="preserve">a jeho nejvyšší exprese je pozorována v játrech a </w:t>
      </w:r>
      <w:r w:rsidR="005C3CA5">
        <w:t>v</w:t>
      </w:r>
      <w:r w:rsidR="0042442B">
        <w:t xml:space="preserve"> </w:t>
      </w:r>
      <w:r w:rsidR="005C3CA5">
        <w:t>tenkém střevě.</w:t>
      </w:r>
      <w:r w:rsidR="00D861E7">
        <w:t xml:space="preserve"> </w:t>
      </w:r>
      <w:r w:rsidR="002D58B4">
        <w:t xml:space="preserve">Podílí se </w:t>
      </w:r>
      <w:r w:rsidR="00250256">
        <w:t xml:space="preserve">také na </w:t>
      </w:r>
      <w:r w:rsidR="00996B5A">
        <w:t xml:space="preserve">jiných fyziologických </w:t>
      </w:r>
      <w:r w:rsidR="00250256">
        <w:t xml:space="preserve">procesech </w:t>
      </w:r>
      <w:r w:rsidR="00996B5A">
        <w:t xml:space="preserve">jako např. </w:t>
      </w:r>
      <w:r w:rsidR="00AC0320">
        <w:t>regulace buněčn</w:t>
      </w:r>
      <w:r w:rsidR="00DA4793">
        <w:t>é</w:t>
      </w:r>
      <w:r w:rsidR="005C5214">
        <w:t xml:space="preserve"> proliferace</w:t>
      </w:r>
      <w:r w:rsidR="00196FD9">
        <w:t>, glukoneogeneze</w:t>
      </w:r>
      <w:r w:rsidR="005C5214">
        <w:t xml:space="preserve">, </w:t>
      </w:r>
      <w:proofErr w:type="spellStart"/>
      <w:r w:rsidR="005C5214">
        <w:t>lipogeneze</w:t>
      </w:r>
      <w:proofErr w:type="spellEnd"/>
      <w:r w:rsidR="005C5214">
        <w:t xml:space="preserve"> a</w:t>
      </w:r>
      <w:r w:rsidR="00641054">
        <w:t xml:space="preserve"> oxidace mastných kyselin.</w:t>
      </w:r>
    </w:p>
    <w:p w14:paraId="0E34AB43" w14:textId="66883E96" w:rsidR="002C50D2" w:rsidRDefault="00F97115" w:rsidP="00D9215E">
      <w:pPr>
        <w:ind w:firstLine="708"/>
      </w:pPr>
      <w:r>
        <w:t>P</w:t>
      </w:r>
      <w:r w:rsidR="00F94E2E">
        <w:t>XR</w:t>
      </w:r>
      <w:r>
        <w:t xml:space="preserve"> </w:t>
      </w:r>
      <w:r w:rsidR="007E361C">
        <w:t>rozpoznává spoustu</w:t>
      </w:r>
      <w:r w:rsidR="00DB080F">
        <w:t xml:space="preserve"> endogenních a</w:t>
      </w:r>
      <w:r w:rsidR="007E361C">
        <w:t xml:space="preserve"> exogenních ligandů, mezi které </w:t>
      </w:r>
      <w:proofErr w:type="gramStart"/>
      <w:r w:rsidR="007E361C">
        <w:t>patří</w:t>
      </w:r>
      <w:proofErr w:type="gramEnd"/>
      <w:r w:rsidR="000124BD">
        <w:br/>
      </w:r>
      <w:r w:rsidR="007E361C">
        <w:t xml:space="preserve">např. </w:t>
      </w:r>
      <w:r w:rsidR="005D5027">
        <w:t>steroidy, antibiotika, antimykotika</w:t>
      </w:r>
      <w:r w:rsidR="009B639A">
        <w:t>, léčiva</w:t>
      </w:r>
      <w:r w:rsidR="005D5027">
        <w:t xml:space="preserve"> </w:t>
      </w:r>
      <w:r w:rsidR="006D38D8">
        <w:t>a</w:t>
      </w:r>
      <w:r w:rsidR="003D4647">
        <w:t xml:space="preserve"> environmentální toxiny</w:t>
      </w:r>
      <w:r w:rsidR="006D38D8">
        <w:t>.</w:t>
      </w:r>
      <w:r w:rsidR="00C44C9B">
        <w:t xml:space="preserve"> Za endogenní ligandy můžeme považovat hormony</w:t>
      </w:r>
      <w:r w:rsidR="00F41D6F">
        <w:t xml:space="preserve">, </w:t>
      </w:r>
      <w:proofErr w:type="spellStart"/>
      <w:r w:rsidR="00F41D6F">
        <w:t>androstany</w:t>
      </w:r>
      <w:proofErr w:type="spellEnd"/>
      <w:r w:rsidR="00F41D6F">
        <w:t xml:space="preserve">, </w:t>
      </w:r>
      <w:proofErr w:type="spellStart"/>
      <w:r w:rsidR="00F41D6F">
        <w:t>pregnany</w:t>
      </w:r>
      <w:proofErr w:type="spellEnd"/>
      <w:r w:rsidR="00F94E2E">
        <w:t xml:space="preserve">, </w:t>
      </w:r>
      <w:r w:rsidR="003D0DED">
        <w:t>žlučové kyseliny</w:t>
      </w:r>
      <w:r w:rsidR="00F94E2E">
        <w:t xml:space="preserve"> a mikrobiální metabolity</w:t>
      </w:r>
      <w:r w:rsidR="00514387">
        <w:t>. P</w:t>
      </w:r>
      <w:r w:rsidR="009111BD">
        <w:t>o</w:t>
      </w:r>
      <w:r w:rsidR="00514387">
        <w:t xml:space="preserve"> navázání </w:t>
      </w:r>
      <w:r w:rsidR="00091F83">
        <w:t>ligandu</w:t>
      </w:r>
      <w:r w:rsidR="00514387">
        <w:t xml:space="preserve"> na </w:t>
      </w:r>
      <w:r w:rsidR="007B72A1">
        <w:t xml:space="preserve">receptor </w:t>
      </w:r>
      <w:r w:rsidR="00F804A9">
        <w:t>dochází k</w:t>
      </w:r>
      <w:r w:rsidR="008728FC">
        <w:t xml:space="preserve"> </w:t>
      </w:r>
      <w:r w:rsidR="00F804A9">
        <w:t xml:space="preserve">vytvoření </w:t>
      </w:r>
      <w:proofErr w:type="spellStart"/>
      <w:r w:rsidR="00F804A9">
        <w:t>heterodimeru</w:t>
      </w:r>
      <w:proofErr w:type="spellEnd"/>
      <w:r w:rsidR="00514387">
        <w:t xml:space="preserve"> PX</w:t>
      </w:r>
      <w:r w:rsidR="003379E6">
        <w:t>R</w:t>
      </w:r>
      <w:r w:rsidR="00514387">
        <w:t>-RXR</w:t>
      </w:r>
      <w:r w:rsidR="007B72A1">
        <w:t xml:space="preserve"> </w:t>
      </w:r>
      <w:r w:rsidR="00F804A9">
        <w:t>a</w:t>
      </w:r>
      <w:r w:rsidR="007B72A1">
        <w:t xml:space="preserve"> k</w:t>
      </w:r>
      <w:r w:rsidR="008728FC">
        <w:t xml:space="preserve"> </w:t>
      </w:r>
      <w:r w:rsidR="007B72A1">
        <w:t xml:space="preserve">expresi </w:t>
      </w:r>
      <w:r w:rsidR="003379E6">
        <w:t xml:space="preserve">cílových </w:t>
      </w:r>
      <w:r w:rsidR="007B72A1">
        <w:t>genů, jejichž produktem je řada enzymů podílejících se</w:t>
      </w:r>
      <w:r w:rsidR="00E874F9">
        <w:t xml:space="preserve"> </w:t>
      </w:r>
      <w:r w:rsidR="004E0E26">
        <w:t xml:space="preserve">na </w:t>
      </w:r>
      <w:r w:rsidR="00625756">
        <w:t>metabolismu a odbourávání látek</w:t>
      </w:r>
      <w:r w:rsidR="0005231A">
        <w:t xml:space="preserve"> v</w:t>
      </w:r>
      <w:r w:rsidR="008728FC">
        <w:t xml:space="preserve"> </w:t>
      </w:r>
      <w:r w:rsidR="0005231A">
        <w:t xml:space="preserve">procesu </w:t>
      </w:r>
      <w:r w:rsidR="00D74FED">
        <w:t xml:space="preserve">zvaném </w:t>
      </w:r>
      <w:r w:rsidR="0005231A">
        <w:t>biotransformace.</w:t>
      </w:r>
      <w:r w:rsidR="00FA646A">
        <w:t xml:space="preserve"> Při ní dochází v</w:t>
      </w:r>
      <w:r w:rsidR="008728FC">
        <w:t xml:space="preserve"> </w:t>
      </w:r>
      <w:r w:rsidR="00FA646A">
        <w:t>těle k chemickým procesům,</w:t>
      </w:r>
      <w:r w:rsidR="000124BD">
        <w:br/>
      </w:r>
      <w:r w:rsidR="00FA646A">
        <w:t xml:space="preserve">např. </w:t>
      </w:r>
      <w:r w:rsidR="000C6F8F">
        <w:t>k hydroxylaci,</w:t>
      </w:r>
      <w:r w:rsidR="00461344">
        <w:t xml:space="preserve"> </w:t>
      </w:r>
      <w:r w:rsidR="009D3206">
        <w:t xml:space="preserve">které jsou katalyzovány </w:t>
      </w:r>
      <w:r w:rsidR="00491EBD">
        <w:t>řad</w:t>
      </w:r>
      <w:r w:rsidR="009D3206">
        <w:t>ou</w:t>
      </w:r>
      <w:r w:rsidR="00560BE6">
        <w:t xml:space="preserve"> enzymů, mezi něž </w:t>
      </w:r>
      <w:proofErr w:type="gramStart"/>
      <w:r w:rsidR="00C773ED">
        <w:t>patří</w:t>
      </w:r>
      <w:proofErr w:type="gramEnd"/>
      <w:r w:rsidR="00560BE6">
        <w:t xml:space="preserve"> hlavně </w:t>
      </w:r>
      <w:proofErr w:type="spellStart"/>
      <w:r w:rsidR="00560BE6">
        <w:t>monooxygenázy</w:t>
      </w:r>
      <w:proofErr w:type="spellEnd"/>
      <w:r w:rsidR="00441B83">
        <w:t xml:space="preserve"> (systém cytochromu P450).</w:t>
      </w:r>
    </w:p>
    <w:p w14:paraId="172AE96F" w14:textId="5EE9D22B" w:rsidR="003E68F6" w:rsidRPr="00146592" w:rsidRDefault="003E68F6" w:rsidP="00AE5FFB">
      <w:r>
        <w:tab/>
      </w:r>
      <w:r w:rsidR="00737CD7">
        <w:t>Mezi</w:t>
      </w:r>
      <w:r w:rsidR="00980714">
        <w:t xml:space="preserve"> látky, které mohou mít potencionální vliv na aktivitu PXR, můžeme zařadit </w:t>
      </w:r>
      <w:r w:rsidR="00554CB0">
        <w:t xml:space="preserve">různé složky </w:t>
      </w:r>
      <w:r w:rsidR="00CB2200">
        <w:t>potravy a</w:t>
      </w:r>
      <w:r w:rsidR="00FC4F91">
        <w:t xml:space="preserve"> řadu</w:t>
      </w:r>
      <w:r w:rsidR="00CB2200">
        <w:t xml:space="preserve"> léčivých </w:t>
      </w:r>
      <w:r w:rsidR="00554CB0">
        <w:t xml:space="preserve">přírodních </w:t>
      </w:r>
      <w:r w:rsidR="009111BD">
        <w:t>sloučenin</w:t>
      </w:r>
      <w:r w:rsidR="00554CB0">
        <w:t xml:space="preserve">. </w:t>
      </w:r>
      <w:r w:rsidR="009111BD">
        <w:t>Příkladem ligandů PXR</w:t>
      </w:r>
      <w:r w:rsidR="001279A8">
        <w:t xml:space="preserve"> mohou být</w:t>
      </w:r>
      <w:r w:rsidR="001F4463">
        <w:t xml:space="preserve"> potenciálně také </w:t>
      </w:r>
      <w:r w:rsidR="00D4659D">
        <w:t xml:space="preserve">terpenoidy. Jedná se o </w:t>
      </w:r>
      <w:r w:rsidR="001279A8">
        <w:t>látky přirozeně se vyskytující v</w:t>
      </w:r>
      <w:r w:rsidR="00D4659D">
        <w:t> </w:t>
      </w:r>
      <w:r w:rsidR="001279A8">
        <w:t>rostlinách</w:t>
      </w:r>
      <w:r w:rsidR="00D4659D">
        <w:t>, které</w:t>
      </w:r>
      <w:r w:rsidR="00A31B8D">
        <w:t xml:space="preserve"> </w:t>
      </w:r>
      <w:r w:rsidR="00356BB0">
        <w:t>jsou charakteristické svou vůní či chutí.</w:t>
      </w:r>
      <w:r w:rsidR="0002257C">
        <w:t xml:space="preserve"> Terpenoidy lze rozdělit podle </w:t>
      </w:r>
      <w:r w:rsidR="00C86BAD">
        <w:t>počtu izoprenových jednotek</w:t>
      </w:r>
      <w:r w:rsidR="002C2D90">
        <w:t xml:space="preserve"> a podle chemické struktury</w:t>
      </w:r>
      <w:r w:rsidR="00ED15F7">
        <w:t xml:space="preserve"> např.</w:t>
      </w:r>
      <w:r w:rsidR="00613B25">
        <w:t xml:space="preserve"> na </w:t>
      </w:r>
      <w:proofErr w:type="spellStart"/>
      <w:r w:rsidR="00E6577C">
        <w:t>monoterpeny</w:t>
      </w:r>
      <w:proofErr w:type="spellEnd"/>
      <w:r w:rsidR="00E6577C">
        <w:t xml:space="preserve">, </w:t>
      </w:r>
      <w:r w:rsidR="00ED15F7">
        <w:t xml:space="preserve">diterpeny </w:t>
      </w:r>
      <w:r w:rsidR="00E6577C">
        <w:t xml:space="preserve">či </w:t>
      </w:r>
      <w:r w:rsidR="00ED15F7">
        <w:t>triterpeny.</w:t>
      </w:r>
      <w:r w:rsidR="00BD7908">
        <w:t xml:space="preserve"> Mezi významné zástupce těchto monoterpenoidů </w:t>
      </w:r>
      <w:proofErr w:type="gramStart"/>
      <w:r w:rsidR="00D222C0">
        <w:t>patří</w:t>
      </w:r>
      <w:proofErr w:type="gramEnd"/>
      <w:r w:rsidR="00BD7908">
        <w:t xml:space="preserve"> </w:t>
      </w:r>
      <w:r w:rsidR="00AE3855">
        <w:t xml:space="preserve">např. </w:t>
      </w:r>
      <w:proofErr w:type="spellStart"/>
      <w:r w:rsidR="00BD7908">
        <w:t>menthol</w:t>
      </w:r>
      <w:proofErr w:type="spellEnd"/>
      <w:r w:rsidR="00BD7908">
        <w:t xml:space="preserve">, </w:t>
      </w:r>
      <w:proofErr w:type="spellStart"/>
      <w:r w:rsidR="000615CA">
        <w:t>k</w:t>
      </w:r>
      <w:r w:rsidR="00BD7908">
        <w:t>arvon</w:t>
      </w:r>
      <w:proofErr w:type="spellEnd"/>
      <w:r w:rsidR="007619D0">
        <w:t xml:space="preserve"> a </w:t>
      </w:r>
      <w:proofErr w:type="spellStart"/>
      <w:r w:rsidR="007619D0">
        <w:t>pulegon</w:t>
      </w:r>
      <w:proofErr w:type="spellEnd"/>
      <w:r w:rsidR="005911FC">
        <w:t>, které se v</w:t>
      </w:r>
      <w:r w:rsidR="00146592">
        <w:t>yskytují v mátě peprné (</w:t>
      </w:r>
      <w:proofErr w:type="spellStart"/>
      <w:r w:rsidR="00146592">
        <w:rPr>
          <w:i/>
          <w:iCs/>
        </w:rPr>
        <w:t>Mentha</w:t>
      </w:r>
      <w:proofErr w:type="spellEnd"/>
      <w:r w:rsidR="00146592">
        <w:rPr>
          <w:i/>
          <w:iCs/>
        </w:rPr>
        <w:t xml:space="preserve"> </w:t>
      </w:r>
      <w:proofErr w:type="spellStart"/>
      <w:r w:rsidR="00146592">
        <w:rPr>
          <w:i/>
          <w:iCs/>
        </w:rPr>
        <w:t>piperita</w:t>
      </w:r>
      <w:proofErr w:type="spellEnd"/>
      <w:r w:rsidR="00146592">
        <w:t>).</w:t>
      </w:r>
      <w:r w:rsidR="00D77CAB">
        <w:t xml:space="preserve"> </w:t>
      </w:r>
      <w:r w:rsidR="00BA1B4A">
        <w:t>Výzkum v</w:t>
      </w:r>
      <w:r w:rsidR="00D77CAB">
        <w:t>liv</w:t>
      </w:r>
      <w:r w:rsidR="00BA1B4A">
        <w:t>u</w:t>
      </w:r>
      <w:r w:rsidR="00D77CAB">
        <w:t xml:space="preserve"> těchto monoterpenoidů na transkripční aktivitu PXR</w:t>
      </w:r>
      <w:r w:rsidR="00BA1B4A">
        <w:t xml:space="preserve"> by mohl v</w:t>
      </w:r>
      <w:r w:rsidR="005E57D6">
        <w:t xml:space="preserve"> </w:t>
      </w:r>
      <w:r w:rsidR="00BA1B4A">
        <w:t xml:space="preserve">budoucnu přinést </w:t>
      </w:r>
      <w:r w:rsidR="0072734A">
        <w:t>lepší</w:t>
      </w:r>
      <w:r w:rsidR="00E31810">
        <w:t xml:space="preserve"> znalosti</w:t>
      </w:r>
      <w:r w:rsidR="0072734A">
        <w:t xml:space="preserve">, jak využít přirozeně se vyskytující látky v rostlinách při léčbě </w:t>
      </w:r>
      <w:r w:rsidR="009C1970">
        <w:t>střevních chorob, jako např. Cro</w:t>
      </w:r>
      <w:r w:rsidR="009111BD">
        <w:t>h</w:t>
      </w:r>
      <w:r w:rsidR="009C1970">
        <w:t>nova choroba.</w:t>
      </w:r>
    </w:p>
    <w:p w14:paraId="681E0A14" w14:textId="77777777" w:rsidR="002C50D2" w:rsidRDefault="002C50D2" w:rsidP="00AE5FFB">
      <w:r>
        <w:br w:type="page"/>
      </w:r>
    </w:p>
    <w:p w14:paraId="3062B437" w14:textId="76A5C939" w:rsidR="00F81662" w:rsidRPr="00F81662" w:rsidRDefault="002C50D2" w:rsidP="00AE5FFB">
      <w:pPr>
        <w:pStyle w:val="Nadpis1"/>
      </w:pPr>
      <w:bookmarkStart w:id="5" w:name="_Toc165492874"/>
      <w:r>
        <w:lastRenderedPageBreak/>
        <w:t>2</w:t>
      </w:r>
      <w:r>
        <w:tab/>
        <w:t>CÍLE PRÁCE</w:t>
      </w:r>
      <w:bookmarkEnd w:id="5"/>
    </w:p>
    <w:p w14:paraId="73B3B553" w14:textId="420AF905" w:rsidR="009651F3" w:rsidRPr="009651F3" w:rsidRDefault="009651F3" w:rsidP="00AE5FFB">
      <w:r w:rsidRPr="009651F3">
        <w:t>1. Vypracování literární rešerše na téma bakalářské práce</w:t>
      </w:r>
      <w:r w:rsidR="00EF16E5">
        <w:t>.</w:t>
      </w:r>
    </w:p>
    <w:p w14:paraId="1BD93890" w14:textId="77777777" w:rsidR="00E87872" w:rsidRDefault="009651F3" w:rsidP="00AE5FFB">
      <w:r w:rsidRPr="009651F3">
        <w:t xml:space="preserve">2. Stanovení vlivu testovaných látek na </w:t>
      </w:r>
      <w:proofErr w:type="spellStart"/>
      <w:r w:rsidRPr="009651F3">
        <w:t>viabilitu</w:t>
      </w:r>
      <w:proofErr w:type="spellEnd"/>
      <w:r w:rsidRPr="009651F3">
        <w:t xml:space="preserve"> buněk</w:t>
      </w:r>
      <w:r w:rsidR="000D69A4">
        <w:t>.</w:t>
      </w:r>
    </w:p>
    <w:p w14:paraId="47455DBD" w14:textId="5EE3955B" w:rsidR="009651F3" w:rsidRPr="009651F3" w:rsidRDefault="00E87872" w:rsidP="00AE5FFB">
      <w:r>
        <w:t xml:space="preserve">3. </w:t>
      </w:r>
      <w:r w:rsidR="009651F3" w:rsidRPr="009651F3">
        <w:t xml:space="preserve">Stanovení transkripční aktivity </w:t>
      </w:r>
      <w:proofErr w:type="spellStart"/>
      <w:r w:rsidR="009651F3" w:rsidRPr="009651F3">
        <w:t>pregnanového</w:t>
      </w:r>
      <w:proofErr w:type="spellEnd"/>
      <w:r w:rsidR="009651F3" w:rsidRPr="009651F3">
        <w:t xml:space="preserve"> X receptoru po aplikaci testovaných látek pomocí metody </w:t>
      </w:r>
      <w:proofErr w:type="spellStart"/>
      <w:r w:rsidR="009651F3" w:rsidRPr="009651F3">
        <w:t>reporter</w:t>
      </w:r>
      <w:proofErr w:type="spellEnd"/>
      <w:r w:rsidR="009651F3" w:rsidRPr="009651F3">
        <w:t xml:space="preserve"> gene </w:t>
      </w:r>
      <w:proofErr w:type="spellStart"/>
      <w:r w:rsidR="009651F3" w:rsidRPr="009651F3">
        <w:t>assay</w:t>
      </w:r>
      <w:proofErr w:type="spellEnd"/>
      <w:r w:rsidR="00EF16E5">
        <w:t>.</w:t>
      </w:r>
    </w:p>
    <w:p w14:paraId="2A96B866" w14:textId="0BF49BD5" w:rsidR="002C50D2" w:rsidRDefault="009651F3" w:rsidP="00AE5FFB">
      <w:r w:rsidRPr="009651F3">
        <w:t>4. Vypracování bakalářské práce a multimediální prezentace k obhajobě bakalářské práce</w:t>
      </w:r>
      <w:r w:rsidR="00EF16E5">
        <w:t>.</w:t>
      </w:r>
    </w:p>
    <w:p w14:paraId="2AC6AD5A" w14:textId="33BE94C0" w:rsidR="00E5057E" w:rsidRDefault="00E5057E" w:rsidP="00AE5FFB"/>
    <w:p w14:paraId="315D61DE" w14:textId="77777777" w:rsidR="00E5057E" w:rsidRDefault="00E5057E" w:rsidP="00AE5FFB">
      <w:r>
        <w:br w:type="page"/>
      </w:r>
    </w:p>
    <w:p w14:paraId="1AD91C7E" w14:textId="76EE6537" w:rsidR="00640D57" w:rsidRDefault="00E5057E" w:rsidP="00640D57">
      <w:pPr>
        <w:pStyle w:val="Nadpis1"/>
      </w:pPr>
      <w:bookmarkStart w:id="6" w:name="_Toc165492875"/>
      <w:r>
        <w:lastRenderedPageBreak/>
        <w:t>3</w:t>
      </w:r>
      <w:r>
        <w:tab/>
        <w:t>LITERÁRNÍ PŘEHLED</w:t>
      </w:r>
      <w:bookmarkEnd w:id="6"/>
    </w:p>
    <w:p w14:paraId="469D39BB" w14:textId="77777777" w:rsidR="00640D57" w:rsidRPr="00640D57" w:rsidRDefault="00640D57" w:rsidP="00640D57"/>
    <w:p w14:paraId="4D5771A8" w14:textId="2869F4BE" w:rsidR="00C67F65" w:rsidRDefault="00C67F65" w:rsidP="00C67F65">
      <w:pPr>
        <w:pStyle w:val="Nadpis2"/>
      </w:pPr>
      <w:bookmarkStart w:id="7" w:name="_Toc165492876"/>
      <w:r>
        <w:t>3.1</w:t>
      </w:r>
      <w:r>
        <w:tab/>
        <w:t>Biotransformace</w:t>
      </w:r>
      <w:bookmarkEnd w:id="7"/>
    </w:p>
    <w:p w14:paraId="2B44DF01" w14:textId="77777777" w:rsidR="0000718C" w:rsidRDefault="00C67F65" w:rsidP="00C67F65">
      <w:r>
        <w:tab/>
        <w:t>Biotransformací rozumíme proces, při kterém je měněna chemická struktura určité látky katalýzou enzymů. Jsou díky ní biologicky deaktivovány látky a následně dojde k</w:t>
      </w:r>
      <w:r w:rsidR="00F571F3">
        <w:t xml:space="preserve"> </w:t>
      </w:r>
      <w:r>
        <w:t>jejich vyloučení z</w:t>
      </w:r>
      <w:r w:rsidR="00FF6EA7">
        <w:t xml:space="preserve"> </w:t>
      </w:r>
      <w:r>
        <w:t>těla. Zakládá se na mechanismu, kdy jsou látky rozpustné v</w:t>
      </w:r>
      <w:r w:rsidR="00F571F3">
        <w:t xml:space="preserve"> </w:t>
      </w:r>
      <w:r>
        <w:t>tucích přeměňovány na látky rozpustné ve vodě a</w:t>
      </w:r>
      <w:r w:rsidR="00421262">
        <w:t xml:space="preserve"> </w:t>
      </w:r>
      <w:r>
        <w:t xml:space="preserve">méně polární látky jsou </w:t>
      </w:r>
      <w:r w:rsidR="0052614B">
        <w:t xml:space="preserve">tak </w:t>
      </w:r>
      <w:r>
        <w:t>přeměňovány na látky polárnější. Tato přeměna probíhá ve dvou fázích, v I. a II. fázi biotransformace. Po chemické přeměně musí být látky z</w:t>
      </w:r>
      <w:r w:rsidR="00F571F3">
        <w:t xml:space="preserve"> </w:t>
      </w:r>
      <w:r>
        <w:t>těla vyloučeny, tento proces shrnuje poslední III. fáze biotransformace.</w:t>
      </w:r>
    </w:p>
    <w:p w14:paraId="13C30CB0" w14:textId="5165A397" w:rsidR="0050727E" w:rsidRDefault="00C67F65" w:rsidP="0000718C">
      <w:pPr>
        <w:ind w:firstLine="708"/>
      </w:pPr>
      <w:r>
        <w:t>Celý průběh biotransformace probíhá převážně v</w:t>
      </w:r>
      <w:r w:rsidR="00F571F3">
        <w:t xml:space="preserve"> </w:t>
      </w:r>
      <w:r>
        <w:t>játrech</w:t>
      </w:r>
      <w:r w:rsidR="00A84EF5">
        <w:t xml:space="preserve"> a ve</w:t>
      </w:r>
      <w:r w:rsidR="00F571F3">
        <w:t xml:space="preserve"> </w:t>
      </w:r>
      <w:r w:rsidR="00A84EF5">
        <w:t>střevě</w:t>
      </w:r>
      <w:r>
        <w:t>, podílí se na něm ovšem i ledviny</w:t>
      </w:r>
      <w:r w:rsidR="0000718C">
        <w:t xml:space="preserve"> </w:t>
      </w:r>
      <w:r>
        <w:t>a plíce. Rozdílem mezi těmito orgány při biotransformaci je, že se na procesu podílí všechny jaterní buňky, ledviny a plíce mají však jen několik specializovaných buněk.</w:t>
      </w:r>
      <w:r w:rsidR="00FA3C6E">
        <w:br/>
      </w:r>
      <w:r>
        <w:t>Ne všechny látky, které do těla vstoupí, musejí procesu biotransformace podléhat. V takovém případě se látky vylučují ve stavu, ve kterém byly organismem přijaty. Jedná se převážně</w:t>
      </w:r>
      <w:r w:rsidR="007F7CDF">
        <w:br/>
      </w:r>
      <w:r>
        <w:t xml:space="preserve">o látky hydrofilní, polární či </w:t>
      </w:r>
      <w:proofErr w:type="spellStart"/>
      <w:r>
        <w:t>ionizovatelné</w:t>
      </w:r>
      <w:proofErr w:type="spellEnd"/>
      <w:r>
        <w:t>. Pokud jde o látky lipofilní neboli v</w:t>
      </w:r>
      <w:r w:rsidR="0053798D">
        <w:t xml:space="preserve"> </w:t>
      </w:r>
      <w:r>
        <w:t>tucích rozpustné, ty jsou přeměňovány v</w:t>
      </w:r>
      <w:r w:rsidR="00421262">
        <w:t xml:space="preserve"> </w:t>
      </w:r>
      <w:r>
        <w:t>již zmíněných orgánech. V ledvinách dochází k</w:t>
      </w:r>
      <w:r w:rsidR="00421262">
        <w:t xml:space="preserve"> </w:t>
      </w:r>
      <w:r>
        <w:t>jejich reabsorpci z glomerulárního filtrátu do krve a přeměně na polárnější metabolity, které jsou následně vyloučeny močí</w:t>
      </w:r>
      <w:r w:rsidR="00060AF7">
        <w:t xml:space="preserve"> </w:t>
      </w:r>
      <w:r w:rsidR="001D6DF5">
        <w:fldChar w:fldCharType="begin"/>
      </w:r>
      <w:r w:rsidR="00385458">
        <w:instrText xml:space="preserve"> ADDIN ZOTERO_ITEM CSL_CITATION {"citationID":"akPQebnv","properties":{"formattedCitation":"(Katzung, 2018; Phang-Lyn and Llerena, 2024; Susa, Hussain and Preuss, 2024)","plainCitation":"(Katzung, 2018; Phang-Lyn and Llerena, 2024; Susa, Hussain and Preuss, 2024)","dontUpdate":true,"noteIndex":0},"citationItems":[{"id":194,"uris":["http://zotero.org/users/local/UB9PtTOS/items/BZ2BN5J5"],"itemData":{"id":194,"type":"book","collection-title":"A Lange medical book","edition":"Fourteenth edition","event-place":"New York Chicago San Francisco Athens London Madrid Mexico City Milan New Delhi Singapore Sydney Toronto","ISBN":"978-1-259-64115-2","language":"eng","number-of-pages":"1250","publisher":"McGraw-Hill Education","publisher-place":"New York Chicago San Francisco Athens London Madrid Mexico City Milan New Delhi Singapore Sydney Toronto","source":"K10plus ISBN","title":"Basic &amp; clinical pharmacology","editor":[{"family":"Katzung","given":"Bertram G."}],"issued":{"date-parts":[["2018"]]}}},{"id":202,"uris":["http://zotero.org/users/local/UB9PtTOS/items/SZE9NTQX"],"itemData":{"id":202,"type":"chapter","abstract":"Biotransformation is a metabolic process that takes place mainly in the liver and helps to facilitate the excretion of both exogenous and endogenous substances. A series of reactions alter the chemical structures of these substances. The enzymes that catalyze these reactions can cause the substrate to become inactive, active, and even toxic.","call-number":"NBK544353","container-title":"StatPearls","event-place":"Treasure Island (FL)","language":"eng","license":"Copyright © 2024, StatPearls Publishing LLC.","note":"PMID: 31335073","publisher":"StatPearls Publishing","publisher-place":"Treasure Island (FL)","source":"PubMed","title":"Biochemistry, Biotransformation","URL":"http://www.ncbi.nlm.nih.gov/books/NBK544353/","author":[{"family":"Phang-Lyn","given":"Simone"},{"family":"Llerena","given":"Valerie A."}],"accessed":{"date-parts":[["2024",4,12]]},"issued":{"date-parts":[["2024"]]}}},{"id":155,"uris":["http://zotero.org/users/local/UB9PtTOS/items/KLMHLJ5L"],"itemData":{"id":155,"type":"chapter","abstract":"Most drugs are xenobiotics, ie, chemical substances not naturally produced by the body. Xenobiotics undergo various body processes for detoxification, thus reducing their toxicity and allowing them to be readily available for excretion. These processes allow for the chemical modification of drugs into their metabolites and are known as drug metabolism or metabolic biotransformation. These metabolites are the byproducts of drug metabolism and can be characterized by active, inactive, and toxic metabolites. Active metabolites are biochemically active compounds with therapeutic effects, whereas inactive metabolites are biochemically inactive compounds with neither a therapeutic nor toxic effect. Toxic metabolites are biochemically active compounds similar to active metabolites but have various harmful effects. Drug metabolism occurs at a specific location in the body, resulting in a low concentration of active metabolites in the systemic circulation. This phenomenon is called first-pass metabolism because it limits drug bioavailability. First-pass metabolism primarily occurs in the liver; however, metabolizing enzymes can be found throughout the body.  Understanding these alterations in chemical activity is crucial in utilizing the optimal pharmacological intervention for any patient. This is a topic of interest to any provider who routinely treats patients with medications.","call-number":"NBK442023","container-title":"StatPearls","event-place":"Treasure Island (FL)","language":"eng","license":"Copyright © 2024, StatPearls Publishing LLC.","note":"PMID: 28723052","publisher":"StatPearls Publishing","publisher-place":"Treasure Island (FL)","source":"PubMed","title":"Drug Metabolism","URL":"http://www.ncbi.nlm.nih.gov/books/NBK442023/","author":[{"family":"Susa","given":"Stephen T."},{"family":"Hussain","given":"Azhar"},{"family":"Preuss","given":"Charles V."}],"accessed":{"date-parts":[["2024",4,11]]},"issued":{"date-parts":[["2024"]]}}}],"schema":"https://github.com/citation-style-language/schema/raw/master/csl-citation.json"} </w:instrText>
      </w:r>
      <w:r w:rsidR="001D6DF5">
        <w:fldChar w:fldCharType="separate"/>
      </w:r>
      <w:r w:rsidR="001D6DF5" w:rsidRPr="001D6DF5">
        <w:t xml:space="preserve">(Katzung, 2018; Phang-Lyn </w:t>
      </w:r>
      <w:r w:rsidR="0050727E">
        <w:rPr>
          <w:i/>
          <w:iCs/>
        </w:rPr>
        <w:t>et</w:t>
      </w:r>
      <w:r w:rsidR="001D6DF5" w:rsidRPr="001D6DF5">
        <w:t xml:space="preserve"> Llerena, 2024; Susa, </w:t>
      </w:r>
      <w:r w:rsidR="0050727E">
        <w:rPr>
          <w:i/>
          <w:iCs/>
        </w:rPr>
        <w:t>et al.</w:t>
      </w:r>
      <w:r w:rsidR="001D6DF5" w:rsidRPr="001D6DF5">
        <w:t>, 2024)</w:t>
      </w:r>
      <w:r w:rsidR="001D6DF5">
        <w:fldChar w:fldCharType="end"/>
      </w:r>
      <w:r w:rsidR="00DE5DB5">
        <w:t>.</w:t>
      </w:r>
    </w:p>
    <w:p w14:paraId="2EB00E2D" w14:textId="1E50327B" w:rsidR="00C67F65" w:rsidRDefault="00C67F65" w:rsidP="0050727E">
      <w:pPr>
        <w:ind w:firstLine="708"/>
      </w:pPr>
      <w:r>
        <w:t xml:space="preserve">Rizikem biotransformace může být přeměna </w:t>
      </w:r>
      <w:proofErr w:type="spellStart"/>
      <w:r>
        <w:t>xenobiotika</w:t>
      </w:r>
      <w:proofErr w:type="spellEnd"/>
      <w:r>
        <w:t>, které není pro tělo nebezpečné, v</w:t>
      </w:r>
      <w:r w:rsidR="00421262">
        <w:t xml:space="preserve"> </w:t>
      </w:r>
      <w:r>
        <w:t xml:space="preserve">látku toxickou. Tato přeměna se nazývá metabolická aktivace. Příkladem této aktivace může být zástupce polycyklických aromatických uhlovodíků, </w:t>
      </w:r>
      <w:proofErr w:type="spellStart"/>
      <w:r>
        <w:t>benzo</w:t>
      </w:r>
      <w:proofErr w:type="spellEnd"/>
      <w:r>
        <w:t xml:space="preserve">(a)pyren, který se po své </w:t>
      </w:r>
      <w:proofErr w:type="spellStart"/>
      <w:r>
        <w:t>bioaktivaci</w:t>
      </w:r>
      <w:proofErr w:type="spellEnd"/>
      <w:r>
        <w:t xml:space="preserve"> přeměňuje na </w:t>
      </w:r>
      <w:proofErr w:type="spellStart"/>
      <w:r w:rsidRPr="00127F43">
        <w:t>benzo</w:t>
      </w:r>
      <w:proofErr w:type="spellEnd"/>
      <w:r w:rsidRPr="00127F43">
        <w:t>(a)pyrene-7,8-dihydro-diol-9,10-epoxid</w:t>
      </w:r>
      <w:r>
        <w:t>, což je silný karcinogen</w:t>
      </w:r>
      <w:r w:rsidR="00DE5DB5">
        <w:t xml:space="preserve"> </w:t>
      </w:r>
      <w:r w:rsidR="00DE5DB5">
        <w:fldChar w:fldCharType="begin"/>
      </w:r>
      <w:r w:rsidR="00DE5DB5">
        <w:instrText xml:space="preserve"> ADDIN ZOTERO_ITEM CSL_CITATION {"citationID":"7FtpGLEL","properties":{"formattedCitation":"(Rojas, 2004)","plainCitation":"(Rojas, 2004)","noteIndex":0},"citationItems":[{"id":207,"uris":["http://zotero.org/users/local/UB9PtTOS/items/WK6LVVYJ"],"itemData":{"id":207,"type":"article-journal","container-title":"Cancer Letters","DOI":"10.1016/j.canlet.2003.11.016","ISSN":"03043835","issue":"2","journalAbbreviation":"Cancer Letters","language":"en","license":"https://www.elsevier.com/tdm/userlicense/1.0/","page":"157-163","source":"DOI.org (Crossref)","title":"High DNA damage by benzo[a]pyrene 7,8-diol-9,10-epoxide in bronchial epithelial cells from patients with lung cancer: comparison with lung parenchyma","title-short":"High DNA damage by benzo[a]pyrene 7,8-diol-9,10-epoxide in bronchial epithelial cells from patients with lung cancer","volume":"207","author":[{"family":"Rojas","given":"M"}],"issued":{"date-parts":[["2004",4]]}}}],"schema":"https://github.com/citation-style-language/schema/raw/master/csl-citation.json"} </w:instrText>
      </w:r>
      <w:r w:rsidR="00DE5DB5">
        <w:fldChar w:fldCharType="separate"/>
      </w:r>
      <w:r w:rsidR="00DE5DB5" w:rsidRPr="00DE5DB5">
        <w:t>(Rojas, 2004)</w:t>
      </w:r>
      <w:r w:rsidR="00DE5DB5">
        <w:fldChar w:fldCharType="end"/>
      </w:r>
      <w:r w:rsidR="00DE5DB5">
        <w:t>.</w:t>
      </w:r>
    </w:p>
    <w:p w14:paraId="331CAD83" w14:textId="77777777" w:rsidR="00C67F65" w:rsidRDefault="00C67F65" w:rsidP="00C67F65"/>
    <w:p w14:paraId="6E395A45" w14:textId="1AF3967F" w:rsidR="00C67F65" w:rsidRDefault="00C67F65" w:rsidP="00C67F65">
      <w:pPr>
        <w:pStyle w:val="Nadpis3"/>
      </w:pPr>
      <w:bookmarkStart w:id="8" w:name="_Toc165492877"/>
      <w:r>
        <w:t>3.1.1</w:t>
      </w:r>
      <w:r>
        <w:tab/>
        <w:t>I. fáze biotransformace</w:t>
      </w:r>
      <w:bookmarkEnd w:id="8"/>
    </w:p>
    <w:p w14:paraId="4632D007" w14:textId="40BACEA3" w:rsidR="004D0A9C" w:rsidRDefault="00C67F65" w:rsidP="00C67F65">
      <w:r>
        <w:tab/>
        <w:t xml:space="preserve">Hlavní funkcí I. fáze biotransformace je vnesení či odkrytí polární skupiny </w:t>
      </w:r>
      <w:proofErr w:type="spellStart"/>
      <w:r>
        <w:t>xenobiotika</w:t>
      </w:r>
      <w:proofErr w:type="spellEnd"/>
      <w:r>
        <w:t xml:space="preserve"> za účelem zvýšení pol</w:t>
      </w:r>
      <w:r w:rsidR="000749F1">
        <w:t>arity</w:t>
      </w:r>
      <w:r>
        <w:t xml:space="preserve"> látky. Dochází tak k</w:t>
      </w:r>
      <w:r w:rsidR="0087747B">
        <w:t xml:space="preserve"> </w:t>
      </w:r>
      <w:r>
        <w:t>přípravě látky na následující fázi biotransformace. Příklad</w:t>
      </w:r>
      <w:r w:rsidR="0030259B">
        <w:t>em</w:t>
      </w:r>
      <w:r>
        <w:t xml:space="preserve"> polárních funkčních skupin </w:t>
      </w:r>
      <w:r w:rsidR="0030259B">
        <w:t>mohou být</w:t>
      </w:r>
      <w:r>
        <w:t xml:space="preserve"> </w:t>
      </w:r>
      <w:proofErr w:type="gramStart"/>
      <w:r>
        <w:t>aminoskupina -NH</w:t>
      </w:r>
      <w:r w:rsidRPr="008323D8">
        <w:rPr>
          <w:vertAlign w:val="subscript"/>
        </w:rPr>
        <w:t>2</w:t>
      </w:r>
      <w:proofErr w:type="gramEnd"/>
      <w:r>
        <w:t xml:space="preserve">, hydroxylová skupina -OH nebo </w:t>
      </w:r>
      <w:proofErr w:type="spellStart"/>
      <w:r>
        <w:t>sulfanylová</w:t>
      </w:r>
      <w:proofErr w:type="spellEnd"/>
      <w:r>
        <w:t xml:space="preserve"> skupina -SH. Tyto polární skupiny vznikají při řadě chemických reakcí. Mezi ně patří např. hydroxylace, </w:t>
      </w:r>
      <w:proofErr w:type="spellStart"/>
      <w:r>
        <w:t>sulfooxidace</w:t>
      </w:r>
      <w:proofErr w:type="spellEnd"/>
      <w:r>
        <w:t>, dehydrogenace, redukce</w:t>
      </w:r>
      <w:r w:rsidR="003F4976">
        <w:br/>
      </w:r>
      <w:r>
        <w:t>a hydrolýza</w:t>
      </w:r>
      <w:r w:rsidR="008147EC">
        <w:t xml:space="preserve"> </w:t>
      </w:r>
      <w:r w:rsidR="008147EC">
        <w:fldChar w:fldCharType="begin"/>
      </w:r>
      <w:r w:rsidR="001F2F53">
        <w:instrText xml:space="preserve"> ADDIN ZOTERO_ITEM CSL_CITATION {"citationID":"OaKLCoar","properties":{"formattedCitation":"(Jancova, Anzenbacher and Anzenbacherova, 2010)","plainCitation":"(Jancova, Anzenbacher and Anzenbacherova, 2010)","dontUpdate":true,"noteIndex":0},"citationItems":[{"id":160,"uris":["http://zotero.org/users/local/UB9PtTOS/items/XC6P9ENE"],"itemData":{"id":160,"type":"article-journal","container-title":"Biomedical Papers","DOI":"10.5507/bp.2010.017","ISSN":"12138118, 18047521","issue":"2","journalAbbreviation":"Biomed Pap Med Fac Univ Palacky Olomouc Czech Repub","page":"103-116","source":"DOI.org (Crossref)","title":"PHASE II DRUG METABOLIZING ENZYMES","volume":"154","author":[{"family":"Jancova","given":"Petra"},{"family":"Anzenbacher","given":"Pavel"},{"family":"Anzenbacherova","given":"Eva"}],"issued":{"date-parts":[["2010",6,1]]}}}],"schema":"https://github.com/citation-style-language/schema/raw/master/csl-citation.json"} </w:instrText>
      </w:r>
      <w:r w:rsidR="008147EC">
        <w:fldChar w:fldCharType="separate"/>
      </w:r>
      <w:r w:rsidR="008147EC" w:rsidRPr="008147EC">
        <w:t>(Jancova</w:t>
      </w:r>
      <w:r w:rsidR="008147EC">
        <w:t xml:space="preserve"> </w:t>
      </w:r>
      <w:r w:rsidR="008147EC">
        <w:rPr>
          <w:i/>
          <w:iCs/>
        </w:rPr>
        <w:t>et al.</w:t>
      </w:r>
      <w:r w:rsidR="008147EC" w:rsidRPr="008147EC">
        <w:t>, 2010)</w:t>
      </w:r>
      <w:r w:rsidR="008147EC">
        <w:fldChar w:fldCharType="end"/>
      </w:r>
      <w:r>
        <w:t>.</w:t>
      </w:r>
    </w:p>
    <w:p w14:paraId="734C9221" w14:textId="367CB70B" w:rsidR="00526BE3" w:rsidRDefault="00866CBF" w:rsidP="004D0A9C">
      <w:pPr>
        <w:ind w:firstLine="708"/>
      </w:pPr>
      <w:r>
        <w:lastRenderedPageBreak/>
        <w:t>Reakce I. fáze biotransformace</w:t>
      </w:r>
      <w:r w:rsidR="00C67F65">
        <w:t xml:space="preserve"> jsou zprostředkovány skrze řadu enzymů</w:t>
      </w:r>
      <w:r>
        <w:t>. M</w:t>
      </w:r>
      <w:r w:rsidR="00C67F65">
        <w:t>ezi</w:t>
      </w:r>
      <w:r w:rsidR="003F4976">
        <w:br/>
      </w:r>
      <w:r w:rsidR="00C67F65">
        <w:t>ty nejvýznamnější řadíme</w:t>
      </w:r>
      <w:r w:rsidR="00795083">
        <w:t xml:space="preserve"> </w:t>
      </w:r>
      <w:r w:rsidR="00110DFC">
        <w:t>enzymy cytochromu P450 (</w:t>
      </w:r>
      <w:r w:rsidR="00C67F65">
        <w:t>CYP450</w:t>
      </w:r>
      <w:r w:rsidR="00110DFC">
        <w:t>)</w:t>
      </w:r>
      <w:r w:rsidR="00B14A63">
        <w:t xml:space="preserve"> a flavinové </w:t>
      </w:r>
      <w:proofErr w:type="spellStart"/>
      <w:r w:rsidR="00B14A63">
        <w:t>monooxygenázy</w:t>
      </w:r>
      <w:proofErr w:type="spellEnd"/>
      <w:r w:rsidR="00820956">
        <w:t xml:space="preserve"> (FMO)</w:t>
      </w:r>
      <w:r w:rsidR="00C67F65">
        <w:t>.</w:t>
      </w:r>
      <w:r w:rsidR="00110DFC">
        <w:t xml:space="preserve"> </w:t>
      </w:r>
      <w:r w:rsidR="00820956">
        <w:t>CYP450 je</w:t>
      </w:r>
      <w:r w:rsidR="00110DFC">
        <w:t xml:space="preserve"> rozsáhlá rodina </w:t>
      </w:r>
      <w:proofErr w:type="spellStart"/>
      <w:r w:rsidR="00110DFC">
        <w:t>monooxygenáz</w:t>
      </w:r>
      <w:proofErr w:type="spellEnd"/>
      <w:r w:rsidR="00110DFC">
        <w:t>, jejíž hladina je vysoká hlavně v</w:t>
      </w:r>
      <w:r w:rsidR="0087747B">
        <w:t xml:space="preserve"> </w:t>
      </w:r>
      <w:r w:rsidR="00110DFC">
        <w:t>játrech</w:t>
      </w:r>
      <w:r w:rsidR="003F4976">
        <w:br/>
      </w:r>
      <w:r w:rsidR="00110DFC">
        <w:t>a střevě, kde dochází k</w:t>
      </w:r>
      <w:r w:rsidR="004B55F3">
        <w:t xml:space="preserve"> </w:t>
      </w:r>
      <w:r w:rsidR="00110DFC">
        <w:t>jejich nejvyšší expresi. Hlavní funkcí těchto enzymů je hydroxylace</w:t>
      </w:r>
      <w:r w:rsidR="003F4976">
        <w:br/>
      </w:r>
      <w:r w:rsidR="00110DFC">
        <w:t xml:space="preserve">a oxidace </w:t>
      </w:r>
      <w:r w:rsidR="00F33157">
        <w:t>endogenních</w:t>
      </w:r>
      <w:r w:rsidR="00037D78">
        <w:t xml:space="preserve"> i exogenních </w:t>
      </w:r>
      <w:r w:rsidR="00110DFC">
        <w:t xml:space="preserve">látek na jednodušší složky, které jsou pro tělo snáze </w:t>
      </w:r>
      <w:r w:rsidR="00110DFC" w:rsidRPr="00EA385D">
        <w:t xml:space="preserve">vylučitelné </w:t>
      </w:r>
      <w:r w:rsidR="00110DFC" w:rsidRPr="00EA385D">
        <w:fldChar w:fldCharType="begin"/>
      </w:r>
      <w:r w:rsidR="00C41CE8" w:rsidRPr="00EA385D">
        <w:instrText xml:space="preserve"> ADDIN ZOTERO_ITEM CSL_CITATION {"citationID":"v5k8AqN9","properties":{"formattedCitation":"(Poulos, 2005)","plainCitation":"(Poulos, 2005)","noteIndex":0},"citationItems":[{"id":28,"uris":["http://zotero.org/users/local/UB9PtTOS/items/X4QANRRX"],"itemData":{"id":28,"type":"article-journal","container-title":"Drug Metabolism and Disposition","DOI":"10.1124/dmd.104.002071","ISSN":"0090-9556, 1521-009X","issue":"1","journalAbbreviation":"Drug Metab Dispos","language":"en","page":"10-18","source":"DOI.org (Crossref)","title":"STRUCTURAL AND FUNCTIONAL DIVERSITY IN HEME MONOOXYGENASES","volume":"33","author":[{"family":"Poulos","given":"Thomas L."}],"issued":{"date-parts":[["2005",1]]}}}],"schema":"https://github.com/citation-style-language/schema/raw/master/csl-citation.json"} </w:instrText>
      </w:r>
      <w:r w:rsidR="00110DFC" w:rsidRPr="00EA385D">
        <w:fldChar w:fldCharType="separate"/>
      </w:r>
      <w:r w:rsidR="00C41CE8" w:rsidRPr="00EA385D">
        <w:t>(Poulos, 2005)</w:t>
      </w:r>
      <w:r w:rsidR="00110DFC" w:rsidRPr="00EA385D">
        <w:fldChar w:fldCharType="end"/>
      </w:r>
      <w:r w:rsidR="00110DFC" w:rsidRPr="00EA385D">
        <w:t>.</w:t>
      </w:r>
      <w:r w:rsidR="00633937" w:rsidRPr="00EA385D">
        <w:t xml:space="preserve"> </w:t>
      </w:r>
      <w:r w:rsidR="00C75AE6" w:rsidRPr="00EA385D">
        <w:t>CYP450</w:t>
      </w:r>
      <w:r w:rsidR="00527682" w:rsidRPr="00EA385D">
        <w:t xml:space="preserve"> katalyzují </w:t>
      </w:r>
      <w:r w:rsidR="00F0037D" w:rsidRPr="00EA385D">
        <w:t xml:space="preserve">hydroxylaci </w:t>
      </w:r>
      <w:r w:rsidR="00831D20" w:rsidRPr="00EA385D">
        <w:t>substrátu s</w:t>
      </w:r>
      <w:r w:rsidR="0087747B">
        <w:t xml:space="preserve"> </w:t>
      </w:r>
      <w:r w:rsidR="00FC2B9B" w:rsidRPr="00EA385D">
        <w:t>účastí donoru</w:t>
      </w:r>
      <w:r w:rsidR="00FC2B9B">
        <w:t xml:space="preserve"> elektronu </w:t>
      </w:r>
      <w:proofErr w:type="spellStart"/>
      <w:r w:rsidR="00BD6784">
        <w:t>n</w:t>
      </w:r>
      <w:r w:rsidR="00BD6784" w:rsidRPr="00BD6784">
        <w:t>ikotinamidadenindinukleotidfosfát</w:t>
      </w:r>
      <w:r w:rsidR="00BD6784">
        <w:t>u</w:t>
      </w:r>
      <w:proofErr w:type="spellEnd"/>
      <w:r w:rsidR="00FC2B9B">
        <w:t xml:space="preserve"> (NADPH)</w:t>
      </w:r>
      <w:r w:rsidR="00E44035">
        <w:t xml:space="preserve"> a molekulárního kyslíku</w:t>
      </w:r>
      <w:r w:rsidR="006B38C9">
        <w:t>, k</w:t>
      </w:r>
      <w:r w:rsidR="0009452E">
        <w:t xml:space="preserve">terý se váže na atom </w:t>
      </w:r>
      <w:r w:rsidR="00E158FC">
        <w:t xml:space="preserve">železa </w:t>
      </w:r>
      <w:r w:rsidR="0009452E">
        <w:t>na aktivním místě CYP450</w:t>
      </w:r>
      <w:r w:rsidR="00E44035">
        <w:t xml:space="preserve">. </w:t>
      </w:r>
      <w:r w:rsidR="00CC0298">
        <w:t>Enzymy CYP450</w:t>
      </w:r>
      <w:r w:rsidR="00AD6126">
        <w:t xml:space="preserve"> jsou zapojeny do mnoha metabolických reakcí, např. metabolismus </w:t>
      </w:r>
      <w:r w:rsidR="00213A06">
        <w:t xml:space="preserve">steroidních hormonů, </w:t>
      </w:r>
      <w:r w:rsidR="00431262">
        <w:t xml:space="preserve">prostaglandinů, </w:t>
      </w:r>
      <w:r w:rsidR="00213A06">
        <w:t>žlučových kyselin</w:t>
      </w:r>
      <w:r w:rsidR="00915132">
        <w:t xml:space="preserve"> a mnoha dalších </w:t>
      </w:r>
      <w:r w:rsidR="00E73B63">
        <w:fldChar w:fldCharType="begin"/>
      </w:r>
      <w:r w:rsidR="00385458">
        <w:instrText xml:space="preserve"> ADDIN ZOTERO_ITEM CSL_CITATION {"citationID":"pZJXPymt","properties":{"formattedCitation":"(Nebert and Russell, 2002)","plainCitation":"(Nebert and Russell, 2002)","dontUpdate":true,"noteIndex":0},"citationItems":[{"id":219,"uris":["http://zotero.org/users/local/UB9PtTOS/items/8P2N3GN9"],"itemData":{"id":219,"type":"article-journal","container-title":"The Lancet","DOI":"10.1016/S0140-6736(02)11203-7","ISSN":"01406736","issue":"9340","journalAbbreviation":"The Lancet","language":"en","license":"https://www.elsevier.com/tdm/userlicense/1.0/","page":"1155-1162","source":"DOI.org (Crossref)","title":"Clinical importance of the cytochromes P450","volume":"360","author":[{"family":"Nebert","given":"Daniel W"},{"family":"Russell","given":"David W"}],"issued":{"date-parts":[["2002",10]]}}}],"schema":"https://github.com/citation-style-language/schema/raw/master/csl-citation.json"} </w:instrText>
      </w:r>
      <w:r w:rsidR="00E73B63">
        <w:fldChar w:fldCharType="separate"/>
      </w:r>
      <w:r w:rsidR="00E73B63" w:rsidRPr="00E73B63">
        <w:t xml:space="preserve">(Nebert </w:t>
      </w:r>
      <w:r w:rsidR="000C6546">
        <w:rPr>
          <w:i/>
          <w:iCs/>
        </w:rPr>
        <w:t>et</w:t>
      </w:r>
      <w:r w:rsidR="00E73B63" w:rsidRPr="00E73B63">
        <w:t xml:space="preserve"> Russell, 2002)</w:t>
      </w:r>
      <w:r w:rsidR="00E73B63">
        <w:fldChar w:fldCharType="end"/>
      </w:r>
      <w:r w:rsidR="00915132">
        <w:t xml:space="preserve">. </w:t>
      </w:r>
      <w:r w:rsidR="00C67F65">
        <w:t>Geny CYP450 jsou rozděleny do 18 rodin</w:t>
      </w:r>
      <w:r w:rsidR="002062BF">
        <w:t xml:space="preserve"> </w:t>
      </w:r>
      <w:r w:rsidR="00C67F65">
        <w:t xml:space="preserve">a 43 </w:t>
      </w:r>
      <w:proofErr w:type="spellStart"/>
      <w:r w:rsidR="00C67F65">
        <w:t>podrodin</w:t>
      </w:r>
      <w:proofErr w:type="spellEnd"/>
      <w:r w:rsidR="00C67F65">
        <w:t>, z čehož rodiny CYP2, CYP3 a CYP4 obsahují nejvíce genů ze všech. Rodina CYP3</w:t>
      </w:r>
      <w:r w:rsidR="00A86A60">
        <w:t>, která</w:t>
      </w:r>
      <w:r w:rsidR="00223EB3">
        <w:t xml:space="preserve"> je </w:t>
      </w:r>
      <w:r w:rsidR="00A86A60">
        <w:t xml:space="preserve">nejvíce zapojená do metabolismu </w:t>
      </w:r>
      <w:proofErr w:type="spellStart"/>
      <w:r w:rsidR="00A86A60">
        <w:t>xenobiotik</w:t>
      </w:r>
      <w:proofErr w:type="spellEnd"/>
      <w:r w:rsidR="00A86A60">
        <w:t>,</w:t>
      </w:r>
      <w:r w:rsidR="00C67F65">
        <w:t xml:space="preserve"> obsahuje</w:t>
      </w:r>
      <w:r w:rsidR="00555434">
        <w:t xml:space="preserve"> jedinou</w:t>
      </w:r>
      <w:r w:rsidR="00C67F65">
        <w:t xml:space="preserve"> </w:t>
      </w:r>
      <w:proofErr w:type="spellStart"/>
      <w:r w:rsidR="00C67F65">
        <w:t>podrodinu</w:t>
      </w:r>
      <w:proofErr w:type="spellEnd"/>
      <w:r w:rsidR="00C67F65">
        <w:t xml:space="preserve"> CYP3A</w:t>
      </w:r>
      <w:r w:rsidR="00A86A60">
        <w:t>.</w:t>
      </w:r>
      <w:r w:rsidR="00B902C6">
        <w:t xml:space="preserve"> </w:t>
      </w:r>
      <w:proofErr w:type="spellStart"/>
      <w:r w:rsidR="00B902C6">
        <w:t>Podrodina</w:t>
      </w:r>
      <w:proofErr w:type="spellEnd"/>
      <w:r w:rsidR="00B902C6">
        <w:t xml:space="preserve"> CYP3A </w:t>
      </w:r>
      <w:r w:rsidR="00C67F65">
        <w:t>obsahuje čtyři geny kódující funkční enzymy – CYP3A4, CYP3A5, CYP3A7</w:t>
      </w:r>
      <w:r w:rsidR="002062BF">
        <w:br/>
      </w:r>
      <w:r w:rsidR="00C67F65">
        <w:t>a CYP3A43</w:t>
      </w:r>
      <w:r w:rsidR="00C41CE8">
        <w:t xml:space="preserve"> </w:t>
      </w:r>
      <w:r w:rsidR="00C41CE8">
        <w:fldChar w:fldCharType="begin"/>
      </w:r>
      <w:r w:rsidR="00385458">
        <w:instrText xml:space="preserve"> ADDIN ZOTERO_ITEM CSL_CITATION {"citationID":"gyOganVV","properties":{"formattedCitation":"(Zanger and Schwab, 2013; Klyushova, Perepechaeva and Grishanova, 2022)","plainCitation":"(Zanger and Schwab, 2013; Klyushova, Perepechaeva and Grishanova, 2022)","dontUpdate":true,"noteIndex":0},"citationItems":[{"id":114,"uris":["http://zotero.org/users/local/UB9PtTOS/items/C58U8YLU"],"itemData":{"id":114,"type":"article-journal","container-title":"Pharmacology &amp; Therapeutics","DOI":"10.1016/j.pharmthera.2012.12.007","ISSN":"01637258","issue":"1","journalAbbreviation":"Pharmacology &amp; Therapeutics","language":"en","license":"https://www.elsevier.com/tdm/userlicense/1.0/","page":"103-141","source":"DOI.org (Crossref)","title":"Cytochrome P450 enzymes in drug metabolism: Regulation of gene expression, enzyme activities, and impact of genetic variation","title-short":"Cytochrome P450 enzymes in drug metabolism","volume":"138","author":[{"family":"Zanger","given":"Ulrich M."},{"family":"Schwab","given":"Matthias"}],"issued":{"date-parts":[["2013",4]]}}},{"id":112,"uris":["http://zotero.org/users/local/UB9PtTOS/items/Z64HEXEU"],"itemData":{"id":112,"type":"article-journal","abstract":"CYP3A is an enzyme subfamily in the cytochrome P450 (CYP) superfamily and includes isoforms CYP3A4, CYP3A5, CYP3A7, and CYP3A43. CYP3A enzymes are indiscriminate toward substrates and are unique in that these enzymes metabolize both endogenous compounds and diverse xenobiotics (including drugs); almost the only common characteristic of these compounds is lipophilicity and a relatively large molecular weight. CYP3A enzymes are widely expressed in human organs and tissues, and consequences of these enzymes’ activities play a major role both in normal regulation of physiological levels of endogenous compounds and in various pathological conditions. This review addresses these aspects of regulation of CYP3A enzymes under physiological conditions and their involvement in the initiation and progression of diseases.","container-title":"Biomedicines","DOI":"10.3390/biomedicines10112686","ISSN":"2227-9059","issue":"11","journalAbbreviation":"Biomedicines","language":"en","license":"https://creativecommons.org/licenses/by/4.0/","page":"2686","source":"DOI.org (Crossref)","title":"The Role of CYP3A in Health and Disease","volume":"10","author":[{"family":"Klyushova","given":"Lyubov S."},{"family":"Perepechaeva","given":"Maria L."},{"family":"Grishanova","given":"Alevtina Y."}],"issued":{"date-parts":[["2022",10,24]]}}}],"schema":"https://github.com/citation-style-language/schema/raw/master/csl-citation.json"} </w:instrText>
      </w:r>
      <w:r w:rsidR="00C41CE8">
        <w:fldChar w:fldCharType="separate"/>
      </w:r>
      <w:r w:rsidR="009C55F5" w:rsidRPr="009C55F5">
        <w:t xml:space="preserve">(Zanger </w:t>
      </w:r>
      <w:r w:rsidR="009C55F5">
        <w:rPr>
          <w:i/>
          <w:iCs/>
        </w:rPr>
        <w:t>et</w:t>
      </w:r>
      <w:r w:rsidR="009C55F5" w:rsidRPr="009C55F5">
        <w:t xml:space="preserve"> Schwab, 2013; Klyushova</w:t>
      </w:r>
      <w:r w:rsidR="009C55F5">
        <w:t xml:space="preserve"> </w:t>
      </w:r>
      <w:r w:rsidR="009C55F5">
        <w:rPr>
          <w:i/>
          <w:iCs/>
        </w:rPr>
        <w:t>et al.</w:t>
      </w:r>
      <w:r w:rsidR="009C55F5" w:rsidRPr="009C55F5">
        <w:t>, 2022)</w:t>
      </w:r>
      <w:r w:rsidR="00C41CE8">
        <w:fldChar w:fldCharType="end"/>
      </w:r>
      <w:r w:rsidR="00C67F65">
        <w:t>.</w:t>
      </w:r>
      <w:r w:rsidR="00487EFB">
        <w:t xml:space="preserve"> </w:t>
      </w:r>
      <w:r w:rsidR="00110F05">
        <w:t xml:space="preserve">Všichni zástupci </w:t>
      </w:r>
      <w:proofErr w:type="spellStart"/>
      <w:r w:rsidR="005F6461">
        <w:t>podrodiny</w:t>
      </w:r>
      <w:proofErr w:type="spellEnd"/>
      <w:r w:rsidR="002062BF">
        <w:t xml:space="preserve"> </w:t>
      </w:r>
      <w:r w:rsidR="005F6461">
        <w:t xml:space="preserve">CYP3A jsou indukováni </w:t>
      </w:r>
      <w:r w:rsidR="007E43FD">
        <w:t>řadou endogenních a exogenních látek,</w:t>
      </w:r>
      <w:r w:rsidR="002062BF">
        <w:t xml:space="preserve"> </w:t>
      </w:r>
      <w:r w:rsidR="007E43FD">
        <w:t xml:space="preserve">např. </w:t>
      </w:r>
      <w:proofErr w:type="spellStart"/>
      <w:r w:rsidR="007E43FD">
        <w:t>makrolidními</w:t>
      </w:r>
      <w:proofErr w:type="spellEnd"/>
      <w:r w:rsidR="007E43FD">
        <w:t xml:space="preserve"> </w:t>
      </w:r>
      <w:r w:rsidR="00354EFD">
        <w:t xml:space="preserve">antibiotiky, </w:t>
      </w:r>
      <w:proofErr w:type="spellStart"/>
      <w:r w:rsidR="00354EFD">
        <w:t>organochlorinovými</w:t>
      </w:r>
      <w:proofErr w:type="spellEnd"/>
      <w:r w:rsidR="00354EFD">
        <w:t xml:space="preserve"> pesticidy</w:t>
      </w:r>
      <w:r w:rsidR="008836CF">
        <w:t xml:space="preserve"> a </w:t>
      </w:r>
      <w:r w:rsidR="00354EFD">
        <w:t>antimykotikem imidazol</w:t>
      </w:r>
      <w:r w:rsidR="008836CF">
        <w:t xml:space="preserve"> </w:t>
      </w:r>
      <w:r w:rsidR="007630CB">
        <w:fldChar w:fldCharType="begin"/>
      </w:r>
      <w:r w:rsidR="00385458">
        <w:instrText xml:space="preserve"> ADDIN ZOTERO_ITEM CSL_CITATION {"citationID":"IltUsfHw","properties":{"formattedCitation":"(Quattrochi and Guzelian, 2001)","plainCitation":"(Quattrochi and Guzelian, 2001)","dontUpdate":true,"noteIndex":0},"citationItems":[{"id":222,"uris":["http://zotero.org/users/local/UB9PtTOS/items/GCRZH54M"],"itemData":{"id":222,"type":"article-journal","abstract":"Among the human liver cytochrome P450s (P450s), a family of microsomal hemoproteins responsible for catalyzing the oxidative metabolism of clinically used drugs and environmental chemicals, attention has been focused on CYP3A, a form that is the most abundant and is inducible by many of its substrates. From early pharmacological studies that demonstrated induction of CYP3A by glucocorticoids and, paradoxically, by antiglucocorticoids, the existence of a nonclassical glucocorticoid receptor mechanism was inferred and prompted research that culminated in the identification of a unique member of the nuclear receptor family, the pregnane X receptor (PXR; NR1I2). It has become increasingly evident that PXR as well as other nuclear receptors mediate CYP3A induction in a unique and complex manner including inducibility by structurally diverse compounds and striking interspecies differences in induction profiles. Future understanding of the role of nuclear receptors in regulating expression of CYP3A and other genes of the P450 family offers an exciting promise of further defining the physiologic function and interindividual differences of CYP3A in health and disease.","container-title":"Drug Metabolism and Disposition: The Biological Fate of Chemicals","ISSN":"0090-9556","issue":"5","journalAbbreviation":"Drug Metab Dispos","language":"eng","note":"PMID: 11302925","page":"615-622","source":"PubMed","title":"Cyp3A regulation: from pharmacology to nuclear receptors","title-short":"Cyp3A regulation","volume":"29","author":[{"family":"Quattrochi","given":"L. C."},{"family":"Guzelian","given":"P. S."}],"issued":{"date-parts":[["2001",5]]}}}],"schema":"https://github.com/citation-style-language/schema/raw/master/csl-citation.json"} </w:instrText>
      </w:r>
      <w:r w:rsidR="007630CB">
        <w:fldChar w:fldCharType="separate"/>
      </w:r>
      <w:r w:rsidR="007630CB" w:rsidRPr="007630CB">
        <w:t xml:space="preserve">(Quattrochi </w:t>
      </w:r>
      <w:r w:rsidR="00BD7651">
        <w:rPr>
          <w:i/>
          <w:iCs/>
        </w:rPr>
        <w:t>et</w:t>
      </w:r>
      <w:r w:rsidR="007630CB" w:rsidRPr="007630CB">
        <w:t xml:space="preserve"> Guzelian, 2001)</w:t>
      </w:r>
      <w:r w:rsidR="007630CB">
        <w:fldChar w:fldCharType="end"/>
      </w:r>
      <w:r w:rsidR="008836CF">
        <w:t xml:space="preserve">. </w:t>
      </w:r>
      <w:r w:rsidR="00AB003E">
        <w:t>Enzym CYP3A4</w:t>
      </w:r>
      <w:r w:rsidR="00BF6D0B">
        <w:t xml:space="preserve"> je považován za nejdůležitější enzym</w:t>
      </w:r>
      <w:r w:rsidR="001F34F9">
        <w:t xml:space="preserve"> zapojený do metabolismu </w:t>
      </w:r>
      <w:r w:rsidR="00B47DFD">
        <w:t>léčiv</w:t>
      </w:r>
      <w:r w:rsidR="00DF4544">
        <w:t>. K</w:t>
      </w:r>
      <w:r w:rsidR="00660C86">
        <w:t xml:space="preserve">atalyzuje </w:t>
      </w:r>
      <w:r w:rsidR="00DA697B">
        <w:t xml:space="preserve">metabolismus </w:t>
      </w:r>
      <w:r w:rsidR="00660C86">
        <w:t>více než 60 %</w:t>
      </w:r>
      <w:r w:rsidR="00DA697B">
        <w:t xml:space="preserve"> léčiv</w:t>
      </w:r>
      <w:r w:rsidR="006B6437">
        <w:t xml:space="preserve">. </w:t>
      </w:r>
      <w:r w:rsidR="009956E9">
        <w:t xml:space="preserve">Vazebná doména CYP3A4 je velká a flexibilní, a proto dokáže metabolizovat mnoho </w:t>
      </w:r>
      <w:r w:rsidR="00C83192">
        <w:t>velkých lipofilních sloučenin</w:t>
      </w:r>
      <w:r w:rsidR="002C53C5">
        <w:t>, m</w:t>
      </w:r>
      <w:r w:rsidR="008F31B9">
        <w:t xml:space="preserve">ezi která </w:t>
      </w:r>
      <w:r w:rsidR="00E57613">
        <w:t>lze zařadit</w:t>
      </w:r>
      <w:r w:rsidR="00041540">
        <w:br/>
      </w:r>
      <w:r w:rsidR="00E57613">
        <w:t>např. imunosupresivum cyklosporin</w:t>
      </w:r>
      <w:r w:rsidR="00D73069">
        <w:t xml:space="preserve"> A, </w:t>
      </w:r>
      <w:proofErr w:type="spellStart"/>
      <w:r w:rsidR="00D73069">
        <w:t>makrolidní</w:t>
      </w:r>
      <w:proofErr w:type="spellEnd"/>
      <w:r w:rsidR="00D73069">
        <w:t xml:space="preserve"> antibiotikum </w:t>
      </w:r>
      <w:proofErr w:type="spellStart"/>
      <w:r w:rsidR="00D73069">
        <w:t>erythromycin</w:t>
      </w:r>
      <w:proofErr w:type="spellEnd"/>
      <w:r w:rsidR="001F1B80">
        <w:t xml:space="preserve"> nebo</w:t>
      </w:r>
      <w:r w:rsidR="00D73069">
        <w:t xml:space="preserve"> </w:t>
      </w:r>
      <w:r w:rsidR="007D11E4">
        <w:t xml:space="preserve">lék proti rakovině </w:t>
      </w:r>
      <w:proofErr w:type="spellStart"/>
      <w:r w:rsidR="007D11E4">
        <w:t>taxol</w:t>
      </w:r>
      <w:proofErr w:type="spellEnd"/>
      <w:r w:rsidR="00BD7651">
        <w:t>.</w:t>
      </w:r>
      <w:r w:rsidR="001F1B80">
        <w:t xml:space="preserve"> Dokáže však </w:t>
      </w:r>
      <w:r w:rsidR="002F75C6">
        <w:t xml:space="preserve">metabolizovat i menší látky, např. </w:t>
      </w:r>
      <w:proofErr w:type="spellStart"/>
      <w:r w:rsidR="00711E5B">
        <w:t>ifosfamid</w:t>
      </w:r>
      <w:proofErr w:type="spellEnd"/>
      <w:r w:rsidR="00711E5B">
        <w:t xml:space="preserve">, tamoxifen, benzodiazepiny, </w:t>
      </w:r>
      <w:proofErr w:type="spellStart"/>
      <w:r w:rsidR="00711E5B">
        <w:t>statiny</w:t>
      </w:r>
      <w:proofErr w:type="spellEnd"/>
      <w:r w:rsidR="007F3BC3">
        <w:t xml:space="preserve"> a antidepresiva.</w:t>
      </w:r>
      <w:r w:rsidR="00DC33FE">
        <w:t xml:space="preserve"> </w:t>
      </w:r>
      <w:r w:rsidR="006340EE">
        <w:t>Je také důležitý v</w:t>
      </w:r>
      <w:r w:rsidR="00723165">
        <w:t xml:space="preserve"> </w:t>
      </w:r>
      <w:r w:rsidR="00D178BE">
        <w:t xml:space="preserve">katabolismu různých endogenních steroidních sloučenin, jako např. </w:t>
      </w:r>
      <w:r w:rsidR="00A848A6">
        <w:t xml:space="preserve">testosteron, progesteron, </w:t>
      </w:r>
      <w:proofErr w:type="spellStart"/>
      <w:r w:rsidR="00A848A6">
        <w:t>kortisol</w:t>
      </w:r>
      <w:proofErr w:type="spellEnd"/>
      <w:r w:rsidR="00A848A6">
        <w:t xml:space="preserve"> a žlučové kyseliny</w:t>
      </w:r>
      <w:r w:rsidR="00D13BB6">
        <w:t xml:space="preserve"> </w:t>
      </w:r>
      <w:r w:rsidR="00D13BB6">
        <w:fldChar w:fldCharType="begin"/>
      </w:r>
      <w:r w:rsidR="00385458">
        <w:instrText xml:space="preserve"> ADDIN ZOTERO_ITEM CSL_CITATION {"citationID":"7PRYzlJz","properties":{"formattedCitation":"(Scott and Halpert, 2005; Zanger and Schwab, 2013)","plainCitation":"(Scott and Halpert, 2005; Zanger and Schwab, 2013)","dontUpdate":true,"noteIndex":0},"citationItems":[{"id":225,"uris":["http://zotero.org/users/local/UB9PtTOS/items/53U9CJ5G"],"itemData":{"id":225,"type":"article-journal","container-title":"Trends in Biochemical Sciences","DOI":"10.1016/j.tibs.2004.11.004","ISSN":"09680004","issue":"1","journalAbbreviation":"Trends in Biochemical Sciences","language":"en","license":"https://www.elsevier.com/tdm/userlicense/1.0/","page":"5-7","source":"DOI.org (Crossref)","title":"Structures of cytochrome P450 3A4","volume":"30","author":[{"family":"Scott","given":"Emily E."},{"family":"Halpert","given":"James R."}],"issued":{"date-parts":[["2005",1]]}}},{"id":114,"uris":["http://zotero.org/users/local/UB9PtTOS/items/C58U8YLU"],"itemData":{"id":114,"type":"article-journal","container-title":"Pharmacology &amp; Therapeutics","DOI":"10.1016/j.pharmthera.2012.12.007","ISSN":"01637258","issue":"1","journalAbbreviation":"Pharmacology &amp; Therapeutics","language":"en","license":"https://www.elsevier.com/tdm/userlicense/1.0/","page":"103-141","source":"DOI.org (Crossref)","title":"Cytochrome P450 enzymes in drug metabolism: Regulation of gene expression, enzyme activities, and impact of genetic variation","title-short":"Cytochrome P450 enzymes in drug metabolism","volume":"138","author":[{"family":"Zanger","given":"Ulrich M."},{"family":"Schwab","given":"Matthias"}],"issued":{"date-parts":[["2013",4]]}}}],"schema":"https://github.com/citation-style-language/schema/raw/master/csl-citation.json"} </w:instrText>
      </w:r>
      <w:r w:rsidR="00D13BB6">
        <w:fldChar w:fldCharType="separate"/>
      </w:r>
      <w:r w:rsidR="005E53D3" w:rsidRPr="005E53D3">
        <w:t xml:space="preserve">(Scott </w:t>
      </w:r>
      <w:r w:rsidR="005E53D3">
        <w:rPr>
          <w:i/>
          <w:iCs/>
        </w:rPr>
        <w:t>et</w:t>
      </w:r>
      <w:r w:rsidR="005E53D3" w:rsidRPr="005E53D3">
        <w:t xml:space="preserve"> Halpert, 2005; Zanger </w:t>
      </w:r>
      <w:r w:rsidR="005E53D3">
        <w:rPr>
          <w:i/>
          <w:iCs/>
        </w:rPr>
        <w:t>et</w:t>
      </w:r>
      <w:r w:rsidR="005E53D3" w:rsidRPr="005E53D3">
        <w:t xml:space="preserve"> Schwab, 2013)</w:t>
      </w:r>
      <w:r w:rsidR="00D13BB6">
        <w:fldChar w:fldCharType="end"/>
      </w:r>
      <w:r w:rsidR="001E4980">
        <w:t>.</w:t>
      </w:r>
    </w:p>
    <w:p w14:paraId="2949078C" w14:textId="24AFE85D" w:rsidR="00C67F65" w:rsidRDefault="00526BE3" w:rsidP="0063058E">
      <w:pPr>
        <w:ind w:firstLine="708"/>
      </w:pPr>
      <w:r>
        <w:t>F</w:t>
      </w:r>
      <w:r w:rsidR="00565CB9">
        <w:t>MO</w:t>
      </w:r>
      <w:r>
        <w:t xml:space="preserve"> katalyzují hlavně hydroxylaci a </w:t>
      </w:r>
      <w:proofErr w:type="spellStart"/>
      <w:r>
        <w:t>sulfooxidaci</w:t>
      </w:r>
      <w:proofErr w:type="spellEnd"/>
      <w:r>
        <w:t xml:space="preserve"> a jsou klasifikačně rozděleny</w:t>
      </w:r>
      <w:r w:rsidR="00B27BBC">
        <w:br/>
      </w:r>
      <w:r>
        <w:t>do</w:t>
      </w:r>
      <w:r w:rsidR="00B27BBC">
        <w:t xml:space="preserve"> </w:t>
      </w:r>
      <w:r>
        <w:t>8 skupin podle donorů elektronu, typu oxidační reakce a dalších faktorů. Podílejí se</w:t>
      </w:r>
      <w:r w:rsidR="00B27BBC">
        <w:br/>
      </w:r>
      <w:r>
        <w:t xml:space="preserve">na katabolismu přírodních či průmyslových látek </w:t>
      </w:r>
      <w:r>
        <w:fldChar w:fldCharType="begin"/>
      </w:r>
      <w:r>
        <w:instrText xml:space="preserve"> ADDIN ZOTERO_ITEM CSL_CITATION {"citationID":"fyI0PAVM","properties":{"formattedCitation":"(Huijbers {\\i{}et al.}, 2014)","plainCitation":"(Huijbers et al., 2014)","noteIndex":0},"citationItems":[{"id":116,"uris":["http://zotero.org/users/local/UB9PtTOS/items/WPGJG9WX"],"itemData":{"id":116,"type":"article-journal","container-title":"Archives of Biochemistry and Biophysics","DOI":"10.1016/j.abb.2013.12.005","ISSN":"00039861","journalAbbreviation":"Archives of Biochemistry and Biophysics","language":"en","page":"2-17","source":"DOI.org (Crossref)","title":"Flavin dependent monooxygenases","volume":"544","author":[{"family":"Huijbers","given":"Mieke M.E."},{"family":"Montersino","given":"Stefania"},{"family":"Westphal","given":"Adrie H."},{"family":"Tischler","given":"Dirk"},{"family":"Van Berkel","given":"Willem J.H."}],"issued":{"date-parts":[["2014",2]]}}}],"schema":"https://github.com/citation-style-language/schema/raw/master/csl-citation.json"} </w:instrText>
      </w:r>
      <w:r>
        <w:fldChar w:fldCharType="separate"/>
      </w:r>
      <w:r w:rsidRPr="00C41CE8">
        <w:rPr>
          <w:kern w:val="0"/>
        </w:rPr>
        <w:t xml:space="preserve">(Huijbers </w:t>
      </w:r>
      <w:r w:rsidRPr="00C41CE8">
        <w:rPr>
          <w:i/>
          <w:iCs/>
          <w:kern w:val="0"/>
        </w:rPr>
        <w:t>et al.</w:t>
      </w:r>
      <w:r w:rsidRPr="00C41CE8">
        <w:rPr>
          <w:kern w:val="0"/>
        </w:rPr>
        <w:t>, 2014)</w:t>
      </w:r>
      <w:r>
        <w:fldChar w:fldCharType="end"/>
      </w:r>
      <w:r>
        <w:t>. Jejich mechanismus se zakládá na začlenění jednoho atomu kyslíku do molekuly substrátu a následné redukci jiného atomu kyslíku na vodu.</w:t>
      </w:r>
      <w:r w:rsidR="0063058E">
        <w:t xml:space="preserve"> </w:t>
      </w:r>
      <w:r w:rsidR="00C67F65">
        <w:t>Dalšími důležitými enzymy podílejících se na I. fázi biotransformace jsou peroxidázy, hydrolázy</w:t>
      </w:r>
      <w:r w:rsidR="005A7570">
        <w:t xml:space="preserve"> a</w:t>
      </w:r>
      <w:r w:rsidR="00C67F65">
        <w:t xml:space="preserve"> </w:t>
      </w:r>
      <w:proofErr w:type="spellStart"/>
      <w:r w:rsidR="00C67F65">
        <w:t>alkoholdehydrogenázy</w:t>
      </w:r>
      <w:proofErr w:type="spellEnd"/>
      <w:r w:rsidR="00F26795">
        <w:t>.</w:t>
      </w:r>
    </w:p>
    <w:p w14:paraId="71B350B6" w14:textId="77777777" w:rsidR="00C67F65" w:rsidRPr="00B965C4" w:rsidRDefault="00C67F65" w:rsidP="00C67F65"/>
    <w:p w14:paraId="072C4191" w14:textId="14DF0889" w:rsidR="00C67F65" w:rsidRDefault="00C67F65" w:rsidP="00C67F65">
      <w:pPr>
        <w:pStyle w:val="Nadpis3"/>
      </w:pPr>
      <w:bookmarkStart w:id="9" w:name="_Toc165492878"/>
      <w:r>
        <w:lastRenderedPageBreak/>
        <w:t>3.1.2</w:t>
      </w:r>
      <w:r>
        <w:tab/>
        <w:t>II. fáze biotransformace</w:t>
      </w:r>
      <w:bookmarkEnd w:id="9"/>
    </w:p>
    <w:p w14:paraId="010EEC5C" w14:textId="712B5D2C" w:rsidR="00DA17CA" w:rsidRDefault="00C67F65" w:rsidP="00C67F65">
      <w:r>
        <w:tab/>
        <w:t xml:space="preserve">Fáze, která následuje po I. fázi biotransformace, je založena hlavně na konjugačních reakcích. Těm podléhá </w:t>
      </w:r>
      <w:proofErr w:type="spellStart"/>
      <w:r>
        <w:t>xenobiotikum</w:t>
      </w:r>
      <w:proofErr w:type="spellEnd"/>
      <w:r>
        <w:t>, které prošlo I. fází biotransformace</w:t>
      </w:r>
      <w:r w:rsidR="00385938">
        <w:t>,</w:t>
      </w:r>
      <w:r>
        <w:t xml:space="preserve"> nebo </w:t>
      </w:r>
      <w:proofErr w:type="spellStart"/>
      <w:r>
        <w:t>xenobiotikum</w:t>
      </w:r>
      <w:proofErr w:type="spellEnd"/>
      <w:r>
        <w:t xml:space="preserve">, které již ve své chemické struktuře obsahuje potřebné polární funkční skupiny. Díky vzniku konjugátu, kdy se na polární skupiny </w:t>
      </w:r>
      <w:proofErr w:type="spellStart"/>
      <w:r>
        <w:t>xenobiotika</w:t>
      </w:r>
      <w:proofErr w:type="spellEnd"/>
      <w:r>
        <w:t xml:space="preserve"> naváže endogenní </w:t>
      </w:r>
      <w:r w:rsidR="00F473F1">
        <w:t>skupina</w:t>
      </w:r>
      <w:r>
        <w:t>, se</w:t>
      </w:r>
      <w:r w:rsidR="00920A4D">
        <w:t xml:space="preserve"> metabolizovaná</w:t>
      </w:r>
      <w:r>
        <w:t xml:space="preserve"> látka stává polárnější a rozpustnější ve vodě</w:t>
      </w:r>
      <w:r w:rsidR="00CB6E21">
        <w:t>,</w:t>
      </w:r>
      <w:r w:rsidR="00D173ED">
        <w:t xml:space="preserve"> a</w:t>
      </w:r>
      <w:r w:rsidR="00CB6E21">
        <w:t xml:space="preserve"> n</w:t>
      </w:r>
      <w:r w:rsidR="00D64295" w:rsidRPr="00D64295">
        <w:t xml:space="preserve">ásledně je možné </w:t>
      </w:r>
      <w:r w:rsidR="00CB6E21">
        <w:t xml:space="preserve">ji </w:t>
      </w:r>
      <w:r w:rsidR="00D64295" w:rsidRPr="00D64295">
        <w:t xml:space="preserve">vyloučit </w:t>
      </w:r>
      <w:r w:rsidR="00CB6E21">
        <w:t>z těla</w:t>
      </w:r>
      <w:r w:rsidR="00D64295">
        <w:t>.</w:t>
      </w:r>
      <w:r>
        <w:t xml:space="preserve"> Konjugačními látkami jsou hydrofilní sloučeniny, např. kyselina </w:t>
      </w:r>
      <w:proofErr w:type="spellStart"/>
      <w:r>
        <w:t>glukuronová</w:t>
      </w:r>
      <w:proofErr w:type="spellEnd"/>
      <w:r>
        <w:t>, sulfát, glutation či aminokyseliny. Jelikož se jedná o chemické reakce, při kterých dochází k</w:t>
      </w:r>
      <w:r w:rsidR="009673CA">
        <w:t xml:space="preserve"> </w:t>
      </w:r>
      <w:r>
        <w:t>syntéze dvou různých chemických struktur, je nutné, aby tento děj byl katalyzován transferázami</w:t>
      </w:r>
      <w:r w:rsidR="00943D12">
        <w:t xml:space="preserve"> </w:t>
      </w:r>
      <w:r w:rsidR="001B4BBC">
        <w:t>(</w:t>
      </w:r>
      <w:proofErr w:type="spellStart"/>
      <w:r w:rsidR="001B4BBC">
        <w:t>Katzung</w:t>
      </w:r>
      <w:proofErr w:type="spellEnd"/>
      <w:r w:rsidR="001B4BBC">
        <w:t>, 2018)</w:t>
      </w:r>
      <w:r>
        <w:t>.</w:t>
      </w:r>
    </w:p>
    <w:p w14:paraId="317506EC" w14:textId="715DE0FD" w:rsidR="00164B47" w:rsidRDefault="00C67F65" w:rsidP="00DA17CA">
      <w:pPr>
        <w:ind w:firstLine="708"/>
      </w:pPr>
      <w:r>
        <w:t xml:space="preserve">Známými transferázami </w:t>
      </w:r>
      <w:r w:rsidR="005C356C">
        <w:t xml:space="preserve">zapojenými do II. fáze biotransformace </w:t>
      </w:r>
      <w:r>
        <w:t>jsou</w:t>
      </w:r>
      <w:r w:rsidR="002B13D2">
        <w:br/>
      </w:r>
      <w:r>
        <w:t>např. UDP-</w:t>
      </w:r>
      <w:proofErr w:type="spellStart"/>
      <w:r>
        <w:t>glukuronosyltransferázy</w:t>
      </w:r>
      <w:proofErr w:type="spellEnd"/>
      <w:r>
        <w:t xml:space="preserve"> (UGT), </w:t>
      </w:r>
      <w:proofErr w:type="spellStart"/>
      <w:r>
        <w:t>sulfotransferázy</w:t>
      </w:r>
      <w:proofErr w:type="spellEnd"/>
      <w:r>
        <w:t xml:space="preserve"> (SULT), N-</w:t>
      </w:r>
      <w:proofErr w:type="spellStart"/>
      <w:r>
        <w:t>acetyltranferázy</w:t>
      </w:r>
      <w:proofErr w:type="spellEnd"/>
      <w:r>
        <w:t xml:space="preserve"> (NAT) či glutation S-transferázy (GST). Savčí UGT jsou rozděleny do </w:t>
      </w:r>
      <w:r w:rsidR="005C440B">
        <w:t>2</w:t>
      </w:r>
      <w:r>
        <w:t xml:space="preserve"> rodin, UGT1 a UGT2, ty se dále rozdělují na </w:t>
      </w:r>
      <w:proofErr w:type="spellStart"/>
      <w:r>
        <w:t>podrodiny</w:t>
      </w:r>
      <w:proofErr w:type="spellEnd"/>
      <w:r>
        <w:t xml:space="preserve"> UGT1A, UGT2A a UGT2B </w:t>
      </w:r>
      <w:r>
        <w:fldChar w:fldCharType="begin"/>
      </w:r>
      <w:r w:rsidR="00C41CE8">
        <w:instrText xml:space="preserve"> ADDIN ZOTERO_ITEM CSL_CITATION {"citationID":"TtwlysnM","properties":{"formattedCitation":"(Mackenzie {\\i{}et al.}, 2005)","plainCitation":"(Mackenzie et al., 2005)","noteIndex":0},"citationItems":[{"id":118,"uris":["http://zotero.org/users/local/UB9PtTOS/items/RBZHNMZX"],"itemData":{"id":118,"type":"article-journal","container-title":"Pharmacogenetics and Genomics","DOI":"10.1097/01.fpc.0000173483.13689.56","ISSN":"1744-6872","issue":"10","language":"en","page":"677-685","source":"DOI.org (Crossref)","title":"Nomenclature update for the mammalian UDP glycosyltransferase (UGT) gene superfamily","volume":"15","author":[{"family":"Mackenzie","given":"Peter I."},{"family":"Walter Bock","given":"Karl"},{"family":"Burchell","given":"Brian"},{"family":"Guillemette","given":"Chantal"},{"family":"Ikushiro","given":"Shin-ichi"},{"family":"Iyanagi","given":"Takashi"},{"family":"Miners","given":"John O."},{"family":"Owens","given":"Ida S."},{"family":"Nebert","given":"Daniel W."}],"issued":{"date-parts":[["2005",10]]}}}],"schema":"https://github.com/citation-style-language/schema/raw/master/csl-citation.json"} </w:instrText>
      </w:r>
      <w:r>
        <w:fldChar w:fldCharType="separate"/>
      </w:r>
      <w:r w:rsidR="00C41CE8" w:rsidRPr="00C41CE8">
        <w:rPr>
          <w:kern w:val="0"/>
        </w:rPr>
        <w:t xml:space="preserve">(Mackenzie </w:t>
      </w:r>
      <w:r w:rsidR="00C41CE8" w:rsidRPr="00C41CE8">
        <w:rPr>
          <w:i/>
          <w:iCs/>
          <w:kern w:val="0"/>
        </w:rPr>
        <w:t>et al.</w:t>
      </w:r>
      <w:r w:rsidR="00C41CE8" w:rsidRPr="00C41CE8">
        <w:rPr>
          <w:kern w:val="0"/>
        </w:rPr>
        <w:t>, 2005)</w:t>
      </w:r>
      <w:r>
        <w:fldChar w:fldCharType="end"/>
      </w:r>
      <w:r>
        <w:t xml:space="preserve">. Transferázy UGT katalyzují navázání </w:t>
      </w:r>
      <w:proofErr w:type="spellStart"/>
      <w:r>
        <w:t>glukuronové</w:t>
      </w:r>
      <w:proofErr w:type="spellEnd"/>
      <w:r>
        <w:t xml:space="preserve"> kyseliny na hydroxylovou, karboxylovou nebo aminoskupinu exogenní hydrofobní látky. Donorem </w:t>
      </w:r>
      <w:proofErr w:type="spellStart"/>
      <w:r>
        <w:t>glukuronové</w:t>
      </w:r>
      <w:proofErr w:type="spellEnd"/>
      <w:r>
        <w:t xml:space="preserve"> kyseliny je kyselina uridin-5'-difosfoglukuronová (UDPGA) </w:t>
      </w:r>
      <w:r>
        <w:fldChar w:fldCharType="begin"/>
      </w:r>
      <w:r w:rsidR="00C41CE8">
        <w:instrText xml:space="preserve"> ADDIN ZOTERO_ITEM CSL_CITATION {"citationID":"k2LTM3eO","properties":{"formattedCitation":"(Oda {\\i{}et al.}, 2015)","plainCitation":"(Oda et al., 2015)","noteIndex":0},"citationItems":[{"id":117,"uris":["http://zotero.org/users/local/UB9PtTOS/items/NJLWDI2E"],"itemData":{"id":117,"type":"article-journal","container-title":"Drug Metabolism and Pharmacokinetics","DOI":"10.1016/j.dmpk.2014.12.001","ISSN":"13474367","issue":"1","journalAbbreviation":"Drug Metabolism and Pharmacokinetics","language":"en","license":"https://www.elsevier.com/tdm/userlicense/1.0/","page":"30-51","source":"DOI.org (Crossref)","title":"A comprehensive review of UDP-glucuronosyltransferase and esterases for drug development","volume":"30","author":[{"family":"Oda","given":"Shingo"},{"family":"Fukami","given":"Tatsuki"},{"family":"Yokoi","given":"Tsuyoshi"},{"family":"Nakajima","given":"Miki"}],"issued":{"date-parts":[["2015",2]]}}}],"schema":"https://github.com/citation-style-language/schema/raw/master/csl-citation.json"} </w:instrText>
      </w:r>
      <w:r>
        <w:fldChar w:fldCharType="separate"/>
      </w:r>
      <w:r w:rsidR="00C41CE8" w:rsidRPr="00C41CE8">
        <w:rPr>
          <w:kern w:val="0"/>
        </w:rPr>
        <w:t xml:space="preserve">(Oda </w:t>
      </w:r>
      <w:r w:rsidR="00C41CE8" w:rsidRPr="00C41CE8">
        <w:rPr>
          <w:i/>
          <w:iCs/>
          <w:kern w:val="0"/>
        </w:rPr>
        <w:t>et al.</w:t>
      </w:r>
      <w:r w:rsidR="00C41CE8" w:rsidRPr="00C41CE8">
        <w:rPr>
          <w:kern w:val="0"/>
        </w:rPr>
        <w:t>, 2015)</w:t>
      </w:r>
      <w:r>
        <w:fldChar w:fldCharType="end"/>
      </w:r>
      <w:r>
        <w:t>.</w:t>
      </w:r>
      <w:r w:rsidR="00416798">
        <w:t xml:space="preserve"> L</w:t>
      </w:r>
      <w:r w:rsidR="00FB0E42">
        <w:t>idsk</w:t>
      </w:r>
      <w:r w:rsidR="00416798">
        <w:t>é</w:t>
      </w:r>
      <w:r w:rsidR="00FB0E42">
        <w:t xml:space="preserve"> SULT se sklád</w:t>
      </w:r>
      <w:r w:rsidR="00416798">
        <w:t>ají</w:t>
      </w:r>
      <w:r w:rsidR="00FB0E42">
        <w:t xml:space="preserve"> </w:t>
      </w:r>
      <w:r w:rsidR="00416798">
        <w:t xml:space="preserve">ze </w:t>
      </w:r>
      <w:r w:rsidR="005C440B">
        <w:t>4</w:t>
      </w:r>
      <w:r w:rsidR="00416798">
        <w:t xml:space="preserve"> rodin</w:t>
      </w:r>
      <w:r w:rsidR="00B45DE3">
        <w:t>, SULT1, SULT2, SULT4 a SULT6.</w:t>
      </w:r>
      <w:r w:rsidR="00745B61">
        <w:t xml:space="preserve"> Rodina SULT1</w:t>
      </w:r>
      <w:r w:rsidR="005C440B">
        <w:t xml:space="preserve"> obsahuje 8 členů</w:t>
      </w:r>
      <w:r w:rsidR="00C00752">
        <w:t>, z čehož SULT1A1</w:t>
      </w:r>
      <w:r w:rsidR="00FB2C5F">
        <w:br/>
      </w:r>
      <w:r w:rsidR="00C00752">
        <w:t>a SULT1B1 jsou považovány za významné enzymy</w:t>
      </w:r>
      <w:r w:rsidR="00C4390B">
        <w:t xml:space="preserve"> zapojené v</w:t>
      </w:r>
      <w:r w:rsidR="00C53670">
        <w:t xml:space="preserve"> </w:t>
      </w:r>
      <w:r w:rsidR="00C4390B">
        <w:t xml:space="preserve">metabolismu </w:t>
      </w:r>
      <w:proofErr w:type="spellStart"/>
      <w:r w:rsidR="00C4390B">
        <w:t>xenobiotik</w:t>
      </w:r>
      <w:proofErr w:type="spellEnd"/>
      <w:r w:rsidR="00CA1FB2">
        <w:t xml:space="preserve"> </w:t>
      </w:r>
      <w:r w:rsidR="00CA1FB2">
        <w:fldChar w:fldCharType="begin"/>
      </w:r>
      <w:r w:rsidR="00CA1FB2">
        <w:instrText xml:space="preserve"> ADDIN ZOTERO_ITEM CSL_CITATION {"citationID":"9qT58h8G","properties":{"formattedCitation":"(Coughtrie, 2016)","plainCitation":"(Coughtrie, 2016)","noteIndex":0},"citationItems":[{"id":211,"uris":["http://zotero.org/users/local/UB9PtTOS/items/LVG6CZHM"],"itemData":{"id":211,"type":"article-journal","container-title":"Chemico-Biological Interactions","DOI":"10.1016/j.cbi.2016.05.005","ISSN":"00092797","journalAbbreviation":"Chemico-Biological Interactions","language":"en","page":"2-7","source":"DOI.org (Crossref)","title":"Function and organization of the human cytosolic sulfotransferase (SULT) family","volume":"259","author":[{"family":"Coughtrie","given":"Michael W.H."}],"issued":{"date-parts":[["2016",11]]}}}],"schema":"https://github.com/citation-style-language/schema/raw/master/csl-citation.json"} </w:instrText>
      </w:r>
      <w:r w:rsidR="00CA1FB2">
        <w:fldChar w:fldCharType="separate"/>
      </w:r>
      <w:r w:rsidR="00CA1FB2" w:rsidRPr="00CA1FB2">
        <w:t>(Coughtrie, 2016)</w:t>
      </w:r>
      <w:r w:rsidR="00CA1FB2">
        <w:fldChar w:fldCharType="end"/>
      </w:r>
      <w:r w:rsidR="00C4390B">
        <w:t xml:space="preserve">. SULT1A1 a SULT1B1 </w:t>
      </w:r>
      <w:r w:rsidR="00A7502A">
        <w:t xml:space="preserve">tvoří skoro 70 % </w:t>
      </w:r>
      <w:proofErr w:type="spellStart"/>
      <w:r w:rsidR="00A7502A">
        <w:t>sulfotransferáz</w:t>
      </w:r>
      <w:proofErr w:type="spellEnd"/>
      <w:r w:rsidR="00A7502A">
        <w:t xml:space="preserve"> přítomných v</w:t>
      </w:r>
      <w:r w:rsidR="00C53670">
        <w:t xml:space="preserve"> </w:t>
      </w:r>
      <w:r w:rsidR="00A7502A">
        <w:t>játrech</w:t>
      </w:r>
      <w:r w:rsidR="00846B22">
        <w:t xml:space="preserve"> </w:t>
      </w:r>
      <w:r w:rsidR="006836D7">
        <w:fldChar w:fldCharType="begin"/>
      </w:r>
      <w:r w:rsidR="006836D7">
        <w:instrText xml:space="preserve"> ADDIN ZOTERO_ITEM CSL_CITATION {"citationID":"5TlCqkrj","properties":{"formattedCitation":"(Riches {\\i{}et al.}, 2009)","plainCitation":"(Riches et al., 2009)","noteIndex":0},"citationItems":[{"id":212,"uris":["http://zotero.org/users/local/UB9PtTOS/items/FSUTJ5JV"],"itemData":{"id":212,"type":"article-journal","container-title":"Drug Metabolism and Disposition","DOI":"10.1124/dmd.109.028399","ISSN":"0090-9556, 1521-009X","issue":"11","journalAbbreviation":"Drug Metab Dispos","language":"en","page":"2255-2261","source":"DOI.org (Crossref)","title":"Quantitative Evaluation of the Expression and Activity of Five Major Sulfotransferases (SULTs) in Human Tissues: The SULT “Pie”","title-short":"Quantitative Evaluation of the Expression and Activity of Five Major Sulfotransferases (SULTs) in Human Tissues","volume":"37","author":[{"family":"Riches","given":"Zoe"},{"family":"Stanley","given":"Emma L."},{"family":"Bloomer","given":"Jackie C."},{"family":"Coughtrie","given":"Michael W. H."}],"issued":{"date-parts":[["2009",11]]}}}],"schema":"https://github.com/citation-style-language/schema/raw/master/csl-citation.json"} </w:instrText>
      </w:r>
      <w:r w:rsidR="006836D7">
        <w:fldChar w:fldCharType="separate"/>
      </w:r>
      <w:r w:rsidR="006836D7" w:rsidRPr="006836D7">
        <w:rPr>
          <w:kern w:val="0"/>
        </w:rPr>
        <w:t xml:space="preserve">(Riches </w:t>
      </w:r>
      <w:r w:rsidR="006836D7" w:rsidRPr="006836D7">
        <w:rPr>
          <w:i/>
          <w:iCs/>
          <w:kern w:val="0"/>
        </w:rPr>
        <w:t>et al.</w:t>
      </w:r>
      <w:r w:rsidR="006836D7" w:rsidRPr="006836D7">
        <w:rPr>
          <w:kern w:val="0"/>
        </w:rPr>
        <w:t>, 2009)</w:t>
      </w:r>
      <w:r w:rsidR="006836D7">
        <w:fldChar w:fldCharType="end"/>
      </w:r>
      <w:r w:rsidR="00A7502A">
        <w:t>.</w:t>
      </w:r>
      <w:r w:rsidR="00BE0068">
        <w:t xml:space="preserve"> </w:t>
      </w:r>
      <w:r w:rsidR="00E42565" w:rsidRPr="00E42565">
        <w:t>SULT</w:t>
      </w:r>
      <w:r w:rsidR="00E42565">
        <w:t xml:space="preserve"> </w:t>
      </w:r>
      <w:r w:rsidR="00E42565" w:rsidRPr="00E42565">
        <w:t xml:space="preserve">jsou zodpovědné za přenos </w:t>
      </w:r>
      <w:proofErr w:type="spellStart"/>
      <w:r w:rsidR="00E42565" w:rsidRPr="00E42565">
        <w:t>sulfonátové</w:t>
      </w:r>
      <w:proofErr w:type="spellEnd"/>
      <w:r w:rsidR="00E42565" w:rsidRPr="00E42565">
        <w:t xml:space="preserve"> skupiny</w:t>
      </w:r>
      <w:r w:rsidR="00FB2C5F">
        <w:br/>
      </w:r>
      <w:r w:rsidR="00E42565" w:rsidRPr="00E42565">
        <w:t>z donorové molekuly 3′-fosfoadenozin</w:t>
      </w:r>
      <w:r w:rsidR="00275106">
        <w:t>-</w:t>
      </w:r>
      <w:r w:rsidR="00E42565" w:rsidRPr="00E42565">
        <w:t>5′-fosfosulfátu (PAPS) na hydroxylové či amino</w:t>
      </w:r>
      <w:r w:rsidR="00AE092C">
        <w:t>vé</w:t>
      </w:r>
      <w:r w:rsidR="00E42565" w:rsidRPr="00E42565">
        <w:t xml:space="preserve"> skupiny lipofilní molekuly</w:t>
      </w:r>
      <w:r w:rsidR="000D45AE">
        <w:t xml:space="preserve"> </w:t>
      </w:r>
      <w:r w:rsidR="000D45AE">
        <w:fldChar w:fldCharType="begin"/>
      </w:r>
      <w:r w:rsidR="000D45AE">
        <w:instrText xml:space="preserve"> ADDIN ZOTERO_ITEM CSL_CITATION {"citationID":"l75V3PYs","properties":{"formattedCitation":"(Falany, 1997)","plainCitation":"(Falany, 1997)","noteIndex":0},"citationItems":[{"id":45,"uris":["http://zotero.org/users/local/UB9PtTOS/items/WC2T6FLK"],"itemData":{"id":45,"type":"article-journal","container-title":"The FASEB Journal","DOI":"10.1096/fasebj.11.4.9068609","ISSN":"0892-6638, 1530-6860","issue":"4","journalAbbreviation":"FASEB j.","language":"en","page":"206-216","source":"DOI.org (Crossref)","title":"Enzymology of human cytosolic sulfotransferases","volume":"11","author":[{"family":"Falany","given":"Charles N."}],"issued":{"date-parts":[["1997",3]]}}}],"schema":"https://github.com/citation-style-language/schema/raw/master/csl-citation.json"} </w:instrText>
      </w:r>
      <w:r w:rsidR="000D45AE">
        <w:fldChar w:fldCharType="separate"/>
      </w:r>
      <w:r w:rsidR="000D45AE" w:rsidRPr="000D45AE">
        <w:t>(Falany, 1997)</w:t>
      </w:r>
      <w:r w:rsidR="000D45AE">
        <w:fldChar w:fldCharType="end"/>
      </w:r>
      <w:r w:rsidR="00CD378E">
        <w:t>.</w:t>
      </w:r>
    </w:p>
    <w:p w14:paraId="62620948" w14:textId="77777777" w:rsidR="00C67F65" w:rsidRDefault="00C67F65" w:rsidP="00C67F65"/>
    <w:p w14:paraId="660B06D1" w14:textId="6CE98BC6" w:rsidR="00C67F65" w:rsidRDefault="00C67F65" w:rsidP="00C67F65">
      <w:pPr>
        <w:pStyle w:val="Nadpis3"/>
      </w:pPr>
      <w:bookmarkStart w:id="10" w:name="_Toc165492879"/>
      <w:r>
        <w:t>3.1.3</w:t>
      </w:r>
      <w:r>
        <w:tab/>
        <w:t>III. fáze biotransformace</w:t>
      </w:r>
      <w:bookmarkEnd w:id="10"/>
    </w:p>
    <w:p w14:paraId="19F534B5" w14:textId="0D398FF4" w:rsidR="00ED0B19" w:rsidRDefault="00C67F65" w:rsidP="00C94D8D">
      <w:r>
        <w:tab/>
        <w:t>Při poslední fázi biotransformace je nutno již polarizované a konjugované látky transportovat z</w:t>
      </w:r>
      <w:r w:rsidR="003070F0">
        <w:t xml:space="preserve"> </w:t>
      </w:r>
      <w:r>
        <w:t>buňky a následně</w:t>
      </w:r>
      <w:r w:rsidR="007749D7">
        <w:t xml:space="preserve"> </w:t>
      </w:r>
      <w:r>
        <w:t>z</w:t>
      </w:r>
      <w:r w:rsidR="007F20D6">
        <w:t xml:space="preserve"> </w:t>
      </w:r>
      <w:r>
        <w:t>organismu. Na rozdíl od I. a II. fáze zde nedochází k chemické přeměně látek. Hlavními proteiny zapojujícími se do této fáze jsou transportéry</w:t>
      </w:r>
      <w:r w:rsidR="00FB2C5F">
        <w:br/>
      </w:r>
      <w:r>
        <w:t>a membránové přenašeče, které jsou rozmístěny v</w:t>
      </w:r>
      <w:r w:rsidR="003070F0">
        <w:t xml:space="preserve"> </w:t>
      </w:r>
      <w:r>
        <w:t>různých tkáních a orgánech, např. v</w:t>
      </w:r>
      <w:r w:rsidR="003070F0">
        <w:t xml:space="preserve"> </w:t>
      </w:r>
      <w:r>
        <w:t>játrech, střevě, ledvinách či mozku.</w:t>
      </w:r>
      <w:r w:rsidR="00416B87">
        <w:t xml:space="preserve"> </w:t>
      </w:r>
      <w:r w:rsidR="00E2283E">
        <w:t xml:space="preserve">Transport rozlišujeme </w:t>
      </w:r>
      <w:proofErr w:type="spellStart"/>
      <w:r w:rsidR="00E2283E">
        <w:t>influxní</w:t>
      </w:r>
      <w:proofErr w:type="spellEnd"/>
      <w:r w:rsidR="00612CEB">
        <w:t>, tedy směrem dovnitř buňky</w:t>
      </w:r>
      <w:r w:rsidR="00C6004F">
        <w:t>,</w:t>
      </w:r>
      <w:r w:rsidR="00FB2C5F">
        <w:br/>
      </w:r>
      <w:r w:rsidR="00C6004F">
        <w:t xml:space="preserve">a </w:t>
      </w:r>
      <w:proofErr w:type="spellStart"/>
      <w:r w:rsidR="00C6004F">
        <w:t>efluxní</w:t>
      </w:r>
      <w:proofErr w:type="spellEnd"/>
      <w:r w:rsidR="00C6004F">
        <w:t>, směrem</w:t>
      </w:r>
      <w:r w:rsidR="005C3408">
        <w:t xml:space="preserve"> ven </w:t>
      </w:r>
      <w:r w:rsidR="00C6004F">
        <w:t>z</w:t>
      </w:r>
      <w:r w:rsidR="007F20D6">
        <w:t xml:space="preserve"> </w:t>
      </w:r>
      <w:r w:rsidR="00C6004F">
        <w:t>buňky.</w:t>
      </w:r>
      <w:r w:rsidR="00C94D8D">
        <w:t xml:space="preserve"> </w:t>
      </w:r>
      <w:r>
        <w:t xml:space="preserve">Transportéry rozdělujeme do dvou </w:t>
      </w:r>
      <w:r w:rsidR="003774FE">
        <w:t xml:space="preserve">základních </w:t>
      </w:r>
      <w:r>
        <w:t>velkých</w:t>
      </w:r>
      <w:r w:rsidR="00FB2C5F">
        <w:br/>
      </w:r>
      <w:r w:rsidR="003774FE">
        <w:t>skupin</w:t>
      </w:r>
      <w:r>
        <w:t xml:space="preserve"> – SLC (</w:t>
      </w:r>
      <w:proofErr w:type="spellStart"/>
      <w:r>
        <w:t>solute</w:t>
      </w:r>
      <w:proofErr w:type="spellEnd"/>
      <w:r>
        <w:t xml:space="preserve"> </w:t>
      </w:r>
      <w:proofErr w:type="spellStart"/>
      <w:r>
        <w:t>carrier</w:t>
      </w:r>
      <w:proofErr w:type="spellEnd"/>
      <w:r>
        <w:t>) a</w:t>
      </w:r>
      <w:r w:rsidR="007F20D6">
        <w:t xml:space="preserve"> </w:t>
      </w:r>
      <w:r>
        <w:t>ABC transportéry (ATP-</w:t>
      </w:r>
      <w:proofErr w:type="spellStart"/>
      <w:r>
        <w:t>binding</w:t>
      </w:r>
      <w:proofErr w:type="spellEnd"/>
      <w:r>
        <w:t xml:space="preserve"> </w:t>
      </w:r>
      <w:proofErr w:type="spellStart"/>
      <w:r>
        <w:t>cassette</w:t>
      </w:r>
      <w:proofErr w:type="spellEnd"/>
      <w:r>
        <w:t>).</w:t>
      </w:r>
    </w:p>
    <w:p w14:paraId="50115CD6" w14:textId="1EF2C4E3" w:rsidR="00C67F65" w:rsidRDefault="00E9268C" w:rsidP="000A626D">
      <w:pPr>
        <w:ind w:firstLine="708"/>
      </w:pPr>
      <w:r>
        <w:lastRenderedPageBreak/>
        <w:t>Do rodiny SLC</w:t>
      </w:r>
      <w:r w:rsidR="000D2309">
        <w:t xml:space="preserve"> transportérů </w:t>
      </w:r>
      <w:proofErr w:type="gramStart"/>
      <w:r w:rsidR="000D2309">
        <w:t>patří</w:t>
      </w:r>
      <w:proofErr w:type="gramEnd"/>
      <w:r w:rsidR="000D2309">
        <w:t xml:space="preserve"> </w:t>
      </w:r>
      <w:r w:rsidR="00617FAE">
        <w:t>organické kationové transportéry (OCT)</w:t>
      </w:r>
      <w:r w:rsidR="000D3602">
        <w:t>, organické anionové transportující polypeptidy (OATP)</w:t>
      </w:r>
      <w:r w:rsidR="006E2475">
        <w:t xml:space="preserve">, </w:t>
      </w:r>
      <w:r w:rsidR="00063F36">
        <w:t>organické anionové transportéry (OAT)</w:t>
      </w:r>
      <w:r w:rsidR="008129B4">
        <w:br/>
      </w:r>
      <w:r w:rsidR="00AB66B9">
        <w:t xml:space="preserve">a </w:t>
      </w:r>
      <w:r w:rsidR="00CB1675">
        <w:t>„</w:t>
      </w:r>
      <w:proofErr w:type="spellStart"/>
      <w:r w:rsidR="00BF49B6">
        <w:t>multidrug</w:t>
      </w:r>
      <w:proofErr w:type="spellEnd"/>
      <w:r w:rsidR="00BF49B6">
        <w:t xml:space="preserve"> a</w:t>
      </w:r>
      <w:r w:rsidR="002A1985">
        <w:t>nd</w:t>
      </w:r>
      <w:r w:rsidR="00BF49B6">
        <w:t xml:space="preserve"> </w:t>
      </w:r>
      <w:r w:rsidR="00B66448">
        <w:t xml:space="preserve">toxin </w:t>
      </w:r>
      <w:proofErr w:type="spellStart"/>
      <w:r w:rsidR="00B66448">
        <w:t>extrusion</w:t>
      </w:r>
      <w:proofErr w:type="spellEnd"/>
      <w:r w:rsidR="00CB1675">
        <w:t>“</w:t>
      </w:r>
      <w:r w:rsidR="00CC34EF">
        <w:t xml:space="preserve"> transportéry</w:t>
      </w:r>
      <w:r w:rsidR="00B66448">
        <w:t xml:space="preserve"> (MATE).</w:t>
      </w:r>
      <w:r w:rsidR="000D3602">
        <w:t xml:space="preserve"> </w:t>
      </w:r>
      <w:r w:rsidR="005E703C">
        <w:t>Všechny tyto transportéry</w:t>
      </w:r>
      <w:r w:rsidR="0075086D">
        <w:t xml:space="preserve"> </w:t>
      </w:r>
      <w:r w:rsidR="00BD3289">
        <w:t xml:space="preserve">zprostředkovávají </w:t>
      </w:r>
      <w:proofErr w:type="spellStart"/>
      <w:r w:rsidR="00BD3289">
        <w:t>influxní</w:t>
      </w:r>
      <w:proofErr w:type="spellEnd"/>
      <w:r w:rsidR="00BD3289">
        <w:t xml:space="preserve"> transport látek</w:t>
      </w:r>
      <w:r w:rsidR="00BE0928">
        <w:t xml:space="preserve">. Výjimkou jsou </w:t>
      </w:r>
      <w:r w:rsidR="00FC5B1F">
        <w:t xml:space="preserve">transportéry MATE, které zprostředkovávají transport </w:t>
      </w:r>
      <w:proofErr w:type="spellStart"/>
      <w:r w:rsidR="00FC5B1F">
        <w:t>efluxní</w:t>
      </w:r>
      <w:proofErr w:type="spellEnd"/>
      <w:r w:rsidR="00FC5B1F">
        <w:t xml:space="preserve">. </w:t>
      </w:r>
      <w:r w:rsidR="00C67F65">
        <w:t>SLC transportéry přenáší skrze buněčnou membránu rozmanité množství látek, např. cukry, aminokyseliny, vitam</w:t>
      </w:r>
      <w:r w:rsidR="009D2D47">
        <w:t>í</w:t>
      </w:r>
      <w:r w:rsidR="00C67F65">
        <w:t xml:space="preserve">ny a mnoho dalších. </w:t>
      </w:r>
      <w:r w:rsidR="006F0836">
        <w:t xml:space="preserve">Proteiny skupiny OATP plní funkci přenosu </w:t>
      </w:r>
      <w:proofErr w:type="spellStart"/>
      <w:r w:rsidR="006F0836">
        <w:t>amfifilních</w:t>
      </w:r>
      <w:proofErr w:type="spellEnd"/>
      <w:r w:rsidR="006F0836">
        <w:t xml:space="preserve"> organických sloučenin, např. </w:t>
      </w:r>
      <w:proofErr w:type="spellStart"/>
      <w:r w:rsidR="006F0836">
        <w:t>thyroidních</w:t>
      </w:r>
      <w:proofErr w:type="spellEnd"/>
      <w:r w:rsidR="006F0836">
        <w:t xml:space="preserve"> hormonů, žlučových kyselin a mnoha </w:t>
      </w:r>
      <w:proofErr w:type="spellStart"/>
      <w:r w:rsidR="006F0836">
        <w:t>xenobiotik</w:t>
      </w:r>
      <w:proofErr w:type="spellEnd"/>
      <w:r w:rsidR="006F0836">
        <w:t xml:space="preserve"> a léčiv </w:t>
      </w:r>
      <w:r w:rsidR="006F0836">
        <w:fldChar w:fldCharType="begin"/>
      </w:r>
      <w:r w:rsidR="006F0836">
        <w:instrText xml:space="preserve"> ADDIN ZOTERO_ITEM CSL_CITATION {"citationID":"QFh9D68a","properties":{"formattedCitation":"(Estudante {\\i{}et al.}, 2013)","plainCitation":"(Estudante et al., 2013)","noteIndex":0},"citationItems":[{"id":111,"uris":["http://zotero.org/users/local/UB9PtTOS/items/9RPJ4TKK"],"itemData":{"id":111,"type":"article-journal","container-title":"Advanced Drug Delivery Reviews","DOI":"10.1016/j.addr.2012.09.042","ISSN":"0169409X","issue":"10","journalAbbreviation":"Advanced Drug Delivery Reviews","language":"en","page":"1340-1356","source":"DOI.org (Crossref)","title":"Intestinal drug transporters: An overview","title-short":"Intestinal drug transporters","volume":"65","author":[{"family":"Estudante","given":"Margarida"},{"family":"Morais","given":"José G."},{"family":"Soveral","given":"Graça"},{"family":"Benet","given":"Leslie Z."}],"issued":{"date-parts":[["2013",10]]}}}],"schema":"https://github.com/citation-style-language/schema/raw/master/csl-citation.json"} </w:instrText>
      </w:r>
      <w:r w:rsidR="006F0836">
        <w:fldChar w:fldCharType="separate"/>
      </w:r>
      <w:r w:rsidR="006F0836" w:rsidRPr="00C41CE8">
        <w:rPr>
          <w:kern w:val="0"/>
        </w:rPr>
        <w:t xml:space="preserve">(Estudante </w:t>
      </w:r>
      <w:r w:rsidR="006F0836" w:rsidRPr="00C41CE8">
        <w:rPr>
          <w:i/>
          <w:iCs/>
          <w:kern w:val="0"/>
        </w:rPr>
        <w:t>et al.</w:t>
      </w:r>
      <w:r w:rsidR="006F0836" w:rsidRPr="00C41CE8">
        <w:rPr>
          <w:kern w:val="0"/>
        </w:rPr>
        <w:t>, 2013)</w:t>
      </w:r>
      <w:r w:rsidR="006F0836">
        <w:fldChar w:fldCharType="end"/>
      </w:r>
      <w:r w:rsidR="006F0836">
        <w:t>. Látky, které jsou pozitivně nabité a odpovídají fyziologickému pH, jsou transportovány pomocí OCT</w:t>
      </w:r>
      <w:r w:rsidR="001C5DBE">
        <w:t>.</w:t>
      </w:r>
    </w:p>
    <w:p w14:paraId="485B773C" w14:textId="31CADE60" w:rsidR="00164B47" w:rsidRDefault="0032177A" w:rsidP="001D2E81">
      <w:pPr>
        <w:ind w:firstLine="708"/>
      </w:pPr>
      <w:r>
        <w:t xml:space="preserve">ABC transportéry zajišťují </w:t>
      </w:r>
      <w:proofErr w:type="spellStart"/>
      <w:r>
        <w:t>efluxní</w:t>
      </w:r>
      <w:proofErr w:type="spellEnd"/>
      <w:r>
        <w:t xml:space="preserve"> transport a to za energie čerpané z</w:t>
      </w:r>
      <w:r w:rsidR="0070032A">
        <w:t xml:space="preserve"> </w:t>
      </w:r>
      <w:r>
        <w:t xml:space="preserve">hydrolýzy ATP proti elektrochemickému gradientu </w:t>
      </w:r>
      <w:r>
        <w:fldChar w:fldCharType="begin"/>
      </w:r>
      <w:r>
        <w:instrText xml:space="preserve"> ADDIN ZOTERO_ITEM CSL_CITATION {"citationID":"F3Y1wkLf","properties":{"formattedCitation":"(Lin {\\i{}et al.}, 2015)","plainCitation":"(Lin et al., 2015)","noteIndex":0},"citationItems":[{"id":158,"uris":["http://zotero.org/users/local/UB9PtTOS/items/DPZSIQ3B"],"itemData":{"id":158,"type":"article-journal","container-title":"Nature Reviews Drug Discovery","DOI":"10.1038/nrd4626","ISSN":"1474-1776, 1474-1784","issue":"8","journalAbbreviation":"Nat Rev Drug Discov","language":"en","page":"543-560","source":"DOI.org (Crossref)","title":"SLC transporters as therapeutic targets: emerging opportunities","title-short":"SLC transporters as therapeutic targets","volume":"14","author":[{"family":"Lin","given":"Lawrence"},{"family":"Yee","given":"Sook Wah"},{"family":"Kim","given":"Richard B."},{"family":"Giacomini","given":"Kathleen M."}],"issued":{"date-parts":[["2015",8]]}}}],"schema":"https://github.com/citation-style-language/schema/raw/master/csl-citation.json"} </w:instrText>
      </w:r>
      <w:r>
        <w:fldChar w:fldCharType="separate"/>
      </w:r>
      <w:r w:rsidRPr="00A07F42">
        <w:rPr>
          <w:kern w:val="0"/>
        </w:rPr>
        <w:t xml:space="preserve">(Lin </w:t>
      </w:r>
      <w:r w:rsidRPr="00A07F42">
        <w:rPr>
          <w:i/>
          <w:iCs/>
          <w:kern w:val="0"/>
        </w:rPr>
        <w:t>et al.</w:t>
      </w:r>
      <w:r w:rsidRPr="00A07F42">
        <w:rPr>
          <w:kern w:val="0"/>
        </w:rPr>
        <w:t>, 2015)</w:t>
      </w:r>
      <w:r>
        <w:fldChar w:fldCharType="end"/>
      </w:r>
      <w:r>
        <w:t xml:space="preserve">. Lidský genom obsahuje 48 </w:t>
      </w:r>
      <w:r w:rsidRPr="0070032A">
        <w:t>genů</w:t>
      </w:r>
      <w:r w:rsidR="0070032A">
        <w:br/>
      </w:r>
      <w:r w:rsidRPr="0070032A">
        <w:t>pro</w:t>
      </w:r>
      <w:r w:rsidR="0070032A">
        <w:t xml:space="preserve"> </w:t>
      </w:r>
      <w:r>
        <w:t>ABC transportéry, které kódují 44 membránových transportérů. Mezi látky přenášené těmito transportéry řadíme hormony, vitam</w:t>
      </w:r>
      <w:r w:rsidR="009D2D47">
        <w:t>í</w:t>
      </w:r>
      <w:r>
        <w:t xml:space="preserve">ny, tuky, steroly, mastné kyseliny, peptidy a různá </w:t>
      </w:r>
      <w:proofErr w:type="spellStart"/>
      <w:r>
        <w:t>xenobiotika</w:t>
      </w:r>
      <w:proofErr w:type="spellEnd"/>
      <w:r>
        <w:t xml:space="preserve"> </w:t>
      </w:r>
      <w:r>
        <w:fldChar w:fldCharType="begin"/>
      </w:r>
      <w:r>
        <w:instrText xml:space="preserve"> ADDIN ZOTERO_ITEM CSL_CITATION {"citationID":"We5nOzd0","properties":{"formattedCitation":"(Alam and Locher, 2023)","plainCitation":"(Alam and Locher, 2023)","dontUpdate":true,"noteIndex":0},"citationItems":[{"id":119,"uris":["http://zotero.org/users/local/UB9PtTOS/items/IB6HZEDB"],"itemData":{"id":119,"type":"article-journal","abstract":"ABC transporters are essential for cellular physiology. Humans have 48 ABC genes organized into seven distinct families. Of these genes, 44 (in five distinct families) encode for membrane transporters, of which several are involved in drug resistance and disease pathways resulting from transporter dysfunction. Over the last decade, advances in structural biology have vastly expanded our mechanistic understanding of human ABC transporter function, revealing details of their molecular arrangement, regulation, and interactions, facilitated in large part by advances in cryo-EM that have rendered hitherto inaccessible targets amenable to high-resolution structural analysis. As a result, experimentally determined structures of multiple members of each of the five families of ABC transporters in humans are now available. Here we review this recent progress, highlighting the physiological relevance of human ABC transporters and mechanistic insights gleaned from their direct structure determination. We also discuss the impact and limitations of model systems and structure prediction methods in understanding human ABC transporters and discuss current challenges and future research directions.","container-title":"Annual Review of Biophysics","DOI":"10.1146/annurev-biophys-111622-091232","ISSN":"1936-122X, 1936-1238","issue":"1","journalAbbreviation":"Annu. Rev. Biophys.","language":"en","license":"http://creativecommons.org/licenses/by/4.0/","page":"275-300","source":"DOI.org (Crossref)","title":"Structure and Mechanism of Human ABC Transporters","volume":"52","author":[{"family":"Alam","given":"Amer"},{"family":"Locher","given":"Kaspar P."}],"issued":{"date-parts":[["2023",5,9]]}}}],"schema":"https://github.com/citation-style-language/schema/raw/master/csl-citation.json"} </w:instrText>
      </w:r>
      <w:r>
        <w:fldChar w:fldCharType="separate"/>
      </w:r>
      <w:r w:rsidRPr="00C41CE8">
        <w:t xml:space="preserve">(Alam </w:t>
      </w:r>
      <w:r>
        <w:rPr>
          <w:i/>
          <w:iCs/>
        </w:rPr>
        <w:t>et</w:t>
      </w:r>
      <w:r w:rsidRPr="00C41CE8">
        <w:t xml:space="preserve"> Locher, 2023)</w:t>
      </w:r>
      <w:r>
        <w:fldChar w:fldCharType="end"/>
      </w:r>
      <w:r>
        <w:t xml:space="preserve">. </w:t>
      </w:r>
      <w:r w:rsidR="00566292">
        <w:t>Skupina ABC transportérů</w:t>
      </w:r>
      <w:r w:rsidR="000F3E09">
        <w:t xml:space="preserve"> zahrnuje</w:t>
      </w:r>
      <w:r w:rsidR="004E3703">
        <w:t xml:space="preserve"> </w:t>
      </w:r>
      <w:r w:rsidR="0092039D">
        <w:t>P-glykoprotein</w:t>
      </w:r>
      <w:r w:rsidR="00023491">
        <w:t xml:space="preserve"> </w:t>
      </w:r>
      <w:proofErr w:type="spellStart"/>
      <w:r w:rsidR="00023491">
        <w:t>multidrug</w:t>
      </w:r>
      <w:proofErr w:type="spellEnd"/>
      <w:r w:rsidR="00023491">
        <w:t xml:space="preserve"> resist</w:t>
      </w:r>
      <w:r w:rsidR="004F66EA">
        <w:t>e</w:t>
      </w:r>
      <w:r w:rsidR="00023491">
        <w:t xml:space="preserve">nce </w:t>
      </w:r>
      <w:proofErr w:type="spellStart"/>
      <w:r w:rsidR="00375116">
        <w:t>transporter</w:t>
      </w:r>
      <w:proofErr w:type="spellEnd"/>
      <w:r w:rsidR="00023491">
        <w:t xml:space="preserve"> 1</w:t>
      </w:r>
      <w:r w:rsidR="009A3AFD">
        <w:t xml:space="preserve"> </w:t>
      </w:r>
      <w:r w:rsidR="00023491">
        <w:t>(MDR1)</w:t>
      </w:r>
      <w:r w:rsidR="009A3AFD">
        <w:t>,</w:t>
      </w:r>
      <w:r w:rsidR="00A02757">
        <w:t xml:space="preserve"> který</w:t>
      </w:r>
      <w:r w:rsidR="00A06E08">
        <w:t xml:space="preserve"> je nejvýznamnějším lékovým transportérem.</w:t>
      </w:r>
      <w:r w:rsidR="009545D7">
        <w:t xml:space="preserve"> Dále do této rodiny patří</w:t>
      </w:r>
      <w:r w:rsidR="00497A9F">
        <w:t xml:space="preserve"> </w:t>
      </w:r>
      <w:proofErr w:type="spellStart"/>
      <w:r w:rsidR="00584382">
        <w:t>multidrug</w:t>
      </w:r>
      <w:proofErr w:type="spellEnd"/>
      <w:r w:rsidR="00584382">
        <w:t xml:space="preserve"> resistence protein</w:t>
      </w:r>
      <w:r w:rsidR="00375116">
        <w:t>y</w:t>
      </w:r>
      <w:r w:rsidR="00584382">
        <w:t xml:space="preserve"> 1, 2 a 6 (</w:t>
      </w:r>
      <w:r w:rsidR="00497A9F">
        <w:t xml:space="preserve">MRP1, </w:t>
      </w:r>
      <w:r w:rsidR="00823BE1">
        <w:t>MRP</w:t>
      </w:r>
      <w:r w:rsidR="00497A9F">
        <w:t>2</w:t>
      </w:r>
      <w:r w:rsidR="00584382">
        <w:t xml:space="preserve">, </w:t>
      </w:r>
      <w:r w:rsidR="00823BE1">
        <w:t>MRP</w:t>
      </w:r>
      <w:r w:rsidR="00497A9F">
        <w:t>6</w:t>
      </w:r>
      <w:r w:rsidR="00584382">
        <w:t>)</w:t>
      </w:r>
      <w:r w:rsidR="00DD3C7B">
        <w:t xml:space="preserve"> </w:t>
      </w:r>
      <w:r w:rsidR="00DD3C7B">
        <w:fldChar w:fldCharType="begin"/>
      </w:r>
      <w:r w:rsidR="00385458">
        <w:instrText xml:space="preserve"> ADDIN ZOTERO_ITEM CSL_CITATION {"citationID":"WgfHrQgs","properties":{"formattedCitation":"(Lin and Yamazaki, 2003)","plainCitation":"(Lin and Yamazaki, 2003)","dontUpdate":true,"noteIndex":0},"citationItems":[{"id":110,"uris":["http://zotero.org/users/local/UB9PtTOS/items/JLH3ZV9T"],"itemData":{"id":110,"type":"article-journal","container-title":"Clinical Pharmacokinetics","DOI":"10.2165/00003088-200342010-00003","ISSN":"0312-5963","issue":"1","journalAbbreviation":"Clinical Pharmacokinetics","language":"en","page":"59-98","source":"DOI.org (Crossref)","title":"Role of P-Glycoprotein in Pharmacokinetics: Clinical Implications","title-short":"Role of P-Glycoprotein in Pharmacokinetics","volume":"42","author":[{"family":"Lin","given":"Jiunn H."},{"family":"Yamazaki","given":"Masayo"}],"issued":{"date-parts":[["2003"]]}}}],"schema":"https://github.com/citation-style-language/schema/raw/master/csl-citation.json"} </w:instrText>
      </w:r>
      <w:r w:rsidR="00DD3C7B">
        <w:fldChar w:fldCharType="separate"/>
      </w:r>
      <w:r w:rsidR="00DD3C7B" w:rsidRPr="00DD3C7B">
        <w:t xml:space="preserve">(Lin </w:t>
      </w:r>
      <w:r w:rsidR="00DD3C7B">
        <w:rPr>
          <w:i/>
          <w:iCs/>
        </w:rPr>
        <w:t>et</w:t>
      </w:r>
      <w:r w:rsidR="00DD3C7B" w:rsidRPr="00DD3C7B">
        <w:t xml:space="preserve"> Yamazaki, 2003)</w:t>
      </w:r>
      <w:r w:rsidR="00DD3C7B">
        <w:fldChar w:fldCharType="end"/>
      </w:r>
      <w:r w:rsidR="00DD3C7B">
        <w:t>.</w:t>
      </w:r>
    </w:p>
    <w:p w14:paraId="05AEB582" w14:textId="77777777" w:rsidR="000E27C0" w:rsidRPr="001D2E81" w:rsidRDefault="000E27C0" w:rsidP="000E27C0"/>
    <w:p w14:paraId="07D4C401" w14:textId="3AB9E58B" w:rsidR="00DB5238" w:rsidRDefault="00BC77A3" w:rsidP="00AE128A">
      <w:pPr>
        <w:pStyle w:val="Nadpis2"/>
      </w:pPr>
      <w:bookmarkStart w:id="11" w:name="_Toc165492880"/>
      <w:r>
        <w:t>3.</w:t>
      </w:r>
      <w:r w:rsidR="00C67F65">
        <w:t>2</w:t>
      </w:r>
      <w:r w:rsidR="001E37DC">
        <w:tab/>
      </w:r>
      <w:proofErr w:type="spellStart"/>
      <w:r w:rsidR="001E37DC">
        <w:t>Pregnanový</w:t>
      </w:r>
      <w:proofErr w:type="spellEnd"/>
      <w:r w:rsidR="001E37DC">
        <w:t xml:space="preserve"> X receptor</w:t>
      </w:r>
      <w:bookmarkEnd w:id="11"/>
    </w:p>
    <w:p w14:paraId="0795516E" w14:textId="69FD72C5" w:rsidR="00F55667" w:rsidRDefault="005624E1" w:rsidP="00AE128A">
      <w:r>
        <w:tab/>
      </w:r>
      <w:r w:rsidR="00260D3E">
        <w:t xml:space="preserve">Existence </w:t>
      </w:r>
      <w:proofErr w:type="spellStart"/>
      <w:r w:rsidR="00260D3E">
        <w:t>p</w:t>
      </w:r>
      <w:r>
        <w:t>regnanov</w:t>
      </w:r>
      <w:r w:rsidR="00260D3E">
        <w:t>ého</w:t>
      </w:r>
      <w:proofErr w:type="spellEnd"/>
      <w:r>
        <w:t xml:space="preserve"> X receptor</w:t>
      </w:r>
      <w:r w:rsidR="00260D3E">
        <w:t>u byla objevena roku</w:t>
      </w:r>
      <w:r w:rsidR="0027467C">
        <w:t xml:space="preserve"> 1998, kdy </w:t>
      </w:r>
      <w:r w:rsidR="009C4572">
        <w:t xml:space="preserve">byl </w:t>
      </w:r>
      <w:r w:rsidR="00802939">
        <w:t xml:space="preserve">nezávisle </w:t>
      </w:r>
      <w:r w:rsidR="009C4572">
        <w:t xml:space="preserve">klonován </w:t>
      </w:r>
      <w:r w:rsidR="00C601E6">
        <w:t xml:space="preserve">ve </w:t>
      </w:r>
      <w:r w:rsidR="00802939">
        <w:t xml:space="preserve">dvou </w:t>
      </w:r>
      <w:r w:rsidR="00C601E6">
        <w:t xml:space="preserve">laboratořích </w:t>
      </w:r>
      <w:r w:rsidR="00C601E6" w:rsidRPr="00802939">
        <w:t xml:space="preserve">– v laboratoři </w:t>
      </w:r>
      <w:r w:rsidR="00A677BF" w:rsidRPr="00802939">
        <w:t xml:space="preserve">Dr. </w:t>
      </w:r>
      <w:r w:rsidR="00C601E6" w:rsidRPr="00802939">
        <w:t>Stev</w:t>
      </w:r>
      <w:r w:rsidR="00A677BF" w:rsidRPr="00802939">
        <w:t>ena</w:t>
      </w:r>
      <w:r w:rsidR="007E5086" w:rsidRPr="00802939">
        <w:t xml:space="preserve"> </w:t>
      </w:r>
      <w:r w:rsidR="00A677BF" w:rsidRPr="00802939">
        <w:t xml:space="preserve">A. </w:t>
      </w:r>
      <w:proofErr w:type="spellStart"/>
      <w:r w:rsidR="007E5086" w:rsidRPr="00802939">
        <w:t>Kliewera</w:t>
      </w:r>
      <w:proofErr w:type="spellEnd"/>
      <w:r w:rsidR="00A677BF" w:rsidRPr="00802939">
        <w:t xml:space="preserve"> </w:t>
      </w:r>
      <w:r w:rsidR="00802939">
        <w:t xml:space="preserve">pod společností </w:t>
      </w:r>
      <w:proofErr w:type="spellStart"/>
      <w:r w:rsidR="00021CB7" w:rsidRPr="00802939">
        <w:t>Glaxo</w:t>
      </w:r>
      <w:proofErr w:type="spellEnd"/>
      <w:r w:rsidR="00021CB7" w:rsidRPr="00802939">
        <w:t xml:space="preserve"> </w:t>
      </w:r>
      <w:proofErr w:type="spellStart"/>
      <w:r w:rsidR="00021CB7" w:rsidRPr="00802939">
        <w:t>Wellcome</w:t>
      </w:r>
      <w:proofErr w:type="spellEnd"/>
      <w:r w:rsidR="001B3C74" w:rsidRPr="00802939">
        <w:t xml:space="preserve"> v</w:t>
      </w:r>
      <w:r w:rsidR="00B734CD">
        <w:t xml:space="preserve"> </w:t>
      </w:r>
      <w:r w:rsidR="001B3C74" w:rsidRPr="00802939">
        <w:t>Severní Karolíně</w:t>
      </w:r>
      <w:r w:rsidR="00021CB7" w:rsidRPr="00802939">
        <w:t xml:space="preserve"> a v</w:t>
      </w:r>
      <w:r w:rsidR="00B734CD">
        <w:t xml:space="preserve"> </w:t>
      </w:r>
      <w:proofErr w:type="spellStart"/>
      <w:r w:rsidR="00A26D86" w:rsidRPr="00802939">
        <w:t>Salk</w:t>
      </w:r>
      <w:proofErr w:type="spellEnd"/>
      <w:r w:rsidR="00A26D86" w:rsidRPr="00802939">
        <w:t xml:space="preserve"> </w:t>
      </w:r>
      <w:r w:rsidR="00021CB7" w:rsidRPr="00802939">
        <w:t xml:space="preserve">Institutu Rona </w:t>
      </w:r>
      <w:proofErr w:type="spellStart"/>
      <w:r w:rsidR="00021CB7" w:rsidRPr="00802939">
        <w:t>Evanse</w:t>
      </w:r>
      <w:proofErr w:type="spellEnd"/>
      <w:r w:rsidR="00A677BF" w:rsidRPr="00802939">
        <w:t xml:space="preserve"> ve městě La </w:t>
      </w:r>
      <w:proofErr w:type="spellStart"/>
      <w:r w:rsidR="00A677BF" w:rsidRPr="00802939">
        <w:t>Jolla</w:t>
      </w:r>
      <w:proofErr w:type="spellEnd"/>
      <w:r w:rsidR="00A677BF" w:rsidRPr="00802939">
        <w:t xml:space="preserve"> v Kalifornii</w:t>
      </w:r>
      <w:r w:rsidR="00CC047A">
        <w:t xml:space="preserve"> </w:t>
      </w:r>
      <w:r w:rsidR="00301F4D">
        <w:fldChar w:fldCharType="begin"/>
      </w:r>
      <w:r w:rsidR="00C41CE8">
        <w:instrText xml:space="preserve"> ADDIN ZOTERO_ITEM CSL_CITATION {"citationID":"6OJI2gmg","properties":{"formattedCitation":"(Blumberg {\\i{}et al.}, 1998; Kliewer {\\i{}et al.}, 1998)","plainCitation":"(Blumberg et al., 1998; Kliewer et al., 1998)","noteIndex":0},"citationItems":[{"id":63,"uris":["http://zotero.org/users/local/UB9PtTOS/items/8ANZSBFI"],"itemData":{"id":63,"type":"article-journal","abstract":"An important requirement for physiologic homeostasis is the detoxification and removal of endogenous hormones and xenobiotic compounds with biological activity. Much of the detoxification is performed by cytochrome P-450 enzymes, many of which have broad substrate specificity and are inducible by hundreds of different compounds, including steroids. The ingestion of dietary steroids and lipids induces the same enzymes; therefore, they would appear to be integrated into a coordinated metabolic pathway. Instead of possessing hundreds of receptors, one for each inducing compound, we propose the existence of a few broad specificity, low-affinity sensing receptors that would monitor aggregate levels of inducers to trigger production of metabolizing enzymes. In support of this model, we have isolated a novel nuclear receptor, termed the steroid and xenobiotic receptor (SXR), which activates transcription in response to a diversity of natural and synthetic compounds. SXR forms a heterodimer with RXR that can bind to and induce transcription from response elements present in steroid-inducible cytochrome P-450 genes and is expressed in tissues in which these catabolic enzymes are expressed. These results strongly support the steroid sensor hypothesis and suggest that broad specificity sensing receptors may represent a novel branch of the nuclear receptor superfamily.","container-title":"Genes &amp; Development","DOI":"10.1101/gad.12.20.3195","ISSN":"0890-9369, 1549-5477","issue":"20","journalAbbreviation":"Genes Dev.","language":"en","page":"3195-3205","source":"DOI.org (Crossref)","title":"SXR, a novel steroid and xenobioticsensing nuclear receptor","volume":"12","author":[{"family":"Blumberg","given":"Bruce"},{"family":"Sabbagh","given":"Walid"},{"family":"Juguilon","given":"Henry"},{"family":"Bolado","given":"Jack"},{"family":"Van Meter","given":"Casey M."},{"family":"Ong","given":"Estelita S."},{"family":"Evans","given":"Ronald M."}],"issued":{"date-parts":[["1998",10,15]]}}},{"id":61,"uris":["http://zotero.org/users/local/UB9PtTOS/items/IQ9URCVT"],"itemData":{"id":61,"type":"article-journal","container-title":"Cell","DOI":"10.1016/S0092-8674(00)80900-9","ISSN":"00928674","issue":"1","journalAbbreviation":"Cell","language":"en","page":"73-82","source":"DOI.org (Crossref)","title":"An Orphan Nuclear Receptor Activated by Pregnanes Defines a Novel Steroid Signaling Pathway","volume":"92","author":[{"family":"Kliewer","given":"Steven A"},{"family":"Moore","given":"John T"},{"family":"Wade","given":"Laura"},{"family":"Staudinger","given":"Jeff L"},{"family":"Watson","given":"Michael A"},{"family":"Jones","given":"Stacey A"},{"family":"McKee","given":"David D"},{"family":"Oliver","given":"Beverly B"},{"family":"Willson","given":"Timothy M"},{"family":"Zetterström","given":"Rolf H"},{"family":"Perlmann","given":"Thomas"},{"family":"Lehmann","given":"Jürgen M"}],"issued":{"date-parts":[["1998",1]]}}}],"schema":"https://github.com/citation-style-language/schema/raw/master/csl-citation.json"} </w:instrText>
      </w:r>
      <w:r w:rsidR="00301F4D">
        <w:fldChar w:fldCharType="separate"/>
      </w:r>
      <w:r w:rsidR="00C41CE8" w:rsidRPr="00C41CE8">
        <w:rPr>
          <w:kern w:val="0"/>
        </w:rPr>
        <w:t xml:space="preserve">(Blumberg </w:t>
      </w:r>
      <w:r w:rsidR="00C41CE8" w:rsidRPr="00C41CE8">
        <w:rPr>
          <w:i/>
          <w:iCs/>
          <w:kern w:val="0"/>
        </w:rPr>
        <w:t>et al.</w:t>
      </w:r>
      <w:r w:rsidR="00C41CE8" w:rsidRPr="00C41CE8">
        <w:rPr>
          <w:kern w:val="0"/>
        </w:rPr>
        <w:t xml:space="preserve">, 1998; Kliewer </w:t>
      </w:r>
      <w:r w:rsidR="00C41CE8" w:rsidRPr="00C41CE8">
        <w:rPr>
          <w:i/>
          <w:iCs/>
          <w:kern w:val="0"/>
        </w:rPr>
        <w:t>et al.</w:t>
      </w:r>
      <w:r w:rsidR="00C41CE8" w:rsidRPr="00C41CE8">
        <w:rPr>
          <w:kern w:val="0"/>
        </w:rPr>
        <w:t>, 1998)</w:t>
      </w:r>
      <w:r w:rsidR="00301F4D">
        <w:fldChar w:fldCharType="end"/>
      </w:r>
      <w:r w:rsidR="00A26D86">
        <w:t>.</w:t>
      </w:r>
      <w:r w:rsidR="009E01E9">
        <w:t xml:space="preserve"> </w:t>
      </w:r>
      <w:r w:rsidR="00BD178B">
        <w:t xml:space="preserve">Laboratoř Dr. Stevena A. </w:t>
      </w:r>
      <w:proofErr w:type="spellStart"/>
      <w:r w:rsidR="00BD178B">
        <w:t>Kliewera</w:t>
      </w:r>
      <w:proofErr w:type="spellEnd"/>
      <w:r w:rsidR="00BD178B">
        <w:t xml:space="preserve"> </w:t>
      </w:r>
      <w:r w:rsidR="00452AE2">
        <w:t>objevila myší PXR</w:t>
      </w:r>
      <w:r w:rsidR="00786D94">
        <w:t xml:space="preserve"> z</w:t>
      </w:r>
      <w:r w:rsidR="00B734CD">
        <w:t xml:space="preserve"> </w:t>
      </w:r>
      <w:r w:rsidR="0031748B">
        <w:t>gen</w:t>
      </w:r>
      <w:r w:rsidR="001A0BBB">
        <w:t>ového fragmentu</w:t>
      </w:r>
      <w:r w:rsidR="0031748B">
        <w:t xml:space="preserve"> pocházející</w:t>
      </w:r>
      <w:r w:rsidR="00642BA6">
        <w:t xml:space="preserve">ho </w:t>
      </w:r>
      <w:r w:rsidR="0090095B">
        <w:t>z</w:t>
      </w:r>
      <w:r w:rsidR="00B734CD">
        <w:t xml:space="preserve"> </w:t>
      </w:r>
      <w:r w:rsidR="001529F0">
        <w:t xml:space="preserve">myší </w:t>
      </w:r>
      <w:proofErr w:type="spellStart"/>
      <w:r w:rsidR="006A7FFA">
        <w:t>expressed-sequence</w:t>
      </w:r>
      <w:proofErr w:type="spellEnd"/>
      <w:r w:rsidR="006A7FFA">
        <w:t xml:space="preserve"> tag</w:t>
      </w:r>
      <w:r w:rsidR="00232F29">
        <w:t xml:space="preserve"> (EST)</w:t>
      </w:r>
      <w:r w:rsidR="006A7FFA">
        <w:t xml:space="preserve"> </w:t>
      </w:r>
      <w:r w:rsidR="000D569C">
        <w:t>databáze</w:t>
      </w:r>
      <w:r w:rsidR="0090095B">
        <w:t xml:space="preserve"> univerzity ve Washingtonu</w:t>
      </w:r>
      <w:r w:rsidR="00707205">
        <w:t>.</w:t>
      </w:r>
      <w:r w:rsidR="008A0DE4">
        <w:t xml:space="preserve"> </w:t>
      </w:r>
      <w:r w:rsidR="00802939">
        <w:t>Lidský PXR byl klonován v</w:t>
      </w:r>
      <w:r w:rsidR="00495A08">
        <w:t xml:space="preserve"> l</w:t>
      </w:r>
      <w:r w:rsidR="00802939">
        <w:t xml:space="preserve">aboratoři Rona </w:t>
      </w:r>
      <w:proofErr w:type="spellStart"/>
      <w:r w:rsidR="00802939">
        <w:t>Evanse</w:t>
      </w:r>
      <w:proofErr w:type="spellEnd"/>
      <w:r w:rsidR="00802939">
        <w:t xml:space="preserve"> jako</w:t>
      </w:r>
      <w:r w:rsidR="0011536E">
        <w:br/>
      </w:r>
      <w:r w:rsidR="00802939">
        <w:t>homolog</w:t>
      </w:r>
      <w:r w:rsidR="00EE73F1">
        <w:t xml:space="preserve"> </w:t>
      </w:r>
      <w:proofErr w:type="spellStart"/>
      <w:r w:rsidR="00EE73F1">
        <w:t>benzoátového</w:t>
      </w:r>
      <w:proofErr w:type="spellEnd"/>
      <w:r w:rsidR="00EE73F1">
        <w:t xml:space="preserve"> X receptoru (BXR)</w:t>
      </w:r>
      <w:r w:rsidR="00EE73F1" w:rsidRPr="00EE73F1">
        <w:t xml:space="preserve"> </w:t>
      </w:r>
      <w:r w:rsidR="00EE73F1">
        <w:t xml:space="preserve">rodu </w:t>
      </w:r>
      <w:proofErr w:type="spellStart"/>
      <w:r w:rsidR="00EE73F1">
        <w:rPr>
          <w:i/>
          <w:iCs/>
        </w:rPr>
        <w:t>Xenopus</w:t>
      </w:r>
      <w:proofErr w:type="spellEnd"/>
      <w:r w:rsidR="00EE73F1">
        <w:t xml:space="preserve"> </w:t>
      </w:r>
      <w:r w:rsidR="00802939">
        <w:t>z</w:t>
      </w:r>
      <w:r w:rsidR="00B734CD">
        <w:t xml:space="preserve"> </w:t>
      </w:r>
      <w:r w:rsidR="00802939">
        <w:t xml:space="preserve">lidské </w:t>
      </w:r>
      <w:proofErr w:type="spellStart"/>
      <w:r w:rsidR="00802939">
        <w:t>genomické</w:t>
      </w:r>
      <w:proofErr w:type="spellEnd"/>
      <w:r w:rsidR="00802939">
        <w:t xml:space="preserve"> knihovny. </w:t>
      </w:r>
      <w:r w:rsidR="006C119C">
        <w:t>Původně</w:t>
      </w:r>
      <w:r w:rsidR="00640B08">
        <w:t xml:space="preserve"> byl receptor pojmenován SXR, neboli steroidní </w:t>
      </w:r>
      <w:proofErr w:type="spellStart"/>
      <w:r w:rsidR="00640B08">
        <w:t>xenobiotický</w:t>
      </w:r>
      <w:proofErr w:type="spellEnd"/>
      <w:r w:rsidR="00640B08">
        <w:t xml:space="preserve"> receptor</w:t>
      </w:r>
      <w:r w:rsidR="00AE128A">
        <w:t>,</w:t>
      </w:r>
      <w:r w:rsidR="00234950">
        <w:t xml:space="preserve"> díky své schopnosti vázat mnoho přírodních a </w:t>
      </w:r>
      <w:r w:rsidR="008B0960">
        <w:t xml:space="preserve">syntetických steroidů a </w:t>
      </w:r>
      <w:proofErr w:type="spellStart"/>
      <w:r w:rsidR="008B0960">
        <w:t>xenobiotik</w:t>
      </w:r>
      <w:proofErr w:type="spellEnd"/>
      <w:r w:rsidR="00D92C0E">
        <w:t xml:space="preserve"> </w:t>
      </w:r>
      <w:r w:rsidR="00D92C0E">
        <w:fldChar w:fldCharType="begin"/>
      </w:r>
      <w:r w:rsidR="00C41CE8">
        <w:instrText xml:space="preserve"> ADDIN ZOTERO_ITEM CSL_CITATION {"citationID":"fotlMoYH","properties":{"formattedCitation":"(Blumberg {\\i{}et al.}, 1998)","plainCitation":"(Blumberg et al., 1998)","noteIndex":0},"citationItems":[{"id":63,"uris":["http://zotero.org/users/local/UB9PtTOS/items/8ANZSBFI"],"itemData":{"id":63,"type":"article-journal","abstract":"An important requirement for physiologic homeostasis is the detoxification and removal of endogenous hormones and xenobiotic compounds with biological activity. Much of the detoxification is performed by cytochrome P-450 enzymes, many of which have broad substrate specificity and are inducible by hundreds of different compounds, including steroids. The ingestion of dietary steroids and lipids induces the same enzymes; therefore, they would appear to be integrated into a coordinated metabolic pathway. Instead of possessing hundreds of receptors, one for each inducing compound, we propose the existence of a few broad specificity, low-affinity sensing receptors that would monitor aggregate levels of inducers to trigger production of metabolizing enzymes. In support of this model, we have isolated a novel nuclear receptor, termed the steroid and xenobiotic receptor (SXR), which activates transcription in response to a diversity of natural and synthetic compounds. SXR forms a heterodimer with RXR that can bind to and induce transcription from response elements present in steroid-inducible cytochrome P-450 genes and is expressed in tissues in which these catabolic enzymes are expressed. These results strongly support the steroid sensor hypothesis and suggest that broad specificity sensing receptors may represent a novel branch of the nuclear receptor superfamily.","container-title":"Genes &amp; Development","DOI":"10.1101/gad.12.20.3195","ISSN":"0890-9369, 1549-5477","issue":"20","journalAbbreviation":"Genes Dev.","language":"en","page":"3195-3205","source":"DOI.org (Crossref)","title":"SXR, a novel steroid and xenobioticsensing nuclear receptor","volume":"12","author":[{"family":"Blumberg","given":"Bruce"},{"family":"Sabbagh","given":"Walid"},{"family":"Juguilon","given":"Henry"},{"family":"Bolado","given":"Jack"},{"family":"Van Meter","given":"Casey M."},{"family":"Ong","given":"Estelita S."},{"family":"Evans","given":"Ronald M."}],"issued":{"date-parts":[["1998",10,15]]}}}],"schema":"https://github.com/citation-style-language/schema/raw/master/csl-citation.json"} </w:instrText>
      </w:r>
      <w:r w:rsidR="00D92C0E">
        <w:fldChar w:fldCharType="separate"/>
      </w:r>
      <w:r w:rsidR="00C41CE8" w:rsidRPr="00C41CE8">
        <w:rPr>
          <w:kern w:val="0"/>
        </w:rPr>
        <w:t xml:space="preserve">(Blumberg </w:t>
      </w:r>
      <w:r w:rsidR="00C41CE8" w:rsidRPr="00C41CE8">
        <w:rPr>
          <w:i/>
          <w:iCs/>
          <w:kern w:val="0"/>
        </w:rPr>
        <w:t>et al.</w:t>
      </w:r>
      <w:r w:rsidR="00C41CE8" w:rsidRPr="00C41CE8">
        <w:rPr>
          <w:kern w:val="0"/>
        </w:rPr>
        <w:t>, 1998)</w:t>
      </w:r>
      <w:r w:rsidR="00D92C0E">
        <w:fldChar w:fldCharType="end"/>
      </w:r>
      <w:r w:rsidR="00D92C0E">
        <w:t>.</w:t>
      </w:r>
      <w:r w:rsidR="0048243C">
        <w:t xml:space="preserve"> Později však převzal název </w:t>
      </w:r>
      <w:proofErr w:type="spellStart"/>
      <w:r w:rsidR="00FE43E1">
        <w:t>pregnanový</w:t>
      </w:r>
      <w:proofErr w:type="spellEnd"/>
      <w:r w:rsidR="00FE43E1">
        <w:t xml:space="preserve"> X receptor</w:t>
      </w:r>
      <w:r w:rsidR="004929D1">
        <w:t xml:space="preserve"> díky </w:t>
      </w:r>
      <w:r w:rsidR="00AC40E3">
        <w:t>objevu jeho endogenního ligandu</w:t>
      </w:r>
      <w:r w:rsidR="0011536E">
        <w:t xml:space="preserve"> </w:t>
      </w:r>
      <w:r w:rsidR="00AC40E3">
        <w:t>5β-</w:t>
      </w:r>
      <w:r w:rsidR="001A380B">
        <w:t>pregnan-</w:t>
      </w:r>
      <w:proofErr w:type="gramStart"/>
      <w:r w:rsidR="001A380B">
        <w:t>3,20-dionu</w:t>
      </w:r>
      <w:proofErr w:type="gramEnd"/>
      <w:r w:rsidR="00D70654">
        <w:t>, čímž došlo k</w:t>
      </w:r>
      <w:r w:rsidR="00A643FA">
        <w:t xml:space="preserve"> </w:t>
      </w:r>
      <w:r w:rsidR="00D70654">
        <w:t xml:space="preserve">jeho </w:t>
      </w:r>
      <w:proofErr w:type="spellStart"/>
      <w:r w:rsidR="002663AE">
        <w:t>deorfanizaci</w:t>
      </w:r>
      <w:proofErr w:type="spellEnd"/>
      <w:r w:rsidR="00A17C75">
        <w:t>.</w:t>
      </w:r>
      <w:r w:rsidR="0043468A">
        <w:t xml:space="preserve"> Objev PXR p</w:t>
      </w:r>
      <w:r w:rsidR="00C54B69">
        <w:t xml:space="preserve">řispěl </w:t>
      </w:r>
      <w:r w:rsidR="00A643FA">
        <w:t>k</w:t>
      </w:r>
      <w:r w:rsidR="006B6C33">
        <w:t> </w:t>
      </w:r>
      <w:r w:rsidR="00C54B69">
        <w:t>porozumění</w:t>
      </w:r>
      <w:r w:rsidR="006B6C33">
        <w:t xml:space="preserve"> regulace transkripce enzymů podílejících se na procesu biotransformace </w:t>
      </w:r>
      <w:proofErr w:type="spellStart"/>
      <w:r w:rsidR="006B6C33">
        <w:t>xenobiotik</w:t>
      </w:r>
      <w:proofErr w:type="spellEnd"/>
      <w:r w:rsidR="00C30C51">
        <w:t xml:space="preserve"> </w:t>
      </w:r>
      <w:r w:rsidR="00C30C51">
        <w:fldChar w:fldCharType="begin"/>
      </w:r>
      <w:r w:rsidR="00C41CE8">
        <w:instrText xml:space="preserve"> ADDIN ZOTERO_ITEM CSL_CITATION {"citationID":"XDOQkael","properties":{"formattedCitation":"(Smutny {\\i{}et al.}, 2020)","plainCitation":"(Smutny et al., 2020)","noteIndex":0},"citationItems":[{"id":65,"uris":["http://zotero.org/users/local/UB9PtTOS/items/5Q26GNQD"],"itemData":{"id":65,"type":"article-journal","container-title":"Acta Pharmaceutica Sinica B","DOI":"10.1016/j.apsb.2019.09.010","ISSN":"22113835","issue":"1","journalAbbreviation":"Acta Pharmaceutica Sinica B","language":"en","page":"136-152","source":"DOI.org (Crossref)","title":"The 3ʹ-untranslated region contributes to the pregnane X receptor (PXR) expression down-regulation by PXR ligands and up-regulation by glucocorticoids","volume":"10","author":[{"family":"Smutny","given":"Tomas"},{"family":"Dusek","given":"Jan"},{"family":"Hyrsova","given":"Lucie"},{"family":"Nekvindova","given":"Jana"},{"family":"Horvatova","given":"Alzbeta"},{"family":"Micuda","given":"Stanislav"},{"family":"Gerbal-Chaloin","given":"Sabine"},{"family":"Pavek","given":"Petr"}],"issued":{"date-parts":[["2020",1]]}}}],"schema":"https://github.com/citation-style-language/schema/raw/master/csl-citation.json"} </w:instrText>
      </w:r>
      <w:r w:rsidR="00C30C51">
        <w:fldChar w:fldCharType="separate"/>
      </w:r>
      <w:r w:rsidR="00C41CE8" w:rsidRPr="00C41CE8">
        <w:rPr>
          <w:kern w:val="0"/>
        </w:rPr>
        <w:t xml:space="preserve">(Smutny </w:t>
      </w:r>
      <w:r w:rsidR="00C41CE8" w:rsidRPr="00C41CE8">
        <w:rPr>
          <w:i/>
          <w:iCs/>
          <w:kern w:val="0"/>
        </w:rPr>
        <w:t>et al.</w:t>
      </w:r>
      <w:r w:rsidR="00C41CE8" w:rsidRPr="00C41CE8">
        <w:rPr>
          <w:kern w:val="0"/>
        </w:rPr>
        <w:t>, 2020)</w:t>
      </w:r>
      <w:r w:rsidR="00C30C51">
        <w:fldChar w:fldCharType="end"/>
      </w:r>
      <w:r w:rsidR="006B6C33">
        <w:t>.</w:t>
      </w:r>
    </w:p>
    <w:p w14:paraId="50A6553E" w14:textId="37DE1678" w:rsidR="006C6422" w:rsidRDefault="00232F29" w:rsidP="00232F29">
      <w:r>
        <w:rPr>
          <w:noProof/>
        </w:rPr>
        <w:lastRenderedPageBreak/>
        <w:drawing>
          <wp:anchor distT="0" distB="0" distL="114300" distR="114300" simplePos="0" relativeHeight="251659274" behindDoc="0" locked="0" layoutInCell="1" allowOverlap="1" wp14:anchorId="7CE8AB31" wp14:editId="043A549B">
            <wp:simplePos x="0" y="0"/>
            <wp:positionH relativeFrom="margin">
              <wp:align>right</wp:align>
            </wp:positionH>
            <wp:positionV relativeFrom="paragraph">
              <wp:posOffset>3590290</wp:posOffset>
            </wp:positionV>
            <wp:extent cx="5760720" cy="1168400"/>
            <wp:effectExtent l="0" t="0" r="0" b="0"/>
            <wp:wrapSquare wrapText="bothSides"/>
            <wp:docPr id="1458435891" name="Obrázek 2" descr="Obsah obrázku text, snímek obrazovky,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35891" name="Obrázek 2" descr="Obsah obrázku text, snímek obrazovky, diagram&#10;&#10;Popis byl vytvořen automaticky"/>
                    <pic:cNvPicPr/>
                  </pic:nvPicPr>
                  <pic:blipFill rotWithShape="1">
                    <a:blip r:embed="rId13">
                      <a:extLst>
                        <a:ext uri="{28A0092B-C50C-407E-A947-70E740481C1C}">
                          <a14:useLocalDpi xmlns:a14="http://schemas.microsoft.com/office/drawing/2010/main" val="0"/>
                        </a:ext>
                      </a:extLst>
                    </a:blip>
                    <a:srcRect t="29787" b="34156"/>
                    <a:stretch/>
                  </pic:blipFill>
                  <pic:spPr bwMode="auto">
                    <a:xfrm>
                      <a:off x="0" y="0"/>
                      <a:ext cx="5760720" cy="1168400"/>
                    </a:xfrm>
                    <a:prstGeom prst="rect">
                      <a:avLst/>
                    </a:prstGeom>
                    <a:ln>
                      <a:noFill/>
                    </a:ln>
                    <a:extLst>
                      <a:ext uri="{53640926-AAD7-44D8-BBD7-CCE9431645EC}">
                        <a14:shadowObscured xmlns:a14="http://schemas.microsoft.com/office/drawing/2010/main"/>
                      </a:ext>
                    </a:extLst>
                  </pic:spPr>
                </pic:pic>
              </a:graphicData>
            </a:graphic>
          </wp:anchor>
        </w:drawing>
      </w:r>
      <w:r w:rsidR="008D5D2C">
        <w:tab/>
      </w:r>
      <w:r w:rsidR="00AA696D">
        <w:t>Lidský PXR je produktem genu NR1I2, který se nachází na chromozomu 3</w:t>
      </w:r>
      <w:r w:rsidR="00F642D6">
        <w:t xml:space="preserve"> v</w:t>
      </w:r>
      <w:r w:rsidR="00A643FA">
        <w:t xml:space="preserve"> </w:t>
      </w:r>
      <w:r w:rsidR="00F642D6">
        <w:t>úseku 3q12-q13.3</w:t>
      </w:r>
      <w:r w:rsidR="00AA696D">
        <w:t xml:space="preserve"> a</w:t>
      </w:r>
      <w:r w:rsidR="00FC22FC">
        <w:t xml:space="preserve"> </w:t>
      </w:r>
      <w:r w:rsidR="00511A96">
        <w:t>je dlouhý</w:t>
      </w:r>
      <w:r w:rsidR="00AA696D">
        <w:t xml:space="preserve"> 40 </w:t>
      </w:r>
      <w:proofErr w:type="spellStart"/>
      <w:r w:rsidR="00AA696D">
        <w:t>kb</w:t>
      </w:r>
      <w:proofErr w:type="spellEnd"/>
      <w:r w:rsidR="00AA696D">
        <w:t xml:space="preserve"> </w:t>
      </w:r>
      <w:r w:rsidR="00AA696D">
        <w:fldChar w:fldCharType="begin"/>
      </w:r>
      <w:r w:rsidR="00C41CE8">
        <w:instrText xml:space="preserve"> ADDIN ZOTERO_ITEM CSL_CITATION {"citationID":"rrtUrA4J","properties":{"formattedCitation":"(Sandanaraj {\\i{}et al.}, 2008)","plainCitation":"(Sandanaraj et al., 2008)","noteIndex":0},"citationItems":[{"id":48,"uris":["http://zotero.org/users/local/UB9PtTOS/items/URYXA2UU"],"itemData":{"id":48,"type":"article-journal","abstract":"Abstract\n            Purpose: To characterize pregnane X receptor (PXR) polymorphic variants in healthy Asian populations [Chinese, Malay and Indian (n = 100 each)], and to investigate the association between PXR haplotypes and hepatic mRNA expression of PXR and its downstream target genes, CYP3A4 and ABCB1, as well as their influence on the clearance of doxorubicin in Asian breast cancer patients.\n            Experimental Design: PXR genotyping was done by direct DNA sequencing, and PXR haplotypes and haplotype clusters were derived by expectation-maximization algorithm. Genotype-phenotype correlations were done using Mann-Whitney U test and Kruskal-Wallis test.\n            Results: Significant interethnic variations were observed in PXR pharmacogenetics among the three Asian ethnic groups. The expression of PXR mRNA in liver tissues harboring the PXR*1B haplotype clusters was 4-fold lower compared with the non-PXR*1B (*1A + *1C) haplotype clusters [PXR*1B versus PXR*1A; P = 0.015; PXR*1B versus PXR*1C; P = 0.023]. PXR*1B-bearing liver tissues were associated with significantly lower expression of CYP3A4 (PXR*1B versus non-PXR*1B, P = 0.030) and ABCB1 (PXR*1B versus non-PXR*1B, P = 0.060) compared with non–PXR*1B-bearing liver tissues. Doxorubicin clearance in breast cancer patients harboring the PXR*1B haplotypes was significantly lower compared with patients carrying the non-PXR*1B haplotypes [PXR*1B versus non-PXR*1B, CL/BSA (L h−1 m−2): 20.84 (range, 8.68-29.24) versus 24.85 (range, 13.80-55.66), P = 0.022].\n            Conclusions: This study showed that PXR*1B was associated with reduced hepatic mRNA expression of PXR and its downstream targets, CYP3A4 and ABCB1. Genotype-phenotype correlates in breast cancer patients showed PXR*1B to be significantly associated with lower doxorubicin clearance, suggesting that PXR haplotype constitution could be important in influencing interindividual and interethnic variations in disposition of its putative drug substrates.","container-title":"Clinical Cancer Research","DOI":"10.1158/1078-0432.CCR-08-0411","ISSN":"1078-0432, 1557-3265","issue":"21","language":"en","page":"7116-7126","source":"DOI.org (Crossref)","title":"&lt;i&gt;PXR&lt;/i&gt; Pharmacogenetics: Association of Haplotypes with Hepatic &lt;i&gt;CYP3A4&lt;/i&gt; and &lt;i&gt;ABCB1&lt;/i&gt; Messenger RNA Expression and Doxorubicin Clearance in Asian Breast Cancer Patients","title-short":"&lt;i&gt;PXR&lt;/i&gt; Pharmacogenetics","volume":"14","author":[{"family":"Sandanaraj","given":"Edwin"},{"family":"Lal","given":"Suman"},{"family":"Selvarajan","given":"Viknesvaran"},{"family":"Ooi","given":"London Lucien"},{"family":"Wong","given":"Zee Wan"},{"family":"Wong","given":"Nan Soon"},{"family":"Ang","given":"Peter Cher Siang"},{"family":"Lee","given":"Edmund J.D."},{"family":"Chowbay","given":"Balram"}],"issued":{"date-parts":[["2008",11,1]]}}}],"schema":"https://github.com/citation-style-language/schema/raw/master/csl-citation.json"} </w:instrText>
      </w:r>
      <w:r w:rsidR="00AA696D">
        <w:fldChar w:fldCharType="separate"/>
      </w:r>
      <w:r w:rsidR="00C41CE8" w:rsidRPr="00C41CE8">
        <w:rPr>
          <w:kern w:val="0"/>
        </w:rPr>
        <w:t xml:space="preserve">(Sandanaraj </w:t>
      </w:r>
      <w:r w:rsidR="00C41CE8" w:rsidRPr="00C41CE8">
        <w:rPr>
          <w:i/>
          <w:iCs/>
          <w:kern w:val="0"/>
        </w:rPr>
        <w:t>et al.</w:t>
      </w:r>
      <w:r w:rsidR="00C41CE8" w:rsidRPr="00C41CE8">
        <w:rPr>
          <w:kern w:val="0"/>
        </w:rPr>
        <w:t>, 2008)</w:t>
      </w:r>
      <w:r w:rsidR="00AA696D">
        <w:fldChar w:fldCharType="end"/>
      </w:r>
      <w:r w:rsidR="00AA696D">
        <w:t xml:space="preserve">. Samotný protein má velikost 49,7 </w:t>
      </w:r>
      <w:proofErr w:type="spellStart"/>
      <w:r w:rsidR="00AA696D">
        <w:t>kDa</w:t>
      </w:r>
      <w:proofErr w:type="spellEnd"/>
      <w:r w:rsidR="00AA696D">
        <w:t xml:space="preserve"> </w:t>
      </w:r>
      <w:r w:rsidR="00AA696D">
        <w:fldChar w:fldCharType="begin"/>
      </w:r>
      <w:r w:rsidR="001F2F53">
        <w:instrText xml:space="preserve"> ADDIN ZOTERO_ITEM CSL_CITATION {"citationID":"dQy5mj4D","properties":{"formattedCitation":"(Skandalaki, Sarantis and Theocharis, 2021)","plainCitation":"(Skandalaki, Sarantis and Theocharis, 2021)","dontUpdate":true,"noteIndex":0},"citationItems":[{"id":49,"uris":["http://zotero.org/users/local/UB9PtTOS/items/JIL9FMHQ"],"itemData":{"id":49,"type":"article-journal","abstract":"Pregnane X Receptor (PXR) belongs to the nuclear receptors’ superfamily and mainly functions as a xenobiotic sensor activated by a variety of ligands. PXR is widely expressed in normal and malignant tissues. Drug metabolizing enzymes and transporters are also under PXR’s regulation. Antineoplastic agents are of particular interest since cancer patients are characterized by significant intra-variability to treatment response and severe toxicities. Various PXR polymorphisms may alter the function of the protein and are linked with significant effects on the pharmacokinetics of chemotherapeutic agents and clinical outcome variability. The purpose of this review is to summarize the roles of PXR polymorphisms in the metabolism and pharmacokinetics of chemotherapeutic drugs. It is also expected that this review will highlight the importance of PXR polymorphisms in selection of chemotherapy, prediction of adverse effects and personalized medicine.","container-title":"Biomolecules","DOI":"10.3390/biom11081142","ISSN":"2218-273X","issue":"8","journalAbbreviation":"Biomolecules","language":"en","page":"1142","source":"DOI.org (Crossref)","title":"Pregnane X Receptor (PXR) Polymorphisms and Cancer Treatment","volume":"11","author":[{"family":"Skandalaki","given":"Aikaterini"},{"family":"Sarantis","given":"Panagiotis"},{"family":"Theocharis","given":"Stamatios"}],"issued":{"date-parts":[["2021",8,2]]}}}],"schema":"https://github.com/citation-style-language/schema/raw/master/csl-citation.json"} </w:instrText>
      </w:r>
      <w:r w:rsidR="00AA696D">
        <w:fldChar w:fldCharType="separate"/>
      </w:r>
      <w:r w:rsidR="00C41CE8" w:rsidRPr="00C41CE8">
        <w:t>(Skandalaki</w:t>
      </w:r>
      <w:r>
        <w:t xml:space="preserve"> </w:t>
      </w:r>
      <w:r>
        <w:rPr>
          <w:i/>
          <w:iCs/>
        </w:rPr>
        <w:t>et al.</w:t>
      </w:r>
      <w:r w:rsidR="00C41CE8" w:rsidRPr="00C41CE8">
        <w:t>, 2021)</w:t>
      </w:r>
      <w:r w:rsidR="00AA696D">
        <w:fldChar w:fldCharType="end"/>
      </w:r>
      <w:r w:rsidR="00AA696D">
        <w:t>.</w:t>
      </w:r>
      <w:r>
        <w:t xml:space="preserve"> </w:t>
      </w:r>
      <w:r w:rsidR="008D5D2C">
        <w:t>P</w:t>
      </w:r>
      <w:r>
        <w:t>XR</w:t>
      </w:r>
      <w:r w:rsidR="008D5D2C">
        <w:t xml:space="preserve"> se svou st</w:t>
      </w:r>
      <w:r w:rsidR="008C0F8C">
        <w:t>rukturou</w:t>
      </w:r>
      <w:r w:rsidR="008D5D2C">
        <w:t xml:space="preserve"> příliš neliší od </w:t>
      </w:r>
      <w:r w:rsidR="001839D0">
        <w:t>ostatních jaderných receptorů</w:t>
      </w:r>
      <w:r w:rsidR="008A72F2">
        <w:t xml:space="preserve">, které </w:t>
      </w:r>
      <w:r w:rsidR="00337A7E">
        <w:t xml:space="preserve">společně sdílí </w:t>
      </w:r>
      <w:proofErr w:type="gramStart"/>
      <w:r w:rsidR="00627EA9">
        <w:t>5</w:t>
      </w:r>
      <w:r w:rsidR="005104C2">
        <w:t>-doménovou</w:t>
      </w:r>
      <w:proofErr w:type="gramEnd"/>
      <w:r w:rsidR="005104C2">
        <w:t xml:space="preserve"> strukturu s</w:t>
      </w:r>
      <w:r w:rsidR="00E670F9">
        <w:t xml:space="preserve"> </w:t>
      </w:r>
      <w:r w:rsidR="005104C2">
        <w:t xml:space="preserve">oblastmi </w:t>
      </w:r>
      <w:r w:rsidR="00627EA9">
        <w:t>o</w:t>
      </w:r>
      <w:r w:rsidR="005104C2">
        <w:t> různý</w:t>
      </w:r>
      <w:r w:rsidR="00627EA9">
        <w:t>ch</w:t>
      </w:r>
      <w:r w:rsidR="005104C2">
        <w:t xml:space="preserve"> funkc</w:t>
      </w:r>
      <w:r w:rsidR="00627EA9">
        <w:t>ích</w:t>
      </w:r>
      <w:r w:rsidR="005104C2">
        <w:t>.</w:t>
      </w:r>
      <w:r w:rsidR="00B20666">
        <w:t xml:space="preserve"> </w:t>
      </w:r>
      <w:r w:rsidR="00164D88" w:rsidRPr="00164D88">
        <w:t>Na svém N konci začíná A/B doménou, která obsahuje tzv. AF-1 oblast</w:t>
      </w:r>
      <w:r w:rsidR="00BF710E">
        <w:t xml:space="preserve"> (</w:t>
      </w:r>
      <w:proofErr w:type="spellStart"/>
      <w:r w:rsidR="00F17864">
        <w:t>activation</w:t>
      </w:r>
      <w:proofErr w:type="spellEnd"/>
      <w:r w:rsidR="00F17864">
        <w:t xml:space="preserve"> </w:t>
      </w:r>
      <w:proofErr w:type="spellStart"/>
      <w:r w:rsidR="00F17864">
        <w:t>function</w:t>
      </w:r>
      <w:proofErr w:type="spellEnd"/>
      <w:r w:rsidR="00F17864">
        <w:t>)</w:t>
      </w:r>
      <w:r w:rsidR="00164D88" w:rsidRPr="00164D88">
        <w:t>. Tato oblast má aktivační funkci, která však není závislá na vazbě ligandu.</w:t>
      </w:r>
      <w:r w:rsidR="008A66E2">
        <w:t xml:space="preserve"> </w:t>
      </w:r>
      <w:r w:rsidR="00D72267">
        <w:t>V literatuře se však vyskytuje</w:t>
      </w:r>
      <w:r w:rsidR="00861CF5">
        <w:t xml:space="preserve"> také informace, že PXR doménu AF-1 postrádá </w:t>
      </w:r>
      <w:r w:rsidR="00861CF5">
        <w:fldChar w:fldCharType="begin"/>
      </w:r>
      <w:r w:rsidR="00385458">
        <w:instrText xml:space="preserve"> ADDIN ZOTERO_ITEM CSL_CITATION {"citationID":"7yx8xXiA","properties":{"formattedCitation":"(Pondugula and Mani, 2013)","plainCitation":"(Pondugula and Mani, 2013)","dontUpdate":true,"noteIndex":0},"citationItems":[{"id":51,"uris":["http://zotero.org/users/local/UB9PtTOS/items/T342WM2Z"],"itemData":{"id":51,"type":"article-journal","container-title":"Cancer Letters","DOI":"10.1016/j.canlet.2012.08.030","ISSN":"03043835","issue":"1","journalAbbreviation":"Cancer Letters","language":"en","page":"1-9","source":"DOI.org (Crossref)","title":"Pregnane xenobiotic receptor in cancer pathogenesis and therapeutic response","volume":"328","author":[{"family":"Pondugula","given":"Satyanarayana R."},{"family":"Mani","given":"Sridhar"}],"issued":{"date-parts":[["2013",1]]}}}],"schema":"https://github.com/citation-style-language/schema/raw/master/csl-citation.json"} </w:instrText>
      </w:r>
      <w:r w:rsidR="00861CF5">
        <w:fldChar w:fldCharType="separate"/>
      </w:r>
      <w:r w:rsidR="00861CF5" w:rsidRPr="00861CF5">
        <w:t xml:space="preserve">(Pondugula </w:t>
      </w:r>
      <w:r w:rsidR="00B61380">
        <w:rPr>
          <w:i/>
          <w:iCs/>
        </w:rPr>
        <w:t>et</w:t>
      </w:r>
      <w:r w:rsidR="00861CF5" w:rsidRPr="00861CF5">
        <w:t xml:space="preserve"> Mani, 2013)</w:t>
      </w:r>
      <w:r w:rsidR="00861CF5">
        <w:fldChar w:fldCharType="end"/>
      </w:r>
      <w:r w:rsidR="00861CF5">
        <w:t>.</w:t>
      </w:r>
      <w:r w:rsidR="00B61380">
        <w:t xml:space="preserve"> </w:t>
      </w:r>
      <w:r w:rsidR="00164D88" w:rsidRPr="00164D88">
        <w:t xml:space="preserve">Po </w:t>
      </w:r>
      <w:r w:rsidR="00B61380">
        <w:t xml:space="preserve">AF-1 </w:t>
      </w:r>
      <w:r w:rsidR="007F13B7">
        <w:t>doméně</w:t>
      </w:r>
      <w:r w:rsidR="00164D88" w:rsidRPr="00164D88">
        <w:t xml:space="preserve"> následuje DNA-vazebná doména (C doména). </w:t>
      </w:r>
      <w:r w:rsidR="00371B8A">
        <w:t xml:space="preserve">Krátký úsek na D doméně, tzv. </w:t>
      </w:r>
      <w:proofErr w:type="spellStart"/>
      <w:r w:rsidR="00371B8A">
        <w:t>hinge</w:t>
      </w:r>
      <w:proofErr w:type="spellEnd"/>
      <w:r w:rsidR="00371B8A">
        <w:t xml:space="preserve"> region,</w:t>
      </w:r>
      <w:r w:rsidR="00E670F9">
        <w:br/>
      </w:r>
      <w:r w:rsidR="00371B8A">
        <w:t xml:space="preserve">je </w:t>
      </w:r>
      <w:r w:rsidR="004D7CB4">
        <w:t>krátká sekvence</w:t>
      </w:r>
      <w:r w:rsidR="00585886">
        <w:t xml:space="preserve"> zajišťující </w:t>
      </w:r>
      <w:r w:rsidR="0072134A">
        <w:t xml:space="preserve">regulaci </w:t>
      </w:r>
      <w:proofErr w:type="spellStart"/>
      <w:r w:rsidR="00D06C72">
        <w:t>subcelulární</w:t>
      </w:r>
      <w:proofErr w:type="spellEnd"/>
      <w:r w:rsidR="00D06C72">
        <w:t xml:space="preserve"> </w:t>
      </w:r>
      <w:r w:rsidR="002C13B4">
        <w:t>distribuce jaderných receptorů</w:t>
      </w:r>
      <w:r w:rsidR="00094C75">
        <w:t xml:space="preserve"> a spojuje</w:t>
      </w:r>
      <w:r w:rsidR="006408BB">
        <w:br/>
      </w:r>
      <w:r w:rsidR="00094C75">
        <w:t>DNA-</w:t>
      </w:r>
      <w:r w:rsidR="00E301F1">
        <w:t>vazebnou</w:t>
      </w:r>
      <w:r w:rsidR="00094C75">
        <w:t xml:space="preserve"> doménu s následující </w:t>
      </w:r>
      <w:r w:rsidR="003E7B84">
        <w:t>ligand-</w:t>
      </w:r>
      <w:r w:rsidR="00E301F1">
        <w:t>vazebn</w:t>
      </w:r>
      <w:r w:rsidR="00150E28">
        <w:t>ou</w:t>
      </w:r>
      <w:r w:rsidR="003E7B84">
        <w:t xml:space="preserve"> doménou (E doména)</w:t>
      </w:r>
      <w:r w:rsidR="005B58DF">
        <w:t>.</w:t>
      </w:r>
      <w:r w:rsidR="0091493D">
        <w:t xml:space="preserve"> </w:t>
      </w:r>
      <w:r w:rsidR="003944FD">
        <w:t>L</w:t>
      </w:r>
      <w:r w:rsidR="00447307">
        <w:t>igand-</w:t>
      </w:r>
      <w:r w:rsidR="00150E28">
        <w:t>vazebná</w:t>
      </w:r>
      <w:r w:rsidR="00447307">
        <w:t xml:space="preserve"> doména PXR </w:t>
      </w:r>
      <w:r w:rsidR="00697A85">
        <w:t xml:space="preserve">je specifická svou schopností navázat mnoho chemických látek </w:t>
      </w:r>
      <w:r w:rsidR="00A250CF">
        <w:t>lišících se od sebe svou chemickou strukturou.</w:t>
      </w:r>
      <w:r w:rsidR="009145C8">
        <w:t xml:space="preserve"> Na konci </w:t>
      </w:r>
      <w:r w:rsidR="00F26162">
        <w:t xml:space="preserve">E domény </w:t>
      </w:r>
      <w:r w:rsidR="007C2F86">
        <w:t xml:space="preserve">na C konci </w:t>
      </w:r>
      <w:r w:rsidR="00F26162">
        <w:t>se nachází AF-2 oblast</w:t>
      </w:r>
      <w:r w:rsidR="00721062">
        <w:t>, která má</w:t>
      </w:r>
      <w:r w:rsidR="00CE4033">
        <w:br/>
      </w:r>
      <w:r w:rsidR="00721062">
        <w:t xml:space="preserve">na rozdíl od AF-1 </w:t>
      </w:r>
      <w:r w:rsidR="00D45DF9">
        <w:t>aktivační funkci pouze p</w:t>
      </w:r>
      <w:r w:rsidR="00FB6928">
        <w:t>o</w:t>
      </w:r>
      <w:r w:rsidR="00D45DF9">
        <w:t xml:space="preserve"> </w:t>
      </w:r>
      <w:r w:rsidR="00FB6928">
        <w:t>navázání</w:t>
      </w:r>
      <w:r w:rsidR="00D45DF9">
        <w:t xml:space="preserve"> ligandu</w:t>
      </w:r>
      <w:r w:rsidR="00291850">
        <w:t xml:space="preserve"> </w:t>
      </w:r>
      <w:r w:rsidR="00291850">
        <w:fldChar w:fldCharType="begin"/>
      </w:r>
      <w:r w:rsidR="00291850">
        <w:instrText xml:space="preserve"> ADDIN ZOTERO_ITEM CSL_CITATION {"citationID":"QbDlizn0","properties":{"formattedCitation":"(Sayaf {\\i{}et al.}, 2021)","plainCitation":"(Sayaf et al., 2021)","noteIndex":0},"citationItems":[{"id":121,"uris":["http://zotero.org/users/local/UB9PtTOS/items/QUTVTSD4"],"itemData":{"id":121,"type":"article-journal","abstract":"Pregnane X receptor (PXR), a nuclear receptor known for modulating the transcription of drug metabolizing enzymes and transporters (DMETs), such as cytochrome P450 3A4 and P-glycoprotein, is functionally involved in chronic liver diseases of different etiologies. Furthermore, PXR activity relates to that of other NRs, such as constitutive androstane receptor (CAR), through a crosstalk that in turn orchestrates a complex network of responses. Thus, besides regulating DMETs, PXR signaling is involved in both liver damage progression and repair and in the neoplastic transition to hepatocellular carcinoma. We here summarize the present knowledge about PXR expression and function in chronic liver diseases characterized by different etiologies and clinical outcome, focusing on the molecular pathways involved in PXR activity. Although many molecular details of these finely tuned networks still need to be fully understood, we conclude that PXR and its modulation could represent a promising pharmacological target for the identification of novel therapeutical approaches to chronic liver diseases.","container-title":"Cells","DOI":"10.3390/cells11010061","ISSN":"2073-4409","issue":"1","journalAbbreviation":"Cells","language":"en","license":"https://creativecommons.org/licenses/by/4.0/","page":"61","source":"DOI.org (Crossref)","title":"The Nuclear Receptor PXR in Chronic Liver Disease","volume":"11","author":[{"family":"Sayaf","given":"Katia"},{"family":"Zanotto","given":"Ilaria"},{"family":"Russo","given":"Francesco Paolo"},{"family":"Gabbia","given":"Daniela"},{"family":"De Martin","given":"Sara"}],"issued":{"date-parts":[["2021",12,27]]}}}],"schema":"https://github.com/citation-style-language/schema/raw/master/csl-citation.json"} </w:instrText>
      </w:r>
      <w:r w:rsidR="00291850">
        <w:fldChar w:fldCharType="separate"/>
      </w:r>
      <w:r w:rsidR="00291850" w:rsidRPr="00291850">
        <w:rPr>
          <w:kern w:val="0"/>
        </w:rPr>
        <w:t xml:space="preserve">(Sayaf </w:t>
      </w:r>
      <w:r w:rsidR="00291850" w:rsidRPr="00291850">
        <w:rPr>
          <w:i/>
          <w:iCs/>
          <w:kern w:val="0"/>
        </w:rPr>
        <w:t>et al.</w:t>
      </w:r>
      <w:r w:rsidR="00291850" w:rsidRPr="00291850">
        <w:rPr>
          <w:kern w:val="0"/>
        </w:rPr>
        <w:t>, 2021)</w:t>
      </w:r>
      <w:r w:rsidR="00291850">
        <w:fldChar w:fldCharType="end"/>
      </w:r>
      <w:r w:rsidR="008A72F2">
        <w:t>.</w:t>
      </w:r>
    </w:p>
    <w:p w14:paraId="7A900A2D" w14:textId="4D5A6524" w:rsidR="00E8772B" w:rsidRDefault="00F754EC" w:rsidP="00F55667">
      <w:pPr>
        <w:rPr>
          <w:noProof/>
        </w:rPr>
      </w:pPr>
      <w:r>
        <w:rPr>
          <w:b/>
          <w:bCs/>
          <w:noProof/>
        </w:rPr>
        <w:t xml:space="preserve">Obrázek </w:t>
      </w:r>
      <w:r w:rsidR="00EB4FDB">
        <w:rPr>
          <w:b/>
          <w:bCs/>
          <w:noProof/>
        </w:rPr>
        <w:t>1</w:t>
      </w:r>
      <w:r>
        <w:rPr>
          <w:b/>
          <w:bCs/>
          <w:noProof/>
        </w:rPr>
        <w:t xml:space="preserve">: </w:t>
      </w:r>
      <w:r>
        <w:rPr>
          <w:noProof/>
        </w:rPr>
        <w:t>Struktura pregnanového X receptoru</w:t>
      </w:r>
    </w:p>
    <w:p w14:paraId="64E487E0" w14:textId="77777777" w:rsidR="00C64770" w:rsidRDefault="00C64770" w:rsidP="00F55667">
      <w:pPr>
        <w:rPr>
          <w:noProof/>
        </w:rPr>
      </w:pPr>
    </w:p>
    <w:p w14:paraId="6F8BD405" w14:textId="379BCD10" w:rsidR="00B75105" w:rsidRPr="00E429D9" w:rsidRDefault="000E44DE" w:rsidP="00E429D9">
      <w:r>
        <w:tab/>
      </w:r>
      <w:r w:rsidR="00BB714E">
        <w:t>Pok</w:t>
      </w:r>
      <w:r w:rsidR="00C11B81">
        <w:t>ud není na PXR navázán žádný ligand, jeho aktivita je regulována</w:t>
      </w:r>
      <w:r w:rsidR="0083793E">
        <w:t xml:space="preserve"> </w:t>
      </w:r>
      <w:r w:rsidR="008C4DCE">
        <w:t xml:space="preserve">transkripčními korepresory. </w:t>
      </w:r>
      <w:r w:rsidR="00912E63">
        <w:t xml:space="preserve">Mezi </w:t>
      </w:r>
      <w:r w:rsidR="007B2D5B">
        <w:t>ně</w:t>
      </w:r>
      <w:r w:rsidR="00912E63">
        <w:t xml:space="preserve"> </w:t>
      </w:r>
      <w:proofErr w:type="gramStart"/>
      <w:r w:rsidR="00912E63">
        <w:t>patří</w:t>
      </w:r>
      <w:proofErr w:type="gramEnd"/>
      <w:r w:rsidR="00DA5C49">
        <w:t xml:space="preserve"> korepresor</w:t>
      </w:r>
      <w:r w:rsidR="006C77F5">
        <w:t>y</w:t>
      </w:r>
      <w:r w:rsidR="00DA5C49">
        <w:t xml:space="preserve"> jaderných receptorů</w:t>
      </w:r>
      <w:r w:rsidR="00CE6D82">
        <w:t xml:space="preserve"> 1 </w:t>
      </w:r>
      <w:r w:rsidR="006C77F5">
        <w:t xml:space="preserve">a 2 </w:t>
      </w:r>
      <w:r w:rsidR="00CE6D82">
        <w:t>(NCoR1</w:t>
      </w:r>
      <w:r w:rsidR="006C77F5">
        <w:t xml:space="preserve"> a NCoR2</w:t>
      </w:r>
      <w:r w:rsidR="00CE6D82">
        <w:t>)</w:t>
      </w:r>
      <w:r w:rsidR="00E31434">
        <w:t>. O</w:t>
      </w:r>
      <w:r w:rsidR="007B2D5B">
        <w:t>ba</w:t>
      </w:r>
      <w:r w:rsidR="00E31434">
        <w:t xml:space="preserve"> tyto korepresory</w:t>
      </w:r>
      <w:r w:rsidR="005D030D">
        <w:t xml:space="preserve"> inhibují</w:t>
      </w:r>
      <w:r w:rsidR="00D9422B">
        <w:t xml:space="preserve"> transkripci</w:t>
      </w:r>
      <w:r w:rsidR="00581ACB">
        <w:t xml:space="preserve"> cílových genů</w:t>
      </w:r>
      <w:r w:rsidR="00D9422B">
        <w:t xml:space="preserve"> PXR přes histonovou </w:t>
      </w:r>
      <w:proofErr w:type="spellStart"/>
      <w:r w:rsidR="00D9422B">
        <w:t>deacetylázovou</w:t>
      </w:r>
      <w:proofErr w:type="spellEnd"/>
      <w:r w:rsidR="00D9422B">
        <w:t xml:space="preserve"> aktivitu (</w:t>
      </w:r>
      <w:r w:rsidR="002E2385">
        <w:t>HDAC)</w:t>
      </w:r>
      <w:r w:rsidR="00B11A86">
        <w:t xml:space="preserve"> </w:t>
      </w:r>
      <w:r w:rsidR="00336D58">
        <w:fldChar w:fldCharType="begin"/>
      </w:r>
      <w:r w:rsidR="001F2F53">
        <w:instrText xml:space="preserve"> ADDIN ZOTERO_ITEM CSL_CITATION {"citationID":"kiJyYjYC","properties":{"formattedCitation":"(Johnson {\\i{}et al.}, 2006; Pondugula and Mani, 2013)","plainCitation":"(Johnson et al., 2006; Pondugula and Mani, 2013)","dontUpdate":true,"noteIndex":0},"citationItems":[{"id":53,"uris":["http://zotero.org/users/local/UB9PtTOS/items/3DS96MAB"],"itemData":{"id":53,"type":"article-journal","container-title":"Molecular Pharmacology","DOI":"10.1124/mol.105.013375","ISSN":"0026-895X, 1521-0111","issue":"1","journalAbbreviation":"Mol Pharmacol","language":"en","page":"99-108","source":"DOI.org (Crossref)","title":"Regulation and Binding of Pregnane X Receptor by Nuclear Receptor Corepressor Silencing Mediator of Retinoid and Thyroid Hormone Receptors (SMRT)","volume":"69","author":[{"family":"Johnson","given":"David R."},{"family":"Li","given":"Chia-Wei"},{"family":"Chen","given":"Liuh-Yow"},{"family":"Ghosh","given":"Jagadish C."},{"family":"Chen","given":"J. Don"}],"issued":{"date-parts":[["2006",1]]}}},{"id":51,"uris":["http://zotero.org/users/local/UB9PtTOS/items/T342WM2Z"],"itemData":{"id":51,"type":"article-journal","container-title":"Cancer Letters","DOI":"10.1016/j.canlet.2012.08.030","ISSN":"03043835","issue":"1","journalAbbreviation":"Cancer Letters","language":"en","page":"1-9","source":"DOI.org (Crossref)","title":"Pregnane xenobiotic receptor in cancer pathogenesis and therapeutic response","volume":"328","author":[{"family":"Pondugula","given":"Satyanarayana R."},{"family":"Mani","given":"Sridhar"}],"issued":{"date-parts":[["2013",1]]}}}],"schema":"https://github.com/citation-style-language/schema/raw/master/csl-citation.json"} </w:instrText>
      </w:r>
      <w:r w:rsidR="00336D58">
        <w:fldChar w:fldCharType="separate"/>
      </w:r>
      <w:r w:rsidR="00C41CE8" w:rsidRPr="00C41CE8">
        <w:rPr>
          <w:kern w:val="0"/>
        </w:rPr>
        <w:t xml:space="preserve">(Johnson </w:t>
      </w:r>
      <w:r w:rsidR="00C41CE8" w:rsidRPr="00C41CE8">
        <w:rPr>
          <w:i/>
          <w:iCs/>
          <w:kern w:val="0"/>
        </w:rPr>
        <w:t>et al.</w:t>
      </w:r>
      <w:r w:rsidR="00C41CE8" w:rsidRPr="00C41CE8">
        <w:rPr>
          <w:kern w:val="0"/>
        </w:rPr>
        <w:t xml:space="preserve">, 2006; Pondugula </w:t>
      </w:r>
      <w:r w:rsidR="00232F29">
        <w:rPr>
          <w:i/>
          <w:iCs/>
          <w:kern w:val="0"/>
        </w:rPr>
        <w:t>et</w:t>
      </w:r>
      <w:r w:rsidR="00C41CE8" w:rsidRPr="00C41CE8">
        <w:rPr>
          <w:kern w:val="0"/>
        </w:rPr>
        <w:t xml:space="preserve"> Mani, 2013)</w:t>
      </w:r>
      <w:r w:rsidR="00336D58">
        <w:fldChar w:fldCharType="end"/>
      </w:r>
      <w:r w:rsidR="002E2385">
        <w:t xml:space="preserve">. </w:t>
      </w:r>
      <w:r w:rsidR="000152FA">
        <w:t xml:space="preserve">Jakmile </w:t>
      </w:r>
      <w:r w:rsidR="00602F92">
        <w:t>se na LBD PXR</w:t>
      </w:r>
      <w:r w:rsidR="000152FA">
        <w:t xml:space="preserve"> navá</w:t>
      </w:r>
      <w:r w:rsidR="00602F92">
        <w:t>že</w:t>
      </w:r>
      <w:r w:rsidR="000152FA">
        <w:t xml:space="preserve"> </w:t>
      </w:r>
      <w:r>
        <w:t>určit</w:t>
      </w:r>
      <w:r w:rsidR="000152FA">
        <w:t>ý</w:t>
      </w:r>
      <w:r>
        <w:t xml:space="preserve"> ligand</w:t>
      </w:r>
      <w:r w:rsidR="00602F92">
        <w:t>,</w:t>
      </w:r>
      <w:r w:rsidR="008938D5">
        <w:t xml:space="preserve"> </w:t>
      </w:r>
      <w:r w:rsidR="000E4D55">
        <w:t>dojde k</w:t>
      </w:r>
      <w:r w:rsidR="00E866F5">
        <w:t xml:space="preserve"> </w:t>
      </w:r>
      <w:r w:rsidR="000E4D55">
        <w:t xml:space="preserve">disociaci korepresorů NCoR1 a NCoR2, </w:t>
      </w:r>
      <w:r w:rsidR="002024C9">
        <w:t>komplex ligand-PXR</w:t>
      </w:r>
      <w:r w:rsidR="004044C9">
        <w:br/>
      </w:r>
      <w:r w:rsidR="002024C9">
        <w:t xml:space="preserve">je </w:t>
      </w:r>
      <w:proofErr w:type="spellStart"/>
      <w:r w:rsidR="002024C9">
        <w:t>translokován</w:t>
      </w:r>
      <w:proofErr w:type="spellEnd"/>
      <w:r w:rsidR="002024C9">
        <w:t xml:space="preserve"> z cytoplazmy do jádra a</w:t>
      </w:r>
      <w:r w:rsidR="00602F92">
        <w:t xml:space="preserve"> </w:t>
      </w:r>
      <w:proofErr w:type="gramStart"/>
      <w:r w:rsidR="00000943">
        <w:t>vy</w:t>
      </w:r>
      <w:r>
        <w:t>tvoří</w:t>
      </w:r>
      <w:proofErr w:type="gramEnd"/>
      <w:r>
        <w:t xml:space="preserve"> </w:t>
      </w:r>
      <w:proofErr w:type="spellStart"/>
      <w:r>
        <w:t>heterodimer</w:t>
      </w:r>
      <w:proofErr w:type="spellEnd"/>
      <w:r>
        <w:t xml:space="preserve"> s dalším jaderným receptorem – </w:t>
      </w:r>
      <w:proofErr w:type="spellStart"/>
      <w:r>
        <w:t>retinoidním</w:t>
      </w:r>
      <w:proofErr w:type="spellEnd"/>
      <w:r>
        <w:t xml:space="preserve"> X receptorem </w:t>
      </w:r>
      <w:r w:rsidR="000C749F">
        <w:t>(</w:t>
      </w:r>
      <w:r>
        <w:t>RXR</w:t>
      </w:r>
      <w:r w:rsidR="000C749F">
        <w:t>)</w:t>
      </w:r>
      <w:r>
        <w:t>.</w:t>
      </w:r>
      <w:r w:rsidR="00D407BD">
        <w:t xml:space="preserve"> </w:t>
      </w:r>
      <w:r w:rsidR="009F7B5E">
        <w:t>Aby mohlo dojít k</w:t>
      </w:r>
      <w:r w:rsidR="009F49CF">
        <w:t xml:space="preserve"> </w:t>
      </w:r>
      <w:r w:rsidR="00461A3E">
        <w:t>zesílení vazby konzervovaných motivů zinkových prstů v</w:t>
      </w:r>
      <w:r w:rsidR="009F49CF">
        <w:t xml:space="preserve"> </w:t>
      </w:r>
      <w:r w:rsidR="00461A3E">
        <w:t>DBD PXR s DNA response elementy v</w:t>
      </w:r>
      <w:r w:rsidR="00B53FC3">
        <w:t xml:space="preserve"> </w:t>
      </w:r>
      <w:r w:rsidR="00461A3E">
        <w:t>promotorech cílových genů</w:t>
      </w:r>
      <w:r w:rsidR="005F6604">
        <w:t>, je nutná přítomnost</w:t>
      </w:r>
      <w:r w:rsidR="0034458E">
        <w:t xml:space="preserve"> steroid receptor </w:t>
      </w:r>
      <w:proofErr w:type="spellStart"/>
      <w:r w:rsidR="0034458E">
        <w:t>koaktivátor</w:t>
      </w:r>
      <w:r w:rsidR="005F6604">
        <w:t>ů</w:t>
      </w:r>
      <w:proofErr w:type="spellEnd"/>
      <w:r w:rsidR="00232F29">
        <w:t xml:space="preserve"> 1 a 3</w:t>
      </w:r>
      <w:r w:rsidR="0034458E">
        <w:t xml:space="preserve"> </w:t>
      </w:r>
      <w:r w:rsidR="00232F29">
        <w:t>(</w:t>
      </w:r>
      <w:r w:rsidR="0034458E">
        <w:t>SRC-1</w:t>
      </w:r>
      <w:r w:rsidR="00F25375">
        <w:t xml:space="preserve"> a SRC-3</w:t>
      </w:r>
      <w:r w:rsidR="00232F29">
        <w:t>)</w:t>
      </w:r>
      <w:r w:rsidR="0034458E">
        <w:t>.</w:t>
      </w:r>
      <w:r w:rsidR="00D92A48">
        <w:t xml:space="preserve"> Následně se na tento velký proteinový komplex váží další sekundární </w:t>
      </w:r>
      <w:proofErr w:type="spellStart"/>
      <w:r w:rsidR="00D92A48">
        <w:t>koaktivátory</w:t>
      </w:r>
      <w:proofErr w:type="spellEnd"/>
      <w:r w:rsidR="0034458E">
        <w:t xml:space="preserve"> </w:t>
      </w:r>
      <w:r w:rsidR="00D92A48">
        <w:t xml:space="preserve">a histon </w:t>
      </w:r>
      <w:proofErr w:type="spellStart"/>
      <w:r w:rsidR="00D92A48">
        <w:t>acetyltransferáza</w:t>
      </w:r>
      <w:proofErr w:type="spellEnd"/>
      <w:r w:rsidR="00D92A48">
        <w:t xml:space="preserve"> (HAT). Komplex dále přeskupí</w:t>
      </w:r>
      <w:r w:rsidR="00BD34BB">
        <w:t xml:space="preserve"> transkripci nepřístupné</w:t>
      </w:r>
      <w:r w:rsidR="00D92A48">
        <w:t xml:space="preserve"> chromatinové vlákno cílových</w:t>
      </w:r>
      <w:r w:rsidR="00E30FEC">
        <w:br/>
        <w:t>g</w:t>
      </w:r>
      <w:r w:rsidR="00D92A48">
        <w:t>enů</w:t>
      </w:r>
      <w:r w:rsidR="00E30FEC">
        <w:t xml:space="preserve"> </w:t>
      </w:r>
      <w:r w:rsidR="00D92A48">
        <w:t>a je umožněná jejich transkripce pomocí transkripčních proteinů a enzymů</w:t>
      </w:r>
      <w:r w:rsidR="00BD34BB">
        <w:t>,</w:t>
      </w:r>
      <w:r w:rsidR="004044C9">
        <w:br/>
      </w:r>
      <w:r w:rsidR="00BD34BB">
        <w:t>např. RNA polymeráz</w:t>
      </w:r>
      <w:r w:rsidR="004E2268">
        <w:t>y</w:t>
      </w:r>
      <w:r w:rsidR="00BD34BB">
        <w:t xml:space="preserve"> II </w:t>
      </w:r>
      <w:r w:rsidR="00BD34BB">
        <w:fldChar w:fldCharType="begin"/>
      </w:r>
      <w:r w:rsidR="00C41CE8">
        <w:instrText xml:space="preserve"> ADDIN ZOTERO_ITEM CSL_CITATION {"citationID":"9eBnUk6r","properties":{"formattedCitation":"(Pavek, 2016; Hall {\\i{}et al.}, 2021; Sayaf {\\i{}et al.}, 2021)","plainCitation":"(Pavek, 2016; Hall et al., 2021; Sayaf et al., 2021)","noteIndex":0},"citationItems":[{"id":121,"uris":["http://zotero.org/users/local/UB9PtTOS/items/QUTVTSD4"],"itemData":{"id":121,"type":"article-journal","abstract":"Pregnane X receptor (PXR), a nuclear receptor known for modulating the transcription of drug metabolizing enzymes and transporters (DMETs), such as cytochrome P450 3A4 and P-glycoprotein, is functionally involved in chronic liver diseases of different etiologies. Furthermore, PXR activity relates to that of other NRs, such as constitutive androstane receptor (CAR), through a crosstalk that in turn orchestrates a complex network of responses. Thus, besides regulating DMETs, PXR signaling is involved in both liver damage progression and repair and in the neoplastic transition to hepatocellular carcinoma. We here summarize the present knowledge about PXR expression and function in chronic liver diseases characterized by different etiologies and clinical outcome, focusing on the molecular pathways involved in PXR activity. Although many molecular details of these finely tuned networks still need to be fully understood, we conclude that PXR and its modulation could represent a promising pharmacological target for the identification of novel therapeutical approaches to chronic liver diseases.","container-title":"Cells","DOI":"10.3390/cells11010061","ISSN":"2073-4409","issue":"1","journalAbbreviation":"Cells","language":"en","license":"https://creativecommons.org/licenses/by/4.0/","page":"61","source":"DOI.org (Crossref)","title":"The Nuclear Receptor PXR in Chronic Liver Disease","volume":"11","author":[{"family":"Sayaf","given":"Katia"},{"family":"Zanotto","given":"Ilaria"},{"family":"Russo","given":"Francesco Paolo"},{"family":"Gabbia","given":"Daniela"},{"family":"De Martin","given":"Sara"}],"issued":{"date-parts":[["2021",12,27]]}}},{"id":123,"uris":["http://zotero.org/users/local/UB9PtTOS/items/MQMJHNXX"],"itemData":{"id":123,"type":"article-journal","container-title":"Frontiers in Pharmacology","DOI":"10.3389/fphar.2016.00456","ISSN":"1663-9812","journalAbbreviation":"Front. Pharmacol.","source":"DOI.org (Crossref)","title":"Pregnane X Receptor (PXR)-Mediated Gene Repression and Cross-Talk of PXR with Other Nuclear Receptors via Coactivator Interactions","URL":"http://journal.frontiersin.org/article/10.3389/fphar.2016.00456/full","volume":"7","author":[{"family":"Pavek","given":"Petr"}],"accessed":{"date-parts":[["2024",4,10]]},"issued":{"date-parts":[["2016",11,25]]}}},{"id":125,"uris":["http://zotero.org/users/local/UB9PtTOS/items/3C7IDQM6"],"itemData":{"id":125,"type":"article-journal","container-title":"Journal of Medicinal Chemistry","DOI":"10.1021/acs.jmedchem.0c02245","ISSN":"0022-2623, 1520-4804","issue":"10","journalAbbreviation":"J. Med. Chem.","language":"en","license":"https://doi.org/10.15223/policy-029","page":"6413-6522","source":"DOI.org (Crossref)","title":"Designing Out PXR Activity on Drug Discovery Projects: A Review of Structure-Based Methods, Empirical and Computational Approaches","title-short":"Designing Out PXR Activity on Drug Discovery Projects","volume":"64","author":[{"family":"Hall","given":"Adrian"},{"family":"Chanteux","given":"Hugues"},{"family":"Ménochet","given":"Karelle"},{"family":"Ledecq","given":"Marie"},{"family":"Schulze","given":"Monika-Sarah E. D."}],"issued":{"date-parts":[["2021",5,27]]}}}],"schema":"https://github.com/citation-style-language/schema/raw/master/csl-citation.json"} </w:instrText>
      </w:r>
      <w:r w:rsidR="00BD34BB">
        <w:fldChar w:fldCharType="separate"/>
      </w:r>
      <w:r w:rsidR="00C41CE8" w:rsidRPr="00C41CE8">
        <w:rPr>
          <w:kern w:val="0"/>
        </w:rPr>
        <w:t xml:space="preserve">(Pavek, 2016; Hall </w:t>
      </w:r>
      <w:r w:rsidR="00C41CE8" w:rsidRPr="00C41CE8">
        <w:rPr>
          <w:i/>
          <w:iCs/>
          <w:kern w:val="0"/>
        </w:rPr>
        <w:t>et al.</w:t>
      </w:r>
      <w:r w:rsidR="00C41CE8" w:rsidRPr="00C41CE8">
        <w:rPr>
          <w:kern w:val="0"/>
        </w:rPr>
        <w:t xml:space="preserve">, 2021; Sayaf </w:t>
      </w:r>
      <w:r w:rsidR="00C41CE8" w:rsidRPr="00C41CE8">
        <w:rPr>
          <w:i/>
          <w:iCs/>
          <w:kern w:val="0"/>
        </w:rPr>
        <w:t>et al.</w:t>
      </w:r>
      <w:r w:rsidR="00C41CE8" w:rsidRPr="00C41CE8">
        <w:rPr>
          <w:kern w:val="0"/>
        </w:rPr>
        <w:t>, 2021)</w:t>
      </w:r>
      <w:r w:rsidR="00BD34BB">
        <w:fldChar w:fldCharType="end"/>
      </w:r>
      <w:r w:rsidR="00BD34BB">
        <w:t>.</w:t>
      </w:r>
    </w:p>
    <w:p w14:paraId="03CAE048" w14:textId="53ACF2E5" w:rsidR="005D47EF" w:rsidRDefault="005D47EF" w:rsidP="005D47EF">
      <w:pPr>
        <w:pStyle w:val="Nadpis3"/>
      </w:pPr>
      <w:bookmarkStart w:id="12" w:name="_Toc165492881"/>
      <w:r>
        <w:lastRenderedPageBreak/>
        <w:t>3.</w:t>
      </w:r>
      <w:r w:rsidR="00C67F65">
        <w:t>2</w:t>
      </w:r>
      <w:r>
        <w:t>.</w:t>
      </w:r>
      <w:r w:rsidR="00E116C5">
        <w:t>1</w:t>
      </w:r>
      <w:r>
        <w:tab/>
      </w:r>
      <w:r w:rsidR="000E2CC5">
        <w:t>F</w:t>
      </w:r>
      <w:r w:rsidR="00994092">
        <w:t>unkce</w:t>
      </w:r>
      <w:r w:rsidR="000E2CC5">
        <w:t xml:space="preserve"> PXR</w:t>
      </w:r>
      <w:r w:rsidR="00994092">
        <w:t xml:space="preserve"> ve fyziologických a patofyziologických procesech</w:t>
      </w:r>
      <w:bookmarkEnd w:id="12"/>
    </w:p>
    <w:p w14:paraId="110697FA" w14:textId="5BF3429C" w:rsidR="005471AF" w:rsidRDefault="002C08AD" w:rsidP="000576D8">
      <w:r>
        <w:tab/>
      </w:r>
      <w:r w:rsidR="000576D8">
        <w:t>Orgány, ve kterých je PXR nejvíce exprimován, jsou ledviny, tenké střevo a játra. Jeho exprese se odehrává i v</w:t>
      </w:r>
      <w:r w:rsidR="00B53FC3">
        <w:t xml:space="preserve"> </w:t>
      </w:r>
      <w:r w:rsidR="000576D8">
        <w:t>jiných orgánech a tkáních, např. v</w:t>
      </w:r>
      <w:r w:rsidR="00B53FC3">
        <w:t xml:space="preserve"> </w:t>
      </w:r>
      <w:r w:rsidR="000576D8">
        <w:t>žaludku, vaječnících, plicích</w:t>
      </w:r>
      <w:r w:rsidR="00E30FEC">
        <w:br/>
      </w:r>
      <w:r w:rsidR="000576D8">
        <w:t>či v</w:t>
      </w:r>
      <w:r w:rsidR="00B53FC3">
        <w:t xml:space="preserve"> </w:t>
      </w:r>
      <w:r w:rsidR="000576D8">
        <w:t xml:space="preserve">periferní krvi, hladina exprese </w:t>
      </w:r>
      <w:r w:rsidR="00994092">
        <w:t>je zde ovšem mnohem nižší</w:t>
      </w:r>
      <w:r w:rsidR="00B96774">
        <w:t xml:space="preserve"> </w:t>
      </w:r>
      <w:r w:rsidR="00B96774">
        <w:fldChar w:fldCharType="begin"/>
      </w:r>
      <w:r w:rsidR="001F2F53">
        <w:instrText xml:space="preserve"> ADDIN ZOTERO_ITEM CSL_CITATION {"citationID":"90ZXiceF","properties":{"formattedCitation":"(Pavek and Dvorak, 2008; Pondugula and Mani, 2013)","plainCitation":"(Pavek and Dvorak, 2008; Pondugula and Mani, 2013)","dontUpdate":true,"noteIndex":0},"citationItems":[{"id":134,"uris":["http://zotero.org/users/local/UB9PtTOS/items/P49Y65H5"],"itemData":{"id":134,"type":"article-journal","container-title":"Current Drug Metabolism","DOI":"10.2174/138920008783571774","ISSN":"13892002","issue":"2","journalAbbreviation":"CDM","language":"en","page":"129-143","source":"DOI.org (Crossref)","title":"Xenobiotic-Induced Transcriptional Regulation of Xenobiotic Metabolizing Enzymes of the Cytochrome P450 Superfamily in Human Extrahepatic Tissues","volume":"9","author":[{"family":"Pavek","given":"Petr"},{"family":"Dvorak","given":"Zdenek"}],"issued":{"date-parts":[["2008",2,1]]}}},{"id":51,"uris":["http://zotero.org/users/local/UB9PtTOS/items/T342WM2Z"],"itemData":{"id":51,"type":"article-journal","container-title":"Cancer Letters","DOI":"10.1016/j.canlet.2012.08.030","ISSN":"03043835","issue":"1","journalAbbreviation":"Cancer Letters","language":"en","page":"1-9","source":"DOI.org (Crossref)","title":"Pregnane xenobiotic receptor in cancer pathogenesis and therapeutic response","volume":"328","author":[{"family":"Pondugula","given":"Satyanarayana R."},{"family":"Mani","given":"Sridhar"}],"issued":{"date-parts":[["2013",1]]}}}],"schema":"https://github.com/citation-style-language/schema/raw/master/csl-citation.json"} </w:instrText>
      </w:r>
      <w:r w:rsidR="00B96774">
        <w:fldChar w:fldCharType="separate"/>
      </w:r>
      <w:r w:rsidR="00C41CE8" w:rsidRPr="00C41CE8">
        <w:t xml:space="preserve">(Pavek </w:t>
      </w:r>
      <w:r w:rsidR="00232F29">
        <w:rPr>
          <w:i/>
          <w:iCs/>
        </w:rPr>
        <w:t>et</w:t>
      </w:r>
      <w:r w:rsidR="00C41CE8" w:rsidRPr="00C41CE8">
        <w:t xml:space="preserve"> Dvorak, 2008; Pondugula </w:t>
      </w:r>
      <w:r w:rsidR="00232F29">
        <w:rPr>
          <w:i/>
          <w:iCs/>
        </w:rPr>
        <w:t>et</w:t>
      </w:r>
      <w:r w:rsidR="00C41CE8" w:rsidRPr="00C41CE8">
        <w:t xml:space="preserve"> Mani, 2013)</w:t>
      </w:r>
      <w:r w:rsidR="00B96774">
        <w:fldChar w:fldCharType="end"/>
      </w:r>
      <w:r w:rsidR="00994092">
        <w:t>. Funkcí PXR</w:t>
      </w:r>
      <w:r w:rsidR="00D6170B">
        <w:t xml:space="preserve"> v</w:t>
      </w:r>
      <w:r w:rsidR="00391E87">
        <w:t xml:space="preserve"> </w:t>
      </w:r>
      <w:r w:rsidR="00D6170B">
        <w:t>těchto orgánech je regulace různých enzymů metabolických drah a jejich exprese.</w:t>
      </w:r>
    </w:p>
    <w:p w14:paraId="5B8066DA" w14:textId="4528656C" w:rsidR="00994092" w:rsidRDefault="00994092" w:rsidP="000576D8">
      <w:pPr>
        <w:rPr>
          <w:kern w:val="0"/>
          <w14:ligatures w14:val="none"/>
        </w:rPr>
      </w:pPr>
      <w:r>
        <w:tab/>
      </w:r>
      <w:r w:rsidR="00D6170B">
        <w:t>Jedním z</w:t>
      </w:r>
      <w:r w:rsidR="004B30A1">
        <w:t xml:space="preserve"> </w:t>
      </w:r>
      <w:r w:rsidR="00D6170B">
        <w:t>důležitých metabolických dějů probíhajících v</w:t>
      </w:r>
      <w:r w:rsidR="004B30A1">
        <w:t xml:space="preserve"> </w:t>
      </w:r>
      <w:r w:rsidR="00D6170B">
        <w:t xml:space="preserve">játrech je glukoneogeneze neboli proces tvorby glukózy, která je hlavním zdrojem energie organismu. </w:t>
      </w:r>
      <w:r w:rsidR="00D6170B">
        <w:rPr>
          <w:kern w:val="0"/>
          <w14:ligatures w14:val="none"/>
        </w:rPr>
        <w:t>PXR reguluje tento metabolický děj inhibicí exprese dvou důležitých enzymů – glukóza-</w:t>
      </w:r>
      <w:proofErr w:type="gramStart"/>
      <w:r w:rsidR="00D6170B">
        <w:rPr>
          <w:kern w:val="0"/>
          <w14:ligatures w14:val="none"/>
        </w:rPr>
        <w:t>6-fosfatázy</w:t>
      </w:r>
      <w:proofErr w:type="gramEnd"/>
      <w:r w:rsidR="00D6170B">
        <w:rPr>
          <w:kern w:val="0"/>
          <w14:ligatures w14:val="none"/>
        </w:rPr>
        <w:t xml:space="preserve"> (G6P)</w:t>
      </w:r>
      <w:r w:rsidR="004244B2">
        <w:rPr>
          <w:kern w:val="0"/>
          <w14:ligatures w14:val="none"/>
        </w:rPr>
        <w:br/>
      </w:r>
      <w:r w:rsidR="00D6170B">
        <w:rPr>
          <w:kern w:val="0"/>
          <w14:ligatures w14:val="none"/>
        </w:rPr>
        <w:t xml:space="preserve">a </w:t>
      </w:r>
      <w:proofErr w:type="spellStart"/>
      <w:r w:rsidR="00D6170B">
        <w:rPr>
          <w:kern w:val="0"/>
          <w14:ligatures w14:val="none"/>
        </w:rPr>
        <w:t>fosfoenolpyruvát</w:t>
      </w:r>
      <w:proofErr w:type="spellEnd"/>
      <w:r w:rsidR="00D6170B">
        <w:rPr>
          <w:kern w:val="0"/>
          <w14:ligatures w14:val="none"/>
        </w:rPr>
        <w:t xml:space="preserve"> </w:t>
      </w:r>
      <w:proofErr w:type="spellStart"/>
      <w:r w:rsidR="00D6170B">
        <w:rPr>
          <w:kern w:val="0"/>
          <w14:ligatures w14:val="none"/>
        </w:rPr>
        <w:t>karboxykinázy</w:t>
      </w:r>
      <w:proofErr w:type="spellEnd"/>
      <w:r w:rsidR="00D6170B">
        <w:rPr>
          <w:kern w:val="0"/>
          <w14:ligatures w14:val="none"/>
        </w:rPr>
        <w:t xml:space="preserve"> (PEPCK). Jejich inhibicí je zabráněno přeměně meziproduktů na glukózu, konkrétně pro enzym glukóza-6-fosfát přeměně glukóza-6-fosfátu na glukózu a fosfát a pro </w:t>
      </w:r>
      <w:proofErr w:type="spellStart"/>
      <w:r w:rsidR="00D6170B">
        <w:rPr>
          <w:kern w:val="0"/>
          <w14:ligatures w14:val="none"/>
        </w:rPr>
        <w:t>fosfoenolpyruvát</w:t>
      </w:r>
      <w:proofErr w:type="spellEnd"/>
      <w:r w:rsidR="00D6170B">
        <w:rPr>
          <w:kern w:val="0"/>
          <w14:ligatures w14:val="none"/>
        </w:rPr>
        <w:t xml:space="preserve"> </w:t>
      </w:r>
      <w:proofErr w:type="spellStart"/>
      <w:r w:rsidR="00D6170B">
        <w:rPr>
          <w:kern w:val="0"/>
          <w14:ligatures w14:val="none"/>
        </w:rPr>
        <w:t>karboxykinázu</w:t>
      </w:r>
      <w:proofErr w:type="spellEnd"/>
      <w:r w:rsidR="00D6170B">
        <w:rPr>
          <w:kern w:val="0"/>
          <w14:ligatures w14:val="none"/>
        </w:rPr>
        <w:t xml:space="preserve"> je pozastavena přeměna </w:t>
      </w:r>
      <w:proofErr w:type="spellStart"/>
      <w:r w:rsidR="00D6170B">
        <w:rPr>
          <w:kern w:val="0"/>
          <w14:ligatures w14:val="none"/>
        </w:rPr>
        <w:t>oxalacetátu</w:t>
      </w:r>
      <w:proofErr w:type="spellEnd"/>
      <w:r w:rsidR="00D6170B">
        <w:rPr>
          <w:kern w:val="0"/>
          <w14:ligatures w14:val="none"/>
        </w:rPr>
        <w:t xml:space="preserve"> na </w:t>
      </w:r>
      <w:proofErr w:type="spellStart"/>
      <w:r w:rsidR="00D6170B">
        <w:rPr>
          <w:kern w:val="0"/>
          <w14:ligatures w14:val="none"/>
        </w:rPr>
        <w:t>fo</w:t>
      </w:r>
      <w:r w:rsidR="00DC4896">
        <w:rPr>
          <w:kern w:val="0"/>
          <w14:ligatures w14:val="none"/>
        </w:rPr>
        <w:t>s</w:t>
      </w:r>
      <w:r w:rsidR="00D6170B">
        <w:rPr>
          <w:kern w:val="0"/>
          <w14:ligatures w14:val="none"/>
        </w:rPr>
        <w:t>foenolpyruvát</w:t>
      </w:r>
      <w:proofErr w:type="spellEnd"/>
      <w:r w:rsidR="00D6170B">
        <w:rPr>
          <w:kern w:val="0"/>
          <w14:ligatures w14:val="none"/>
        </w:rPr>
        <w:t xml:space="preserve"> </w:t>
      </w:r>
      <w:r w:rsidR="00D6170B">
        <w:rPr>
          <w:kern w:val="0"/>
          <w14:ligatures w14:val="none"/>
        </w:rPr>
        <w:fldChar w:fldCharType="begin"/>
      </w:r>
      <w:r w:rsidR="001F2F53">
        <w:rPr>
          <w:kern w:val="0"/>
          <w14:ligatures w14:val="none"/>
        </w:rPr>
        <w:instrText xml:space="preserve"> ADDIN ZOTERO_ITEM CSL_CITATION {"citationID":"BAmDpDLz","properties":{"formattedCitation":"(Cai, Young and Xie, 2021)","plainCitation":"(Cai, Young and Xie, 2021)","dontUpdate":true,"noteIndex":0},"citationItems":[{"id":19,"uris":["http://zotero.org/users/local/UB9PtTOS/items/WG75LBDE"],"itemData":{"id":19,"type":"article-journal","container-title":"Biochimica et Biophysica Acta (BBA) - Molecular Basis of Disease","DOI":"10.1016/j.bbadis.2021.166101","ISSN":"09254439","issue":"6","journalAbbreviation":"Biochimica et Biophysica Acta (BBA) - Molecular Basis of Disease","language":"en","page":"166101","source":"DOI.org (Crossref)","title":"The xenobiotic receptors PXR and CAR in liver physiology, an update","volume":"1867","author":[{"family":"Cai","given":"Xinran"},{"family":"Young","given":"Gregory M."},{"family":"Xie","given":"Wen"}],"issued":{"date-parts":[["2021",6]]}}}],"schema":"https://github.com/citation-style-language/schema/raw/master/csl-citation.json"} </w:instrText>
      </w:r>
      <w:r w:rsidR="00D6170B">
        <w:rPr>
          <w:kern w:val="0"/>
          <w14:ligatures w14:val="none"/>
        </w:rPr>
        <w:fldChar w:fldCharType="separate"/>
      </w:r>
      <w:r w:rsidR="00C41CE8" w:rsidRPr="00C41CE8">
        <w:t>(Cai</w:t>
      </w:r>
      <w:r w:rsidR="00232F29">
        <w:t xml:space="preserve"> </w:t>
      </w:r>
      <w:r w:rsidR="00232F29">
        <w:rPr>
          <w:i/>
          <w:iCs/>
        </w:rPr>
        <w:t>et al.</w:t>
      </w:r>
      <w:r w:rsidR="00C41CE8" w:rsidRPr="00C41CE8">
        <w:t>, 2021)</w:t>
      </w:r>
      <w:r w:rsidR="00D6170B">
        <w:rPr>
          <w:kern w:val="0"/>
          <w14:ligatures w14:val="none"/>
        </w:rPr>
        <w:fldChar w:fldCharType="end"/>
      </w:r>
      <w:r w:rsidR="00D6170B">
        <w:rPr>
          <w:kern w:val="0"/>
          <w14:ligatures w14:val="none"/>
        </w:rPr>
        <w:t xml:space="preserve">. Aktivací PXR je přímo zabráněno vazbě mezi </w:t>
      </w:r>
      <w:proofErr w:type="spellStart"/>
      <w:r w:rsidR="00232F29">
        <w:rPr>
          <w:kern w:val="0"/>
          <w14:ligatures w14:val="none"/>
        </w:rPr>
        <w:t>forkhead</w:t>
      </w:r>
      <w:proofErr w:type="spellEnd"/>
      <w:r w:rsidR="00232F29">
        <w:rPr>
          <w:kern w:val="0"/>
          <w14:ligatures w14:val="none"/>
        </w:rPr>
        <w:t xml:space="preserve"> box proteinem O1 (</w:t>
      </w:r>
      <w:r w:rsidR="00D6170B">
        <w:rPr>
          <w:kern w:val="0"/>
          <w14:ligatures w14:val="none"/>
        </w:rPr>
        <w:t>FoxO1</w:t>
      </w:r>
      <w:r w:rsidR="00232F29">
        <w:rPr>
          <w:kern w:val="0"/>
          <w14:ligatures w14:val="none"/>
        </w:rPr>
        <w:t>)</w:t>
      </w:r>
      <w:r w:rsidR="00D6170B">
        <w:rPr>
          <w:kern w:val="0"/>
          <w14:ligatures w14:val="none"/>
        </w:rPr>
        <w:t xml:space="preserve"> a in</w:t>
      </w:r>
      <w:r w:rsidR="00232F29">
        <w:rPr>
          <w:kern w:val="0"/>
          <w14:ligatures w14:val="none"/>
        </w:rPr>
        <w:t>z</w:t>
      </w:r>
      <w:r w:rsidR="00D6170B">
        <w:rPr>
          <w:kern w:val="0"/>
          <w14:ligatures w14:val="none"/>
        </w:rPr>
        <w:t>ulin</w:t>
      </w:r>
      <w:r w:rsidR="00161E3F">
        <w:rPr>
          <w:kern w:val="0"/>
          <w14:ligatures w14:val="none"/>
        </w:rPr>
        <w:t>ovým</w:t>
      </w:r>
      <w:r w:rsidR="00D6170B">
        <w:rPr>
          <w:kern w:val="0"/>
          <w14:ligatures w14:val="none"/>
        </w:rPr>
        <w:t xml:space="preserve"> receptor</w:t>
      </w:r>
      <w:r w:rsidR="00161E3F">
        <w:rPr>
          <w:kern w:val="0"/>
          <w14:ligatures w14:val="none"/>
        </w:rPr>
        <w:t>ovým</w:t>
      </w:r>
      <w:r w:rsidR="00D6170B">
        <w:rPr>
          <w:kern w:val="0"/>
          <w14:ligatures w14:val="none"/>
        </w:rPr>
        <w:t xml:space="preserve"> substr</w:t>
      </w:r>
      <w:r w:rsidR="00232F29">
        <w:rPr>
          <w:kern w:val="0"/>
          <w14:ligatures w14:val="none"/>
        </w:rPr>
        <w:t>átem (IRS)</w:t>
      </w:r>
      <w:r w:rsidR="00D6170B">
        <w:rPr>
          <w:kern w:val="0"/>
          <w14:ligatures w14:val="none"/>
        </w:rPr>
        <w:t xml:space="preserve">, což má za následek </w:t>
      </w:r>
      <w:proofErr w:type="spellStart"/>
      <w:r w:rsidR="00D6170B">
        <w:rPr>
          <w:kern w:val="0"/>
          <w14:ligatures w14:val="none"/>
        </w:rPr>
        <w:t>supresi</w:t>
      </w:r>
      <w:proofErr w:type="spellEnd"/>
      <w:r w:rsidR="00D6170B">
        <w:rPr>
          <w:kern w:val="0"/>
          <w14:ligatures w14:val="none"/>
        </w:rPr>
        <w:t xml:space="preserve"> genové exprese enzymů G6Pázy a PEPCK a pozastavení glukoneogeneze </w:t>
      </w:r>
      <w:r w:rsidR="00D6170B">
        <w:rPr>
          <w:kern w:val="0"/>
          <w14:ligatures w14:val="none"/>
        </w:rPr>
        <w:fldChar w:fldCharType="begin"/>
      </w:r>
      <w:r w:rsidR="001F2F53">
        <w:rPr>
          <w:kern w:val="0"/>
          <w14:ligatures w14:val="none"/>
        </w:rPr>
        <w:instrText xml:space="preserve"> ADDIN ZOTERO_ITEM CSL_CITATION {"citationID":"paFC2LHD","properties":{"formattedCitation":"(Ihunnah, Jiang and Xie, 2011)","plainCitation":"(Ihunnah, Jiang and Xie, 2011)","dontUpdate":true,"noteIndex":0},"citationItems":[{"id":9,"uris":["http://zotero.org/users/local/UB9PtTOS/items/XH25LIUH"],"itemData":{"id":9,"type":"article-journal","container-title":"Biochimica et Biophysica Acta (BBA) - Molecular Basis of Disease","DOI":"10.1016/j.bbadis.2011.01.014","ISSN":"09254439","issue":"8","journalAbbreviation":"Biochimica et Biophysica Acta (BBA) - Molecular Basis of Disease","language":"en","page":"956-963","source":"DOI.org (Crossref)","title":"Nuclear receptor PXR, transcriptional circuits and metabolic relevance","volume":"1812","author":[{"family":"Ihunnah","given":"Chibueze A."},{"family":"Jiang","given":"Mengxi"},{"family":"Xie","given":"Wen"}],"issued":{"date-parts":[["2011",8]]}}}],"schema":"https://github.com/citation-style-language/schema/raw/master/csl-citation.json"} </w:instrText>
      </w:r>
      <w:r w:rsidR="00D6170B">
        <w:rPr>
          <w:kern w:val="0"/>
          <w14:ligatures w14:val="none"/>
        </w:rPr>
        <w:fldChar w:fldCharType="separate"/>
      </w:r>
      <w:r w:rsidR="00C41CE8" w:rsidRPr="00C41CE8">
        <w:t>(Ihunnah</w:t>
      </w:r>
      <w:r w:rsidR="00232F29">
        <w:t xml:space="preserve"> </w:t>
      </w:r>
      <w:r w:rsidR="00232F29">
        <w:rPr>
          <w:i/>
          <w:iCs/>
        </w:rPr>
        <w:t>et al.</w:t>
      </w:r>
      <w:r w:rsidR="00C41CE8" w:rsidRPr="00C41CE8">
        <w:t>, 2011)</w:t>
      </w:r>
      <w:r w:rsidR="00D6170B">
        <w:rPr>
          <w:kern w:val="0"/>
          <w14:ligatures w14:val="none"/>
        </w:rPr>
        <w:fldChar w:fldCharType="end"/>
      </w:r>
      <w:r w:rsidR="00D6170B">
        <w:rPr>
          <w:kern w:val="0"/>
          <w14:ligatures w14:val="none"/>
        </w:rPr>
        <w:t>.</w:t>
      </w:r>
    </w:p>
    <w:p w14:paraId="417ED1A2" w14:textId="7F27C3F1" w:rsidR="00A14BE5" w:rsidRPr="00272349" w:rsidRDefault="00A14BE5" w:rsidP="000576D8">
      <w:pPr>
        <w:rPr>
          <w:b/>
          <w:bCs/>
          <w:kern w:val="0"/>
          <w14:ligatures w14:val="none"/>
        </w:rPr>
      </w:pPr>
      <w:r>
        <w:rPr>
          <w:kern w:val="0"/>
          <w14:ligatures w14:val="none"/>
        </w:rPr>
        <w:tab/>
        <w:t>Zdrojem energie pro organismus jsou také tuky. Metabolismus tuků probíhá v</w:t>
      </w:r>
      <w:r w:rsidR="00391E87">
        <w:rPr>
          <w:kern w:val="0"/>
          <w14:ligatures w14:val="none"/>
        </w:rPr>
        <w:t xml:space="preserve"> </w:t>
      </w:r>
      <w:r>
        <w:rPr>
          <w:kern w:val="0"/>
          <w14:ligatures w14:val="none"/>
        </w:rPr>
        <w:t xml:space="preserve">játrech </w:t>
      </w:r>
      <w:proofErr w:type="spellStart"/>
      <w:r>
        <w:rPr>
          <w:kern w:val="0"/>
          <w14:ligatures w14:val="none"/>
        </w:rPr>
        <w:t>skze</w:t>
      </w:r>
      <w:proofErr w:type="spellEnd"/>
      <w:r>
        <w:rPr>
          <w:kern w:val="0"/>
          <w14:ligatures w14:val="none"/>
        </w:rPr>
        <w:t xml:space="preserve"> několik drah, z čehož nejvýznamnější je β-oxidace, díky které jsou oxidovány mastné kyseliny na acetyl-</w:t>
      </w:r>
      <w:proofErr w:type="spellStart"/>
      <w:r>
        <w:rPr>
          <w:kern w:val="0"/>
          <w14:ligatures w14:val="none"/>
        </w:rPr>
        <w:t>CoA</w:t>
      </w:r>
      <w:proofErr w:type="spellEnd"/>
      <w:r w:rsidR="00F15338">
        <w:rPr>
          <w:kern w:val="0"/>
          <w14:ligatures w14:val="none"/>
        </w:rPr>
        <w:t>,</w:t>
      </w:r>
      <w:r w:rsidR="00F77CFE">
        <w:rPr>
          <w:kern w:val="0"/>
          <w14:ligatures w14:val="none"/>
        </w:rPr>
        <w:t xml:space="preserve"> a </w:t>
      </w:r>
      <w:proofErr w:type="spellStart"/>
      <w:r w:rsidR="00F77CFE">
        <w:rPr>
          <w:kern w:val="0"/>
          <w14:ligatures w14:val="none"/>
        </w:rPr>
        <w:t>lipogeneze</w:t>
      </w:r>
      <w:proofErr w:type="spellEnd"/>
      <w:r w:rsidR="00F77CFE">
        <w:rPr>
          <w:kern w:val="0"/>
          <w14:ligatures w14:val="none"/>
        </w:rPr>
        <w:t xml:space="preserve">, což je proces tvorby tuků. V minulosti byl zkoumán vliv PXR v myších játrech na </w:t>
      </w:r>
      <w:r w:rsidR="00654A43">
        <w:rPr>
          <w:kern w:val="0"/>
          <w14:ligatures w14:val="none"/>
        </w:rPr>
        <w:t xml:space="preserve">klíčové enzymy β-oxidace, </w:t>
      </w:r>
      <w:proofErr w:type="spellStart"/>
      <w:r w:rsidR="00654A43">
        <w:rPr>
          <w:kern w:val="0"/>
          <w14:ligatures w14:val="none"/>
        </w:rPr>
        <w:t>lipogeneze</w:t>
      </w:r>
      <w:proofErr w:type="spellEnd"/>
      <w:r w:rsidR="00654A43">
        <w:rPr>
          <w:kern w:val="0"/>
          <w14:ligatures w14:val="none"/>
        </w:rPr>
        <w:t xml:space="preserve"> a také </w:t>
      </w:r>
      <w:proofErr w:type="spellStart"/>
      <w:r w:rsidR="00654A43">
        <w:rPr>
          <w:kern w:val="0"/>
          <w14:ligatures w14:val="none"/>
        </w:rPr>
        <w:t>ketogeneze</w:t>
      </w:r>
      <w:proofErr w:type="spellEnd"/>
      <w:r w:rsidR="00272349">
        <w:rPr>
          <w:kern w:val="0"/>
          <w14:ligatures w14:val="none"/>
        </w:rPr>
        <w:t xml:space="preserve">, která </w:t>
      </w:r>
      <w:proofErr w:type="gramStart"/>
      <w:r w:rsidR="004A7A58">
        <w:rPr>
          <w:kern w:val="0"/>
          <w14:ligatures w14:val="none"/>
        </w:rPr>
        <w:t>tvoří</w:t>
      </w:r>
      <w:proofErr w:type="gramEnd"/>
      <w:r w:rsidR="004A7A58">
        <w:rPr>
          <w:kern w:val="0"/>
          <w14:ligatures w14:val="none"/>
        </w:rPr>
        <w:t xml:space="preserve"> ketolátky jako alternativní zdroj energie pro tělo</w:t>
      </w:r>
      <w:r w:rsidR="00654A43">
        <w:rPr>
          <w:kern w:val="0"/>
          <w14:ligatures w14:val="none"/>
        </w:rPr>
        <w:t>. Výsledkem výzkumu bylo zjištění, že aktivace PXR způsobuje</w:t>
      </w:r>
      <w:r w:rsidR="00034083">
        <w:rPr>
          <w:kern w:val="0"/>
          <w14:ligatures w14:val="none"/>
        </w:rPr>
        <w:t xml:space="preserve"> represi </w:t>
      </w:r>
      <w:proofErr w:type="spellStart"/>
      <w:r w:rsidR="00034083">
        <w:rPr>
          <w:kern w:val="0"/>
          <w14:ligatures w14:val="none"/>
        </w:rPr>
        <w:t>forkhead</w:t>
      </w:r>
      <w:proofErr w:type="spellEnd"/>
      <w:r w:rsidR="00034083">
        <w:rPr>
          <w:kern w:val="0"/>
          <w14:ligatures w14:val="none"/>
        </w:rPr>
        <w:t xml:space="preserve"> transkripčního faktoru A2 (FoxA2) a tím</w:t>
      </w:r>
      <w:r w:rsidR="00654A43">
        <w:rPr>
          <w:kern w:val="0"/>
          <w14:ligatures w14:val="none"/>
        </w:rPr>
        <w:t xml:space="preserve"> </w:t>
      </w:r>
      <w:r w:rsidR="00D61C74">
        <w:rPr>
          <w:kern w:val="0"/>
          <w14:ligatures w14:val="none"/>
        </w:rPr>
        <w:t>snižuje</w:t>
      </w:r>
      <w:r w:rsidR="00654A43">
        <w:rPr>
          <w:kern w:val="0"/>
          <w14:ligatures w14:val="none"/>
        </w:rPr>
        <w:t xml:space="preserve"> </w:t>
      </w:r>
      <w:r w:rsidR="00034083">
        <w:rPr>
          <w:kern w:val="0"/>
          <w14:ligatures w14:val="none"/>
        </w:rPr>
        <w:t xml:space="preserve">expresi </w:t>
      </w:r>
      <w:r w:rsidR="00654A43">
        <w:rPr>
          <w:kern w:val="0"/>
          <w14:ligatures w14:val="none"/>
        </w:rPr>
        <w:t xml:space="preserve">enzymů karnitin </w:t>
      </w:r>
      <w:proofErr w:type="spellStart"/>
      <w:r w:rsidR="00654A43">
        <w:rPr>
          <w:kern w:val="0"/>
          <w14:ligatures w14:val="none"/>
        </w:rPr>
        <w:t>pa</w:t>
      </w:r>
      <w:r w:rsidR="00D27F69">
        <w:rPr>
          <w:kern w:val="0"/>
          <w14:ligatures w14:val="none"/>
        </w:rPr>
        <w:t>l</w:t>
      </w:r>
      <w:r w:rsidR="00654A43">
        <w:rPr>
          <w:kern w:val="0"/>
          <w14:ligatures w14:val="none"/>
        </w:rPr>
        <w:t>mitoyltransferázy</w:t>
      </w:r>
      <w:proofErr w:type="spellEnd"/>
      <w:r w:rsidR="00654A43">
        <w:rPr>
          <w:kern w:val="0"/>
          <w14:ligatures w14:val="none"/>
        </w:rPr>
        <w:t xml:space="preserve"> </w:t>
      </w:r>
      <w:proofErr w:type="gramStart"/>
      <w:r w:rsidR="00654A43">
        <w:rPr>
          <w:kern w:val="0"/>
          <w14:ligatures w14:val="none"/>
        </w:rPr>
        <w:t>1A</w:t>
      </w:r>
      <w:proofErr w:type="gramEnd"/>
      <w:r w:rsidR="00654A43">
        <w:rPr>
          <w:kern w:val="0"/>
          <w14:ligatures w14:val="none"/>
        </w:rPr>
        <w:t xml:space="preserve"> (CPT1A)</w:t>
      </w:r>
      <w:r w:rsidR="00D27F69">
        <w:rPr>
          <w:kern w:val="0"/>
          <w14:ligatures w14:val="none"/>
        </w:rPr>
        <w:t xml:space="preserve"> a 3-hydroxy-3-metylglutarát-CoA</w:t>
      </w:r>
      <w:r w:rsidR="00687008">
        <w:rPr>
          <w:kern w:val="0"/>
          <w14:ligatures w14:val="none"/>
        </w:rPr>
        <w:br/>
      </w:r>
      <w:proofErr w:type="spellStart"/>
      <w:r w:rsidR="00D27F69">
        <w:rPr>
          <w:kern w:val="0"/>
          <w14:ligatures w14:val="none"/>
        </w:rPr>
        <w:t>syntázy</w:t>
      </w:r>
      <w:proofErr w:type="spellEnd"/>
      <w:r w:rsidR="00D27F69">
        <w:rPr>
          <w:kern w:val="0"/>
          <w14:ligatures w14:val="none"/>
        </w:rPr>
        <w:t xml:space="preserve"> 2 (HMGCS2). CPT1A je transferáza, která katalyzuje přesun acylové skupiny z koenzymu A na karnitin za tvorby </w:t>
      </w:r>
      <w:proofErr w:type="spellStart"/>
      <w:r w:rsidR="00D27F69">
        <w:rPr>
          <w:kern w:val="0"/>
          <w14:ligatures w14:val="none"/>
        </w:rPr>
        <w:t>palmitoylkarnitinu</w:t>
      </w:r>
      <w:proofErr w:type="spellEnd"/>
      <w:r w:rsidR="00D27F69">
        <w:rPr>
          <w:kern w:val="0"/>
          <w14:ligatures w14:val="none"/>
        </w:rPr>
        <w:t xml:space="preserve"> při β-oxidaci, mezitím co HMGCS2 je důležitá při </w:t>
      </w:r>
      <w:proofErr w:type="spellStart"/>
      <w:r w:rsidR="00D27F69">
        <w:rPr>
          <w:kern w:val="0"/>
          <w14:ligatures w14:val="none"/>
        </w:rPr>
        <w:t>ketogenezi</w:t>
      </w:r>
      <w:proofErr w:type="spellEnd"/>
      <w:r w:rsidR="00272349">
        <w:rPr>
          <w:kern w:val="0"/>
          <w14:ligatures w14:val="none"/>
        </w:rPr>
        <w:t xml:space="preserve">. </w:t>
      </w:r>
      <w:r w:rsidR="00AC4F65">
        <w:rPr>
          <w:kern w:val="0"/>
          <w14:ligatures w14:val="none"/>
        </w:rPr>
        <w:t>Exprese k</w:t>
      </w:r>
      <w:r w:rsidR="00654A43">
        <w:rPr>
          <w:kern w:val="0"/>
          <w14:ligatures w14:val="none"/>
        </w:rPr>
        <w:t>líčov</w:t>
      </w:r>
      <w:r w:rsidR="00AC4F65">
        <w:rPr>
          <w:kern w:val="0"/>
          <w14:ligatures w14:val="none"/>
        </w:rPr>
        <w:t>ého</w:t>
      </w:r>
      <w:r w:rsidR="00654A43">
        <w:rPr>
          <w:kern w:val="0"/>
          <w14:ligatures w14:val="none"/>
        </w:rPr>
        <w:t xml:space="preserve"> enzym</w:t>
      </w:r>
      <w:r w:rsidR="00AC4F65">
        <w:rPr>
          <w:kern w:val="0"/>
          <w14:ligatures w14:val="none"/>
        </w:rPr>
        <w:t>u</w:t>
      </w:r>
      <w:r w:rsidR="00654A43">
        <w:rPr>
          <w:kern w:val="0"/>
          <w14:ligatures w14:val="none"/>
        </w:rPr>
        <w:t xml:space="preserve"> pro </w:t>
      </w:r>
      <w:proofErr w:type="spellStart"/>
      <w:r w:rsidR="00654A43">
        <w:rPr>
          <w:kern w:val="0"/>
          <w14:ligatures w14:val="none"/>
        </w:rPr>
        <w:t>lipogenezi</w:t>
      </w:r>
      <w:proofErr w:type="spellEnd"/>
      <w:r w:rsidR="00B15128">
        <w:rPr>
          <w:kern w:val="0"/>
          <w14:ligatures w14:val="none"/>
        </w:rPr>
        <w:t>,</w:t>
      </w:r>
      <w:r w:rsidR="00654A43">
        <w:rPr>
          <w:kern w:val="0"/>
          <w14:ligatures w14:val="none"/>
        </w:rPr>
        <w:t xml:space="preserve"> </w:t>
      </w:r>
      <w:proofErr w:type="spellStart"/>
      <w:r w:rsidR="00654A43">
        <w:rPr>
          <w:kern w:val="0"/>
          <w14:ligatures w14:val="none"/>
        </w:rPr>
        <w:t>stearoyl-CoA</w:t>
      </w:r>
      <w:proofErr w:type="spellEnd"/>
      <w:r w:rsidR="00654A43">
        <w:rPr>
          <w:kern w:val="0"/>
          <w14:ligatures w14:val="none"/>
        </w:rPr>
        <w:t xml:space="preserve"> </w:t>
      </w:r>
      <w:proofErr w:type="spellStart"/>
      <w:r w:rsidR="00654A43">
        <w:rPr>
          <w:kern w:val="0"/>
          <w14:ligatures w14:val="none"/>
        </w:rPr>
        <w:t>desaturáz</w:t>
      </w:r>
      <w:r w:rsidR="00D84885">
        <w:rPr>
          <w:kern w:val="0"/>
          <w14:ligatures w14:val="none"/>
        </w:rPr>
        <w:t>y</w:t>
      </w:r>
      <w:proofErr w:type="spellEnd"/>
      <w:r w:rsidR="00654A43">
        <w:rPr>
          <w:kern w:val="0"/>
          <w14:ligatures w14:val="none"/>
        </w:rPr>
        <w:t xml:space="preserve"> 1 (SCD1)</w:t>
      </w:r>
      <w:r w:rsidR="00B15128">
        <w:rPr>
          <w:kern w:val="0"/>
          <w14:ligatures w14:val="none"/>
        </w:rPr>
        <w:t>,</w:t>
      </w:r>
      <w:r w:rsidR="00A34F40">
        <w:rPr>
          <w:kern w:val="0"/>
          <w14:ligatures w14:val="none"/>
        </w:rPr>
        <w:t xml:space="preserve"> </w:t>
      </w:r>
      <w:r w:rsidR="00654A43">
        <w:rPr>
          <w:kern w:val="0"/>
          <w14:ligatures w14:val="none"/>
        </w:rPr>
        <w:t>je aktivitou PXR</w:t>
      </w:r>
      <w:r w:rsidR="00272349">
        <w:rPr>
          <w:kern w:val="0"/>
          <w14:ligatures w14:val="none"/>
        </w:rPr>
        <w:t xml:space="preserve"> </w:t>
      </w:r>
      <w:r w:rsidR="00D84885">
        <w:rPr>
          <w:kern w:val="0"/>
          <w14:ligatures w14:val="none"/>
        </w:rPr>
        <w:t>zvyšována</w:t>
      </w:r>
      <w:r w:rsidR="00272349">
        <w:rPr>
          <w:kern w:val="0"/>
          <w14:ligatures w14:val="none"/>
        </w:rPr>
        <w:t>. Aktivace PXR tak může mít za následek vysokou hladinu tuků v</w:t>
      </w:r>
      <w:r w:rsidR="00A34F40">
        <w:rPr>
          <w:kern w:val="0"/>
          <w14:ligatures w14:val="none"/>
        </w:rPr>
        <w:t xml:space="preserve"> </w:t>
      </w:r>
      <w:r w:rsidR="00272349">
        <w:rPr>
          <w:kern w:val="0"/>
          <w14:ligatures w14:val="none"/>
        </w:rPr>
        <w:t xml:space="preserve">organismu způsobenou zvýšenou </w:t>
      </w:r>
      <w:proofErr w:type="spellStart"/>
      <w:r w:rsidR="00272349">
        <w:rPr>
          <w:kern w:val="0"/>
          <w14:ligatures w14:val="none"/>
        </w:rPr>
        <w:t>lipogenezí</w:t>
      </w:r>
      <w:proofErr w:type="spellEnd"/>
      <w:r w:rsidR="00272349">
        <w:rPr>
          <w:kern w:val="0"/>
          <w14:ligatures w14:val="none"/>
        </w:rPr>
        <w:t xml:space="preserve"> a zpomalením β-oxidace a </w:t>
      </w:r>
      <w:proofErr w:type="spellStart"/>
      <w:r w:rsidR="00272349">
        <w:rPr>
          <w:kern w:val="0"/>
          <w14:ligatures w14:val="none"/>
        </w:rPr>
        <w:t>ketogeneze</w:t>
      </w:r>
      <w:proofErr w:type="spellEnd"/>
      <w:r w:rsidR="00D84885">
        <w:rPr>
          <w:kern w:val="0"/>
          <w14:ligatures w14:val="none"/>
        </w:rPr>
        <w:t xml:space="preserve"> </w:t>
      </w:r>
      <w:r w:rsidR="004A7A58">
        <w:rPr>
          <w:kern w:val="0"/>
          <w14:ligatures w14:val="none"/>
        </w:rPr>
        <w:fldChar w:fldCharType="begin"/>
      </w:r>
      <w:r w:rsidR="00C41CE8">
        <w:rPr>
          <w:kern w:val="0"/>
          <w14:ligatures w14:val="none"/>
        </w:rPr>
        <w:instrText xml:space="preserve"> ADDIN ZOTERO_ITEM CSL_CITATION {"citationID":"puQG5sBA","properties":{"formattedCitation":"(Nakamura {\\i{}et al.}, 2007)","plainCitation":"(Nakamura et al., 2007)","noteIndex":0},"citationItems":[{"id":132,"uris":["http://zotero.org/users/local/UB9PtTOS/items/ST6K4YAN"],"itemData":{"id":132,"type":"article-journal","container-title":"Journal of Biological Chemistry","DOI":"10.1074/jbc.M610072200","ISSN":"00219258","issue":"13","journalAbbreviation":"Journal of Biological Chemistry","language":"en","license":"https://www.elsevier.com/tdm/userlicense/1.0/","page":"9768-9776","source":"DOI.org (Crossref)","title":"Nuclear Pregnane X Receptor Cross-talk with FoxA2 to Mediate Drug-induced Regulation of Lipid Metabolism in Fasting Mouse Liver","volume":"282","author":[{"family":"Nakamura","given":"Kouichi"},{"family":"Moore","given":"Rick"},{"family":"Negishi","given":"Masahiko"},{"family":"Sueyoshi","given":"Tatsuya"}],"issued":{"date-parts":[["2007",3]]}}}],"schema":"https://github.com/citation-style-language/schema/raw/master/csl-citation.json"} </w:instrText>
      </w:r>
      <w:r w:rsidR="004A7A58">
        <w:rPr>
          <w:kern w:val="0"/>
          <w14:ligatures w14:val="none"/>
        </w:rPr>
        <w:fldChar w:fldCharType="separate"/>
      </w:r>
      <w:r w:rsidR="00C41CE8" w:rsidRPr="00C41CE8">
        <w:rPr>
          <w:kern w:val="0"/>
        </w:rPr>
        <w:t xml:space="preserve">(Nakamura </w:t>
      </w:r>
      <w:r w:rsidR="00C41CE8" w:rsidRPr="00C41CE8">
        <w:rPr>
          <w:i/>
          <w:iCs/>
          <w:kern w:val="0"/>
        </w:rPr>
        <w:t>et al.</w:t>
      </w:r>
      <w:r w:rsidR="00C41CE8" w:rsidRPr="00C41CE8">
        <w:rPr>
          <w:kern w:val="0"/>
        </w:rPr>
        <w:t>, 2007)</w:t>
      </w:r>
      <w:r w:rsidR="004A7A58">
        <w:rPr>
          <w:kern w:val="0"/>
          <w14:ligatures w14:val="none"/>
        </w:rPr>
        <w:fldChar w:fldCharType="end"/>
      </w:r>
      <w:r w:rsidR="004A7A58">
        <w:rPr>
          <w:kern w:val="0"/>
          <w14:ligatures w14:val="none"/>
        </w:rPr>
        <w:t>.</w:t>
      </w:r>
    </w:p>
    <w:p w14:paraId="545F40C7" w14:textId="7C147308" w:rsidR="00077B6D" w:rsidRDefault="00D6170B" w:rsidP="0043603A">
      <w:pPr>
        <w:rPr>
          <w:kern w:val="0"/>
          <w14:ligatures w14:val="none"/>
        </w:rPr>
      </w:pPr>
      <w:r>
        <w:rPr>
          <w:kern w:val="0"/>
          <w14:ligatures w14:val="none"/>
        </w:rPr>
        <w:tab/>
        <w:t>Játra zajišťují také udržování stálé hladiny žlučových kyselin v</w:t>
      </w:r>
      <w:r w:rsidR="00391E87">
        <w:rPr>
          <w:kern w:val="0"/>
          <w14:ligatures w14:val="none"/>
        </w:rPr>
        <w:t xml:space="preserve"> </w:t>
      </w:r>
      <w:r>
        <w:rPr>
          <w:kern w:val="0"/>
          <w14:ligatures w14:val="none"/>
        </w:rPr>
        <w:t>těle a jejich metabolismus. Žlučové kyseliny jsou látky odbourávající cholesterol z</w:t>
      </w:r>
      <w:r w:rsidR="00391E87">
        <w:rPr>
          <w:kern w:val="0"/>
          <w14:ligatures w14:val="none"/>
        </w:rPr>
        <w:t xml:space="preserve"> </w:t>
      </w:r>
      <w:r>
        <w:rPr>
          <w:kern w:val="0"/>
          <w14:ligatures w14:val="none"/>
        </w:rPr>
        <w:t>našeho organismu. Jejich syntéza probíhá v</w:t>
      </w:r>
      <w:r w:rsidR="001A600A">
        <w:rPr>
          <w:kern w:val="0"/>
          <w14:ligatures w14:val="none"/>
        </w:rPr>
        <w:t xml:space="preserve"> </w:t>
      </w:r>
      <w:r>
        <w:rPr>
          <w:kern w:val="0"/>
          <w14:ligatures w14:val="none"/>
        </w:rPr>
        <w:t>játrech, odkud jsou následně vyloučeny do střeva. Zde dochází k postupnému vstřebávání cholesterolu a vitamínů rozpustných v</w:t>
      </w:r>
      <w:r w:rsidR="00A34F40">
        <w:rPr>
          <w:kern w:val="0"/>
          <w14:ligatures w14:val="none"/>
        </w:rPr>
        <w:t xml:space="preserve"> </w:t>
      </w:r>
      <w:r>
        <w:rPr>
          <w:kern w:val="0"/>
          <w14:ligatures w14:val="none"/>
        </w:rPr>
        <w:t xml:space="preserve">tucích </w:t>
      </w:r>
      <w:r>
        <w:rPr>
          <w:kern w:val="0"/>
          <w14:ligatures w14:val="none"/>
        </w:rPr>
        <w:fldChar w:fldCharType="begin"/>
      </w:r>
      <w:r w:rsidR="001F2F53">
        <w:rPr>
          <w:kern w:val="0"/>
          <w14:ligatures w14:val="none"/>
        </w:rPr>
        <w:instrText xml:space="preserve"> ADDIN ZOTERO_ITEM CSL_CITATION {"citationID":"8yz8D9me","properties":{"formattedCitation":"(Ihunnah, Jiang and Xie, 2011)","plainCitation":"(Ihunnah, Jiang and Xie, 2011)","dontUpdate":true,"noteIndex":0},"citationItems":[{"id":9,"uris":["http://zotero.org/users/local/UB9PtTOS/items/XH25LIUH"],"itemData":{"id":9,"type":"article-journal","container-title":"Biochimica et Biophysica Acta (BBA) - Molecular Basis of Disease","DOI":"10.1016/j.bbadis.2011.01.014","ISSN":"09254439","issue":"8","journalAbbreviation":"Biochimica et Biophysica Acta (BBA) - Molecular Basis of Disease","language":"en","page":"956-963","source":"DOI.org (Crossref)","title":"Nuclear receptor PXR, transcriptional circuits and metabolic relevance","volume":"1812","author":[{"family":"Ihunnah","given":"Chibueze A."},{"family":"Jiang","given":"Mengxi"},{"family":"Xie","given":"Wen"}],"issued":{"date-parts":[["2011",8]]}}}],"schema":"https://github.com/citation-style-language/schema/raw/master/csl-citation.json"} </w:instrText>
      </w:r>
      <w:r>
        <w:rPr>
          <w:kern w:val="0"/>
          <w14:ligatures w14:val="none"/>
        </w:rPr>
        <w:fldChar w:fldCharType="separate"/>
      </w:r>
      <w:r w:rsidR="00C41CE8" w:rsidRPr="00C41CE8">
        <w:t>(Ihunnah</w:t>
      </w:r>
      <w:r w:rsidR="00236A76">
        <w:t xml:space="preserve"> </w:t>
      </w:r>
      <w:r w:rsidR="00236A76">
        <w:rPr>
          <w:i/>
          <w:iCs/>
        </w:rPr>
        <w:t>et al.</w:t>
      </w:r>
      <w:r w:rsidR="00C41CE8" w:rsidRPr="00C41CE8">
        <w:t>, 2011)</w:t>
      </w:r>
      <w:r>
        <w:rPr>
          <w:kern w:val="0"/>
          <w14:ligatures w14:val="none"/>
        </w:rPr>
        <w:fldChar w:fldCharType="end"/>
      </w:r>
      <w:r>
        <w:rPr>
          <w:kern w:val="0"/>
          <w14:ligatures w14:val="none"/>
        </w:rPr>
        <w:t xml:space="preserve">. </w:t>
      </w:r>
      <w:r>
        <w:rPr>
          <w:kern w:val="0"/>
          <w14:ligatures w14:val="none"/>
        </w:rPr>
        <w:lastRenderedPageBreak/>
        <w:t xml:space="preserve">Důležité je však regulovat hladinu samotných žlučových kyselin, vzhledem k faktu, že jejich nadměrné množství má cytotoxický efekt a způsobuje mnohé patofyziologické procesy </w:t>
      </w:r>
      <w:r>
        <w:rPr>
          <w:kern w:val="0"/>
          <w14:ligatures w14:val="none"/>
        </w:rPr>
        <w:fldChar w:fldCharType="begin"/>
      </w:r>
      <w:r w:rsidR="00C41CE8">
        <w:rPr>
          <w:kern w:val="0"/>
          <w14:ligatures w14:val="none"/>
        </w:rPr>
        <w:instrText xml:space="preserve"> ADDIN ZOTERO_ITEM CSL_CITATION {"citationID":"iWjo0xws","properties":{"formattedCitation":"(Fiorucci {\\i{}et al.}, 2007)","plainCitation":"(Fiorucci et al., 2007)","noteIndex":0},"citationItems":[{"id":42,"uris":["http://zotero.org/users/local/UB9PtTOS/items/3NIIXHLE"],"itemData":{"id":42,"type":"article-journal","container-title":"Trends in Molecular Medicine","DOI":"10.1016/j.molmed.2007.06.001","ISSN":"14714914","issue":"7","journalAbbreviation":"Trends in Molecular Medicine","language":"en","page":"298-309","source":"DOI.org (Crossref)","title":"Targeting farnesoid X receptor for liver and metabolic disorders","volume":"13","author":[{"family":"Fiorucci","given":"Stefano"},{"family":"Rizzo","given":"Gianni"},{"family":"Donini","given":"Annibale"},{"family":"Distrutti","given":"Eleonora"},{"family":"Santucci","given":"Luca"}],"issued":{"date-parts":[["2007",7]]}}}],"schema":"https://github.com/citation-style-language/schema/raw/master/csl-citation.json"} </w:instrText>
      </w:r>
      <w:r>
        <w:rPr>
          <w:kern w:val="0"/>
          <w14:ligatures w14:val="none"/>
        </w:rPr>
        <w:fldChar w:fldCharType="separate"/>
      </w:r>
      <w:r w:rsidR="00C41CE8" w:rsidRPr="00C41CE8">
        <w:rPr>
          <w:kern w:val="0"/>
        </w:rPr>
        <w:t xml:space="preserve">(Fiorucci </w:t>
      </w:r>
      <w:r w:rsidR="00C41CE8" w:rsidRPr="00C41CE8">
        <w:rPr>
          <w:i/>
          <w:iCs/>
          <w:kern w:val="0"/>
        </w:rPr>
        <w:t>et al.</w:t>
      </w:r>
      <w:r w:rsidR="00C41CE8" w:rsidRPr="00C41CE8">
        <w:rPr>
          <w:kern w:val="0"/>
        </w:rPr>
        <w:t>, 2007)</w:t>
      </w:r>
      <w:r>
        <w:rPr>
          <w:kern w:val="0"/>
          <w14:ligatures w14:val="none"/>
        </w:rPr>
        <w:fldChar w:fldCharType="end"/>
      </w:r>
      <w:r>
        <w:rPr>
          <w:kern w:val="0"/>
          <w14:ligatures w14:val="none"/>
        </w:rPr>
        <w:t>. Tato regulace je zprostředkována aktivací PXR, která způsobuje indukci</w:t>
      </w:r>
      <w:r w:rsidR="00C159B3">
        <w:rPr>
          <w:kern w:val="0"/>
          <w14:ligatures w14:val="none"/>
        </w:rPr>
        <w:t xml:space="preserve"> exprese</w:t>
      </w:r>
      <w:r>
        <w:rPr>
          <w:kern w:val="0"/>
          <w14:ligatures w14:val="none"/>
        </w:rPr>
        <w:t xml:space="preserve"> enzymů, jejichž funkcí je hydroxylace žlučových kyselin. Na metabolismu těchto látek se podílí </w:t>
      </w:r>
      <w:r w:rsidR="00077B6D">
        <w:rPr>
          <w:kern w:val="0"/>
          <w14:ligatures w14:val="none"/>
        </w:rPr>
        <w:t>nejen</w:t>
      </w:r>
      <w:r>
        <w:rPr>
          <w:kern w:val="0"/>
          <w14:ligatures w14:val="none"/>
        </w:rPr>
        <w:t xml:space="preserve"> CYP3A4, ale také jiné cílové geny receptoru. Enzym SULT2A, patřící do velké rodiny konjugujících enzymů </w:t>
      </w:r>
      <w:proofErr w:type="spellStart"/>
      <w:r>
        <w:rPr>
          <w:kern w:val="0"/>
          <w14:ligatures w14:val="none"/>
        </w:rPr>
        <w:t>cytosolických</w:t>
      </w:r>
      <w:proofErr w:type="spellEnd"/>
      <w:r>
        <w:rPr>
          <w:kern w:val="0"/>
          <w14:ligatures w14:val="none"/>
        </w:rPr>
        <w:t xml:space="preserve"> </w:t>
      </w:r>
      <w:proofErr w:type="spellStart"/>
      <w:r>
        <w:rPr>
          <w:kern w:val="0"/>
          <w14:ligatures w14:val="none"/>
        </w:rPr>
        <w:t>sulfotransferáz</w:t>
      </w:r>
      <w:proofErr w:type="spellEnd"/>
      <w:r>
        <w:rPr>
          <w:kern w:val="0"/>
          <w14:ligatures w14:val="none"/>
        </w:rPr>
        <w:t xml:space="preserve">, způsobuje detoxifikaci konkrétní žlučové kyseliny – kyseliny </w:t>
      </w:r>
      <w:proofErr w:type="spellStart"/>
      <w:r>
        <w:rPr>
          <w:kern w:val="0"/>
          <w14:ligatures w14:val="none"/>
        </w:rPr>
        <w:t>lithocholové</w:t>
      </w:r>
      <w:proofErr w:type="spellEnd"/>
      <w:r>
        <w:rPr>
          <w:kern w:val="0"/>
          <w14:ligatures w14:val="none"/>
        </w:rPr>
        <w:t xml:space="preserve"> </w:t>
      </w:r>
      <w:r>
        <w:rPr>
          <w:kern w:val="0"/>
          <w14:ligatures w14:val="none"/>
        </w:rPr>
        <w:fldChar w:fldCharType="begin"/>
      </w:r>
      <w:r w:rsidR="00C41CE8">
        <w:rPr>
          <w:kern w:val="0"/>
          <w14:ligatures w14:val="none"/>
        </w:rPr>
        <w:instrText xml:space="preserve"> ADDIN ZOTERO_ITEM CSL_CITATION {"citationID":"NO8CF7or","properties":{"formattedCitation":"(Sonoda {\\i{}et al.}, 2002)","plainCitation":"(Sonoda et al., 2002)","noteIndex":0},"citationItems":[{"id":43,"uris":["http://zotero.org/users/local/UB9PtTOS/items/TKVNM5RA"],"itemData":{"id":43,"type":"article-journal","abstract":"The nuclear receptor PXR (pregnane X receptor) protects the body from hepatotoxicity of secondary bile acids such as lithocholic acid (LCA) by inducing expression of the hydroxylating cytochrome P450 enzyme CYP3A and promoting detoxification. We found that activation of PXR also increases the activity and gene expression of the phase II conjugating enzyme dehydroepiandrosterone sulfotransferase (STD) known to sulfate LCA to facilitate its elimination. This activation is direct and appears to extend to other xenobiotic sulfotransferases as well as to 3′-phosphoadenosine 5′-phosphosulfate synthetase 2 (PAPSS2), an enzyme that generates the donor cofactor for the reaction. Because sulfation plays an important role in the metabolism of many xenobiotics, prescription drugs, and toxins, we propose that PXR serves as a master regulator of the phase I and II responses to facilitate rapid and efficient detoxification and elimination of foreign chemicals.","container-title":"Proceedings of the National Academy of Sciences","DOI":"10.1073/pnas.212494599","ISSN":"0027-8424, 1091-6490","issue":"21","journalAbbreviation":"Proc. Natl. Acad. Sci. U.S.A.","language":"en","page":"13801-13806","source":"DOI.org (Crossref)","title":"Regulation of a xenobiotic sulfonation cascade by nuclear pregnane X receptor (PXR)","volume":"99","author":[{"family":"Sonoda","given":"Junichiro"},{"family":"Xie","given":"Wen"},{"family":"Rosenfeld","given":"John M."},{"family":"Barwick","given":"Joyce L."},{"family":"Guzelian","given":"Philip S."},{"family":"Evans","given":"Ronald M."}],"issued":{"date-parts":[["2002",10,15]]}}}],"schema":"https://github.com/citation-style-language/schema/raw/master/csl-citation.json"} </w:instrText>
      </w:r>
      <w:r>
        <w:rPr>
          <w:kern w:val="0"/>
          <w14:ligatures w14:val="none"/>
        </w:rPr>
        <w:fldChar w:fldCharType="separate"/>
      </w:r>
      <w:r w:rsidR="00C41CE8" w:rsidRPr="00C41CE8">
        <w:rPr>
          <w:kern w:val="0"/>
        </w:rPr>
        <w:t xml:space="preserve">(Sonoda </w:t>
      </w:r>
      <w:r w:rsidR="00C41CE8" w:rsidRPr="00C41CE8">
        <w:rPr>
          <w:i/>
          <w:iCs/>
          <w:kern w:val="0"/>
        </w:rPr>
        <w:t>et al.</w:t>
      </w:r>
      <w:r w:rsidR="00C41CE8" w:rsidRPr="00C41CE8">
        <w:rPr>
          <w:kern w:val="0"/>
        </w:rPr>
        <w:t>, 2002)</w:t>
      </w:r>
      <w:r>
        <w:rPr>
          <w:kern w:val="0"/>
          <w14:ligatures w14:val="none"/>
        </w:rPr>
        <w:fldChar w:fldCharType="end"/>
      </w:r>
      <w:r>
        <w:rPr>
          <w:kern w:val="0"/>
          <w14:ligatures w14:val="none"/>
        </w:rPr>
        <w:t>.</w:t>
      </w:r>
      <w:r w:rsidR="0043603A">
        <w:rPr>
          <w:kern w:val="0"/>
          <w14:ligatures w14:val="none"/>
        </w:rPr>
        <w:t xml:space="preserve"> </w:t>
      </w:r>
      <w:r>
        <w:rPr>
          <w:kern w:val="0"/>
          <w14:ligatures w14:val="none"/>
        </w:rPr>
        <w:t xml:space="preserve">Ta se řadí mezi jedny z nejtoxičtějších při jejím nadbytku. </w:t>
      </w:r>
      <w:proofErr w:type="spellStart"/>
      <w:r>
        <w:rPr>
          <w:kern w:val="0"/>
          <w14:ligatures w14:val="none"/>
        </w:rPr>
        <w:t>Cytosolické</w:t>
      </w:r>
      <w:proofErr w:type="spellEnd"/>
      <w:r>
        <w:rPr>
          <w:kern w:val="0"/>
          <w14:ligatures w14:val="none"/>
        </w:rPr>
        <w:t xml:space="preserve"> </w:t>
      </w:r>
      <w:proofErr w:type="spellStart"/>
      <w:r>
        <w:rPr>
          <w:kern w:val="0"/>
          <w14:ligatures w14:val="none"/>
        </w:rPr>
        <w:t>sulfotransferázy</w:t>
      </w:r>
      <w:proofErr w:type="spellEnd"/>
      <w:r>
        <w:rPr>
          <w:kern w:val="0"/>
          <w14:ligatures w14:val="none"/>
        </w:rPr>
        <w:t xml:space="preserve"> jsou enzymy II. fáze detoxifikace a jsou zodpovědné za přenos </w:t>
      </w:r>
      <w:proofErr w:type="spellStart"/>
      <w:r>
        <w:rPr>
          <w:kern w:val="0"/>
          <w14:ligatures w14:val="none"/>
        </w:rPr>
        <w:t>sulfonátové</w:t>
      </w:r>
      <w:proofErr w:type="spellEnd"/>
      <w:r>
        <w:rPr>
          <w:kern w:val="0"/>
          <w14:ligatures w14:val="none"/>
        </w:rPr>
        <w:t xml:space="preserve"> skupiny z</w:t>
      </w:r>
      <w:r w:rsidR="00D42990">
        <w:rPr>
          <w:kern w:val="0"/>
          <w14:ligatures w14:val="none"/>
        </w:rPr>
        <w:t xml:space="preserve"> </w:t>
      </w:r>
      <w:r>
        <w:rPr>
          <w:kern w:val="0"/>
          <w14:ligatures w14:val="none"/>
        </w:rPr>
        <w:t>donorové molekuly</w:t>
      </w:r>
      <w:r w:rsidR="000E4CB9">
        <w:rPr>
          <w:kern w:val="0"/>
          <w14:ligatures w14:val="none"/>
        </w:rPr>
        <w:br/>
      </w:r>
      <w:r>
        <w:rPr>
          <w:kern w:val="0"/>
          <w14:ligatures w14:val="none"/>
        </w:rPr>
        <w:t>3′-fosfoadenozin</w:t>
      </w:r>
      <w:r w:rsidR="005F3768">
        <w:rPr>
          <w:kern w:val="0"/>
          <w14:ligatures w14:val="none"/>
        </w:rPr>
        <w:t>-</w:t>
      </w:r>
      <w:r>
        <w:rPr>
          <w:kern w:val="0"/>
          <w14:ligatures w14:val="none"/>
        </w:rPr>
        <w:t>5′-fosfosulfátu (PAPS) na hydroxylové či amino</w:t>
      </w:r>
      <w:r w:rsidR="005A42B3">
        <w:rPr>
          <w:kern w:val="0"/>
          <w14:ligatures w14:val="none"/>
        </w:rPr>
        <w:t>vé</w:t>
      </w:r>
      <w:r>
        <w:rPr>
          <w:kern w:val="0"/>
          <w14:ligatures w14:val="none"/>
        </w:rPr>
        <w:t xml:space="preserve"> skupiny lipofilní molekuly. Konjugací této </w:t>
      </w:r>
      <w:proofErr w:type="spellStart"/>
      <w:r>
        <w:rPr>
          <w:kern w:val="0"/>
          <w14:ligatures w14:val="none"/>
        </w:rPr>
        <w:t>sulfonátové</w:t>
      </w:r>
      <w:proofErr w:type="spellEnd"/>
      <w:r>
        <w:rPr>
          <w:kern w:val="0"/>
          <w14:ligatures w14:val="none"/>
        </w:rPr>
        <w:t xml:space="preserve"> skupiny se zvyšuje rozpustnost látky ve vodě, čímž je usnadněn proces jejího odstranění z těla </w:t>
      </w:r>
      <w:r>
        <w:rPr>
          <w:kern w:val="0"/>
          <w14:ligatures w14:val="none"/>
        </w:rPr>
        <w:fldChar w:fldCharType="begin"/>
      </w:r>
      <w:r w:rsidR="00C41CE8">
        <w:rPr>
          <w:kern w:val="0"/>
          <w14:ligatures w14:val="none"/>
        </w:rPr>
        <w:instrText xml:space="preserve"> ADDIN ZOTERO_ITEM CSL_CITATION {"citationID":"gDDX3XYx","properties":{"formattedCitation":"(Falany, 1997)","plainCitation":"(Falany, 1997)","noteIndex":0},"citationItems":[{"id":45,"uris":["http://zotero.org/users/local/UB9PtTOS/items/WC2T6FLK"],"itemData":{"id":45,"type":"article-journal","container-title":"The FASEB Journal","DOI":"10.1096/fasebj.11.4.9068609","ISSN":"0892-6638, 1530-6860","issue":"4","journalAbbreviation":"FASEB j.","language":"en","page":"206-216","source":"DOI.org (Crossref)","title":"Enzymology of human cytosolic sulfotransferases","volume":"11","author":[{"family":"Falany","given":"Charles N."}],"issued":{"date-parts":[["1997",3]]}}}],"schema":"https://github.com/citation-style-language/schema/raw/master/csl-citation.json"} </w:instrText>
      </w:r>
      <w:r>
        <w:rPr>
          <w:kern w:val="0"/>
          <w14:ligatures w14:val="none"/>
        </w:rPr>
        <w:fldChar w:fldCharType="separate"/>
      </w:r>
      <w:r w:rsidR="00C41CE8" w:rsidRPr="00C41CE8">
        <w:t>(Falany, 1997)</w:t>
      </w:r>
      <w:r>
        <w:rPr>
          <w:kern w:val="0"/>
          <w14:ligatures w14:val="none"/>
        </w:rPr>
        <w:fldChar w:fldCharType="end"/>
      </w:r>
      <w:r>
        <w:rPr>
          <w:kern w:val="0"/>
          <w14:ligatures w14:val="none"/>
        </w:rPr>
        <w:t xml:space="preserve">. Aktivace PXR indukuje také enzym PAPS </w:t>
      </w:r>
      <w:proofErr w:type="spellStart"/>
      <w:r>
        <w:rPr>
          <w:kern w:val="0"/>
          <w14:ligatures w14:val="none"/>
        </w:rPr>
        <w:t>syntetázu</w:t>
      </w:r>
      <w:proofErr w:type="spellEnd"/>
      <w:r>
        <w:rPr>
          <w:kern w:val="0"/>
          <w14:ligatures w14:val="none"/>
        </w:rPr>
        <w:t xml:space="preserve"> 2 (PAPSS2), jehož funkcí je tvorba donorů </w:t>
      </w:r>
      <w:proofErr w:type="spellStart"/>
      <w:r>
        <w:rPr>
          <w:kern w:val="0"/>
          <w14:ligatures w14:val="none"/>
        </w:rPr>
        <w:t>sulfonátových</w:t>
      </w:r>
      <w:proofErr w:type="spellEnd"/>
      <w:r>
        <w:rPr>
          <w:kern w:val="0"/>
          <w14:ligatures w14:val="none"/>
        </w:rPr>
        <w:t xml:space="preserve"> skupin PAPS </w:t>
      </w:r>
      <w:r>
        <w:rPr>
          <w:kern w:val="0"/>
          <w14:ligatures w14:val="none"/>
        </w:rPr>
        <w:fldChar w:fldCharType="begin"/>
      </w:r>
      <w:r w:rsidR="00C41CE8">
        <w:rPr>
          <w:kern w:val="0"/>
          <w14:ligatures w14:val="none"/>
        </w:rPr>
        <w:instrText xml:space="preserve"> ADDIN ZOTERO_ITEM CSL_CITATION {"citationID":"REEOFbj7","properties":{"formattedCitation":"(Sonoda {\\i{}et al.}, 2002)","plainCitation":"(Sonoda et al., 2002)","noteIndex":0},"citationItems":[{"id":43,"uris":["http://zotero.org/users/local/UB9PtTOS/items/TKVNM5RA"],"itemData":{"id":43,"type":"article-journal","abstract":"The nuclear receptor PXR (pregnane X receptor) protects the body from hepatotoxicity of secondary bile acids such as lithocholic acid (LCA) by inducing expression of the hydroxylating cytochrome P450 enzyme CYP3A and promoting detoxification. We found that activation of PXR also increases the activity and gene expression of the phase II conjugating enzyme dehydroepiandrosterone sulfotransferase (STD) known to sulfate LCA to facilitate its elimination. This activation is direct and appears to extend to other xenobiotic sulfotransferases as well as to 3′-phosphoadenosine 5′-phosphosulfate synthetase 2 (PAPSS2), an enzyme that generates the donor cofactor for the reaction. Because sulfation plays an important role in the metabolism of many xenobiotics, prescription drugs, and toxins, we propose that PXR serves as a master regulator of the phase I and II responses to facilitate rapid and efficient detoxification and elimination of foreign chemicals.","container-title":"Proceedings of the National Academy of Sciences","DOI":"10.1073/pnas.212494599","ISSN":"0027-8424, 1091-6490","issue":"21","journalAbbreviation":"Proc. Natl. Acad. Sci. U.S.A.","language":"en","page":"13801-13806","source":"DOI.org (Crossref)","title":"Regulation of a xenobiotic sulfonation cascade by nuclear pregnane X receptor (PXR)","volume":"99","author":[{"family":"Sonoda","given":"Junichiro"},{"family":"Xie","given":"Wen"},{"family":"Rosenfeld","given":"John M."},{"family":"Barwick","given":"Joyce L."},{"family":"Guzelian","given":"Philip S."},{"family":"Evans","given":"Ronald M."}],"issued":{"date-parts":[["2002",10,15]]}}}],"schema":"https://github.com/citation-style-language/schema/raw/master/csl-citation.json"} </w:instrText>
      </w:r>
      <w:r>
        <w:rPr>
          <w:kern w:val="0"/>
          <w14:ligatures w14:val="none"/>
        </w:rPr>
        <w:fldChar w:fldCharType="separate"/>
      </w:r>
      <w:r w:rsidR="00C41CE8" w:rsidRPr="00C41CE8">
        <w:rPr>
          <w:kern w:val="0"/>
        </w:rPr>
        <w:t xml:space="preserve">(Sonoda </w:t>
      </w:r>
      <w:r w:rsidR="00C41CE8" w:rsidRPr="00C41CE8">
        <w:rPr>
          <w:i/>
          <w:iCs/>
          <w:kern w:val="0"/>
        </w:rPr>
        <w:t>et al.</w:t>
      </w:r>
      <w:r w:rsidR="00C41CE8" w:rsidRPr="00C41CE8">
        <w:rPr>
          <w:kern w:val="0"/>
        </w:rPr>
        <w:t>, 2002)</w:t>
      </w:r>
      <w:r>
        <w:rPr>
          <w:kern w:val="0"/>
          <w14:ligatures w14:val="none"/>
        </w:rPr>
        <w:fldChar w:fldCharType="end"/>
      </w:r>
      <w:r>
        <w:rPr>
          <w:kern w:val="0"/>
          <w14:ligatures w14:val="none"/>
        </w:rPr>
        <w:t>.</w:t>
      </w:r>
    </w:p>
    <w:p w14:paraId="0739F179" w14:textId="30046490" w:rsidR="004A0126" w:rsidRPr="004A0126" w:rsidRDefault="004A0126" w:rsidP="0043603A">
      <w:r>
        <w:rPr>
          <w:kern w:val="0"/>
          <w14:ligatures w14:val="none"/>
        </w:rPr>
        <w:tab/>
      </w:r>
      <w:r w:rsidR="006F098D">
        <w:rPr>
          <w:kern w:val="0"/>
          <w14:ligatures w14:val="none"/>
        </w:rPr>
        <w:t xml:space="preserve">PXR </w:t>
      </w:r>
      <w:r w:rsidR="00830170">
        <w:rPr>
          <w:kern w:val="0"/>
          <w14:ligatures w14:val="none"/>
        </w:rPr>
        <w:t xml:space="preserve">má kromě již výše </w:t>
      </w:r>
      <w:r w:rsidR="00A06719">
        <w:rPr>
          <w:kern w:val="0"/>
          <w14:ligatures w14:val="none"/>
        </w:rPr>
        <w:t>vypsaných</w:t>
      </w:r>
      <w:r w:rsidR="00830170">
        <w:rPr>
          <w:kern w:val="0"/>
          <w14:ligatures w14:val="none"/>
        </w:rPr>
        <w:t xml:space="preserve"> funkcí také funkci v</w:t>
      </w:r>
      <w:r w:rsidR="00AB3F7A">
        <w:rPr>
          <w:kern w:val="0"/>
          <w14:ligatures w14:val="none"/>
        </w:rPr>
        <w:t xml:space="preserve"> metabolismu </w:t>
      </w:r>
      <w:proofErr w:type="spellStart"/>
      <w:r w:rsidR="00AB3F7A">
        <w:rPr>
          <w:kern w:val="0"/>
          <w14:ligatures w14:val="none"/>
        </w:rPr>
        <w:t>xenobiotik</w:t>
      </w:r>
      <w:proofErr w:type="spellEnd"/>
      <w:r w:rsidR="00AB3F7A">
        <w:rPr>
          <w:kern w:val="0"/>
          <w14:ligatures w14:val="none"/>
        </w:rPr>
        <w:t>,</w:t>
      </w:r>
      <w:r w:rsidR="000E4CB9">
        <w:rPr>
          <w:kern w:val="0"/>
          <w14:ligatures w14:val="none"/>
        </w:rPr>
        <w:t xml:space="preserve"> </w:t>
      </w:r>
      <w:r w:rsidR="00AB3F7A">
        <w:rPr>
          <w:kern w:val="0"/>
          <w14:ligatures w14:val="none"/>
        </w:rPr>
        <w:t xml:space="preserve">kde </w:t>
      </w:r>
      <w:proofErr w:type="gramStart"/>
      <w:r w:rsidR="00AB3F7A">
        <w:rPr>
          <w:kern w:val="0"/>
          <w14:ligatures w14:val="none"/>
        </w:rPr>
        <w:t>slouží</w:t>
      </w:r>
      <w:proofErr w:type="gramEnd"/>
      <w:r w:rsidR="00AB3F7A">
        <w:rPr>
          <w:kern w:val="0"/>
          <w14:ligatures w14:val="none"/>
        </w:rPr>
        <w:t xml:space="preserve"> jako</w:t>
      </w:r>
      <w:r w:rsidR="00A778B2">
        <w:rPr>
          <w:kern w:val="0"/>
          <w14:ligatures w14:val="none"/>
        </w:rPr>
        <w:t xml:space="preserve"> regulátor.</w:t>
      </w:r>
      <w:r w:rsidR="002B1CD9">
        <w:rPr>
          <w:kern w:val="0"/>
          <w14:ligatures w14:val="none"/>
        </w:rPr>
        <w:t xml:space="preserve"> </w:t>
      </w:r>
      <w:r w:rsidR="00220F8C">
        <w:rPr>
          <w:kern w:val="0"/>
          <w14:ligatures w14:val="none"/>
        </w:rPr>
        <w:t xml:space="preserve">Jeho cílovým genem je CYP3A4, který se podílí na </w:t>
      </w:r>
      <w:r w:rsidR="000158B0">
        <w:rPr>
          <w:kern w:val="0"/>
          <w14:ligatures w14:val="none"/>
        </w:rPr>
        <w:t xml:space="preserve">metabolismu řady léčiv. </w:t>
      </w:r>
      <w:r w:rsidR="0021600B">
        <w:rPr>
          <w:kern w:val="0"/>
          <w14:ligatures w14:val="none"/>
        </w:rPr>
        <w:t>Bylo prokázáno, že</w:t>
      </w:r>
      <w:r w:rsidR="00784FD0">
        <w:rPr>
          <w:kern w:val="0"/>
          <w14:ligatures w14:val="none"/>
        </w:rPr>
        <w:t xml:space="preserve"> </w:t>
      </w:r>
      <w:r w:rsidR="00FE4840">
        <w:rPr>
          <w:kern w:val="0"/>
          <w14:ligatures w14:val="none"/>
        </w:rPr>
        <w:t xml:space="preserve">aktivací PXR dochází k indukci exprese CYP3A4 a tím </w:t>
      </w:r>
      <w:r w:rsidR="00AF6DED">
        <w:rPr>
          <w:kern w:val="0"/>
          <w14:ligatures w14:val="none"/>
        </w:rPr>
        <w:t>k</w:t>
      </w:r>
      <w:r w:rsidR="00755001">
        <w:rPr>
          <w:kern w:val="0"/>
          <w14:ligatures w14:val="none"/>
        </w:rPr>
        <w:t> lékovým interakcím v</w:t>
      </w:r>
      <w:r w:rsidR="00761A8F">
        <w:rPr>
          <w:kern w:val="0"/>
          <w14:ligatures w14:val="none"/>
        </w:rPr>
        <w:t xml:space="preserve"> </w:t>
      </w:r>
      <w:r w:rsidR="00755001">
        <w:rPr>
          <w:kern w:val="0"/>
          <w14:ligatures w14:val="none"/>
        </w:rPr>
        <w:t>organismu.</w:t>
      </w:r>
      <w:r w:rsidR="00A778B2">
        <w:rPr>
          <w:kern w:val="0"/>
          <w14:ligatures w14:val="none"/>
        </w:rPr>
        <w:t xml:space="preserve"> </w:t>
      </w:r>
      <w:r w:rsidR="00DF1D44">
        <w:t>Kromě</w:t>
      </w:r>
      <w:r>
        <w:t xml:space="preserve"> </w:t>
      </w:r>
      <w:r w:rsidR="009202BA">
        <w:t>zmíněn</w:t>
      </w:r>
      <w:r w:rsidR="00AF789F">
        <w:t>ých</w:t>
      </w:r>
      <w:r>
        <w:t xml:space="preserve"> cílových genů se PXR podílí na expresi dalších proteinů. Jedná se o</w:t>
      </w:r>
      <w:r w:rsidR="00761A8F">
        <w:t xml:space="preserve"> </w:t>
      </w:r>
      <w:r>
        <w:t xml:space="preserve">UGT1A1 a transportní proteiny MDR1 a </w:t>
      </w:r>
      <w:proofErr w:type="spellStart"/>
      <w:r>
        <w:t>multidrug</w:t>
      </w:r>
      <w:proofErr w:type="spellEnd"/>
      <w:r>
        <w:t xml:space="preserve"> resistence-</w:t>
      </w:r>
      <w:proofErr w:type="spellStart"/>
      <w:r>
        <w:t>associated</w:t>
      </w:r>
      <w:proofErr w:type="spellEnd"/>
      <w:r>
        <w:t xml:space="preserve"> protein 2 (MRP2) </w:t>
      </w:r>
      <w:r>
        <w:fldChar w:fldCharType="begin"/>
      </w:r>
      <w:r>
        <w:instrText xml:space="preserve"> ADDIN ZOTERO_ITEM CSL_CITATION {"citationID":"VIa82IAY","properties":{"formattedCitation":"(Gao a Xie 2010)","plainCitation":"(Gao a Xie 2010)","dontUpdate":true,"noteIndex":0},"citationItems":[{"id":69,"uris":["http://zotero.org/users/local/UB9PtTOS/items/HIHMJRU8"],"itemData":{"id":69,"type":"article-journal","container-title":"Drug Metabolism and Disposition","DOI":"10.1124/dmd.110.035568","ISSN":"0090-9556, 1521-009X","issue":"12","journalAbbreviation":"Drug Metab Dispos","language":"en","page":"2091-2095","source":"DOI.org (Crossref)","title":"Pregnane X Receptor and Constitutive Androstane Receptor at the Crossroads of Drug Metabolism and Energy Metabolism","volume":"38","author":[{"family":"Gao","given":"Jie"},{"family":"Xie","given":"Wen"}],"issued":{"date-parts":[["2010",12]]}}}],"schema":"https://github.com/citation-style-language/schema/raw/master/csl-citation.json"} </w:instrText>
      </w:r>
      <w:r>
        <w:fldChar w:fldCharType="separate"/>
      </w:r>
      <w:r>
        <w:t xml:space="preserve">(Gao </w:t>
      </w:r>
      <w:r>
        <w:rPr>
          <w:i/>
          <w:iCs/>
        </w:rPr>
        <w:t>et</w:t>
      </w:r>
      <w:r>
        <w:t xml:space="preserve"> Xie 2010)</w:t>
      </w:r>
      <w:r>
        <w:fldChar w:fldCharType="end"/>
      </w:r>
      <w:r>
        <w:t>. UGT1A1 je protein důležitý v</w:t>
      </w:r>
      <w:r w:rsidR="00761A8F">
        <w:t xml:space="preserve"> </w:t>
      </w:r>
      <w:r>
        <w:t>metabolismu</w:t>
      </w:r>
      <w:r w:rsidR="000E4CB9">
        <w:br/>
      </w:r>
      <w:proofErr w:type="spellStart"/>
      <w:r>
        <w:t>xenobiotik</w:t>
      </w:r>
      <w:proofErr w:type="spellEnd"/>
      <w:r w:rsidR="000E4CB9">
        <w:t xml:space="preserve"> </w:t>
      </w:r>
      <w:r>
        <w:t>a endogenních látek jako např. bilirubin a je nejčastějším izotypem</w:t>
      </w:r>
      <w:r w:rsidR="000E4CB9">
        <w:t xml:space="preserve"> </w:t>
      </w:r>
      <w:r>
        <w:t>rodiny</w:t>
      </w:r>
      <w:r w:rsidR="007B48C4">
        <w:br/>
      </w:r>
      <w:r>
        <w:t>UDP-</w:t>
      </w:r>
      <w:proofErr w:type="spellStart"/>
      <w:r>
        <w:t>glukuronosyltransferáz</w:t>
      </w:r>
      <w:proofErr w:type="spellEnd"/>
      <w:r>
        <w:t>. Funkcí transportního proteinu MRP2 je přenos konjugátů produktů II. fáze biotransformace.</w:t>
      </w:r>
    </w:p>
    <w:p w14:paraId="6E995119" w14:textId="77608838" w:rsidR="00DD514A" w:rsidRPr="00F82687" w:rsidRDefault="00034083" w:rsidP="00DD514A">
      <w:pPr>
        <w:rPr>
          <w:b/>
          <w:bCs/>
          <w:kern w:val="0"/>
          <w14:ligatures w14:val="none"/>
        </w:rPr>
      </w:pPr>
      <w:r>
        <w:rPr>
          <w:kern w:val="0"/>
          <w14:ligatures w14:val="none"/>
        </w:rPr>
        <w:tab/>
        <w:t>Role PXR je důležitá nejen při fyziologických procesech organismu, uplatňuje se také při různých zánětlivých onemocněních.</w:t>
      </w:r>
      <w:r w:rsidR="00CA6B19">
        <w:rPr>
          <w:kern w:val="0"/>
          <w14:ligatures w14:val="none"/>
        </w:rPr>
        <w:t xml:space="preserve"> </w:t>
      </w:r>
      <w:r>
        <w:rPr>
          <w:kern w:val="0"/>
          <w14:ligatures w14:val="none"/>
        </w:rPr>
        <w:t>Jedním z</w:t>
      </w:r>
      <w:r w:rsidR="00B01225">
        <w:rPr>
          <w:kern w:val="0"/>
          <w14:ligatures w14:val="none"/>
        </w:rPr>
        <w:t xml:space="preserve"> </w:t>
      </w:r>
      <w:r>
        <w:rPr>
          <w:kern w:val="0"/>
          <w14:ligatures w14:val="none"/>
        </w:rPr>
        <w:t>regulátorů</w:t>
      </w:r>
      <w:r w:rsidR="008F297F">
        <w:rPr>
          <w:kern w:val="0"/>
          <w14:ligatures w14:val="none"/>
        </w:rPr>
        <w:t xml:space="preserve"> zánětlivých reakcí</w:t>
      </w:r>
      <w:r>
        <w:rPr>
          <w:kern w:val="0"/>
          <w14:ligatures w14:val="none"/>
        </w:rPr>
        <w:t xml:space="preserve"> je </w:t>
      </w:r>
      <w:r w:rsidR="00CA6B19">
        <w:rPr>
          <w:kern w:val="0"/>
          <w14:ligatures w14:val="none"/>
        </w:rPr>
        <w:t>nukleární faktor kappa B (</w:t>
      </w:r>
      <w:r>
        <w:rPr>
          <w:kern w:val="0"/>
          <w14:ligatures w14:val="none"/>
        </w:rPr>
        <w:t>NF-</w:t>
      </w:r>
      <w:proofErr w:type="spellStart"/>
      <w:r w:rsidR="00CA6B19" w:rsidRPr="00CA6B19">
        <w:rPr>
          <w:kern w:val="0"/>
          <w14:ligatures w14:val="none"/>
        </w:rPr>
        <w:t>κB</w:t>
      </w:r>
      <w:proofErr w:type="spellEnd"/>
      <w:r w:rsidR="00CA6B19">
        <w:rPr>
          <w:kern w:val="0"/>
          <w14:ligatures w14:val="none"/>
        </w:rPr>
        <w:t>)</w:t>
      </w:r>
      <w:r w:rsidR="00084096">
        <w:rPr>
          <w:kern w:val="0"/>
          <w14:ligatures w14:val="none"/>
        </w:rPr>
        <w:t xml:space="preserve"> </w:t>
      </w:r>
      <w:r w:rsidR="00084096">
        <w:rPr>
          <w:kern w:val="0"/>
          <w14:ligatures w14:val="none"/>
        </w:rPr>
        <w:fldChar w:fldCharType="begin"/>
      </w:r>
      <w:r w:rsidR="001F2F53">
        <w:rPr>
          <w:kern w:val="0"/>
          <w14:ligatures w14:val="none"/>
        </w:rPr>
        <w:instrText xml:space="preserve"> ADDIN ZOTERO_ITEM CSL_CITATION {"citationID":"FXKK7hcj","properties":{"formattedCitation":"(Oeckinghaus and Ghosh, 2009)","plainCitation":"(Oeckinghaus and Ghosh, 2009)","dontUpdate":true,"noteIndex":0},"citationItems":[{"id":139,"uris":["http://zotero.org/users/local/UB9PtTOS/items/TT9AYWZF"],"itemData":{"id":139,"type":"article-journal","container-title":"Cold Spring Harbor Perspectives in Biology","DOI":"10.1101/cshperspect.a000034","ISSN":"1943-0264","issue":"4","journalAbbreviation":"Cold Spring Harbor Perspectives in Biology","language":"en","page":"a000034-a000034","source":"DOI.org (Crossref)","title":"The NF- B Family of Transcription Factors and Its Regulation","volume":"1","author":[{"family":"Oeckinghaus","given":"A."},{"family":"Ghosh","given":"S."}],"issued":{"date-parts":[["2009",10,1]]}}}],"schema":"https://github.com/citation-style-language/schema/raw/master/csl-citation.json"} </w:instrText>
      </w:r>
      <w:r w:rsidR="00084096">
        <w:rPr>
          <w:kern w:val="0"/>
          <w14:ligatures w14:val="none"/>
        </w:rPr>
        <w:fldChar w:fldCharType="separate"/>
      </w:r>
      <w:r w:rsidR="00C41CE8" w:rsidRPr="00C41CE8">
        <w:t xml:space="preserve">(Oeckinghaus </w:t>
      </w:r>
      <w:r w:rsidR="00A57167">
        <w:rPr>
          <w:i/>
          <w:iCs/>
        </w:rPr>
        <w:t>et</w:t>
      </w:r>
      <w:r w:rsidR="00C41CE8" w:rsidRPr="00C41CE8">
        <w:t xml:space="preserve"> Ghosh, 2009)</w:t>
      </w:r>
      <w:r w:rsidR="00084096">
        <w:rPr>
          <w:kern w:val="0"/>
          <w14:ligatures w14:val="none"/>
        </w:rPr>
        <w:fldChar w:fldCharType="end"/>
      </w:r>
      <w:r w:rsidR="00DC428F">
        <w:rPr>
          <w:kern w:val="0"/>
          <w14:ligatures w14:val="none"/>
        </w:rPr>
        <w:t xml:space="preserve">. </w:t>
      </w:r>
      <w:r w:rsidR="008F297F">
        <w:rPr>
          <w:kern w:val="0"/>
          <w14:ligatures w14:val="none"/>
        </w:rPr>
        <w:t xml:space="preserve">Při jeho aktivaci dochází ke zvýšené transkripci prozánětlivých mediátorů, např. </w:t>
      </w:r>
      <w:proofErr w:type="spellStart"/>
      <w:r w:rsidR="008F297F">
        <w:rPr>
          <w:kern w:val="0"/>
          <w14:ligatures w14:val="none"/>
        </w:rPr>
        <w:t>interleukinu</w:t>
      </w:r>
      <w:proofErr w:type="spellEnd"/>
      <w:r w:rsidR="00322798">
        <w:rPr>
          <w:kern w:val="0"/>
          <w14:ligatures w14:val="none"/>
        </w:rPr>
        <w:t xml:space="preserve"> 1β</w:t>
      </w:r>
      <w:r w:rsidR="008F297F">
        <w:rPr>
          <w:kern w:val="0"/>
          <w14:ligatures w14:val="none"/>
        </w:rPr>
        <w:t xml:space="preserve"> (IL-1β</w:t>
      </w:r>
      <w:r w:rsidR="006A56EA">
        <w:rPr>
          <w:kern w:val="0"/>
          <w14:ligatures w14:val="none"/>
        </w:rPr>
        <w:t>)</w:t>
      </w:r>
      <w:r w:rsidR="008F297F">
        <w:rPr>
          <w:kern w:val="0"/>
          <w14:ligatures w14:val="none"/>
        </w:rPr>
        <w:t>, tumor ne</w:t>
      </w:r>
      <w:r w:rsidR="008306AF">
        <w:rPr>
          <w:kern w:val="0"/>
          <w14:ligatures w14:val="none"/>
        </w:rPr>
        <w:t>krotizující</w:t>
      </w:r>
      <w:r w:rsidR="004B3D93">
        <w:rPr>
          <w:kern w:val="0"/>
          <w14:ligatures w14:val="none"/>
        </w:rPr>
        <w:t>ho</w:t>
      </w:r>
      <w:r w:rsidR="004B3D93">
        <w:rPr>
          <w:kern w:val="0"/>
          <w14:ligatures w14:val="none"/>
        </w:rPr>
        <w:br/>
      </w:r>
      <w:r w:rsidR="008F297F">
        <w:rPr>
          <w:kern w:val="0"/>
          <w14:ligatures w14:val="none"/>
        </w:rPr>
        <w:t>faktoru</w:t>
      </w:r>
      <w:r w:rsidR="008306AF">
        <w:rPr>
          <w:kern w:val="0"/>
          <w14:ligatures w14:val="none"/>
        </w:rPr>
        <w:t xml:space="preserve"> </w:t>
      </w:r>
      <w:r w:rsidR="008F297F">
        <w:rPr>
          <w:kern w:val="0"/>
          <w14:ligatures w14:val="none"/>
        </w:rPr>
        <w:t>α (TNF-α) či interferonu</w:t>
      </w:r>
      <w:r w:rsidR="009B7968">
        <w:rPr>
          <w:kern w:val="0"/>
          <w14:ligatures w14:val="none"/>
        </w:rPr>
        <w:t xml:space="preserve"> </w:t>
      </w:r>
      <w:r w:rsidR="009B7968" w:rsidRPr="008F297F">
        <w:rPr>
          <w:kern w:val="0"/>
          <w14:ligatures w14:val="none"/>
        </w:rPr>
        <w:t>γ</w:t>
      </w:r>
      <w:r w:rsidR="008F297F">
        <w:rPr>
          <w:kern w:val="0"/>
          <w14:ligatures w14:val="none"/>
        </w:rPr>
        <w:t xml:space="preserve"> (IF</w:t>
      </w:r>
      <w:r w:rsidR="009B7968">
        <w:rPr>
          <w:kern w:val="0"/>
          <w14:ligatures w14:val="none"/>
        </w:rPr>
        <w:t>N-</w:t>
      </w:r>
      <w:r w:rsidR="009B7968" w:rsidRPr="008F297F">
        <w:rPr>
          <w:kern w:val="0"/>
          <w14:ligatures w14:val="none"/>
        </w:rPr>
        <w:t>γ</w:t>
      </w:r>
      <w:r w:rsidR="009B7968">
        <w:rPr>
          <w:kern w:val="0"/>
          <w14:ligatures w14:val="none"/>
        </w:rPr>
        <w:t>)</w:t>
      </w:r>
      <w:r w:rsidR="008F297F">
        <w:rPr>
          <w:kern w:val="0"/>
          <w14:ligatures w14:val="none"/>
        </w:rPr>
        <w:t xml:space="preserve"> a dochází k zánětu </w:t>
      </w:r>
      <w:r w:rsidR="00B35073">
        <w:rPr>
          <w:kern w:val="0"/>
          <w14:ligatures w14:val="none"/>
        </w:rPr>
        <w:fldChar w:fldCharType="begin"/>
      </w:r>
      <w:r w:rsidR="00B35073">
        <w:rPr>
          <w:kern w:val="0"/>
          <w14:ligatures w14:val="none"/>
        </w:rPr>
        <w:instrText xml:space="preserve"> ADDIN ZOTERO_ITEM CSL_CITATION {"citationID":"Y28iJgwJ","properties":{"formattedCitation":"(Goulart, 2022; Na {\\i{}et al.}, 2022; Qin {\\i{}et al.}, 2022; Matias {\\i{}et al.}, 2024)","plainCitation":"(Goulart, 2022; Na et al., 2022; Qin et al., 2022; Matias et al., 2024)","noteIndex":0},"citationItems":[{"id":198,"uris":["http://zotero.org/users/local/UB9PtTOS/items/Q2RES83P"],"itemData":{"id":198,"type":"article-journal","container-title":"Annals of Gastroenterology","DOI":"10.20524/aog.2022.0692","ISSN":"17927463","journalAbbreviation":"aog","source":"DOI.org (Crossref)","title":"Can vitamin D induce remission in patients with inflammatory bowel disease?","URL":"http://www.annalsgastro.gr/files/journals/1/earlyview/2022/ev-02-2022-07-AG_6124-0692.pdf","author":[{"family":"Goulart","given":"Ricardo"}],"accessed":{"date-parts":[["2024",4,12]]},"issued":{"date-parts":[["2022"]]}}},{"id":195,"uris":["http://zotero.org/users/local/UB9PtTOS/items/7N6BEGVQ"],"itemData":{"id":195,"type":"article-journal","abstract":"Background:\n              Several studies have suggested an association between inflammatory bowel disease (IBD) and the risk of prostate cancer development. However, these findings are inconsistent, and studies based on Asian populations are limited.\n            \n            \n              Objectives:\n              We compared the risk of prostate cancer according to IBD status using the Korean National Health Insurance Service database.\n            \n            \n              Design:\n              A population-based retrospective cohort of age-matched 59,044 non-IBD patients and 14,761 IBD patients between January 2009 and December 2011 was analyzed up to December 2017.\n            \n            \n              Methods:\n              The risk of prostate cancer was compared between patients with IBD and controls using the Cox proportional hazards regression model and Kaplan-Meier survival analysis.\n            \n            \n              Results:\n              During a median follow-up of 6 years, the incidence rate of prostate cancer was 264 per 100,000 person-years in non-IBD patients and 242 per 100,000 person-years in patients with IBD. IBD status was not associated with the risk of prostate cancer compared to non-IBD [adjusted hazard ratio (aHR) 0.93, 95% confidence interval (CI): 0.80–1.08, p = 0.32). The cumulative incidence of prostate cancer did not differ by IBD status (non-IBD patients versus IBD patients: log-rank p = 0.27; non-IBD patients versus ulcerative colitis versus Crohn’s disease: log-rank p = 0.42). In multivariate analysis, age was an independent risk factor for the development of prostate cancer (HR 1.03, 95% CI: 1.02–1.03, p &lt; 0.001).\n            \n            \n              Conclusion:\n              In our population-based study, IBD status was not associated with the risk of prostate cancer.","container-title":"Therapeutic Advances in Gastroenterology","DOI":"10.1177/17562848221137430","ISSN":"1756-2848, 1756-2848","journalAbbreviation":"Therap Adv Gastroenterol","language":"en","page":"175628482211374","source":"DOI.org (Crossref)","title":"Risk of prostate cancer in patients with inflammatory bowel disease: a nationwide cohort study in South Korea","title-short":"Risk of prostate cancer in patients with inflammatory bowel disease","volume":"15","author":[{"family":"Na","given":"Ji Eun"},{"family":"Kim","given":"Tae Jun"},{"family":"Lee","given":"Yeong Chan"},{"family":"Kim","given":"Ji Eun"},{"family":"Kim","given":"Eun Ran"},{"family":"Hong","given":"Sung Noh"},{"family":"Chang","given":"Dong Kyung"},{"family":"Kim","given":"Young-Ho"}],"issued":{"date-parts":[["2022",1]]}}},{"id":200,"uris":["http://zotero.org/users/local/UB9PtTOS/items/JGE64KW7"],"itemData":{"id":200,"type":"article-journal","container-title":"Brain, Behavior, &amp; Immunity - Health","DOI":"10.1016/j.bbih.2022.100557","ISSN":"26663546","journalAbbreviation":"Brain, Behavior, &amp; Immunity - Health","language":"en","page":"100557","source":"DOI.org (Crossref)","title":"Assessing the effect of interaction between gut microbiome and inflammatory bowel disease on the risks of depression","volume":"26","author":[{"family":"Qin","given":"Xiaoyue"},{"family":"Pan","given":"Chuyu"},{"family":"Cai","given":"Qingqing"},{"family":"Zhao","given":"Yijing"},{"family":"He","given":"Dan"},{"family":"Wei","given":"Wenming"},{"family":"Zhang","given":"Na"},{"family":"Shi","given":"Sirong"},{"family":"Chu","given":"Xiaoge"},{"family":"Zhang","given":"Feng"}],"issued":{"date-parts":[["2022",12]]}}},{"id":197,"uris":["http://zotero.org/users/local/UB9PtTOS/items/3KD4CCBB"],"itemData":{"id":197,"type":"article-journal","abstract":"Abstract: As vitamin D (VD) plays an essential role in inflammatory bowel diseases (IBD), this systematic review aimed to update the participation of this vitamin in the prevention or remission of these diseases. This review has included studies in MEDLINE–PubMed, EMBASE, and Cochrane databases. The authors have followed PRISMA (Preferred Reporting Items for a Systematic Review and Meta-analysis) guidelines. According to the inclusion and exclusion criteria, twenty-two randomized clinical trials were selected. In total, 1,209 patients were included in this systematic review: 1034 received only VD and 175 received VD in combination with calcium. The average doses of VD supplementation were from oral 400 IU daily to 10,000 IU per kilogram of body weight. Single injection of 300,000 IU of VD was also used. Several studies have shown the crucial role that VD plays in the therapeutic approach of IBD due to its effects on the immune system. It effectively decreased inflammatory cytokines such as TNF-α and IFN-γ (p&lt;0.05) and provided a reduction in disease activity assessed through different scores such as Crohn’s Disease Activity Index (CDAI) (p&lt;0.05) and Ulcerative Colitis Disease Activity Index (UCDAI) (p&lt;0.05). Unfortunately, the available clinical trials are not standardized for of doses and routes of administration. Existing meta-analyses are biased because they compare studies using different doses or treatments in combination with different drugs or supplements such as calcium. Even though VD has crucial effects on inflammatory processes, there is still a need for standardized studies to establish how the supplementation should be performed and the doses to be administered.","container-title":"International Journal for Vitamin and Nutrition Research","DOI":"10.1024/0300-9831/a000764","ISSN":"0300-9831, 1664-2821","issue":"1","journalAbbreviation":"International Journal for Vitamin and Nutrition Research","language":"en","page":"54-70","source":"DOI.org (Crossref)","title":"The use of vitamin D for patients with inflammatory bowel diseases: A systematic review","title-short":"The use of vitamin D for patients with inflammatory bowel diseases","volume":"94","author":[{"family":"Matias","given":"Júlia Novaes"},{"family":"Lima","given":"Vinícius Marinho"},{"family":"Nutels","given":"Giovanna Soares"},{"family":"Laurindo","given":"Lucas Fornari"},{"family":"Barbalho","given":"Sandra Maria"},{"family":"De Alvares Goulart","given":"Ricardo"},{"family":"Araújo","given":"Adriano Cressoni"},{"family":"Suzuki","given":"Rodrigo Buzinaro"},{"family":"Guiguer","given":"Elen Landgraf"}],"issued":{"date-parts":[["2024",2]]}}}],"schema":"https://github.com/citation-style-language/schema/raw/master/csl-citation.json"} </w:instrText>
      </w:r>
      <w:r w:rsidR="00B35073">
        <w:rPr>
          <w:kern w:val="0"/>
          <w14:ligatures w14:val="none"/>
        </w:rPr>
        <w:fldChar w:fldCharType="separate"/>
      </w:r>
      <w:r w:rsidR="00B35073" w:rsidRPr="00B35073">
        <w:rPr>
          <w:kern w:val="0"/>
        </w:rPr>
        <w:t xml:space="preserve">(Goulart, 2022; Na </w:t>
      </w:r>
      <w:r w:rsidR="00B35073" w:rsidRPr="00B35073">
        <w:rPr>
          <w:i/>
          <w:iCs/>
          <w:kern w:val="0"/>
        </w:rPr>
        <w:t>et al.</w:t>
      </w:r>
      <w:r w:rsidR="00B35073" w:rsidRPr="00B35073">
        <w:rPr>
          <w:kern w:val="0"/>
        </w:rPr>
        <w:t xml:space="preserve">, 2022; Qin </w:t>
      </w:r>
      <w:r w:rsidR="00B35073" w:rsidRPr="00B35073">
        <w:rPr>
          <w:i/>
          <w:iCs/>
          <w:kern w:val="0"/>
        </w:rPr>
        <w:t>et al.</w:t>
      </w:r>
      <w:r w:rsidR="00B35073" w:rsidRPr="00B35073">
        <w:rPr>
          <w:kern w:val="0"/>
        </w:rPr>
        <w:t xml:space="preserve">, 2022; Matias </w:t>
      </w:r>
      <w:r w:rsidR="00B35073" w:rsidRPr="00B35073">
        <w:rPr>
          <w:i/>
          <w:iCs/>
          <w:kern w:val="0"/>
        </w:rPr>
        <w:t>et al.</w:t>
      </w:r>
      <w:r w:rsidR="00B35073" w:rsidRPr="00B35073">
        <w:rPr>
          <w:kern w:val="0"/>
        </w:rPr>
        <w:t>, 2024)</w:t>
      </w:r>
      <w:r w:rsidR="00B35073">
        <w:rPr>
          <w:kern w:val="0"/>
          <w14:ligatures w14:val="none"/>
        </w:rPr>
        <w:fldChar w:fldCharType="end"/>
      </w:r>
      <w:r w:rsidR="008F297F">
        <w:rPr>
          <w:kern w:val="0"/>
          <w14:ligatures w14:val="none"/>
        </w:rPr>
        <w:t xml:space="preserve">. </w:t>
      </w:r>
      <w:r w:rsidR="00042A64">
        <w:rPr>
          <w:kern w:val="0"/>
          <w14:ligatures w14:val="none"/>
        </w:rPr>
        <w:t>Vztah mezi PXR a NF-</w:t>
      </w:r>
      <w:proofErr w:type="spellStart"/>
      <w:r w:rsidR="00042A64" w:rsidRPr="00CA6B19">
        <w:rPr>
          <w:kern w:val="0"/>
          <w14:ligatures w14:val="none"/>
        </w:rPr>
        <w:t>κ</w:t>
      </w:r>
      <w:r w:rsidR="00042A64">
        <w:rPr>
          <w:kern w:val="0"/>
          <w14:ligatures w14:val="none"/>
        </w:rPr>
        <w:t>B</w:t>
      </w:r>
      <w:proofErr w:type="spellEnd"/>
      <w:r w:rsidR="007409F8">
        <w:rPr>
          <w:kern w:val="0"/>
          <w14:ligatures w14:val="none"/>
        </w:rPr>
        <w:t xml:space="preserve"> byl mnohokrát studován</w:t>
      </w:r>
      <w:r w:rsidR="00AC74B8">
        <w:rPr>
          <w:kern w:val="0"/>
          <w14:ligatures w14:val="none"/>
        </w:rPr>
        <w:br/>
      </w:r>
      <w:r w:rsidR="007409F8">
        <w:rPr>
          <w:kern w:val="0"/>
          <w14:ligatures w14:val="none"/>
        </w:rPr>
        <w:t>na geneticky modifikovaných myších. Při aktivaci NF-</w:t>
      </w:r>
      <w:proofErr w:type="spellStart"/>
      <w:r w:rsidR="007409F8" w:rsidRPr="00CA6B19">
        <w:rPr>
          <w:kern w:val="0"/>
          <w14:ligatures w14:val="none"/>
        </w:rPr>
        <w:t>κ</w:t>
      </w:r>
      <w:r w:rsidR="007409F8">
        <w:rPr>
          <w:kern w:val="0"/>
          <w14:ligatures w14:val="none"/>
        </w:rPr>
        <w:t>B</w:t>
      </w:r>
      <w:proofErr w:type="spellEnd"/>
      <w:r w:rsidR="007409F8">
        <w:rPr>
          <w:kern w:val="0"/>
          <w14:ligatures w14:val="none"/>
        </w:rPr>
        <w:t xml:space="preserve"> byla inhibována funkce PXR a tím pádem byla snížena exprese jeho cílových genů. Na druhou stranu, aktivace PXR vedla k inhibici NF-</w:t>
      </w:r>
      <w:proofErr w:type="spellStart"/>
      <w:r w:rsidR="007409F8" w:rsidRPr="00CA6B19">
        <w:rPr>
          <w:kern w:val="0"/>
          <w14:ligatures w14:val="none"/>
        </w:rPr>
        <w:t>κ</w:t>
      </w:r>
      <w:r w:rsidR="007409F8">
        <w:rPr>
          <w:kern w:val="0"/>
          <w14:ligatures w14:val="none"/>
        </w:rPr>
        <w:t>B</w:t>
      </w:r>
      <w:proofErr w:type="spellEnd"/>
      <w:r w:rsidR="004B3D93">
        <w:rPr>
          <w:kern w:val="0"/>
          <w14:ligatures w14:val="none"/>
        </w:rPr>
        <w:t xml:space="preserve"> </w:t>
      </w:r>
      <w:r w:rsidR="007409F8">
        <w:rPr>
          <w:kern w:val="0"/>
          <w14:ligatures w14:val="none"/>
        </w:rPr>
        <w:t xml:space="preserve">a tím došlo ke snížení </w:t>
      </w:r>
      <w:r w:rsidR="005B1263">
        <w:rPr>
          <w:kern w:val="0"/>
          <w14:ligatures w14:val="none"/>
        </w:rPr>
        <w:t>exprese genů zodpovědných</w:t>
      </w:r>
      <w:r w:rsidR="008F297F">
        <w:rPr>
          <w:kern w:val="0"/>
          <w14:ligatures w14:val="none"/>
        </w:rPr>
        <w:t xml:space="preserve"> za tvorbu prozánětlivých mediátorů</w:t>
      </w:r>
      <w:r w:rsidR="005B1263">
        <w:rPr>
          <w:kern w:val="0"/>
          <w14:ligatures w14:val="none"/>
        </w:rPr>
        <w:t xml:space="preserve"> </w:t>
      </w:r>
      <w:r w:rsidR="005B1263">
        <w:rPr>
          <w:kern w:val="0"/>
          <w14:ligatures w14:val="none"/>
        </w:rPr>
        <w:fldChar w:fldCharType="begin"/>
      </w:r>
      <w:r w:rsidR="00C41CE8">
        <w:rPr>
          <w:kern w:val="0"/>
          <w14:ligatures w14:val="none"/>
        </w:rPr>
        <w:instrText xml:space="preserve"> ADDIN ZOTERO_ITEM CSL_CITATION {"citationID":"2Ra6taha","properties":{"formattedCitation":"(Zhou, 2006)","plainCitation":"(Zhou, 2006)","noteIndex":0},"citationItems":[{"id":147,"uris":["http://zotero.org/users/local/UB9PtTOS/items/SY2UGKZF"],"itemData":{"id":147,"type":"article-journal","container-title":"Journal of Clinical Investigation","DOI":"10.1172/JCI26283","ISSN":"0021-9738","issue":"8","journalAbbreviation":"Journal of Clinical Investigation","language":"en","page":"2280-2289","source":"DOI.org (Crossref)","title":"Mutual repression between steroid and xenobiotic receptor and NF- B signaling pathways links xenobiotic metabolism and inflammation","volume":"116","author":[{"family":"Zhou","given":"C."}],"issued":{"date-parts":[["2006",8,1]]}}}],"schema":"https://github.com/citation-style-language/schema/raw/master/csl-citation.json"} </w:instrText>
      </w:r>
      <w:r w:rsidR="005B1263">
        <w:rPr>
          <w:kern w:val="0"/>
          <w14:ligatures w14:val="none"/>
        </w:rPr>
        <w:fldChar w:fldCharType="separate"/>
      </w:r>
      <w:r w:rsidR="00C41CE8" w:rsidRPr="00C41CE8">
        <w:t>(Zhou, 2006)</w:t>
      </w:r>
      <w:r w:rsidR="005B1263">
        <w:rPr>
          <w:kern w:val="0"/>
          <w14:ligatures w14:val="none"/>
        </w:rPr>
        <w:fldChar w:fldCharType="end"/>
      </w:r>
      <w:r w:rsidR="005B1263">
        <w:rPr>
          <w:kern w:val="0"/>
          <w14:ligatures w14:val="none"/>
        </w:rPr>
        <w:t xml:space="preserve">. Příkladem </w:t>
      </w:r>
      <w:r w:rsidR="005B1263" w:rsidRPr="005B1263">
        <w:rPr>
          <w:kern w:val="0"/>
          <w14:ligatures w14:val="none"/>
        </w:rPr>
        <w:t xml:space="preserve">zánětlivých onemocnění může být </w:t>
      </w:r>
      <w:r w:rsidR="005B1263" w:rsidRPr="005B1263">
        <w:t>např. Crohnova chorob</w:t>
      </w:r>
      <w:r w:rsidR="00F5772B">
        <w:t>a</w:t>
      </w:r>
      <w:r w:rsidR="005B1263" w:rsidRPr="005B1263">
        <w:t xml:space="preserve">, </w:t>
      </w:r>
      <w:r w:rsidR="005B1263" w:rsidRPr="005B1263">
        <w:lastRenderedPageBreak/>
        <w:t>která je součástí rozsáhlé skupiny onemocnění</w:t>
      </w:r>
      <w:r w:rsidR="00BA4033">
        <w:t xml:space="preserve"> </w:t>
      </w:r>
      <w:r w:rsidR="00EE2503">
        <w:t>s názvem</w:t>
      </w:r>
      <w:r w:rsidR="002B3A8B">
        <w:t xml:space="preserve"> </w:t>
      </w:r>
      <w:r w:rsidR="00845B30">
        <w:t>nespecifick</w:t>
      </w:r>
      <w:r w:rsidR="00711B0E">
        <w:t>é</w:t>
      </w:r>
      <w:r w:rsidR="00845B30">
        <w:t xml:space="preserve"> střevní</w:t>
      </w:r>
      <w:r w:rsidR="00BA4033">
        <w:t xml:space="preserve"> zánět</w:t>
      </w:r>
      <w:r w:rsidR="00711B0E">
        <w:t>y</w:t>
      </w:r>
      <w:r w:rsidR="00BA4033">
        <w:t xml:space="preserve"> </w:t>
      </w:r>
      <w:r w:rsidR="005B1263" w:rsidRPr="005B1263">
        <w:fldChar w:fldCharType="begin"/>
      </w:r>
      <w:r w:rsidR="001F2F53">
        <w:instrText xml:space="preserve"> ADDIN ZOTERO_ITEM CSL_CITATION {"citationID":"wlyM39Ql","properties":{"formattedCitation":"(Lee, Kwon and Cho, 2018)","plainCitation":"(Lee, Kwon and Cho, 2018)","dontUpdate":true,"noteIndex":0},"citationItems":[{"id":78,"uris":["http://zotero.org/users/local/UB9PtTOS/items/2HQMHJTM"],"itemData":{"id":78,"type":"article-journal","container-title":"Intestinal Research","DOI":"10.5217/ir.2018.16.1.26","ISSN":"1598-9100, 2288-1956","issue":"1","journalAbbreviation":"Intest Res","language":"en","page":"26","source":"DOI.org (Crossref)","title":"Immunological pathogenesis of inflammatory bowel disease","volume":"16","author":[{"family":"Lee","given":"Seung Hoon"},{"family":"Kwon","given":"Jeong Eun"},{"family":"Cho","given":"Mi-La"}],"issued":{"date-parts":[["2018"]]}}}],"schema":"https://github.com/citation-style-language/schema/raw/master/csl-citation.json"} </w:instrText>
      </w:r>
      <w:r w:rsidR="005B1263" w:rsidRPr="005B1263">
        <w:fldChar w:fldCharType="separate"/>
      </w:r>
      <w:r w:rsidR="00C41CE8" w:rsidRPr="00C41CE8">
        <w:t>(Lee</w:t>
      </w:r>
      <w:r w:rsidR="00A57167">
        <w:t xml:space="preserve"> </w:t>
      </w:r>
      <w:r w:rsidR="00A57167">
        <w:rPr>
          <w:i/>
          <w:iCs/>
        </w:rPr>
        <w:t>et al.</w:t>
      </w:r>
      <w:r w:rsidR="00C41CE8" w:rsidRPr="00C41CE8">
        <w:t>, 2018)</w:t>
      </w:r>
      <w:r w:rsidR="005B1263" w:rsidRPr="005B1263">
        <w:fldChar w:fldCharType="end"/>
      </w:r>
      <w:r w:rsidR="00211683">
        <w:rPr>
          <w:kern w:val="0"/>
          <w14:ligatures w14:val="none"/>
        </w:rPr>
        <w:t>.</w:t>
      </w:r>
      <w:r w:rsidR="00DD514A">
        <w:t xml:space="preserve"> </w:t>
      </w:r>
      <w:r w:rsidR="00B35073">
        <w:rPr>
          <w:kern w:val="0"/>
          <w14:ligatures w14:val="none"/>
        </w:rPr>
        <w:t xml:space="preserve">Projevuje se </w:t>
      </w:r>
      <w:proofErr w:type="spellStart"/>
      <w:r w:rsidR="00B35073">
        <w:rPr>
          <w:kern w:val="0"/>
          <w14:ligatures w14:val="none"/>
        </w:rPr>
        <w:t>dysregulací</w:t>
      </w:r>
      <w:proofErr w:type="spellEnd"/>
      <w:r w:rsidR="00B35073">
        <w:rPr>
          <w:kern w:val="0"/>
          <w14:ligatures w14:val="none"/>
        </w:rPr>
        <w:t xml:space="preserve"> střevní rovnováhy, narušením střevní epiteliální stěny</w:t>
      </w:r>
      <w:r w:rsidR="0001299B">
        <w:rPr>
          <w:kern w:val="0"/>
          <w14:ligatures w14:val="none"/>
        </w:rPr>
        <w:br/>
      </w:r>
      <w:r w:rsidR="00B35073">
        <w:rPr>
          <w:kern w:val="0"/>
          <w14:ligatures w14:val="none"/>
        </w:rPr>
        <w:t xml:space="preserve">a zvýšením propustnosti střev </w:t>
      </w:r>
      <w:r w:rsidR="00B35073">
        <w:rPr>
          <w:kern w:val="0"/>
          <w14:ligatures w14:val="none"/>
        </w:rPr>
        <w:fldChar w:fldCharType="begin"/>
      </w:r>
      <w:r w:rsidR="00B35073">
        <w:rPr>
          <w:kern w:val="0"/>
          <w14:ligatures w14:val="none"/>
        </w:rPr>
        <w:instrText xml:space="preserve"> ADDIN ZOTERO_ITEM CSL_CITATION {"citationID":"adG77KpW","properties":{"formattedCitation":"(Zhang 2014)","plainCitation":"(Zhang 2014)","dontUpdate":true,"noteIndex":0},"citationItems":[{"id":71,"uris":["http://zotero.org/users/local/UB9PtTOS/items/GXDBCTIB"],"itemData":{"id":71,"type":"article-journal","container-title":"World Journal of Gastroenterology","DOI":"10.3748/wjg.v20.i1.91","ISSN":"1007-9327","issue":"1","journalAbbreviation":"WJG","language":"en","page":"91","source":"DOI.org (Crossref)","title":"Inflammatory bowel disease: Pathogenesis","title-short":"Inflammatory bowel disease","volume":"20","author":[{"family":"Zhang","given":"Yi-Zhen"}],"issued":{"date-parts":[["2014"]]}}}],"schema":"https://github.com/citation-style-language/schema/raw/master/csl-citation.json"} </w:instrText>
      </w:r>
      <w:r w:rsidR="00B35073">
        <w:rPr>
          <w:kern w:val="0"/>
          <w14:ligatures w14:val="none"/>
        </w:rPr>
        <w:fldChar w:fldCharType="separate"/>
      </w:r>
      <w:r w:rsidR="00B35073">
        <w:rPr>
          <w:kern w:val="0"/>
          <w14:ligatures w14:val="none"/>
        </w:rPr>
        <w:t>(Zhang, 2014)</w:t>
      </w:r>
      <w:r w:rsidR="00B35073">
        <w:rPr>
          <w:kern w:val="0"/>
          <w14:ligatures w14:val="none"/>
        </w:rPr>
        <w:fldChar w:fldCharType="end"/>
      </w:r>
      <w:r w:rsidR="00CD6820">
        <w:rPr>
          <w:kern w:val="0"/>
          <w14:ligatures w14:val="none"/>
        </w:rPr>
        <w:t xml:space="preserve">. Na myších bylo prokázáno, </w:t>
      </w:r>
      <w:r w:rsidR="009440A3">
        <w:rPr>
          <w:kern w:val="0"/>
          <w14:ligatures w14:val="none"/>
        </w:rPr>
        <w:t>že aktivace PXR přímo vede ke snížení exprese NF-</w:t>
      </w:r>
      <w:proofErr w:type="spellStart"/>
      <w:r w:rsidR="009440A3" w:rsidRPr="00CA6B19">
        <w:rPr>
          <w:kern w:val="0"/>
          <w14:ligatures w14:val="none"/>
        </w:rPr>
        <w:t>κ</w:t>
      </w:r>
      <w:r w:rsidR="009440A3">
        <w:rPr>
          <w:kern w:val="0"/>
          <w14:ligatures w14:val="none"/>
        </w:rPr>
        <w:t>B</w:t>
      </w:r>
      <w:proofErr w:type="spellEnd"/>
      <w:r w:rsidR="009440A3">
        <w:rPr>
          <w:kern w:val="0"/>
          <w14:ligatures w14:val="none"/>
        </w:rPr>
        <w:t xml:space="preserve"> respon</w:t>
      </w:r>
      <w:r w:rsidR="0019580D">
        <w:rPr>
          <w:kern w:val="0"/>
          <w14:ligatures w14:val="none"/>
        </w:rPr>
        <w:t>zivních genů a ke zmírnění příznaků</w:t>
      </w:r>
      <w:r w:rsidR="00481F3E">
        <w:rPr>
          <w:kern w:val="0"/>
          <w14:ligatures w14:val="none"/>
        </w:rPr>
        <w:br/>
      </w:r>
      <w:r w:rsidR="0019580D">
        <w:rPr>
          <w:kern w:val="0"/>
          <w14:ligatures w14:val="none"/>
        </w:rPr>
        <w:t>DSS-</w:t>
      </w:r>
      <w:r w:rsidR="0019580D" w:rsidRPr="000C1032">
        <w:rPr>
          <w:kern w:val="0"/>
          <w14:ligatures w14:val="none"/>
        </w:rPr>
        <w:t>indukované kolitidy</w:t>
      </w:r>
      <w:r w:rsidR="008B22D6" w:rsidRPr="000C1032">
        <w:rPr>
          <w:kern w:val="0"/>
          <w14:ligatures w14:val="none"/>
        </w:rPr>
        <w:t xml:space="preserve">. </w:t>
      </w:r>
      <w:r w:rsidR="00BE3266" w:rsidRPr="000C1032">
        <w:rPr>
          <w:kern w:val="0"/>
          <w14:ligatures w14:val="none"/>
        </w:rPr>
        <w:t>Ačkoliv je</w:t>
      </w:r>
      <w:r w:rsidR="00AC481E">
        <w:rPr>
          <w:kern w:val="0"/>
          <w14:ligatures w14:val="none"/>
        </w:rPr>
        <w:t xml:space="preserve"> detailní </w:t>
      </w:r>
      <w:r w:rsidR="001F7C24">
        <w:rPr>
          <w:kern w:val="0"/>
          <w14:ligatures w14:val="none"/>
        </w:rPr>
        <w:t>proces</w:t>
      </w:r>
      <w:r w:rsidR="00AB079E" w:rsidRPr="000C1032">
        <w:rPr>
          <w:kern w:val="0"/>
          <w14:ligatures w14:val="none"/>
        </w:rPr>
        <w:t xml:space="preserve">, kterým PXR </w:t>
      </w:r>
      <w:r w:rsidR="002F0383" w:rsidRPr="000C1032">
        <w:rPr>
          <w:kern w:val="0"/>
          <w14:ligatures w14:val="none"/>
        </w:rPr>
        <w:t>způsobuje represi NF-</w:t>
      </w:r>
      <w:proofErr w:type="spellStart"/>
      <w:r w:rsidR="002F0383" w:rsidRPr="000C1032">
        <w:rPr>
          <w:kern w:val="0"/>
          <w14:ligatures w14:val="none"/>
        </w:rPr>
        <w:t>κB</w:t>
      </w:r>
      <w:proofErr w:type="spellEnd"/>
      <w:r w:rsidR="002F0383" w:rsidRPr="000C1032">
        <w:rPr>
          <w:kern w:val="0"/>
          <w14:ligatures w14:val="none"/>
        </w:rPr>
        <w:t xml:space="preserve">, stále neznámý, </w:t>
      </w:r>
      <w:r w:rsidR="00C3333E" w:rsidRPr="000C1032">
        <w:rPr>
          <w:kern w:val="0"/>
          <w14:ligatures w14:val="none"/>
        </w:rPr>
        <w:t>je</w:t>
      </w:r>
      <w:r w:rsidR="00C3333E">
        <w:rPr>
          <w:kern w:val="0"/>
          <w14:ligatures w14:val="none"/>
        </w:rPr>
        <w:t xml:space="preserve"> jisté, že </w:t>
      </w:r>
      <w:r w:rsidR="008C2652">
        <w:rPr>
          <w:kern w:val="0"/>
          <w14:ligatures w14:val="none"/>
        </w:rPr>
        <w:t>role PXR</w:t>
      </w:r>
      <w:r w:rsidR="00AE10EF">
        <w:rPr>
          <w:kern w:val="0"/>
          <w14:ligatures w14:val="none"/>
        </w:rPr>
        <w:t xml:space="preserve"> by mohla být stěžejní při léčbě </w:t>
      </w:r>
      <w:r w:rsidR="00764D18">
        <w:rPr>
          <w:kern w:val="0"/>
          <w14:ligatures w14:val="none"/>
        </w:rPr>
        <w:t>střevních zánětlivých onemocnění</w:t>
      </w:r>
      <w:r w:rsidR="00326A7A">
        <w:rPr>
          <w:kern w:val="0"/>
          <w14:ligatures w14:val="none"/>
        </w:rPr>
        <w:t xml:space="preserve"> </w:t>
      </w:r>
      <w:r w:rsidR="00F57638">
        <w:rPr>
          <w:kern w:val="0"/>
          <w14:ligatures w14:val="none"/>
        </w:rPr>
        <w:t>(</w:t>
      </w:r>
      <w:proofErr w:type="spellStart"/>
      <w:r w:rsidR="00F82687">
        <w:rPr>
          <w:kern w:val="0"/>
          <w14:ligatures w14:val="none"/>
        </w:rPr>
        <w:t>Shah</w:t>
      </w:r>
      <w:proofErr w:type="spellEnd"/>
      <w:r w:rsidR="00F82687">
        <w:rPr>
          <w:kern w:val="0"/>
          <w14:ligatures w14:val="none"/>
        </w:rPr>
        <w:t xml:space="preserve"> </w:t>
      </w:r>
      <w:r w:rsidR="00F82687">
        <w:rPr>
          <w:i/>
          <w:iCs/>
          <w:kern w:val="0"/>
          <w14:ligatures w14:val="none"/>
        </w:rPr>
        <w:t>et al.</w:t>
      </w:r>
      <w:r w:rsidR="00F82687">
        <w:rPr>
          <w:kern w:val="0"/>
          <w14:ligatures w14:val="none"/>
        </w:rPr>
        <w:t xml:space="preserve"> 200</w:t>
      </w:r>
      <w:r w:rsidR="00C27F87">
        <w:rPr>
          <w:kern w:val="0"/>
          <w14:ligatures w14:val="none"/>
        </w:rPr>
        <w:t>7</w:t>
      </w:r>
      <w:r w:rsidR="00F82687">
        <w:rPr>
          <w:kern w:val="0"/>
          <w14:ligatures w14:val="none"/>
        </w:rPr>
        <w:t>).</w:t>
      </w:r>
    </w:p>
    <w:p w14:paraId="3403702D" w14:textId="5FE061F5" w:rsidR="008F1DDA" w:rsidRPr="00FB6438" w:rsidRDefault="00D1431E" w:rsidP="00561C8C">
      <w:r>
        <w:rPr>
          <w:noProof/>
        </w:rPr>
        <w:drawing>
          <wp:anchor distT="0" distB="0" distL="114300" distR="114300" simplePos="0" relativeHeight="251665418" behindDoc="0" locked="0" layoutInCell="1" allowOverlap="1" wp14:anchorId="7D5AB18F" wp14:editId="3CF1C6DF">
            <wp:simplePos x="0" y="0"/>
            <wp:positionH relativeFrom="margin">
              <wp:align>center</wp:align>
            </wp:positionH>
            <wp:positionV relativeFrom="paragraph">
              <wp:posOffset>2846805</wp:posOffset>
            </wp:positionV>
            <wp:extent cx="4786630" cy="3098800"/>
            <wp:effectExtent l="0" t="0" r="0" b="6350"/>
            <wp:wrapSquare wrapText="bothSides"/>
            <wp:docPr id="75402600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26007" name="Obrázek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86630" cy="3098800"/>
                    </a:xfrm>
                    <a:prstGeom prst="rect">
                      <a:avLst/>
                    </a:prstGeom>
                  </pic:spPr>
                </pic:pic>
              </a:graphicData>
            </a:graphic>
            <wp14:sizeRelH relativeFrom="margin">
              <wp14:pctWidth>0</wp14:pctWidth>
            </wp14:sizeRelH>
            <wp14:sizeRelV relativeFrom="margin">
              <wp14:pctHeight>0</wp14:pctHeight>
            </wp14:sizeRelV>
          </wp:anchor>
        </w:drawing>
      </w:r>
      <w:r w:rsidR="00DD514A">
        <w:tab/>
      </w:r>
      <w:r w:rsidR="00DD514A" w:rsidRPr="009659D0">
        <w:t>Kromě zánětlivých onemocnění je PXR</w:t>
      </w:r>
      <w:r w:rsidR="00B35073">
        <w:t xml:space="preserve"> zapojen i do procesů apoptózy, </w:t>
      </w:r>
      <w:r w:rsidR="00953CCF">
        <w:t xml:space="preserve">regulace </w:t>
      </w:r>
      <w:r w:rsidR="00B35073">
        <w:t>buněčného cyklu, proliferace</w:t>
      </w:r>
      <w:r w:rsidR="00953CCF">
        <w:t xml:space="preserve"> a oxidativního stresu. Tyto děje jsou úzce spojeny </w:t>
      </w:r>
      <w:r w:rsidR="004C38EE">
        <w:t>také s rozvojem a progresí rakovinného bujení</w:t>
      </w:r>
      <w:r w:rsidR="00897737">
        <w:t>.</w:t>
      </w:r>
      <w:r w:rsidR="00953CCF">
        <w:t xml:space="preserve"> </w:t>
      </w:r>
      <w:r w:rsidR="00953CCF" w:rsidRPr="009659D0">
        <w:t xml:space="preserve">Nevýhodou aktivace PXR v rakovinných liniích je následná rezistence vůči některým léčivům proti rakovině, např. </w:t>
      </w:r>
      <w:proofErr w:type="spellStart"/>
      <w:r w:rsidR="00953CCF" w:rsidRPr="009659D0">
        <w:t>ixabepilon</w:t>
      </w:r>
      <w:proofErr w:type="spellEnd"/>
      <w:r w:rsidR="00953CCF" w:rsidRPr="009659D0">
        <w:t xml:space="preserve"> a </w:t>
      </w:r>
      <w:proofErr w:type="spellStart"/>
      <w:r w:rsidR="00953CCF" w:rsidRPr="009659D0">
        <w:t>paclitaxel</w:t>
      </w:r>
      <w:proofErr w:type="spellEnd"/>
      <w:r w:rsidR="00953CCF" w:rsidRPr="009659D0">
        <w:t xml:space="preserve">, </w:t>
      </w:r>
      <w:r w:rsidR="00953CCF">
        <w:t>díky zvýšené regulaci enzymů odbourávající léčiva.</w:t>
      </w:r>
      <w:r w:rsidR="005F6834">
        <w:t xml:space="preserve"> </w:t>
      </w:r>
      <w:r w:rsidR="005F6834" w:rsidRPr="009659D0">
        <w:t xml:space="preserve">Mezi enzymy a proteiny, které jsou za tuto resistenci zodpovědné, patří P-glykoprotein a CYP3A4 </w:t>
      </w:r>
      <w:r w:rsidR="005F6834" w:rsidRPr="009659D0">
        <w:fldChar w:fldCharType="begin"/>
      </w:r>
      <w:r w:rsidR="005F6834" w:rsidRPr="009659D0">
        <w:instrText xml:space="preserve"> ADDIN ZOTERO_ITEM CSL_CITATION {"citationID":"NXz7qTAM","properties":{"formattedCitation":"(Qiao {\\i{}et al.}, 2013)","plainCitation":"(Qiao et al., 2013)","noteIndex":0},"citationItems":[{"id":106,"uris":["http://zotero.org/users/local/UB9PtTOS/items/V9XX4PGZ"],"itemData":{"id":106,"type":"article-journal","container-title":"Oncology Letters","DOI":"10.3892/ol.2013.1149","ISSN":"1792-1074, 1792-1082","issue":"4","language":"en","page":"1093-1100","source":"DOI.org (Crossref)","title":"Expression of the PXR gene in various types of cancer and drug resistance","volume":"5","author":[{"family":"Qiao","given":"Enqi"},{"family":"Ji","given":"Minghua"},{"family":"Wu","given":"Jianzhong"},{"family":"Ma","given":"Rong"},{"family":"Zhang","given":"Xiaohua"},{"family":"He","given":"Yuejun"},{"family":"Zha","given":"Quanbin"},{"family":"Song","given":"Xue"},{"family":"Zhu","given":"Li-Wei"},{"family":"Tang","given":"Jinhai"}],"issued":{"date-parts":[["2013",4]]}}}],"schema":"https://github.com/citation-style-language/schema/raw/master/csl-citation.json"} </w:instrText>
      </w:r>
      <w:r w:rsidR="005F6834" w:rsidRPr="009659D0">
        <w:fldChar w:fldCharType="separate"/>
      </w:r>
      <w:r w:rsidR="005F6834" w:rsidRPr="009659D0">
        <w:rPr>
          <w:kern w:val="0"/>
        </w:rPr>
        <w:t xml:space="preserve">(Qiao </w:t>
      </w:r>
      <w:r w:rsidR="005F6834" w:rsidRPr="009659D0">
        <w:rPr>
          <w:i/>
          <w:iCs/>
          <w:kern w:val="0"/>
        </w:rPr>
        <w:t>et al.</w:t>
      </w:r>
      <w:r w:rsidR="005F6834" w:rsidRPr="009659D0">
        <w:rPr>
          <w:kern w:val="0"/>
        </w:rPr>
        <w:t>, 2013)</w:t>
      </w:r>
      <w:r w:rsidR="005F6834" w:rsidRPr="009659D0">
        <w:fldChar w:fldCharType="end"/>
      </w:r>
      <w:r w:rsidR="005F6834">
        <w:t>.</w:t>
      </w:r>
      <w:r w:rsidR="00953CCF">
        <w:t xml:space="preserve"> Aktivita PXR má také vliv</w:t>
      </w:r>
      <w:r w:rsidR="003F4AEB">
        <w:br/>
      </w:r>
      <w:r w:rsidR="00953CCF">
        <w:t xml:space="preserve">na </w:t>
      </w:r>
      <w:r w:rsidR="00953CCF" w:rsidRPr="009659D0">
        <w:t>zrychl</w:t>
      </w:r>
      <w:r w:rsidR="00953CCF">
        <w:t>ení</w:t>
      </w:r>
      <w:r w:rsidR="00953CCF" w:rsidRPr="009659D0">
        <w:t xml:space="preserve"> rakovinové</w:t>
      </w:r>
      <w:r w:rsidR="00953CCF">
        <w:t>ho</w:t>
      </w:r>
      <w:r w:rsidR="00953CCF" w:rsidRPr="009659D0">
        <w:t xml:space="preserve"> bujení</w:t>
      </w:r>
      <w:r w:rsidR="005F6834">
        <w:t xml:space="preserve"> díky zvýšené expresi proteinů zodpovědných za buněčnou proliferaci, např. fibroblastových růstových faktorů (FGF)</w:t>
      </w:r>
      <w:r w:rsidR="00953CCF" w:rsidRPr="009659D0">
        <w:t xml:space="preserve"> </w:t>
      </w:r>
      <w:r w:rsidR="00953CCF" w:rsidRPr="009659D0">
        <w:fldChar w:fldCharType="begin"/>
      </w:r>
      <w:r w:rsidR="005F6834">
        <w:instrText xml:space="preserve"> ADDIN ZOTERO_ITEM CSL_CITATION {"citationID":"0iBozbGF","properties":{"formattedCitation":"(Gupta {\\i{}et al.}, 2008; Wang {\\i{}et al.}, 2011)","plainCitation":"(Gupta et al., 2008; Wang et al., 2011)","noteIndex":0},"citationItems":[{"id":102,"uris":["http://zotero.org/users/local/UB9PtTOS/items/FXHQE4S2"],"itemData":{"id":102,"type":"article-journal","abstract":"Abstract\n            Purpose: We examined the presence of the pregnane X receptor (PXR) and its effects on ovarian cancer cells after activation by its cognate ligand.\n            Experimental Design: SKOV-3 and OVCAR-8 ovarian carcinoma cells were analyzed for expression of PXR by quantitative reverse transcription-PCR and Western blot. Human ovarian cancer tissue was also analyzed for PXR expression by immunochemistry. Ligand (agonist)–induced PXR target genes were analyzed in SKOV-3 cells by quantitative reverse transcription-PCR. SKOV-3 cell proliferation was assessed by MTT assay. In vivo confirmation of in vitro effects of PXR ligands were done in NOD.SCID mice carrying SKOV-3 xenografts.\n            Results: PXR is expressed in ovarian cancer cells. In SKOV-3 cells, PXR is functional and its activation by cognate ligands induces PXR target genes (CYP2B6, CYP3A4, and UGT1A1) but not MDR1 and MRP2. PXR activation in SKOV-3 cells induces cell proliferation and drug resistance. In mice harboring SKOV-3 xenografts, rifampicin (PXR agonist) induces cell proliferation and tumor growth.\n            Conclusion: PXR activation, regardless of the type of ligand agonist present, promotes the “malignant” phenotype of cancer cells. These data serve as the basis for finding novel nontoxic inhibitors of PXR activation as a method to control cell growth and prevent induction of drug resistance.","container-title":"Clinical Cancer Research","DOI":"10.1158/1078-0432.CCR-08-1033","ISSN":"1078-0432, 1557-3265","issue":"17","language":"en","page":"5332-5340","source":"DOI.org (Crossref)","title":"Expanding the Roles for Pregnane X Receptor in Cancer: Proliferation and Drug Resistance in Ovarian Cancer","title-short":"Expanding the Roles for Pregnane X Receptor in Cancer","volume":"14","author":[{"family":"Gupta","given":"Divya"},{"family":"Venkatesh","given":"Madhukumar"},{"family":"Wang","given":"Hongwei"},{"family":"Kim","given":"Sean"},{"family":"Sinz","given":"Michael"},{"family":"Goldberg","given":"Gary L."},{"family":"Whitney","given":"Kathleen"},{"family":"Longley","given":"Clifford"},{"family":"Mani","given":"Sridhar"}],"issued":{"date-parts":[["2008",9,1]]}}},{"id":108,"uris":["http://zotero.org/users/local/UB9PtTOS/items/6ECLH5HJ"],"itemData":{"id":108,"type":"article-journal","container-title":"Journal of Clinical Investigation","DOI":"10.1172/JCI41514","ISSN":"0021-9738","issue":"8","journalAbbreviation":"J. Clin. Invest.","language":"en","page":"3220-3232","source":"DOI.org (Crossref)","title":"Pregnane X receptor activation induces FGF19-dependent tumor aggressiveness in humans and mice","volume":"121","author":[{"family":"Wang","given":"Hongwei"},{"family":"Venkatesh","given":"Madhukumar"},{"family":"Li","given":"Hao"},{"family":"Goetz","given":"Regina"},{"family":"Mukherjee","given":"Subhajit"},{"family":"Biswas","given":"Arunima"},{"family":"Zhu","given":"Liang"},{"family":"Kaubisch","given":"Andreas"},{"family":"Wang","given":"Lei"},{"family":"Pullman","given":"James"},{"family":"Whitney","given":"Kathleen"},{"family":"Kuro-o","given":"Makoto"},{"family":"Roig","given":"Andres I."},{"family":"Shay","given":"Jerry W."},{"family":"Mohammadi","given":"Moosa"},{"family":"Mani","given":"Sridhar"}],"issued":{"date-parts":[["2011",8,1]]}}}],"schema":"https://github.com/citation-style-language/schema/raw/master/csl-citation.json"} </w:instrText>
      </w:r>
      <w:r w:rsidR="00953CCF" w:rsidRPr="009659D0">
        <w:fldChar w:fldCharType="separate"/>
      </w:r>
      <w:r w:rsidR="005F6834" w:rsidRPr="005F6834">
        <w:rPr>
          <w:kern w:val="0"/>
        </w:rPr>
        <w:t xml:space="preserve">(Gupta </w:t>
      </w:r>
      <w:r w:rsidR="005F6834" w:rsidRPr="005F6834">
        <w:rPr>
          <w:i/>
          <w:iCs/>
          <w:kern w:val="0"/>
        </w:rPr>
        <w:t>et al.</w:t>
      </w:r>
      <w:r w:rsidR="005F6834" w:rsidRPr="005F6834">
        <w:rPr>
          <w:kern w:val="0"/>
        </w:rPr>
        <w:t xml:space="preserve">, 2008; Wang </w:t>
      </w:r>
      <w:r w:rsidR="005F6834" w:rsidRPr="005F6834">
        <w:rPr>
          <w:i/>
          <w:iCs/>
          <w:kern w:val="0"/>
        </w:rPr>
        <w:t>et al.</w:t>
      </w:r>
      <w:r w:rsidR="005F6834" w:rsidRPr="005F6834">
        <w:rPr>
          <w:kern w:val="0"/>
        </w:rPr>
        <w:t>, 2011)</w:t>
      </w:r>
      <w:r w:rsidR="00953CCF" w:rsidRPr="009659D0">
        <w:fldChar w:fldCharType="end"/>
      </w:r>
      <w:r w:rsidR="00953CCF" w:rsidRPr="009659D0">
        <w:t xml:space="preserve">. </w:t>
      </w:r>
      <w:r w:rsidR="00EB79FA">
        <w:t>PXR tedy hraje významnou roli i při studiu a léčbě rakoviny</w:t>
      </w:r>
      <w:r w:rsidR="00953CCF" w:rsidRPr="009659D0">
        <w:t xml:space="preserve"> a jeho vysoká míra exprese v nádorech může být využívána jako jeden z prognostických markerů např. v</w:t>
      </w:r>
      <w:r w:rsidR="00D333E4">
        <w:t xml:space="preserve"> </w:t>
      </w:r>
      <w:r w:rsidR="00953CCF" w:rsidRPr="009659D0">
        <w:t xml:space="preserve">rakovině prsu </w:t>
      </w:r>
      <w:r w:rsidR="00953CCF" w:rsidRPr="009659D0">
        <w:fldChar w:fldCharType="begin"/>
      </w:r>
      <w:r w:rsidR="00953CCF" w:rsidRPr="009659D0">
        <w:instrText xml:space="preserve"> ADDIN ZOTERO_ITEM CSL_CITATION {"citationID":"l00OIjwu","properties":{"formattedCitation":"(Conde {\\i{}et al.}, 2008)","plainCitation":"(Conde et al., 2008)","noteIndex":0},"citationItems":[{"id":126,"uris":["http://zotero.org/users/local/UB9PtTOS/items/KBBS634M"],"itemData":{"id":126,"type":"article-journal","abstract":"Abstract\n            \n              Background\n              The human pregnane X receptor (hPXR) is an orphan nuclear receptor that induces transcription of response elements present in steroid-inducible cytochrome P-450 gene promoters. This activation requires the participation of retinoid X receptors (RXRs), needed partners of hPXR to form heterodimers. We have investigated the expression of hPXR and RXRs in normal, premalignant, and malignant breast tissues, in order to determine whether their expression profile in localized infiltrative breast cancer is associated with an increased risk of recurrent disease.\n            \n            \n              Methods\n              \n                Breast samples from 99 patients including benign breast diseases,\n                in situ\n                and infiltrative carcinomas were processed for immunohistochemistry and Western-blot analysis.\n              \n            \n            \n              Results\n              Cancer cells from patients that developed recurrent disease showed a high cytoplasmic location of both hPXR isoforms. Only the infiltrative carcinomas that relapsed before 48 months showed nuclear location of hPXR isoform 2. This location was associated with the nuclear immunoexpression of RXR-alpha.\n            \n            \n              Conclusion\n              Breast cancer cells can express both variants 1 and 2 of hPXR. Infiltrative carcinomas that recurred showed a nuclear location of both hPXR and RXR-alpha; therefore, the overexpression and the subcellular location changes of hPXR could be considered as a potential new prognostic indicator.","container-title":"BMC Cancer","DOI":"10.1186/1471-2407-8-174","ISSN":"1471-2407","issue":"1","journalAbbreviation":"BMC Cancer","language":"en","page":"174","source":"DOI.org (Crossref)","title":"Human pregnane X receptor is expressed in breast carcinomas, potential heterodimers formation between hPXR and RXR-alpha","volume":"8","author":[{"family":"Conde","given":"Isabel"},{"family":"Lobo","given":"María Vt"},{"family":"Zamora","given":"Javier"},{"family":"Pérez","given":"Julio"},{"family":"González","given":"Francisco J"},{"family":"Alba","given":"Emilio"},{"family":"Fraile","given":"Benito"},{"family":"Paniagua","given":"Ricardo"},{"family":"Arenas","given":"María I"}],"issued":{"date-parts":[["2008",12]]}}}],"schema":"https://github.com/citation-style-language/schema/raw/master/csl-citation.json"} </w:instrText>
      </w:r>
      <w:r w:rsidR="00953CCF" w:rsidRPr="009659D0">
        <w:fldChar w:fldCharType="separate"/>
      </w:r>
      <w:r w:rsidR="00953CCF" w:rsidRPr="009659D0">
        <w:rPr>
          <w:kern w:val="0"/>
        </w:rPr>
        <w:t xml:space="preserve">(Conde </w:t>
      </w:r>
      <w:r w:rsidR="00953CCF" w:rsidRPr="009659D0">
        <w:rPr>
          <w:i/>
          <w:iCs/>
          <w:kern w:val="0"/>
        </w:rPr>
        <w:t>et al.</w:t>
      </w:r>
      <w:r w:rsidR="00953CCF" w:rsidRPr="009659D0">
        <w:rPr>
          <w:kern w:val="0"/>
        </w:rPr>
        <w:t>, 2008)</w:t>
      </w:r>
      <w:r w:rsidR="00953CCF" w:rsidRPr="009659D0">
        <w:fldChar w:fldCharType="end"/>
      </w:r>
      <w:r w:rsidR="005F6834">
        <w:t>.</w:t>
      </w:r>
    </w:p>
    <w:p w14:paraId="26FDD251" w14:textId="77777777" w:rsidR="00FC38C5" w:rsidRDefault="00121528" w:rsidP="00561C8C">
      <w:r>
        <w:rPr>
          <w:b/>
          <w:bCs/>
        </w:rPr>
        <w:t xml:space="preserve">Obrázek </w:t>
      </w:r>
      <w:r w:rsidR="00EB4FDB">
        <w:rPr>
          <w:b/>
          <w:bCs/>
        </w:rPr>
        <w:t>2</w:t>
      </w:r>
      <w:r>
        <w:rPr>
          <w:b/>
          <w:bCs/>
        </w:rPr>
        <w:t xml:space="preserve">: </w:t>
      </w:r>
      <w:r>
        <w:t xml:space="preserve">Přehled funkcí PXR v lidském organismu a jeho aktivace (převzato podle </w:t>
      </w:r>
      <w:r>
        <w:fldChar w:fldCharType="begin"/>
      </w:r>
      <w:r w:rsidR="001F2F53">
        <w:instrText xml:space="preserve"> ADDIN ZOTERO_ITEM CSL_CITATION {"citationID":"Ds342pdi","properties":{"formattedCitation":"(Skandalaki, Sarantis and Theocharis, 2021)","plainCitation":"(Skandalaki, Sarantis and Theocharis, 2021)","dontUpdate":true,"noteIndex":0},"citationItems":[{"id":49,"uris":["http://zotero.org/users/local/UB9PtTOS/items/JIL9FMHQ"],"itemData":{"id":49,"type":"article-journal","abstract":"Pregnane X Receptor (PXR) belongs to the nuclear receptors’ superfamily and mainly functions as a xenobiotic sensor activated by a variety of ligands. PXR is widely expressed in normal and malignant tissues. Drug metabolizing enzymes and transporters are also under PXR’s regulation. Antineoplastic agents are of particular interest since cancer patients are characterized by significant intra-variability to treatment response and severe toxicities. Various PXR polymorphisms may alter the function of the protein and are linked with significant effects on the pharmacokinetics of chemotherapeutic agents and clinical outcome variability. The purpose of this review is to summarize the roles of PXR polymorphisms in the metabolism and pharmacokinetics of chemotherapeutic drugs. It is also expected that this review will highlight the importance of PXR polymorphisms in selection of chemotherapy, prediction of adverse effects and personalized medicine.","container-title":"Biomolecules","DOI":"10.3390/biom11081142","ISSN":"2218-273X","issue":"8","journalAbbreviation":"Biomolecules","language":"en","page":"1142","source":"DOI.org (Crossref)","title":"Pregnane X Receptor (PXR) Polymorphisms and Cancer Treatment","volume":"11","author":[{"family":"Skandalaki","given":"Aikaterini"},{"family":"Sarantis","given":"Panagiotis"},{"family":"Theocharis","given":"Stamatios"}],"issued":{"date-parts":[["2021",8,2]]}}}],"schema":"https://github.com/citation-style-language/schema/raw/master/csl-citation.json"} </w:instrText>
      </w:r>
      <w:r>
        <w:fldChar w:fldCharType="separate"/>
      </w:r>
      <w:r w:rsidR="00C41CE8" w:rsidRPr="00C41CE8">
        <w:t>(Skandalaki</w:t>
      </w:r>
      <w:r w:rsidR="00E83B64">
        <w:t xml:space="preserve"> </w:t>
      </w:r>
      <w:r w:rsidR="00E83B64">
        <w:rPr>
          <w:i/>
          <w:iCs/>
        </w:rPr>
        <w:t>et al.</w:t>
      </w:r>
      <w:r w:rsidR="00C41CE8" w:rsidRPr="00C41CE8">
        <w:t>, 2021)</w:t>
      </w:r>
      <w:r>
        <w:fldChar w:fldCharType="end"/>
      </w:r>
    </w:p>
    <w:p w14:paraId="196B46BD" w14:textId="128C2F43" w:rsidR="00B75105" w:rsidRPr="00E76620" w:rsidRDefault="002062BF" w:rsidP="00561C8C">
      <w:r>
        <w:rPr>
          <w:sz w:val="20"/>
          <w:szCs w:val="20"/>
        </w:rPr>
        <w:t xml:space="preserve">PXR = </w:t>
      </w:r>
      <w:proofErr w:type="spellStart"/>
      <w:r>
        <w:rPr>
          <w:sz w:val="20"/>
          <w:szCs w:val="20"/>
        </w:rPr>
        <w:t>pregnanový</w:t>
      </w:r>
      <w:proofErr w:type="spellEnd"/>
      <w:r>
        <w:rPr>
          <w:sz w:val="20"/>
          <w:szCs w:val="20"/>
        </w:rPr>
        <w:t xml:space="preserve"> X receptor; </w:t>
      </w:r>
      <w:r w:rsidR="00FB6438">
        <w:rPr>
          <w:sz w:val="20"/>
          <w:szCs w:val="20"/>
        </w:rPr>
        <w:t xml:space="preserve">RXR = </w:t>
      </w:r>
      <w:proofErr w:type="spellStart"/>
      <w:r w:rsidR="00FB6438">
        <w:rPr>
          <w:sz w:val="20"/>
          <w:szCs w:val="20"/>
        </w:rPr>
        <w:t>retinoidní</w:t>
      </w:r>
      <w:proofErr w:type="spellEnd"/>
      <w:r w:rsidR="00FB6438">
        <w:rPr>
          <w:sz w:val="20"/>
          <w:szCs w:val="20"/>
        </w:rPr>
        <w:t xml:space="preserve"> X receptor</w:t>
      </w:r>
      <w:r w:rsidR="001660DF">
        <w:rPr>
          <w:sz w:val="20"/>
          <w:szCs w:val="20"/>
        </w:rPr>
        <w:t xml:space="preserve">; </w:t>
      </w:r>
      <w:r w:rsidR="00686F41" w:rsidRPr="00325843">
        <w:rPr>
          <w:sz w:val="20"/>
          <w:szCs w:val="20"/>
        </w:rPr>
        <w:t>PXRE</w:t>
      </w:r>
      <w:r w:rsidR="00A07CF9" w:rsidRPr="00325843">
        <w:rPr>
          <w:sz w:val="20"/>
          <w:szCs w:val="20"/>
        </w:rPr>
        <w:t xml:space="preserve"> = </w:t>
      </w:r>
      <w:proofErr w:type="spellStart"/>
      <w:r w:rsidR="00AA7A8D">
        <w:rPr>
          <w:sz w:val="20"/>
          <w:szCs w:val="20"/>
        </w:rPr>
        <w:t>xenobiotic</w:t>
      </w:r>
      <w:proofErr w:type="spellEnd"/>
      <w:r w:rsidR="00AA7A8D">
        <w:rPr>
          <w:sz w:val="20"/>
          <w:szCs w:val="20"/>
        </w:rPr>
        <w:t xml:space="preserve"> </w:t>
      </w:r>
      <w:proofErr w:type="spellStart"/>
      <w:r w:rsidR="00AA7A8D">
        <w:rPr>
          <w:sz w:val="20"/>
          <w:szCs w:val="20"/>
        </w:rPr>
        <w:t>respons</w:t>
      </w:r>
      <w:r w:rsidR="001632AC">
        <w:rPr>
          <w:sz w:val="20"/>
          <w:szCs w:val="20"/>
        </w:rPr>
        <w:t>ive</w:t>
      </w:r>
      <w:proofErr w:type="spellEnd"/>
      <w:r w:rsidR="00AA7A8D">
        <w:rPr>
          <w:sz w:val="20"/>
          <w:szCs w:val="20"/>
        </w:rPr>
        <w:t xml:space="preserve"> element</w:t>
      </w:r>
      <w:r w:rsidR="00F15F49" w:rsidRPr="00325843">
        <w:rPr>
          <w:sz w:val="20"/>
          <w:szCs w:val="20"/>
        </w:rPr>
        <w:t>;</w:t>
      </w:r>
      <w:r w:rsidR="001660DF">
        <w:rPr>
          <w:sz w:val="20"/>
          <w:szCs w:val="20"/>
        </w:rPr>
        <w:br/>
      </w:r>
      <w:r w:rsidR="00F15F49" w:rsidRPr="00325843">
        <w:rPr>
          <w:sz w:val="20"/>
          <w:szCs w:val="20"/>
        </w:rPr>
        <w:t xml:space="preserve">DR = direct </w:t>
      </w:r>
      <w:proofErr w:type="spellStart"/>
      <w:r w:rsidR="00F15F49" w:rsidRPr="00325843">
        <w:rPr>
          <w:sz w:val="20"/>
          <w:szCs w:val="20"/>
        </w:rPr>
        <w:t>repeats</w:t>
      </w:r>
      <w:proofErr w:type="spellEnd"/>
    </w:p>
    <w:p w14:paraId="4FBC9380" w14:textId="31901D18" w:rsidR="00675055" w:rsidRDefault="00675055" w:rsidP="00675055">
      <w:pPr>
        <w:pStyle w:val="Nadpis3"/>
      </w:pPr>
      <w:bookmarkStart w:id="13" w:name="_Toc165492882"/>
      <w:r>
        <w:lastRenderedPageBreak/>
        <w:t>3.</w:t>
      </w:r>
      <w:r w:rsidR="00C67F65">
        <w:t>2</w:t>
      </w:r>
      <w:r>
        <w:t>.</w:t>
      </w:r>
      <w:r w:rsidR="00CC2DD9">
        <w:t>2</w:t>
      </w:r>
      <w:r>
        <w:tab/>
        <w:t>Endogenní a exogenní ligandy</w:t>
      </w:r>
      <w:bookmarkEnd w:id="13"/>
    </w:p>
    <w:p w14:paraId="2F8664DE" w14:textId="5FE8A6F1" w:rsidR="00475009" w:rsidRDefault="00675055" w:rsidP="00B965C4">
      <w:r>
        <w:tab/>
        <w:t xml:space="preserve">Jako </w:t>
      </w:r>
      <w:r w:rsidR="00314991">
        <w:t>endogenní ligandy</w:t>
      </w:r>
      <w:r>
        <w:t xml:space="preserve"> chápeme látky, které se přirozeně vyskytují v</w:t>
      </w:r>
      <w:r w:rsidR="009877C3">
        <w:t xml:space="preserve"> </w:t>
      </w:r>
      <w:r>
        <w:t>těle</w:t>
      </w:r>
      <w:r w:rsidR="009877C3">
        <w:t>,</w:t>
      </w:r>
      <w:r>
        <w:t xml:space="preserve"> a svou vazbou na jaderné receptory, konkrétně jejich LBD, mění jejich konformaci. </w:t>
      </w:r>
      <w:r w:rsidR="00E234D6">
        <w:t>R</w:t>
      </w:r>
      <w:r>
        <w:t xml:space="preserve">eceptory, jejichž přirozený endogenní ligand není zatím znám, se obecně označují jako receptory sirotčí </w:t>
      </w:r>
      <w:r>
        <w:fldChar w:fldCharType="begin"/>
      </w:r>
      <w:r w:rsidR="001F2F53">
        <w:instrText xml:space="preserve"> ADDIN ZOTERO_ITEM CSL_CITATION {"citationID":"ZHcuAvDw","properties":{"formattedCitation":"(Schupp and Lazar, 2010)","plainCitation":"(Schupp and Lazar, 2010)","dontUpdate":true,"noteIndex":0},"citationItems":[{"id":7,"uris":["http://zotero.org/users/local/UB9PtTOS/items/8P25TT9R"],"itemData":{"id":7,"type":"article-journal","container-title":"Journal of Biological Chemistry","DOI":"10.1074/jbc.R110.182451","ISSN":"00219258","issue":"52","journalAbbreviation":"Journal of Biological Chemistry","language":"en","page":"40409-40415","source":"DOI.org (Crossref)","title":"Endogenous Ligands for Nuclear Receptors: Digging Deeper","title-short":"Endogenous Ligands for Nuclear Receptors","volume":"285","author":[{"family":"Schupp","given":"Michael"},{"family":"Lazar","given":"Mitchell A."}],"issued":{"date-parts":[["2010",12]]}}}],"schema":"https://github.com/citation-style-language/schema/raw/master/csl-citation.json"} </w:instrText>
      </w:r>
      <w:r>
        <w:fldChar w:fldCharType="separate"/>
      </w:r>
      <w:r w:rsidR="00C41CE8" w:rsidRPr="00C41CE8">
        <w:t xml:space="preserve">(Schupp </w:t>
      </w:r>
      <w:r w:rsidR="009A02DF">
        <w:rPr>
          <w:i/>
          <w:iCs/>
        </w:rPr>
        <w:t>et</w:t>
      </w:r>
      <w:r w:rsidR="00C41CE8" w:rsidRPr="00C41CE8">
        <w:t xml:space="preserve"> Lazar, 2010)</w:t>
      </w:r>
      <w:r>
        <w:fldChar w:fldCharType="end"/>
      </w:r>
      <w:r>
        <w:t>.</w:t>
      </w:r>
      <w:r w:rsidR="00B96F10">
        <w:t xml:space="preserve"> </w:t>
      </w:r>
      <w:r w:rsidR="004F0FAA">
        <w:t>PXR byl původně sirotčí receptor, ale došlo k</w:t>
      </w:r>
      <w:r w:rsidR="00154EC0">
        <w:t xml:space="preserve"> </w:t>
      </w:r>
      <w:r w:rsidR="004F0FAA">
        <w:t xml:space="preserve">jeho </w:t>
      </w:r>
      <w:proofErr w:type="spellStart"/>
      <w:r w:rsidR="004F0FAA">
        <w:t>deorfanizaci</w:t>
      </w:r>
      <w:proofErr w:type="spellEnd"/>
      <w:r w:rsidR="004F0FAA">
        <w:t xml:space="preserve"> </w:t>
      </w:r>
      <w:r w:rsidR="00757D66">
        <w:t xml:space="preserve">po objevení jeho endogenního ligandu </w:t>
      </w:r>
      <w:r w:rsidR="00BD1845">
        <w:t>5β</w:t>
      </w:r>
      <w:r w:rsidR="00066A33">
        <w:t>-pregnan-3,20-dionu</w:t>
      </w:r>
      <w:r w:rsidR="0039504E">
        <w:t xml:space="preserve"> </w:t>
      </w:r>
      <w:r w:rsidR="005E5FF9">
        <w:fldChar w:fldCharType="begin"/>
      </w:r>
      <w:r w:rsidR="005E5FF9">
        <w:instrText xml:space="preserve"> ADDIN ZOTERO_ITEM CSL_CITATION {"citationID":"i5JFW95Z","properties":{"formattedCitation":"(Lehmann {\\i{}et al.}, 1998)","plainCitation":"(Lehmann et al., 1998)","noteIndex":0},"citationItems":[{"id":165,"uris":["http://zotero.org/users/local/UB9PtTOS/items/37TVETJG"],"itemData":{"id":165,"type":"article-journal","container-title":"Journal of Clinical Investigation","DOI":"10.1172/JCI3703","ISSN":"0021-9738","issue":"5","journalAbbreviation":"J. Clin. Invest.","language":"en","page":"1016-1023","source":"DOI.org (Crossref)","title":"The human orphan nuclear receptor PXR is activated by compounds that regulate CYP3A4 gene expression and cause drug interactions.","volume":"102","author":[{"family":"Lehmann","given":"J M"},{"family":"McKee","given":"D D"},{"family":"Watson","given":"M A"},{"family":"Willson","given":"T M"},{"family":"Moore","given":"J T"},{"family":"Kliewer","given":"S A"}],"issued":{"date-parts":[["1998",9,1]]}}}],"schema":"https://github.com/citation-style-language/schema/raw/master/csl-citation.json"} </w:instrText>
      </w:r>
      <w:r w:rsidR="005E5FF9">
        <w:fldChar w:fldCharType="separate"/>
      </w:r>
      <w:r w:rsidR="005E5FF9" w:rsidRPr="005E5FF9">
        <w:rPr>
          <w:kern w:val="0"/>
        </w:rPr>
        <w:t xml:space="preserve">(Lehmann </w:t>
      </w:r>
      <w:r w:rsidR="005E5FF9" w:rsidRPr="005E5FF9">
        <w:rPr>
          <w:i/>
          <w:iCs/>
          <w:kern w:val="0"/>
        </w:rPr>
        <w:t>et al.</w:t>
      </w:r>
      <w:r w:rsidR="005E5FF9" w:rsidRPr="005E5FF9">
        <w:rPr>
          <w:kern w:val="0"/>
        </w:rPr>
        <w:t>, 1998)</w:t>
      </w:r>
      <w:r w:rsidR="005E5FF9">
        <w:fldChar w:fldCharType="end"/>
      </w:r>
      <w:r w:rsidR="00636ADD">
        <w:t>.</w:t>
      </w:r>
    </w:p>
    <w:p w14:paraId="6BA5E782" w14:textId="4B9169B2" w:rsidR="00B75105" w:rsidRPr="00EB5B8A" w:rsidRDefault="000D032F" w:rsidP="00475009">
      <w:pPr>
        <w:ind w:firstLine="708"/>
      </w:pPr>
      <w:r>
        <w:t xml:space="preserve">PXR </w:t>
      </w:r>
      <w:r w:rsidR="00D937C9">
        <w:t>je aktivován řadou endogenních ligandů</w:t>
      </w:r>
      <w:r w:rsidR="007A6A75">
        <w:t xml:space="preserve"> lišících se svou chemickou strukturou díky</w:t>
      </w:r>
      <w:r w:rsidR="00F7440E">
        <w:t xml:space="preserve"> své</w:t>
      </w:r>
      <w:r w:rsidR="007A6A75">
        <w:t xml:space="preserve"> </w:t>
      </w:r>
      <w:r w:rsidR="00F7440E">
        <w:t>flexibilní a dynamické ligand-vazebné doméně</w:t>
      </w:r>
      <w:r w:rsidR="00886EA6">
        <w:t xml:space="preserve"> </w:t>
      </w:r>
      <w:r w:rsidR="00886EA6">
        <w:fldChar w:fldCharType="begin"/>
      </w:r>
      <w:r w:rsidR="001F2F53">
        <w:instrText xml:space="preserve"> ADDIN ZOTERO_ITEM CSL_CITATION {"citationID":"OkYljlcP","properties":{"formattedCitation":"(Buchman, Chai and Chen, 2018)","plainCitation":"(Buchman, Chai and Chen, 2018)","dontUpdate":true,"noteIndex":0},"citationItems":[{"id":80,"uris":["http://zotero.org/users/local/UB9PtTOS/items/7593FB2S"],"itemData":{"id":80,"type":"article-journal","container-title":"Expert Opinion on Drug Metabolism &amp; Toxicology","DOI":"10.1080/17425255.2018.1476488","ISSN":"1742-5255, 1744-7607","issue":"6","journalAbbreviation":"Expert Opinion on Drug Metabolism &amp; Toxicology","language":"en","page":"635-647","source":"DOI.org (Crossref)","title":"A current structural perspective on PXR and CAR in drug metabolism","volume":"14","author":[{"family":"Buchman","given":"Cameron D."},{"family":"Chai","given":"Sergio C."},{"family":"Chen","given":"Taosheng"}],"issued":{"date-parts":[["2018",6,3]]}}}],"schema":"https://github.com/citation-style-language/schema/raw/master/csl-citation.json"} </w:instrText>
      </w:r>
      <w:r w:rsidR="00886EA6">
        <w:fldChar w:fldCharType="separate"/>
      </w:r>
      <w:r w:rsidR="00C41CE8" w:rsidRPr="00C41CE8">
        <w:t>(Buchman</w:t>
      </w:r>
      <w:r w:rsidR="009A02DF">
        <w:t xml:space="preserve"> </w:t>
      </w:r>
      <w:r w:rsidR="009A02DF">
        <w:rPr>
          <w:i/>
          <w:iCs/>
        </w:rPr>
        <w:t>et al.</w:t>
      </w:r>
      <w:r w:rsidR="00C41CE8" w:rsidRPr="00C41CE8">
        <w:t>, 2018)</w:t>
      </w:r>
      <w:r w:rsidR="00886EA6">
        <w:fldChar w:fldCharType="end"/>
      </w:r>
      <w:r w:rsidR="00AF66B7">
        <w:t xml:space="preserve">. </w:t>
      </w:r>
      <w:r w:rsidR="00675055">
        <w:t xml:space="preserve">Příkladem těchto </w:t>
      </w:r>
      <w:r w:rsidR="009A0F8E">
        <w:t xml:space="preserve">endogenních </w:t>
      </w:r>
      <w:r w:rsidR="00675055">
        <w:t>látek jsou žlučové kyseliny, které v</w:t>
      </w:r>
      <w:r w:rsidR="001632AC">
        <w:t xml:space="preserve"> </w:t>
      </w:r>
      <w:r w:rsidR="00675055">
        <w:t>těle vznikají oxidací cholesterolu</w:t>
      </w:r>
      <w:r w:rsidR="00D730C2">
        <w:br/>
      </w:r>
      <w:r w:rsidR="00675055">
        <w:t>a podílejí se také na metabolismu lipidů. Indukci PXR způsobuje</w:t>
      </w:r>
      <w:r w:rsidR="000742DC">
        <w:t xml:space="preserve"> také</w:t>
      </w:r>
      <w:r w:rsidR="00675055">
        <w:t xml:space="preserve"> řada steroidních hormonů, mezi něž patří progesteron, estradiol, </w:t>
      </w:r>
      <w:r w:rsidR="00675055" w:rsidRPr="007A4753">
        <w:t>5</w:t>
      </w:r>
      <w:r w:rsidR="0039504E">
        <w:t>β</w:t>
      </w:r>
      <w:r w:rsidR="00675055" w:rsidRPr="007A4753">
        <w:t>-pregnan-3,20-dion</w:t>
      </w:r>
      <w:r w:rsidR="00675055">
        <w:t xml:space="preserve"> a mnoho dalších </w:t>
      </w:r>
      <w:r w:rsidR="00675055">
        <w:fldChar w:fldCharType="begin"/>
      </w:r>
      <w:r w:rsidR="00C41CE8">
        <w:instrText xml:space="preserve"> ADDIN ZOTERO_ITEM CSL_CITATION {"citationID":"XFmfT0gm","properties":{"formattedCitation":"(Lv {\\i{}et al.}, 2022)","plainCitation":"(Lv et al., 2022)","noteIndex":0},"citationItems":[{"id":11,"uris":["http://zotero.org/users/local/UB9PtTOS/items/RQJJTM7C"],"itemData":{"id":11,"type":"article-journal","abstract":"As a member of the nuclear receptor (NR) superfamily, pregnane X receptor (PXR; NR1I2) is a ligand-activated transcription factor that plays a crucial role in the metabolism of xenobiotics and endobiotics in mammals. The tissue distribution of PXR is parallel to its function with high expression in the liver and small intestine and moderate expression in the kidney, stomach, skin, and blood-brain barrier, which are organs and tissues in frequent contact with xenobiotics. PXR was first recognized as an exogenous substance receptor regulating metabolizing enzymes and transporters and functioning in detoxification and drug metabolism in the liver. However, further research revealed that PXR acts as an equally important endogenous substance receptor in the metabolism and homeostasis of endogenous substances. In this review, we summarized the functions of PXR in metabolism of different substances such as glucose, lipid, bile acid, vitamin, minerals, and endocrines, and also included insights of the application of PXR ligands (drugs) in specific diseases.","container-title":"Frontiers in Endocrinology","DOI":"10.3389/fendo.2022.959902","ISSN":"1664-2392","journalAbbreviation":"Front. Endocrinol.","page":"959902","source":"DOI.org (Crossref)","title":"The role of pregnane X receptor (PXR) in substance metabolism","volume":"13","author":[{"family":"Lv","given":"Ye"},{"family":"Luo","given":"Yi-Yang"},{"family":"Ren","given":"Hui-Wen"},{"family":"Li","given":"Cheng-Jie"},{"family":"Xiang","given":"Zhi-Xin"},{"family":"Luan","given":"Zhi-Lin"}],"issued":{"date-parts":[["2022",8,16]]}}}],"schema":"https://github.com/citation-style-language/schema/raw/master/csl-citation.json"} </w:instrText>
      </w:r>
      <w:r w:rsidR="00675055">
        <w:fldChar w:fldCharType="separate"/>
      </w:r>
      <w:r w:rsidR="00C41CE8" w:rsidRPr="00C41CE8">
        <w:rPr>
          <w:kern w:val="0"/>
        </w:rPr>
        <w:t xml:space="preserve">(Lv </w:t>
      </w:r>
      <w:r w:rsidR="00C41CE8" w:rsidRPr="00C41CE8">
        <w:rPr>
          <w:i/>
          <w:iCs/>
          <w:kern w:val="0"/>
        </w:rPr>
        <w:t>et al.</w:t>
      </w:r>
      <w:r w:rsidR="00C41CE8" w:rsidRPr="00C41CE8">
        <w:rPr>
          <w:kern w:val="0"/>
        </w:rPr>
        <w:t>, 2022)</w:t>
      </w:r>
      <w:r w:rsidR="00675055">
        <w:fldChar w:fldCharType="end"/>
      </w:r>
      <w:r w:rsidR="00675055">
        <w:t>.</w:t>
      </w:r>
      <w:r w:rsidR="00A45EAD">
        <w:t xml:space="preserve"> Mezi </w:t>
      </w:r>
      <w:r w:rsidR="00A32A24">
        <w:t>endogenní</w:t>
      </w:r>
      <w:r w:rsidR="009E6DCB">
        <w:t xml:space="preserve"> ligandy PXR řadíme také mikrobiální metabolity </w:t>
      </w:r>
      <w:r w:rsidR="00D730C2">
        <w:t>–</w:t>
      </w:r>
      <w:r w:rsidR="009E6DCB">
        <w:t xml:space="preserve"> deriváty</w:t>
      </w:r>
      <w:r w:rsidR="00D730C2">
        <w:br/>
      </w:r>
      <w:r w:rsidR="00A45EAD">
        <w:t>L-tryptofanu</w:t>
      </w:r>
      <w:r w:rsidR="00934BF8">
        <w:t xml:space="preserve"> −</w:t>
      </w:r>
      <w:r w:rsidR="00396B67">
        <w:t xml:space="preserve"> </w:t>
      </w:r>
      <w:proofErr w:type="spellStart"/>
      <w:r w:rsidR="00A45EAD">
        <w:t>tryptamin</w:t>
      </w:r>
      <w:proofErr w:type="spellEnd"/>
      <w:r w:rsidR="00A45EAD">
        <w:t xml:space="preserve">, indol, </w:t>
      </w:r>
      <w:proofErr w:type="spellStart"/>
      <w:r w:rsidR="00A45EAD">
        <w:t>skatol</w:t>
      </w:r>
      <w:proofErr w:type="spellEnd"/>
      <w:r w:rsidR="00A45EAD">
        <w:t>, indol-3-acetát, indol-3-aldehyd, indol-3-ethanol,</w:t>
      </w:r>
      <w:r w:rsidR="00D730C2">
        <w:br/>
      </w:r>
      <w:r w:rsidR="00A45EAD">
        <w:t>indol-3-laktát a další deriváty indolu</w:t>
      </w:r>
      <w:r w:rsidR="000B3187">
        <w:t xml:space="preserve"> </w:t>
      </w:r>
      <w:r w:rsidR="000B3187">
        <w:fldChar w:fldCharType="begin"/>
      </w:r>
      <w:r w:rsidR="001F2F53">
        <w:instrText xml:space="preserve"> ADDIN ZOTERO_ITEM CSL_CITATION {"citationID":"WdDTLqHv","properties":{"formattedCitation":"(Dvo\\uc0\\u345{}\\uc0\\u225{}k, Sokol and Mani, 2020)","plainCitation":"(Dvořák, Sokol and Mani, 2020)","dontUpdate":true,"noteIndex":0},"citationItems":[{"id":46,"uris":["http://zotero.org/users/local/UB9PtTOS/items/F9Z4Y7IZ"],"itemData":{"id":46,"type":"article-journal","container-title":"Trends in Pharmacological Sciences","DOI":"10.1016/j.tips.2020.09.013","ISSN":"01656147","issue":"12","journalAbbreviation":"Trends in Pharmacological Sciences","language":"en","page":"900-908","source":"DOI.org (Crossref)","title":"Drug Mimicry: Promiscuous Receptors PXR and AhR, and Microbial Metabolite Interactions in the Intestine","title-short":"Drug Mimicry","volume":"41","author":[{"family":"Dvořák","given":"Zdeněk"},{"family":"Sokol","given":"Harry"},{"family":"Mani","given":"Sridhar"}],"issued":{"date-parts":[["2020",12]]}}}],"schema":"https://github.com/citation-style-language/schema/raw/master/csl-citation.json"} </w:instrText>
      </w:r>
      <w:r w:rsidR="000B3187">
        <w:fldChar w:fldCharType="separate"/>
      </w:r>
      <w:r w:rsidR="00C41CE8" w:rsidRPr="00C41CE8">
        <w:rPr>
          <w:kern w:val="0"/>
        </w:rPr>
        <w:t>(Dvořák</w:t>
      </w:r>
      <w:r w:rsidR="009A02DF">
        <w:rPr>
          <w:kern w:val="0"/>
        </w:rPr>
        <w:t xml:space="preserve"> </w:t>
      </w:r>
      <w:r w:rsidR="009A02DF">
        <w:rPr>
          <w:i/>
          <w:iCs/>
          <w:kern w:val="0"/>
        </w:rPr>
        <w:t>et al.</w:t>
      </w:r>
      <w:r w:rsidR="00C41CE8" w:rsidRPr="00C41CE8">
        <w:rPr>
          <w:kern w:val="0"/>
        </w:rPr>
        <w:t>, 2020)</w:t>
      </w:r>
      <w:r w:rsidR="000B3187">
        <w:fldChar w:fldCharType="end"/>
      </w:r>
      <w:r w:rsidR="00A45EAD">
        <w:t>.</w:t>
      </w:r>
    </w:p>
    <w:p w14:paraId="0579C9E6" w14:textId="1E2E4351" w:rsidR="00CC2DD9" w:rsidRDefault="009A02DF" w:rsidP="00EB5B8A">
      <w:pPr>
        <w:ind w:firstLine="708"/>
      </w:pPr>
      <w:r w:rsidRPr="00EB5B8A">
        <w:t>Látky, které pochází z</w:t>
      </w:r>
      <w:r w:rsidR="00F17CE6">
        <w:t xml:space="preserve"> </w:t>
      </w:r>
      <w:r w:rsidRPr="00EB5B8A">
        <w:t>vnějšího prostředí a v</w:t>
      </w:r>
      <w:r w:rsidR="004C2569">
        <w:t xml:space="preserve"> </w:t>
      </w:r>
      <w:r w:rsidRPr="00EB5B8A">
        <w:t xml:space="preserve">těle se za běžných okolností nevyskytují, označujeme jako exogenní ligandy. </w:t>
      </w:r>
      <w:r w:rsidR="00676941">
        <w:t>Mezi exogenní ligandy PXR patří mnoho</w:t>
      </w:r>
      <w:r w:rsidR="00EB5B8A" w:rsidRPr="00EB5B8A">
        <w:t xml:space="preserve"> léčiv</w:t>
      </w:r>
      <w:r w:rsidRPr="00EB5B8A">
        <w:t>,</w:t>
      </w:r>
      <w:r w:rsidR="00D730C2">
        <w:br/>
      </w:r>
      <w:r w:rsidRPr="00EB5B8A">
        <w:t>např.</w:t>
      </w:r>
      <w:r w:rsidR="00EB5B8A" w:rsidRPr="00EB5B8A">
        <w:t xml:space="preserve"> </w:t>
      </w:r>
      <w:proofErr w:type="spellStart"/>
      <w:r w:rsidRPr="00EB5B8A">
        <w:t>rifampicin</w:t>
      </w:r>
      <w:proofErr w:type="spellEnd"/>
      <w:r w:rsidRPr="00EB5B8A">
        <w:t xml:space="preserve">, který </w:t>
      </w:r>
      <w:r w:rsidR="00F97AE1">
        <w:t>se používá jako jeden z</w:t>
      </w:r>
      <w:r w:rsidR="004C2569">
        <w:t xml:space="preserve"> </w:t>
      </w:r>
      <w:r w:rsidR="00F97AE1">
        <w:t>modelových</w:t>
      </w:r>
      <w:r w:rsidR="001669F6">
        <w:t xml:space="preserve"> ligandů</w:t>
      </w:r>
      <w:r w:rsidRPr="00EB5B8A">
        <w:t xml:space="preserve"> PXR, dále </w:t>
      </w:r>
      <w:proofErr w:type="spellStart"/>
      <w:r w:rsidRPr="00EB5B8A">
        <w:t>rifamixin</w:t>
      </w:r>
      <w:proofErr w:type="spellEnd"/>
      <w:r w:rsidRPr="00EB5B8A">
        <w:t xml:space="preserve">, </w:t>
      </w:r>
      <w:proofErr w:type="spellStart"/>
      <w:r w:rsidRPr="00EB5B8A">
        <w:t>klotrimazol</w:t>
      </w:r>
      <w:proofErr w:type="spellEnd"/>
      <w:r w:rsidRPr="00EB5B8A">
        <w:t xml:space="preserve">, </w:t>
      </w:r>
      <w:proofErr w:type="spellStart"/>
      <w:r w:rsidRPr="00EB5B8A">
        <w:t>dexamethazon</w:t>
      </w:r>
      <w:proofErr w:type="spellEnd"/>
      <w:r w:rsidRPr="00EB5B8A">
        <w:t xml:space="preserve">, </w:t>
      </w:r>
      <w:proofErr w:type="spellStart"/>
      <w:r w:rsidRPr="00EB5B8A">
        <w:t>lovastin</w:t>
      </w:r>
      <w:proofErr w:type="spellEnd"/>
      <w:r w:rsidRPr="00EB5B8A">
        <w:t xml:space="preserve"> a </w:t>
      </w:r>
      <w:proofErr w:type="spellStart"/>
      <w:r w:rsidRPr="00EB5B8A">
        <w:t>metyrapon</w:t>
      </w:r>
      <w:proofErr w:type="spellEnd"/>
      <w:r w:rsidR="00D440F0" w:rsidRPr="00EB5B8A">
        <w:t xml:space="preserve"> </w:t>
      </w:r>
      <w:r w:rsidR="00D440F0" w:rsidRPr="00EB5B8A">
        <w:fldChar w:fldCharType="begin"/>
      </w:r>
      <w:r w:rsidR="001F2F53">
        <w:instrText xml:space="preserve"> ADDIN ZOTERO_ITEM CSL_CITATION {"citationID":"WWmI2dZ7","properties":{"formattedCitation":"(Lehmann {\\i{}et al.}, 1998; Goodwin, Hodgson and Liddle, 1999; Jones {\\i{}et al.}, 2000)","plainCitation":"(Lehmann et al., 1998; Goodwin, Hodgson and Liddle, 1999; Jones et al., 2000)","dontUpdate":true,"noteIndex":0},"citationItems":[{"id":165,"uris":["http://zotero.org/users/local/UB9PtTOS/items/37TVETJG"],"itemData":{"id":165,"type":"article-journal","container-title":"Journal of Clinical Investigation","DOI":"10.1172/JCI3703","ISSN":"0021-9738","issue":"5","journalAbbreviation":"J. Clin. Invest.","language":"en","page":"1016-1023","source":"DOI.org (Crossref)","title":"The human orphan nuclear receptor PXR is activated by compounds that regulate CYP3A4 gene expression and cause drug interactions.","volume":"102","author":[{"family":"Lehmann","given":"J M"},{"family":"McKee","given":"D D"},{"family":"Watson","given":"M A"},{"family":"Willson","given":"T M"},{"family":"Moore","given":"J T"},{"family":"Kliewer","given":"S A"}],"issued":{"date-parts":[["1998",9,1]]}}},{"id":6,"uris":["http://zotero.org/users/local/UB9PtTOS/items/ZUC92T4B"],"itemData":{"id":6,"type":"article-journal","container-title":"Molecular Pharmacology","DOI":"10.1124/mol.56.6.1329","ISSN":"0026-895X, 1521-0111","issue":"6","journalAbbreviation":"Mol Pharmacol","language":"en","page":"1329-1339","source":"DOI.org (Crossref)","title":"The Orphan Human Pregnane X Receptor Mediates the Transcriptional Activation of &lt;i&gt;CYP3A4&lt;/i&gt; by Rifampicin through a Distal Enhancer Module","volume":"56","author":[{"family":"Goodwin","given":"Bryan"},{"family":"Hodgson","given":"Ecushla"},{"family":"Liddle","given":"Christopher"}],"issued":{"date-parts":[["1999",12,1]]}}},{"id":163,"uris":["http://zotero.org/users/local/UB9PtTOS/items/M4QHI6W9"],"itemData":{"id":163,"type":"article-journal","container-title":"Molecular Endocrinology","DOI":"10.1210/mend.14.1.0409","ISSN":"0888-8809, 1944-9917","issue":"1","language":"en","page":"27-39","source":"DOI.org (Crossref)","title":"The Pregnane X Receptor: A Promiscuous Xenobiotic Receptor That Has Diverged during Evolution","title-short":"The Pregnane X Receptor","volume":"14","author":[{"family":"Jones","given":"Stacey A."},{"family":"Moore","given":"Linda B."},{"family":"Shenk","given":"Jennifer L."},{"family":"Wisely","given":"G. Bruce"},{"family":"Hamilton","given":"Geraldine A."},{"family":"McKee","given":"David D."},{"family":"Tomkinson","given":"Nicholas C. O."},{"family":"LeCluyse","given":"Edward L."},{"family":"Lambert","given":"Millard H."},{"family":"Willson","given":"Timothy M."},{"family":"Kliewer","given":"Steven A."},{"family":"Moore","given":"John T."}],"issued":{"date-parts":[["2000",1,1]]}}}],"schema":"https://github.com/citation-style-language/schema/raw/master/csl-citation.json"} </w:instrText>
      </w:r>
      <w:r w:rsidR="00D440F0" w:rsidRPr="00EB5B8A">
        <w:fldChar w:fldCharType="separate"/>
      </w:r>
      <w:r w:rsidR="00D440F0" w:rsidRPr="00EB5B8A">
        <w:rPr>
          <w:kern w:val="0"/>
        </w:rPr>
        <w:t xml:space="preserve">(Lehmann </w:t>
      </w:r>
      <w:r w:rsidR="00D440F0" w:rsidRPr="00EB5B8A">
        <w:rPr>
          <w:i/>
          <w:iCs/>
          <w:kern w:val="0"/>
        </w:rPr>
        <w:t>et al.</w:t>
      </w:r>
      <w:r w:rsidR="00D440F0" w:rsidRPr="00EB5B8A">
        <w:rPr>
          <w:kern w:val="0"/>
        </w:rPr>
        <w:t xml:space="preserve">, 1998; Goodwin </w:t>
      </w:r>
      <w:r w:rsidR="00D440F0" w:rsidRPr="00EB5B8A">
        <w:rPr>
          <w:i/>
          <w:iCs/>
          <w:kern w:val="0"/>
        </w:rPr>
        <w:t>et al.</w:t>
      </w:r>
      <w:r w:rsidR="00D440F0" w:rsidRPr="00EB5B8A">
        <w:rPr>
          <w:kern w:val="0"/>
        </w:rPr>
        <w:t xml:space="preserve">, 1999; Jones </w:t>
      </w:r>
      <w:r w:rsidR="00D440F0" w:rsidRPr="00EB5B8A">
        <w:rPr>
          <w:i/>
          <w:iCs/>
          <w:kern w:val="0"/>
        </w:rPr>
        <w:t>et al.</w:t>
      </w:r>
      <w:r w:rsidR="00D440F0" w:rsidRPr="00EB5B8A">
        <w:rPr>
          <w:kern w:val="0"/>
        </w:rPr>
        <w:t>, 2000)</w:t>
      </w:r>
      <w:r w:rsidR="00D440F0" w:rsidRPr="00EB5B8A">
        <w:fldChar w:fldCharType="end"/>
      </w:r>
      <w:r w:rsidRPr="00EB5B8A">
        <w:t xml:space="preserve">. </w:t>
      </w:r>
      <w:r w:rsidR="00EB5B8A" w:rsidRPr="00EB5B8A">
        <w:t xml:space="preserve">Dalšími léčivy, které se vážou na PXR, jsou </w:t>
      </w:r>
      <w:r w:rsidR="00EB5B8A">
        <w:t xml:space="preserve">antibiotikum </w:t>
      </w:r>
      <w:r w:rsidR="00EB5B8A" w:rsidRPr="00EB5B8A">
        <w:t xml:space="preserve">ritonavir, </w:t>
      </w:r>
      <w:proofErr w:type="spellStart"/>
      <w:r w:rsidR="00EB5B8A">
        <w:t>antineoplastikum</w:t>
      </w:r>
      <w:proofErr w:type="spellEnd"/>
      <w:r w:rsidR="00EB5B8A">
        <w:t xml:space="preserve"> </w:t>
      </w:r>
      <w:r w:rsidR="00EB5B8A" w:rsidRPr="00EB5B8A">
        <w:t xml:space="preserve">cyklofosfamid, </w:t>
      </w:r>
      <w:proofErr w:type="spellStart"/>
      <w:r w:rsidR="00EB5B8A" w:rsidRPr="00EB5B8A">
        <w:t>taxol</w:t>
      </w:r>
      <w:proofErr w:type="spellEnd"/>
      <w:r w:rsidR="00EB5B8A" w:rsidRPr="00EB5B8A">
        <w:t>, tamoxifen,</w:t>
      </w:r>
      <w:r w:rsidR="0047609E">
        <w:t xml:space="preserve"> protizánětlivý</w:t>
      </w:r>
      <w:r w:rsidR="00EB5B8A" w:rsidRPr="00EB5B8A">
        <w:t xml:space="preserve"> </w:t>
      </w:r>
      <w:proofErr w:type="spellStart"/>
      <w:r w:rsidR="00EB5B8A" w:rsidRPr="00EB5B8A">
        <w:t>indometacin</w:t>
      </w:r>
      <w:proofErr w:type="spellEnd"/>
      <w:r w:rsidR="00EB5B8A" w:rsidRPr="00EB5B8A">
        <w:t xml:space="preserve">, </w:t>
      </w:r>
      <w:proofErr w:type="spellStart"/>
      <w:r w:rsidR="00EB5B8A" w:rsidRPr="00EB5B8A">
        <w:t>troglitazon</w:t>
      </w:r>
      <w:proofErr w:type="spellEnd"/>
      <w:r w:rsidR="00F04195">
        <w:br/>
      </w:r>
      <w:r w:rsidR="005326D8">
        <w:t xml:space="preserve">a </w:t>
      </w:r>
      <w:r w:rsidR="00EB5B8A" w:rsidRPr="00EB5B8A">
        <w:t xml:space="preserve">sedativa </w:t>
      </w:r>
      <w:proofErr w:type="spellStart"/>
      <w:r w:rsidR="00EB5B8A" w:rsidRPr="00EB5B8A">
        <w:t>glutetimid</w:t>
      </w:r>
      <w:proofErr w:type="spellEnd"/>
      <w:r w:rsidR="00EB5B8A" w:rsidRPr="00EB5B8A">
        <w:t xml:space="preserve"> a fenobarbital</w:t>
      </w:r>
      <w:r w:rsidR="0047609E">
        <w:t xml:space="preserve"> </w:t>
      </w:r>
      <w:r w:rsidR="0047609E">
        <w:fldChar w:fldCharType="begin"/>
      </w:r>
      <w:r w:rsidR="001F2F53">
        <w:instrText xml:space="preserve"> ADDIN ZOTERO_ITEM CSL_CITATION {"citationID":"wPohbLfP","properties":{"formattedCitation":"(Chang {\\i{}et al.}, 1997; Desai {\\i{}et al.}, 2002; Honkakoski, Sueyoshi and Negishi, 2003; Persson {\\i{}et al.}, 2006)","plainCitation":"(Chang et al., 1997; Desai et al., 2002; Honkakoski, Sueyoshi and Negishi, 2003; Persson et al., 2006)","dontUpdate":true,"noteIndex":0},"citationItems":[{"id":172,"uris":["http://zotero.org/users/local/UB9PtTOS/items/XXY7U795"],"itemData":{"id":172,"type":"article-journal","abstract":"The anticancer oxazaphosphorine prodrugs cyclophosphamide and ifosfamide are activated in human liver by a 4-hydroxylation reaction catalyzed by multiple cytochrome P450 (CYP) enzymes. In the present study, we used a cultured human hepatocyte model to identify possible inducers of the CYP-catalyzed activation of these two anticancer prodrugs. Treatment of primary cultures of human hepatocytes with phenobarbital, dexamethasone, or rifampin elevated hepatocyte microsomal oxazaphosphorine 4-hydroxylation by up to 200-400% of control for both drug substrates. These inductions were associated with corresponding increases in immunoreactive CYP2B6, CYP2C8, CYP2C9, and CYP3A4, all previously shown to catalyze oxazaphosphorine activation. Rifampin (1 microM, 96-h exposure) was a particularly potent inducer of ifosfamide and cyclophosphamide 4-hydroxylation, as well as of CYP3A protein levels and CYP3A-dependent testosterone 6beta-hydroxylation. CYP3A4, CYP2C8, and CYP2C9 protein levels were also increased by exposure of the hepatocytes to cyclophosphamide or ifosfamide (50 microM), which thereby enhanced their own rates of 4-hydroxylation in the cultured hepatocytes. In one human hepatocyte culture that contained the polymorphically expressed CYP3A5 in addition to the more widely expressed CYP3A4, only CYP3A4 was induced by cyclophosphamide, ifosfamide, and rifampin. These studies: (a) demonstrate an underlying metabolic basis for the clinically important oxazaphosphorine autoinduction pharmacokinetics seen with these drugs in cancer patients; and (b) identify rifampin and other CYP inducers as potentially useful for increasing the rates of cyclophosphamide 4-hydroxylation and ifosfamide 4-hydroxylation in human liver in a manner that could favorably impact the clinical pharmacokinetics of these anticancer prodrugs.","container-title":"Cancer Research","ISSN":"0008-5472","issue":"10","journalAbbreviation":"Cancer Res","language":"eng","note":"PMID: 9157990","page":"1946-1954","source":"PubMed","title":"Enhanced cyclophosphamide and ifosfamide activation in primary human hepatocyte cultures: response to cytochrome P-450 inducers and autoinduction by oxazaphosphorines","title-short":"Enhanced cyclophosphamide and ifosfamide activation in primary human hepatocyte cultures","volume":"57","author":[{"family":"Chang","given":"T. K."},{"family":"Yu","given":"L."},{"family":"Maurel","given":"P."},{"family":"Waxman","given":"D. J."}],"issued":{"date-parts":[["1997",5,15]]}}},{"id":174,"uris":["http://zotero.org/users/local/UB9PtTOS/items/J396Z2GQ"],"itemData":{"id":174,"type":"article-journal","container-title":"Drug Metabolism and Disposition","DOI":"10.1124/dmd.30.5.608","ISSN":"0090-9556, 1521-009X","issue":"5","journalAbbreviation":"Drug Metab Dispos","language":"en","page":"608-612","source":"DOI.org (Crossref)","title":"Induction of Cytochrome P450 3A4 in Primary Human Hepatocytes and Activation of the Human Pregnane X Receptor by Tamoxifen and 4-Hydroxytamoxifen","volume":"30","author":[{"family":"Desai","given":"Pankaj B."},{"family":"Nallani","given":"Srikanth C."},{"family":"Sane","given":"Rucha S."},{"family":"Moore","given":"Linda B."},{"family":"Goodwin","given":"Bryan J."},{"family":"Buckley","given":"Donna J."},{"family":"Buckley","given":"Arthur R."}],"issued":{"date-parts":[["2002",5,1]]}}},{"id":176,"uris":["http://zotero.org/users/local/UB9PtTOS/items/XY5HQZ3D"],"itemData":{"id":176,"type":"article-journal","container-title":"Annals of Medicine","DOI":"10.1080/07853890310008224","ISSN":"0785-3890, 1365-2060","issue":"3","journalAbbreviation":"Annals of Medicine","language":"en","page":"172-182","source":"DOI.org (Crossref)","title":"Drug-activated nuclear receptors CAR and PXR","volume":"35","author":[{"family":"Honkakoski","given":"Paavo"},{"family":"Sueyoshi","given":"Tatsuya"},{"family":"Negishi","given":"Masahiko"}],"issued":{"date-parts":[["2003",1]]}}},{"id":175,"uris":["http://zotero.org/users/local/UB9PtTOS/items/5DDIAR79"],"itemData":{"id":175,"type":"article-journal","container-title":"Pharmaceutical Research","DOI":"10.1007/s11095-005-8812-5","ISSN":"0724-8741, 1573-904X","issue":"1","journalAbbreviation":"Pharm Res","language":"en","license":"http://www.springer.com/tdm","page":"56-69","source":"DOI.org (Crossref)","title":"Evaluation of Human Liver Slices and Reporter Gene Assays as Systems for Predicting the Cytochrome P450 Induction Potential of Drugs in Vivo in Humans","volume":"23","author":[{"family":"Persson","given":"Kajsa P."},{"family":"Ekehed","given":"Susanne"},{"family":"Otter","given":"Charlotta"},{"family":"Lutz","given":"E. S. Mareike"},{"family":"McPheat","given":"Jane"},{"family":"Masimirembwa","given":"Collen M."},{"family":"Andersson","given":"Tommy B."}],"issued":{"date-parts":[["2006",1]]}}}],"schema":"https://github.com/citation-style-language/schema/raw/master/csl-citation.json"} </w:instrText>
      </w:r>
      <w:r w:rsidR="0047609E">
        <w:fldChar w:fldCharType="separate"/>
      </w:r>
      <w:r w:rsidR="00ED0C59" w:rsidRPr="00ED0C59">
        <w:rPr>
          <w:kern w:val="0"/>
        </w:rPr>
        <w:t xml:space="preserve">(Chang </w:t>
      </w:r>
      <w:r w:rsidR="00ED0C59" w:rsidRPr="00ED0C59">
        <w:rPr>
          <w:i/>
          <w:iCs/>
          <w:kern w:val="0"/>
        </w:rPr>
        <w:t>et al.</w:t>
      </w:r>
      <w:r w:rsidR="00ED0C59" w:rsidRPr="00ED0C59">
        <w:rPr>
          <w:kern w:val="0"/>
        </w:rPr>
        <w:t xml:space="preserve">, 1997; Desai </w:t>
      </w:r>
      <w:r w:rsidR="00ED0C59" w:rsidRPr="00ED0C59">
        <w:rPr>
          <w:i/>
          <w:iCs/>
          <w:kern w:val="0"/>
        </w:rPr>
        <w:t>et al.</w:t>
      </w:r>
      <w:r w:rsidR="00ED0C59" w:rsidRPr="00ED0C59">
        <w:rPr>
          <w:kern w:val="0"/>
        </w:rPr>
        <w:t>, 2002; Honkakoski</w:t>
      </w:r>
      <w:r w:rsidR="00ED0C59">
        <w:rPr>
          <w:kern w:val="0"/>
        </w:rPr>
        <w:t xml:space="preserve"> </w:t>
      </w:r>
      <w:r w:rsidR="00ED0C59">
        <w:rPr>
          <w:i/>
          <w:iCs/>
          <w:kern w:val="0"/>
        </w:rPr>
        <w:t>et al.</w:t>
      </w:r>
      <w:r w:rsidR="00ED0C59" w:rsidRPr="00ED0C59">
        <w:rPr>
          <w:kern w:val="0"/>
        </w:rPr>
        <w:t xml:space="preserve">, 2003; Persson </w:t>
      </w:r>
      <w:r w:rsidR="00ED0C59" w:rsidRPr="00ED0C59">
        <w:rPr>
          <w:i/>
          <w:iCs/>
          <w:kern w:val="0"/>
        </w:rPr>
        <w:t>et al.</w:t>
      </w:r>
      <w:r w:rsidR="00ED0C59" w:rsidRPr="00ED0C59">
        <w:rPr>
          <w:kern w:val="0"/>
        </w:rPr>
        <w:t>, 2006)</w:t>
      </w:r>
      <w:r w:rsidR="0047609E">
        <w:fldChar w:fldCharType="end"/>
      </w:r>
      <w:r w:rsidR="00EB5B8A" w:rsidRPr="00EB5B8A">
        <w:t xml:space="preserve">. </w:t>
      </w:r>
      <w:r w:rsidR="00D440F0" w:rsidRPr="00EB5B8A">
        <w:t>PXR je aktivován také řadou environmentálních polutantů, zde lze zařadit ftaláty</w:t>
      </w:r>
      <w:r w:rsidR="000D5719" w:rsidRPr="00EB5B8A">
        <w:t xml:space="preserve"> a</w:t>
      </w:r>
      <w:r w:rsidR="00D440F0" w:rsidRPr="00EB5B8A">
        <w:t xml:space="preserve"> </w:t>
      </w:r>
      <w:proofErr w:type="spellStart"/>
      <w:r w:rsidR="00D440F0" w:rsidRPr="00EB5B8A">
        <w:t>bisfenoly</w:t>
      </w:r>
      <w:proofErr w:type="spellEnd"/>
      <w:r w:rsidR="000D5719" w:rsidRPr="00EB5B8A">
        <w:t xml:space="preserve"> </w:t>
      </w:r>
      <w:r w:rsidR="000D5719" w:rsidRPr="00EB5B8A">
        <w:fldChar w:fldCharType="begin"/>
      </w:r>
      <w:r w:rsidR="000D5719" w:rsidRPr="00EB5B8A">
        <w:instrText xml:space="preserve"> ADDIN ZOTERO_ITEM CSL_CITATION {"citationID":"WhXer3Vx","properties":{"formattedCitation":"(Wyde {\\i{}et al.}, 2005)","plainCitation":"(Wyde et al., 2005)","noteIndex":0},"citationItems":[{"id":170,"uris":["http://zotero.org/users/local/UB9PtTOS/items/RQSRS3W6"],"itemData":{"id":170,"type":"article-journal","container-title":"Toxicological Sciences","DOI":"10.1093/toxsci/kfi204","ISSN":"1096-0929, 1096-6080","issue":"2","language":"en","page":"281-290","source":"DOI.org (Crossref)","title":"Di-n-Butyl Phthalate Activates Constitutive Androstane Receptor and Pregnane X Receptor and Enhances the Expression of Steroid-Metabolizing Enzymes in the Liver of Rat Fetuses","volume":"86","author":[{"family":"Wyde","given":"Michael E."},{"family":"Kirwan","given":"Shaun E."},{"family":"Zhang","given":"Fan"},{"family":"Laughter","given":"Ashley"},{"family":"Hoffman","given":"Holly B."},{"family":"Bartolucci-Page","given":"Erika"},{"family":"Gaido","given":"Kevin W."},{"family":"Yan","given":"Bingfang"},{"family":"You","given":"Li"}],"issued":{"date-parts":[["2005",8,1]]}}}],"schema":"https://github.com/citation-style-language/schema/raw/master/csl-citation.json"} </w:instrText>
      </w:r>
      <w:r w:rsidR="000D5719" w:rsidRPr="00EB5B8A">
        <w:fldChar w:fldCharType="separate"/>
      </w:r>
      <w:r w:rsidR="000D5719" w:rsidRPr="00EB5B8A">
        <w:rPr>
          <w:kern w:val="0"/>
        </w:rPr>
        <w:t xml:space="preserve">(Wyde </w:t>
      </w:r>
      <w:r w:rsidR="000D5719" w:rsidRPr="00EB5B8A">
        <w:rPr>
          <w:i/>
          <w:iCs/>
          <w:kern w:val="0"/>
        </w:rPr>
        <w:t>et al.</w:t>
      </w:r>
      <w:r w:rsidR="000D5719" w:rsidRPr="00EB5B8A">
        <w:rPr>
          <w:kern w:val="0"/>
        </w:rPr>
        <w:t>, 2005)</w:t>
      </w:r>
      <w:r w:rsidR="000D5719" w:rsidRPr="00EB5B8A">
        <w:fldChar w:fldCharType="end"/>
      </w:r>
      <w:r w:rsidR="000D5719" w:rsidRPr="00EB5B8A">
        <w:t xml:space="preserve">, dále bylinnými produkty a </w:t>
      </w:r>
      <w:r w:rsidR="00EA18B3">
        <w:t>potravinovými doplňky</w:t>
      </w:r>
      <w:r w:rsidR="000D5719" w:rsidRPr="00EB5B8A">
        <w:t>.</w:t>
      </w:r>
      <w:r w:rsidR="0047609E">
        <w:t xml:space="preserve"> Mezi bylinné přípravky indukující PXR lze zařadit extrakt třezalky tečkované (</w:t>
      </w:r>
      <w:proofErr w:type="spellStart"/>
      <w:r w:rsidR="0047609E">
        <w:rPr>
          <w:i/>
          <w:iCs/>
        </w:rPr>
        <w:t>Hypericum</w:t>
      </w:r>
      <w:proofErr w:type="spellEnd"/>
      <w:r w:rsidR="0047609E">
        <w:rPr>
          <w:i/>
          <w:iCs/>
        </w:rPr>
        <w:t xml:space="preserve"> </w:t>
      </w:r>
      <w:proofErr w:type="spellStart"/>
      <w:r w:rsidR="0047609E">
        <w:rPr>
          <w:i/>
          <w:iCs/>
        </w:rPr>
        <w:t>perforatum</w:t>
      </w:r>
      <w:proofErr w:type="spellEnd"/>
      <w:r w:rsidR="0047609E">
        <w:t>) či extrakt pepřovníku opojného (</w:t>
      </w:r>
      <w:proofErr w:type="spellStart"/>
      <w:r w:rsidR="0047609E">
        <w:rPr>
          <w:i/>
          <w:iCs/>
        </w:rPr>
        <w:t>Piper</w:t>
      </w:r>
      <w:proofErr w:type="spellEnd"/>
      <w:r w:rsidR="0047609E">
        <w:rPr>
          <w:i/>
          <w:iCs/>
        </w:rPr>
        <w:t xml:space="preserve"> </w:t>
      </w:r>
      <w:proofErr w:type="spellStart"/>
      <w:r w:rsidR="0047609E">
        <w:rPr>
          <w:i/>
          <w:iCs/>
        </w:rPr>
        <w:t>methysticum</w:t>
      </w:r>
      <w:proofErr w:type="spellEnd"/>
      <w:r w:rsidR="0047609E">
        <w:t xml:space="preserve">), jinak nazývaného </w:t>
      </w:r>
      <w:proofErr w:type="spellStart"/>
      <w:r w:rsidR="0047609E">
        <w:t>kava</w:t>
      </w:r>
      <w:proofErr w:type="spellEnd"/>
      <w:r w:rsidR="0047609E">
        <w:t xml:space="preserve"> </w:t>
      </w:r>
      <w:proofErr w:type="spellStart"/>
      <w:r w:rsidR="0047609E">
        <w:t>kava</w:t>
      </w:r>
      <w:proofErr w:type="spellEnd"/>
      <w:r w:rsidR="0047609E">
        <w:t xml:space="preserve"> </w:t>
      </w:r>
      <w:r w:rsidR="0047609E">
        <w:fldChar w:fldCharType="begin"/>
      </w:r>
      <w:r w:rsidR="001F2F53">
        <w:instrText xml:space="preserve"> ADDIN ZOTERO_ITEM CSL_CITATION {"citationID":"aOFbadXS","properties":{"formattedCitation":"(Staudinger, Ding and Lichti, 2006)","plainCitation":"(Staudinger, Ding and Lichti, 2006)","dontUpdate":true,"noteIndex":0},"citationItems":[{"id":168,"uris":["http://zotero.org/users/local/UB9PtTOS/items/8VNNKWV5"],"itemData":{"id":168,"type":"article-journal","container-title":"Expert Opinion on Drug Metabolism &amp; Toxicology","DOI":"10.1517/17425255.2.6.847","ISSN":"1742-5255, 1744-7607","issue":"6","journalAbbreviation":"Expert Opinion on Drug Metabolism &amp; Toxicology","language":"en","page":"847-857","source":"DOI.org (Crossref)","title":"Pregnane X receptor and natural products: beyond drug–drug interactions","title-short":"Pregnane X receptor and natural products","volume":"2","author":[{"family":"Staudinger","given":"Jeff L"},{"family":"Ding","given":"Xunshan"},{"family":"Lichti","given":"Kristin"}],"issued":{"date-parts":[["2006",12]]}}}],"schema":"https://github.com/citation-style-language/schema/raw/master/csl-citation.json"} </w:instrText>
      </w:r>
      <w:r w:rsidR="0047609E">
        <w:fldChar w:fldCharType="separate"/>
      </w:r>
      <w:r w:rsidR="0047609E" w:rsidRPr="0047609E">
        <w:t>(Staudinger</w:t>
      </w:r>
      <w:r w:rsidR="0047609E">
        <w:t xml:space="preserve"> </w:t>
      </w:r>
      <w:r w:rsidR="0047609E">
        <w:rPr>
          <w:i/>
          <w:iCs/>
        </w:rPr>
        <w:t>et al.</w:t>
      </w:r>
      <w:r w:rsidR="0047609E" w:rsidRPr="0047609E">
        <w:t>, 2006)</w:t>
      </w:r>
      <w:r w:rsidR="0047609E">
        <w:fldChar w:fldCharType="end"/>
      </w:r>
      <w:r w:rsidR="0047609E">
        <w:t>.</w:t>
      </w:r>
    </w:p>
    <w:p w14:paraId="4AB4E4A5" w14:textId="77777777" w:rsidR="008F1DDA" w:rsidRPr="0047609E" w:rsidRDefault="008F1DDA" w:rsidP="00351C2A"/>
    <w:p w14:paraId="5059E491" w14:textId="00B8E2C3" w:rsidR="00C32B48" w:rsidRDefault="00C32B48" w:rsidP="00C32B48">
      <w:pPr>
        <w:pStyle w:val="Nadpis2"/>
      </w:pPr>
      <w:bookmarkStart w:id="14" w:name="_Toc165492883"/>
      <w:r>
        <w:t>3.</w:t>
      </w:r>
      <w:r w:rsidR="00E116C5">
        <w:t>3</w:t>
      </w:r>
      <w:r>
        <w:tab/>
        <w:t>Receptorová teorie</w:t>
      </w:r>
      <w:bookmarkEnd w:id="14"/>
    </w:p>
    <w:p w14:paraId="48527B86" w14:textId="035A0101" w:rsidR="008F6A04" w:rsidRDefault="00C70AE8" w:rsidP="008F6A04">
      <w:pPr>
        <w:ind w:firstLine="708"/>
      </w:pPr>
      <w:r>
        <w:t>R</w:t>
      </w:r>
      <w:r w:rsidR="00B95A5D">
        <w:t xml:space="preserve">eceptorová teorie </w:t>
      </w:r>
      <w:r w:rsidR="00B7437F">
        <w:t>se zabývá</w:t>
      </w:r>
      <w:r w:rsidR="00B96D98">
        <w:t xml:space="preserve"> interakce</w:t>
      </w:r>
      <w:r w:rsidR="00B7437F">
        <w:t>mi</w:t>
      </w:r>
      <w:r w:rsidR="00B96D98">
        <w:t xml:space="preserve"> mezi ligandem, receptorem buňky a ko</w:t>
      </w:r>
      <w:r w:rsidR="001F1BCE">
        <w:t>nečnou buněčnou odpovědí.</w:t>
      </w:r>
      <w:r w:rsidR="00BD30B3">
        <w:t xml:space="preserve"> </w:t>
      </w:r>
      <w:r w:rsidR="001F1BCE">
        <w:t>J</w:t>
      </w:r>
      <w:r w:rsidR="00BD30B3">
        <w:t>e velice důležitá pro pochopení buněčných dějů v organismu.</w:t>
      </w:r>
      <w:r w:rsidR="001F1BCE">
        <w:t xml:space="preserve"> Za jejího zakladatele se považuje John </w:t>
      </w:r>
      <w:proofErr w:type="spellStart"/>
      <w:r w:rsidR="001F1BCE">
        <w:t>Newport</w:t>
      </w:r>
      <w:proofErr w:type="spellEnd"/>
      <w:r w:rsidR="001F1BCE">
        <w:t xml:space="preserve"> </w:t>
      </w:r>
      <w:proofErr w:type="spellStart"/>
      <w:r w:rsidR="001F1BCE">
        <w:t>Langley</w:t>
      </w:r>
      <w:proofErr w:type="spellEnd"/>
      <w:r w:rsidR="00CE372B">
        <w:t xml:space="preserve">, který prováděl experimenty </w:t>
      </w:r>
      <w:r w:rsidR="003A0821">
        <w:t xml:space="preserve">s analogy nikotinu na </w:t>
      </w:r>
      <w:r w:rsidR="00E25729">
        <w:t>izolovaná svalová vlákna</w:t>
      </w:r>
      <w:r w:rsidR="00224A88">
        <w:t>. Díky těmto experimentům byl</w:t>
      </w:r>
      <w:r w:rsidR="00276B9A">
        <w:t xml:space="preserve"> položen základ buněčné </w:t>
      </w:r>
      <w:r w:rsidR="00276B9A">
        <w:lastRenderedPageBreak/>
        <w:t>receptorové teorie.</w:t>
      </w:r>
      <w:r w:rsidR="00377ACD">
        <w:t xml:space="preserve"> Nejčastěji je využívána pro</w:t>
      </w:r>
      <w:r w:rsidR="00C9079C">
        <w:t xml:space="preserve"> sledování efektů různých léčiv na lidský organismus</w:t>
      </w:r>
      <w:r w:rsidR="001E4B5C">
        <w:t xml:space="preserve"> a kvantifikaci účinků </w:t>
      </w:r>
      <w:proofErr w:type="spellStart"/>
      <w:r w:rsidR="001E4B5C">
        <w:t>xenobiotik</w:t>
      </w:r>
      <w:proofErr w:type="spellEnd"/>
      <w:r w:rsidR="001E4B5C">
        <w:t>.</w:t>
      </w:r>
      <w:r w:rsidR="00C82F62">
        <w:t xml:space="preserve"> </w:t>
      </w:r>
      <w:r w:rsidR="00657CB7">
        <w:t>Ta jsou schopna účinkovat v</w:t>
      </w:r>
      <w:r w:rsidR="00603791">
        <w:t xml:space="preserve"> </w:t>
      </w:r>
      <w:r w:rsidR="00657CB7">
        <w:t>biologických systémech</w:t>
      </w:r>
      <w:r w:rsidR="00915AED">
        <w:t xml:space="preserve"> odlišně na základě změny podmínek, ve</w:t>
      </w:r>
      <w:r w:rsidR="00603791">
        <w:t xml:space="preserve"> </w:t>
      </w:r>
      <w:r w:rsidR="00915AED">
        <w:t>kterých se vyskytují</w:t>
      </w:r>
      <w:r w:rsidR="00C745BB">
        <w:t xml:space="preserve"> </w:t>
      </w:r>
      <w:r w:rsidR="00C745BB">
        <w:fldChar w:fldCharType="begin"/>
      </w:r>
      <w:r w:rsidR="0077325A">
        <w:instrText xml:space="preserve"> ADDIN ZOTERO_ITEM CSL_CITATION {"citationID":"SSJPlPQm","properties":{"formattedCitation":"(Rang, 2006; Kenakin, 2008)","plainCitation":"(Rang, 2006; Kenakin, 2008)","noteIndex":0},"citationItems":[{"id":189,"uris":["http://zotero.org/users/local/UB9PtTOS/items/LBEKHDFX"],"itemData":{"id":189,"type":"article-journal","abstract":"Chemical signalling is the main mechanism by which biological function is controlled at all levels, from the single cell to the whole organism. Chemical recognition is the function of receptors, which, in addition to recognising endogenous chemical signals, are also the target of many important experimental and therapeutic drugs. Receptors, therefore, lie at the heart of pharmacology. This article describes the way in which the receptor concept originated early in the 20th century, and evolved through a highly innovative stage of quantitative theory based on chemical kinetics, to the point where receptors were first isolated and later cloned, until we now have a virtually complete catalogue of all the receptors present in the genome. Studies on signal transduction are revealing great complexity in the events linking ligand binding to the physiological or therapeutic response. Though some simple quantitative rules of ‘receptor theory’ are still useful, the current emphasis is on unravelling the pathways that link receptors to responses, and it will be some time before we know enough about them to embark on the next phase of ‘receptor theory’.\n            \n              British Journal of Pharmacology\n              (2006)\n              147\n              , S9–S16. doi:\n              10.1038/sj.bjp.0706457","container-title":"British Journal of Pharmacology","DOI":"10.1038/sj.bjp.0706457","ISSN":"0007-1188, 1476-5381","issue":"S1","journalAbbreviation":"British J Pharmacology","language":"en","source":"DOI.org (Crossref)","title":"The receptor concept: pharmacology's big idea","title-short":"The receptor concept","URL":"https://bpspubs.onlinelibrary.wiley.com/doi/10.1038/sj.bjp.0706457","volume":"147","author":[{"family":"Rang","given":"H P"}],"accessed":{"date-parts":[["2024",4,11]]},"issued":{"date-parts":[["2006",1]]}}},{"id":59,"uris":["http://zotero.org/users/local/UB9PtTOS/items/JBTNSGEK"],"itemData":{"id":59,"type":"article-journal","abstract":"Abstract\n            \n              Receptor theory assigns mathematical rules to biological systems in order to quantify drug effects and define what biological systems can and cannot do, leading to the design of experiments that may further modify the model. Drug receptor theory also furnishes the tools for quantifying the activity of drugs in a system‐independent manner, essential because drugs are almost always studied in test systems somewhat removed from the therapeutic system for which they are intended. Since biological systems operate at different set points in the body under different conditions, the ability to predict drug effects under a variety of circumstances is important. This unit provides a historical perspective of classical receptor theory and the currently used operational model of drug effects. The mechanism of drug receptor function is also described in terms of the various iterations of the ternary complex model, the two‐state theory for ion channels, and a probabilistic model of multiple receptor conformations.\n              Curr. Protoc. Pharmacol\n              . 41:1.2.1‐1.2.28. © 2008 by John Wiley &amp; Sons, Inc.","container-title":"Current Protocols in Pharmacology","DOI":"10.1002/0471141755.ph0102s41","ISSN":"1934-8282, 1934-8290","issue":"1","journalAbbreviation":"CP Pharmacology","language":"en","source":"DOI.org (Crossref)","title":"Receptor Theory","URL":"https://currentprotocols.onlinelibrary.wiley.com/doi/10.1002/0471141755.ph0102s41","volume":"41","author":[{"family":"Kenakin","given":"Terry"}],"accessed":{"date-parts":[["2024",3,23]]},"issued":{"date-parts":[["2008",6]]}}}],"schema":"https://github.com/citation-style-language/schema/raw/master/csl-citation.json"} </w:instrText>
      </w:r>
      <w:r w:rsidR="00C745BB">
        <w:fldChar w:fldCharType="separate"/>
      </w:r>
      <w:r w:rsidR="0077325A" w:rsidRPr="0077325A">
        <w:t>(Rang, 2006; Kenakin, 2008)</w:t>
      </w:r>
      <w:r w:rsidR="00C745BB">
        <w:fldChar w:fldCharType="end"/>
      </w:r>
      <w:r w:rsidR="00BA519F">
        <w:t>.</w:t>
      </w:r>
      <w:r w:rsidR="00403B00">
        <w:t xml:space="preserve"> </w:t>
      </w:r>
    </w:p>
    <w:p w14:paraId="4159E265" w14:textId="6C4FE557" w:rsidR="009C0BB2" w:rsidRDefault="00403B00" w:rsidP="008F6A04">
      <w:pPr>
        <w:ind w:firstLine="708"/>
      </w:pPr>
      <w:r>
        <w:t xml:space="preserve">Interakce mezi </w:t>
      </w:r>
      <w:r w:rsidR="00FB4E5C">
        <w:t xml:space="preserve">ligandem a určitým receptorem se </w:t>
      </w:r>
      <w:proofErr w:type="gramStart"/>
      <w:r w:rsidR="00FB4E5C">
        <w:t>liší</w:t>
      </w:r>
      <w:proofErr w:type="gramEnd"/>
      <w:r w:rsidR="00FB4E5C">
        <w:t xml:space="preserve"> podle toho, o jaký typ receptoru se jedná. Rozlišujeme </w:t>
      </w:r>
      <w:r w:rsidR="00DA0958">
        <w:t xml:space="preserve">4 skupiny receptorů </w:t>
      </w:r>
      <w:r w:rsidR="00786352">
        <w:t>–</w:t>
      </w:r>
      <w:r w:rsidR="00DA0958">
        <w:t xml:space="preserve"> </w:t>
      </w:r>
      <w:r w:rsidR="00786352">
        <w:t>receptory spřažené s iontovými kanály, receptory spřažené s</w:t>
      </w:r>
      <w:r w:rsidR="005F2DA8">
        <w:t xml:space="preserve"> </w:t>
      </w:r>
      <w:r w:rsidR="00786352">
        <w:t>G-proteiny, dále receptory spojené s</w:t>
      </w:r>
      <w:r w:rsidR="009166D2">
        <w:t xml:space="preserve"> </w:t>
      </w:r>
      <w:r w:rsidR="00786352">
        <w:t xml:space="preserve">enzymovou </w:t>
      </w:r>
      <w:r w:rsidR="00491BBE">
        <w:t>aktivitou,</w:t>
      </w:r>
      <w:r w:rsidR="00786352">
        <w:t xml:space="preserve"> a nakonec jaderné</w:t>
      </w:r>
      <w:r w:rsidR="00F04195">
        <w:br/>
      </w:r>
      <w:r w:rsidR="00786352">
        <w:t>a steroidní receptory.</w:t>
      </w:r>
      <w:r w:rsidR="005C79C0">
        <w:t xml:space="preserve"> Každá z</w:t>
      </w:r>
      <w:r w:rsidR="005A757E">
        <w:t xml:space="preserve"> </w:t>
      </w:r>
      <w:r w:rsidR="005C79C0">
        <w:t>těchto skupin</w:t>
      </w:r>
      <w:r w:rsidR="00B17EC6">
        <w:t xml:space="preserve"> má odlišn</w:t>
      </w:r>
      <w:r w:rsidR="004E3046">
        <w:t xml:space="preserve">ý </w:t>
      </w:r>
      <w:r w:rsidR="00414531">
        <w:t>mechanismus přenosu signálu</w:t>
      </w:r>
      <w:r w:rsidR="000363B2">
        <w:t xml:space="preserve"> </w:t>
      </w:r>
      <w:r w:rsidR="004E3046">
        <w:t xml:space="preserve">a </w:t>
      </w:r>
      <w:proofErr w:type="gramStart"/>
      <w:r w:rsidR="003B3015">
        <w:t>liší</w:t>
      </w:r>
      <w:proofErr w:type="gramEnd"/>
      <w:r w:rsidR="005A757E">
        <w:br/>
      </w:r>
      <w:r w:rsidR="003B3015">
        <w:t xml:space="preserve">se </w:t>
      </w:r>
      <w:r w:rsidR="00C8455B">
        <w:t>zprostředkováním</w:t>
      </w:r>
      <w:r w:rsidR="00491BBE">
        <w:t xml:space="preserve"> buněčn</w:t>
      </w:r>
      <w:r w:rsidR="00D17F9B">
        <w:t>é</w:t>
      </w:r>
      <w:r w:rsidR="00491BBE">
        <w:t xml:space="preserve"> odpověd</w:t>
      </w:r>
      <w:r w:rsidR="00D17F9B">
        <w:t>i</w:t>
      </w:r>
      <w:r w:rsidR="00491BBE">
        <w:t>.</w:t>
      </w:r>
    </w:p>
    <w:p w14:paraId="04D03BA9" w14:textId="2E66171D" w:rsidR="00B75105" w:rsidRDefault="00F017A8" w:rsidP="008F6A04">
      <w:pPr>
        <w:ind w:firstLine="708"/>
      </w:pPr>
      <w:r>
        <w:t>Vazba ligandu na receptor je spjata s</w:t>
      </w:r>
      <w:r w:rsidR="005A757E">
        <w:t xml:space="preserve"> </w:t>
      </w:r>
      <w:r>
        <w:t>mnoha různými vztahy</w:t>
      </w:r>
      <w:r w:rsidR="00FB71DC">
        <w:t>, které lze matematicky vyjádřit.</w:t>
      </w:r>
      <w:r w:rsidR="00E6006A">
        <w:t xml:space="preserve"> </w:t>
      </w:r>
      <w:r w:rsidR="00EA37C9">
        <w:t xml:space="preserve">Obecně se také rozlišuje mnoho pojmů, které popisují </w:t>
      </w:r>
      <w:r w:rsidR="000F6FA5">
        <w:t>vztah mezi látkou a receptorem buňky</w:t>
      </w:r>
      <w:r w:rsidR="00010478">
        <w:t>.</w:t>
      </w:r>
      <w:r w:rsidR="000F6FA5">
        <w:t xml:space="preserve"> </w:t>
      </w:r>
      <w:r w:rsidR="00010478">
        <w:t xml:space="preserve">Afinita </w:t>
      </w:r>
      <w:r w:rsidR="00094A11">
        <w:t>vyjadřuje</w:t>
      </w:r>
      <w:r w:rsidR="00147AF3">
        <w:t xml:space="preserve"> jak ochotně</w:t>
      </w:r>
      <w:r w:rsidR="00094A11">
        <w:t xml:space="preserve"> se látka</w:t>
      </w:r>
      <w:r w:rsidR="00C34E77">
        <w:t>, ligand, bude vázat na daný receptor.</w:t>
      </w:r>
      <w:r w:rsidR="003A0160">
        <w:t xml:space="preserve"> Afinit</w:t>
      </w:r>
      <w:r w:rsidR="001822B2">
        <w:t>a může být buď selektivní, kdy se ligand váže jen k</w:t>
      </w:r>
      <w:r w:rsidR="005A757E">
        <w:t xml:space="preserve"> </w:t>
      </w:r>
      <w:r w:rsidR="001822B2">
        <w:t>určitému subtypu receptoru, či neselektivní, kdy</w:t>
      </w:r>
      <w:r w:rsidR="005A757E">
        <w:br/>
      </w:r>
      <w:r w:rsidR="001822B2">
        <w:t xml:space="preserve">je vazba ligandu zprostředkována </w:t>
      </w:r>
      <w:r w:rsidR="002F7E12">
        <w:t>přes více subtypů receptoru.</w:t>
      </w:r>
      <w:r w:rsidR="0073448D">
        <w:t xml:space="preserve"> Potence</w:t>
      </w:r>
      <w:r w:rsidR="00895A90">
        <w:t xml:space="preserve"> je veličina srovnáva</w:t>
      </w:r>
      <w:r w:rsidR="00BB21C1">
        <w:t>jící</w:t>
      </w:r>
      <w:r w:rsidR="00895A90">
        <w:t xml:space="preserve"> koncentraci dvou látek</w:t>
      </w:r>
      <w:r w:rsidR="00767383">
        <w:t>, které vyvolají 50</w:t>
      </w:r>
      <w:r w:rsidR="0095646D">
        <w:t xml:space="preserve"> </w:t>
      </w:r>
      <w:r w:rsidR="00767383">
        <w:t>% maximální odpovědi EC</w:t>
      </w:r>
      <w:r w:rsidR="00767383" w:rsidRPr="00767383">
        <w:rPr>
          <w:vertAlign w:val="subscript"/>
        </w:rPr>
        <w:t>50</w:t>
      </w:r>
      <w:r w:rsidR="0059220B">
        <w:t>.</w:t>
      </w:r>
      <w:r w:rsidR="00625703">
        <w:t xml:space="preserve"> </w:t>
      </w:r>
      <w:r w:rsidR="005F2E76">
        <w:t>Další důležitou veličinou je</w:t>
      </w:r>
      <w:r w:rsidR="00625703">
        <w:t xml:space="preserve"> tzv. IC</w:t>
      </w:r>
      <w:r w:rsidR="00625703" w:rsidRPr="0095646D">
        <w:rPr>
          <w:vertAlign w:val="subscript"/>
        </w:rPr>
        <w:t>50</w:t>
      </w:r>
      <w:r w:rsidR="00625703">
        <w:t>, která vyja</w:t>
      </w:r>
      <w:r w:rsidR="001F5FD6">
        <w:t>dřuje</w:t>
      </w:r>
      <w:r w:rsidR="00AB744E">
        <w:t xml:space="preserve"> </w:t>
      </w:r>
      <w:r w:rsidR="0095646D">
        <w:t>koncentraci inhibitoru vytěsňující 50 % ligandu z</w:t>
      </w:r>
      <w:r w:rsidR="009166D2">
        <w:t xml:space="preserve"> </w:t>
      </w:r>
      <w:r w:rsidR="0095646D">
        <w:t>vazby na receptor.</w:t>
      </w:r>
      <w:r w:rsidR="003C62D5">
        <w:t xml:space="preserve"> V buněčné biologii a receptorové teorii od sebe odlišujeme</w:t>
      </w:r>
      <w:r w:rsidR="00405F98">
        <w:t xml:space="preserve"> látky podle</w:t>
      </w:r>
      <w:r w:rsidR="000C31DF">
        <w:t xml:space="preserve"> zprostředkování buněčné odpovědi</w:t>
      </w:r>
      <w:r w:rsidR="00124A59">
        <w:t xml:space="preserve"> po vazbě</w:t>
      </w:r>
      <w:r w:rsidR="00405F98">
        <w:t xml:space="preserve"> na receptor – agonisty</w:t>
      </w:r>
      <w:r w:rsidR="009C0BB2">
        <w:t xml:space="preserve"> </w:t>
      </w:r>
      <w:r w:rsidR="00405F98">
        <w:t>a antagonisty</w:t>
      </w:r>
      <w:r w:rsidR="0077325A">
        <w:t xml:space="preserve"> </w:t>
      </w:r>
      <w:r w:rsidR="0077325A">
        <w:fldChar w:fldCharType="begin"/>
      </w:r>
      <w:r w:rsidR="0077325A">
        <w:instrText xml:space="preserve"> ADDIN ZOTERO_ITEM CSL_CITATION {"citationID":"0NzU7NIF","properties":{"formattedCitation":"(Currie, 2018; Katzung, 2018)","plainCitation":"(Currie, 2018; Katzung, 2018)","noteIndex":0},"citationItems":[{"id":191,"uris":["http://zotero.org/users/local/UB9PtTOS/items/88BZKJNK"],"itemData":{"id":191,"type":"article-journal","container-title":"Journal of Nuclear Medicine Technology","DOI":"10.2967/jnmt.117.199588","ISSN":"0091-4916, 1535-5675","issue":"2","journalAbbreviation":"J. Nucl. Med. Technol.","language":"en","page":"81-86","source":"DOI.org (Crossref)","title":"Pharmacology, Part 1: Introduction to Pharmacology and Pharmacodynamics","title-short":"Pharmacology, Part 1","volume":"46","author":[{"family":"Currie","given":"Geoffrey M."}],"issued":{"date-parts":[["2018",6]]}}},{"id":194,"uris":["http://zotero.org/users/local/UB9PtTOS/items/BZ2BN5J5"],"itemData":{"id":194,"type":"book","collection-title":"A Lange medical book","edition":"Fourteenth edition","event-place":"New York Chicago San Francisco Athens London Madrid Mexico City Milan New Delhi Singapore Sydney Toronto","ISBN":"978-1-259-64115-2","language":"eng","number-of-pages":"1250","publisher":"McGraw-Hill Education","publisher-place":"New York Chicago San Francisco Athens London Madrid Mexico City Milan New Delhi Singapore Sydney Toronto","source":"K10plus ISBN","title":"Basic &amp; clinical pharmacology","editor":[{"family":"Katzung","given":"Bertram G."}],"issued":{"date-parts":[["2018"]]}}}],"schema":"https://github.com/citation-style-language/schema/raw/master/csl-citation.json"} </w:instrText>
      </w:r>
      <w:r w:rsidR="0077325A">
        <w:fldChar w:fldCharType="separate"/>
      </w:r>
      <w:r w:rsidR="0077325A" w:rsidRPr="0077325A">
        <w:t>(Currie, 2018; Katzung, 2018)</w:t>
      </w:r>
      <w:r w:rsidR="0077325A">
        <w:fldChar w:fldCharType="end"/>
      </w:r>
      <w:r w:rsidR="0077325A">
        <w:t>.</w:t>
      </w:r>
    </w:p>
    <w:p w14:paraId="0B9285EF" w14:textId="77777777" w:rsidR="00CE4E32" w:rsidRPr="006A4D3F" w:rsidRDefault="00CE4E32" w:rsidP="00CE4E32"/>
    <w:p w14:paraId="0EB845F8" w14:textId="231C9716" w:rsidR="00530D4A" w:rsidRPr="006102B6" w:rsidRDefault="00530D4A" w:rsidP="00530D4A">
      <w:pPr>
        <w:pStyle w:val="Nadpis3"/>
      </w:pPr>
      <w:bookmarkStart w:id="15" w:name="_Toc165492884"/>
      <w:r w:rsidRPr="006102B6">
        <w:t>3.</w:t>
      </w:r>
      <w:r w:rsidR="00E116C5" w:rsidRPr="006102B6">
        <w:t>3</w:t>
      </w:r>
      <w:r w:rsidRPr="006102B6">
        <w:t>.1</w:t>
      </w:r>
      <w:r w:rsidRPr="006102B6">
        <w:tab/>
      </w:r>
      <w:proofErr w:type="spellStart"/>
      <w:r w:rsidRPr="006102B6">
        <w:t>Agonismus</w:t>
      </w:r>
      <w:bookmarkEnd w:id="15"/>
      <w:proofErr w:type="spellEnd"/>
    </w:p>
    <w:p w14:paraId="69F5FAF2" w14:textId="031BC6D0" w:rsidR="0028468F" w:rsidRDefault="00DD5C01" w:rsidP="00DD5C01">
      <w:r w:rsidRPr="006102B6">
        <w:tab/>
      </w:r>
      <w:r w:rsidR="0033700B" w:rsidRPr="006102B6">
        <w:t>Látka, která je schopna se navázat na buněčný receptor a vyvolává</w:t>
      </w:r>
      <w:r w:rsidR="00C240C5" w:rsidRPr="006102B6">
        <w:t xml:space="preserve"> </w:t>
      </w:r>
      <w:r w:rsidR="004319AB" w:rsidRPr="006102B6">
        <w:t>buněčnou odpověď</w:t>
      </w:r>
      <w:r w:rsidR="00153D13" w:rsidRPr="006102B6">
        <w:t>,</w:t>
      </w:r>
      <w:r w:rsidR="00C240C5" w:rsidRPr="006102B6">
        <w:t xml:space="preserve"> se </w:t>
      </w:r>
      <w:r w:rsidR="004319AB" w:rsidRPr="006102B6">
        <w:t>nazývá agonista.</w:t>
      </w:r>
      <w:r w:rsidR="009724D2" w:rsidRPr="006102B6">
        <w:t xml:space="preserve"> </w:t>
      </w:r>
      <w:r w:rsidR="00153D13" w:rsidRPr="006102B6">
        <w:t>Svou vazbou na daný receptor mění jeho konformaci</w:t>
      </w:r>
      <w:r w:rsidR="00257902" w:rsidRPr="006102B6">
        <w:t xml:space="preserve"> a spouští signální kaskádu.</w:t>
      </w:r>
      <w:r w:rsidR="00F703D9" w:rsidRPr="006102B6">
        <w:t xml:space="preserve"> Schopnost léčiva </w:t>
      </w:r>
      <w:r w:rsidR="00FD62D1">
        <w:t xml:space="preserve">vázat se na receptor </w:t>
      </w:r>
      <w:r w:rsidR="00F703D9" w:rsidRPr="006102B6">
        <w:t>a jeho potence j</w:t>
      </w:r>
      <w:r w:rsidR="00C178E9">
        <w:t>sou</w:t>
      </w:r>
      <w:r w:rsidR="00F703D9" w:rsidRPr="006102B6">
        <w:t xml:space="preserve"> důležitým</w:t>
      </w:r>
      <w:r w:rsidR="00C178E9">
        <w:t>i</w:t>
      </w:r>
      <w:r w:rsidR="00F703D9" w:rsidRPr="006102B6">
        <w:t xml:space="preserve"> </w:t>
      </w:r>
      <w:r w:rsidR="00C178E9" w:rsidRPr="006102B6">
        <w:t>ukazatel</w:t>
      </w:r>
      <w:r w:rsidR="00C178E9">
        <w:t>i</w:t>
      </w:r>
      <w:r w:rsidR="007A4FF3">
        <w:br/>
      </w:r>
      <w:r w:rsidR="00FA1409" w:rsidRPr="006102B6">
        <w:t>ve farmakologii.</w:t>
      </w:r>
      <w:r w:rsidR="00C57474" w:rsidRPr="006102B6">
        <w:t xml:space="preserve"> Je nutné </w:t>
      </w:r>
      <w:proofErr w:type="gramStart"/>
      <w:r w:rsidR="00C57474" w:rsidRPr="006102B6">
        <w:t>říci</w:t>
      </w:r>
      <w:proofErr w:type="gramEnd"/>
      <w:r w:rsidR="00C57474" w:rsidRPr="006102B6">
        <w:t xml:space="preserve">, že </w:t>
      </w:r>
      <w:r w:rsidR="009B183A" w:rsidRPr="006102B6">
        <w:t>ligand, který se pro jeden receptor chová jako jeho agonista, může být pro jiný receptor jeho antagonistou.</w:t>
      </w:r>
    </w:p>
    <w:p w14:paraId="1509F1FE" w14:textId="03C240AA" w:rsidR="00B75105" w:rsidRDefault="0028468F" w:rsidP="00471E95">
      <w:pPr>
        <w:ind w:firstLine="708"/>
      </w:pPr>
      <w:r>
        <w:t>Kromě klasických agonistů rozlišujeme také</w:t>
      </w:r>
      <w:r w:rsidR="00703990" w:rsidRPr="006102B6">
        <w:t xml:space="preserve"> parciální a inverzní agonisty.</w:t>
      </w:r>
      <w:r w:rsidR="00271480" w:rsidRPr="006102B6">
        <w:t xml:space="preserve"> </w:t>
      </w:r>
      <w:r w:rsidR="00492CEB" w:rsidRPr="006102B6">
        <w:t xml:space="preserve">Parciálním agonistou rozumíme látku, </w:t>
      </w:r>
      <w:r w:rsidR="00AD4774" w:rsidRPr="006102B6">
        <w:t>která</w:t>
      </w:r>
      <w:r w:rsidR="003740C5" w:rsidRPr="006102B6">
        <w:t xml:space="preserve"> </w:t>
      </w:r>
      <w:r w:rsidR="003F5948" w:rsidRPr="006102B6">
        <w:t xml:space="preserve">i přes plné receptorové obsazení </w:t>
      </w:r>
      <w:r w:rsidR="00E076D4" w:rsidRPr="006102B6">
        <w:t xml:space="preserve">vyvolává slabší </w:t>
      </w:r>
      <w:r w:rsidR="00B32294" w:rsidRPr="006102B6">
        <w:t>odpověď</w:t>
      </w:r>
      <w:r w:rsidR="00E076D4" w:rsidRPr="006102B6">
        <w:t xml:space="preserve"> než agonista</w:t>
      </w:r>
      <w:r w:rsidR="00B32294" w:rsidRPr="006102B6">
        <w:t>,</w:t>
      </w:r>
      <w:r w:rsidR="00D470B2" w:rsidRPr="006102B6">
        <w:t xml:space="preserve"> a</w:t>
      </w:r>
      <w:r w:rsidR="00B32294" w:rsidRPr="006102B6">
        <w:t xml:space="preserve"> </w:t>
      </w:r>
      <w:r w:rsidR="00EF1D22">
        <w:t>nedokáže tedy</w:t>
      </w:r>
      <w:r w:rsidR="00D470B2" w:rsidRPr="006102B6">
        <w:t xml:space="preserve"> maximálně</w:t>
      </w:r>
      <w:r w:rsidR="00B32294" w:rsidRPr="006102B6">
        <w:t xml:space="preserve"> indukovat receptor.</w:t>
      </w:r>
      <w:r w:rsidR="00CD6C28" w:rsidRPr="006102B6">
        <w:t xml:space="preserve"> Nevýhodou parciálního agonisty je</w:t>
      </w:r>
      <w:r w:rsidR="00943E6A" w:rsidRPr="006102B6">
        <w:t xml:space="preserve"> fakt, že má antagonistický účinek v přítomnosti </w:t>
      </w:r>
      <w:r w:rsidR="000703D4" w:rsidRPr="006102B6">
        <w:t>agonisty</w:t>
      </w:r>
      <w:r w:rsidR="00BA42CE" w:rsidRPr="006102B6">
        <w:t xml:space="preserve">, se kterým </w:t>
      </w:r>
      <w:proofErr w:type="gramStart"/>
      <w:r w:rsidR="000B6BEC" w:rsidRPr="006102B6">
        <w:t>soutěží</w:t>
      </w:r>
      <w:proofErr w:type="gramEnd"/>
      <w:r w:rsidR="000B6BEC" w:rsidRPr="006102B6">
        <w:t xml:space="preserve"> o vazebné místo</w:t>
      </w:r>
      <w:r w:rsidR="00247040" w:rsidRPr="006102B6">
        <w:t>, pokud je jejich cílem stejný receptor</w:t>
      </w:r>
      <w:r w:rsidR="000B6BEC" w:rsidRPr="006102B6">
        <w:t>.</w:t>
      </w:r>
      <w:r w:rsidR="00E009EC" w:rsidRPr="006102B6">
        <w:t xml:space="preserve"> </w:t>
      </w:r>
      <w:r w:rsidR="00BA2DDA" w:rsidRPr="006102B6">
        <w:t xml:space="preserve">Inverzní agonisté jsou ligandy, </w:t>
      </w:r>
      <w:r w:rsidR="00DD36E3" w:rsidRPr="006102B6">
        <w:t>kter</w:t>
      </w:r>
      <w:r w:rsidR="00A026D7" w:rsidRPr="006102B6">
        <w:t>é</w:t>
      </w:r>
      <w:r w:rsidR="00DD36E3" w:rsidRPr="006102B6">
        <w:t xml:space="preserve"> po vazbě na receptor </w:t>
      </w:r>
      <w:r w:rsidR="00A026D7" w:rsidRPr="006102B6">
        <w:lastRenderedPageBreak/>
        <w:t>vyvol</w:t>
      </w:r>
      <w:r w:rsidR="00A41BFF" w:rsidRPr="006102B6">
        <w:t>ají</w:t>
      </w:r>
      <w:r w:rsidR="00A026D7" w:rsidRPr="006102B6">
        <w:t xml:space="preserve"> opačnou odpověď, než jakou by vyvolala vazba agonisty na stejný receptor</w:t>
      </w:r>
      <w:r w:rsidR="00F720C2">
        <w:t xml:space="preserve"> </w:t>
      </w:r>
      <w:r w:rsidR="00F720C2">
        <w:fldChar w:fldCharType="begin"/>
      </w:r>
      <w:r w:rsidR="00203742">
        <w:instrText xml:space="preserve"> ADDIN ZOTERO_ITEM CSL_CITATION {"citationID":"QJ5Ye9Ym","properties":{"formattedCitation":"(Neubig {\\i{}et al.}, 2003; Pleuvry, 2004; Negus, 2006; Currie, 2018)","plainCitation":"(Neubig et al., 2003; Pleuvry, 2004; Negus, 2006; Currie, 2018)","noteIndex":0},"citationItems":[{"id":193,"uris":["http://zotero.org/users/local/UB9PtTOS/items/35BB9B2L"],"itemData":{"id":193,"type":"article-journal","container-title":"Pharmacological Reviews","DOI":"10.1124/pr.55.4.4","ISSN":"0031-6997, 1521-0081","issue":"4","journalAbbreviation":"Pharmacol Rev","language":"en","page":"597-606","source":"DOI.org (Crossref)","title":"International Union of Pharmacology Committee on Receptor Nomenclature and Drug Classification. XXXVIII. Update on Terms and Symbols in Quantitative Pharmacology","volume":"55","author":[{"family":"Neubig","given":"Richard R."},{"family":"Spedding","given":"Michael"},{"family":"Kenakin","given":"Terry"},{"family":"Christopoulos","given":"Arthur"}],"issued":{"date-parts":[["2003",12]]}}},{"id":183,"uris":["http://zotero.org/users/local/UB9PtTOS/items/7EL9V8EM"],"itemData":{"id":183,"type":"article-journal","container-title":"Anaesthesia &amp; Intensive Care Medicine","DOI":"10.1383/anes.5.10.350.52312","ISSN":"14720299","issue":"10","journalAbbreviation":"Anaesthesia &amp; Intensive Care Medicine","language":"en","license":"https://www.elsevier.com/tdm/userlicense/1.0/","page":"350-352","source":"DOI.org (Crossref)","title":"Receptors, agonists and antagonists","volume":"5","author":[{"family":"Pleuvry","given":"Barbara J"}],"issued":{"date-parts":[["2004",10]]}}},{"id":184,"uris":["http://zotero.org/users/local/UB9PtTOS/items/94VJA9RI"],"itemData":{"id":184,"type":"article-journal","container-title":"Biochemical Pharmacology","DOI":"10.1016/j.bcp.2005.12.038","ISSN":"00062952","issue":"12","journalAbbreviation":"Biochemical Pharmacology","language":"en","license":"https://www.elsevier.com/tdm/userlicense/1.0/","page":"1663-1670","source":"DOI.org (Crossref)","title":"Some implications of receptor theory for in vivo assessment of agonists, antagonists and inverse agonists","volume":"71","author":[{"family":"Negus","given":"S. Stevens"}],"issued":{"date-parts":[["2006",6]]}}},{"id":191,"uris":["http://zotero.org/users/local/UB9PtTOS/items/88BZKJNK"],"itemData":{"id":191,"type":"article-journal","container-title":"Journal of Nuclear Medicine Technology","DOI":"10.2967/jnmt.117.199588","ISSN":"0091-4916, 1535-5675","issue":"2","journalAbbreviation":"J. Nucl. Med. Technol.","language":"en","page":"81-86","source":"DOI.org (Crossref)","title":"Pharmacology, Part 1: Introduction to Pharmacology and Pharmacodynamics","title-short":"Pharmacology, Part 1","volume":"46","author":[{"family":"Currie","given":"Geoffrey M."}],"issued":{"date-parts":[["2018",6]]}}}],"schema":"https://github.com/citation-style-language/schema/raw/master/csl-citation.json"} </w:instrText>
      </w:r>
      <w:r w:rsidR="00F720C2">
        <w:fldChar w:fldCharType="separate"/>
      </w:r>
      <w:r w:rsidR="00203742" w:rsidRPr="00203742">
        <w:rPr>
          <w:kern w:val="0"/>
        </w:rPr>
        <w:t xml:space="preserve">(Neubig </w:t>
      </w:r>
      <w:r w:rsidR="00203742" w:rsidRPr="00203742">
        <w:rPr>
          <w:i/>
          <w:iCs/>
          <w:kern w:val="0"/>
        </w:rPr>
        <w:t>et al.</w:t>
      </w:r>
      <w:r w:rsidR="00203742" w:rsidRPr="00203742">
        <w:rPr>
          <w:kern w:val="0"/>
        </w:rPr>
        <w:t>, 2003; Pleuvry, 2004; Negus, 2006; Currie, 2018)</w:t>
      </w:r>
      <w:r w:rsidR="00F720C2">
        <w:fldChar w:fldCharType="end"/>
      </w:r>
      <w:r w:rsidR="009978C0">
        <w:t>.</w:t>
      </w:r>
    </w:p>
    <w:p w14:paraId="688919BD" w14:textId="77777777" w:rsidR="00885906" w:rsidRPr="00471E95" w:rsidRDefault="00885906" w:rsidP="00471E95">
      <w:pPr>
        <w:ind w:firstLine="708"/>
      </w:pPr>
    </w:p>
    <w:p w14:paraId="2490464B" w14:textId="291A1836" w:rsidR="006A4D3F" w:rsidRPr="00F720C2" w:rsidRDefault="006A4D3F" w:rsidP="006A4D3F">
      <w:pPr>
        <w:pStyle w:val="Nadpis3"/>
      </w:pPr>
      <w:bookmarkStart w:id="16" w:name="_Toc165492885"/>
      <w:r w:rsidRPr="00F720C2">
        <w:t>3.</w:t>
      </w:r>
      <w:r w:rsidR="00E116C5" w:rsidRPr="00F720C2">
        <w:t>3</w:t>
      </w:r>
      <w:r w:rsidRPr="00F720C2">
        <w:t>.2</w:t>
      </w:r>
      <w:r w:rsidRPr="00F720C2">
        <w:tab/>
        <w:t>Antagonismus</w:t>
      </w:r>
      <w:bookmarkEnd w:id="16"/>
    </w:p>
    <w:p w14:paraId="12213E0D" w14:textId="6F1BA997" w:rsidR="00E116C5" w:rsidRDefault="005F18CC" w:rsidP="00AE5FFB">
      <w:r w:rsidRPr="00F720C2">
        <w:tab/>
      </w:r>
      <w:r w:rsidR="00F720C2">
        <w:t xml:space="preserve">Antagonistou je látka, která </w:t>
      </w:r>
      <w:r w:rsidR="00814FBD">
        <w:t>má vlastnost se vázat na receptor, ale neaktivuje ho. Jeho vazba na receptor b</w:t>
      </w:r>
      <w:r w:rsidR="00F720C2">
        <w:t>rání</w:t>
      </w:r>
      <w:r w:rsidR="00245A64">
        <w:t xml:space="preserve"> účinku agonistické látky</w:t>
      </w:r>
      <w:r w:rsidR="00AE22D0">
        <w:t>.</w:t>
      </w:r>
      <w:r w:rsidR="00245A64">
        <w:t xml:space="preserve"> </w:t>
      </w:r>
      <w:r w:rsidR="002D6610" w:rsidRPr="00F720C2">
        <w:t xml:space="preserve">Antagonismus rozdělujeme na </w:t>
      </w:r>
      <w:r w:rsidR="00245A64">
        <w:t>reverzibilní</w:t>
      </w:r>
      <w:r w:rsidR="00524E78">
        <w:br/>
      </w:r>
      <w:r w:rsidR="002D6610" w:rsidRPr="00F720C2">
        <w:t xml:space="preserve">a </w:t>
      </w:r>
      <w:r w:rsidR="00245A64">
        <w:t>ireverzibilní</w:t>
      </w:r>
      <w:r w:rsidR="002D6610" w:rsidRPr="00F720C2">
        <w:t xml:space="preserve">. </w:t>
      </w:r>
      <w:r w:rsidR="007A1B69">
        <w:t>Při r</w:t>
      </w:r>
      <w:r w:rsidR="00C656D0">
        <w:t>everzibilní</w:t>
      </w:r>
      <w:r w:rsidR="007A1B69">
        <w:t>m</w:t>
      </w:r>
      <w:r w:rsidR="00C656D0">
        <w:t xml:space="preserve"> antagonismu</w:t>
      </w:r>
      <w:r w:rsidR="007A1B69">
        <w:t xml:space="preserve"> </w:t>
      </w:r>
      <w:r w:rsidR="008019F0">
        <w:t xml:space="preserve">se antagonista váže na receptor </w:t>
      </w:r>
      <w:r w:rsidR="004204B0">
        <w:t>nekovalentní vazbou</w:t>
      </w:r>
      <w:r w:rsidR="00C6735F">
        <w:t>, a proto</w:t>
      </w:r>
      <w:r w:rsidR="00645F0D">
        <w:t xml:space="preserve"> lze jeho účinek zvrátit </w:t>
      </w:r>
      <w:r w:rsidR="00474716">
        <w:t>určitou koncentrací agonisty</w:t>
      </w:r>
      <w:r w:rsidR="00766C02" w:rsidRPr="00F720C2">
        <w:t>.</w:t>
      </w:r>
      <w:r w:rsidR="00474716">
        <w:t xml:space="preserve"> </w:t>
      </w:r>
      <w:r w:rsidR="00C26CBC" w:rsidRPr="00F720C2">
        <w:t>Neplatí tak však</w:t>
      </w:r>
      <w:r w:rsidR="00524E78">
        <w:br/>
      </w:r>
      <w:r w:rsidR="00C26CBC" w:rsidRPr="00F720C2">
        <w:t>u</w:t>
      </w:r>
      <w:r w:rsidR="006473FB" w:rsidRPr="00F720C2">
        <w:t xml:space="preserve"> </w:t>
      </w:r>
      <w:r w:rsidR="00245A64">
        <w:t>ireverzibilního</w:t>
      </w:r>
      <w:r w:rsidR="00C26CBC" w:rsidRPr="00F720C2">
        <w:t xml:space="preserve"> antagonismu, </w:t>
      </w:r>
      <w:r w:rsidR="00DB18A5" w:rsidRPr="00F720C2">
        <w:t>kdy zvýšení dávky agonisty neovlivní inhibici jeho účinku</w:t>
      </w:r>
      <w:r w:rsidR="00524E78">
        <w:br/>
      </w:r>
      <w:r w:rsidR="00270A26" w:rsidRPr="00F720C2">
        <w:t>a reakce je nezvratná</w:t>
      </w:r>
      <w:r w:rsidR="00391B91">
        <w:t>, protože</w:t>
      </w:r>
      <w:r w:rsidR="00EA49F5">
        <w:t xml:space="preserve"> vazba antagonisty je kovalentní</w:t>
      </w:r>
      <w:r w:rsidR="00442944">
        <w:t>. Receptor se v</w:t>
      </w:r>
      <w:r w:rsidR="00F9509A">
        <w:t xml:space="preserve"> </w:t>
      </w:r>
      <w:r w:rsidR="00442944">
        <w:t xml:space="preserve">tomto případě musí syntetizovat </w:t>
      </w:r>
      <w:r w:rsidR="00442944">
        <w:rPr>
          <w:i/>
          <w:iCs/>
        </w:rPr>
        <w:t>de novo</w:t>
      </w:r>
      <w:r w:rsidR="00503B34" w:rsidRPr="00F720C2">
        <w:t xml:space="preserve"> </w:t>
      </w:r>
      <w:r w:rsidR="00503B34" w:rsidRPr="00F720C2">
        <w:fldChar w:fldCharType="begin"/>
      </w:r>
      <w:r w:rsidR="004E03A8">
        <w:instrText xml:space="preserve"> ADDIN ZOTERO_ITEM CSL_CITATION {"citationID":"B2vin5ZN","properties":{"formattedCitation":"(Page and Maddison, 2008)","plainCitation":"(Page and Maddison, 2008)","dontUpdate":true,"noteIndex":0},"citationItems":[{"id":60,"uris":["http://zotero.org/users/local/UB9PtTOS/items/38TU6ZHH"],"itemData":{"id":60,"type":"chapter","container-title":"Small Animal Clinical Pharmacology","ISBN":"978-0-7020-2858-8","language":"en","note":"DOI: 10.1016/B978-070202858-8.50003-8","page":"1-26","publisher":"Elsevier","source":"DOI.org (Crossref)","title":"Principles of clinical pharmacology","URL":"https://linkinghub.elsevier.com/retrieve/pii/B9780702028588500038","author":[{"family":"Page","given":"Stephen W"},{"family":"Maddison","given":"Jill E"}],"accessed":{"date-parts":[["2024",3,24]]},"issued":{"date-parts":[["2008"]]}}}],"schema":"https://github.com/citation-style-language/schema/raw/master/csl-citation.json"} </w:instrText>
      </w:r>
      <w:r w:rsidR="00503B34" w:rsidRPr="00F720C2">
        <w:fldChar w:fldCharType="separate"/>
      </w:r>
      <w:r w:rsidR="00C41CE8" w:rsidRPr="00F720C2">
        <w:t xml:space="preserve">(Page </w:t>
      </w:r>
      <w:r w:rsidR="00F720C2">
        <w:rPr>
          <w:i/>
          <w:iCs/>
        </w:rPr>
        <w:t>et</w:t>
      </w:r>
      <w:r w:rsidR="00C41CE8" w:rsidRPr="00F720C2">
        <w:t xml:space="preserve"> Maddison, 2008)</w:t>
      </w:r>
      <w:r w:rsidR="00503B34" w:rsidRPr="00F720C2">
        <w:fldChar w:fldCharType="end"/>
      </w:r>
      <w:r w:rsidR="0084617E" w:rsidRPr="00F720C2">
        <w:t>.</w:t>
      </w:r>
      <w:r w:rsidR="00245A64">
        <w:t xml:space="preserve"> Dále lze antagonismus rozlišit</w:t>
      </w:r>
      <w:r w:rsidR="00524E78">
        <w:br/>
      </w:r>
      <w:r w:rsidR="00245A64">
        <w:t xml:space="preserve">na kompetitivní a nekompetitivní. </w:t>
      </w:r>
      <w:r w:rsidR="00814FBD">
        <w:t>Kompetitivní antagonista se</w:t>
      </w:r>
      <w:r w:rsidR="00C37644">
        <w:t xml:space="preserve"> </w:t>
      </w:r>
      <w:r w:rsidR="00814FBD">
        <w:t xml:space="preserve">váže na stejné </w:t>
      </w:r>
      <w:r w:rsidR="00C37644">
        <w:t xml:space="preserve">vazebné místo </w:t>
      </w:r>
      <w:r w:rsidR="00814FBD">
        <w:t>jako agonista</w:t>
      </w:r>
      <w:r w:rsidR="00C37644">
        <w:t xml:space="preserve"> a tím blokuje možnost agonisty se na receptor vázat. Nekompetitivní antagonista je látka, která má schopnost se navázat na </w:t>
      </w:r>
      <w:r w:rsidR="00643841">
        <w:t>jiné</w:t>
      </w:r>
      <w:r w:rsidR="00C37644">
        <w:t xml:space="preserve"> než vazebné místo</w:t>
      </w:r>
      <w:r w:rsidR="00643841">
        <w:t xml:space="preserve">, tzv. alosterické místo, tím změní konformaci receptoru a znemožní agonistické látce vazbu na receptor </w:t>
      </w:r>
      <w:r w:rsidR="00643841">
        <w:fldChar w:fldCharType="begin"/>
      </w:r>
      <w:r w:rsidR="00643841">
        <w:instrText xml:space="preserve"> ADDIN ZOTERO_ITEM CSL_CITATION {"citationID":"qjIEk8Rz","properties":{"formattedCitation":"(Katzung, 2018)","plainCitation":"(Katzung, 2018)","noteIndex":0},"citationItems":[{"id":194,"uris":["http://zotero.org/users/local/UB9PtTOS/items/BZ2BN5J5"],"itemData":{"id":194,"type":"book","collection-title":"A Lange medical book","edition":"Fourteenth edition","event-place":"New York Chicago San Francisco Athens London Madrid Mexico City Milan New Delhi Singapore Sydney Toronto","ISBN":"978-1-259-64115-2","language":"eng","number-of-pages":"1250","publisher":"McGraw-Hill Education","publisher-place":"New York Chicago San Francisco Athens London Madrid Mexico City Milan New Delhi Singapore Sydney Toronto","source":"K10plus ISBN","title":"Basic &amp; clinical pharmacology","editor":[{"family":"Katzung","given":"Bertram G."}],"issued":{"date-parts":[["2018"]]}}}],"schema":"https://github.com/citation-style-language/schema/raw/master/csl-citation.json"} </w:instrText>
      </w:r>
      <w:r w:rsidR="00643841">
        <w:fldChar w:fldCharType="separate"/>
      </w:r>
      <w:r w:rsidR="00643841" w:rsidRPr="00643841">
        <w:t>(Katzung, 2018)</w:t>
      </w:r>
      <w:r w:rsidR="00643841">
        <w:fldChar w:fldCharType="end"/>
      </w:r>
      <w:r w:rsidR="00643841">
        <w:t>.</w:t>
      </w:r>
    </w:p>
    <w:p w14:paraId="20C30295" w14:textId="600E98E4" w:rsidR="00E116C5" w:rsidRDefault="00E116C5">
      <w:pPr>
        <w:spacing w:line="259" w:lineRule="auto"/>
        <w:jc w:val="left"/>
      </w:pPr>
    </w:p>
    <w:p w14:paraId="5CDF620D" w14:textId="7C19DD2D" w:rsidR="00E116C5" w:rsidRDefault="00E116C5" w:rsidP="00E116C5">
      <w:pPr>
        <w:pStyle w:val="Nadpis2"/>
      </w:pPr>
      <w:bookmarkStart w:id="17" w:name="_Toc165492886"/>
      <w:r>
        <w:t>3.4</w:t>
      </w:r>
      <w:r>
        <w:tab/>
        <w:t>Terpeny a terpenoidy</w:t>
      </w:r>
      <w:bookmarkEnd w:id="17"/>
    </w:p>
    <w:p w14:paraId="00C17FBE" w14:textId="2F6CC471" w:rsidR="00E116C5" w:rsidRDefault="00E116C5" w:rsidP="00E116C5">
      <w:r>
        <w:tab/>
        <w:t>Terpeny a terpenoidy jsou zástupci organických sloučenin a řadí se mezi nenasycené uhlovodíky. Molekuly jsou složeny z</w:t>
      </w:r>
      <w:r w:rsidR="003E5148">
        <w:t xml:space="preserve"> </w:t>
      </w:r>
      <w:r>
        <w:t>dvou či více izoprenových jednotek</w:t>
      </w:r>
      <w:r w:rsidR="00541864">
        <w:t xml:space="preserve"> (viz obr. 3)</w:t>
      </w:r>
      <w:r>
        <w:t xml:space="preserve">, díky tomu se jim často říká také </w:t>
      </w:r>
      <w:proofErr w:type="spellStart"/>
      <w:r>
        <w:t>izoprenoidy</w:t>
      </w:r>
      <w:proofErr w:type="spellEnd"/>
      <w:r>
        <w:t>. Zástupci těchto látek mají většinou rostlinný původ. Jsou složkami silic neboli éterických olejů, nebo rostlinné pryskyřice. Vznik izoprenových jednotek je v</w:t>
      </w:r>
      <w:r w:rsidR="000E76BB">
        <w:t xml:space="preserve"> </w:t>
      </w:r>
      <w:r>
        <w:t xml:space="preserve">rostlinách regulován dvěma metabolickými dráhami – </w:t>
      </w:r>
      <w:proofErr w:type="spellStart"/>
      <w:r>
        <w:t>mevalonátovou</w:t>
      </w:r>
      <w:proofErr w:type="spellEnd"/>
      <w:r>
        <w:t xml:space="preserve"> </w:t>
      </w:r>
      <w:r w:rsidR="00BA55B9">
        <w:t>(</w:t>
      </w:r>
      <w:r>
        <w:t>MVA</w:t>
      </w:r>
      <w:r w:rsidR="00BA55B9">
        <w:t>)</w:t>
      </w:r>
      <w:r w:rsidR="00524E78">
        <w:br/>
      </w:r>
      <w:r>
        <w:t xml:space="preserve">a </w:t>
      </w:r>
      <w:proofErr w:type="spellStart"/>
      <w:r>
        <w:t>nemevalonátovou</w:t>
      </w:r>
      <w:proofErr w:type="spellEnd"/>
      <w:r>
        <w:t xml:space="preserve"> </w:t>
      </w:r>
      <w:r w:rsidR="00BA55B9">
        <w:t>(</w:t>
      </w:r>
      <w:r>
        <w:t>MEP</w:t>
      </w:r>
      <w:r w:rsidR="00BA55B9">
        <w:t>)</w:t>
      </w:r>
      <w:r>
        <w:t xml:space="preserve"> dráhou. Po dokončení těchto drah následuje </w:t>
      </w:r>
      <w:proofErr w:type="spellStart"/>
      <w:r>
        <w:t>geranyl</w:t>
      </w:r>
      <w:proofErr w:type="spellEnd"/>
      <w:r>
        <w:t xml:space="preserve"> pyrofosfátová fáze, při které vzniká prekurzor terpenů a terpenoidů </w:t>
      </w:r>
      <w:proofErr w:type="spellStart"/>
      <w:r>
        <w:t>geranylpyrofosfát</w:t>
      </w:r>
      <w:proofErr w:type="spellEnd"/>
      <w:r>
        <w:t xml:space="preserve"> </w:t>
      </w:r>
      <w:r w:rsidR="00BA55B9">
        <w:t>(</w:t>
      </w:r>
      <w:r>
        <w:t>GPP</w:t>
      </w:r>
      <w:r w:rsidR="00BA55B9">
        <w:t>)</w:t>
      </w:r>
      <w:r>
        <w:t xml:space="preserve"> </w:t>
      </w:r>
      <w:r>
        <w:fldChar w:fldCharType="begin"/>
      </w:r>
      <w:r w:rsidR="004E03A8">
        <w:instrText xml:space="preserve"> ADDIN ZOTERO_ITEM CSL_CITATION {"citationID":"wohDOACu","properties":{"formattedCitation":"(Bergman, Davis and Phillips, 2019)","plainCitation":"(Bergman, Davis and Phillips, 2019)","dontUpdate":true,"noteIndex":0},"citationItems":[{"id":21,"uris":["http://zotero.org/users/local/UB9PtTOS/items/PMAAQF4U"],"itemData":{"id":21,"type":"article-journal","abstract":"Specialized plant terpenoids have found fortuitous uses in medicine due to their evolutionary and biochemical selection for biological activity in animals. However, these highly functionalized natural products are produced through complex biosynthetic pathways for which we have a complete understanding in only a few cases. Here we review some of the most effective and promising plant terpenoids that are currently used in medicine and medical research and provide updates on their biosynthesis, natural occurrence, and mechanism of action in the body. This includes pharmacologically useful plastidic terpenoids such as p-menthane monoterpenoids, cannabinoids, paclitaxel (taxol®), and ingenol mebutate which are derived from the 2-C-methyl-d-erythritol-4-phosphate (MEP) pathway, as well as cytosolic terpenoids such as thapsigargin and artemisinin produced through the mevalonate (MVA) pathway. We further provide a review of the MEP and MVA precursor pathways which supply the carbon skeletons for the downstream transformations yielding these medically significant natural products.","container-title":"Molecules","DOI":"10.3390/molecules24213961","ISSN":"1420-3049","issue":"21","journalAbbreviation":"Molecules","language":"en","page":"3961","source":"DOI.org (Crossref)","title":"Medically Useful Plant Terpenoids: Biosynthesis, Occurrence, and Mechanism of Action","title-short":"Medically Useful Plant Terpenoids","volume":"24","author":[{"family":"Bergman","given":"Matthew E."},{"family":"Davis","given":"Benjamin"},{"family":"Phillips","given":"Michael A."}],"issued":{"date-parts":[["2019",11,1]]}}}],"schema":"https://github.com/citation-style-language/schema/raw/master/csl-citation.json"} </w:instrText>
      </w:r>
      <w:r>
        <w:fldChar w:fldCharType="separate"/>
      </w:r>
      <w:r w:rsidR="00C41CE8" w:rsidRPr="00C41CE8">
        <w:t>(Bergman</w:t>
      </w:r>
      <w:r w:rsidR="00CE6807">
        <w:t xml:space="preserve"> </w:t>
      </w:r>
      <w:r w:rsidR="00CE6807">
        <w:rPr>
          <w:i/>
          <w:iCs/>
        </w:rPr>
        <w:t>et al.</w:t>
      </w:r>
      <w:r w:rsidR="00C41CE8" w:rsidRPr="00C41CE8">
        <w:t>, 2019)</w:t>
      </w:r>
      <w:r>
        <w:fldChar w:fldCharType="end"/>
      </w:r>
      <w:r>
        <w:t>.</w:t>
      </w:r>
    </w:p>
    <w:p w14:paraId="1A4E4889" w14:textId="77777777" w:rsidR="00E116C5" w:rsidRDefault="00E116C5" w:rsidP="00E116C5">
      <w:pPr>
        <w:jc w:val="center"/>
      </w:pPr>
      <w:r>
        <w:object w:dxaOrig="1661" w:dyaOrig="801" w14:anchorId="7446D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85pt;height:55.8pt" o:ole="">
            <v:imagedata r:id="rId15" o:title=""/>
          </v:shape>
          <o:OLEObject Type="Embed" ProgID="ACD.ChemSketch.20" ShapeID="_x0000_i1025" DrawAspect="Content" ObjectID="_1776177794" r:id="rId16"/>
        </w:object>
      </w:r>
    </w:p>
    <w:p w14:paraId="48415F33" w14:textId="2A945C56" w:rsidR="00E116C5" w:rsidRDefault="00E116C5" w:rsidP="00E116C5">
      <w:pPr>
        <w:jc w:val="center"/>
      </w:pPr>
      <w:r>
        <w:rPr>
          <w:b/>
          <w:bCs/>
        </w:rPr>
        <w:t xml:space="preserve">Obrázek </w:t>
      </w:r>
      <w:r w:rsidR="00EB4FDB">
        <w:rPr>
          <w:b/>
          <w:bCs/>
        </w:rPr>
        <w:t>3</w:t>
      </w:r>
      <w:r>
        <w:rPr>
          <w:b/>
          <w:bCs/>
        </w:rPr>
        <w:t xml:space="preserve">: </w:t>
      </w:r>
      <w:r>
        <w:t>Chemická struktura izoprenové jednotky</w:t>
      </w:r>
    </w:p>
    <w:p w14:paraId="593A233E" w14:textId="77777777" w:rsidR="00CF53AC" w:rsidRDefault="00E116C5" w:rsidP="00E116C5">
      <w:r>
        <w:tab/>
      </w:r>
    </w:p>
    <w:p w14:paraId="0EEE0C0C" w14:textId="664CEA61" w:rsidR="00E116C5" w:rsidRPr="00956D78" w:rsidRDefault="00B90AAA" w:rsidP="00CF53AC">
      <w:pPr>
        <w:ind w:firstLine="708"/>
      </w:pPr>
      <w:r>
        <w:lastRenderedPageBreak/>
        <w:t xml:space="preserve">Ačkoliv jsou oba názvy často zaměňovány, terpeny a terpenoidy mají odlišnou chemickou strukturu a vlastnosti. </w:t>
      </w:r>
      <w:r w:rsidR="00E116C5">
        <w:t xml:space="preserve">Terpeny mohou být buď acyklické nebo cyklické. Dále je lze rozdělit podle počtu izoprenových jednotek na </w:t>
      </w:r>
      <w:proofErr w:type="spellStart"/>
      <w:r w:rsidR="00E116C5">
        <w:t>monoterpeny</w:t>
      </w:r>
      <w:proofErr w:type="spellEnd"/>
      <w:r w:rsidR="00E116C5">
        <w:t xml:space="preserve">, kdy látka obsahuje 2 molekuly izoprenu, </w:t>
      </w:r>
      <w:proofErr w:type="spellStart"/>
      <w:r w:rsidR="00E116C5">
        <w:t>seskvi</w:t>
      </w:r>
      <w:proofErr w:type="spellEnd"/>
      <w:r w:rsidR="00E116C5">
        <w:t xml:space="preserve">- (3), di- (4), </w:t>
      </w:r>
      <w:proofErr w:type="spellStart"/>
      <w:r w:rsidR="00E116C5">
        <w:t>tri</w:t>
      </w:r>
      <w:proofErr w:type="spellEnd"/>
      <w:r w:rsidR="00E116C5">
        <w:t>- (6), tetra- (8) až polyterpeny</w:t>
      </w:r>
      <w:r w:rsidR="00F24D2A">
        <w:t xml:space="preserve"> </w:t>
      </w:r>
      <w:r w:rsidR="00F24D2A">
        <w:fldChar w:fldCharType="begin"/>
      </w:r>
      <w:r w:rsidR="00F24D2A">
        <w:instrText xml:space="preserve"> ADDIN ZOTERO_ITEM CSL_CITATION {"citationID":"qsE5HdNC","properties":{"formattedCitation":"(Ninkuu {\\i{}et al.}, 2021)","plainCitation":"(Ninkuu et al., 2021)","noteIndex":0},"citationItems":[{"id":180,"uris":["http://zotero.org/users/local/UB9PtTOS/items/RZT9L3HS"],"itemData":{"id":180,"type":"article-journal","abstract":"Biodiversity is adversely affected by the growing levels of synthetic chemicals released into the environment due to agricultural activities. This has been the driving force for embracing sustainable agriculture. Plant secondary metabolites offer promising alternatives for protecting plants against microbes, feeding herbivores, and weeds. Terpenes are the largest among PSMs and have been extensively studied for their potential as antimicrobial, insecticidal, and weed control agents. They also attract natural enemies of pests and beneficial insects, such as pollinators and dispersers. However, most of these research findings are shelved and fail to pass beyond the laboratory and greenhouse stages. This review provides an overview of terpenes, types, biosynthesis, and their roles in protecting plants against microbial pathogens, insect pests, and weeds to rekindle the debate on using terpenes for the development of environmentally friendly biopesticides and herbicides.","container-title":"International Journal of Molecular Sciences","DOI":"10.3390/ijms22115710","ISSN":"1422-0067","issue":"11","journalAbbreviation":"IJMS","language":"en","license":"https://creativecommons.org/licenses/by/4.0/","page":"5710","source":"DOI.org (Crossref)","title":"Biochemistry of Terpenes and Recent Advances in Plant Protection","volume":"22","author":[{"family":"Ninkuu","given":"Vincent"},{"family":"Zhang","given":"Lin"},{"family":"Yan","given":"Jianpei"},{"family":"Fu","given":"Zhenchao"},{"family":"Yang","given":"Tengfeng"},{"family":"Zeng","given":"Hongmei"}],"issued":{"date-parts":[["2021",5,27]]}}}],"schema":"https://github.com/citation-style-language/schema/raw/master/csl-citation.json"} </w:instrText>
      </w:r>
      <w:r w:rsidR="00F24D2A">
        <w:fldChar w:fldCharType="separate"/>
      </w:r>
      <w:r w:rsidR="00F24D2A" w:rsidRPr="00F24D2A">
        <w:rPr>
          <w:kern w:val="0"/>
        </w:rPr>
        <w:t xml:space="preserve">(Ninkuu </w:t>
      </w:r>
      <w:r w:rsidR="00F24D2A" w:rsidRPr="00F24D2A">
        <w:rPr>
          <w:i/>
          <w:iCs/>
          <w:kern w:val="0"/>
        </w:rPr>
        <w:t>et al.</w:t>
      </w:r>
      <w:r w:rsidR="00F24D2A" w:rsidRPr="00F24D2A">
        <w:rPr>
          <w:kern w:val="0"/>
        </w:rPr>
        <w:t>, 2021)</w:t>
      </w:r>
      <w:r w:rsidR="00F24D2A">
        <w:fldChar w:fldCharType="end"/>
      </w:r>
      <w:r w:rsidR="00E116C5">
        <w:t>.</w:t>
      </w:r>
      <w:r w:rsidR="00F24D2A">
        <w:t xml:space="preserve"> </w:t>
      </w:r>
      <w:r w:rsidR="00E116C5">
        <w:t>Jedná se</w:t>
      </w:r>
      <w:r w:rsidR="00763293">
        <w:br/>
      </w:r>
      <w:r w:rsidR="00E116C5">
        <w:t>o nepolární, ve vodě nerozpustné těkavé látky.</w:t>
      </w:r>
    </w:p>
    <w:p w14:paraId="79362262" w14:textId="2BA50363" w:rsidR="00E116C5" w:rsidRDefault="00E116C5" w:rsidP="00CC2DD9">
      <w:r>
        <w:tab/>
        <w:t xml:space="preserve">Velmi podobnými látkami jsou terpenoidy, které lze považovat za modifikované terpeny. Hlavním rozdílem mezi terpeny a terpenoidy je výskyt dalších funkčních skupin, které obsahují kyslík. Jejich struktura se také může mírně lišit díky ztrátě či posunu části molekuly, většinou se jedná o methylovou skupinu </w:t>
      </w:r>
      <w:r>
        <w:fldChar w:fldCharType="begin"/>
      </w:r>
      <w:r w:rsidR="004E03A8">
        <w:instrText xml:space="preserve"> ADDIN ZOTERO_ITEM CSL_CITATION {"citationID":"YyP8TrMf","properties":{"formattedCitation":"(Moss, Smith and Tavernier, 1995)","plainCitation":"(Moss, Smith and Tavernier, 1995)","dontUpdate":true,"noteIndex":0},"citationItems":[{"id":23,"uris":["http://zotero.org/users/local/UB9PtTOS/items/HBVJ2T3S"],"itemData":{"id":23,"type":"article-journal","container-title":"Pure and Applied Chemistry","DOI":"10.1351/pac199567081307","ISSN":"1365-3075, 0033-4545","issue":"8-9","page":"1307-1375","source":"DOI.org (Crossref)","title":"Glossary of class names of organic compounds and reactivity intermediates based on structure (IUPAC Recommendations 1995)","volume":"67","author":[{"family":"Moss","given":"G. P."},{"family":"Smith","given":"P. A. S."},{"family":"Tavernier","given":"D."}],"issued":{"date-parts":[["1995",1,1]]}}}],"schema":"https://github.com/citation-style-language/schema/raw/master/csl-citation.json"} </w:instrText>
      </w:r>
      <w:r>
        <w:fldChar w:fldCharType="separate"/>
      </w:r>
      <w:r w:rsidR="00C41CE8" w:rsidRPr="00C41CE8">
        <w:t>(Moss</w:t>
      </w:r>
      <w:r w:rsidR="00F40941">
        <w:t xml:space="preserve"> </w:t>
      </w:r>
      <w:r w:rsidR="00F40941">
        <w:rPr>
          <w:i/>
          <w:iCs/>
        </w:rPr>
        <w:t>et al.</w:t>
      </w:r>
      <w:r w:rsidR="00C41CE8" w:rsidRPr="00C41CE8">
        <w:t>, 1995)</w:t>
      </w:r>
      <w:r>
        <w:fldChar w:fldCharType="end"/>
      </w:r>
      <w:r>
        <w:t>.</w:t>
      </w:r>
    </w:p>
    <w:p w14:paraId="0B8B537A" w14:textId="084FA20C" w:rsidR="002F7C57" w:rsidRDefault="002F7C57" w:rsidP="00CC2DD9">
      <w:r>
        <w:tab/>
      </w:r>
      <w:r w:rsidR="00B77EA8">
        <w:t>Terpenoidy j</w:t>
      </w:r>
      <w:r>
        <w:t xml:space="preserve">sou složkami esenciálních olejů rostlin a jsou charakteristické svou vůní </w:t>
      </w:r>
      <w:r>
        <w:fldChar w:fldCharType="begin"/>
      </w:r>
      <w:r>
        <w:instrText xml:space="preserve"> ADDIN ZOTERO_ITEM CSL_CITATION {"citationID":"Y1ZDk05g","properties":{"formattedCitation":"(Abdallah and Quax, 2017)","plainCitation":"(Abdallah and Quax, 2017)","dontUpdate":true,"noteIndex":0},"citationItems":[{"id":178,"uris":["http://zotero.org/users/local/UB9PtTOS/items/LGQ9JGBZ"],"itemData":{"id":178,"type":"article-journal","abstract":"&lt;p&gt;Terpenoids represent the largest class of natural products with a diverse array of structures and functions. Many terpenoids have reported therapeutic properties such as antimicrobial, anti-inflammatory, immunomodulatory and chemotherapeutic properties making them of great interest in the medical field. Also, they are widely used in the flavors and fragrances industries, in addition to being a source of biofuels. Terpenoids suffer from low natural yields and complicated chemical synthesis, hence the need for a more sustainable production method. Metabolic engineering provide an excellent opportunity to construct microbial cell factories producing the desired terpenoids. The biosynthetic mevalonate and non-mevalonate pathways involved in the production of terpenoid precursors are fully characterized so exploring methods to improve their flux would be the first step in creating a successful cell factory. The complexity and diversity of terpenoid structures depends mainly on the action of the terpene synthases responsible for their synthesis. These enzymes are classified into different classes and gaining insight into their catalytic mechanism will be useful in designing approaches to improve terpenoid production. This review focuses on the biosynthesis and biodiversity of terpenoids, understanding the terpene synthase enzyme family involved in their synthesis and the engineering efforts to create microbial cell factories for terpenoid production.&lt;/p&gt;","container-title":"KnE Life Sciences","DOI":"10.18502/kls.v3i5.981","ISSN":"2413-0877","issue":"5","journalAbbreviation":"KLS","page":"81","source":"DOI.org (Crossref)","title":"A Glimpse into the Biosynthesis of Terpenoids","volume":"3","author":[{"family":"Abdallah","given":"Ingy I."},{"family":"Quax","given":"Wim J."}],"issued":{"date-parts":[["2017",9,11]]}}}],"schema":"https://github.com/citation-style-language/schema/raw/master/csl-citation.json"} </w:instrText>
      </w:r>
      <w:r>
        <w:fldChar w:fldCharType="separate"/>
      </w:r>
      <w:r w:rsidRPr="00F24D2A">
        <w:t xml:space="preserve">(Abdallah </w:t>
      </w:r>
      <w:r>
        <w:rPr>
          <w:i/>
          <w:iCs/>
        </w:rPr>
        <w:t>et</w:t>
      </w:r>
      <w:r w:rsidRPr="00F24D2A">
        <w:t xml:space="preserve"> Quax, 2017)</w:t>
      </w:r>
      <w:r>
        <w:fldChar w:fldCharType="end"/>
      </w:r>
      <w:r>
        <w:t xml:space="preserve">. Esenciální neboli éterické oleje jsou </w:t>
      </w:r>
      <w:r w:rsidR="00696888">
        <w:t>směsi</w:t>
      </w:r>
      <w:r w:rsidR="00A241A4">
        <w:t xml:space="preserve"> různých těkavých látek</w:t>
      </w:r>
      <w:r w:rsidR="00C4499C">
        <w:t xml:space="preserve">, mezi které </w:t>
      </w:r>
      <w:proofErr w:type="gramStart"/>
      <w:r w:rsidR="00C4499C">
        <w:t>patří</w:t>
      </w:r>
      <w:proofErr w:type="gramEnd"/>
      <w:r w:rsidR="001C0D22">
        <w:t xml:space="preserve"> např. aldehydy, </w:t>
      </w:r>
      <w:r w:rsidR="00DF3BDA">
        <w:t xml:space="preserve">alkoholy, fenoly, </w:t>
      </w:r>
      <w:r w:rsidR="00860F7F">
        <w:t>ketony, estery či ethery</w:t>
      </w:r>
      <w:r w:rsidR="00233F81">
        <w:t xml:space="preserve">. Esenciální oleje </w:t>
      </w:r>
      <w:r>
        <w:t xml:space="preserve">lze z rostliny získat mnoha metodami – destilací, lisováním za studena </w:t>
      </w:r>
      <w:r w:rsidRPr="00F40941">
        <w:t>či odpichováním pryskyřice a její extrakcí rozpouštědlem</w:t>
      </w:r>
      <w:r>
        <w:t xml:space="preserve"> </w:t>
      </w:r>
      <w:r>
        <w:fldChar w:fldCharType="begin"/>
      </w:r>
      <w:r>
        <w:instrText xml:space="preserve"> ADDIN ZOTERO_ITEM CSL_CITATION {"citationID":"TWlrVAQy","properties":{"formattedCitation":"(Tongnuanchan and Benjakul, 2014)","plainCitation":"(Tongnuanchan and Benjakul, 2014)","dontUpdate":true,"noteIndex":0},"citationItems":[{"id":26,"uris":["http://zotero.org/users/local/UB9PtTOS/items/LE98IUXZ"],"itemData":{"id":26,"type":"article-journal","abstract":"Abstract\n            Essential oils are concentrated liquids of complex mixtures of volatile compounds and can be extracted from several plant organs. Essential oils are a good source of several bioactive compounds, which possess antioxidative and antimicrobial properties. In addition, some essential oils have been used as medicine. Furthermore, the uses of essential oils have received increasing attention as the natural additives for the shelf‐life extension of food products, due to the risk in using synthetic preservatives. Essential oils can be incorporated into packaging, in which they can provide multifunctions termed “active or smart packaging.” Those essential oils are able to modify the matrix of packaging materials, thereby rendering the improved properties. This review covers up‐to‐date literatures on essential oils including sources, chemical composition, extraction methods, bioactivities, and their applications, particularly with the emphasis on preservation and the shelf‐life extension of food products.","container-title":"Journal of Food Science","DOI":"10.1111/1750-3841.12492","ISSN":"0022-1147, 1750-3841","issue":"7","journalAbbreviation":"Journal of Food Science","language":"en","source":"DOI.org (Crossref)","title":"Essential Oils: Extraction, Bioactivities, and Their Uses for Food Preservation","title-short":"Essential Oils","URL":"https://ift.onlinelibrary.wiley.com/doi/10.1111/1750-3841.12492","volume":"79","author":[{"family":"Tongnuanchan","given":"Phakawat"},{"family":"Benjakul","given":"Soottawat"}],"accessed":{"date-parts":[["2024",3,16]]},"issued":{"date-parts":[["2014",7]]}}}],"schema":"https://github.com/citation-style-language/schema/raw/master/csl-citation.json"} </w:instrText>
      </w:r>
      <w:r>
        <w:fldChar w:fldCharType="separate"/>
      </w:r>
      <w:r w:rsidRPr="00C41CE8">
        <w:t xml:space="preserve">(Tongnuanchan </w:t>
      </w:r>
      <w:r>
        <w:rPr>
          <w:i/>
          <w:iCs/>
        </w:rPr>
        <w:t>et</w:t>
      </w:r>
      <w:r w:rsidRPr="00C41CE8">
        <w:t xml:space="preserve"> Benjakul, 2014)</w:t>
      </w:r>
      <w:r>
        <w:fldChar w:fldCharType="end"/>
      </w:r>
      <w:r>
        <w:t>. V dnešní době je známo přibližně 3000 esenciálních olejů, z nichž 300 je komerčně využíváno v</w:t>
      </w:r>
      <w:r w:rsidR="008F275F">
        <w:t xml:space="preserve"> </w:t>
      </w:r>
      <w:r>
        <w:t xml:space="preserve">různých odvětvích, např. ve farmaceutickém průmyslu a v medicíně ve formě aromaterapií a koupelí </w:t>
      </w:r>
      <w:r>
        <w:fldChar w:fldCharType="begin"/>
      </w:r>
      <w:r>
        <w:instrText xml:space="preserve"> ADDIN ZOTERO_ITEM CSL_CITATION {"citationID":"W26PasFz","properties":{"formattedCitation":"(Bakkali {\\i{}et al.}, 2008; Barto\\uc0\\u328{}kov\\uc0\\u225{} and Dvo\\uc0\\u345{}\\uc0\\u225{}k, 2018b)","plainCitation":"(Bakkali et al., 2008; Bartoňková and Dvořák, 2018b)","dontUpdate":true,"noteIndex":0},"citationItems":[{"id":182,"uris":["http://zotero.org/users/local/UB9PtTOS/items/3TTPZK8I"],"itemData":{"id":182,"type":"article-journal","container-title":"Food and Chemical Toxicology","DOI":"10.1016/j.fct.2007.09.106","ISSN":"02786915","issue":"2","journalAbbreviation":"Food and Chemical Toxicology","language":"en","license":"https://www.elsevier.com/tdm/userlicense/1.0/","page":"446-475","source":"DOI.org (Crossref)","title":"Biological effects of essential oils – A review","volume":"46","author":[{"family":"Bakkali","given":"F."},{"family":"Averbeck","given":"S."},{"family":"Averbeck","given":"D."},{"family":"Idaomar","given":"M."}],"issued":{"date-parts":[["2008",2]]}}},{"id":27,"uris":["http://zotero.org/users/local/UB9PtTOS/items/I6MZZDH8"],"itemData":{"id":27,"type":"article-journal","container-title":"Food and Chemical Toxicology","DOI":"10.1016/j.fct.2017.11.049","ISSN":"02786915","journalAbbreviation":"Food and Chemical Toxicology","language":"en","page":"374-384","source":"DOI.org (Crossref)","title":"Essential oils of culinary herbs and spices display agonist and antagonist activities at human aryl hydrocarbon receptor AhR","volume":"111","author":[{"family":"Bartoňková","given":"Iveta"},{"family":"Dvořák","given":"Zdeněk"}],"issued":{"date-parts":[["2018",1]]}}}],"schema":"https://github.com/citation-style-language/schema/raw/master/csl-citation.json"} </w:instrText>
      </w:r>
      <w:r>
        <w:fldChar w:fldCharType="separate"/>
      </w:r>
      <w:r w:rsidRPr="00F31905">
        <w:rPr>
          <w:kern w:val="0"/>
        </w:rPr>
        <w:t xml:space="preserve">(Bakkali </w:t>
      </w:r>
      <w:r w:rsidRPr="00F31905">
        <w:rPr>
          <w:i/>
          <w:iCs/>
          <w:kern w:val="0"/>
        </w:rPr>
        <w:t>et al.</w:t>
      </w:r>
      <w:r w:rsidRPr="00F31905">
        <w:rPr>
          <w:kern w:val="0"/>
        </w:rPr>
        <w:t xml:space="preserve">, 2008; Bartoňková </w:t>
      </w:r>
      <w:r>
        <w:rPr>
          <w:i/>
          <w:iCs/>
          <w:kern w:val="0"/>
        </w:rPr>
        <w:t>et</w:t>
      </w:r>
      <w:r w:rsidRPr="00F31905">
        <w:rPr>
          <w:kern w:val="0"/>
        </w:rPr>
        <w:t xml:space="preserve"> Dvořák, 2018b)</w:t>
      </w:r>
      <w:r>
        <w:fldChar w:fldCharType="end"/>
      </w:r>
      <w:r>
        <w:t>. Jsou také využívány v</w:t>
      </w:r>
      <w:r w:rsidR="008F275F">
        <w:t xml:space="preserve"> </w:t>
      </w:r>
      <w:r>
        <w:t xml:space="preserve">kosmetice díky antifungálním a antibakteriálním vlastnostem. V přírodě se esenciální oleje uplatňují jako ochrana rostlin proti bakteriím, virům, houbám a býložravé zvěři. Mají také schopnost přilákat hmyz, který může následně roznášet pyl a semena rostliny </w:t>
      </w:r>
      <w:r>
        <w:fldChar w:fldCharType="begin"/>
      </w:r>
      <w:r>
        <w:instrText xml:space="preserve"> ADDIN ZOTERO_ITEM CSL_CITATION {"citationID":"srk86oBc","properties":{"formattedCitation":"(Bakkali {\\i{}et al.}, 2008)","plainCitation":"(Bakkali et al., 2008)","noteIndex":0},"citationItems":[{"id":182,"uris":["http://zotero.org/users/local/UB9PtTOS/items/3TTPZK8I"],"itemData":{"id":182,"type":"article-journal","container-title":"Food and Chemical Toxicology","DOI":"10.1016/j.fct.2007.09.106","ISSN":"02786915","issue":"2","journalAbbreviation":"Food and Chemical Toxicology","language":"en","license":"https://www.elsevier.com/tdm/userlicense/1.0/","page":"446-475","source":"DOI.org (Crossref)","title":"Biological effects of essential oils – A review","volume":"46","author":[{"family":"Bakkali","given":"F."},{"family":"Averbeck","given":"S."},{"family":"Averbeck","given":"D."},{"family":"Idaomar","given":"M."}],"issued":{"date-parts":[["2008",2]]}}}],"schema":"https://github.com/citation-style-language/schema/raw/master/csl-citation.json"} </w:instrText>
      </w:r>
      <w:r>
        <w:fldChar w:fldCharType="separate"/>
      </w:r>
      <w:r w:rsidRPr="00E9218B">
        <w:rPr>
          <w:kern w:val="0"/>
        </w:rPr>
        <w:t xml:space="preserve">(Bakkali </w:t>
      </w:r>
      <w:r w:rsidRPr="00E9218B">
        <w:rPr>
          <w:i/>
          <w:iCs/>
          <w:kern w:val="0"/>
        </w:rPr>
        <w:t>et al.</w:t>
      </w:r>
      <w:r w:rsidRPr="00E9218B">
        <w:rPr>
          <w:kern w:val="0"/>
        </w:rPr>
        <w:t>, 2008)</w:t>
      </w:r>
      <w:r>
        <w:fldChar w:fldCharType="end"/>
      </w:r>
      <w:r>
        <w:t>. Značné množství je obsaženo v bylinkách a koření využívaných při vaření pro dochucování jídel.</w:t>
      </w:r>
    </w:p>
    <w:p w14:paraId="396D6923" w14:textId="284C5A87" w:rsidR="00B24731" w:rsidRDefault="00E116C5" w:rsidP="00B24731">
      <w:r>
        <w:tab/>
        <w:t xml:space="preserve">Terpenoidy, které ve své základní chemické struktuře o 10 uhlících obsahují dvě izoprenové jednotky, se nazývají monoterpenoidy. Ty lze dále rozdělit do tří skupin – acyklické, monocyklické a bicyklické. Atomy monocyklických monoterpenoidů jsou vzájemně uzavřeny do jednoho cyklu a obsahují různé funkční skupiny. Mezi významné zástupce monocyklických monoterpenoidů můžeme zařadit např. </w:t>
      </w:r>
      <w:proofErr w:type="spellStart"/>
      <w:r>
        <w:t>menthol</w:t>
      </w:r>
      <w:proofErr w:type="spellEnd"/>
      <w:r>
        <w:t>, který se v</w:t>
      </w:r>
      <w:r w:rsidR="00D2556B">
        <w:t xml:space="preserve"> </w:t>
      </w:r>
      <w:r>
        <w:t xml:space="preserve">přírodě vyskytuje ve dvou </w:t>
      </w:r>
      <w:proofErr w:type="spellStart"/>
      <w:r>
        <w:t>izoformách</w:t>
      </w:r>
      <w:proofErr w:type="spellEnd"/>
      <w:r>
        <w:t>, (</w:t>
      </w:r>
      <w:proofErr w:type="gramStart"/>
      <w:r>
        <w:t>+)-</w:t>
      </w:r>
      <w:proofErr w:type="spellStart"/>
      <w:proofErr w:type="gramEnd"/>
      <w:r>
        <w:t>menthol</w:t>
      </w:r>
      <w:proofErr w:type="spellEnd"/>
      <w:r>
        <w:t xml:space="preserve"> a (-)-</w:t>
      </w:r>
      <w:proofErr w:type="spellStart"/>
      <w:r>
        <w:t>menthol</w:t>
      </w:r>
      <w:proofErr w:type="spellEnd"/>
      <w:r>
        <w:t>. Patří mezi sekundární metabolity máty peprné (</w:t>
      </w:r>
      <w:proofErr w:type="spellStart"/>
      <w:r>
        <w:rPr>
          <w:i/>
          <w:iCs/>
        </w:rPr>
        <w:t>Mentha</w:t>
      </w:r>
      <w:proofErr w:type="spellEnd"/>
      <w:r>
        <w:rPr>
          <w:i/>
          <w:iCs/>
        </w:rPr>
        <w:t xml:space="preserve"> </w:t>
      </w:r>
      <w:proofErr w:type="spellStart"/>
      <w:r>
        <w:rPr>
          <w:i/>
          <w:iCs/>
        </w:rPr>
        <w:t>piperita</w:t>
      </w:r>
      <w:proofErr w:type="spellEnd"/>
      <w:r>
        <w:t xml:space="preserve">) </w:t>
      </w:r>
      <w:r>
        <w:fldChar w:fldCharType="begin"/>
      </w:r>
      <w:r w:rsidR="00C41CE8">
        <w:instrText xml:space="preserve"> ADDIN ZOTERO_ITEM CSL_CITATION {"citationID":"n3V9ErOX","properties":{"formattedCitation":"(Souza {\\i{}et al.}, 2022)","plainCitation":"(Souza et al., 2022)","noteIndex":0},"citationItems":[{"id":83,"uris":["http://zotero.org/users/local/UB9PtTOS/items/LWDWP6QI"],"itemData":{"id":83,"type":"article-journal","container-title":"Anais da Academia Brasileira de Ciências","DOI":"10.1590/0001-3765202220200427","ISSN":"1678-2690, 0001-3765","issue":"suppl 4","journalAbbreviation":"An. Acad. Bras. Ciênc.","license":"http://creativecommons.org/licenses/by/4.0/","page":"e20200427","source":"DOI.org (Crossref)","title":"Toxicity of Essential Oil of Mentha piperita (Lamiaceae) and its Monoterpenoid Menthol Against Tetranychus urticae Kogan 1836 (Acari: Tetranychidae)","title-short":"Toxicity of Essential Oil of Mentha piperita (Lamiaceae) and its Monoterpenoid Menthol Against Tetranychus urticae Kogan 1836 (Acari","volume":"94","author":[{"family":"Souza","given":"Lauana P. De"},{"family":"Zuim","given":"Vitor"},{"family":"Stinguel","given":"Priscila"},{"family":"Pinheiro","given":"Patrícia F."},{"family":"Zago","given":"Hugo B."}],"issued":{"date-parts":[["2022"]]}}}],"schema":"https://github.com/citation-style-language/schema/raw/master/csl-citation.json"} </w:instrText>
      </w:r>
      <w:r>
        <w:fldChar w:fldCharType="separate"/>
      </w:r>
      <w:r w:rsidR="00C41CE8" w:rsidRPr="00C41CE8">
        <w:rPr>
          <w:kern w:val="0"/>
        </w:rPr>
        <w:t xml:space="preserve">(Souza </w:t>
      </w:r>
      <w:r w:rsidR="00C41CE8" w:rsidRPr="00C41CE8">
        <w:rPr>
          <w:i/>
          <w:iCs/>
          <w:kern w:val="0"/>
        </w:rPr>
        <w:t>et al.</w:t>
      </w:r>
      <w:r w:rsidR="00C41CE8" w:rsidRPr="00C41CE8">
        <w:rPr>
          <w:kern w:val="0"/>
        </w:rPr>
        <w:t>, 2022)</w:t>
      </w:r>
      <w:r>
        <w:fldChar w:fldCharType="end"/>
      </w:r>
      <w:r>
        <w:t>. Dalšími významnými látkami spadajícími do skupiny monocyklických monoterpenoidů jsou např. S-</w:t>
      </w:r>
      <w:proofErr w:type="spellStart"/>
      <w:r>
        <w:t>karvon</w:t>
      </w:r>
      <w:proofErr w:type="spellEnd"/>
      <w:r>
        <w:t xml:space="preserve"> a R-</w:t>
      </w:r>
      <w:proofErr w:type="spellStart"/>
      <w:r>
        <w:t>karvon</w:t>
      </w:r>
      <w:proofErr w:type="spellEnd"/>
      <w:r>
        <w:t>. S-</w:t>
      </w:r>
      <w:proofErr w:type="spellStart"/>
      <w:r>
        <w:t>karvon</w:t>
      </w:r>
      <w:proofErr w:type="spellEnd"/>
      <w:r>
        <w:t xml:space="preserve"> lze najít v kmínu kořenném (</w:t>
      </w:r>
      <w:proofErr w:type="spellStart"/>
      <w:r>
        <w:rPr>
          <w:i/>
          <w:iCs/>
        </w:rPr>
        <w:t>Carum</w:t>
      </w:r>
      <w:proofErr w:type="spellEnd"/>
      <w:r>
        <w:rPr>
          <w:i/>
          <w:iCs/>
        </w:rPr>
        <w:t xml:space="preserve"> </w:t>
      </w:r>
      <w:proofErr w:type="spellStart"/>
      <w:r>
        <w:rPr>
          <w:i/>
          <w:iCs/>
        </w:rPr>
        <w:t>carvi</w:t>
      </w:r>
      <w:proofErr w:type="spellEnd"/>
      <w:r>
        <w:t>) či kopru vonném (</w:t>
      </w:r>
      <w:proofErr w:type="spellStart"/>
      <w:r>
        <w:rPr>
          <w:i/>
          <w:iCs/>
        </w:rPr>
        <w:t>Anethum</w:t>
      </w:r>
      <w:proofErr w:type="spellEnd"/>
      <w:r>
        <w:rPr>
          <w:i/>
          <w:iCs/>
        </w:rPr>
        <w:t xml:space="preserve"> </w:t>
      </w:r>
      <w:proofErr w:type="spellStart"/>
      <w:r>
        <w:rPr>
          <w:i/>
          <w:iCs/>
        </w:rPr>
        <w:t>graveolens</w:t>
      </w:r>
      <w:proofErr w:type="spellEnd"/>
      <w:r>
        <w:t>), jeho izomer R-</w:t>
      </w:r>
      <w:proofErr w:type="spellStart"/>
      <w:r>
        <w:t>karvon</w:t>
      </w:r>
      <w:proofErr w:type="spellEnd"/>
      <w:r w:rsidR="008F5D39">
        <w:br/>
      </w:r>
      <w:r>
        <w:t>má svůj přirozený výskyt v mátě klasnaté (</w:t>
      </w:r>
      <w:proofErr w:type="spellStart"/>
      <w:r>
        <w:rPr>
          <w:i/>
          <w:iCs/>
        </w:rPr>
        <w:t>Mentha</w:t>
      </w:r>
      <w:proofErr w:type="spellEnd"/>
      <w:r>
        <w:rPr>
          <w:i/>
          <w:iCs/>
        </w:rPr>
        <w:t xml:space="preserve"> </w:t>
      </w:r>
      <w:proofErr w:type="spellStart"/>
      <w:r>
        <w:rPr>
          <w:i/>
          <w:iCs/>
        </w:rPr>
        <w:t>spicata</w:t>
      </w:r>
      <w:proofErr w:type="spellEnd"/>
      <w:r>
        <w:t xml:space="preserve">) </w:t>
      </w:r>
      <w:r>
        <w:fldChar w:fldCharType="begin"/>
      </w:r>
      <w:r w:rsidR="00C41CE8">
        <w:instrText xml:space="preserve"> ADDIN ZOTERO_ITEM CSL_CITATION {"citationID":"5FnDC3zS","properties":{"formattedCitation":"(Nogoceke {\\i{}et al.}, 2016)","plainCitation":"(Nogoceke et al., 2016)","noteIndex":0},"citationItems":[{"id":82,"uris":["http://zotero.org/users/local/UB9PtTOS/items/N3T3MT67"],"itemData":{"id":82,"type":"article-journal","container-title":"Neuroscience Letters","DOI":"10.1016/j.neulet.2016.03.013","ISSN":"03043940","journalAbbreviation":"Neuroscience Letters","language":"en","page":"43-48","source":"DOI.org (Crossref)","title":"Antimanic-like effects of (R)-(−)-carvone and (S)-(+)-carvone in mice","volume":"619","author":[{"family":"Nogoceke","given":"Francianne P."},{"family":"Barcaro","given":"Inara M.R."},{"family":"De Sousa","given":"Damião P."},{"family":"Andreatini","given":"Roberto"}],"issued":{"date-parts":[["2016",4]]}}}],"schema":"https://github.com/citation-style-language/schema/raw/master/csl-citation.json"} </w:instrText>
      </w:r>
      <w:r>
        <w:fldChar w:fldCharType="separate"/>
      </w:r>
      <w:r w:rsidR="00C41CE8" w:rsidRPr="00C41CE8">
        <w:rPr>
          <w:kern w:val="0"/>
        </w:rPr>
        <w:t xml:space="preserve">(Nogoceke </w:t>
      </w:r>
      <w:r w:rsidR="00C41CE8" w:rsidRPr="00C41CE8">
        <w:rPr>
          <w:i/>
          <w:iCs/>
          <w:kern w:val="0"/>
        </w:rPr>
        <w:t>et al.</w:t>
      </w:r>
      <w:r w:rsidR="00C41CE8" w:rsidRPr="00C41CE8">
        <w:rPr>
          <w:kern w:val="0"/>
        </w:rPr>
        <w:t>, 2016)</w:t>
      </w:r>
      <w:r>
        <w:fldChar w:fldCharType="end"/>
      </w:r>
      <w:r>
        <w:t>.</w:t>
      </w:r>
    </w:p>
    <w:p w14:paraId="1AA0BCB5" w14:textId="25B3E310" w:rsidR="005F11E3" w:rsidRDefault="005F11E3" w:rsidP="00151B2C">
      <w:r>
        <w:br w:type="page"/>
      </w:r>
    </w:p>
    <w:p w14:paraId="0E342A85" w14:textId="1F40CB75" w:rsidR="00E116C5" w:rsidRPr="00F4395E" w:rsidRDefault="00E116C5" w:rsidP="00E116C5">
      <w:pPr>
        <w:pStyle w:val="Nadpis3"/>
      </w:pPr>
      <w:bookmarkStart w:id="18" w:name="_Toc165492887"/>
      <w:r w:rsidRPr="00F4395E">
        <w:lastRenderedPageBreak/>
        <w:t>3.4.</w:t>
      </w:r>
      <w:r w:rsidR="00897FAC" w:rsidRPr="00F4395E">
        <w:t>1</w:t>
      </w:r>
      <w:r w:rsidRPr="00F4395E">
        <w:tab/>
        <w:t xml:space="preserve">Vliv esenciálních olejů </w:t>
      </w:r>
      <w:r w:rsidR="00DB2817">
        <w:t xml:space="preserve">a monoterpenoidů </w:t>
      </w:r>
      <w:r w:rsidRPr="00F4395E">
        <w:t>na jaderné a steroidní receptory</w:t>
      </w:r>
      <w:bookmarkEnd w:id="18"/>
    </w:p>
    <w:p w14:paraId="55CF3EF6" w14:textId="22A3CD51" w:rsidR="0004574D" w:rsidRDefault="00E116C5" w:rsidP="00E116C5">
      <w:r w:rsidRPr="00F4395E">
        <w:tab/>
        <w:t>V minulosti již proběhlo několik experimentů vlivu esenciálních olejů vybraných druhů koření na transkripční aktivitu aryl uhlovodíkového (</w:t>
      </w:r>
      <w:proofErr w:type="spellStart"/>
      <w:r w:rsidRPr="00F4395E">
        <w:t>AhR</w:t>
      </w:r>
      <w:proofErr w:type="spellEnd"/>
      <w:r w:rsidRPr="00F4395E">
        <w:t>)</w:t>
      </w:r>
      <w:r w:rsidR="005F257C">
        <w:t xml:space="preserve"> </w:t>
      </w:r>
      <w:r w:rsidR="005F257C">
        <w:fldChar w:fldCharType="begin"/>
      </w:r>
      <w:r w:rsidR="00385458">
        <w:instrText xml:space="preserve"> ADDIN ZOTERO_ITEM CSL_CITATION {"citationID":"hh0u5MTj","properties":{"formattedCitation":"(Barto\\uc0\\u328{}kov\\uc0\\u225{} and Dvo\\uc0\\u345{}\\uc0\\u225{}k, 2018b)","plainCitation":"(Bartoňková and Dvořák, 2018b)","dontUpdate":true,"noteIndex":0},"citationItems":[{"id":27,"uris":["http://zotero.org/users/local/UB9PtTOS/items/I6MZZDH8"],"itemData":{"id":27,"type":"article-journal","container-title":"Food and Chemical Toxicology","DOI":"10.1016/j.fct.2017.11.049","ISSN":"02786915","journalAbbreviation":"Food and Chemical Toxicology","language":"en","page":"374-384","source":"DOI.org (Crossref)","title":"Essential oils of culinary herbs and spices display agonist and antagonist activities at human aryl hydrocarbon receptor AhR","volume":"111","author":[{"family":"Bartoňková","given":"Iveta"},{"family":"Dvořák","given":"Zdeněk"}],"issued":{"date-parts":[["2018",1]]}}}],"schema":"https://github.com/citation-style-language/schema/raw/master/csl-citation.json"} </w:instrText>
      </w:r>
      <w:r w:rsidR="005F257C">
        <w:fldChar w:fldCharType="separate"/>
      </w:r>
      <w:r w:rsidR="005F257C" w:rsidRPr="005F257C">
        <w:rPr>
          <w:kern w:val="0"/>
        </w:rPr>
        <w:t xml:space="preserve">(Bartoňková </w:t>
      </w:r>
      <w:r w:rsidR="00F245D3">
        <w:rPr>
          <w:i/>
          <w:iCs/>
          <w:kern w:val="0"/>
        </w:rPr>
        <w:t>et</w:t>
      </w:r>
      <w:r w:rsidR="005F257C" w:rsidRPr="005F257C">
        <w:rPr>
          <w:kern w:val="0"/>
        </w:rPr>
        <w:t xml:space="preserve"> Dvořák, 2018b)</w:t>
      </w:r>
      <w:r w:rsidR="005F257C">
        <w:fldChar w:fldCharType="end"/>
      </w:r>
      <w:r w:rsidRPr="00F4395E">
        <w:t>, glukokortikoidního (GR), androgenního (AR)</w:t>
      </w:r>
      <w:r w:rsidR="00552895">
        <w:t>,</w:t>
      </w:r>
      <w:r w:rsidRPr="00F4395E">
        <w:t xml:space="preserve"> vitamin D receptoru</w:t>
      </w:r>
      <w:r w:rsidR="00C9553D">
        <w:t xml:space="preserve"> (VDR)</w:t>
      </w:r>
      <w:r w:rsidRPr="00F4395E">
        <w:t xml:space="preserve"> </w:t>
      </w:r>
      <w:r w:rsidRPr="00F4395E">
        <w:fldChar w:fldCharType="begin"/>
      </w:r>
      <w:r w:rsidR="004E03A8">
        <w:instrText xml:space="preserve"> ADDIN ZOTERO_ITEM CSL_CITATION {"citationID":"t7xp9WUX","properties":{"formattedCitation":"(Barto\\uc0\\u328{}kov\\uc0\\u225{} and Dvo\\uc0\\u345{}\\uc0\\u225{}k, 2018a)","plainCitation":"(Bartoňková and Dvořák, 2018a)","dontUpdate":true,"noteIndex":0},"citationItems":[{"id":33,"uris":["http://zotero.org/users/local/UB9PtTOS/items/HIK7EYYI"],"itemData":{"id":33,"type":"article-journal","abstract":"Essential oils of culinary herbs and species influence transcriptional activities of nuclear receptor VDR and steroid hormones receptors AR and GR.\n          , \n            Essential oils (EOs) of culinary herbs and spices are consumed on a daily basis. They are multicomponent mixtures of compounds with already demonstrated biological activities. Taking into account regular dietary intake and the chemical composition of EOs, they may be considered as candidates for endocrine-disrupting entities. Therefore, we examined the effects of 31 EOs of culinary herbs and spices on transcriptional activities of glucocorticoid receptor (GR), androgen receptor (AR) and vitamin D receptor (VDR). Using reporter gene assays in stably transfected cell lines, weak anti-androgen and anti-glucocorticoid activity was observed for EO of vanilla and nutmeg, respectively. Moderate augmentation of calcitriol-dependent VDR activity was caused by EOs of ginger, thyme, coriander and lemongrass. Mixed anti-glucocorticoid and VDR-stimulatory activities were displayed by EOs of turmeric, oregano, dill, caraway, verveine and spearmint. The remaining 19 EOs were inactive against all receptors under investigation. Analyses of GR, AR and VDR target genes by means of RT-PCR confirmed the VDR-stimulatory effects, but could not confirm the anti-glucocorticoid and anti-androgen effects of EOs. In conclusion, although we observed minor effects of several EOs on transcriptional activities of GR, AR and VDR, the toxicological significance of these effects is very low. Hence, 31 EOs of culinary herbs and spices may be considered safe, in terms of endocrine disruption involving receptors GR, AR and VDR.","container-title":"Food &amp; Function","DOI":"10.1039/C7FO02058A","ISSN":"2042-6496, 2042-650X","issue":"4","journalAbbreviation":"Food Funct.","language":"en","page":"2136-2144","source":"DOI.org (Crossref)","title":"Assessment of endocrine disruption potential of essential oils of culinary herbs and spices involving glucocorticoid, androgen and vitamin D receptors","volume":"9","author":[{"family":"Bartoňková","given":"Iveta"},{"family":"Dvořák","given":"Zdeněk"}],"issued":{"date-parts":[["2018"]]}}}],"schema":"https://github.com/citation-style-language/schema/raw/master/csl-citation.json"} </w:instrText>
      </w:r>
      <w:r w:rsidRPr="00F4395E">
        <w:fldChar w:fldCharType="separate"/>
      </w:r>
      <w:r w:rsidR="00C41CE8" w:rsidRPr="00F4395E">
        <w:rPr>
          <w:kern w:val="0"/>
        </w:rPr>
        <w:t xml:space="preserve">(Bartoňková </w:t>
      </w:r>
      <w:r w:rsidR="00A76BFA" w:rsidRPr="00F4395E">
        <w:rPr>
          <w:i/>
          <w:iCs/>
          <w:kern w:val="0"/>
        </w:rPr>
        <w:t>et</w:t>
      </w:r>
      <w:r w:rsidR="00C41CE8" w:rsidRPr="00F4395E">
        <w:rPr>
          <w:kern w:val="0"/>
        </w:rPr>
        <w:t xml:space="preserve"> Dvořák, 2018a)</w:t>
      </w:r>
      <w:r w:rsidRPr="00F4395E">
        <w:fldChar w:fldCharType="end"/>
      </w:r>
      <w:r w:rsidR="00552895">
        <w:t xml:space="preserve"> a také PXR </w:t>
      </w:r>
      <w:r w:rsidR="00CD1470">
        <w:fldChar w:fldCharType="begin"/>
      </w:r>
      <w:r w:rsidR="00385458">
        <w:instrText xml:space="preserve"> ADDIN ZOTERO_ITEM CSL_CITATION {"citationID":"saWiohoS","properties":{"formattedCitation":"(Bartonkova and Dvorak, 2018)","plainCitation":"(Bartonkova and Dvorak, 2018)","dontUpdate":true,"noteIndex":0},"citationItems":[{"id":206,"uris":["http://zotero.org/users/local/UB9PtTOS/items/AW2IFSS9"],"itemData":{"id":206,"type":"article-journal","container-title":"Toxicology Letters","DOI":"10.1016/j.toxlet.2018.07.023","ISSN":"03784274","journalAbbreviation":"Toxicology Letters","language":"en","page":"1-9","source":"DOI.org (Crossref)","title":"Essential oils of culinary herbs and spices activate PXR and induce CYP3A4 in human intestinal and hepatic in vitro models","volume":"296","author":[{"family":"Bartonkova","given":"Iveta"},{"family":"Dvorak","given":"Zdeněk"}],"issued":{"date-parts":[["2018",10]]}}}],"schema":"https://github.com/citation-style-language/schema/raw/master/csl-citation.json"} </w:instrText>
      </w:r>
      <w:r w:rsidR="00CD1470">
        <w:fldChar w:fldCharType="separate"/>
      </w:r>
      <w:r w:rsidR="00CD1470" w:rsidRPr="00CD1470">
        <w:t xml:space="preserve">(Bartonkova </w:t>
      </w:r>
      <w:r w:rsidR="00CD1470">
        <w:rPr>
          <w:i/>
          <w:iCs/>
        </w:rPr>
        <w:t>et</w:t>
      </w:r>
      <w:r w:rsidR="00CD1470" w:rsidRPr="00CD1470">
        <w:t xml:space="preserve"> Dvorak, 2018</w:t>
      </w:r>
      <w:r w:rsidR="003A554D">
        <w:t>c</w:t>
      </w:r>
      <w:r w:rsidR="00CD1470" w:rsidRPr="00CD1470">
        <w:t>)</w:t>
      </w:r>
      <w:r w:rsidR="00CD1470">
        <w:fldChar w:fldCharType="end"/>
      </w:r>
      <w:r w:rsidR="00552895">
        <w:t>.</w:t>
      </w:r>
    </w:p>
    <w:p w14:paraId="6056DCDE" w14:textId="01D1C7AB" w:rsidR="00174102" w:rsidRDefault="00174102" w:rsidP="00E116C5">
      <w:r>
        <w:tab/>
      </w:r>
      <w:r w:rsidRPr="00F4395E">
        <w:t xml:space="preserve">Při testování </w:t>
      </w:r>
      <w:r w:rsidR="00051EAB">
        <w:t xml:space="preserve">vlivu látek na </w:t>
      </w:r>
      <w:proofErr w:type="spellStart"/>
      <w:r w:rsidR="001616FD">
        <w:t>AhR</w:t>
      </w:r>
      <w:proofErr w:type="spellEnd"/>
      <w:r w:rsidRPr="00F4395E">
        <w:t xml:space="preserve">, jehož hlavním cílovým genem je CYP1A1, byly pozorovány látky jak indukující, tak inhibující transkripční aktivitu </w:t>
      </w:r>
      <w:proofErr w:type="spellStart"/>
      <w:r w:rsidRPr="00F4395E">
        <w:t>AhR</w:t>
      </w:r>
      <w:proofErr w:type="spellEnd"/>
      <w:r w:rsidR="00854EC4">
        <w:t>.</w:t>
      </w:r>
      <w:r w:rsidRPr="00F4395E">
        <w:t xml:space="preserve"> </w:t>
      </w:r>
      <w:r w:rsidR="00A65B17">
        <w:t xml:space="preserve">V rámci testování </w:t>
      </w:r>
      <w:r w:rsidR="006746AE">
        <w:t xml:space="preserve">vlivu esenciálních olejů </w:t>
      </w:r>
      <w:r w:rsidR="00DD1CA3">
        <w:t>byl</w:t>
      </w:r>
      <w:r w:rsidR="00BA6B0B">
        <w:t>a pozorována inhibice</w:t>
      </w:r>
      <w:r w:rsidR="00EE1633">
        <w:t xml:space="preserve"> transkripční aktivity </w:t>
      </w:r>
      <w:proofErr w:type="spellStart"/>
      <w:r w:rsidR="00EE1633">
        <w:t>AhR</w:t>
      </w:r>
      <w:proofErr w:type="spellEnd"/>
      <w:r w:rsidR="00BA6B0B">
        <w:t xml:space="preserve"> esenciálním olejem z</w:t>
      </w:r>
      <w:r w:rsidR="006D09D4">
        <w:t xml:space="preserve"> </w:t>
      </w:r>
      <w:r w:rsidR="00BA6B0B">
        <w:t>kmínu (</w:t>
      </w:r>
      <w:proofErr w:type="spellStart"/>
      <w:r w:rsidR="00BA6B0B">
        <w:rPr>
          <w:i/>
          <w:iCs/>
        </w:rPr>
        <w:t>Carum</w:t>
      </w:r>
      <w:proofErr w:type="spellEnd"/>
      <w:r w:rsidR="00BA6B0B">
        <w:rPr>
          <w:i/>
          <w:iCs/>
        </w:rPr>
        <w:t xml:space="preserve"> </w:t>
      </w:r>
      <w:proofErr w:type="spellStart"/>
      <w:r w:rsidR="00BA6B0B" w:rsidRPr="00F3704F">
        <w:rPr>
          <w:i/>
          <w:iCs/>
        </w:rPr>
        <w:t>carvi</w:t>
      </w:r>
      <w:proofErr w:type="spellEnd"/>
      <w:r w:rsidR="00BA6B0B">
        <w:t xml:space="preserve">) a </w:t>
      </w:r>
      <w:proofErr w:type="spellStart"/>
      <w:r w:rsidR="00B87C1F">
        <w:t>spearmintu</w:t>
      </w:r>
      <w:proofErr w:type="spellEnd"/>
      <w:r w:rsidR="00B87C1F">
        <w:t xml:space="preserve"> (</w:t>
      </w:r>
      <w:proofErr w:type="spellStart"/>
      <w:r w:rsidR="00B87C1F">
        <w:rPr>
          <w:i/>
          <w:iCs/>
        </w:rPr>
        <w:t>Mentha</w:t>
      </w:r>
      <w:proofErr w:type="spellEnd"/>
      <w:r w:rsidR="00B87C1F">
        <w:rPr>
          <w:i/>
          <w:iCs/>
        </w:rPr>
        <w:t xml:space="preserve"> </w:t>
      </w:r>
      <w:proofErr w:type="spellStart"/>
      <w:r w:rsidR="00B87C1F" w:rsidRPr="00B87C1F">
        <w:rPr>
          <w:i/>
          <w:iCs/>
        </w:rPr>
        <w:t>spicata</w:t>
      </w:r>
      <w:proofErr w:type="spellEnd"/>
      <w:r w:rsidR="00B87C1F">
        <w:t>)</w:t>
      </w:r>
      <w:r w:rsidR="007875E6">
        <w:t xml:space="preserve">, jejichž hlavními složkami jsou monocyklické monoterpenoidy </w:t>
      </w:r>
      <w:r w:rsidR="00150F01">
        <w:t>S-</w:t>
      </w:r>
      <w:proofErr w:type="spellStart"/>
      <w:r w:rsidR="00150F01">
        <w:t>karvon</w:t>
      </w:r>
      <w:proofErr w:type="spellEnd"/>
      <w:r w:rsidR="00150F01">
        <w:t xml:space="preserve"> a R-</w:t>
      </w:r>
      <w:proofErr w:type="spellStart"/>
      <w:r w:rsidR="00150F01">
        <w:t>karvon</w:t>
      </w:r>
      <w:proofErr w:type="spellEnd"/>
      <w:r w:rsidR="007A3694">
        <w:t xml:space="preserve"> </w:t>
      </w:r>
      <w:r w:rsidR="00854EC4">
        <w:fldChar w:fldCharType="begin"/>
      </w:r>
      <w:r w:rsidR="00385458">
        <w:instrText xml:space="preserve"> ADDIN ZOTERO_ITEM CSL_CITATION {"citationID":"gmnTh606","properties":{"formattedCitation":"(Barto\\uc0\\u328{}kov\\uc0\\u225{} and Dvo\\uc0\\u345{}\\uc0\\u225{}k, 2018b)","plainCitation":"(Bartoňková and Dvořák, 2018b)","dontUpdate":true,"noteIndex":0},"citationItems":[{"id":27,"uris":["http://zotero.org/users/local/UB9PtTOS/items/I6MZZDH8"],"itemData":{"id":27,"type":"article-journal","container-title":"Food and Chemical Toxicology","DOI":"10.1016/j.fct.2017.11.049","ISSN":"02786915","journalAbbreviation":"Food and Chemical Toxicology","language":"en","page":"374-384","source":"DOI.org (Crossref)","title":"Essential oils of culinary herbs and spices display agonist and antagonist activities at human aryl hydrocarbon receptor AhR","volume":"111","author":[{"family":"Bartoňková","given":"Iveta"},{"family":"Dvořák","given":"Zdeněk"}],"issued":{"date-parts":[["2018",1]]}}}],"schema":"https://github.com/citation-style-language/schema/raw/master/csl-citation.json"} </w:instrText>
      </w:r>
      <w:r w:rsidR="00854EC4">
        <w:fldChar w:fldCharType="separate"/>
      </w:r>
      <w:r w:rsidR="00854EC4" w:rsidRPr="00854EC4">
        <w:rPr>
          <w:kern w:val="0"/>
        </w:rPr>
        <w:t xml:space="preserve">(Bartoňková </w:t>
      </w:r>
      <w:r w:rsidR="00854EC4">
        <w:rPr>
          <w:i/>
          <w:iCs/>
          <w:kern w:val="0"/>
        </w:rPr>
        <w:t>et</w:t>
      </w:r>
      <w:r w:rsidR="00854EC4" w:rsidRPr="00854EC4">
        <w:rPr>
          <w:kern w:val="0"/>
        </w:rPr>
        <w:t xml:space="preserve"> Dvořák, 2018b)</w:t>
      </w:r>
      <w:r w:rsidR="00854EC4">
        <w:fldChar w:fldCharType="end"/>
      </w:r>
      <w:r w:rsidR="00B87C1F">
        <w:t xml:space="preserve">. </w:t>
      </w:r>
      <w:r w:rsidR="0020799A">
        <w:t xml:space="preserve">Vliv těchto </w:t>
      </w:r>
      <w:r w:rsidR="00834862">
        <w:t xml:space="preserve">dvou látek byl </w:t>
      </w:r>
      <w:r w:rsidR="00130E30">
        <w:t xml:space="preserve">také </w:t>
      </w:r>
      <w:r w:rsidR="00834862">
        <w:t xml:space="preserve">přímo testován </w:t>
      </w:r>
      <w:r w:rsidR="00130E30">
        <w:t xml:space="preserve">na transkripční aktivitu </w:t>
      </w:r>
      <w:proofErr w:type="spellStart"/>
      <w:r w:rsidR="00130E30">
        <w:t>AhR</w:t>
      </w:r>
      <w:proofErr w:type="spellEnd"/>
      <w:r w:rsidR="002F3EC2">
        <w:t xml:space="preserve"> a bylo zjištěno,</w:t>
      </w:r>
      <w:r w:rsidR="007A7E0E">
        <w:br/>
      </w:r>
      <w:r w:rsidR="002F3EC2">
        <w:t>že S-</w:t>
      </w:r>
      <w:proofErr w:type="spellStart"/>
      <w:r w:rsidR="002F3EC2">
        <w:t>karvon</w:t>
      </w:r>
      <w:proofErr w:type="spellEnd"/>
      <w:r w:rsidR="002F3EC2">
        <w:t xml:space="preserve"> a R-</w:t>
      </w:r>
      <w:proofErr w:type="spellStart"/>
      <w:r w:rsidR="002F3EC2">
        <w:t>karvon</w:t>
      </w:r>
      <w:proofErr w:type="spellEnd"/>
      <w:r w:rsidRPr="00F4395E">
        <w:t xml:space="preserve"> </w:t>
      </w:r>
      <w:r w:rsidR="003F6F1C">
        <w:t>mají</w:t>
      </w:r>
      <w:r w:rsidRPr="00F4395E">
        <w:t xml:space="preserve"> antagonistický</w:t>
      </w:r>
      <w:r w:rsidR="003F6F1C">
        <w:t xml:space="preserve"> účinek</w:t>
      </w:r>
      <w:r w:rsidRPr="00F4395E">
        <w:t>.</w:t>
      </w:r>
      <w:r w:rsidR="00033219">
        <w:t xml:space="preserve"> </w:t>
      </w:r>
      <w:r w:rsidRPr="00F4395E">
        <w:t xml:space="preserve">Bylo prokázáno, že oba izomery </w:t>
      </w:r>
      <w:proofErr w:type="spellStart"/>
      <w:r w:rsidRPr="00F4395E">
        <w:t>karvonu</w:t>
      </w:r>
      <w:proofErr w:type="spellEnd"/>
      <w:r w:rsidRPr="00F4395E">
        <w:t xml:space="preserve"> inhibují samotnou vazbu </w:t>
      </w:r>
      <w:proofErr w:type="spellStart"/>
      <w:r w:rsidRPr="00F4395E">
        <w:t>AhR</w:t>
      </w:r>
      <w:proofErr w:type="spellEnd"/>
      <w:r w:rsidRPr="00F4395E">
        <w:t xml:space="preserve"> s</w:t>
      </w:r>
      <w:r w:rsidR="001F139F">
        <w:t> </w:t>
      </w:r>
      <w:r w:rsidRPr="00F4395E">
        <w:t>ARNT</w:t>
      </w:r>
      <w:r w:rsidR="001F139F">
        <w:t xml:space="preserve"> (</w:t>
      </w:r>
      <w:r w:rsidR="00D14423">
        <w:t xml:space="preserve">jaderný </w:t>
      </w:r>
      <w:proofErr w:type="spellStart"/>
      <w:r w:rsidR="00D14423">
        <w:t>translokátor</w:t>
      </w:r>
      <w:proofErr w:type="spellEnd"/>
      <w:r w:rsidR="00D14423">
        <w:t xml:space="preserve"> aryl uhlovodíkového receptoru)</w:t>
      </w:r>
      <w:r w:rsidRPr="00F4395E">
        <w:t>,</w:t>
      </w:r>
      <w:r w:rsidR="00D14423">
        <w:br/>
      </w:r>
      <w:r w:rsidR="00260B1A">
        <w:t>a tím tvorbu</w:t>
      </w:r>
      <w:r w:rsidRPr="00F4395E">
        <w:t xml:space="preserve"> </w:t>
      </w:r>
      <w:proofErr w:type="spellStart"/>
      <w:r w:rsidRPr="00F4395E">
        <w:t>heterodimer</w:t>
      </w:r>
      <w:r w:rsidR="00260B1A">
        <w:t>u</w:t>
      </w:r>
      <w:proofErr w:type="spellEnd"/>
      <w:r w:rsidRPr="00F4395E">
        <w:t>. Při zablokování této vazby je nemožné se navázat na promot</w:t>
      </w:r>
      <w:r w:rsidR="007F7112">
        <w:t>o</w:t>
      </w:r>
      <w:r w:rsidRPr="00F4395E">
        <w:t xml:space="preserve">r CYP1A1 genu, což má za následek </w:t>
      </w:r>
      <w:proofErr w:type="spellStart"/>
      <w:r w:rsidRPr="00F4395E">
        <w:t>supresi</w:t>
      </w:r>
      <w:proofErr w:type="spellEnd"/>
      <w:r w:rsidRPr="00F4395E">
        <w:t xml:space="preserve"> exprese tohoto genu </w:t>
      </w:r>
      <w:r w:rsidRPr="00F4395E">
        <w:fldChar w:fldCharType="begin"/>
      </w:r>
      <w:r w:rsidRPr="00F4395E">
        <w:instrText xml:space="preserve"> ADDIN ZOTERO_ITEM CSL_CITATION {"citationID":"ytMI2xws","properties":{"formattedCitation":"(Ondrov\\uc0\\u225{} {\\i{}et al.}, 2023)","plainCitation":"(Ondrová et al., 2023)","noteIndex":0},"citationItems":[{"id":34,"uris":["http://zotero.org/users/local/UB9PtTOS/items/NEF9MJSJ"],"itemData":{"id":34,"type":"article-journal","abstract":"Abstract\n            \n              The human aryl hydrocarbon receptor (AhR) is a ligand-activated transcription factor that is a pivotal regulator of human physiology and pathophysiology. Allosteric inhibition of AhR was previously thought to be untenable. Here, we identify carvones as noncompetitive, insurmountable antagonists of AhR and characterize the structural and functional consequences of their binding. Carvones do not displace radiolabeled ligands from binding to AhR but instead bind allosterically within the bHLH/PAS-A region of AhR. Carvones do not influence the translocation of ligand-activated AhR into the nucleus but inhibit the heterodimerization of AhR with its canonical partner ARNT and subsequent binding of AhR to the promoter of\n              CYP1A1\n              . As a proof of concept, we demonstrate physiologically relevant Ahr-antagonism by carvones in vivo in female mice. These substances establish the molecular basis for selective targeting of AhR regardless of the type of ligand(s) present and provide opportunities for the treatment of disease processes modified by AhR.","container-title":"Nature Communications","DOI":"10.1038/s41467-023-38478-6","ISSN":"2041-1723","issue":"1","journalAbbreviation":"Nat Commun","language":"en","page":"2728","source":"DOI.org (Crossref)","title":"Monoterpenoid aryl hydrocarbon receptor allosteric antagonists protect against ultraviolet skin damage in female mice","volume":"14","author":[{"family":"Ondrová","given":"Karolína"},{"family":"Zůvalová","given":"Iveta"},{"family":"Vyhlídalová","given":"Barbora"},{"family":"Krasulová","given":"Kristýna"},{"family":"Miková","given":"Eva"},{"family":"Vrzal","given":"Radim"},{"family":"Nádvorník","given":"Petr"},{"family":"Nepal","given":"Binod"},{"family":"Kortagere","given":"Sandhya"},{"family":"Kopečná","given":"Martina"},{"family":"Kopečný","given":"David"},{"family":"Šebela","given":"Marek"},{"family":"Rastinejad","given":"Fraydoon"},{"family":"Pu","given":"Hua"},{"family":"Soural","given":"Miroslav"},{"family":"Rolfes","given":"Katharina Maria"},{"family":"Haarmann-Stemmann","given":"Thomas"},{"family":"Li","given":"Hao"},{"family":"Mani","given":"Sridhar"},{"family":"Dvořák","given":"Zdeněk"}],"issued":{"date-parts":[["2023",5,11]]}}}],"schema":"https://github.com/citation-style-language/schema/raw/master/csl-citation.json"} </w:instrText>
      </w:r>
      <w:r w:rsidRPr="00F4395E">
        <w:fldChar w:fldCharType="separate"/>
      </w:r>
      <w:r w:rsidRPr="00F4395E">
        <w:rPr>
          <w:kern w:val="0"/>
        </w:rPr>
        <w:t xml:space="preserve">(Ondrová </w:t>
      </w:r>
      <w:r w:rsidRPr="00F4395E">
        <w:rPr>
          <w:i/>
          <w:iCs/>
          <w:kern w:val="0"/>
        </w:rPr>
        <w:t>et al.</w:t>
      </w:r>
      <w:r w:rsidRPr="00F4395E">
        <w:rPr>
          <w:kern w:val="0"/>
        </w:rPr>
        <w:t>, 2023)</w:t>
      </w:r>
      <w:r w:rsidRPr="00F4395E">
        <w:fldChar w:fldCharType="end"/>
      </w:r>
      <w:r w:rsidRPr="00F4395E">
        <w:t>.</w:t>
      </w:r>
    </w:p>
    <w:p w14:paraId="4C02AA04" w14:textId="68E9FB67" w:rsidR="00E116C5" w:rsidRPr="00F4395E" w:rsidRDefault="00623FDF" w:rsidP="0004574D">
      <w:pPr>
        <w:ind w:firstLine="708"/>
      </w:pPr>
      <w:r>
        <w:t>Dalšími</w:t>
      </w:r>
      <w:r w:rsidR="001C7BDE">
        <w:t xml:space="preserve"> </w:t>
      </w:r>
      <w:r w:rsidR="007F61C8">
        <w:t>receptory</w:t>
      </w:r>
      <w:r w:rsidR="001C7BDE">
        <w:t>, na nichž byl testován vliv látek</w:t>
      </w:r>
      <w:r w:rsidR="001D6FC8">
        <w:t>,</w:t>
      </w:r>
      <w:r>
        <w:t xml:space="preserve"> byly </w:t>
      </w:r>
      <w:r w:rsidR="00852FED">
        <w:t xml:space="preserve">AR, </w:t>
      </w:r>
      <w:r>
        <w:t>GR</w:t>
      </w:r>
      <w:r w:rsidR="00852FED">
        <w:t xml:space="preserve"> a VDR. </w:t>
      </w:r>
      <w:r w:rsidR="00123B09">
        <w:t xml:space="preserve">Po působení </w:t>
      </w:r>
      <w:r w:rsidR="00500925">
        <w:t>esenciálních olejů na transkripční aktivitu AR nebyl pozorová</w:t>
      </w:r>
      <w:r w:rsidR="003B3F14">
        <w:t xml:space="preserve">n indukující ani inhibující </w:t>
      </w:r>
      <w:r w:rsidR="00F515B5">
        <w:t>vliv těchto látek.</w:t>
      </w:r>
      <w:r w:rsidR="00A526A4">
        <w:t xml:space="preserve"> </w:t>
      </w:r>
      <w:r w:rsidR="006B0112">
        <w:t>Ve studii, která se zabýv</w:t>
      </w:r>
      <w:r w:rsidR="00E0173C">
        <w:t xml:space="preserve">ala agonistickým a antagonistickým vlivem antimikrobiálních látek </w:t>
      </w:r>
      <w:r w:rsidR="009D3301">
        <w:t>v</w:t>
      </w:r>
      <w:r w:rsidR="00BF7469">
        <w:t> </w:t>
      </w:r>
      <w:r w:rsidR="009D3301">
        <w:t>produktech</w:t>
      </w:r>
      <w:r w:rsidR="00BF7469">
        <w:t xml:space="preserve"> používaných na péči o chrup, </w:t>
      </w:r>
      <w:r w:rsidR="008C4CB4">
        <w:t>byl testován vliv mimo jiné</w:t>
      </w:r>
      <w:r w:rsidR="0073497F">
        <w:t xml:space="preserve"> také</w:t>
      </w:r>
      <w:r>
        <w:t xml:space="preserve"> </w:t>
      </w:r>
      <w:proofErr w:type="spellStart"/>
      <w:r w:rsidR="00B07254">
        <w:t>mentholu</w:t>
      </w:r>
      <w:proofErr w:type="spellEnd"/>
      <w:r w:rsidR="00B07254">
        <w:t xml:space="preserve"> na AR. </w:t>
      </w:r>
      <w:r w:rsidR="00D2770F">
        <w:t>Zde byl</w:t>
      </w:r>
      <w:r w:rsidR="00D44C79">
        <w:t xml:space="preserve">o prokázáno, že </w:t>
      </w:r>
      <w:proofErr w:type="spellStart"/>
      <w:r w:rsidR="00D44C79">
        <w:t>menthol</w:t>
      </w:r>
      <w:proofErr w:type="spellEnd"/>
      <w:r w:rsidR="00D44C79">
        <w:t xml:space="preserve"> je slabým kompetitivním inhibitorem AR</w:t>
      </w:r>
      <w:r w:rsidR="00BB5440">
        <w:t xml:space="preserve"> </w:t>
      </w:r>
      <w:r w:rsidR="00202E88">
        <w:fldChar w:fldCharType="begin"/>
      </w:r>
      <w:r w:rsidR="00202E88">
        <w:instrText xml:space="preserve"> ADDIN ZOTERO_ITEM CSL_CITATION {"citationID":"x29fE1i4","properties":{"formattedCitation":"(Michal\\uc0\\u237{}kov\\uc0\\u225{} {\\i{}et al.}, 2019)","plainCitation":"(Michalíková et al., 2019)","noteIndex":0},"citationItems":[{"id":228,"uris":["http://zotero.org/users/local/UB9PtTOS/items/VHH6SX5F"],"itemData":{"id":228,"type":"article-journal","container-title":"Chemosphere","DOI":"10.1016/j.chemosphere.2018.11.006","ISSN":"00456535","journalAbbreviation":"Chemosphere","language":"en","page":"534-541","source":"DOI.org (Crossref)","title":"Assessment of agonistic and antagonistic properties of widely used oral care antimicrobial substances toward steroid estrogenic and androgenic receptors","volume":"217","author":[{"family":"Michalíková","given":"Klára"},{"family":"Linhartová","given":"Lucie"},{"family":"Ezechiáš","given":"Martin"},{"family":"Cajthaml","given":"Tomáš"}],"issued":{"date-parts":[["2019",2]]}}}],"schema":"https://github.com/citation-style-language/schema/raw/master/csl-citation.json"} </w:instrText>
      </w:r>
      <w:r w:rsidR="00202E88">
        <w:fldChar w:fldCharType="separate"/>
      </w:r>
      <w:r w:rsidR="00202E88" w:rsidRPr="00202E88">
        <w:rPr>
          <w:kern w:val="0"/>
        </w:rPr>
        <w:t xml:space="preserve">(Michalíková </w:t>
      </w:r>
      <w:r w:rsidR="00202E88" w:rsidRPr="00202E88">
        <w:rPr>
          <w:i/>
          <w:iCs/>
          <w:kern w:val="0"/>
        </w:rPr>
        <w:t>et al.</w:t>
      </w:r>
      <w:r w:rsidR="00202E88" w:rsidRPr="00202E88">
        <w:rPr>
          <w:kern w:val="0"/>
        </w:rPr>
        <w:t>, 2019)</w:t>
      </w:r>
      <w:r w:rsidR="00202E88">
        <w:fldChar w:fldCharType="end"/>
      </w:r>
      <w:r w:rsidR="00D44C79">
        <w:t xml:space="preserve">. </w:t>
      </w:r>
      <w:r w:rsidR="00E116C5" w:rsidRPr="00F4395E">
        <w:t>Při studiu vlivu řady esenciálních olejů různých druhů koření na transkripční aktivitu GR byl</w:t>
      </w:r>
      <w:r w:rsidR="00F4395E">
        <w:t xml:space="preserve">a </w:t>
      </w:r>
      <w:r w:rsidR="00E116C5" w:rsidRPr="00F4395E">
        <w:t xml:space="preserve">pozorována výrazná </w:t>
      </w:r>
      <w:proofErr w:type="spellStart"/>
      <w:r w:rsidR="00E116C5" w:rsidRPr="00F4395E">
        <w:t>antiglukokortikoidní</w:t>
      </w:r>
      <w:proofErr w:type="spellEnd"/>
      <w:r w:rsidR="00E116C5" w:rsidRPr="00F4395E">
        <w:t xml:space="preserve"> aktivita, která byla způsobena </w:t>
      </w:r>
      <w:r w:rsidR="007F7112">
        <w:t>několika</w:t>
      </w:r>
      <w:r w:rsidR="00E116C5" w:rsidRPr="00F4395E">
        <w:t xml:space="preserve"> zástupci esenciálních olejů. Jednalo se o látky kmínu, </w:t>
      </w:r>
      <w:proofErr w:type="spellStart"/>
      <w:r w:rsidR="00E116C5" w:rsidRPr="00F4395E">
        <w:t>spearmintu</w:t>
      </w:r>
      <w:proofErr w:type="spellEnd"/>
      <w:r w:rsidR="00E116C5" w:rsidRPr="00F4395E">
        <w:t>, kurkumy</w:t>
      </w:r>
      <w:r w:rsidR="00436388">
        <w:br/>
      </w:r>
      <w:r w:rsidR="00E116C5" w:rsidRPr="00F4395E">
        <w:t>a několika dalších</w:t>
      </w:r>
      <w:r w:rsidR="00F4395E">
        <w:t>. Tato aktivita se projevila jen v reportérových esejích, na úrovni exprese RNA již žádné účinky pozorovány nebyly</w:t>
      </w:r>
      <w:r w:rsidR="00A24801">
        <w:t>.</w:t>
      </w:r>
      <w:r w:rsidR="006A546C">
        <w:t xml:space="preserve"> </w:t>
      </w:r>
      <w:r w:rsidR="00524FA0">
        <w:t xml:space="preserve">Předmětem studie </w:t>
      </w:r>
      <w:proofErr w:type="spellStart"/>
      <w:r w:rsidR="00524FA0">
        <w:t>Ryu</w:t>
      </w:r>
      <w:proofErr w:type="spellEnd"/>
      <w:r w:rsidR="00524FA0">
        <w:t xml:space="preserve"> </w:t>
      </w:r>
      <w:r w:rsidR="00524FA0">
        <w:rPr>
          <w:i/>
          <w:iCs/>
        </w:rPr>
        <w:t xml:space="preserve">et al. </w:t>
      </w:r>
      <w:r w:rsidR="00524FA0">
        <w:t>(2021) byl GR receptor, jehož aktivita byla sledována v rámci testování buněčného senzorového systému pro screening kortizolu. Senzorové buňky byly po aplikaci 5 různých esenciálních olejů pozorovány</w:t>
      </w:r>
      <w:r w:rsidR="00CA508F">
        <w:br/>
      </w:r>
      <w:r w:rsidR="00524FA0">
        <w:t>pod fluorescenčním mikroskopem. Silný signál byl pozorován u senzorových buněk po aplikaci esenciálního oleje máty peprné (</w:t>
      </w:r>
      <w:proofErr w:type="spellStart"/>
      <w:r w:rsidR="00524FA0">
        <w:rPr>
          <w:i/>
          <w:iCs/>
        </w:rPr>
        <w:t>Mentha</w:t>
      </w:r>
      <w:proofErr w:type="spellEnd"/>
      <w:r w:rsidR="00524FA0">
        <w:rPr>
          <w:i/>
          <w:iCs/>
        </w:rPr>
        <w:t xml:space="preserve"> </w:t>
      </w:r>
      <w:proofErr w:type="spellStart"/>
      <w:r w:rsidR="00524FA0">
        <w:rPr>
          <w:i/>
          <w:iCs/>
        </w:rPr>
        <w:t>piperita</w:t>
      </w:r>
      <w:proofErr w:type="spellEnd"/>
      <w:r w:rsidR="00524FA0">
        <w:t>). Následně byl testován vliv jednotlivých složek esenciálního oleje máty peprné na senzorové buňky, aby byly identifikovány ligandy GR. Senzorové buňky reagovaly na látku (</w:t>
      </w:r>
      <w:proofErr w:type="gramStart"/>
      <w:r w:rsidR="00524FA0">
        <w:t>-)-</w:t>
      </w:r>
      <w:proofErr w:type="spellStart"/>
      <w:proofErr w:type="gramEnd"/>
      <w:r w:rsidR="00524FA0">
        <w:t>menthol</w:t>
      </w:r>
      <w:proofErr w:type="spellEnd"/>
      <w:r w:rsidR="00524FA0">
        <w:t>, z čehož lze usoudit, že (-)-</w:t>
      </w:r>
      <w:proofErr w:type="spellStart"/>
      <w:r w:rsidR="00524FA0">
        <w:t>menthol</w:t>
      </w:r>
      <w:proofErr w:type="spellEnd"/>
      <w:r w:rsidR="00524FA0">
        <w:t xml:space="preserve"> se selektivně váže na GR a podílí se na jeho aktivaci.</w:t>
      </w:r>
      <w:r w:rsidR="00A24801">
        <w:t xml:space="preserve"> </w:t>
      </w:r>
      <w:r w:rsidR="008B7EBA">
        <w:t>Při studiu</w:t>
      </w:r>
      <w:r w:rsidR="00901DD2">
        <w:t xml:space="preserve"> </w:t>
      </w:r>
      <w:r w:rsidR="00BD6C06">
        <w:t xml:space="preserve">esenciálních olejů na transkripční </w:t>
      </w:r>
      <w:r w:rsidR="00BD6C06">
        <w:lastRenderedPageBreak/>
        <w:t>aktivitu VDR</w:t>
      </w:r>
      <w:r w:rsidR="00D43659">
        <w:t xml:space="preserve"> </w:t>
      </w:r>
      <w:r w:rsidR="001B05FB">
        <w:t>byl potvrzen</w:t>
      </w:r>
      <w:r w:rsidR="008B7EBA">
        <w:t xml:space="preserve"> </w:t>
      </w:r>
      <w:r w:rsidR="001A10DE">
        <w:t>potencující</w:t>
      </w:r>
      <w:r w:rsidR="008B7EBA">
        <w:t xml:space="preserve"> efekt</w:t>
      </w:r>
      <w:r w:rsidR="001B05FB">
        <w:t xml:space="preserve"> u látek kmínu, koriandru, </w:t>
      </w:r>
      <w:r w:rsidR="00197EAE">
        <w:t xml:space="preserve">zázvoru, </w:t>
      </w:r>
      <w:proofErr w:type="spellStart"/>
      <w:r w:rsidR="00197EAE">
        <w:t>spearmintu</w:t>
      </w:r>
      <w:proofErr w:type="spellEnd"/>
      <w:r w:rsidR="00D70140">
        <w:br/>
      </w:r>
      <w:r w:rsidR="003C5B1D">
        <w:t>a kurkumy a dalších</w:t>
      </w:r>
      <w:r w:rsidR="00E116C5" w:rsidRPr="00F4395E">
        <w:t xml:space="preserve"> </w:t>
      </w:r>
      <w:r w:rsidR="00E116C5" w:rsidRPr="00F4395E">
        <w:fldChar w:fldCharType="begin"/>
      </w:r>
      <w:r w:rsidR="004E03A8">
        <w:instrText xml:space="preserve"> ADDIN ZOTERO_ITEM CSL_CITATION {"citationID":"6HaZF3Kn","properties":{"formattedCitation":"(Barto\\uc0\\u328{}kov\\uc0\\u225{} and Dvo\\uc0\\u345{}\\uc0\\u225{}k, 2018a)","plainCitation":"(Bartoňková and Dvořák, 2018a)","dontUpdate":true,"noteIndex":0},"citationItems":[{"id":33,"uris":["http://zotero.org/users/local/UB9PtTOS/items/HIK7EYYI"],"itemData":{"id":33,"type":"article-journal","abstract":"Essential oils of culinary herbs and species influence transcriptional activities of nuclear receptor VDR and steroid hormones receptors AR and GR.\n          , \n            Essential oils (EOs) of culinary herbs and spices are consumed on a daily basis. They are multicomponent mixtures of compounds with already demonstrated biological activities. Taking into account regular dietary intake and the chemical composition of EOs, they may be considered as candidates for endocrine-disrupting entities. Therefore, we examined the effects of 31 EOs of culinary herbs and spices on transcriptional activities of glucocorticoid receptor (GR), androgen receptor (AR) and vitamin D receptor (VDR). Using reporter gene assays in stably transfected cell lines, weak anti-androgen and anti-glucocorticoid activity was observed for EO of vanilla and nutmeg, respectively. Moderate augmentation of calcitriol-dependent VDR activity was caused by EOs of ginger, thyme, coriander and lemongrass. Mixed anti-glucocorticoid and VDR-stimulatory activities were displayed by EOs of turmeric, oregano, dill, caraway, verveine and spearmint. The remaining 19 EOs were inactive against all receptors under investigation. Analyses of GR, AR and VDR target genes by means of RT-PCR confirmed the VDR-stimulatory effects, but could not confirm the anti-glucocorticoid and anti-androgen effects of EOs. In conclusion, although we observed minor effects of several EOs on transcriptional activities of GR, AR and VDR, the toxicological significance of these effects is very low. Hence, 31 EOs of culinary herbs and spices may be considered safe, in terms of endocrine disruption involving receptors GR, AR and VDR.","container-title":"Food &amp; Function","DOI":"10.1039/C7FO02058A","ISSN":"2042-6496, 2042-650X","issue":"4","journalAbbreviation":"Food Funct.","language":"en","page":"2136-2144","source":"DOI.org (Crossref)","title":"Assessment of endocrine disruption potential of essential oils of culinary herbs and spices involving glucocorticoid, androgen and vitamin D receptors","volume":"9","author":[{"family":"Bartoňková","given":"Iveta"},{"family":"Dvořák","given":"Zdeněk"}],"issued":{"date-parts":[["2018"]]}}}],"schema":"https://github.com/citation-style-language/schema/raw/master/csl-citation.json"} </w:instrText>
      </w:r>
      <w:r w:rsidR="00E116C5" w:rsidRPr="00F4395E">
        <w:fldChar w:fldCharType="separate"/>
      </w:r>
      <w:r w:rsidR="00C41CE8" w:rsidRPr="00F4395E">
        <w:rPr>
          <w:kern w:val="0"/>
        </w:rPr>
        <w:t xml:space="preserve">(Bartoňková </w:t>
      </w:r>
      <w:r w:rsidR="00A76BFA" w:rsidRPr="00F4395E">
        <w:rPr>
          <w:i/>
          <w:iCs/>
          <w:kern w:val="0"/>
        </w:rPr>
        <w:t>et</w:t>
      </w:r>
      <w:r w:rsidR="00C41CE8" w:rsidRPr="00F4395E">
        <w:rPr>
          <w:kern w:val="0"/>
        </w:rPr>
        <w:t xml:space="preserve"> Dvořák, 2018a)</w:t>
      </w:r>
      <w:r w:rsidR="00E116C5" w:rsidRPr="00F4395E">
        <w:fldChar w:fldCharType="end"/>
      </w:r>
      <w:r w:rsidR="00E116C5" w:rsidRPr="00F4395E">
        <w:t>.</w:t>
      </w:r>
    </w:p>
    <w:p w14:paraId="5997BFDB" w14:textId="0E74C7C5" w:rsidR="00EE2178" w:rsidRDefault="00E116C5" w:rsidP="00BF65F9">
      <w:r w:rsidRPr="00F4395E">
        <w:tab/>
      </w:r>
      <w:r w:rsidR="009A66E3">
        <w:t xml:space="preserve">Středem zájmu byl </w:t>
      </w:r>
      <w:r w:rsidR="003D2BFD">
        <w:t>také PXR,</w:t>
      </w:r>
      <w:r w:rsidR="00981B88">
        <w:t xml:space="preserve"> </w:t>
      </w:r>
      <w:r w:rsidR="008E2CC8">
        <w:t xml:space="preserve">na jehož transkripční aktivitu mělo vliv hned několik esenciálních olejů vybraných </w:t>
      </w:r>
      <w:r w:rsidR="009E73D3">
        <w:t>druhů koření</w:t>
      </w:r>
      <w:r w:rsidR="00A726C5">
        <w:t xml:space="preserve"> </w:t>
      </w:r>
      <w:r w:rsidR="004C3FBC">
        <w:t>(</w:t>
      </w:r>
      <w:proofErr w:type="spellStart"/>
      <w:r w:rsidR="004C3FBC">
        <w:t>Bartonkova</w:t>
      </w:r>
      <w:proofErr w:type="spellEnd"/>
      <w:r w:rsidR="004C3FBC">
        <w:t xml:space="preserve"> </w:t>
      </w:r>
      <w:r w:rsidR="004C3FBC">
        <w:rPr>
          <w:i/>
          <w:iCs/>
        </w:rPr>
        <w:t xml:space="preserve">et </w:t>
      </w:r>
      <w:proofErr w:type="spellStart"/>
      <w:r w:rsidR="004C3FBC">
        <w:t>Dvorak</w:t>
      </w:r>
      <w:proofErr w:type="spellEnd"/>
      <w:r w:rsidR="004C3FBC">
        <w:t>, 2018c)</w:t>
      </w:r>
      <w:r w:rsidR="009E73D3">
        <w:t>.</w:t>
      </w:r>
      <w:r w:rsidR="005D2775">
        <w:t xml:space="preserve"> Všechny testované </w:t>
      </w:r>
      <w:r w:rsidR="00C66F98">
        <w:t xml:space="preserve">esenciální oleje </w:t>
      </w:r>
      <w:r w:rsidR="00346ED1">
        <w:t>indukovaly</w:t>
      </w:r>
      <w:r w:rsidR="00C66F98">
        <w:t xml:space="preserve"> transkripční aktivitu PXR</w:t>
      </w:r>
      <w:r w:rsidR="003C35EF">
        <w:t>. Jejich vliv byl testován také přímo</w:t>
      </w:r>
      <w:r w:rsidR="00166D22">
        <w:br/>
      </w:r>
      <w:r w:rsidR="003C35EF">
        <w:t>na expresi lidského CYP3A4</w:t>
      </w:r>
      <w:r w:rsidR="00176E57">
        <w:t xml:space="preserve">, kdy testované látky indukovaly expresi </w:t>
      </w:r>
      <w:r w:rsidR="00176E57" w:rsidRPr="00250FC4">
        <w:rPr>
          <w:i/>
          <w:iCs/>
        </w:rPr>
        <w:t>CYP3A4</w:t>
      </w:r>
      <w:r w:rsidR="00176E57">
        <w:t xml:space="preserve"> mRNA</w:t>
      </w:r>
      <w:r w:rsidR="00166D22">
        <w:br/>
      </w:r>
      <w:r w:rsidR="00CF295D">
        <w:t>v</w:t>
      </w:r>
      <w:r w:rsidR="0020384B">
        <w:t xml:space="preserve"> </w:t>
      </w:r>
      <w:r w:rsidR="00CF295D">
        <w:t>buněčných liniích</w:t>
      </w:r>
      <w:r w:rsidR="008B15FC">
        <w:t xml:space="preserve"> a lidských </w:t>
      </w:r>
      <w:proofErr w:type="spellStart"/>
      <w:r w:rsidR="008B15FC">
        <w:t>hepatocytech</w:t>
      </w:r>
      <w:proofErr w:type="spellEnd"/>
      <w:r w:rsidR="00176E57">
        <w:t>.</w:t>
      </w:r>
      <w:r w:rsidR="00973BF6">
        <w:t xml:space="preserve"> Testovanými látkami byl</w:t>
      </w:r>
      <w:r w:rsidR="00417532">
        <w:t>y</w:t>
      </w:r>
      <w:r w:rsidR="00973BF6">
        <w:t xml:space="preserve"> např.</w:t>
      </w:r>
      <w:r w:rsidR="00D87586">
        <w:t xml:space="preserve"> esenciální oleje z</w:t>
      </w:r>
      <w:r w:rsidR="0020384B">
        <w:t xml:space="preserve"> </w:t>
      </w:r>
      <w:r w:rsidR="00D87586">
        <w:t xml:space="preserve">bazalky, majoránky, zázvoru, </w:t>
      </w:r>
      <w:r w:rsidR="00EE2178">
        <w:t>oregana, vanilky či máty</w:t>
      </w:r>
      <w:r w:rsidR="002475BF">
        <w:t>.</w:t>
      </w:r>
      <w:r w:rsidR="004772F4">
        <w:t xml:space="preserve"> Další studie</w:t>
      </w:r>
      <w:r w:rsidR="00B87FAE">
        <w:t xml:space="preserve">, věnující se </w:t>
      </w:r>
      <w:r w:rsidR="0053215F">
        <w:t>vztahu</w:t>
      </w:r>
      <w:r w:rsidR="00DA36C6">
        <w:t xml:space="preserve"> mezi </w:t>
      </w:r>
      <w:proofErr w:type="spellStart"/>
      <w:r w:rsidR="00DA36C6">
        <w:t>warfarinem</w:t>
      </w:r>
      <w:proofErr w:type="spellEnd"/>
      <w:r w:rsidR="00DA36C6">
        <w:t xml:space="preserve"> a </w:t>
      </w:r>
      <w:proofErr w:type="spellStart"/>
      <w:r w:rsidR="00DA36C6">
        <w:t>mentholem</w:t>
      </w:r>
      <w:proofErr w:type="spellEnd"/>
      <w:r w:rsidR="00ED14DC">
        <w:t>,</w:t>
      </w:r>
      <w:r w:rsidR="00A15C28">
        <w:t xml:space="preserve"> potvrdila indukující vliv</w:t>
      </w:r>
      <w:r w:rsidR="00251A37">
        <w:t xml:space="preserve"> </w:t>
      </w:r>
      <w:proofErr w:type="spellStart"/>
      <w:r w:rsidR="00251A37">
        <w:t>mentholu</w:t>
      </w:r>
      <w:proofErr w:type="spellEnd"/>
      <w:r w:rsidR="00A15C28">
        <w:t xml:space="preserve"> na expresi CYP2C</w:t>
      </w:r>
      <w:r w:rsidR="004B6847">
        <w:t xml:space="preserve"> a CYP3A</w:t>
      </w:r>
      <w:r w:rsidR="00A15C28">
        <w:t xml:space="preserve"> v</w:t>
      </w:r>
      <w:r w:rsidR="005568F3">
        <w:t> </w:t>
      </w:r>
      <w:r w:rsidR="00A15C28">
        <w:t>játrech</w:t>
      </w:r>
      <w:r w:rsidR="005568F3">
        <w:t xml:space="preserve">. </w:t>
      </w:r>
      <w:proofErr w:type="spellStart"/>
      <w:r w:rsidR="005568F3">
        <w:t>Warfarin</w:t>
      </w:r>
      <w:proofErr w:type="spellEnd"/>
      <w:r w:rsidR="005568F3">
        <w:t xml:space="preserve"> je </w:t>
      </w:r>
      <w:r w:rsidR="00F20E49">
        <w:t>léčivo</w:t>
      </w:r>
      <w:r w:rsidR="00045061">
        <w:t xml:space="preserve"> </w:t>
      </w:r>
      <w:r w:rsidR="00F20E49">
        <w:t xml:space="preserve">s </w:t>
      </w:r>
      <w:r w:rsidR="005568F3">
        <w:t>antikoagulační</w:t>
      </w:r>
      <w:r w:rsidR="00F20E49">
        <w:t>m</w:t>
      </w:r>
      <w:r w:rsidR="005568F3">
        <w:t xml:space="preserve"> </w:t>
      </w:r>
      <w:r w:rsidR="00F20E49">
        <w:t>efektem. Bylo pozorováno, že</w:t>
      </w:r>
      <w:r w:rsidR="0012426C">
        <w:t xml:space="preserve"> u</w:t>
      </w:r>
      <w:r w:rsidR="00F20E49">
        <w:t xml:space="preserve"> pacient</w:t>
      </w:r>
      <w:r w:rsidR="0012426C">
        <w:t>ů</w:t>
      </w:r>
      <w:r w:rsidR="00F20E49">
        <w:t xml:space="preserve">, kteří brali </w:t>
      </w:r>
      <w:proofErr w:type="spellStart"/>
      <w:r w:rsidR="00F20E49">
        <w:t>warfarin</w:t>
      </w:r>
      <w:proofErr w:type="spellEnd"/>
      <w:r w:rsidR="00F20E49">
        <w:t xml:space="preserve"> a zároveň konzumovali přípravky s</w:t>
      </w:r>
      <w:r w:rsidR="00166D22">
        <w:t xml:space="preserve"> </w:t>
      </w:r>
      <w:r w:rsidR="0012426C">
        <w:t xml:space="preserve">obsahem </w:t>
      </w:r>
      <w:proofErr w:type="spellStart"/>
      <w:r w:rsidR="0012426C">
        <w:t>mentholu</w:t>
      </w:r>
      <w:proofErr w:type="spellEnd"/>
      <w:r w:rsidR="0012426C">
        <w:t>, klesla účinnost</w:t>
      </w:r>
      <w:r w:rsidR="003A0F88">
        <w:t xml:space="preserve"> </w:t>
      </w:r>
      <w:proofErr w:type="spellStart"/>
      <w:r w:rsidR="003A0F88">
        <w:t>warfarinu</w:t>
      </w:r>
      <w:proofErr w:type="spellEnd"/>
      <w:r w:rsidR="003A0F88">
        <w:t xml:space="preserve">. </w:t>
      </w:r>
      <w:r w:rsidR="00087C20">
        <w:t xml:space="preserve">Na základě této studie bylo zjištěno, že </w:t>
      </w:r>
      <w:proofErr w:type="spellStart"/>
      <w:r w:rsidR="000F00FF">
        <w:t>menthol</w:t>
      </w:r>
      <w:proofErr w:type="spellEnd"/>
      <w:r w:rsidR="005A5B56">
        <w:t xml:space="preserve"> působí přímo na jaterní buňky</w:t>
      </w:r>
      <w:r w:rsidR="00166D22">
        <w:br/>
      </w:r>
      <w:r w:rsidR="005A5B56">
        <w:t xml:space="preserve">a </w:t>
      </w:r>
      <w:r w:rsidR="00FA7AA2">
        <w:t xml:space="preserve">podporuje </w:t>
      </w:r>
      <w:r w:rsidR="004525B5">
        <w:t xml:space="preserve">jadernou translokaci PXR. </w:t>
      </w:r>
      <w:proofErr w:type="spellStart"/>
      <w:r w:rsidR="009E2DE5">
        <w:t>Menthol</w:t>
      </w:r>
      <w:proofErr w:type="spellEnd"/>
      <w:r w:rsidR="009E2DE5">
        <w:t xml:space="preserve"> také </w:t>
      </w:r>
      <w:r w:rsidR="00F9234E">
        <w:t>přímo</w:t>
      </w:r>
      <w:r w:rsidR="000F00FF">
        <w:t xml:space="preserve"> indukuje expresi CYP2C</w:t>
      </w:r>
      <w:r w:rsidR="00795FFA">
        <w:t xml:space="preserve"> a CYP3A</w:t>
      </w:r>
      <w:r w:rsidR="000F00FF">
        <w:t xml:space="preserve">, tím je zrychlen metabolismus </w:t>
      </w:r>
      <w:proofErr w:type="spellStart"/>
      <w:r w:rsidR="000F00FF">
        <w:t>warfarinu</w:t>
      </w:r>
      <w:proofErr w:type="spellEnd"/>
      <w:r w:rsidR="000F00FF">
        <w:t xml:space="preserve"> a je snížen jeho antikoagulační efekt</w:t>
      </w:r>
      <w:r w:rsidR="00DD4564">
        <w:t xml:space="preserve"> </w:t>
      </w:r>
      <w:r w:rsidR="003B5E42">
        <w:fldChar w:fldCharType="begin"/>
      </w:r>
      <w:r w:rsidR="003B5E42">
        <w:instrText xml:space="preserve"> ADDIN ZOTERO_ITEM CSL_CITATION {"citationID":"IUcmzMJk","properties":{"formattedCitation":"(Hoshino {\\i{}et al.}, 2014)","plainCitation":"(Hoshino et al., 2014)","noteIndex":0},"citationItems":[{"id":229,"uris":["http://zotero.org/users/local/UB9PtTOS/items/XLAXYEJ2"],"itemData":{"id":229,"type":"article-journal","container-title":"European Journal of Pharmaceutical Sciences","DOI":"10.1016/j.ejps.2014.02.011","ISSN":"09280987","journalAbbreviation":"European Journal of Pharmaceutical Sciences","language":"en","page":"92-101","source":"DOI.org (Crossref)","title":"Menthol reduces the anticoagulant effect of warfarin by inducing cytochrome P450 2C expression","volume":"56","author":[{"family":"Hoshino","given":"Motohiro"},{"family":"Ikarashi","given":"Nobutomo"},{"family":"Tsukui","given":"Makoto"},{"family":"Kurokawa","given":"Asako"},{"family":"Naito","given":"Rina"},{"family":"Suzuki","given":"Midori"},{"family":"Yokobori","given":"Kohsuke"},{"family":"Ochiai","given":"Takumi"},{"family":"Ishii","given":"Makoto"},{"family":"Kusunoki","given":"Yoshiki"},{"family":"Kon","given":"Risako"},{"family":"Ochiai","given":"Wataru"},{"family":"Wakui","given":"Nobuyuki"},{"family":"Machida","given":"Yoshiaki"},{"family":"Sugiyama","given":"Kiyoshi"}],"issued":{"date-parts":[["2014",6]]}}}],"schema":"https://github.com/citation-style-language/schema/raw/master/csl-citation.json"} </w:instrText>
      </w:r>
      <w:r w:rsidR="003B5E42">
        <w:fldChar w:fldCharType="separate"/>
      </w:r>
      <w:r w:rsidR="003B5E42" w:rsidRPr="003B5E42">
        <w:rPr>
          <w:kern w:val="0"/>
        </w:rPr>
        <w:t xml:space="preserve">(Hoshino </w:t>
      </w:r>
      <w:r w:rsidR="003B5E42" w:rsidRPr="003B5E42">
        <w:rPr>
          <w:i/>
          <w:iCs/>
          <w:kern w:val="0"/>
        </w:rPr>
        <w:t>et al.</w:t>
      </w:r>
      <w:r w:rsidR="003B5E42" w:rsidRPr="003B5E42">
        <w:rPr>
          <w:kern w:val="0"/>
        </w:rPr>
        <w:t>, 2014)</w:t>
      </w:r>
      <w:r w:rsidR="003B5E42">
        <w:fldChar w:fldCharType="end"/>
      </w:r>
      <w:r w:rsidR="00A15C28">
        <w:t>.</w:t>
      </w:r>
    </w:p>
    <w:p w14:paraId="355DB651" w14:textId="584F34D6" w:rsidR="002761BB" w:rsidRDefault="00E116C5" w:rsidP="00EE2178">
      <w:pPr>
        <w:ind w:firstLine="708"/>
      </w:pPr>
      <w:r w:rsidRPr="00F4395E">
        <w:t>Mezi přírodní bylinné produkty, které se v</w:t>
      </w:r>
      <w:r w:rsidR="00166D22">
        <w:t xml:space="preserve"> </w:t>
      </w:r>
      <w:r w:rsidRPr="00F4395E">
        <w:t>poslední době staly velmi populární, patří přípravky s obsahem třezalky tečkované (</w:t>
      </w:r>
      <w:proofErr w:type="spellStart"/>
      <w:r w:rsidRPr="00F4395E">
        <w:rPr>
          <w:i/>
          <w:iCs/>
        </w:rPr>
        <w:t>Hypericum</w:t>
      </w:r>
      <w:proofErr w:type="spellEnd"/>
      <w:r w:rsidRPr="00F4395E">
        <w:rPr>
          <w:i/>
          <w:iCs/>
        </w:rPr>
        <w:t xml:space="preserve"> </w:t>
      </w:r>
      <w:proofErr w:type="spellStart"/>
      <w:r w:rsidRPr="00F4395E">
        <w:rPr>
          <w:i/>
          <w:iCs/>
        </w:rPr>
        <w:t>perforatum</w:t>
      </w:r>
      <w:proofErr w:type="spellEnd"/>
      <w:r w:rsidRPr="00F4395E">
        <w:t xml:space="preserve">) </w:t>
      </w:r>
      <w:r w:rsidRPr="00F4395E">
        <w:fldChar w:fldCharType="begin"/>
      </w:r>
      <w:r w:rsidR="00C41CE8" w:rsidRPr="00F4395E">
        <w:instrText xml:space="preserve"> ADDIN ZOTERO_ITEM CSL_CITATION {"citationID":"J1qWKvTX","properties":{"formattedCitation":"(Nowack, 2008)","plainCitation":"(Nowack, 2008)","noteIndex":0},"citationItems":[{"id":94,"uris":["http://zotero.org/users/local/UB9PtTOS/items/CIJUS33W"],"itemData":{"id":94,"type":"article-journal","abstract":"SUMMARY:\n            \n              Aim: \n              To survey the evidence for plant‐products to modify cytochrome P450 enzyme, and transport protein mediated drug metabolism in renal transplant patients.\n            \n            \n              Methods: \n              A literature search was performed to identify “in vitro” and “in vivo” research on plant‐products that might cause overdosage or loss of efficacy of immunosuppressive drugs in transplant patients by the interaction mechanisms already characterized for grapefruit juice and St. John's Wort.\n            \n            \n              Results: \n              The interaction mechanisms of St. John's Wort by pregnane X‐receptor mediated upregulation of cytochrome‐P450 enzyme 3A4 and p‐glycoprotein expression and of grapefruit juice by mechanism‐based inhibition of intestinal CYP3A4 suggest that many other plant products will likewise cause interactions with drugs because they occupy the same metabolic pathways. The respective research on foods, spices and medicinal herbs is listed in a comprehensive table and weighted according to its strength of evidence to cause clinically relevant interactions.\n            \n            \n              Conclusion: \n              Physicians supervising drug‐regimes in renal transplant patients should be aware of plant products beyond SJW and GFJ to possibly cause overdosage or failure of drug‐treatments by herb‐drug interactions.","container-title":"Nephrology","DOI":"10.1111/j.1440-1797.2008.00940.x","ISSN":"1320-5358, 1440-1797","issue":"4","journalAbbreviation":"Nephrology","language":"en","page":"337-347","source":"DOI.org (Crossref)","title":"Review Article: Cytochrome P450 enzyme, and transport protein mediated herb–drug interactions in renal transplant patients: Grapefruit juice, St John's Wort – and beyond! (Review Article)","title-short":"Review Article","volume":"13","author":[{"family":"Nowack","given":"Rainer"}],"issued":{"date-parts":[["2008",6]]}}}],"schema":"https://github.com/citation-style-language/schema/raw/master/csl-citation.json"} </w:instrText>
      </w:r>
      <w:r w:rsidRPr="00F4395E">
        <w:fldChar w:fldCharType="separate"/>
      </w:r>
      <w:r w:rsidR="00C41CE8" w:rsidRPr="00F4395E">
        <w:t>(Nowack, 2008)</w:t>
      </w:r>
      <w:r w:rsidRPr="00F4395E">
        <w:fldChar w:fldCharType="end"/>
      </w:r>
      <w:r w:rsidRPr="00F4395E">
        <w:t xml:space="preserve">. </w:t>
      </w:r>
      <w:r w:rsidR="00B774E8">
        <w:t>Esenciální olej získaný z</w:t>
      </w:r>
      <w:r w:rsidR="00CF43FB">
        <w:t xml:space="preserve"> </w:t>
      </w:r>
      <w:r w:rsidR="00B774E8">
        <w:t>třezalky tečkované obsahuje přes 20 slo</w:t>
      </w:r>
      <w:r w:rsidR="00E77284">
        <w:t>žek</w:t>
      </w:r>
      <w:r w:rsidRPr="00F4395E">
        <w:t>, z</w:t>
      </w:r>
      <w:r w:rsidR="00CF43FB">
        <w:t xml:space="preserve"> </w:t>
      </w:r>
      <w:r w:rsidRPr="00F4395E">
        <w:t>nichž nejvýznamnější</w:t>
      </w:r>
      <w:r w:rsidR="00CF43FB">
        <w:br/>
      </w:r>
      <w:r w:rsidRPr="00F4395E">
        <w:t xml:space="preserve">je </w:t>
      </w:r>
      <w:proofErr w:type="spellStart"/>
      <w:r w:rsidRPr="00F4395E">
        <w:t>hyperforin</w:t>
      </w:r>
      <w:proofErr w:type="spellEnd"/>
      <w:r w:rsidRPr="00F4395E">
        <w:t xml:space="preserve">. Rostlina je známá pro své antidepresivní účinky </w:t>
      </w:r>
      <w:r w:rsidRPr="00F4395E">
        <w:fldChar w:fldCharType="begin"/>
      </w:r>
      <w:r w:rsidR="00C41CE8" w:rsidRPr="00F4395E">
        <w:instrText xml:space="preserve"> ADDIN ZOTERO_ITEM CSL_CITATION {"citationID":"faLbWHH0","properties":{"formattedCitation":"(Linde {\\i{}et al.}, 1996)","plainCitation":"(Linde et al., 1996)","noteIndex":0},"citationItems":[{"id":96,"uris":["http://zotero.org/users/local/UB9PtTOS/items/V6NY7NQI"],"itemData":{"id":96,"type":"article-journal","container-title":"BMJ","DOI":"10.1136/bmj.313.7052.253","ISSN":"0959-8138, 1468-5833","issue":"7052","journalAbbreviation":"BMJ","language":"en","page":"253-258","source":"DOI.org (Crossref)","title":"St John's wort for depression--an overview and meta-analysis of randomised clinical trials","volume":"313","author":[{"family":"Linde","given":"K."},{"family":"Ramirez","given":"G."},{"family":"Mulrow","given":"C. D"},{"family":"Pauls","given":"A."},{"family":"Weidenhammer","given":"W."},{"family":"Melchart","given":"D."}],"issued":{"date-parts":[["1996",8,3]]}}}],"schema":"https://github.com/citation-style-language/schema/raw/master/csl-citation.json"} </w:instrText>
      </w:r>
      <w:r w:rsidRPr="00F4395E">
        <w:fldChar w:fldCharType="separate"/>
      </w:r>
      <w:r w:rsidR="00C41CE8" w:rsidRPr="00F4395E">
        <w:rPr>
          <w:kern w:val="0"/>
        </w:rPr>
        <w:t xml:space="preserve">(Linde </w:t>
      </w:r>
      <w:r w:rsidR="00C41CE8" w:rsidRPr="00F4395E">
        <w:rPr>
          <w:i/>
          <w:iCs/>
          <w:kern w:val="0"/>
        </w:rPr>
        <w:t>et al.</w:t>
      </w:r>
      <w:r w:rsidR="00C41CE8" w:rsidRPr="00F4395E">
        <w:rPr>
          <w:kern w:val="0"/>
        </w:rPr>
        <w:t>, 1996)</w:t>
      </w:r>
      <w:r w:rsidRPr="00F4395E">
        <w:fldChar w:fldCharType="end"/>
      </w:r>
      <w:r w:rsidRPr="00F4395E">
        <w:t xml:space="preserve">. Extrakt třezalky tečkované byl testován na aktivitu PXR a vliv exprese CYP3A4, který je s PXR úzce spjat. Byla prokázána silná afinita </w:t>
      </w:r>
      <w:proofErr w:type="spellStart"/>
      <w:r w:rsidRPr="00F4395E">
        <w:t>hyperforinu</w:t>
      </w:r>
      <w:proofErr w:type="spellEnd"/>
      <w:r w:rsidRPr="00F4395E">
        <w:t xml:space="preserve"> k</w:t>
      </w:r>
      <w:r w:rsidR="00CF43FB">
        <w:t xml:space="preserve"> </w:t>
      </w:r>
      <w:r w:rsidRPr="00F4395E">
        <w:t>PXR a následná indukce exprese genu CYP3A4 v</w:t>
      </w:r>
      <w:r w:rsidR="00CF43FB">
        <w:t xml:space="preserve"> </w:t>
      </w:r>
      <w:r w:rsidRPr="00F4395E">
        <w:t>lidských jaterních buňkách. Vzhledem k faktu, že látka obsažená v</w:t>
      </w:r>
      <w:r w:rsidR="00CF43FB">
        <w:t xml:space="preserve"> </w:t>
      </w:r>
      <w:r w:rsidRPr="00F4395E">
        <w:t xml:space="preserve">třezalce tečkované má silně indukující vliv na </w:t>
      </w:r>
      <w:r w:rsidR="00510863">
        <w:t>CYP3A4</w:t>
      </w:r>
      <w:r w:rsidRPr="00F4395E">
        <w:t xml:space="preserve">, který metabolizuje většinu předepsaných léčiv, by měla být konzumaci těchto přípravků věnována pozornost </w:t>
      </w:r>
      <w:r w:rsidRPr="00F4395E">
        <w:fldChar w:fldCharType="begin"/>
      </w:r>
      <w:r w:rsidR="00C41CE8" w:rsidRPr="00F4395E">
        <w:instrText xml:space="preserve"> ADDIN ZOTERO_ITEM CSL_CITATION {"citationID":"eZ16bTnN","properties":{"formattedCitation":"(Moore {\\i{}et al.}, 2000)","plainCitation":"(Moore et al., 2000)","noteIndex":0},"citationItems":[{"id":98,"uris":["http://zotero.org/users/local/UB9PtTOS/items/8JVDE4JU"],"itemData":{"id":98,"type":"article-journal","abstract":"St. John's wort (\n              Hypericum perforatum\n              ) is an herbal remedy used widely for the treatment of depression. Recent clinical studies demonstrate that hypericum extracts increase the metabolism of various drugs, including combined oral contraceptives, cyclosporin, and indinavir. In this report, we show that hyperforin, a constituent of St. John's wort with antidepressant activity, is a potent ligand (\n              K\n              i\n              = 27 nM) for the pregnane X receptor, an orphan nuclear receptor that regulates expression of the cytochrome P450 (CYP) 3A4 monooxygenase. Treatment of primary human hepatocytes with hypericum extracts or hyperforin results in a marked induction of\n              CYP3A4\n              expression. Because CYP3A4 is involved in the oxidative metabolism of &gt;50% of all drugs, our findings provide a molecular mechanism for the interaction of St. John's wort with drugs and suggest that hypericum extracts are likely to interact with many more drugs than previously had been realized.","container-title":"Proceedings of the National Academy of Sciences","DOI":"10.1073/pnas.130155097","ISSN":"0027-8424, 1091-6490","issue":"13","journalAbbreviation":"Proc. Natl. Acad. Sci. U.S.A.","language":"en","page":"7500-7502","source":"DOI.org (Crossref)","title":"St. John's wort induces hepatic drug metabolism through activation of the pregnane X receptor","volume":"97","author":[{"family":"Moore","given":"Linda B."},{"family":"Goodwin","given":"Bryan"},{"family":"Jones","given":"Stacey A."},{"family":"Wisely","given":"G. Bruce"},{"family":"Serabjit-Singh","given":"Cosette J."},{"family":"Willson","given":"Timothy M."},{"family":"Collins","given":"Jon L."},{"family":"Kliewer","given":"Steven A."}],"issued":{"date-parts":[["2000",6,20]]}}}],"schema":"https://github.com/citation-style-language/schema/raw/master/csl-citation.json"} </w:instrText>
      </w:r>
      <w:r w:rsidRPr="00F4395E">
        <w:fldChar w:fldCharType="separate"/>
      </w:r>
      <w:r w:rsidR="00C41CE8" w:rsidRPr="00F4395E">
        <w:rPr>
          <w:kern w:val="0"/>
        </w:rPr>
        <w:t xml:space="preserve">(Moore </w:t>
      </w:r>
      <w:r w:rsidR="00C41CE8" w:rsidRPr="00F4395E">
        <w:rPr>
          <w:i/>
          <w:iCs/>
          <w:kern w:val="0"/>
        </w:rPr>
        <w:t>et al.</w:t>
      </w:r>
      <w:r w:rsidR="00C41CE8" w:rsidRPr="00F4395E">
        <w:rPr>
          <w:kern w:val="0"/>
        </w:rPr>
        <w:t>, 2000)</w:t>
      </w:r>
      <w:r w:rsidRPr="00F4395E">
        <w:fldChar w:fldCharType="end"/>
      </w:r>
      <w:r w:rsidRPr="00F4395E">
        <w:t>.</w:t>
      </w:r>
    </w:p>
    <w:p w14:paraId="1CEA5041" w14:textId="0B174CB2" w:rsidR="00151B2C" w:rsidRDefault="00151B2C" w:rsidP="00BF65F9">
      <w:r>
        <w:tab/>
      </w:r>
      <w:r w:rsidR="00DD3D17">
        <w:t xml:space="preserve">V rámci této bakalářské práce byl testován vliv vybraných monocyklických monoterpenoidů na transkripční aktivitu lidského PXR pomocí </w:t>
      </w:r>
      <w:proofErr w:type="spellStart"/>
      <w:r w:rsidR="00DD3D17">
        <w:t>reportérové</w:t>
      </w:r>
      <w:proofErr w:type="spellEnd"/>
      <w:r w:rsidR="00DD3D17">
        <w:t xml:space="preserve"> eseje. Charakteristika testovaných látek je uvedena v Tabulce </w:t>
      </w:r>
      <w:r w:rsidR="00FB1FD3">
        <w:t>1.</w:t>
      </w:r>
    </w:p>
    <w:p w14:paraId="20BE86BA" w14:textId="07A7E687" w:rsidR="00B24731" w:rsidRDefault="002761BB">
      <w:pPr>
        <w:spacing w:line="259" w:lineRule="auto"/>
        <w:jc w:val="left"/>
      </w:pPr>
      <w:r>
        <w:br w:type="page"/>
      </w:r>
    </w:p>
    <w:p w14:paraId="05356326" w14:textId="3D3BA16E" w:rsidR="00B24731" w:rsidRPr="00E608B8" w:rsidRDefault="00B24731" w:rsidP="00B24731">
      <w:r>
        <w:rPr>
          <w:b/>
          <w:bCs/>
        </w:rPr>
        <w:lastRenderedPageBreak/>
        <w:t xml:space="preserve">Tabulka </w:t>
      </w:r>
      <w:r w:rsidR="00471E95">
        <w:rPr>
          <w:b/>
          <w:bCs/>
        </w:rPr>
        <w:t>1</w:t>
      </w:r>
      <w:r>
        <w:rPr>
          <w:b/>
          <w:bCs/>
        </w:rPr>
        <w:t xml:space="preserve">: </w:t>
      </w:r>
      <w:r>
        <w:t>Přehled testovaných monocyklických monoterpenoidů</w:t>
      </w:r>
    </w:p>
    <w:tbl>
      <w:tblPr>
        <w:tblW w:w="5000" w:type="pct"/>
        <w:jc w:val="center"/>
        <w:tblLayout w:type="fixed"/>
        <w:tblCellMar>
          <w:left w:w="70" w:type="dxa"/>
          <w:right w:w="70" w:type="dxa"/>
        </w:tblCellMar>
        <w:tblLook w:val="04A0" w:firstRow="1" w:lastRow="0" w:firstColumn="1" w:lastColumn="0" w:noHBand="0" w:noVBand="1"/>
      </w:tblPr>
      <w:tblGrid>
        <w:gridCol w:w="2409"/>
        <w:gridCol w:w="4253"/>
        <w:gridCol w:w="2410"/>
      </w:tblGrid>
      <w:tr w:rsidR="00B24731" w:rsidRPr="0098000F" w14:paraId="25CB7378" w14:textId="77777777" w:rsidTr="007E5FA6">
        <w:trPr>
          <w:trHeight w:val="320"/>
          <w:jc w:val="center"/>
        </w:trPr>
        <w:tc>
          <w:tcPr>
            <w:tcW w:w="1328" w:type="pct"/>
            <w:tcBorders>
              <w:top w:val="single" w:sz="12" w:space="0" w:color="auto"/>
              <w:left w:val="nil"/>
              <w:bottom w:val="single" w:sz="12" w:space="0" w:color="auto"/>
              <w:right w:val="nil"/>
            </w:tcBorders>
            <w:shd w:val="clear" w:color="auto" w:fill="auto"/>
            <w:noWrap/>
            <w:vAlign w:val="center"/>
            <w:hideMark/>
          </w:tcPr>
          <w:p w14:paraId="3D1EAB35" w14:textId="77777777" w:rsidR="00B24731" w:rsidRPr="00E608B8" w:rsidRDefault="00B24731" w:rsidP="007E5FA6">
            <w:pPr>
              <w:spacing w:after="0" w:line="240" w:lineRule="auto"/>
              <w:jc w:val="center"/>
              <w:rPr>
                <w:rFonts w:eastAsia="Times New Roman"/>
                <w:b/>
                <w:bCs/>
                <w:color w:val="000000"/>
                <w:kern w:val="0"/>
                <w:lang w:eastAsia="cs-CZ"/>
                <w14:ligatures w14:val="none"/>
              </w:rPr>
            </w:pPr>
            <w:r w:rsidRPr="00E608B8">
              <w:rPr>
                <w:rFonts w:eastAsia="Times New Roman"/>
                <w:b/>
                <w:bCs/>
                <w:color w:val="000000"/>
                <w:kern w:val="0"/>
                <w:lang w:eastAsia="cs-CZ"/>
                <w14:ligatures w14:val="none"/>
              </w:rPr>
              <w:t>Názvy látek</w:t>
            </w:r>
          </w:p>
        </w:tc>
        <w:tc>
          <w:tcPr>
            <w:tcW w:w="2344" w:type="pct"/>
            <w:tcBorders>
              <w:top w:val="single" w:sz="12" w:space="0" w:color="auto"/>
              <w:left w:val="nil"/>
              <w:bottom w:val="single" w:sz="12" w:space="0" w:color="auto"/>
              <w:right w:val="nil"/>
            </w:tcBorders>
            <w:shd w:val="clear" w:color="auto" w:fill="auto"/>
            <w:noWrap/>
            <w:vAlign w:val="center"/>
            <w:hideMark/>
          </w:tcPr>
          <w:p w14:paraId="5C9AE8E5" w14:textId="77777777" w:rsidR="00B24731" w:rsidRPr="00E608B8" w:rsidRDefault="00B24731" w:rsidP="007E5FA6">
            <w:pPr>
              <w:spacing w:after="0" w:line="240" w:lineRule="auto"/>
              <w:jc w:val="center"/>
              <w:rPr>
                <w:rFonts w:eastAsia="Times New Roman"/>
                <w:b/>
                <w:bCs/>
                <w:color w:val="000000"/>
                <w:kern w:val="0"/>
                <w:lang w:eastAsia="cs-CZ"/>
                <w14:ligatures w14:val="none"/>
              </w:rPr>
            </w:pPr>
            <w:r>
              <w:rPr>
                <w:rFonts w:eastAsia="Times New Roman"/>
                <w:b/>
                <w:bCs/>
                <w:color w:val="000000"/>
                <w:kern w:val="0"/>
                <w:lang w:eastAsia="cs-CZ"/>
                <w14:ligatures w14:val="none"/>
              </w:rPr>
              <w:t>Identifikátor látky CAS No.</w:t>
            </w:r>
          </w:p>
        </w:tc>
        <w:tc>
          <w:tcPr>
            <w:tcW w:w="1328" w:type="pct"/>
            <w:tcBorders>
              <w:top w:val="single" w:sz="12" w:space="0" w:color="auto"/>
              <w:left w:val="nil"/>
              <w:bottom w:val="single" w:sz="12" w:space="0" w:color="auto"/>
              <w:right w:val="nil"/>
            </w:tcBorders>
            <w:shd w:val="clear" w:color="auto" w:fill="auto"/>
            <w:noWrap/>
            <w:vAlign w:val="center"/>
            <w:hideMark/>
          </w:tcPr>
          <w:p w14:paraId="3DE56E76" w14:textId="77777777" w:rsidR="00B24731" w:rsidRPr="00E608B8" w:rsidRDefault="00B24731" w:rsidP="007E5FA6">
            <w:pPr>
              <w:spacing w:after="0" w:line="240" w:lineRule="auto"/>
              <w:jc w:val="center"/>
              <w:rPr>
                <w:rFonts w:eastAsia="Times New Roman"/>
                <w:b/>
                <w:bCs/>
                <w:color w:val="000000"/>
                <w:kern w:val="0"/>
                <w:lang w:eastAsia="cs-CZ"/>
                <w14:ligatures w14:val="none"/>
              </w:rPr>
            </w:pPr>
            <w:r w:rsidRPr="00E608B8">
              <w:rPr>
                <w:rFonts w:eastAsia="Times New Roman"/>
                <w:b/>
                <w:bCs/>
                <w:color w:val="000000"/>
                <w:kern w:val="0"/>
                <w:lang w:eastAsia="cs-CZ"/>
                <w14:ligatures w14:val="none"/>
              </w:rPr>
              <w:t>Chemická struktura</w:t>
            </w:r>
          </w:p>
        </w:tc>
      </w:tr>
      <w:tr w:rsidR="00B24731" w:rsidRPr="00E608B8" w14:paraId="2253621F" w14:textId="77777777" w:rsidTr="007E5FA6">
        <w:trPr>
          <w:trHeight w:val="320"/>
          <w:jc w:val="center"/>
        </w:trPr>
        <w:tc>
          <w:tcPr>
            <w:tcW w:w="1328" w:type="pct"/>
            <w:tcBorders>
              <w:top w:val="nil"/>
              <w:left w:val="nil"/>
              <w:bottom w:val="single" w:sz="4" w:space="0" w:color="auto"/>
              <w:right w:val="nil"/>
            </w:tcBorders>
            <w:shd w:val="clear" w:color="auto" w:fill="auto"/>
            <w:noWrap/>
            <w:vAlign w:val="center"/>
            <w:hideMark/>
          </w:tcPr>
          <w:p w14:paraId="09198AD4" w14:textId="77777777" w:rsidR="00B24731" w:rsidRPr="00E608B8" w:rsidRDefault="00B24731" w:rsidP="007E5FA6">
            <w:pPr>
              <w:spacing w:after="0" w:line="240" w:lineRule="auto"/>
              <w:jc w:val="center"/>
              <w:rPr>
                <w:rFonts w:eastAsia="Times New Roman"/>
                <w:color w:val="000000"/>
                <w:kern w:val="0"/>
                <w:lang w:eastAsia="cs-CZ"/>
                <w14:ligatures w14:val="none"/>
              </w:rPr>
            </w:pPr>
            <w:r w:rsidRPr="00E608B8">
              <w:rPr>
                <w:rFonts w:eastAsia="Times New Roman"/>
                <w:color w:val="000000"/>
                <w:kern w:val="0"/>
                <w:lang w:eastAsia="cs-CZ"/>
                <w14:ligatures w14:val="none"/>
              </w:rPr>
              <w:t>(S)</w:t>
            </w:r>
            <w:proofErr w:type="gramStart"/>
            <w:r w:rsidRPr="00E608B8">
              <w:rPr>
                <w:rFonts w:eastAsia="Times New Roman"/>
                <w:color w:val="000000"/>
                <w:kern w:val="0"/>
                <w:lang w:eastAsia="cs-CZ"/>
                <w14:ligatures w14:val="none"/>
              </w:rPr>
              <w:t>-(</w:t>
            </w:r>
            <w:proofErr w:type="gramEnd"/>
            <w:r w:rsidRPr="00E608B8">
              <w:rPr>
                <w:rFonts w:eastAsia="Times New Roman"/>
                <w:color w:val="000000"/>
                <w:kern w:val="0"/>
                <w:lang w:eastAsia="cs-CZ"/>
                <w14:ligatures w14:val="none"/>
              </w:rPr>
              <w:t>-)</w:t>
            </w:r>
            <w:r>
              <w:rPr>
                <w:rFonts w:eastAsia="Times New Roman"/>
                <w:color w:val="000000"/>
                <w:kern w:val="0"/>
                <w:lang w:eastAsia="cs-CZ"/>
                <w14:ligatures w14:val="none"/>
              </w:rPr>
              <w:t>-</w:t>
            </w:r>
            <w:proofErr w:type="spellStart"/>
            <w:r>
              <w:rPr>
                <w:rFonts w:eastAsia="Times New Roman"/>
                <w:color w:val="000000"/>
                <w:kern w:val="0"/>
                <w:lang w:eastAsia="cs-CZ"/>
                <w14:ligatures w14:val="none"/>
              </w:rPr>
              <w:t>p</w:t>
            </w:r>
            <w:r w:rsidRPr="00E608B8">
              <w:rPr>
                <w:rFonts w:eastAsia="Times New Roman"/>
                <w:color w:val="000000"/>
                <w:kern w:val="0"/>
                <w:lang w:eastAsia="cs-CZ"/>
                <w14:ligatures w14:val="none"/>
              </w:rPr>
              <w:t>erillylal</w:t>
            </w:r>
            <w:r>
              <w:rPr>
                <w:rFonts w:eastAsia="Times New Roman"/>
                <w:color w:val="000000"/>
                <w:kern w:val="0"/>
                <w:lang w:eastAsia="cs-CZ"/>
                <w14:ligatures w14:val="none"/>
              </w:rPr>
              <w:t>k</w:t>
            </w:r>
            <w:r w:rsidRPr="00E608B8">
              <w:rPr>
                <w:rFonts w:eastAsia="Times New Roman"/>
                <w:color w:val="000000"/>
                <w:kern w:val="0"/>
                <w:lang w:eastAsia="cs-CZ"/>
                <w14:ligatures w14:val="none"/>
              </w:rPr>
              <w:t>ohol</w:t>
            </w:r>
            <w:proofErr w:type="spellEnd"/>
          </w:p>
        </w:tc>
        <w:tc>
          <w:tcPr>
            <w:tcW w:w="2344" w:type="pct"/>
            <w:tcBorders>
              <w:top w:val="nil"/>
              <w:left w:val="nil"/>
              <w:bottom w:val="single" w:sz="4" w:space="0" w:color="auto"/>
              <w:right w:val="nil"/>
            </w:tcBorders>
            <w:shd w:val="clear" w:color="auto" w:fill="auto"/>
            <w:noWrap/>
            <w:vAlign w:val="center"/>
            <w:hideMark/>
          </w:tcPr>
          <w:p w14:paraId="33EF9E64" w14:textId="4CD3B8AC" w:rsidR="00B24731" w:rsidRPr="00E608B8" w:rsidRDefault="00B24731" w:rsidP="007E5FA6">
            <w:pPr>
              <w:spacing w:after="0" w:line="240" w:lineRule="auto"/>
              <w:jc w:val="center"/>
              <w:rPr>
                <w:rFonts w:eastAsia="Times New Roman"/>
                <w:i/>
                <w:iCs/>
                <w:color w:val="000000"/>
                <w:kern w:val="0"/>
                <w:lang w:eastAsia="cs-CZ"/>
                <w14:ligatures w14:val="none"/>
              </w:rPr>
            </w:pPr>
            <w:r>
              <w:rPr>
                <w:rFonts w:eastAsia="Times New Roman"/>
                <w:color w:val="000000"/>
                <w:kern w:val="0"/>
                <w:lang w:eastAsia="cs-CZ"/>
                <w14:ligatures w14:val="none"/>
              </w:rPr>
              <w:t>18457-55-1</w:t>
            </w:r>
          </w:p>
        </w:tc>
        <w:tc>
          <w:tcPr>
            <w:tcW w:w="1328" w:type="pct"/>
            <w:tcBorders>
              <w:top w:val="nil"/>
              <w:left w:val="nil"/>
              <w:bottom w:val="single" w:sz="4" w:space="0" w:color="auto"/>
              <w:right w:val="nil"/>
            </w:tcBorders>
            <w:shd w:val="clear" w:color="auto" w:fill="auto"/>
            <w:noWrap/>
            <w:vAlign w:val="center"/>
            <w:hideMark/>
          </w:tcPr>
          <w:p w14:paraId="0A9C1EB9" w14:textId="77777777" w:rsidR="00B24731" w:rsidRPr="00E608B8" w:rsidRDefault="00B24731" w:rsidP="007E5FA6">
            <w:pPr>
              <w:spacing w:after="0" w:line="240" w:lineRule="auto"/>
              <w:jc w:val="center"/>
              <w:rPr>
                <w:rFonts w:eastAsia="Times New Roman"/>
                <w:color w:val="000000"/>
                <w:kern w:val="0"/>
                <w:lang w:eastAsia="cs-CZ"/>
                <w14:ligatures w14:val="none"/>
              </w:rPr>
            </w:pPr>
            <w:r w:rsidRPr="00E608B8">
              <w:rPr>
                <w:rFonts w:eastAsia="Times New Roman"/>
                <w:color w:val="000000"/>
                <w:kern w:val="0"/>
                <w:lang w:eastAsia="cs-CZ"/>
                <w14:ligatures w14:val="none"/>
              </w:rPr>
              <w:t> </w:t>
            </w:r>
            <w:r>
              <w:object w:dxaOrig="1261" w:dyaOrig="2310" w14:anchorId="1C89B116">
                <v:shape id="_x0000_i1026" type="#_x0000_t75" style="width:62.25pt;height:118.05pt" o:ole="">
                  <v:imagedata r:id="rId17" o:title=""/>
                </v:shape>
                <o:OLEObject Type="Embed" ProgID="ACD.ChemSketch.20" ShapeID="_x0000_i1026" DrawAspect="Content" ObjectID="_1776177795" r:id="rId18"/>
              </w:object>
            </w:r>
          </w:p>
        </w:tc>
      </w:tr>
      <w:tr w:rsidR="00B24731" w:rsidRPr="00E608B8" w14:paraId="176F6675" w14:textId="77777777" w:rsidTr="007E5FA6">
        <w:trPr>
          <w:trHeight w:val="310"/>
          <w:jc w:val="center"/>
        </w:trPr>
        <w:tc>
          <w:tcPr>
            <w:tcW w:w="1328" w:type="pct"/>
            <w:tcBorders>
              <w:top w:val="nil"/>
              <w:left w:val="nil"/>
              <w:bottom w:val="nil"/>
              <w:right w:val="nil"/>
            </w:tcBorders>
            <w:shd w:val="clear" w:color="auto" w:fill="auto"/>
            <w:noWrap/>
            <w:vAlign w:val="center"/>
            <w:hideMark/>
          </w:tcPr>
          <w:p w14:paraId="73E7FA9A" w14:textId="77777777" w:rsidR="00B24731" w:rsidRPr="00E608B8" w:rsidRDefault="00B24731" w:rsidP="007E5FA6">
            <w:pPr>
              <w:spacing w:after="0" w:line="240" w:lineRule="auto"/>
              <w:jc w:val="center"/>
              <w:rPr>
                <w:rFonts w:eastAsia="Times New Roman"/>
                <w:color w:val="000000"/>
                <w:kern w:val="0"/>
                <w:lang w:eastAsia="cs-CZ"/>
                <w14:ligatures w14:val="none"/>
              </w:rPr>
            </w:pPr>
            <w:r w:rsidRPr="00E608B8">
              <w:rPr>
                <w:rFonts w:eastAsia="Times New Roman"/>
                <w:color w:val="000000"/>
                <w:kern w:val="0"/>
                <w:lang w:eastAsia="cs-CZ"/>
                <w14:ligatures w14:val="none"/>
              </w:rPr>
              <w:t>R</w:t>
            </w:r>
            <w:proofErr w:type="gramStart"/>
            <w:r w:rsidRPr="00E608B8">
              <w:rPr>
                <w:rFonts w:eastAsia="Times New Roman"/>
                <w:color w:val="000000"/>
                <w:kern w:val="0"/>
                <w:lang w:eastAsia="cs-CZ"/>
                <w14:ligatures w14:val="none"/>
              </w:rPr>
              <w:t>-(</w:t>
            </w:r>
            <w:proofErr w:type="gramEnd"/>
            <w:r w:rsidRPr="00E608B8">
              <w:rPr>
                <w:rFonts w:eastAsia="Times New Roman"/>
                <w:color w:val="000000"/>
                <w:kern w:val="0"/>
                <w:lang w:eastAsia="cs-CZ"/>
                <w14:ligatures w14:val="none"/>
              </w:rPr>
              <w:t>+)-</w:t>
            </w:r>
            <w:proofErr w:type="spellStart"/>
            <w:r>
              <w:rPr>
                <w:rFonts w:eastAsia="Times New Roman"/>
                <w:color w:val="000000"/>
                <w:kern w:val="0"/>
                <w:lang w:eastAsia="cs-CZ"/>
                <w14:ligatures w14:val="none"/>
              </w:rPr>
              <w:t>p</w:t>
            </w:r>
            <w:r w:rsidRPr="00E608B8">
              <w:rPr>
                <w:rFonts w:eastAsia="Times New Roman"/>
                <w:color w:val="000000"/>
                <w:kern w:val="0"/>
                <w:lang w:eastAsia="cs-CZ"/>
                <w14:ligatures w14:val="none"/>
              </w:rPr>
              <w:t>ulegon</w:t>
            </w:r>
            <w:proofErr w:type="spellEnd"/>
          </w:p>
        </w:tc>
        <w:tc>
          <w:tcPr>
            <w:tcW w:w="2344" w:type="pct"/>
            <w:tcBorders>
              <w:top w:val="nil"/>
              <w:left w:val="nil"/>
              <w:bottom w:val="single" w:sz="4" w:space="0" w:color="auto"/>
              <w:right w:val="nil"/>
            </w:tcBorders>
            <w:shd w:val="clear" w:color="auto" w:fill="auto"/>
            <w:noWrap/>
            <w:vAlign w:val="center"/>
            <w:hideMark/>
          </w:tcPr>
          <w:p w14:paraId="2585E0C1" w14:textId="71608AE7" w:rsidR="00B24731" w:rsidRPr="00E608B8" w:rsidRDefault="00B24731" w:rsidP="007E5FA6">
            <w:pPr>
              <w:spacing w:after="0" w:line="240" w:lineRule="auto"/>
              <w:jc w:val="center"/>
              <w:rPr>
                <w:rFonts w:eastAsia="Times New Roman"/>
                <w:i/>
                <w:iCs/>
                <w:color w:val="000000"/>
                <w:kern w:val="0"/>
                <w:lang w:eastAsia="cs-CZ"/>
                <w14:ligatures w14:val="none"/>
              </w:rPr>
            </w:pPr>
            <w:r>
              <w:rPr>
                <w:rFonts w:eastAsia="Times New Roman"/>
                <w:color w:val="000000"/>
                <w:kern w:val="0"/>
                <w:lang w:eastAsia="cs-CZ"/>
                <w14:ligatures w14:val="none"/>
              </w:rPr>
              <w:t>89-82-7</w:t>
            </w:r>
          </w:p>
        </w:tc>
        <w:tc>
          <w:tcPr>
            <w:tcW w:w="1328" w:type="pct"/>
            <w:tcBorders>
              <w:top w:val="nil"/>
              <w:left w:val="nil"/>
              <w:bottom w:val="single" w:sz="4" w:space="0" w:color="auto"/>
              <w:right w:val="nil"/>
            </w:tcBorders>
            <w:shd w:val="clear" w:color="auto" w:fill="auto"/>
            <w:noWrap/>
            <w:vAlign w:val="center"/>
            <w:hideMark/>
          </w:tcPr>
          <w:p w14:paraId="1C0C1ADE" w14:textId="77777777" w:rsidR="00B24731" w:rsidRPr="00E608B8" w:rsidRDefault="00B24731" w:rsidP="007E5FA6">
            <w:pPr>
              <w:spacing w:after="0" w:line="240" w:lineRule="auto"/>
              <w:jc w:val="center"/>
              <w:rPr>
                <w:rFonts w:eastAsia="Times New Roman"/>
                <w:color w:val="000000"/>
                <w:kern w:val="0"/>
                <w:lang w:eastAsia="cs-CZ"/>
                <w14:ligatures w14:val="none"/>
              </w:rPr>
            </w:pPr>
            <w:r w:rsidRPr="00E608B8">
              <w:rPr>
                <w:rFonts w:eastAsia="Times New Roman"/>
                <w:color w:val="000000"/>
                <w:kern w:val="0"/>
                <w:lang w:eastAsia="cs-CZ"/>
                <w14:ligatures w14:val="none"/>
              </w:rPr>
              <w:t> </w:t>
            </w:r>
            <w:r>
              <w:object w:dxaOrig="1411" w:dyaOrig="2051" w14:anchorId="695B6BDD">
                <v:shape id="_x0000_i1027" type="#_x0000_t75" style="width:68.1pt;height:101.85pt" o:ole="">
                  <v:imagedata r:id="rId19" o:title=""/>
                </v:shape>
                <o:OLEObject Type="Embed" ProgID="ACD.ChemSketch.20" ShapeID="_x0000_i1027" DrawAspect="Content" ObjectID="_1776177796" r:id="rId20"/>
              </w:object>
            </w:r>
          </w:p>
        </w:tc>
      </w:tr>
      <w:tr w:rsidR="00B24731" w:rsidRPr="00E608B8" w14:paraId="253399BE" w14:textId="77777777" w:rsidTr="007E5FA6">
        <w:trPr>
          <w:trHeight w:val="310"/>
          <w:jc w:val="center"/>
        </w:trPr>
        <w:tc>
          <w:tcPr>
            <w:tcW w:w="1328" w:type="pct"/>
            <w:tcBorders>
              <w:top w:val="single" w:sz="4" w:space="0" w:color="auto"/>
              <w:left w:val="nil"/>
              <w:bottom w:val="single" w:sz="4" w:space="0" w:color="auto"/>
              <w:right w:val="nil"/>
            </w:tcBorders>
            <w:shd w:val="clear" w:color="auto" w:fill="auto"/>
            <w:noWrap/>
            <w:vAlign w:val="center"/>
            <w:hideMark/>
          </w:tcPr>
          <w:p w14:paraId="27BA45A3" w14:textId="77777777" w:rsidR="00B24731" w:rsidRPr="00E608B8" w:rsidRDefault="00B24731" w:rsidP="007E5FA6">
            <w:pPr>
              <w:spacing w:after="0" w:line="240" w:lineRule="auto"/>
              <w:jc w:val="center"/>
              <w:rPr>
                <w:rFonts w:eastAsia="Times New Roman"/>
                <w:color w:val="000000"/>
                <w:kern w:val="0"/>
                <w:lang w:eastAsia="cs-CZ"/>
                <w14:ligatures w14:val="none"/>
              </w:rPr>
            </w:pPr>
            <w:r w:rsidRPr="00E608B8">
              <w:rPr>
                <w:rFonts w:eastAsia="Times New Roman"/>
                <w:color w:val="000000"/>
                <w:kern w:val="0"/>
                <w:lang w:eastAsia="cs-CZ"/>
                <w14:ligatures w14:val="none"/>
              </w:rPr>
              <w:t>S</w:t>
            </w:r>
            <w:proofErr w:type="gramStart"/>
            <w:r w:rsidRPr="00E608B8">
              <w:rPr>
                <w:rFonts w:eastAsia="Times New Roman"/>
                <w:color w:val="000000"/>
                <w:kern w:val="0"/>
                <w:lang w:eastAsia="cs-CZ"/>
                <w14:ligatures w14:val="none"/>
              </w:rPr>
              <w:t>-(</w:t>
            </w:r>
            <w:proofErr w:type="gramEnd"/>
            <w:r w:rsidRPr="00E608B8">
              <w:rPr>
                <w:rFonts w:eastAsia="Times New Roman"/>
                <w:color w:val="000000"/>
                <w:kern w:val="0"/>
                <w:lang w:eastAsia="cs-CZ"/>
                <w14:ligatures w14:val="none"/>
              </w:rPr>
              <w:t>-)-</w:t>
            </w:r>
            <w:proofErr w:type="spellStart"/>
            <w:r>
              <w:rPr>
                <w:rFonts w:eastAsia="Times New Roman"/>
                <w:color w:val="000000"/>
                <w:kern w:val="0"/>
                <w:lang w:eastAsia="cs-CZ"/>
                <w14:ligatures w14:val="none"/>
              </w:rPr>
              <w:t>p</w:t>
            </w:r>
            <w:r w:rsidRPr="00E608B8">
              <w:rPr>
                <w:rFonts w:eastAsia="Times New Roman"/>
                <w:color w:val="000000"/>
                <w:kern w:val="0"/>
                <w:lang w:eastAsia="cs-CZ"/>
                <w14:ligatures w14:val="none"/>
              </w:rPr>
              <w:t>ulegon</w:t>
            </w:r>
            <w:proofErr w:type="spellEnd"/>
          </w:p>
        </w:tc>
        <w:tc>
          <w:tcPr>
            <w:tcW w:w="2344" w:type="pct"/>
            <w:tcBorders>
              <w:top w:val="nil"/>
              <w:left w:val="nil"/>
              <w:bottom w:val="single" w:sz="4" w:space="0" w:color="auto"/>
              <w:right w:val="nil"/>
            </w:tcBorders>
            <w:shd w:val="clear" w:color="auto" w:fill="auto"/>
            <w:noWrap/>
            <w:vAlign w:val="center"/>
            <w:hideMark/>
          </w:tcPr>
          <w:p w14:paraId="300E3B5C" w14:textId="1FBDB9C1" w:rsidR="00B24731" w:rsidRPr="00E608B8" w:rsidRDefault="00B24731" w:rsidP="007E5FA6">
            <w:pPr>
              <w:spacing w:after="0" w:line="240" w:lineRule="auto"/>
              <w:jc w:val="center"/>
              <w:rPr>
                <w:rFonts w:eastAsia="Times New Roman"/>
                <w:i/>
                <w:iCs/>
                <w:color w:val="000000"/>
                <w:kern w:val="0"/>
                <w:lang w:eastAsia="cs-CZ"/>
                <w14:ligatures w14:val="none"/>
              </w:rPr>
            </w:pPr>
            <w:r>
              <w:rPr>
                <w:rFonts w:eastAsia="Times New Roman"/>
                <w:color w:val="000000"/>
                <w:kern w:val="0"/>
                <w:lang w:eastAsia="cs-CZ"/>
                <w14:ligatures w14:val="none"/>
              </w:rPr>
              <w:t>3391-90-0</w:t>
            </w:r>
          </w:p>
        </w:tc>
        <w:tc>
          <w:tcPr>
            <w:tcW w:w="1328" w:type="pct"/>
            <w:tcBorders>
              <w:top w:val="nil"/>
              <w:left w:val="nil"/>
              <w:bottom w:val="single" w:sz="4" w:space="0" w:color="auto"/>
              <w:right w:val="nil"/>
            </w:tcBorders>
            <w:shd w:val="clear" w:color="auto" w:fill="auto"/>
            <w:noWrap/>
            <w:vAlign w:val="center"/>
            <w:hideMark/>
          </w:tcPr>
          <w:p w14:paraId="2D07F44B" w14:textId="77777777" w:rsidR="00B24731" w:rsidRPr="00E608B8" w:rsidRDefault="00B24731" w:rsidP="007E5FA6">
            <w:pPr>
              <w:spacing w:after="0" w:line="240" w:lineRule="auto"/>
              <w:jc w:val="center"/>
              <w:rPr>
                <w:rFonts w:eastAsia="Times New Roman"/>
                <w:color w:val="000000"/>
                <w:kern w:val="0"/>
                <w:lang w:eastAsia="cs-CZ"/>
                <w14:ligatures w14:val="none"/>
              </w:rPr>
            </w:pPr>
            <w:r w:rsidRPr="00E608B8">
              <w:rPr>
                <w:rFonts w:eastAsia="Times New Roman"/>
                <w:color w:val="000000"/>
                <w:kern w:val="0"/>
                <w:lang w:eastAsia="cs-CZ"/>
                <w14:ligatures w14:val="none"/>
              </w:rPr>
              <w:t> </w:t>
            </w:r>
            <w:r>
              <w:object w:dxaOrig="1411" w:dyaOrig="2061" w14:anchorId="7345E176">
                <v:shape id="_x0000_i1028" type="#_x0000_t75" style="width:68.1pt;height:101.85pt" o:ole="">
                  <v:imagedata r:id="rId21" o:title=""/>
                </v:shape>
                <o:OLEObject Type="Embed" ProgID="ACD.ChemSketch.20" ShapeID="_x0000_i1028" DrawAspect="Content" ObjectID="_1776177797" r:id="rId22"/>
              </w:object>
            </w:r>
          </w:p>
        </w:tc>
      </w:tr>
      <w:tr w:rsidR="00B24731" w:rsidRPr="00E608B8" w14:paraId="47FF8675" w14:textId="77777777" w:rsidTr="007E5FA6">
        <w:trPr>
          <w:trHeight w:val="310"/>
          <w:jc w:val="center"/>
        </w:trPr>
        <w:tc>
          <w:tcPr>
            <w:tcW w:w="1328" w:type="pct"/>
            <w:tcBorders>
              <w:top w:val="nil"/>
              <w:left w:val="nil"/>
              <w:bottom w:val="single" w:sz="4" w:space="0" w:color="auto"/>
              <w:right w:val="nil"/>
            </w:tcBorders>
            <w:shd w:val="clear" w:color="auto" w:fill="auto"/>
            <w:noWrap/>
            <w:vAlign w:val="center"/>
            <w:hideMark/>
          </w:tcPr>
          <w:p w14:paraId="479DE637" w14:textId="77777777" w:rsidR="00B24731" w:rsidRPr="00E608B8" w:rsidRDefault="00B24731" w:rsidP="007E5FA6">
            <w:pPr>
              <w:spacing w:after="0" w:line="240" w:lineRule="auto"/>
              <w:jc w:val="center"/>
              <w:rPr>
                <w:rFonts w:eastAsia="Times New Roman"/>
                <w:color w:val="000000"/>
                <w:kern w:val="0"/>
                <w:lang w:eastAsia="cs-CZ"/>
                <w14:ligatures w14:val="none"/>
              </w:rPr>
            </w:pPr>
            <w:r w:rsidRPr="00E608B8">
              <w:rPr>
                <w:rFonts w:eastAsia="Times New Roman"/>
                <w:color w:val="000000"/>
                <w:kern w:val="0"/>
                <w:lang w:eastAsia="cs-CZ"/>
                <w14:ligatures w14:val="none"/>
              </w:rPr>
              <w:t>(</w:t>
            </w:r>
            <w:proofErr w:type="gramStart"/>
            <w:r w:rsidRPr="00E608B8">
              <w:rPr>
                <w:rFonts w:eastAsia="Times New Roman"/>
                <w:color w:val="000000"/>
                <w:kern w:val="0"/>
                <w:lang w:eastAsia="cs-CZ"/>
                <w14:ligatures w14:val="none"/>
              </w:rPr>
              <w:t>+)-</w:t>
            </w:r>
            <w:proofErr w:type="spellStart"/>
            <w:proofErr w:type="gramEnd"/>
            <w:r>
              <w:rPr>
                <w:rFonts w:eastAsia="Times New Roman"/>
                <w:color w:val="000000"/>
                <w:kern w:val="0"/>
                <w:lang w:eastAsia="cs-CZ"/>
                <w14:ligatures w14:val="none"/>
              </w:rPr>
              <w:t>m</w:t>
            </w:r>
            <w:r w:rsidRPr="00E608B8">
              <w:rPr>
                <w:rFonts w:eastAsia="Times New Roman"/>
                <w:color w:val="000000"/>
                <w:kern w:val="0"/>
                <w:lang w:eastAsia="cs-CZ"/>
                <w14:ligatures w14:val="none"/>
              </w:rPr>
              <w:t>enthol</w:t>
            </w:r>
            <w:proofErr w:type="spellEnd"/>
          </w:p>
        </w:tc>
        <w:tc>
          <w:tcPr>
            <w:tcW w:w="2344" w:type="pct"/>
            <w:tcBorders>
              <w:top w:val="nil"/>
              <w:left w:val="nil"/>
              <w:bottom w:val="nil"/>
              <w:right w:val="nil"/>
            </w:tcBorders>
            <w:shd w:val="clear" w:color="auto" w:fill="auto"/>
            <w:noWrap/>
            <w:vAlign w:val="center"/>
            <w:hideMark/>
          </w:tcPr>
          <w:p w14:paraId="0F959DCE" w14:textId="77777777" w:rsidR="00B24731" w:rsidRPr="00E608B8" w:rsidRDefault="00B24731" w:rsidP="007E5FA6">
            <w:pPr>
              <w:spacing w:after="0" w:line="240" w:lineRule="auto"/>
              <w:jc w:val="center"/>
              <w:rPr>
                <w:rFonts w:eastAsia="Times New Roman"/>
                <w:i/>
                <w:iCs/>
                <w:color w:val="000000"/>
                <w:kern w:val="0"/>
                <w:lang w:eastAsia="cs-CZ"/>
                <w14:ligatures w14:val="none"/>
              </w:rPr>
            </w:pPr>
            <w:r>
              <w:rPr>
                <w:rFonts w:eastAsia="Times New Roman"/>
                <w:color w:val="000000"/>
                <w:kern w:val="0"/>
                <w:lang w:eastAsia="cs-CZ"/>
                <w14:ligatures w14:val="none"/>
              </w:rPr>
              <w:t>15356-20-4</w:t>
            </w:r>
            <w:r w:rsidRPr="00E608B8">
              <w:rPr>
                <w:rFonts w:eastAsia="Times New Roman"/>
                <w:color w:val="000000"/>
                <w:kern w:val="0"/>
                <w:lang w:eastAsia="cs-CZ"/>
                <w14:ligatures w14:val="none"/>
              </w:rPr>
              <w:t> </w:t>
            </w:r>
          </w:p>
        </w:tc>
        <w:tc>
          <w:tcPr>
            <w:tcW w:w="1328" w:type="pct"/>
            <w:tcBorders>
              <w:top w:val="nil"/>
              <w:left w:val="nil"/>
              <w:bottom w:val="nil"/>
              <w:right w:val="nil"/>
            </w:tcBorders>
            <w:shd w:val="clear" w:color="auto" w:fill="auto"/>
            <w:noWrap/>
            <w:vAlign w:val="center"/>
            <w:hideMark/>
          </w:tcPr>
          <w:p w14:paraId="79D3A8CC" w14:textId="77777777" w:rsidR="00B24731" w:rsidRPr="00E608B8" w:rsidRDefault="00B24731" w:rsidP="007E5FA6">
            <w:pPr>
              <w:spacing w:after="0" w:line="240" w:lineRule="auto"/>
              <w:jc w:val="center"/>
              <w:rPr>
                <w:rFonts w:eastAsia="Times New Roman"/>
                <w:color w:val="000000"/>
                <w:kern w:val="0"/>
                <w:lang w:eastAsia="cs-CZ"/>
                <w14:ligatures w14:val="none"/>
              </w:rPr>
            </w:pPr>
            <w:r w:rsidRPr="00E608B8">
              <w:rPr>
                <w:rFonts w:eastAsia="Times New Roman"/>
                <w:color w:val="000000"/>
                <w:kern w:val="0"/>
                <w:lang w:eastAsia="cs-CZ"/>
                <w14:ligatures w14:val="none"/>
              </w:rPr>
              <w:t> </w:t>
            </w:r>
            <w:r>
              <w:object w:dxaOrig="1801" w:dyaOrig="2151" w14:anchorId="5AE76673">
                <v:shape id="_x0000_i1029" type="#_x0000_t75" style="width:88.2pt;height:107.7pt" o:ole="">
                  <v:imagedata r:id="rId23" o:title=""/>
                </v:shape>
                <o:OLEObject Type="Embed" ProgID="ACD.ChemSketch.20" ShapeID="_x0000_i1029" DrawAspect="Content" ObjectID="_1776177798" r:id="rId24"/>
              </w:object>
            </w:r>
          </w:p>
        </w:tc>
      </w:tr>
      <w:tr w:rsidR="00B24731" w:rsidRPr="00E608B8" w14:paraId="5B3129A1" w14:textId="77777777" w:rsidTr="007E5FA6">
        <w:trPr>
          <w:trHeight w:val="310"/>
          <w:jc w:val="center"/>
        </w:trPr>
        <w:tc>
          <w:tcPr>
            <w:tcW w:w="1328" w:type="pct"/>
            <w:tcBorders>
              <w:top w:val="nil"/>
              <w:left w:val="nil"/>
              <w:bottom w:val="single" w:sz="12" w:space="0" w:color="auto"/>
              <w:right w:val="nil"/>
            </w:tcBorders>
            <w:shd w:val="clear" w:color="auto" w:fill="auto"/>
            <w:noWrap/>
            <w:vAlign w:val="center"/>
            <w:hideMark/>
          </w:tcPr>
          <w:p w14:paraId="30D60328" w14:textId="77777777" w:rsidR="00B24731" w:rsidRPr="00E608B8" w:rsidRDefault="00B24731" w:rsidP="007E5FA6">
            <w:pPr>
              <w:spacing w:after="0" w:line="240" w:lineRule="auto"/>
              <w:jc w:val="center"/>
              <w:rPr>
                <w:rFonts w:eastAsia="Times New Roman"/>
                <w:color w:val="000000"/>
                <w:kern w:val="0"/>
                <w:lang w:eastAsia="cs-CZ"/>
                <w14:ligatures w14:val="none"/>
              </w:rPr>
            </w:pPr>
            <w:r w:rsidRPr="00E608B8">
              <w:rPr>
                <w:rFonts w:eastAsia="Times New Roman"/>
                <w:color w:val="000000"/>
                <w:kern w:val="0"/>
                <w:lang w:eastAsia="cs-CZ"/>
                <w14:ligatures w14:val="none"/>
              </w:rPr>
              <w:t>(</w:t>
            </w:r>
            <w:proofErr w:type="gramStart"/>
            <w:r w:rsidRPr="00E608B8">
              <w:rPr>
                <w:rFonts w:eastAsia="Times New Roman"/>
                <w:color w:val="000000"/>
                <w:kern w:val="0"/>
                <w:lang w:eastAsia="cs-CZ"/>
                <w14:ligatures w14:val="none"/>
              </w:rPr>
              <w:t>-)-</w:t>
            </w:r>
            <w:proofErr w:type="spellStart"/>
            <w:proofErr w:type="gramEnd"/>
            <w:r>
              <w:rPr>
                <w:rFonts w:eastAsia="Times New Roman"/>
                <w:color w:val="000000"/>
                <w:kern w:val="0"/>
                <w:lang w:eastAsia="cs-CZ"/>
                <w14:ligatures w14:val="none"/>
              </w:rPr>
              <w:t>m</w:t>
            </w:r>
            <w:r w:rsidRPr="00E608B8">
              <w:rPr>
                <w:rFonts w:eastAsia="Times New Roman"/>
                <w:color w:val="000000"/>
                <w:kern w:val="0"/>
                <w:lang w:eastAsia="cs-CZ"/>
                <w14:ligatures w14:val="none"/>
              </w:rPr>
              <w:t>enthol</w:t>
            </w:r>
            <w:proofErr w:type="spellEnd"/>
          </w:p>
        </w:tc>
        <w:tc>
          <w:tcPr>
            <w:tcW w:w="2344" w:type="pct"/>
            <w:tcBorders>
              <w:top w:val="single" w:sz="4" w:space="0" w:color="auto"/>
              <w:left w:val="nil"/>
              <w:bottom w:val="single" w:sz="12" w:space="0" w:color="auto"/>
              <w:right w:val="nil"/>
            </w:tcBorders>
            <w:shd w:val="clear" w:color="auto" w:fill="auto"/>
            <w:noWrap/>
            <w:vAlign w:val="center"/>
            <w:hideMark/>
          </w:tcPr>
          <w:p w14:paraId="1D43E868" w14:textId="107D0D66" w:rsidR="00B24731" w:rsidRPr="00E608B8" w:rsidRDefault="00B24731" w:rsidP="007E5FA6">
            <w:pPr>
              <w:spacing w:after="0" w:line="240" w:lineRule="auto"/>
              <w:jc w:val="center"/>
              <w:rPr>
                <w:rFonts w:eastAsia="Times New Roman"/>
                <w:i/>
                <w:iCs/>
                <w:color w:val="000000"/>
                <w:kern w:val="0"/>
                <w:lang w:eastAsia="cs-CZ"/>
                <w14:ligatures w14:val="none"/>
              </w:rPr>
            </w:pPr>
            <w:r>
              <w:rPr>
                <w:rFonts w:eastAsia="Times New Roman"/>
                <w:color w:val="000000"/>
                <w:kern w:val="0"/>
                <w:lang w:eastAsia="cs-CZ"/>
                <w14:ligatures w14:val="none"/>
              </w:rPr>
              <w:t>2216-51-5</w:t>
            </w:r>
          </w:p>
        </w:tc>
        <w:tc>
          <w:tcPr>
            <w:tcW w:w="1328" w:type="pct"/>
            <w:tcBorders>
              <w:top w:val="single" w:sz="4" w:space="0" w:color="auto"/>
              <w:left w:val="nil"/>
              <w:bottom w:val="single" w:sz="12" w:space="0" w:color="auto"/>
              <w:right w:val="nil"/>
            </w:tcBorders>
            <w:shd w:val="clear" w:color="auto" w:fill="auto"/>
            <w:noWrap/>
            <w:vAlign w:val="center"/>
            <w:hideMark/>
          </w:tcPr>
          <w:p w14:paraId="51378D36" w14:textId="77777777" w:rsidR="00B24731" w:rsidRPr="00E608B8" w:rsidRDefault="00B24731" w:rsidP="007E5FA6">
            <w:pPr>
              <w:spacing w:after="0" w:line="240" w:lineRule="auto"/>
              <w:jc w:val="center"/>
              <w:rPr>
                <w:rFonts w:eastAsia="Times New Roman"/>
                <w:color w:val="000000"/>
                <w:kern w:val="0"/>
                <w:lang w:eastAsia="cs-CZ"/>
                <w14:ligatures w14:val="none"/>
              </w:rPr>
            </w:pPr>
            <w:r w:rsidRPr="00E608B8">
              <w:rPr>
                <w:rFonts w:eastAsia="Times New Roman"/>
                <w:color w:val="000000"/>
                <w:kern w:val="0"/>
                <w:lang w:eastAsia="cs-CZ"/>
                <w14:ligatures w14:val="none"/>
              </w:rPr>
              <w:t> </w:t>
            </w:r>
            <w:r>
              <w:object w:dxaOrig="1811" w:dyaOrig="2151" w14:anchorId="7A5229E8">
                <v:shape id="_x0000_i1030" type="#_x0000_t75" style="width:88.2pt;height:107.7pt" o:ole="">
                  <v:imagedata r:id="rId25" o:title=""/>
                </v:shape>
                <o:OLEObject Type="Embed" ProgID="ACD.ChemSketch.20" ShapeID="_x0000_i1030" DrawAspect="Content" ObjectID="_1776177799" r:id="rId26"/>
              </w:object>
            </w:r>
          </w:p>
        </w:tc>
      </w:tr>
    </w:tbl>
    <w:p w14:paraId="750BB6F0" w14:textId="77777777" w:rsidR="00B24731" w:rsidRDefault="00B24731">
      <w:pPr>
        <w:spacing w:line="259" w:lineRule="auto"/>
        <w:jc w:val="left"/>
      </w:pPr>
    </w:p>
    <w:p w14:paraId="13C3CA3D" w14:textId="77777777" w:rsidR="00B24731" w:rsidRDefault="00B24731">
      <w:pPr>
        <w:spacing w:line="259" w:lineRule="auto"/>
        <w:jc w:val="left"/>
      </w:pPr>
      <w:r>
        <w:br w:type="page"/>
      </w:r>
    </w:p>
    <w:p w14:paraId="754A65DC" w14:textId="0684C6A4" w:rsidR="00B24731" w:rsidRPr="00B75105" w:rsidRDefault="00900710" w:rsidP="00B24731">
      <w:r>
        <w:rPr>
          <w:b/>
          <w:bCs/>
        </w:rPr>
        <w:lastRenderedPageBreak/>
        <w:t>Pokračování t</w:t>
      </w:r>
      <w:r w:rsidR="00B24731">
        <w:rPr>
          <w:b/>
          <w:bCs/>
        </w:rPr>
        <w:t>abulk</w:t>
      </w:r>
      <w:r>
        <w:rPr>
          <w:b/>
          <w:bCs/>
        </w:rPr>
        <w:t>y</w:t>
      </w:r>
      <w:r w:rsidR="00B24731">
        <w:rPr>
          <w:b/>
          <w:bCs/>
        </w:rPr>
        <w:t xml:space="preserve"> </w:t>
      </w:r>
      <w:r w:rsidR="00471E95">
        <w:rPr>
          <w:b/>
          <w:bCs/>
        </w:rPr>
        <w:t>1</w:t>
      </w:r>
      <w:r w:rsidR="00B24731">
        <w:rPr>
          <w:b/>
          <w:bCs/>
        </w:rPr>
        <w:t xml:space="preserve">: </w:t>
      </w:r>
      <w:r w:rsidR="00B24731">
        <w:t>Přehled testovaných monocyklických monoterpenoidů</w:t>
      </w:r>
    </w:p>
    <w:tbl>
      <w:tblPr>
        <w:tblW w:w="5000" w:type="pct"/>
        <w:jc w:val="center"/>
        <w:tblLayout w:type="fixed"/>
        <w:tblCellMar>
          <w:left w:w="70" w:type="dxa"/>
          <w:right w:w="70" w:type="dxa"/>
        </w:tblCellMar>
        <w:tblLook w:val="04A0" w:firstRow="1" w:lastRow="0" w:firstColumn="1" w:lastColumn="0" w:noHBand="0" w:noVBand="1"/>
      </w:tblPr>
      <w:tblGrid>
        <w:gridCol w:w="1984"/>
        <w:gridCol w:w="4678"/>
        <w:gridCol w:w="2410"/>
      </w:tblGrid>
      <w:tr w:rsidR="00900710" w:rsidRPr="00C6424A" w14:paraId="59CA6C07" w14:textId="77777777" w:rsidTr="00C4741E">
        <w:trPr>
          <w:trHeight w:val="320"/>
          <w:jc w:val="center"/>
        </w:trPr>
        <w:tc>
          <w:tcPr>
            <w:tcW w:w="1094" w:type="pct"/>
            <w:tcBorders>
              <w:top w:val="single" w:sz="12" w:space="0" w:color="auto"/>
              <w:left w:val="nil"/>
              <w:bottom w:val="single" w:sz="12" w:space="0" w:color="auto"/>
              <w:right w:val="nil"/>
            </w:tcBorders>
            <w:shd w:val="clear" w:color="auto" w:fill="auto"/>
            <w:noWrap/>
            <w:vAlign w:val="center"/>
            <w:hideMark/>
          </w:tcPr>
          <w:p w14:paraId="4D268BFF" w14:textId="77777777" w:rsidR="00900710" w:rsidRPr="00C6424A" w:rsidRDefault="00900710" w:rsidP="007E5FA6">
            <w:pPr>
              <w:spacing w:after="0" w:line="240" w:lineRule="auto"/>
              <w:jc w:val="center"/>
              <w:rPr>
                <w:rFonts w:eastAsia="Times New Roman"/>
                <w:b/>
                <w:bCs/>
                <w:color w:val="000000"/>
                <w:kern w:val="0"/>
                <w:lang w:eastAsia="cs-CZ"/>
                <w14:ligatures w14:val="none"/>
              </w:rPr>
            </w:pPr>
            <w:r w:rsidRPr="00C6424A">
              <w:rPr>
                <w:rFonts w:eastAsia="Times New Roman"/>
                <w:b/>
                <w:bCs/>
                <w:color w:val="000000"/>
                <w:kern w:val="0"/>
                <w:lang w:eastAsia="cs-CZ"/>
                <w14:ligatures w14:val="none"/>
              </w:rPr>
              <w:t>Názvy látek</w:t>
            </w:r>
          </w:p>
        </w:tc>
        <w:tc>
          <w:tcPr>
            <w:tcW w:w="2578" w:type="pct"/>
            <w:tcBorders>
              <w:top w:val="single" w:sz="12" w:space="0" w:color="auto"/>
              <w:left w:val="nil"/>
              <w:bottom w:val="single" w:sz="12" w:space="0" w:color="auto"/>
              <w:right w:val="nil"/>
            </w:tcBorders>
            <w:shd w:val="clear" w:color="auto" w:fill="auto"/>
            <w:noWrap/>
            <w:vAlign w:val="center"/>
            <w:hideMark/>
          </w:tcPr>
          <w:p w14:paraId="5AD59A30" w14:textId="77777777" w:rsidR="00900710" w:rsidRPr="00C6424A" w:rsidRDefault="00900710" w:rsidP="007E5FA6">
            <w:pPr>
              <w:spacing w:after="0" w:line="240" w:lineRule="auto"/>
              <w:jc w:val="center"/>
              <w:rPr>
                <w:rFonts w:eastAsia="Times New Roman"/>
                <w:b/>
                <w:bCs/>
                <w:color w:val="000000"/>
                <w:kern w:val="0"/>
                <w:lang w:eastAsia="cs-CZ"/>
                <w14:ligatures w14:val="none"/>
              </w:rPr>
            </w:pPr>
            <w:r>
              <w:rPr>
                <w:rFonts w:eastAsia="Times New Roman"/>
                <w:b/>
                <w:bCs/>
                <w:color w:val="000000"/>
                <w:kern w:val="0"/>
                <w:lang w:eastAsia="cs-CZ"/>
                <w14:ligatures w14:val="none"/>
              </w:rPr>
              <w:t>Identifikátor látky CAS No.</w:t>
            </w:r>
          </w:p>
        </w:tc>
        <w:tc>
          <w:tcPr>
            <w:tcW w:w="1328" w:type="pct"/>
            <w:tcBorders>
              <w:top w:val="single" w:sz="12" w:space="0" w:color="auto"/>
              <w:left w:val="nil"/>
              <w:bottom w:val="single" w:sz="12" w:space="0" w:color="auto"/>
              <w:right w:val="nil"/>
            </w:tcBorders>
            <w:shd w:val="clear" w:color="auto" w:fill="auto"/>
            <w:noWrap/>
            <w:vAlign w:val="center"/>
            <w:hideMark/>
          </w:tcPr>
          <w:p w14:paraId="4F891A7F" w14:textId="77777777" w:rsidR="00900710" w:rsidRPr="00C6424A" w:rsidRDefault="00900710" w:rsidP="007E5FA6">
            <w:pPr>
              <w:spacing w:after="0" w:line="240" w:lineRule="auto"/>
              <w:jc w:val="center"/>
              <w:rPr>
                <w:rFonts w:eastAsia="Times New Roman"/>
                <w:b/>
                <w:bCs/>
                <w:color w:val="000000"/>
                <w:kern w:val="0"/>
                <w:lang w:eastAsia="cs-CZ"/>
                <w14:ligatures w14:val="none"/>
              </w:rPr>
            </w:pPr>
            <w:r w:rsidRPr="00C6424A">
              <w:rPr>
                <w:rFonts w:eastAsia="Times New Roman"/>
                <w:b/>
                <w:bCs/>
                <w:color w:val="000000"/>
                <w:kern w:val="0"/>
                <w:lang w:eastAsia="cs-CZ"/>
                <w14:ligatures w14:val="none"/>
              </w:rPr>
              <w:t>Chemická struktura</w:t>
            </w:r>
          </w:p>
        </w:tc>
      </w:tr>
      <w:tr w:rsidR="00900710" w:rsidRPr="00C6424A" w14:paraId="123A8140" w14:textId="77777777" w:rsidTr="00C4741E">
        <w:trPr>
          <w:trHeight w:val="320"/>
          <w:jc w:val="center"/>
        </w:trPr>
        <w:tc>
          <w:tcPr>
            <w:tcW w:w="1094" w:type="pct"/>
            <w:tcBorders>
              <w:top w:val="nil"/>
              <w:left w:val="nil"/>
              <w:bottom w:val="single" w:sz="4" w:space="0" w:color="auto"/>
              <w:right w:val="nil"/>
            </w:tcBorders>
            <w:shd w:val="clear" w:color="auto" w:fill="auto"/>
            <w:noWrap/>
            <w:vAlign w:val="center"/>
            <w:hideMark/>
          </w:tcPr>
          <w:p w14:paraId="459F25FB" w14:textId="2D5DBEF2" w:rsidR="00900710" w:rsidRPr="00C6424A" w:rsidRDefault="00C4741E" w:rsidP="007E5FA6">
            <w:pPr>
              <w:spacing w:after="0" w:line="240" w:lineRule="auto"/>
              <w:jc w:val="center"/>
              <w:rPr>
                <w:rFonts w:eastAsia="Times New Roman"/>
                <w:color w:val="000000"/>
                <w:kern w:val="0"/>
                <w:lang w:eastAsia="cs-CZ"/>
                <w14:ligatures w14:val="none"/>
              </w:rPr>
            </w:pPr>
            <w:r>
              <w:rPr>
                <w:rFonts w:eastAsia="Times New Roman"/>
                <w:color w:val="000000"/>
                <w:kern w:val="0"/>
                <w:lang w:eastAsia="cs-CZ"/>
                <w14:ligatures w14:val="none"/>
              </w:rPr>
              <w:t>3-</w:t>
            </w:r>
            <w:r w:rsidR="00900710">
              <w:rPr>
                <w:rFonts w:eastAsia="Times New Roman"/>
                <w:color w:val="000000"/>
                <w:kern w:val="0"/>
                <w:lang w:eastAsia="cs-CZ"/>
                <w14:ligatures w14:val="none"/>
              </w:rPr>
              <w:t>m</w:t>
            </w:r>
            <w:r w:rsidR="00900710" w:rsidRPr="00C6424A">
              <w:rPr>
                <w:rFonts w:eastAsia="Times New Roman"/>
                <w:color w:val="000000"/>
                <w:kern w:val="0"/>
                <w:lang w:eastAsia="cs-CZ"/>
                <w14:ligatures w14:val="none"/>
              </w:rPr>
              <w:t>ethyl</w:t>
            </w:r>
            <w:r>
              <w:rPr>
                <w:rFonts w:eastAsia="Times New Roman"/>
                <w:color w:val="000000"/>
                <w:kern w:val="0"/>
                <w:lang w:eastAsia="cs-CZ"/>
                <w14:ligatures w14:val="none"/>
              </w:rPr>
              <w:t>-S</w:t>
            </w:r>
            <w:r w:rsidR="00900710">
              <w:rPr>
                <w:rFonts w:eastAsia="Times New Roman"/>
                <w:color w:val="000000"/>
                <w:kern w:val="0"/>
                <w:lang w:eastAsia="cs-CZ"/>
                <w14:ligatures w14:val="none"/>
              </w:rPr>
              <w:t>-k</w:t>
            </w:r>
            <w:r w:rsidR="00900710" w:rsidRPr="00C6424A">
              <w:rPr>
                <w:rFonts w:eastAsia="Times New Roman"/>
                <w:color w:val="000000"/>
                <w:kern w:val="0"/>
                <w:lang w:eastAsia="cs-CZ"/>
                <w14:ligatures w14:val="none"/>
              </w:rPr>
              <w:t>arvon</w:t>
            </w:r>
          </w:p>
        </w:tc>
        <w:tc>
          <w:tcPr>
            <w:tcW w:w="2578" w:type="pct"/>
            <w:tcBorders>
              <w:top w:val="nil"/>
              <w:left w:val="nil"/>
              <w:bottom w:val="single" w:sz="4" w:space="0" w:color="auto"/>
              <w:right w:val="nil"/>
            </w:tcBorders>
            <w:shd w:val="clear" w:color="auto" w:fill="auto"/>
            <w:noWrap/>
            <w:vAlign w:val="center"/>
            <w:hideMark/>
          </w:tcPr>
          <w:p w14:paraId="0580D512" w14:textId="3CFB9E3C" w:rsidR="00900710" w:rsidRPr="00C50C67" w:rsidRDefault="00C4741E" w:rsidP="007E5FA6">
            <w:pPr>
              <w:spacing w:after="0" w:line="240" w:lineRule="auto"/>
              <w:jc w:val="center"/>
              <w:rPr>
                <w:rFonts w:eastAsia="Times New Roman"/>
                <w:i/>
                <w:iCs/>
                <w:color w:val="000000"/>
                <w:kern w:val="0"/>
                <w:lang w:eastAsia="cs-CZ"/>
                <w14:ligatures w14:val="none"/>
              </w:rPr>
            </w:pPr>
            <w:r w:rsidRPr="00C4741E">
              <w:rPr>
                <w:rFonts w:eastAsia="Times New Roman"/>
                <w:color w:val="000000"/>
                <w:kern w:val="0"/>
                <w:lang w:eastAsia="cs-CZ"/>
                <w14:ligatures w14:val="none"/>
              </w:rPr>
              <w:t>85710-66-3</w:t>
            </w:r>
          </w:p>
        </w:tc>
        <w:tc>
          <w:tcPr>
            <w:tcW w:w="1328" w:type="pct"/>
            <w:tcBorders>
              <w:top w:val="nil"/>
              <w:left w:val="nil"/>
              <w:bottom w:val="single" w:sz="4" w:space="0" w:color="auto"/>
              <w:right w:val="nil"/>
            </w:tcBorders>
            <w:shd w:val="clear" w:color="auto" w:fill="auto"/>
            <w:noWrap/>
            <w:vAlign w:val="center"/>
            <w:hideMark/>
          </w:tcPr>
          <w:p w14:paraId="3A7AC092" w14:textId="77777777" w:rsidR="00900710" w:rsidRPr="00C6424A" w:rsidRDefault="00900710" w:rsidP="007E5FA6">
            <w:pPr>
              <w:spacing w:after="0" w:line="240" w:lineRule="auto"/>
              <w:jc w:val="center"/>
              <w:rPr>
                <w:rFonts w:eastAsia="Times New Roman"/>
                <w:color w:val="000000"/>
                <w:kern w:val="0"/>
                <w:lang w:eastAsia="cs-CZ"/>
                <w14:ligatures w14:val="none"/>
              </w:rPr>
            </w:pPr>
            <w:r w:rsidRPr="00C6424A">
              <w:rPr>
                <w:rFonts w:eastAsia="Times New Roman"/>
                <w:color w:val="000000"/>
                <w:kern w:val="0"/>
                <w:lang w:eastAsia="cs-CZ"/>
                <w14:ligatures w14:val="none"/>
              </w:rPr>
              <w:t> </w:t>
            </w:r>
            <w:r>
              <w:object w:dxaOrig="1891" w:dyaOrig="2161" w14:anchorId="39DDFF73">
                <v:shape id="_x0000_i1031" type="#_x0000_t75" style="width:92.75pt;height:108.3pt" o:ole="">
                  <v:imagedata r:id="rId27" o:title=""/>
                </v:shape>
                <o:OLEObject Type="Embed" ProgID="ACD.ChemSketch.20" ShapeID="_x0000_i1031" DrawAspect="Content" ObjectID="_1776177800" r:id="rId28"/>
              </w:object>
            </w:r>
          </w:p>
        </w:tc>
      </w:tr>
      <w:tr w:rsidR="00900710" w:rsidRPr="00C6424A" w14:paraId="218AA9C2" w14:textId="77777777" w:rsidTr="00C4741E">
        <w:trPr>
          <w:trHeight w:val="310"/>
          <w:jc w:val="center"/>
        </w:trPr>
        <w:tc>
          <w:tcPr>
            <w:tcW w:w="1094" w:type="pct"/>
            <w:tcBorders>
              <w:top w:val="nil"/>
              <w:left w:val="nil"/>
              <w:bottom w:val="single" w:sz="4" w:space="0" w:color="auto"/>
              <w:right w:val="nil"/>
            </w:tcBorders>
            <w:shd w:val="clear" w:color="auto" w:fill="auto"/>
            <w:noWrap/>
            <w:vAlign w:val="center"/>
            <w:hideMark/>
          </w:tcPr>
          <w:p w14:paraId="697D306A" w14:textId="77777777" w:rsidR="00900710" w:rsidRPr="00C6424A" w:rsidRDefault="00900710" w:rsidP="007E5FA6">
            <w:pPr>
              <w:spacing w:after="0" w:line="240" w:lineRule="auto"/>
              <w:jc w:val="center"/>
              <w:rPr>
                <w:rFonts w:eastAsia="Times New Roman"/>
                <w:color w:val="000000"/>
                <w:kern w:val="0"/>
                <w:lang w:eastAsia="cs-CZ"/>
                <w14:ligatures w14:val="none"/>
              </w:rPr>
            </w:pPr>
            <w:r w:rsidRPr="00C6424A">
              <w:rPr>
                <w:rFonts w:eastAsia="Times New Roman"/>
                <w:color w:val="000000"/>
                <w:kern w:val="0"/>
                <w:lang w:eastAsia="cs-CZ"/>
                <w14:ligatures w14:val="none"/>
              </w:rPr>
              <w:t>S-</w:t>
            </w:r>
            <w:proofErr w:type="spellStart"/>
            <w:r>
              <w:rPr>
                <w:rFonts w:eastAsia="Times New Roman"/>
                <w:color w:val="000000"/>
                <w:kern w:val="0"/>
                <w:lang w:eastAsia="cs-CZ"/>
                <w14:ligatures w14:val="none"/>
              </w:rPr>
              <w:t>k</w:t>
            </w:r>
            <w:r w:rsidRPr="00C6424A">
              <w:rPr>
                <w:rFonts w:eastAsia="Times New Roman"/>
                <w:color w:val="000000"/>
                <w:kern w:val="0"/>
                <w:lang w:eastAsia="cs-CZ"/>
                <w14:ligatures w14:val="none"/>
              </w:rPr>
              <w:t>arvon</w:t>
            </w:r>
            <w:proofErr w:type="spellEnd"/>
          </w:p>
        </w:tc>
        <w:tc>
          <w:tcPr>
            <w:tcW w:w="2578" w:type="pct"/>
            <w:tcBorders>
              <w:top w:val="nil"/>
              <w:left w:val="nil"/>
              <w:bottom w:val="single" w:sz="4" w:space="0" w:color="auto"/>
              <w:right w:val="nil"/>
            </w:tcBorders>
            <w:shd w:val="clear" w:color="auto" w:fill="auto"/>
            <w:noWrap/>
            <w:vAlign w:val="center"/>
            <w:hideMark/>
          </w:tcPr>
          <w:p w14:paraId="02B74D3F" w14:textId="1BF2443B" w:rsidR="00900710" w:rsidRPr="00C6424A" w:rsidRDefault="00900710" w:rsidP="007E5FA6">
            <w:pPr>
              <w:spacing w:after="0" w:line="240" w:lineRule="auto"/>
              <w:jc w:val="center"/>
              <w:rPr>
                <w:rFonts w:eastAsia="Times New Roman"/>
                <w:color w:val="000000"/>
                <w:kern w:val="0"/>
                <w:lang w:eastAsia="cs-CZ"/>
                <w14:ligatures w14:val="none"/>
              </w:rPr>
            </w:pPr>
            <w:r w:rsidRPr="00F001F3">
              <w:rPr>
                <w:rFonts w:eastAsia="Times New Roman"/>
                <w:color w:val="000000"/>
                <w:kern w:val="0"/>
                <w:lang w:eastAsia="cs-CZ"/>
                <w14:ligatures w14:val="none"/>
              </w:rPr>
              <w:t>2244-16-8</w:t>
            </w:r>
          </w:p>
        </w:tc>
        <w:tc>
          <w:tcPr>
            <w:tcW w:w="1328" w:type="pct"/>
            <w:tcBorders>
              <w:top w:val="nil"/>
              <w:left w:val="nil"/>
              <w:bottom w:val="single" w:sz="4" w:space="0" w:color="auto"/>
              <w:right w:val="nil"/>
            </w:tcBorders>
            <w:shd w:val="clear" w:color="auto" w:fill="auto"/>
            <w:noWrap/>
            <w:vAlign w:val="center"/>
            <w:hideMark/>
          </w:tcPr>
          <w:p w14:paraId="4D1B0B3B" w14:textId="77777777" w:rsidR="00900710" w:rsidRPr="00C6424A" w:rsidRDefault="00900710" w:rsidP="007E5FA6">
            <w:pPr>
              <w:spacing w:after="0" w:line="240" w:lineRule="auto"/>
              <w:jc w:val="center"/>
              <w:rPr>
                <w:rFonts w:eastAsia="Times New Roman"/>
                <w:color w:val="000000"/>
                <w:kern w:val="0"/>
                <w:lang w:eastAsia="cs-CZ"/>
                <w14:ligatures w14:val="none"/>
              </w:rPr>
            </w:pPr>
            <w:r w:rsidRPr="00C6424A">
              <w:rPr>
                <w:rFonts w:eastAsia="Times New Roman"/>
                <w:color w:val="000000"/>
                <w:kern w:val="0"/>
                <w:lang w:eastAsia="cs-CZ"/>
                <w14:ligatures w14:val="none"/>
              </w:rPr>
              <w:t> </w:t>
            </w:r>
            <w:r>
              <w:object w:dxaOrig="1261" w:dyaOrig="2130" w14:anchorId="149DA656">
                <v:shape id="_x0000_i1032" type="#_x0000_t75" style="width:62.25pt;height:107.7pt" o:ole="">
                  <v:imagedata r:id="rId29" o:title=""/>
                </v:shape>
                <o:OLEObject Type="Embed" ProgID="ACD.ChemSketch.20" ShapeID="_x0000_i1032" DrawAspect="Content" ObjectID="_1776177801" r:id="rId30"/>
              </w:object>
            </w:r>
          </w:p>
        </w:tc>
      </w:tr>
      <w:tr w:rsidR="00900710" w:rsidRPr="00C6424A" w14:paraId="3F155EFE" w14:textId="77777777" w:rsidTr="00C4741E">
        <w:trPr>
          <w:trHeight w:val="310"/>
          <w:jc w:val="center"/>
        </w:trPr>
        <w:tc>
          <w:tcPr>
            <w:tcW w:w="1094" w:type="pct"/>
            <w:tcBorders>
              <w:top w:val="nil"/>
              <w:left w:val="nil"/>
              <w:bottom w:val="single" w:sz="4" w:space="0" w:color="auto"/>
              <w:right w:val="nil"/>
            </w:tcBorders>
            <w:shd w:val="clear" w:color="auto" w:fill="auto"/>
            <w:noWrap/>
            <w:vAlign w:val="center"/>
            <w:hideMark/>
          </w:tcPr>
          <w:p w14:paraId="5F9F415B" w14:textId="77777777" w:rsidR="00900710" w:rsidRPr="00C6424A" w:rsidRDefault="00900710" w:rsidP="007E5FA6">
            <w:pPr>
              <w:spacing w:after="0" w:line="240" w:lineRule="auto"/>
              <w:jc w:val="center"/>
              <w:rPr>
                <w:rFonts w:eastAsia="Times New Roman"/>
                <w:color w:val="000000"/>
                <w:kern w:val="0"/>
                <w:lang w:eastAsia="cs-CZ"/>
                <w14:ligatures w14:val="none"/>
              </w:rPr>
            </w:pPr>
            <w:r w:rsidRPr="00C6424A">
              <w:rPr>
                <w:rFonts w:eastAsia="Times New Roman"/>
                <w:color w:val="000000"/>
                <w:kern w:val="0"/>
                <w:lang w:eastAsia="cs-CZ"/>
                <w14:ligatures w14:val="none"/>
              </w:rPr>
              <w:t>R-</w:t>
            </w:r>
            <w:proofErr w:type="spellStart"/>
            <w:r>
              <w:rPr>
                <w:rFonts w:eastAsia="Times New Roman"/>
                <w:color w:val="000000"/>
                <w:kern w:val="0"/>
                <w:lang w:eastAsia="cs-CZ"/>
                <w14:ligatures w14:val="none"/>
              </w:rPr>
              <w:t>k</w:t>
            </w:r>
            <w:r w:rsidRPr="00C6424A">
              <w:rPr>
                <w:rFonts w:eastAsia="Times New Roman"/>
                <w:color w:val="000000"/>
                <w:kern w:val="0"/>
                <w:lang w:eastAsia="cs-CZ"/>
                <w14:ligatures w14:val="none"/>
              </w:rPr>
              <w:t>arvon</w:t>
            </w:r>
            <w:proofErr w:type="spellEnd"/>
          </w:p>
        </w:tc>
        <w:tc>
          <w:tcPr>
            <w:tcW w:w="2578" w:type="pct"/>
            <w:tcBorders>
              <w:top w:val="nil"/>
              <w:left w:val="nil"/>
              <w:bottom w:val="single" w:sz="4" w:space="0" w:color="auto"/>
              <w:right w:val="nil"/>
            </w:tcBorders>
            <w:shd w:val="clear" w:color="auto" w:fill="auto"/>
            <w:noWrap/>
            <w:vAlign w:val="center"/>
            <w:hideMark/>
          </w:tcPr>
          <w:p w14:paraId="7B9B1DA4" w14:textId="38305C82" w:rsidR="00900710" w:rsidRPr="00C6424A" w:rsidRDefault="00900710" w:rsidP="007E5FA6">
            <w:pPr>
              <w:spacing w:after="0" w:line="240" w:lineRule="auto"/>
              <w:jc w:val="center"/>
              <w:rPr>
                <w:rFonts w:eastAsia="Times New Roman"/>
                <w:color w:val="000000"/>
                <w:kern w:val="0"/>
                <w:lang w:eastAsia="cs-CZ"/>
                <w14:ligatures w14:val="none"/>
              </w:rPr>
            </w:pPr>
            <w:r w:rsidRPr="00DE0DF8">
              <w:rPr>
                <w:rFonts w:eastAsia="Times New Roman"/>
                <w:color w:val="000000"/>
                <w:kern w:val="0"/>
                <w:lang w:eastAsia="cs-CZ"/>
                <w14:ligatures w14:val="none"/>
              </w:rPr>
              <w:t>6485-40-1</w:t>
            </w:r>
          </w:p>
        </w:tc>
        <w:tc>
          <w:tcPr>
            <w:tcW w:w="1328" w:type="pct"/>
            <w:tcBorders>
              <w:top w:val="nil"/>
              <w:left w:val="nil"/>
              <w:bottom w:val="single" w:sz="4" w:space="0" w:color="auto"/>
              <w:right w:val="nil"/>
            </w:tcBorders>
            <w:shd w:val="clear" w:color="auto" w:fill="auto"/>
            <w:noWrap/>
            <w:vAlign w:val="center"/>
            <w:hideMark/>
          </w:tcPr>
          <w:p w14:paraId="08CD17C4" w14:textId="77777777" w:rsidR="00900710" w:rsidRPr="00C6424A" w:rsidRDefault="00900710" w:rsidP="007E5FA6">
            <w:pPr>
              <w:spacing w:after="0" w:line="240" w:lineRule="auto"/>
              <w:jc w:val="center"/>
              <w:rPr>
                <w:rFonts w:eastAsia="Times New Roman"/>
                <w:color w:val="000000"/>
                <w:kern w:val="0"/>
                <w:lang w:eastAsia="cs-CZ"/>
                <w14:ligatures w14:val="none"/>
              </w:rPr>
            </w:pPr>
            <w:r w:rsidRPr="00C6424A">
              <w:rPr>
                <w:rFonts w:eastAsia="Times New Roman"/>
                <w:color w:val="000000"/>
                <w:kern w:val="0"/>
                <w:lang w:eastAsia="cs-CZ"/>
                <w14:ligatures w14:val="none"/>
              </w:rPr>
              <w:t> </w:t>
            </w:r>
            <w:r>
              <w:object w:dxaOrig="1261" w:dyaOrig="2130" w14:anchorId="7F02F69F">
                <v:shape id="_x0000_i1033" type="#_x0000_t75" style="width:62.25pt;height:107.7pt" o:ole="">
                  <v:imagedata r:id="rId31" o:title=""/>
                </v:shape>
                <o:OLEObject Type="Embed" ProgID="ACD.ChemSketch.20" ShapeID="_x0000_i1033" DrawAspect="Content" ObjectID="_1776177802" r:id="rId32"/>
              </w:object>
            </w:r>
          </w:p>
        </w:tc>
      </w:tr>
      <w:tr w:rsidR="00900710" w:rsidRPr="00C6424A" w14:paraId="098EF76F" w14:textId="77777777" w:rsidTr="00C4741E">
        <w:trPr>
          <w:trHeight w:val="310"/>
          <w:jc w:val="center"/>
        </w:trPr>
        <w:tc>
          <w:tcPr>
            <w:tcW w:w="1094" w:type="pct"/>
            <w:tcBorders>
              <w:top w:val="nil"/>
              <w:left w:val="nil"/>
              <w:bottom w:val="nil"/>
              <w:right w:val="nil"/>
            </w:tcBorders>
            <w:shd w:val="clear" w:color="auto" w:fill="auto"/>
            <w:noWrap/>
            <w:vAlign w:val="center"/>
            <w:hideMark/>
          </w:tcPr>
          <w:p w14:paraId="31EA173B" w14:textId="77777777" w:rsidR="00900710" w:rsidRPr="00C50C67" w:rsidRDefault="00900710" w:rsidP="007E5FA6">
            <w:pPr>
              <w:spacing w:after="0" w:line="240" w:lineRule="auto"/>
              <w:jc w:val="center"/>
              <w:rPr>
                <w:rFonts w:eastAsia="Times New Roman"/>
                <w:color w:val="000000"/>
                <w:kern w:val="0"/>
                <w:lang w:eastAsia="cs-CZ"/>
                <w14:ligatures w14:val="none"/>
              </w:rPr>
            </w:pPr>
            <w:r w:rsidRPr="00C50C67">
              <w:rPr>
                <w:rFonts w:eastAsia="Times New Roman"/>
                <w:color w:val="000000"/>
                <w:kern w:val="0"/>
                <w:lang w:eastAsia="cs-CZ"/>
                <w14:ligatures w14:val="none"/>
              </w:rPr>
              <w:t>EN2</w:t>
            </w:r>
          </w:p>
        </w:tc>
        <w:tc>
          <w:tcPr>
            <w:tcW w:w="2578" w:type="pct"/>
            <w:tcBorders>
              <w:top w:val="nil"/>
              <w:left w:val="nil"/>
              <w:bottom w:val="nil"/>
              <w:right w:val="nil"/>
            </w:tcBorders>
            <w:shd w:val="clear" w:color="auto" w:fill="auto"/>
            <w:noWrap/>
            <w:vAlign w:val="center"/>
            <w:hideMark/>
          </w:tcPr>
          <w:p w14:paraId="7C8A0DEB" w14:textId="547A2498" w:rsidR="00900710" w:rsidRPr="00C50C67" w:rsidRDefault="00E04093" w:rsidP="007E5FA6">
            <w:pPr>
              <w:spacing w:after="0" w:line="240" w:lineRule="auto"/>
              <w:jc w:val="center"/>
              <w:rPr>
                <w:rFonts w:eastAsia="Times New Roman"/>
                <w:color w:val="000000"/>
                <w:kern w:val="0"/>
                <w:lang w:eastAsia="cs-CZ"/>
                <w14:ligatures w14:val="none"/>
              </w:rPr>
            </w:pPr>
            <w:r w:rsidRPr="00E04093">
              <w:rPr>
                <w:rFonts w:eastAsia="Times New Roman"/>
                <w:color w:val="000000"/>
                <w:kern w:val="0"/>
                <w:lang w:eastAsia="cs-CZ"/>
                <w14:ligatures w14:val="none"/>
              </w:rPr>
              <w:t>43205-82-9</w:t>
            </w:r>
          </w:p>
        </w:tc>
        <w:tc>
          <w:tcPr>
            <w:tcW w:w="1328" w:type="pct"/>
            <w:tcBorders>
              <w:top w:val="nil"/>
              <w:left w:val="nil"/>
              <w:bottom w:val="nil"/>
              <w:right w:val="nil"/>
            </w:tcBorders>
            <w:shd w:val="clear" w:color="auto" w:fill="auto"/>
            <w:noWrap/>
            <w:vAlign w:val="center"/>
            <w:hideMark/>
          </w:tcPr>
          <w:p w14:paraId="5744E841" w14:textId="77777777" w:rsidR="00900710" w:rsidRPr="00C6424A" w:rsidRDefault="00900710" w:rsidP="007E5FA6">
            <w:pPr>
              <w:spacing w:after="0" w:line="240" w:lineRule="auto"/>
              <w:jc w:val="center"/>
              <w:rPr>
                <w:rFonts w:eastAsia="Times New Roman"/>
                <w:color w:val="000000"/>
                <w:kern w:val="0"/>
                <w:lang w:eastAsia="cs-CZ"/>
                <w14:ligatures w14:val="none"/>
              </w:rPr>
            </w:pPr>
            <w:r w:rsidRPr="00C50C67">
              <w:rPr>
                <w:rFonts w:eastAsia="Times New Roman"/>
                <w:color w:val="000000"/>
                <w:kern w:val="0"/>
                <w:lang w:eastAsia="cs-CZ"/>
                <w14:ligatures w14:val="none"/>
              </w:rPr>
              <w:t> </w:t>
            </w:r>
            <w:r w:rsidRPr="00C50C67">
              <w:object w:dxaOrig="1411" w:dyaOrig="2061" w14:anchorId="2FBC399C">
                <v:shape id="_x0000_i1034" type="#_x0000_t75" style="width:68.1pt;height:101.85pt" o:ole="">
                  <v:imagedata r:id="rId33" o:title=""/>
                </v:shape>
                <o:OLEObject Type="Embed" ProgID="ACD.ChemSketch.20" ShapeID="_x0000_i1034" DrawAspect="Content" ObjectID="_1776177803" r:id="rId34"/>
              </w:object>
            </w:r>
          </w:p>
        </w:tc>
      </w:tr>
      <w:tr w:rsidR="00900710" w:rsidRPr="00C6424A" w14:paraId="3B6D9E7B" w14:textId="77777777" w:rsidTr="00C4741E">
        <w:trPr>
          <w:trHeight w:val="310"/>
          <w:jc w:val="center"/>
        </w:trPr>
        <w:tc>
          <w:tcPr>
            <w:tcW w:w="1094" w:type="pct"/>
            <w:tcBorders>
              <w:top w:val="single" w:sz="4" w:space="0" w:color="auto"/>
              <w:left w:val="nil"/>
              <w:bottom w:val="single" w:sz="4" w:space="0" w:color="auto"/>
              <w:right w:val="nil"/>
            </w:tcBorders>
            <w:shd w:val="clear" w:color="auto" w:fill="auto"/>
            <w:noWrap/>
            <w:vAlign w:val="center"/>
            <w:hideMark/>
          </w:tcPr>
          <w:p w14:paraId="4CB70D6E" w14:textId="77777777" w:rsidR="00900710" w:rsidRPr="00C6424A" w:rsidRDefault="00900710" w:rsidP="007E5FA6">
            <w:pPr>
              <w:spacing w:after="0" w:line="240" w:lineRule="auto"/>
              <w:jc w:val="center"/>
              <w:rPr>
                <w:rFonts w:eastAsia="Times New Roman"/>
                <w:color w:val="000000"/>
                <w:kern w:val="0"/>
                <w:lang w:eastAsia="cs-CZ"/>
                <w14:ligatures w14:val="none"/>
              </w:rPr>
            </w:pPr>
            <w:proofErr w:type="spellStart"/>
            <w:r>
              <w:rPr>
                <w:rFonts w:eastAsia="Times New Roman"/>
                <w:color w:val="000000"/>
                <w:kern w:val="0"/>
                <w:lang w:eastAsia="cs-CZ"/>
                <w14:ligatures w14:val="none"/>
              </w:rPr>
              <w:t>p</w:t>
            </w:r>
            <w:r w:rsidRPr="00C6424A">
              <w:rPr>
                <w:rFonts w:eastAsia="Times New Roman"/>
                <w:color w:val="000000"/>
                <w:kern w:val="0"/>
                <w:lang w:eastAsia="cs-CZ"/>
                <w14:ligatures w14:val="none"/>
              </w:rPr>
              <w:t>iperitenon</w:t>
            </w:r>
            <w:proofErr w:type="spellEnd"/>
          </w:p>
        </w:tc>
        <w:tc>
          <w:tcPr>
            <w:tcW w:w="2578" w:type="pct"/>
            <w:tcBorders>
              <w:top w:val="single" w:sz="4" w:space="0" w:color="auto"/>
              <w:left w:val="nil"/>
              <w:bottom w:val="single" w:sz="4" w:space="0" w:color="auto"/>
              <w:right w:val="nil"/>
            </w:tcBorders>
            <w:shd w:val="clear" w:color="auto" w:fill="auto"/>
            <w:noWrap/>
            <w:vAlign w:val="center"/>
            <w:hideMark/>
          </w:tcPr>
          <w:p w14:paraId="258AFFF7" w14:textId="35A459A1" w:rsidR="00900710" w:rsidRPr="00C6424A" w:rsidRDefault="00900710" w:rsidP="007E5FA6">
            <w:pPr>
              <w:spacing w:after="0" w:line="240" w:lineRule="auto"/>
              <w:jc w:val="center"/>
              <w:rPr>
                <w:rFonts w:eastAsia="Times New Roman"/>
                <w:i/>
                <w:iCs/>
                <w:color w:val="000000"/>
                <w:kern w:val="0"/>
                <w:lang w:eastAsia="cs-CZ"/>
                <w14:ligatures w14:val="none"/>
              </w:rPr>
            </w:pPr>
            <w:r w:rsidRPr="005820DE">
              <w:rPr>
                <w:rFonts w:eastAsia="Times New Roman"/>
                <w:color w:val="000000"/>
                <w:kern w:val="0"/>
                <w:lang w:eastAsia="cs-CZ"/>
                <w14:ligatures w14:val="none"/>
              </w:rPr>
              <w:t>491-09-8</w:t>
            </w:r>
          </w:p>
        </w:tc>
        <w:tc>
          <w:tcPr>
            <w:tcW w:w="1328" w:type="pct"/>
            <w:tcBorders>
              <w:top w:val="single" w:sz="4" w:space="0" w:color="auto"/>
              <w:left w:val="nil"/>
              <w:bottom w:val="single" w:sz="4" w:space="0" w:color="auto"/>
              <w:right w:val="nil"/>
            </w:tcBorders>
            <w:shd w:val="clear" w:color="auto" w:fill="auto"/>
            <w:noWrap/>
            <w:vAlign w:val="center"/>
            <w:hideMark/>
          </w:tcPr>
          <w:p w14:paraId="608A79C0" w14:textId="77777777" w:rsidR="00900710" w:rsidRPr="00C6424A" w:rsidRDefault="00900710" w:rsidP="007E5FA6">
            <w:pPr>
              <w:spacing w:after="0" w:line="240" w:lineRule="auto"/>
              <w:jc w:val="center"/>
              <w:rPr>
                <w:rFonts w:eastAsia="Times New Roman"/>
                <w:color w:val="000000"/>
                <w:kern w:val="0"/>
                <w:lang w:eastAsia="cs-CZ"/>
                <w14:ligatures w14:val="none"/>
              </w:rPr>
            </w:pPr>
            <w:r w:rsidRPr="00C6424A">
              <w:rPr>
                <w:rFonts w:eastAsia="Times New Roman"/>
                <w:color w:val="000000"/>
                <w:kern w:val="0"/>
                <w:lang w:eastAsia="cs-CZ"/>
                <w14:ligatures w14:val="none"/>
              </w:rPr>
              <w:t> </w:t>
            </w:r>
            <w:r>
              <w:object w:dxaOrig="1411" w:dyaOrig="2061" w14:anchorId="62FAD549">
                <v:shape id="_x0000_i1035" type="#_x0000_t75" style="width:68.1pt;height:101.85pt" o:ole="">
                  <v:imagedata r:id="rId35" o:title=""/>
                </v:shape>
                <o:OLEObject Type="Embed" ProgID="ACD.ChemSketch.20" ShapeID="_x0000_i1035" DrawAspect="Content" ObjectID="_1776177804" r:id="rId36"/>
              </w:object>
            </w:r>
          </w:p>
        </w:tc>
      </w:tr>
      <w:tr w:rsidR="00900710" w:rsidRPr="00C6424A" w14:paraId="2CE54B8E" w14:textId="77777777" w:rsidTr="00C4741E">
        <w:trPr>
          <w:trHeight w:val="320"/>
          <w:jc w:val="center"/>
        </w:trPr>
        <w:tc>
          <w:tcPr>
            <w:tcW w:w="1094" w:type="pct"/>
            <w:tcBorders>
              <w:top w:val="nil"/>
              <w:left w:val="nil"/>
              <w:bottom w:val="single" w:sz="12" w:space="0" w:color="auto"/>
              <w:right w:val="nil"/>
            </w:tcBorders>
            <w:shd w:val="clear" w:color="auto" w:fill="auto"/>
            <w:noWrap/>
            <w:vAlign w:val="center"/>
            <w:hideMark/>
          </w:tcPr>
          <w:p w14:paraId="7765A574" w14:textId="77777777" w:rsidR="00900710" w:rsidRPr="00C6424A" w:rsidRDefault="00900710" w:rsidP="007E5FA6">
            <w:pPr>
              <w:spacing w:after="0" w:line="240" w:lineRule="auto"/>
              <w:jc w:val="center"/>
              <w:rPr>
                <w:rFonts w:eastAsia="Times New Roman"/>
                <w:color w:val="000000"/>
                <w:kern w:val="0"/>
                <w:lang w:eastAsia="cs-CZ"/>
                <w14:ligatures w14:val="none"/>
              </w:rPr>
            </w:pPr>
            <w:proofErr w:type="spellStart"/>
            <w:r>
              <w:rPr>
                <w:rFonts w:eastAsia="Times New Roman"/>
                <w:color w:val="000000"/>
                <w:kern w:val="0"/>
                <w:lang w:eastAsia="cs-CZ"/>
                <w14:ligatures w14:val="none"/>
              </w:rPr>
              <w:t>p</w:t>
            </w:r>
            <w:r w:rsidRPr="00C6424A">
              <w:rPr>
                <w:rFonts w:eastAsia="Times New Roman"/>
                <w:color w:val="000000"/>
                <w:kern w:val="0"/>
                <w:lang w:eastAsia="cs-CZ"/>
                <w14:ligatures w14:val="none"/>
              </w:rPr>
              <w:t>iperiton</w:t>
            </w:r>
            <w:proofErr w:type="spellEnd"/>
          </w:p>
        </w:tc>
        <w:tc>
          <w:tcPr>
            <w:tcW w:w="2578" w:type="pct"/>
            <w:tcBorders>
              <w:top w:val="nil"/>
              <w:left w:val="nil"/>
              <w:bottom w:val="single" w:sz="12" w:space="0" w:color="auto"/>
              <w:right w:val="nil"/>
            </w:tcBorders>
            <w:shd w:val="clear" w:color="auto" w:fill="auto"/>
            <w:noWrap/>
            <w:vAlign w:val="center"/>
            <w:hideMark/>
          </w:tcPr>
          <w:p w14:paraId="11894C01" w14:textId="7D0F3E3E" w:rsidR="00900710" w:rsidRPr="00C6424A" w:rsidRDefault="00900710" w:rsidP="007E5FA6">
            <w:pPr>
              <w:spacing w:after="0" w:line="240" w:lineRule="auto"/>
              <w:jc w:val="center"/>
              <w:rPr>
                <w:rFonts w:eastAsia="Times New Roman"/>
                <w:i/>
                <w:iCs/>
                <w:color w:val="000000"/>
                <w:kern w:val="0"/>
                <w:lang w:eastAsia="cs-CZ"/>
                <w14:ligatures w14:val="none"/>
              </w:rPr>
            </w:pPr>
            <w:r w:rsidRPr="0095396A">
              <w:rPr>
                <w:rFonts w:eastAsia="Times New Roman"/>
                <w:color w:val="000000"/>
                <w:kern w:val="0"/>
                <w:lang w:eastAsia="cs-CZ"/>
                <w14:ligatures w14:val="none"/>
              </w:rPr>
              <w:t>89-81-6</w:t>
            </w:r>
          </w:p>
        </w:tc>
        <w:tc>
          <w:tcPr>
            <w:tcW w:w="1328" w:type="pct"/>
            <w:tcBorders>
              <w:top w:val="nil"/>
              <w:left w:val="nil"/>
              <w:bottom w:val="single" w:sz="12" w:space="0" w:color="auto"/>
              <w:right w:val="nil"/>
            </w:tcBorders>
            <w:shd w:val="clear" w:color="auto" w:fill="auto"/>
            <w:noWrap/>
            <w:vAlign w:val="center"/>
            <w:hideMark/>
          </w:tcPr>
          <w:p w14:paraId="5B357563" w14:textId="77777777" w:rsidR="00900710" w:rsidRPr="00C6424A" w:rsidRDefault="00900710" w:rsidP="007E5FA6">
            <w:pPr>
              <w:spacing w:after="0" w:line="240" w:lineRule="auto"/>
              <w:jc w:val="center"/>
              <w:rPr>
                <w:rFonts w:eastAsia="Times New Roman"/>
                <w:color w:val="000000"/>
                <w:kern w:val="0"/>
                <w:lang w:eastAsia="cs-CZ"/>
                <w14:ligatures w14:val="none"/>
              </w:rPr>
            </w:pPr>
            <w:r w:rsidRPr="00C6424A">
              <w:rPr>
                <w:rFonts w:eastAsia="Times New Roman"/>
                <w:color w:val="000000"/>
                <w:kern w:val="0"/>
                <w:lang w:eastAsia="cs-CZ"/>
                <w14:ligatures w14:val="none"/>
              </w:rPr>
              <w:t> </w:t>
            </w:r>
            <w:r>
              <w:object w:dxaOrig="1411" w:dyaOrig="2051" w14:anchorId="4BD53386">
                <v:shape id="_x0000_i1036" type="#_x0000_t75" style="width:68.1pt;height:101.85pt" o:ole="">
                  <v:imagedata r:id="rId37" o:title=""/>
                </v:shape>
                <o:OLEObject Type="Embed" ProgID="ACD.ChemSketch.20" ShapeID="_x0000_i1036" DrawAspect="Content" ObjectID="_1776177805" r:id="rId38"/>
              </w:object>
            </w:r>
          </w:p>
        </w:tc>
      </w:tr>
    </w:tbl>
    <w:p w14:paraId="2798C070" w14:textId="3D3120A7" w:rsidR="00F81662" w:rsidRDefault="00C07F29" w:rsidP="00AE5FFB">
      <w:pPr>
        <w:pStyle w:val="Nadpis1"/>
      </w:pPr>
      <w:bookmarkStart w:id="19" w:name="_Toc165492888"/>
      <w:r>
        <w:lastRenderedPageBreak/>
        <w:t>4</w:t>
      </w:r>
      <w:r>
        <w:tab/>
        <w:t>MATERIÁL A METODY</w:t>
      </w:r>
      <w:bookmarkEnd w:id="19"/>
    </w:p>
    <w:p w14:paraId="56265672" w14:textId="77777777" w:rsidR="00B83087" w:rsidRPr="00B83087" w:rsidRDefault="00B83087" w:rsidP="00B83087"/>
    <w:p w14:paraId="3F93F8BF" w14:textId="3FA5E03C" w:rsidR="008F6D1E" w:rsidRPr="008F6D1E" w:rsidRDefault="00C07F29" w:rsidP="00AE5FFB">
      <w:pPr>
        <w:pStyle w:val="Nadpis2"/>
      </w:pPr>
      <w:bookmarkStart w:id="20" w:name="_Toc165492889"/>
      <w:r w:rsidRPr="008F6D1E">
        <w:t>4.1</w:t>
      </w:r>
      <w:r w:rsidRPr="008F6D1E">
        <w:tab/>
        <w:t>Biologický materiál</w:t>
      </w:r>
      <w:bookmarkEnd w:id="20"/>
    </w:p>
    <w:p w14:paraId="5C8B6457" w14:textId="1B3B3640" w:rsidR="00593AE0" w:rsidRDefault="00137785" w:rsidP="00AE5FFB">
      <w:r>
        <w:rPr>
          <w:b/>
          <w:bCs/>
        </w:rPr>
        <w:tab/>
      </w:r>
      <w:r w:rsidR="00C34FEA">
        <w:t>Pro</w:t>
      </w:r>
      <w:r w:rsidR="00986936">
        <w:t xml:space="preserve"> stanovení cytotoxicity monocyklických monoterpenoidů</w:t>
      </w:r>
      <w:r w:rsidR="009659D0">
        <w:t xml:space="preserve"> a</w:t>
      </w:r>
      <w:r w:rsidR="000B0609">
        <w:t xml:space="preserve"> pro</w:t>
      </w:r>
      <w:r w:rsidR="009659D0">
        <w:t xml:space="preserve"> reportérovou esej</w:t>
      </w:r>
      <w:r w:rsidR="00986936">
        <w:t xml:space="preserve"> byla použita </w:t>
      </w:r>
      <w:r w:rsidR="00956739">
        <w:t>lidská</w:t>
      </w:r>
      <w:r w:rsidR="00986936">
        <w:t xml:space="preserve"> buněčná linie LS180 (</w:t>
      </w:r>
      <w:r w:rsidR="007273B4">
        <w:t xml:space="preserve">ECACC, </w:t>
      </w:r>
      <w:r w:rsidR="00E45DC4" w:rsidRPr="00E45DC4">
        <w:t>kat</w:t>
      </w:r>
      <w:r w:rsidR="00827729">
        <w:t>.</w:t>
      </w:r>
      <w:r w:rsidR="00E45DC4" w:rsidRPr="00E45DC4">
        <w:t xml:space="preserve"> č</w:t>
      </w:r>
      <w:r w:rsidR="00827729">
        <w:t>.</w:t>
      </w:r>
      <w:r w:rsidR="001515D5">
        <w:t xml:space="preserve"> </w:t>
      </w:r>
      <w:r w:rsidR="001515D5" w:rsidRPr="00E45DC4">
        <w:t>87021202</w:t>
      </w:r>
      <w:r w:rsidR="00986936">
        <w:t>) odvozená od karcinomu</w:t>
      </w:r>
      <w:r w:rsidR="00EC52F1">
        <w:t xml:space="preserve"> </w:t>
      </w:r>
      <w:r w:rsidR="00D8159E">
        <w:t xml:space="preserve">tlustého </w:t>
      </w:r>
      <w:r w:rsidR="00086A5B">
        <w:t>střeva.</w:t>
      </w:r>
      <w:r w:rsidR="008A21D1">
        <w:t xml:space="preserve"> </w:t>
      </w:r>
      <w:r w:rsidR="00EC52F1">
        <w:t>Buňky byly kultivovány v</w:t>
      </w:r>
      <w:r w:rsidR="00074BCD">
        <w:t xml:space="preserve"> </w:t>
      </w:r>
      <w:r w:rsidR="00EC52F1">
        <w:t xml:space="preserve">kultivační lahvi </w:t>
      </w:r>
      <w:r w:rsidR="006F4232">
        <w:t>v</w:t>
      </w:r>
      <w:r w:rsidR="00A05DC0">
        <w:t xml:space="preserve"> </w:t>
      </w:r>
      <w:r w:rsidR="006F4232">
        <w:t>inkubátoru při 37 °C v</w:t>
      </w:r>
      <w:r w:rsidR="00A05DC0">
        <w:t xml:space="preserve"> </w:t>
      </w:r>
      <w:r w:rsidR="006F4232">
        <w:t>95% vlhkosti a</w:t>
      </w:r>
      <w:r w:rsidR="00FF4FDC">
        <w:t xml:space="preserve"> </w:t>
      </w:r>
      <w:r w:rsidR="006F4232">
        <w:t>v atmosféře obsahující 5</w:t>
      </w:r>
      <w:r w:rsidR="00F56105">
        <w:t xml:space="preserve"> </w:t>
      </w:r>
      <w:r w:rsidR="006F4232">
        <w:t>% CO</w:t>
      </w:r>
      <w:r w:rsidR="006F4232" w:rsidRPr="00C504D3">
        <w:rPr>
          <w:vertAlign w:val="subscript"/>
        </w:rPr>
        <w:t>2</w:t>
      </w:r>
      <w:r w:rsidR="006F4232">
        <w:t>. Používané buňky byly kultivovány pomocí</w:t>
      </w:r>
      <w:r w:rsidR="003D2AD7">
        <w:t xml:space="preserve"> média</w:t>
      </w:r>
      <w:r w:rsidR="006F4232">
        <w:t xml:space="preserve"> </w:t>
      </w:r>
      <w:proofErr w:type="spellStart"/>
      <w:r w:rsidR="00F73EFC">
        <w:t>Dulbecco's</w:t>
      </w:r>
      <w:proofErr w:type="spellEnd"/>
      <w:r w:rsidR="00F73EFC">
        <w:t xml:space="preserve"> </w:t>
      </w:r>
      <w:proofErr w:type="spellStart"/>
      <w:r w:rsidR="00F73EFC">
        <w:t>Modified</w:t>
      </w:r>
      <w:proofErr w:type="spellEnd"/>
      <w:r w:rsidR="00F73EFC">
        <w:t xml:space="preserve"> </w:t>
      </w:r>
      <w:proofErr w:type="spellStart"/>
      <w:r w:rsidR="00F73EFC">
        <w:t>Eagle's</w:t>
      </w:r>
      <w:proofErr w:type="spellEnd"/>
      <w:r w:rsidR="00F73EFC">
        <w:t xml:space="preserve"> Medium (</w:t>
      </w:r>
      <w:r w:rsidR="006F4232">
        <w:t>DMEM</w:t>
      </w:r>
      <w:r w:rsidR="00F73EFC">
        <w:t>)</w:t>
      </w:r>
      <w:r w:rsidR="00FF4FDC">
        <w:t xml:space="preserve"> </w:t>
      </w:r>
      <w:r w:rsidR="006F4232">
        <w:t>s</w:t>
      </w:r>
      <w:r w:rsidR="00BE72A1">
        <w:t xml:space="preserve"> </w:t>
      </w:r>
      <w:r w:rsidR="006F4232">
        <w:t>přídavkem L-glutaminu, neesenciálních aminokyselin</w:t>
      </w:r>
      <w:r w:rsidR="002F03B6">
        <w:t>, roztoku antibiotik</w:t>
      </w:r>
      <w:r w:rsidR="00FF4FDC">
        <w:t xml:space="preserve"> </w:t>
      </w:r>
      <w:r w:rsidR="002F03B6">
        <w:t>p</w:t>
      </w:r>
      <w:r w:rsidR="008E25FB">
        <w:t>enicilin</w:t>
      </w:r>
      <w:r w:rsidR="002F03B6">
        <w:t>/streptomycin</w:t>
      </w:r>
      <w:r w:rsidR="00120023">
        <w:t xml:space="preserve"> a fetálního bovinního séra.</w:t>
      </w:r>
    </w:p>
    <w:p w14:paraId="30AA4A0F" w14:textId="77777777" w:rsidR="001B1E77" w:rsidRPr="00137785" w:rsidRDefault="001B1E77" w:rsidP="00AE5FFB"/>
    <w:p w14:paraId="6DAA21E1" w14:textId="41DC02FB" w:rsidR="00A120E0" w:rsidRDefault="00A120E0" w:rsidP="00AE5FFB">
      <w:pPr>
        <w:pStyle w:val="Nadpis2"/>
      </w:pPr>
      <w:bookmarkStart w:id="21" w:name="_Toc165492890"/>
      <w:r>
        <w:t>4.2</w:t>
      </w:r>
      <w:r>
        <w:tab/>
        <w:t>Použité chemikálie, soupravy a roztoky</w:t>
      </w:r>
      <w:bookmarkEnd w:id="21"/>
    </w:p>
    <w:p w14:paraId="3CE5A915" w14:textId="77777777" w:rsidR="003F3138" w:rsidRDefault="004B2484" w:rsidP="00F248F0">
      <w:pPr>
        <w:ind w:left="357" w:firstLine="708"/>
        <w:rPr>
          <w:b/>
          <w:bCs/>
        </w:rPr>
      </w:pPr>
      <w:r w:rsidRPr="004B2484">
        <w:rPr>
          <w:b/>
          <w:bCs/>
        </w:rPr>
        <w:t>Použité chemikálie</w:t>
      </w:r>
      <w:bookmarkStart w:id="22" w:name="OLE_LINK1"/>
    </w:p>
    <w:p w14:paraId="28D5FA5F" w14:textId="69609815" w:rsidR="00E15601" w:rsidRPr="00090913" w:rsidRDefault="00E15601" w:rsidP="00AE5FFB">
      <w:pPr>
        <w:pStyle w:val="Odstavecseseznamem"/>
        <w:numPr>
          <w:ilvl w:val="0"/>
          <w:numId w:val="2"/>
        </w:numPr>
      </w:pPr>
      <w:bookmarkStart w:id="23" w:name="OLE_LINK5"/>
      <w:bookmarkEnd w:id="22"/>
      <w:r>
        <w:t>(</w:t>
      </w:r>
      <w:proofErr w:type="gramStart"/>
      <w:r>
        <w:t>-)-</w:t>
      </w:r>
      <w:proofErr w:type="spellStart"/>
      <w:proofErr w:type="gramEnd"/>
      <w:r>
        <w:t>menthol</w:t>
      </w:r>
      <w:proofErr w:type="spellEnd"/>
      <w:r>
        <w:t xml:space="preserve"> </w:t>
      </w:r>
      <w:bookmarkEnd w:id="23"/>
      <w:r>
        <w:t xml:space="preserve">(Santa </w:t>
      </w:r>
      <w:proofErr w:type="spellStart"/>
      <w:r>
        <w:t>Cruz</w:t>
      </w:r>
      <w:proofErr w:type="spellEnd"/>
      <w:r>
        <w:t xml:space="preserve"> Biotechnology, kat. č. </w:t>
      </w:r>
      <w:r w:rsidR="00946042">
        <w:t>sc</w:t>
      </w:r>
      <w:r>
        <w:t>-202705)</w:t>
      </w:r>
    </w:p>
    <w:p w14:paraId="33F2D4DF" w14:textId="1E4A20F6" w:rsidR="00E15601" w:rsidRDefault="00E15601" w:rsidP="00AE5FFB">
      <w:pPr>
        <w:pStyle w:val="Odstavecseseznamem"/>
        <w:numPr>
          <w:ilvl w:val="0"/>
          <w:numId w:val="2"/>
        </w:numPr>
      </w:pPr>
      <w:bookmarkStart w:id="24" w:name="OLE_LINK4"/>
      <w:r>
        <w:t>(</w:t>
      </w:r>
      <w:proofErr w:type="gramStart"/>
      <w:r>
        <w:t>+)-</w:t>
      </w:r>
      <w:proofErr w:type="spellStart"/>
      <w:proofErr w:type="gramEnd"/>
      <w:r>
        <w:t>menthol</w:t>
      </w:r>
      <w:proofErr w:type="spellEnd"/>
      <w:r>
        <w:t xml:space="preserve"> </w:t>
      </w:r>
      <w:bookmarkEnd w:id="24"/>
      <w:r>
        <w:t xml:space="preserve">(Santa </w:t>
      </w:r>
      <w:proofErr w:type="spellStart"/>
      <w:r>
        <w:t>Cruz</w:t>
      </w:r>
      <w:proofErr w:type="spellEnd"/>
      <w:r>
        <w:t xml:space="preserve"> Biotechnology, kat. č. </w:t>
      </w:r>
      <w:r w:rsidR="00826E23">
        <w:t>sc</w:t>
      </w:r>
      <w:r>
        <w:t>-229843)</w:t>
      </w:r>
    </w:p>
    <w:p w14:paraId="05DD37FF" w14:textId="77777777" w:rsidR="00E15601" w:rsidRPr="003F3138" w:rsidRDefault="00E15601" w:rsidP="00F248F0">
      <w:pPr>
        <w:pStyle w:val="Odstavecseseznamem"/>
        <w:numPr>
          <w:ilvl w:val="0"/>
          <w:numId w:val="2"/>
        </w:numPr>
        <w:rPr>
          <w:b/>
          <w:bCs/>
        </w:rPr>
      </w:pPr>
      <w:r w:rsidRPr="00090913">
        <w:t>(S)-(</w:t>
      </w:r>
      <w:proofErr w:type="gramStart"/>
      <w:r w:rsidRPr="00090913">
        <w:t>-)-</w:t>
      </w:r>
      <w:proofErr w:type="spellStart"/>
      <w:proofErr w:type="gramEnd"/>
      <w:r>
        <w:t>p</w:t>
      </w:r>
      <w:r w:rsidRPr="00090913">
        <w:t>erillylal</w:t>
      </w:r>
      <w:r>
        <w:t>k</w:t>
      </w:r>
      <w:r w:rsidRPr="00090913">
        <w:t>ohol</w:t>
      </w:r>
      <w:proofErr w:type="spellEnd"/>
      <w:r>
        <w:t xml:space="preserve"> (Sigma-</w:t>
      </w:r>
      <w:proofErr w:type="spellStart"/>
      <w:r>
        <w:t>Aldrich</w:t>
      </w:r>
      <w:proofErr w:type="spellEnd"/>
      <w:r>
        <w:t>, kat. č. 218391-10G)</w:t>
      </w:r>
    </w:p>
    <w:p w14:paraId="12B9E1F8" w14:textId="77777777" w:rsidR="00E15601" w:rsidRDefault="00E15601" w:rsidP="00AE5FFB">
      <w:pPr>
        <w:pStyle w:val="Odstavecseseznamem"/>
        <w:numPr>
          <w:ilvl w:val="0"/>
          <w:numId w:val="2"/>
        </w:numPr>
      </w:pPr>
      <w:r>
        <w:t xml:space="preserve">EN2 (Enamine, kat. č. </w:t>
      </w:r>
      <w:r w:rsidRPr="00DA26E4">
        <w:t>ENAH049F21DA</w:t>
      </w:r>
      <w:r>
        <w:t>)</w:t>
      </w:r>
    </w:p>
    <w:p w14:paraId="001EA0A5" w14:textId="3867E30D" w:rsidR="00E15601" w:rsidRDefault="00E04093" w:rsidP="00AE5FFB">
      <w:pPr>
        <w:pStyle w:val="Odstavecseseznamem"/>
        <w:numPr>
          <w:ilvl w:val="0"/>
          <w:numId w:val="2"/>
        </w:numPr>
      </w:pPr>
      <w:r>
        <w:t>3-</w:t>
      </w:r>
      <w:r w:rsidR="00E15601">
        <w:t>methyl-</w:t>
      </w:r>
      <w:r>
        <w:t>S-</w:t>
      </w:r>
      <w:r w:rsidR="00E15601">
        <w:t xml:space="preserve">karvon (Enamine, kat. č. </w:t>
      </w:r>
      <w:r w:rsidR="00E15601" w:rsidRPr="00DA26E4">
        <w:t>ENAH049F21DA</w:t>
      </w:r>
      <w:r w:rsidR="00E15601">
        <w:t>)</w:t>
      </w:r>
    </w:p>
    <w:p w14:paraId="32057A3D" w14:textId="77777777" w:rsidR="00E15601" w:rsidRDefault="00E15601" w:rsidP="00AE5FFB">
      <w:pPr>
        <w:pStyle w:val="Odstavecseseznamem"/>
        <w:numPr>
          <w:ilvl w:val="0"/>
          <w:numId w:val="2"/>
        </w:numPr>
      </w:pPr>
      <w:proofErr w:type="spellStart"/>
      <w:r>
        <w:t>piperitenon</w:t>
      </w:r>
      <w:proofErr w:type="spellEnd"/>
      <w:r>
        <w:t xml:space="preserve"> (Enamine, kat. č. </w:t>
      </w:r>
      <w:r w:rsidRPr="00FF6F39">
        <w:t>EN300-126320</w:t>
      </w:r>
      <w:r>
        <w:t>)</w:t>
      </w:r>
    </w:p>
    <w:p w14:paraId="172F34A8" w14:textId="79778B77" w:rsidR="00E15601" w:rsidRDefault="00E15601" w:rsidP="00AE5FFB">
      <w:pPr>
        <w:pStyle w:val="Odstavecseseznamem"/>
        <w:numPr>
          <w:ilvl w:val="0"/>
          <w:numId w:val="2"/>
        </w:numPr>
      </w:pPr>
      <w:proofErr w:type="spellStart"/>
      <w:r>
        <w:t>piperiton</w:t>
      </w:r>
      <w:proofErr w:type="spellEnd"/>
      <w:r>
        <w:t xml:space="preserve"> (Santa </w:t>
      </w:r>
      <w:proofErr w:type="spellStart"/>
      <w:r>
        <w:t>Cruz</w:t>
      </w:r>
      <w:proofErr w:type="spellEnd"/>
      <w:r>
        <w:t xml:space="preserve"> Biotechnology, kat. č. </w:t>
      </w:r>
      <w:r w:rsidR="00826E23">
        <w:t>sc</w:t>
      </w:r>
      <w:r>
        <w:t>-476481)</w:t>
      </w:r>
    </w:p>
    <w:p w14:paraId="0903BF44" w14:textId="77777777" w:rsidR="00E15601" w:rsidRDefault="00E15601" w:rsidP="00AE5FFB">
      <w:pPr>
        <w:pStyle w:val="Odstavecseseznamem"/>
        <w:numPr>
          <w:ilvl w:val="0"/>
          <w:numId w:val="2"/>
        </w:numPr>
      </w:pPr>
      <w:bookmarkStart w:id="25" w:name="OLE_LINK2"/>
      <w:r>
        <w:t>R-(</w:t>
      </w:r>
      <w:proofErr w:type="gramStart"/>
      <w:r>
        <w:t>+)-</w:t>
      </w:r>
      <w:proofErr w:type="spellStart"/>
      <w:proofErr w:type="gramEnd"/>
      <w:r>
        <w:t>pulegon</w:t>
      </w:r>
      <w:proofErr w:type="spellEnd"/>
      <w:r>
        <w:t xml:space="preserve"> (</w:t>
      </w:r>
      <w:proofErr w:type="spellStart"/>
      <w:r>
        <w:t>Merck</w:t>
      </w:r>
      <w:proofErr w:type="spellEnd"/>
      <w:r>
        <w:t>, kat. č. 8186650010)</w:t>
      </w:r>
    </w:p>
    <w:bookmarkEnd w:id="25"/>
    <w:p w14:paraId="6FCD49F3" w14:textId="12487222" w:rsidR="00E15601" w:rsidRDefault="00E15601" w:rsidP="00AE5FFB">
      <w:pPr>
        <w:pStyle w:val="Odstavecseseznamem"/>
        <w:numPr>
          <w:ilvl w:val="0"/>
          <w:numId w:val="2"/>
        </w:numPr>
      </w:pPr>
      <w:r>
        <w:t>R-</w:t>
      </w:r>
      <w:proofErr w:type="spellStart"/>
      <w:r>
        <w:t>karvon</w:t>
      </w:r>
      <w:proofErr w:type="spellEnd"/>
      <w:r>
        <w:t xml:space="preserve"> (Santa </w:t>
      </w:r>
      <w:proofErr w:type="spellStart"/>
      <w:r>
        <w:t>Cruz</w:t>
      </w:r>
      <w:proofErr w:type="spellEnd"/>
      <w:r>
        <w:t xml:space="preserve"> Biotechnology, kat. č. </w:t>
      </w:r>
      <w:r w:rsidR="00826E23">
        <w:t>sc</w:t>
      </w:r>
      <w:r>
        <w:t>-293985)</w:t>
      </w:r>
    </w:p>
    <w:p w14:paraId="319ADC99" w14:textId="77777777" w:rsidR="00E15601" w:rsidRDefault="00E15601" w:rsidP="00AE5FFB">
      <w:pPr>
        <w:pStyle w:val="Odstavecseseznamem"/>
        <w:numPr>
          <w:ilvl w:val="0"/>
          <w:numId w:val="2"/>
        </w:numPr>
      </w:pPr>
      <w:bookmarkStart w:id="26" w:name="OLE_LINK3"/>
      <w:r>
        <w:t>S-(</w:t>
      </w:r>
      <w:proofErr w:type="gramStart"/>
      <w:r>
        <w:t>-)-</w:t>
      </w:r>
      <w:proofErr w:type="spellStart"/>
      <w:proofErr w:type="gramEnd"/>
      <w:r>
        <w:t>pulegon</w:t>
      </w:r>
      <w:proofErr w:type="spellEnd"/>
      <w:r>
        <w:t xml:space="preserve"> (Sigma-</w:t>
      </w:r>
      <w:proofErr w:type="spellStart"/>
      <w:r>
        <w:t>Aldrich</w:t>
      </w:r>
      <w:proofErr w:type="spellEnd"/>
      <w:r>
        <w:t>, kat. č. 328847)</w:t>
      </w:r>
    </w:p>
    <w:bookmarkEnd w:id="26"/>
    <w:p w14:paraId="1D0DB406" w14:textId="0A2F0F80" w:rsidR="00E15601" w:rsidRDefault="00E15601" w:rsidP="00AE5FFB">
      <w:pPr>
        <w:pStyle w:val="Odstavecseseznamem"/>
        <w:numPr>
          <w:ilvl w:val="0"/>
          <w:numId w:val="2"/>
        </w:numPr>
      </w:pPr>
      <w:r>
        <w:t>S-</w:t>
      </w:r>
      <w:proofErr w:type="spellStart"/>
      <w:r>
        <w:t>karvon</w:t>
      </w:r>
      <w:proofErr w:type="spellEnd"/>
      <w:r>
        <w:t xml:space="preserve"> (Santa </w:t>
      </w:r>
      <w:proofErr w:type="spellStart"/>
      <w:r>
        <w:t>Cruz</w:t>
      </w:r>
      <w:proofErr w:type="spellEnd"/>
      <w:r>
        <w:t xml:space="preserve"> Biotechnology, kat. č. </w:t>
      </w:r>
      <w:r w:rsidR="00826E23">
        <w:t>sc</w:t>
      </w:r>
      <w:r>
        <w:t>-239480)</w:t>
      </w:r>
    </w:p>
    <w:p w14:paraId="3A86B93A" w14:textId="77777777" w:rsidR="0049482E" w:rsidRPr="00543CF7" w:rsidRDefault="0049482E" w:rsidP="004C6BD8">
      <w:pPr>
        <w:pStyle w:val="Odstavecseseznamem"/>
        <w:numPr>
          <w:ilvl w:val="0"/>
          <w:numId w:val="2"/>
        </w:numPr>
        <w:rPr>
          <w:b/>
          <w:bCs/>
        </w:rPr>
      </w:pPr>
      <w:r>
        <w:t xml:space="preserve">5x </w:t>
      </w:r>
      <w:proofErr w:type="spellStart"/>
      <w:r>
        <w:t>reportérový</w:t>
      </w:r>
      <w:proofErr w:type="spellEnd"/>
      <w:r>
        <w:t xml:space="preserve"> </w:t>
      </w:r>
      <w:proofErr w:type="spellStart"/>
      <w:r>
        <w:t>lyzační</w:t>
      </w:r>
      <w:proofErr w:type="spellEnd"/>
      <w:r>
        <w:t xml:space="preserve"> pufr (</w:t>
      </w:r>
      <w:proofErr w:type="spellStart"/>
      <w:r>
        <w:t>Promega</w:t>
      </w:r>
      <w:proofErr w:type="spellEnd"/>
      <w:r>
        <w:t>, kat. č. E397A)</w:t>
      </w:r>
    </w:p>
    <w:p w14:paraId="5D7CBF15" w14:textId="77777777" w:rsidR="0049482E" w:rsidRPr="00C16E96" w:rsidRDefault="0049482E" w:rsidP="00C16E96">
      <w:pPr>
        <w:pStyle w:val="Odstavecseseznamem"/>
        <w:numPr>
          <w:ilvl w:val="0"/>
          <w:numId w:val="2"/>
        </w:numPr>
        <w:rPr>
          <w:b/>
          <w:bCs/>
        </w:rPr>
      </w:pPr>
      <w:r>
        <w:t>dimethylsulfoxid DMSO (Sigma-</w:t>
      </w:r>
      <w:proofErr w:type="spellStart"/>
      <w:r>
        <w:t>Aldrich</w:t>
      </w:r>
      <w:proofErr w:type="spellEnd"/>
      <w:r>
        <w:t>, kat. č. D8418)</w:t>
      </w:r>
    </w:p>
    <w:p w14:paraId="15BB80BE" w14:textId="77777777" w:rsidR="0049482E" w:rsidRPr="001A46EC" w:rsidRDefault="0049482E" w:rsidP="004C6BD8">
      <w:pPr>
        <w:pStyle w:val="Odstavecseseznamem"/>
        <w:numPr>
          <w:ilvl w:val="0"/>
          <w:numId w:val="2"/>
        </w:numPr>
        <w:rPr>
          <w:b/>
          <w:bCs/>
        </w:rPr>
      </w:pPr>
      <w:r>
        <w:t xml:space="preserve">fosfátový pufr </w:t>
      </w:r>
      <w:proofErr w:type="spellStart"/>
      <w:r>
        <w:t>Dulbecco's</w:t>
      </w:r>
      <w:proofErr w:type="spellEnd"/>
      <w:r>
        <w:t xml:space="preserve"> PBS (</w:t>
      </w:r>
      <w:proofErr w:type="spellStart"/>
      <w:r>
        <w:t>BioConcept</w:t>
      </w:r>
      <w:proofErr w:type="spellEnd"/>
      <w:r>
        <w:t xml:space="preserve">, kat. č. </w:t>
      </w:r>
      <w:proofErr w:type="gramStart"/>
      <w:r>
        <w:t>3-05F29</w:t>
      </w:r>
      <w:proofErr w:type="gramEnd"/>
      <w:r>
        <w:t>-I)</w:t>
      </w:r>
    </w:p>
    <w:p w14:paraId="5546B304" w14:textId="77777777" w:rsidR="0049482E" w:rsidRPr="00EF5D11" w:rsidRDefault="0049482E" w:rsidP="00EF5D11">
      <w:pPr>
        <w:pStyle w:val="Odstavecseseznamem"/>
        <w:numPr>
          <w:ilvl w:val="0"/>
          <w:numId w:val="2"/>
        </w:numPr>
        <w:rPr>
          <w:b/>
          <w:bCs/>
        </w:rPr>
      </w:pPr>
      <w:r>
        <w:t>FUGENE HD (</w:t>
      </w:r>
      <w:proofErr w:type="spellStart"/>
      <w:r>
        <w:t>Roche</w:t>
      </w:r>
      <w:proofErr w:type="spellEnd"/>
      <w:r>
        <w:t>, kat. č. E231A)</w:t>
      </w:r>
    </w:p>
    <w:p w14:paraId="144E90EC" w14:textId="77777777" w:rsidR="0049482E" w:rsidRPr="00843C6F" w:rsidRDefault="0049482E" w:rsidP="004C6BD8">
      <w:pPr>
        <w:pStyle w:val="Odstavecseseznamem"/>
        <w:numPr>
          <w:ilvl w:val="0"/>
          <w:numId w:val="2"/>
        </w:numPr>
        <w:rPr>
          <w:b/>
          <w:bCs/>
        </w:rPr>
      </w:pPr>
      <w:r>
        <w:t>izopropylalkohol (Lach-</w:t>
      </w:r>
      <w:proofErr w:type="spellStart"/>
      <w:r>
        <w:t>Ner</w:t>
      </w:r>
      <w:proofErr w:type="spellEnd"/>
      <w:r>
        <w:t xml:space="preserve">, kat. č. </w:t>
      </w:r>
      <w:proofErr w:type="gramStart"/>
      <w:r w:rsidRPr="008178E2">
        <w:t>20037-CT0</w:t>
      </w:r>
      <w:proofErr w:type="gramEnd"/>
      <w:r w:rsidRPr="008178E2">
        <w:t>-M1000-1</w:t>
      </w:r>
      <w:r>
        <w:t>)</w:t>
      </w:r>
    </w:p>
    <w:p w14:paraId="251A79DD" w14:textId="77777777" w:rsidR="0049482E" w:rsidRPr="00E30E91" w:rsidRDefault="0049482E" w:rsidP="00AE5FFB">
      <w:pPr>
        <w:pStyle w:val="Odstavecseseznamem"/>
        <w:numPr>
          <w:ilvl w:val="0"/>
          <w:numId w:val="2"/>
        </w:numPr>
        <w:rPr>
          <w:b/>
          <w:bCs/>
        </w:rPr>
      </w:pPr>
      <w:proofErr w:type="spellStart"/>
      <w:r>
        <w:t>methyltetrazoliová</w:t>
      </w:r>
      <w:proofErr w:type="spellEnd"/>
      <w:r>
        <w:t xml:space="preserve"> sůl MTT (Sigma-</w:t>
      </w:r>
      <w:proofErr w:type="spellStart"/>
      <w:r>
        <w:t>Aldrich</w:t>
      </w:r>
      <w:proofErr w:type="spellEnd"/>
      <w:r>
        <w:t>, kat. č. M2128)</w:t>
      </w:r>
    </w:p>
    <w:p w14:paraId="03C1DBBF" w14:textId="4EE6819D" w:rsidR="0049482E" w:rsidRPr="00826E23" w:rsidRDefault="0049482E" w:rsidP="00AE5FFB">
      <w:pPr>
        <w:pStyle w:val="Odstavecseseznamem"/>
        <w:numPr>
          <w:ilvl w:val="0"/>
          <w:numId w:val="2"/>
        </w:numPr>
        <w:rPr>
          <w:b/>
          <w:bCs/>
        </w:rPr>
      </w:pPr>
      <w:proofErr w:type="spellStart"/>
      <w:r w:rsidRPr="00826E23">
        <w:t>rifampicin</w:t>
      </w:r>
      <w:proofErr w:type="spellEnd"/>
      <w:r w:rsidR="00826E23" w:rsidRPr="00826E23">
        <w:t xml:space="preserve"> (Sigma-</w:t>
      </w:r>
      <w:proofErr w:type="spellStart"/>
      <w:r w:rsidR="00826E23" w:rsidRPr="00826E23">
        <w:t>Aldrich</w:t>
      </w:r>
      <w:proofErr w:type="spellEnd"/>
      <w:r w:rsidR="00826E23" w:rsidRPr="00826E23">
        <w:t xml:space="preserve">, </w:t>
      </w:r>
      <w:r w:rsidR="00390563">
        <w:t xml:space="preserve">kat. č. </w:t>
      </w:r>
      <w:r w:rsidR="00826E23" w:rsidRPr="00826E23">
        <w:t>R3501)</w:t>
      </w:r>
    </w:p>
    <w:p w14:paraId="3F17D44D" w14:textId="77777777" w:rsidR="0049482E" w:rsidRPr="00044FC8" w:rsidRDefault="0049482E" w:rsidP="00AE5FFB">
      <w:pPr>
        <w:pStyle w:val="Odstavecseseznamem"/>
        <w:numPr>
          <w:ilvl w:val="0"/>
          <w:numId w:val="2"/>
        </w:numPr>
        <w:rPr>
          <w:b/>
          <w:bCs/>
        </w:rPr>
      </w:pPr>
      <w:proofErr w:type="spellStart"/>
      <w:r w:rsidRPr="00044FC8">
        <w:t>trypanová</w:t>
      </w:r>
      <w:proofErr w:type="spellEnd"/>
      <w:r w:rsidRPr="00044FC8">
        <w:t xml:space="preserve"> modř (Sigma-</w:t>
      </w:r>
      <w:proofErr w:type="spellStart"/>
      <w:r w:rsidRPr="00044FC8">
        <w:t>Aldrich</w:t>
      </w:r>
      <w:proofErr w:type="spellEnd"/>
      <w:r w:rsidRPr="00044FC8">
        <w:t>, kat. č. T6146-25G)</w:t>
      </w:r>
    </w:p>
    <w:p w14:paraId="4129F666" w14:textId="7BD9EF25" w:rsidR="001A46EC" w:rsidRPr="009111BE" w:rsidRDefault="0049482E" w:rsidP="00E15601">
      <w:pPr>
        <w:pStyle w:val="Odstavecseseznamem"/>
        <w:numPr>
          <w:ilvl w:val="0"/>
          <w:numId w:val="2"/>
        </w:numPr>
        <w:rPr>
          <w:b/>
          <w:bCs/>
        </w:rPr>
      </w:pPr>
      <w:r w:rsidRPr="00330FAC">
        <w:lastRenderedPageBreak/>
        <w:t>trypsin (Sigma-</w:t>
      </w:r>
      <w:proofErr w:type="spellStart"/>
      <w:r w:rsidRPr="00330FAC">
        <w:t>Aldrich</w:t>
      </w:r>
      <w:proofErr w:type="spellEnd"/>
      <w:r w:rsidRPr="00330FAC">
        <w:t>, kat. č. T4049)</w:t>
      </w:r>
    </w:p>
    <w:p w14:paraId="6F1BAD69" w14:textId="77777777" w:rsidR="009111BE" w:rsidRPr="00E15601" w:rsidRDefault="009111BE" w:rsidP="009111BE">
      <w:pPr>
        <w:pStyle w:val="Odstavecseseznamem"/>
        <w:ind w:left="1425"/>
        <w:rPr>
          <w:b/>
          <w:bCs/>
        </w:rPr>
      </w:pPr>
    </w:p>
    <w:p w14:paraId="5D9EE66D" w14:textId="216F73A9" w:rsidR="00F169F3" w:rsidRDefault="00F169F3" w:rsidP="00F169F3">
      <w:pPr>
        <w:pStyle w:val="Odstavecseseznamem"/>
        <w:ind w:left="1425"/>
        <w:rPr>
          <w:b/>
          <w:bCs/>
        </w:rPr>
      </w:pPr>
      <w:r>
        <w:rPr>
          <w:b/>
          <w:bCs/>
        </w:rPr>
        <w:t>Použité roztoky a jejich příprava</w:t>
      </w:r>
    </w:p>
    <w:p w14:paraId="74FF0839" w14:textId="0C77D0E7" w:rsidR="006751F1" w:rsidRPr="00546764" w:rsidRDefault="006751F1" w:rsidP="00546764">
      <w:pPr>
        <w:pStyle w:val="Odstavecseseznamem"/>
        <w:numPr>
          <w:ilvl w:val="0"/>
          <w:numId w:val="2"/>
        </w:numPr>
      </w:pPr>
      <w:r w:rsidRPr="006751F1">
        <w:t>20% Triton X-100</w:t>
      </w:r>
      <w:r w:rsidR="00222C06">
        <w:t xml:space="preserve"> (</w:t>
      </w:r>
      <w:proofErr w:type="spellStart"/>
      <w:r w:rsidR="00222C06">
        <w:t>Serva</w:t>
      </w:r>
      <w:proofErr w:type="spellEnd"/>
      <w:r w:rsidR="00222C06">
        <w:t xml:space="preserve">, </w:t>
      </w:r>
      <w:r w:rsidR="00884AB0">
        <w:t xml:space="preserve">kat. č. </w:t>
      </w:r>
      <w:r w:rsidR="00222C06">
        <w:t>37240)</w:t>
      </w:r>
    </w:p>
    <w:p w14:paraId="3F34D47A" w14:textId="142C2396" w:rsidR="004C6BD8" w:rsidRPr="00DA0C7D" w:rsidRDefault="004C6BD8" w:rsidP="004C6BD8">
      <w:pPr>
        <w:pStyle w:val="Odstavecseseznamem"/>
        <w:numPr>
          <w:ilvl w:val="0"/>
          <w:numId w:val="2"/>
        </w:numPr>
        <w:rPr>
          <w:b/>
          <w:bCs/>
        </w:rPr>
      </w:pPr>
      <w:r>
        <w:t>kultivační médium DMEM</w:t>
      </w:r>
      <w:r w:rsidR="00846170">
        <w:t xml:space="preserve"> (</w:t>
      </w:r>
      <w:r w:rsidR="00A2104D">
        <w:t>Sigma</w:t>
      </w:r>
      <w:r w:rsidR="003F0A80">
        <w:t>-</w:t>
      </w:r>
      <w:proofErr w:type="spellStart"/>
      <w:r w:rsidR="003F0A80">
        <w:t>Aldrich</w:t>
      </w:r>
      <w:proofErr w:type="spellEnd"/>
      <w:r w:rsidR="003F0A80">
        <w:t>,</w:t>
      </w:r>
      <w:r w:rsidR="00E87354">
        <w:t xml:space="preserve"> </w:t>
      </w:r>
      <w:r w:rsidR="00884AB0">
        <w:t xml:space="preserve">kat. č. </w:t>
      </w:r>
      <w:r w:rsidR="00BF617E">
        <w:t>D6546)</w:t>
      </w:r>
    </w:p>
    <w:p w14:paraId="7388BA44" w14:textId="77777777" w:rsidR="00A124C8" w:rsidRPr="00CA16EA" w:rsidRDefault="00A124C8" w:rsidP="004C6BD8">
      <w:pPr>
        <w:pStyle w:val="Odstavecseseznamem"/>
        <w:numPr>
          <w:ilvl w:val="1"/>
          <w:numId w:val="2"/>
        </w:numPr>
        <w:rPr>
          <w:b/>
          <w:bCs/>
        </w:rPr>
      </w:pPr>
      <w:r w:rsidRPr="00CA16EA">
        <w:t>5 ml L-glutaminu (</w:t>
      </w:r>
      <w:proofErr w:type="spellStart"/>
      <w:r w:rsidRPr="00CA16EA">
        <w:t>biosera</w:t>
      </w:r>
      <w:proofErr w:type="spellEnd"/>
      <w:r w:rsidRPr="00CA16EA">
        <w:t>, kat. č. XC-T1715/100)</w:t>
      </w:r>
    </w:p>
    <w:p w14:paraId="5F5EA8D4" w14:textId="77777777" w:rsidR="00A124C8" w:rsidRPr="0054430B" w:rsidRDefault="00A124C8" w:rsidP="004C6BD8">
      <w:pPr>
        <w:pStyle w:val="Odstavecseseznamem"/>
        <w:numPr>
          <w:ilvl w:val="1"/>
          <w:numId w:val="2"/>
        </w:numPr>
        <w:rPr>
          <w:b/>
          <w:bCs/>
        </w:rPr>
      </w:pPr>
      <w:r>
        <w:t>5 ml neesenciálních aminokyselin (Sigma-</w:t>
      </w:r>
      <w:proofErr w:type="spellStart"/>
      <w:r>
        <w:t>Aldrich</w:t>
      </w:r>
      <w:proofErr w:type="spellEnd"/>
      <w:r>
        <w:t>, kat. č. M7145)</w:t>
      </w:r>
    </w:p>
    <w:p w14:paraId="4D7FBD08" w14:textId="77777777" w:rsidR="00A124C8" w:rsidRPr="007D1A38" w:rsidRDefault="00A124C8" w:rsidP="004C6BD8">
      <w:pPr>
        <w:pStyle w:val="Odstavecseseznamem"/>
        <w:numPr>
          <w:ilvl w:val="1"/>
          <w:numId w:val="2"/>
        </w:numPr>
        <w:rPr>
          <w:b/>
          <w:bCs/>
        </w:rPr>
      </w:pPr>
      <w:r w:rsidRPr="007D1A38">
        <w:t>5 ml roztoku antibiotik penicilin/streptomycin (VWR International,</w:t>
      </w:r>
      <w:r w:rsidRPr="007D1A38">
        <w:br/>
        <w:t>kat. č. 392-0406)</w:t>
      </w:r>
    </w:p>
    <w:p w14:paraId="3883CAF3" w14:textId="77777777" w:rsidR="00A124C8" w:rsidRPr="00C074D7" w:rsidRDefault="00A124C8" w:rsidP="004C6BD8">
      <w:pPr>
        <w:pStyle w:val="Odstavecseseznamem"/>
        <w:numPr>
          <w:ilvl w:val="1"/>
          <w:numId w:val="2"/>
        </w:numPr>
        <w:rPr>
          <w:b/>
          <w:bCs/>
        </w:rPr>
      </w:pPr>
      <w:r w:rsidRPr="00C074D7">
        <w:t>50 ml fetálního bovinního séra (Sigma-</w:t>
      </w:r>
      <w:proofErr w:type="spellStart"/>
      <w:r w:rsidRPr="00C074D7">
        <w:t>Aldrich</w:t>
      </w:r>
      <w:proofErr w:type="spellEnd"/>
      <w:r w:rsidRPr="00C074D7">
        <w:t>, kat. č. F7524)</w:t>
      </w:r>
    </w:p>
    <w:p w14:paraId="67F92A9B" w14:textId="6B66E407" w:rsidR="004C6BD8" w:rsidRPr="0054430B" w:rsidRDefault="004C6BD8" w:rsidP="004C6BD8">
      <w:pPr>
        <w:pStyle w:val="Odstavecseseznamem"/>
        <w:numPr>
          <w:ilvl w:val="0"/>
          <w:numId w:val="2"/>
        </w:numPr>
        <w:rPr>
          <w:b/>
          <w:bCs/>
        </w:rPr>
      </w:pPr>
      <w:r>
        <w:t>kultivační médium DMEM-CS</w:t>
      </w:r>
      <w:r w:rsidR="00715069">
        <w:t xml:space="preserve"> (</w:t>
      </w:r>
      <w:r w:rsidR="00C24062">
        <w:t>Sigma-</w:t>
      </w:r>
      <w:proofErr w:type="spellStart"/>
      <w:r w:rsidR="00C24062">
        <w:t>Aldrich</w:t>
      </w:r>
      <w:proofErr w:type="spellEnd"/>
      <w:r w:rsidR="00C24062">
        <w:t xml:space="preserve">, </w:t>
      </w:r>
      <w:r w:rsidR="00884AB0">
        <w:t xml:space="preserve">kat. č. </w:t>
      </w:r>
      <w:r w:rsidR="00C24062">
        <w:t>D6546)</w:t>
      </w:r>
    </w:p>
    <w:p w14:paraId="155A36D8" w14:textId="77777777" w:rsidR="00A124C8" w:rsidRPr="0012612E" w:rsidRDefault="00A124C8" w:rsidP="004C6BD8">
      <w:pPr>
        <w:pStyle w:val="Odstavecseseznamem"/>
        <w:numPr>
          <w:ilvl w:val="1"/>
          <w:numId w:val="2"/>
        </w:numPr>
        <w:rPr>
          <w:b/>
          <w:bCs/>
        </w:rPr>
      </w:pPr>
      <w:r w:rsidRPr="0012612E">
        <w:t>5 ml L-glutaminu (</w:t>
      </w:r>
      <w:proofErr w:type="spellStart"/>
      <w:r w:rsidRPr="0012612E">
        <w:t>biosera</w:t>
      </w:r>
      <w:proofErr w:type="spellEnd"/>
      <w:r w:rsidRPr="0012612E">
        <w:t>, kat. č. XC-T1715/100)</w:t>
      </w:r>
    </w:p>
    <w:p w14:paraId="40F6C586" w14:textId="77777777" w:rsidR="00A124C8" w:rsidRPr="0054430B" w:rsidRDefault="00A124C8" w:rsidP="004C6BD8">
      <w:pPr>
        <w:pStyle w:val="Odstavecseseznamem"/>
        <w:numPr>
          <w:ilvl w:val="1"/>
          <w:numId w:val="2"/>
        </w:numPr>
        <w:rPr>
          <w:b/>
          <w:bCs/>
        </w:rPr>
      </w:pPr>
      <w:r>
        <w:t>5 ml neesenciálních aminokyselin (Sigma-</w:t>
      </w:r>
      <w:proofErr w:type="spellStart"/>
      <w:r>
        <w:t>Aldrich</w:t>
      </w:r>
      <w:proofErr w:type="spellEnd"/>
      <w:r>
        <w:t>, kat. č. M7145)</w:t>
      </w:r>
    </w:p>
    <w:p w14:paraId="56048357" w14:textId="77777777" w:rsidR="00A124C8" w:rsidRPr="0012612E" w:rsidRDefault="00A124C8" w:rsidP="0012612E">
      <w:pPr>
        <w:pStyle w:val="Odstavecseseznamem"/>
        <w:numPr>
          <w:ilvl w:val="1"/>
          <w:numId w:val="2"/>
        </w:numPr>
        <w:rPr>
          <w:b/>
          <w:bCs/>
        </w:rPr>
      </w:pPr>
      <w:r w:rsidRPr="0012612E">
        <w:t>5 ml roztoku antibiotik penicilin/streptomycin (VWR International,</w:t>
      </w:r>
      <w:r w:rsidRPr="007D1A38">
        <w:br/>
        <w:t>kat. č. 392-0406)</w:t>
      </w:r>
    </w:p>
    <w:p w14:paraId="062F7C65" w14:textId="77777777" w:rsidR="00A124C8" w:rsidRPr="003B3068" w:rsidRDefault="00A124C8" w:rsidP="004C6BD8">
      <w:pPr>
        <w:pStyle w:val="Odstavecseseznamem"/>
        <w:numPr>
          <w:ilvl w:val="1"/>
          <w:numId w:val="2"/>
        </w:numPr>
        <w:rPr>
          <w:b/>
          <w:bCs/>
        </w:rPr>
      </w:pPr>
      <w:r w:rsidRPr="003B3068">
        <w:t>50 ml hormonálně inaktivního fetálního bovinního séra (Sigma-</w:t>
      </w:r>
      <w:proofErr w:type="spellStart"/>
      <w:r w:rsidRPr="003B3068">
        <w:t>Aldrich</w:t>
      </w:r>
      <w:proofErr w:type="spellEnd"/>
      <w:r w:rsidRPr="003B3068">
        <w:t>, kat. č. F6765)</w:t>
      </w:r>
    </w:p>
    <w:p w14:paraId="201A9506" w14:textId="16D60A96" w:rsidR="004C6BD8" w:rsidRDefault="004C6BD8" w:rsidP="007A47E7">
      <w:pPr>
        <w:pStyle w:val="Odstavecseseznamem"/>
        <w:numPr>
          <w:ilvl w:val="0"/>
          <w:numId w:val="2"/>
        </w:numPr>
      </w:pPr>
      <w:r>
        <w:t>luciferin</w:t>
      </w:r>
      <w:r w:rsidR="00016832">
        <w:t xml:space="preserve"> (substrát pro </w:t>
      </w:r>
      <w:proofErr w:type="spellStart"/>
      <w:r w:rsidR="00016832">
        <w:t>Firefly</w:t>
      </w:r>
      <w:proofErr w:type="spellEnd"/>
      <w:r w:rsidR="00016832">
        <w:t xml:space="preserve"> luciferázu)</w:t>
      </w:r>
    </w:p>
    <w:p w14:paraId="7CF7A572" w14:textId="77777777" w:rsidR="00A124C8" w:rsidRDefault="00A124C8" w:rsidP="0044593F">
      <w:pPr>
        <w:pStyle w:val="Odstavecseseznamem"/>
        <w:numPr>
          <w:ilvl w:val="1"/>
          <w:numId w:val="2"/>
        </w:numPr>
      </w:pPr>
      <w:r>
        <w:t>1,68 g DTT (Sigma-</w:t>
      </w:r>
      <w:proofErr w:type="spellStart"/>
      <w:r>
        <w:t>Aldrich</w:t>
      </w:r>
      <w:proofErr w:type="spellEnd"/>
      <w:r>
        <w:t>, kat. č. 43819)</w:t>
      </w:r>
    </w:p>
    <w:p w14:paraId="439302F2" w14:textId="77777777" w:rsidR="00A124C8" w:rsidRDefault="00A124C8" w:rsidP="0044593F">
      <w:pPr>
        <w:pStyle w:val="Odstavecseseznamem"/>
        <w:numPr>
          <w:ilvl w:val="1"/>
          <w:numId w:val="2"/>
        </w:numPr>
      </w:pPr>
      <w:r>
        <w:t>100 mg ATP (Sigma-</w:t>
      </w:r>
      <w:proofErr w:type="spellStart"/>
      <w:r>
        <w:t>Aldrich</w:t>
      </w:r>
      <w:proofErr w:type="spellEnd"/>
      <w:r>
        <w:t>, kat. č. A9062)</w:t>
      </w:r>
    </w:p>
    <w:p w14:paraId="79E4D38E" w14:textId="77777777" w:rsidR="00A124C8" w:rsidRDefault="00A124C8" w:rsidP="0044593F">
      <w:pPr>
        <w:pStyle w:val="Odstavecseseznamem"/>
        <w:numPr>
          <w:ilvl w:val="1"/>
          <w:numId w:val="2"/>
        </w:numPr>
      </w:pPr>
      <w:r>
        <w:t>12,3 mg/66 µl 0,5 M EDTA (Sigma-</w:t>
      </w:r>
      <w:proofErr w:type="spellStart"/>
      <w:r>
        <w:t>Aldrich</w:t>
      </w:r>
      <w:proofErr w:type="spellEnd"/>
      <w:r>
        <w:t>, kat. č. E9884)</w:t>
      </w:r>
    </w:p>
    <w:p w14:paraId="5A94E007" w14:textId="77777777" w:rsidR="00A124C8" w:rsidRDefault="00A124C8" w:rsidP="0044593F">
      <w:pPr>
        <w:pStyle w:val="Odstavecseseznamem"/>
        <w:numPr>
          <w:ilvl w:val="1"/>
          <w:numId w:val="2"/>
        </w:numPr>
      </w:pPr>
      <w:r>
        <w:t xml:space="preserve">13,2 ml </w:t>
      </w:r>
      <w:proofErr w:type="spellStart"/>
      <w:r>
        <w:t>Tris</w:t>
      </w:r>
      <w:proofErr w:type="spellEnd"/>
      <w:r>
        <w:t>-acetát (1M, pH 7,8) (</w:t>
      </w:r>
      <w:proofErr w:type="spellStart"/>
      <w:r>
        <w:t>BioBasic</w:t>
      </w:r>
      <w:proofErr w:type="spellEnd"/>
      <w:r>
        <w:t xml:space="preserve"> </w:t>
      </w:r>
      <w:proofErr w:type="spellStart"/>
      <w:r>
        <w:t>Canada</w:t>
      </w:r>
      <w:proofErr w:type="spellEnd"/>
      <w:r>
        <w:t xml:space="preserve"> Inc., kat. č. TB0194)</w:t>
      </w:r>
    </w:p>
    <w:p w14:paraId="1C6346AF" w14:textId="77777777" w:rsidR="00A124C8" w:rsidRDefault="00A124C8" w:rsidP="0044593F">
      <w:pPr>
        <w:pStyle w:val="Odstavecseseznamem"/>
        <w:numPr>
          <w:ilvl w:val="1"/>
          <w:numId w:val="2"/>
        </w:numPr>
      </w:pPr>
      <w:r>
        <w:t xml:space="preserve">30,3 mg/12,3 ml 100 </w:t>
      </w:r>
      <w:proofErr w:type="spellStart"/>
      <w:r>
        <w:t>mM</w:t>
      </w:r>
      <w:proofErr w:type="spellEnd"/>
      <w:r>
        <w:t xml:space="preserve"> MgSO</w:t>
      </w:r>
      <w:proofErr w:type="gramStart"/>
      <w:r w:rsidRPr="004A2A63">
        <w:rPr>
          <w:vertAlign w:val="subscript"/>
        </w:rPr>
        <w:t>4</w:t>
      </w:r>
      <w:r>
        <w:t xml:space="preserve"> </w:t>
      </w:r>
      <w:r w:rsidRPr="004A2A63">
        <w:rPr>
          <w:vertAlign w:val="superscript"/>
        </w:rPr>
        <w:t>.</w:t>
      </w:r>
      <w:proofErr w:type="gramEnd"/>
      <w:r>
        <w:t xml:space="preserve"> 7 H</w:t>
      </w:r>
      <w:r w:rsidRPr="004A2A63">
        <w:rPr>
          <w:vertAlign w:val="subscript"/>
        </w:rPr>
        <w:t>2</w:t>
      </w:r>
      <w:r>
        <w:t>O (Lach-</w:t>
      </w:r>
      <w:proofErr w:type="spellStart"/>
      <w:r>
        <w:t>Ner</w:t>
      </w:r>
      <w:proofErr w:type="spellEnd"/>
      <w:r>
        <w:t xml:space="preserve">, kat. č. </w:t>
      </w:r>
      <w:proofErr w:type="gramStart"/>
      <w:r>
        <w:t>30175-AP0</w:t>
      </w:r>
      <w:proofErr w:type="gramEnd"/>
      <w:r>
        <w:t>)</w:t>
      </w:r>
    </w:p>
    <w:p w14:paraId="279B6EC2" w14:textId="3C7CB2CC" w:rsidR="00A124C8" w:rsidRDefault="00A124C8" w:rsidP="0044593F">
      <w:pPr>
        <w:pStyle w:val="Odstavecseseznamem"/>
        <w:numPr>
          <w:ilvl w:val="1"/>
          <w:numId w:val="2"/>
        </w:numPr>
      </w:pPr>
      <w:r>
        <w:t xml:space="preserve">50 mg D-luciferin (Santa </w:t>
      </w:r>
      <w:proofErr w:type="spellStart"/>
      <w:r>
        <w:t>Cruz</w:t>
      </w:r>
      <w:proofErr w:type="spellEnd"/>
      <w:r>
        <w:t xml:space="preserve"> Biotechnology, kat. č. </w:t>
      </w:r>
      <w:r w:rsidR="00B301FC">
        <w:t>sc</w:t>
      </w:r>
      <w:r>
        <w:t>-207478)</w:t>
      </w:r>
    </w:p>
    <w:p w14:paraId="10F4D163" w14:textId="77777777" w:rsidR="00A124C8" w:rsidRDefault="00A124C8" w:rsidP="0044593F">
      <w:pPr>
        <w:pStyle w:val="Odstavecseseznamem"/>
        <w:numPr>
          <w:ilvl w:val="1"/>
          <w:numId w:val="2"/>
        </w:numPr>
      </w:pPr>
      <w:r>
        <w:t>50 mg Koenzym A (Sigma-</w:t>
      </w:r>
      <w:proofErr w:type="spellStart"/>
      <w:r>
        <w:t>Aldrich</w:t>
      </w:r>
      <w:proofErr w:type="spellEnd"/>
      <w:r>
        <w:t>, kat. č. C3144)</w:t>
      </w:r>
    </w:p>
    <w:p w14:paraId="3BCA70F8" w14:textId="5967E4BC" w:rsidR="00C42D5F" w:rsidRDefault="00C42D5F" w:rsidP="0044593F">
      <w:pPr>
        <w:pStyle w:val="Odstavecseseznamem"/>
        <w:numPr>
          <w:ilvl w:val="1"/>
          <w:numId w:val="2"/>
        </w:numPr>
      </w:pPr>
      <w:r>
        <w:t xml:space="preserve">doplnit </w:t>
      </w:r>
      <w:proofErr w:type="spellStart"/>
      <w:r>
        <w:t>deion</w:t>
      </w:r>
      <w:r w:rsidR="00F44C16">
        <w:t>i</w:t>
      </w:r>
      <w:r>
        <w:t>zovanou</w:t>
      </w:r>
      <w:proofErr w:type="spellEnd"/>
      <w:r>
        <w:t xml:space="preserve"> vodou do 300 ml</w:t>
      </w:r>
    </w:p>
    <w:p w14:paraId="71857DDE" w14:textId="77777777" w:rsidR="001B1E77" w:rsidRDefault="001B1E77" w:rsidP="001B1E77">
      <w:pPr>
        <w:pStyle w:val="Odstavecseseznamem"/>
        <w:ind w:left="2145"/>
      </w:pPr>
    </w:p>
    <w:p w14:paraId="6FE85511" w14:textId="77777777" w:rsidR="00841768" w:rsidRPr="003F0EAC" w:rsidRDefault="00841768" w:rsidP="00841768">
      <w:pPr>
        <w:pStyle w:val="Odstavecseseznamem"/>
        <w:ind w:left="1425"/>
        <w:rPr>
          <w:b/>
          <w:bCs/>
        </w:rPr>
      </w:pPr>
      <w:r w:rsidRPr="003F0EAC">
        <w:rPr>
          <w:b/>
          <w:bCs/>
        </w:rPr>
        <w:t>Použité soupravy</w:t>
      </w:r>
    </w:p>
    <w:p w14:paraId="32BA387C" w14:textId="4C4E47BB" w:rsidR="00E61989" w:rsidRPr="00B75105" w:rsidRDefault="00841768" w:rsidP="00B75105">
      <w:pPr>
        <w:pStyle w:val="Odstavecseseznamem"/>
        <w:numPr>
          <w:ilvl w:val="0"/>
          <w:numId w:val="2"/>
        </w:numPr>
      </w:pPr>
      <w:proofErr w:type="spellStart"/>
      <w:r>
        <w:t>The</w:t>
      </w:r>
      <w:proofErr w:type="spellEnd"/>
      <w:r>
        <w:t xml:space="preserve"> </w:t>
      </w:r>
      <w:proofErr w:type="spellStart"/>
      <w:r>
        <w:t>QIAfilter</w:t>
      </w:r>
      <w:proofErr w:type="spellEnd"/>
      <w:r>
        <w:t xml:space="preserve"> </w:t>
      </w:r>
      <w:proofErr w:type="spellStart"/>
      <w:r>
        <w:t>Plasmid</w:t>
      </w:r>
      <w:proofErr w:type="spellEnd"/>
      <w:r>
        <w:t xml:space="preserve"> </w:t>
      </w:r>
      <w:proofErr w:type="spellStart"/>
      <w:r>
        <w:t>Midi</w:t>
      </w:r>
      <w:proofErr w:type="spellEnd"/>
      <w:r>
        <w:t xml:space="preserve"> </w:t>
      </w:r>
      <w:proofErr w:type="spellStart"/>
      <w:r>
        <w:t>Kit</w:t>
      </w:r>
      <w:proofErr w:type="spellEnd"/>
      <w:r>
        <w:t xml:space="preserve"> (</w:t>
      </w:r>
      <w:r w:rsidR="00271A68">
        <w:t xml:space="preserve">QIAGEN, </w:t>
      </w:r>
      <w:r>
        <w:t>kat</w:t>
      </w:r>
      <w:r w:rsidR="00271A68">
        <w:t>. č.</w:t>
      </w:r>
      <w:r w:rsidRPr="005C5F86">
        <w:t xml:space="preserve"> 12243)</w:t>
      </w:r>
    </w:p>
    <w:p w14:paraId="18DED819" w14:textId="77777777" w:rsidR="00E61989" w:rsidRDefault="00E61989" w:rsidP="00E61989">
      <w:pPr>
        <w:spacing w:line="259" w:lineRule="auto"/>
        <w:jc w:val="left"/>
        <w:rPr>
          <w:b/>
          <w:bCs/>
        </w:rPr>
      </w:pPr>
    </w:p>
    <w:p w14:paraId="002AE8AA" w14:textId="38BBCB8F" w:rsidR="00644F97" w:rsidRPr="00E61989" w:rsidRDefault="00E61989" w:rsidP="00E61989">
      <w:pPr>
        <w:spacing w:line="259" w:lineRule="auto"/>
        <w:jc w:val="left"/>
        <w:rPr>
          <w:b/>
          <w:bCs/>
        </w:rPr>
      </w:pPr>
      <w:r>
        <w:rPr>
          <w:b/>
          <w:bCs/>
        </w:rPr>
        <w:br w:type="page"/>
      </w:r>
    </w:p>
    <w:p w14:paraId="1E2B0022" w14:textId="70A06BB4" w:rsidR="00A120E0" w:rsidRDefault="00C53F5D" w:rsidP="00AE5FFB">
      <w:pPr>
        <w:pStyle w:val="Nadpis2"/>
      </w:pPr>
      <w:bookmarkStart w:id="27" w:name="_Toc165492891"/>
      <w:r>
        <w:lastRenderedPageBreak/>
        <w:t>4.3</w:t>
      </w:r>
      <w:r>
        <w:tab/>
        <w:t>Laboratorní pomůcky</w:t>
      </w:r>
      <w:bookmarkEnd w:id="27"/>
    </w:p>
    <w:p w14:paraId="0D5FC7AD" w14:textId="77777777" w:rsidR="00A124C8" w:rsidRPr="00F443D9" w:rsidRDefault="00A124C8" w:rsidP="00AE5FFB">
      <w:pPr>
        <w:pStyle w:val="Odstavecseseznamem"/>
        <w:numPr>
          <w:ilvl w:val="0"/>
          <w:numId w:val="3"/>
        </w:numPr>
      </w:pPr>
      <w:proofErr w:type="gramStart"/>
      <w:r w:rsidRPr="00F443D9">
        <w:t>96-jamková</w:t>
      </w:r>
      <w:proofErr w:type="gramEnd"/>
      <w:r w:rsidRPr="00F443D9">
        <w:t xml:space="preserve"> bílá des</w:t>
      </w:r>
      <w:r>
        <w:t>ka</w:t>
      </w:r>
      <w:r w:rsidRPr="00F443D9">
        <w:t xml:space="preserve"> na měření luminiscence</w:t>
      </w:r>
      <w:r>
        <w:t xml:space="preserve"> (NUNC </w:t>
      </w:r>
      <w:proofErr w:type="spellStart"/>
      <w:r>
        <w:t>Denmark</w:t>
      </w:r>
      <w:proofErr w:type="spellEnd"/>
      <w:r>
        <w:t>)</w:t>
      </w:r>
    </w:p>
    <w:p w14:paraId="2E7BF763" w14:textId="77777777" w:rsidR="00A124C8" w:rsidRPr="00F443D9" w:rsidRDefault="00A124C8" w:rsidP="00AE5FFB">
      <w:pPr>
        <w:pStyle w:val="Odstavecseseznamem"/>
        <w:numPr>
          <w:ilvl w:val="0"/>
          <w:numId w:val="3"/>
        </w:numPr>
      </w:pPr>
      <w:proofErr w:type="gramStart"/>
      <w:r w:rsidRPr="00F443D9">
        <w:t>96-jamková</w:t>
      </w:r>
      <w:proofErr w:type="gramEnd"/>
      <w:r w:rsidRPr="00F443D9">
        <w:t xml:space="preserve"> kultivační des</w:t>
      </w:r>
      <w:r>
        <w:t>ka (TPP)</w:t>
      </w:r>
    </w:p>
    <w:p w14:paraId="64CE6C00" w14:textId="2CE7574C" w:rsidR="00A124C8" w:rsidRDefault="00A124C8" w:rsidP="00AE5FFB">
      <w:pPr>
        <w:pStyle w:val="Odstavecseseznamem"/>
        <w:numPr>
          <w:ilvl w:val="0"/>
          <w:numId w:val="3"/>
        </w:numPr>
      </w:pPr>
      <w:r w:rsidRPr="00F443D9">
        <w:t xml:space="preserve">automatické pipety </w:t>
      </w:r>
      <w:r>
        <w:t>s</w:t>
      </w:r>
      <w:r w:rsidR="00AA067D">
        <w:t xml:space="preserve"> </w:t>
      </w:r>
      <w:r w:rsidRPr="00F443D9">
        <w:t>rozsah</w:t>
      </w:r>
      <w:r>
        <w:t>em</w:t>
      </w:r>
      <w:r w:rsidRPr="00F443D9">
        <w:t xml:space="preserve"> 0,1</w:t>
      </w:r>
      <w:r>
        <w:t>-</w:t>
      </w:r>
      <w:r w:rsidRPr="00F443D9">
        <w:t xml:space="preserve">2,5 </w:t>
      </w:r>
      <w:bookmarkStart w:id="28" w:name="OLE_LINK6"/>
      <w:r w:rsidRPr="00F443D9">
        <w:t>µ</w:t>
      </w:r>
      <w:bookmarkEnd w:id="28"/>
      <w:r w:rsidRPr="00F443D9">
        <w:t xml:space="preserve">l, </w:t>
      </w:r>
      <w:r>
        <w:t xml:space="preserve">0,5-10 </w:t>
      </w:r>
      <w:r w:rsidRPr="00F443D9">
        <w:t>µl</w:t>
      </w:r>
      <w:r>
        <w:t xml:space="preserve">, 10-100 </w:t>
      </w:r>
      <w:r w:rsidRPr="00F443D9">
        <w:t>µl</w:t>
      </w:r>
      <w:r>
        <w:t xml:space="preserve">, 20-200 </w:t>
      </w:r>
      <w:r w:rsidRPr="00F443D9">
        <w:t>µl</w:t>
      </w:r>
      <w:r>
        <w:t>,</w:t>
      </w:r>
      <w:r>
        <w:br/>
        <w:t xml:space="preserve">100-1000 </w:t>
      </w:r>
      <w:r w:rsidRPr="00F443D9">
        <w:t>µl</w:t>
      </w:r>
      <w:r>
        <w:t xml:space="preserve"> (</w:t>
      </w:r>
      <w:proofErr w:type="spellStart"/>
      <w:r>
        <w:t>Eppendorf</w:t>
      </w:r>
      <w:proofErr w:type="spellEnd"/>
      <w:r>
        <w:t>)</w:t>
      </w:r>
    </w:p>
    <w:p w14:paraId="5E123070" w14:textId="77777777" w:rsidR="00A124C8" w:rsidRDefault="00A124C8" w:rsidP="00AE5FFB">
      <w:pPr>
        <w:pStyle w:val="Odstavecseseznamem"/>
        <w:numPr>
          <w:ilvl w:val="0"/>
          <w:numId w:val="3"/>
        </w:numPr>
      </w:pPr>
      <w:r>
        <w:t>buničina</w:t>
      </w:r>
    </w:p>
    <w:p w14:paraId="7AD91CDD" w14:textId="77777777" w:rsidR="00A124C8" w:rsidRDefault="00A124C8" w:rsidP="00AE5FFB">
      <w:pPr>
        <w:pStyle w:val="Odstavecseseznamem"/>
        <w:numPr>
          <w:ilvl w:val="0"/>
          <w:numId w:val="3"/>
        </w:numPr>
      </w:pPr>
      <w:proofErr w:type="spellStart"/>
      <w:r>
        <w:t>B</w:t>
      </w:r>
      <w:r w:rsidRPr="00FD3767">
        <w:t>ü</w:t>
      </w:r>
      <w:r>
        <w:t>rkerova</w:t>
      </w:r>
      <w:proofErr w:type="spellEnd"/>
      <w:r>
        <w:t xml:space="preserve"> komůrka 0,100 mm (BRAND)</w:t>
      </w:r>
    </w:p>
    <w:p w14:paraId="763544DD" w14:textId="77777777" w:rsidR="00A124C8" w:rsidRPr="00E04FAE" w:rsidRDefault="00A124C8" w:rsidP="00AE5FFB">
      <w:pPr>
        <w:pStyle w:val="Odstavecseseznamem"/>
        <w:numPr>
          <w:ilvl w:val="0"/>
          <w:numId w:val="3"/>
        </w:numPr>
      </w:pPr>
      <w:r w:rsidRPr="00E04FAE">
        <w:t>elektrická nastavitelná pipeta (</w:t>
      </w:r>
      <w:proofErr w:type="spellStart"/>
      <w:r w:rsidRPr="00E04FAE">
        <w:t>Eppendorf</w:t>
      </w:r>
      <w:proofErr w:type="spellEnd"/>
      <w:r w:rsidRPr="00E04FAE">
        <w:t>)</w:t>
      </w:r>
    </w:p>
    <w:p w14:paraId="749FD8C7" w14:textId="77777777" w:rsidR="00A124C8" w:rsidRDefault="00A124C8" w:rsidP="00AE5FFB">
      <w:pPr>
        <w:pStyle w:val="Odstavecseseznamem"/>
        <w:numPr>
          <w:ilvl w:val="0"/>
          <w:numId w:val="3"/>
        </w:numPr>
      </w:pPr>
      <w:r>
        <w:t>krycí sklíčka 22x22mm</w:t>
      </w:r>
    </w:p>
    <w:p w14:paraId="334C4C4B" w14:textId="77777777" w:rsidR="00A124C8" w:rsidRDefault="00A124C8" w:rsidP="00AE5FFB">
      <w:pPr>
        <w:pStyle w:val="Odstavecseseznamem"/>
        <w:numPr>
          <w:ilvl w:val="0"/>
          <w:numId w:val="3"/>
        </w:numPr>
      </w:pPr>
      <w:r>
        <w:t>mikrozkumavky o objemech 0,5 ml, 1,5 ml, 5 ml (</w:t>
      </w:r>
      <w:proofErr w:type="spellStart"/>
      <w:r>
        <w:t>Eppendorf</w:t>
      </w:r>
      <w:proofErr w:type="spellEnd"/>
      <w:r>
        <w:t>)</w:t>
      </w:r>
    </w:p>
    <w:p w14:paraId="1117B8C8" w14:textId="77777777" w:rsidR="00A124C8" w:rsidRDefault="00A124C8" w:rsidP="00AE5FFB">
      <w:pPr>
        <w:pStyle w:val="Odstavecseseznamem"/>
        <w:numPr>
          <w:ilvl w:val="0"/>
          <w:numId w:val="3"/>
        </w:numPr>
      </w:pPr>
      <w:r>
        <w:t xml:space="preserve">multikanálové pipety s rozsahem 0,5-10 </w:t>
      </w:r>
      <w:r w:rsidRPr="00F443D9">
        <w:t>µl</w:t>
      </w:r>
      <w:r>
        <w:t xml:space="preserve">, 10-100 </w:t>
      </w:r>
      <w:r w:rsidRPr="00F443D9">
        <w:t>µl</w:t>
      </w:r>
      <w:r>
        <w:t xml:space="preserve">, 30-300 </w:t>
      </w:r>
      <w:r w:rsidRPr="00F443D9">
        <w:t>µl</w:t>
      </w:r>
      <w:r>
        <w:t xml:space="preserve"> (</w:t>
      </w:r>
      <w:proofErr w:type="spellStart"/>
      <w:r>
        <w:t>Eppendorf</w:t>
      </w:r>
      <w:proofErr w:type="spellEnd"/>
      <w:r>
        <w:t>)</w:t>
      </w:r>
    </w:p>
    <w:p w14:paraId="56189AD6" w14:textId="77777777" w:rsidR="00A124C8" w:rsidRDefault="00A124C8" w:rsidP="00AE5FFB">
      <w:pPr>
        <w:pStyle w:val="Odstavecseseznamem"/>
        <w:numPr>
          <w:ilvl w:val="0"/>
          <w:numId w:val="3"/>
        </w:numPr>
      </w:pPr>
      <w:r>
        <w:t xml:space="preserve">nastavitelná </w:t>
      </w:r>
      <w:r w:rsidRPr="00A1767A">
        <w:t>multikanálová pipeta 15</w:t>
      </w:r>
      <w:r>
        <w:t>-</w:t>
      </w:r>
      <w:r w:rsidRPr="00A1767A">
        <w:t>300</w:t>
      </w:r>
      <w:r>
        <w:t xml:space="preserve"> </w:t>
      </w:r>
      <w:r w:rsidRPr="00F443D9">
        <w:t>µl</w:t>
      </w:r>
      <w:r>
        <w:t xml:space="preserve"> (</w:t>
      </w:r>
      <w:proofErr w:type="spellStart"/>
      <w:r>
        <w:t>Eppendorf</w:t>
      </w:r>
      <w:proofErr w:type="spellEnd"/>
      <w:r>
        <w:t>)</w:t>
      </w:r>
    </w:p>
    <w:p w14:paraId="08F8D6D7" w14:textId="77777777" w:rsidR="00A124C8" w:rsidRDefault="00A124C8" w:rsidP="00AE5FFB">
      <w:pPr>
        <w:pStyle w:val="Odstavecseseznamem"/>
        <w:numPr>
          <w:ilvl w:val="0"/>
          <w:numId w:val="3"/>
        </w:numPr>
      </w:pPr>
      <w:proofErr w:type="spellStart"/>
      <w:r>
        <w:t>Petriho</w:t>
      </w:r>
      <w:proofErr w:type="spellEnd"/>
      <w:r>
        <w:t xml:space="preserve"> misky o objemech 60 ml a 100 ml (</w:t>
      </w:r>
      <w:proofErr w:type="spellStart"/>
      <w:r>
        <w:t>Eppendorf</w:t>
      </w:r>
      <w:proofErr w:type="spellEnd"/>
      <w:r>
        <w:t>)</w:t>
      </w:r>
    </w:p>
    <w:p w14:paraId="4D56BA71" w14:textId="77777777" w:rsidR="00A124C8" w:rsidRDefault="00A124C8" w:rsidP="00AE5FFB">
      <w:pPr>
        <w:pStyle w:val="Odstavecseseznamem"/>
        <w:numPr>
          <w:ilvl w:val="0"/>
          <w:numId w:val="3"/>
        </w:numPr>
      </w:pPr>
      <w:proofErr w:type="spellStart"/>
      <w:r>
        <w:t>pipetor</w:t>
      </w:r>
      <w:proofErr w:type="spellEnd"/>
      <w:r>
        <w:t xml:space="preserve"> </w:t>
      </w:r>
      <w:proofErr w:type="spellStart"/>
      <w:r>
        <w:t>FastPette</w:t>
      </w:r>
      <w:proofErr w:type="spellEnd"/>
      <w:r>
        <w:t xml:space="preserve"> (</w:t>
      </w:r>
      <w:proofErr w:type="spellStart"/>
      <w:r>
        <w:t>Labnet</w:t>
      </w:r>
      <w:proofErr w:type="spellEnd"/>
      <w:r>
        <w:t>)</w:t>
      </w:r>
    </w:p>
    <w:p w14:paraId="133B4DB5" w14:textId="77777777" w:rsidR="00A124C8" w:rsidRDefault="00A124C8" w:rsidP="00AE5FFB">
      <w:pPr>
        <w:pStyle w:val="Odstavecseseznamem"/>
        <w:numPr>
          <w:ilvl w:val="0"/>
          <w:numId w:val="3"/>
        </w:numPr>
      </w:pPr>
      <w:r>
        <w:t>plastové kultivační lahve 75 ml a 150 ml (</w:t>
      </w:r>
      <w:proofErr w:type="spellStart"/>
      <w:r>
        <w:t>Eppendorf</w:t>
      </w:r>
      <w:proofErr w:type="spellEnd"/>
      <w:r>
        <w:t>)</w:t>
      </w:r>
    </w:p>
    <w:p w14:paraId="6520C542" w14:textId="77777777" w:rsidR="00A124C8" w:rsidRDefault="00A124C8" w:rsidP="00AE5FFB">
      <w:pPr>
        <w:pStyle w:val="Odstavecseseznamem"/>
        <w:numPr>
          <w:ilvl w:val="0"/>
          <w:numId w:val="3"/>
        </w:numPr>
      </w:pPr>
      <w:r>
        <w:t>plastové stojany na zkumavky a mikrozkumavky</w:t>
      </w:r>
    </w:p>
    <w:p w14:paraId="353C7122" w14:textId="21203E65" w:rsidR="00A124C8" w:rsidRDefault="00A124C8" w:rsidP="00AE5FFB">
      <w:pPr>
        <w:pStyle w:val="Odstavecseseznamem"/>
        <w:numPr>
          <w:ilvl w:val="0"/>
          <w:numId w:val="3"/>
        </w:numPr>
      </w:pPr>
      <w:r>
        <w:t>plastové špičky s</w:t>
      </w:r>
      <w:r w:rsidR="00AA067D">
        <w:t xml:space="preserve"> </w:t>
      </w:r>
      <w:r>
        <w:t xml:space="preserve">rozsahem 0,1-10 </w:t>
      </w:r>
      <w:r w:rsidRPr="00F443D9">
        <w:t>µl</w:t>
      </w:r>
      <w:r>
        <w:t xml:space="preserve">, 2-200 </w:t>
      </w:r>
      <w:r w:rsidRPr="00F443D9">
        <w:t>µl</w:t>
      </w:r>
      <w:r>
        <w:t xml:space="preserve">, 20-300 </w:t>
      </w:r>
      <w:r w:rsidRPr="00F443D9">
        <w:t>µl</w:t>
      </w:r>
      <w:r>
        <w:t xml:space="preserve">, 100-1000 </w:t>
      </w:r>
      <w:r w:rsidRPr="00F443D9">
        <w:t>µl</w:t>
      </w:r>
      <w:r>
        <w:t xml:space="preserve"> (</w:t>
      </w:r>
      <w:proofErr w:type="spellStart"/>
      <w:r>
        <w:t>Eppendorf</w:t>
      </w:r>
      <w:proofErr w:type="spellEnd"/>
      <w:r>
        <w:t>)</w:t>
      </w:r>
    </w:p>
    <w:p w14:paraId="6ACCFE5D" w14:textId="77777777" w:rsidR="00A124C8" w:rsidRDefault="00A124C8" w:rsidP="00AE5FFB">
      <w:pPr>
        <w:pStyle w:val="Odstavecseseznamem"/>
        <w:numPr>
          <w:ilvl w:val="0"/>
          <w:numId w:val="3"/>
        </w:numPr>
      </w:pPr>
      <w:proofErr w:type="spellStart"/>
      <w:r>
        <w:t>QIArack</w:t>
      </w:r>
      <w:proofErr w:type="spellEnd"/>
      <w:r>
        <w:t xml:space="preserve"> (QIAGEN, kat. č. 19015)</w:t>
      </w:r>
    </w:p>
    <w:p w14:paraId="55472DE5" w14:textId="77777777" w:rsidR="00A124C8" w:rsidRDefault="00A124C8" w:rsidP="00AE5FFB">
      <w:pPr>
        <w:pStyle w:val="Odstavecseseznamem"/>
        <w:numPr>
          <w:ilvl w:val="0"/>
          <w:numId w:val="3"/>
        </w:numPr>
      </w:pPr>
      <w:r>
        <w:t xml:space="preserve">sterilní skleněné pipety o objemech 2 ml, 5 ml, 10 ml a 25 ml (SPL </w:t>
      </w:r>
      <w:proofErr w:type="spellStart"/>
      <w:r>
        <w:t>Life</w:t>
      </w:r>
      <w:proofErr w:type="spellEnd"/>
      <w:r>
        <w:t xml:space="preserve"> </w:t>
      </w:r>
      <w:proofErr w:type="spellStart"/>
      <w:r>
        <w:t>Sciences</w:t>
      </w:r>
      <w:proofErr w:type="spellEnd"/>
      <w:r>
        <w:t>)</w:t>
      </w:r>
    </w:p>
    <w:p w14:paraId="26B88AA0" w14:textId="77777777" w:rsidR="00A124C8" w:rsidRDefault="00A124C8" w:rsidP="00AE5FFB">
      <w:pPr>
        <w:pStyle w:val="Odstavecseseznamem"/>
        <w:numPr>
          <w:ilvl w:val="0"/>
          <w:numId w:val="3"/>
        </w:numPr>
      </w:pPr>
      <w:r>
        <w:t>zkumavky o objemech 15 ml a 50 ml (</w:t>
      </w:r>
      <w:proofErr w:type="spellStart"/>
      <w:r>
        <w:t>Eppendorf</w:t>
      </w:r>
      <w:proofErr w:type="spellEnd"/>
      <w:r>
        <w:t>)</w:t>
      </w:r>
    </w:p>
    <w:p w14:paraId="65B17535" w14:textId="77777777" w:rsidR="001B1E77" w:rsidRPr="0027198F" w:rsidRDefault="001B1E77" w:rsidP="001B1E77">
      <w:pPr>
        <w:pStyle w:val="Odstavecseseznamem"/>
        <w:ind w:left="1425"/>
      </w:pPr>
    </w:p>
    <w:p w14:paraId="1A78069F" w14:textId="44C575A5" w:rsidR="00C53F5D" w:rsidRDefault="00DB6C47" w:rsidP="00AE5FFB">
      <w:pPr>
        <w:pStyle w:val="Nadpis2"/>
      </w:pPr>
      <w:bookmarkStart w:id="29" w:name="_Toc165492892"/>
      <w:r>
        <w:t>4.4</w:t>
      </w:r>
      <w:r>
        <w:tab/>
        <w:t>Přístroje</w:t>
      </w:r>
      <w:bookmarkEnd w:id="29"/>
    </w:p>
    <w:p w14:paraId="0F813B92" w14:textId="77777777" w:rsidR="00A124C8" w:rsidRDefault="00A124C8" w:rsidP="00AE5FFB">
      <w:pPr>
        <w:pStyle w:val="Odstavecseseznamem"/>
        <w:numPr>
          <w:ilvl w:val="0"/>
          <w:numId w:val="4"/>
        </w:numPr>
      </w:pPr>
      <w:r w:rsidRPr="00B723C8">
        <w:t>aspirátor FTA-1</w:t>
      </w:r>
      <w:r>
        <w:t xml:space="preserve"> (</w:t>
      </w:r>
      <w:proofErr w:type="spellStart"/>
      <w:r>
        <w:t>bioSan</w:t>
      </w:r>
      <w:proofErr w:type="spellEnd"/>
      <w:r>
        <w:t>)</w:t>
      </w:r>
    </w:p>
    <w:p w14:paraId="6BD6FDBE" w14:textId="66868BBC" w:rsidR="00A124C8" w:rsidRPr="00095C7A" w:rsidRDefault="00A124C8" w:rsidP="00E41F51">
      <w:pPr>
        <w:pStyle w:val="Odstavecseseznamem"/>
        <w:numPr>
          <w:ilvl w:val="0"/>
          <w:numId w:val="4"/>
        </w:numPr>
      </w:pPr>
      <w:r w:rsidRPr="00095C7A">
        <w:t>centrifuga (</w:t>
      </w:r>
      <w:proofErr w:type="spellStart"/>
      <w:r w:rsidR="00095C7A" w:rsidRPr="00095C7A">
        <w:t>Centrifuge</w:t>
      </w:r>
      <w:proofErr w:type="spellEnd"/>
      <w:r w:rsidR="00095C7A" w:rsidRPr="00095C7A">
        <w:t xml:space="preserve"> 5810R, </w:t>
      </w:r>
      <w:proofErr w:type="spellStart"/>
      <w:r w:rsidR="00095C7A" w:rsidRPr="00095C7A">
        <w:t>Eppendorf</w:t>
      </w:r>
      <w:proofErr w:type="spellEnd"/>
      <w:r w:rsidR="00095C7A" w:rsidRPr="00095C7A">
        <w:t>)</w:t>
      </w:r>
    </w:p>
    <w:p w14:paraId="31D15A96" w14:textId="77777777" w:rsidR="00A124C8" w:rsidRDefault="00A124C8" w:rsidP="00AE5FFB">
      <w:pPr>
        <w:pStyle w:val="Odstavecseseznamem"/>
        <w:numPr>
          <w:ilvl w:val="0"/>
          <w:numId w:val="4"/>
        </w:numPr>
      </w:pPr>
      <w:r>
        <w:t>digitální váhy (KERN)</w:t>
      </w:r>
    </w:p>
    <w:p w14:paraId="478CEA02" w14:textId="632AC335" w:rsidR="00A124C8" w:rsidRPr="00095C7A" w:rsidRDefault="00A124C8" w:rsidP="00AE5FFB">
      <w:pPr>
        <w:pStyle w:val="Odstavecseseznamem"/>
        <w:numPr>
          <w:ilvl w:val="0"/>
          <w:numId w:val="4"/>
        </w:numPr>
      </w:pPr>
      <w:proofErr w:type="spellStart"/>
      <w:r w:rsidRPr="00095C7A">
        <w:t>hlubokomrazící</w:t>
      </w:r>
      <w:proofErr w:type="spellEnd"/>
      <w:r w:rsidRPr="00095C7A">
        <w:t xml:space="preserve"> box</w:t>
      </w:r>
      <w:r w:rsidR="00095C7A" w:rsidRPr="00095C7A">
        <w:t xml:space="preserve"> (</w:t>
      </w:r>
      <w:proofErr w:type="spellStart"/>
      <w:r w:rsidR="00095C7A" w:rsidRPr="00095C7A">
        <w:t>Sanvo</w:t>
      </w:r>
      <w:proofErr w:type="spellEnd"/>
      <w:r w:rsidR="00095C7A" w:rsidRPr="00095C7A">
        <w:t>)</w:t>
      </w:r>
    </w:p>
    <w:p w14:paraId="03FA2D71" w14:textId="77777777" w:rsidR="00A124C8" w:rsidRDefault="00A124C8" w:rsidP="00AE5FFB">
      <w:pPr>
        <w:pStyle w:val="Odstavecseseznamem"/>
        <w:numPr>
          <w:ilvl w:val="0"/>
          <w:numId w:val="4"/>
        </w:numPr>
      </w:pPr>
      <w:r>
        <w:t>chladnička (WHIRPOO)</w:t>
      </w:r>
    </w:p>
    <w:p w14:paraId="2FADEBF1" w14:textId="77777777" w:rsidR="00A124C8" w:rsidRDefault="00A124C8" w:rsidP="00AE5FFB">
      <w:pPr>
        <w:pStyle w:val="Odstavecseseznamem"/>
        <w:numPr>
          <w:ilvl w:val="0"/>
          <w:numId w:val="4"/>
        </w:numPr>
      </w:pPr>
      <w:r>
        <w:t xml:space="preserve">inkubátor TH 30 s třepačkou (Edmund </w:t>
      </w:r>
      <w:proofErr w:type="spellStart"/>
      <w:r>
        <w:t>B</w:t>
      </w:r>
      <w:r w:rsidRPr="00FD3767">
        <w:t>ü</w:t>
      </w:r>
      <w:r>
        <w:t>hler</w:t>
      </w:r>
      <w:proofErr w:type="spellEnd"/>
      <w:r>
        <w:t xml:space="preserve"> </w:t>
      </w:r>
      <w:proofErr w:type="spellStart"/>
      <w:r>
        <w:t>GmbH</w:t>
      </w:r>
      <w:proofErr w:type="spellEnd"/>
      <w:r>
        <w:t>)</w:t>
      </w:r>
    </w:p>
    <w:p w14:paraId="3E41569D" w14:textId="5F30BC68" w:rsidR="00A124C8" w:rsidRPr="003F225A" w:rsidRDefault="00A124C8" w:rsidP="00AE5FFB">
      <w:pPr>
        <w:pStyle w:val="Odstavecseseznamem"/>
        <w:numPr>
          <w:ilvl w:val="0"/>
          <w:numId w:val="4"/>
        </w:numPr>
      </w:pPr>
      <w:r w:rsidRPr="003F225A">
        <w:t>laboratorní inkubátor CO</w:t>
      </w:r>
      <w:r w:rsidRPr="003F225A">
        <w:rPr>
          <w:vertAlign w:val="subscript"/>
        </w:rPr>
        <w:t>2</w:t>
      </w:r>
      <w:r w:rsidR="00095C7A" w:rsidRPr="003F225A">
        <w:rPr>
          <w:vertAlign w:val="subscript"/>
        </w:rPr>
        <w:t xml:space="preserve"> </w:t>
      </w:r>
      <w:r w:rsidR="00095C7A" w:rsidRPr="003F225A">
        <w:t>(</w:t>
      </w:r>
      <w:r w:rsidR="003F225A" w:rsidRPr="003F225A">
        <w:t>NB-203 XL, N-</w:t>
      </w:r>
      <w:proofErr w:type="spellStart"/>
      <w:r w:rsidR="003F225A" w:rsidRPr="003F225A">
        <w:t>Biotek</w:t>
      </w:r>
      <w:proofErr w:type="spellEnd"/>
      <w:r w:rsidR="00095C7A" w:rsidRPr="003F225A">
        <w:t>)</w:t>
      </w:r>
    </w:p>
    <w:p w14:paraId="6BA4AB9C" w14:textId="77777777" w:rsidR="00A124C8" w:rsidRDefault="00A124C8" w:rsidP="00AE5FFB">
      <w:pPr>
        <w:pStyle w:val="Odstavecseseznamem"/>
        <w:numPr>
          <w:ilvl w:val="0"/>
          <w:numId w:val="4"/>
        </w:numPr>
      </w:pPr>
      <w:r>
        <w:t xml:space="preserve">laminární box </w:t>
      </w:r>
      <w:proofErr w:type="spellStart"/>
      <w:r>
        <w:t>Labculture</w:t>
      </w:r>
      <w:proofErr w:type="spellEnd"/>
      <w:r>
        <w:t xml:space="preserve"> (Box Biohazard </w:t>
      </w:r>
      <w:proofErr w:type="spellStart"/>
      <w:r>
        <w:t>Cabinet</w:t>
      </w:r>
      <w:proofErr w:type="spellEnd"/>
      <w:r>
        <w:t xml:space="preserve"> BIO)</w:t>
      </w:r>
    </w:p>
    <w:p w14:paraId="27587310" w14:textId="77777777" w:rsidR="00A124C8" w:rsidRDefault="00A124C8" w:rsidP="00AE5FFB">
      <w:pPr>
        <w:pStyle w:val="Odstavecseseznamem"/>
        <w:numPr>
          <w:ilvl w:val="0"/>
          <w:numId w:val="4"/>
        </w:numPr>
      </w:pPr>
      <w:r>
        <w:t>lednice (354LT)</w:t>
      </w:r>
    </w:p>
    <w:p w14:paraId="0742FC2A" w14:textId="0D30B5B6" w:rsidR="00A124C8" w:rsidRPr="004759F9" w:rsidRDefault="00A124C8" w:rsidP="00AE5FFB">
      <w:pPr>
        <w:pStyle w:val="Odstavecseseznamem"/>
        <w:numPr>
          <w:ilvl w:val="0"/>
          <w:numId w:val="4"/>
        </w:numPr>
      </w:pPr>
      <w:r w:rsidRPr="004759F9">
        <w:lastRenderedPageBreak/>
        <w:t xml:space="preserve">multifunkční modulární </w:t>
      </w:r>
      <w:proofErr w:type="spellStart"/>
      <w:r w:rsidRPr="004759F9">
        <w:t>reader</w:t>
      </w:r>
      <w:proofErr w:type="spellEnd"/>
      <w:r w:rsidRPr="004759F9">
        <w:t xml:space="preserve"> </w:t>
      </w:r>
      <w:proofErr w:type="spellStart"/>
      <w:r w:rsidRPr="004759F9">
        <w:t>Infinite</w:t>
      </w:r>
      <w:proofErr w:type="spellEnd"/>
      <w:r w:rsidRPr="004759F9">
        <w:t xml:space="preserve"> 200M</w:t>
      </w:r>
      <w:r w:rsidR="004759F9" w:rsidRPr="004759F9">
        <w:t xml:space="preserve"> (</w:t>
      </w:r>
      <w:proofErr w:type="spellStart"/>
      <w:r w:rsidR="004759F9" w:rsidRPr="004759F9">
        <w:t>Tecan</w:t>
      </w:r>
      <w:proofErr w:type="spellEnd"/>
      <w:r w:rsidR="004759F9" w:rsidRPr="004759F9">
        <w:t>)</w:t>
      </w:r>
    </w:p>
    <w:p w14:paraId="7075284D" w14:textId="0F8C080B" w:rsidR="00A124C8" w:rsidRPr="009771A7" w:rsidRDefault="00A124C8" w:rsidP="009771A7">
      <w:pPr>
        <w:pStyle w:val="Odstavecseseznamem"/>
        <w:numPr>
          <w:ilvl w:val="0"/>
          <w:numId w:val="4"/>
        </w:numPr>
      </w:pPr>
      <w:proofErr w:type="spellStart"/>
      <w:r>
        <w:t>Nanodrop</w:t>
      </w:r>
      <w:proofErr w:type="spellEnd"/>
      <w:r>
        <w:t xml:space="preserve"> Lite (SN 0599)</w:t>
      </w:r>
    </w:p>
    <w:p w14:paraId="5997F879" w14:textId="77777777" w:rsidR="00A124C8" w:rsidRDefault="00A124C8" w:rsidP="00BA6FD3">
      <w:pPr>
        <w:pStyle w:val="Odstavecseseznamem"/>
        <w:numPr>
          <w:ilvl w:val="0"/>
          <w:numId w:val="4"/>
        </w:numPr>
      </w:pPr>
      <w:r>
        <w:t xml:space="preserve">stolní centrifuga </w:t>
      </w:r>
      <w:proofErr w:type="spellStart"/>
      <w:r>
        <w:t>Combi</w:t>
      </w:r>
      <w:proofErr w:type="spellEnd"/>
      <w:r>
        <w:t>-Spin (</w:t>
      </w:r>
      <w:proofErr w:type="spellStart"/>
      <w:r>
        <w:t>bioSan</w:t>
      </w:r>
      <w:proofErr w:type="spellEnd"/>
      <w:r>
        <w:t>)</w:t>
      </w:r>
    </w:p>
    <w:p w14:paraId="36242661" w14:textId="77777777" w:rsidR="00A124C8" w:rsidRDefault="00A124C8" w:rsidP="00AE5FFB">
      <w:pPr>
        <w:pStyle w:val="Odstavecseseznamem"/>
        <w:numPr>
          <w:ilvl w:val="0"/>
          <w:numId w:val="4"/>
        </w:numPr>
      </w:pPr>
      <w:r>
        <w:t xml:space="preserve">světelný mikroskop (Novel </w:t>
      </w:r>
      <w:proofErr w:type="spellStart"/>
      <w:r>
        <w:t>Optics</w:t>
      </w:r>
      <w:proofErr w:type="spellEnd"/>
      <w:r>
        <w:t>)</w:t>
      </w:r>
    </w:p>
    <w:p w14:paraId="23E12AB6" w14:textId="77777777" w:rsidR="00A124C8" w:rsidRDefault="00A124C8" w:rsidP="00AE5FFB">
      <w:pPr>
        <w:pStyle w:val="Odstavecseseznamem"/>
        <w:numPr>
          <w:ilvl w:val="0"/>
          <w:numId w:val="4"/>
        </w:numPr>
      </w:pPr>
      <w:r>
        <w:t xml:space="preserve">třepačka </w:t>
      </w:r>
      <w:proofErr w:type="spellStart"/>
      <w:r>
        <w:t>Reax</w:t>
      </w:r>
      <w:proofErr w:type="spellEnd"/>
      <w:r>
        <w:t xml:space="preserve"> Top (</w:t>
      </w:r>
      <w:proofErr w:type="spellStart"/>
      <w:r>
        <w:t>Heidolph</w:t>
      </w:r>
      <w:proofErr w:type="spellEnd"/>
      <w:r>
        <w:t>)</w:t>
      </w:r>
    </w:p>
    <w:p w14:paraId="103048EF" w14:textId="77777777" w:rsidR="00A124C8" w:rsidRDefault="00A124C8" w:rsidP="00E716D6">
      <w:pPr>
        <w:pStyle w:val="Odstavecseseznamem"/>
        <w:numPr>
          <w:ilvl w:val="0"/>
          <w:numId w:val="4"/>
        </w:numPr>
      </w:pPr>
      <w:r>
        <w:t>vodní lázeň (LCB11D)</w:t>
      </w:r>
    </w:p>
    <w:p w14:paraId="0823F0AC" w14:textId="77777777" w:rsidR="001B1E77" w:rsidRDefault="001B1E77" w:rsidP="001B1E77">
      <w:pPr>
        <w:pStyle w:val="Odstavecseseznamem"/>
        <w:ind w:left="1425"/>
      </w:pPr>
    </w:p>
    <w:p w14:paraId="1DCAC5CC" w14:textId="563433D9" w:rsidR="00DB6C47" w:rsidRDefault="00DB6C47" w:rsidP="00AE5FFB">
      <w:pPr>
        <w:pStyle w:val="Nadpis2"/>
      </w:pPr>
      <w:bookmarkStart w:id="30" w:name="_Toc165492893"/>
      <w:r>
        <w:t>4.5</w:t>
      </w:r>
      <w:r w:rsidR="00810FAE">
        <w:tab/>
      </w:r>
      <w:r>
        <w:t>Použité metody</w:t>
      </w:r>
      <w:bookmarkEnd w:id="30"/>
    </w:p>
    <w:p w14:paraId="491D8680" w14:textId="2B5DA87C" w:rsidR="00B7475C" w:rsidRPr="00906B00" w:rsidRDefault="00B7475C" w:rsidP="00AE5FFB">
      <w:pPr>
        <w:pStyle w:val="Nadpis3"/>
      </w:pPr>
      <w:bookmarkStart w:id="31" w:name="_Toc165492894"/>
      <w:r w:rsidRPr="00906B00">
        <w:t>4.5.1</w:t>
      </w:r>
      <w:r w:rsidRPr="00906B00">
        <w:tab/>
        <w:t>Izolace plazmidu</w:t>
      </w:r>
      <w:bookmarkEnd w:id="31"/>
    </w:p>
    <w:p w14:paraId="45FE3306" w14:textId="744015C4" w:rsidR="00190BE5" w:rsidRDefault="00190BE5" w:rsidP="00AE5FFB">
      <w:r>
        <w:tab/>
      </w:r>
      <w:r w:rsidR="009C6065">
        <w:t xml:space="preserve">K izolaci plazmidu </w:t>
      </w:r>
      <w:r w:rsidR="00F21A48">
        <w:t>z</w:t>
      </w:r>
      <w:r w:rsidR="0064220D">
        <w:t> </w:t>
      </w:r>
      <w:r w:rsidR="00F21A48">
        <w:t>transformov</w:t>
      </w:r>
      <w:r w:rsidR="0064220D">
        <w:t>a</w:t>
      </w:r>
      <w:r w:rsidR="00F21A48">
        <w:t>ných</w:t>
      </w:r>
      <w:r w:rsidR="0064220D">
        <w:t xml:space="preserve"> bakterií </w:t>
      </w:r>
      <w:proofErr w:type="spellStart"/>
      <w:r w:rsidR="00A701F1">
        <w:rPr>
          <w:i/>
          <w:iCs/>
        </w:rPr>
        <w:t>Escherichia</w:t>
      </w:r>
      <w:proofErr w:type="spellEnd"/>
      <w:r w:rsidR="00A701F1">
        <w:rPr>
          <w:i/>
          <w:iCs/>
        </w:rPr>
        <w:t xml:space="preserve"> coli</w:t>
      </w:r>
      <w:r w:rsidR="00F21A48">
        <w:t xml:space="preserve"> </w:t>
      </w:r>
      <w:r w:rsidR="009C6065">
        <w:t xml:space="preserve">byl použit </w:t>
      </w:r>
      <w:r w:rsidR="00C7377B">
        <w:t>komerční</w:t>
      </w:r>
      <w:r w:rsidR="009771A7">
        <w:t xml:space="preserve"> </w:t>
      </w:r>
      <w:proofErr w:type="spellStart"/>
      <w:r w:rsidR="00B32C60">
        <w:t>The</w:t>
      </w:r>
      <w:proofErr w:type="spellEnd"/>
      <w:r w:rsidR="00B32C60">
        <w:t xml:space="preserve"> </w:t>
      </w:r>
      <w:proofErr w:type="spellStart"/>
      <w:r w:rsidR="00B32C60">
        <w:t>QIAfilter</w:t>
      </w:r>
      <w:proofErr w:type="spellEnd"/>
      <w:r w:rsidR="00B32C60">
        <w:t xml:space="preserve"> </w:t>
      </w:r>
      <w:proofErr w:type="spellStart"/>
      <w:r w:rsidR="00B32C60" w:rsidRPr="00754574">
        <w:t>Plasmid</w:t>
      </w:r>
      <w:proofErr w:type="spellEnd"/>
      <w:r w:rsidR="00A53431" w:rsidRPr="00754574">
        <w:t xml:space="preserve"> </w:t>
      </w:r>
      <w:proofErr w:type="spellStart"/>
      <w:r w:rsidR="00A53431" w:rsidRPr="00754574">
        <w:t>Midi</w:t>
      </w:r>
      <w:proofErr w:type="spellEnd"/>
      <w:r w:rsidR="00A53431" w:rsidRPr="00754574">
        <w:t xml:space="preserve"> </w:t>
      </w:r>
      <w:proofErr w:type="spellStart"/>
      <w:r w:rsidR="00A53431" w:rsidRPr="00754574">
        <w:t>Kit</w:t>
      </w:r>
      <w:proofErr w:type="spellEnd"/>
      <w:r w:rsidR="00A53431" w:rsidRPr="00754574">
        <w:t xml:space="preserve"> (</w:t>
      </w:r>
      <w:r w:rsidR="00ED24F5">
        <w:t xml:space="preserve">QIAGEN, </w:t>
      </w:r>
      <w:r w:rsidR="00A53431" w:rsidRPr="00754574">
        <w:t>kat</w:t>
      </w:r>
      <w:r w:rsidR="00BD781B">
        <w:t>. č.</w:t>
      </w:r>
      <w:r w:rsidR="00A53431" w:rsidRPr="00754574">
        <w:t xml:space="preserve"> </w:t>
      </w:r>
      <w:r w:rsidR="000A622F" w:rsidRPr="00754574">
        <w:t>12243</w:t>
      </w:r>
      <w:r w:rsidR="00A53431" w:rsidRPr="00754574">
        <w:t>).</w:t>
      </w:r>
      <w:r w:rsidR="00A53431">
        <w:t xml:space="preserve"> </w:t>
      </w:r>
      <w:r w:rsidR="00E06168">
        <w:t xml:space="preserve">Bakteriální suspenze </w:t>
      </w:r>
      <w:r w:rsidR="001847DE">
        <w:t xml:space="preserve">byla </w:t>
      </w:r>
      <w:r w:rsidR="00D26081">
        <w:t>centrifugována při 6000 g</w:t>
      </w:r>
      <w:r w:rsidR="00640B7C">
        <w:t xml:space="preserve"> </w:t>
      </w:r>
      <w:r w:rsidR="00D26081">
        <w:t xml:space="preserve">po dobu 15 </w:t>
      </w:r>
      <w:r w:rsidR="00640B7C">
        <w:t xml:space="preserve">minut ve vychlazené centrifuze na 4 °C. </w:t>
      </w:r>
      <w:r w:rsidR="0037541E">
        <w:t xml:space="preserve">Získaný pelet byl </w:t>
      </w:r>
      <w:proofErr w:type="spellStart"/>
      <w:r w:rsidR="0037541E">
        <w:t>resus</w:t>
      </w:r>
      <w:r w:rsidR="00F26058">
        <w:t>p</w:t>
      </w:r>
      <w:r w:rsidR="0037541E">
        <w:t>endován</w:t>
      </w:r>
      <w:proofErr w:type="spellEnd"/>
      <w:r w:rsidR="0037541E">
        <w:t xml:space="preserve"> ve 4 ml </w:t>
      </w:r>
      <w:r w:rsidR="00F26058">
        <w:t>pufru P1</w:t>
      </w:r>
      <w:r w:rsidR="0068160B">
        <w:t xml:space="preserve"> a následně byly přidány 4 ml pufru P2.</w:t>
      </w:r>
      <w:r w:rsidR="000E266E">
        <w:t xml:space="preserve"> </w:t>
      </w:r>
      <w:r w:rsidR="00667FB1">
        <w:t>Obsah byl</w:t>
      </w:r>
      <w:r w:rsidR="002F61C8">
        <w:t xml:space="preserve"> zamíchán </w:t>
      </w:r>
      <w:proofErr w:type="gramStart"/>
      <w:r w:rsidR="002F61C8">
        <w:t>4-6</w:t>
      </w:r>
      <w:r w:rsidR="00667FB1">
        <w:t>x</w:t>
      </w:r>
      <w:proofErr w:type="gramEnd"/>
      <w:r w:rsidR="002F61C8">
        <w:t xml:space="preserve"> převrácením</w:t>
      </w:r>
      <w:r w:rsidR="00667FB1">
        <w:t xml:space="preserve"> falkony</w:t>
      </w:r>
      <w:r w:rsidR="002D00B3">
        <w:t xml:space="preserve"> a</w:t>
      </w:r>
      <w:r w:rsidR="009F3E08">
        <w:t xml:space="preserve"> </w:t>
      </w:r>
      <w:r w:rsidR="00E0721F">
        <w:t xml:space="preserve">díky </w:t>
      </w:r>
      <w:proofErr w:type="spellStart"/>
      <w:r w:rsidR="00E0721F">
        <w:t>LyseBlue</w:t>
      </w:r>
      <w:proofErr w:type="spellEnd"/>
      <w:r w:rsidR="00E0721F">
        <w:t xml:space="preserve"> reagentu zmodral.</w:t>
      </w:r>
      <w:r w:rsidR="002D00B3">
        <w:t xml:space="preserve"> </w:t>
      </w:r>
      <w:r w:rsidR="00E0721F">
        <w:t xml:space="preserve">Následně </w:t>
      </w:r>
      <w:r w:rsidR="002D00B3">
        <w:t>byl</w:t>
      </w:r>
      <w:r w:rsidR="00E0721F">
        <w:t xml:space="preserve"> obsah</w:t>
      </w:r>
      <w:r w:rsidR="002D00B3">
        <w:t xml:space="preserve"> inkubován</w:t>
      </w:r>
      <w:r w:rsidR="00E0721F">
        <w:br/>
      </w:r>
      <w:r w:rsidR="002D00B3">
        <w:t xml:space="preserve">5 minut při laboratorní teplotě. </w:t>
      </w:r>
      <w:r w:rsidR="008E1509">
        <w:t xml:space="preserve">Během inkubace byl nachystán </w:t>
      </w:r>
      <w:proofErr w:type="spellStart"/>
      <w:r w:rsidR="008E1509">
        <w:t>QIArack</w:t>
      </w:r>
      <w:proofErr w:type="spellEnd"/>
      <w:r w:rsidR="008E1509">
        <w:t xml:space="preserve"> (</w:t>
      </w:r>
      <w:r w:rsidR="002D5118">
        <w:t>QIAGEN,</w:t>
      </w:r>
      <w:r w:rsidR="00C53655">
        <w:br/>
      </w:r>
      <w:r w:rsidR="008E1509">
        <w:t>kat</w:t>
      </w:r>
      <w:r w:rsidR="00F37762">
        <w:t>.</w:t>
      </w:r>
      <w:r w:rsidR="00C53655">
        <w:t xml:space="preserve"> </w:t>
      </w:r>
      <w:r w:rsidR="008E1509">
        <w:t>č</w:t>
      </w:r>
      <w:r w:rsidR="00F37762">
        <w:t>.</w:t>
      </w:r>
      <w:r w:rsidR="008E1509">
        <w:t xml:space="preserve"> 19015) </w:t>
      </w:r>
      <w:r w:rsidR="0099224F">
        <w:t xml:space="preserve">a </w:t>
      </w:r>
      <w:r w:rsidR="009A7088">
        <w:t>kolony</w:t>
      </w:r>
      <w:r w:rsidR="00956C5B">
        <w:t xml:space="preserve"> </w:t>
      </w:r>
      <w:proofErr w:type="spellStart"/>
      <w:r w:rsidR="00956C5B">
        <w:t>QIAfilter</w:t>
      </w:r>
      <w:proofErr w:type="spellEnd"/>
      <w:r w:rsidR="00956C5B">
        <w:t xml:space="preserve"> Cartridge</w:t>
      </w:r>
      <w:r w:rsidR="009A7088">
        <w:t>.</w:t>
      </w:r>
      <w:r w:rsidR="00A235F5">
        <w:t xml:space="preserve"> Po inkubaci byly k</w:t>
      </w:r>
      <w:r w:rsidR="00550402">
        <w:t xml:space="preserve"> </w:t>
      </w:r>
      <w:proofErr w:type="spellStart"/>
      <w:r w:rsidR="00E0721F">
        <w:t>lyzátu</w:t>
      </w:r>
      <w:proofErr w:type="spellEnd"/>
      <w:r w:rsidR="00A235F5">
        <w:t xml:space="preserve"> přidány 4 ml chlazeného pufru P3</w:t>
      </w:r>
      <w:r w:rsidR="00AA2586">
        <w:t>, obsah byl zamíchán</w:t>
      </w:r>
      <w:r w:rsidR="000A6596">
        <w:t xml:space="preserve"> </w:t>
      </w:r>
      <w:proofErr w:type="gramStart"/>
      <w:r w:rsidR="00AA2586">
        <w:t>4-6x</w:t>
      </w:r>
      <w:proofErr w:type="gramEnd"/>
      <w:r w:rsidR="00AA2586">
        <w:t xml:space="preserve"> převrácením falkony</w:t>
      </w:r>
      <w:r w:rsidR="00D8217D">
        <w:t xml:space="preserve"> a</w:t>
      </w:r>
      <w:r w:rsidR="002D5118">
        <w:t xml:space="preserve"> došlo k odbarvení roztoku</w:t>
      </w:r>
      <w:r w:rsidR="00D216C4">
        <w:t xml:space="preserve">. </w:t>
      </w:r>
      <w:r w:rsidR="008900CA">
        <w:t xml:space="preserve">Získaný </w:t>
      </w:r>
      <w:proofErr w:type="spellStart"/>
      <w:r w:rsidR="008900CA">
        <w:t>lyzát</w:t>
      </w:r>
      <w:proofErr w:type="spellEnd"/>
      <w:r w:rsidR="008900CA">
        <w:t xml:space="preserve"> byl </w:t>
      </w:r>
      <w:r w:rsidR="00692DE5">
        <w:t xml:space="preserve">přenesen do nachystaných </w:t>
      </w:r>
      <w:r w:rsidR="00185A82" w:rsidRPr="00F37962">
        <w:t>kolon</w:t>
      </w:r>
      <w:r w:rsidR="00F37962" w:rsidRPr="00F37962">
        <w:t xml:space="preserve"> </w:t>
      </w:r>
      <w:proofErr w:type="spellStart"/>
      <w:r w:rsidR="00194690" w:rsidRPr="00F37962">
        <w:t>QIAfilter</w:t>
      </w:r>
      <w:proofErr w:type="spellEnd"/>
      <w:r w:rsidR="00194690" w:rsidRPr="00F37962">
        <w:t xml:space="preserve"> Cartridge</w:t>
      </w:r>
      <w:r w:rsidR="00F37962">
        <w:t xml:space="preserve"> </w:t>
      </w:r>
      <w:r w:rsidR="007146F2">
        <w:t>a byl inkubován 10 minut</w:t>
      </w:r>
      <w:r w:rsidR="00FA2DD0">
        <w:t xml:space="preserve">. </w:t>
      </w:r>
      <w:r w:rsidR="008A6B71">
        <w:t xml:space="preserve">Kolony </w:t>
      </w:r>
      <w:r w:rsidR="00FA2DD0">
        <w:t>QIAGEN-tip byly kalibrovány p</w:t>
      </w:r>
      <w:r w:rsidR="00D1658D">
        <w:t>romytím 4 ml pufru QBT</w:t>
      </w:r>
      <w:r w:rsidR="00B634C5">
        <w:t xml:space="preserve">, který volně prokapal ven. </w:t>
      </w:r>
      <w:r w:rsidR="00E57240">
        <w:t xml:space="preserve">Do </w:t>
      </w:r>
      <w:r w:rsidR="00933159">
        <w:t xml:space="preserve">kolon </w:t>
      </w:r>
      <w:proofErr w:type="spellStart"/>
      <w:r w:rsidR="005A796F">
        <w:t>QIAfilter</w:t>
      </w:r>
      <w:proofErr w:type="spellEnd"/>
      <w:r w:rsidR="005A796F">
        <w:t xml:space="preserve"> Cartridge</w:t>
      </w:r>
      <w:r w:rsidR="00E57240">
        <w:t xml:space="preserve"> s </w:t>
      </w:r>
      <w:proofErr w:type="spellStart"/>
      <w:r w:rsidR="00E57240">
        <w:t>lyzátem</w:t>
      </w:r>
      <w:proofErr w:type="spellEnd"/>
      <w:r w:rsidR="005A796F">
        <w:t xml:space="preserve"> </w:t>
      </w:r>
      <w:r w:rsidR="00E22B5E">
        <w:t>byly vloženy písty</w:t>
      </w:r>
      <w:r w:rsidR="00D36281">
        <w:t xml:space="preserve"> a </w:t>
      </w:r>
      <w:proofErr w:type="spellStart"/>
      <w:r w:rsidR="00933159">
        <w:t>lyzát</w:t>
      </w:r>
      <w:proofErr w:type="spellEnd"/>
      <w:r w:rsidR="00933159">
        <w:t xml:space="preserve"> byl </w:t>
      </w:r>
      <w:r w:rsidR="00D36281">
        <w:t>silou filtrován</w:t>
      </w:r>
      <w:r w:rsidR="00C53655">
        <w:br/>
      </w:r>
      <w:r w:rsidR="00D36281">
        <w:t>do připravených</w:t>
      </w:r>
      <w:r w:rsidR="00933159">
        <w:t xml:space="preserve"> kolon</w:t>
      </w:r>
      <w:r w:rsidR="00D36281">
        <w:t xml:space="preserve"> QIA</w:t>
      </w:r>
      <w:r w:rsidR="00F74EBA">
        <w:t xml:space="preserve">GEN-tip umístěných pod </w:t>
      </w:r>
      <w:r w:rsidR="00933159">
        <w:t xml:space="preserve">kolonami </w:t>
      </w:r>
      <w:proofErr w:type="spellStart"/>
      <w:r w:rsidR="00F74EBA">
        <w:t>QIAfilter</w:t>
      </w:r>
      <w:proofErr w:type="spellEnd"/>
      <w:r w:rsidR="00F74EBA">
        <w:t xml:space="preserve"> Cartridge.</w:t>
      </w:r>
      <w:r w:rsidR="000A0DFE">
        <w:t xml:space="preserve"> </w:t>
      </w:r>
      <w:r w:rsidR="00933159">
        <w:t xml:space="preserve">Kolony </w:t>
      </w:r>
      <w:r w:rsidR="000A0DFE">
        <w:t>QIAGEN-tip byly promyty 2x 10 ml pufre</w:t>
      </w:r>
      <w:r w:rsidR="00726165">
        <w:t>m QC. Izolovan</w:t>
      </w:r>
      <w:r w:rsidR="009771A7">
        <w:t>á</w:t>
      </w:r>
      <w:r w:rsidR="00726165">
        <w:t xml:space="preserve"> DNA byl</w:t>
      </w:r>
      <w:r w:rsidR="009771A7">
        <w:t>a</w:t>
      </w:r>
      <w:r w:rsidR="00726165">
        <w:t xml:space="preserve"> </w:t>
      </w:r>
      <w:proofErr w:type="spellStart"/>
      <w:r w:rsidR="00726165">
        <w:t>eluován</w:t>
      </w:r>
      <w:r w:rsidR="009771A7">
        <w:t>a</w:t>
      </w:r>
      <w:proofErr w:type="spellEnd"/>
      <w:r w:rsidR="00726165">
        <w:t xml:space="preserve"> 5 ml pufrem QF</w:t>
      </w:r>
      <w:r w:rsidR="00512E90">
        <w:t xml:space="preserve"> do 15 ml falkon. </w:t>
      </w:r>
      <w:r w:rsidR="00813A4E">
        <w:t xml:space="preserve">DNA byla </w:t>
      </w:r>
      <w:proofErr w:type="spellStart"/>
      <w:r w:rsidR="00813A4E">
        <w:t>precipitována</w:t>
      </w:r>
      <w:proofErr w:type="spellEnd"/>
      <w:r w:rsidR="00813A4E">
        <w:t xml:space="preserve"> přidáním 3,5 ml isopropanolu</w:t>
      </w:r>
      <w:r w:rsidR="009F30CD">
        <w:t xml:space="preserve">, obsah byl promíchán a centrifugován </w:t>
      </w:r>
      <w:r w:rsidR="00C32027">
        <w:t>ve vychlazené centrifuze na 4 °C při 15 000 g po dobu 10 minut.</w:t>
      </w:r>
      <w:r w:rsidR="004A2D22">
        <w:t xml:space="preserve"> Supernatant byl odstraněn</w:t>
      </w:r>
      <w:r w:rsidR="007D401F">
        <w:t xml:space="preserve"> a pelet byl sušen na vzduchu 5-10 minut. </w:t>
      </w:r>
      <w:r w:rsidR="00B66151">
        <w:t xml:space="preserve">Koncentrace získaného plazmidu byla změřena pomocí spektrometru </w:t>
      </w:r>
      <w:proofErr w:type="spellStart"/>
      <w:r w:rsidR="00B66151">
        <w:t>Nanodrop</w:t>
      </w:r>
      <w:proofErr w:type="spellEnd"/>
      <w:r w:rsidR="00B66151">
        <w:t xml:space="preserve">. </w:t>
      </w:r>
      <w:r w:rsidR="007E78D1">
        <w:t>DNA byla následně rozpuštěna v</w:t>
      </w:r>
      <w:r w:rsidR="00E420DA">
        <w:t> </w:t>
      </w:r>
      <w:proofErr w:type="spellStart"/>
      <w:r w:rsidR="00CA113E">
        <w:t>deio</w:t>
      </w:r>
      <w:r w:rsidR="00E420DA">
        <w:t>nizované</w:t>
      </w:r>
      <w:proofErr w:type="spellEnd"/>
      <w:r w:rsidR="00E420DA">
        <w:t xml:space="preserve"> </w:t>
      </w:r>
      <w:r w:rsidR="007E78D1">
        <w:t xml:space="preserve">PCR </w:t>
      </w:r>
      <w:r w:rsidR="0086121A">
        <w:t>grade</w:t>
      </w:r>
      <w:r w:rsidR="00CA113E">
        <w:t xml:space="preserve"> </w:t>
      </w:r>
      <w:r w:rsidR="007E78D1">
        <w:t>H</w:t>
      </w:r>
      <w:r w:rsidR="007E78D1" w:rsidRPr="007E78D1">
        <w:rPr>
          <w:vertAlign w:val="subscript"/>
        </w:rPr>
        <w:t>2</w:t>
      </w:r>
      <w:r w:rsidR="007E78D1">
        <w:t>O</w:t>
      </w:r>
      <w:r w:rsidR="0016203B">
        <w:t xml:space="preserve"> ve zkumavce</w:t>
      </w:r>
      <w:r w:rsidR="00F51931">
        <w:t xml:space="preserve"> podle hodnoty získané koncentrace</w:t>
      </w:r>
      <w:r w:rsidR="0016203B">
        <w:t xml:space="preserve"> a byla uskladněna v mrazáku </w:t>
      </w:r>
      <w:proofErr w:type="gramStart"/>
      <w:r w:rsidR="0016203B">
        <w:t>v -20</w:t>
      </w:r>
      <w:proofErr w:type="gramEnd"/>
      <w:r w:rsidR="0016203B">
        <w:t xml:space="preserve"> °C.</w:t>
      </w:r>
    </w:p>
    <w:p w14:paraId="4B8F08C3" w14:textId="77777777" w:rsidR="00D57E4B" w:rsidRPr="00190BE5" w:rsidRDefault="00D57E4B" w:rsidP="00AE5FFB"/>
    <w:p w14:paraId="532E5225" w14:textId="251AC6B4" w:rsidR="00810FAE" w:rsidRDefault="00810FAE" w:rsidP="00AE5FFB">
      <w:pPr>
        <w:pStyle w:val="Nadpis3"/>
      </w:pPr>
      <w:bookmarkStart w:id="32" w:name="_Toc165492895"/>
      <w:r>
        <w:t>4.5.</w:t>
      </w:r>
      <w:r w:rsidR="00B7475C">
        <w:t>2</w:t>
      </w:r>
      <w:r>
        <w:tab/>
        <w:t>Kultivace a pasážování buněk</w:t>
      </w:r>
      <w:bookmarkEnd w:id="32"/>
    </w:p>
    <w:p w14:paraId="686AD1FE" w14:textId="2D780F47" w:rsidR="00886C02" w:rsidRDefault="00886C02" w:rsidP="00AE5FFB">
      <w:r>
        <w:rPr>
          <w:b/>
          <w:bCs/>
        </w:rPr>
        <w:tab/>
      </w:r>
      <w:r>
        <w:t>Buňky LS180</w:t>
      </w:r>
      <w:r w:rsidR="004C18E7">
        <w:t xml:space="preserve"> byly kultivovány v</w:t>
      </w:r>
      <w:r w:rsidR="00E32413">
        <w:t xml:space="preserve"> </w:t>
      </w:r>
      <w:r w:rsidR="004C18E7">
        <w:t>kultivační l</w:t>
      </w:r>
      <w:r w:rsidR="00A75D71">
        <w:t>á</w:t>
      </w:r>
      <w:r w:rsidR="004C18E7">
        <w:t>hvi v inkubátoru při 37 °C</w:t>
      </w:r>
      <w:r w:rsidR="00E32413">
        <w:br/>
      </w:r>
      <w:r w:rsidR="004C18E7">
        <w:t>v</w:t>
      </w:r>
      <w:r w:rsidR="00E32413">
        <w:t xml:space="preserve"> </w:t>
      </w:r>
      <w:r w:rsidR="004C18E7">
        <w:t>95% vlhkosti a v</w:t>
      </w:r>
      <w:r w:rsidR="006F485B">
        <w:t xml:space="preserve"> </w:t>
      </w:r>
      <w:r w:rsidR="004C18E7">
        <w:t>atmosféře obsahující 5</w:t>
      </w:r>
      <w:r w:rsidR="002E2B7B">
        <w:t xml:space="preserve"> </w:t>
      </w:r>
      <w:r w:rsidR="004C18E7">
        <w:t>% CO</w:t>
      </w:r>
      <w:r w:rsidR="004C18E7" w:rsidRPr="00C504D3">
        <w:rPr>
          <w:vertAlign w:val="subscript"/>
        </w:rPr>
        <w:t>2</w:t>
      </w:r>
      <w:r w:rsidR="004C18E7">
        <w:t>.</w:t>
      </w:r>
      <w:r w:rsidR="00586001">
        <w:t xml:space="preserve"> Pasážování probíhalo za přísně sterilních </w:t>
      </w:r>
      <w:r w:rsidR="00586001">
        <w:lastRenderedPageBreak/>
        <w:t>podmínek v laminárním boxu.</w:t>
      </w:r>
      <w:r w:rsidR="003B7C47">
        <w:t xml:space="preserve"> </w:t>
      </w:r>
      <w:r w:rsidR="003A3CAC">
        <w:t>DMEM médium</w:t>
      </w:r>
      <w:r w:rsidR="00A277A2">
        <w:t xml:space="preserve"> a</w:t>
      </w:r>
      <w:r w:rsidR="001F5EC5">
        <w:t xml:space="preserve"> 1x</w:t>
      </w:r>
      <w:r w:rsidR="00A277A2">
        <w:t xml:space="preserve"> PBS byly předem vyhřáty</w:t>
      </w:r>
      <w:r w:rsidR="00054234">
        <w:t xml:space="preserve"> </w:t>
      </w:r>
      <w:r w:rsidR="00A277A2">
        <w:t>ve vodní lázni na 37 °C</w:t>
      </w:r>
      <w:r w:rsidR="00232D36">
        <w:t xml:space="preserve">. </w:t>
      </w:r>
      <w:r w:rsidR="006D4D0C">
        <w:t>Z kultivační láhve bylo odsáto médium</w:t>
      </w:r>
      <w:r w:rsidR="00B43368">
        <w:t xml:space="preserve"> a buňky byly opláchnuty 5 ml </w:t>
      </w:r>
      <w:r w:rsidR="001F5EC5">
        <w:t xml:space="preserve">1x </w:t>
      </w:r>
      <w:r w:rsidR="00B43368">
        <w:t>PBS.</w:t>
      </w:r>
      <w:r w:rsidR="00590DCB">
        <w:br/>
      </w:r>
      <w:r w:rsidR="00B43368">
        <w:t xml:space="preserve">Po jeho odsátí </w:t>
      </w:r>
      <w:r w:rsidR="00C97FCB">
        <w:t xml:space="preserve">byl na buňky </w:t>
      </w:r>
      <w:proofErr w:type="spellStart"/>
      <w:r w:rsidR="00C97FCB">
        <w:t>napipetován</w:t>
      </w:r>
      <w:proofErr w:type="spellEnd"/>
      <w:r w:rsidR="00C97FCB">
        <w:t xml:space="preserve"> 1 ml </w:t>
      </w:r>
      <w:proofErr w:type="gramStart"/>
      <w:r w:rsidR="00C97FCB">
        <w:t>0,25%</w:t>
      </w:r>
      <w:proofErr w:type="gramEnd"/>
      <w:r w:rsidR="00C97FCB">
        <w:t xml:space="preserve"> trypsinu</w:t>
      </w:r>
      <w:r w:rsidR="00BE32C0">
        <w:t xml:space="preserve"> a kultivační láhev s buňkami byla umístěna</w:t>
      </w:r>
      <w:r w:rsidR="00590DCB">
        <w:t xml:space="preserve"> </w:t>
      </w:r>
      <w:r w:rsidR="00BE32C0">
        <w:t>na</w:t>
      </w:r>
      <w:r w:rsidR="00C53655">
        <w:t xml:space="preserve"> </w:t>
      </w:r>
      <w:r w:rsidR="00BE32C0">
        <w:t>5 minut do inkubátoru k</w:t>
      </w:r>
      <w:r w:rsidR="001105F2">
        <w:t xml:space="preserve"> </w:t>
      </w:r>
      <w:proofErr w:type="spellStart"/>
      <w:r w:rsidR="00BE32C0">
        <w:t>trypsinizaci</w:t>
      </w:r>
      <w:proofErr w:type="spellEnd"/>
      <w:r w:rsidR="00BE32C0">
        <w:t xml:space="preserve"> při 37 °C.</w:t>
      </w:r>
      <w:r w:rsidR="005377D1">
        <w:t xml:space="preserve"> </w:t>
      </w:r>
      <w:r w:rsidR="007A3B23">
        <w:t xml:space="preserve">Po </w:t>
      </w:r>
      <w:proofErr w:type="spellStart"/>
      <w:r w:rsidR="007A3B23">
        <w:t>trypsinizaci</w:t>
      </w:r>
      <w:proofErr w:type="spellEnd"/>
      <w:r w:rsidR="007A3B23">
        <w:t xml:space="preserve"> byla kultivační láhev s</w:t>
      </w:r>
      <w:r w:rsidR="001105F2">
        <w:t xml:space="preserve"> </w:t>
      </w:r>
      <w:r w:rsidR="007A3B23">
        <w:t>buňkami přesunuta zpět do laminárního boxu</w:t>
      </w:r>
      <w:r w:rsidR="00AD741B">
        <w:t xml:space="preserve"> a buňky byly </w:t>
      </w:r>
      <w:proofErr w:type="spellStart"/>
      <w:r w:rsidR="00AD741B">
        <w:t>resuspendovány</w:t>
      </w:r>
      <w:proofErr w:type="spellEnd"/>
      <w:r w:rsidR="00AD741B">
        <w:t xml:space="preserve"> </w:t>
      </w:r>
      <w:r w:rsidR="001F5EC5">
        <w:t xml:space="preserve">v </w:t>
      </w:r>
      <w:r w:rsidR="00AD741B">
        <w:t>9 ml média</w:t>
      </w:r>
      <w:r w:rsidR="00590DCB">
        <w:t xml:space="preserve"> </w:t>
      </w:r>
      <w:r w:rsidR="00AD741B">
        <w:t>o dno kultivační láhve</w:t>
      </w:r>
      <w:r w:rsidR="00FA1C4D">
        <w:t>.</w:t>
      </w:r>
      <w:r w:rsidR="004A356E">
        <w:t xml:space="preserve"> </w:t>
      </w:r>
      <w:proofErr w:type="spellStart"/>
      <w:r w:rsidR="004A356E">
        <w:t>Resuspendovan</w:t>
      </w:r>
      <w:r w:rsidR="00A818A6">
        <w:t>é</w:t>
      </w:r>
      <w:proofErr w:type="spellEnd"/>
      <w:r w:rsidR="00A818A6">
        <w:t xml:space="preserve"> buňky</w:t>
      </w:r>
      <w:r w:rsidR="004A356E">
        <w:t xml:space="preserve"> byl</w:t>
      </w:r>
      <w:r w:rsidR="00A818A6">
        <w:t>y</w:t>
      </w:r>
      <w:r w:rsidR="004A356E">
        <w:t xml:space="preserve"> </w:t>
      </w:r>
      <w:proofErr w:type="spellStart"/>
      <w:r w:rsidR="004A356E">
        <w:t>přepipetován</w:t>
      </w:r>
      <w:r w:rsidR="00A818A6">
        <w:t>y</w:t>
      </w:r>
      <w:proofErr w:type="spellEnd"/>
      <w:r w:rsidR="004A356E">
        <w:t xml:space="preserve"> do plastové zkumavky,</w:t>
      </w:r>
      <w:r w:rsidR="00590DCB">
        <w:t xml:space="preserve"> </w:t>
      </w:r>
      <w:r w:rsidR="004A356E">
        <w:t>ze které byly odebrány 2 ml</w:t>
      </w:r>
      <w:r w:rsidR="00A16820">
        <w:t xml:space="preserve"> a byly vráceny do kultivační láhve</w:t>
      </w:r>
      <w:r w:rsidR="00D84ED6">
        <w:t xml:space="preserve"> společně</w:t>
      </w:r>
      <w:r w:rsidR="00590DCB">
        <w:br/>
      </w:r>
      <w:r w:rsidR="00D84ED6">
        <w:t xml:space="preserve">s 18 ml média. Kultivační láhev byla </w:t>
      </w:r>
      <w:r w:rsidR="00C421C3">
        <w:t xml:space="preserve">umístěna zpátky do inkubátoru. Buňky byly </w:t>
      </w:r>
      <w:proofErr w:type="spellStart"/>
      <w:r w:rsidR="00C421C3">
        <w:t>pasážovány</w:t>
      </w:r>
      <w:proofErr w:type="spellEnd"/>
      <w:r w:rsidR="00C421C3">
        <w:t xml:space="preserve"> vždy</w:t>
      </w:r>
      <w:r w:rsidR="008A5788">
        <w:t xml:space="preserve"> </w:t>
      </w:r>
      <w:r w:rsidR="00F34C69">
        <w:t xml:space="preserve">každý </w:t>
      </w:r>
      <w:r w:rsidR="00DC7D60">
        <w:t>třetí</w:t>
      </w:r>
      <w:r w:rsidR="00F34C69">
        <w:t xml:space="preserve"> nebo </w:t>
      </w:r>
      <w:r w:rsidR="00DC7D60">
        <w:t>čtvrtý</w:t>
      </w:r>
      <w:r w:rsidR="00F34C69">
        <w:t xml:space="preserve"> den</w:t>
      </w:r>
      <w:r w:rsidR="008A5788">
        <w:t>.</w:t>
      </w:r>
    </w:p>
    <w:p w14:paraId="71D47663" w14:textId="77777777" w:rsidR="00D57E4B" w:rsidRPr="00886C02" w:rsidRDefault="00D57E4B" w:rsidP="00AE5FFB"/>
    <w:p w14:paraId="072350D0" w14:textId="020466C2" w:rsidR="00810FAE" w:rsidRDefault="00810FAE" w:rsidP="00AE5FFB">
      <w:pPr>
        <w:pStyle w:val="Nadpis3"/>
      </w:pPr>
      <w:bookmarkStart w:id="33" w:name="_Toc165492896"/>
      <w:r>
        <w:t>4.5.</w:t>
      </w:r>
      <w:r w:rsidR="00B7475C">
        <w:t>3</w:t>
      </w:r>
      <w:r>
        <w:tab/>
        <w:t>Příprava buněk na experiment</w:t>
      </w:r>
      <w:bookmarkEnd w:id="33"/>
    </w:p>
    <w:p w14:paraId="0601EDCC" w14:textId="0B6A4309" w:rsidR="003E59A7" w:rsidRDefault="003E59A7" w:rsidP="00AE5FFB">
      <w:r w:rsidRPr="008867B3">
        <w:tab/>
      </w:r>
      <w:r w:rsidR="008867B3" w:rsidRPr="008867B3">
        <w:t xml:space="preserve">Buňky musely být vždy před experimentem </w:t>
      </w:r>
      <w:proofErr w:type="spellStart"/>
      <w:r w:rsidR="009C6692">
        <w:t>zpasážovány</w:t>
      </w:r>
      <w:proofErr w:type="spellEnd"/>
      <w:r w:rsidR="009C6692">
        <w:t xml:space="preserve"> a </w:t>
      </w:r>
      <w:proofErr w:type="spellStart"/>
      <w:r w:rsidR="009C6692">
        <w:t>resuspendovány</w:t>
      </w:r>
      <w:proofErr w:type="spellEnd"/>
      <w:r w:rsidR="009C6692">
        <w:t>.</w:t>
      </w:r>
      <w:r w:rsidR="00F34C69">
        <w:br/>
      </w:r>
      <w:r w:rsidR="006B7B99">
        <w:t xml:space="preserve">Po pasážování byla suspenze buněk přenesena do </w:t>
      </w:r>
      <w:r w:rsidR="00D73FBD">
        <w:t>falkony</w:t>
      </w:r>
      <w:r w:rsidR="006B7B99">
        <w:t xml:space="preserve">, ze které </w:t>
      </w:r>
      <w:r w:rsidR="009310AA">
        <w:t>bylo</w:t>
      </w:r>
      <w:r w:rsidR="006B7B99">
        <w:t xml:space="preserve"> </w:t>
      </w:r>
      <w:proofErr w:type="spellStart"/>
      <w:r w:rsidR="004279F7">
        <w:t>přepi</w:t>
      </w:r>
      <w:r w:rsidR="009310AA">
        <w:t>pe</w:t>
      </w:r>
      <w:r w:rsidR="004279F7">
        <w:t>tov</w:t>
      </w:r>
      <w:r w:rsidR="009310AA">
        <w:t>áno</w:t>
      </w:r>
      <w:proofErr w:type="spellEnd"/>
      <w:r w:rsidR="00D73FBD">
        <w:br/>
      </w:r>
      <w:r w:rsidR="004279F7">
        <w:t xml:space="preserve">10 </w:t>
      </w:r>
      <w:r w:rsidR="004279F7" w:rsidRPr="00F443D9">
        <w:t>µl</w:t>
      </w:r>
      <w:r w:rsidR="004279F7">
        <w:t xml:space="preserve"> suspenze buněk do mikrozkumavky a následně do ní bylo </w:t>
      </w:r>
      <w:proofErr w:type="spellStart"/>
      <w:r w:rsidR="004279F7">
        <w:t>př</w:t>
      </w:r>
      <w:r w:rsidR="00982325">
        <w:t>ipipetováno</w:t>
      </w:r>
      <w:proofErr w:type="spellEnd"/>
      <w:r w:rsidR="00982325">
        <w:t xml:space="preserve"> 90 </w:t>
      </w:r>
      <w:r w:rsidR="00982325" w:rsidRPr="00F443D9">
        <w:t>µl</w:t>
      </w:r>
      <w:r w:rsidR="00982325">
        <w:t xml:space="preserve"> </w:t>
      </w:r>
      <w:proofErr w:type="spellStart"/>
      <w:r w:rsidR="00982325">
        <w:t>trypanové</w:t>
      </w:r>
      <w:proofErr w:type="spellEnd"/>
      <w:r w:rsidR="00982325">
        <w:t xml:space="preserve"> modři. Po promíchání</w:t>
      </w:r>
      <w:r w:rsidR="00EB46C5">
        <w:t xml:space="preserve"> byla směs nanesena do </w:t>
      </w:r>
      <w:proofErr w:type="spellStart"/>
      <w:r w:rsidR="00EB46C5">
        <w:t>B</w:t>
      </w:r>
      <w:r w:rsidR="00EB46C5" w:rsidRPr="00FD3767">
        <w:t>ü</w:t>
      </w:r>
      <w:r w:rsidR="00EB46C5">
        <w:t>r</w:t>
      </w:r>
      <w:r w:rsidR="005C38EB">
        <w:t>k</w:t>
      </w:r>
      <w:r w:rsidR="00EB46C5">
        <w:t>erovy</w:t>
      </w:r>
      <w:proofErr w:type="spellEnd"/>
      <w:r w:rsidR="00EB46C5">
        <w:t xml:space="preserve"> komůrky</w:t>
      </w:r>
      <w:r w:rsidR="00FC59D2">
        <w:t xml:space="preserve"> a buňky byly pozorovány pod světelným mikroskopem</w:t>
      </w:r>
      <w:r w:rsidR="00D63E2A">
        <w:t xml:space="preserve"> pro zjištění jejich množství. Z tohoto údaje byla vypočítána jejich </w:t>
      </w:r>
      <w:r w:rsidR="00C237EE">
        <w:t>koncentrace</w:t>
      </w:r>
      <w:r w:rsidR="00D63E2A">
        <w:t>.</w:t>
      </w:r>
      <w:r w:rsidR="00F507B4">
        <w:t xml:space="preserve"> Pro MTT test bylo nutné suspenzi buněk naředit</w:t>
      </w:r>
      <w:r w:rsidR="00F856EB">
        <w:t xml:space="preserve"> DMEM médiem</w:t>
      </w:r>
      <w:r w:rsidR="00F507B4">
        <w:t xml:space="preserve"> tak, aby </w:t>
      </w:r>
      <w:r w:rsidR="00790E33">
        <w:t>1</w:t>
      </w:r>
      <w:r w:rsidR="00F507B4">
        <w:t xml:space="preserve"> jamka </w:t>
      </w:r>
      <w:proofErr w:type="gramStart"/>
      <w:r w:rsidR="00F507B4">
        <w:t>96-jamkové</w:t>
      </w:r>
      <w:proofErr w:type="gramEnd"/>
      <w:r w:rsidR="00F507B4">
        <w:t xml:space="preserve"> des</w:t>
      </w:r>
      <w:r w:rsidR="007F4A72">
        <w:t>k</w:t>
      </w:r>
      <w:r w:rsidR="00F507B4">
        <w:t xml:space="preserve">y </w:t>
      </w:r>
      <w:r w:rsidR="00F507B4" w:rsidRPr="006A2440">
        <w:t>obsahoval</w:t>
      </w:r>
      <w:r w:rsidR="006A2440" w:rsidRPr="006A2440">
        <w:t>a 30 000</w:t>
      </w:r>
      <w:r w:rsidR="00EE29CB" w:rsidRPr="006A2440">
        <w:t xml:space="preserve"> buněk</w:t>
      </w:r>
      <w:r w:rsidR="00EE29CB">
        <w:t xml:space="preserve"> pro 24</w:t>
      </w:r>
      <w:r w:rsidR="00230351">
        <w:t xml:space="preserve"> hodinový test.</w:t>
      </w:r>
      <w:r w:rsidR="00891965">
        <w:t xml:space="preserve"> </w:t>
      </w:r>
      <w:r w:rsidR="00715EB6">
        <w:t xml:space="preserve">U luciferázové </w:t>
      </w:r>
      <w:proofErr w:type="spellStart"/>
      <w:r w:rsidR="00767111">
        <w:t>reportérové</w:t>
      </w:r>
      <w:proofErr w:type="spellEnd"/>
      <w:r w:rsidR="00767111">
        <w:t xml:space="preserve"> eseje bylo nutné suspenzi buněk naředit DMEM-CS médiem tak, aby </w:t>
      </w:r>
      <w:r w:rsidR="00035561">
        <w:t>1</w:t>
      </w:r>
      <w:r w:rsidR="00767111">
        <w:t xml:space="preserve"> jamka</w:t>
      </w:r>
      <w:r w:rsidR="00035561">
        <w:br/>
      </w:r>
      <w:proofErr w:type="gramStart"/>
      <w:r w:rsidR="00767111">
        <w:t>96-jamkové</w:t>
      </w:r>
      <w:proofErr w:type="gramEnd"/>
      <w:r w:rsidR="00767111">
        <w:t xml:space="preserve"> des</w:t>
      </w:r>
      <w:r w:rsidR="007F4A72">
        <w:t>ky</w:t>
      </w:r>
      <w:r w:rsidR="00767111">
        <w:t xml:space="preserve"> obsahovala 25</w:t>
      </w:r>
      <w:r w:rsidR="00FE0458">
        <w:t> </w:t>
      </w:r>
      <w:r w:rsidR="00767111">
        <w:t>000</w:t>
      </w:r>
      <w:r w:rsidR="00FE0458">
        <w:t xml:space="preserve"> buněk pro 24 hodinový test. </w:t>
      </w:r>
      <w:r w:rsidR="00891965">
        <w:t>Pro luciferázovou reportérovou esej</w:t>
      </w:r>
      <w:r w:rsidR="005767DB">
        <w:t xml:space="preserve"> </w:t>
      </w:r>
      <w:r w:rsidR="00891965">
        <w:t xml:space="preserve">bylo nutné buňky </w:t>
      </w:r>
      <w:r w:rsidR="005D4D3E">
        <w:t xml:space="preserve">před </w:t>
      </w:r>
      <w:r w:rsidR="001F5F1A">
        <w:t xml:space="preserve">aplikací testovaných látek </w:t>
      </w:r>
      <w:proofErr w:type="spellStart"/>
      <w:r w:rsidR="00891965">
        <w:t>transfekovat</w:t>
      </w:r>
      <w:proofErr w:type="spellEnd"/>
      <w:r w:rsidR="005D4D3E">
        <w:t>.</w:t>
      </w:r>
      <w:r w:rsidR="00F856EB">
        <w:t xml:space="preserve"> </w:t>
      </w:r>
      <w:r w:rsidR="00A52355">
        <w:t xml:space="preserve">Buňky byly vysety na </w:t>
      </w:r>
      <w:proofErr w:type="gramStart"/>
      <w:r w:rsidR="00A52355">
        <w:t>96-jamkovou</w:t>
      </w:r>
      <w:proofErr w:type="gramEnd"/>
      <w:r w:rsidR="00A52355">
        <w:t xml:space="preserve"> desku</w:t>
      </w:r>
      <w:r w:rsidR="00A841EE">
        <w:t xml:space="preserve"> a umístěny do inkubátoru k</w:t>
      </w:r>
      <w:r w:rsidR="009C4BDE">
        <w:t xml:space="preserve"> </w:t>
      </w:r>
      <w:r w:rsidR="00A841EE">
        <w:t>24 hodinové inkubaci při 37</w:t>
      </w:r>
      <w:r w:rsidR="00DA69F7">
        <w:t xml:space="preserve"> °C,</w:t>
      </w:r>
      <w:r w:rsidR="00C21353">
        <w:t xml:space="preserve"> </w:t>
      </w:r>
      <w:r w:rsidR="00DA69F7">
        <w:t>95% vlhkosti a atmosféře obsahující 5</w:t>
      </w:r>
      <w:r w:rsidR="002E2B7B">
        <w:t xml:space="preserve"> </w:t>
      </w:r>
      <w:r w:rsidR="00DA69F7">
        <w:t>% CO</w:t>
      </w:r>
      <w:r w:rsidR="00DA69F7" w:rsidRPr="00930013">
        <w:rPr>
          <w:vertAlign w:val="subscript"/>
        </w:rPr>
        <w:t>2</w:t>
      </w:r>
      <w:r w:rsidR="00DA69F7">
        <w:t>. Po inkubaci bylo médium odsáto z</w:t>
      </w:r>
      <w:r w:rsidR="009C4BDE">
        <w:t xml:space="preserve"> </w:t>
      </w:r>
      <w:r w:rsidR="00DA69F7">
        <w:t>jamek a byly aplikovány testované látky.</w:t>
      </w:r>
    </w:p>
    <w:p w14:paraId="13D69010" w14:textId="77777777" w:rsidR="00D57E4B" w:rsidRPr="008867B3" w:rsidRDefault="00D57E4B" w:rsidP="00AE5FFB"/>
    <w:p w14:paraId="26218CB9" w14:textId="18A388BE" w:rsidR="00810FAE" w:rsidRDefault="00810FAE" w:rsidP="00AE5FFB">
      <w:pPr>
        <w:pStyle w:val="Nadpis3"/>
      </w:pPr>
      <w:bookmarkStart w:id="34" w:name="_Toc165492897"/>
      <w:r>
        <w:t>4.5.</w:t>
      </w:r>
      <w:r w:rsidR="00B7475C">
        <w:t>4</w:t>
      </w:r>
      <w:r>
        <w:tab/>
        <w:t>Transfekce buněk</w:t>
      </w:r>
      <w:bookmarkEnd w:id="34"/>
    </w:p>
    <w:p w14:paraId="54814D1B" w14:textId="01C82DDA" w:rsidR="004F0369" w:rsidRDefault="00273908" w:rsidP="00AE5FFB">
      <w:r>
        <w:rPr>
          <w:b/>
          <w:bCs/>
        </w:rPr>
        <w:tab/>
      </w:r>
      <w:r>
        <w:t>Buňky LS180 byly pro luciferázovou reportérovou esej při testování</w:t>
      </w:r>
      <w:r w:rsidR="005A3F68">
        <w:t xml:space="preserve"> transkripční aktivity</w:t>
      </w:r>
      <w:r>
        <w:t xml:space="preserve"> receptoru PXR </w:t>
      </w:r>
      <w:proofErr w:type="spellStart"/>
      <w:r>
        <w:t>transfekovány</w:t>
      </w:r>
      <w:proofErr w:type="spellEnd"/>
      <w:r>
        <w:t xml:space="preserve"> </w:t>
      </w:r>
      <w:r w:rsidR="0077733D">
        <w:t>plazmidem pSG5-hPXR a reportérovým vektorem p3A4-luc</w:t>
      </w:r>
      <w:r w:rsidR="00B71428">
        <w:t xml:space="preserve"> </w:t>
      </w:r>
      <w:r w:rsidR="00B71428">
        <w:fldChar w:fldCharType="begin"/>
      </w:r>
      <w:r w:rsidR="00C41CE8">
        <w:instrText xml:space="preserve"> ADDIN ZOTERO_ITEM CSL_CITATION {"citationID":"YLLI8Ifh","properties":{"formattedCitation":"(Goodwin, Hodgson and Liddle, 1999; Huang {\\i{}et al.}, 2007)","plainCitation":"(Goodwin, Hodgson and Liddle, 1999; Huang et al., 2007)","noteIndex":0},"citationItems":[{"id":6,"uris":["http://zotero.org/users/local/UB9PtTOS/items/ZUC92T4B"],"itemData":{"id":6,"type":"article-journal","container-title":"Molecular Pharmacology","DOI":"10.1124/mol.56.6.1329","ISSN":"0026-895X, 1521-0111","issue":"6","journalAbbreviation":"Mol Pharmacol","language":"en","page":"1329-1339","source":"DOI.org (Crossref)","title":"The Orphan Human Pregnane X Receptor Mediates the Transcriptional Activation of &lt;i&gt;CYP3A4&lt;/i&gt; by Rifampicin through a Distal Enhancer Module","volume":"56","author":[{"family":"Goodwin","given":"Bryan"},{"family":"Hodgson","given":"Ecushla"},{"family":"Liddle","given":"Christopher"}],"issued":{"date-parts":[["1999",12,1]]}}},{"id":85,"uris":["http://zotero.org/users/local/UB9PtTOS/items/PAJSIMUB"],"itemData":{"id":85,"type":"article-journal","container-title":"Oncogene","DOI":"10.1038/sj.onc.1209788","ISSN":"0950-9232, 1476-5594","issue":"2","journalAbbreviation":"Oncogene","language":"en","page":"258-268","source":"DOI.org (Crossref)","title":"Inhibition of drug metabolism by blocking the activation of nuclear receptors by ketoconazole","volume":"26","author":[{"family":"Huang","given":"H"},{"family":"Wang","given":"H"},{"family":"Sinz","given":"M"},{"family":"Zoeckler","given":"M"},{"family":"Staudinger","given":"J"},{"family":"Redinbo","given":"M R"},{"family":"Teotico","given":"D G"},{"family":"Locker","given":"J"},{"family":"Kalpana","given":"G V"},{"family":"Mani","given":"S"}],"issued":{"date-parts":[["2007",1,11]]}}}],"schema":"https://github.com/citation-style-language/schema/raw/master/csl-citation.json"} </w:instrText>
      </w:r>
      <w:r w:rsidR="00B71428">
        <w:fldChar w:fldCharType="separate"/>
      </w:r>
      <w:r w:rsidR="00C41CE8" w:rsidRPr="00C41CE8">
        <w:rPr>
          <w:kern w:val="0"/>
        </w:rPr>
        <w:t>(Goodwin</w:t>
      </w:r>
      <w:r w:rsidR="00396FEE">
        <w:rPr>
          <w:kern w:val="0"/>
        </w:rPr>
        <w:t xml:space="preserve"> </w:t>
      </w:r>
      <w:r w:rsidR="00396FEE">
        <w:rPr>
          <w:i/>
          <w:iCs/>
          <w:kern w:val="0"/>
        </w:rPr>
        <w:t>et al.</w:t>
      </w:r>
      <w:r w:rsidR="00C41CE8" w:rsidRPr="00C41CE8">
        <w:rPr>
          <w:kern w:val="0"/>
        </w:rPr>
        <w:t xml:space="preserve">, 1999; Huang </w:t>
      </w:r>
      <w:r w:rsidR="00C41CE8" w:rsidRPr="00C41CE8">
        <w:rPr>
          <w:i/>
          <w:iCs/>
          <w:kern w:val="0"/>
        </w:rPr>
        <w:t>et al.</w:t>
      </w:r>
      <w:r w:rsidR="00C41CE8" w:rsidRPr="00C41CE8">
        <w:rPr>
          <w:kern w:val="0"/>
        </w:rPr>
        <w:t>, 2007)</w:t>
      </w:r>
      <w:r w:rsidR="00B71428">
        <w:fldChar w:fldCharType="end"/>
      </w:r>
      <w:r w:rsidR="00F46196">
        <w:t xml:space="preserve"> </w:t>
      </w:r>
      <w:r w:rsidR="0077733D">
        <w:t xml:space="preserve">pomocí transfekčního </w:t>
      </w:r>
      <w:r w:rsidR="007A1AF3">
        <w:t>činidla FUGENE HD.</w:t>
      </w:r>
      <w:r w:rsidR="0011487C">
        <w:t xml:space="preserve"> Transfekční směs byla připravena</w:t>
      </w:r>
      <w:r w:rsidR="006B15BC">
        <w:t xml:space="preserve"> tak, aby </w:t>
      </w:r>
      <w:r w:rsidR="00655D64">
        <w:t>byl FUGENE HD a DNA v poměru 3:1</w:t>
      </w:r>
      <w:r w:rsidR="00F670AB">
        <w:t>.</w:t>
      </w:r>
      <w:r w:rsidR="00A2598F">
        <w:t xml:space="preserve"> </w:t>
      </w:r>
      <w:r w:rsidR="00B25965">
        <w:t>Počet vysetých buněk</w:t>
      </w:r>
      <w:r w:rsidR="0010006F">
        <w:t xml:space="preserve"> </w:t>
      </w:r>
      <w:r w:rsidR="00B25965">
        <w:t>činil 25</w:t>
      </w:r>
      <w:r w:rsidR="00A92FC3">
        <w:t> </w:t>
      </w:r>
      <w:r w:rsidR="00B25965">
        <w:t>000</w:t>
      </w:r>
      <w:r w:rsidR="00A92FC3">
        <w:t xml:space="preserve"> buněk na 1 jamku </w:t>
      </w:r>
      <w:proofErr w:type="gramStart"/>
      <w:r w:rsidR="00A92FC3">
        <w:t>96-jamkové</w:t>
      </w:r>
      <w:proofErr w:type="gramEnd"/>
      <w:r w:rsidR="00A92FC3">
        <w:t xml:space="preserve"> desky</w:t>
      </w:r>
      <w:r w:rsidR="00B25965">
        <w:t xml:space="preserve">. </w:t>
      </w:r>
      <w:r w:rsidR="00617ADA">
        <w:t>Množství transfekční směsi bylo vypočteno</w:t>
      </w:r>
      <w:r w:rsidR="00901B39">
        <w:t xml:space="preserve"> tak</w:t>
      </w:r>
      <w:r w:rsidR="007677C8">
        <w:t>,</w:t>
      </w:r>
      <w:r w:rsidR="00901B39">
        <w:t xml:space="preserve"> aby</w:t>
      </w:r>
      <w:r w:rsidR="00617ADA">
        <w:t xml:space="preserve"> </w:t>
      </w:r>
      <w:r w:rsidR="006F708C">
        <w:t xml:space="preserve">na 1 jamku </w:t>
      </w:r>
      <w:proofErr w:type="gramStart"/>
      <w:r w:rsidR="006F708C">
        <w:t>24-jamkové</w:t>
      </w:r>
      <w:proofErr w:type="gramEnd"/>
      <w:r w:rsidR="006F708C">
        <w:t xml:space="preserve"> desky</w:t>
      </w:r>
      <w:r w:rsidR="007677C8">
        <w:t xml:space="preserve"> bylo vyseto 75 000 buněk</w:t>
      </w:r>
      <w:r w:rsidR="006F708C">
        <w:t>.</w:t>
      </w:r>
      <w:r w:rsidR="008568B5">
        <w:t xml:space="preserve"> Tento výpočet </w:t>
      </w:r>
      <w:r w:rsidR="00DF3C41">
        <w:lastRenderedPageBreak/>
        <w:t xml:space="preserve">odpovídá </w:t>
      </w:r>
      <w:r w:rsidR="00471EA6">
        <w:t xml:space="preserve">množství látek potřebných pro </w:t>
      </w:r>
      <w:r w:rsidR="008568B5">
        <w:t xml:space="preserve">vysetí 25 000 buněk na </w:t>
      </w:r>
      <w:r w:rsidR="00680F7B">
        <w:t>3</w:t>
      </w:r>
      <w:r w:rsidR="008568B5">
        <w:t xml:space="preserve"> jamk</w:t>
      </w:r>
      <w:r w:rsidR="00680F7B">
        <w:t>y</w:t>
      </w:r>
      <w:r w:rsidR="008568B5">
        <w:t xml:space="preserve"> </w:t>
      </w:r>
      <w:proofErr w:type="gramStart"/>
      <w:r w:rsidR="008568B5">
        <w:t>96-jamkové</w:t>
      </w:r>
      <w:proofErr w:type="gramEnd"/>
      <w:r w:rsidR="008568B5">
        <w:t xml:space="preserve"> desky.</w:t>
      </w:r>
      <w:r w:rsidR="00120BA4">
        <w:t xml:space="preserve"> Množství jednotlivých použitých látek na přípravu transfekční směsi je uvedeno v Tabulce 2.</w:t>
      </w:r>
    </w:p>
    <w:p w14:paraId="0DBD8BF2" w14:textId="1164F7AB" w:rsidR="00D576CF" w:rsidRPr="00D576CF" w:rsidRDefault="00D576CF" w:rsidP="00AE5FFB">
      <w:pPr>
        <w:rPr>
          <w:b/>
          <w:bCs/>
        </w:rPr>
      </w:pPr>
      <w:r>
        <w:rPr>
          <w:b/>
          <w:bCs/>
        </w:rPr>
        <w:t xml:space="preserve">Tabulka 2: </w:t>
      </w:r>
      <w:r w:rsidR="00DC2423" w:rsidRPr="00DC2423">
        <w:t>Množství látek pro přípravu transfekční směsi</w:t>
      </w:r>
    </w:p>
    <w:tbl>
      <w:tblPr>
        <w:tblW w:w="5000" w:type="pct"/>
        <w:tblCellMar>
          <w:left w:w="70" w:type="dxa"/>
          <w:right w:w="70" w:type="dxa"/>
        </w:tblCellMar>
        <w:tblLook w:val="04A0" w:firstRow="1" w:lastRow="0" w:firstColumn="1" w:lastColumn="0" w:noHBand="0" w:noVBand="1"/>
      </w:tblPr>
      <w:tblGrid>
        <w:gridCol w:w="4536"/>
        <w:gridCol w:w="4536"/>
      </w:tblGrid>
      <w:tr w:rsidR="00F0255D" w:rsidRPr="00F0255D" w14:paraId="5839BD72" w14:textId="77777777" w:rsidTr="00F0255D">
        <w:trPr>
          <w:trHeight w:val="330"/>
        </w:trPr>
        <w:tc>
          <w:tcPr>
            <w:tcW w:w="2500" w:type="pct"/>
            <w:tcBorders>
              <w:top w:val="single" w:sz="12" w:space="0" w:color="auto"/>
              <w:left w:val="nil"/>
              <w:bottom w:val="single" w:sz="12" w:space="0" w:color="auto"/>
              <w:right w:val="nil"/>
            </w:tcBorders>
            <w:shd w:val="clear" w:color="auto" w:fill="auto"/>
            <w:noWrap/>
            <w:vAlign w:val="center"/>
            <w:hideMark/>
          </w:tcPr>
          <w:p w14:paraId="15FC2C4E" w14:textId="77777777" w:rsidR="00F0255D" w:rsidRPr="00F0255D" w:rsidRDefault="00F0255D" w:rsidP="00F0255D">
            <w:pPr>
              <w:spacing w:after="0" w:line="240" w:lineRule="auto"/>
              <w:jc w:val="center"/>
              <w:rPr>
                <w:rFonts w:eastAsia="Times New Roman"/>
                <w:b/>
                <w:bCs/>
                <w:color w:val="000000"/>
                <w:kern w:val="0"/>
                <w:lang w:eastAsia="cs-CZ"/>
                <w14:ligatures w14:val="none"/>
              </w:rPr>
            </w:pPr>
            <w:r w:rsidRPr="00F0255D">
              <w:rPr>
                <w:rFonts w:eastAsia="Times New Roman"/>
                <w:b/>
                <w:bCs/>
                <w:color w:val="000000"/>
                <w:kern w:val="0"/>
                <w:lang w:eastAsia="cs-CZ"/>
                <w14:ligatures w14:val="none"/>
              </w:rPr>
              <w:t>Použité látky</w:t>
            </w:r>
          </w:p>
        </w:tc>
        <w:tc>
          <w:tcPr>
            <w:tcW w:w="2500" w:type="pct"/>
            <w:tcBorders>
              <w:top w:val="single" w:sz="12" w:space="0" w:color="auto"/>
              <w:left w:val="nil"/>
              <w:bottom w:val="single" w:sz="12" w:space="0" w:color="auto"/>
              <w:right w:val="nil"/>
            </w:tcBorders>
            <w:shd w:val="clear" w:color="auto" w:fill="auto"/>
            <w:noWrap/>
            <w:vAlign w:val="center"/>
            <w:hideMark/>
          </w:tcPr>
          <w:p w14:paraId="063C73F9" w14:textId="436F66A6" w:rsidR="00F0255D" w:rsidRPr="00F0255D" w:rsidRDefault="00F0255D" w:rsidP="00F0255D">
            <w:pPr>
              <w:spacing w:after="0" w:line="240" w:lineRule="auto"/>
              <w:jc w:val="center"/>
              <w:rPr>
                <w:rFonts w:eastAsia="Times New Roman"/>
                <w:b/>
                <w:bCs/>
                <w:color w:val="000000"/>
                <w:kern w:val="0"/>
                <w:lang w:eastAsia="cs-CZ"/>
                <w14:ligatures w14:val="none"/>
              </w:rPr>
            </w:pPr>
            <w:r w:rsidRPr="00F0255D">
              <w:rPr>
                <w:rFonts w:eastAsia="Times New Roman"/>
                <w:b/>
                <w:bCs/>
                <w:color w:val="000000"/>
                <w:kern w:val="0"/>
                <w:lang w:eastAsia="cs-CZ"/>
                <w14:ligatures w14:val="none"/>
              </w:rPr>
              <w:t xml:space="preserve">Množství na </w:t>
            </w:r>
            <w:r w:rsidR="00533DC0">
              <w:rPr>
                <w:rFonts w:eastAsia="Times New Roman"/>
                <w:b/>
                <w:bCs/>
                <w:color w:val="000000"/>
                <w:kern w:val="0"/>
                <w:lang w:eastAsia="cs-CZ"/>
                <w14:ligatures w14:val="none"/>
              </w:rPr>
              <w:t>7</w:t>
            </w:r>
            <w:r w:rsidRPr="00F0255D">
              <w:rPr>
                <w:rFonts w:eastAsia="Times New Roman"/>
                <w:b/>
                <w:bCs/>
                <w:color w:val="000000"/>
                <w:kern w:val="0"/>
                <w:lang w:eastAsia="cs-CZ"/>
                <w14:ligatures w14:val="none"/>
              </w:rPr>
              <w:t>5 000 buněk</w:t>
            </w:r>
          </w:p>
        </w:tc>
      </w:tr>
      <w:tr w:rsidR="00F0255D" w:rsidRPr="00F0255D" w14:paraId="5B2D85C5" w14:textId="77777777" w:rsidTr="00F0255D">
        <w:trPr>
          <w:trHeight w:val="320"/>
        </w:trPr>
        <w:tc>
          <w:tcPr>
            <w:tcW w:w="2500" w:type="pct"/>
            <w:tcBorders>
              <w:top w:val="nil"/>
              <w:left w:val="nil"/>
              <w:bottom w:val="single" w:sz="4" w:space="0" w:color="auto"/>
              <w:right w:val="nil"/>
            </w:tcBorders>
            <w:shd w:val="clear" w:color="auto" w:fill="auto"/>
            <w:noWrap/>
            <w:vAlign w:val="center"/>
            <w:hideMark/>
          </w:tcPr>
          <w:p w14:paraId="3A259BC7" w14:textId="77777777" w:rsidR="00F0255D" w:rsidRPr="00F0255D" w:rsidRDefault="00F0255D" w:rsidP="00F0255D">
            <w:pPr>
              <w:spacing w:after="0" w:line="240" w:lineRule="auto"/>
              <w:jc w:val="center"/>
              <w:rPr>
                <w:rFonts w:eastAsia="Times New Roman"/>
                <w:color w:val="000000"/>
                <w:kern w:val="0"/>
                <w:lang w:eastAsia="cs-CZ"/>
                <w14:ligatures w14:val="none"/>
              </w:rPr>
            </w:pPr>
            <w:r w:rsidRPr="00F0255D">
              <w:rPr>
                <w:rFonts w:eastAsia="Times New Roman"/>
                <w:color w:val="000000"/>
                <w:kern w:val="0"/>
                <w:lang w:eastAsia="cs-CZ"/>
                <w14:ligatures w14:val="none"/>
              </w:rPr>
              <w:t>Optimem</w:t>
            </w:r>
          </w:p>
        </w:tc>
        <w:tc>
          <w:tcPr>
            <w:tcW w:w="2500" w:type="pct"/>
            <w:tcBorders>
              <w:top w:val="nil"/>
              <w:left w:val="nil"/>
              <w:bottom w:val="single" w:sz="4" w:space="0" w:color="auto"/>
              <w:right w:val="nil"/>
            </w:tcBorders>
            <w:shd w:val="clear" w:color="auto" w:fill="auto"/>
            <w:noWrap/>
            <w:vAlign w:val="center"/>
            <w:hideMark/>
          </w:tcPr>
          <w:p w14:paraId="4FD5E135" w14:textId="77777777" w:rsidR="00F0255D" w:rsidRPr="00F0255D" w:rsidRDefault="00F0255D" w:rsidP="00F0255D">
            <w:pPr>
              <w:spacing w:after="0" w:line="240" w:lineRule="auto"/>
              <w:jc w:val="center"/>
              <w:rPr>
                <w:rFonts w:eastAsia="Times New Roman"/>
                <w:color w:val="000000"/>
                <w:kern w:val="0"/>
                <w:lang w:eastAsia="cs-CZ"/>
                <w14:ligatures w14:val="none"/>
              </w:rPr>
            </w:pPr>
            <w:r w:rsidRPr="00F0255D">
              <w:rPr>
                <w:rFonts w:eastAsia="Times New Roman"/>
                <w:color w:val="000000"/>
                <w:kern w:val="0"/>
                <w:lang w:eastAsia="cs-CZ"/>
                <w14:ligatures w14:val="none"/>
              </w:rPr>
              <w:t>20 µl</w:t>
            </w:r>
          </w:p>
        </w:tc>
      </w:tr>
      <w:tr w:rsidR="00F0255D" w:rsidRPr="00F0255D" w14:paraId="15EDEDF0" w14:textId="77777777" w:rsidTr="00F0255D">
        <w:trPr>
          <w:trHeight w:val="310"/>
        </w:trPr>
        <w:tc>
          <w:tcPr>
            <w:tcW w:w="2500" w:type="pct"/>
            <w:tcBorders>
              <w:top w:val="nil"/>
              <w:left w:val="nil"/>
              <w:bottom w:val="single" w:sz="4" w:space="0" w:color="auto"/>
              <w:right w:val="nil"/>
            </w:tcBorders>
            <w:shd w:val="clear" w:color="auto" w:fill="auto"/>
            <w:noWrap/>
            <w:vAlign w:val="center"/>
            <w:hideMark/>
          </w:tcPr>
          <w:p w14:paraId="7C71B665" w14:textId="77777777" w:rsidR="00F0255D" w:rsidRPr="00F0255D" w:rsidRDefault="00F0255D" w:rsidP="00F0255D">
            <w:pPr>
              <w:spacing w:after="0" w:line="240" w:lineRule="auto"/>
              <w:jc w:val="center"/>
              <w:rPr>
                <w:rFonts w:eastAsia="Times New Roman"/>
                <w:color w:val="000000"/>
                <w:kern w:val="0"/>
                <w:lang w:eastAsia="cs-CZ"/>
                <w14:ligatures w14:val="none"/>
              </w:rPr>
            </w:pPr>
            <w:r w:rsidRPr="00F0255D">
              <w:rPr>
                <w:rFonts w:eastAsia="Times New Roman"/>
                <w:color w:val="000000"/>
                <w:kern w:val="0"/>
                <w:lang w:eastAsia="cs-CZ"/>
                <w14:ligatures w14:val="none"/>
              </w:rPr>
              <w:t>FUGENE HD</w:t>
            </w:r>
          </w:p>
        </w:tc>
        <w:tc>
          <w:tcPr>
            <w:tcW w:w="2500" w:type="pct"/>
            <w:tcBorders>
              <w:top w:val="nil"/>
              <w:left w:val="nil"/>
              <w:bottom w:val="single" w:sz="4" w:space="0" w:color="auto"/>
              <w:right w:val="nil"/>
            </w:tcBorders>
            <w:shd w:val="clear" w:color="auto" w:fill="auto"/>
            <w:noWrap/>
            <w:vAlign w:val="center"/>
            <w:hideMark/>
          </w:tcPr>
          <w:p w14:paraId="316F4D1C" w14:textId="77777777" w:rsidR="00F0255D" w:rsidRPr="00F0255D" w:rsidRDefault="00F0255D" w:rsidP="00F0255D">
            <w:pPr>
              <w:spacing w:after="0" w:line="240" w:lineRule="auto"/>
              <w:jc w:val="center"/>
              <w:rPr>
                <w:rFonts w:eastAsia="Times New Roman"/>
                <w:color w:val="000000"/>
                <w:kern w:val="0"/>
                <w:lang w:eastAsia="cs-CZ"/>
                <w14:ligatures w14:val="none"/>
              </w:rPr>
            </w:pPr>
            <w:r w:rsidRPr="00F0255D">
              <w:rPr>
                <w:rFonts w:eastAsia="Times New Roman"/>
                <w:color w:val="000000"/>
                <w:kern w:val="0"/>
                <w:lang w:eastAsia="cs-CZ"/>
                <w14:ligatures w14:val="none"/>
              </w:rPr>
              <w:t>1,2 µl</w:t>
            </w:r>
          </w:p>
        </w:tc>
      </w:tr>
      <w:tr w:rsidR="00F0255D" w:rsidRPr="00F0255D" w14:paraId="05662E36" w14:textId="77777777" w:rsidTr="00F0255D">
        <w:trPr>
          <w:trHeight w:val="310"/>
        </w:trPr>
        <w:tc>
          <w:tcPr>
            <w:tcW w:w="2500" w:type="pct"/>
            <w:tcBorders>
              <w:top w:val="nil"/>
              <w:left w:val="nil"/>
              <w:bottom w:val="single" w:sz="4" w:space="0" w:color="auto"/>
              <w:right w:val="nil"/>
            </w:tcBorders>
            <w:shd w:val="clear" w:color="auto" w:fill="auto"/>
            <w:noWrap/>
            <w:vAlign w:val="center"/>
            <w:hideMark/>
          </w:tcPr>
          <w:p w14:paraId="63CDBD98" w14:textId="435A6707" w:rsidR="00F0255D" w:rsidRPr="00F0255D" w:rsidRDefault="001A7842" w:rsidP="00F0255D">
            <w:pPr>
              <w:spacing w:after="0" w:line="240" w:lineRule="auto"/>
              <w:jc w:val="center"/>
              <w:rPr>
                <w:rFonts w:eastAsia="Times New Roman"/>
                <w:color w:val="000000"/>
                <w:kern w:val="0"/>
                <w:lang w:eastAsia="cs-CZ"/>
                <w14:ligatures w14:val="none"/>
              </w:rPr>
            </w:pPr>
            <w:r>
              <w:rPr>
                <w:rFonts w:eastAsia="Times New Roman"/>
                <w:color w:val="000000"/>
                <w:kern w:val="0"/>
                <w:lang w:eastAsia="cs-CZ"/>
                <w14:ligatures w14:val="none"/>
              </w:rPr>
              <w:t>p3A4-luc</w:t>
            </w:r>
          </w:p>
        </w:tc>
        <w:tc>
          <w:tcPr>
            <w:tcW w:w="2500" w:type="pct"/>
            <w:tcBorders>
              <w:top w:val="nil"/>
              <w:left w:val="nil"/>
              <w:bottom w:val="single" w:sz="4" w:space="0" w:color="auto"/>
              <w:right w:val="nil"/>
            </w:tcBorders>
            <w:shd w:val="clear" w:color="auto" w:fill="auto"/>
            <w:noWrap/>
            <w:vAlign w:val="center"/>
            <w:hideMark/>
          </w:tcPr>
          <w:p w14:paraId="66EF4CE7" w14:textId="77777777" w:rsidR="00F0255D" w:rsidRPr="00F0255D" w:rsidRDefault="00F0255D" w:rsidP="00F0255D">
            <w:pPr>
              <w:spacing w:after="0" w:line="240" w:lineRule="auto"/>
              <w:jc w:val="center"/>
              <w:rPr>
                <w:rFonts w:eastAsia="Times New Roman"/>
                <w:color w:val="000000"/>
                <w:kern w:val="0"/>
                <w:lang w:eastAsia="cs-CZ"/>
                <w14:ligatures w14:val="none"/>
              </w:rPr>
            </w:pPr>
            <w:r w:rsidRPr="00F0255D">
              <w:rPr>
                <w:rFonts w:eastAsia="Times New Roman"/>
                <w:color w:val="000000"/>
                <w:kern w:val="0"/>
                <w:lang w:eastAsia="cs-CZ"/>
                <w14:ligatures w14:val="none"/>
              </w:rPr>
              <w:t>0,3 µg</w:t>
            </w:r>
          </w:p>
        </w:tc>
      </w:tr>
      <w:tr w:rsidR="00F0255D" w:rsidRPr="00F0255D" w14:paraId="1DBBC5F8" w14:textId="77777777" w:rsidTr="00F0255D">
        <w:trPr>
          <w:trHeight w:val="320"/>
        </w:trPr>
        <w:tc>
          <w:tcPr>
            <w:tcW w:w="2500" w:type="pct"/>
            <w:tcBorders>
              <w:top w:val="nil"/>
              <w:left w:val="nil"/>
              <w:bottom w:val="single" w:sz="12" w:space="0" w:color="auto"/>
              <w:right w:val="nil"/>
            </w:tcBorders>
            <w:shd w:val="clear" w:color="auto" w:fill="auto"/>
            <w:noWrap/>
            <w:vAlign w:val="center"/>
            <w:hideMark/>
          </w:tcPr>
          <w:p w14:paraId="3C077D7F" w14:textId="58E86CC8" w:rsidR="00F0255D" w:rsidRPr="00F0255D" w:rsidRDefault="001A7842" w:rsidP="00F0255D">
            <w:pPr>
              <w:spacing w:after="0" w:line="240" w:lineRule="auto"/>
              <w:jc w:val="center"/>
              <w:rPr>
                <w:rFonts w:eastAsia="Times New Roman"/>
                <w:color w:val="000000"/>
                <w:kern w:val="0"/>
                <w:lang w:eastAsia="cs-CZ"/>
                <w14:ligatures w14:val="none"/>
              </w:rPr>
            </w:pPr>
            <w:r>
              <w:rPr>
                <w:rFonts w:eastAsia="Times New Roman"/>
                <w:color w:val="000000"/>
                <w:kern w:val="0"/>
                <w:lang w:eastAsia="cs-CZ"/>
                <w14:ligatures w14:val="none"/>
              </w:rPr>
              <w:t>pSG5-hPXR</w:t>
            </w:r>
          </w:p>
        </w:tc>
        <w:tc>
          <w:tcPr>
            <w:tcW w:w="2500" w:type="pct"/>
            <w:tcBorders>
              <w:top w:val="nil"/>
              <w:left w:val="nil"/>
              <w:bottom w:val="single" w:sz="12" w:space="0" w:color="auto"/>
              <w:right w:val="nil"/>
            </w:tcBorders>
            <w:shd w:val="clear" w:color="auto" w:fill="auto"/>
            <w:noWrap/>
            <w:vAlign w:val="center"/>
            <w:hideMark/>
          </w:tcPr>
          <w:p w14:paraId="06664D9A" w14:textId="77777777" w:rsidR="00F0255D" w:rsidRPr="00F0255D" w:rsidRDefault="00F0255D" w:rsidP="00F0255D">
            <w:pPr>
              <w:spacing w:after="0" w:line="240" w:lineRule="auto"/>
              <w:jc w:val="center"/>
              <w:rPr>
                <w:rFonts w:eastAsia="Times New Roman"/>
                <w:color w:val="000000"/>
                <w:kern w:val="0"/>
                <w:lang w:eastAsia="cs-CZ"/>
                <w14:ligatures w14:val="none"/>
              </w:rPr>
            </w:pPr>
            <w:r w:rsidRPr="00F0255D">
              <w:rPr>
                <w:rFonts w:eastAsia="Times New Roman"/>
                <w:color w:val="000000"/>
                <w:kern w:val="0"/>
                <w:lang w:eastAsia="cs-CZ"/>
                <w14:ligatures w14:val="none"/>
              </w:rPr>
              <w:t>0,1 µg</w:t>
            </w:r>
          </w:p>
        </w:tc>
      </w:tr>
    </w:tbl>
    <w:p w14:paraId="0EC69879" w14:textId="60E6B513" w:rsidR="00D576CF" w:rsidRPr="00D576CF" w:rsidRDefault="00D576CF" w:rsidP="00AE5FFB">
      <w:pPr>
        <w:rPr>
          <w:b/>
          <w:bCs/>
        </w:rPr>
      </w:pPr>
    </w:p>
    <w:p w14:paraId="754CA689" w14:textId="58023C21" w:rsidR="0014083C" w:rsidRDefault="001A614C" w:rsidP="00D23BCD">
      <w:pPr>
        <w:ind w:firstLine="708"/>
      </w:pPr>
      <w:r>
        <w:t>Pro přípravu transfekční směsi bylo nejprve smícháno činidlo FUGENE HD</w:t>
      </w:r>
      <w:r w:rsidR="00AE6EA2">
        <w:t xml:space="preserve"> </w:t>
      </w:r>
      <w:r>
        <w:t>s</w:t>
      </w:r>
      <w:r w:rsidR="00AE6EA2">
        <w:t xml:space="preserve"> </w:t>
      </w:r>
      <w:r>
        <w:t>Optimem</w:t>
      </w:r>
      <w:r w:rsidR="00A87F89">
        <w:t xml:space="preserve"> </w:t>
      </w:r>
      <w:r w:rsidR="00386651">
        <w:t xml:space="preserve">v mikrozkumavce </w:t>
      </w:r>
      <w:r w:rsidR="00A87F89">
        <w:t xml:space="preserve">a </w:t>
      </w:r>
      <w:r w:rsidR="00C47A8A">
        <w:t>látky byly</w:t>
      </w:r>
      <w:r w:rsidR="00A87F89">
        <w:t xml:space="preserve"> ponechán</w:t>
      </w:r>
      <w:r w:rsidR="00C47A8A">
        <w:t>y</w:t>
      </w:r>
      <w:r w:rsidR="00A87F89">
        <w:t xml:space="preserve"> </w:t>
      </w:r>
      <w:proofErr w:type="gramStart"/>
      <w:r w:rsidR="00A87F89">
        <w:t>5-minutové</w:t>
      </w:r>
      <w:proofErr w:type="gramEnd"/>
      <w:r w:rsidR="00A87F89">
        <w:t xml:space="preserve"> inkubaci. Mezitím </w:t>
      </w:r>
      <w:r w:rsidR="004F07D3">
        <w:t xml:space="preserve">byl </w:t>
      </w:r>
      <w:r w:rsidR="001F5724">
        <w:t>v</w:t>
      </w:r>
      <w:r w:rsidR="00AE6EA2">
        <w:t xml:space="preserve"> </w:t>
      </w:r>
      <w:r w:rsidR="001F5724">
        <w:t xml:space="preserve">mikrozkumavce </w:t>
      </w:r>
      <w:r w:rsidR="004F07D3">
        <w:t>smíchán plazmid pSG5-hPXR s</w:t>
      </w:r>
      <w:r w:rsidR="00AE6EA2">
        <w:t xml:space="preserve"> </w:t>
      </w:r>
      <w:r w:rsidR="004F07D3">
        <w:t>reportérovým vektorem p3A4-luc.</w:t>
      </w:r>
      <w:r w:rsidR="007116EB">
        <w:t xml:space="preserve"> </w:t>
      </w:r>
      <w:r w:rsidR="00E15A97">
        <w:t>Následně</w:t>
      </w:r>
      <w:r w:rsidR="006B46EF">
        <w:t xml:space="preserve"> byla směs FUGENE HD s Optimem přidána </w:t>
      </w:r>
      <w:r w:rsidR="00C76C54">
        <w:t xml:space="preserve">ke směsi plazmidu a </w:t>
      </w:r>
      <w:proofErr w:type="spellStart"/>
      <w:r w:rsidR="00C76C54">
        <w:t>reportérového</w:t>
      </w:r>
      <w:proofErr w:type="spellEnd"/>
      <w:r w:rsidR="00C76C54">
        <w:t xml:space="preserve"> vektoru a byla 15 minut inkubována.</w:t>
      </w:r>
      <w:r w:rsidR="007322BF">
        <w:t xml:space="preserve"> Transfekční směs byla po inkubaci smíchána s</w:t>
      </w:r>
      <w:r w:rsidR="00892A7E">
        <w:t>e suspenzí buněk, která byla naředěna DMEM-CS médiem</w:t>
      </w:r>
      <w:r w:rsidR="007D5EDC">
        <w:t xml:space="preserve">. Směs </w:t>
      </w:r>
      <w:r w:rsidR="004B31CF">
        <w:t xml:space="preserve">byla vyseta na </w:t>
      </w:r>
      <w:proofErr w:type="gramStart"/>
      <w:r w:rsidR="004B31CF">
        <w:t>96-jamkovou</w:t>
      </w:r>
      <w:proofErr w:type="gramEnd"/>
      <w:r w:rsidR="004B31CF">
        <w:t xml:space="preserve"> desku</w:t>
      </w:r>
      <w:r w:rsidR="007A3BBB">
        <w:t xml:space="preserve"> po 200 </w:t>
      </w:r>
      <w:r w:rsidR="007A3BBB" w:rsidRPr="00F443D9">
        <w:t>µ</w:t>
      </w:r>
      <w:r w:rsidR="007A3BBB">
        <w:t>l</w:t>
      </w:r>
      <w:r w:rsidR="004B31CF">
        <w:t>. Deska byla 24 hodin inkubována v</w:t>
      </w:r>
      <w:r w:rsidR="00BC3B16">
        <w:t xml:space="preserve"> </w:t>
      </w:r>
      <w:r w:rsidR="004B31CF">
        <w:t>inkubátoru při 37 °C</w:t>
      </w:r>
      <w:r w:rsidR="00E61A74">
        <w:t xml:space="preserve">, </w:t>
      </w:r>
      <w:r w:rsidR="004B31CF">
        <w:t>95% vlh</w:t>
      </w:r>
      <w:r w:rsidR="00E61A74">
        <w:t>kosti a atmosféře obsahující 5</w:t>
      </w:r>
      <w:r w:rsidR="002E2B7B">
        <w:t xml:space="preserve"> </w:t>
      </w:r>
      <w:r w:rsidR="00E61A74">
        <w:t>% CO</w:t>
      </w:r>
      <w:r w:rsidR="00E61A74" w:rsidRPr="008179D9">
        <w:rPr>
          <w:vertAlign w:val="subscript"/>
        </w:rPr>
        <w:t>2</w:t>
      </w:r>
      <w:r w:rsidR="00E61A74">
        <w:t>.</w:t>
      </w:r>
      <w:r w:rsidR="007A3BBB">
        <w:br/>
      </w:r>
      <w:r w:rsidR="00E61A74">
        <w:t xml:space="preserve">Po inkubaci bylo médium </w:t>
      </w:r>
      <w:r w:rsidR="00F02376">
        <w:t>z jamek odsáto a byly aplikovány testované látky.</w:t>
      </w:r>
    </w:p>
    <w:p w14:paraId="3B73DD3F" w14:textId="77777777" w:rsidR="00D57E4B" w:rsidRPr="00273908" w:rsidRDefault="00D57E4B" w:rsidP="00D57E4B"/>
    <w:p w14:paraId="60463C86" w14:textId="25645664" w:rsidR="000002C8" w:rsidRDefault="00341103" w:rsidP="00AE5FFB">
      <w:pPr>
        <w:pStyle w:val="Nadpis3"/>
      </w:pPr>
      <w:bookmarkStart w:id="35" w:name="_Toc165492898"/>
      <w:r>
        <w:t>4.5.</w:t>
      </w:r>
      <w:r w:rsidR="00B7475C">
        <w:t>5</w:t>
      </w:r>
      <w:r>
        <w:tab/>
        <w:t>Aplikace monocyklických monoterpenoidů a kontrol na buňky</w:t>
      </w:r>
      <w:bookmarkEnd w:id="35"/>
    </w:p>
    <w:p w14:paraId="736AD315" w14:textId="2A261C13" w:rsidR="00BE0659" w:rsidRPr="00E51A4E" w:rsidRDefault="00396916" w:rsidP="00AE5FFB">
      <w:r>
        <w:rPr>
          <w:b/>
          <w:bCs/>
        </w:rPr>
        <w:tab/>
      </w:r>
      <w:r w:rsidR="00E51A4E">
        <w:t>Monocyklické monoterpenoidy byly rozpuštěny v</w:t>
      </w:r>
      <w:r w:rsidR="00BC3B16">
        <w:t xml:space="preserve"> </w:t>
      </w:r>
      <w:proofErr w:type="gramStart"/>
      <w:r w:rsidR="00507031">
        <w:t>99,8%</w:t>
      </w:r>
      <w:proofErr w:type="gramEnd"/>
      <w:r w:rsidR="0092570A">
        <w:t> </w:t>
      </w:r>
      <w:proofErr w:type="spellStart"/>
      <w:r w:rsidR="00E51A4E">
        <w:t>EtOH</w:t>
      </w:r>
      <w:proofErr w:type="spellEnd"/>
      <w:r w:rsidR="0092570A">
        <w:t xml:space="preserve"> a naředěny na zásobní roztoky </w:t>
      </w:r>
      <w:r w:rsidR="002E3A48" w:rsidRPr="00D62BD5">
        <w:t xml:space="preserve">v </w:t>
      </w:r>
      <w:r w:rsidR="002E3A48" w:rsidRPr="00CC0A80">
        <w:t>testovaných</w:t>
      </w:r>
      <w:r w:rsidR="0092570A" w:rsidRPr="00CC0A80">
        <w:t xml:space="preserve"> koncentracích</w:t>
      </w:r>
      <w:r w:rsidR="0092570A" w:rsidRPr="00D62BD5">
        <w:t>.</w:t>
      </w:r>
      <w:r w:rsidR="00697B7C">
        <w:t xml:space="preserve"> Zásobní roztoky</w:t>
      </w:r>
      <w:r w:rsidR="00895042">
        <w:t xml:space="preserve"> bylo nutné při aplikaci látek</w:t>
      </w:r>
      <w:r w:rsidR="00403A24">
        <w:br/>
      </w:r>
      <w:r w:rsidR="00895042">
        <w:t xml:space="preserve">na </w:t>
      </w:r>
      <w:proofErr w:type="gramStart"/>
      <w:r w:rsidR="00895042">
        <w:t>96-jamkové</w:t>
      </w:r>
      <w:proofErr w:type="gramEnd"/>
      <w:r w:rsidR="00895042">
        <w:t xml:space="preserve"> desky </w:t>
      </w:r>
      <w:r w:rsidR="00507031">
        <w:t xml:space="preserve">1000x </w:t>
      </w:r>
      <w:r w:rsidR="00080336">
        <w:t xml:space="preserve">zředit DMEM médiem </w:t>
      </w:r>
      <w:r w:rsidR="001B74E9">
        <w:t xml:space="preserve">na </w:t>
      </w:r>
      <w:r w:rsidR="00805EA3">
        <w:t>koncentrace</w:t>
      </w:r>
      <w:r w:rsidR="009442BD">
        <w:t xml:space="preserve"> </w:t>
      </w:r>
      <w:r w:rsidR="000B6338">
        <w:t xml:space="preserve">0,1 </w:t>
      </w:r>
      <w:proofErr w:type="spellStart"/>
      <w:r w:rsidR="00B07432">
        <w:t>n</w:t>
      </w:r>
      <w:r w:rsidR="000B6338">
        <w:t>M</w:t>
      </w:r>
      <w:proofErr w:type="spellEnd"/>
      <w:r w:rsidR="000B6338">
        <w:t xml:space="preserve">, 1 </w:t>
      </w:r>
      <w:proofErr w:type="spellStart"/>
      <w:r w:rsidR="00B07432">
        <w:t>n</w:t>
      </w:r>
      <w:r w:rsidR="000B6338">
        <w:t>M</w:t>
      </w:r>
      <w:proofErr w:type="spellEnd"/>
      <w:r w:rsidR="000B6338">
        <w:t xml:space="preserve">, 10 </w:t>
      </w:r>
      <w:proofErr w:type="spellStart"/>
      <w:r w:rsidR="00057E47">
        <w:t>n</w:t>
      </w:r>
      <w:r w:rsidR="000B6338">
        <w:t>M</w:t>
      </w:r>
      <w:proofErr w:type="spellEnd"/>
      <w:r w:rsidR="000B6338">
        <w:t>,</w:t>
      </w:r>
      <w:r w:rsidR="00315FD6">
        <w:br/>
      </w:r>
      <w:r w:rsidR="000B6338">
        <w:t xml:space="preserve">100 </w:t>
      </w:r>
      <w:proofErr w:type="spellStart"/>
      <w:r w:rsidR="00057E47">
        <w:t>n</w:t>
      </w:r>
      <w:r w:rsidR="000B6338">
        <w:t>M</w:t>
      </w:r>
      <w:proofErr w:type="spellEnd"/>
      <w:r w:rsidR="000B6338">
        <w:t xml:space="preserve">, 1 </w:t>
      </w:r>
      <w:r w:rsidR="00057E47" w:rsidRPr="00F443D9">
        <w:t>µ</w:t>
      </w:r>
      <w:r w:rsidR="000B6338">
        <w:t xml:space="preserve">M, 10 </w:t>
      </w:r>
      <w:r w:rsidR="00057E47" w:rsidRPr="00F443D9">
        <w:t>µ</w:t>
      </w:r>
      <w:r w:rsidR="000B6338">
        <w:t xml:space="preserve">M, </w:t>
      </w:r>
      <w:r w:rsidR="00CF4BB8">
        <w:t xml:space="preserve">100 </w:t>
      </w:r>
      <w:r w:rsidR="0072601F" w:rsidRPr="00F443D9">
        <w:t>µ</w:t>
      </w:r>
      <w:r w:rsidR="00CF4BB8">
        <w:t xml:space="preserve">M a 1000 </w:t>
      </w:r>
      <w:r w:rsidR="0072601F" w:rsidRPr="00F443D9">
        <w:t>µ</w:t>
      </w:r>
      <w:r w:rsidR="00CF4BB8">
        <w:t xml:space="preserve">M pro MTT a na koncentrace </w:t>
      </w:r>
      <w:r w:rsidR="00BD1EDE">
        <w:t xml:space="preserve">0,1 </w:t>
      </w:r>
      <w:r w:rsidR="00BD1EDE" w:rsidRPr="00F443D9">
        <w:t>µ</w:t>
      </w:r>
      <w:r w:rsidR="00BD1EDE">
        <w:t xml:space="preserve">M, </w:t>
      </w:r>
      <w:r w:rsidR="00D73C5B">
        <w:t xml:space="preserve">1 </w:t>
      </w:r>
      <w:r w:rsidR="00D73C5B" w:rsidRPr="00F443D9">
        <w:t>µ</w:t>
      </w:r>
      <w:r w:rsidR="00D73C5B">
        <w:t>M,</w:t>
      </w:r>
      <w:r w:rsidR="00315FD6">
        <w:br/>
      </w:r>
      <w:r w:rsidR="00BD1EDE">
        <w:t>10</w:t>
      </w:r>
      <w:r w:rsidR="00315FD6">
        <w:t xml:space="preserve"> </w:t>
      </w:r>
      <w:r w:rsidR="00BD1EDE" w:rsidRPr="00F443D9">
        <w:t>µ</w:t>
      </w:r>
      <w:r w:rsidR="00BD1EDE">
        <w:t xml:space="preserve">M, 100 </w:t>
      </w:r>
      <w:bookmarkStart w:id="36" w:name="OLE_LINK9"/>
      <w:r w:rsidR="00BD1EDE" w:rsidRPr="00F443D9">
        <w:t>µ</w:t>
      </w:r>
      <w:bookmarkEnd w:id="36"/>
      <w:r w:rsidR="00BD1EDE">
        <w:t xml:space="preserve">M a 1000 </w:t>
      </w:r>
      <w:r w:rsidR="00BD1EDE" w:rsidRPr="00F443D9">
        <w:t>µ</w:t>
      </w:r>
      <w:r w:rsidR="00BD1EDE">
        <w:t>M</w:t>
      </w:r>
      <w:r w:rsidR="00315FD6">
        <w:t xml:space="preserve"> </w:t>
      </w:r>
      <w:r w:rsidR="00BD1EDE">
        <w:t>pro luciferázovou reportérovou esej.</w:t>
      </w:r>
      <w:r w:rsidR="007E47BB">
        <w:t xml:space="preserve"> U luciferázové </w:t>
      </w:r>
      <w:proofErr w:type="spellStart"/>
      <w:r w:rsidR="007E47BB">
        <w:t>reportérové</w:t>
      </w:r>
      <w:proofErr w:type="spellEnd"/>
      <w:r w:rsidR="007E47BB">
        <w:t xml:space="preserve"> eseje</w:t>
      </w:r>
      <w:r w:rsidR="008F2DD6">
        <w:t xml:space="preserve"> pro stanovení </w:t>
      </w:r>
      <w:r w:rsidR="008336A9">
        <w:t xml:space="preserve">transkripční </w:t>
      </w:r>
      <w:r w:rsidR="008F2DD6">
        <w:t>aktivity PXR receptoru</w:t>
      </w:r>
      <w:r w:rsidR="00FB18AF">
        <w:t xml:space="preserve"> byly látky ředěny</w:t>
      </w:r>
      <w:r w:rsidR="002D159A">
        <w:t xml:space="preserve"> </w:t>
      </w:r>
      <w:r w:rsidR="00FB18AF">
        <w:t>DMEM-CS médiem.</w:t>
      </w:r>
    </w:p>
    <w:p w14:paraId="352A9A0D" w14:textId="52AFCAF8" w:rsidR="004F71F4" w:rsidRDefault="00E814B3" w:rsidP="0075337D">
      <w:pPr>
        <w:ind w:firstLine="708"/>
      </w:pPr>
      <w:r>
        <w:t xml:space="preserve">Pro MTT test bylo použito DMEM médium </w:t>
      </w:r>
      <w:r w:rsidR="007E5561">
        <w:t>jako negativní kontrol</w:t>
      </w:r>
      <w:r w:rsidR="008106BD">
        <w:t>a</w:t>
      </w:r>
      <w:r w:rsidR="009315A2">
        <w:t xml:space="preserve"> (UT)</w:t>
      </w:r>
      <w:r w:rsidR="00C53655">
        <w:br/>
      </w:r>
      <w:r w:rsidR="007E5561">
        <w:t>a</w:t>
      </w:r>
      <w:r w:rsidR="00FD4286">
        <w:t xml:space="preserve"> </w:t>
      </w:r>
      <w:r w:rsidR="00D93D14" w:rsidRPr="0075337D">
        <w:t>2</w:t>
      </w:r>
      <w:r w:rsidR="0005707A" w:rsidRPr="0075337D">
        <w:t>%</w:t>
      </w:r>
      <w:r w:rsidR="0005707A">
        <w:t xml:space="preserve"> </w:t>
      </w:r>
      <w:r w:rsidR="00512AB0">
        <w:t>t</w:t>
      </w:r>
      <w:r w:rsidR="0005707A">
        <w:t>riton</w:t>
      </w:r>
      <w:r w:rsidR="00512AB0">
        <w:t xml:space="preserve"> X-100</w:t>
      </w:r>
      <w:r w:rsidR="0005707A">
        <w:t xml:space="preserve"> jako pozitivní kontrol</w:t>
      </w:r>
      <w:r w:rsidR="005A3234">
        <w:t>a</w:t>
      </w:r>
      <w:r w:rsidR="0005707A">
        <w:t>.</w:t>
      </w:r>
      <w:r w:rsidR="001C78A5">
        <w:t xml:space="preserve"> Testované látky</w:t>
      </w:r>
      <w:r w:rsidR="00315FD6">
        <w:t xml:space="preserve"> </w:t>
      </w:r>
      <w:r w:rsidR="001C78A5">
        <w:t>s</w:t>
      </w:r>
      <w:r w:rsidR="00BC3B16">
        <w:t xml:space="preserve"> </w:t>
      </w:r>
      <w:r w:rsidR="001C78A5">
        <w:t>kontrolami byly aplikovány v</w:t>
      </w:r>
      <w:r w:rsidR="00C53655">
        <w:t> </w:t>
      </w:r>
      <w:proofErr w:type="spellStart"/>
      <w:r w:rsidR="001C78A5">
        <w:t>pentaplikát</w:t>
      </w:r>
      <w:r w:rsidR="00627586">
        <w:t>u</w:t>
      </w:r>
      <w:proofErr w:type="spellEnd"/>
      <w:r w:rsidR="00C53655">
        <w:t xml:space="preserve"> </w:t>
      </w:r>
      <w:r w:rsidR="00627586">
        <w:t>po 200 µl na jamku</w:t>
      </w:r>
      <w:r w:rsidR="0039179F">
        <w:t xml:space="preserve"> a následn</w:t>
      </w:r>
      <w:r w:rsidR="00090759">
        <w:t xml:space="preserve">ě byla </w:t>
      </w:r>
      <w:proofErr w:type="gramStart"/>
      <w:r w:rsidR="00090759">
        <w:t>96-jamková</w:t>
      </w:r>
      <w:proofErr w:type="gramEnd"/>
      <w:r w:rsidR="00090759">
        <w:t xml:space="preserve"> deska umístěna do inkubátoru po dobu</w:t>
      </w:r>
      <w:r w:rsidR="00C53655">
        <w:t xml:space="preserve"> </w:t>
      </w:r>
      <w:r w:rsidR="00090759">
        <w:t>24 hodin.</w:t>
      </w:r>
    </w:p>
    <w:p w14:paraId="4F4F39F7" w14:textId="4925F5E7" w:rsidR="00E95053" w:rsidRDefault="00322EA1" w:rsidP="0075337D">
      <w:pPr>
        <w:ind w:firstLine="708"/>
      </w:pPr>
      <w:r>
        <w:t>Pro luciferázovou reportérovou esej</w:t>
      </w:r>
      <w:r w:rsidR="004203C0">
        <w:t>, díky které byla testována aktivita PXR, byl</w:t>
      </w:r>
      <w:r w:rsidR="00282232">
        <w:t>o</w:t>
      </w:r>
      <w:r w:rsidR="001C032E">
        <w:t xml:space="preserve"> </w:t>
      </w:r>
      <w:r w:rsidR="004203C0">
        <w:t>použit</w:t>
      </w:r>
      <w:r w:rsidR="00282232">
        <w:t>o DMEM</w:t>
      </w:r>
      <w:r w:rsidR="009A20DC">
        <w:t>-CS</w:t>
      </w:r>
      <w:r w:rsidR="00282232">
        <w:t xml:space="preserve"> médium s</w:t>
      </w:r>
      <w:r w:rsidR="001C032E">
        <w:t> </w:t>
      </w:r>
      <w:proofErr w:type="spellStart"/>
      <w:r w:rsidR="00762ADC" w:rsidRPr="00617A16">
        <w:t>rifampicin</w:t>
      </w:r>
      <w:r w:rsidR="00282232" w:rsidRPr="00617A16">
        <w:t>em</w:t>
      </w:r>
      <w:proofErr w:type="spellEnd"/>
      <w:r w:rsidR="001C032E" w:rsidRPr="00617A16">
        <w:t xml:space="preserve"> jako </w:t>
      </w:r>
      <w:r w:rsidR="00737F93" w:rsidRPr="00617A16">
        <w:t>poziti</w:t>
      </w:r>
      <w:r w:rsidR="001C032E" w:rsidRPr="00617A16">
        <w:t>vní kontrolou a</w:t>
      </w:r>
      <w:r w:rsidR="00BC3B16">
        <w:t xml:space="preserve"> </w:t>
      </w:r>
      <w:r w:rsidR="004D71D6" w:rsidRPr="00617A16">
        <w:t>DMEM</w:t>
      </w:r>
      <w:r w:rsidR="00617A16" w:rsidRPr="00617A16">
        <w:t>-CS</w:t>
      </w:r>
      <w:r w:rsidR="001C032E" w:rsidRPr="00617A16">
        <w:t> </w:t>
      </w:r>
      <w:r w:rsidR="004D71D6" w:rsidRPr="00617A16">
        <w:t>(</w:t>
      </w:r>
      <w:r w:rsidR="001C032E" w:rsidRPr="00617A16">
        <w:t>UT</w:t>
      </w:r>
      <w:r w:rsidR="004D71D6" w:rsidRPr="00617A16">
        <w:t>)</w:t>
      </w:r>
      <w:r w:rsidR="001C032E" w:rsidRPr="00617A16">
        <w:t xml:space="preserve"> jako </w:t>
      </w:r>
      <w:r w:rsidR="00737F93" w:rsidRPr="00617A16">
        <w:lastRenderedPageBreak/>
        <w:t>nega</w:t>
      </w:r>
      <w:r w:rsidR="001C032E" w:rsidRPr="00617A16">
        <w:t>tivní kontrolou.</w:t>
      </w:r>
      <w:r w:rsidR="00650B9C">
        <w:t xml:space="preserve"> </w:t>
      </w:r>
      <w:r w:rsidR="00D0103C">
        <w:t>Testované látky s</w:t>
      </w:r>
      <w:r w:rsidR="00347B95">
        <w:t xml:space="preserve"> </w:t>
      </w:r>
      <w:r w:rsidR="00D0103C">
        <w:t>kontrolami byly aplikovány v</w:t>
      </w:r>
      <w:r w:rsidR="00BC3B16">
        <w:t xml:space="preserve"> </w:t>
      </w:r>
      <w:proofErr w:type="spellStart"/>
      <w:r w:rsidR="00FB77EC">
        <w:t>tetraplik</w:t>
      </w:r>
      <w:r w:rsidR="009465DC">
        <w:t>átu</w:t>
      </w:r>
      <w:proofErr w:type="spellEnd"/>
      <w:r w:rsidR="009465DC">
        <w:t xml:space="preserve"> po 200 µl</w:t>
      </w:r>
      <w:r w:rsidR="00F86C27">
        <w:br/>
      </w:r>
      <w:r w:rsidR="009465DC">
        <w:t xml:space="preserve">na jamku a následně byla </w:t>
      </w:r>
      <w:proofErr w:type="gramStart"/>
      <w:r w:rsidR="009465DC">
        <w:t>96-jamková</w:t>
      </w:r>
      <w:proofErr w:type="gramEnd"/>
      <w:r w:rsidR="009465DC">
        <w:t xml:space="preserve"> des</w:t>
      </w:r>
      <w:r w:rsidR="00512AB0">
        <w:t>ka</w:t>
      </w:r>
      <w:r w:rsidR="009465DC">
        <w:t xml:space="preserve"> umístěna do inkubátoru po dobu </w:t>
      </w:r>
      <w:r w:rsidR="00C031A5">
        <w:t>24 hodin.</w:t>
      </w:r>
    </w:p>
    <w:p w14:paraId="2AF5555E" w14:textId="77777777" w:rsidR="00D57E4B" w:rsidRPr="00396916" w:rsidRDefault="00D57E4B" w:rsidP="00D57E4B"/>
    <w:p w14:paraId="24F3DA4C" w14:textId="2F0009E1" w:rsidR="00341103" w:rsidRDefault="00341103" w:rsidP="00AE5FFB">
      <w:pPr>
        <w:pStyle w:val="Nadpis3"/>
      </w:pPr>
      <w:bookmarkStart w:id="37" w:name="_Toc165492899"/>
      <w:r>
        <w:t>4.5.</w:t>
      </w:r>
      <w:r w:rsidR="00B7475C">
        <w:t>6</w:t>
      </w:r>
      <w:r>
        <w:tab/>
        <w:t>MTT test</w:t>
      </w:r>
      <w:bookmarkEnd w:id="37"/>
    </w:p>
    <w:p w14:paraId="71C5DD4B" w14:textId="60058444" w:rsidR="00023D0D" w:rsidRDefault="00023D0D" w:rsidP="00AE5FFB">
      <w:r>
        <w:rPr>
          <w:b/>
          <w:bCs/>
        </w:rPr>
        <w:tab/>
      </w:r>
      <w:r w:rsidR="00E168E8" w:rsidRPr="003A77F5">
        <w:t xml:space="preserve">Metoda MTT testu </w:t>
      </w:r>
      <w:proofErr w:type="gramStart"/>
      <w:r w:rsidR="00E168E8" w:rsidRPr="003A77F5">
        <w:t>slouží</w:t>
      </w:r>
      <w:proofErr w:type="gramEnd"/>
      <w:r w:rsidR="00E168E8" w:rsidRPr="003A77F5">
        <w:t xml:space="preserve"> </w:t>
      </w:r>
      <w:r w:rsidR="003A77F5" w:rsidRPr="003A77F5">
        <w:t>ke studiu vlivu látek na buňky. P</w:t>
      </w:r>
      <w:r w:rsidR="00FC1F85" w:rsidRPr="003A77F5">
        <w:t>omocí</w:t>
      </w:r>
      <w:r w:rsidR="003A77F5" w:rsidRPr="003A77F5">
        <w:t xml:space="preserve"> n</w:t>
      </w:r>
      <w:r w:rsidR="00217735">
        <w:t>í</w:t>
      </w:r>
      <w:r w:rsidR="00FC1F85" w:rsidRPr="003A77F5">
        <w:t xml:space="preserve"> lze určit</w:t>
      </w:r>
      <w:r w:rsidR="002E77C0" w:rsidRPr="003A77F5">
        <w:t>, při jak velkých koncentracích jsou testované látky pro buňky toxické</w:t>
      </w:r>
      <w:r w:rsidR="002A4CF7">
        <w:t>.</w:t>
      </w:r>
      <w:r w:rsidR="000F7967">
        <w:t xml:space="preserve"> Test je založen na funkci dehydrogenáz</w:t>
      </w:r>
      <w:r w:rsidR="006E61D9">
        <w:t>, které jsou v mitochondriích aktivní pouze pokud je buňka živá a nepoškozená.</w:t>
      </w:r>
      <w:r w:rsidR="00CA1643">
        <w:t xml:space="preserve"> Při MTT testu</w:t>
      </w:r>
      <w:r w:rsidR="002A4CF7">
        <w:t xml:space="preserve"> </w:t>
      </w:r>
      <w:r w:rsidR="00CA1643">
        <w:t>dochází k</w:t>
      </w:r>
      <w:r w:rsidR="002A4CF7">
        <w:t xml:space="preserve"> </w:t>
      </w:r>
      <w:r w:rsidR="00FE74E6">
        <w:t>redukc</w:t>
      </w:r>
      <w:r w:rsidR="00CA1643">
        <w:t>i</w:t>
      </w:r>
      <w:r w:rsidR="00FE74E6">
        <w:t xml:space="preserve"> žlutě zbarvené </w:t>
      </w:r>
      <w:proofErr w:type="spellStart"/>
      <w:r w:rsidR="00FE74E6">
        <w:t>methyltetrazo</w:t>
      </w:r>
      <w:r w:rsidR="00D41A46">
        <w:t>li</w:t>
      </w:r>
      <w:r w:rsidR="00FE74E6">
        <w:t>ové</w:t>
      </w:r>
      <w:proofErr w:type="spellEnd"/>
      <w:r w:rsidR="00FE74E6">
        <w:t xml:space="preserve"> soli na fialový </w:t>
      </w:r>
      <w:proofErr w:type="spellStart"/>
      <w:r w:rsidR="00FE74E6">
        <w:t>formazan</w:t>
      </w:r>
      <w:proofErr w:type="spellEnd"/>
      <w:r w:rsidR="002E19CC">
        <w:t xml:space="preserve"> díky aktivitě dehydrogenáz.</w:t>
      </w:r>
      <w:r w:rsidR="009C3CD9">
        <w:t xml:space="preserve"> </w:t>
      </w:r>
      <w:r w:rsidR="00976FD3">
        <w:t>Vyhodnocení probíhá p</w:t>
      </w:r>
      <w:r w:rsidR="009C3CD9">
        <w:t xml:space="preserve">omocí spektrofotometrického </w:t>
      </w:r>
      <w:r w:rsidR="00D96719">
        <w:t>měření</w:t>
      </w:r>
      <w:r w:rsidR="0097766E">
        <w:t xml:space="preserve"> absorbance </w:t>
      </w:r>
      <w:r w:rsidR="00976FD3">
        <w:t>při 5</w:t>
      </w:r>
      <w:r w:rsidR="00E97A92">
        <w:t>70</w:t>
      </w:r>
      <w:r w:rsidR="00976FD3">
        <w:t xml:space="preserve"> </w:t>
      </w:r>
      <w:proofErr w:type="spellStart"/>
      <w:r w:rsidR="00976FD3">
        <w:t>nm</w:t>
      </w:r>
      <w:proofErr w:type="spellEnd"/>
      <w:r w:rsidR="00976FD3">
        <w:t>.</w:t>
      </w:r>
      <w:r w:rsidR="009371D9">
        <w:t xml:space="preserve"> Měřením </w:t>
      </w:r>
      <w:r w:rsidR="00976FD3">
        <w:t>intenzity vzniklého zbarvení</w:t>
      </w:r>
      <w:r w:rsidR="009C3CD9">
        <w:t xml:space="preserve"> </w:t>
      </w:r>
      <w:r w:rsidR="0014173B">
        <w:t xml:space="preserve">lze určit </w:t>
      </w:r>
      <w:r w:rsidR="001B1950">
        <w:t>životaschopnost</w:t>
      </w:r>
      <w:r w:rsidR="0014173B">
        <w:t xml:space="preserve"> buněk, která je přímo úměrná </w:t>
      </w:r>
      <w:r w:rsidR="00335EC6">
        <w:t>absorbanci.</w:t>
      </w:r>
    </w:p>
    <w:p w14:paraId="621D6B8A" w14:textId="7C8DC539" w:rsidR="00F62E78" w:rsidRDefault="00F62E78" w:rsidP="00AE5FFB">
      <w:r>
        <w:tab/>
      </w:r>
      <w:r w:rsidR="0010552B">
        <w:t>Buňky byly inkubovány 24 hodin s testovanými látkami v</w:t>
      </w:r>
      <w:r w:rsidR="000A003A">
        <w:t xml:space="preserve"> </w:t>
      </w:r>
      <w:proofErr w:type="gramStart"/>
      <w:r w:rsidR="0010552B">
        <w:t>96-jamkov</w:t>
      </w:r>
      <w:r w:rsidR="00623195">
        <w:t>é</w:t>
      </w:r>
      <w:proofErr w:type="gramEnd"/>
      <w:r w:rsidR="00623195">
        <w:t xml:space="preserve"> desce.</w:t>
      </w:r>
      <w:r w:rsidR="00EF74AB">
        <w:t xml:space="preserve"> Testované látky byly </w:t>
      </w:r>
      <w:r w:rsidR="00207A80">
        <w:t>aplikovány v </w:t>
      </w:r>
      <w:proofErr w:type="spellStart"/>
      <w:r w:rsidR="00207A80">
        <w:t>pentaplikátech</w:t>
      </w:r>
      <w:proofErr w:type="spellEnd"/>
      <w:r w:rsidR="00207A80">
        <w:t>.</w:t>
      </w:r>
      <w:r w:rsidR="00A33364">
        <w:t xml:space="preserve"> Po inkubaci</w:t>
      </w:r>
      <w:r w:rsidR="00143829">
        <w:t xml:space="preserve"> byly látky z desky vyklepnuty a </w:t>
      </w:r>
      <w:r w:rsidR="00982B82">
        <w:t xml:space="preserve">deska byla usušena </w:t>
      </w:r>
      <w:r w:rsidR="0056140E">
        <w:t>vyklep</w:t>
      </w:r>
      <w:r w:rsidR="000946C8">
        <w:t>áním</w:t>
      </w:r>
      <w:r w:rsidR="0056140E">
        <w:t xml:space="preserve"> na </w:t>
      </w:r>
      <w:r w:rsidR="00982B82">
        <w:t>buničin</w:t>
      </w:r>
      <w:r w:rsidR="0056140E">
        <w:t>u</w:t>
      </w:r>
      <w:r w:rsidR="00982B82">
        <w:t>. J</w:t>
      </w:r>
      <w:r w:rsidR="00143829">
        <w:t xml:space="preserve">amky byly </w:t>
      </w:r>
      <w:r w:rsidR="00143829" w:rsidRPr="00CB15F0">
        <w:t>promyty</w:t>
      </w:r>
      <w:r w:rsidR="00202551" w:rsidRPr="00CB15F0">
        <w:t xml:space="preserve"> </w:t>
      </w:r>
      <w:r w:rsidR="00B83703" w:rsidRPr="00CB15F0">
        <w:t xml:space="preserve">1x </w:t>
      </w:r>
      <w:r w:rsidR="00F540F0" w:rsidRPr="00CB15F0">
        <w:t>PBS</w:t>
      </w:r>
      <w:r w:rsidR="00F540F0">
        <w:t>, který byl následně opět vyklepnut</w:t>
      </w:r>
      <w:r w:rsidR="00037F6F">
        <w:t xml:space="preserve">. Po </w:t>
      </w:r>
      <w:r w:rsidR="00D70B3A">
        <w:t>o</w:t>
      </w:r>
      <w:r w:rsidR="00037F6F">
        <w:t xml:space="preserve">sušení desky </w:t>
      </w:r>
      <w:r w:rsidR="00F847C9">
        <w:t xml:space="preserve">bylo do jamek </w:t>
      </w:r>
      <w:proofErr w:type="spellStart"/>
      <w:r w:rsidR="00F847C9">
        <w:t>napipetováno</w:t>
      </w:r>
      <w:proofErr w:type="spellEnd"/>
      <w:r w:rsidR="00F847C9">
        <w:t xml:space="preserve"> </w:t>
      </w:r>
      <w:r w:rsidR="0005422D">
        <w:t>po 100 µl</w:t>
      </w:r>
      <w:r w:rsidR="00A81B7C">
        <w:t xml:space="preserve"> MTT, které bylo předem</w:t>
      </w:r>
      <w:r w:rsidR="0056140E">
        <w:t xml:space="preserve"> </w:t>
      </w:r>
      <w:r w:rsidR="00D70B3A">
        <w:t xml:space="preserve">10x </w:t>
      </w:r>
      <w:r w:rsidR="00A81B7C">
        <w:t>zředěno</w:t>
      </w:r>
      <w:r w:rsidR="003971F7">
        <w:t> </w:t>
      </w:r>
      <w:r w:rsidR="00A81B7C">
        <w:t>DMEM</w:t>
      </w:r>
      <w:r w:rsidR="003971F7">
        <w:t xml:space="preserve"> médiem </w:t>
      </w:r>
      <w:r w:rsidR="008B3DD5">
        <w:t>ze zásobního roztoku o koncentraci</w:t>
      </w:r>
      <w:r w:rsidR="00BF2CFA">
        <w:t xml:space="preserve"> </w:t>
      </w:r>
      <w:r w:rsidR="008B3DD5">
        <w:t xml:space="preserve">3 mg/ml </w:t>
      </w:r>
      <w:r w:rsidR="003971F7">
        <w:t xml:space="preserve">na výslednou koncentraci </w:t>
      </w:r>
      <w:r w:rsidR="00606EE1">
        <w:t>0,3 mg/ml</w:t>
      </w:r>
      <w:r w:rsidR="00393A57">
        <w:t xml:space="preserve">. </w:t>
      </w:r>
      <w:r w:rsidR="00F01C83">
        <w:t>Des</w:t>
      </w:r>
      <w:r w:rsidR="00D70B3A">
        <w:t>ka</w:t>
      </w:r>
      <w:r w:rsidR="00F01C83">
        <w:t xml:space="preserve"> byla umístěna do inkubátoru p</w:t>
      </w:r>
      <w:r w:rsidR="00DD7B11">
        <w:t>řibližně</w:t>
      </w:r>
      <w:r w:rsidR="00BF2CFA">
        <w:t xml:space="preserve"> </w:t>
      </w:r>
      <w:r w:rsidR="00DD7B11">
        <w:t>na</w:t>
      </w:r>
      <w:r w:rsidR="00F01C83">
        <w:t xml:space="preserve"> 20</w:t>
      </w:r>
      <w:r w:rsidR="00B83062">
        <w:t>-</w:t>
      </w:r>
      <w:r w:rsidR="00DD7B11">
        <w:t>30</w:t>
      </w:r>
      <w:r w:rsidR="00F01C83">
        <w:t xml:space="preserve"> minut</w:t>
      </w:r>
      <w:r w:rsidR="00F61A3D">
        <w:t>, během</w:t>
      </w:r>
      <w:r w:rsidR="00BF2CFA">
        <w:t xml:space="preserve"> </w:t>
      </w:r>
      <w:r w:rsidR="00F61A3D">
        <w:t>kter</w:t>
      </w:r>
      <w:r w:rsidR="00B83062">
        <w:t>ých</w:t>
      </w:r>
      <w:r w:rsidR="00F61A3D">
        <w:t xml:space="preserve"> došlo k vytvoření modro-fialově zbavených krystalů.</w:t>
      </w:r>
      <w:r w:rsidR="00BF2CFA">
        <w:t xml:space="preserve"> </w:t>
      </w:r>
      <w:r w:rsidR="00E1461C">
        <w:t>Po inkubaci byl</w:t>
      </w:r>
      <w:r w:rsidR="00D70B3A">
        <w:t xml:space="preserve"> obsah</w:t>
      </w:r>
      <w:r w:rsidR="00E1461C">
        <w:t xml:space="preserve"> des</w:t>
      </w:r>
      <w:r w:rsidR="00D70B3A">
        <w:t>ky</w:t>
      </w:r>
      <w:r w:rsidR="00E1461C">
        <w:t xml:space="preserve"> vyklepnut, </w:t>
      </w:r>
      <w:r w:rsidR="00D70B3A">
        <w:t xml:space="preserve">deska byla </w:t>
      </w:r>
      <w:r w:rsidR="00E1461C">
        <w:t xml:space="preserve">osušena a do jamek bylo </w:t>
      </w:r>
      <w:proofErr w:type="spellStart"/>
      <w:r w:rsidR="00E1461C">
        <w:t>napipetováno</w:t>
      </w:r>
      <w:proofErr w:type="spellEnd"/>
      <w:r w:rsidR="00BF2CFA">
        <w:t xml:space="preserve"> </w:t>
      </w:r>
      <w:r w:rsidR="00D32351">
        <w:t xml:space="preserve">po </w:t>
      </w:r>
      <w:r w:rsidR="00D32351" w:rsidRPr="008C5B88">
        <w:t>50 µl DMSO.</w:t>
      </w:r>
      <w:r w:rsidR="00F3645F">
        <w:t xml:space="preserve"> Deska byla lehce protřepán</w:t>
      </w:r>
      <w:r w:rsidR="007449E7">
        <w:t>a, aby došlo k rozpuštění krystalů v</w:t>
      </w:r>
      <w:r w:rsidR="000A003A">
        <w:t xml:space="preserve"> </w:t>
      </w:r>
      <w:r w:rsidR="007449E7">
        <w:t>DMSO</w:t>
      </w:r>
      <w:r w:rsidR="00BF2CFA">
        <w:t xml:space="preserve"> </w:t>
      </w:r>
      <w:r w:rsidR="007449E7">
        <w:t>a následně byla pomocí spektrofotometru</w:t>
      </w:r>
      <w:r w:rsidR="00AC690D">
        <w:t xml:space="preserve"> </w:t>
      </w:r>
      <w:proofErr w:type="spellStart"/>
      <w:r w:rsidR="00AC690D">
        <w:t>Tecan</w:t>
      </w:r>
      <w:proofErr w:type="spellEnd"/>
      <w:r w:rsidR="007449E7">
        <w:t xml:space="preserve"> </w:t>
      </w:r>
      <w:proofErr w:type="spellStart"/>
      <w:r w:rsidR="007449E7">
        <w:t>Infinite</w:t>
      </w:r>
      <w:proofErr w:type="spellEnd"/>
      <w:r w:rsidR="007449E7">
        <w:t xml:space="preserve"> 200</w:t>
      </w:r>
      <w:r w:rsidR="00AC690D">
        <w:t>M</w:t>
      </w:r>
      <w:r w:rsidR="007449E7">
        <w:t xml:space="preserve"> změřena absorbance </w:t>
      </w:r>
      <w:r w:rsidR="004D4023">
        <w:t xml:space="preserve">při vlnové délce </w:t>
      </w:r>
      <w:r w:rsidR="004D4023" w:rsidRPr="00E97A92">
        <w:t>5</w:t>
      </w:r>
      <w:r w:rsidR="00E97A92" w:rsidRPr="00E97A92">
        <w:t>70</w:t>
      </w:r>
      <w:r w:rsidR="004D4023" w:rsidRPr="00E97A92">
        <w:t xml:space="preserve"> </w:t>
      </w:r>
      <w:proofErr w:type="spellStart"/>
      <w:r w:rsidR="004D4023" w:rsidRPr="00E97A92">
        <w:t>nm</w:t>
      </w:r>
      <w:proofErr w:type="spellEnd"/>
      <w:r w:rsidR="00A32050">
        <w:t xml:space="preserve">. </w:t>
      </w:r>
      <w:r w:rsidR="00CA6390">
        <w:t>Naměřené hodnoty byly vyhodnoceny.</w:t>
      </w:r>
    </w:p>
    <w:p w14:paraId="586545D7" w14:textId="77777777" w:rsidR="00D57E4B" w:rsidRPr="003A77F5" w:rsidRDefault="00D57E4B" w:rsidP="00AE5FFB"/>
    <w:p w14:paraId="1D10652E" w14:textId="0A08F463" w:rsidR="00341103" w:rsidRDefault="00341103" w:rsidP="00AE5FFB">
      <w:pPr>
        <w:pStyle w:val="Nadpis3"/>
      </w:pPr>
      <w:bookmarkStart w:id="38" w:name="_Toc165492900"/>
      <w:r>
        <w:t>4.5.</w:t>
      </w:r>
      <w:r w:rsidR="00B7475C">
        <w:t>7</w:t>
      </w:r>
      <w:r>
        <w:tab/>
      </w:r>
      <w:r w:rsidR="002B13F7">
        <w:t>Luciferázová reportérová esej</w:t>
      </w:r>
      <w:bookmarkEnd w:id="38"/>
    </w:p>
    <w:p w14:paraId="0F787659" w14:textId="54D3290A" w:rsidR="002B6F2C" w:rsidRDefault="00101653" w:rsidP="00AE5FFB">
      <w:r>
        <w:tab/>
      </w:r>
      <w:r w:rsidR="005F0BF0">
        <w:t xml:space="preserve">Luciferázová reportérová esej </w:t>
      </w:r>
      <w:r w:rsidR="00D26A43">
        <w:t xml:space="preserve">je metoda, díky které </w:t>
      </w:r>
      <w:r w:rsidR="005777D7">
        <w:t xml:space="preserve">lze zjistit, jaký mají určité látky </w:t>
      </w:r>
      <w:r w:rsidR="0092362E">
        <w:t xml:space="preserve">vliv na </w:t>
      </w:r>
      <w:r w:rsidR="00C968B4">
        <w:t xml:space="preserve">transkripční </w:t>
      </w:r>
      <w:r w:rsidR="0092362E">
        <w:t xml:space="preserve">aktivitu jaderných receptorů. </w:t>
      </w:r>
      <w:r w:rsidR="00030DA7">
        <w:t xml:space="preserve">Metoda je </w:t>
      </w:r>
      <w:r w:rsidR="00E1622C">
        <w:t>založena na</w:t>
      </w:r>
      <w:r w:rsidR="003B7F41">
        <w:t xml:space="preserve"> oxidaci </w:t>
      </w:r>
      <w:r w:rsidR="00D25580">
        <w:t>D-</w:t>
      </w:r>
      <w:r w:rsidR="003B7F41">
        <w:t>luciferinu</w:t>
      </w:r>
      <w:r w:rsidR="0091634A">
        <w:t>,</w:t>
      </w:r>
      <w:r w:rsidR="00F86C27">
        <w:br/>
      </w:r>
      <w:r w:rsidR="0091634A">
        <w:t>při které vzniká určité množství emitovaného světla</w:t>
      </w:r>
      <w:r w:rsidR="00890BCC">
        <w:t xml:space="preserve">. To se následně </w:t>
      </w:r>
      <w:proofErr w:type="gramStart"/>
      <w:r w:rsidR="00890BCC">
        <w:t>měří</w:t>
      </w:r>
      <w:proofErr w:type="gramEnd"/>
      <w:r w:rsidR="00890BCC">
        <w:t xml:space="preserve"> spektrofotometricky a platí, že množství emitovaného světla je přímo úměrné </w:t>
      </w:r>
      <w:r w:rsidR="00C968B4">
        <w:t xml:space="preserve">transkripční </w:t>
      </w:r>
      <w:r w:rsidR="00890BCC">
        <w:t>aktivitě receptorů.</w:t>
      </w:r>
      <w:r w:rsidR="003D1662">
        <w:t xml:space="preserve"> </w:t>
      </w:r>
      <w:r w:rsidR="00E558D1">
        <w:t>Luciferin je oxidován díky enzymu luciferáza, jehož gen je exprimován</w:t>
      </w:r>
      <w:r w:rsidR="00E8571D">
        <w:t xml:space="preserve"> při navázání aktivního receptoru na promotor.</w:t>
      </w:r>
      <w:r w:rsidR="00F5140B">
        <w:t xml:space="preserve"> </w:t>
      </w:r>
      <w:r w:rsidR="0089025D">
        <w:t xml:space="preserve">K navázání je nutné do buněčné linie </w:t>
      </w:r>
      <w:proofErr w:type="spellStart"/>
      <w:r w:rsidR="0089025D">
        <w:t>transfekovat</w:t>
      </w:r>
      <w:proofErr w:type="spellEnd"/>
      <w:r w:rsidR="0089025D">
        <w:t xml:space="preserve"> </w:t>
      </w:r>
      <w:proofErr w:type="spellStart"/>
      <w:r w:rsidR="0089025D">
        <w:t>reportérový</w:t>
      </w:r>
      <w:proofErr w:type="spellEnd"/>
      <w:r w:rsidR="0089025D">
        <w:t xml:space="preserve"> vektor p3A4-luc</w:t>
      </w:r>
      <w:r w:rsidR="00D748F7">
        <w:t xml:space="preserve"> s</w:t>
      </w:r>
      <w:r w:rsidR="00E85BDC">
        <w:t xml:space="preserve"> genem pro luciferázu a </w:t>
      </w:r>
      <w:r w:rsidR="007C3681">
        <w:t>s</w:t>
      </w:r>
      <w:r w:rsidR="00A71EFA">
        <w:t xml:space="preserve"> p</w:t>
      </w:r>
      <w:r w:rsidR="008C2E7E">
        <w:t>romotorem</w:t>
      </w:r>
      <w:r w:rsidR="00A71EFA">
        <w:t xml:space="preserve"> obsahujícím PXR-responzivní element.</w:t>
      </w:r>
    </w:p>
    <w:p w14:paraId="31470193" w14:textId="0EF93D45" w:rsidR="002A625A" w:rsidRDefault="008C2E7E" w:rsidP="00AE5FFB">
      <w:r>
        <w:lastRenderedPageBreak/>
        <w:tab/>
      </w:r>
      <w:r w:rsidR="002D639E">
        <w:t xml:space="preserve">Buňky s testovanými látkami </w:t>
      </w:r>
      <w:r w:rsidR="007248CB">
        <w:t>byly inkubovány po dobu 24 hodin v </w:t>
      </w:r>
      <w:proofErr w:type="gramStart"/>
      <w:r w:rsidR="007248CB">
        <w:t>96-jamkových</w:t>
      </w:r>
      <w:proofErr w:type="gramEnd"/>
      <w:r w:rsidR="007248CB">
        <w:t xml:space="preserve"> deskách. </w:t>
      </w:r>
      <w:r w:rsidR="00EF120B">
        <w:t>Testované látky byly aplikovány v</w:t>
      </w:r>
      <w:r w:rsidR="003C2E09">
        <w:t xml:space="preserve"> </w:t>
      </w:r>
      <w:proofErr w:type="spellStart"/>
      <w:r w:rsidR="00EF120B">
        <w:t>tetraplikátech</w:t>
      </w:r>
      <w:proofErr w:type="spellEnd"/>
      <w:r w:rsidR="00EF120B">
        <w:t xml:space="preserve">. </w:t>
      </w:r>
      <w:r w:rsidR="007248CB">
        <w:t>Po jejich inkubaci b</w:t>
      </w:r>
      <w:r w:rsidR="0027253A">
        <w:t xml:space="preserve">yly látky vyklepnuty a jamky byly promyty </w:t>
      </w:r>
      <w:r w:rsidR="003546F0">
        <w:t xml:space="preserve">50 µl </w:t>
      </w:r>
      <w:r w:rsidR="00212EBD">
        <w:t xml:space="preserve">1x </w:t>
      </w:r>
      <w:r w:rsidR="003546F0">
        <w:t>PBS</w:t>
      </w:r>
      <w:r w:rsidR="009F0C6B">
        <w:t xml:space="preserve">, následně se </w:t>
      </w:r>
      <w:r w:rsidR="00131472">
        <w:t xml:space="preserve">1x </w:t>
      </w:r>
      <w:r w:rsidR="009F0C6B">
        <w:t>PBS z</w:t>
      </w:r>
      <w:r w:rsidR="003C2E09">
        <w:t xml:space="preserve"> </w:t>
      </w:r>
      <w:r w:rsidR="009F0C6B">
        <w:t>desek vyklepnul a</w:t>
      </w:r>
      <w:r w:rsidR="00131472">
        <w:t xml:space="preserve"> deska byla osušena </w:t>
      </w:r>
      <w:r w:rsidR="00B83062">
        <w:t xml:space="preserve">vyklepáním na </w:t>
      </w:r>
      <w:r w:rsidR="00131472">
        <w:t>buničin</w:t>
      </w:r>
      <w:r w:rsidR="00B83062">
        <w:t>u</w:t>
      </w:r>
      <w:r w:rsidR="00131472">
        <w:t>.</w:t>
      </w:r>
      <w:r w:rsidR="009F0C6B">
        <w:t xml:space="preserve"> </w:t>
      </w:r>
      <w:r w:rsidR="00131472">
        <w:t>D</w:t>
      </w:r>
      <w:r w:rsidR="009F0C6B">
        <w:t xml:space="preserve">o jamek bylo </w:t>
      </w:r>
      <w:proofErr w:type="spellStart"/>
      <w:r w:rsidR="009F0C6B">
        <w:t>napipetováno</w:t>
      </w:r>
      <w:proofErr w:type="spellEnd"/>
      <w:r w:rsidR="009F0C6B">
        <w:t xml:space="preserve"> </w:t>
      </w:r>
      <w:r w:rsidR="00131472">
        <w:t xml:space="preserve">po </w:t>
      </w:r>
      <w:r w:rsidR="007C05A2" w:rsidRPr="00425A80">
        <w:t xml:space="preserve">25 µl </w:t>
      </w:r>
      <w:proofErr w:type="spellStart"/>
      <w:r w:rsidR="00585DD9" w:rsidRPr="00425A80">
        <w:t>reportérového</w:t>
      </w:r>
      <w:proofErr w:type="spellEnd"/>
      <w:r w:rsidR="00585DD9" w:rsidRPr="00425A80">
        <w:t xml:space="preserve"> </w:t>
      </w:r>
      <w:proofErr w:type="spellStart"/>
      <w:r w:rsidR="007C05A2" w:rsidRPr="00425A80">
        <w:t>lyzačního</w:t>
      </w:r>
      <w:proofErr w:type="spellEnd"/>
      <w:r w:rsidR="007C05A2" w:rsidRPr="00425A80">
        <w:t xml:space="preserve"> pufru</w:t>
      </w:r>
      <w:r w:rsidR="00585DD9">
        <w:t xml:space="preserve">. </w:t>
      </w:r>
      <w:r w:rsidR="007A3123">
        <w:t xml:space="preserve">Desky byly umístěny do </w:t>
      </w:r>
      <w:r w:rsidR="008B242E">
        <w:t xml:space="preserve">mrazícího boxu při -80 °C </w:t>
      </w:r>
      <w:r w:rsidR="005E5540">
        <w:t>na</w:t>
      </w:r>
      <w:r w:rsidR="008B242E">
        <w:t xml:space="preserve"> minimální dobu</w:t>
      </w:r>
      <w:r w:rsidR="008B53E0">
        <w:br/>
      </w:r>
      <w:r w:rsidR="008B242E">
        <w:t>20 minut.</w:t>
      </w:r>
      <w:r w:rsidR="00F576AD">
        <w:t xml:space="preserve"> Po úplném zamražení </w:t>
      </w:r>
      <w:proofErr w:type="spellStart"/>
      <w:r w:rsidR="00F576AD">
        <w:t>reportérového</w:t>
      </w:r>
      <w:proofErr w:type="spellEnd"/>
      <w:r w:rsidR="00F576AD">
        <w:t xml:space="preserve"> </w:t>
      </w:r>
      <w:proofErr w:type="spellStart"/>
      <w:r w:rsidR="00F576AD">
        <w:t>lyzačního</w:t>
      </w:r>
      <w:proofErr w:type="spellEnd"/>
      <w:r w:rsidR="00F576AD">
        <w:t xml:space="preserve"> pufru v</w:t>
      </w:r>
      <w:r w:rsidR="003C2E09">
        <w:t xml:space="preserve"> </w:t>
      </w:r>
      <w:r w:rsidR="00F576AD">
        <w:t xml:space="preserve">jamkách </w:t>
      </w:r>
      <w:r w:rsidR="000173DB">
        <w:t xml:space="preserve">byly desky umístěny na třepačku pro rozmražení a rovnoměrné promíchání. </w:t>
      </w:r>
      <w:proofErr w:type="spellStart"/>
      <w:r w:rsidR="00F41734">
        <w:t>Ly</w:t>
      </w:r>
      <w:r w:rsidR="009F3972">
        <w:t>zát</w:t>
      </w:r>
      <w:proofErr w:type="spellEnd"/>
      <w:r w:rsidR="009F3972">
        <w:t xml:space="preserve"> byl </w:t>
      </w:r>
      <w:proofErr w:type="spellStart"/>
      <w:r w:rsidR="009F3972">
        <w:t>přepipetován</w:t>
      </w:r>
      <w:proofErr w:type="spellEnd"/>
      <w:r w:rsidR="009F3972">
        <w:t xml:space="preserve"> po </w:t>
      </w:r>
      <w:r w:rsidR="009F3972" w:rsidRPr="008B1413">
        <w:t xml:space="preserve">6 µl do </w:t>
      </w:r>
      <w:r w:rsidR="006A459B">
        <w:t>bílé</w:t>
      </w:r>
      <w:r w:rsidR="007B689E">
        <w:br/>
      </w:r>
      <w:proofErr w:type="gramStart"/>
      <w:r w:rsidR="009F3972" w:rsidRPr="008B1413">
        <w:t>96-jamkové</w:t>
      </w:r>
      <w:proofErr w:type="gramEnd"/>
      <w:r w:rsidR="00F67BF2" w:rsidRPr="008B1413">
        <w:t xml:space="preserve"> </w:t>
      </w:r>
      <w:r w:rsidR="009F3972" w:rsidRPr="008B1413">
        <w:t>desky</w:t>
      </w:r>
      <w:r w:rsidR="00B61BB9" w:rsidRPr="008B1413">
        <w:t>,</w:t>
      </w:r>
      <w:r w:rsidR="00B61BB9">
        <w:t xml:space="preserve"> následně k němu bylo </w:t>
      </w:r>
      <w:proofErr w:type="spellStart"/>
      <w:r w:rsidR="00B61BB9">
        <w:t>napipetováno</w:t>
      </w:r>
      <w:proofErr w:type="spellEnd"/>
      <w:r w:rsidR="00B61BB9">
        <w:t xml:space="preserve"> </w:t>
      </w:r>
      <w:r w:rsidR="00957A94">
        <w:t xml:space="preserve">30 µl substrátu </w:t>
      </w:r>
      <w:r w:rsidR="00AD6633">
        <w:t>s</w:t>
      </w:r>
      <w:r w:rsidR="00333B28">
        <w:t xml:space="preserve"> </w:t>
      </w:r>
      <w:r w:rsidR="00AD6633">
        <w:t>D-</w:t>
      </w:r>
      <w:r w:rsidR="00957A94">
        <w:t>luciferin</w:t>
      </w:r>
      <w:r w:rsidR="00AD6633">
        <w:t>em</w:t>
      </w:r>
      <w:r w:rsidR="00957A94">
        <w:t xml:space="preserve">. </w:t>
      </w:r>
      <w:r w:rsidR="00FD4737">
        <w:t xml:space="preserve">Luminiscence byla změřena ve spektrofotometru </w:t>
      </w:r>
      <w:proofErr w:type="spellStart"/>
      <w:r w:rsidR="00A268EA">
        <w:t>Tecan</w:t>
      </w:r>
      <w:proofErr w:type="spellEnd"/>
      <w:r w:rsidR="00A268EA">
        <w:t xml:space="preserve"> </w:t>
      </w:r>
      <w:proofErr w:type="spellStart"/>
      <w:r w:rsidR="00FD4737">
        <w:t>Infinite</w:t>
      </w:r>
      <w:proofErr w:type="spellEnd"/>
      <w:r w:rsidR="00FD4737">
        <w:t xml:space="preserve"> 200</w:t>
      </w:r>
      <w:r w:rsidR="00A268EA">
        <w:t>M</w:t>
      </w:r>
      <w:r w:rsidR="00FD4737">
        <w:t xml:space="preserve"> v programu I-</w:t>
      </w:r>
      <w:proofErr w:type="spellStart"/>
      <w:r w:rsidR="00FD4737">
        <w:t>Controll</w:t>
      </w:r>
      <w:proofErr w:type="spellEnd"/>
      <w:r w:rsidR="008B53E0">
        <w:br/>
      </w:r>
      <w:r w:rsidR="00A268EA">
        <w:t>a naměřené hodnoty byly vyhodnoceny.</w:t>
      </w:r>
    </w:p>
    <w:p w14:paraId="2135F5E0" w14:textId="77777777" w:rsidR="00D11CF5" w:rsidRPr="00101653" w:rsidRDefault="00D11CF5" w:rsidP="00AE5FFB"/>
    <w:p w14:paraId="66D1A7B9" w14:textId="71854A41" w:rsidR="00CA6390" w:rsidRDefault="002B13F7" w:rsidP="0081319D">
      <w:pPr>
        <w:pStyle w:val="Nadpis3"/>
      </w:pPr>
      <w:bookmarkStart w:id="39" w:name="_Toc165492901"/>
      <w:r>
        <w:t>4.5.</w:t>
      </w:r>
      <w:r w:rsidR="00B7475C">
        <w:t>8</w:t>
      </w:r>
      <w:r>
        <w:tab/>
        <w:t>Vyhodnocení</w:t>
      </w:r>
      <w:r w:rsidR="00A81A15">
        <w:t xml:space="preserve"> experimentálních dat</w:t>
      </w:r>
      <w:bookmarkEnd w:id="39"/>
    </w:p>
    <w:p w14:paraId="3373739F" w14:textId="69C337D9" w:rsidR="00037A96" w:rsidRDefault="002F3093" w:rsidP="0081319D">
      <w:pPr>
        <w:ind w:firstLine="708"/>
      </w:pPr>
      <w:r>
        <w:t xml:space="preserve">Testování vlivu látek na </w:t>
      </w:r>
      <w:r w:rsidR="001B1950">
        <w:t>životaschopnost</w:t>
      </w:r>
      <w:r>
        <w:t xml:space="preserve"> buněk metodou MTT</w:t>
      </w:r>
      <w:r w:rsidR="00E31CDB">
        <w:t xml:space="preserve"> byl</w:t>
      </w:r>
      <w:r w:rsidR="003458BB">
        <w:t>o</w:t>
      </w:r>
      <w:r w:rsidR="00E31CDB">
        <w:t xml:space="preserve"> proveden</w:t>
      </w:r>
      <w:r w:rsidR="003458BB">
        <w:t>o</w:t>
      </w:r>
      <w:r w:rsidR="00E31CDB">
        <w:t xml:space="preserve"> ve třech</w:t>
      </w:r>
      <w:r w:rsidR="006D7293">
        <w:t xml:space="preserve"> nezávislých</w:t>
      </w:r>
      <w:r w:rsidR="00681023">
        <w:t xml:space="preserve"> opakováních</w:t>
      </w:r>
      <w:r w:rsidR="00E31CDB">
        <w:t xml:space="preserve">. </w:t>
      </w:r>
      <w:r w:rsidR="00CA6390">
        <w:t>Z</w:t>
      </w:r>
      <w:r w:rsidR="00BA5E05">
        <w:t xml:space="preserve"> </w:t>
      </w:r>
      <w:r w:rsidR="00CA6390">
        <w:t xml:space="preserve">naměřených </w:t>
      </w:r>
      <w:r w:rsidR="00F65F5D">
        <w:t xml:space="preserve">zprůměrovaných </w:t>
      </w:r>
      <w:r w:rsidR="00CA6390">
        <w:t>hodnot</w:t>
      </w:r>
      <w:r w:rsidR="009E602F">
        <w:t xml:space="preserve"> </w:t>
      </w:r>
      <w:r w:rsidR="00CA6390">
        <w:t xml:space="preserve">byla stanovena </w:t>
      </w:r>
      <w:r w:rsidR="008B221C">
        <w:t>životaschopnost</w:t>
      </w:r>
      <w:r w:rsidR="00CA6390">
        <w:t xml:space="preserve"> buněk, která je uvedena v</w:t>
      </w:r>
      <w:r w:rsidR="003C2E09">
        <w:t xml:space="preserve"> </w:t>
      </w:r>
      <w:r w:rsidR="00CA6390">
        <w:t>procentech vztažených vždy k DMEM (UT) jakožto negativní kontrole, která odpovídala 100% životnosti buněk.</w:t>
      </w:r>
      <w:r w:rsidR="009617C2">
        <w:t xml:space="preserve"> Byl</w:t>
      </w:r>
      <w:r w:rsidR="00B32776">
        <w:t>y</w:t>
      </w:r>
      <w:r w:rsidR="009617C2">
        <w:t xml:space="preserve"> vypočítán</w:t>
      </w:r>
      <w:r w:rsidR="00B32776">
        <w:t>y</w:t>
      </w:r>
      <w:r w:rsidR="009617C2">
        <w:t xml:space="preserve"> směrodatn</w:t>
      </w:r>
      <w:r w:rsidR="0081319D">
        <w:t>é</w:t>
      </w:r>
      <w:r w:rsidR="009617C2">
        <w:t xml:space="preserve"> odchylk</w:t>
      </w:r>
      <w:r w:rsidR="0081319D">
        <w:t>y měření všech testovaných látek a jejich koncentrací</w:t>
      </w:r>
      <w:r w:rsidR="009617C2">
        <w:t>.</w:t>
      </w:r>
      <w:r w:rsidR="004A07F7">
        <w:t xml:space="preserve"> </w:t>
      </w:r>
      <w:r w:rsidR="002B4D13">
        <w:t>Pro ověření</w:t>
      </w:r>
      <w:r w:rsidR="00684C75">
        <w:t xml:space="preserve"> byly výsledky </w:t>
      </w:r>
      <w:r w:rsidR="0034093D">
        <w:t xml:space="preserve">statisticky </w:t>
      </w:r>
      <w:r w:rsidR="00684C75">
        <w:t>vyhodnoceny pomocí</w:t>
      </w:r>
      <w:r w:rsidR="00E01B72">
        <w:t xml:space="preserve"> </w:t>
      </w:r>
      <w:r w:rsidR="00F97D1F">
        <w:t xml:space="preserve">t-testu a </w:t>
      </w:r>
      <w:r w:rsidR="00E01B72">
        <w:t>hvězdičkou</w:t>
      </w:r>
      <w:r w:rsidR="007217DA">
        <w:t xml:space="preserve"> byly</w:t>
      </w:r>
      <w:r w:rsidR="00E01B72">
        <w:t xml:space="preserve"> </w:t>
      </w:r>
      <w:r w:rsidR="00F54871">
        <w:t>v</w:t>
      </w:r>
      <w:r w:rsidR="003C2E09">
        <w:t xml:space="preserve"> </w:t>
      </w:r>
      <w:r w:rsidR="00F54871">
        <w:t xml:space="preserve">příslušném grafu </w:t>
      </w:r>
      <w:r w:rsidR="00F97D1F">
        <w:t>zaznačeny koncentrace, kde byla</w:t>
      </w:r>
      <w:r w:rsidR="00F54871">
        <w:t xml:space="preserve"> </w:t>
      </w:r>
      <w:r w:rsidR="008D5B07">
        <w:t>p-</w:t>
      </w:r>
      <w:proofErr w:type="spellStart"/>
      <w:r w:rsidR="00F97D1F">
        <w:t>value</w:t>
      </w:r>
      <w:proofErr w:type="spellEnd"/>
      <w:r w:rsidR="00F97D1F">
        <w:t xml:space="preserve"> </w:t>
      </w:r>
      <w:proofErr w:type="gramStart"/>
      <w:r w:rsidR="00AE6258">
        <w:t>&lt; 0</w:t>
      </w:r>
      <w:proofErr w:type="gramEnd"/>
      <w:r w:rsidR="00AE6258">
        <w:t>,05.</w:t>
      </w:r>
    </w:p>
    <w:p w14:paraId="675AB2F0" w14:textId="65BF448E" w:rsidR="000C1DC4" w:rsidRPr="00093133" w:rsidRDefault="0042471C" w:rsidP="00F73CC8">
      <w:pPr>
        <w:ind w:firstLine="708"/>
      </w:pPr>
      <w:r>
        <w:t xml:space="preserve">Testování vlivu látek na </w:t>
      </w:r>
      <w:r w:rsidR="001224C6">
        <w:t xml:space="preserve">transkripční aktivitu PXR metodou luciferázové </w:t>
      </w:r>
      <w:proofErr w:type="spellStart"/>
      <w:r w:rsidR="001224C6">
        <w:t>reportérové</w:t>
      </w:r>
      <w:proofErr w:type="spellEnd"/>
      <w:r w:rsidR="001224C6">
        <w:t xml:space="preserve"> eseje</w:t>
      </w:r>
      <w:r w:rsidR="003458BB">
        <w:t xml:space="preserve"> bylo provedeno ve třech </w:t>
      </w:r>
      <w:r w:rsidR="00AF6E37">
        <w:t xml:space="preserve">nezávislých </w:t>
      </w:r>
      <w:r w:rsidR="003458BB">
        <w:t xml:space="preserve">opakováních. </w:t>
      </w:r>
      <w:r w:rsidR="00201242">
        <w:t>Z</w:t>
      </w:r>
      <w:r w:rsidR="00037A96">
        <w:t xml:space="preserve">ískané </w:t>
      </w:r>
      <w:r w:rsidR="00201242">
        <w:t>hodnoty</w:t>
      </w:r>
      <w:r w:rsidR="00037A96">
        <w:t xml:space="preserve"> byly zprůměrovány</w:t>
      </w:r>
      <w:r w:rsidR="00037A96">
        <w:rPr>
          <w:b/>
          <w:bCs/>
        </w:rPr>
        <w:t xml:space="preserve"> </w:t>
      </w:r>
      <w:r w:rsidR="006A1513">
        <w:t>a luciferázová</w:t>
      </w:r>
      <w:r w:rsidR="007B6EDB">
        <w:t xml:space="preserve"> aktivita byla vyjádřena jako</w:t>
      </w:r>
      <w:r w:rsidR="005709E1">
        <w:t xml:space="preserve"> procenta</w:t>
      </w:r>
      <w:r w:rsidR="008A3964">
        <w:t xml:space="preserve"> indukce </w:t>
      </w:r>
      <w:proofErr w:type="spellStart"/>
      <w:r w:rsidR="008A3964">
        <w:t>ri</w:t>
      </w:r>
      <w:r w:rsidR="00BC6768">
        <w:t>fampicinem</w:t>
      </w:r>
      <w:proofErr w:type="spellEnd"/>
      <w:r w:rsidR="00BE2FC1">
        <w:t xml:space="preserve"> po působení zkoumaných látek</w:t>
      </w:r>
      <w:r w:rsidR="00191BF7">
        <w:t>. Ty byly v</w:t>
      </w:r>
      <w:r w:rsidR="0030450E">
        <w:t xml:space="preserve"> </w:t>
      </w:r>
      <w:r w:rsidR="00191BF7">
        <w:t xml:space="preserve">agonistickém </w:t>
      </w:r>
      <w:r w:rsidR="00191BF7" w:rsidRPr="00494423">
        <w:t xml:space="preserve">módu </w:t>
      </w:r>
      <w:r w:rsidR="00BE2FC1" w:rsidRPr="00494423">
        <w:t>v</w:t>
      </w:r>
      <w:r w:rsidR="00FD626A" w:rsidRPr="00494423">
        <w:t>ztažen</w:t>
      </w:r>
      <w:r w:rsidR="00191BF7" w:rsidRPr="00494423">
        <w:t>y</w:t>
      </w:r>
      <w:r w:rsidR="00FD626A" w:rsidRPr="00494423">
        <w:t xml:space="preserve"> vůči aktivitě</w:t>
      </w:r>
      <w:r w:rsidR="00A31805">
        <w:t xml:space="preserve"> </w:t>
      </w:r>
      <w:proofErr w:type="spellStart"/>
      <w:r w:rsidR="00697712">
        <w:t>rifampicinu</w:t>
      </w:r>
      <w:proofErr w:type="spellEnd"/>
      <w:r w:rsidR="00096B14">
        <w:br/>
      </w:r>
      <w:r w:rsidR="008611DE">
        <w:t>a v</w:t>
      </w:r>
      <w:r w:rsidR="00D26061">
        <w:t xml:space="preserve"> </w:t>
      </w:r>
      <w:r w:rsidR="008611DE">
        <w:t>antagonistickém módu k</w:t>
      </w:r>
      <w:r w:rsidR="003C2E09">
        <w:t xml:space="preserve"> </w:t>
      </w:r>
      <w:r w:rsidR="008611DE">
        <w:t>aktivitě nejnižší koncentrace</w:t>
      </w:r>
      <w:r w:rsidR="00B644E2">
        <w:t xml:space="preserve"> testované látky</w:t>
      </w:r>
      <w:r w:rsidR="008611DE">
        <w:t xml:space="preserve"> </w:t>
      </w:r>
      <w:r w:rsidR="00B644E2">
        <w:t>(</w:t>
      </w:r>
      <w:r w:rsidR="008611DE">
        <w:t>0,1 µM</w:t>
      </w:r>
      <w:r w:rsidR="00B644E2">
        <w:t>)</w:t>
      </w:r>
      <w:r w:rsidR="00FD626A">
        <w:t>.</w:t>
      </w:r>
      <w:r w:rsidR="001B4854">
        <w:t xml:space="preserve"> Jako negativní kontrola sloužilo DM</w:t>
      </w:r>
      <w:r w:rsidR="00F96E0C">
        <w:t xml:space="preserve">EM </w:t>
      </w:r>
      <w:r w:rsidR="00831774">
        <w:t>(UT)</w:t>
      </w:r>
      <w:r w:rsidR="001B4854">
        <w:t>.</w:t>
      </w:r>
      <w:r w:rsidR="00B32776">
        <w:t xml:space="preserve"> Byly vypočítány směrodatné odchylky měření všech testovaných látek</w:t>
      </w:r>
      <w:r w:rsidR="0081319D">
        <w:t xml:space="preserve"> a jejich koncentrací</w:t>
      </w:r>
      <w:r w:rsidR="00B32776">
        <w:t>.</w:t>
      </w:r>
      <w:r w:rsidR="0034093D">
        <w:t xml:space="preserve"> Pro ověření byly výsledky statisticky vyhodnoceny pomocí</w:t>
      </w:r>
      <w:r w:rsidR="008F28CF">
        <w:t xml:space="preserve"> </w:t>
      </w:r>
      <w:r w:rsidR="0034093D">
        <w:t xml:space="preserve">t-testu a </w:t>
      </w:r>
      <w:r w:rsidR="008F28CF">
        <w:t xml:space="preserve">hvězdičkou </w:t>
      </w:r>
      <w:r w:rsidR="0034093D">
        <w:t>byly</w:t>
      </w:r>
      <w:r w:rsidR="001653F7">
        <w:t xml:space="preserve"> v</w:t>
      </w:r>
      <w:r w:rsidR="0030450E">
        <w:t xml:space="preserve"> </w:t>
      </w:r>
      <w:r w:rsidR="001653F7">
        <w:t>příslušném grafu</w:t>
      </w:r>
      <w:r w:rsidR="0034093D">
        <w:t xml:space="preserve"> zaznačeny koncentrace, kde byla</w:t>
      </w:r>
      <w:r w:rsidR="0030450E">
        <w:br/>
      </w:r>
      <w:r w:rsidR="008D5B07">
        <w:t>p-</w:t>
      </w:r>
      <w:proofErr w:type="spellStart"/>
      <w:r w:rsidR="0034093D">
        <w:t>value</w:t>
      </w:r>
      <w:proofErr w:type="spellEnd"/>
      <w:r w:rsidR="0034093D">
        <w:t xml:space="preserve"> </w:t>
      </w:r>
      <w:proofErr w:type="gramStart"/>
      <w:r w:rsidR="0034093D">
        <w:t>&lt; 0</w:t>
      </w:r>
      <w:proofErr w:type="gramEnd"/>
      <w:r w:rsidR="0034093D">
        <w:t>,05.</w:t>
      </w:r>
      <w:r w:rsidR="00F73CC8">
        <w:t xml:space="preserve"> </w:t>
      </w:r>
      <w:r w:rsidR="00940D6E">
        <w:t>Všechny grafy, výpočty hodnot EC</w:t>
      </w:r>
      <w:r w:rsidR="00940D6E" w:rsidRPr="00F73CC8">
        <w:rPr>
          <w:vertAlign w:val="subscript"/>
        </w:rPr>
        <w:t>50</w:t>
      </w:r>
      <w:r w:rsidR="00940D6E">
        <w:t xml:space="preserve"> a statistická analýza byly provedeny</w:t>
      </w:r>
      <w:r w:rsidR="00F73CC8">
        <w:t xml:space="preserve"> v programu </w:t>
      </w:r>
      <w:proofErr w:type="spellStart"/>
      <w:r w:rsidR="00F73CC8">
        <w:t>GraphPad</w:t>
      </w:r>
      <w:proofErr w:type="spellEnd"/>
      <w:r w:rsidR="00F73CC8">
        <w:t xml:space="preserve"> 7.4 (La </w:t>
      </w:r>
      <w:proofErr w:type="spellStart"/>
      <w:r w:rsidR="00F73CC8">
        <w:t>Jolla</w:t>
      </w:r>
      <w:proofErr w:type="spellEnd"/>
      <w:r w:rsidR="00F73CC8">
        <w:t>, CA, USA).</w:t>
      </w:r>
      <w:r w:rsidR="000C1DC4">
        <w:rPr>
          <w:b/>
          <w:bCs/>
        </w:rPr>
        <w:br w:type="page"/>
      </w:r>
    </w:p>
    <w:p w14:paraId="4CE5CD57" w14:textId="77777777" w:rsidR="0034093D" w:rsidRDefault="000C1DC4" w:rsidP="0034093D">
      <w:pPr>
        <w:pStyle w:val="Nadpis1"/>
      </w:pPr>
      <w:bookmarkStart w:id="40" w:name="_Toc165492902"/>
      <w:r>
        <w:lastRenderedPageBreak/>
        <w:t>5</w:t>
      </w:r>
      <w:r>
        <w:tab/>
        <w:t>VÝSLEDKY</w:t>
      </w:r>
      <w:bookmarkEnd w:id="40"/>
    </w:p>
    <w:p w14:paraId="0E2D040B" w14:textId="77777777" w:rsidR="00D11CF5" w:rsidRPr="00D11CF5" w:rsidRDefault="00D11CF5" w:rsidP="00D11CF5"/>
    <w:p w14:paraId="2154E68A" w14:textId="09B824F7" w:rsidR="000C1DC4" w:rsidRDefault="000C1DC4" w:rsidP="0034093D">
      <w:pPr>
        <w:pStyle w:val="Nadpis2"/>
      </w:pPr>
      <w:bookmarkStart w:id="41" w:name="_Toc165492903"/>
      <w:r w:rsidRPr="007E4753">
        <w:rPr>
          <w:noProof/>
        </w:rPr>
        <w:t>5.</w:t>
      </w:r>
      <w:r w:rsidR="0034093D">
        <w:rPr>
          <w:noProof/>
        </w:rPr>
        <w:t>1</w:t>
      </w:r>
      <w:r w:rsidRPr="007E4753">
        <w:rPr>
          <w:rFonts w:eastAsiaTheme="minorEastAsia"/>
          <w:noProof/>
          <w:lang w:eastAsia="cs-CZ"/>
        </w:rPr>
        <w:tab/>
      </w:r>
      <w:r w:rsidRPr="007E4753">
        <w:rPr>
          <w:noProof/>
        </w:rPr>
        <w:t>Stanovení cytotoxicity účinků monocyklických monoterpenoidů</w:t>
      </w:r>
      <w:r w:rsidR="00096B14">
        <w:rPr>
          <w:noProof/>
        </w:rPr>
        <w:br/>
      </w:r>
      <w:r w:rsidRPr="007E4753">
        <w:rPr>
          <w:noProof/>
        </w:rPr>
        <w:t>na buněčnou linii</w:t>
      </w:r>
      <w:r w:rsidR="007E4753" w:rsidRPr="007E4753">
        <w:rPr>
          <w:noProof/>
        </w:rPr>
        <w:t xml:space="preserve"> </w:t>
      </w:r>
      <w:r w:rsidRPr="007E4753">
        <w:rPr>
          <w:noProof/>
        </w:rPr>
        <w:t>LS180</w:t>
      </w:r>
      <w:bookmarkEnd w:id="41"/>
    </w:p>
    <w:p w14:paraId="68171E6D" w14:textId="124E592E" w:rsidR="0075714F" w:rsidRDefault="005F58B8" w:rsidP="00425A80">
      <w:r>
        <w:tab/>
      </w:r>
      <w:r w:rsidR="00572415">
        <w:t>K</w:t>
      </w:r>
      <w:r w:rsidR="009C0FCB">
        <w:t xml:space="preserve"> </w:t>
      </w:r>
      <w:r w:rsidR="00572415">
        <w:t xml:space="preserve">stanovení </w:t>
      </w:r>
      <w:r w:rsidR="001B1950">
        <w:t>životaschopnosti</w:t>
      </w:r>
      <w:r w:rsidR="00F76806">
        <w:t xml:space="preserve"> buněčné linie LS180</w:t>
      </w:r>
      <w:r w:rsidR="00BC6530">
        <w:t>, která byla vystavena monocyklickým monoterpenoidům po dobu 24 hod</w:t>
      </w:r>
      <w:r w:rsidR="00EA09AA">
        <w:t>in</w:t>
      </w:r>
      <w:r w:rsidR="00BC6530">
        <w:t xml:space="preserve">, </w:t>
      </w:r>
      <w:r w:rsidR="00B0264C">
        <w:t>byl použit</w:t>
      </w:r>
      <w:r w:rsidR="00144495">
        <w:t xml:space="preserve"> </w:t>
      </w:r>
      <w:r w:rsidR="00B0264C">
        <w:t>MTT</w:t>
      </w:r>
      <w:r w:rsidR="00144495">
        <w:t xml:space="preserve"> test</w:t>
      </w:r>
      <w:r w:rsidR="00B0264C">
        <w:t>.</w:t>
      </w:r>
      <w:r w:rsidR="00224D14">
        <w:t xml:space="preserve"> </w:t>
      </w:r>
      <w:r w:rsidR="00294C86">
        <w:t>Měření probíhalo v</w:t>
      </w:r>
      <w:r w:rsidR="002B6745">
        <w:t> </w:t>
      </w:r>
      <w:proofErr w:type="spellStart"/>
      <w:r w:rsidR="002B6745">
        <w:t>pentaplikátu</w:t>
      </w:r>
      <w:proofErr w:type="spellEnd"/>
      <w:r w:rsidR="002B6745">
        <w:t xml:space="preserve"> a hodnoty byly zprůměrovány ze </w:t>
      </w:r>
      <w:r w:rsidR="0075714F">
        <w:t>tří</w:t>
      </w:r>
      <w:r w:rsidR="002B6745">
        <w:t xml:space="preserve"> na sobě nezávislých experimentů.</w:t>
      </w:r>
    </w:p>
    <w:p w14:paraId="18CC4DE8" w14:textId="18A5149C" w:rsidR="00065E22" w:rsidRDefault="00224D14" w:rsidP="0075714F">
      <w:pPr>
        <w:ind w:firstLine="708"/>
      </w:pPr>
      <w:r>
        <w:t>Z výsledků lze určit, že</w:t>
      </w:r>
      <w:r w:rsidR="00B81DFA">
        <w:t xml:space="preserve"> u žádné koncentrace </w:t>
      </w:r>
      <w:r w:rsidR="00AB64A8">
        <w:t>všech testovan</w:t>
      </w:r>
      <w:r w:rsidR="00AD3F4E">
        <w:t>ých látek</w:t>
      </w:r>
      <w:r w:rsidR="00AB64A8">
        <w:t xml:space="preserve"> nedošlo k poklesu </w:t>
      </w:r>
      <w:r w:rsidR="004D3486">
        <w:t>životaschopnosti</w:t>
      </w:r>
      <w:r w:rsidR="00AB64A8">
        <w:t xml:space="preserve"> pod</w:t>
      </w:r>
      <w:r w:rsidR="00B33347">
        <w:t xml:space="preserve"> </w:t>
      </w:r>
      <w:r w:rsidR="001156AD">
        <w:t xml:space="preserve">70 % (Obr. </w:t>
      </w:r>
      <w:r w:rsidR="00EB4FDB">
        <w:t>4</w:t>
      </w:r>
      <w:r w:rsidR="00811AD9">
        <w:t>).</w:t>
      </w:r>
      <w:r w:rsidR="004743C3">
        <w:t xml:space="preserve"> </w:t>
      </w:r>
      <w:r w:rsidR="00BC38B1">
        <w:t xml:space="preserve">Největší pokles </w:t>
      </w:r>
      <w:r w:rsidR="004D3486">
        <w:t>životaschopnosti</w:t>
      </w:r>
      <w:r w:rsidR="00BC38B1">
        <w:t xml:space="preserve"> buněk </w:t>
      </w:r>
      <w:r w:rsidR="00260B02">
        <w:t>byl pozorován</w:t>
      </w:r>
      <w:r w:rsidR="00D10CBF">
        <w:br/>
      </w:r>
      <w:r w:rsidR="00260B02">
        <w:t>u (</w:t>
      </w:r>
      <w:proofErr w:type="gramStart"/>
      <w:r w:rsidR="00260B02">
        <w:t>-)-</w:t>
      </w:r>
      <w:proofErr w:type="spellStart"/>
      <w:proofErr w:type="gramEnd"/>
      <w:r w:rsidR="0030310C">
        <w:t>m</w:t>
      </w:r>
      <w:r w:rsidR="00260B02">
        <w:t>entholu</w:t>
      </w:r>
      <w:proofErr w:type="spellEnd"/>
      <w:r w:rsidR="00260B02">
        <w:t xml:space="preserve">, </w:t>
      </w:r>
      <w:r w:rsidR="008B48E1">
        <w:t xml:space="preserve">kdy </w:t>
      </w:r>
      <w:r w:rsidR="00826B98">
        <w:t>procent</w:t>
      </w:r>
      <w:r w:rsidR="00755B02">
        <w:t xml:space="preserve">o </w:t>
      </w:r>
      <w:r w:rsidR="001B1950">
        <w:t>životaschopnosti</w:t>
      </w:r>
      <w:r w:rsidR="00C67EE5">
        <w:t xml:space="preserve"> </w:t>
      </w:r>
      <w:r w:rsidR="00755B02">
        <w:t>při koncentrac</w:t>
      </w:r>
      <w:r w:rsidR="0088467E">
        <w:t xml:space="preserve">i </w:t>
      </w:r>
      <w:r w:rsidR="00755B02">
        <w:t xml:space="preserve">1 </w:t>
      </w:r>
      <w:r w:rsidR="00C86348" w:rsidRPr="00F443D9">
        <w:t>µ</w:t>
      </w:r>
      <w:r w:rsidR="00755B02">
        <w:t xml:space="preserve">M kleslo na 74,2 ± </w:t>
      </w:r>
      <w:r w:rsidR="005458F4">
        <w:t xml:space="preserve">12,7 </w:t>
      </w:r>
      <w:r w:rsidR="00755B02">
        <w:t>%</w:t>
      </w:r>
      <w:r w:rsidR="0088467E">
        <w:t xml:space="preserve"> (Obr. </w:t>
      </w:r>
      <w:r w:rsidR="00EB4FDB">
        <w:t>4</w:t>
      </w:r>
      <w:r w:rsidR="0088467E">
        <w:t>)</w:t>
      </w:r>
      <w:r w:rsidR="005458F4">
        <w:t xml:space="preserve">. </w:t>
      </w:r>
      <w:r w:rsidR="00E53CCF">
        <w:t>Ž</w:t>
      </w:r>
      <w:r w:rsidR="008F22A7">
        <w:t>ivotnost buněk</w:t>
      </w:r>
      <w:r w:rsidR="00E53CCF">
        <w:t xml:space="preserve"> v dalších dvou vyšších koncentracích </w:t>
      </w:r>
      <w:r w:rsidR="00CE4A4C">
        <w:t>vzrostla až o 13 %</w:t>
      </w:r>
      <w:r w:rsidR="00A8259A">
        <w:t>.</w:t>
      </w:r>
      <w:r w:rsidR="00182D5F">
        <w:t xml:space="preserve"> </w:t>
      </w:r>
      <w:r w:rsidR="009245DF">
        <w:t>Podobný trend lze pozorovat</w:t>
      </w:r>
      <w:r w:rsidR="004E46BF">
        <w:t xml:space="preserve"> </w:t>
      </w:r>
      <w:r w:rsidR="0030310C">
        <w:t>u (</w:t>
      </w:r>
      <w:proofErr w:type="gramStart"/>
      <w:r w:rsidR="0030310C">
        <w:t>+)-</w:t>
      </w:r>
      <w:proofErr w:type="spellStart"/>
      <w:proofErr w:type="gramEnd"/>
      <w:r w:rsidR="0030310C">
        <w:t>mentholu</w:t>
      </w:r>
      <w:proofErr w:type="spellEnd"/>
      <w:r w:rsidR="004E46BF">
        <w:t xml:space="preserve"> </w:t>
      </w:r>
      <w:r w:rsidR="0030310C">
        <w:t xml:space="preserve">a </w:t>
      </w:r>
      <w:proofErr w:type="spellStart"/>
      <w:r w:rsidR="0030310C">
        <w:t>piperitenonu</w:t>
      </w:r>
      <w:proofErr w:type="spellEnd"/>
      <w:r w:rsidR="0030310C">
        <w:t>.</w:t>
      </w:r>
      <w:r w:rsidR="00B51C0D">
        <w:t xml:space="preserve"> </w:t>
      </w:r>
      <w:r w:rsidR="00BE1D96">
        <w:t xml:space="preserve">U ostatních testovaných monocyklických monoterpenoidů se </w:t>
      </w:r>
      <w:r w:rsidR="004D3486">
        <w:t>životaschopnost</w:t>
      </w:r>
      <w:r w:rsidR="00BE1D96">
        <w:t xml:space="preserve"> buněčné linie </w:t>
      </w:r>
      <w:r w:rsidR="00CD41EC">
        <w:t>u většiny koncentrací pohybovala</w:t>
      </w:r>
      <w:r w:rsidR="00D10CBF">
        <w:br/>
      </w:r>
      <w:r w:rsidR="00CD41EC">
        <w:t>kolem 90 %</w:t>
      </w:r>
      <w:r w:rsidR="00004603">
        <w:t>.</w:t>
      </w:r>
    </w:p>
    <w:p w14:paraId="595A016E" w14:textId="537F4EE2" w:rsidR="00B93CD4" w:rsidRDefault="00B93CD4" w:rsidP="00425A80">
      <w:r>
        <w:tab/>
      </w:r>
      <w:r w:rsidR="00B0074B">
        <w:t xml:space="preserve">Z výsledků vyplývá, že </w:t>
      </w:r>
      <w:r w:rsidR="00DC025F">
        <w:t>žádn</w:t>
      </w:r>
      <w:r w:rsidR="00F5737E">
        <w:t>á z testovaných látek</w:t>
      </w:r>
      <w:r w:rsidR="00DC025F">
        <w:t xml:space="preserve"> ne</w:t>
      </w:r>
      <w:r w:rsidR="00F5737E">
        <w:t>byla</w:t>
      </w:r>
      <w:r w:rsidR="00DC025F">
        <w:t xml:space="preserve"> pro buněčnou linii LS180 cytotoxick</w:t>
      </w:r>
      <w:r w:rsidR="00F5737E">
        <w:t>á</w:t>
      </w:r>
      <w:r w:rsidR="00DC025F">
        <w:t xml:space="preserve"> a moh</w:t>
      </w:r>
      <w:r w:rsidR="0009406F">
        <w:t>ly tak</w:t>
      </w:r>
      <w:r w:rsidR="00DC025F">
        <w:t xml:space="preserve"> </w:t>
      </w:r>
      <w:r w:rsidR="00CC1DC7">
        <w:t>být využity k</w:t>
      </w:r>
      <w:r w:rsidR="003C2E09">
        <w:t xml:space="preserve"> </w:t>
      </w:r>
      <w:r w:rsidR="00E1685E">
        <w:t>testování</w:t>
      </w:r>
      <w:r w:rsidR="00E55928">
        <w:t xml:space="preserve"> jejich vlivu na transkripční</w:t>
      </w:r>
      <w:r w:rsidR="00E1685E">
        <w:t xml:space="preserve"> aktivit</w:t>
      </w:r>
      <w:r w:rsidR="00E55928">
        <w:t>u</w:t>
      </w:r>
      <w:r w:rsidR="00E1685E">
        <w:t xml:space="preserve"> </w:t>
      </w:r>
      <w:r w:rsidR="00E55928">
        <w:t>PXR.</w:t>
      </w:r>
      <w:r w:rsidR="004E46BF">
        <w:br/>
      </w:r>
      <w:r w:rsidR="008F4865">
        <w:t xml:space="preserve">Po posouzení výsledných hodnot </w:t>
      </w:r>
      <w:r w:rsidR="008B221C">
        <w:t>životaschopnosti</w:t>
      </w:r>
      <w:r w:rsidR="008F4865">
        <w:t xml:space="preserve"> buněčné linie LS180</w:t>
      </w:r>
      <w:r w:rsidR="00FC193A">
        <w:t xml:space="preserve"> po provedení testu</w:t>
      </w:r>
      <w:r w:rsidR="00834009">
        <w:t xml:space="preserve"> MTT</w:t>
      </w:r>
      <w:r w:rsidR="00DC3FFF">
        <w:t xml:space="preserve"> byl</w:t>
      </w:r>
      <w:r w:rsidR="000932DF">
        <w:t>o</w:t>
      </w:r>
      <w:r w:rsidR="00DC3FFF">
        <w:t xml:space="preserve"> vybrán</w:t>
      </w:r>
      <w:r w:rsidR="000932DF">
        <w:t>o pět</w:t>
      </w:r>
      <w:r w:rsidR="00DC3FFF">
        <w:t xml:space="preserve"> koncentrac</w:t>
      </w:r>
      <w:r w:rsidR="000932DF">
        <w:t>í</w:t>
      </w:r>
      <w:r w:rsidR="00DC3FFF">
        <w:t xml:space="preserve">, které byly dále </w:t>
      </w:r>
      <w:r w:rsidR="00F73679">
        <w:t xml:space="preserve">použity pro měření </w:t>
      </w:r>
      <w:r w:rsidR="00ED4333">
        <w:t xml:space="preserve">transkripční </w:t>
      </w:r>
      <w:r w:rsidR="00F73679">
        <w:t xml:space="preserve">aktivity </w:t>
      </w:r>
      <w:r w:rsidR="00ED4333">
        <w:t xml:space="preserve">PXR metodou luciferázové </w:t>
      </w:r>
      <w:proofErr w:type="spellStart"/>
      <w:r w:rsidR="00ED4333">
        <w:t>reportérové</w:t>
      </w:r>
      <w:proofErr w:type="spellEnd"/>
      <w:r w:rsidR="00ED4333">
        <w:t xml:space="preserve"> eseje.</w:t>
      </w:r>
      <w:r w:rsidR="000932DF">
        <w:t xml:space="preserve"> Jednalo se o koncentrace 0,1 </w:t>
      </w:r>
      <w:bookmarkStart w:id="42" w:name="OLE_LINK7"/>
      <w:r w:rsidR="000932DF">
        <w:t>µM</w:t>
      </w:r>
      <w:bookmarkEnd w:id="42"/>
      <w:r w:rsidR="000932DF">
        <w:t>, 1 µM, 10 µM, 100 µM</w:t>
      </w:r>
      <w:r w:rsidR="003A3CD7">
        <w:t xml:space="preserve"> </w:t>
      </w:r>
      <w:r w:rsidR="000932DF">
        <w:t>a 1000 µM.</w:t>
      </w:r>
    </w:p>
    <w:p w14:paraId="085FF146" w14:textId="72FF2AEC" w:rsidR="00C10834" w:rsidRDefault="00065E22" w:rsidP="00AA0E4A">
      <w:pPr>
        <w:spacing w:line="259" w:lineRule="auto"/>
        <w:jc w:val="left"/>
      </w:pPr>
      <w:r>
        <w:br w:type="page"/>
      </w:r>
    </w:p>
    <w:p w14:paraId="33229FC8" w14:textId="33FE6FA7" w:rsidR="00007252" w:rsidRDefault="00326CF3" w:rsidP="003023FE">
      <w:pPr>
        <w:spacing w:line="259" w:lineRule="auto"/>
        <w:jc w:val="center"/>
        <w:rPr>
          <w:b/>
          <w:bCs/>
        </w:rPr>
      </w:pPr>
      <w:r>
        <w:rPr>
          <w:b/>
          <w:bCs/>
          <w:noProof/>
        </w:rPr>
        <w:lastRenderedPageBreak/>
        <w:drawing>
          <wp:inline distT="0" distB="0" distL="0" distR="0" wp14:anchorId="430E244C" wp14:editId="0E859745">
            <wp:extent cx="5052062" cy="7695028"/>
            <wp:effectExtent l="0" t="0" r="0" b="1270"/>
            <wp:docPr id="59798270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82709" name="Obrázek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57571" cy="7703419"/>
                    </a:xfrm>
                    <a:prstGeom prst="rect">
                      <a:avLst/>
                    </a:prstGeom>
                  </pic:spPr>
                </pic:pic>
              </a:graphicData>
            </a:graphic>
          </wp:inline>
        </w:drawing>
      </w:r>
    </w:p>
    <w:p w14:paraId="603D4961" w14:textId="5CA6E16A" w:rsidR="00293235" w:rsidRDefault="00D56FFB" w:rsidP="000245DD">
      <w:r w:rsidRPr="001E6B9F">
        <w:rPr>
          <w:b/>
          <w:bCs/>
        </w:rPr>
        <w:t xml:space="preserve">Obrázek </w:t>
      </w:r>
      <w:r w:rsidR="00EB4FDB">
        <w:rPr>
          <w:b/>
          <w:bCs/>
        </w:rPr>
        <w:t>4</w:t>
      </w:r>
      <w:r w:rsidRPr="001E6B9F">
        <w:rPr>
          <w:b/>
          <w:bCs/>
        </w:rPr>
        <w:t>:</w:t>
      </w:r>
      <w:r>
        <w:t xml:space="preserve"> Vliv monocyklických monoterpenoidů na </w:t>
      </w:r>
      <w:r w:rsidR="008B221C">
        <w:t>životaschopnost</w:t>
      </w:r>
      <w:r>
        <w:t xml:space="preserve"> </w:t>
      </w:r>
      <w:r w:rsidR="00695310">
        <w:t>buněk LS180</w:t>
      </w:r>
      <w:r w:rsidR="00096B14">
        <w:br/>
      </w:r>
      <w:r w:rsidR="008333A8">
        <w:t>po působení</w:t>
      </w:r>
      <w:r w:rsidR="003A3CD7">
        <w:t xml:space="preserve"> </w:t>
      </w:r>
      <w:r w:rsidR="008333A8">
        <w:t>24 hodin</w:t>
      </w:r>
    </w:p>
    <w:p w14:paraId="37F81E1E" w14:textId="0C0C89F0" w:rsidR="00065E22" w:rsidRPr="00B1596F" w:rsidRDefault="00AD7D85" w:rsidP="000245DD">
      <w:pPr>
        <w:rPr>
          <w:b/>
          <w:bCs/>
        </w:rPr>
      </w:pPr>
      <w:r>
        <w:t>Výsledky byly statisticky vyhodnoceny pomocí t-testu, hodnoty označené * jsou</w:t>
      </w:r>
      <w:r w:rsidR="00AD552D">
        <w:t xml:space="preserve"> koncentrace, při kterých bylo p-</w:t>
      </w:r>
      <w:proofErr w:type="spellStart"/>
      <w:r w:rsidR="00AD552D">
        <w:t>value</w:t>
      </w:r>
      <w:proofErr w:type="spellEnd"/>
      <w:r w:rsidR="00AD552D">
        <w:t xml:space="preserve"> </w:t>
      </w:r>
      <w:proofErr w:type="gramStart"/>
      <w:r w:rsidR="008D5B07">
        <w:t>&lt; 0</w:t>
      </w:r>
      <w:proofErr w:type="gramEnd"/>
      <w:r w:rsidR="008D5B07">
        <w:t>,05</w:t>
      </w:r>
      <w:r>
        <w:t>.</w:t>
      </w:r>
      <w:r w:rsidR="00065E22">
        <w:br w:type="page"/>
      </w:r>
    </w:p>
    <w:p w14:paraId="57457C30" w14:textId="33638704" w:rsidR="007E4753" w:rsidRDefault="007E4753" w:rsidP="00AE5FFB">
      <w:pPr>
        <w:pStyle w:val="Nadpis2"/>
        <w:rPr>
          <w:noProof/>
        </w:rPr>
      </w:pPr>
      <w:bookmarkStart w:id="43" w:name="_Toc165492904"/>
      <w:r w:rsidRPr="007E4753">
        <w:rPr>
          <w:noProof/>
        </w:rPr>
        <w:lastRenderedPageBreak/>
        <w:t>5.</w:t>
      </w:r>
      <w:r w:rsidR="0034093D">
        <w:rPr>
          <w:noProof/>
        </w:rPr>
        <w:t>2</w:t>
      </w:r>
      <w:r w:rsidRPr="007E4753">
        <w:rPr>
          <w:rFonts w:eastAsiaTheme="minorEastAsia"/>
          <w:noProof/>
          <w:lang w:eastAsia="cs-CZ"/>
        </w:rPr>
        <w:tab/>
      </w:r>
      <w:r w:rsidRPr="007E4753">
        <w:rPr>
          <w:noProof/>
        </w:rPr>
        <w:t>Vliv monocyklických monoterpenoidů na transkripční aktivitu PXR</w:t>
      </w:r>
      <w:bookmarkEnd w:id="43"/>
    </w:p>
    <w:p w14:paraId="6DAE868B" w14:textId="7EE53FCA" w:rsidR="00C97468" w:rsidRDefault="00C97468" w:rsidP="00C97468">
      <w:pPr>
        <w:ind w:firstLine="708"/>
      </w:pPr>
      <w:r>
        <w:t>Pro měření vlivu monocyklických monoterpenoidů na transkripční aktivitu PXR byla použita luciferázová reportérová esej. Měření probíhalo ve dvou módech – v</w:t>
      </w:r>
      <w:r w:rsidR="00A12966">
        <w:t xml:space="preserve"> </w:t>
      </w:r>
      <w:r>
        <w:t>agonistickém</w:t>
      </w:r>
      <w:r w:rsidR="003411CB">
        <w:br/>
      </w:r>
      <w:r w:rsidR="00F33514">
        <w:t xml:space="preserve">a </w:t>
      </w:r>
      <w:r w:rsidR="00BC420C">
        <w:t>antagonistickém. V agonistickém módu</w:t>
      </w:r>
      <w:r w:rsidR="004028B9">
        <w:t xml:space="preserve"> </w:t>
      </w:r>
      <w:r>
        <w:t xml:space="preserve">byly na buněčnou linii LS180 aplikovány pouze </w:t>
      </w:r>
      <w:r w:rsidR="00C671FA">
        <w:t xml:space="preserve">zředěné </w:t>
      </w:r>
      <w:r>
        <w:t>látky v</w:t>
      </w:r>
      <w:r w:rsidR="00C671FA">
        <w:t> DMEM-CS médiu v</w:t>
      </w:r>
      <w:r w:rsidR="00A12966">
        <w:t xml:space="preserve"> </w:t>
      </w:r>
      <w:r>
        <w:t>testovaných koncentracích</w:t>
      </w:r>
      <w:r w:rsidR="000E50AC">
        <w:t xml:space="preserve">. </w:t>
      </w:r>
      <w:r w:rsidR="0001726F">
        <w:t>V</w:t>
      </w:r>
      <w:r w:rsidR="000E50AC">
        <w:t> </w:t>
      </w:r>
      <w:r>
        <w:t>antagonistickém</w:t>
      </w:r>
      <w:r w:rsidR="000E50AC">
        <w:t xml:space="preserve"> módu</w:t>
      </w:r>
      <w:r w:rsidR="0001726F">
        <w:t xml:space="preserve"> byly </w:t>
      </w:r>
      <w:r w:rsidR="00246F85">
        <w:t>na buněčnou linii LS180</w:t>
      </w:r>
      <w:r w:rsidR="007A0CC7">
        <w:t xml:space="preserve"> aplikovány látky zředěné v</w:t>
      </w:r>
      <w:r w:rsidR="00A12966">
        <w:t xml:space="preserve"> </w:t>
      </w:r>
      <w:r w:rsidR="007A0CC7">
        <w:t>DMEM-CS médiu</w:t>
      </w:r>
      <w:r w:rsidR="00860373">
        <w:t xml:space="preserve">, ke kterým byl </w:t>
      </w:r>
      <w:r>
        <w:t xml:space="preserve">přidán </w:t>
      </w:r>
      <w:proofErr w:type="spellStart"/>
      <w:r>
        <w:t>rifampicin</w:t>
      </w:r>
      <w:proofErr w:type="spellEnd"/>
      <w:r w:rsidR="009F4D5B">
        <w:t xml:space="preserve"> </w:t>
      </w:r>
      <w:r w:rsidR="009F4D5B" w:rsidRPr="00A6134D">
        <w:t>o koncentraci</w:t>
      </w:r>
      <w:r w:rsidR="00625123">
        <w:t xml:space="preserve"> </w:t>
      </w:r>
      <w:r w:rsidR="00A6134D">
        <w:t>10 µM.</w:t>
      </w:r>
      <w:r w:rsidR="00EA09AA">
        <w:t xml:space="preserve"> Látky v</w:t>
      </w:r>
      <w:r w:rsidR="00A12966">
        <w:t xml:space="preserve"> </w:t>
      </w:r>
      <w:r w:rsidR="00EA09AA">
        <w:t>obou módech působily 24 hodin</w:t>
      </w:r>
      <w:r w:rsidR="00890405">
        <w:t>. Měření probíhalo v</w:t>
      </w:r>
      <w:r w:rsidR="00ED2A95">
        <w:t> </w:t>
      </w:r>
      <w:proofErr w:type="spellStart"/>
      <w:r w:rsidR="00613912">
        <w:t>kvadruplikát</w:t>
      </w:r>
      <w:r w:rsidR="003343F6">
        <w:t>u</w:t>
      </w:r>
      <w:proofErr w:type="spellEnd"/>
      <w:r w:rsidR="00ED2A95">
        <w:t xml:space="preserve"> a hodnoty byly zprůměrovány ze </w:t>
      </w:r>
      <w:r w:rsidR="000E1C97">
        <w:t>tří</w:t>
      </w:r>
      <w:r w:rsidR="00ED2A95">
        <w:t xml:space="preserve"> na sobě nezávislých experimentů.</w:t>
      </w:r>
    </w:p>
    <w:p w14:paraId="7B9B084F" w14:textId="77777777" w:rsidR="00576432" w:rsidRPr="00C97468" w:rsidRDefault="00576432" w:rsidP="00C97468">
      <w:pPr>
        <w:ind w:firstLine="708"/>
      </w:pPr>
    </w:p>
    <w:p w14:paraId="5F4021EF" w14:textId="77DD5772" w:rsidR="00E47347" w:rsidRPr="00E47347" w:rsidRDefault="00E47347" w:rsidP="00F75F8F">
      <w:pPr>
        <w:pStyle w:val="Nadpis3"/>
      </w:pPr>
      <w:bookmarkStart w:id="44" w:name="_Toc165492905"/>
      <w:r>
        <w:t>5.</w:t>
      </w:r>
      <w:r w:rsidR="0034093D">
        <w:t>2</w:t>
      </w:r>
      <w:r>
        <w:t>.1</w:t>
      </w:r>
      <w:r>
        <w:tab/>
      </w:r>
      <w:r w:rsidR="00F75F8F">
        <w:t>Agonistický mód</w:t>
      </w:r>
      <w:bookmarkEnd w:id="44"/>
    </w:p>
    <w:p w14:paraId="5550E95D" w14:textId="77777777" w:rsidR="00A12368" w:rsidRDefault="00266D6D" w:rsidP="00841900">
      <w:r>
        <w:tab/>
      </w:r>
      <w:r w:rsidR="001A06B0">
        <w:t xml:space="preserve">Jako pozitivní kontrola byl zvolen modelový </w:t>
      </w:r>
      <w:r w:rsidR="00474F0C">
        <w:t xml:space="preserve">agonista </w:t>
      </w:r>
      <w:proofErr w:type="spellStart"/>
      <w:r w:rsidR="00474F0C">
        <w:t>rifampicin</w:t>
      </w:r>
      <w:proofErr w:type="spellEnd"/>
      <w:r w:rsidR="00474F0C">
        <w:t xml:space="preserve"> </w:t>
      </w:r>
      <w:r w:rsidR="00474F0C" w:rsidRPr="00A6134D">
        <w:t>o koncentraci</w:t>
      </w:r>
      <w:r w:rsidR="00A6134D">
        <w:t xml:space="preserve"> 10 µM</w:t>
      </w:r>
      <w:r w:rsidR="00CA40E6">
        <w:t>, který odpovíd</w:t>
      </w:r>
      <w:r w:rsidR="00092682">
        <w:t>al 100 %</w:t>
      </w:r>
      <w:r w:rsidR="009C28FC">
        <w:t xml:space="preserve"> aktivaci</w:t>
      </w:r>
      <w:r w:rsidR="004A7026">
        <w:t xml:space="preserve"> transkripční aktivity</w:t>
      </w:r>
      <w:r w:rsidR="009C28FC">
        <w:t xml:space="preserve"> PXR</w:t>
      </w:r>
      <w:r w:rsidR="00474F0C">
        <w:t xml:space="preserve">. </w:t>
      </w:r>
      <w:r w:rsidR="009233F8">
        <w:t xml:space="preserve">Hodnoty byly vztaženy </w:t>
      </w:r>
      <w:r w:rsidR="0026264F">
        <w:t>k</w:t>
      </w:r>
      <w:r w:rsidR="00E1383E">
        <w:t> </w:t>
      </w:r>
      <w:proofErr w:type="spellStart"/>
      <w:r w:rsidR="002C0735">
        <w:t>rifampicinu</w:t>
      </w:r>
      <w:proofErr w:type="spellEnd"/>
      <w:r w:rsidR="00E1383E">
        <w:t>, který sloužil jako pozitivní kontrola</w:t>
      </w:r>
      <w:r w:rsidR="00196B19">
        <w:t>.</w:t>
      </w:r>
    </w:p>
    <w:p w14:paraId="16CC6B49" w14:textId="46C0BFFA" w:rsidR="00E326E9" w:rsidRDefault="00C64FCD" w:rsidP="00A12368">
      <w:pPr>
        <w:ind w:firstLine="708"/>
      </w:pPr>
      <w:r>
        <w:t xml:space="preserve">Mezi látky s nejvyšším nárůstem indukce </w:t>
      </w:r>
      <w:r w:rsidR="003803E2">
        <w:t xml:space="preserve">lze považovat </w:t>
      </w:r>
      <w:r w:rsidR="00F91C43">
        <w:t>S-</w:t>
      </w:r>
      <w:proofErr w:type="spellStart"/>
      <w:r w:rsidR="006372B8">
        <w:t>k</w:t>
      </w:r>
      <w:r w:rsidR="00F91C43">
        <w:t>arvon</w:t>
      </w:r>
      <w:proofErr w:type="spellEnd"/>
      <w:r w:rsidR="00F91C43">
        <w:t>, R-</w:t>
      </w:r>
      <w:proofErr w:type="spellStart"/>
      <w:r w:rsidR="006372B8">
        <w:t>k</w:t>
      </w:r>
      <w:r w:rsidR="00F91C43">
        <w:t>arvon</w:t>
      </w:r>
      <w:proofErr w:type="spellEnd"/>
      <w:r w:rsidR="00D55C04">
        <w:t>,</w:t>
      </w:r>
      <w:r w:rsidR="00F91C43">
        <w:t xml:space="preserve"> EN2</w:t>
      </w:r>
      <w:r w:rsidR="0067681F">
        <w:br/>
      </w:r>
      <w:r w:rsidR="00D55C04">
        <w:t xml:space="preserve">a </w:t>
      </w:r>
      <w:proofErr w:type="spellStart"/>
      <w:r w:rsidR="00D55C04">
        <w:t>piperitenon</w:t>
      </w:r>
      <w:proofErr w:type="spellEnd"/>
      <w:r w:rsidR="002D3383">
        <w:t xml:space="preserve">. </w:t>
      </w:r>
      <w:r w:rsidR="00AB1FEB">
        <w:t>S-</w:t>
      </w:r>
      <w:proofErr w:type="spellStart"/>
      <w:r w:rsidR="006372B8">
        <w:t>k</w:t>
      </w:r>
      <w:r w:rsidR="00AB1FEB">
        <w:t>arvon</w:t>
      </w:r>
      <w:proofErr w:type="spellEnd"/>
      <w:r w:rsidR="00AB1FEB">
        <w:t xml:space="preserve"> v</w:t>
      </w:r>
      <w:r w:rsidR="00A12966">
        <w:t xml:space="preserve"> </w:t>
      </w:r>
      <w:r w:rsidR="00AB1FEB">
        <w:t>nejnižší koncentraci 0,1 µM indukoval transkripční aktivitu PXR</w:t>
      </w:r>
      <w:r w:rsidR="00EE2F34">
        <w:br/>
      </w:r>
      <w:r w:rsidR="0020555B">
        <w:t xml:space="preserve">na 18,4 </w:t>
      </w:r>
      <w:r w:rsidR="00D724B4">
        <w:t>± 2,6 %</w:t>
      </w:r>
      <w:r w:rsidR="00A54280">
        <w:t xml:space="preserve"> a ve druhé nejvyšší testované koncentraci 100 </w:t>
      </w:r>
      <w:r w:rsidR="003310F4">
        <w:t>µ</w:t>
      </w:r>
      <w:r w:rsidR="00A54280">
        <w:t>M</w:t>
      </w:r>
      <w:r w:rsidR="00F57A0A">
        <w:t xml:space="preserve"> dosáhla procenta indukce až 102</w:t>
      </w:r>
      <w:r w:rsidR="005F45DF">
        <w:t>,8 ± 13 %.</w:t>
      </w:r>
      <w:r w:rsidR="007953FC">
        <w:t xml:space="preserve"> </w:t>
      </w:r>
      <w:r w:rsidR="00DB7BD5">
        <w:t>Látka R-</w:t>
      </w:r>
      <w:proofErr w:type="spellStart"/>
      <w:r w:rsidR="006372B8">
        <w:t>k</w:t>
      </w:r>
      <w:r w:rsidR="00DB7BD5">
        <w:t>arvon</w:t>
      </w:r>
      <w:proofErr w:type="spellEnd"/>
      <w:r w:rsidR="00DB7BD5">
        <w:t>, která je vzájemně stereoizomerem S-</w:t>
      </w:r>
      <w:proofErr w:type="spellStart"/>
      <w:r w:rsidR="006372B8">
        <w:t>k</w:t>
      </w:r>
      <w:r w:rsidR="00DB7BD5">
        <w:t>arvonu</w:t>
      </w:r>
      <w:proofErr w:type="spellEnd"/>
      <w:r w:rsidR="00DB7BD5">
        <w:t xml:space="preserve">, dosáhla </w:t>
      </w:r>
      <w:r w:rsidR="00BC3322">
        <w:t>indukce 20,9 ± 6,9 %</w:t>
      </w:r>
      <w:r w:rsidR="00F274D7">
        <w:t xml:space="preserve"> při 0,1 µM a </w:t>
      </w:r>
      <w:r w:rsidR="006B0774">
        <w:t xml:space="preserve">104 ± 15 % při nejvyšší koncentraci 1000 </w:t>
      </w:r>
      <w:r w:rsidR="001A34BE">
        <w:t>µ</w:t>
      </w:r>
      <w:r w:rsidR="006B0774">
        <w:t>M</w:t>
      </w:r>
      <w:r w:rsidR="009129F0">
        <w:t xml:space="preserve"> (Obr. </w:t>
      </w:r>
      <w:r w:rsidR="00F6017B">
        <w:t>5</w:t>
      </w:r>
      <w:r w:rsidR="009129F0">
        <w:t>).</w:t>
      </w:r>
      <w:r w:rsidR="00D33691">
        <w:t xml:space="preserve"> </w:t>
      </w:r>
      <w:r w:rsidR="0099108E">
        <w:t>Zajímavým porovnáním vůči R-</w:t>
      </w:r>
      <w:proofErr w:type="spellStart"/>
      <w:r w:rsidR="006372B8">
        <w:t>k</w:t>
      </w:r>
      <w:r w:rsidR="0099108E">
        <w:t>arvonu</w:t>
      </w:r>
      <w:proofErr w:type="spellEnd"/>
      <w:r w:rsidR="0099108E">
        <w:t xml:space="preserve"> je S-(</w:t>
      </w:r>
      <w:proofErr w:type="gramStart"/>
      <w:r w:rsidR="0099108E">
        <w:t>-)-</w:t>
      </w:r>
      <w:proofErr w:type="spellStart"/>
      <w:proofErr w:type="gramEnd"/>
      <w:r w:rsidR="0099108E">
        <w:t>pulegon</w:t>
      </w:r>
      <w:proofErr w:type="spellEnd"/>
      <w:r w:rsidR="0099108E">
        <w:t>,</w:t>
      </w:r>
      <w:r w:rsidR="00EE2F34">
        <w:t xml:space="preserve"> </w:t>
      </w:r>
      <w:r w:rsidR="0099108E">
        <w:t>který</w:t>
      </w:r>
      <w:r w:rsidR="009129F0">
        <w:t xml:space="preserve"> </w:t>
      </w:r>
      <w:r w:rsidR="0099108E">
        <w:t>při 0,1 µM induk</w:t>
      </w:r>
      <w:r w:rsidR="00541056">
        <w:t>oval</w:t>
      </w:r>
      <w:r w:rsidR="0099108E">
        <w:t xml:space="preserve"> transkripční aktivitu PXR také při podobné procentuální hodnotě</w:t>
      </w:r>
      <w:r w:rsidR="00E1383E">
        <w:t xml:space="preserve"> </w:t>
      </w:r>
      <w:r w:rsidR="003D3ED4">
        <w:t>21 ± 8,9 %</w:t>
      </w:r>
      <w:r w:rsidR="00B80EAC">
        <w:t xml:space="preserve">, ovšem jeho nejvyšší nárůst indukce </w:t>
      </w:r>
      <w:r w:rsidR="00541056">
        <w:t>byl</w:t>
      </w:r>
      <w:r w:rsidR="00855EC2">
        <w:t xml:space="preserve"> pouze</w:t>
      </w:r>
      <w:r w:rsidR="004B0BDC">
        <w:t xml:space="preserve"> 64,6 ± 7,8 %</w:t>
      </w:r>
      <w:r w:rsidR="00B15404">
        <w:t xml:space="preserve"> při 1000 </w:t>
      </w:r>
      <w:r w:rsidR="001A34BE">
        <w:t>µ</w:t>
      </w:r>
      <w:r w:rsidR="00B15404">
        <w:t>M</w:t>
      </w:r>
      <w:r w:rsidR="008702BB">
        <w:t xml:space="preserve"> (Obr. </w:t>
      </w:r>
      <w:r w:rsidR="00F6017B">
        <w:t>5</w:t>
      </w:r>
      <w:r w:rsidR="008702BB">
        <w:t>)</w:t>
      </w:r>
      <w:r w:rsidR="00DD05A2">
        <w:t>.</w:t>
      </w:r>
      <w:r w:rsidR="00761874">
        <w:t xml:space="preserve"> </w:t>
      </w:r>
      <w:r w:rsidR="00F4634F">
        <w:t>Další látkou s</w:t>
      </w:r>
      <w:r w:rsidR="0064792F">
        <w:t> překvapivě rychlým nárůstem indukce s</w:t>
      </w:r>
      <w:r w:rsidR="00A12966">
        <w:t xml:space="preserve"> </w:t>
      </w:r>
      <w:r w:rsidR="0064792F">
        <w:t xml:space="preserve">rostoucí koncentrací byl </w:t>
      </w:r>
      <w:proofErr w:type="spellStart"/>
      <w:r w:rsidR="0064792F">
        <w:t>piperitenon</w:t>
      </w:r>
      <w:proofErr w:type="spellEnd"/>
      <w:r w:rsidR="0064792F">
        <w:t>.</w:t>
      </w:r>
      <w:r w:rsidR="00F07638">
        <w:t xml:space="preserve"> Přestože při 0,1 µM</w:t>
      </w:r>
      <w:r w:rsidR="00680741">
        <w:t xml:space="preserve"> odpovídala hodnota pouze </w:t>
      </w:r>
      <w:r w:rsidR="00846A64">
        <w:t>2,1 ± 1,3 % indukce tran</w:t>
      </w:r>
      <w:r w:rsidR="006A3147">
        <w:t xml:space="preserve">skripční aktivity PXR, s rostoucí koncentrací se </w:t>
      </w:r>
      <w:r w:rsidR="000B5ECA">
        <w:t xml:space="preserve">procenta indukce prudce </w:t>
      </w:r>
      <w:r w:rsidR="006A3147">
        <w:t xml:space="preserve">zvyšovala </w:t>
      </w:r>
      <w:r w:rsidR="003310F4">
        <w:t xml:space="preserve">a při 100 </w:t>
      </w:r>
      <w:r w:rsidR="001A34BE">
        <w:t>µM</w:t>
      </w:r>
      <w:r w:rsidR="00687048">
        <w:t xml:space="preserve"> se již pohybovala</w:t>
      </w:r>
      <w:r w:rsidR="00801082">
        <w:br/>
      </w:r>
      <w:r w:rsidR="00687048">
        <w:t>na 70,6 ± 16,8 %</w:t>
      </w:r>
      <w:r w:rsidR="004F5463">
        <w:t xml:space="preserve"> </w:t>
      </w:r>
      <w:r w:rsidR="009B7745">
        <w:t>indukce</w:t>
      </w:r>
      <w:r w:rsidR="004F5463">
        <w:t xml:space="preserve">. </w:t>
      </w:r>
      <w:r w:rsidR="005E4559">
        <w:t xml:space="preserve">V nejvyšší koncentraci 1000 µM vzrostla indukce ještě o </w:t>
      </w:r>
      <w:r w:rsidR="00A86AEA">
        <w:t>17 %</w:t>
      </w:r>
      <w:r w:rsidR="00CC5208">
        <w:br/>
      </w:r>
      <w:r w:rsidR="00A86AEA">
        <w:t>na 87,2 ± 15,8 %</w:t>
      </w:r>
      <w:r w:rsidR="008702BB">
        <w:t xml:space="preserve"> (Obr. </w:t>
      </w:r>
      <w:r w:rsidR="00F6017B">
        <w:t>5</w:t>
      </w:r>
      <w:r w:rsidR="008702BB">
        <w:t>)</w:t>
      </w:r>
      <w:r w:rsidR="00A86AEA">
        <w:t>.</w:t>
      </w:r>
      <w:r w:rsidR="00936E04">
        <w:t xml:space="preserve"> Jako látku s</w:t>
      </w:r>
      <w:r w:rsidR="001E735C">
        <w:t> </w:t>
      </w:r>
      <w:r w:rsidR="00936E04">
        <w:t>nejnižší</w:t>
      </w:r>
      <w:r w:rsidR="001E735C">
        <w:t>m účinkem na transkripční aktivitu PXR v rámci této práce lze považovat S</w:t>
      </w:r>
      <w:proofErr w:type="gramStart"/>
      <w:r w:rsidR="001E735C">
        <w:t>-(</w:t>
      </w:r>
      <w:proofErr w:type="gramEnd"/>
      <w:r w:rsidR="001E735C">
        <w:t>-)-</w:t>
      </w:r>
      <w:proofErr w:type="spellStart"/>
      <w:r w:rsidR="001E735C">
        <w:t>perillylal</w:t>
      </w:r>
      <w:r w:rsidR="006372B8">
        <w:t>k</w:t>
      </w:r>
      <w:r w:rsidR="001E735C">
        <w:t>ohol</w:t>
      </w:r>
      <w:proofErr w:type="spellEnd"/>
      <w:r w:rsidR="001E735C">
        <w:t xml:space="preserve">, jehož první dvě nejnižší koncentrace </w:t>
      </w:r>
      <w:r w:rsidR="005B6345">
        <w:t>vykazovaly velice nízkou, až nulovou indukci</w:t>
      </w:r>
      <w:r w:rsidR="004F7DF6">
        <w:t xml:space="preserve">. V nejvyšší koncentraci 1000 µM </w:t>
      </w:r>
      <w:r w:rsidR="00EA1DFD">
        <w:t xml:space="preserve">však </w:t>
      </w:r>
      <w:r w:rsidR="004F7DF6">
        <w:t>došlo k</w:t>
      </w:r>
      <w:r w:rsidR="001A73B8">
        <w:t xml:space="preserve"> </w:t>
      </w:r>
      <w:r w:rsidR="004F7DF6">
        <w:t>nárůstu indukce na 46</w:t>
      </w:r>
      <w:r w:rsidR="009F5E03">
        <w:t>,3 ± 13,3 %</w:t>
      </w:r>
      <w:r w:rsidR="008702BB">
        <w:t xml:space="preserve"> (Obr. </w:t>
      </w:r>
      <w:r w:rsidR="00F6017B">
        <w:t>5</w:t>
      </w:r>
      <w:r w:rsidR="008702BB">
        <w:t>)</w:t>
      </w:r>
      <w:r w:rsidR="009F5E03">
        <w:t>.</w:t>
      </w:r>
      <w:r w:rsidR="00BE06C8">
        <w:t xml:space="preserve"> </w:t>
      </w:r>
      <w:r w:rsidR="00F24261">
        <w:t xml:space="preserve">Oba izomery </w:t>
      </w:r>
      <w:proofErr w:type="spellStart"/>
      <w:r w:rsidR="00F24261">
        <w:t>mentholu</w:t>
      </w:r>
      <w:proofErr w:type="spellEnd"/>
      <w:r w:rsidR="00F24261">
        <w:t>, (</w:t>
      </w:r>
      <w:proofErr w:type="gramStart"/>
      <w:r w:rsidR="00F24261">
        <w:t>+)-</w:t>
      </w:r>
      <w:proofErr w:type="spellStart"/>
      <w:proofErr w:type="gramEnd"/>
      <w:r w:rsidR="00F24261">
        <w:t>menthol</w:t>
      </w:r>
      <w:proofErr w:type="spellEnd"/>
      <w:r w:rsidR="00F24261">
        <w:t xml:space="preserve"> a (-)-</w:t>
      </w:r>
      <w:proofErr w:type="spellStart"/>
      <w:r w:rsidR="00F24261">
        <w:t>menthol</w:t>
      </w:r>
      <w:proofErr w:type="spellEnd"/>
      <w:r w:rsidR="00F24261">
        <w:t>,</w:t>
      </w:r>
      <w:r w:rsidR="00F15014">
        <w:t xml:space="preserve"> </w:t>
      </w:r>
      <w:r w:rsidR="004C1CA3">
        <w:t>měly</w:t>
      </w:r>
      <w:r w:rsidR="00BE544E">
        <w:br/>
      </w:r>
      <w:r w:rsidR="004C1CA3">
        <w:t xml:space="preserve">ve většině měřených koncentrací podobnou účinnost. </w:t>
      </w:r>
      <w:r w:rsidR="00DC1CEC">
        <w:t xml:space="preserve">Při koncentraci 10 µM </w:t>
      </w:r>
      <w:r w:rsidR="006326E5">
        <w:t>byla indukce</w:t>
      </w:r>
      <w:r w:rsidR="00DC1825">
        <w:br/>
      </w:r>
      <w:r w:rsidR="006326E5">
        <w:t>u</w:t>
      </w:r>
      <w:r w:rsidR="00DC1825">
        <w:t xml:space="preserve"> </w:t>
      </w:r>
      <w:r w:rsidR="006326E5">
        <w:t>(</w:t>
      </w:r>
      <w:proofErr w:type="gramStart"/>
      <w:r w:rsidR="006326E5">
        <w:t>+)-</w:t>
      </w:r>
      <w:proofErr w:type="spellStart"/>
      <w:proofErr w:type="gramEnd"/>
      <w:r w:rsidR="006326E5">
        <w:t>mentholu</w:t>
      </w:r>
      <w:proofErr w:type="spellEnd"/>
      <w:r w:rsidR="006326E5">
        <w:t xml:space="preserve"> </w:t>
      </w:r>
      <w:r w:rsidR="0087533D">
        <w:t xml:space="preserve">na hodnotě </w:t>
      </w:r>
      <w:r w:rsidR="00CB2895">
        <w:t xml:space="preserve">44,5 ± </w:t>
      </w:r>
      <w:r w:rsidR="00C236ED">
        <w:t>12,5 %</w:t>
      </w:r>
      <w:r w:rsidR="00077CBD">
        <w:t>, při stejné koncentraci byla indukce u (-)-</w:t>
      </w:r>
      <w:proofErr w:type="spellStart"/>
      <w:r w:rsidR="00077CBD">
        <w:t>mentholu</w:t>
      </w:r>
      <w:proofErr w:type="spellEnd"/>
      <w:r w:rsidR="00643B9F">
        <w:t xml:space="preserve"> naměřená na</w:t>
      </w:r>
      <w:r w:rsidR="00077CBD">
        <w:t xml:space="preserve"> </w:t>
      </w:r>
      <w:r w:rsidR="00A613CC">
        <w:t>47,9 ± 5,2 %</w:t>
      </w:r>
      <w:r w:rsidR="00D63723">
        <w:t xml:space="preserve">. </w:t>
      </w:r>
      <w:r w:rsidR="00A65EE2">
        <w:t>U nejvyšš</w:t>
      </w:r>
      <w:r w:rsidR="00652FDA">
        <w:t>í</w:t>
      </w:r>
      <w:r w:rsidR="00A65EE2">
        <w:t xml:space="preserve"> koncentrace</w:t>
      </w:r>
      <w:r w:rsidR="00295A53">
        <w:t xml:space="preserve"> 1000 µM</w:t>
      </w:r>
      <w:r w:rsidR="00D41E47">
        <w:t xml:space="preserve"> odpovídala hodnota indukce</w:t>
      </w:r>
      <w:r w:rsidR="00DC1825">
        <w:br/>
      </w:r>
      <w:r w:rsidR="00D41E47">
        <w:lastRenderedPageBreak/>
        <w:t>(</w:t>
      </w:r>
      <w:proofErr w:type="gramStart"/>
      <w:r w:rsidR="00D41E47">
        <w:t>+)-</w:t>
      </w:r>
      <w:proofErr w:type="spellStart"/>
      <w:proofErr w:type="gramEnd"/>
      <w:r w:rsidR="00D41E47">
        <w:t>mentholu</w:t>
      </w:r>
      <w:proofErr w:type="spellEnd"/>
      <w:r w:rsidR="00D41E47">
        <w:t xml:space="preserve"> 49,7 ± </w:t>
      </w:r>
      <w:r w:rsidR="00FD093D">
        <w:t>3,8 %</w:t>
      </w:r>
      <w:r w:rsidR="000D3D61">
        <w:t xml:space="preserve">, která je </w:t>
      </w:r>
      <w:r w:rsidR="009F5AD8">
        <w:t>skoro totožná s hodnotou u (-)-</w:t>
      </w:r>
      <w:proofErr w:type="spellStart"/>
      <w:r w:rsidR="009F5AD8">
        <w:t>mentholu</w:t>
      </w:r>
      <w:proofErr w:type="spellEnd"/>
      <w:r w:rsidR="009F5AD8">
        <w:t xml:space="preserve">, kdy při 1000 µM </w:t>
      </w:r>
      <w:r w:rsidR="00CC48F8">
        <w:t xml:space="preserve">byla </w:t>
      </w:r>
      <w:r w:rsidR="005541D8">
        <w:t xml:space="preserve">indukce 49,1 ± </w:t>
      </w:r>
      <w:r w:rsidR="00CC48F8">
        <w:t>2,4 %</w:t>
      </w:r>
      <w:r w:rsidR="008702BB">
        <w:t xml:space="preserve"> (Obr. </w:t>
      </w:r>
      <w:r w:rsidR="00F6017B">
        <w:t>5</w:t>
      </w:r>
      <w:r w:rsidR="008702BB">
        <w:t>)</w:t>
      </w:r>
      <w:r w:rsidR="004C0A03">
        <w:t>.</w:t>
      </w:r>
      <w:r w:rsidR="00360D17">
        <w:t xml:space="preserve"> U některých látek lze pozorovat </w:t>
      </w:r>
      <w:r w:rsidR="00F3509D">
        <w:t xml:space="preserve">pokles hodnoty indukce v poslední testované koncentraci 1000 µM, tento jev lze zdůvodnit faktem, že </w:t>
      </w:r>
      <w:r w:rsidR="003D7130">
        <w:t>látka v</w:t>
      </w:r>
      <w:r w:rsidR="00BE6A75">
        <w:t xml:space="preserve"> </w:t>
      </w:r>
      <w:r w:rsidR="003D7130">
        <w:t xml:space="preserve">této </w:t>
      </w:r>
      <w:r w:rsidR="00C15280">
        <w:rPr>
          <w:noProof/>
        </w:rPr>
        <w:drawing>
          <wp:anchor distT="0" distB="0" distL="114300" distR="114300" simplePos="0" relativeHeight="251667466" behindDoc="0" locked="0" layoutInCell="1" allowOverlap="1" wp14:anchorId="2EB9E07F" wp14:editId="084FB68B">
            <wp:simplePos x="0" y="0"/>
            <wp:positionH relativeFrom="margin">
              <wp:align>right</wp:align>
            </wp:positionH>
            <wp:positionV relativeFrom="paragraph">
              <wp:posOffset>1224087</wp:posOffset>
            </wp:positionV>
            <wp:extent cx="5760720" cy="5525770"/>
            <wp:effectExtent l="0" t="0" r="0" b="0"/>
            <wp:wrapSquare wrapText="bothSides"/>
            <wp:docPr id="60749369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93697" name="Obrázek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5526294"/>
                    </a:xfrm>
                    <a:prstGeom prst="rect">
                      <a:avLst/>
                    </a:prstGeom>
                  </pic:spPr>
                </pic:pic>
              </a:graphicData>
            </a:graphic>
          </wp:anchor>
        </w:drawing>
      </w:r>
      <w:r w:rsidR="003D7130">
        <w:t xml:space="preserve">koncentraci </w:t>
      </w:r>
      <w:r w:rsidR="00131B3B">
        <w:t xml:space="preserve">již </w:t>
      </w:r>
      <w:r w:rsidR="003D7130">
        <w:t>mohla mít mírný cytotoxický efekt na buňky, ovšem ne letální.</w:t>
      </w:r>
    </w:p>
    <w:p w14:paraId="6BB7EC04" w14:textId="1E577873" w:rsidR="00C15280" w:rsidRDefault="00C15280" w:rsidP="008D672A">
      <w:r w:rsidRPr="00602562">
        <w:rPr>
          <w:b/>
          <w:bCs/>
        </w:rPr>
        <w:t xml:space="preserve">Obrázek </w:t>
      </w:r>
      <w:r w:rsidR="00F6017B">
        <w:rPr>
          <w:b/>
          <w:bCs/>
        </w:rPr>
        <w:t>5</w:t>
      </w:r>
      <w:r w:rsidRPr="00602562">
        <w:rPr>
          <w:b/>
          <w:bCs/>
        </w:rPr>
        <w:t>:</w:t>
      </w:r>
      <w:r>
        <w:t xml:space="preserve"> Vliv monocyklických monoterpenoidů na transkripční aktivitu PXR v buněčné linii LS180 po působení 24 hodin v agonistickém módu</w:t>
      </w:r>
    </w:p>
    <w:p w14:paraId="697DB994" w14:textId="0CFBF746" w:rsidR="00C15280" w:rsidRDefault="00C15280" w:rsidP="008D672A">
      <w:r>
        <w:t>Výsledky byly statisticky vyhodnoceny pomocí t-testu, hodnoty označené * jsou koncentrace, při kterých bylo p-</w:t>
      </w:r>
      <w:proofErr w:type="spellStart"/>
      <w:r>
        <w:t>value</w:t>
      </w:r>
      <w:proofErr w:type="spellEnd"/>
      <w:r>
        <w:t xml:space="preserve"> </w:t>
      </w:r>
      <w:proofErr w:type="gramStart"/>
      <w:r>
        <w:t>&lt; 0</w:t>
      </w:r>
      <w:proofErr w:type="gramEnd"/>
      <w:r>
        <w:t>,05.</w:t>
      </w:r>
    </w:p>
    <w:p w14:paraId="621A49E7" w14:textId="77777777" w:rsidR="00C15280" w:rsidRDefault="00C15280" w:rsidP="00C15280"/>
    <w:p w14:paraId="6ED95648" w14:textId="77777777" w:rsidR="00C15280" w:rsidRDefault="00C15280" w:rsidP="00C15280"/>
    <w:p w14:paraId="50ED2229" w14:textId="6DA9F870" w:rsidR="001E0F0C" w:rsidRPr="009114CF" w:rsidRDefault="00BF665E" w:rsidP="00A12368">
      <w:pPr>
        <w:ind w:firstLine="708"/>
      </w:pPr>
      <w:r>
        <w:lastRenderedPageBreak/>
        <w:t>U testovaných látek byla vypočtena hodnota EC</w:t>
      </w:r>
      <w:r w:rsidRPr="00BF665E">
        <w:rPr>
          <w:vertAlign w:val="subscript"/>
        </w:rPr>
        <w:t>50</w:t>
      </w:r>
      <w:r>
        <w:t xml:space="preserve">. </w:t>
      </w:r>
      <w:r w:rsidR="008376A2">
        <w:t>Látky</w:t>
      </w:r>
      <w:r w:rsidR="00852F64">
        <w:t xml:space="preserve"> s nejnižší hodnotou EC</w:t>
      </w:r>
      <w:r w:rsidR="00852F64">
        <w:rPr>
          <w:vertAlign w:val="subscript"/>
        </w:rPr>
        <w:t>50</w:t>
      </w:r>
      <w:r w:rsidR="00852F64">
        <w:t xml:space="preserve"> jsou </w:t>
      </w:r>
      <w:r w:rsidR="00D02BB8">
        <w:t>EN2, R</w:t>
      </w:r>
      <w:proofErr w:type="gramStart"/>
      <w:r w:rsidR="00D02BB8">
        <w:t>-(</w:t>
      </w:r>
      <w:proofErr w:type="gramEnd"/>
      <w:r w:rsidR="00D02BB8">
        <w:t>+)-</w:t>
      </w:r>
      <w:proofErr w:type="spellStart"/>
      <w:r w:rsidR="00D02BB8">
        <w:t>pulegon</w:t>
      </w:r>
      <w:proofErr w:type="spellEnd"/>
      <w:r w:rsidR="00E504C5">
        <w:t xml:space="preserve">, </w:t>
      </w:r>
      <w:proofErr w:type="spellStart"/>
      <w:r w:rsidR="00E504C5">
        <w:t>piperiton</w:t>
      </w:r>
      <w:proofErr w:type="spellEnd"/>
      <w:r w:rsidR="00E504C5">
        <w:t>, (-)-</w:t>
      </w:r>
      <w:proofErr w:type="spellStart"/>
      <w:r w:rsidR="00E504C5">
        <w:t>menthol</w:t>
      </w:r>
      <w:proofErr w:type="spellEnd"/>
      <w:r>
        <w:t xml:space="preserve"> </w:t>
      </w:r>
      <w:r w:rsidR="00E504C5">
        <w:t>a (+)-</w:t>
      </w:r>
      <w:proofErr w:type="spellStart"/>
      <w:r w:rsidR="00E504C5">
        <w:t>menthol</w:t>
      </w:r>
      <w:proofErr w:type="spellEnd"/>
      <w:r w:rsidR="00F40522">
        <w:t>. Naopak látky s nejvyšší hodnotou EC</w:t>
      </w:r>
      <w:r w:rsidR="00F40522">
        <w:rPr>
          <w:vertAlign w:val="subscript"/>
        </w:rPr>
        <w:t>50</w:t>
      </w:r>
      <w:r w:rsidR="00A70BF3">
        <w:t xml:space="preserve"> jsou S</w:t>
      </w:r>
      <w:proofErr w:type="gramStart"/>
      <w:r w:rsidR="00A70BF3">
        <w:t>-(</w:t>
      </w:r>
      <w:proofErr w:type="gramEnd"/>
      <w:r w:rsidR="00A70BF3">
        <w:t>-)-</w:t>
      </w:r>
      <w:proofErr w:type="spellStart"/>
      <w:r w:rsidR="00A70BF3">
        <w:t>perillylalkohol</w:t>
      </w:r>
      <w:proofErr w:type="spellEnd"/>
      <w:r w:rsidR="005D3AD1">
        <w:t xml:space="preserve">, </w:t>
      </w:r>
      <w:proofErr w:type="spellStart"/>
      <w:r w:rsidR="00D0349C">
        <w:t>piperitenon</w:t>
      </w:r>
      <w:proofErr w:type="spellEnd"/>
      <w:r>
        <w:t xml:space="preserve"> </w:t>
      </w:r>
      <w:r w:rsidR="00D0349C">
        <w:t xml:space="preserve">a </w:t>
      </w:r>
      <w:r w:rsidR="005D3AD1">
        <w:t>S-</w:t>
      </w:r>
      <w:proofErr w:type="spellStart"/>
      <w:r w:rsidR="005D3AD1">
        <w:t>karvon</w:t>
      </w:r>
      <w:proofErr w:type="spellEnd"/>
      <w:r w:rsidR="00D0349C">
        <w:t>.</w:t>
      </w:r>
      <w:r w:rsidR="009114CF">
        <w:t xml:space="preserve"> Všechny hodnoty EC</w:t>
      </w:r>
      <w:r w:rsidR="009114CF">
        <w:rPr>
          <w:vertAlign w:val="subscript"/>
        </w:rPr>
        <w:t>50</w:t>
      </w:r>
      <w:r w:rsidR="009114CF">
        <w:t xml:space="preserve"> jsou</w:t>
      </w:r>
      <w:r>
        <w:t xml:space="preserve"> </w:t>
      </w:r>
      <w:r w:rsidR="009114CF">
        <w:t>zaznamenány v Tabulce 3.</w:t>
      </w:r>
    </w:p>
    <w:p w14:paraId="4A767445" w14:textId="77777777" w:rsidR="00576432" w:rsidRPr="00D653D4" w:rsidRDefault="00576432" w:rsidP="00841900"/>
    <w:p w14:paraId="04BBC273" w14:textId="791110E8" w:rsidR="00841900" w:rsidRDefault="001E0F0C" w:rsidP="00122835">
      <w:pPr>
        <w:spacing w:line="259" w:lineRule="auto"/>
      </w:pPr>
      <w:r>
        <w:rPr>
          <w:b/>
          <w:bCs/>
        </w:rPr>
        <w:t xml:space="preserve">Tabulka </w:t>
      </w:r>
      <w:r w:rsidR="00471FC2">
        <w:rPr>
          <w:b/>
          <w:bCs/>
        </w:rPr>
        <w:t>3</w:t>
      </w:r>
      <w:r>
        <w:rPr>
          <w:b/>
          <w:bCs/>
        </w:rPr>
        <w:t xml:space="preserve">: </w:t>
      </w:r>
      <w:r w:rsidR="004B0F83">
        <w:t>Hodnoty EC</w:t>
      </w:r>
      <w:r w:rsidR="004B0F83" w:rsidRPr="003A681F">
        <w:rPr>
          <w:vertAlign w:val="subscript"/>
        </w:rPr>
        <w:t>50</w:t>
      </w:r>
      <w:r w:rsidR="004B0F83">
        <w:t xml:space="preserve"> testovaných monocyklických monoterpenoidů</w:t>
      </w:r>
    </w:p>
    <w:tbl>
      <w:tblPr>
        <w:tblW w:w="5000" w:type="pct"/>
        <w:tblCellMar>
          <w:left w:w="70" w:type="dxa"/>
          <w:right w:w="70" w:type="dxa"/>
        </w:tblCellMar>
        <w:tblLook w:val="04A0" w:firstRow="1" w:lastRow="0" w:firstColumn="1" w:lastColumn="0" w:noHBand="0" w:noVBand="1"/>
      </w:tblPr>
      <w:tblGrid>
        <w:gridCol w:w="5075"/>
        <w:gridCol w:w="3997"/>
      </w:tblGrid>
      <w:tr w:rsidR="0053550B" w:rsidRPr="0053550B" w14:paraId="3D53C54E" w14:textId="77777777" w:rsidTr="0053550B">
        <w:trPr>
          <w:trHeight w:val="320"/>
        </w:trPr>
        <w:tc>
          <w:tcPr>
            <w:tcW w:w="2797" w:type="pct"/>
            <w:tcBorders>
              <w:top w:val="single" w:sz="12" w:space="0" w:color="auto"/>
              <w:left w:val="nil"/>
              <w:bottom w:val="single" w:sz="12" w:space="0" w:color="auto"/>
              <w:right w:val="nil"/>
            </w:tcBorders>
            <w:shd w:val="clear" w:color="auto" w:fill="auto"/>
            <w:noWrap/>
            <w:vAlign w:val="center"/>
            <w:hideMark/>
          </w:tcPr>
          <w:p w14:paraId="60279E4E" w14:textId="77777777" w:rsidR="0053550B" w:rsidRPr="0053550B" w:rsidRDefault="0053550B" w:rsidP="0053550B">
            <w:pPr>
              <w:spacing w:after="0" w:line="240" w:lineRule="auto"/>
              <w:jc w:val="center"/>
              <w:rPr>
                <w:rFonts w:eastAsia="Times New Roman"/>
                <w:b/>
                <w:bCs/>
                <w:color w:val="000000"/>
                <w:kern w:val="0"/>
                <w:lang w:eastAsia="cs-CZ"/>
                <w14:ligatures w14:val="none"/>
              </w:rPr>
            </w:pPr>
            <w:r w:rsidRPr="0053550B">
              <w:rPr>
                <w:rFonts w:eastAsia="Times New Roman"/>
                <w:b/>
                <w:bCs/>
                <w:color w:val="000000"/>
                <w:kern w:val="0"/>
                <w:lang w:eastAsia="cs-CZ"/>
                <w14:ligatures w14:val="none"/>
              </w:rPr>
              <w:t>Látka</w:t>
            </w:r>
          </w:p>
        </w:tc>
        <w:tc>
          <w:tcPr>
            <w:tcW w:w="2203" w:type="pct"/>
            <w:tcBorders>
              <w:top w:val="single" w:sz="12" w:space="0" w:color="auto"/>
              <w:left w:val="nil"/>
              <w:bottom w:val="single" w:sz="12" w:space="0" w:color="auto"/>
              <w:right w:val="nil"/>
            </w:tcBorders>
            <w:shd w:val="clear" w:color="auto" w:fill="auto"/>
            <w:noWrap/>
            <w:vAlign w:val="center"/>
            <w:hideMark/>
          </w:tcPr>
          <w:p w14:paraId="6AF11231" w14:textId="77777777" w:rsidR="0053550B" w:rsidRPr="0053550B" w:rsidRDefault="0053550B" w:rsidP="0053550B">
            <w:pPr>
              <w:spacing w:after="0" w:line="240" w:lineRule="auto"/>
              <w:jc w:val="center"/>
              <w:rPr>
                <w:rFonts w:eastAsia="Times New Roman"/>
                <w:b/>
                <w:bCs/>
                <w:color w:val="000000"/>
                <w:kern w:val="0"/>
                <w:lang w:eastAsia="cs-CZ"/>
                <w14:ligatures w14:val="none"/>
              </w:rPr>
            </w:pPr>
            <w:r w:rsidRPr="0053550B">
              <w:rPr>
                <w:rFonts w:eastAsia="Times New Roman"/>
                <w:b/>
                <w:bCs/>
                <w:color w:val="000000"/>
                <w:kern w:val="0"/>
                <w:lang w:eastAsia="cs-CZ"/>
                <w14:ligatures w14:val="none"/>
              </w:rPr>
              <w:t>Hodnota EC</w:t>
            </w:r>
            <w:r w:rsidRPr="008376A2">
              <w:rPr>
                <w:rFonts w:eastAsia="Times New Roman"/>
                <w:b/>
                <w:bCs/>
                <w:color w:val="000000"/>
                <w:kern w:val="0"/>
                <w:vertAlign w:val="subscript"/>
                <w:lang w:eastAsia="cs-CZ"/>
                <w14:ligatures w14:val="none"/>
              </w:rPr>
              <w:t>50</w:t>
            </w:r>
            <w:r w:rsidRPr="0053550B">
              <w:rPr>
                <w:rFonts w:eastAsia="Times New Roman"/>
                <w:b/>
                <w:bCs/>
                <w:color w:val="000000"/>
                <w:kern w:val="0"/>
                <w:lang w:eastAsia="cs-CZ"/>
                <w14:ligatures w14:val="none"/>
              </w:rPr>
              <w:t xml:space="preserve"> [µM]</w:t>
            </w:r>
          </w:p>
        </w:tc>
      </w:tr>
      <w:tr w:rsidR="0053550B" w:rsidRPr="0053550B" w14:paraId="75086FF5" w14:textId="77777777" w:rsidTr="0053550B">
        <w:trPr>
          <w:trHeight w:val="320"/>
        </w:trPr>
        <w:tc>
          <w:tcPr>
            <w:tcW w:w="2797" w:type="pct"/>
            <w:tcBorders>
              <w:top w:val="nil"/>
              <w:left w:val="nil"/>
              <w:bottom w:val="single" w:sz="4" w:space="0" w:color="auto"/>
              <w:right w:val="nil"/>
            </w:tcBorders>
            <w:shd w:val="clear" w:color="auto" w:fill="auto"/>
            <w:noWrap/>
            <w:vAlign w:val="center"/>
            <w:hideMark/>
          </w:tcPr>
          <w:p w14:paraId="51C52391" w14:textId="77777777" w:rsidR="0053550B" w:rsidRPr="0053550B" w:rsidRDefault="0053550B" w:rsidP="0053550B">
            <w:pPr>
              <w:spacing w:after="0" w:line="240" w:lineRule="auto"/>
              <w:jc w:val="center"/>
              <w:rPr>
                <w:rFonts w:eastAsia="Times New Roman"/>
                <w:color w:val="000000"/>
                <w:kern w:val="0"/>
                <w:lang w:eastAsia="cs-CZ"/>
                <w14:ligatures w14:val="none"/>
              </w:rPr>
            </w:pPr>
            <w:r w:rsidRPr="0053550B">
              <w:rPr>
                <w:rFonts w:eastAsia="Times New Roman"/>
                <w:color w:val="000000"/>
                <w:kern w:val="0"/>
                <w:lang w:eastAsia="cs-CZ"/>
                <w14:ligatures w14:val="none"/>
              </w:rPr>
              <w:t>(S)</w:t>
            </w:r>
            <w:proofErr w:type="gramStart"/>
            <w:r w:rsidRPr="0053550B">
              <w:rPr>
                <w:rFonts w:eastAsia="Times New Roman"/>
                <w:color w:val="000000"/>
                <w:kern w:val="0"/>
                <w:lang w:eastAsia="cs-CZ"/>
                <w14:ligatures w14:val="none"/>
              </w:rPr>
              <w:t>-(</w:t>
            </w:r>
            <w:proofErr w:type="gramEnd"/>
            <w:r w:rsidRPr="0053550B">
              <w:rPr>
                <w:rFonts w:eastAsia="Times New Roman"/>
                <w:color w:val="000000"/>
                <w:kern w:val="0"/>
                <w:lang w:eastAsia="cs-CZ"/>
                <w14:ligatures w14:val="none"/>
              </w:rPr>
              <w:t>-)-</w:t>
            </w:r>
            <w:proofErr w:type="spellStart"/>
            <w:r w:rsidRPr="0053550B">
              <w:rPr>
                <w:rFonts w:eastAsia="Times New Roman"/>
                <w:color w:val="000000"/>
                <w:kern w:val="0"/>
                <w:lang w:eastAsia="cs-CZ"/>
                <w14:ligatures w14:val="none"/>
              </w:rPr>
              <w:t>perillylalkohol</w:t>
            </w:r>
            <w:proofErr w:type="spellEnd"/>
            <w:r w:rsidRPr="0053550B">
              <w:rPr>
                <w:rFonts w:eastAsia="Times New Roman"/>
                <w:color w:val="000000"/>
                <w:kern w:val="0"/>
                <w:lang w:eastAsia="cs-CZ"/>
                <w14:ligatures w14:val="none"/>
              </w:rPr>
              <w:t xml:space="preserve"> </w:t>
            </w:r>
          </w:p>
        </w:tc>
        <w:tc>
          <w:tcPr>
            <w:tcW w:w="2203" w:type="pct"/>
            <w:tcBorders>
              <w:top w:val="nil"/>
              <w:left w:val="nil"/>
              <w:bottom w:val="single" w:sz="4" w:space="0" w:color="auto"/>
              <w:right w:val="nil"/>
            </w:tcBorders>
            <w:shd w:val="clear" w:color="auto" w:fill="auto"/>
            <w:noWrap/>
            <w:vAlign w:val="center"/>
            <w:hideMark/>
          </w:tcPr>
          <w:p w14:paraId="12F2508A" w14:textId="77777777" w:rsidR="0053550B" w:rsidRPr="0053550B" w:rsidRDefault="0053550B" w:rsidP="0053550B">
            <w:pPr>
              <w:spacing w:after="0" w:line="240" w:lineRule="auto"/>
              <w:jc w:val="center"/>
              <w:rPr>
                <w:rFonts w:eastAsia="Times New Roman"/>
                <w:color w:val="000000"/>
                <w:kern w:val="0"/>
                <w:lang w:eastAsia="cs-CZ"/>
                <w14:ligatures w14:val="none"/>
              </w:rPr>
            </w:pPr>
            <w:r w:rsidRPr="0053550B">
              <w:rPr>
                <w:rFonts w:eastAsia="Times New Roman"/>
                <w:color w:val="000000"/>
                <w:kern w:val="0"/>
                <w:lang w:eastAsia="cs-CZ"/>
                <w14:ligatures w14:val="none"/>
              </w:rPr>
              <w:t>26,15 ± 0,50</w:t>
            </w:r>
          </w:p>
        </w:tc>
      </w:tr>
      <w:tr w:rsidR="0053550B" w:rsidRPr="0053550B" w14:paraId="631E6F2F" w14:textId="77777777" w:rsidTr="0053550B">
        <w:trPr>
          <w:trHeight w:val="310"/>
        </w:trPr>
        <w:tc>
          <w:tcPr>
            <w:tcW w:w="2797" w:type="pct"/>
            <w:tcBorders>
              <w:top w:val="nil"/>
              <w:left w:val="nil"/>
              <w:bottom w:val="single" w:sz="4" w:space="0" w:color="auto"/>
              <w:right w:val="nil"/>
            </w:tcBorders>
            <w:shd w:val="clear" w:color="auto" w:fill="auto"/>
            <w:noWrap/>
            <w:vAlign w:val="center"/>
            <w:hideMark/>
          </w:tcPr>
          <w:p w14:paraId="5FBC0230" w14:textId="77777777" w:rsidR="0053550B" w:rsidRPr="0053550B" w:rsidRDefault="0053550B" w:rsidP="0053550B">
            <w:pPr>
              <w:spacing w:after="0" w:line="240" w:lineRule="auto"/>
              <w:jc w:val="center"/>
              <w:rPr>
                <w:rFonts w:eastAsia="Times New Roman"/>
                <w:color w:val="000000"/>
                <w:kern w:val="0"/>
                <w:lang w:eastAsia="cs-CZ"/>
                <w14:ligatures w14:val="none"/>
              </w:rPr>
            </w:pPr>
            <w:r w:rsidRPr="0053550B">
              <w:rPr>
                <w:rFonts w:eastAsia="Times New Roman"/>
                <w:color w:val="000000"/>
                <w:kern w:val="0"/>
                <w:lang w:eastAsia="cs-CZ"/>
                <w14:ligatures w14:val="none"/>
              </w:rPr>
              <w:t>R</w:t>
            </w:r>
            <w:proofErr w:type="gramStart"/>
            <w:r w:rsidRPr="0053550B">
              <w:rPr>
                <w:rFonts w:eastAsia="Times New Roman"/>
                <w:color w:val="000000"/>
                <w:kern w:val="0"/>
                <w:lang w:eastAsia="cs-CZ"/>
                <w14:ligatures w14:val="none"/>
              </w:rPr>
              <w:t>-(</w:t>
            </w:r>
            <w:proofErr w:type="gramEnd"/>
            <w:r w:rsidRPr="0053550B">
              <w:rPr>
                <w:rFonts w:eastAsia="Times New Roman"/>
                <w:color w:val="000000"/>
                <w:kern w:val="0"/>
                <w:lang w:eastAsia="cs-CZ"/>
                <w14:ligatures w14:val="none"/>
              </w:rPr>
              <w:t>+)-</w:t>
            </w:r>
            <w:proofErr w:type="spellStart"/>
            <w:r w:rsidRPr="0053550B">
              <w:rPr>
                <w:rFonts w:eastAsia="Times New Roman"/>
                <w:color w:val="000000"/>
                <w:kern w:val="0"/>
                <w:lang w:eastAsia="cs-CZ"/>
                <w14:ligatures w14:val="none"/>
              </w:rPr>
              <w:t>pulegon</w:t>
            </w:r>
            <w:proofErr w:type="spellEnd"/>
          </w:p>
        </w:tc>
        <w:tc>
          <w:tcPr>
            <w:tcW w:w="2203" w:type="pct"/>
            <w:tcBorders>
              <w:top w:val="nil"/>
              <w:left w:val="nil"/>
              <w:bottom w:val="single" w:sz="4" w:space="0" w:color="auto"/>
              <w:right w:val="nil"/>
            </w:tcBorders>
            <w:shd w:val="clear" w:color="auto" w:fill="auto"/>
            <w:noWrap/>
            <w:vAlign w:val="center"/>
            <w:hideMark/>
          </w:tcPr>
          <w:p w14:paraId="4AACD2C3" w14:textId="77777777" w:rsidR="0053550B" w:rsidRPr="0053550B" w:rsidRDefault="0053550B" w:rsidP="0053550B">
            <w:pPr>
              <w:spacing w:after="0" w:line="240" w:lineRule="auto"/>
              <w:jc w:val="center"/>
              <w:rPr>
                <w:rFonts w:eastAsia="Times New Roman"/>
                <w:color w:val="000000"/>
                <w:kern w:val="0"/>
                <w:lang w:eastAsia="cs-CZ"/>
                <w14:ligatures w14:val="none"/>
              </w:rPr>
            </w:pPr>
            <w:r w:rsidRPr="0053550B">
              <w:rPr>
                <w:rFonts w:eastAsia="Times New Roman"/>
                <w:color w:val="000000"/>
                <w:kern w:val="0"/>
                <w:lang w:eastAsia="cs-CZ"/>
                <w14:ligatures w14:val="none"/>
              </w:rPr>
              <w:t>0,69 ± 3,70</w:t>
            </w:r>
          </w:p>
        </w:tc>
      </w:tr>
      <w:tr w:rsidR="0053550B" w:rsidRPr="0053550B" w14:paraId="38385D15" w14:textId="77777777" w:rsidTr="0053550B">
        <w:trPr>
          <w:trHeight w:val="310"/>
        </w:trPr>
        <w:tc>
          <w:tcPr>
            <w:tcW w:w="2797" w:type="pct"/>
            <w:tcBorders>
              <w:top w:val="nil"/>
              <w:left w:val="nil"/>
              <w:bottom w:val="single" w:sz="4" w:space="0" w:color="auto"/>
              <w:right w:val="nil"/>
            </w:tcBorders>
            <w:shd w:val="clear" w:color="auto" w:fill="auto"/>
            <w:noWrap/>
            <w:vAlign w:val="center"/>
            <w:hideMark/>
          </w:tcPr>
          <w:p w14:paraId="219C50F1" w14:textId="77777777" w:rsidR="0053550B" w:rsidRPr="0053550B" w:rsidRDefault="0053550B" w:rsidP="0053550B">
            <w:pPr>
              <w:spacing w:after="0" w:line="240" w:lineRule="auto"/>
              <w:jc w:val="center"/>
              <w:rPr>
                <w:rFonts w:eastAsia="Times New Roman"/>
                <w:color w:val="000000"/>
                <w:kern w:val="0"/>
                <w:lang w:eastAsia="cs-CZ"/>
                <w14:ligatures w14:val="none"/>
              </w:rPr>
            </w:pPr>
            <w:r w:rsidRPr="0053550B">
              <w:rPr>
                <w:rFonts w:eastAsia="Times New Roman"/>
                <w:color w:val="000000"/>
                <w:kern w:val="0"/>
                <w:lang w:eastAsia="cs-CZ"/>
                <w14:ligatures w14:val="none"/>
              </w:rPr>
              <w:t>S</w:t>
            </w:r>
            <w:proofErr w:type="gramStart"/>
            <w:r w:rsidRPr="0053550B">
              <w:rPr>
                <w:rFonts w:eastAsia="Times New Roman"/>
                <w:color w:val="000000"/>
                <w:kern w:val="0"/>
                <w:lang w:eastAsia="cs-CZ"/>
                <w14:ligatures w14:val="none"/>
              </w:rPr>
              <w:t>-(</w:t>
            </w:r>
            <w:proofErr w:type="gramEnd"/>
            <w:r w:rsidRPr="0053550B">
              <w:rPr>
                <w:rFonts w:eastAsia="Times New Roman"/>
                <w:color w:val="000000"/>
                <w:kern w:val="0"/>
                <w:lang w:eastAsia="cs-CZ"/>
                <w14:ligatures w14:val="none"/>
              </w:rPr>
              <w:t>-)-</w:t>
            </w:r>
            <w:proofErr w:type="spellStart"/>
            <w:r w:rsidRPr="0053550B">
              <w:rPr>
                <w:rFonts w:eastAsia="Times New Roman"/>
                <w:color w:val="000000"/>
                <w:kern w:val="0"/>
                <w:lang w:eastAsia="cs-CZ"/>
                <w14:ligatures w14:val="none"/>
              </w:rPr>
              <w:t>pulegon</w:t>
            </w:r>
            <w:proofErr w:type="spellEnd"/>
          </w:p>
        </w:tc>
        <w:tc>
          <w:tcPr>
            <w:tcW w:w="2203" w:type="pct"/>
            <w:tcBorders>
              <w:top w:val="nil"/>
              <w:left w:val="nil"/>
              <w:bottom w:val="single" w:sz="4" w:space="0" w:color="auto"/>
              <w:right w:val="nil"/>
            </w:tcBorders>
            <w:shd w:val="clear" w:color="auto" w:fill="auto"/>
            <w:noWrap/>
            <w:vAlign w:val="center"/>
            <w:hideMark/>
          </w:tcPr>
          <w:p w14:paraId="04D9F27D" w14:textId="77777777" w:rsidR="0053550B" w:rsidRPr="0053550B" w:rsidRDefault="0053550B" w:rsidP="0053550B">
            <w:pPr>
              <w:spacing w:after="0" w:line="240" w:lineRule="auto"/>
              <w:jc w:val="center"/>
              <w:rPr>
                <w:rFonts w:eastAsia="Times New Roman"/>
                <w:color w:val="000000"/>
                <w:kern w:val="0"/>
                <w:lang w:eastAsia="cs-CZ"/>
                <w14:ligatures w14:val="none"/>
              </w:rPr>
            </w:pPr>
            <w:r w:rsidRPr="0053550B">
              <w:rPr>
                <w:rFonts w:eastAsia="Times New Roman"/>
                <w:color w:val="000000"/>
                <w:kern w:val="0"/>
                <w:lang w:eastAsia="cs-CZ"/>
                <w14:ligatures w14:val="none"/>
              </w:rPr>
              <w:t>3,96 ± 11,51</w:t>
            </w:r>
          </w:p>
        </w:tc>
      </w:tr>
      <w:tr w:rsidR="0053550B" w:rsidRPr="0053550B" w14:paraId="1482DB64" w14:textId="77777777" w:rsidTr="0053550B">
        <w:trPr>
          <w:trHeight w:val="310"/>
        </w:trPr>
        <w:tc>
          <w:tcPr>
            <w:tcW w:w="2797" w:type="pct"/>
            <w:tcBorders>
              <w:top w:val="nil"/>
              <w:left w:val="nil"/>
              <w:bottom w:val="nil"/>
              <w:right w:val="nil"/>
            </w:tcBorders>
            <w:shd w:val="clear" w:color="auto" w:fill="auto"/>
            <w:noWrap/>
            <w:vAlign w:val="center"/>
            <w:hideMark/>
          </w:tcPr>
          <w:p w14:paraId="6557C6E4" w14:textId="77777777" w:rsidR="0053550B" w:rsidRPr="0053550B" w:rsidRDefault="0053550B" w:rsidP="0053550B">
            <w:pPr>
              <w:spacing w:after="0" w:line="240" w:lineRule="auto"/>
              <w:jc w:val="center"/>
              <w:rPr>
                <w:rFonts w:eastAsia="Times New Roman"/>
                <w:color w:val="000000"/>
                <w:kern w:val="0"/>
                <w:lang w:eastAsia="cs-CZ"/>
                <w14:ligatures w14:val="none"/>
              </w:rPr>
            </w:pPr>
            <w:r w:rsidRPr="0053550B">
              <w:rPr>
                <w:rFonts w:eastAsia="Times New Roman"/>
                <w:color w:val="000000"/>
                <w:kern w:val="0"/>
                <w:lang w:eastAsia="cs-CZ"/>
                <w14:ligatures w14:val="none"/>
              </w:rPr>
              <w:t>(</w:t>
            </w:r>
            <w:proofErr w:type="gramStart"/>
            <w:r w:rsidRPr="0053550B">
              <w:rPr>
                <w:rFonts w:eastAsia="Times New Roman"/>
                <w:color w:val="000000"/>
                <w:kern w:val="0"/>
                <w:lang w:eastAsia="cs-CZ"/>
                <w14:ligatures w14:val="none"/>
              </w:rPr>
              <w:t>+)-</w:t>
            </w:r>
            <w:proofErr w:type="spellStart"/>
            <w:proofErr w:type="gramEnd"/>
            <w:r w:rsidRPr="0053550B">
              <w:rPr>
                <w:rFonts w:eastAsia="Times New Roman"/>
                <w:color w:val="000000"/>
                <w:kern w:val="0"/>
                <w:lang w:eastAsia="cs-CZ"/>
                <w14:ligatures w14:val="none"/>
              </w:rPr>
              <w:t>menthol</w:t>
            </w:r>
            <w:proofErr w:type="spellEnd"/>
          </w:p>
        </w:tc>
        <w:tc>
          <w:tcPr>
            <w:tcW w:w="2203" w:type="pct"/>
            <w:tcBorders>
              <w:top w:val="nil"/>
              <w:left w:val="nil"/>
              <w:bottom w:val="nil"/>
              <w:right w:val="nil"/>
            </w:tcBorders>
            <w:shd w:val="clear" w:color="auto" w:fill="auto"/>
            <w:noWrap/>
            <w:vAlign w:val="center"/>
            <w:hideMark/>
          </w:tcPr>
          <w:p w14:paraId="737617FB" w14:textId="77777777" w:rsidR="0053550B" w:rsidRPr="0053550B" w:rsidRDefault="0053550B" w:rsidP="0053550B">
            <w:pPr>
              <w:spacing w:after="0" w:line="240" w:lineRule="auto"/>
              <w:jc w:val="center"/>
              <w:rPr>
                <w:rFonts w:eastAsia="Times New Roman"/>
                <w:color w:val="000000"/>
                <w:kern w:val="0"/>
                <w:lang w:eastAsia="cs-CZ"/>
                <w14:ligatures w14:val="none"/>
              </w:rPr>
            </w:pPr>
            <w:r w:rsidRPr="0053550B">
              <w:rPr>
                <w:rFonts w:eastAsia="Times New Roman"/>
                <w:color w:val="000000"/>
                <w:kern w:val="0"/>
                <w:lang w:eastAsia="cs-CZ"/>
                <w14:ligatures w14:val="none"/>
              </w:rPr>
              <w:t>0,80 ± 0,31</w:t>
            </w:r>
          </w:p>
        </w:tc>
      </w:tr>
      <w:tr w:rsidR="0053550B" w:rsidRPr="0053550B" w14:paraId="70052F36" w14:textId="77777777" w:rsidTr="0053550B">
        <w:trPr>
          <w:trHeight w:val="310"/>
        </w:trPr>
        <w:tc>
          <w:tcPr>
            <w:tcW w:w="2797" w:type="pct"/>
            <w:tcBorders>
              <w:top w:val="single" w:sz="4" w:space="0" w:color="auto"/>
              <w:left w:val="nil"/>
              <w:bottom w:val="single" w:sz="4" w:space="0" w:color="auto"/>
              <w:right w:val="nil"/>
            </w:tcBorders>
            <w:shd w:val="clear" w:color="auto" w:fill="auto"/>
            <w:noWrap/>
            <w:vAlign w:val="center"/>
            <w:hideMark/>
          </w:tcPr>
          <w:p w14:paraId="7B2751AF" w14:textId="77777777" w:rsidR="0053550B" w:rsidRPr="0053550B" w:rsidRDefault="0053550B" w:rsidP="0053550B">
            <w:pPr>
              <w:spacing w:after="0" w:line="240" w:lineRule="auto"/>
              <w:jc w:val="center"/>
              <w:rPr>
                <w:rFonts w:eastAsia="Times New Roman"/>
                <w:color w:val="000000"/>
                <w:kern w:val="0"/>
                <w:lang w:eastAsia="cs-CZ"/>
                <w14:ligatures w14:val="none"/>
              </w:rPr>
            </w:pPr>
            <w:r w:rsidRPr="0053550B">
              <w:rPr>
                <w:rFonts w:eastAsia="Times New Roman"/>
                <w:color w:val="000000"/>
                <w:kern w:val="0"/>
                <w:lang w:eastAsia="cs-CZ"/>
                <w14:ligatures w14:val="none"/>
              </w:rPr>
              <w:t>(</w:t>
            </w:r>
            <w:proofErr w:type="gramStart"/>
            <w:r w:rsidRPr="0053550B">
              <w:rPr>
                <w:rFonts w:eastAsia="Times New Roman"/>
                <w:color w:val="000000"/>
                <w:kern w:val="0"/>
                <w:lang w:eastAsia="cs-CZ"/>
                <w14:ligatures w14:val="none"/>
              </w:rPr>
              <w:t>-)-</w:t>
            </w:r>
            <w:proofErr w:type="spellStart"/>
            <w:proofErr w:type="gramEnd"/>
            <w:r w:rsidRPr="0053550B">
              <w:rPr>
                <w:rFonts w:eastAsia="Times New Roman"/>
                <w:color w:val="000000"/>
                <w:kern w:val="0"/>
                <w:lang w:eastAsia="cs-CZ"/>
                <w14:ligatures w14:val="none"/>
              </w:rPr>
              <w:t>menthol</w:t>
            </w:r>
            <w:proofErr w:type="spellEnd"/>
          </w:p>
        </w:tc>
        <w:tc>
          <w:tcPr>
            <w:tcW w:w="2203" w:type="pct"/>
            <w:tcBorders>
              <w:top w:val="single" w:sz="4" w:space="0" w:color="auto"/>
              <w:left w:val="nil"/>
              <w:bottom w:val="single" w:sz="4" w:space="0" w:color="auto"/>
              <w:right w:val="nil"/>
            </w:tcBorders>
            <w:shd w:val="clear" w:color="auto" w:fill="auto"/>
            <w:noWrap/>
            <w:vAlign w:val="center"/>
            <w:hideMark/>
          </w:tcPr>
          <w:p w14:paraId="2E7595EB" w14:textId="77777777" w:rsidR="0053550B" w:rsidRPr="0053550B" w:rsidRDefault="0053550B" w:rsidP="0053550B">
            <w:pPr>
              <w:spacing w:after="0" w:line="240" w:lineRule="auto"/>
              <w:jc w:val="center"/>
              <w:rPr>
                <w:rFonts w:eastAsia="Times New Roman"/>
                <w:color w:val="000000"/>
                <w:kern w:val="0"/>
                <w:lang w:eastAsia="cs-CZ"/>
                <w14:ligatures w14:val="none"/>
              </w:rPr>
            </w:pPr>
            <w:r w:rsidRPr="0053550B">
              <w:rPr>
                <w:rFonts w:eastAsia="Times New Roman"/>
                <w:color w:val="000000"/>
                <w:kern w:val="0"/>
                <w:lang w:eastAsia="cs-CZ"/>
                <w14:ligatures w14:val="none"/>
              </w:rPr>
              <w:t>0,79 ± 0,49</w:t>
            </w:r>
          </w:p>
        </w:tc>
      </w:tr>
      <w:tr w:rsidR="0053550B" w:rsidRPr="0053550B" w14:paraId="7C1C9E48" w14:textId="77777777" w:rsidTr="0053550B">
        <w:trPr>
          <w:trHeight w:val="310"/>
        </w:trPr>
        <w:tc>
          <w:tcPr>
            <w:tcW w:w="2797" w:type="pct"/>
            <w:tcBorders>
              <w:top w:val="nil"/>
              <w:left w:val="nil"/>
              <w:bottom w:val="single" w:sz="4" w:space="0" w:color="auto"/>
              <w:right w:val="nil"/>
            </w:tcBorders>
            <w:shd w:val="clear" w:color="auto" w:fill="auto"/>
            <w:noWrap/>
            <w:vAlign w:val="center"/>
            <w:hideMark/>
          </w:tcPr>
          <w:p w14:paraId="11F11877" w14:textId="228DFCC4" w:rsidR="0053550B" w:rsidRPr="0053550B" w:rsidRDefault="00E04093" w:rsidP="0053550B">
            <w:pPr>
              <w:spacing w:after="0" w:line="240" w:lineRule="auto"/>
              <w:jc w:val="center"/>
              <w:rPr>
                <w:rFonts w:eastAsia="Times New Roman"/>
                <w:color w:val="000000"/>
                <w:kern w:val="0"/>
                <w:lang w:eastAsia="cs-CZ"/>
                <w14:ligatures w14:val="none"/>
              </w:rPr>
            </w:pPr>
            <w:r>
              <w:rPr>
                <w:rFonts w:eastAsia="Times New Roman"/>
                <w:color w:val="000000"/>
                <w:kern w:val="0"/>
                <w:lang w:eastAsia="cs-CZ"/>
                <w14:ligatures w14:val="none"/>
              </w:rPr>
              <w:t>3-</w:t>
            </w:r>
            <w:r w:rsidR="0053550B" w:rsidRPr="0053550B">
              <w:rPr>
                <w:rFonts w:eastAsia="Times New Roman"/>
                <w:color w:val="000000"/>
                <w:kern w:val="0"/>
                <w:lang w:eastAsia="cs-CZ"/>
                <w14:ligatures w14:val="none"/>
              </w:rPr>
              <w:t>methyl</w:t>
            </w:r>
            <w:r w:rsidR="003D1365">
              <w:rPr>
                <w:rFonts w:eastAsia="Times New Roman"/>
                <w:color w:val="000000"/>
                <w:kern w:val="0"/>
                <w:lang w:eastAsia="cs-CZ"/>
                <w14:ligatures w14:val="none"/>
              </w:rPr>
              <w:t>-S</w:t>
            </w:r>
            <w:r w:rsidR="0053550B" w:rsidRPr="0053550B">
              <w:rPr>
                <w:rFonts w:eastAsia="Times New Roman"/>
                <w:color w:val="000000"/>
                <w:kern w:val="0"/>
                <w:lang w:eastAsia="cs-CZ"/>
                <w14:ligatures w14:val="none"/>
              </w:rPr>
              <w:t>-karvon</w:t>
            </w:r>
          </w:p>
        </w:tc>
        <w:tc>
          <w:tcPr>
            <w:tcW w:w="2203" w:type="pct"/>
            <w:tcBorders>
              <w:top w:val="nil"/>
              <w:left w:val="nil"/>
              <w:bottom w:val="single" w:sz="4" w:space="0" w:color="auto"/>
              <w:right w:val="nil"/>
            </w:tcBorders>
            <w:shd w:val="clear" w:color="auto" w:fill="auto"/>
            <w:noWrap/>
            <w:vAlign w:val="center"/>
            <w:hideMark/>
          </w:tcPr>
          <w:p w14:paraId="69444BCB" w14:textId="77777777" w:rsidR="0053550B" w:rsidRPr="0053550B" w:rsidRDefault="0053550B" w:rsidP="0053550B">
            <w:pPr>
              <w:spacing w:after="0" w:line="240" w:lineRule="auto"/>
              <w:jc w:val="center"/>
              <w:rPr>
                <w:rFonts w:eastAsia="Times New Roman"/>
                <w:color w:val="000000"/>
                <w:kern w:val="0"/>
                <w:lang w:eastAsia="cs-CZ"/>
                <w14:ligatures w14:val="none"/>
              </w:rPr>
            </w:pPr>
            <w:r w:rsidRPr="0053550B">
              <w:rPr>
                <w:rFonts w:eastAsia="Times New Roman"/>
                <w:color w:val="000000"/>
                <w:kern w:val="0"/>
                <w:lang w:eastAsia="cs-CZ"/>
                <w14:ligatures w14:val="none"/>
              </w:rPr>
              <w:t>4,56 ± 0,46</w:t>
            </w:r>
          </w:p>
        </w:tc>
      </w:tr>
      <w:tr w:rsidR="0053550B" w:rsidRPr="0053550B" w14:paraId="45355806" w14:textId="77777777" w:rsidTr="0053550B">
        <w:trPr>
          <w:trHeight w:val="310"/>
        </w:trPr>
        <w:tc>
          <w:tcPr>
            <w:tcW w:w="2797" w:type="pct"/>
            <w:tcBorders>
              <w:top w:val="nil"/>
              <w:left w:val="nil"/>
              <w:bottom w:val="single" w:sz="4" w:space="0" w:color="auto"/>
              <w:right w:val="nil"/>
            </w:tcBorders>
            <w:shd w:val="clear" w:color="auto" w:fill="auto"/>
            <w:noWrap/>
            <w:vAlign w:val="center"/>
            <w:hideMark/>
          </w:tcPr>
          <w:p w14:paraId="70F133CD" w14:textId="77777777" w:rsidR="0053550B" w:rsidRPr="0053550B" w:rsidRDefault="0053550B" w:rsidP="0053550B">
            <w:pPr>
              <w:spacing w:after="0" w:line="240" w:lineRule="auto"/>
              <w:jc w:val="center"/>
              <w:rPr>
                <w:rFonts w:eastAsia="Times New Roman"/>
                <w:color w:val="000000"/>
                <w:kern w:val="0"/>
                <w:lang w:eastAsia="cs-CZ"/>
                <w14:ligatures w14:val="none"/>
              </w:rPr>
            </w:pPr>
            <w:r w:rsidRPr="0053550B">
              <w:rPr>
                <w:rFonts w:eastAsia="Times New Roman"/>
                <w:color w:val="000000"/>
                <w:kern w:val="0"/>
                <w:lang w:eastAsia="cs-CZ"/>
                <w14:ligatures w14:val="none"/>
              </w:rPr>
              <w:t>S-</w:t>
            </w:r>
            <w:proofErr w:type="spellStart"/>
            <w:r w:rsidRPr="0053550B">
              <w:rPr>
                <w:rFonts w:eastAsia="Times New Roman"/>
                <w:color w:val="000000"/>
                <w:kern w:val="0"/>
                <w:lang w:eastAsia="cs-CZ"/>
                <w14:ligatures w14:val="none"/>
              </w:rPr>
              <w:t>karvon</w:t>
            </w:r>
            <w:proofErr w:type="spellEnd"/>
          </w:p>
        </w:tc>
        <w:tc>
          <w:tcPr>
            <w:tcW w:w="2203" w:type="pct"/>
            <w:tcBorders>
              <w:top w:val="nil"/>
              <w:left w:val="nil"/>
              <w:bottom w:val="single" w:sz="4" w:space="0" w:color="auto"/>
              <w:right w:val="nil"/>
            </w:tcBorders>
            <w:shd w:val="clear" w:color="auto" w:fill="auto"/>
            <w:noWrap/>
            <w:vAlign w:val="center"/>
            <w:hideMark/>
          </w:tcPr>
          <w:p w14:paraId="705D4538" w14:textId="77777777" w:rsidR="0053550B" w:rsidRPr="0053550B" w:rsidRDefault="0053550B" w:rsidP="0053550B">
            <w:pPr>
              <w:spacing w:after="0" w:line="240" w:lineRule="auto"/>
              <w:jc w:val="center"/>
              <w:rPr>
                <w:rFonts w:eastAsia="Times New Roman"/>
                <w:color w:val="000000"/>
                <w:kern w:val="0"/>
                <w:lang w:eastAsia="cs-CZ"/>
                <w14:ligatures w14:val="none"/>
              </w:rPr>
            </w:pPr>
            <w:r w:rsidRPr="0053550B">
              <w:rPr>
                <w:rFonts w:eastAsia="Times New Roman"/>
                <w:color w:val="000000"/>
                <w:kern w:val="0"/>
                <w:lang w:eastAsia="cs-CZ"/>
                <w14:ligatures w14:val="none"/>
              </w:rPr>
              <w:t>19,26 ± 10,25</w:t>
            </w:r>
          </w:p>
        </w:tc>
      </w:tr>
      <w:tr w:rsidR="0053550B" w:rsidRPr="0053550B" w14:paraId="4144E156" w14:textId="77777777" w:rsidTr="0053550B">
        <w:trPr>
          <w:trHeight w:val="310"/>
        </w:trPr>
        <w:tc>
          <w:tcPr>
            <w:tcW w:w="2797" w:type="pct"/>
            <w:tcBorders>
              <w:top w:val="nil"/>
              <w:left w:val="nil"/>
              <w:bottom w:val="single" w:sz="4" w:space="0" w:color="auto"/>
              <w:right w:val="nil"/>
            </w:tcBorders>
            <w:shd w:val="clear" w:color="auto" w:fill="auto"/>
            <w:noWrap/>
            <w:vAlign w:val="center"/>
            <w:hideMark/>
          </w:tcPr>
          <w:p w14:paraId="2A7EC090" w14:textId="77777777" w:rsidR="0053550B" w:rsidRPr="0053550B" w:rsidRDefault="0053550B" w:rsidP="0053550B">
            <w:pPr>
              <w:spacing w:after="0" w:line="240" w:lineRule="auto"/>
              <w:jc w:val="center"/>
              <w:rPr>
                <w:rFonts w:eastAsia="Times New Roman"/>
                <w:color w:val="000000"/>
                <w:kern w:val="0"/>
                <w:lang w:eastAsia="cs-CZ"/>
                <w14:ligatures w14:val="none"/>
              </w:rPr>
            </w:pPr>
            <w:r w:rsidRPr="0053550B">
              <w:rPr>
                <w:rFonts w:eastAsia="Times New Roman"/>
                <w:color w:val="000000"/>
                <w:kern w:val="0"/>
                <w:lang w:eastAsia="cs-CZ"/>
                <w14:ligatures w14:val="none"/>
              </w:rPr>
              <w:t>R-</w:t>
            </w:r>
            <w:proofErr w:type="spellStart"/>
            <w:r w:rsidRPr="0053550B">
              <w:rPr>
                <w:rFonts w:eastAsia="Times New Roman"/>
                <w:color w:val="000000"/>
                <w:kern w:val="0"/>
                <w:lang w:eastAsia="cs-CZ"/>
                <w14:ligatures w14:val="none"/>
              </w:rPr>
              <w:t>karvon</w:t>
            </w:r>
            <w:proofErr w:type="spellEnd"/>
          </w:p>
        </w:tc>
        <w:tc>
          <w:tcPr>
            <w:tcW w:w="2203" w:type="pct"/>
            <w:tcBorders>
              <w:top w:val="nil"/>
              <w:left w:val="nil"/>
              <w:bottom w:val="single" w:sz="4" w:space="0" w:color="auto"/>
              <w:right w:val="nil"/>
            </w:tcBorders>
            <w:shd w:val="clear" w:color="auto" w:fill="auto"/>
            <w:noWrap/>
            <w:vAlign w:val="center"/>
            <w:hideMark/>
          </w:tcPr>
          <w:p w14:paraId="5BAE1ABE" w14:textId="77777777" w:rsidR="0053550B" w:rsidRPr="0053550B" w:rsidRDefault="0053550B" w:rsidP="0053550B">
            <w:pPr>
              <w:spacing w:after="0" w:line="240" w:lineRule="auto"/>
              <w:jc w:val="center"/>
              <w:rPr>
                <w:rFonts w:eastAsia="Times New Roman"/>
                <w:color w:val="000000"/>
                <w:kern w:val="0"/>
                <w:lang w:eastAsia="cs-CZ"/>
                <w14:ligatures w14:val="none"/>
              </w:rPr>
            </w:pPr>
            <w:r w:rsidRPr="0053550B">
              <w:rPr>
                <w:rFonts w:eastAsia="Times New Roman"/>
                <w:color w:val="000000"/>
                <w:kern w:val="0"/>
                <w:lang w:eastAsia="cs-CZ"/>
                <w14:ligatures w14:val="none"/>
              </w:rPr>
              <w:t>5,77 ± 2,63</w:t>
            </w:r>
          </w:p>
        </w:tc>
      </w:tr>
      <w:tr w:rsidR="0053550B" w:rsidRPr="0053550B" w14:paraId="59BFC8F7" w14:textId="77777777" w:rsidTr="0053550B">
        <w:trPr>
          <w:trHeight w:val="310"/>
        </w:trPr>
        <w:tc>
          <w:tcPr>
            <w:tcW w:w="2797" w:type="pct"/>
            <w:tcBorders>
              <w:top w:val="nil"/>
              <w:left w:val="nil"/>
              <w:bottom w:val="single" w:sz="4" w:space="0" w:color="auto"/>
              <w:right w:val="nil"/>
            </w:tcBorders>
            <w:shd w:val="clear" w:color="auto" w:fill="auto"/>
            <w:noWrap/>
            <w:vAlign w:val="center"/>
            <w:hideMark/>
          </w:tcPr>
          <w:p w14:paraId="0A8572D1" w14:textId="77777777" w:rsidR="0053550B" w:rsidRPr="0053550B" w:rsidRDefault="0053550B" w:rsidP="0053550B">
            <w:pPr>
              <w:spacing w:after="0" w:line="240" w:lineRule="auto"/>
              <w:jc w:val="center"/>
              <w:rPr>
                <w:rFonts w:eastAsia="Times New Roman"/>
                <w:color w:val="000000"/>
                <w:kern w:val="0"/>
                <w:lang w:eastAsia="cs-CZ"/>
                <w14:ligatures w14:val="none"/>
              </w:rPr>
            </w:pPr>
            <w:r w:rsidRPr="0053550B">
              <w:rPr>
                <w:rFonts w:eastAsia="Times New Roman"/>
                <w:color w:val="000000"/>
                <w:kern w:val="0"/>
                <w:lang w:eastAsia="cs-CZ"/>
                <w14:ligatures w14:val="none"/>
              </w:rPr>
              <w:t>EN2</w:t>
            </w:r>
          </w:p>
        </w:tc>
        <w:tc>
          <w:tcPr>
            <w:tcW w:w="2203" w:type="pct"/>
            <w:tcBorders>
              <w:top w:val="nil"/>
              <w:left w:val="nil"/>
              <w:bottom w:val="single" w:sz="4" w:space="0" w:color="auto"/>
              <w:right w:val="nil"/>
            </w:tcBorders>
            <w:shd w:val="clear" w:color="auto" w:fill="auto"/>
            <w:noWrap/>
            <w:vAlign w:val="center"/>
            <w:hideMark/>
          </w:tcPr>
          <w:p w14:paraId="3C9275D9" w14:textId="77777777" w:rsidR="0053550B" w:rsidRPr="0053550B" w:rsidRDefault="0053550B" w:rsidP="0053550B">
            <w:pPr>
              <w:spacing w:after="0" w:line="240" w:lineRule="auto"/>
              <w:jc w:val="center"/>
              <w:rPr>
                <w:rFonts w:eastAsia="Times New Roman"/>
                <w:color w:val="000000"/>
                <w:kern w:val="0"/>
                <w:lang w:eastAsia="cs-CZ"/>
                <w14:ligatures w14:val="none"/>
              </w:rPr>
            </w:pPr>
            <w:r w:rsidRPr="0053550B">
              <w:rPr>
                <w:rFonts w:eastAsia="Times New Roman"/>
                <w:color w:val="000000"/>
                <w:kern w:val="0"/>
                <w:lang w:eastAsia="cs-CZ"/>
                <w14:ligatures w14:val="none"/>
              </w:rPr>
              <w:t>0,27 ± 4,24</w:t>
            </w:r>
          </w:p>
        </w:tc>
      </w:tr>
      <w:tr w:rsidR="0053550B" w:rsidRPr="0053550B" w14:paraId="011C0C87" w14:textId="77777777" w:rsidTr="0053550B">
        <w:trPr>
          <w:trHeight w:val="310"/>
        </w:trPr>
        <w:tc>
          <w:tcPr>
            <w:tcW w:w="2797" w:type="pct"/>
            <w:tcBorders>
              <w:top w:val="nil"/>
              <w:left w:val="nil"/>
              <w:bottom w:val="single" w:sz="4" w:space="0" w:color="auto"/>
              <w:right w:val="nil"/>
            </w:tcBorders>
            <w:shd w:val="clear" w:color="auto" w:fill="auto"/>
            <w:noWrap/>
            <w:vAlign w:val="center"/>
            <w:hideMark/>
          </w:tcPr>
          <w:p w14:paraId="2D8DA258" w14:textId="77777777" w:rsidR="0053550B" w:rsidRPr="0053550B" w:rsidRDefault="0053550B" w:rsidP="0053550B">
            <w:pPr>
              <w:spacing w:after="0" w:line="240" w:lineRule="auto"/>
              <w:jc w:val="center"/>
              <w:rPr>
                <w:rFonts w:eastAsia="Times New Roman"/>
                <w:color w:val="000000"/>
                <w:kern w:val="0"/>
                <w:lang w:eastAsia="cs-CZ"/>
                <w14:ligatures w14:val="none"/>
              </w:rPr>
            </w:pPr>
            <w:proofErr w:type="spellStart"/>
            <w:r w:rsidRPr="0053550B">
              <w:rPr>
                <w:rFonts w:eastAsia="Times New Roman"/>
                <w:color w:val="000000"/>
                <w:kern w:val="0"/>
                <w:lang w:eastAsia="cs-CZ"/>
                <w14:ligatures w14:val="none"/>
              </w:rPr>
              <w:t>piperitenon</w:t>
            </w:r>
            <w:proofErr w:type="spellEnd"/>
          </w:p>
        </w:tc>
        <w:tc>
          <w:tcPr>
            <w:tcW w:w="2203" w:type="pct"/>
            <w:tcBorders>
              <w:top w:val="nil"/>
              <w:left w:val="nil"/>
              <w:bottom w:val="single" w:sz="4" w:space="0" w:color="auto"/>
              <w:right w:val="nil"/>
            </w:tcBorders>
            <w:shd w:val="clear" w:color="auto" w:fill="auto"/>
            <w:noWrap/>
            <w:vAlign w:val="center"/>
            <w:hideMark/>
          </w:tcPr>
          <w:p w14:paraId="2D99D20D" w14:textId="77777777" w:rsidR="0053550B" w:rsidRPr="0053550B" w:rsidRDefault="0053550B" w:rsidP="0053550B">
            <w:pPr>
              <w:spacing w:after="0" w:line="240" w:lineRule="auto"/>
              <w:jc w:val="center"/>
              <w:rPr>
                <w:rFonts w:eastAsia="Times New Roman"/>
                <w:color w:val="000000"/>
                <w:kern w:val="0"/>
                <w:lang w:eastAsia="cs-CZ"/>
                <w14:ligatures w14:val="none"/>
              </w:rPr>
            </w:pPr>
            <w:r w:rsidRPr="0053550B">
              <w:rPr>
                <w:rFonts w:eastAsia="Times New Roman"/>
                <w:color w:val="000000"/>
                <w:kern w:val="0"/>
                <w:lang w:eastAsia="cs-CZ"/>
                <w14:ligatures w14:val="none"/>
              </w:rPr>
              <w:t>21,02 ± 14,97</w:t>
            </w:r>
          </w:p>
        </w:tc>
      </w:tr>
      <w:tr w:rsidR="0053550B" w:rsidRPr="0053550B" w14:paraId="6C183CBE" w14:textId="77777777" w:rsidTr="0053550B">
        <w:trPr>
          <w:trHeight w:val="320"/>
        </w:trPr>
        <w:tc>
          <w:tcPr>
            <w:tcW w:w="2797" w:type="pct"/>
            <w:tcBorders>
              <w:top w:val="nil"/>
              <w:left w:val="nil"/>
              <w:bottom w:val="single" w:sz="12" w:space="0" w:color="auto"/>
              <w:right w:val="nil"/>
            </w:tcBorders>
            <w:shd w:val="clear" w:color="auto" w:fill="auto"/>
            <w:noWrap/>
            <w:vAlign w:val="center"/>
            <w:hideMark/>
          </w:tcPr>
          <w:p w14:paraId="2C193551" w14:textId="77777777" w:rsidR="0053550B" w:rsidRPr="0053550B" w:rsidRDefault="0053550B" w:rsidP="0053550B">
            <w:pPr>
              <w:spacing w:after="0" w:line="240" w:lineRule="auto"/>
              <w:jc w:val="center"/>
              <w:rPr>
                <w:rFonts w:eastAsia="Times New Roman"/>
                <w:color w:val="000000"/>
                <w:kern w:val="0"/>
                <w:lang w:eastAsia="cs-CZ"/>
                <w14:ligatures w14:val="none"/>
              </w:rPr>
            </w:pPr>
            <w:proofErr w:type="spellStart"/>
            <w:r w:rsidRPr="0053550B">
              <w:rPr>
                <w:rFonts w:eastAsia="Times New Roman"/>
                <w:color w:val="000000"/>
                <w:kern w:val="0"/>
                <w:lang w:eastAsia="cs-CZ"/>
                <w14:ligatures w14:val="none"/>
              </w:rPr>
              <w:t>piperiton</w:t>
            </w:r>
            <w:proofErr w:type="spellEnd"/>
          </w:p>
        </w:tc>
        <w:tc>
          <w:tcPr>
            <w:tcW w:w="2203" w:type="pct"/>
            <w:tcBorders>
              <w:top w:val="nil"/>
              <w:left w:val="nil"/>
              <w:bottom w:val="single" w:sz="12" w:space="0" w:color="auto"/>
              <w:right w:val="nil"/>
            </w:tcBorders>
            <w:shd w:val="clear" w:color="auto" w:fill="auto"/>
            <w:noWrap/>
            <w:vAlign w:val="center"/>
            <w:hideMark/>
          </w:tcPr>
          <w:p w14:paraId="5E1F2696" w14:textId="77777777" w:rsidR="0053550B" w:rsidRPr="0053550B" w:rsidRDefault="0053550B" w:rsidP="0053550B">
            <w:pPr>
              <w:spacing w:after="0" w:line="240" w:lineRule="auto"/>
              <w:jc w:val="center"/>
              <w:rPr>
                <w:rFonts w:eastAsia="Times New Roman"/>
                <w:color w:val="000000"/>
                <w:kern w:val="0"/>
                <w:lang w:eastAsia="cs-CZ"/>
                <w14:ligatures w14:val="none"/>
              </w:rPr>
            </w:pPr>
            <w:r w:rsidRPr="0053550B">
              <w:rPr>
                <w:rFonts w:eastAsia="Times New Roman"/>
                <w:color w:val="000000"/>
                <w:kern w:val="0"/>
                <w:lang w:eastAsia="cs-CZ"/>
                <w14:ligatures w14:val="none"/>
              </w:rPr>
              <w:t>0,75 ± 0,09</w:t>
            </w:r>
          </w:p>
        </w:tc>
      </w:tr>
    </w:tbl>
    <w:p w14:paraId="7B9066C9" w14:textId="77777777" w:rsidR="00BF665E" w:rsidRDefault="005357A1" w:rsidP="009E73A0">
      <w:r>
        <w:t>Data jsou</w:t>
      </w:r>
      <w:r w:rsidR="002C00B8">
        <w:t xml:space="preserve"> průměrem ze tří nezávislých experimentů a vyjádřeny jako průměr ± směrodatná odchylka.</w:t>
      </w:r>
    </w:p>
    <w:p w14:paraId="1AB14DE7" w14:textId="77777777" w:rsidR="00BF665E" w:rsidRDefault="00BF665E" w:rsidP="00C15280">
      <w:pPr>
        <w:spacing w:line="259" w:lineRule="auto"/>
      </w:pPr>
    </w:p>
    <w:p w14:paraId="43C994A4" w14:textId="01B3D895" w:rsidR="0003370F" w:rsidRDefault="00BF665E" w:rsidP="009E73A0">
      <w:pPr>
        <w:ind w:firstLine="708"/>
      </w:pPr>
      <w:r>
        <w:t>Mezi látky, které vykazují silnou indukci PXR a zároveň mají nízkou hodnotu EC</w:t>
      </w:r>
      <w:r w:rsidRPr="00BF665E">
        <w:rPr>
          <w:vertAlign w:val="subscript"/>
        </w:rPr>
        <w:t>50</w:t>
      </w:r>
      <w:r>
        <w:t>, lze zařadit R-</w:t>
      </w:r>
      <w:proofErr w:type="spellStart"/>
      <w:r>
        <w:t>karvon</w:t>
      </w:r>
      <w:proofErr w:type="spellEnd"/>
      <w:r>
        <w:t xml:space="preserve"> s</w:t>
      </w:r>
      <w:r w:rsidR="009E73A0">
        <w:t xml:space="preserve"> </w:t>
      </w:r>
      <w:r>
        <w:t>hodnotou EC</w:t>
      </w:r>
      <w:r w:rsidRPr="00BF665E">
        <w:rPr>
          <w:vertAlign w:val="subscript"/>
        </w:rPr>
        <w:t>50</w:t>
      </w:r>
      <w:r>
        <w:t xml:space="preserve"> 5,77 ± 2,63 µM, dále 3-methyl-S-karvon s</w:t>
      </w:r>
      <w:r w:rsidR="009E73A0">
        <w:t xml:space="preserve"> </w:t>
      </w:r>
      <w:r>
        <w:t>hodnotou</w:t>
      </w:r>
      <w:r w:rsidR="009E73A0">
        <w:br/>
      </w:r>
      <w:r>
        <w:t>EC</w:t>
      </w:r>
      <w:r w:rsidRPr="00922E61">
        <w:rPr>
          <w:vertAlign w:val="subscript"/>
        </w:rPr>
        <w:t>50</w:t>
      </w:r>
      <w:r>
        <w:t xml:space="preserve"> 4,56 ± 0,46 µM a nakonec EN2 s hodnotou EC</w:t>
      </w:r>
      <w:r w:rsidRPr="00BF665E">
        <w:rPr>
          <w:vertAlign w:val="subscript"/>
        </w:rPr>
        <w:t>50</w:t>
      </w:r>
      <w:r>
        <w:t xml:space="preserve"> 0,27 ± 4,24 µM. Látka, která má nejmenší vliv na indukci PXR, je S-</w:t>
      </w:r>
      <w:r w:rsidR="003972CD">
        <w:t>(</w:t>
      </w:r>
      <w:proofErr w:type="gramStart"/>
      <w:r w:rsidR="003972CD">
        <w:t>-)-</w:t>
      </w:r>
      <w:proofErr w:type="spellStart"/>
      <w:proofErr w:type="gramEnd"/>
      <w:r>
        <w:t>perillylalkohol</w:t>
      </w:r>
      <w:proofErr w:type="spellEnd"/>
      <w:r>
        <w:t xml:space="preserve"> s hodnotou EC</w:t>
      </w:r>
      <w:r w:rsidRPr="00BF665E">
        <w:rPr>
          <w:vertAlign w:val="subscript"/>
        </w:rPr>
        <w:t>50</w:t>
      </w:r>
      <w:r>
        <w:t xml:space="preserve"> 26,15 ± 0,50 µM.</w:t>
      </w:r>
      <w:r w:rsidR="0003370F">
        <w:br w:type="page"/>
      </w:r>
    </w:p>
    <w:p w14:paraId="27582BCD" w14:textId="594EA513" w:rsidR="0003370F" w:rsidRDefault="0003370F" w:rsidP="0003370F">
      <w:pPr>
        <w:pStyle w:val="Nadpis3"/>
      </w:pPr>
      <w:bookmarkStart w:id="45" w:name="_Toc165492906"/>
      <w:r>
        <w:lastRenderedPageBreak/>
        <w:t>5.</w:t>
      </w:r>
      <w:r w:rsidR="0034093D">
        <w:t>2</w:t>
      </w:r>
      <w:r>
        <w:t>.2</w:t>
      </w:r>
      <w:r>
        <w:tab/>
        <w:t>Antagonistický mód</w:t>
      </w:r>
      <w:bookmarkEnd w:id="45"/>
    </w:p>
    <w:p w14:paraId="61478BD4" w14:textId="77777777" w:rsidR="00576497" w:rsidRDefault="0003370F" w:rsidP="00AF6F03">
      <w:r>
        <w:tab/>
      </w:r>
      <w:r w:rsidR="00A43A25">
        <w:t xml:space="preserve">Jako pozitivní kontrola byl </w:t>
      </w:r>
      <w:r w:rsidR="008C260B">
        <w:t xml:space="preserve">použit </w:t>
      </w:r>
      <w:proofErr w:type="spellStart"/>
      <w:r w:rsidR="008C260B">
        <w:t>rifampicin</w:t>
      </w:r>
      <w:proofErr w:type="spellEnd"/>
      <w:r w:rsidR="008C260B">
        <w:t xml:space="preserve"> o </w:t>
      </w:r>
      <w:r w:rsidR="008C260B" w:rsidRPr="00A6134D">
        <w:t>koncentraci</w:t>
      </w:r>
      <w:r w:rsidR="00A6134D" w:rsidRPr="00A6134D">
        <w:t xml:space="preserve"> 1</w:t>
      </w:r>
      <w:r w:rsidR="00A6134D">
        <w:t>0 µM</w:t>
      </w:r>
      <w:r w:rsidR="008C260B">
        <w:t>, hodnoty byly vztaženy k</w:t>
      </w:r>
      <w:r w:rsidR="001C3867">
        <w:t> </w:t>
      </w:r>
      <w:r w:rsidR="005411B6">
        <w:t>ne</w:t>
      </w:r>
      <w:r w:rsidR="001C3867">
        <w:t xml:space="preserve">jnižší testované koncentraci 0,1 </w:t>
      </w:r>
      <w:bookmarkStart w:id="46" w:name="OLE_LINK8"/>
      <w:r w:rsidR="001C3867">
        <w:t>µM</w:t>
      </w:r>
      <w:bookmarkEnd w:id="46"/>
      <w:r w:rsidR="009339CB">
        <w:t xml:space="preserve"> </w:t>
      </w:r>
      <w:r w:rsidR="001C66AD">
        <w:t>a vyjádřeny v procentech maximální indukce</w:t>
      </w:r>
      <w:r w:rsidR="00C25B02">
        <w:t>, tj. v procentech RIF</w:t>
      </w:r>
      <w:r w:rsidR="005D4AAE">
        <w:t>.</w:t>
      </w:r>
      <w:r w:rsidR="006927F7">
        <w:t xml:space="preserve"> </w:t>
      </w:r>
      <w:r w:rsidR="00E35794">
        <w:t>Jako n</w:t>
      </w:r>
      <w:r w:rsidR="005F243B">
        <w:t xml:space="preserve">egativní kontrola </w:t>
      </w:r>
      <w:r w:rsidR="00E35794">
        <w:t>sloužilo</w:t>
      </w:r>
      <w:r w:rsidR="00F86956">
        <w:t xml:space="preserve"> DMEM-CS (UT).</w:t>
      </w:r>
    </w:p>
    <w:p w14:paraId="72F4981E" w14:textId="77777777" w:rsidR="00E31491" w:rsidRDefault="00CB23D1" w:rsidP="00576497">
      <w:pPr>
        <w:ind w:firstLine="708"/>
      </w:pPr>
      <w:r>
        <w:t xml:space="preserve">U většiny testovaných látek nebyl pozorován </w:t>
      </w:r>
      <w:r w:rsidR="00090E1F">
        <w:t>signifikantní antagonistický efekt.</w:t>
      </w:r>
      <w:r w:rsidR="00F4304A">
        <w:t xml:space="preserve"> </w:t>
      </w:r>
      <w:r w:rsidR="000D5BE3">
        <w:t>Procenta maximální indukce u většiny měřených koncentrací</w:t>
      </w:r>
      <w:r w:rsidR="00DD3335">
        <w:t xml:space="preserve"> testovaných látek neklesla</w:t>
      </w:r>
      <w:r w:rsidR="0017716E">
        <w:br/>
      </w:r>
      <w:r w:rsidR="00DD3335">
        <w:t xml:space="preserve">pod 90 %. </w:t>
      </w:r>
      <w:r w:rsidR="00F4304A">
        <w:t xml:space="preserve">U některých látek se </w:t>
      </w:r>
      <w:r w:rsidR="00D31057">
        <w:t xml:space="preserve">projevil </w:t>
      </w:r>
      <w:r w:rsidR="00576F81">
        <w:t xml:space="preserve">mírný pokles indukce </w:t>
      </w:r>
      <w:r w:rsidR="00D31057">
        <w:t>transkripční aktivity PXR hlavně v nejvyšší koncentraci</w:t>
      </w:r>
      <w:r w:rsidR="0056446F">
        <w:t xml:space="preserve"> </w:t>
      </w:r>
      <w:r w:rsidR="00D31057">
        <w:t>1000 µM</w:t>
      </w:r>
      <w:r w:rsidR="00CE6C4B">
        <w:t>, konkrétně se jedn</w:t>
      </w:r>
      <w:r w:rsidR="007115F4">
        <w:t>alo o látky S-(</w:t>
      </w:r>
      <w:proofErr w:type="gramStart"/>
      <w:r w:rsidR="007115F4">
        <w:t>-)-</w:t>
      </w:r>
      <w:proofErr w:type="spellStart"/>
      <w:proofErr w:type="gramEnd"/>
      <w:r w:rsidR="007115F4">
        <w:t>pulegon</w:t>
      </w:r>
      <w:proofErr w:type="spellEnd"/>
      <w:r w:rsidR="007115F4">
        <w:t>, (+)-</w:t>
      </w:r>
      <w:proofErr w:type="spellStart"/>
      <w:r w:rsidR="007115F4">
        <w:t>menthol</w:t>
      </w:r>
      <w:proofErr w:type="spellEnd"/>
      <w:r w:rsidR="007115F4">
        <w:t>,</w:t>
      </w:r>
      <w:r w:rsidR="00576497">
        <w:br/>
      </w:r>
      <w:r w:rsidR="007115F4">
        <w:t>S-(-)-</w:t>
      </w:r>
      <w:proofErr w:type="spellStart"/>
      <w:r w:rsidR="007115F4">
        <w:t>perillylal</w:t>
      </w:r>
      <w:r w:rsidR="008557D4">
        <w:t>k</w:t>
      </w:r>
      <w:r w:rsidR="007115F4">
        <w:t>ohol</w:t>
      </w:r>
      <w:proofErr w:type="spellEnd"/>
      <w:r w:rsidR="007115F4">
        <w:t xml:space="preserve">, </w:t>
      </w:r>
      <w:proofErr w:type="spellStart"/>
      <w:r w:rsidR="007115F4">
        <w:t>piperitenon</w:t>
      </w:r>
      <w:proofErr w:type="spellEnd"/>
      <w:r w:rsidR="00576497">
        <w:t xml:space="preserve"> </w:t>
      </w:r>
      <w:r w:rsidR="007115F4">
        <w:t xml:space="preserve">a </w:t>
      </w:r>
      <w:r w:rsidR="003D1365">
        <w:t>3-</w:t>
      </w:r>
      <w:r w:rsidR="007115F4">
        <w:t>methyl-</w:t>
      </w:r>
      <w:r w:rsidR="003D1365">
        <w:t>S-</w:t>
      </w:r>
      <w:r w:rsidR="008557D4">
        <w:t>k</w:t>
      </w:r>
      <w:r w:rsidR="007115F4">
        <w:t>arvon</w:t>
      </w:r>
      <w:r w:rsidR="00C11B4E">
        <w:t xml:space="preserve"> (Obr. </w:t>
      </w:r>
      <w:r w:rsidR="006B3622">
        <w:t>6</w:t>
      </w:r>
      <w:r w:rsidR="00C11B4E">
        <w:t>)</w:t>
      </w:r>
      <w:r w:rsidR="009A2AB4">
        <w:t>. Největší pokles indukce</w:t>
      </w:r>
      <w:r w:rsidR="003821AE">
        <w:br/>
      </w:r>
      <w:r w:rsidR="002A5380">
        <w:t>v</w:t>
      </w:r>
      <w:r w:rsidR="00576497">
        <w:t xml:space="preserve"> </w:t>
      </w:r>
      <w:r w:rsidR="002A5380">
        <w:t xml:space="preserve">rámci celého měření </w:t>
      </w:r>
      <w:r w:rsidR="006B5D96">
        <w:t>lze</w:t>
      </w:r>
      <w:r w:rsidR="00665AAC">
        <w:t xml:space="preserve"> vidě</w:t>
      </w:r>
      <w:r w:rsidR="006B5D96">
        <w:t>t</w:t>
      </w:r>
      <w:r w:rsidR="00576497">
        <w:t xml:space="preserve"> </w:t>
      </w:r>
      <w:r w:rsidR="00665AAC">
        <w:t>u S-(</w:t>
      </w:r>
      <w:proofErr w:type="gramStart"/>
      <w:r w:rsidR="00665AAC">
        <w:t>-)-</w:t>
      </w:r>
      <w:proofErr w:type="spellStart"/>
      <w:proofErr w:type="gramEnd"/>
      <w:r w:rsidR="00665AAC">
        <w:t>perillylal</w:t>
      </w:r>
      <w:r w:rsidR="008557D4">
        <w:t>k</w:t>
      </w:r>
      <w:r w:rsidR="00665AAC">
        <w:t>oholu</w:t>
      </w:r>
      <w:proofErr w:type="spellEnd"/>
      <w:r w:rsidR="00665AAC">
        <w:t>, kdy při 1000 µM kleslo</w:t>
      </w:r>
      <w:r w:rsidR="00576497">
        <w:br/>
      </w:r>
      <w:r w:rsidR="00665AAC">
        <w:t xml:space="preserve">procento indukce na </w:t>
      </w:r>
      <w:r w:rsidR="005C6185">
        <w:t>43,9 ± 8,9 %</w:t>
      </w:r>
      <w:r w:rsidR="0056446F">
        <w:t xml:space="preserve"> </w:t>
      </w:r>
      <w:r w:rsidR="00C11B4E">
        <w:t xml:space="preserve">(Obr. </w:t>
      </w:r>
      <w:r w:rsidR="006B3622">
        <w:t>6</w:t>
      </w:r>
      <w:r w:rsidR="00C11B4E">
        <w:t>)</w:t>
      </w:r>
      <w:r w:rsidR="005C6185">
        <w:t>.</w:t>
      </w:r>
      <w:r w:rsidR="0019768A">
        <w:t xml:space="preserve"> </w:t>
      </w:r>
      <w:r w:rsidR="000929D4">
        <w:t xml:space="preserve">Mírný </w:t>
      </w:r>
      <w:r w:rsidR="00E45008">
        <w:t xml:space="preserve">pokles </w:t>
      </w:r>
      <w:r w:rsidR="00B15DFE">
        <w:t xml:space="preserve">indukce </w:t>
      </w:r>
      <w:r w:rsidR="00E45008">
        <w:t>lze také pozorovat</w:t>
      </w:r>
      <w:r w:rsidR="003821AE">
        <w:br/>
      </w:r>
      <w:r w:rsidR="00E45008">
        <w:t xml:space="preserve">u </w:t>
      </w:r>
      <w:r w:rsidR="003D1365">
        <w:t>3-</w:t>
      </w:r>
      <w:r w:rsidR="00E45008">
        <w:t>methyl-</w:t>
      </w:r>
      <w:r w:rsidR="003D1365">
        <w:t>S-</w:t>
      </w:r>
      <w:r w:rsidR="008557D4">
        <w:t>k</w:t>
      </w:r>
      <w:r w:rsidR="00E45008">
        <w:t>arvonu,</w:t>
      </w:r>
      <w:r w:rsidR="008557D4">
        <w:t xml:space="preserve"> </w:t>
      </w:r>
      <w:r w:rsidR="00301FF7">
        <w:t xml:space="preserve">při 1000 µM byla hodnota indukce </w:t>
      </w:r>
      <w:r w:rsidR="000451DF">
        <w:t>na 74,3 ± 14 %</w:t>
      </w:r>
      <w:r w:rsidR="001E2CB6">
        <w:t xml:space="preserve">, tento pokles </w:t>
      </w:r>
      <w:r w:rsidR="00F952F2">
        <w:t xml:space="preserve">nebyl </w:t>
      </w:r>
      <w:r w:rsidR="001E2CB6">
        <w:t xml:space="preserve">signifikantní a </w:t>
      </w:r>
      <w:r w:rsidR="003D1365">
        <w:t>3-</w:t>
      </w:r>
      <w:r w:rsidR="00EC42EB">
        <w:t>methyl-</w:t>
      </w:r>
      <w:r w:rsidR="003D1365">
        <w:t>S-</w:t>
      </w:r>
      <w:r w:rsidR="008557D4">
        <w:t>k</w:t>
      </w:r>
      <w:r w:rsidR="00EC42EB">
        <w:t>arvon nemá antagonistický vliv</w:t>
      </w:r>
      <w:r w:rsidR="00C61EDF">
        <w:t xml:space="preserve"> </w:t>
      </w:r>
      <w:r w:rsidR="00EC42EB">
        <w:t>na transkripční aktivitu PXR</w:t>
      </w:r>
      <w:r w:rsidR="003821AE">
        <w:br/>
      </w:r>
      <w:r w:rsidR="00C11B4E">
        <w:t xml:space="preserve">(Obr. </w:t>
      </w:r>
      <w:r w:rsidR="006B3622">
        <w:t>6</w:t>
      </w:r>
      <w:r w:rsidR="00C11B4E">
        <w:t>)</w:t>
      </w:r>
      <w:r w:rsidR="00EC42EB">
        <w:t>.</w:t>
      </w:r>
      <w:r w:rsidR="001D4CB9">
        <w:t xml:space="preserve"> </w:t>
      </w:r>
      <w:r w:rsidR="00AF13D3">
        <w:t>Tyto poklesy lze zdůvodnit mírnou toxicitou testovaných koncentrací.</w:t>
      </w:r>
    </w:p>
    <w:p w14:paraId="73F08DC6" w14:textId="77777777" w:rsidR="00922E61" w:rsidRDefault="00FF2A70" w:rsidP="00576497">
      <w:pPr>
        <w:ind w:firstLine="708"/>
      </w:pPr>
      <w:r>
        <w:t>V některých případech</w:t>
      </w:r>
      <w:r w:rsidR="00ED2A26">
        <w:t xml:space="preserve"> hodnoty </w:t>
      </w:r>
      <w:r w:rsidR="007D74FF">
        <w:t>dokonce převýšily 100 % indukce, např. u</w:t>
      </w:r>
      <w:r w:rsidR="002F0B10">
        <w:t xml:space="preserve"> </w:t>
      </w:r>
      <w:r w:rsidR="007D74FF">
        <w:t>látky</w:t>
      </w:r>
      <w:r w:rsidR="00E31491">
        <w:br/>
      </w:r>
      <w:r w:rsidR="007D74FF">
        <w:t>R-(</w:t>
      </w:r>
      <w:proofErr w:type="gramStart"/>
      <w:r w:rsidR="007D74FF">
        <w:t>+)-</w:t>
      </w:r>
      <w:proofErr w:type="spellStart"/>
      <w:proofErr w:type="gramEnd"/>
      <w:r w:rsidR="007D74FF">
        <w:t>pulegon</w:t>
      </w:r>
      <w:proofErr w:type="spellEnd"/>
      <w:r w:rsidR="007D74FF">
        <w:t xml:space="preserve"> byl</w:t>
      </w:r>
      <w:r w:rsidR="00260BF0">
        <w:t xml:space="preserve">a naměřena </w:t>
      </w:r>
      <w:r w:rsidR="00260BF0" w:rsidRPr="007513B7">
        <w:t xml:space="preserve">hodnota </w:t>
      </w:r>
      <w:r w:rsidR="00FB19D9" w:rsidRPr="007513B7">
        <w:t>140,3 ± 38,2 %</w:t>
      </w:r>
      <w:r w:rsidR="00197B4A">
        <w:t xml:space="preserve"> při 100 µM</w:t>
      </w:r>
      <w:r w:rsidR="00817C11">
        <w:t xml:space="preserve"> </w:t>
      </w:r>
      <w:r w:rsidR="008F2BBB">
        <w:t xml:space="preserve">(Obr. </w:t>
      </w:r>
      <w:r w:rsidR="006B3622">
        <w:t>6</w:t>
      </w:r>
      <w:r w:rsidR="008F2BBB">
        <w:t>)</w:t>
      </w:r>
      <w:r w:rsidR="005A785E">
        <w:t>.</w:t>
      </w:r>
      <w:r w:rsidR="002F7F41">
        <w:t xml:space="preserve"> Podobný nárůst lze také vidět</w:t>
      </w:r>
      <w:r w:rsidR="00E31491">
        <w:t xml:space="preserve"> </w:t>
      </w:r>
      <w:r w:rsidR="002F7F41">
        <w:t>u S-</w:t>
      </w:r>
      <w:proofErr w:type="spellStart"/>
      <w:r w:rsidR="008557D4">
        <w:t>k</w:t>
      </w:r>
      <w:r w:rsidR="002F7F41">
        <w:t>arvonu</w:t>
      </w:r>
      <w:proofErr w:type="spellEnd"/>
      <w:r w:rsidR="003A1097">
        <w:t xml:space="preserve">, </w:t>
      </w:r>
      <w:r w:rsidR="00150690">
        <w:t>R-</w:t>
      </w:r>
      <w:proofErr w:type="spellStart"/>
      <w:r w:rsidR="008557D4">
        <w:t>k</w:t>
      </w:r>
      <w:r w:rsidR="00150690">
        <w:t>arvonu</w:t>
      </w:r>
      <w:proofErr w:type="spellEnd"/>
      <w:r w:rsidR="00150690">
        <w:t xml:space="preserve"> a EN2.</w:t>
      </w:r>
      <w:r w:rsidR="005A4428">
        <w:t xml:space="preserve"> </w:t>
      </w:r>
      <w:r w:rsidR="001F09B0">
        <w:t>Tyto nárůsty nicméně nevykazují na dávce závislý trend</w:t>
      </w:r>
      <w:r w:rsidR="002F0B10">
        <w:t xml:space="preserve"> </w:t>
      </w:r>
      <w:r w:rsidR="001F09B0">
        <w:t>a nejsou tudíž nijak výz</w:t>
      </w:r>
      <w:r w:rsidR="00C61EDF">
        <w:t>namné.</w:t>
      </w:r>
    </w:p>
    <w:p w14:paraId="7DD39FA7" w14:textId="47F74C4B" w:rsidR="0003370F" w:rsidRDefault="005A4428" w:rsidP="00576497">
      <w:pPr>
        <w:ind w:firstLine="708"/>
      </w:pPr>
      <w:r>
        <w:t>Vzhledem k</w:t>
      </w:r>
      <w:r w:rsidR="006C4B31">
        <w:t xml:space="preserve"> </w:t>
      </w:r>
      <w:r>
        <w:t xml:space="preserve">faktu, že </w:t>
      </w:r>
      <w:r w:rsidR="00FF3E26">
        <w:t>u žádné z testovaných látek nebyl pozorován výrazný</w:t>
      </w:r>
      <w:r w:rsidR="00311FDF">
        <w:t xml:space="preserve"> </w:t>
      </w:r>
      <w:r w:rsidR="00FF3E26">
        <w:t xml:space="preserve">pokles </w:t>
      </w:r>
      <w:r w:rsidR="0076367A">
        <w:t>maximální indukce</w:t>
      </w:r>
      <w:r w:rsidR="00BE5715">
        <w:t xml:space="preserve">, lze </w:t>
      </w:r>
      <w:r w:rsidR="002C0448">
        <w:t>konstatovat</w:t>
      </w:r>
      <w:r w:rsidR="00BE5715">
        <w:t xml:space="preserve">, že </w:t>
      </w:r>
      <w:r w:rsidR="00C61EDF">
        <w:t xml:space="preserve">testované </w:t>
      </w:r>
      <w:r w:rsidR="000507DC">
        <w:t xml:space="preserve">látky nejsou antagonisty </w:t>
      </w:r>
      <w:r w:rsidR="00CA09EE">
        <w:t>PXR.</w:t>
      </w:r>
    </w:p>
    <w:p w14:paraId="5FA056E5" w14:textId="77777777" w:rsidR="00C96F74" w:rsidRDefault="00C96F74">
      <w:pPr>
        <w:spacing w:line="259" w:lineRule="auto"/>
        <w:jc w:val="left"/>
      </w:pPr>
      <w:r>
        <w:br w:type="page"/>
      </w:r>
    </w:p>
    <w:p w14:paraId="2AA21543" w14:textId="771BC17E" w:rsidR="000F42F1" w:rsidRDefault="00090C29" w:rsidP="00090C29">
      <w:r>
        <w:rPr>
          <w:noProof/>
        </w:rPr>
        <w:lastRenderedPageBreak/>
        <w:drawing>
          <wp:anchor distT="0" distB="0" distL="114300" distR="114300" simplePos="0" relativeHeight="251663370" behindDoc="0" locked="0" layoutInCell="1" allowOverlap="1" wp14:anchorId="48DF08B7" wp14:editId="5D277887">
            <wp:simplePos x="0" y="0"/>
            <wp:positionH relativeFrom="margin">
              <wp:posOffset>-3175</wp:posOffset>
            </wp:positionH>
            <wp:positionV relativeFrom="paragraph">
              <wp:posOffset>8890</wp:posOffset>
            </wp:positionV>
            <wp:extent cx="5760720" cy="6165850"/>
            <wp:effectExtent l="0" t="0" r="0" b="6350"/>
            <wp:wrapSquare wrapText="bothSides"/>
            <wp:docPr id="132121532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15328" name="Obrázek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6165850"/>
                    </a:xfrm>
                    <a:prstGeom prst="rect">
                      <a:avLst/>
                    </a:prstGeom>
                  </pic:spPr>
                </pic:pic>
              </a:graphicData>
            </a:graphic>
            <wp14:sizeRelV relativeFrom="margin">
              <wp14:pctHeight>0</wp14:pctHeight>
            </wp14:sizeRelV>
          </wp:anchor>
        </w:drawing>
      </w:r>
      <w:r w:rsidR="000F42F1">
        <w:rPr>
          <w:b/>
          <w:bCs/>
        </w:rPr>
        <w:t xml:space="preserve">Obrázek </w:t>
      </w:r>
      <w:r w:rsidR="00C06888">
        <w:rPr>
          <w:b/>
          <w:bCs/>
        </w:rPr>
        <w:t>6</w:t>
      </w:r>
      <w:r w:rsidR="000F42F1">
        <w:rPr>
          <w:b/>
          <w:bCs/>
        </w:rPr>
        <w:t xml:space="preserve">: </w:t>
      </w:r>
      <w:r w:rsidR="000F42F1">
        <w:t xml:space="preserve">Vliv monocyklických monoterpenoidů na transkripční aktivitu PXR v buněčné linii LS180 po působení 24 hodin </w:t>
      </w:r>
      <w:r w:rsidR="00C07794">
        <w:t>v </w:t>
      </w:r>
      <w:r w:rsidR="000F42F1">
        <w:t>antagon</w:t>
      </w:r>
      <w:r w:rsidR="00C07794">
        <w:t>istickém módu</w:t>
      </w:r>
    </w:p>
    <w:p w14:paraId="2DDAE4DC" w14:textId="6C9F5607" w:rsidR="00C96F74" w:rsidRDefault="005E7747" w:rsidP="00762481">
      <w:r>
        <w:t xml:space="preserve">Výsledky byly statisticky vyhodnoceny pomocí t-testu, hodnoty označené * </w:t>
      </w:r>
      <w:r w:rsidR="007113A4">
        <w:t>jsou koncentrace, při kterých bylo p-</w:t>
      </w:r>
      <w:proofErr w:type="spellStart"/>
      <w:r w:rsidR="007113A4">
        <w:t>value</w:t>
      </w:r>
      <w:proofErr w:type="spellEnd"/>
      <w:r w:rsidR="007113A4">
        <w:t xml:space="preserve"> </w:t>
      </w:r>
      <w:proofErr w:type="gramStart"/>
      <w:r w:rsidR="007113A4">
        <w:t>&lt; 0</w:t>
      </w:r>
      <w:proofErr w:type="gramEnd"/>
      <w:r w:rsidR="007113A4">
        <w:t>,05.</w:t>
      </w:r>
      <w:r w:rsidR="00C96F74">
        <w:br w:type="page"/>
      </w:r>
    </w:p>
    <w:p w14:paraId="54E8BE2A" w14:textId="6C1F46F8" w:rsidR="000C1DC4" w:rsidRDefault="000C1DC4" w:rsidP="00AE5FFB">
      <w:pPr>
        <w:pStyle w:val="Nadpis1"/>
      </w:pPr>
      <w:bookmarkStart w:id="47" w:name="_Toc165492907"/>
      <w:r>
        <w:lastRenderedPageBreak/>
        <w:t>6</w:t>
      </w:r>
      <w:r>
        <w:tab/>
      </w:r>
      <w:proofErr w:type="gramStart"/>
      <w:r>
        <w:t>DISKUZE</w:t>
      </w:r>
      <w:bookmarkEnd w:id="47"/>
      <w:proofErr w:type="gramEnd"/>
    </w:p>
    <w:p w14:paraId="2709B91D" w14:textId="66241DC8" w:rsidR="00EB128E" w:rsidRDefault="00F50CF1" w:rsidP="00AE5FFB">
      <w:r>
        <w:tab/>
      </w:r>
      <w:r w:rsidR="002D372F">
        <w:t>V p</w:t>
      </w:r>
      <w:r w:rsidR="00F21CEF">
        <w:t>oslední</w:t>
      </w:r>
      <w:r w:rsidR="002D372F">
        <w:t>ch</w:t>
      </w:r>
      <w:r w:rsidR="00F21CEF">
        <w:t xml:space="preserve"> let</w:t>
      </w:r>
      <w:r w:rsidR="002D372F">
        <w:t>ech</w:t>
      </w:r>
      <w:r w:rsidR="00F21CEF">
        <w:t xml:space="preserve"> je </w:t>
      </w:r>
      <w:r w:rsidR="00522469">
        <w:t>věnována pozornost</w:t>
      </w:r>
      <w:r w:rsidR="00EA17CC">
        <w:t xml:space="preserve"> sledování vlivu přírodních sloučenin</w:t>
      </w:r>
      <w:r w:rsidR="007B7F25">
        <w:br/>
      </w:r>
      <w:r w:rsidR="00E01C84">
        <w:t xml:space="preserve">na transkripční aktivitu receptorů jako např. </w:t>
      </w:r>
      <w:r w:rsidR="008A0FEF">
        <w:t>PXR</w:t>
      </w:r>
      <w:r w:rsidR="005B6720">
        <w:t xml:space="preserve">, </w:t>
      </w:r>
      <w:proofErr w:type="spellStart"/>
      <w:r w:rsidR="008A0FEF">
        <w:t>AhR</w:t>
      </w:r>
      <w:proofErr w:type="spellEnd"/>
      <w:r w:rsidR="00C959F1">
        <w:t xml:space="preserve"> a GR.</w:t>
      </w:r>
      <w:r w:rsidR="00FD06AE">
        <w:t xml:space="preserve"> Tyto receptory </w:t>
      </w:r>
      <w:r w:rsidR="0094001B">
        <w:t>se podílejí</w:t>
      </w:r>
      <w:r w:rsidR="007B7F25">
        <w:br/>
      </w:r>
      <w:r w:rsidR="0094001B">
        <w:t xml:space="preserve">na regulaci důležitých fyziologických procesů organismu a </w:t>
      </w:r>
      <w:r w:rsidR="00B00693">
        <w:t>regulují expresi genů</w:t>
      </w:r>
      <w:r w:rsidR="00D70741">
        <w:t>, které jsou zapojeny do</w:t>
      </w:r>
      <w:r w:rsidR="006D20F6">
        <w:t xml:space="preserve"> </w:t>
      </w:r>
      <w:r w:rsidR="00C218CE">
        <w:t xml:space="preserve">metabolismu </w:t>
      </w:r>
      <w:proofErr w:type="spellStart"/>
      <w:r w:rsidR="00C218CE">
        <w:t>xenobiotik</w:t>
      </w:r>
      <w:proofErr w:type="spellEnd"/>
      <w:r w:rsidR="00D70741">
        <w:t xml:space="preserve">, </w:t>
      </w:r>
      <w:r w:rsidR="00C218CE">
        <w:t xml:space="preserve">zánětlivých procesů a </w:t>
      </w:r>
      <w:r w:rsidR="00182ABF">
        <w:t>metabolických drah</w:t>
      </w:r>
      <w:r w:rsidR="00FD32E4">
        <w:t xml:space="preserve"> probíhajících především v játrech a </w:t>
      </w:r>
      <w:r w:rsidR="00B00693">
        <w:t xml:space="preserve">ve </w:t>
      </w:r>
      <w:r w:rsidR="00FD32E4">
        <w:t>střev</w:t>
      </w:r>
      <w:r w:rsidR="008E46C8">
        <w:t>ech</w:t>
      </w:r>
      <w:r w:rsidR="00FD32E4">
        <w:t xml:space="preserve">. </w:t>
      </w:r>
      <w:r w:rsidR="003F2A10">
        <w:t xml:space="preserve">Předmětem těchto studií byl </w:t>
      </w:r>
      <w:r w:rsidR="008637C3">
        <w:t>především</w:t>
      </w:r>
      <w:r w:rsidR="00612BCB">
        <w:t xml:space="preserve"> vliv </w:t>
      </w:r>
      <w:r w:rsidR="00440A5C">
        <w:t>esenciálních olejů</w:t>
      </w:r>
      <w:r w:rsidR="00B00693">
        <w:t xml:space="preserve"> </w:t>
      </w:r>
      <w:r w:rsidR="00440A5C">
        <w:t xml:space="preserve">a monoterpenoidů </w:t>
      </w:r>
      <w:r w:rsidR="00DE0647">
        <w:t>na</w:t>
      </w:r>
      <w:r w:rsidR="00242CFE">
        <w:t xml:space="preserve"> transkripční aktivitu receptorů a ovlivnění exprese enzymů</w:t>
      </w:r>
      <w:r w:rsidR="002B2B33">
        <w:t xml:space="preserve"> CYP</w:t>
      </w:r>
      <w:r w:rsidR="00906935">
        <w:t>450</w:t>
      </w:r>
      <w:r w:rsidR="009D42A7">
        <w:t xml:space="preserve"> </w:t>
      </w:r>
      <w:r w:rsidR="009E2BFB">
        <w:fldChar w:fldCharType="begin"/>
      </w:r>
      <w:r w:rsidR="00DC2A54">
        <w:instrText xml:space="preserve"> ADDIN ZOTERO_ITEM CSL_CITATION {"citationID":"2bEkh9Np","properties":{"formattedCitation":"(Bartonkova and Dvorak, 2018; Barto\\uc0\\u328{}kov\\uc0\\u225{} and Dvo\\uc0\\u345{}\\uc0\\u225{}k, 2018b, 2018a; Ondrov\\uc0\\u225{} {\\i{}et al.}, 2023)","plainCitation":"(Bartonkova and Dvorak, 2018; Bartoňková and Dvořák, 2018b, 2018a; Ondrová et al., 2023)","dontUpdate":true,"noteIndex":0},"citationItems":[{"id":206,"uris":["http://zotero.org/users/local/UB9PtTOS/items/AW2IFSS9"],"itemData":{"id":206,"type":"article-journal","container-title":"Toxicology Letters","DOI":"10.1016/j.toxlet.2018.07.023","ISSN":"03784274","journalAbbreviation":"Toxicology Letters","language":"en","page":"1-9","source":"DOI.org (Crossref)","title":"Essential oils of culinary herbs and spices activate PXR and induce CYP3A4 in human intestinal and hepatic in vitro models","volume":"296","author":[{"family":"Bartonkova","given":"Iveta"},{"family":"Dvorak","given":"Zdeněk"}],"issued":{"date-parts":[["2018",10]]}}},{"id":27,"uris":["http://zotero.org/users/local/UB9PtTOS/items/I6MZZDH8"],"itemData":{"id":27,"type":"article-journal","container-title":"Food and Chemical Toxicology","DOI":"10.1016/j.fct.2017.11.049","ISSN":"02786915","journalAbbreviation":"Food and Chemical Toxicology","language":"en","page":"374-384","source":"DOI.org (Crossref)","title":"Essential oils of culinary herbs and spices display agonist and antagonist activities at human aryl hydrocarbon receptor AhR","volume":"111","author":[{"family":"Bartoňková","given":"Iveta"},{"family":"Dvořák","given":"Zdeněk"}],"issued":{"date-parts":[["2018",1]]}}},{"id":33,"uris":["http://zotero.org/users/local/UB9PtTOS/items/HIK7EYYI"],"itemData":{"id":33,"type":"article-journal","abstract":"Essential oils of culinary herbs and species influence transcriptional activities of nuclear receptor VDR and steroid hormones receptors AR and GR.\n          , \n            Essential oils (EOs) of culinary herbs and spices are consumed on a daily basis. They are multicomponent mixtures of compounds with already demonstrated biological activities. Taking into account regular dietary intake and the chemical composition of EOs, they may be considered as candidates for endocrine-disrupting entities. Therefore, we examined the effects of 31 EOs of culinary herbs and spices on transcriptional activities of glucocorticoid receptor (GR), androgen receptor (AR) and vitamin D receptor (VDR). Using reporter gene assays in stably transfected cell lines, weak anti-androgen and anti-glucocorticoid activity was observed for EO of vanilla and nutmeg, respectively. Moderate augmentation of calcitriol-dependent VDR activity was caused by EOs of ginger, thyme, coriander and lemongrass. Mixed anti-glucocorticoid and VDR-stimulatory activities were displayed by EOs of turmeric, oregano, dill, caraway, verveine and spearmint. The remaining 19 EOs were inactive against all receptors under investigation. Analyses of GR, AR and VDR target genes by means of RT-PCR confirmed the VDR-stimulatory effects, but could not confirm the anti-glucocorticoid and anti-androgen effects of EOs. In conclusion, although we observed minor effects of several EOs on transcriptional activities of GR, AR and VDR, the toxicological significance of these effects is very low. Hence, 31 EOs of culinary herbs and spices may be considered safe, in terms of endocrine disruption involving receptors GR, AR and VDR.","container-title":"Food &amp; Function","DOI":"10.1039/C7FO02058A","ISSN":"2042-6496, 2042-650X","issue":"4","journalAbbreviation":"Food Funct.","language":"en","page":"2136-2144","source":"DOI.org (Crossref)","title":"Assessment of endocrine disruption potential of essential oils of culinary herbs and spices involving glucocorticoid, androgen and vitamin D receptors","volume":"9","author":[{"family":"Bartoňková","given":"Iveta"},{"family":"Dvořák","given":"Zdeněk"}],"issued":{"date-parts":[["2018"]]}}},{"id":34,"uris":["http://zotero.org/users/local/UB9PtTOS/items/NEF9MJSJ"],"itemData":{"id":34,"type":"article-journal","abstract":"Abstract\n            \n              The human aryl hydrocarbon receptor (AhR) is a ligand-activated transcription factor that is a pivotal regulator of human physiology and pathophysiology. Allosteric inhibition of AhR was previously thought to be untenable. Here, we identify carvones as noncompetitive, insurmountable antagonists of AhR and characterize the structural and functional consequences of their binding. Carvones do not displace radiolabeled ligands from binding to AhR but instead bind allosterically within the bHLH/PAS-A region of AhR. Carvones do not influence the translocation of ligand-activated AhR into the nucleus but inhibit the heterodimerization of AhR with its canonical partner ARNT and subsequent binding of AhR to the promoter of\n              CYP1A1\n              . As a proof of concept, we demonstrate physiologically relevant Ahr-antagonism by carvones in vivo in female mice. These substances establish the molecular basis for selective targeting of AhR regardless of the type of ligand(s) present and provide opportunities for the treatment of disease processes modified by AhR.","container-title":"Nature Communications","DOI":"10.1038/s41467-023-38478-6","ISSN":"2041-1723","issue":"1","journalAbbreviation":"Nat Commun","language":"en","page":"2728","source":"DOI.org (Crossref)","title":"Monoterpenoid aryl hydrocarbon receptor allosteric antagonists protect against ultraviolet skin damage in female mice","volume":"14","author":[{"family":"Ondrová","given":"Karolína"},{"family":"Zůvalová","given":"Iveta"},{"family":"Vyhlídalová","given":"Barbora"},{"family":"Krasulová","given":"Kristýna"},{"family":"Miková","given":"Eva"},{"family":"Vrzal","given":"Radim"},{"family":"Nádvorník","given":"Petr"},{"family":"Nepal","given":"Binod"},{"family":"Kortagere","given":"Sandhya"},{"family":"Kopečná","given":"Martina"},{"family":"Kopečný","given":"David"},{"family":"Šebela","given":"Marek"},{"family":"Rastinejad","given":"Fraydoon"},{"family":"Pu","given":"Hua"},{"family":"Soural","given":"Miroslav"},{"family":"Rolfes","given":"Katharina Maria"},{"family":"Haarmann-Stemmann","given":"Thomas"},{"family":"Li","given":"Hao"},{"family":"Mani","given":"Sridhar"},{"family":"Dvořák","given":"Zdeněk"}],"issued":{"date-parts":[["2023",5,11]]}}}],"schema":"https://github.com/citation-style-language/schema/raw/master/csl-citation.json"} </w:instrText>
      </w:r>
      <w:r w:rsidR="009E2BFB">
        <w:fldChar w:fldCharType="separate"/>
      </w:r>
      <w:r w:rsidR="00E97CDA" w:rsidRPr="00E97CDA">
        <w:rPr>
          <w:kern w:val="0"/>
        </w:rPr>
        <w:t>(Barto</w:t>
      </w:r>
      <w:r w:rsidR="00B00693">
        <w:rPr>
          <w:kern w:val="0"/>
        </w:rPr>
        <w:t>ň</w:t>
      </w:r>
      <w:r w:rsidR="00E97CDA" w:rsidRPr="00E97CDA">
        <w:rPr>
          <w:kern w:val="0"/>
        </w:rPr>
        <w:t>kov</w:t>
      </w:r>
      <w:r w:rsidR="00B00693">
        <w:rPr>
          <w:kern w:val="0"/>
        </w:rPr>
        <w:t>á</w:t>
      </w:r>
      <w:r w:rsidR="00E97CDA" w:rsidRPr="00E97CDA">
        <w:rPr>
          <w:kern w:val="0"/>
        </w:rPr>
        <w:t xml:space="preserve"> </w:t>
      </w:r>
      <w:r w:rsidR="00E97CDA">
        <w:rPr>
          <w:i/>
          <w:iCs/>
          <w:kern w:val="0"/>
        </w:rPr>
        <w:t>et</w:t>
      </w:r>
      <w:r w:rsidR="00E97CDA" w:rsidRPr="00E97CDA">
        <w:rPr>
          <w:kern w:val="0"/>
        </w:rPr>
        <w:t xml:space="preserve"> Dvo</w:t>
      </w:r>
      <w:r w:rsidR="00B00693">
        <w:rPr>
          <w:kern w:val="0"/>
        </w:rPr>
        <w:t>řá</w:t>
      </w:r>
      <w:r w:rsidR="00E97CDA" w:rsidRPr="00E97CDA">
        <w:rPr>
          <w:kern w:val="0"/>
        </w:rPr>
        <w:t>k, 2018</w:t>
      </w:r>
      <w:r w:rsidR="00B00693">
        <w:rPr>
          <w:kern w:val="0"/>
        </w:rPr>
        <w:t>a</w:t>
      </w:r>
      <w:r w:rsidR="00E97CDA" w:rsidRPr="00E97CDA">
        <w:rPr>
          <w:kern w:val="0"/>
        </w:rPr>
        <w:t xml:space="preserve">; Bartoňková </w:t>
      </w:r>
      <w:r w:rsidR="00E97CDA">
        <w:rPr>
          <w:i/>
          <w:iCs/>
          <w:kern w:val="0"/>
        </w:rPr>
        <w:t>et</w:t>
      </w:r>
      <w:r w:rsidR="00E97CDA" w:rsidRPr="00E97CDA">
        <w:rPr>
          <w:kern w:val="0"/>
        </w:rPr>
        <w:t xml:space="preserve"> Dvořák, 2018b</w:t>
      </w:r>
      <w:r w:rsidR="009B2FE3">
        <w:rPr>
          <w:kern w:val="0"/>
        </w:rPr>
        <w:t>; Barto</w:t>
      </w:r>
      <w:r w:rsidR="00B00693">
        <w:rPr>
          <w:kern w:val="0"/>
        </w:rPr>
        <w:t>n</w:t>
      </w:r>
      <w:r w:rsidR="009B2FE3">
        <w:rPr>
          <w:kern w:val="0"/>
        </w:rPr>
        <w:t>kov</w:t>
      </w:r>
      <w:r w:rsidR="00B00693">
        <w:rPr>
          <w:kern w:val="0"/>
        </w:rPr>
        <w:t>a</w:t>
      </w:r>
      <w:r w:rsidR="009B2FE3">
        <w:rPr>
          <w:kern w:val="0"/>
        </w:rPr>
        <w:t xml:space="preserve"> </w:t>
      </w:r>
      <w:r w:rsidR="009B2FE3">
        <w:rPr>
          <w:i/>
          <w:iCs/>
          <w:kern w:val="0"/>
        </w:rPr>
        <w:t xml:space="preserve">et </w:t>
      </w:r>
      <w:r w:rsidR="009B2FE3">
        <w:rPr>
          <w:kern w:val="0"/>
        </w:rPr>
        <w:t>Dvo</w:t>
      </w:r>
      <w:r w:rsidR="00B00693">
        <w:rPr>
          <w:kern w:val="0"/>
        </w:rPr>
        <w:t>ra</w:t>
      </w:r>
      <w:r w:rsidR="009B2FE3">
        <w:rPr>
          <w:kern w:val="0"/>
        </w:rPr>
        <w:t>k</w:t>
      </w:r>
      <w:r w:rsidR="00E97CDA" w:rsidRPr="00E97CDA">
        <w:rPr>
          <w:kern w:val="0"/>
        </w:rPr>
        <w:t xml:space="preserve"> 2018</w:t>
      </w:r>
      <w:r w:rsidR="00B00693">
        <w:rPr>
          <w:kern w:val="0"/>
        </w:rPr>
        <w:t>c</w:t>
      </w:r>
      <w:r w:rsidR="00E97CDA" w:rsidRPr="00E97CDA">
        <w:rPr>
          <w:kern w:val="0"/>
        </w:rPr>
        <w:t xml:space="preserve">; Ondrová </w:t>
      </w:r>
      <w:r w:rsidR="00E97CDA" w:rsidRPr="00E97CDA">
        <w:rPr>
          <w:i/>
          <w:iCs/>
          <w:kern w:val="0"/>
        </w:rPr>
        <w:t>et al.</w:t>
      </w:r>
      <w:r w:rsidR="00E97CDA" w:rsidRPr="00E97CDA">
        <w:rPr>
          <w:kern w:val="0"/>
        </w:rPr>
        <w:t>, 2023)</w:t>
      </w:r>
      <w:r w:rsidR="009E2BFB">
        <w:fldChar w:fldCharType="end"/>
      </w:r>
      <w:r w:rsidR="00B30823">
        <w:t>.</w:t>
      </w:r>
    </w:p>
    <w:p w14:paraId="33341A47" w14:textId="03256694" w:rsidR="0077446C" w:rsidRDefault="007C329A" w:rsidP="00EB128E">
      <w:pPr>
        <w:ind w:firstLine="708"/>
      </w:pPr>
      <w:r>
        <w:t xml:space="preserve">V této bakalářské práci </w:t>
      </w:r>
      <w:r w:rsidR="0019068F">
        <w:t>byl sledován vliv monocyklických monoterpenoidů</w:t>
      </w:r>
      <w:r w:rsidR="007B7F25">
        <w:br/>
      </w:r>
      <w:r w:rsidR="0019068F">
        <w:t xml:space="preserve">na transkripční aktivitu </w:t>
      </w:r>
      <w:proofErr w:type="spellStart"/>
      <w:r w:rsidR="0019068F">
        <w:t>pregnanového</w:t>
      </w:r>
      <w:proofErr w:type="spellEnd"/>
      <w:r w:rsidR="0019068F">
        <w:t xml:space="preserve"> X receptoru</w:t>
      </w:r>
      <w:r w:rsidR="008B04B9">
        <w:t xml:space="preserve"> s</w:t>
      </w:r>
      <w:r w:rsidR="006E1291">
        <w:t xml:space="preserve"> </w:t>
      </w:r>
      <w:r w:rsidR="008B04B9">
        <w:t xml:space="preserve">využitím </w:t>
      </w:r>
      <w:r w:rsidR="00B7303B">
        <w:t xml:space="preserve">lidské </w:t>
      </w:r>
      <w:r w:rsidR="00AB3DBE">
        <w:t>buněčné linie LS180</w:t>
      </w:r>
      <w:r w:rsidR="002D565F">
        <w:t>,</w:t>
      </w:r>
      <w:r w:rsidR="006E1291">
        <w:br/>
      </w:r>
      <w:r w:rsidR="002D565F">
        <w:t>což</w:t>
      </w:r>
      <w:r w:rsidR="00B56F83">
        <w:t xml:space="preserve"> je </w:t>
      </w:r>
      <w:r w:rsidR="00AB3DBE">
        <w:t>linie</w:t>
      </w:r>
      <w:r w:rsidR="00B56F83">
        <w:t xml:space="preserve"> </w:t>
      </w:r>
      <w:r w:rsidR="00AB3DBE">
        <w:t>odvozen</w:t>
      </w:r>
      <w:r w:rsidR="00B56F83">
        <w:t>á</w:t>
      </w:r>
      <w:r w:rsidR="00AB3DBE">
        <w:t xml:space="preserve"> </w:t>
      </w:r>
      <w:r w:rsidR="0054728D">
        <w:t xml:space="preserve">od </w:t>
      </w:r>
      <w:r w:rsidR="00AB3DBE">
        <w:t xml:space="preserve">karcinomu </w:t>
      </w:r>
      <w:r w:rsidR="00875461">
        <w:t>tlustého střeva</w:t>
      </w:r>
      <w:r w:rsidR="00B56F83">
        <w:t>.</w:t>
      </w:r>
      <w:r w:rsidR="00DC33F2">
        <w:t xml:space="preserve"> K provedení </w:t>
      </w:r>
      <w:proofErr w:type="spellStart"/>
      <w:r w:rsidR="00DC33F2">
        <w:t>reportérové</w:t>
      </w:r>
      <w:proofErr w:type="spellEnd"/>
      <w:r w:rsidR="00DC33F2">
        <w:t xml:space="preserve"> eseje byla buněčná linie LS180</w:t>
      </w:r>
      <w:r w:rsidR="00877BC2">
        <w:t xml:space="preserve"> </w:t>
      </w:r>
      <w:proofErr w:type="spellStart"/>
      <w:r w:rsidR="00877BC2">
        <w:t>transfekována</w:t>
      </w:r>
      <w:proofErr w:type="spellEnd"/>
      <w:r w:rsidR="00360FDB">
        <w:t xml:space="preserve"> </w:t>
      </w:r>
      <w:r w:rsidR="001C6F0F">
        <w:t xml:space="preserve">expresním </w:t>
      </w:r>
      <w:r w:rsidR="00360FDB">
        <w:t>plazmid</w:t>
      </w:r>
      <w:r w:rsidR="00510C57">
        <w:t>em</w:t>
      </w:r>
      <w:r w:rsidR="00360FDB">
        <w:t xml:space="preserve"> </w:t>
      </w:r>
      <w:r w:rsidR="00510C57" w:rsidRPr="00510C57">
        <w:t>pSG5-hPXR a reportérovým vektorem</w:t>
      </w:r>
      <w:r w:rsidR="00781CA4">
        <w:br/>
      </w:r>
      <w:r w:rsidR="00510C57" w:rsidRPr="00510C57">
        <w:t>p3A4-luc</w:t>
      </w:r>
      <w:r w:rsidR="00E67EE1">
        <w:t>, které byly izolovány z</w:t>
      </w:r>
      <w:r w:rsidR="00CD03E9">
        <w:t xml:space="preserve"> </w:t>
      </w:r>
      <w:r w:rsidR="00E67EE1">
        <w:t xml:space="preserve">transformovaných bakterií </w:t>
      </w:r>
      <w:proofErr w:type="spellStart"/>
      <w:r w:rsidR="00E67EE1">
        <w:rPr>
          <w:i/>
          <w:iCs/>
        </w:rPr>
        <w:t>Escherichia</w:t>
      </w:r>
      <w:proofErr w:type="spellEnd"/>
      <w:r w:rsidR="00E67EE1">
        <w:rPr>
          <w:i/>
          <w:iCs/>
        </w:rPr>
        <w:t xml:space="preserve"> coli</w:t>
      </w:r>
      <w:r w:rsidR="00E67EE1">
        <w:t>.</w:t>
      </w:r>
      <w:r w:rsidR="0038553F">
        <w:t xml:space="preserve"> Vybranými testovanými látkami byly </w:t>
      </w:r>
      <w:r w:rsidR="0038553F">
        <w:rPr>
          <w:rFonts w:eastAsia="Times New Roman"/>
          <w:color w:val="000000"/>
          <w:kern w:val="0"/>
          <w:lang w:eastAsia="cs-CZ"/>
          <w14:ligatures w14:val="none"/>
        </w:rPr>
        <w:t>(S)-(</w:t>
      </w:r>
      <w:proofErr w:type="gramStart"/>
      <w:r w:rsidR="0038553F">
        <w:rPr>
          <w:rFonts w:eastAsia="Times New Roman"/>
          <w:color w:val="000000"/>
          <w:kern w:val="0"/>
          <w:lang w:eastAsia="cs-CZ"/>
          <w14:ligatures w14:val="none"/>
        </w:rPr>
        <w:t>-)-</w:t>
      </w:r>
      <w:proofErr w:type="spellStart"/>
      <w:proofErr w:type="gramEnd"/>
      <w:r w:rsidR="0038553F">
        <w:rPr>
          <w:rFonts w:eastAsia="Times New Roman"/>
          <w:color w:val="000000"/>
          <w:kern w:val="0"/>
          <w:lang w:eastAsia="cs-CZ"/>
          <w14:ligatures w14:val="none"/>
        </w:rPr>
        <w:t>perillylalkohol</w:t>
      </w:r>
      <w:proofErr w:type="spellEnd"/>
      <w:r w:rsidR="0038553F">
        <w:rPr>
          <w:rFonts w:eastAsia="Times New Roman"/>
          <w:color w:val="000000"/>
          <w:kern w:val="0"/>
          <w:lang w:eastAsia="cs-CZ"/>
          <w14:ligatures w14:val="none"/>
        </w:rPr>
        <w:t>, R-(+)-</w:t>
      </w:r>
      <w:proofErr w:type="spellStart"/>
      <w:r w:rsidR="0038553F">
        <w:rPr>
          <w:rFonts w:eastAsia="Times New Roman"/>
          <w:color w:val="000000"/>
          <w:kern w:val="0"/>
          <w:lang w:eastAsia="cs-CZ"/>
          <w14:ligatures w14:val="none"/>
        </w:rPr>
        <w:t>pulegon</w:t>
      </w:r>
      <w:proofErr w:type="spellEnd"/>
      <w:r w:rsidR="0038553F">
        <w:rPr>
          <w:rFonts w:eastAsia="Times New Roman"/>
          <w:color w:val="000000"/>
          <w:kern w:val="0"/>
          <w:lang w:eastAsia="cs-CZ"/>
          <w14:ligatures w14:val="none"/>
        </w:rPr>
        <w:t>, S-(-)-</w:t>
      </w:r>
      <w:proofErr w:type="spellStart"/>
      <w:r w:rsidR="0038553F">
        <w:rPr>
          <w:rFonts w:eastAsia="Times New Roman"/>
          <w:color w:val="000000"/>
          <w:kern w:val="0"/>
          <w:lang w:eastAsia="cs-CZ"/>
          <w14:ligatures w14:val="none"/>
        </w:rPr>
        <w:t>pulegon</w:t>
      </w:r>
      <w:proofErr w:type="spellEnd"/>
      <w:r w:rsidR="0038553F">
        <w:rPr>
          <w:rFonts w:eastAsia="Times New Roman"/>
          <w:color w:val="000000"/>
          <w:kern w:val="0"/>
          <w:lang w:eastAsia="cs-CZ"/>
          <w14:ligatures w14:val="none"/>
        </w:rPr>
        <w:t>, (+)-</w:t>
      </w:r>
      <w:proofErr w:type="spellStart"/>
      <w:r w:rsidR="0038553F">
        <w:rPr>
          <w:rFonts w:eastAsia="Times New Roman"/>
          <w:color w:val="000000"/>
          <w:kern w:val="0"/>
          <w:lang w:eastAsia="cs-CZ"/>
          <w14:ligatures w14:val="none"/>
        </w:rPr>
        <w:t>menthol</w:t>
      </w:r>
      <w:proofErr w:type="spellEnd"/>
      <w:r w:rsidR="0038553F">
        <w:rPr>
          <w:rFonts w:eastAsia="Times New Roman"/>
          <w:color w:val="000000"/>
          <w:kern w:val="0"/>
          <w:lang w:eastAsia="cs-CZ"/>
          <w14:ligatures w14:val="none"/>
        </w:rPr>
        <w:t>,</w:t>
      </w:r>
      <w:r w:rsidR="00781CA4">
        <w:rPr>
          <w:rFonts w:eastAsia="Times New Roman"/>
          <w:color w:val="000000"/>
          <w:kern w:val="0"/>
          <w:lang w:eastAsia="cs-CZ"/>
          <w14:ligatures w14:val="none"/>
        </w:rPr>
        <w:br/>
      </w:r>
      <w:r w:rsidR="0038553F">
        <w:rPr>
          <w:rFonts w:eastAsia="Times New Roman"/>
          <w:color w:val="000000"/>
          <w:kern w:val="0"/>
          <w:lang w:eastAsia="cs-CZ"/>
          <w14:ligatures w14:val="none"/>
        </w:rPr>
        <w:t>(-)-</w:t>
      </w:r>
      <w:proofErr w:type="spellStart"/>
      <w:r w:rsidR="0038553F">
        <w:rPr>
          <w:rFonts w:eastAsia="Times New Roman"/>
          <w:color w:val="000000"/>
          <w:kern w:val="0"/>
          <w:lang w:eastAsia="cs-CZ"/>
          <w14:ligatures w14:val="none"/>
        </w:rPr>
        <w:t>menthol</w:t>
      </w:r>
      <w:proofErr w:type="spellEnd"/>
      <w:r w:rsidR="0038553F">
        <w:rPr>
          <w:rFonts w:eastAsia="Times New Roman"/>
          <w:color w:val="000000"/>
          <w:kern w:val="0"/>
          <w:lang w:eastAsia="cs-CZ"/>
          <w14:ligatures w14:val="none"/>
        </w:rPr>
        <w:t>, S-</w:t>
      </w:r>
      <w:proofErr w:type="spellStart"/>
      <w:r w:rsidR="0038553F">
        <w:rPr>
          <w:rFonts w:eastAsia="Times New Roman"/>
          <w:color w:val="000000"/>
          <w:kern w:val="0"/>
          <w:lang w:eastAsia="cs-CZ"/>
          <w14:ligatures w14:val="none"/>
        </w:rPr>
        <w:t>karvon</w:t>
      </w:r>
      <w:proofErr w:type="spellEnd"/>
      <w:r w:rsidR="0038553F">
        <w:rPr>
          <w:rFonts w:eastAsia="Times New Roman"/>
          <w:color w:val="000000"/>
          <w:kern w:val="0"/>
          <w:lang w:eastAsia="cs-CZ"/>
          <w14:ligatures w14:val="none"/>
        </w:rPr>
        <w:t>,</w:t>
      </w:r>
      <w:r w:rsidR="00E9095F">
        <w:rPr>
          <w:rFonts w:eastAsia="Times New Roman"/>
          <w:color w:val="000000"/>
          <w:kern w:val="0"/>
          <w:lang w:eastAsia="cs-CZ"/>
          <w14:ligatures w14:val="none"/>
        </w:rPr>
        <w:t xml:space="preserve"> </w:t>
      </w:r>
      <w:r w:rsidR="0038553F">
        <w:rPr>
          <w:rFonts w:eastAsia="Times New Roman"/>
          <w:color w:val="000000"/>
          <w:kern w:val="0"/>
          <w:lang w:eastAsia="cs-CZ"/>
          <w14:ligatures w14:val="none"/>
        </w:rPr>
        <w:t>R-</w:t>
      </w:r>
      <w:proofErr w:type="spellStart"/>
      <w:r w:rsidR="0038553F">
        <w:rPr>
          <w:rFonts w:eastAsia="Times New Roman"/>
          <w:color w:val="000000"/>
          <w:kern w:val="0"/>
          <w:lang w:eastAsia="cs-CZ"/>
          <w14:ligatures w14:val="none"/>
        </w:rPr>
        <w:t>karvon</w:t>
      </w:r>
      <w:proofErr w:type="spellEnd"/>
      <w:r w:rsidR="0038553F">
        <w:rPr>
          <w:rFonts w:eastAsia="Times New Roman"/>
          <w:color w:val="000000"/>
          <w:kern w:val="0"/>
          <w:lang w:eastAsia="cs-CZ"/>
          <w14:ligatures w14:val="none"/>
        </w:rPr>
        <w:t xml:space="preserve">, </w:t>
      </w:r>
      <w:proofErr w:type="spellStart"/>
      <w:r w:rsidR="0038553F">
        <w:rPr>
          <w:rFonts w:eastAsia="Times New Roman"/>
          <w:color w:val="000000"/>
          <w:kern w:val="0"/>
          <w:lang w:eastAsia="cs-CZ"/>
          <w14:ligatures w14:val="none"/>
        </w:rPr>
        <w:t>piperitenon</w:t>
      </w:r>
      <w:proofErr w:type="spellEnd"/>
      <w:r w:rsidR="0038553F">
        <w:rPr>
          <w:rFonts w:eastAsia="Times New Roman"/>
          <w:color w:val="000000"/>
          <w:kern w:val="0"/>
          <w:lang w:eastAsia="cs-CZ"/>
          <w14:ligatures w14:val="none"/>
        </w:rPr>
        <w:t xml:space="preserve">, </w:t>
      </w:r>
      <w:proofErr w:type="spellStart"/>
      <w:r w:rsidR="0038553F">
        <w:rPr>
          <w:rFonts w:eastAsia="Times New Roman"/>
          <w:color w:val="000000"/>
          <w:kern w:val="0"/>
          <w:lang w:eastAsia="cs-CZ"/>
          <w14:ligatures w14:val="none"/>
        </w:rPr>
        <w:t>piperiton</w:t>
      </w:r>
      <w:proofErr w:type="spellEnd"/>
      <w:r w:rsidR="0038553F">
        <w:t xml:space="preserve">, EN2 a </w:t>
      </w:r>
      <w:r w:rsidR="003D1365">
        <w:t>3-</w:t>
      </w:r>
      <w:r w:rsidR="0038553F">
        <w:t>methyl</w:t>
      </w:r>
      <w:r w:rsidR="003D1365">
        <w:t>-S</w:t>
      </w:r>
      <w:r w:rsidR="0038553F">
        <w:t>-karvon.</w:t>
      </w:r>
    </w:p>
    <w:p w14:paraId="152DFED2" w14:textId="4A6274DC" w:rsidR="00FF69D7" w:rsidRPr="004B302B" w:rsidRDefault="00C47A2C" w:rsidP="00FF69D7">
      <w:pPr>
        <w:ind w:firstLine="708"/>
      </w:pPr>
      <w:r>
        <w:t xml:space="preserve">Nejprve </w:t>
      </w:r>
      <w:r w:rsidR="002249A8">
        <w:t>byly provedeny experimenty pomocí MTT testu, aby bylo</w:t>
      </w:r>
      <w:r w:rsidR="00E66010">
        <w:t xml:space="preserve"> zjištěno, </w:t>
      </w:r>
      <w:r w:rsidR="00180873">
        <w:t>zdali</w:t>
      </w:r>
      <w:r w:rsidR="00E66010">
        <w:t xml:space="preserve"> mají testované látky cytotoxický </w:t>
      </w:r>
      <w:r w:rsidR="002D6ABC">
        <w:t>účinek na lidskou buněčnou linii LS180.</w:t>
      </w:r>
      <w:r w:rsidR="000E7F2C">
        <w:t xml:space="preserve"> </w:t>
      </w:r>
      <w:r w:rsidR="00B47962">
        <w:t>Z výsledků vyplývá,</w:t>
      </w:r>
      <w:r w:rsidR="00387DF0">
        <w:br/>
      </w:r>
      <w:r w:rsidR="00B47962">
        <w:t>že žádný z</w:t>
      </w:r>
      <w:r w:rsidR="00781CA4">
        <w:t xml:space="preserve"> </w:t>
      </w:r>
      <w:r w:rsidR="00B47962">
        <w:t>monocyklick</w:t>
      </w:r>
      <w:r w:rsidR="00A97A3C">
        <w:t xml:space="preserve">ých monoterpenoidů při použitých koncentracích </w:t>
      </w:r>
      <w:r w:rsidR="00F25085">
        <w:t>nebyl pro buněčnou linii LS180 cytotoxický.</w:t>
      </w:r>
      <w:r w:rsidR="00245D28">
        <w:t xml:space="preserve"> </w:t>
      </w:r>
      <w:r w:rsidR="009262D6">
        <w:t>Ve studii Barto</w:t>
      </w:r>
      <w:r w:rsidR="004B302B">
        <w:t xml:space="preserve">ňková </w:t>
      </w:r>
      <w:r w:rsidR="004B302B">
        <w:rPr>
          <w:i/>
          <w:iCs/>
        </w:rPr>
        <w:t xml:space="preserve">et </w:t>
      </w:r>
      <w:r w:rsidR="004B302B">
        <w:t>Dvořák (</w:t>
      </w:r>
      <w:proofErr w:type="gramStart"/>
      <w:r w:rsidR="004B302B">
        <w:t>2018a</w:t>
      </w:r>
      <w:proofErr w:type="gramEnd"/>
      <w:r w:rsidR="004B302B">
        <w:t>)</w:t>
      </w:r>
      <w:r w:rsidR="005F7811">
        <w:t xml:space="preserve"> byl</w:t>
      </w:r>
      <w:r w:rsidR="00B93000">
        <w:t>o</w:t>
      </w:r>
      <w:r w:rsidR="005F7811">
        <w:t xml:space="preserve"> mimo jiné testován</w:t>
      </w:r>
      <w:r w:rsidR="00B93000">
        <w:t>o, jestli mají esenciální oleje vybraných druhů koření vliv</w:t>
      </w:r>
      <w:r w:rsidR="003531E6">
        <w:t xml:space="preserve"> </w:t>
      </w:r>
      <w:r w:rsidR="00B93000">
        <w:t xml:space="preserve">na životaschopnost </w:t>
      </w:r>
      <w:r w:rsidR="000453C3">
        <w:t xml:space="preserve">vybraných buněčných linií. </w:t>
      </w:r>
      <w:r w:rsidR="0031403C">
        <w:t xml:space="preserve">MTT test byl proveden na </w:t>
      </w:r>
      <w:r w:rsidR="0008539D">
        <w:t>lidskou buněčnou linii LS180, která byla použita</w:t>
      </w:r>
      <w:r w:rsidR="009C7E2E">
        <w:br/>
      </w:r>
      <w:r w:rsidR="0008539D">
        <w:t>i v této bakalářské práci</w:t>
      </w:r>
      <w:r w:rsidR="00733A62">
        <w:t>.</w:t>
      </w:r>
      <w:r w:rsidR="002F24C5">
        <w:t xml:space="preserve"> </w:t>
      </w:r>
      <w:r w:rsidR="009C1043">
        <w:t>Z testovaných 31 esenciálních olejů mělo 9</w:t>
      </w:r>
      <w:r w:rsidR="001A15A3">
        <w:t xml:space="preserve"> </w:t>
      </w:r>
      <w:r w:rsidR="009C1043">
        <w:t>cytotoxický efekt</w:t>
      </w:r>
      <w:r w:rsidR="009C7E2E">
        <w:br/>
      </w:r>
      <w:r w:rsidR="00D03EF2">
        <w:t>na LS180</w:t>
      </w:r>
      <w:r w:rsidR="009C6D0C">
        <w:t>, přičemž životaschopnost klesala ve většině případů</w:t>
      </w:r>
      <w:r w:rsidR="003531E6">
        <w:t xml:space="preserve"> </w:t>
      </w:r>
      <w:r w:rsidR="00396AEF">
        <w:t>od koncentrace 50 µg/ml</w:t>
      </w:r>
      <w:r w:rsidR="009C7E2E">
        <w:br/>
      </w:r>
      <w:r w:rsidR="00B1603B">
        <w:t xml:space="preserve">a pokračovala </w:t>
      </w:r>
      <w:r w:rsidR="00841F21">
        <w:t>v</w:t>
      </w:r>
      <w:r w:rsidR="008726D4">
        <w:t xml:space="preserve"> </w:t>
      </w:r>
      <w:r w:rsidR="0065505D">
        <w:t>poklesu</w:t>
      </w:r>
      <w:r w:rsidR="00841F21">
        <w:t xml:space="preserve"> u koncentrací 100 a 250 µg/ml.</w:t>
      </w:r>
      <w:r w:rsidR="003531E6">
        <w:t xml:space="preserve"> </w:t>
      </w:r>
      <w:r w:rsidR="00E52877">
        <w:t>Mezi k</w:t>
      </w:r>
      <w:r w:rsidR="00124551">
        <w:t>oření</w:t>
      </w:r>
      <w:r w:rsidR="00E52877">
        <w:t>m</w:t>
      </w:r>
      <w:r w:rsidR="00124551">
        <w:t xml:space="preserve">, jejichž esenciální oleje byly testovány a byl </w:t>
      </w:r>
      <w:r w:rsidR="00F53D04">
        <w:t>pozorován cytotoxický efekt, byl</w:t>
      </w:r>
      <w:r w:rsidR="000A04E2">
        <w:t>a</w:t>
      </w:r>
      <w:r w:rsidR="00F53D04">
        <w:t xml:space="preserve"> skořice, </w:t>
      </w:r>
      <w:r w:rsidR="00571EC7">
        <w:t xml:space="preserve">hřebíček, koriandr, citronová tráva, libeček, oregano, </w:t>
      </w:r>
      <w:r w:rsidR="008B6B38">
        <w:t xml:space="preserve">tymián, kurkuma a </w:t>
      </w:r>
      <w:r w:rsidR="00F447CA">
        <w:t>sporýš.</w:t>
      </w:r>
      <w:r w:rsidR="003531E6">
        <w:t xml:space="preserve"> </w:t>
      </w:r>
      <w:r w:rsidR="004E6E26">
        <w:t>U z</w:t>
      </w:r>
      <w:r w:rsidR="00DB2930">
        <w:t>bylých 22 testovaných esenciálních olejů</w:t>
      </w:r>
      <w:r w:rsidR="004E6E26">
        <w:t xml:space="preserve"> nebyly pozorovány cytotoxické účinky.</w:t>
      </w:r>
      <w:r w:rsidR="0041125F">
        <w:t xml:space="preserve"> </w:t>
      </w:r>
      <w:r w:rsidR="001913BA">
        <w:t>Výsledky z</w:t>
      </w:r>
      <w:r w:rsidR="009C7E2E">
        <w:t xml:space="preserve"> </w:t>
      </w:r>
      <w:r w:rsidR="001913BA">
        <w:t>citované studie</w:t>
      </w:r>
      <w:r w:rsidR="00982B54">
        <w:t xml:space="preserve"> však nelze </w:t>
      </w:r>
      <w:r w:rsidR="0013643E">
        <w:t xml:space="preserve">úplně </w:t>
      </w:r>
      <w:r w:rsidR="00982B54">
        <w:t xml:space="preserve">porovnávat s výsledky z této bakalářské práce, </w:t>
      </w:r>
      <w:r w:rsidR="00833EF9">
        <w:t xml:space="preserve">jelikož esenciální oleje jsou směsí </w:t>
      </w:r>
      <w:r w:rsidR="00581F31">
        <w:t>mnoha složek</w:t>
      </w:r>
      <w:r w:rsidR="00A6618C">
        <w:t>, kdežto v této práci bylo pracováno pouze s</w:t>
      </w:r>
      <w:r w:rsidR="008726D4">
        <w:t xml:space="preserve"> </w:t>
      </w:r>
      <w:r w:rsidR="00A6618C">
        <w:t xml:space="preserve">vybranými </w:t>
      </w:r>
      <w:r w:rsidR="00BD682C">
        <w:t xml:space="preserve">jednotlivými </w:t>
      </w:r>
      <w:r w:rsidR="00A6618C">
        <w:t>monocyklickými monoterpenoidy.</w:t>
      </w:r>
      <w:r w:rsidR="00FF69D7">
        <w:t xml:space="preserve"> </w:t>
      </w:r>
      <w:r w:rsidR="001D6C53">
        <w:t xml:space="preserve">Na základě informace od </w:t>
      </w:r>
      <w:r w:rsidR="000207BD">
        <w:t>dr.</w:t>
      </w:r>
      <w:r w:rsidR="001D6C53">
        <w:t xml:space="preserve"> </w:t>
      </w:r>
      <w:proofErr w:type="spellStart"/>
      <w:r w:rsidR="001D6C53">
        <w:t>Zůvalové</w:t>
      </w:r>
      <w:proofErr w:type="spellEnd"/>
      <w:r w:rsidR="00A05DF7">
        <w:t xml:space="preserve"> byly</w:t>
      </w:r>
      <w:r w:rsidR="001D6C53">
        <w:t xml:space="preserve"> v</w:t>
      </w:r>
      <w:r w:rsidR="00FF69D7">
        <w:t xml:space="preserve">šechny </w:t>
      </w:r>
      <w:r w:rsidR="00300D7D">
        <w:t xml:space="preserve">látky </w:t>
      </w:r>
      <w:r w:rsidR="00182AA5">
        <w:t xml:space="preserve">testované </w:t>
      </w:r>
      <w:r w:rsidR="00300D7D">
        <w:t>v rámci této bakalářské práce</w:t>
      </w:r>
      <w:r w:rsidR="00182AA5">
        <w:t xml:space="preserve"> netoxické i v buněčné linii AZ-</w:t>
      </w:r>
      <w:proofErr w:type="spellStart"/>
      <w:r w:rsidR="00182AA5">
        <w:t>AhR</w:t>
      </w:r>
      <w:proofErr w:type="spellEnd"/>
      <w:r w:rsidR="00981326">
        <w:t xml:space="preserve"> </w:t>
      </w:r>
      <w:r w:rsidR="00981326">
        <w:fldChar w:fldCharType="begin"/>
      </w:r>
      <w:r w:rsidR="001B0E14">
        <w:instrText xml:space="preserve"> ADDIN ZOTERO_ITEM CSL_CITATION {"citationID":"Q951pHe3","properties":{"formattedCitation":"(Novotna, Pavek and Dvorak, 2011)","plainCitation":"(Novotna, Pavek and Dvorak, 2011)","dontUpdate":true,"noteIndex":0},"citationItems":[{"id":230,"uris":["http://zotero.org/users/local/UB9PtTOS/items/9ZUPDGWN"],"itemData":{"id":230,"type":"article-journal","container-title":"Environmental Science &amp; Technology","DOI":"10.1021/es2029334","ISSN":"0013-936X, 1520-5851","issue":"23","journalAbbreviation":"Environ. Sci. Technol.","language":"en","page":"10133-10139","source":"DOI.org (Crossref)","title":"Novel Stably Transfected Gene Reporter Human Hepatoma Cell Line for Assessment of Aryl Hydrocarbon Receptor Transcriptional Activity: Construction and Characterization","title-short":"Novel Stably Transfected Gene Reporter Human Hepatoma Cell Line for Assessment of Aryl Hydrocarbon Receptor Transcriptional Activity","volume":"45","author":[{"family":"Novotna","given":"Aneta"},{"family":"Pavek","given":"Petr","suffix":""},{"family":"Dvorak","given":"Zdenek"}],"issued":{"date-parts":[["2011",12,1]]}}}],"schema":"https://github.com/citation-style-language/schema/raw/master/csl-citation.json"} </w:instrText>
      </w:r>
      <w:r w:rsidR="00981326">
        <w:fldChar w:fldCharType="separate"/>
      </w:r>
      <w:r w:rsidR="00981326" w:rsidRPr="00981326">
        <w:t>(Novotna</w:t>
      </w:r>
      <w:r w:rsidR="00981326">
        <w:t xml:space="preserve"> </w:t>
      </w:r>
      <w:r w:rsidR="00981326">
        <w:rPr>
          <w:i/>
          <w:iCs/>
        </w:rPr>
        <w:t>et al</w:t>
      </w:r>
      <w:r w:rsidR="00E43644">
        <w:rPr>
          <w:i/>
          <w:iCs/>
        </w:rPr>
        <w:t>.</w:t>
      </w:r>
      <w:r w:rsidR="00981326" w:rsidRPr="00981326">
        <w:t>, 2011)</w:t>
      </w:r>
      <w:r w:rsidR="00981326">
        <w:fldChar w:fldCharType="end"/>
      </w:r>
      <w:r w:rsidR="007673FC">
        <w:t xml:space="preserve">. </w:t>
      </w:r>
      <w:r w:rsidR="0088680B">
        <w:t xml:space="preserve">Je to stabilně </w:t>
      </w:r>
      <w:proofErr w:type="spellStart"/>
      <w:r w:rsidR="0088680B">
        <w:t>transfekovaná</w:t>
      </w:r>
      <w:proofErr w:type="spellEnd"/>
      <w:r w:rsidR="0088680B">
        <w:t xml:space="preserve"> </w:t>
      </w:r>
      <w:r w:rsidR="0088680B">
        <w:lastRenderedPageBreak/>
        <w:t>buněčná linie HepG2, odvozená od karcinomu jater</w:t>
      </w:r>
      <w:r w:rsidR="00F46956">
        <w:t>.</w:t>
      </w:r>
      <w:r w:rsidR="00E27CC5">
        <w:t xml:space="preserve"> Testování probíhalo po </w:t>
      </w:r>
      <w:proofErr w:type="gramStart"/>
      <w:r w:rsidR="00E27CC5">
        <w:t>24</w:t>
      </w:r>
      <w:r w:rsidR="00C611B3">
        <w:t>-</w:t>
      </w:r>
      <w:r w:rsidR="00E27CC5">
        <w:t>hodinové</w:t>
      </w:r>
      <w:proofErr w:type="gramEnd"/>
      <w:r w:rsidR="00E27CC5">
        <w:t xml:space="preserve"> </w:t>
      </w:r>
      <w:r w:rsidR="00510217">
        <w:t>inkubaci</w:t>
      </w:r>
      <w:r w:rsidR="00991B39">
        <w:t xml:space="preserve"> (</w:t>
      </w:r>
      <w:proofErr w:type="spellStart"/>
      <w:r w:rsidR="00116272">
        <w:t>Zůvalová</w:t>
      </w:r>
      <w:proofErr w:type="spellEnd"/>
      <w:r w:rsidR="00116272">
        <w:t>, osobní sdělení,</w:t>
      </w:r>
      <w:r w:rsidR="0013643E">
        <w:t xml:space="preserve"> </w:t>
      </w:r>
      <w:r w:rsidR="00AB73F0">
        <w:t>19. dubna 2024).</w:t>
      </w:r>
    </w:p>
    <w:p w14:paraId="43AC3239" w14:textId="6374D7C4" w:rsidR="00DC0ADD" w:rsidRDefault="00071D81" w:rsidP="00EB128E">
      <w:pPr>
        <w:ind w:firstLine="708"/>
      </w:pPr>
      <w:r>
        <w:t>Další provedené experimenty v rámci této bakalářské práce</w:t>
      </w:r>
      <w:r w:rsidR="00725C69">
        <w:t xml:space="preserve"> </w:t>
      </w:r>
      <w:r w:rsidR="003F05FD">
        <w:t xml:space="preserve">byly zaměřeny na </w:t>
      </w:r>
      <w:r w:rsidR="00FD335E">
        <w:t xml:space="preserve">testování účinků vybraných monocyklických monoterpenoidů na transkripční aktivitu </w:t>
      </w:r>
      <w:r w:rsidR="00C2056C">
        <w:t>PXR</w:t>
      </w:r>
      <w:r w:rsidR="0026235F">
        <w:t xml:space="preserve"> pomocí luciferázové </w:t>
      </w:r>
      <w:proofErr w:type="spellStart"/>
      <w:r w:rsidR="0026235F">
        <w:t>reportérové</w:t>
      </w:r>
      <w:proofErr w:type="spellEnd"/>
      <w:r w:rsidR="0026235F">
        <w:t xml:space="preserve"> eseje (Obr. </w:t>
      </w:r>
      <w:r w:rsidR="00CC2FAE">
        <w:t>5 a 6</w:t>
      </w:r>
      <w:r w:rsidR="0026235F">
        <w:t>).</w:t>
      </w:r>
      <w:r w:rsidR="00B369EF">
        <w:t xml:space="preserve"> </w:t>
      </w:r>
      <w:r w:rsidR="00975088">
        <w:t>Vliv testovaných látek byl měřen v</w:t>
      </w:r>
      <w:r w:rsidR="00C941BE">
        <w:t> </w:t>
      </w:r>
      <w:r w:rsidR="00975088">
        <w:t>agonistickém</w:t>
      </w:r>
      <w:r w:rsidR="00C941BE">
        <w:br/>
      </w:r>
      <w:r w:rsidR="00975088">
        <w:t>a v</w:t>
      </w:r>
      <w:r w:rsidR="006C5343">
        <w:t xml:space="preserve"> </w:t>
      </w:r>
      <w:r w:rsidR="00975088">
        <w:t>antagonistickém módu</w:t>
      </w:r>
      <w:r w:rsidR="00BF2D5A">
        <w:t xml:space="preserve"> vždy po </w:t>
      </w:r>
      <w:r w:rsidR="00C611B3">
        <w:t>24hodinovém</w:t>
      </w:r>
      <w:r w:rsidR="00BF2D5A">
        <w:t xml:space="preserve"> působení.</w:t>
      </w:r>
      <w:r w:rsidR="0061524B">
        <w:t xml:space="preserve"> </w:t>
      </w:r>
      <w:r w:rsidR="002C2D01">
        <w:t xml:space="preserve">Po vyhodnocení lze </w:t>
      </w:r>
      <w:proofErr w:type="gramStart"/>
      <w:r w:rsidR="002C2D01">
        <w:t>říci</w:t>
      </w:r>
      <w:proofErr w:type="gramEnd"/>
      <w:r w:rsidR="002C2D01">
        <w:t>,</w:t>
      </w:r>
      <w:r w:rsidR="00C941BE">
        <w:br/>
      </w:r>
      <w:r w:rsidR="002C2D01">
        <w:t>že všechny testované látky</w:t>
      </w:r>
      <w:r w:rsidR="005F70A1">
        <w:t xml:space="preserve"> aktivovaly PXR</w:t>
      </w:r>
      <w:r w:rsidR="008E3DF9">
        <w:t>.</w:t>
      </w:r>
      <w:r w:rsidR="003D30DA">
        <w:t xml:space="preserve"> </w:t>
      </w:r>
      <w:r w:rsidR="00EA51EB">
        <w:t>N</w:t>
      </w:r>
      <w:r w:rsidR="001C7E0E">
        <w:t>ejvyšší nárůst indukce v agonistickém módu byl</w:t>
      </w:r>
      <w:r w:rsidR="00EA51EB">
        <w:t xml:space="preserve"> pozorován u látek </w:t>
      </w:r>
      <w:proofErr w:type="spellStart"/>
      <w:r w:rsidR="00EA51EB">
        <w:t>piperit</w:t>
      </w:r>
      <w:r w:rsidR="00E20830">
        <w:t>enonu</w:t>
      </w:r>
      <w:proofErr w:type="spellEnd"/>
      <w:r w:rsidR="00E20830">
        <w:t xml:space="preserve">, </w:t>
      </w:r>
      <w:r w:rsidR="003D1365">
        <w:t>3-</w:t>
      </w:r>
      <w:r w:rsidR="00E20830">
        <w:t>methyl-</w:t>
      </w:r>
      <w:r w:rsidR="003D1365">
        <w:t>S-</w:t>
      </w:r>
      <w:r w:rsidR="00E20830">
        <w:t>karvonu, R-</w:t>
      </w:r>
      <w:proofErr w:type="spellStart"/>
      <w:r w:rsidR="00E20830">
        <w:t>karvonu</w:t>
      </w:r>
      <w:proofErr w:type="spellEnd"/>
      <w:r w:rsidR="00E20830">
        <w:t xml:space="preserve"> a EN2.</w:t>
      </w:r>
      <w:r w:rsidR="008B6D96">
        <w:t xml:space="preserve"> </w:t>
      </w:r>
      <w:r w:rsidR="00660888">
        <w:t xml:space="preserve">Nejnižší nárůst indukce </w:t>
      </w:r>
      <w:r w:rsidR="00962EE6">
        <w:t xml:space="preserve">byl </w:t>
      </w:r>
      <w:r w:rsidR="00C95B90">
        <w:t>naměřen u S</w:t>
      </w:r>
      <w:proofErr w:type="gramStart"/>
      <w:r w:rsidR="00C95B90">
        <w:t>-</w:t>
      </w:r>
      <w:r w:rsidR="003972CD">
        <w:t>(</w:t>
      </w:r>
      <w:proofErr w:type="gramEnd"/>
      <w:r w:rsidR="003972CD">
        <w:t>-)-</w:t>
      </w:r>
      <w:proofErr w:type="spellStart"/>
      <w:r w:rsidR="00C95B90">
        <w:t>perillylalkoholu</w:t>
      </w:r>
      <w:proofErr w:type="spellEnd"/>
      <w:r w:rsidR="002B0791">
        <w:t>.</w:t>
      </w:r>
      <w:r w:rsidR="00C553DD">
        <w:t xml:space="preserve"> </w:t>
      </w:r>
      <w:r w:rsidR="008B0635">
        <w:t>Z výsledků při měření v</w:t>
      </w:r>
      <w:r w:rsidR="009461B0">
        <w:t xml:space="preserve"> </w:t>
      </w:r>
      <w:r w:rsidR="008B0635">
        <w:t xml:space="preserve">antagonistickém módu vyplývá, </w:t>
      </w:r>
      <w:r w:rsidR="005853F6">
        <w:t>že žádná z</w:t>
      </w:r>
      <w:r w:rsidR="008A4988">
        <w:t xml:space="preserve"> </w:t>
      </w:r>
      <w:r w:rsidR="005853F6">
        <w:t>testovaných látek nevykazuje antagonistický účinek</w:t>
      </w:r>
      <w:r w:rsidR="0074167B">
        <w:t xml:space="preserve">, jelikož </w:t>
      </w:r>
      <w:r w:rsidR="007D4F93">
        <w:t xml:space="preserve">nebyl pozorován výrazný pokles </w:t>
      </w:r>
      <w:r w:rsidR="0074167B">
        <w:t>procent maximální indukce</w:t>
      </w:r>
      <w:r w:rsidR="005853F6">
        <w:t>.</w:t>
      </w:r>
    </w:p>
    <w:p w14:paraId="0D0EEC84" w14:textId="34464D05" w:rsidR="005F3512" w:rsidRDefault="00195A2E" w:rsidP="00EB128E">
      <w:pPr>
        <w:ind w:firstLine="708"/>
      </w:pPr>
      <w:r>
        <w:t xml:space="preserve">Studie </w:t>
      </w:r>
      <w:proofErr w:type="spellStart"/>
      <w:r w:rsidR="00D962D2">
        <w:t>Barto</w:t>
      </w:r>
      <w:r w:rsidR="00130237">
        <w:t>nkova</w:t>
      </w:r>
      <w:proofErr w:type="spellEnd"/>
      <w:r w:rsidR="00130237">
        <w:t xml:space="preserve"> </w:t>
      </w:r>
      <w:r w:rsidR="00BD5CFD">
        <w:rPr>
          <w:i/>
          <w:iCs/>
        </w:rPr>
        <w:t xml:space="preserve">et </w:t>
      </w:r>
      <w:proofErr w:type="spellStart"/>
      <w:r w:rsidR="00BD5CFD">
        <w:t>Dvorak</w:t>
      </w:r>
      <w:proofErr w:type="spellEnd"/>
      <w:r w:rsidR="00BD5CFD">
        <w:t xml:space="preserve"> (2018</w:t>
      </w:r>
      <w:r w:rsidR="00C611B3">
        <w:t>c</w:t>
      </w:r>
      <w:r w:rsidR="00BD5CFD">
        <w:t xml:space="preserve">) </w:t>
      </w:r>
      <w:r w:rsidR="00307ACE">
        <w:t xml:space="preserve">se </w:t>
      </w:r>
      <w:r w:rsidR="00341CB7">
        <w:t>zabývala</w:t>
      </w:r>
      <w:r w:rsidR="00E70855">
        <w:t xml:space="preserve"> tím</w:t>
      </w:r>
      <w:r w:rsidR="00341CB7">
        <w:t>,</w:t>
      </w:r>
      <w:r w:rsidR="00307ACE">
        <w:t xml:space="preserve"> </w:t>
      </w:r>
      <w:r w:rsidR="00BF4C12">
        <w:t>jak o</w:t>
      </w:r>
      <w:r w:rsidR="00307ACE">
        <w:t>vliv</w:t>
      </w:r>
      <w:r w:rsidR="00BF4C12">
        <w:t>ňují</w:t>
      </w:r>
      <w:r w:rsidR="00307ACE">
        <w:t xml:space="preserve"> vybran</w:t>
      </w:r>
      <w:r w:rsidR="00BF4C12">
        <w:t>é</w:t>
      </w:r>
      <w:r w:rsidR="00307ACE">
        <w:t xml:space="preserve"> esenciální olej</w:t>
      </w:r>
      <w:r w:rsidR="00BF4C12">
        <w:t>e</w:t>
      </w:r>
      <w:r w:rsidR="00307ACE">
        <w:t xml:space="preserve"> </w:t>
      </w:r>
      <w:r w:rsidR="00BF4C12">
        <w:t>transkripční aktivitu PXR</w:t>
      </w:r>
      <w:r w:rsidR="0036156D">
        <w:t>.</w:t>
      </w:r>
      <w:r w:rsidR="000E7B9A">
        <w:t xml:space="preserve"> </w:t>
      </w:r>
      <w:r w:rsidR="00B4125E">
        <w:t>Látky byly testovány na lidské buněčn</w:t>
      </w:r>
      <w:r w:rsidR="002C5FAD">
        <w:t>é linii LS180</w:t>
      </w:r>
      <w:r w:rsidR="00FF2A6F">
        <w:t>. Všech</w:t>
      </w:r>
      <w:r w:rsidR="006916E0">
        <w:br/>
      </w:r>
      <w:r w:rsidR="00FF2A6F">
        <w:t xml:space="preserve">31 testovaných esenciálních olejů </w:t>
      </w:r>
      <w:r w:rsidR="00121A84">
        <w:t xml:space="preserve">aktivovalo </w:t>
      </w:r>
      <w:r w:rsidR="00E07887">
        <w:t>PXR</w:t>
      </w:r>
      <w:r w:rsidR="000D430A">
        <w:t>.</w:t>
      </w:r>
      <w:r w:rsidR="009E4705">
        <w:t xml:space="preserve"> Dále bylo testováno, zdali mají </w:t>
      </w:r>
      <w:r w:rsidR="00E662FC">
        <w:t>testované esenciální</w:t>
      </w:r>
      <w:r w:rsidR="009E4705">
        <w:t xml:space="preserve"> </w:t>
      </w:r>
      <w:r w:rsidR="00E662FC">
        <w:t xml:space="preserve">oleje antagonistický účinek v přítomnosti </w:t>
      </w:r>
      <w:r w:rsidR="00DB6528">
        <w:t xml:space="preserve">10 µM </w:t>
      </w:r>
      <w:proofErr w:type="spellStart"/>
      <w:r w:rsidR="00E662FC">
        <w:t>rifampicinu</w:t>
      </w:r>
      <w:proofErr w:type="spellEnd"/>
      <w:r w:rsidR="00DB6528">
        <w:t xml:space="preserve">. </w:t>
      </w:r>
      <w:r w:rsidR="00AE0039">
        <w:t>K výraznému poklesu indukc</w:t>
      </w:r>
      <w:r w:rsidR="000152F2">
        <w:t>e PXR došlo u</w:t>
      </w:r>
      <w:r w:rsidR="00AD1A09">
        <w:t xml:space="preserve"> vyšších testovaných koncentrací</w:t>
      </w:r>
      <w:r w:rsidR="000152F2">
        <w:t xml:space="preserve"> </w:t>
      </w:r>
      <w:r w:rsidR="0085336B">
        <w:t xml:space="preserve">u 20 z 31 testovaných látek. Jednalo se např. o látky </w:t>
      </w:r>
      <w:r w:rsidR="007A3486">
        <w:t xml:space="preserve">kmínu, hřebíčku, koriandru, </w:t>
      </w:r>
      <w:r w:rsidR="00295406">
        <w:t>kopru, zázvoru</w:t>
      </w:r>
      <w:r w:rsidR="0085336B">
        <w:t xml:space="preserve"> a mnoha dalších.</w:t>
      </w:r>
      <w:r w:rsidR="00C263AE">
        <w:t xml:space="preserve"> U většiny nižších testovaných koncentrací </w:t>
      </w:r>
      <w:r w:rsidR="00750ECC">
        <w:t xml:space="preserve">však procenta indukce nijak výrazně neklesla, což </w:t>
      </w:r>
      <w:r w:rsidR="007D4043">
        <w:t>se dá pozorovat</w:t>
      </w:r>
      <w:r w:rsidR="00F02AFE">
        <w:br/>
      </w:r>
      <w:r w:rsidR="007D4043">
        <w:t>i u testovaných monocyklických monoterpenoidů v</w:t>
      </w:r>
      <w:r w:rsidR="00F02AFE">
        <w:t xml:space="preserve"> </w:t>
      </w:r>
      <w:r w:rsidR="007D4043">
        <w:t>této bakalářské práci.</w:t>
      </w:r>
      <w:r w:rsidR="00652DCE">
        <w:t xml:space="preserve"> Výsledky </w:t>
      </w:r>
      <w:r w:rsidR="00523D5E">
        <w:t>citované</w:t>
      </w:r>
      <w:r w:rsidR="00652DCE">
        <w:t xml:space="preserve"> studie s výsledky této bakalářské práce</w:t>
      </w:r>
      <w:r w:rsidR="00230F55">
        <w:t xml:space="preserve"> </w:t>
      </w:r>
      <w:r w:rsidR="00557329">
        <w:t xml:space="preserve">se nedají </w:t>
      </w:r>
      <w:r w:rsidR="0069490A">
        <w:t>přímo porovnat, protože esenciální oleje obsahují více složek, kdežto v této práci bylo pracováno pouze s jednotlivými monocyklickými monoterpenoidy. Některé z testovaných monocyklických monoterpenoidů jso</w:t>
      </w:r>
      <w:r w:rsidR="006C74DE">
        <w:t>u však přítomny v esenciálních olejích, které byly ve studii testovány.</w:t>
      </w:r>
      <w:r w:rsidR="00412EAD">
        <w:t xml:space="preserve"> Jedná se např. o </w:t>
      </w:r>
      <w:r w:rsidR="002D490A">
        <w:t xml:space="preserve">esenciální olej </w:t>
      </w:r>
      <w:r w:rsidR="00CF1634">
        <w:t>máty</w:t>
      </w:r>
      <w:r w:rsidR="00E147F2">
        <w:t xml:space="preserve"> peprné (</w:t>
      </w:r>
      <w:proofErr w:type="spellStart"/>
      <w:r w:rsidR="00E147F2">
        <w:rPr>
          <w:i/>
          <w:iCs/>
        </w:rPr>
        <w:t>Mentha</w:t>
      </w:r>
      <w:proofErr w:type="spellEnd"/>
      <w:r w:rsidR="00E147F2">
        <w:rPr>
          <w:i/>
          <w:iCs/>
        </w:rPr>
        <w:t xml:space="preserve"> </w:t>
      </w:r>
      <w:proofErr w:type="spellStart"/>
      <w:r w:rsidR="00E147F2">
        <w:rPr>
          <w:i/>
          <w:iCs/>
        </w:rPr>
        <w:t>piperita</w:t>
      </w:r>
      <w:proofErr w:type="spellEnd"/>
      <w:r w:rsidR="00E147F2">
        <w:t>)</w:t>
      </w:r>
      <w:r w:rsidR="002D490A">
        <w:t xml:space="preserve">, </w:t>
      </w:r>
      <w:r w:rsidR="00D46797">
        <w:t>který obsahuje</w:t>
      </w:r>
      <w:r w:rsidR="00410544">
        <w:t xml:space="preserve"> látku </w:t>
      </w:r>
      <w:proofErr w:type="spellStart"/>
      <w:r w:rsidR="00F55F9C">
        <w:t>menthol</w:t>
      </w:r>
      <w:proofErr w:type="spellEnd"/>
      <w:r w:rsidR="00F55F9C">
        <w:t>.</w:t>
      </w:r>
      <w:r w:rsidR="006C7F18">
        <w:t xml:space="preserve"> V</w:t>
      </w:r>
      <w:r w:rsidR="00C15603">
        <w:t>e studii je úroveň indukce PXR esenciálním olejem z</w:t>
      </w:r>
      <w:r w:rsidR="00E240A4">
        <w:t> </w:t>
      </w:r>
      <w:r w:rsidR="00C15603">
        <w:t>máty</w:t>
      </w:r>
      <w:r w:rsidR="00E240A4">
        <w:t xml:space="preserve"> peprné</w:t>
      </w:r>
      <w:r w:rsidR="00C15603">
        <w:t xml:space="preserve"> </w:t>
      </w:r>
      <w:r w:rsidR="00E240A4">
        <w:t>srovnatelná</w:t>
      </w:r>
      <w:r w:rsidR="00C15603">
        <w:t xml:space="preserve">, jako </w:t>
      </w:r>
      <w:r w:rsidR="00C722EA">
        <w:t xml:space="preserve">úroveň indukce obou izomerů </w:t>
      </w:r>
      <w:proofErr w:type="spellStart"/>
      <w:r w:rsidR="00C722EA">
        <w:t>mentholu</w:t>
      </w:r>
      <w:proofErr w:type="spellEnd"/>
      <w:r w:rsidR="00C722EA">
        <w:t xml:space="preserve"> v této práci.</w:t>
      </w:r>
    </w:p>
    <w:p w14:paraId="20A96DF0" w14:textId="788C5F8A" w:rsidR="005F3512" w:rsidRDefault="005F3512" w:rsidP="00EB128E">
      <w:pPr>
        <w:ind w:firstLine="708"/>
      </w:pPr>
      <w:r>
        <w:t>Jediným dosud publikovaným zdrojem informací v literatuře zabývajícím se studiem vlivu testovaných</w:t>
      </w:r>
      <w:r w:rsidR="007F0DE2">
        <w:t xml:space="preserve"> monoterpenoidů na transkripční aktivitu PXR je studie </w:t>
      </w:r>
      <w:proofErr w:type="spellStart"/>
      <w:r w:rsidR="007F0DE2">
        <w:t>Hoshino</w:t>
      </w:r>
      <w:proofErr w:type="spellEnd"/>
      <w:r w:rsidR="007F0DE2">
        <w:t xml:space="preserve"> </w:t>
      </w:r>
      <w:r w:rsidR="007F0DE2">
        <w:rPr>
          <w:i/>
          <w:iCs/>
        </w:rPr>
        <w:t xml:space="preserve">et al. </w:t>
      </w:r>
      <w:r w:rsidR="007F0DE2">
        <w:t>(2014)</w:t>
      </w:r>
      <w:r w:rsidR="00320F84">
        <w:t xml:space="preserve">. V rámci této publikace byl testován vliv </w:t>
      </w:r>
      <w:proofErr w:type="spellStart"/>
      <w:r w:rsidR="00320F84">
        <w:t>mentholu</w:t>
      </w:r>
      <w:proofErr w:type="spellEnd"/>
      <w:r w:rsidR="00320F84">
        <w:t xml:space="preserve"> na expresi proteinů rodiny CYP450 a zdali má </w:t>
      </w:r>
      <w:proofErr w:type="spellStart"/>
      <w:r w:rsidR="00320F84">
        <w:t>menthol</w:t>
      </w:r>
      <w:proofErr w:type="spellEnd"/>
      <w:r w:rsidR="00320F84">
        <w:t xml:space="preserve"> vliv na jadernou translokaci PXR.</w:t>
      </w:r>
      <w:r w:rsidR="00A506D8">
        <w:t xml:space="preserve"> Z výsledků je zřejmé, že </w:t>
      </w:r>
      <w:proofErr w:type="spellStart"/>
      <w:r w:rsidR="00A506D8">
        <w:t>menthol</w:t>
      </w:r>
      <w:proofErr w:type="spellEnd"/>
      <w:r w:rsidR="00A506D8">
        <w:t xml:space="preserve"> ve 100 µM</w:t>
      </w:r>
      <w:r w:rsidR="0028798E">
        <w:t xml:space="preserve"> koncentraci zvyšuje expresi PXR a CAR cílových genů </w:t>
      </w:r>
      <w:r w:rsidR="0028798E">
        <w:rPr>
          <w:i/>
          <w:iCs/>
        </w:rPr>
        <w:t xml:space="preserve">CYP2C </w:t>
      </w:r>
      <w:r w:rsidR="0028798E">
        <w:t xml:space="preserve">a </w:t>
      </w:r>
      <w:r w:rsidR="0028798E">
        <w:rPr>
          <w:i/>
          <w:iCs/>
        </w:rPr>
        <w:t xml:space="preserve">CYP3A </w:t>
      </w:r>
      <w:r w:rsidR="0028798E">
        <w:t>na úrovni mRNA v </w:t>
      </w:r>
      <w:proofErr w:type="spellStart"/>
      <w:r w:rsidR="0028798E">
        <w:t>HepaRG</w:t>
      </w:r>
      <w:proofErr w:type="spellEnd"/>
      <w:r w:rsidR="0028798E">
        <w:t xml:space="preserve"> buňkách</w:t>
      </w:r>
      <w:r w:rsidR="008D332C">
        <w:t xml:space="preserve">. Také působí na myší jaterní buňky, ve kterých indukuje jadernou translokaci PXR a zároveň byla signifikantně zvýšená exprese </w:t>
      </w:r>
      <w:r w:rsidR="008D332C">
        <w:rPr>
          <w:i/>
          <w:iCs/>
        </w:rPr>
        <w:t xml:space="preserve">MRP3 </w:t>
      </w:r>
      <w:r w:rsidR="008D332C">
        <w:t xml:space="preserve">genu, cílového genu PXR. </w:t>
      </w:r>
      <w:r w:rsidR="008D332C">
        <w:lastRenderedPageBreak/>
        <w:t xml:space="preserve">Tyto výsledky ukazují vliv </w:t>
      </w:r>
      <w:proofErr w:type="spellStart"/>
      <w:r w:rsidR="008D332C">
        <w:t>mentholu</w:t>
      </w:r>
      <w:proofErr w:type="spellEnd"/>
      <w:r w:rsidR="008D332C">
        <w:t xml:space="preserve"> na PXR a jsou konzistentní s výsledky zjištěnými v rámci této bakalářské práce.</w:t>
      </w:r>
    </w:p>
    <w:p w14:paraId="4AA814B5" w14:textId="008D1314" w:rsidR="008359E5" w:rsidRPr="008E2C7A" w:rsidRDefault="004A41B6" w:rsidP="002F2E67">
      <w:pPr>
        <w:ind w:firstLine="708"/>
      </w:pPr>
      <w:r>
        <w:t>Pro jakoukoliv praktickou aplikaci</w:t>
      </w:r>
      <w:r w:rsidR="009E19D8">
        <w:t xml:space="preserve"> je</w:t>
      </w:r>
      <w:r>
        <w:t xml:space="preserve"> </w:t>
      </w:r>
      <w:proofErr w:type="spellStart"/>
      <w:r>
        <w:t>cross</w:t>
      </w:r>
      <w:proofErr w:type="spellEnd"/>
      <w:r>
        <w:t xml:space="preserve">-talk s jinými jadernými receptory </w:t>
      </w:r>
      <w:r w:rsidR="009E19D8">
        <w:t>nežádoucí. Je tedy nutné zkoumat také interakce testovaných látek s</w:t>
      </w:r>
      <w:r w:rsidR="005E77DD">
        <w:t xml:space="preserve"> </w:t>
      </w:r>
      <w:r w:rsidR="009E19D8">
        <w:t>ostatními jadernými receptory</w:t>
      </w:r>
      <w:r w:rsidR="00A00E1C">
        <w:t>.</w:t>
      </w:r>
      <w:r w:rsidR="002D5EE1">
        <w:br/>
      </w:r>
      <w:r w:rsidR="00A00E1C">
        <w:t xml:space="preserve">Na základě informace od dr. </w:t>
      </w:r>
      <w:proofErr w:type="spellStart"/>
      <w:r w:rsidR="00A00E1C">
        <w:t>Zůvalové</w:t>
      </w:r>
      <w:proofErr w:type="spellEnd"/>
      <w:r w:rsidR="00A00E1C">
        <w:t xml:space="preserve"> jsou všechny testované látky </w:t>
      </w:r>
      <w:r w:rsidR="008E5093">
        <w:t>v této bakalářské práci, kromě (</w:t>
      </w:r>
      <w:proofErr w:type="gramStart"/>
      <w:r w:rsidR="008E5093">
        <w:t>-)-</w:t>
      </w:r>
      <w:proofErr w:type="spellStart"/>
      <w:proofErr w:type="gramEnd"/>
      <w:r w:rsidR="008E5093">
        <w:t>mentholu</w:t>
      </w:r>
      <w:proofErr w:type="spellEnd"/>
      <w:r w:rsidR="008E5093">
        <w:t xml:space="preserve"> a (+)-</w:t>
      </w:r>
      <w:proofErr w:type="spellStart"/>
      <w:r w:rsidR="008E5093">
        <w:t>mentholu</w:t>
      </w:r>
      <w:proofErr w:type="spellEnd"/>
      <w:r w:rsidR="00F54BDC">
        <w:t xml:space="preserve">, antagonisté lidského </w:t>
      </w:r>
      <w:proofErr w:type="spellStart"/>
      <w:r w:rsidR="00F54BDC">
        <w:t>AhR</w:t>
      </w:r>
      <w:proofErr w:type="spellEnd"/>
      <w:r w:rsidR="00F54BDC">
        <w:t xml:space="preserve"> (</w:t>
      </w:r>
      <w:proofErr w:type="spellStart"/>
      <w:r w:rsidR="00F54BDC">
        <w:t>Zůvalová</w:t>
      </w:r>
      <w:proofErr w:type="spellEnd"/>
      <w:r w:rsidR="00F54BDC">
        <w:t>, osobní sdělení,</w:t>
      </w:r>
      <w:r w:rsidR="005E77DD">
        <w:br/>
      </w:r>
      <w:r w:rsidR="00F54BDC">
        <w:t>19. dubna 2024).</w:t>
      </w:r>
      <w:r w:rsidR="008B7819">
        <w:t xml:space="preserve"> </w:t>
      </w:r>
      <w:r w:rsidR="00F73CEC">
        <w:t xml:space="preserve">Vliv </w:t>
      </w:r>
      <w:proofErr w:type="gramStart"/>
      <w:r w:rsidR="00F73CEC">
        <w:t>R- a</w:t>
      </w:r>
      <w:proofErr w:type="gramEnd"/>
      <w:r w:rsidR="00F73CEC">
        <w:t xml:space="preserve"> S-</w:t>
      </w:r>
      <w:proofErr w:type="spellStart"/>
      <w:r w:rsidR="00F73CEC">
        <w:t>karvonu</w:t>
      </w:r>
      <w:proofErr w:type="spellEnd"/>
      <w:r w:rsidR="00F73CEC">
        <w:t xml:space="preserve"> na transkripční aktivitu </w:t>
      </w:r>
      <w:proofErr w:type="spellStart"/>
      <w:r w:rsidR="00F73CEC">
        <w:t>AhR</w:t>
      </w:r>
      <w:proofErr w:type="spellEnd"/>
      <w:r w:rsidR="00F73CEC">
        <w:t xml:space="preserve"> byl detailně popsán v publikaci Ondrová </w:t>
      </w:r>
      <w:r w:rsidR="00F73CEC">
        <w:rPr>
          <w:i/>
          <w:iCs/>
        </w:rPr>
        <w:t xml:space="preserve">et al. </w:t>
      </w:r>
      <w:r w:rsidR="00F73CEC">
        <w:t>(2023), kdy bylo zjištěno, že S-</w:t>
      </w:r>
      <w:proofErr w:type="spellStart"/>
      <w:r w:rsidR="00F73CEC">
        <w:t>karvon</w:t>
      </w:r>
      <w:proofErr w:type="spellEnd"/>
      <w:r w:rsidR="00F73CEC">
        <w:t xml:space="preserve"> i R-</w:t>
      </w:r>
      <w:proofErr w:type="spellStart"/>
      <w:r w:rsidR="00F73CEC">
        <w:t>karvon</w:t>
      </w:r>
      <w:proofErr w:type="spellEnd"/>
      <w:r w:rsidR="00F73CEC">
        <w:t xml:space="preserve"> jsou nekompetitivními </w:t>
      </w:r>
      <w:r w:rsidR="00582C08">
        <w:t xml:space="preserve">antagonisty lidského </w:t>
      </w:r>
      <w:proofErr w:type="spellStart"/>
      <w:r w:rsidR="00582C08">
        <w:t>AhR</w:t>
      </w:r>
      <w:proofErr w:type="spellEnd"/>
      <w:r w:rsidR="00582C08">
        <w:t xml:space="preserve"> blokujícími tvorbu </w:t>
      </w:r>
      <w:proofErr w:type="spellStart"/>
      <w:r w:rsidR="00582C08">
        <w:t>heterodimeru</w:t>
      </w:r>
      <w:proofErr w:type="spellEnd"/>
      <w:r w:rsidR="00582C08">
        <w:t xml:space="preserve"> </w:t>
      </w:r>
      <w:proofErr w:type="spellStart"/>
      <w:r w:rsidR="00582C08">
        <w:t>AhR</w:t>
      </w:r>
      <w:proofErr w:type="spellEnd"/>
      <w:r w:rsidR="00582C08">
        <w:t>-ARNT.</w:t>
      </w:r>
      <w:r w:rsidR="00E522F6">
        <w:t xml:space="preserve"> K zajímavému výsledku týkajícího se vlivu monocyklického monoterpenoidu </w:t>
      </w:r>
      <w:proofErr w:type="spellStart"/>
      <w:r w:rsidR="00E522F6">
        <w:t>mentholu</w:t>
      </w:r>
      <w:proofErr w:type="spellEnd"/>
      <w:r w:rsidR="00E522F6">
        <w:t xml:space="preserve"> došla studie Michalíková </w:t>
      </w:r>
      <w:r w:rsidR="00E522F6">
        <w:rPr>
          <w:i/>
          <w:iCs/>
        </w:rPr>
        <w:t xml:space="preserve">et al. </w:t>
      </w:r>
      <w:r w:rsidR="00E522F6">
        <w:t>(2019)</w:t>
      </w:r>
      <w:r w:rsidR="00E0638C">
        <w:t>, kde byl testován vliv antimikrobiálních látek v</w:t>
      </w:r>
      <w:r w:rsidR="007F754D">
        <w:t xml:space="preserve"> </w:t>
      </w:r>
      <w:r w:rsidR="00E0638C">
        <w:t>produktech</w:t>
      </w:r>
      <w:r w:rsidR="007F754D">
        <w:br/>
      </w:r>
      <w:r w:rsidR="00E0638C">
        <w:t xml:space="preserve">pro péči o chrup. Pomocí metody </w:t>
      </w:r>
      <w:proofErr w:type="spellStart"/>
      <w:r w:rsidR="00E0638C">
        <w:t>androgenic</w:t>
      </w:r>
      <w:proofErr w:type="spellEnd"/>
      <w:r w:rsidR="00E0638C">
        <w:t xml:space="preserve"> </w:t>
      </w:r>
      <w:proofErr w:type="spellStart"/>
      <w:r w:rsidR="007F215D">
        <w:t>recombinant</w:t>
      </w:r>
      <w:proofErr w:type="spellEnd"/>
      <w:r w:rsidR="007F215D">
        <w:t xml:space="preserve"> </w:t>
      </w:r>
      <w:proofErr w:type="spellStart"/>
      <w:r w:rsidR="007F215D">
        <w:t>yeast</w:t>
      </w:r>
      <w:proofErr w:type="spellEnd"/>
      <w:r w:rsidR="007F215D">
        <w:t xml:space="preserve"> </w:t>
      </w:r>
      <w:proofErr w:type="spellStart"/>
      <w:r w:rsidR="007F215D">
        <w:t>assay</w:t>
      </w:r>
      <w:proofErr w:type="spellEnd"/>
      <w:r w:rsidR="007F215D">
        <w:t xml:space="preserve"> bylo zjištěno, že </w:t>
      </w:r>
      <w:proofErr w:type="spellStart"/>
      <w:r w:rsidR="007F215D">
        <w:t>menthol</w:t>
      </w:r>
      <w:proofErr w:type="spellEnd"/>
      <w:r w:rsidR="007F215D">
        <w:t xml:space="preserve"> má slabý indukující efekt na androgenní recept</w:t>
      </w:r>
      <w:r w:rsidR="00A27D23">
        <w:t>o</w:t>
      </w:r>
      <w:r w:rsidR="007F215D">
        <w:t>r (</w:t>
      </w:r>
      <w:r w:rsidR="00A27D23">
        <w:t>AR). V roce 2021 byl (</w:t>
      </w:r>
      <w:proofErr w:type="gramStart"/>
      <w:r w:rsidR="00A27D23">
        <w:t>-)-</w:t>
      </w:r>
      <w:proofErr w:type="spellStart"/>
      <w:proofErr w:type="gramEnd"/>
      <w:r w:rsidR="00A27D23">
        <w:t>menthol</w:t>
      </w:r>
      <w:proofErr w:type="spellEnd"/>
      <w:r w:rsidR="00A27D23">
        <w:t xml:space="preserve"> popsán jako induktor transkripční aktivity </w:t>
      </w:r>
      <w:r w:rsidR="008E2C7A">
        <w:t>glukokortikoidního receptoru (GR) (</w:t>
      </w:r>
      <w:proofErr w:type="spellStart"/>
      <w:r w:rsidR="008E2C7A">
        <w:t>Ryu</w:t>
      </w:r>
      <w:proofErr w:type="spellEnd"/>
      <w:r w:rsidR="008E2C7A">
        <w:t xml:space="preserve"> </w:t>
      </w:r>
      <w:r w:rsidR="008E2C7A">
        <w:rPr>
          <w:i/>
          <w:iCs/>
        </w:rPr>
        <w:t>et al.</w:t>
      </w:r>
      <w:r w:rsidR="008E2C7A">
        <w:t>, 2021). Z výše uvedeného je patrná důležitost studia interakce monoterpenoidů testovaných v</w:t>
      </w:r>
      <w:r w:rsidR="00CE6012">
        <w:t xml:space="preserve"> </w:t>
      </w:r>
      <w:r w:rsidR="008E2C7A">
        <w:t>rámci této bakalářské práce s dalšími jadernými a steroidními receptory.</w:t>
      </w:r>
    </w:p>
    <w:p w14:paraId="7EF8B71D" w14:textId="716E7FC7" w:rsidR="0014669A" w:rsidRPr="00CD6758" w:rsidRDefault="00156118" w:rsidP="00EB14DE">
      <w:pPr>
        <w:ind w:firstLine="708"/>
      </w:pPr>
      <w:r>
        <w:t xml:space="preserve">Při shrnutí dosažených výsledků této bakalářské práce </w:t>
      </w:r>
      <w:r w:rsidR="006D4DC6">
        <w:t xml:space="preserve">lze </w:t>
      </w:r>
      <w:proofErr w:type="gramStart"/>
      <w:r w:rsidR="006D4DC6">
        <w:t>říci</w:t>
      </w:r>
      <w:proofErr w:type="gramEnd"/>
      <w:r w:rsidR="006D4DC6">
        <w:t xml:space="preserve">, že testované monocyklické monoterpenoidy </w:t>
      </w:r>
      <w:r w:rsidR="00F764A5">
        <w:t xml:space="preserve">mají vliv na aktivaci PXR a tím by mohly </w:t>
      </w:r>
      <w:r w:rsidR="005F71C9">
        <w:t xml:space="preserve">indukovat expresi jeho cílových genů. </w:t>
      </w:r>
      <w:r w:rsidR="000F6A08">
        <w:t xml:space="preserve">Díky těmto </w:t>
      </w:r>
      <w:r w:rsidR="00E46916">
        <w:t xml:space="preserve">výsledkům lze </w:t>
      </w:r>
      <w:proofErr w:type="gramStart"/>
      <w:r w:rsidR="008061F8">
        <w:t>říci</w:t>
      </w:r>
      <w:proofErr w:type="gramEnd"/>
      <w:r w:rsidR="00E46916">
        <w:t xml:space="preserve">, </w:t>
      </w:r>
      <w:r w:rsidR="0082346E">
        <w:t>že jednotlivé složky esenciálních olejů</w:t>
      </w:r>
      <w:r w:rsidR="005E68E9">
        <w:t xml:space="preserve"> </w:t>
      </w:r>
      <w:r w:rsidR="002812AE">
        <w:t xml:space="preserve">by mohly mít vliv na metabolismus </w:t>
      </w:r>
      <w:r w:rsidR="00306513">
        <w:t xml:space="preserve">endogenních látek i </w:t>
      </w:r>
      <w:r w:rsidR="002812AE">
        <w:t xml:space="preserve">léčiv </w:t>
      </w:r>
      <w:r w:rsidR="00F4657F">
        <w:t xml:space="preserve">a zasahovat tak do lékových interakcí. </w:t>
      </w:r>
      <w:r w:rsidR="00266F58">
        <w:t xml:space="preserve">Tuto problematiku je </w:t>
      </w:r>
      <w:r w:rsidR="00AC6297">
        <w:t xml:space="preserve">tak </w:t>
      </w:r>
      <w:r w:rsidR="00266F58">
        <w:t xml:space="preserve">potřeba v budoucnu dále studovat a </w:t>
      </w:r>
      <w:r w:rsidR="008560CE">
        <w:t>provádět další výzkumy</w:t>
      </w:r>
      <w:r w:rsidR="009F5C67">
        <w:t xml:space="preserve"> nejen </w:t>
      </w:r>
      <w:r w:rsidR="005C16EA">
        <w:t>s ohledem na PXR,</w:t>
      </w:r>
      <w:r w:rsidR="00545A06">
        <w:t xml:space="preserve"> ale i na ostatní jaderné receptory.</w:t>
      </w:r>
    </w:p>
    <w:p w14:paraId="40899549" w14:textId="59754C05" w:rsidR="00B26C0B" w:rsidRDefault="009D3C41" w:rsidP="00D56C19">
      <w:pPr>
        <w:ind w:firstLine="708"/>
      </w:pPr>
      <w:r>
        <w:t>Mezi d</w:t>
      </w:r>
      <w:r w:rsidR="006C03A6">
        <w:t>o</w:t>
      </w:r>
      <w:r>
        <w:t>poručení pro budoucí výzkum k prohloubení znalost</w:t>
      </w:r>
      <w:r w:rsidR="003E1C1B">
        <w:t>í</w:t>
      </w:r>
      <w:r>
        <w:t xml:space="preserve"> této tématiky </w:t>
      </w:r>
      <w:r w:rsidR="00760753">
        <w:t xml:space="preserve">by </w:t>
      </w:r>
      <w:r w:rsidR="009537EF">
        <w:t>se dalo zařadit</w:t>
      </w:r>
      <w:r w:rsidR="00760753">
        <w:t xml:space="preserve"> např. zkrá</w:t>
      </w:r>
      <w:r w:rsidR="00616DC4">
        <w:t>cení</w:t>
      </w:r>
      <w:r w:rsidR="00760753">
        <w:t xml:space="preserve"> čas</w:t>
      </w:r>
      <w:r w:rsidR="00616DC4">
        <w:t>u</w:t>
      </w:r>
      <w:r w:rsidR="00760753">
        <w:t xml:space="preserve"> </w:t>
      </w:r>
      <w:r w:rsidR="00BB15CC">
        <w:t xml:space="preserve">inkubace </w:t>
      </w:r>
      <w:r w:rsidR="009B1212">
        <w:t xml:space="preserve">při provádění experimentů na </w:t>
      </w:r>
      <w:r w:rsidR="00545A06">
        <w:t>8</w:t>
      </w:r>
      <w:r w:rsidR="009B1212">
        <w:t xml:space="preserve"> nebo </w:t>
      </w:r>
      <w:r w:rsidR="00545A06">
        <w:t>12</w:t>
      </w:r>
      <w:r w:rsidR="009B1212">
        <w:t xml:space="preserve"> hodin.</w:t>
      </w:r>
      <w:r w:rsidR="003E1C1B">
        <w:t xml:space="preserve"> Dalšími doporučeními by bylo provést analýzu exprese cílových genů</w:t>
      </w:r>
      <w:r w:rsidR="009141BD">
        <w:t xml:space="preserve"> PXR</w:t>
      </w:r>
      <w:r w:rsidR="00623727">
        <w:t xml:space="preserve">, tedy </w:t>
      </w:r>
      <w:r w:rsidR="00623727" w:rsidRPr="00951BB4">
        <w:rPr>
          <w:i/>
          <w:iCs/>
        </w:rPr>
        <w:t>CYP3A4</w:t>
      </w:r>
      <w:r w:rsidR="00623727">
        <w:t xml:space="preserve"> a </w:t>
      </w:r>
      <w:r w:rsidR="00623727" w:rsidRPr="00951BB4">
        <w:rPr>
          <w:i/>
          <w:iCs/>
        </w:rPr>
        <w:t>MDR1</w:t>
      </w:r>
      <w:r w:rsidR="00623727">
        <w:t>,</w:t>
      </w:r>
      <w:r w:rsidR="00677EA3">
        <w:br/>
      </w:r>
      <w:r w:rsidR="00D404A5">
        <w:t xml:space="preserve">jak </w:t>
      </w:r>
      <w:r w:rsidR="009141BD">
        <w:t xml:space="preserve">na úrovni </w:t>
      </w:r>
      <w:r w:rsidR="00BA0F04">
        <w:t>mRNA,</w:t>
      </w:r>
      <w:r w:rsidR="00D404A5">
        <w:t xml:space="preserve"> tak na úrovni proteinu.</w:t>
      </w:r>
    </w:p>
    <w:p w14:paraId="0021B9FE" w14:textId="45E3D4A2" w:rsidR="000C1DC4" w:rsidRDefault="00B26C0B" w:rsidP="00B26C0B">
      <w:pPr>
        <w:spacing w:line="259" w:lineRule="auto"/>
        <w:jc w:val="left"/>
      </w:pPr>
      <w:r>
        <w:br w:type="page"/>
      </w:r>
    </w:p>
    <w:p w14:paraId="7FD43283" w14:textId="77777777" w:rsidR="000C1DC4" w:rsidRDefault="000C1DC4" w:rsidP="000B1FEF">
      <w:pPr>
        <w:pStyle w:val="Nadpis1"/>
      </w:pPr>
      <w:bookmarkStart w:id="48" w:name="_Toc165492908"/>
      <w:r>
        <w:lastRenderedPageBreak/>
        <w:t>7</w:t>
      </w:r>
      <w:r>
        <w:tab/>
        <w:t>ZÁVĚR</w:t>
      </w:r>
      <w:bookmarkEnd w:id="48"/>
    </w:p>
    <w:p w14:paraId="4F940980" w14:textId="1EFEB911" w:rsidR="00D8399A" w:rsidRDefault="00CE6CC7" w:rsidP="000B1FEF">
      <w:r>
        <w:tab/>
        <w:t>V této bakalářské práci</w:t>
      </w:r>
      <w:r w:rsidR="00EE5278">
        <w:t xml:space="preserve"> byl</w:t>
      </w:r>
      <w:r w:rsidR="00763F66">
        <w:t xml:space="preserve"> </w:t>
      </w:r>
      <w:r w:rsidR="007E0198">
        <w:t>testován vliv S-(</w:t>
      </w:r>
      <w:proofErr w:type="gramStart"/>
      <w:r w:rsidR="007E0198">
        <w:t>-)-</w:t>
      </w:r>
      <w:proofErr w:type="spellStart"/>
      <w:proofErr w:type="gramEnd"/>
      <w:r w:rsidR="007E0198">
        <w:t>pulegonu</w:t>
      </w:r>
      <w:proofErr w:type="spellEnd"/>
      <w:r w:rsidR="007E0198">
        <w:t>, R-(+)-</w:t>
      </w:r>
      <w:proofErr w:type="spellStart"/>
      <w:r w:rsidR="007E0198">
        <w:t>pulegonu</w:t>
      </w:r>
      <w:proofErr w:type="spellEnd"/>
      <w:r w:rsidR="007E0198">
        <w:t>, (+)-</w:t>
      </w:r>
      <w:proofErr w:type="spellStart"/>
      <w:r w:rsidR="007E0198">
        <w:t>mentholu</w:t>
      </w:r>
      <w:proofErr w:type="spellEnd"/>
      <w:r w:rsidR="007E0198">
        <w:t>, (-)-</w:t>
      </w:r>
      <w:proofErr w:type="spellStart"/>
      <w:r w:rsidR="007E0198">
        <w:t>mentholu</w:t>
      </w:r>
      <w:proofErr w:type="spellEnd"/>
      <w:r w:rsidR="007E0198">
        <w:t xml:space="preserve">, </w:t>
      </w:r>
      <w:proofErr w:type="spellStart"/>
      <w:r w:rsidR="00D51F2D">
        <w:t>piperitenonu</w:t>
      </w:r>
      <w:proofErr w:type="spellEnd"/>
      <w:r w:rsidR="00D51F2D">
        <w:t>, S-(-)-</w:t>
      </w:r>
      <w:proofErr w:type="spellStart"/>
      <w:r w:rsidR="00D51F2D">
        <w:t>perillylalkoholu</w:t>
      </w:r>
      <w:proofErr w:type="spellEnd"/>
      <w:r w:rsidR="00D51F2D">
        <w:t xml:space="preserve">, </w:t>
      </w:r>
      <w:proofErr w:type="spellStart"/>
      <w:r w:rsidR="00D51F2D">
        <w:t>piperitonu</w:t>
      </w:r>
      <w:proofErr w:type="spellEnd"/>
      <w:r w:rsidR="00D51F2D">
        <w:t>, 3-methyl-S-karvonu, R-</w:t>
      </w:r>
      <w:proofErr w:type="spellStart"/>
      <w:r w:rsidR="00D51F2D">
        <w:t>karvonu</w:t>
      </w:r>
      <w:proofErr w:type="spellEnd"/>
      <w:r w:rsidR="008F4ADB">
        <w:t xml:space="preserve">, </w:t>
      </w:r>
      <w:r w:rsidR="00D51F2D">
        <w:t>S-</w:t>
      </w:r>
      <w:proofErr w:type="spellStart"/>
      <w:r w:rsidR="00D51F2D">
        <w:t>karvonu</w:t>
      </w:r>
      <w:proofErr w:type="spellEnd"/>
      <w:r w:rsidR="008F4ADB">
        <w:t xml:space="preserve"> a EN2</w:t>
      </w:r>
      <w:r w:rsidR="00D51F2D">
        <w:t xml:space="preserve"> </w:t>
      </w:r>
      <w:r w:rsidR="006617E1">
        <w:t>na</w:t>
      </w:r>
      <w:r w:rsidR="00D8399A">
        <w:t xml:space="preserve"> transkripční aktivitu</w:t>
      </w:r>
      <w:r w:rsidR="00DE4A24">
        <w:t xml:space="preserve"> lidského </w:t>
      </w:r>
      <w:proofErr w:type="spellStart"/>
      <w:r w:rsidR="00DE4A24">
        <w:t>pregnanového</w:t>
      </w:r>
      <w:proofErr w:type="spellEnd"/>
      <w:r w:rsidR="00DE4A24">
        <w:t xml:space="preserve"> X receptoru (PXR).</w:t>
      </w:r>
    </w:p>
    <w:p w14:paraId="46D8E25F" w14:textId="77777777" w:rsidR="00FD7B5E" w:rsidRDefault="00DE4A24" w:rsidP="00DE4A24">
      <w:pPr>
        <w:ind w:firstLine="708"/>
      </w:pPr>
      <w:r>
        <w:t xml:space="preserve">Nejprve byla zjišťována </w:t>
      </w:r>
      <w:r w:rsidR="006617E1">
        <w:t>životaschopnost lidské buněčné linie LS180 pomocí MTT testu</w:t>
      </w:r>
      <w:r w:rsidR="00FD7B5E">
        <w:t xml:space="preserve"> po aplikaci testovaných látek</w:t>
      </w:r>
      <w:r w:rsidR="005048F7">
        <w:t xml:space="preserve">. </w:t>
      </w:r>
      <w:r w:rsidR="005358CF">
        <w:t>Žádná z testovaných látek ve všech testovaných koncentracích nevykazovala cytotoxický efekt.</w:t>
      </w:r>
    </w:p>
    <w:p w14:paraId="54154EB8" w14:textId="0B9A1F9E" w:rsidR="0031304F" w:rsidRDefault="000D541E" w:rsidP="0031304F">
      <w:pPr>
        <w:ind w:firstLine="708"/>
      </w:pPr>
      <w:r>
        <w:t xml:space="preserve">Dále byl testován </w:t>
      </w:r>
      <w:r w:rsidR="002438C7">
        <w:t>vliv</w:t>
      </w:r>
      <w:r w:rsidR="003A010B">
        <w:t xml:space="preserve"> těchto látek na transkripční aktivitu</w:t>
      </w:r>
      <w:r w:rsidR="00E35C8A">
        <w:t xml:space="preserve"> PXR v buněčné linii LS180 v agonistickém a v antagonistickém módu po </w:t>
      </w:r>
      <w:r w:rsidR="00592579">
        <w:t>24hodinovém</w:t>
      </w:r>
      <w:r w:rsidR="00E35C8A">
        <w:t xml:space="preserve"> působení.</w:t>
      </w:r>
      <w:r w:rsidR="00B90E42">
        <w:t xml:space="preserve"> Výsledků bylo dosaženo pomocí luciferázové </w:t>
      </w:r>
      <w:proofErr w:type="spellStart"/>
      <w:r w:rsidR="00B90E42">
        <w:t>reportérové</w:t>
      </w:r>
      <w:proofErr w:type="spellEnd"/>
      <w:r w:rsidR="00B90E42">
        <w:t xml:space="preserve"> eseje.</w:t>
      </w:r>
      <w:r w:rsidR="00D75649">
        <w:t xml:space="preserve"> </w:t>
      </w:r>
      <w:r w:rsidR="00221C1E">
        <w:t xml:space="preserve">V agonistickém módu bylo zjištěno, že </w:t>
      </w:r>
      <w:r w:rsidR="00AD1F8E">
        <w:t>všechny látky</w:t>
      </w:r>
      <w:r w:rsidR="00D945DA">
        <w:t xml:space="preserve"> aktivují PXR. Největší vliv na indukci PXR měly látky </w:t>
      </w:r>
      <w:r w:rsidR="007A6DE1">
        <w:t>R-</w:t>
      </w:r>
      <w:proofErr w:type="spellStart"/>
      <w:r w:rsidR="007A6DE1">
        <w:t>karvon</w:t>
      </w:r>
      <w:proofErr w:type="spellEnd"/>
      <w:r w:rsidR="007A6DE1">
        <w:t>, 3-methyl-S-karvon a EN2.</w:t>
      </w:r>
      <w:r w:rsidR="00BA56E2">
        <w:t xml:space="preserve"> Naopak nejnižší vliv na indukci PXR měla látka S</w:t>
      </w:r>
      <w:proofErr w:type="gramStart"/>
      <w:r w:rsidR="00BA56E2">
        <w:t>-</w:t>
      </w:r>
      <w:r w:rsidR="003972CD">
        <w:t>(</w:t>
      </w:r>
      <w:proofErr w:type="gramEnd"/>
      <w:r w:rsidR="003972CD">
        <w:t>-)-</w:t>
      </w:r>
      <w:proofErr w:type="spellStart"/>
      <w:r w:rsidR="00BA56E2">
        <w:t>perillylalkohol</w:t>
      </w:r>
      <w:proofErr w:type="spellEnd"/>
      <w:r w:rsidR="00BA56E2">
        <w:t>.</w:t>
      </w:r>
      <w:r w:rsidR="00A96D94">
        <w:t xml:space="preserve"> </w:t>
      </w:r>
      <w:r w:rsidR="00B37D0A">
        <w:t>Z výsledků měření v antagonistickém módu vyplývá, že žádná z testovaných látek není antagonistou PXR</w:t>
      </w:r>
      <w:r w:rsidR="0026429B">
        <w:t xml:space="preserve">, jelikož </w:t>
      </w:r>
      <w:r w:rsidR="009D2250">
        <w:t xml:space="preserve">u </w:t>
      </w:r>
      <w:r w:rsidR="0026429B">
        <w:t>žádn</w:t>
      </w:r>
      <w:r w:rsidR="009D2250">
        <w:t>é</w:t>
      </w:r>
      <w:r w:rsidR="0026429B">
        <w:t xml:space="preserve"> </w:t>
      </w:r>
      <w:r w:rsidR="009D2250">
        <w:t>z</w:t>
      </w:r>
      <w:r w:rsidR="008C03AC">
        <w:t xml:space="preserve"> </w:t>
      </w:r>
      <w:r w:rsidR="009D2250">
        <w:t>testovaných látek</w:t>
      </w:r>
      <w:r w:rsidR="000C7CB7">
        <w:t xml:space="preserve"> v</w:t>
      </w:r>
      <w:r w:rsidR="008C03AC">
        <w:t xml:space="preserve"> </w:t>
      </w:r>
      <w:r w:rsidR="000C7CB7">
        <w:t xml:space="preserve">kombinaci s modelovým ligandem </w:t>
      </w:r>
      <w:proofErr w:type="spellStart"/>
      <w:r w:rsidR="000C7CB7">
        <w:t>rifampicinem</w:t>
      </w:r>
      <w:proofErr w:type="spellEnd"/>
      <w:r w:rsidR="009D2250">
        <w:t xml:space="preserve"> nebyl pozorován výrazný pokles </w:t>
      </w:r>
      <w:r w:rsidR="008C03AC">
        <w:t>luciferázové aktivity</w:t>
      </w:r>
      <w:r w:rsidR="0031304F">
        <w:t>.</w:t>
      </w:r>
    </w:p>
    <w:p w14:paraId="0F075EC2" w14:textId="5A7AACD0" w:rsidR="000C1DC4" w:rsidRDefault="0031304F" w:rsidP="008C5F26">
      <w:pPr>
        <w:ind w:firstLine="708"/>
      </w:pPr>
      <w:r>
        <w:t>Výsledky této práce najdou uplatnění</w:t>
      </w:r>
      <w:r w:rsidR="004D1155">
        <w:t xml:space="preserve"> </w:t>
      </w:r>
      <w:r w:rsidR="0050203C">
        <w:t>při studiu vlivu přirozeně se vyskytujících látek v rostlinách na metabolismus léčiv</w:t>
      </w:r>
      <w:r w:rsidR="00742F36">
        <w:t xml:space="preserve"> a při studiu lékových interakcí</w:t>
      </w:r>
      <w:r w:rsidR="0050203C">
        <w:t>. Výsledky také mohou pomoct prohloubit znalost vzniku</w:t>
      </w:r>
      <w:r w:rsidR="001868B2">
        <w:t xml:space="preserve"> </w:t>
      </w:r>
      <w:r w:rsidR="00592579">
        <w:t xml:space="preserve">a potenciálně i léčby </w:t>
      </w:r>
      <w:r w:rsidR="0050203C">
        <w:t>zánětlivých procesů a onemocnění střev, např. Crohnovy choroby</w:t>
      </w:r>
      <w:r w:rsidR="001868B2">
        <w:t xml:space="preserve"> a dalších metabolických poruch, které jsou s regulací PXR úzce spjaty.</w:t>
      </w:r>
      <w:r w:rsidR="000C1DC4">
        <w:br w:type="page"/>
      </w:r>
    </w:p>
    <w:p w14:paraId="07BE3605" w14:textId="79F975D2" w:rsidR="001952BB" w:rsidRDefault="000C1DC4" w:rsidP="00B5548F">
      <w:pPr>
        <w:pStyle w:val="Nadpis1"/>
      </w:pPr>
      <w:bookmarkStart w:id="49" w:name="_Toc165492909"/>
      <w:r>
        <w:lastRenderedPageBreak/>
        <w:t>8</w:t>
      </w:r>
      <w:r>
        <w:tab/>
      </w:r>
      <w:r w:rsidRPr="00D142CD">
        <w:t>LITERATURA</w:t>
      </w:r>
      <w:bookmarkEnd w:id="49"/>
    </w:p>
    <w:p w14:paraId="63520595" w14:textId="1CBE1DBA" w:rsidR="00DD7F5B" w:rsidRDefault="001F22D4" w:rsidP="00E5592D">
      <w:pPr>
        <w:pStyle w:val="Bibliografie"/>
        <w:spacing w:line="360" w:lineRule="auto"/>
      </w:pPr>
      <w:r>
        <w:fldChar w:fldCharType="begin"/>
      </w:r>
      <w:r w:rsidR="00DD7F5B">
        <w:instrText xml:space="preserve"> ADDIN ZOTERO_BIBL {"uncited":[],"omitted":[],"custom":[]} CSL_BIBLIOGRAPHY </w:instrText>
      </w:r>
      <w:r>
        <w:fldChar w:fldCharType="separate"/>
      </w:r>
      <w:r w:rsidR="00DD7F5B">
        <w:t>Abdallah, I.I.</w:t>
      </w:r>
      <w:r w:rsidR="00412AE9">
        <w:t xml:space="preserve">, </w:t>
      </w:r>
      <w:r w:rsidR="00DD7F5B">
        <w:t>Quax, W.J. (2017)</w:t>
      </w:r>
      <w:r w:rsidR="00832E37">
        <w:t>:</w:t>
      </w:r>
      <w:r w:rsidR="00DD7F5B">
        <w:t xml:space="preserve"> A Glimpse into the Biosynthesis of Terpenoids</w:t>
      </w:r>
      <w:r w:rsidR="00A9549B">
        <w:t>.</w:t>
      </w:r>
      <w:r w:rsidR="00DD7F5B">
        <w:t xml:space="preserve"> </w:t>
      </w:r>
      <w:r w:rsidR="00DD7F5B">
        <w:rPr>
          <w:i/>
          <w:iCs/>
        </w:rPr>
        <w:t>KnE Life Sciences</w:t>
      </w:r>
      <w:r w:rsidR="00DD7F5B">
        <w:t>, 3(5)</w:t>
      </w:r>
      <w:r w:rsidR="00514735">
        <w:t xml:space="preserve">: </w:t>
      </w:r>
      <w:r w:rsidR="00DD7F5B">
        <w:t>81</w:t>
      </w:r>
    </w:p>
    <w:p w14:paraId="5CAD057C" w14:textId="0E06CD23" w:rsidR="00DD7F5B" w:rsidRDefault="00DD7F5B" w:rsidP="00E5592D">
      <w:pPr>
        <w:pStyle w:val="Bibliografie"/>
        <w:spacing w:line="360" w:lineRule="auto"/>
      </w:pPr>
      <w:r>
        <w:t>Alam, A.</w:t>
      </w:r>
      <w:r w:rsidR="00270C85">
        <w:t xml:space="preserve">, </w:t>
      </w:r>
      <w:r>
        <w:t>Locher, K.P. (2023)</w:t>
      </w:r>
      <w:r w:rsidR="00832E37">
        <w:t>:</w:t>
      </w:r>
      <w:r w:rsidR="00270C85">
        <w:t xml:space="preserve"> </w:t>
      </w:r>
      <w:r>
        <w:t>Structure and Mechanism of Human ABC Transporters</w:t>
      </w:r>
      <w:r w:rsidR="00270C85">
        <w:t>.</w:t>
      </w:r>
      <w:r>
        <w:t xml:space="preserve"> </w:t>
      </w:r>
      <w:r>
        <w:rPr>
          <w:i/>
          <w:iCs/>
        </w:rPr>
        <w:t>Annual Review of Biophysics</w:t>
      </w:r>
      <w:r>
        <w:t>, 52(1)</w:t>
      </w:r>
      <w:r w:rsidR="00514735">
        <w:t xml:space="preserve">: </w:t>
      </w:r>
      <w:r>
        <w:t>275–300</w:t>
      </w:r>
    </w:p>
    <w:p w14:paraId="74B85683" w14:textId="1BBABBBB" w:rsidR="00DD7F5B" w:rsidRDefault="00DD7F5B" w:rsidP="00E5592D">
      <w:pPr>
        <w:pStyle w:val="Bibliografie"/>
        <w:spacing w:line="360" w:lineRule="auto"/>
      </w:pPr>
      <w:r>
        <w:t>Bakkali, F.</w:t>
      </w:r>
      <w:r w:rsidR="00E227E5">
        <w:t xml:space="preserve">, </w:t>
      </w:r>
      <w:r w:rsidR="00427F3F">
        <w:t>Averbeck, S., Averbeck, D., Idaomar, M.</w:t>
      </w:r>
      <w:r>
        <w:t xml:space="preserve"> (2008)</w:t>
      </w:r>
      <w:r w:rsidR="00832E37">
        <w:t>:</w:t>
      </w:r>
      <w:r w:rsidR="00E26078">
        <w:t xml:space="preserve"> </w:t>
      </w:r>
      <w:r>
        <w:t>Biological effects of essential oils</w:t>
      </w:r>
      <w:r w:rsidR="00E26078">
        <w:t>.</w:t>
      </w:r>
      <w:r>
        <w:t xml:space="preserve"> </w:t>
      </w:r>
      <w:r>
        <w:rPr>
          <w:i/>
          <w:iCs/>
        </w:rPr>
        <w:t>Food and Chemical Toxicology</w:t>
      </w:r>
      <w:r>
        <w:t>, 46(2)</w:t>
      </w:r>
      <w:r w:rsidR="00E26078">
        <w:t xml:space="preserve">: </w:t>
      </w:r>
      <w:r>
        <w:t>446–475</w:t>
      </w:r>
    </w:p>
    <w:p w14:paraId="5EDBD214" w14:textId="599B765C" w:rsidR="00DD7F5B" w:rsidRDefault="00DD7F5B" w:rsidP="00E5592D">
      <w:pPr>
        <w:pStyle w:val="Bibliografie"/>
        <w:spacing w:line="360" w:lineRule="auto"/>
      </w:pPr>
      <w:r>
        <w:t>Bartoňková, I.</w:t>
      </w:r>
      <w:r w:rsidR="00E26078">
        <w:t xml:space="preserve">, </w:t>
      </w:r>
      <w:r>
        <w:t>Dvořák, Z. (2018a)</w:t>
      </w:r>
      <w:r w:rsidR="00832E37">
        <w:t>:</w:t>
      </w:r>
      <w:r w:rsidR="0083490C">
        <w:t xml:space="preserve"> </w:t>
      </w:r>
      <w:r>
        <w:t>Assessment of endocrine disruption potential of essential oils of culinary herbs and spices involving glucocorticoid, androgen and vitamin D receptors</w:t>
      </w:r>
      <w:r w:rsidR="0083490C">
        <w:t>.</w:t>
      </w:r>
      <w:r>
        <w:t xml:space="preserve"> </w:t>
      </w:r>
      <w:r>
        <w:rPr>
          <w:i/>
          <w:iCs/>
        </w:rPr>
        <w:t>Food &amp; Function</w:t>
      </w:r>
      <w:r>
        <w:t>, 9(4)</w:t>
      </w:r>
      <w:r w:rsidR="0083490C">
        <w:t>:</w:t>
      </w:r>
      <w:r>
        <w:t xml:space="preserve"> 2136–2144</w:t>
      </w:r>
    </w:p>
    <w:p w14:paraId="32173816" w14:textId="39B1EF75" w:rsidR="00DD7F5B" w:rsidRDefault="00DD7F5B" w:rsidP="00E5592D">
      <w:pPr>
        <w:pStyle w:val="Bibliografie"/>
        <w:spacing w:line="360" w:lineRule="auto"/>
      </w:pPr>
      <w:r>
        <w:t>Bartonkova, I.</w:t>
      </w:r>
      <w:r w:rsidR="0083490C">
        <w:t xml:space="preserve">, </w:t>
      </w:r>
      <w:r>
        <w:t>Dvorak, Z. (2018</w:t>
      </w:r>
      <w:r w:rsidR="007674EF">
        <w:t>c</w:t>
      </w:r>
      <w:r>
        <w:t>)</w:t>
      </w:r>
      <w:r w:rsidR="00B9035F">
        <w:t>:</w:t>
      </w:r>
      <w:r w:rsidR="0083490C">
        <w:t xml:space="preserve"> </w:t>
      </w:r>
      <w:r>
        <w:t>Essential oils of culinary herbs and spices activate PXR and induce CYP3A4 in human intestinal and hepatic in vitro models</w:t>
      </w:r>
      <w:r w:rsidR="0083490C">
        <w:t>.</w:t>
      </w:r>
      <w:r>
        <w:t xml:space="preserve"> </w:t>
      </w:r>
      <w:r>
        <w:rPr>
          <w:i/>
          <w:iCs/>
        </w:rPr>
        <w:t>Toxicology Letters</w:t>
      </w:r>
      <w:r>
        <w:t>, 296</w:t>
      </w:r>
      <w:r w:rsidR="0083490C">
        <w:t>:</w:t>
      </w:r>
      <w:r>
        <w:t xml:space="preserve"> 1–9</w:t>
      </w:r>
    </w:p>
    <w:p w14:paraId="3FCF7045" w14:textId="72CBC328" w:rsidR="00DD7F5B" w:rsidRDefault="00DD7F5B" w:rsidP="00E5592D">
      <w:pPr>
        <w:pStyle w:val="Bibliografie"/>
        <w:spacing w:line="360" w:lineRule="auto"/>
      </w:pPr>
      <w:r>
        <w:t>Bartoňková, I.</w:t>
      </w:r>
      <w:r w:rsidR="0083490C">
        <w:t>,</w:t>
      </w:r>
      <w:r>
        <w:t xml:space="preserve"> Dvořák, Z. (2018b)</w:t>
      </w:r>
      <w:r w:rsidR="00B9035F">
        <w:t>:</w:t>
      </w:r>
      <w:r w:rsidR="0083490C">
        <w:t xml:space="preserve"> </w:t>
      </w:r>
      <w:r>
        <w:t>Essential oils of culinary herbs and spices display agonist and antagonist activities at human aryl hydrocarbon receptor AhR</w:t>
      </w:r>
      <w:r w:rsidR="0083490C">
        <w:t>.</w:t>
      </w:r>
      <w:r>
        <w:t xml:space="preserve"> </w:t>
      </w:r>
      <w:r>
        <w:rPr>
          <w:i/>
          <w:iCs/>
        </w:rPr>
        <w:t>Food and Chemical Toxicology</w:t>
      </w:r>
      <w:r>
        <w:t>, 111</w:t>
      </w:r>
      <w:r w:rsidR="0083490C">
        <w:t>:</w:t>
      </w:r>
      <w:r>
        <w:t xml:space="preserve"> 374–384</w:t>
      </w:r>
    </w:p>
    <w:p w14:paraId="1412DD76" w14:textId="4D638553" w:rsidR="00DD7F5B" w:rsidRDefault="00DD7F5B" w:rsidP="00E5592D">
      <w:pPr>
        <w:pStyle w:val="Bibliografie"/>
        <w:spacing w:line="360" w:lineRule="auto"/>
      </w:pPr>
      <w:r>
        <w:t>Bergman, M.E., Davis, B.</w:t>
      </w:r>
      <w:r w:rsidR="00C97626">
        <w:t>,</w:t>
      </w:r>
      <w:r>
        <w:t xml:space="preserve"> Phillips, M.A. (2019)</w:t>
      </w:r>
      <w:r w:rsidR="00B9035F">
        <w:t>:</w:t>
      </w:r>
      <w:r w:rsidR="00C97626">
        <w:t xml:space="preserve"> </w:t>
      </w:r>
      <w:r>
        <w:t>Medically Useful Plant Terpenoids: Biosynthesis, Occurrence, and Mechanism of Action</w:t>
      </w:r>
      <w:r w:rsidR="00C97626">
        <w:t>.</w:t>
      </w:r>
      <w:r>
        <w:t xml:space="preserve"> </w:t>
      </w:r>
      <w:r>
        <w:rPr>
          <w:i/>
          <w:iCs/>
        </w:rPr>
        <w:t>Molecules</w:t>
      </w:r>
      <w:r>
        <w:t>, 24(21)</w:t>
      </w:r>
      <w:r w:rsidR="00C97626">
        <w:t xml:space="preserve">: </w:t>
      </w:r>
      <w:r>
        <w:t>3961</w:t>
      </w:r>
    </w:p>
    <w:p w14:paraId="32C6BBE7" w14:textId="5EF09A7C" w:rsidR="00DD7F5B" w:rsidRDefault="00DD7F5B" w:rsidP="00E5592D">
      <w:pPr>
        <w:pStyle w:val="Bibliografie"/>
        <w:spacing w:line="360" w:lineRule="auto"/>
      </w:pPr>
      <w:r>
        <w:t>Blumberg, B.</w:t>
      </w:r>
      <w:r w:rsidR="00427F3F">
        <w:t xml:space="preserve">, </w:t>
      </w:r>
      <w:r w:rsidR="000602D7">
        <w:t>Sabbagh</w:t>
      </w:r>
      <w:r w:rsidR="00A1602C">
        <w:t xml:space="preserve">, Jr., W., Juguilon, H., Bolado, Jr., J., </w:t>
      </w:r>
      <w:r w:rsidR="003C3C5F">
        <w:t xml:space="preserve">van Meter, </w:t>
      </w:r>
      <w:r w:rsidR="004C3338">
        <w:t>M.</w:t>
      </w:r>
      <w:r w:rsidR="003C3C5F">
        <w:t>C., Ong</w:t>
      </w:r>
      <w:r w:rsidR="00DF2E5C">
        <w:t xml:space="preserve">, </w:t>
      </w:r>
      <w:r w:rsidR="004C3338">
        <w:t>S.</w:t>
      </w:r>
      <w:r w:rsidR="00DF2E5C">
        <w:t xml:space="preserve">E., Evans, </w:t>
      </w:r>
      <w:r w:rsidR="004C3338">
        <w:t>M.</w:t>
      </w:r>
      <w:r w:rsidR="00DF2E5C">
        <w:t>R.</w:t>
      </w:r>
      <w:r>
        <w:t xml:space="preserve"> (1998)</w:t>
      </w:r>
      <w:r w:rsidR="00B9035F">
        <w:t>:</w:t>
      </w:r>
      <w:r>
        <w:t xml:space="preserve"> SXR, a novel steroid and xenobioticsensing nuclear receptor</w:t>
      </w:r>
      <w:r w:rsidR="007E391F">
        <w:t>.</w:t>
      </w:r>
      <w:r>
        <w:t xml:space="preserve"> </w:t>
      </w:r>
      <w:r>
        <w:rPr>
          <w:i/>
          <w:iCs/>
        </w:rPr>
        <w:t>Genes &amp; Development</w:t>
      </w:r>
      <w:r>
        <w:t>, 12(20)</w:t>
      </w:r>
      <w:r w:rsidR="007E391F">
        <w:t>:</w:t>
      </w:r>
      <w:r>
        <w:t xml:space="preserve"> 3195–3205</w:t>
      </w:r>
    </w:p>
    <w:p w14:paraId="0D236410" w14:textId="24883EFD" w:rsidR="00DD7F5B" w:rsidRDefault="00DD7F5B" w:rsidP="00E5592D">
      <w:pPr>
        <w:pStyle w:val="Bibliografie"/>
        <w:spacing w:line="360" w:lineRule="auto"/>
      </w:pPr>
      <w:r>
        <w:t>Buchman, C.D., Chai, S.C.</w:t>
      </w:r>
      <w:r w:rsidR="007E391F">
        <w:t xml:space="preserve">, </w:t>
      </w:r>
      <w:r>
        <w:t>Chen, T. (2018)</w:t>
      </w:r>
      <w:r w:rsidR="00B9035F">
        <w:t>:</w:t>
      </w:r>
      <w:r w:rsidR="007E391F">
        <w:t xml:space="preserve"> </w:t>
      </w:r>
      <w:r>
        <w:t>A current structural perspective on PXR and CAR in drug metabolism</w:t>
      </w:r>
      <w:r w:rsidR="007E391F">
        <w:t>.</w:t>
      </w:r>
      <w:r>
        <w:t xml:space="preserve"> </w:t>
      </w:r>
      <w:r>
        <w:rPr>
          <w:i/>
          <w:iCs/>
        </w:rPr>
        <w:t>Expert Opinion on Drug Metabolism &amp; Toxicology</w:t>
      </w:r>
      <w:r>
        <w:t>, 14(6)</w:t>
      </w:r>
      <w:r w:rsidR="007E391F">
        <w:t>:</w:t>
      </w:r>
      <w:r>
        <w:t xml:space="preserve"> 635–647</w:t>
      </w:r>
    </w:p>
    <w:p w14:paraId="21C276CE" w14:textId="2CDC0802" w:rsidR="00DD7F5B" w:rsidRDefault="00DD7F5B" w:rsidP="00E5592D">
      <w:pPr>
        <w:pStyle w:val="Bibliografie"/>
        <w:spacing w:line="360" w:lineRule="auto"/>
      </w:pPr>
      <w:r>
        <w:t>Cai, X., Young, G.M.</w:t>
      </w:r>
      <w:r w:rsidR="007E391F">
        <w:t xml:space="preserve">, </w:t>
      </w:r>
      <w:r>
        <w:t>Xie, W. (2021)</w:t>
      </w:r>
      <w:r w:rsidR="006601C8">
        <w:t>:</w:t>
      </w:r>
      <w:r w:rsidR="008872C8">
        <w:t xml:space="preserve"> </w:t>
      </w:r>
      <w:r>
        <w:t>The xenobiotic receptors PXR and CAR in liver physiology, an update</w:t>
      </w:r>
      <w:r w:rsidR="008872C8">
        <w:t>.</w:t>
      </w:r>
      <w:r>
        <w:t xml:space="preserve"> </w:t>
      </w:r>
      <w:r>
        <w:rPr>
          <w:i/>
          <w:iCs/>
        </w:rPr>
        <w:t>Biochimica et Biophysica Acta (BBA) - Molecular Basis of Disease</w:t>
      </w:r>
      <w:r>
        <w:t>, 1867(6)</w:t>
      </w:r>
      <w:r w:rsidR="008872C8">
        <w:t>:</w:t>
      </w:r>
      <w:r>
        <w:t xml:space="preserve"> 166101</w:t>
      </w:r>
    </w:p>
    <w:p w14:paraId="3C549121" w14:textId="043AADBB" w:rsidR="00DD7F5B" w:rsidRDefault="00DD7F5B" w:rsidP="00E5592D">
      <w:pPr>
        <w:pStyle w:val="Bibliografie"/>
        <w:spacing w:line="360" w:lineRule="auto"/>
      </w:pPr>
      <w:r>
        <w:lastRenderedPageBreak/>
        <w:t>Chang, T.K.</w:t>
      </w:r>
      <w:r w:rsidR="00795AF9">
        <w:t>,</w:t>
      </w:r>
      <w:r w:rsidR="00FF0985">
        <w:t xml:space="preserve"> Yu, L., Maurel, P., Waxman, D.J.</w:t>
      </w:r>
      <w:r>
        <w:t xml:space="preserve"> (1997)</w:t>
      </w:r>
      <w:r w:rsidR="006601C8">
        <w:t>:</w:t>
      </w:r>
      <w:r w:rsidR="008872C8">
        <w:t xml:space="preserve"> </w:t>
      </w:r>
      <w:r>
        <w:t>Enhanced cyclophosphamide and ifosfamide activation in primary human hepatocyte cultures: response to cytochrome P-450 inducers and autoinduction by oxazaphosphorines</w:t>
      </w:r>
      <w:r w:rsidR="008872C8">
        <w:t xml:space="preserve">. </w:t>
      </w:r>
      <w:r>
        <w:rPr>
          <w:i/>
          <w:iCs/>
        </w:rPr>
        <w:t>Cancer Research</w:t>
      </w:r>
      <w:r>
        <w:t>, 57(10)</w:t>
      </w:r>
      <w:r w:rsidR="00920C00">
        <w:t xml:space="preserve">: </w:t>
      </w:r>
      <w:r>
        <w:t>1946–1954</w:t>
      </w:r>
    </w:p>
    <w:p w14:paraId="13508618" w14:textId="04F91C3D" w:rsidR="00DD7F5B" w:rsidRDefault="00DD7F5B" w:rsidP="00E5592D">
      <w:pPr>
        <w:pStyle w:val="Bibliografie"/>
        <w:spacing w:line="360" w:lineRule="auto"/>
      </w:pPr>
      <w:r>
        <w:t>Conde, I.</w:t>
      </w:r>
      <w:r w:rsidR="00FF0985">
        <w:t>,</w:t>
      </w:r>
      <w:r w:rsidR="004036A3">
        <w:t xml:space="preserve"> </w:t>
      </w:r>
      <w:r w:rsidR="004036A3" w:rsidRPr="004036A3">
        <w:t>Lobo</w:t>
      </w:r>
      <w:r w:rsidR="004036A3">
        <w:t>, V.T.</w:t>
      </w:r>
      <w:r w:rsidR="006C6460">
        <w:t>M.</w:t>
      </w:r>
      <w:r w:rsidR="004036A3">
        <w:t xml:space="preserve">, </w:t>
      </w:r>
      <w:r w:rsidR="004036A3" w:rsidRPr="004036A3">
        <w:t>Zamora</w:t>
      </w:r>
      <w:r w:rsidR="004036A3">
        <w:t>, J.,</w:t>
      </w:r>
      <w:r w:rsidR="006C6460">
        <w:t xml:space="preserve"> </w:t>
      </w:r>
      <w:r w:rsidR="004036A3" w:rsidRPr="004036A3">
        <w:t>Pérez</w:t>
      </w:r>
      <w:r w:rsidR="006C6460">
        <w:t xml:space="preserve">, J., </w:t>
      </w:r>
      <w:r w:rsidR="004036A3" w:rsidRPr="004036A3">
        <w:t>González,</w:t>
      </w:r>
      <w:r w:rsidR="006C6460">
        <w:t xml:space="preserve"> F.J,</w:t>
      </w:r>
      <w:r w:rsidR="004036A3" w:rsidRPr="004036A3">
        <w:t xml:space="preserve"> Alba,</w:t>
      </w:r>
      <w:r w:rsidR="008A032A">
        <w:t xml:space="preserve"> E.,</w:t>
      </w:r>
      <w:r w:rsidR="004036A3" w:rsidRPr="004036A3">
        <w:t xml:space="preserve"> Fraile,</w:t>
      </w:r>
      <w:r w:rsidR="008A032A">
        <w:t xml:space="preserve"> B.,</w:t>
      </w:r>
      <w:r w:rsidR="004036A3" w:rsidRPr="004036A3">
        <w:t xml:space="preserve"> Paniagua</w:t>
      </w:r>
      <w:r w:rsidR="008A032A">
        <w:t xml:space="preserve">, R., </w:t>
      </w:r>
      <w:r w:rsidR="004036A3" w:rsidRPr="004036A3">
        <w:t>Arenas</w:t>
      </w:r>
      <w:r w:rsidR="008A032A">
        <w:t>, M.I.</w:t>
      </w:r>
      <w:r>
        <w:t xml:space="preserve"> (2008)</w:t>
      </w:r>
      <w:r w:rsidR="006601C8">
        <w:t>:</w:t>
      </w:r>
      <w:r w:rsidR="00920C00">
        <w:t xml:space="preserve"> </w:t>
      </w:r>
      <w:r>
        <w:t>Human pregnane X receptor is expressed in breast carcinomas, potential heterodimers formation between hPXR and RXR-alpha</w:t>
      </w:r>
      <w:r w:rsidR="00920C00">
        <w:t>.</w:t>
      </w:r>
      <w:r>
        <w:t xml:space="preserve"> </w:t>
      </w:r>
      <w:r>
        <w:rPr>
          <w:i/>
          <w:iCs/>
        </w:rPr>
        <w:t>BMC Cancer</w:t>
      </w:r>
      <w:r>
        <w:t>, 8(1)</w:t>
      </w:r>
      <w:r w:rsidR="00920C00">
        <w:t xml:space="preserve">: </w:t>
      </w:r>
      <w:r>
        <w:t>174</w:t>
      </w:r>
    </w:p>
    <w:p w14:paraId="1334F7CD" w14:textId="053EED7B" w:rsidR="00DD7F5B" w:rsidRDefault="00DD7F5B" w:rsidP="00E5592D">
      <w:pPr>
        <w:pStyle w:val="Bibliografie"/>
        <w:spacing w:line="360" w:lineRule="auto"/>
      </w:pPr>
      <w:r>
        <w:t>Coughtrie, M.W.H. (2016)</w:t>
      </w:r>
      <w:r w:rsidR="006601C8">
        <w:t>:</w:t>
      </w:r>
      <w:r w:rsidR="00920C00">
        <w:t xml:space="preserve"> </w:t>
      </w:r>
      <w:r>
        <w:t>Function and organization of the human cytosolic sulfotransferase (SULT) family</w:t>
      </w:r>
      <w:r w:rsidR="00920C00">
        <w:t>.</w:t>
      </w:r>
      <w:r>
        <w:t xml:space="preserve"> </w:t>
      </w:r>
      <w:r>
        <w:rPr>
          <w:i/>
          <w:iCs/>
        </w:rPr>
        <w:t>Chemico-Biological Interactions</w:t>
      </w:r>
      <w:r>
        <w:t>, 259</w:t>
      </w:r>
      <w:r w:rsidR="00920C00">
        <w:t xml:space="preserve">: </w:t>
      </w:r>
      <w:r>
        <w:t>2–7</w:t>
      </w:r>
    </w:p>
    <w:p w14:paraId="721325F9" w14:textId="070D790D" w:rsidR="00DD7F5B" w:rsidRDefault="00DD7F5B" w:rsidP="00E5592D">
      <w:pPr>
        <w:pStyle w:val="Bibliografie"/>
        <w:spacing w:line="360" w:lineRule="auto"/>
      </w:pPr>
      <w:r>
        <w:t>Currie, G.M. (2018)</w:t>
      </w:r>
      <w:r w:rsidR="007975FA">
        <w:t>:</w:t>
      </w:r>
      <w:r w:rsidR="00920C00">
        <w:t xml:space="preserve"> </w:t>
      </w:r>
      <w:r>
        <w:t>Pharmacology, Part 1: Introduction to Pharmacology and Pharmacodynamics</w:t>
      </w:r>
      <w:r w:rsidR="00920C00">
        <w:t>.</w:t>
      </w:r>
      <w:r>
        <w:t xml:space="preserve"> </w:t>
      </w:r>
      <w:r>
        <w:rPr>
          <w:i/>
          <w:iCs/>
        </w:rPr>
        <w:t>Journal of Nuclear Medicine Technology</w:t>
      </w:r>
      <w:r>
        <w:t>, 46(2)</w:t>
      </w:r>
      <w:r w:rsidR="00920C00">
        <w:t>:</w:t>
      </w:r>
      <w:r>
        <w:t xml:space="preserve"> 81–86</w:t>
      </w:r>
    </w:p>
    <w:p w14:paraId="63A4ABA1" w14:textId="2FB86EDE" w:rsidR="00DD7F5B" w:rsidRDefault="00DD7F5B" w:rsidP="00E5592D">
      <w:pPr>
        <w:pStyle w:val="Bibliografie"/>
        <w:spacing w:line="360" w:lineRule="auto"/>
      </w:pPr>
      <w:r>
        <w:t>Desai, P.B.</w:t>
      </w:r>
      <w:r w:rsidR="00DF1554">
        <w:t xml:space="preserve">, Nallani, S.C., Sane, R.S., Moore, L.B., Goodwin, B.J., </w:t>
      </w:r>
      <w:r w:rsidR="002E0457">
        <w:t>Buckley, D.J., Buckley, A.R.</w:t>
      </w:r>
      <w:r>
        <w:t xml:space="preserve"> (2002)</w:t>
      </w:r>
      <w:r w:rsidR="007975FA">
        <w:t>:</w:t>
      </w:r>
      <w:r w:rsidR="00920C00">
        <w:t xml:space="preserve"> </w:t>
      </w:r>
      <w:r>
        <w:t>Induction of Cytochrome P450 3A4 in Primary Human Hepatocytes and Activation of the Human Pregnane X Receptor by Tamoxifen and 4-Hydroxytamoxifen</w:t>
      </w:r>
      <w:r w:rsidR="00920C00">
        <w:t>.</w:t>
      </w:r>
      <w:r>
        <w:t xml:space="preserve"> </w:t>
      </w:r>
      <w:r>
        <w:rPr>
          <w:i/>
          <w:iCs/>
        </w:rPr>
        <w:t>Drug Metabolism and Disposition</w:t>
      </w:r>
      <w:r>
        <w:t>, 30(5)</w:t>
      </w:r>
      <w:r w:rsidR="00920C00">
        <w:t xml:space="preserve">: </w:t>
      </w:r>
      <w:r>
        <w:t>608–612</w:t>
      </w:r>
    </w:p>
    <w:p w14:paraId="3F59282A" w14:textId="673059FE" w:rsidR="00DD7F5B" w:rsidRDefault="00DD7F5B" w:rsidP="00E5592D">
      <w:pPr>
        <w:pStyle w:val="Bibliografie"/>
        <w:spacing w:line="360" w:lineRule="auto"/>
      </w:pPr>
      <w:r>
        <w:t>Dvořák, Z., Sokol, H.</w:t>
      </w:r>
      <w:r w:rsidR="00920C00">
        <w:t xml:space="preserve">, </w:t>
      </w:r>
      <w:r>
        <w:t>Mani, S. (2020)</w:t>
      </w:r>
      <w:r w:rsidR="007975FA">
        <w:t>:</w:t>
      </w:r>
      <w:r w:rsidR="00920C00">
        <w:t xml:space="preserve"> </w:t>
      </w:r>
      <w:r>
        <w:t>Drug Mimicry: Promiscuous Receptors PXR and AhR, and Microbial Metabolite Interactions in the Intestine</w:t>
      </w:r>
      <w:r w:rsidR="00920C00">
        <w:t>.</w:t>
      </w:r>
      <w:r>
        <w:t xml:space="preserve"> </w:t>
      </w:r>
      <w:r>
        <w:rPr>
          <w:i/>
          <w:iCs/>
        </w:rPr>
        <w:t>Trends in Pharmacological Sciences</w:t>
      </w:r>
      <w:r>
        <w:t>, 41(12)</w:t>
      </w:r>
      <w:r w:rsidR="00920C00">
        <w:t>:</w:t>
      </w:r>
      <w:r>
        <w:t xml:space="preserve"> 900–908</w:t>
      </w:r>
    </w:p>
    <w:p w14:paraId="5A66A394" w14:textId="518201AE" w:rsidR="00DD7F5B" w:rsidRDefault="00DD7F5B" w:rsidP="00E5592D">
      <w:pPr>
        <w:pStyle w:val="Bibliografie"/>
        <w:spacing w:line="360" w:lineRule="auto"/>
      </w:pPr>
      <w:r>
        <w:t>Estudante, M.</w:t>
      </w:r>
      <w:r w:rsidR="006945DB">
        <w:t xml:space="preserve">, </w:t>
      </w:r>
      <w:r w:rsidR="009A5DAD">
        <w:t xml:space="preserve">Morais, J.G., Soveral, G., </w:t>
      </w:r>
      <w:r w:rsidR="00D87B83">
        <w:t>Benet, L.Z.</w:t>
      </w:r>
      <w:r>
        <w:t xml:space="preserve"> (2013)</w:t>
      </w:r>
      <w:r w:rsidR="007975FA">
        <w:t>:</w:t>
      </w:r>
      <w:r w:rsidR="00920C00">
        <w:t xml:space="preserve"> </w:t>
      </w:r>
      <w:r>
        <w:t>Intestinal drug transporters: An overview</w:t>
      </w:r>
      <w:r w:rsidR="00920C00">
        <w:t>.</w:t>
      </w:r>
      <w:r>
        <w:t xml:space="preserve"> </w:t>
      </w:r>
      <w:r>
        <w:rPr>
          <w:i/>
          <w:iCs/>
        </w:rPr>
        <w:t>Advanced Drug Delivery Reviews</w:t>
      </w:r>
      <w:r>
        <w:t>, 65(10)</w:t>
      </w:r>
      <w:r w:rsidR="00920C00">
        <w:t>:</w:t>
      </w:r>
      <w:r>
        <w:t xml:space="preserve"> 1340–1356</w:t>
      </w:r>
    </w:p>
    <w:p w14:paraId="2E9E5A2E" w14:textId="0BD79B22" w:rsidR="00DD7F5B" w:rsidRDefault="00DD7F5B" w:rsidP="00E5592D">
      <w:pPr>
        <w:pStyle w:val="Bibliografie"/>
        <w:spacing w:line="360" w:lineRule="auto"/>
      </w:pPr>
      <w:r>
        <w:t>Falany, C.N. (1997)</w:t>
      </w:r>
      <w:r w:rsidR="007975FA">
        <w:t>:</w:t>
      </w:r>
      <w:r>
        <w:t xml:space="preserve"> Enzymology of human cytosolic sulfotransferases</w:t>
      </w:r>
      <w:r w:rsidR="00920C00">
        <w:t>.</w:t>
      </w:r>
      <w:r>
        <w:t xml:space="preserve"> </w:t>
      </w:r>
      <w:r>
        <w:rPr>
          <w:i/>
          <w:iCs/>
        </w:rPr>
        <w:t>The FASEB Journal</w:t>
      </w:r>
      <w:r>
        <w:t>, 11(4)</w:t>
      </w:r>
      <w:r w:rsidR="00920C00">
        <w:t xml:space="preserve">: </w:t>
      </w:r>
      <w:r>
        <w:t>206–216</w:t>
      </w:r>
    </w:p>
    <w:p w14:paraId="0BF66264" w14:textId="10EDA726" w:rsidR="00DD7F5B" w:rsidRDefault="00DD7F5B" w:rsidP="00E5592D">
      <w:pPr>
        <w:pStyle w:val="Bibliografie"/>
        <w:spacing w:line="360" w:lineRule="auto"/>
      </w:pPr>
      <w:r>
        <w:t>Fiorucci, S.</w:t>
      </w:r>
      <w:r w:rsidR="00D87B83">
        <w:t xml:space="preserve">, Rizzo, G., </w:t>
      </w:r>
      <w:r w:rsidR="009462EF">
        <w:t>Donini, A., Distrutti, E., Santucci, L.</w:t>
      </w:r>
      <w:r w:rsidR="008226BF">
        <w:t xml:space="preserve"> </w:t>
      </w:r>
      <w:r>
        <w:t>(2007)</w:t>
      </w:r>
      <w:r w:rsidR="007975FA">
        <w:t>:</w:t>
      </w:r>
      <w:r w:rsidR="00920C00">
        <w:t xml:space="preserve"> </w:t>
      </w:r>
      <w:r>
        <w:t>Targeting farnesoid X receptor for liver and metabolic disorders</w:t>
      </w:r>
      <w:r w:rsidR="00920C00">
        <w:t>.</w:t>
      </w:r>
      <w:r>
        <w:t xml:space="preserve"> </w:t>
      </w:r>
      <w:r>
        <w:rPr>
          <w:i/>
          <w:iCs/>
        </w:rPr>
        <w:t>Trends in Molecular Medicine</w:t>
      </w:r>
      <w:r>
        <w:t>, 13(7)</w:t>
      </w:r>
      <w:r w:rsidR="00920C00">
        <w:t xml:space="preserve">: </w:t>
      </w:r>
      <w:r>
        <w:t>298–309</w:t>
      </w:r>
    </w:p>
    <w:p w14:paraId="06295B57" w14:textId="6CF9283F" w:rsidR="00DD7F5B" w:rsidRDefault="00DD7F5B" w:rsidP="00E5592D">
      <w:pPr>
        <w:pStyle w:val="Bibliografie"/>
        <w:spacing w:line="360" w:lineRule="auto"/>
      </w:pPr>
      <w:r>
        <w:t>Gao, J.</w:t>
      </w:r>
      <w:r w:rsidR="00920C00">
        <w:t>,</w:t>
      </w:r>
      <w:r>
        <w:t xml:space="preserve"> Xie, W. (2010)</w:t>
      </w:r>
      <w:r w:rsidR="007975FA">
        <w:t>:</w:t>
      </w:r>
      <w:r w:rsidR="00920C00">
        <w:t xml:space="preserve"> </w:t>
      </w:r>
      <w:r>
        <w:t>Pregnane X Receptor and Constitutive Androstane Receptor at the Crossroads of Drug Metabolism and Energy Metabolism</w:t>
      </w:r>
      <w:r w:rsidR="00920C00">
        <w:t>.</w:t>
      </w:r>
      <w:r>
        <w:t xml:space="preserve"> </w:t>
      </w:r>
      <w:r>
        <w:rPr>
          <w:i/>
          <w:iCs/>
        </w:rPr>
        <w:t>Drug Metabolism and Disposition</w:t>
      </w:r>
      <w:r>
        <w:t>, 38(12)</w:t>
      </w:r>
      <w:r w:rsidR="00920C00">
        <w:t xml:space="preserve">: </w:t>
      </w:r>
      <w:r>
        <w:t>2091–2095</w:t>
      </w:r>
    </w:p>
    <w:p w14:paraId="7BA1D73E" w14:textId="1DF27E0A" w:rsidR="00DD7F5B" w:rsidRDefault="00DD7F5B" w:rsidP="00E5592D">
      <w:pPr>
        <w:pStyle w:val="Bibliografie"/>
        <w:spacing w:line="360" w:lineRule="auto"/>
      </w:pPr>
      <w:r>
        <w:lastRenderedPageBreak/>
        <w:t>Goodwin, B., Hodgson, E.</w:t>
      </w:r>
      <w:r w:rsidR="00920C00">
        <w:t xml:space="preserve">, </w:t>
      </w:r>
      <w:r>
        <w:t>Liddle, C. (1999)</w:t>
      </w:r>
      <w:r w:rsidR="007975FA">
        <w:t>:</w:t>
      </w:r>
      <w:r w:rsidR="00920C00">
        <w:t xml:space="preserve"> </w:t>
      </w:r>
      <w:r>
        <w:t xml:space="preserve">The Orphan Human Pregnane X Receptor Mediates the Transcriptional Activation of </w:t>
      </w:r>
      <w:r>
        <w:rPr>
          <w:i/>
          <w:iCs/>
        </w:rPr>
        <w:t>CYP3A4</w:t>
      </w:r>
      <w:r>
        <w:t xml:space="preserve"> by Rifampicin through a Distal Enhancer Module</w:t>
      </w:r>
      <w:r w:rsidR="00920C00">
        <w:t>.</w:t>
      </w:r>
      <w:r>
        <w:t xml:space="preserve"> </w:t>
      </w:r>
      <w:r>
        <w:rPr>
          <w:i/>
          <w:iCs/>
        </w:rPr>
        <w:t>Molecular Pharmacology</w:t>
      </w:r>
      <w:r>
        <w:t>, 56(6)</w:t>
      </w:r>
      <w:r w:rsidR="00920C00">
        <w:t xml:space="preserve">: </w:t>
      </w:r>
      <w:r>
        <w:t>1329–1339</w:t>
      </w:r>
    </w:p>
    <w:p w14:paraId="0ACB6009" w14:textId="7DB26AF5" w:rsidR="00DD7F5B" w:rsidRPr="00EA2F69" w:rsidRDefault="00DD7F5B" w:rsidP="00E5592D">
      <w:pPr>
        <w:pStyle w:val="Bibliografie"/>
        <w:spacing w:line="360" w:lineRule="auto"/>
      </w:pPr>
      <w:r>
        <w:t>Goulart, R. (2022)</w:t>
      </w:r>
      <w:r w:rsidR="00CE3C42">
        <w:t>:</w:t>
      </w:r>
      <w:r w:rsidR="00920C00">
        <w:t xml:space="preserve"> </w:t>
      </w:r>
      <w:r>
        <w:t>Can vitamin D induce remission in patients with inflammatory bowel disease?</w:t>
      </w:r>
      <w:r w:rsidR="00920C00">
        <w:t>.</w:t>
      </w:r>
      <w:r>
        <w:t xml:space="preserve"> </w:t>
      </w:r>
      <w:r>
        <w:rPr>
          <w:i/>
          <w:iCs/>
        </w:rPr>
        <w:t>Annals of Gastroenterology</w:t>
      </w:r>
      <w:r w:rsidR="00EA2F69">
        <w:t>, 35: 1-10</w:t>
      </w:r>
    </w:p>
    <w:p w14:paraId="372FEC26" w14:textId="03FA0BB2" w:rsidR="00DD7F5B" w:rsidRDefault="00DD7F5B" w:rsidP="00E5592D">
      <w:pPr>
        <w:pStyle w:val="Bibliografie"/>
        <w:spacing w:line="360" w:lineRule="auto"/>
      </w:pPr>
      <w:r>
        <w:t>Gupta, D.</w:t>
      </w:r>
      <w:r w:rsidR="009462EF">
        <w:t xml:space="preserve">, </w:t>
      </w:r>
      <w:r w:rsidR="00CE26CD">
        <w:t xml:space="preserve">Venkatesh, M., Wang, H., Kim, S., Sinz, M., </w:t>
      </w:r>
      <w:r w:rsidR="005A3CCC">
        <w:t xml:space="preserve">Goldberg, G.L., Whitney, K., Longley, C., Mani, S. </w:t>
      </w:r>
      <w:r>
        <w:t>(2008)</w:t>
      </w:r>
      <w:r w:rsidR="00AA42BB">
        <w:t>:</w:t>
      </w:r>
      <w:r w:rsidR="00D67719">
        <w:t xml:space="preserve"> </w:t>
      </w:r>
      <w:r>
        <w:t>Expanding the Roles for Pregnane X Receptor in Cancer: Proliferation and Drug Resistance in Ovarian Cancer</w:t>
      </w:r>
      <w:r w:rsidR="00D67719">
        <w:t>.</w:t>
      </w:r>
      <w:r>
        <w:t xml:space="preserve"> </w:t>
      </w:r>
      <w:r>
        <w:rPr>
          <w:i/>
          <w:iCs/>
        </w:rPr>
        <w:t>Clinical Cancer Research</w:t>
      </w:r>
      <w:r>
        <w:t>, 14(17)</w:t>
      </w:r>
      <w:r w:rsidR="00D67719">
        <w:t xml:space="preserve">: </w:t>
      </w:r>
      <w:r>
        <w:t>5332–5340</w:t>
      </w:r>
    </w:p>
    <w:p w14:paraId="44832E18" w14:textId="2A9F53D4" w:rsidR="00DD7F5B" w:rsidRDefault="00DD7F5B" w:rsidP="00E5592D">
      <w:pPr>
        <w:pStyle w:val="Bibliografie"/>
        <w:spacing w:line="360" w:lineRule="auto"/>
      </w:pPr>
      <w:r>
        <w:t>Hall, A.</w:t>
      </w:r>
      <w:r w:rsidR="005A3CCC">
        <w:t xml:space="preserve">, </w:t>
      </w:r>
      <w:r w:rsidR="00D648BE">
        <w:t xml:space="preserve">Chanteux, H., Ménochet, K., Ledecq, M., </w:t>
      </w:r>
      <w:r w:rsidR="00546EAC">
        <w:t xml:space="preserve">Schulze, M.E.D. </w:t>
      </w:r>
      <w:r>
        <w:t>(2021)</w:t>
      </w:r>
      <w:r w:rsidR="00AA42BB">
        <w:t>:</w:t>
      </w:r>
      <w:r w:rsidR="00D67719">
        <w:t xml:space="preserve"> </w:t>
      </w:r>
      <w:r>
        <w:t>Designing Out PXR Activity on Drug Discovery Projects: A Review of Structure-Based Methods, Empirical and Computational Approaches</w:t>
      </w:r>
      <w:r w:rsidR="00D67719">
        <w:t>.</w:t>
      </w:r>
      <w:r>
        <w:t xml:space="preserve"> </w:t>
      </w:r>
      <w:r>
        <w:rPr>
          <w:i/>
          <w:iCs/>
        </w:rPr>
        <w:t>Journal of Medicinal Chemistry</w:t>
      </w:r>
      <w:r>
        <w:t>, 64(10)</w:t>
      </w:r>
      <w:r w:rsidR="00D67719">
        <w:t xml:space="preserve">: </w:t>
      </w:r>
      <w:r>
        <w:t>6413–6522</w:t>
      </w:r>
    </w:p>
    <w:p w14:paraId="778C22B6" w14:textId="18B01A9C" w:rsidR="00DD7F5B" w:rsidRDefault="00DD7F5B" w:rsidP="00E5592D">
      <w:pPr>
        <w:pStyle w:val="Bibliografie"/>
        <w:spacing w:line="360" w:lineRule="auto"/>
      </w:pPr>
      <w:r>
        <w:t>Honkakoski, P., Sueyoshi, T.</w:t>
      </w:r>
      <w:r w:rsidR="006C2198">
        <w:t>,</w:t>
      </w:r>
      <w:r>
        <w:t xml:space="preserve"> Negishi, M. (2003)</w:t>
      </w:r>
      <w:r w:rsidR="00AA42BB">
        <w:t>:</w:t>
      </w:r>
      <w:r w:rsidR="006C2198">
        <w:t xml:space="preserve"> </w:t>
      </w:r>
      <w:r>
        <w:t>Drug-activated nuclear receptors CAR and PXR</w:t>
      </w:r>
      <w:r w:rsidR="006C2198">
        <w:t>.</w:t>
      </w:r>
      <w:r>
        <w:t xml:space="preserve"> </w:t>
      </w:r>
      <w:r>
        <w:rPr>
          <w:i/>
          <w:iCs/>
        </w:rPr>
        <w:t>Annals of Medicine</w:t>
      </w:r>
      <w:r>
        <w:t>, 35(3)</w:t>
      </w:r>
      <w:r w:rsidR="006C2198">
        <w:t xml:space="preserve">: </w:t>
      </w:r>
      <w:r>
        <w:t>172–182</w:t>
      </w:r>
    </w:p>
    <w:p w14:paraId="561C91B5" w14:textId="3D5FAD47" w:rsidR="00DD7F5B" w:rsidRDefault="00DD7F5B" w:rsidP="00E5592D">
      <w:pPr>
        <w:pStyle w:val="Bibliografie"/>
        <w:spacing w:line="360" w:lineRule="auto"/>
      </w:pPr>
      <w:r>
        <w:t>Hoshino, M.</w:t>
      </w:r>
      <w:r w:rsidR="00546EAC">
        <w:t xml:space="preserve">, </w:t>
      </w:r>
      <w:r w:rsidR="00DF0AD1">
        <w:t>Ikarashi, N., Tsukui, M., Kurokawa, A.,</w:t>
      </w:r>
      <w:r w:rsidR="00D9462C">
        <w:t xml:space="preserve"> Naito, R., Suzuki, M., Yokobori, K., Ochiai, T., Ishii, M., </w:t>
      </w:r>
      <w:r w:rsidR="003A2EC7">
        <w:t>Kusunoki, Y., Kon, R., Ochiai, W., Wakui, N., Machida, Y., Sugiyama, K.</w:t>
      </w:r>
      <w:r>
        <w:t xml:space="preserve"> (2014)</w:t>
      </w:r>
      <w:r w:rsidR="00AA42BB">
        <w:t>:</w:t>
      </w:r>
      <w:r w:rsidR="006C2198">
        <w:t xml:space="preserve"> </w:t>
      </w:r>
      <w:r>
        <w:t>Menthol reduces the anticoagulant effect of warfarin by inducing cytochrome P450 2C expression</w:t>
      </w:r>
      <w:r w:rsidR="006C2198">
        <w:t>.</w:t>
      </w:r>
      <w:r>
        <w:t xml:space="preserve"> </w:t>
      </w:r>
      <w:r>
        <w:rPr>
          <w:i/>
          <w:iCs/>
        </w:rPr>
        <w:t>European Journal of Pharmaceutical Sciences</w:t>
      </w:r>
      <w:r>
        <w:t>, 56</w:t>
      </w:r>
      <w:r w:rsidR="006C2198">
        <w:t>:</w:t>
      </w:r>
      <w:r>
        <w:t xml:space="preserve"> 92–101</w:t>
      </w:r>
    </w:p>
    <w:p w14:paraId="210EB4AF" w14:textId="62A18123" w:rsidR="00DD7F5B" w:rsidRDefault="00DD7F5B" w:rsidP="00E5592D">
      <w:pPr>
        <w:pStyle w:val="Bibliografie"/>
        <w:spacing w:line="360" w:lineRule="auto"/>
      </w:pPr>
      <w:r>
        <w:t>Huang, H.</w:t>
      </w:r>
      <w:r w:rsidR="003A2EC7">
        <w:t xml:space="preserve">, </w:t>
      </w:r>
      <w:r w:rsidR="002E6EFB">
        <w:t xml:space="preserve">Wang, H., Sinz, M., Zoeckler, M., Staudinger, J., </w:t>
      </w:r>
      <w:r w:rsidR="00F3024D">
        <w:t>Redinbo, M.R., Teotico, D.G., Locker, J., Kalpana, G.V., Mani, S.</w:t>
      </w:r>
      <w:r>
        <w:t xml:space="preserve"> (2007)</w:t>
      </w:r>
      <w:r w:rsidR="00AA42BB">
        <w:t>:</w:t>
      </w:r>
      <w:r w:rsidR="006C2198">
        <w:t xml:space="preserve"> </w:t>
      </w:r>
      <w:r>
        <w:t>Inhibition of drug metabolism by blocking the activation of nuclear receptors by ketoconazole</w:t>
      </w:r>
      <w:r w:rsidR="006C2198">
        <w:t>.</w:t>
      </w:r>
      <w:r>
        <w:t xml:space="preserve"> </w:t>
      </w:r>
      <w:r>
        <w:rPr>
          <w:i/>
          <w:iCs/>
        </w:rPr>
        <w:t>Oncogene</w:t>
      </w:r>
      <w:r>
        <w:t>, 26(2)</w:t>
      </w:r>
      <w:r w:rsidR="006C2198">
        <w:t>:</w:t>
      </w:r>
      <w:r>
        <w:t xml:space="preserve"> 258–268</w:t>
      </w:r>
    </w:p>
    <w:p w14:paraId="4C364E94" w14:textId="68E3FDDE" w:rsidR="00DD7F5B" w:rsidRDefault="00DD7F5B" w:rsidP="00E5592D">
      <w:pPr>
        <w:pStyle w:val="Bibliografie"/>
        <w:spacing w:line="360" w:lineRule="auto"/>
      </w:pPr>
      <w:r>
        <w:t>Huijbers, M.M.E.</w:t>
      </w:r>
      <w:r w:rsidR="00F3024D">
        <w:t xml:space="preserve">, </w:t>
      </w:r>
      <w:r w:rsidR="00563DC0">
        <w:t xml:space="preserve">Montersino, S., Westphal, A.H., Tischler, D., </w:t>
      </w:r>
      <w:r w:rsidR="006072EE">
        <w:t>van Berkel, W.J.H.</w:t>
      </w:r>
      <w:r>
        <w:t xml:space="preserve"> (2014)</w:t>
      </w:r>
      <w:r w:rsidR="00AA42BB">
        <w:t>:</w:t>
      </w:r>
      <w:r w:rsidR="006C2198">
        <w:t xml:space="preserve"> </w:t>
      </w:r>
      <w:r>
        <w:t>Flavin dependent monooxygenases</w:t>
      </w:r>
      <w:r w:rsidR="00A268D7">
        <w:t>.</w:t>
      </w:r>
      <w:r>
        <w:t xml:space="preserve"> </w:t>
      </w:r>
      <w:r>
        <w:rPr>
          <w:i/>
          <w:iCs/>
        </w:rPr>
        <w:t>Archives of Biochemistry and Biophysics</w:t>
      </w:r>
      <w:r w:rsidR="00A268D7">
        <w:t>,</w:t>
      </w:r>
      <w:r>
        <w:t xml:space="preserve"> 544</w:t>
      </w:r>
      <w:r w:rsidR="006C2198">
        <w:t>:</w:t>
      </w:r>
      <w:r>
        <w:t xml:space="preserve"> 2–17</w:t>
      </w:r>
    </w:p>
    <w:p w14:paraId="5A7155A9" w14:textId="1BED425F" w:rsidR="00DD7F5B" w:rsidRDefault="00DD7F5B" w:rsidP="00E5592D">
      <w:pPr>
        <w:pStyle w:val="Bibliografie"/>
        <w:spacing w:line="360" w:lineRule="auto"/>
      </w:pPr>
      <w:r>
        <w:t>Ihunnah, C.A., Jiang, M.</w:t>
      </w:r>
      <w:r w:rsidR="00A268D7">
        <w:t>,</w:t>
      </w:r>
      <w:r>
        <w:t xml:space="preserve"> Xie, W. (2011)</w:t>
      </w:r>
      <w:r w:rsidR="00AA42BB">
        <w:t>:</w:t>
      </w:r>
      <w:r w:rsidR="00A268D7">
        <w:t xml:space="preserve"> </w:t>
      </w:r>
      <w:r>
        <w:t>Nuclear receptor PXR, transcriptional circuits and metabolic relevance</w:t>
      </w:r>
      <w:r w:rsidR="00A268D7">
        <w:t>.</w:t>
      </w:r>
      <w:r>
        <w:t xml:space="preserve"> </w:t>
      </w:r>
      <w:r>
        <w:rPr>
          <w:i/>
          <w:iCs/>
        </w:rPr>
        <w:t>Biochimica et Biophysica Acta (BBA) - Molecular Basis of Disease</w:t>
      </w:r>
      <w:r>
        <w:t>, 1812(8)</w:t>
      </w:r>
      <w:r w:rsidR="00A268D7">
        <w:t xml:space="preserve">: </w:t>
      </w:r>
      <w:r>
        <w:t>956–963</w:t>
      </w:r>
    </w:p>
    <w:p w14:paraId="48F022B0" w14:textId="4B74FE2E" w:rsidR="00DD7F5B" w:rsidRDefault="00DD7F5B" w:rsidP="00E5592D">
      <w:pPr>
        <w:pStyle w:val="Bibliografie"/>
        <w:spacing w:line="360" w:lineRule="auto"/>
      </w:pPr>
      <w:r>
        <w:t>Jancova, P., Anzenbacher, P.</w:t>
      </w:r>
      <w:r w:rsidR="00A268D7">
        <w:t>,</w:t>
      </w:r>
      <w:r>
        <w:t xml:space="preserve"> Anzenbacherova, E. (2010)</w:t>
      </w:r>
      <w:r w:rsidR="00AA42BB">
        <w:t>:</w:t>
      </w:r>
      <w:r>
        <w:t xml:space="preserve"> PHASE II DRUG METABOLIZING ENZYMES</w:t>
      </w:r>
      <w:r w:rsidR="00A268D7">
        <w:t>.</w:t>
      </w:r>
      <w:r>
        <w:t xml:space="preserve"> </w:t>
      </w:r>
      <w:r>
        <w:rPr>
          <w:i/>
          <w:iCs/>
        </w:rPr>
        <w:t>Biomedical Papers</w:t>
      </w:r>
      <w:r>
        <w:t>, 154(2)</w:t>
      </w:r>
      <w:r w:rsidR="00A268D7">
        <w:t xml:space="preserve">: </w:t>
      </w:r>
      <w:r>
        <w:t>103–116</w:t>
      </w:r>
    </w:p>
    <w:p w14:paraId="3F6FA22A" w14:textId="0D8F2BE8" w:rsidR="00DD7F5B" w:rsidRDefault="00DD7F5B" w:rsidP="00E5592D">
      <w:pPr>
        <w:pStyle w:val="Bibliografie"/>
        <w:spacing w:line="360" w:lineRule="auto"/>
      </w:pPr>
      <w:r>
        <w:lastRenderedPageBreak/>
        <w:t>Johnson, D.R.</w:t>
      </w:r>
      <w:r w:rsidR="006072EE">
        <w:t xml:space="preserve">, </w:t>
      </w:r>
      <w:r w:rsidR="002A2397">
        <w:t xml:space="preserve">Li, C.W., Chen, L.Y., </w:t>
      </w:r>
      <w:r w:rsidR="00A508C3">
        <w:t>Ghosh, J.C., Chen, J.D.</w:t>
      </w:r>
      <w:r>
        <w:t xml:space="preserve"> (2006)</w:t>
      </w:r>
      <w:r w:rsidR="00AA42BB">
        <w:t>:</w:t>
      </w:r>
      <w:r w:rsidR="00A268D7">
        <w:t xml:space="preserve"> </w:t>
      </w:r>
      <w:r>
        <w:t>Regulation and Binding of Pregnane X Receptor by Nuclear Receptor Corepressor Silencing Mediator of Retinoid and Thyroid Hormone Receptors (SMRT)</w:t>
      </w:r>
      <w:r w:rsidR="00C16683">
        <w:t xml:space="preserve">. </w:t>
      </w:r>
      <w:r>
        <w:rPr>
          <w:i/>
          <w:iCs/>
        </w:rPr>
        <w:t>Molecular Pharmacology</w:t>
      </w:r>
      <w:r>
        <w:t>, 69(1)</w:t>
      </w:r>
      <w:r w:rsidR="00C16683">
        <w:t xml:space="preserve">: </w:t>
      </w:r>
      <w:r>
        <w:t>99–108</w:t>
      </w:r>
    </w:p>
    <w:p w14:paraId="38ACF223" w14:textId="4894193B" w:rsidR="00DD7F5B" w:rsidRDefault="00DD7F5B" w:rsidP="00E5592D">
      <w:pPr>
        <w:pStyle w:val="Bibliografie"/>
        <w:spacing w:line="360" w:lineRule="auto"/>
      </w:pPr>
      <w:r>
        <w:t>Jones, S.A.</w:t>
      </w:r>
      <w:r w:rsidR="00A508C3">
        <w:t xml:space="preserve">, </w:t>
      </w:r>
      <w:r w:rsidR="004701EA">
        <w:t xml:space="preserve">Moore, L.B., Shenk, J.L., Wisely, G.B., Hamilton, G.A., </w:t>
      </w:r>
      <w:r w:rsidR="000879B8">
        <w:t>McKee, D.D., Tomkinson, N.C.O.,</w:t>
      </w:r>
      <w:r w:rsidR="00F02947">
        <w:t xml:space="preserve"> LeCluyse, E.L., Lambert, M.H., Willson, T.M., </w:t>
      </w:r>
      <w:r w:rsidR="003F3846">
        <w:t>Kliewer, S.A., Moore, J.T.</w:t>
      </w:r>
      <w:r>
        <w:t xml:space="preserve"> (2000)</w:t>
      </w:r>
      <w:r w:rsidR="00AA42BB">
        <w:t>:</w:t>
      </w:r>
      <w:r w:rsidR="00C16683">
        <w:t xml:space="preserve"> </w:t>
      </w:r>
      <w:r>
        <w:t>The Pregnane X Receptor: A Promiscuous Xenobiotic Receptor That Has Diverged during Evolution</w:t>
      </w:r>
      <w:r w:rsidR="00C16683">
        <w:t>.</w:t>
      </w:r>
      <w:r>
        <w:t xml:space="preserve"> </w:t>
      </w:r>
      <w:r>
        <w:rPr>
          <w:i/>
          <w:iCs/>
        </w:rPr>
        <w:t>Molecular Endocrinology</w:t>
      </w:r>
      <w:r>
        <w:t>, 14(1)</w:t>
      </w:r>
      <w:r w:rsidR="00C16683">
        <w:t>:</w:t>
      </w:r>
      <w:r>
        <w:t xml:space="preserve"> 27–39</w:t>
      </w:r>
    </w:p>
    <w:p w14:paraId="5DD1EA20" w14:textId="58468EB5" w:rsidR="00DD7F5B" w:rsidRDefault="00DD7F5B" w:rsidP="00E5592D">
      <w:pPr>
        <w:pStyle w:val="Bibliografie"/>
        <w:spacing w:line="360" w:lineRule="auto"/>
      </w:pPr>
      <w:r>
        <w:t>Katzung, B.G. (2018)</w:t>
      </w:r>
      <w:r w:rsidR="00AA42BB">
        <w:t>:</w:t>
      </w:r>
      <w:r>
        <w:t xml:space="preserve"> </w:t>
      </w:r>
      <w:r>
        <w:rPr>
          <w:i/>
          <w:iCs/>
        </w:rPr>
        <w:t>Basic &amp; clinical pharmacology</w:t>
      </w:r>
      <w:r>
        <w:t>. Fourteenth edition. New York</w:t>
      </w:r>
      <w:r w:rsidR="002D52CE">
        <w:t>,</w:t>
      </w:r>
      <w:r>
        <w:t xml:space="preserve"> Chicago</w:t>
      </w:r>
      <w:r w:rsidR="002D52CE">
        <w:t>,</w:t>
      </w:r>
      <w:r>
        <w:t xml:space="preserve"> San Francisco</w:t>
      </w:r>
      <w:r w:rsidR="002D52CE">
        <w:t>,</w:t>
      </w:r>
      <w:r>
        <w:t xml:space="preserve"> Athens</w:t>
      </w:r>
      <w:r w:rsidR="002D52CE">
        <w:t>,</w:t>
      </w:r>
      <w:r>
        <w:t xml:space="preserve"> London</w:t>
      </w:r>
      <w:r w:rsidR="002D52CE">
        <w:t>,</w:t>
      </w:r>
      <w:r>
        <w:t xml:space="preserve"> Madrid</w:t>
      </w:r>
      <w:r w:rsidR="002D52CE">
        <w:t>,</w:t>
      </w:r>
      <w:r>
        <w:t xml:space="preserve"> Mexico City</w:t>
      </w:r>
      <w:r w:rsidR="002D52CE">
        <w:t>,</w:t>
      </w:r>
      <w:r>
        <w:t xml:space="preserve"> Milan</w:t>
      </w:r>
      <w:r w:rsidR="002D52CE">
        <w:t>,</w:t>
      </w:r>
      <w:r>
        <w:t xml:space="preserve"> New Delhi</w:t>
      </w:r>
      <w:r w:rsidR="002D52CE">
        <w:t>,</w:t>
      </w:r>
      <w:r>
        <w:t xml:space="preserve"> Singapore</w:t>
      </w:r>
      <w:r w:rsidR="002D52CE">
        <w:t>,</w:t>
      </w:r>
      <w:r>
        <w:t xml:space="preserve"> Sydney</w:t>
      </w:r>
      <w:r w:rsidR="002D52CE">
        <w:t>,</w:t>
      </w:r>
      <w:r>
        <w:t xml:space="preserve"> Toronto: McGraw-Hill Education</w:t>
      </w:r>
    </w:p>
    <w:p w14:paraId="590FBD6B" w14:textId="17D2D0FA" w:rsidR="00DD7F5B" w:rsidRDefault="00DD7F5B" w:rsidP="00E5592D">
      <w:pPr>
        <w:pStyle w:val="Bibliografie"/>
        <w:spacing w:line="360" w:lineRule="auto"/>
      </w:pPr>
      <w:r>
        <w:t>Kenakin, T. (2008)</w:t>
      </w:r>
      <w:r w:rsidR="00EE777E">
        <w:t>:</w:t>
      </w:r>
      <w:r w:rsidR="005F56D7">
        <w:t xml:space="preserve"> </w:t>
      </w:r>
      <w:r>
        <w:t>Receptor Theory</w:t>
      </w:r>
      <w:r w:rsidR="005F56D7">
        <w:t>.</w:t>
      </w:r>
      <w:r>
        <w:t xml:space="preserve"> </w:t>
      </w:r>
      <w:r>
        <w:rPr>
          <w:i/>
          <w:iCs/>
        </w:rPr>
        <w:t>Current Protocols in Pharmacology</w:t>
      </w:r>
      <w:r>
        <w:t>, 41(1)</w:t>
      </w:r>
    </w:p>
    <w:p w14:paraId="4BE28C02" w14:textId="3215D932" w:rsidR="00DD7F5B" w:rsidRDefault="00DD7F5B" w:rsidP="00E5592D">
      <w:pPr>
        <w:pStyle w:val="Bibliografie"/>
        <w:spacing w:line="360" w:lineRule="auto"/>
      </w:pPr>
      <w:r>
        <w:t>Kliewer, S.A.</w:t>
      </w:r>
      <w:r w:rsidR="00B15E8A">
        <w:t xml:space="preserve">, </w:t>
      </w:r>
      <w:r w:rsidR="00D46044">
        <w:t xml:space="preserve">Moore, T.J., Wade, L., </w:t>
      </w:r>
      <w:r w:rsidR="007E5E30">
        <w:t xml:space="preserve">Staudinger, J.L., Watson, M.A., Jones, S.A., McKnee, D.D., </w:t>
      </w:r>
      <w:r w:rsidR="00CB69C4">
        <w:t xml:space="preserve">Oliver, B.B., </w:t>
      </w:r>
      <w:r w:rsidR="00C939DC">
        <w:t xml:space="preserve">Willson, T.M., Zetterstrome, R.H., Perlmann, T., </w:t>
      </w:r>
      <w:r w:rsidR="00AC780E">
        <w:t xml:space="preserve">Lehmann, J.M. </w:t>
      </w:r>
      <w:r>
        <w:t>(1998)</w:t>
      </w:r>
      <w:r w:rsidR="00EE777E">
        <w:t>:</w:t>
      </w:r>
      <w:r w:rsidR="005F56D7">
        <w:t xml:space="preserve"> </w:t>
      </w:r>
      <w:r>
        <w:t>An Orphan Nuclear Receptor Activated by Pregnanes Defines a Novel Steroid Signaling Pathway</w:t>
      </w:r>
      <w:r w:rsidR="005F56D7">
        <w:t>.</w:t>
      </w:r>
      <w:r>
        <w:t xml:space="preserve"> </w:t>
      </w:r>
      <w:r>
        <w:rPr>
          <w:i/>
          <w:iCs/>
        </w:rPr>
        <w:t>Cell</w:t>
      </w:r>
      <w:r>
        <w:t>, 92(1)</w:t>
      </w:r>
      <w:r w:rsidR="005F56D7">
        <w:t xml:space="preserve">: </w:t>
      </w:r>
      <w:r>
        <w:t>73–82</w:t>
      </w:r>
    </w:p>
    <w:p w14:paraId="4D221645" w14:textId="7290F171" w:rsidR="00DD7F5B" w:rsidRDefault="00DD7F5B" w:rsidP="00E5592D">
      <w:pPr>
        <w:pStyle w:val="Bibliografie"/>
        <w:spacing w:line="360" w:lineRule="auto"/>
      </w:pPr>
      <w:r>
        <w:t>Klyushova, L.S., Perepechaeva, M.L.</w:t>
      </w:r>
      <w:r w:rsidR="005F56D7">
        <w:t>,</w:t>
      </w:r>
      <w:r>
        <w:t xml:space="preserve"> Grishanova, A.Y. (2022)</w:t>
      </w:r>
      <w:r w:rsidR="00EE777E">
        <w:t>:</w:t>
      </w:r>
      <w:r w:rsidR="005F56D7">
        <w:t xml:space="preserve"> </w:t>
      </w:r>
      <w:r>
        <w:t>The Role of CYP3A in Health and Disease</w:t>
      </w:r>
      <w:r w:rsidR="005F56D7">
        <w:t>.</w:t>
      </w:r>
      <w:r>
        <w:t xml:space="preserve"> </w:t>
      </w:r>
      <w:r>
        <w:rPr>
          <w:i/>
          <w:iCs/>
        </w:rPr>
        <w:t>Biomedicines</w:t>
      </w:r>
      <w:r>
        <w:t>, 10(11)</w:t>
      </w:r>
      <w:r w:rsidR="005F56D7">
        <w:t xml:space="preserve">: </w:t>
      </w:r>
      <w:r>
        <w:t>2686</w:t>
      </w:r>
    </w:p>
    <w:p w14:paraId="2FBD4456" w14:textId="6487EEFD" w:rsidR="00DD7F5B" w:rsidRDefault="00DD7F5B" w:rsidP="00E5592D">
      <w:pPr>
        <w:pStyle w:val="Bibliografie"/>
        <w:spacing w:line="360" w:lineRule="auto"/>
      </w:pPr>
      <w:r>
        <w:t>Lee, S.H., Kwon, J.E.</w:t>
      </w:r>
      <w:r w:rsidR="005F56D7">
        <w:t>,</w:t>
      </w:r>
      <w:r>
        <w:t xml:space="preserve"> Cho, M.-L. (2018)</w:t>
      </w:r>
      <w:r w:rsidR="00EE777E">
        <w:t>:</w:t>
      </w:r>
      <w:r w:rsidR="005F56D7">
        <w:t xml:space="preserve"> </w:t>
      </w:r>
      <w:r>
        <w:t>Immunological pathogenesis of inflammatory bowel disease</w:t>
      </w:r>
      <w:r w:rsidR="005F56D7">
        <w:t>.</w:t>
      </w:r>
      <w:r>
        <w:t xml:space="preserve"> </w:t>
      </w:r>
      <w:r>
        <w:rPr>
          <w:i/>
          <w:iCs/>
        </w:rPr>
        <w:t>Intestinal Research</w:t>
      </w:r>
      <w:r>
        <w:t>, 16(1)</w:t>
      </w:r>
      <w:r w:rsidR="005F56D7">
        <w:t xml:space="preserve">: </w:t>
      </w:r>
      <w:r>
        <w:t>26</w:t>
      </w:r>
    </w:p>
    <w:p w14:paraId="0AF366F8" w14:textId="0B3A1ED8" w:rsidR="00DD7F5B" w:rsidRDefault="00DD7F5B" w:rsidP="00E5592D">
      <w:pPr>
        <w:pStyle w:val="Bibliografie"/>
        <w:spacing w:line="360" w:lineRule="auto"/>
      </w:pPr>
      <w:r>
        <w:t>Lehmann, J.M.</w:t>
      </w:r>
      <w:r w:rsidR="00AC780E">
        <w:t xml:space="preserve">, </w:t>
      </w:r>
      <w:r w:rsidR="002853C9">
        <w:t xml:space="preserve">McKnee, D.D., Watson, M.A., </w:t>
      </w:r>
      <w:r w:rsidR="00AF4F39">
        <w:t xml:space="preserve">Willson, T.M., Moore, J.T., Kliewer, S.A. </w:t>
      </w:r>
      <w:r>
        <w:t>(1998)</w:t>
      </w:r>
      <w:r w:rsidR="00B80865">
        <w:t>:</w:t>
      </w:r>
      <w:r w:rsidR="005F56D7">
        <w:t xml:space="preserve"> </w:t>
      </w:r>
      <w:r>
        <w:t xml:space="preserve">The human orphan nuclear receptor PXR is activated by compounds that regulate CYP3A4 gene expression and cause drug interactions. </w:t>
      </w:r>
      <w:r>
        <w:rPr>
          <w:i/>
          <w:iCs/>
        </w:rPr>
        <w:t>Journal of Clinical Investigation</w:t>
      </w:r>
      <w:r>
        <w:t>, 102(5)</w:t>
      </w:r>
      <w:r w:rsidR="00EB000F">
        <w:t xml:space="preserve">: </w:t>
      </w:r>
      <w:r>
        <w:t>1016–1023</w:t>
      </w:r>
    </w:p>
    <w:p w14:paraId="36C1F5C3" w14:textId="4BF5CA45" w:rsidR="00DD7F5B" w:rsidRDefault="00DD7F5B" w:rsidP="00E5592D">
      <w:pPr>
        <w:pStyle w:val="Bibliografie"/>
        <w:spacing w:line="360" w:lineRule="auto"/>
      </w:pPr>
      <w:r>
        <w:t>Lin, J.H.</w:t>
      </w:r>
      <w:r w:rsidR="00EB000F">
        <w:t xml:space="preserve">, </w:t>
      </w:r>
      <w:r>
        <w:t>Yamazaki, M. (2003)</w:t>
      </w:r>
      <w:r w:rsidR="00B80865">
        <w:t>:</w:t>
      </w:r>
      <w:r w:rsidR="00EB000F">
        <w:t xml:space="preserve"> </w:t>
      </w:r>
      <w:r>
        <w:t>Role of P-Glycoprotein in Pharmacokinetics: Clinical Implications</w:t>
      </w:r>
      <w:r w:rsidR="00A040DE">
        <w:t>.</w:t>
      </w:r>
      <w:r>
        <w:t xml:space="preserve"> </w:t>
      </w:r>
      <w:r>
        <w:rPr>
          <w:i/>
          <w:iCs/>
        </w:rPr>
        <w:t>Clinical Pharmacokinetics</w:t>
      </w:r>
      <w:r>
        <w:t>, 42(1)</w:t>
      </w:r>
      <w:r w:rsidR="00EB000F">
        <w:t xml:space="preserve">: </w:t>
      </w:r>
      <w:r>
        <w:t>59–98</w:t>
      </w:r>
    </w:p>
    <w:p w14:paraId="49FE001F" w14:textId="4FBE097A" w:rsidR="00DD7F5B" w:rsidRDefault="00DD7F5B" w:rsidP="00E5592D">
      <w:pPr>
        <w:pStyle w:val="Bibliografie"/>
        <w:spacing w:line="360" w:lineRule="auto"/>
      </w:pPr>
      <w:r>
        <w:t>Lin, L.</w:t>
      </w:r>
      <w:r w:rsidR="00AF4F39">
        <w:t xml:space="preserve">, </w:t>
      </w:r>
      <w:r w:rsidR="00EA58BC">
        <w:t xml:space="preserve">Yee, S.W., Kim, R.B., </w:t>
      </w:r>
      <w:r w:rsidR="00047D84">
        <w:t xml:space="preserve">Giacomini, K.M. </w:t>
      </w:r>
      <w:r>
        <w:t>(2015)</w:t>
      </w:r>
      <w:r w:rsidR="00B80865">
        <w:t>:</w:t>
      </w:r>
      <w:r w:rsidR="00A040DE">
        <w:t xml:space="preserve"> </w:t>
      </w:r>
      <w:r>
        <w:t>SLC transporters as therapeutic targets: emerging opportunities</w:t>
      </w:r>
      <w:r w:rsidR="00A040DE">
        <w:t>.</w:t>
      </w:r>
      <w:r>
        <w:t xml:space="preserve"> </w:t>
      </w:r>
      <w:r>
        <w:rPr>
          <w:i/>
          <w:iCs/>
        </w:rPr>
        <w:t>Nature Reviews Drug Discovery</w:t>
      </w:r>
      <w:r>
        <w:t>, 14(8)</w:t>
      </w:r>
      <w:r w:rsidR="00A040DE">
        <w:t xml:space="preserve">: </w:t>
      </w:r>
      <w:r>
        <w:t>543–560</w:t>
      </w:r>
    </w:p>
    <w:p w14:paraId="30578DA3" w14:textId="487E7253" w:rsidR="00DD7F5B" w:rsidRDefault="00DD7F5B" w:rsidP="00E5592D">
      <w:pPr>
        <w:pStyle w:val="Bibliografie"/>
        <w:spacing w:line="360" w:lineRule="auto"/>
      </w:pPr>
      <w:r>
        <w:lastRenderedPageBreak/>
        <w:t>Linde, K.</w:t>
      </w:r>
      <w:r w:rsidR="00047D84">
        <w:t xml:space="preserve">, </w:t>
      </w:r>
      <w:r w:rsidR="00787553">
        <w:t xml:space="preserve">Ramirez, G., Mulrow, C.D., Pauls, A., </w:t>
      </w:r>
      <w:r w:rsidR="006E5E66">
        <w:t xml:space="preserve">Weidenhammer, W., Melchart, D. </w:t>
      </w:r>
      <w:r>
        <w:t>(1996)</w:t>
      </w:r>
      <w:r w:rsidR="00B80865">
        <w:t>:</w:t>
      </w:r>
      <w:r w:rsidR="00A040DE">
        <w:t xml:space="preserve"> </w:t>
      </w:r>
      <w:r>
        <w:t>St John’s wort for depression--an overview and meta-analysis of randomised clinical trials</w:t>
      </w:r>
      <w:r w:rsidR="00A040DE">
        <w:t>.</w:t>
      </w:r>
      <w:r>
        <w:t xml:space="preserve"> </w:t>
      </w:r>
      <w:r>
        <w:rPr>
          <w:i/>
          <w:iCs/>
        </w:rPr>
        <w:t>BMJ</w:t>
      </w:r>
      <w:r>
        <w:t>, 313(7052)</w:t>
      </w:r>
      <w:r w:rsidR="00A040DE">
        <w:t xml:space="preserve">: </w:t>
      </w:r>
      <w:r>
        <w:t>253–258</w:t>
      </w:r>
    </w:p>
    <w:p w14:paraId="29E18108" w14:textId="66EA282E" w:rsidR="00DD7F5B" w:rsidRDefault="00DD7F5B" w:rsidP="00E5592D">
      <w:pPr>
        <w:pStyle w:val="Bibliografie"/>
        <w:spacing w:line="360" w:lineRule="auto"/>
      </w:pPr>
      <w:r>
        <w:t>Lv, Y.</w:t>
      </w:r>
      <w:r w:rsidR="006E5E66">
        <w:t xml:space="preserve">, </w:t>
      </w:r>
      <w:r w:rsidR="00766714">
        <w:t xml:space="preserve">Luo, Y., Ren, H., Li, Ch., Xiang, Z., </w:t>
      </w:r>
      <w:r w:rsidR="0034131A">
        <w:t xml:space="preserve">Luan, Z. </w:t>
      </w:r>
      <w:r>
        <w:t>(2022)</w:t>
      </w:r>
      <w:r w:rsidR="00B80865">
        <w:t>:</w:t>
      </w:r>
      <w:r w:rsidR="00A040DE">
        <w:t xml:space="preserve"> </w:t>
      </w:r>
      <w:r>
        <w:t>The role of pregnane X receptor (PXR) in substance metabolism</w:t>
      </w:r>
      <w:r w:rsidR="003A2042">
        <w:t>.</w:t>
      </w:r>
      <w:r>
        <w:t xml:space="preserve"> </w:t>
      </w:r>
      <w:r>
        <w:rPr>
          <w:i/>
          <w:iCs/>
        </w:rPr>
        <w:t>Frontiers in Endocrinology</w:t>
      </w:r>
      <w:r>
        <w:t>, 13</w:t>
      </w:r>
      <w:r w:rsidR="00294939">
        <w:t xml:space="preserve">: </w:t>
      </w:r>
      <w:r w:rsidR="00294939" w:rsidRPr="00294939">
        <w:t>959902</w:t>
      </w:r>
    </w:p>
    <w:p w14:paraId="4B1FC914" w14:textId="319D3E59" w:rsidR="00DD7F5B" w:rsidRDefault="00DD7F5B" w:rsidP="00E5592D">
      <w:pPr>
        <w:pStyle w:val="Bibliografie"/>
        <w:spacing w:line="360" w:lineRule="auto"/>
      </w:pPr>
      <w:r>
        <w:t>Mackenzie, P.I.</w:t>
      </w:r>
      <w:r w:rsidR="0034131A">
        <w:t xml:space="preserve">, </w:t>
      </w:r>
      <w:r w:rsidR="00EE01A9">
        <w:t xml:space="preserve">Walter, B.K., </w:t>
      </w:r>
      <w:r w:rsidR="00D865FD">
        <w:t xml:space="preserve">Burchell, B., Guillemette, C., Ikushiro, S., </w:t>
      </w:r>
      <w:r w:rsidR="0049332D">
        <w:t>Iyanagi, T., Miners, J.O., Owens, I.S., Nebert, D.W.</w:t>
      </w:r>
      <w:r>
        <w:t xml:space="preserve"> (2005)</w:t>
      </w:r>
      <w:r w:rsidR="00F808C0">
        <w:t>:</w:t>
      </w:r>
      <w:r w:rsidR="003A2042">
        <w:t xml:space="preserve"> </w:t>
      </w:r>
      <w:r>
        <w:t>Nomenclature update for the mammalian UDP glycosyltransferase (UGT) gene superfamily</w:t>
      </w:r>
      <w:r w:rsidR="003A2042">
        <w:t>.</w:t>
      </w:r>
      <w:r>
        <w:t xml:space="preserve"> </w:t>
      </w:r>
      <w:r>
        <w:rPr>
          <w:i/>
          <w:iCs/>
        </w:rPr>
        <w:t>Pharmacogenetics and Genomics</w:t>
      </w:r>
      <w:r>
        <w:t>, 15(10)</w:t>
      </w:r>
      <w:r w:rsidR="003A2042">
        <w:t>:</w:t>
      </w:r>
      <w:r w:rsidR="00A511D0">
        <w:br/>
      </w:r>
      <w:r>
        <w:t>677–685</w:t>
      </w:r>
    </w:p>
    <w:p w14:paraId="1D71CE72" w14:textId="786D9E31" w:rsidR="00DD7F5B" w:rsidRDefault="00DD7F5B" w:rsidP="00E5592D">
      <w:pPr>
        <w:pStyle w:val="Bibliografie"/>
        <w:spacing w:line="360" w:lineRule="auto"/>
      </w:pPr>
      <w:r>
        <w:t>Matias, J.N.</w:t>
      </w:r>
      <w:r w:rsidR="00163502">
        <w:t xml:space="preserve">, </w:t>
      </w:r>
      <w:r w:rsidR="00B0681D">
        <w:t xml:space="preserve">Lima, V.M., Nutels, G.S., Laurindo, L.F., </w:t>
      </w:r>
      <w:r w:rsidR="003E039F">
        <w:t xml:space="preserve">Barbalho, S.M., Goulart, R.A., Araújo, A.C., </w:t>
      </w:r>
      <w:r w:rsidR="006972C9">
        <w:t xml:space="preserve">Suzuki, R.B., Guiguer, E.L. </w:t>
      </w:r>
      <w:r>
        <w:t>(2024)</w:t>
      </w:r>
      <w:r w:rsidR="00F808C0">
        <w:t>:</w:t>
      </w:r>
      <w:r w:rsidR="003A2042">
        <w:t xml:space="preserve"> </w:t>
      </w:r>
      <w:r>
        <w:t>The use of vitamin D for patients with inflammatory bowel diseases: A systematic review</w:t>
      </w:r>
      <w:r w:rsidR="003A2042">
        <w:t>.</w:t>
      </w:r>
      <w:r>
        <w:t xml:space="preserve"> </w:t>
      </w:r>
      <w:r>
        <w:rPr>
          <w:i/>
          <w:iCs/>
        </w:rPr>
        <w:t>International Journal for Vitamin and Nutrition Research</w:t>
      </w:r>
      <w:r>
        <w:t>, 94(1)</w:t>
      </w:r>
      <w:r w:rsidR="003A2042">
        <w:t xml:space="preserve">: </w:t>
      </w:r>
      <w:r>
        <w:t>54–70</w:t>
      </w:r>
    </w:p>
    <w:p w14:paraId="3209BE83" w14:textId="205AB10B" w:rsidR="00DD7F5B" w:rsidRDefault="00DD7F5B" w:rsidP="00E5592D">
      <w:pPr>
        <w:pStyle w:val="Bibliografie"/>
        <w:spacing w:line="360" w:lineRule="auto"/>
      </w:pPr>
      <w:r>
        <w:t>Michalíková, K.</w:t>
      </w:r>
      <w:r w:rsidR="006972C9">
        <w:t xml:space="preserve">, </w:t>
      </w:r>
      <w:r w:rsidR="002A4EFF">
        <w:t xml:space="preserve">Linhartová, L., Ezechiáš, M., </w:t>
      </w:r>
      <w:r w:rsidR="00516CDC">
        <w:t xml:space="preserve">Cajthaml, T. </w:t>
      </w:r>
      <w:r>
        <w:t>(2019)</w:t>
      </w:r>
      <w:r w:rsidR="00F808C0">
        <w:t>:</w:t>
      </w:r>
      <w:r w:rsidR="003A2042">
        <w:t xml:space="preserve"> </w:t>
      </w:r>
      <w:r>
        <w:t>Assessment of agonistic and antagonistic properties of widely used oral care antimicrobial substances toward steroid estrogenic and androgenic receptors</w:t>
      </w:r>
      <w:r w:rsidR="003A2042">
        <w:t>.</w:t>
      </w:r>
      <w:r>
        <w:t xml:space="preserve"> </w:t>
      </w:r>
      <w:r>
        <w:rPr>
          <w:i/>
          <w:iCs/>
        </w:rPr>
        <w:t>Chemosphere</w:t>
      </w:r>
      <w:r>
        <w:t>, 217</w:t>
      </w:r>
      <w:r w:rsidR="003A2042">
        <w:t xml:space="preserve">: </w:t>
      </w:r>
      <w:r>
        <w:t>534–541</w:t>
      </w:r>
    </w:p>
    <w:p w14:paraId="3ADE6BED" w14:textId="5246B48F" w:rsidR="00DD7F5B" w:rsidRDefault="00DD7F5B" w:rsidP="00E5592D">
      <w:pPr>
        <w:pStyle w:val="Bibliografie"/>
        <w:spacing w:line="360" w:lineRule="auto"/>
      </w:pPr>
      <w:r>
        <w:t>Moore, L.B.</w:t>
      </w:r>
      <w:r w:rsidR="00516CDC">
        <w:t xml:space="preserve">, </w:t>
      </w:r>
      <w:r w:rsidR="00BB6E6C">
        <w:t xml:space="preserve">Goodwin, B., Jones, S.A., Wisely, G.B., </w:t>
      </w:r>
      <w:r w:rsidR="0086633A">
        <w:t xml:space="preserve">Serabjit-Singh, C.J., Willson, T.M., Collins, J.L., </w:t>
      </w:r>
      <w:r w:rsidR="00CF40EB">
        <w:t xml:space="preserve">Kliewer, S.A. </w:t>
      </w:r>
      <w:r>
        <w:t>(2000)</w:t>
      </w:r>
      <w:r w:rsidR="00F808C0">
        <w:t>:</w:t>
      </w:r>
      <w:r w:rsidR="003A2042">
        <w:t xml:space="preserve"> </w:t>
      </w:r>
      <w:r>
        <w:t>St. John’s wort induces hepatic drug metabolism through activation of the pregnane X receptor</w:t>
      </w:r>
      <w:r w:rsidR="003A2042">
        <w:t>.</w:t>
      </w:r>
      <w:r>
        <w:t xml:space="preserve"> </w:t>
      </w:r>
      <w:r>
        <w:rPr>
          <w:i/>
          <w:iCs/>
        </w:rPr>
        <w:t>Proceedings of the National Academy of Sciences</w:t>
      </w:r>
      <w:r>
        <w:t>, 97(13)</w:t>
      </w:r>
      <w:r w:rsidR="003A2042">
        <w:t>:</w:t>
      </w:r>
      <w:r>
        <w:t xml:space="preserve"> 7500–7502</w:t>
      </w:r>
    </w:p>
    <w:p w14:paraId="01DF2FC1" w14:textId="7199BE08" w:rsidR="00DD7F5B" w:rsidRDefault="00DD7F5B" w:rsidP="00E5592D">
      <w:pPr>
        <w:pStyle w:val="Bibliografie"/>
        <w:spacing w:line="360" w:lineRule="auto"/>
      </w:pPr>
      <w:r>
        <w:t>Moss, G.P., Smith, P.A.S.</w:t>
      </w:r>
      <w:r w:rsidR="003A2042">
        <w:t>,</w:t>
      </w:r>
      <w:r>
        <w:t xml:space="preserve"> Tavernier, D. (1995)</w:t>
      </w:r>
      <w:r w:rsidR="00323968">
        <w:t>:</w:t>
      </w:r>
      <w:r w:rsidR="003A2042">
        <w:t xml:space="preserve"> </w:t>
      </w:r>
      <w:r>
        <w:t>Glossary of class names of organic compounds and reactivity intermediates based on structure (IUPAC Recommendations 1995)</w:t>
      </w:r>
      <w:r w:rsidR="003A2042">
        <w:t>.</w:t>
      </w:r>
      <w:r>
        <w:t xml:space="preserve"> </w:t>
      </w:r>
      <w:r>
        <w:rPr>
          <w:i/>
          <w:iCs/>
        </w:rPr>
        <w:t>Pure and Applied Chemistry</w:t>
      </w:r>
      <w:r>
        <w:t>, 67(8–9)</w:t>
      </w:r>
      <w:r w:rsidR="003A2042">
        <w:t xml:space="preserve">: </w:t>
      </w:r>
      <w:r>
        <w:t>1307–1375</w:t>
      </w:r>
    </w:p>
    <w:p w14:paraId="6A37AB9E" w14:textId="7162EA28" w:rsidR="00DD7F5B" w:rsidRDefault="00DD7F5B" w:rsidP="00E5592D">
      <w:pPr>
        <w:pStyle w:val="Bibliografie"/>
        <w:spacing w:line="360" w:lineRule="auto"/>
      </w:pPr>
      <w:r>
        <w:t>Na, J.E.</w:t>
      </w:r>
      <w:r w:rsidR="00CF40EB">
        <w:t xml:space="preserve">, </w:t>
      </w:r>
      <w:r w:rsidR="00071EB7">
        <w:t xml:space="preserve">Kim, TJ., </w:t>
      </w:r>
      <w:r w:rsidR="00A71A25">
        <w:t xml:space="preserve">Lee, Y.C., Kim, J.E., Kim, E.R., Hong, S.N., </w:t>
      </w:r>
      <w:r w:rsidR="004027E6">
        <w:t>Chang, D.K., Kim, Y.</w:t>
      </w:r>
      <w:r w:rsidR="00A511D0">
        <w:t xml:space="preserve"> </w:t>
      </w:r>
      <w:r>
        <w:t>(2022)</w:t>
      </w:r>
      <w:r w:rsidR="00323968">
        <w:t>:</w:t>
      </w:r>
      <w:r w:rsidR="0037535E">
        <w:t xml:space="preserve"> </w:t>
      </w:r>
      <w:r>
        <w:t>Risk of prostate cancer in patients with inflammatory bowel disease: a nationwide cohort study in South Korea</w:t>
      </w:r>
      <w:r w:rsidR="0037535E">
        <w:t>.</w:t>
      </w:r>
      <w:r>
        <w:t xml:space="preserve"> </w:t>
      </w:r>
      <w:r>
        <w:rPr>
          <w:i/>
          <w:iCs/>
        </w:rPr>
        <w:t>Therapeutic Advances in Gastroenterology</w:t>
      </w:r>
      <w:r>
        <w:t>, 15</w:t>
      </w:r>
    </w:p>
    <w:p w14:paraId="74BFC88E" w14:textId="61B6465F" w:rsidR="00DD7F5B" w:rsidRDefault="00DD7F5B" w:rsidP="00E5592D">
      <w:pPr>
        <w:pStyle w:val="Bibliografie"/>
        <w:spacing w:line="360" w:lineRule="auto"/>
      </w:pPr>
      <w:r>
        <w:t>Nakamura, K.</w:t>
      </w:r>
      <w:r w:rsidR="004027E6">
        <w:t xml:space="preserve">, </w:t>
      </w:r>
      <w:r w:rsidR="00305209">
        <w:t>Moore, R., Negishi, M., Sueyoshi, T.</w:t>
      </w:r>
      <w:r>
        <w:t xml:space="preserve"> (2007)</w:t>
      </w:r>
      <w:r w:rsidR="00323968">
        <w:t>:</w:t>
      </w:r>
      <w:r w:rsidR="002571B2">
        <w:t xml:space="preserve"> </w:t>
      </w:r>
      <w:r>
        <w:t>Nuclear Pregnane X Receptor Cross-talk with FoxA2 to Mediate Drug-induced Regulation of Lipid Metabolism in Fasting Mouse Liver</w:t>
      </w:r>
      <w:r w:rsidR="002571B2">
        <w:t>.</w:t>
      </w:r>
      <w:r>
        <w:t xml:space="preserve"> </w:t>
      </w:r>
      <w:r>
        <w:rPr>
          <w:i/>
          <w:iCs/>
        </w:rPr>
        <w:t>Journal of Biological Chemistry</w:t>
      </w:r>
      <w:r>
        <w:t>, 282(13)</w:t>
      </w:r>
      <w:r w:rsidR="002571B2">
        <w:t xml:space="preserve">: </w:t>
      </w:r>
      <w:r>
        <w:t>9768–9776</w:t>
      </w:r>
    </w:p>
    <w:p w14:paraId="7C7DDF9A" w14:textId="36FEBE66" w:rsidR="00DD7F5B" w:rsidRDefault="00DD7F5B" w:rsidP="00E5592D">
      <w:pPr>
        <w:pStyle w:val="Bibliografie"/>
        <w:spacing w:line="360" w:lineRule="auto"/>
      </w:pPr>
      <w:r>
        <w:lastRenderedPageBreak/>
        <w:t>Nebert, D.W.</w:t>
      </w:r>
      <w:r w:rsidR="002571B2">
        <w:t>,</w:t>
      </w:r>
      <w:r>
        <w:t xml:space="preserve"> Russell, D.W. (2002)</w:t>
      </w:r>
      <w:r w:rsidR="00323968">
        <w:t>:</w:t>
      </w:r>
      <w:r w:rsidR="002571B2">
        <w:t xml:space="preserve"> </w:t>
      </w:r>
      <w:r>
        <w:t>Clinical importance of the cytochromes P450</w:t>
      </w:r>
      <w:r w:rsidR="002571B2">
        <w:t>.</w:t>
      </w:r>
      <w:r>
        <w:t xml:space="preserve"> </w:t>
      </w:r>
      <w:r>
        <w:rPr>
          <w:i/>
          <w:iCs/>
        </w:rPr>
        <w:t>The Lancet</w:t>
      </w:r>
      <w:r>
        <w:t>, 360(9340)</w:t>
      </w:r>
      <w:r w:rsidR="002571B2">
        <w:t xml:space="preserve">: </w:t>
      </w:r>
      <w:r>
        <w:t>1155–1162</w:t>
      </w:r>
    </w:p>
    <w:p w14:paraId="03F80611" w14:textId="2055B20D" w:rsidR="00DD7F5B" w:rsidRDefault="00DD7F5B" w:rsidP="00E5592D">
      <w:pPr>
        <w:pStyle w:val="Bibliografie"/>
        <w:spacing w:line="360" w:lineRule="auto"/>
      </w:pPr>
      <w:r>
        <w:t>Negus, S.S. (2006)</w:t>
      </w:r>
      <w:r w:rsidR="00323968">
        <w:t>:</w:t>
      </w:r>
      <w:r w:rsidR="002571B2">
        <w:t xml:space="preserve"> </w:t>
      </w:r>
      <w:r>
        <w:t>Some implications of receptor theory for in vivo assessment of agonists, antagonists and inverse agonists</w:t>
      </w:r>
      <w:r w:rsidR="002571B2">
        <w:t>.</w:t>
      </w:r>
      <w:r>
        <w:t xml:space="preserve"> </w:t>
      </w:r>
      <w:r>
        <w:rPr>
          <w:i/>
          <w:iCs/>
        </w:rPr>
        <w:t>Biochemical Pharmacology</w:t>
      </w:r>
      <w:r>
        <w:t>, 71(12)</w:t>
      </w:r>
      <w:r w:rsidR="002571B2">
        <w:t xml:space="preserve">: </w:t>
      </w:r>
      <w:r>
        <w:t>1663–1670</w:t>
      </w:r>
    </w:p>
    <w:p w14:paraId="5D0D7C09" w14:textId="28B694D6" w:rsidR="00DD7F5B" w:rsidRDefault="00DD7F5B" w:rsidP="00E5592D">
      <w:pPr>
        <w:pStyle w:val="Bibliografie"/>
        <w:spacing w:line="360" w:lineRule="auto"/>
      </w:pPr>
      <w:r>
        <w:t>Neubig, R.R.</w:t>
      </w:r>
      <w:r w:rsidR="00305209">
        <w:t xml:space="preserve">, </w:t>
      </w:r>
      <w:r w:rsidR="008F2542">
        <w:t>Spedding, M., Kenakin, T., Christopoulos, A.</w:t>
      </w:r>
      <w:r>
        <w:t xml:space="preserve"> (2003)</w:t>
      </w:r>
      <w:r w:rsidR="00323968">
        <w:t>:</w:t>
      </w:r>
      <w:r>
        <w:t xml:space="preserve"> International Union of Pharmacology Committee on Receptor Nomenclature and Drug Classification. XXXVIII. Update on Terms and Symbols in Quantitative Pharmacology</w:t>
      </w:r>
      <w:r w:rsidR="002571B2">
        <w:t>.</w:t>
      </w:r>
      <w:r>
        <w:t xml:space="preserve"> </w:t>
      </w:r>
      <w:r>
        <w:rPr>
          <w:i/>
          <w:iCs/>
        </w:rPr>
        <w:t>Pharmacological Reviews</w:t>
      </w:r>
      <w:r>
        <w:t>, 55(4)</w:t>
      </w:r>
      <w:r w:rsidR="002571B2">
        <w:t xml:space="preserve">: </w:t>
      </w:r>
      <w:r>
        <w:t>597–606</w:t>
      </w:r>
    </w:p>
    <w:p w14:paraId="695C5882" w14:textId="7F78A5E9" w:rsidR="00DD7F5B" w:rsidRDefault="00DD7F5B" w:rsidP="00E5592D">
      <w:pPr>
        <w:pStyle w:val="Bibliografie"/>
        <w:spacing w:line="360" w:lineRule="auto"/>
      </w:pPr>
      <w:r>
        <w:t>Ninkuu, V.</w:t>
      </w:r>
      <w:r w:rsidR="008F2542">
        <w:t xml:space="preserve">, </w:t>
      </w:r>
      <w:r w:rsidR="006E1F8F">
        <w:t xml:space="preserve">Zhang, L., Yan, J., Fu, Z., Yang, T., </w:t>
      </w:r>
      <w:r w:rsidR="007352A0">
        <w:t>Zeng, H.</w:t>
      </w:r>
      <w:r>
        <w:t xml:space="preserve"> (2021)</w:t>
      </w:r>
      <w:r w:rsidR="00323968">
        <w:t>:</w:t>
      </w:r>
      <w:r w:rsidR="002571B2">
        <w:t xml:space="preserve"> </w:t>
      </w:r>
      <w:r>
        <w:t>Biochemistry of Terpenes and Recent Advances in Plant Protection</w:t>
      </w:r>
      <w:r w:rsidR="002571B2">
        <w:t>.</w:t>
      </w:r>
      <w:r>
        <w:t xml:space="preserve"> </w:t>
      </w:r>
      <w:r>
        <w:rPr>
          <w:i/>
          <w:iCs/>
        </w:rPr>
        <w:t>International Journal of Molecular Sciences</w:t>
      </w:r>
      <w:r>
        <w:t>, 22(11)</w:t>
      </w:r>
      <w:r w:rsidR="002571B2">
        <w:t xml:space="preserve">: </w:t>
      </w:r>
      <w:r>
        <w:t>5710</w:t>
      </w:r>
    </w:p>
    <w:p w14:paraId="16BC5B01" w14:textId="5281E97C" w:rsidR="00DD7F5B" w:rsidRDefault="00DD7F5B" w:rsidP="00E5592D">
      <w:pPr>
        <w:pStyle w:val="Bibliografie"/>
        <w:spacing w:line="360" w:lineRule="auto"/>
      </w:pPr>
      <w:r>
        <w:t>Nogoceke, F.P.</w:t>
      </w:r>
      <w:r w:rsidR="007352A0">
        <w:t xml:space="preserve">, Barcaro, </w:t>
      </w:r>
      <w:r w:rsidR="001F6D46">
        <w:t>I.M.R., Sousa, D.P., Andreatini, R.</w:t>
      </w:r>
      <w:r>
        <w:t xml:space="preserve"> (2016)</w:t>
      </w:r>
      <w:r w:rsidR="00323968">
        <w:t>:</w:t>
      </w:r>
      <w:r w:rsidR="002571B2">
        <w:t xml:space="preserve"> </w:t>
      </w:r>
      <w:r>
        <w:t>Antimanic-like effects of (R)-(−)-carvone and (S)-(+)-carvone in mice</w:t>
      </w:r>
      <w:r w:rsidR="002571B2">
        <w:t>.</w:t>
      </w:r>
      <w:r>
        <w:t xml:space="preserve"> </w:t>
      </w:r>
      <w:r>
        <w:rPr>
          <w:i/>
          <w:iCs/>
        </w:rPr>
        <w:t>Neuroscience Letters</w:t>
      </w:r>
      <w:r>
        <w:t>, 619</w:t>
      </w:r>
      <w:r w:rsidR="002571B2">
        <w:t xml:space="preserve">: </w:t>
      </w:r>
      <w:r>
        <w:t>43–48</w:t>
      </w:r>
    </w:p>
    <w:p w14:paraId="52FBFECB" w14:textId="1A1A3999" w:rsidR="00DD7F5B" w:rsidRDefault="00DD7F5B" w:rsidP="00E5592D">
      <w:pPr>
        <w:pStyle w:val="Bibliografie"/>
        <w:spacing w:line="360" w:lineRule="auto"/>
      </w:pPr>
      <w:r>
        <w:t>Novotna, A., Pavek, P.</w:t>
      </w:r>
      <w:r w:rsidR="002571B2">
        <w:t xml:space="preserve">, </w:t>
      </w:r>
      <w:r>
        <w:t>Dvorak, Z. (2011)</w:t>
      </w:r>
      <w:r w:rsidR="00323968">
        <w:t>:</w:t>
      </w:r>
      <w:r w:rsidR="002571B2">
        <w:t xml:space="preserve"> </w:t>
      </w:r>
      <w:r>
        <w:t>Novel Stably Transfected Gene Reporter Human Hepatoma Cell Line for Assessment of Aryl Hydrocarbon Receptor Transcriptional Activity: Construction and Characterization</w:t>
      </w:r>
      <w:r w:rsidR="002571B2">
        <w:t>.</w:t>
      </w:r>
      <w:r>
        <w:t xml:space="preserve"> </w:t>
      </w:r>
      <w:r>
        <w:rPr>
          <w:i/>
          <w:iCs/>
        </w:rPr>
        <w:t>Environmental Science &amp; Technology</w:t>
      </w:r>
      <w:r>
        <w:t>, 45(23)</w:t>
      </w:r>
      <w:r w:rsidR="002571B2">
        <w:t>:</w:t>
      </w:r>
      <w:r w:rsidR="00370D74">
        <w:br/>
      </w:r>
      <w:r>
        <w:t>10133–10139</w:t>
      </w:r>
    </w:p>
    <w:p w14:paraId="286A8BE3" w14:textId="0C9D6C52" w:rsidR="00DD7F5B" w:rsidRDefault="00DD7F5B" w:rsidP="00E5592D">
      <w:pPr>
        <w:pStyle w:val="Bibliografie"/>
        <w:spacing w:line="360" w:lineRule="auto"/>
      </w:pPr>
      <w:r>
        <w:t>Nowack, R. (2008)</w:t>
      </w:r>
      <w:r w:rsidR="00323968">
        <w:t>:</w:t>
      </w:r>
      <w:r w:rsidR="002571B2">
        <w:t xml:space="preserve"> </w:t>
      </w:r>
      <w:r>
        <w:t>Review Article: Cytochrome P450 enzyme, and transport protein mediated herb–drug interactions in renal transplant patients: Grapefruit juice, St John’s Wort – and beyond! (Review Article)</w:t>
      </w:r>
      <w:r w:rsidR="002571B2">
        <w:t>.</w:t>
      </w:r>
      <w:r>
        <w:t xml:space="preserve"> </w:t>
      </w:r>
      <w:r>
        <w:rPr>
          <w:i/>
          <w:iCs/>
        </w:rPr>
        <w:t>Nephrology</w:t>
      </w:r>
      <w:r>
        <w:t>, 13(4)</w:t>
      </w:r>
      <w:r w:rsidR="002571B2">
        <w:t xml:space="preserve">: </w:t>
      </w:r>
      <w:r>
        <w:t>337–347</w:t>
      </w:r>
    </w:p>
    <w:p w14:paraId="1A854AA6" w14:textId="4486106C" w:rsidR="00DD7F5B" w:rsidRDefault="00DD7F5B" w:rsidP="00E5592D">
      <w:pPr>
        <w:pStyle w:val="Bibliografie"/>
        <w:spacing w:line="360" w:lineRule="auto"/>
      </w:pPr>
      <w:r>
        <w:t>Oda, S.</w:t>
      </w:r>
      <w:r w:rsidR="001F6D46">
        <w:t xml:space="preserve">, </w:t>
      </w:r>
      <w:r w:rsidR="00C20E93">
        <w:t>Fukami, T., Yokoi, T., Nakajima, M.</w:t>
      </w:r>
      <w:r>
        <w:t xml:space="preserve"> (2015)</w:t>
      </w:r>
      <w:r w:rsidR="00323968">
        <w:t>:</w:t>
      </w:r>
      <w:r>
        <w:t xml:space="preserve"> A comprehensive review of UDP-glucuronosyltransferase and esterases for drug development</w:t>
      </w:r>
      <w:r w:rsidR="002571B2">
        <w:t>.</w:t>
      </w:r>
      <w:r>
        <w:t xml:space="preserve"> </w:t>
      </w:r>
      <w:r>
        <w:rPr>
          <w:i/>
          <w:iCs/>
        </w:rPr>
        <w:t>Drug Metabolism and Pharmacokinetics</w:t>
      </w:r>
      <w:r>
        <w:t>, 30(1)</w:t>
      </w:r>
      <w:r w:rsidR="002571B2">
        <w:t xml:space="preserve">: </w:t>
      </w:r>
      <w:r>
        <w:t>30–51</w:t>
      </w:r>
    </w:p>
    <w:p w14:paraId="068D8B37" w14:textId="4D587F96" w:rsidR="00DD7F5B" w:rsidRDefault="00DD7F5B" w:rsidP="00E5592D">
      <w:pPr>
        <w:pStyle w:val="Bibliografie"/>
        <w:spacing w:line="360" w:lineRule="auto"/>
      </w:pPr>
      <w:r>
        <w:t>Oeckinghaus, A.</w:t>
      </w:r>
      <w:r w:rsidR="002571B2">
        <w:t>,</w:t>
      </w:r>
      <w:r>
        <w:t xml:space="preserve"> Ghosh, S. (2009)</w:t>
      </w:r>
      <w:r w:rsidR="00323968">
        <w:t>:</w:t>
      </w:r>
      <w:r w:rsidR="002571B2">
        <w:t xml:space="preserve"> </w:t>
      </w:r>
      <w:r>
        <w:t>The NF- B Family of Transcription Factors and Its Regulation</w:t>
      </w:r>
      <w:r w:rsidR="002571B2">
        <w:t>.</w:t>
      </w:r>
      <w:r>
        <w:t xml:space="preserve"> </w:t>
      </w:r>
      <w:r>
        <w:rPr>
          <w:i/>
          <w:iCs/>
        </w:rPr>
        <w:t>Cold Spring Harbor Perspectives in Biology</w:t>
      </w:r>
      <w:r>
        <w:t>, 1(4)</w:t>
      </w:r>
    </w:p>
    <w:p w14:paraId="7F226656" w14:textId="6630CCA2" w:rsidR="00DD7F5B" w:rsidRDefault="00DD7F5B" w:rsidP="00E5592D">
      <w:pPr>
        <w:pStyle w:val="Bibliografie"/>
        <w:spacing w:line="360" w:lineRule="auto"/>
      </w:pPr>
      <w:r>
        <w:t>Ondrová, K.</w:t>
      </w:r>
      <w:r w:rsidR="00C20E93">
        <w:t xml:space="preserve">, </w:t>
      </w:r>
      <w:r w:rsidR="00CA14A9">
        <w:t xml:space="preserve">Zůvalová, I., Vyhlídalová, B., Krasulová, K., Miková, E., </w:t>
      </w:r>
      <w:r w:rsidR="00F366EC">
        <w:t xml:space="preserve">Vrzal, R., Nádvorník, P., Nepal, B., Kortagere, S., Kopečná, M., Kopečný, D., </w:t>
      </w:r>
      <w:r w:rsidR="00CB3045">
        <w:t xml:space="preserve">Šebela, M., Rastinejad, F., Pu, H., Soural, M., Rolfes, K.M., </w:t>
      </w:r>
      <w:r w:rsidR="00D83C13">
        <w:t>Haarmann-Stemmann, T., Li, H., Mani, S., Dvořák, Z.</w:t>
      </w:r>
      <w:r>
        <w:t xml:space="preserve"> (2023)</w:t>
      </w:r>
      <w:r w:rsidR="008B39BA">
        <w:t>:</w:t>
      </w:r>
      <w:r w:rsidR="002571B2">
        <w:t xml:space="preserve"> </w:t>
      </w:r>
      <w:r>
        <w:lastRenderedPageBreak/>
        <w:t>Monoterpenoid aryl hydrocarbon receptor allosteric antagonists protect against ultraviolet skin damage in female mice</w:t>
      </w:r>
      <w:r w:rsidR="002571B2">
        <w:t>.</w:t>
      </w:r>
      <w:r>
        <w:t xml:space="preserve"> </w:t>
      </w:r>
      <w:r>
        <w:rPr>
          <w:i/>
          <w:iCs/>
        </w:rPr>
        <w:t>Nature Communications</w:t>
      </w:r>
      <w:r>
        <w:t>, 14(1)</w:t>
      </w:r>
      <w:r w:rsidR="002571B2">
        <w:t>:</w:t>
      </w:r>
      <w:r>
        <w:t xml:space="preserve"> 2728</w:t>
      </w:r>
    </w:p>
    <w:p w14:paraId="65BCFBA2" w14:textId="20589974" w:rsidR="00DD7F5B" w:rsidRPr="00DF19F7" w:rsidRDefault="00DD7F5B" w:rsidP="00E5592D">
      <w:pPr>
        <w:pStyle w:val="Bibliografie"/>
        <w:spacing w:line="360" w:lineRule="auto"/>
      </w:pPr>
      <w:r>
        <w:t>Page, S.W.</w:t>
      </w:r>
      <w:r w:rsidR="002571B2">
        <w:t>,</w:t>
      </w:r>
      <w:r>
        <w:t xml:space="preserve"> Maddison, J.E. (2008)</w:t>
      </w:r>
      <w:r w:rsidR="00700434">
        <w:t>:</w:t>
      </w:r>
      <w:r w:rsidR="002571B2">
        <w:t xml:space="preserve"> </w:t>
      </w:r>
      <w:r>
        <w:t>Principles of clinical pharmacology</w:t>
      </w:r>
      <w:r w:rsidR="002571B2">
        <w:t>.</w:t>
      </w:r>
      <w:r w:rsidR="00AA7C99">
        <w:t xml:space="preserve"> </w:t>
      </w:r>
      <w:r>
        <w:rPr>
          <w:i/>
          <w:iCs/>
        </w:rPr>
        <w:t>Small Animal Clinical Pharmacology</w:t>
      </w:r>
      <w:r w:rsidR="00DF19F7">
        <w:t xml:space="preserve">, </w:t>
      </w:r>
      <w:r w:rsidR="00023726">
        <w:t>1-26</w:t>
      </w:r>
    </w:p>
    <w:p w14:paraId="1E0E6293" w14:textId="1450F574" w:rsidR="00DD7F5B" w:rsidRDefault="00DD7F5B" w:rsidP="00E5592D">
      <w:pPr>
        <w:pStyle w:val="Bibliografie"/>
        <w:spacing w:line="360" w:lineRule="auto"/>
      </w:pPr>
      <w:r>
        <w:t>Pavek, P. (2016)</w:t>
      </w:r>
      <w:r w:rsidR="00B71C36">
        <w:t>:</w:t>
      </w:r>
      <w:r w:rsidR="00C916FD">
        <w:t xml:space="preserve"> </w:t>
      </w:r>
      <w:r>
        <w:t>Pregnane X Receptor (PXR)-Mediated Gene Repression and Cross-Talk of PXR with Other Nuclear Receptors via Coactivator Interactions</w:t>
      </w:r>
      <w:r w:rsidR="00C916FD">
        <w:t>.</w:t>
      </w:r>
      <w:r>
        <w:t xml:space="preserve"> </w:t>
      </w:r>
      <w:r>
        <w:rPr>
          <w:i/>
          <w:iCs/>
        </w:rPr>
        <w:t>Frontiers in Pharmacology</w:t>
      </w:r>
      <w:r>
        <w:t>, 7</w:t>
      </w:r>
      <w:r w:rsidR="00116C0E">
        <w:t>:456</w:t>
      </w:r>
    </w:p>
    <w:p w14:paraId="28E86A62" w14:textId="73533285" w:rsidR="00DD7F5B" w:rsidRDefault="00DD7F5B" w:rsidP="00E5592D">
      <w:pPr>
        <w:pStyle w:val="Bibliografie"/>
        <w:spacing w:line="360" w:lineRule="auto"/>
      </w:pPr>
      <w:r>
        <w:t>Pavek, P.</w:t>
      </w:r>
      <w:r w:rsidR="00C916FD">
        <w:t xml:space="preserve">, </w:t>
      </w:r>
      <w:r>
        <w:t>Dvorak, Z. (2008)</w:t>
      </w:r>
      <w:r w:rsidR="00116C0E">
        <w:t>:</w:t>
      </w:r>
      <w:r w:rsidR="00C916FD">
        <w:t xml:space="preserve"> </w:t>
      </w:r>
      <w:r>
        <w:t>Xenobiotic-Induced Transcriptional Regulation of Xenobiotic Metabolizing Enzymes of the Cytochrome P450 Superfamily in Human Extrahepatic Tissues</w:t>
      </w:r>
      <w:r w:rsidR="00C916FD">
        <w:t>.</w:t>
      </w:r>
      <w:r>
        <w:t xml:space="preserve"> </w:t>
      </w:r>
      <w:r>
        <w:rPr>
          <w:i/>
          <w:iCs/>
        </w:rPr>
        <w:t>Current Drug Metabolism</w:t>
      </w:r>
      <w:r>
        <w:t>, 9(2)</w:t>
      </w:r>
      <w:r w:rsidR="00C916FD">
        <w:t xml:space="preserve">: </w:t>
      </w:r>
      <w:r>
        <w:t>129–143</w:t>
      </w:r>
    </w:p>
    <w:p w14:paraId="7746084A" w14:textId="7927550A" w:rsidR="00DD7F5B" w:rsidRDefault="00DD7F5B" w:rsidP="00E5592D">
      <w:pPr>
        <w:pStyle w:val="Bibliografie"/>
        <w:spacing w:line="360" w:lineRule="auto"/>
      </w:pPr>
      <w:r>
        <w:t>Persson, K.P.</w:t>
      </w:r>
      <w:r w:rsidR="00D83C13">
        <w:t xml:space="preserve">, </w:t>
      </w:r>
      <w:r w:rsidR="005D20AC">
        <w:t xml:space="preserve">Ekehed, S., Otter, C., Lutz, E.S.M., </w:t>
      </w:r>
      <w:r w:rsidR="000E5C42">
        <w:t>McPheat, J., Masimirembwa, C.M., Andersson, T.B.</w:t>
      </w:r>
      <w:r>
        <w:t xml:space="preserve"> (2006)</w:t>
      </w:r>
      <w:r w:rsidR="00AC1E50">
        <w:t>:</w:t>
      </w:r>
      <w:r w:rsidR="00C916FD">
        <w:t xml:space="preserve"> </w:t>
      </w:r>
      <w:r>
        <w:t>Evaluation of Human Liver Slices and Reporter Gene Assays as Systems for Predicting the Cytochrome P450 Induction Potential of Drugs in Vivo in Humans</w:t>
      </w:r>
      <w:r w:rsidR="00C916FD">
        <w:t>.</w:t>
      </w:r>
      <w:r>
        <w:t xml:space="preserve"> </w:t>
      </w:r>
      <w:r>
        <w:rPr>
          <w:i/>
          <w:iCs/>
        </w:rPr>
        <w:t>Pharmaceutical Research</w:t>
      </w:r>
      <w:r>
        <w:t>, 23(1)</w:t>
      </w:r>
      <w:r w:rsidR="00C916FD">
        <w:t xml:space="preserve">: </w:t>
      </w:r>
      <w:r>
        <w:t>56–69</w:t>
      </w:r>
    </w:p>
    <w:p w14:paraId="54B90527" w14:textId="4C559E4F" w:rsidR="00DD7F5B" w:rsidRPr="00720AC0" w:rsidRDefault="00DD7F5B" w:rsidP="00E5592D">
      <w:pPr>
        <w:pStyle w:val="Bibliografie"/>
        <w:spacing w:line="360" w:lineRule="auto"/>
        <w:rPr>
          <w:rFonts w:ascii="Aptos" w:hAnsi="Aptos"/>
          <w:sz w:val="22"/>
        </w:rPr>
      </w:pPr>
      <w:r w:rsidRPr="00720AC0">
        <w:t>Phang-Lyn, S.</w:t>
      </w:r>
      <w:r w:rsidR="00C916FD" w:rsidRPr="00720AC0">
        <w:t>,</w:t>
      </w:r>
      <w:r w:rsidRPr="00720AC0">
        <w:t xml:space="preserve"> Llerena, V.A. (2024)</w:t>
      </w:r>
      <w:r w:rsidR="00AC1E50" w:rsidRPr="00720AC0">
        <w:t>:</w:t>
      </w:r>
      <w:r w:rsidR="00C916FD" w:rsidRPr="00720AC0">
        <w:t xml:space="preserve"> </w:t>
      </w:r>
      <w:r w:rsidRPr="00720AC0">
        <w:t>Biochemistry, Biotransformation</w:t>
      </w:r>
      <w:r w:rsidR="00AA7C99" w:rsidRPr="00720AC0">
        <w:t>.</w:t>
      </w:r>
      <w:r w:rsidR="00C021FA">
        <w:t xml:space="preserve"> </w:t>
      </w:r>
      <w:r w:rsidR="00720AC0" w:rsidRPr="00720AC0">
        <w:t>In: </w:t>
      </w:r>
      <w:r w:rsidR="00720AC0" w:rsidRPr="00720AC0">
        <w:rPr>
          <w:i/>
          <w:iCs/>
        </w:rPr>
        <w:t>StatPearls</w:t>
      </w:r>
      <w:r w:rsidR="00720AC0" w:rsidRPr="00720AC0">
        <w:t xml:space="preserve"> [online]. Treasure Island (FL): StatPearls Publishing [</w:t>
      </w:r>
      <w:r w:rsidR="00B513A6">
        <w:t>navštíve</w:t>
      </w:r>
      <w:r w:rsidR="00B920E5">
        <w:t>no</w:t>
      </w:r>
      <w:r w:rsidR="0081668E">
        <w:t xml:space="preserve"> 11. 4. 2024</w:t>
      </w:r>
      <w:r w:rsidR="00720AC0" w:rsidRPr="00720AC0">
        <w:t>]. Dostupné z: http://www.ncbi.nlm.nih.gov/books/NBK544353/</w:t>
      </w:r>
    </w:p>
    <w:p w14:paraId="59079630" w14:textId="5CE1198F" w:rsidR="00DD7F5B" w:rsidRDefault="00DD7F5B" w:rsidP="00E5592D">
      <w:pPr>
        <w:pStyle w:val="Bibliografie"/>
        <w:spacing w:line="360" w:lineRule="auto"/>
      </w:pPr>
      <w:r>
        <w:t>Pleuvry, B.J. (2004)</w:t>
      </w:r>
      <w:r w:rsidR="00AA0F51">
        <w:t>:</w:t>
      </w:r>
      <w:r w:rsidR="00AA7C99">
        <w:t xml:space="preserve"> </w:t>
      </w:r>
      <w:r>
        <w:t>Receptors, agonists and antagonists</w:t>
      </w:r>
      <w:r w:rsidR="00AA7C99">
        <w:t>.</w:t>
      </w:r>
      <w:r>
        <w:t xml:space="preserve"> </w:t>
      </w:r>
      <w:r>
        <w:rPr>
          <w:i/>
          <w:iCs/>
        </w:rPr>
        <w:t>Anaesthesia &amp; Intensive Care Medicine</w:t>
      </w:r>
      <w:r>
        <w:t>, 5(10)</w:t>
      </w:r>
      <w:r w:rsidR="00AA7C99">
        <w:t xml:space="preserve">: </w:t>
      </w:r>
      <w:r>
        <w:t>350–352</w:t>
      </w:r>
    </w:p>
    <w:p w14:paraId="1319944B" w14:textId="53B03CA5" w:rsidR="00DD7F5B" w:rsidRDefault="00DD7F5B" w:rsidP="00E5592D">
      <w:pPr>
        <w:pStyle w:val="Bibliografie"/>
        <w:spacing w:line="360" w:lineRule="auto"/>
      </w:pPr>
      <w:r>
        <w:t>Pondugula, S.R.</w:t>
      </w:r>
      <w:r w:rsidR="0090621A">
        <w:t xml:space="preserve">, </w:t>
      </w:r>
      <w:r>
        <w:t>Mani, S. (2013)</w:t>
      </w:r>
      <w:r w:rsidR="00AA0F51">
        <w:t>:</w:t>
      </w:r>
      <w:r w:rsidR="0090621A">
        <w:t xml:space="preserve"> </w:t>
      </w:r>
      <w:r>
        <w:t>Pregnane xenobiotic receptor in cancer pathogenesis and therapeutic response</w:t>
      </w:r>
      <w:r w:rsidR="0090621A">
        <w:t>.</w:t>
      </w:r>
      <w:r>
        <w:t xml:space="preserve"> </w:t>
      </w:r>
      <w:r>
        <w:rPr>
          <w:i/>
          <w:iCs/>
        </w:rPr>
        <w:t>Cancer Letters</w:t>
      </w:r>
      <w:r>
        <w:t>, 328(1)</w:t>
      </w:r>
      <w:r w:rsidR="0090621A">
        <w:t xml:space="preserve">: </w:t>
      </w:r>
      <w:r>
        <w:t>1–9</w:t>
      </w:r>
    </w:p>
    <w:p w14:paraId="575AC774" w14:textId="21C9E7C5" w:rsidR="00DD7F5B" w:rsidRDefault="00DD7F5B" w:rsidP="00E5592D">
      <w:pPr>
        <w:pStyle w:val="Bibliografie"/>
        <w:spacing w:line="360" w:lineRule="auto"/>
      </w:pPr>
      <w:r>
        <w:t>Poulos, T.L. (2005)</w:t>
      </w:r>
      <w:r w:rsidR="00AA0F51">
        <w:t>:</w:t>
      </w:r>
      <w:r w:rsidR="0090621A">
        <w:t xml:space="preserve"> </w:t>
      </w:r>
      <w:r>
        <w:t>STRUCTURAL AND FUNCTIONAL DIVERSITY IN HEME MONOOXYGENASES</w:t>
      </w:r>
      <w:r w:rsidR="0090621A">
        <w:t>.</w:t>
      </w:r>
      <w:r>
        <w:t xml:space="preserve"> </w:t>
      </w:r>
      <w:r>
        <w:rPr>
          <w:i/>
          <w:iCs/>
        </w:rPr>
        <w:t>Drug Metabolism and Disposition</w:t>
      </w:r>
      <w:r>
        <w:t>, 33(1)</w:t>
      </w:r>
      <w:r w:rsidR="0090621A">
        <w:t xml:space="preserve">: </w:t>
      </w:r>
      <w:r>
        <w:t>10–18</w:t>
      </w:r>
    </w:p>
    <w:p w14:paraId="50A28E8C" w14:textId="413C9717" w:rsidR="00DD7F5B" w:rsidRDefault="00DD7F5B" w:rsidP="00E5592D">
      <w:pPr>
        <w:pStyle w:val="Bibliografie"/>
        <w:spacing w:line="360" w:lineRule="auto"/>
      </w:pPr>
      <w:r>
        <w:t>Qiao, E.</w:t>
      </w:r>
      <w:r w:rsidR="000E5C42">
        <w:t xml:space="preserve">, </w:t>
      </w:r>
      <w:r w:rsidR="009E1F17">
        <w:t xml:space="preserve">Ji, M., Wu, J., Ma, R., Zhang, X., He, Y., Zha, Q., Song, X., </w:t>
      </w:r>
      <w:r w:rsidR="007B3FFF">
        <w:t xml:space="preserve">Zhu, L., Tang, J. </w:t>
      </w:r>
      <w:r>
        <w:t>(2013)</w:t>
      </w:r>
      <w:r w:rsidR="00AA0F51">
        <w:t>:</w:t>
      </w:r>
      <w:r w:rsidR="0090621A">
        <w:t xml:space="preserve"> </w:t>
      </w:r>
      <w:r>
        <w:t>Expression of the PXR gene in various types of cancer and drug resistance</w:t>
      </w:r>
      <w:r w:rsidR="0090621A">
        <w:t>.</w:t>
      </w:r>
      <w:r>
        <w:t xml:space="preserve"> </w:t>
      </w:r>
      <w:r>
        <w:rPr>
          <w:i/>
          <w:iCs/>
        </w:rPr>
        <w:t>Oncology Letters</w:t>
      </w:r>
      <w:r>
        <w:t>, 5(4)</w:t>
      </w:r>
      <w:r w:rsidR="0090621A">
        <w:t xml:space="preserve">: </w:t>
      </w:r>
      <w:r>
        <w:t>1093–1100</w:t>
      </w:r>
    </w:p>
    <w:p w14:paraId="07436FCC" w14:textId="19ACD5A0" w:rsidR="00DD7F5B" w:rsidRDefault="00DD7F5B" w:rsidP="00E5592D">
      <w:pPr>
        <w:pStyle w:val="Bibliografie"/>
        <w:spacing w:line="360" w:lineRule="auto"/>
      </w:pPr>
      <w:r>
        <w:lastRenderedPageBreak/>
        <w:t>Qin, X.</w:t>
      </w:r>
      <w:r w:rsidR="007B3FFF">
        <w:t xml:space="preserve">, </w:t>
      </w:r>
      <w:r w:rsidR="005A1916">
        <w:t xml:space="preserve">Pan, C., Cai, Q., Zhao, Y., He, D., </w:t>
      </w:r>
      <w:r w:rsidR="00DD38FD">
        <w:t xml:space="preserve">Wei, W., Zhang, N., Shi, S., </w:t>
      </w:r>
      <w:r w:rsidR="004E7A77">
        <w:t>Chu, X., Zhang, F.</w:t>
      </w:r>
      <w:r>
        <w:t xml:space="preserve"> (2022)</w:t>
      </w:r>
      <w:r w:rsidR="00AA0F51">
        <w:t>:</w:t>
      </w:r>
      <w:r w:rsidR="0090621A">
        <w:t xml:space="preserve"> </w:t>
      </w:r>
      <w:r>
        <w:t>Assessing the effect of interaction between gut microbiome and inflammatory bowel disease on the risks of depression</w:t>
      </w:r>
      <w:r w:rsidR="0090621A">
        <w:t>.</w:t>
      </w:r>
      <w:r>
        <w:t xml:space="preserve"> </w:t>
      </w:r>
      <w:r>
        <w:rPr>
          <w:i/>
          <w:iCs/>
        </w:rPr>
        <w:t>Brain, Behavior, &amp; Immunity - Health</w:t>
      </w:r>
      <w:r>
        <w:t>, 26</w:t>
      </w:r>
      <w:r w:rsidR="0090621A">
        <w:t>:</w:t>
      </w:r>
      <w:r>
        <w:t xml:space="preserve"> 100557</w:t>
      </w:r>
    </w:p>
    <w:p w14:paraId="41249DE8" w14:textId="1A578ABC" w:rsidR="00DD7F5B" w:rsidRDefault="00DD7F5B" w:rsidP="00E5592D">
      <w:pPr>
        <w:pStyle w:val="Bibliografie"/>
        <w:spacing w:line="360" w:lineRule="auto"/>
      </w:pPr>
      <w:r>
        <w:t>Quattrochi, L.C.</w:t>
      </w:r>
      <w:r w:rsidR="0090621A">
        <w:t>,</w:t>
      </w:r>
      <w:r>
        <w:t xml:space="preserve"> Guzelian, P.S. (2001)</w:t>
      </w:r>
      <w:r w:rsidR="00F84CFA">
        <w:t>:</w:t>
      </w:r>
      <w:r w:rsidR="0090621A">
        <w:t xml:space="preserve"> </w:t>
      </w:r>
      <w:r>
        <w:t>Cyp3A regulation: from pharmacology to nuclear receptors</w:t>
      </w:r>
      <w:r w:rsidR="0090621A">
        <w:t>.</w:t>
      </w:r>
      <w:r>
        <w:t xml:space="preserve"> </w:t>
      </w:r>
      <w:r>
        <w:rPr>
          <w:i/>
          <w:iCs/>
        </w:rPr>
        <w:t>Drug Metabolism and Disposition: The Biological Fate of Chemicals</w:t>
      </w:r>
      <w:r>
        <w:t>, 29(5)</w:t>
      </w:r>
      <w:r w:rsidR="0090621A">
        <w:t>:</w:t>
      </w:r>
      <w:r w:rsidR="00F55308">
        <w:br/>
      </w:r>
      <w:r>
        <w:t>615–622</w:t>
      </w:r>
    </w:p>
    <w:p w14:paraId="34CA9AFC" w14:textId="7EF26370" w:rsidR="00DD7F5B" w:rsidRDefault="00DD7F5B" w:rsidP="00E5592D">
      <w:pPr>
        <w:pStyle w:val="Bibliografie"/>
        <w:spacing w:line="360" w:lineRule="auto"/>
      </w:pPr>
      <w:r>
        <w:t>Rang, H.P. (2006)</w:t>
      </w:r>
      <w:r w:rsidR="00F84CFA">
        <w:t>:</w:t>
      </w:r>
      <w:r w:rsidR="0090621A">
        <w:t xml:space="preserve"> </w:t>
      </w:r>
      <w:r>
        <w:t>The receptor concept: pharmacology’s big idea</w:t>
      </w:r>
      <w:r w:rsidR="00FB0FE1">
        <w:t>.</w:t>
      </w:r>
      <w:r>
        <w:t xml:space="preserve"> </w:t>
      </w:r>
      <w:r>
        <w:rPr>
          <w:i/>
          <w:iCs/>
        </w:rPr>
        <w:t>British Journal of Pharmacology</w:t>
      </w:r>
      <w:r>
        <w:t>, 147</w:t>
      </w:r>
    </w:p>
    <w:p w14:paraId="5BA876E2" w14:textId="2B721076" w:rsidR="00DD7F5B" w:rsidRDefault="00DD7F5B" w:rsidP="00E5592D">
      <w:pPr>
        <w:pStyle w:val="Bibliografie"/>
        <w:spacing w:line="360" w:lineRule="auto"/>
      </w:pPr>
      <w:r>
        <w:t>Riches, Z.</w:t>
      </w:r>
      <w:r w:rsidR="004E7A77">
        <w:t xml:space="preserve">, </w:t>
      </w:r>
      <w:r w:rsidR="005003F8">
        <w:t>Stanley, E.L., Bloomer, J.C., Coughtrie M.W.H.</w:t>
      </w:r>
      <w:r>
        <w:t xml:space="preserve"> (2009)</w:t>
      </w:r>
      <w:r w:rsidR="00AA32A7">
        <w:t>:</w:t>
      </w:r>
      <w:r w:rsidR="00FB0FE1">
        <w:t xml:space="preserve"> </w:t>
      </w:r>
      <w:r>
        <w:t>Quantitative Evaluation of the Expression and Activity of Five Major Sulfotransferases (SULTs) in Human Tissues: The SULT “Pie”</w:t>
      </w:r>
      <w:r w:rsidR="00FB0FE1">
        <w:t>.</w:t>
      </w:r>
      <w:r>
        <w:t xml:space="preserve"> </w:t>
      </w:r>
      <w:r>
        <w:rPr>
          <w:i/>
          <w:iCs/>
        </w:rPr>
        <w:t>Drug Metabolism and Disposition</w:t>
      </w:r>
      <w:r>
        <w:t>, 37(11)</w:t>
      </w:r>
      <w:r w:rsidR="00FB0FE1">
        <w:t xml:space="preserve">: </w:t>
      </w:r>
      <w:r>
        <w:t>2255–2261</w:t>
      </w:r>
    </w:p>
    <w:p w14:paraId="68E5A4ED" w14:textId="796A54FC" w:rsidR="00DD7F5B" w:rsidRDefault="00DD7F5B" w:rsidP="00E5592D">
      <w:pPr>
        <w:pStyle w:val="Bibliografie"/>
        <w:spacing w:line="360" w:lineRule="auto"/>
      </w:pPr>
      <w:r>
        <w:t>Rojas, M. (2004)</w:t>
      </w:r>
      <w:r w:rsidR="00A2274D">
        <w:t>:</w:t>
      </w:r>
      <w:r w:rsidR="00FB0FE1">
        <w:t xml:space="preserve"> </w:t>
      </w:r>
      <w:r>
        <w:t>High DNA damage by benzo[a]pyrene 7,8-diol-9,10-epoxide in bronchial epithelial cells from patients with lung cancer: comparison with lung parenchyma</w:t>
      </w:r>
      <w:r w:rsidR="00FB0FE1">
        <w:t>.</w:t>
      </w:r>
      <w:r>
        <w:t xml:space="preserve"> </w:t>
      </w:r>
      <w:r>
        <w:rPr>
          <w:i/>
          <w:iCs/>
        </w:rPr>
        <w:t>Cancer Letters</w:t>
      </w:r>
      <w:r>
        <w:t>, 207(2)</w:t>
      </w:r>
      <w:r w:rsidR="00FB0FE1">
        <w:t>:</w:t>
      </w:r>
      <w:r>
        <w:t xml:space="preserve"> 157–163</w:t>
      </w:r>
    </w:p>
    <w:p w14:paraId="4CF4F65B" w14:textId="19B11647" w:rsidR="00DD7F5B" w:rsidRDefault="00DD7F5B" w:rsidP="00E5592D">
      <w:pPr>
        <w:pStyle w:val="Bibliografie"/>
        <w:spacing w:line="360" w:lineRule="auto"/>
      </w:pPr>
      <w:r>
        <w:t>Ryu, J.</w:t>
      </w:r>
      <w:r w:rsidR="005003F8">
        <w:t xml:space="preserve">, </w:t>
      </w:r>
      <w:r w:rsidR="00BF2797">
        <w:t xml:space="preserve">Lee, E., Kang, C., Lee, M., Kim, S., </w:t>
      </w:r>
      <w:r w:rsidR="002A2D23">
        <w:t xml:space="preserve">Park, S., Lee, D., Kwon, Y. </w:t>
      </w:r>
      <w:r>
        <w:t>(2021)</w:t>
      </w:r>
      <w:r w:rsidR="00A2274D">
        <w:t>:</w:t>
      </w:r>
      <w:r w:rsidR="00FB0FE1">
        <w:t xml:space="preserve"> </w:t>
      </w:r>
      <w:r>
        <w:t>Rapid Screening of Glucocorticoid Receptor (GR) Effectors Using Cortisol-Detecting Sensor Cells</w:t>
      </w:r>
      <w:r w:rsidR="00FB0FE1">
        <w:t>.</w:t>
      </w:r>
      <w:r>
        <w:t xml:space="preserve"> </w:t>
      </w:r>
      <w:r>
        <w:rPr>
          <w:i/>
          <w:iCs/>
        </w:rPr>
        <w:t>International Journal of Molecular Sciences</w:t>
      </w:r>
      <w:r>
        <w:t>, 22(9)</w:t>
      </w:r>
      <w:r w:rsidR="00FB0FE1">
        <w:t xml:space="preserve">: </w:t>
      </w:r>
      <w:r>
        <w:t>4747</w:t>
      </w:r>
    </w:p>
    <w:p w14:paraId="6C9BEE3A" w14:textId="39B0532C" w:rsidR="00DD7F5B" w:rsidRDefault="00DD7F5B" w:rsidP="00E5592D">
      <w:pPr>
        <w:pStyle w:val="Bibliografie"/>
        <w:spacing w:line="360" w:lineRule="auto"/>
      </w:pPr>
      <w:r>
        <w:t>Sandanaraj, E.</w:t>
      </w:r>
      <w:r w:rsidR="002A2D23">
        <w:t xml:space="preserve">, </w:t>
      </w:r>
      <w:r w:rsidR="007700CA">
        <w:t xml:space="preserve">Lal, S., Selvarajan, V., Ooi, L.L., Wong, Z.W., Wong, N.S., Ang, </w:t>
      </w:r>
      <w:r w:rsidR="009F02F7">
        <w:t>P.C.S., Lee, E.J.D., Chowbay, B.</w:t>
      </w:r>
      <w:r>
        <w:t xml:space="preserve"> (2008)</w:t>
      </w:r>
      <w:r w:rsidR="00A2274D">
        <w:t>:</w:t>
      </w:r>
      <w:r w:rsidR="00FB0FE1">
        <w:t xml:space="preserve"> </w:t>
      </w:r>
      <w:r>
        <w:rPr>
          <w:i/>
          <w:iCs/>
        </w:rPr>
        <w:t>PXR</w:t>
      </w:r>
      <w:r>
        <w:t xml:space="preserve"> Pharmacogenetics: Association of Haplotypes with Hepatic </w:t>
      </w:r>
      <w:r>
        <w:rPr>
          <w:i/>
          <w:iCs/>
        </w:rPr>
        <w:t>CYP3A4</w:t>
      </w:r>
      <w:r>
        <w:t xml:space="preserve"> and </w:t>
      </w:r>
      <w:r>
        <w:rPr>
          <w:i/>
          <w:iCs/>
        </w:rPr>
        <w:t>ABCB1</w:t>
      </w:r>
      <w:r>
        <w:t xml:space="preserve"> Messenger RNA Expression and Doxorubicin Clearance in Asian Breast Cancer Patients</w:t>
      </w:r>
      <w:r w:rsidR="00664EB2">
        <w:t>.</w:t>
      </w:r>
      <w:r>
        <w:t xml:space="preserve"> </w:t>
      </w:r>
      <w:r>
        <w:rPr>
          <w:i/>
          <w:iCs/>
        </w:rPr>
        <w:t>Clinical Cancer Research</w:t>
      </w:r>
      <w:r>
        <w:t>, 14(21)</w:t>
      </w:r>
      <w:r w:rsidR="00664EB2">
        <w:t xml:space="preserve">: </w:t>
      </w:r>
      <w:r>
        <w:t>7116–7126</w:t>
      </w:r>
    </w:p>
    <w:p w14:paraId="350F19DD" w14:textId="3C738D5C" w:rsidR="00DD7F5B" w:rsidRDefault="00DD7F5B" w:rsidP="00E5592D">
      <w:pPr>
        <w:pStyle w:val="Bibliografie"/>
        <w:spacing w:line="360" w:lineRule="auto"/>
      </w:pPr>
      <w:r>
        <w:t>Sayaf, K.</w:t>
      </w:r>
      <w:r w:rsidR="009F02F7">
        <w:t xml:space="preserve">, </w:t>
      </w:r>
      <w:r w:rsidR="00716839">
        <w:t>Zanotto</w:t>
      </w:r>
      <w:r w:rsidR="000E1CEF">
        <w:t>, I., Russo, F.P., Gabbia, D., Martin, S.D.</w:t>
      </w:r>
      <w:r>
        <w:t xml:space="preserve"> (2021)</w:t>
      </w:r>
      <w:r w:rsidR="00A2274D">
        <w:t>:</w:t>
      </w:r>
      <w:r w:rsidR="00664EB2">
        <w:t xml:space="preserve"> </w:t>
      </w:r>
      <w:r>
        <w:t>The Nuclear Receptor PXR in Chronic Liver Disease</w:t>
      </w:r>
      <w:r w:rsidR="00664EB2">
        <w:t>.</w:t>
      </w:r>
      <w:r>
        <w:t xml:space="preserve"> </w:t>
      </w:r>
      <w:r>
        <w:rPr>
          <w:i/>
          <w:iCs/>
        </w:rPr>
        <w:t>Cells</w:t>
      </w:r>
      <w:r>
        <w:t>, 11(1)</w:t>
      </w:r>
      <w:r w:rsidR="00664EB2">
        <w:t>:</w:t>
      </w:r>
      <w:r>
        <w:t xml:space="preserve"> 61</w:t>
      </w:r>
    </w:p>
    <w:p w14:paraId="1F5FF141" w14:textId="174F7DC4" w:rsidR="00DD7F5B" w:rsidRDefault="00DD7F5B" w:rsidP="00E5592D">
      <w:pPr>
        <w:pStyle w:val="Bibliografie"/>
        <w:spacing w:line="360" w:lineRule="auto"/>
      </w:pPr>
      <w:r>
        <w:t>Schupp, M.</w:t>
      </w:r>
      <w:r w:rsidR="00664EB2">
        <w:t>,</w:t>
      </w:r>
      <w:r>
        <w:t xml:space="preserve"> Lazar, M.A. (2010</w:t>
      </w:r>
      <w:r w:rsidR="00664EB2">
        <w:t>)</w:t>
      </w:r>
      <w:r w:rsidR="00A2274D">
        <w:t>:</w:t>
      </w:r>
      <w:r w:rsidR="00664EB2">
        <w:t xml:space="preserve"> </w:t>
      </w:r>
      <w:r>
        <w:t>Endogenous Ligands for Nuclear Receptors: Digging Deeper</w:t>
      </w:r>
      <w:r w:rsidR="00664EB2">
        <w:t>.</w:t>
      </w:r>
      <w:r>
        <w:t xml:space="preserve"> </w:t>
      </w:r>
      <w:r>
        <w:rPr>
          <w:i/>
          <w:iCs/>
        </w:rPr>
        <w:t>Journal of Biological Chemistry</w:t>
      </w:r>
      <w:r>
        <w:t>, 285(52)</w:t>
      </w:r>
      <w:r w:rsidR="00664EB2">
        <w:t xml:space="preserve">: </w:t>
      </w:r>
      <w:r>
        <w:t>40409–40415</w:t>
      </w:r>
    </w:p>
    <w:p w14:paraId="3EB70668" w14:textId="7C2601D5" w:rsidR="00DD7F5B" w:rsidRDefault="00DD7F5B" w:rsidP="00E5592D">
      <w:pPr>
        <w:pStyle w:val="Bibliografie"/>
        <w:spacing w:line="360" w:lineRule="auto"/>
      </w:pPr>
      <w:r>
        <w:t>Scott, E.E.</w:t>
      </w:r>
      <w:r w:rsidR="00664EB2">
        <w:t>,</w:t>
      </w:r>
      <w:r>
        <w:t xml:space="preserve"> Halpert, J.R. (2005)</w:t>
      </w:r>
      <w:r w:rsidR="00A2274D">
        <w:t>:</w:t>
      </w:r>
      <w:r w:rsidR="00664EB2">
        <w:t xml:space="preserve"> </w:t>
      </w:r>
      <w:r>
        <w:t>Structures of cytochrome P450 3A4</w:t>
      </w:r>
      <w:r w:rsidR="00664EB2">
        <w:t>.</w:t>
      </w:r>
      <w:r>
        <w:t xml:space="preserve"> </w:t>
      </w:r>
      <w:r>
        <w:rPr>
          <w:i/>
          <w:iCs/>
        </w:rPr>
        <w:t>Trends in Biochemical Sciences</w:t>
      </w:r>
      <w:r>
        <w:t>, 30(1)</w:t>
      </w:r>
      <w:r w:rsidR="00664EB2">
        <w:t xml:space="preserve">: </w:t>
      </w:r>
      <w:r>
        <w:t>5–7</w:t>
      </w:r>
    </w:p>
    <w:p w14:paraId="2A21C531" w14:textId="3802DC1D" w:rsidR="004855E3" w:rsidRPr="004855E3" w:rsidRDefault="004855E3" w:rsidP="00E5592D">
      <w:r>
        <w:lastRenderedPageBreak/>
        <w:t>Shah, Y.M., Ma, X., Morimura, K., Kim, I., Gonzalez, F.J. (2007)</w:t>
      </w:r>
      <w:r w:rsidR="00A2274D">
        <w:t>:</w:t>
      </w:r>
      <w:r>
        <w:t xml:space="preserve"> </w:t>
      </w:r>
      <w:r w:rsidRPr="004B1E81">
        <w:t>Pregnane X receptor activation ameliorates DSS-induced inflammatory boweldisease via inhibition of NF-</w:t>
      </w:r>
      <w:r w:rsidRPr="00CA6B19">
        <w:rPr>
          <w:kern w:val="0"/>
          <w14:ligatures w14:val="none"/>
        </w:rPr>
        <w:t>κB</w:t>
      </w:r>
      <w:r w:rsidRPr="004B1E81">
        <w:t xml:space="preserve"> target gene expression</w:t>
      </w:r>
      <w:r>
        <w:t xml:space="preserve">. </w:t>
      </w:r>
      <w:r>
        <w:rPr>
          <w:i/>
          <w:iCs/>
        </w:rPr>
        <w:t>American Journal of Physiology-Gastrointestinal and Liver Physiology</w:t>
      </w:r>
      <w:r>
        <w:t>, 292(4): 1522-1547</w:t>
      </w:r>
    </w:p>
    <w:p w14:paraId="0E7D9BAD" w14:textId="093561E3" w:rsidR="00DD7F5B" w:rsidRDefault="00DD7F5B" w:rsidP="00E5592D">
      <w:pPr>
        <w:pStyle w:val="Bibliografie"/>
        <w:spacing w:line="360" w:lineRule="auto"/>
      </w:pPr>
      <w:r>
        <w:t>Skandalaki, A., Sarantis, P.</w:t>
      </w:r>
      <w:r w:rsidR="00664EB2">
        <w:t xml:space="preserve">, </w:t>
      </w:r>
      <w:r>
        <w:t>Theocharis, S. (2021)</w:t>
      </w:r>
      <w:r w:rsidR="00A2274D">
        <w:t>:</w:t>
      </w:r>
      <w:r w:rsidR="00664EB2">
        <w:t xml:space="preserve"> </w:t>
      </w:r>
      <w:r>
        <w:t>Pregnane X Receptor (PXR) Polymorphisms and Cancer Treatment</w:t>
      </w:r>
      <w:r w:rsidR="00664EB2">
        <w:t>.</w:t>
      </w:r>
      <w:r>
        <w:t xml:space="preserve"> </w:t>
      </w:r>
      <w:r>
        <w:rPr>
          <w:i/>
          <w:iCs/>
        </w:rPr>
        <w:t>Biomolecules</w:t>
      </w:r>
      <w:r>
        <w:t>, 11(8)</w:t>
      </w:r>
      <w:r w:rsidR="00664EB2">
        <w:t xml:space="preserve">: </w:t>
      </w:r>
      <w:r>
        <w:t>1142</w:t>
      </w:r>
    </w:p>
    <w:p w14:paraId="03C9F1CD" w14:textId="4C0B3A93" w:rsidR="00DD7F5B" w:rsidRDefault="00DD7F5B" w:rsidP="00E5592D">
      <w:pPr>
        <w:pStyle w:val="Bibliografie"/>
        <w:spacing w:line="360" w:lineRule="auto"/>
      </w:pPr>
      <w:r>
        <w:t>Smutny, T.</w:t>
      </w:r>
      <w:r w:rsidR="000E1CEF">
        <w:t xml:space="preserve">, </w:t>
      </w:r>
      <w:r w:rsidR="00EF58E9">
        <w:t xml:space="preserve">Dusek, J., Hyrsova, L., Nekvindova, J., Horvatova, A., Micuda, S., </w:t>
      </w:r>
      <w:r w:rsidR="0005453D">
        <w:t>Gerbal-Chaloin, S., Pavek, P.</w:t>
      </w:r>
      <w:r>
        <w:t xml:space="preserve"> (2020)</w:t>
      </w:r>
      <w:r w:rsidR="00A2274D">
        <w:t>:</w:t>
      </w:r>
      <w:r w:rsidR="00571B95">
        <w:t xml:space="preserve"> </w:t>
      </w:r>
      <w:r>
        <w:t>The 3ʹ-untranslated region contributes to the pregnane X receptor (PXR) expression down-regulation by PXR ligands and up-regulation by glucocorticoids</w:t>
      </w:r>
      <w:r w:rsidR="00571B95">
        <w:t>.</w:t>
      </w:r>
      <w:r>
        <w:t xml:space="preserve"> </w:t>
      </w:r>
      <w:r>
        <w:rPr>
          <w:i/>
          <w:iCs/>
        </w:rPr>
        <w:t>Acta Pharmaceutica Sinica B</w:t>
      </w:r>
      <w:r>
        <w:t>, 10(1)</w:t>
      </w:r>
      <w:r w:rsidR="00571B95">
        <w:t xml:space="preserve">: </w:t>
      </w:r>
      <w:r>
        <w:t>136–152</w:t>
      </w:r>
    </w:p>
    <w:p w14:paraId="754DF08E" w14:textId="609C049B" w:rsidR="00DD7F5B" w:rsidRDefault="00DD7F5B" w:rsidP="00E5592D">
      <w:pPr>
        <w:pStyle w:val="Bibliografie"/>
        <w:spacing w:line="360" w:lineRule="auto"/>
      </w:pPr>
      <w:r>
        <w:t>Sonoda, J.</w:t>
      </w:r>
      <w:r w:rsidR="0005453D">
        <w:t xml:space="preserve">, </w:t>
      </w:r>
      <w:r w:rsidR="00320CD8">
        <w:t xml:space="preserve">Xie, W., Rosenfeld, J.M., </w:t>
      </w:r>
      <w:r w:rsidR="007C1B34">
        <w:t>Barwick, J.L., Guzelian, P.S., Evans, R.M.</w:t>
      </w:r>
      <w:r>
        <w:t xml:space="preserve"> (2002)</w:t>
      </w:r>
      <w:r w:rsidR="00A2274D">
        <w:t>:</w:t>
      </w:r>
      <w:r w:rsidR="00C55557">
        <w:t xml:space="preserve"> </w:t>
      </w:r>
      <w:r>
        <w:t>Regulation of a xenobiotic sulfonation cascade by nuclear pregnane X receptor (PXR)</w:t>
      </w:r>
      <w:r w:rsidR="00C55557">
        <w:t>.</w:t>
      </w:r>
      <w:r>
        <w:t xml:space="preserve"> </w:t>
      </w:r>
      <w:r>
        <w:rPr>
          <w:i/>
          <w:iCs/>
        </w:rPr>
        <w:t>Proceedings of the National Academy of Sciences</w:t>
      </w:r>
      <w:r>
        <w:t>, 99(21)</w:t>
      </w:r>
      <w:r w:rsidR="00C55557">
        <w:t xml:space="preserve">: </w:t>
      </w:r>
      <w:r>
        <w:t>13801–13806</w:t>
      </w:r>
    </w:p>
    <w:p w14:paraId="4A12626F" w14:textId="5C69A751" w:rsidR="00DD7F5B" w:rsidRDefault="00DD7F5B" w:rsidP="00E5592D">
      <w:pPr>
        <w:pStyle w:val="Bibliografie"/>
        <w:spacing w:line="360" w:lineRule="auto"/>
      </w:pPr>
      <w:r>
        <w:t>Souza, L.P.D.</w:t>
      </w:r>
      <w:r w:rsidR="007C1B34">
        <w:t xml:space="preserve">, </w:t>
      </w:r>
      <w:r w:rsidR="00623807">
        <w:t xml:space="preserve">Zuim, V., Stinguel, P., </w:t>
      </w:r>
      <w:r w:rsidR="00CD25B9">
        <w:t>Pinheiro, P.F., Zago, H.B.</w:t>
      </w:r>
      <w:r>
        <w:t xml:space="preserve"> (2022)</w:t>
      </w:r>
      <w:r w:rsidR="00A2274D">
        <w:t>:</w:t>
      </w:r>
      <w:r w:rsidR="00C55557">
        <w:t xml:space="preserve"> </w:t>
      </w:r>
      <w:r>
        <w:t>Toxicity of Essential Oil of Mentha piperita (Lamiaceae) and its Monoterpenoid Menthol Against Tetranychus urticae Kogan 1836 (Acari: Tetranychidae)</w:t>
      </w:r>
      <w:r w:rsidR="00C55557">
        <w:t>.</w:t>
      </w:r>
      <w:r>
        <w:t xml:space="preserve"> </w:t>
      </w:r>
      <w:r>
        <w:rPr>
          <w:i/>
          <w:iCs/>
        </w:rPr>
        <w:t>Anais da Academia Brasileira de Ciências</w:t>
      </w:r>
      <w:r>
        <w:t>, 94(</w:t>
      </w:r>
      <w:r w:rsidR="00C55557">
        <w:t>4)</w:t>
      </w:r>
    </w:p>
    <w:p w14:paraId="3E571710" w14:textId="034F1902" w:rsidR="00DD7F5B" w:rsidRDefault="00DD7F5B" w:rsidP="00E5592D">
      <w:pPr>
        <w:pStyle w:val="Bibliografie"/>
        <w:spacing w:line="360" w:lineRule="auto"/>
      </w:pPr>
      <w:r>
        <w:t>Staudinger, J.L., Ding, X.</w:t>
      </w:r>
      <w:r w:rsidR="00C55557">
        <w:t>,</w:t>
      </w:r>
      <w:r>
        <w:t xml:space="preserve"> Lichti, K. (2006)</w:t>
      </w:r>
      <w:r w:rsidR="0066440D">
        <w:t>:</w:t>
      </w:r>
      <w:r w:rsidR="00C55557">
        <w:t xml:space="preserve"> </w:t>
      </w:r>
      <w:r>
        <w:t>Pregnane X receptor and natural products: beyond drug–drug interactions</w:t>
      </w:r>
      <w:r w:rsidR="00C55557">
        <w:t>.</w:t>
      </w:r>
      <w:r>
        <w:t xml:space="preserve"> </w:t>
      </w:r>
      <w:r>
        <w:rPr>
          <w:i/>
          <w:iCs/>
        </w:rPr>
        <w:t>Expert Opinion on Drug Metabolism &amp; Toxicology</w:t>
      </w:r>
      <w:r>
        <w:t>, 2(6)</w:t>
      </w:r>
      <w:r w:rsidR="00C55557">
        <w:t>:</w:t>
      </w:r>
      <w:r>
        <w:t xml:space="preserve"> 847–857</w:t>
      </w:r>
    </w:p>
    <w:p w14:paraId="2E1C9961" w14:textId="1B04F273" w:rsidR="00DD7F5B" w:rsidRDefault="00DD7F5B" w:rsidP="00E5592D">
      <w:pPr>
        <w:pStyle w:val="Bibliografie"/>
        <w:spacing w:line="360" w:lineRule="auto"/>
      </w:pPr>
      <w:r>
        <w:t>Susa, S.T., Hussain, A.</w:t>
      </w:r>
      <w:r w:rsidR="004076C2">
        <w:t>,</w:t>
      </w:r>
      <w:r>
        <w:t xml:space="preserve"> Preuss, C.V. (2024)</w:t>
      </w:r>
      <w:r w:rsidR="0066440D">
        <w:t>:</w:t>
      </w:r>
      <w:r w:rsidR="004076C2">
        <w:t xml:space="preserve"> </w:t>
      </w:r>
      <w:r>
        <w:t>Drug Metaboli</w:t>
      </w:r>
      <w:r w:rsidRPr="00EF4713">
        <w:t>sm</w:t>
      </w:r>
      <w:r w:rsidR="004076C2" w:rsidRPr="00EF4713">
        <w:t>.</w:t>
      </w:r>
      <w:r w:rsidR="00AD1F87" w:rsidRPr="00EF4713">
        <w:t xml:space="preserve"> </w:t>
      </w:r>
      <w:r w:rsidR="00EF4713" w:rsidRPr="00EF4713">
        <w:t>In: </w:t>
      </w:r>
      <w:r w:rsidR="00EF4713" w:rsidRPr="00EF4713">
        <w:rPr>
          <w:i/>
          <w:iCs/>
        </w:rPr>
        <w:t>StatPearls</w:t>
      </w:r>
      <w:r w:rsidR="00EF4713" w:rsidRPr="00EF4713">
        <w:t xml:space="preserve"> [online]. Treasure Island (FL): StatPearls Publishing [</w:t>
      </w:r>
      <w:r w:rsidR="00B513A6">
        <w:t>navštíve</w:t>
      </w:r>
      <w:r w:rsidR="00EF4713">
        <w:t>no 11. 4. 2024</w:t>
      </w:r>
      <w:r w:rsidR="00EF4713" w:rsidRPr="00EF4713">
        <w:t>]. Dostupné z: http://www.ncbi.nlm.nih.gov/books/NBK442023/</w:t>
      </w:r>
    </w:p>
    <w:p w14:paraId="1A34EC8A" w14:textId="03B8E822" w:rsidR="00DD7F5B" w:rsidRDefault="00DD7F5B" w:rsidP="00E5592D">
      <w:pPr>
        <w:pStyle w:val="Bibliografie"/>
        <w:spacing w:line="360" w:lineRule="auto"/>
      </w:pPr>
      <w:r>
        <w:t>Tongnuanchan, P.</w:t>
      </w:r>
      <w:r w:rsidR="004076C2">
        <w:t>,</w:t>
      </w:r>
      <w:r>
        <w:t xml:space="preserve"> Benjakul, S. (2014)</w:t>
      </w:r>
      <w:r w:rsidR="00A6077F">
        <w:t>:</w:t>
      </w:r>
      <w:r w:rsidR="004076C2">
        <w:t xml:space="preserve"> </w:t>
      </w:r>
      <w:r>
        <w:t>Essential Oils: Extraction, Bioactivities, and Their Uses for Food Preservation</w:t>
      </w:r>
      <w:r w:rsidR="004076C2">
        <w:t>.</w:t>
      </w:r>
      <w:r>
        <w:t xml:space="preserve"> </w:t>
      </w:r>
      <w:r>
        <w:rPr>
          <w:i/>
          <w:iCs/>
        </w:rPr>
        <w:t>Journal of Food Science</w:t>
      </w:r>
      <w:r>
        <w:t>, 79(7)</w:t>
      </w:r>
    </w:p>
    <w:p w14:paraId="7B633CDA" w14:textId="69E9E649" w:rsidR="00DD7F5B" w:rsidRDefault="00DD7F5B" w:rsidP="00E5592D">
      <w:pPr>
        <w:pStyle w:val="Bibliografie"/>
        <w:spacing w:line="360" w:lineRule="auto"/>
      </w:pPr>
      <w:r>
        <w:t>Wang, H.</w:t>
      </w:r>
      <w:r w:rsidR="00CD25B9">
        <w:t xml:space="preserve">, </w:t>
      </w:r>
      <w:r w:rsidR="005844B9">
        <w:t>Venkatesh,</w:t>
      </w:r>
      <w:r w:rsidR="006A57C6">
        <w:t xml:space="preserve"> M., Li, H., Goetz, R., Mukherjee, S., Biswas, A., </w:t>
      </w:r>
      <w:r w:rsidR="007E3B94">
        <w:t xml:space="preserve">Zhu, L., Kaubisch, A., Wang, L., Pullman, J., Whitney, K., </w:t>
      </w:r>
      <w:r w:rsidR="00C26E30">
        <w:t>Kuro-o, M., Roig, A.I., Shay, J.W., Mohammadi, M., Mani, S.</w:t>
      </w:r>
      <w:r>
        <w:t xml:space="preserve"> (2011)</w:t>
      </w:r>
      <w:r w:rsidR="00A6077F">
        <w:t>:</w:t>
      </w:r>
      <w:r w:rsidR="004076C2">
        <w:t xml:space="preserve"> </w:t>
      </w:r>
      <w:r>
        <w:t>Pregnane X receptor activation induces FGF19-dependent tumor aggressiveness in humans and mice</w:t>
      </w:r>
      <w:r w:rsidR="004076C2">
        <w:t>.</w:t>
      </w:r>
      <w:r>
        <w:t xml:space="preserve"> </w:t>
      </w:r>
      <w:r>
        <w:rPr>
          <w:i/>
          <w:iCs/>
        </w:rPr>
        <w:t>Journal of Clinical Investigation</w:t>
      </w:r>
      <w:r>
        <w:t>, 121(8)</w:t>
      </w:r>
      <w:r w:rsidR="004076C2">
        <w:t xml:space="preserve">: </w:t>
      </w:r>
      <w:r>
        <w:t>3220–3232</w:t>
      </w:r>
    </w:p>
    <w:p w14:paraId="2922656B" w14:textId="4D34658C" w:rsidR="00DD7F5B" w:rsidRDefault="00DD7F5B" w:rsidP="00E5592D">
      <w:pPr>
        <w:pStyle w:val="Bibliografie"/>
        <w:spacing w:line="360" w:lineRule="auto"/>
      </w:pPr>
      <w:r>
        <w:t>Wyde, M.E.</w:t>
      </w:r>
      <w:r w:rsidR="00C26E30">
        <w:t xml:space="preserve">, </w:t>
      </w:r>
      <w:r w:rsidR="00D7243B">
        <w:t xml:space="preserve">Kirwan, S.E., Zhang, F., Laughter, A., Hoffman, H.B., </w:t>
      </w:r>
      <w:r w:rsidR="00B81620">
        <w:t>Bartolucci-Page, E., Gaido, K.W., Yan, B., You, L.</w:t>
      </w:r>
      <w:r>
        <w:t xml:space="preserve"> (2005)</w:t>
      </w:r>
      <w:r w:rsidR="00A6077F">
        <w:t>:</w:t>
      </w:r>
      <w:r w:rsidR="004076C2">
        <w:t xml:space="preserve"> </w:t>
      </w:r>
      <w:r>
        <w:t xml:space="preserve">Di-n-Butyl Phthalate Activates Constitutive Androstane </w:t>
      </w:r>
      <w:r>
        <w:lastRenderedPageBreak/>
        <w:t>Receptor and Pregnane X Receptor and Enhances the Expression of Steroid-Metabolizing Enzymes in the Liver of Rat Fetuses</w:t>
      </w:r>
      <w:r w:rsidR="004076C2">
        <w:t>.</w:t>
      </w:r>
      <w:r>
        <w:t xml:space="preserve"> </w:t>
      </w:r>
      <w:r>
        <w:rPr>
          <w:i/>
          <w:iCs/>
        </w:rPr>
        <w:t>Toxicological Sciences</w:t>
      </w:r>
      <w:r>
        <w:t>, 86(2)</w:t>
      </w:r>
      <w:r w:rsidR="004076C2">
        <w:t xml:space="preserve">: </w:t>
      </w:r>
      <w:r>
        <w:t>281–290</w:t>
      </w:r>
    </w:p>
    <w:p w14:paraId="279974D7" w14:textId="1AD8A291" w:rsidR="00DD7F5B" w:rsidRDefault="00DD7F5B" w:rsidP="00E5592D">
      <w:pPr>
        <w:pStyle w:val="Bibliografie"/>
        <w:spacing w:line="360" w:lineRule="auto"/>
      </w:pPr>
      <w:r>
        <w:t>Zanger, U.M.</w:t>
      </w:r>
      <w:r w:rsidR="004076C2">
        <w:t xml:space="preserve">, </w:t>
      </w:r>
      <w:r>
        <w:t>Schwab, M. (2013)</w:t>
      </w:r>
      <w:r w:rsidR="00A6077F">
        <w:t>:</w:t>
      </w:r>
      <w:r w:rsidR="004076C2">
        <w:t xml:space="preserve"> </w:t>
      </w:r>
      <w:r>
        <w:t>Cytochrome P450 enzymes in drug metabolism: Regulation of gene expression, enzyme activities, and impact of genetic variation</w:t>
      </w:r>
      <w:r w:rsidR="004076C2">
        <w:t>.</w:t>
      </w:r>
      <w:r>
        <w:t xml:space="preserve"> </w:t>
      </w:r>
      <w:r>
        <w:rPr>
          <w:i/>
          <w:iCs/>
        </w:rPr>
        <w:t>Pharmacology &amp; Therapeutics</w:t>
      </w:r>
      <w:r>
        <w:t>, 138(1)</w:t>
      </w:r>
      <w:r w:rsidR="004076C2">
        <w:t xml:space="preserve">: </w:t>
      </w:r>
      <w:r>
        <w:t>103–141</w:t>
      </w:r>
    </w:p>
    <w:p w14:paraId="45243412" w14:textId="778AEFF4" w:rsidR="00DD7F5B" w:rsidRDefault="00DD7F5B" w:rsidP="00E5592D">
      <w:pPr>
        <w:pStyle w:val="Bibliografie"/>
        <w:spacing w:line="360" w:lineRule="auto"/>
      </w:pPr>
      <w:r>
        <w:t>Zhang, Y.-Z. (2014)</w:t>
      </w:r>
      <w:r w:rsidR="00A6077F">
        <w:t>:</w:t>
      </w:r>
      <w:r w:rsidR="004076C2">
        <w:t xml:space="preserve"> </w:t>
      </w:r>
      <w:r>
        <w:t>Inflammatory bowel disease: Pathogenesis</w:t>
      </w:r>
      <w:r w:rsidR="004076C2">
        <w:t>.</w:t>
      </w:r>
      <w:r>
        <w:t xml:space="preserve"> </w:t>
      </w:r>
      <w:r>
        <w:rPr>
          <w:i/>
          <w:iCs/>
        </w:rPr>
        <w:t>World Journal of Gastroenterology</w:t>
      </w:r>
      <w:r>
        <w:t>, 20(1)</w:t>
      </w:r>
      <w:r w:rsidR="004076C2">
        <w:t xml:space="preserve">: </w:t>
      </w:r>
      <w:r>
        <w:t>91</w:t>
      </w:r>
    </w:p>
    <w:p w14:paraId="3DFA02F4" w14:textId="16FDD382" w:rsidR="00523FCF" w:rsidRPr="00523FCF" w:rsidRDefault="00DD7F5B" w:rsidP="009B0F95">
      <w:pPr>
        <w:pStyle w:val="Bibliografie"/>
        <w:spacing w:line="360" w:lineRule="auto"/>
      </w:pPr>
      <w:r>
        <w:t>Zhou, C. (2006)</w:t>
      </w:r>
      <w:r w:rsidR="00A6077F">
        <w:t>:</w:t>
      </w:r>
      <w:r w:rsidR="004076C2">
        <w:t xml:space="preserve"> </w:t>
      </w:r>
      <w:r>
        <w:t>Mutual repression between steroid and xenobiotic receptor and NF-B signaling pathways links xenobiotic metabolism and inflammation</w:t>
      </w:r>
      <w:r w:rsidR="004076C2">
        <w:t>.</w:t>
      </w:r>
      <w:r>
        <w:t xml:space="preserve"> </w:t>
      </w:r>
      <w:r>
        <w:rPr>
          <w:i/>
          <w:iCs/>
        </w:rPr>
        <w:t>Journal of Clinical Investigation</w:t>
      </w:r>
      <w:r>
        <w:t>, 116(8)</w:t>
      </w:r>
      <w:r w:rsidR="004076C2">
        <w:t xml:space="preserve">: </w:t>
      </w:r>
      <w:r>
        <w:t>2280–2289</w:t>
      </w:r>
    </w:p>
    <w:p w14:paraId="5040DDEA" w14:textId="76098441" w:rsidR="00B5548F" w:rsidRPr="00B5548F" w:rsidRDefault="001F22D4" w:rsidP="00E5592D">
      <w:r>
        <w:fldChar w:fldCharType="end"/>
      </w:r>
    </w:p>
    <w:sectPr w:rsidR="00B5548F" w:rsidRPr="00B5548F" w:rsidSect="00040668">
      <w:footerReference w:type="first" r:id="rId42"/>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1A7509" w14:textId="77777777" w:rsidR="00040668" w:rsidRDefault="00040668" w:rsidP="00AE5FFB">
      <w:r>
        <w:separator/>
      </w:r>
    </w:p>
  </w:endnote>
  <w:endnote w:type="continuationSeparator" w:id="0">
    <w:p w14:paraId="46801B0F" w14:textId="77777777" w:rsidR="00040668" w:rsidRDefault="00040668" w:rsidP="00AE5FFB">
      <w:r>
        <w:continuationSeparator/>
      </w:r>
    </w:p>
  </w:endnote>
  <w:endnote w:type="continuationNotice" w:id="1">
    <w:p w14:paraId="3E168FDA" w14:textId="77777777" w:rsidR="00040668" w:rsidRDefault="000406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D73E6" w14:textId="4479A394" w:rsidR="00477C75" w:rsidRDefault="00477C75" w:rsidP="00AE5FFB">
    <w:pPr>
      <w:pStyle w:val="Zpat"/>
    </w:pPr>
  </w:p>
  <w:p w14:paraId="3D7885E6" w14:textId="77777777" w:rsidR="00477C75" w:rsidRDefault="00477C75" w:rsidP="00AE5FF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032201"/>
      <w:docPartObj>
        <w:docPartGallery w:val="Page Numbers (Bottom of Page)"/>
        <w:docPartUnique/>
      </w:docPartObj>
    </w:sdtPr>
    <w:sdtContent>
      <w:p w14:paraId="478F470A" w14:textId="3CFE50C7" w:rsidR="00676BC1" w:rsidRDefault="00676BC1">
        <w:pPr>
          <w:pStyle w:val="Zpat"/>
          <w:jc w:val="center"/>
        </w:pPr>
        <w:r>
          <w:fldChar w:fldCharType="begin"/>
        </w:r>
        <w:r>
          <w:instrText>PAGE   \* MERGEFORMAT</w:instrText>
        </w:r>
        <w:r>
          <w:fldChar w:fldCharType="separate"/>
        </w:r>
        <w:r>
          <w:t>2</w:t>
        </w:r>
        <w:r>
          <w:fldChar w:fldCharType="end"/>
        </w:r>
      </w:p>
    </w:sdtContent>
  </w:sdt>
  <w:p w14:paraId="63927AA9" w14:textId="77777777" w:rsidR="00477C75" w:rsidRDefault="00477C75" w:rsidP="00AE5FFB">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668798"/>
      <w:docPartObj>
        <w:docPartGallery w:val="Page Numbers (Bottom of Page)"/>
        <w:docPartUnique/>
      </w:docPartObj>
    </w:sdtPr>
    <w:sdtContent>
      <w:p w14:paraId="2971FD29" w14:textId="013C63E8" w:rsidR="00350F8C" w:rsidRDefault="00350F8C">
        <w:pPr>
          <w:pStyle w:val="Zpat"/>
          <w:jc w:val="center"/>
        </w:pPr>
        <w:r>
          <w:fldChar w:fldCharType="begin"/>
        </w:r>
        <w:r>
          <w:instrText>PAGE   \* MERGEFORMAT</w:instrText>
        </w:r>
        <w:r>
          <w:fldChar w:fldCharType="separate"/>
        </w:r>
        <w:r>
          <w:t>2</w:t>
        </w:r>
        <w:r>
          <w:fldChar w:fldCharType="end"/>
        </w:r>
      </w:p>
    </w:sdtContent>
  </w:sdt>
  <w:p w14:paraId="4A09283B" w14:textId="77777777" w:rsidR="00AD62E2" w:rsidRDefault="00AD62E2" w:rsidP="00AE5FFB">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192701"/>
      <w:docPartObj>
        <w:docPartGallery w:val="Page Numbers (Bottom of Page)"/>
        <w:docPartUnique/>
      </w:docPartObj>
    </w:sdtPr>
    <w:sdtContent>
      <w:p w14:paraId="1DC66B3E" w14:textId="7BCD0D3D" w:rsidR="00676BC1" w:rsidRDefault="00676BC1">
        <w:pPr>
          <w:pStyle w:val="Zpat"/>
          <w:jc w:val="center"/>
        </w:pPr>
        <w:r>
          <w:fldChar w:fldCharType="begin"/>
        </w:r>
        <w:r>
          <w:instrText>PAGE   \* MERGEFORMAT</w:instrText>
        </w:r>
        <w:r>
          <w:fldChar w:fldCharType="separate"/>
        </w:r>
        <w:r>
          <w:t>2</w:t>
        </w:r>
        <w:r>
          <w:fldChar w:fldCharType="end"/>
        </w:r>
      </w:p>
    </w:sdtContent>
  </w:sdt>
  <w:p w14:paraId="208EEDD9" w14:textId="77777777" w:rsidR="00AD62E2" w:rsidRDefault="00AD62E2" w:rsidP="00AE5FF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ECD668" w14:textId="77777777" w:rsidR="00040668" w:rsidRDefault="00040668" w:rsidP="00AE5FFB">
      <w:r>
        <w:separator/>
      </w:r>
    </w:p>
  </w:footnote>
  <w:footnote w:type="continuationSeparator" w:id="0">
    <w:p w14:paraId="5C0A3151" w14:textId="77777777" w:rsidR="00040668" w:rsidRDefault="00040668" w:rsidP="00AE5FFB">
      <w:r>
        <w:continuationSeparator/>
      </w:r>
    </w:p>
  </w:footnote>
  <w:footnote w:type="continuationNotice" w:id="1">
    <w:p w14:paraId="031FB648" w14:textId="77777777" w:rsidR="00040668" w:rsidRDefault="0004066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A06940"/>
    <w:multiLevelType w:val="hybridMultilevel"/>
    <w:tmpl w:val="CB120510"/>
    <w:lvl w:ilvl="0" w:tplc="04050001">
      <w:start w:val="1"/>
      <w:numFmt w:val="bullet"/>
      <w:lvlText w:val=""/>
      <w:lvlJc w:val="left"/>
      <w:pPr>
        <w:ind w:left="1425" w:hanging="360"/>
      </w:pPr>
      <w:rPr>
        <w:rFonts w:ascii="Symbol" w:hAnsi="Symbol" w:hint="default"/>
      </w:rPr>
    </w:lvl>
    <w:lvl w:ilvl="1" w:tplc="04050005">
      <w:start w:val="1"/>
      <w:numFmt w:val="bullet"/>
      <w:lvlText w:val=""/>
      <w:lvlJc w:val="left"/>
      <w:pPr>
        <w:ind w:left="2145" w:hanging="360"/>
      </w:pPr>
      <w:rPr>
        <w:rFonts w:ascii="Wingdings" w:hAnsi="Wingdings"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 w15:restartNumberingAfterBreak="0">
    <w:nsid w:val="3A2A184A"/>
    <w:multiLevelType w:val="hybridMultilevel"/>
    <w:tmpl w:val="E318C60E"/>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2" w15:restartNumberingAfterBreak="0">
    <w:nsid w:val="5E301274"/>
    <w:multiLevelType w:val="hybridMultilevel"/>
    <w:tmpl w:val="4BA43BB4"/>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3" w15:restartNumberingAfterBreak="0">
    <w:nsid w:val="60C11A7E"/>
    <w:multiLevelType w:val="multilevel"/>
    <w:tmpl w:val="50B6EC34"/>
    <w:lvl w:ilvl="0">
      <w:start w:val="1"/>
      <w:numFmt w:val="bullet"/>
      <w:lvlText w:val=""/>
      <w:lvlJc w:val="left"/>
      <w:pPr>
        <w:ind w:left="1425" w:hanging="360"/>
      </w:pPr>
      <w:rPr>
        <w:rFonts w:ascii="Symbol" w:hAnsi="Symbol" w:hint="default"/>
      </w:rPr>
    </w:lvl>
    <w:lvl w:ilvl="1">
      <w:start w:val="1"/>
      <w:numFmt w:val="bullet"/>
      <w:lvlText w:val=""/>
      <w:lvlJc w:val="left"/>
      <w:pPr>
        <w:ind w:left="2145" w:hanging="360"/>
      </w:pPr>
      <w:rPr>
        <w:rFonts w:ascii="Wingdings" w:hAnsi="Wingdings" w:hint="default"/>
      </w:rPr>
    </w:lvl>
    <w:lvl w:ilvl="2">
      <w:start w:val="1"/>
      <w:numFmt w:val="bullet"/>
      <w:lvlText w:val=""/>
      <w:lvlJc w:val="left"/>
      <w:pPr>
        <w:ind w:left="2865" w:hanging="360"/>
      </w:pPr>
      <w:rPr>
        <w:rFonts w:ascii="Wingdings" w:hAnsi="Wingdings" w:hint="default"/>
      </w:rPr>
    </w:lvl>
    <w:lvl w:ilvl="3">
      <w:start w:val="1"/>
      <w:numFmt w:val="bullet"/>
      <w:lvlText w:val=""/>
      <w:lvlJc w:val="left"/>
      <w:pPr>
        <w:ind w:left="3585" w:hanging="360"/>
      </w:pPr>
      <w:rPr>
        <w:rFonts w:ascii="Symbol" w:hAnsi="Symbol" w:hint="default"/>
      </w:rPr>
    </w:lvl>
    <w:lvl w:ilvl="4">
      <w:start w:val="1"/>
      <w:numFmt w:val="bullet"/>
      <w:lvlText w:val="o"/>
      <w:lvlJc w:val="left"/>
      <w:pPr>
        <w:ind w:left="4305" w:hanging="360"/>
      </w:pPr>
      <w:rPr>
        <w:rFonts w:ascii="Courier New" w:hAnsi="Courier New" w:cs="Courier New" w:hint="default"/>
      </w:rPr>
    </w:lvl>
    <w:lvl w:ilvl="5">
      <w:start w:val="1"/>
      <w:numFmt w:val="bullet"/>
      <w:lvlText w:val=""/>
      <w:lvlJc w:val="left"/>
      <w:pPr>
        <w:ind w:left="5025" w:hanging="360"/>
      </w:pPr>
      <w:rPr>
        <w:rFonts w:ascii="Wingdings" w:hAnsi="Wingdings" w:hint="default"/>
      </w:rPr>
    </w:lvl>
    <w:lvl w:ilvl="6">
      <w:start w:val="1"/>
      <w:numFmt w:val="bullet"/>
      <w:lvlText w:val=""/>
      <w:lvlJc w:val="left"/>
      <w:pPr>
        <w:ind w:left="5745" w:hanging="360"/>
      </w:pPr>
      <w:rPr>
        <w:rFonts w:ascii="Symbol" w:hAnsi="Symbol" w:hint="default"/>
      </w:rPr>
    </w:lvl>
    <w:lvl w:ilvl="7">
      <w:start w:val="1"/>
      <w:numFmt w:val="bullet"/>
      <w:lvlText w:val="o"/>
      <w:lvlJc w:val="left"/>
      <w:pPr>
        <w:ind w:left="6465" w:hanging="360"/>
      </w:pPr>
      <w:rPr>
        <w:rFonts w:ascii="Courier New" w:hAnsi="Courier New" w:cs="Courier New" w:hint="default"/>
      </w:rPr>
    </w:lvl>
    <w:lvl w:ilvl="8">
      <w:start w:val="1"/>
      <w:numFmt w:val="bullet"/>
      <w:lvlText w:val=""/>
      <w:lvlJc w:val="left"/>
      <w:pPr>
        <w:ind w:left="7185" w:hanging="360"/>
      </w:pPr>
      <w:rPr>
        <w:rFonts w:ascii="Wingdings" w:hAnsi="Wingdings" w:hint="default"/>
      </w:rPr>
    </w:lvl>
  </w:abstractNum>
  <w:abstractNum w:abstractNumId="4" w15:restartNumberingAfterBreak="0">
    <w:nsid w:val="6B590BC3"/>
    <w:multiLevelType w:val="hybridMultilevel"/>
    <w:tmpl w:val="82C06BF4"/>
    <w:lvl w:ilvl="0" w:tplc="1772E570">
      <w:start w:val="1"/>
      <w:numFmt w:val="decimal"/>
      <w:lvlText w:val="%1"/>
      <w:lvlJc w:val="left"/>
      <w:pPr>
        <w:ind w:left="1070" w:hanging="71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745564691">
    <w:abstractNumId w:val="4"/>
  </w:num>
  <w:num w:numId="2" w16cid:durableId="995064633">
    <w:abstractNumId w:val="0"/>
  </w:num>
  <w:num w:numId="3" w16cid:durableId="932008946">
    <w:abstractNumId w:val="1"/>
  </w:num>
  <w:num w:numId="4" w16cid:durableId="147671410">
    <w:abstractNumId w:val="2"/>
  </w:num>
  <w:num w:numId="5" w16cid:durableId="3926287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F68"/>
    <w:rsid w:val="000002C8"/>
    <w:rsid w:val="00000943"/>
    <w:rsid w:val="000039E3"/>
    <w:rsid w:val="00003FE4"/>
    <w:rsid w:val="00004603"/>
    <w:rsid w:val="000049DF"/>
    <w:rsid w:val="00005659"/>
    <w:rsid w:val="00005B8B"/>
    <w:rsid w:val="000063E4"/>
    <w:rsid w:val="00006D1B"/>
    <w:rsid w:val="00007023"/>
    <w:rsid w:val="00007136"/>
    <w:rsid w:val="0000718C"/>
    <w:rsid w:val="00007252"/>
    <w:rsid w:val="000074FC"/>
    <w:rsid w:val="00007534"/>
    <w:rsid w:val="00007C41"/>
    <w:rsid w:val="00010478"/>
    <w:rsid w:val="00011C1D"/>
    <w:rsid w:val="00011EFE"/>
    <w:rsid w:val="000120D5"/>
    <w:rsid w:val="000124BD"/>
    <w:rsid w:val="0001299B"/>
    <w:rsid w:val="00012F7C"/>
    <w:rsid w:val="00013284"/>
    <w:rsid w:val="00013584"/>
    <w:rsid w:val="000135CF"/>
    <w:rsid w:val="000139BE"/>
    <w:rsid w:val="00014332"/>
    <w:rsid w:val="000146AC"/>
    <w:rsid w:val="000151D9"/>
    <w:rsid w:val="0001529B"/>
    <w:rsid w:val="000152F2"/>
    <w:rsid w:val="000152FA"/>
    <w:rsid w:val="0001559C"/>
    <w:rsid w:val="000158B0"/>
    <w:rsid w:val="00015A68"/>
    <w:rsid w:val="00016832"/>
    <w:rsid w:val="0001726F"/>
    <w:rsid w:val="000173DB"/>
    <w:rsid w:val="00017714"/>
    <w:rsid w:val="000177F8"/>
    <w:rsid w:val="00017CBA"/>
    <w:rsid w:val="00017EF5"/>
    <w:rsid w:val="0002048B"/>
    <w:rsid w:val="0002055E"/>
    <w:rsid w:val="000207BD"/>
    <w:rsid w:val="0002092C"/>
    <w:rsid w:val="00021973"/>
    <w:rsid w:val="00021CB7"/>
    <w:rsid w:val="0002257C"/>
    <w:rsid w:val="00023491"/>
    <w:rsid w:val="0002363B"/>
    <w:rsid w:val="00023726"/>
    <w:rsid w:val="00023796"/>
    <w:rsid w:val="0002398E"/>
    <w:rsid w:val="00023D0D"/>
    <w:rsid w:val="0002402B"/>
    <w:rsid w:val="0002423F"/>
    <w:rsid w:val="000245DD"/>
    <w:rsid w:val="0002495E"/>
    <w:rsid w:val="000277E0"/>
    <w:rsid w:val="00027BDF"/>
    <w:rsid w:val="000308EB"/>
    <w:rsid w:val="00030DA7"/>
    <w:rsid w:val="00030DB8"/>
    <w:rsid w:val="00031549"/>
    <w:rsid w:val="0003171F"/>
    <w:rsid w:val="000323C9"/>
    <w:rsid w:val="00033219"/>
    <w:rsid w:val="0003370F"/>
    <w:rsid w:val="00034083"/>
    <w:rsid w:val="00034C36"/>
    <w:rsid w:val="00035561"/>
    <w:rsid w:val="000357B5"/>
    <w:rsid w:val="00035854"/>
    <w:rsid w:val="000363B2"/>
    <w:rsid w:val="00036D91"/>
    <w:rsid w:val="00037A96"/>
    <w:rsid w:val="00037BCF"/>
    <w:rsid w:val="00037D78"/>
    <w:rsid w:val="00037F2A"/>
    <w:rsid w:val="00037F6F"/>
    <w:rsid w:val="00040365"/>
    <w:rsid w:val="00040668"/>
    <w:rsid w:val="00041540"/>
    <w:rsid w:val="00041EFA"/>
    <w:rsid w:val="00041FEC"/>
    <w:rsid w:val="00042A64"/>
    <w:rsid w:val="00043185"/>
    <w:rsid w:val="00043268"/>
    <w:rsid w:val="00043E2F"/>
    <w:rsid w:val="00044195"/>
    <w:rsid w:val="00044E8B"/>
    <w:rsid w:val="00044FC8"/>
    <w:rsid w:val="00045061"/>
    <w:rsid w:val="000451DF"/>
    <w:rsid w:val="000453C3"/>
    <w:rsid w:val="0004574D"/>
    <w:rsid w:val="000457EE"/>
    <w:rsid w:val="00045B2D"/>
    <w:rsid w:val="00045CB0"/>
    <w:rsid w:val="00045E0B"/>
    <w:rsid w:val="0004781C"/>
    <w:rsid w:val="00047D84"/>
    <w:rsid w:val="000507DC"/>
    <w:rsid w:val="00050C62"/>
    <w:rsid w:val="000510A1"/>
    <w:rsid w:val="00051EAB"/>
    <w:rsid w:val="0005231A"/>
    <w:rsid w:val="000525CC"/>
    <w:rsid w:val="000534AB"/>
    <w:rsid w:val="0005384B"/>
    <w:rsid w:val="00053B3D"/>
    <w:rsid w:val="0005422D"/>
    <w:rsid w:val="00054234"/>
    <w:rsid w:val="0005453D"/>
    <w:rsid w:val="00054BDD"/>
    <w:rsid w:val="0005646C"/>
    <w:rsid w:val="00056B7D"/>
    <w:rsid w:val="0005707A"/>
    <w:rsid w:val="000576D8"/>
    <w:rsid w:val="00057828"/>
    <w:rsid w:val="00057E47"/>
    <w:rsid w:val="000602B0"/>
    <w:rsid w:val="000602D7"/>
    <w:rsid w:val="0006089E"/>
    <w:rsid w:val="00060940"/>
    <w:rsid w:val="00060AF7"/>
    <w:rsid w:val="00060ED8"/>
    <w:rsid w:val="000615CA"/>
    <w:rsid w:val="00063A8E"/>
    <w:rsid w:val="00063E14"/>
    <w:rsid w:val="00063F36"/>
    <w:rsid w:val="0006499F"/>
    <w:rsid w:val="00064E77"/>
    <w:rsid w:val="000656D4"/>
    <w:rsid w:val="00065E22"/>
    <w:rsid w:val="000660F3"/>
    <w:rsid w:val="0006627F"/>
    <w:rsid w:val="00066A33"/>
    <w:rsid w:val="00066FE9"/>
    <w:rsid w:val="000672B4"/>
    <w:rsid w:val="00067A79"/>
    <w:rsid w:val="00067DBE"/>
    <w:rsid w:val="000700D3"/>
    <w:rsid w:val="000703D4"/>
    <w:rsid w:val="00070503"/>
    <w:rsid w:val="0007157A"/>
    <w:rsid w:val="0007199E"/>
    <w:rsid w:val="00071C12"/>
    <w:rsid w:val="00071D81"/>
    <w:rsid w:val="00071EB7"/>
    <w:rsid w:val="00072947"/>
    <w:rsid w:val="00072A1D"/>
    <w:rsid w:val="00073C8F"/>
    <w:rsid w:val="000742DC"/>
    <w:rsid w:val="00074588"/>
    <w:rsid w:val="000749F1"/>
    <w:rsid w:val="00074BCD"/>
    <w:rsid w:val="00075628"/>
    <w:rsid w:val="00075A49"/>
    <w:rsid w:val="000763B3"/>
    <w:rsid w:val="0007641E"/>
    <w:rsid w:val="00076B20"/>
    <w:rsid w:val="00076C1A"/>
    <w:rsid w:val="00077156"/>
    <w:rsid w:val="00077B6D"/>
    <w:rsid w:val="00077CBD"/>
    <w:rsid w:val="00080336"/>
    <w:rsid w:val="00081A09"/>
    <w:rsid w:val="00081EB9"/>
    <w:rsid w:val="00082325"/>
    <w:rsid w:val="00082660"/>
    <w:rsid w:val="00082B97"/>
    <w:rsid w:val="00083657"/>
    <w:rsid w:val="00084096"/>
    <w:rsid w:val="000841C8"/>
    <w:rsid w:val="00085225"/>
    <w:rsid w:val="0008539D"/>
    <w:rsid w:val="000860F4"/>
    <w:rsid w:val="000861CE"/>
    <w:rsid w:val="000861DE"/>
    <w:rsid w:val="0008620B"/>
    <w:rsid w:val="00086A27"/>
    <w:rsid w:val="00086A5B"/>
    <w:rsid w:val="00086E89"/>
    <w:rsid w:val="000879B8"/>
    <w:rsid w:val="00087C20"/>
    <w:rsid w:val="00090295"/>
    <w:rsid w:val="000904BC"/>
    <w:rsid w:val="00090759"/>
    <w:rsid w:val="00090913"/>
    <w:rsid w:val="00090B24"/>
    <w:rsid w:val="00090B6C"/>
    <w:rsid w:val="00090C29"/>
    <w:rsid w:val="00090E1F"/>
    <w:rsid w:val="00090FFD"/>
    <w:rsid w:val="00091903"/>
    <w:rsid w:val="00091F83"/>
    <w:rsid w:val="000923A3"/>
    <w:rsid w:val="00092682"/>
    <w:rsid w:val="000929D4"/>
    <w:rsid w:val="00093133"/>
    <w:rsid w:val="000932DF"/>
    <w:rsid w:val="000933E1"/>
    <w:rsid w:val="0009347F"/>
    <w:rsid w:val="0009406F"/>
    <w:rsid w:val="0009452E"/>
    <w:rsid w:val="000946C8"/>
    <w:rsid w:val="00094A11"/>
    <w:rsid w:val="00094C75"/>
    <w:rsid w:val="00095690"/>
    <w:rsid w:val="00095BAC"/>
    <w:rsid w:val="00095BF3"/>
    <w:rsid w:val="00095C7A"/>
    <w:rsid w:val="00096399"/>
    <w:rsid w:val="00096B14"/>
    <w:rsid w:val="00096D36"/>
    <w:rsid w:val="0009765E"/>
    <w:rsid w:val="000976FF"/>
    <w:rsid w:val="00097BC5"/>
    <w:rsid w:val="000A003A"/>
    <w:rsid w:val="000A04E2"/>
    <w:rsid w:val="000A06F9"/>
    <w:rsid w:val="000A0DFE"/>
    <w:rsid w:val="000A2469"/>
    <w:rsid w:val="000A2E8E"/>
    <w:rsid w:val="000A43D0"/>
    <w:rsid w:val="000A4B2A"/>
    <w:rsid w:val="000A4C2E"/>
    <w:rsid w:val="000A622F"/>
    <w:rsid w:val="000A626D"/>
    <w:rsid w:val="000A6596"/>
    <w:rsid w:val="000A6AF1"/>
    <w:rsid w:val="000A6FD8"/>
    <w:rsid w:val="000A7D62"/>
    <w:rsid w:val="000A7D81"/>
    <w:rsid w:val="000B0609"/>
    <w:rsid w:val="000B068A"/>
    <w:rsid w:val="000B14AC"/>
    <w:rsid w:val="000B1FEF"/>
    <w:rsid w:val="000B2098"/>
    <w:rsid w:val="000B2478"/>
    <w:rsid w:val="000B2CA3"/>
    <w:rsid w:val="000B3187"/>
    <w:rsid w:val="000B4C0A"/>
    <w:rsid w:val="000B5507"/>
    <w:rsid w:val="000B5ADC"/>
    <w:rsid w:val="000B5ECA"/>
    <w:rsid w:val="000B6338"/>
    <w:rsid w:val="000B6AE0"/>
    <w:rsid w:val="000B6BEC"/>
    <w:rsid w:val="000C00EC"/>
    <w:rsid w:val="000C04A9"/>
    <w:rsid w:val="000C0AE2"/>
    <w:rsid w:val="000C1032"/>
    <w:rsid w:val="000C130A"/>
    <w:rsid w:val="000C1DC4"/>
    <w:rsid w:val="000C2C36"/>
    <w:rsid w:val="000C31DF"/>
    <w:rsid w:val="000C55C5"/>
    <w:rsid w:val="000C6546"/>
    <w:rsid w:val="000C6AAB"/>
    <w:rsid w:val="000C6F8F"/>
    <w:rsid w:val="000C749F"/>
    <w:rsid w:val="000C7CB7"/>
    <w:rsid w:val="000D032F"/>
    <w:rsid w:val="000D0752"/>
    <w:rsid w:val="000D1BF0"/>
    <w:rsid w:val="000D2034"/>
    <w:rsid w:val="000D2309"/>
    <w:rsid w:val="000D2F30"/>
    <w:rsid w:val="000D3602"/>
    <w:rsid w:val="000D3A65"/>
    <w:rsid w:val="000D3D61"/>
    <w:rsid w:val="000D3FC4"/>
    <w:rsid w:val="000D430A"/>
    <w:rsid w:val="000D45AE"/>
    <w:rsid w:val="000D519A"/>
    <w:rsid w:val="000D541E"/>
    <w:rsid w:val="000D569C"/>
    <w:rsid w:val="000D5719"/>
    <w:rsid w:val="000D5BE3"/>
    <w:rsid w:val="000D67AE"/>
    <w:rsid w:val="000D69A4"/>
    <w:rsid w:val="000D7796"/>
    <w:rsid w:val="000E136D"/>
    <w:rsid w:val="000E1864"/>
    <w:rsid w:val="000E1C97"/>
    <w:rsid w:val="000E1CEF"/>
    <w:rsid w:val="000E266E"/>
    <w:rsid w:val="000E27C0"/>
    <w:rsid w:val="000E2CC5"/>
    <w:rsid w:val="000E2D35"/>
    <w:rsid w:val="000E44DE"/>
    <w:rsid w:val="000E455E"/>
    <w:rsid w:val="000E4ABE"/>
    <w:rsid w:val="000E4CB9"/>
    <w:rsid w:val="000E4D55"/>
    <w:rsid w:val="000E50AC"/>
    <w:rsid w:val="000E573F"/>
    <w:rsid w:val="000E5C42"/>
    <w:rsid w:val="000E5D39"/>
    <w:rsid w:val="000E6227"/>
    <w:rsid w:val="000E7128"/>
    <w:rsid w:val="000E76BB"/>
    <w:rsid w:val="000E7B9A"/>
    <w:rsid w:val="000E7F2C"/>
    <w:rsid w:val="000F00FF"/>
    <w:rsid w:val="000F04A5"/>
    <w:rsid w:val="000F158E"/>
    <w:rsid w:val="000F15F8"/>
    <w:rsid w:val="000F1D95"/>
    <w:rsid w:val="000F226F"/>
    <w:rsid w:val="000F22E0"/>
    <w:rsid w:val="000F2E56"/>
    <w:rsid w:val="000F371B"/>
    <w:rsid w:val="000F3E09"/>
    <w:rsid w:val="000F3F15"/>
    <w:rsid w:val="000F42F1"/>
    <w:rsid w:val="000F45A0"/>
    <w:rsid w:val="000F49FB"/>
    <w:rsid w:val="000F56AE"/>
    <w:rsid w:val="000F6778"/>
    <w:rsid w:val="000F6A08"/>
    <w:rsid w:val="000F6D18"/>
    <w:rsid w:val="000F6F25"/>
    <w:rsid w:val="000F6FA5"/>
    <w:rsid w:val="000F7967"/>
    <w:rsid w:val="000F7C78"/>
    <w:rsid w:val="0010006F"/>
    <w:rsid w:val="00100547"/>
    <w:rsid w:val="00100645"/>
    <w:rsid w:val="00100F95"/>
    <w:rsid w:val="00101653"/>
    <w:rsid w:val="001019AB"/>
    <w:rsid w:val="00101DD8"/>
    <w:rsid w:val="001025F7"/>
    <w:rsid w:val="001050ED"/>
    <w:rsid w:val="0010552B"/>
    <w:rsid w:val="001056F2"/>
    <w:rsid w:val="001061A4"/>
    <w:rsid w:val="0010689B"/>
    <w:rsid w:val="00107DE9"/>
    <w:rsid w:val="00110321"/>
    <w:rsid w:val="001105F2"/>
    <w:rsid w:val="00110DFC"/>
    <w:rsid w:val="00110F05"/>
    <w:rsid w:val="0011107A"/>
    <w:rsid w:val="001119B5"/>
    <w:rsid w:val="00111C57"/>
    <w:rsid w:val="00111F93"/>
    <w:rsid w:val="00112613"/>
    <w:rsid w:val="00112854"/>
    <w:rsid w:val="00113498"/>
    <w:rsid w:val="00114729"/>
    <w:rsid w:val="0011487C"/>
    <w:rsid w:val="00114B34"/>
    <w:rsid w:val="0011536E"/>
    <w:rsid w:val="001155E4"/>
    <w:rsid w:val="001156AD"/>
    <w:rsid w:val="001157F5"/>
    <w:rsid w:val="00115866"/>
    <w:rsid w:val="00115D6E"/>
    <w:rsid w:val="00116272"/>
    <w:rsid w:val="001167FA"/>
    <w:rsid w:val="00116C0E"/>
    <w:rsid w:val="001174BB"/>
    <w:rsid w:val="00120023"/>
    <w:rsid w:val="00120516"/>
    <w:rsid w:val="0012090A"/>
    <w:rsid w:val="00120BA4"/>
    <w:rsid w:val="0012103D"/>
    <w:rsid w:val="00121528"/>
    <w:rsid w:val="00121A84"/>
    <w:rsid w:val="001224C6"/>
    <w:rsid w:val="001224FC"/>
    <w:rsid w:val="00122835"/>
    <w:rsid w:val="001228FA"/>
    <w:rsid w:val="00122DAA"/>
    <w:rsid w:val="00123B09"/>
    <w:rsid w:val="0012426C"/>
    <w:rsid w:val="00124551"/>
    <w:rsid w:val="0012475B"/>
    <w:rsid w:val="00124A59"/>
    <w:rsid w:val="00125AB1"/>
    <w:rsid w:val="00125C0F"/>
    <w:rsid w:val="0012612E"/>
    <w:rsid w:val="001263C4"/>
    <w:rsid w:val="00127111"/>
    <w:rsid w:val="001275CF"/>
    <w:rsid w:val="001279A8"/>
    <w:rsid w:val="00127EE4"/>
    <w:rsid w:val="00127F43"/>
    <w:rsid w:val="00130237"/>
    <w:rsid w:val="00130E30"/>
    <w:rsid w:val="00131472"/>
    <w:rsid w:val="00131B3B"/>
    <w:rsid w:val="00131E9E"/>
    <w:rsid w:val="00132BBB"/>
    <w:rsid w:val="00132D85"/>
    <w:rsid w:val="00134140"/>
    <w:rsid w:val="0013453C"/>
    <w:rsid w:val="00134595"/>
    <w:rsid w:val="0013519D"/>
    <w:rsid w:val="001354BC"/>
    <w:rsid w:val="001354F3"/>
    <w:rsid w:val="00135D0A"/>
    <w:rsid w:val="0013643E"/>
    <w:rsid w:val="00136B4F"/>
    <w:rsid w:val="0013718F"/>
    <w:rsid w:val="001373B4"/>
    <w:rsid w:val="00137785"/>
    <w:rsid w:val="00140224"/>
    <w:rsid w:val="00140695"/>
    <w:rsid w:val="0014083C"/>
    <w:rsid w:val="0014087C"/>
    <w:rsid w:val="001409B7"/>
    <w:rsid w:val="0014148C"/>
    <w:rsid w:val="0014173B"/>
    <w:rsid w:val="001418AD"/>
    <w:rsid w:val="0014193F"/>
    <w:rsid w:val="00142842"/>
    <w:rsid w:val="0014323B"/>
    <w:rsid w:val="00143829"/>
    <w:rsid w:val="00143A1A"/>
    <w:rsid w:val="00143A98"/>
    <w:rsid w:val="001443A2"/>
    <w:rsid w:val="00144495"/>
    <w:rsid w:val="00144575"/>
    <w:rsid w:val="00145818"/>
    <w:rsid w:val="00145C83"/>
    <w:rsid w:val="00145F14"/>
    <w:rsid w:val="00146592"/>
    <w:rsid w:val="0014669A"/>
    <w:rsid w:val="00147A0C"/>
    <w:rsid w:val="00147AF3"/>
    <w:rsid w:val="00150690"/>
    <w:rsid w:val="00150BB2"/>
    <w:rsid w:val="00150DBE"/>
    <w:rsid w:val="00150E15"/>
    <w:rsid w:val="00150E28"/>
    <w:rsid w:val="00150F01"/>
    <w:rsid w:val="001515D5"/>
    <w:rsid w:val="00151B2C"/>
    <w:rsid w:val="00151DCA"/>
    <w:rsid w:val="00152170"/>
    <w:rsid w:val="001529F0"/>
    <w:rsid w:val="00152C55"/>
    <w:rsid w:val="0015362F"/>
    <w:rsid w:val="00153D13"/>
    <w:rsid w:val="00153FF9"/>
    <w:rsid w:val="00154EC0"/>
    <w:rsid w:val="0015568F"/>
    <w:rsid w:val="00155CCE"/>
    <w:rsid w:val="00156118"/>
    <w:rsid w:val="00156618"/>
    <w:rsid w:val="00157358"/>
    <w:rsid w:val="0015743A"/>
    <w:rsid w:val="00157A55"/>
    <w:rsid w:val="00157D06"/>
    <w:rsid w:val="00157ECF"/>
    <w:rsid w:val="0016076D"/>
    <w:rsid w:val="001611D2"/>
    <w:rsid w:val="001616FD"/>
    <w:rsid w:val="001617FF"/>
    <w:rsid w:val="00161E3F"/>
    <w:rsid w:val="0016203B"/>
    <w:rsid w:val="0016281D"/>
    <w:rsid w:val="00162C0E"/>
    <w:rsid w:val="001632AC"/>
    <w:rsid w:val="00163502"/>
    <w:rsid w:val="0016465C"/>
    <w:rsid w:val="00164B47"/>
    <w:rsid w:val="00164D88"/>
    <w:rsid w:val="00165255"/>
    <w:rsid w:val="001653F7"/>
    <w:rsid w:val="001660DF"/>
    <w:rsid w:val="00166526"/>
    <w:rsid w:val="00166770"/>
    <w:rsid w:val="001669F6"/>
    <w:rsid w:val="00166CB5"/>
    <w:rsid w:val="00166D22"/>
    <w:rsid w:val="00166E67"/>
    <w:rsid w:val="00167AA8"/>
    <w:rsid w:val="00172873"/>
    <w:rsid w:val="00174102"/>
    <w:rsid w:val="00174979"/>
    <w:rsid w:val="00175337"/>
    <w:rsid w:val="001756E6"/>
    <w:rsid w:val="00176351"/>
    <w:rsid w:val="0017641C"/>
    <w:rsid w:val="0017662A"/>
    <w:rsid w:val="00176E57"/>
    <w:rsid w:val="0017716E"/>
    <w:rsid w:val="0017772A"/>
    <w:rsid w:val="001803EA"/>
    <w:rsid w:val="00180873"/>
    <w:rsid w:val="00181826"/>
    <w:rsid w:val="001822B2"/>
    <w:rsid w:val="0018284B"/>
    <w:rsid w:val="00182AA5"/>
    <w:rsid w:val="00182ABF"/>
    <w:rsid w:val="00182B1F"/>
    <w:rsid w:val="00182D5F"/>
    <w:rsid w:val="00182F28"/>
    <w:rsid w:val="00183304"/>
    <w:rsid w:val="001835D9"/>
    <w:rsid w:val="001837F1"/>
    <w:rsid w:val="001839D0"/>
    <w:rsid w:val="001847DE"/>
    <w:rsid w:val="001849C3"/>
    <w:rsid w:val="00184B08"/>
    <w:rsid w:val="00184D48"/>
    <w:rsid w:val="00185A82"/>
    <w:rsid w:val="001861EB"/>
    <w:rsid w:val="001868B2"/>
    <w:rsid w:val="001877BF"/>
    <w:rsid w:val="00187A1A"/>
    <w:rsid w:val="00190556"/>
    <w:rsid w:val="0019068F"/>
    <w:rsid w:val="00190BE5"/>
    <w:rsid w:val="00190E95"/>
    <w:rsid w:val="001910AA"/>
    <w:rsid w:val="001913BA"/>
    <w:rsid w:val="0019154B"/>
    <w:rsid w:val="001918CF"/>
    <w:rsid w:val="00191AE3"/>
    <w:rsid w:val="00191BF7"/>
    <w:rsid w:val="001923C7"/>
    <w:rsid w:val="00192874"/>
    <w:rsid w:val="00192C1B"/>
    <w:rsid w:val="00193429"/>
    <w:rsid w:val="00193618"/>
    <w:rsid w:val="001938FF"/>
    <w:rsid w:val="00193906"/>
    <w:rsid w:val="00193AB1"/>
    <w:rsid w:val="00193BED"/>
    <w:rsid w:val="00194690"/>
    <w:rsid w:val="00194945"/>
    <w:rsid w:val="001952BB"/>
    <w:rsid w:val="001952D5"/>
    <w:rsid w:val="0019579F"/>
    <w:rsid w:val="0019580D"/>
    <w:rsid w:val="00195A2E"/>
    <w:rsid w:val="0019671F"/>
    <w:rsid w:val="00196B19"/>
    <w:rsid w:val="00196DD2"/>
    <w:rsid w:val="00196FD9"/>
    <w:rsid w:val="0019768A"/>
    <w:rsid w:val="00197B4A"/>
    <w:rsid w:val="00197C20"/>
    <w:rsid w:val="00197EAE"/>
    <w:rsid w:val="001A06B0"/>
    <w:rsid w:val="001A0BBB"/>
    <w:rsid w:val="001A10DE"/>
    <w:rsid w:val="001A15A3"/>
    <w:rsid w:val="001A16DE"/>
    <w:rsid w:val="001A17DF"/>
    <w:rsid w:val="001A1A10"/>
    <w:rsid w:val="001A1D12"/>
    <w:rsid w:val="001A2F8A"/>
    <w:rsid w:val="001A3423"/>
    <w:rsid w:val="001A34BE"/>
    <w:rsid w:val="001A380B"/>
    <w:rsid w:val="001A46EC"/>
    <w:rsid w:val="001A47B9"/>
    <w:rsid w:val="001A48A3"/>
    <w:rsid w:val="001A498A"/>
    <w:rsid w:val="001A4B36"/>
    <w:rsid w:val="001A4C37"/>
    <w:rsid w:val="001A5DCA"/>
    <w:rsid w:val="001A600A"/>
    <w:rsid w:val="001A614C"/>
    <w:rsid w:val="001A6150"/>
    <w:rsid w:val="001A696F"/>
    <w:rsid w:val="001A6A48"/>
    <w:rsid w:val="001A6E3B"/>
    <w:rsid w:val="001A739B"/>
    <w:rsid w:val="001A73B8"/>
    <w:rsid w:val="001A7842"/>
    <w:rsid w:val="001A7CD0"/>
    <w:rsid w:val="001B0567"/>
    <w:rsid w:val="001B05FB"/>
    <w:rsid w:val="001B0650"/>
    <w:rsid w:val="001B0E14"/>
    <w:rsid w:val="001B0FDD"/>
    <w:rsid w:val="001B1950"/>
    <w:rsid w:val="001B1E77"/>
    <w:rsid w:val="001B1F78"/>
    <w:rsid w:val="001B3C3D"/>
    <w:rsid w:val="001B3C74"/>
    <w:rsid w:val="001B453C"/>
    <w:rsid w:val="001B4854"/>
    <w:rsid w:val="001B4942"/>
    <w:rsid w:val="001B4BBC"/>
    <w:rsid w:val="001B51C5"/>
    <w:rsid w:val="001B7061"/>
    <w:rsid w:val="001B74E9"/>
    <w:rsid w:val="001B76D2"/>
    <w:rsid w:val="001C032E"/>
    <w:rsid w:val="001C069D"/>
    <w:rsid w:val="001C0786"/>
    <w:rsid w:val="001C09C7"/>
    <w:rsid w:val="001C0D22"/>
    <w:rsid w:val="001C0F5B"/>
    <w:rsid w:val="001C25F4"/>
    <w:rsid w:val="001C2B8B"/>
    <w:rsid w:val="001C3867"/>
    <w:rsid w:val="001C3885"/>
    <w:rsid w:val="001C3C5E"/>
    <w:rsid w:val="001C3E93"/>
    <w:rsid w:val="001C46A3"/>
    <w:rsid w:val="001C48BD"/>
    <w:rsid w:val="001C4DEB"/>
    <w:rsid w:val="001C5D11"/>
    <w:rsid w:val="001C5DBE"/>
    <w:rsid w:val="001C6314"/>
    <w:rsid w:val="001C66AD"/>
    <w:rsid w:val="001C6F0F"/>
    <w:rsid w:val="001C7159"/>
    <w:rsid w:val="001C78A5"/>
    <w:rsid w:val="001C7BDE"/>
    <w:rsid w:val="001C7E0E"/>
    <w:rsid w:val="001D1275"/>
    <w:rsid w:val="001D13B9"/>
    <w:rsid w:val="001D14AC"/>
    <w:rsid w:val="001D2E81"/>
    <w:rsid w:val="001D3014"/>
    <w:rsid w:val="001D343F"/>
    <w:rsid w:val="001D3DEF"/>
    <w:rsid w:val="001D4CB9"/>
    <w:rsid w:val="001D4CBE"/>
    <w:rsid w:val="001D4FC4"/>
    <w:rsid w:val="001D5545"/>
    <w:rsid w:val="001D60D3"/>
    <w:rsid w:val="001D6399"/>
    <w:rsid w:val="001D664C"/>
    <w:rsid w:val="001D67F2"/>
    <w:rsid w:val="001D69DD"/>
    <w:rsid w:val="001D6C53"/>
    <w:rsid w:val="001D6DF5"/>
    <w:rsid w:val="001D6EDA"/>
    <w:rsid w:val="001D6FC8"/>
    <w:rsid w:val="001D702B"/>
    <w:rsid w:val="001D740E"/>
    <w:rsid w:val="001D76A4"/>
    <w:rsid w:val="001D7804"/>
    <w:rsid w:val="001E0700"/>
    <w:rsid w:val="001E0CB8"/>
    <w:rsid w:val="001E0F0C"/>
    <w:rsid w:val="001E1710"/>
    <w:rsid w:val="001E25B6"/>
    <w:rsid w:val="001E2CB6"/>
    <w:rsid w:val="001E2ED2"/>
    <w:rsid w:val="001E37DC"/>
    <w:rsid w:val="001E3D38"/>
    <w:rsid w:val="001E47C4"/>
    <w:rsid w:val="001E4980"/>
    <w:rsid w:val="001E4B5C"/>
    <w:rsid w:val="001E60AC"/>
    <w:rsid w:val="001E6B9F"/>
    <w:rsid w:val="001E6FAC"/>
    <w:rsid w:val="001E735C"/>
    <w:rsid w:val="001E7922"/>
    <w:rsid w:val="001E7DC9"/>
    <w:rsid w:val="001F0323"/>
    <w:rsid w:val="001F037F"/>
    <w:rsid w:val="001F0843"/>
    <w:rsid w:val="001F09B0"/>
    <w:rsid w:val="001F0B41"/>
    <w:rsid w:val="001F0E79"/>
    <w:rsid w:val="001F139F"/>
    <w:rsid w:val="001F1B80"/>
    <w:rsid w:val="001F1BCE"/>
    <w:rsid w:val="001F1FB0"/>
    <w:rsid w:val="001F22D4"/>
    <w:rsid w:val="001F2DB1"/>
    <w:rsid w:val="001F2F53"/>
    <w:rsid w:val="001F3296"/>
    <w:rsid w:val="001F34F9"/>
    <w:rsid w:val="001F3D90"/>
    <w:rsid w:val="001F3E54"/>
    <w:rsid w:val="001F42B0"/>
    <w:rsid w:val="001F4463"/>
    <w:rsid w:val="001F4554"/>
    <w:rsid w:val="001F54CC"/>
    <w:rsid w:val="001F5724"/>
    <w:rsid w:val="001F5EC5"/>
    <w:rsid w:val="001F5F1A"/>
    <w:rsid w:val="001F5FD6"/>
    <w:rsid w:val="001F629D"/>
    <w:rsid w:val="001F6A76"/>
    <w:rsid w:val="001F6D46"/>
    <w:rsid w:val="001F6D89"/>
    <w:rsid w:val="001F6EE3"/>
    <w:rsid w:val="001F726C"/>
    <w:rsid w:val="001F75E7"/>
    <w:rsid w:val="001F764B"/>
    <w:rsid w:val="001F7C24"/>
    <w:rsid w:val="0020028C"/>
    <w:rsid w:val="0020040D"/>
    <w:rsid w:val="00200599"/>
    <w:rsid w:val="0020115E"/>
    <w:rsid w:val="00201242"/>
    <w:rsid w:val="0020124C"/>
    <w:rsid w:val="0020140D"/>
    <w:rsid w:val="002018D4"/>
    <w:rsid w:val="00201E49"/>
    <w:rsid w:val="0020214A"/>
    <w:rsid w:val="002024C9"/>
    <w:rsid w:val="00202526"/>
    <w:rsid w:val="00202551"/>
    <w:rsid w:val="00202DE4"/>
    <w:rsid w:val="00202E88"/>
    <w:rsid w:val="00203742"/>
    <w:rsid w:val="0020384B"/>
    <w:rsid w:val="0020438C"/>
    <w:rsid w:val="00204C2F"/>
    <w:rsid w:val="00204CA3"/>
    <w:rsid w:val="0020555B"/>
    <w:rsid w:val="00205A7D"/>
    <w:rsid w:val="00205EA5"/>
    <w:rsid w:val="002062BF"/>
    <w:rsid w:val="00206CF5"/>
    <w:rsid w:val="0020799A"/>
    <w:rsid w:val="00207A80"/>
    <w:rsid w:val="00210245"/>
    <w:rsid w:val="0021094D"/>
    <w:rsid w:val="00211549"/>
    <w:rsid w:val="00211683"/>
    <w:rsid w:val="002116B0"/>
    <w:rsid w:val="00211A1E"/>
    <w:rsid w:val="00212122"/>
    <w:rsid w:val="00212222"/>
    <w:rsid w:val="00212EBD"/>
    <w:rsid w:val="0021347D"/>
    <w:rsid w:val="00213A06"/>
    <w:rsid w:val="00214D7E"/>
    <w:rsid w:val="0021600B"/>
    <w:rsid w:val="00216FFD"/>
    <w:rsid w:val="002175EE"/>
    <w:rsid w:val="00217735"/>
    <w:rsid w:val="00217821"/>
    <w:rsid w:val="00220B84"/>
    <w:rsid w:val="00220E3E"/>
    <w:rsid w:val="00220F8C"/>
    <w:rsid w:val="00221184"/>
    <w:rsid w:val="002216DE"/>
    <w:rsid w:val="00221C1E"/>
    <w:rsid w:val="00221F77"/>
    <w:rsid w:val="00222751"/>
    <w:rsid w:val="0022299D"/>
    <w:rsid w:val="00222C06"/>
    <w:rsid w:val="00223A1C"/>
    <w:rsid w:val="00223EB3"/>
    <w:rsid w:val="002249A8"/>
    <w:rsid w:val="00224A88"/>
    <w:rsid w:val="00224D14"/>
    <w:rsid w:val="00224D43"/>
    <w:rsid w:val="00225EE3"/>
    <w:rsid w:val="00226174"/>
    <w:rsid w:val="002264A3"/>
    <w:rsid w:val="00226CBC"/>
    <w:rsid w:val="00226CCD"/>
    <w:rsid w:val="00227381"/>
    <w:rsid w:val="0022796C"/>
    <w:rsid w:val="00227CEC"/>
    <w:rsid w:val="00230297"/>
    <w:rsid w:val="00230351"/>
    <w:rsid w:val="002303C4"/>
    <w:rsid w:val="002308A1"/>
    <w:rsid w:val="00230F55"/>
    <w:rsid w:val="002326DC"/>
    <w:rsid w:val="00232804"/>
    <w:rsid w:val="00232D36"/>
    <w:rsid w:val="00232F29"/>
    <w:rsid w:val="002339A9"/>
    <w:rsid w:val="00233DC9"/>
    <w:rsid w:val="00233E08"/>
    <w:rsid w:val="00233F81"/>
    <w:rsid w:val="00234950"/>
    <w:rsid w:val="002351A2"/>
    <w:rsid w:val="002351B4"/>
    <w:rsid w:val="00235325"/>
    <w:rsid w:val="00236509"/>
    <w:rsid w:val="0023662E"/>
    <w:rsid w:val="00236A76"/>
    <w:rsid w:val="00237645"/>
    <w:rsid w:val="002376B7"/>
    <w:rsid w:val="00237E31"/>
    <w:rsid w:val="002401AD"/>
    <w:rsid w:val="0024035D"/>
    <w:rsid w:val="002408FA"/>
    <w:rsid w:val="002413E9"/>
    <w:rsid w:val="00241AA2"/>
    <w:rsid w:val="00241BFB"/>
    <w:rsid w:val="00241E30"/>
    <w:rsid w:val="002426D5"/>
    <w:rsid w:val="00242CFE"/>
    <w:rsid w:val="002438C7"/>
    <w:rsid w:val="00245A64"/>
    <w:rsid w:val="00245B03"/>
    <w:rsid w:val="00245D28"/>
    <w:rsid w:val="00246CB6"/>
    <w:rsid w:val="00246F85"/>
    <w:rsid w:val="00247040"/>
    <w:rsid w:val="002475BF"/>
    <w:rsid w:val="00247AEE"/>
    <w:rsid w:val="00250256"/>
    <w:rsid w:val="00250D9F"/>
    <w:rsid w:val="00250FC4"/>
    <w:rsid w:val="00251073"/>
    <w:rsid w:val="00251854"/>
    <w:rsid w:val="00251A37"/>
    <w:rsid w:val="002528B9"/>
    <w:rsid w:val="002530DB"/>
    <w:rsid w:val="002537BF"/>
    <w:rsid w:val="002540EC"/>
    <w:rsid w:val="00254FE9"/>
    <w:rsid w:val="00255DDE"/>
    <w:rsid w:val="0025654D"/>
    <w:rsid w:val="0025679B"/>
    <w:rsid w:val="002571B2"/>
    <w:rsid w:val="00257902"/>
    <w:rsid w:val="00257BE6"/>
    <w:rsid w:val="00257E9B"/>
    <w:rsid w:val="002605CB"/>
    <w:rsid w:val="00260A51"/>
    <w:rsid w:val="00260B02"/>
    <w:rsid w:val="00260B1A"/>
    <w:rsid w:val="00260BF0"/>
    <w:rsid w:val="00260D3E"/>
    <w:rsid w:val="0026235F"/>
    <w:rsid w:val="0026264F"/>
    <w:rsid w:val="00263D3D"/>
    <w:rsid w:val="00263D56"/>
    <w:rsid w:val="0026429B"/>
    <w:rsid w:val="002663AE"/>
    <w:rsid w:val="002667E3"/>
    <w:rsid w:val="0026698A"/>
    <w:rsid w:val="00266D6D"/>
    <w:rsid w:val="00266F58"/>
    <w:rsid w:val="00267322"/>
    <w:rsid w:val="0027084B"/>
    <w:rsid w:val="00270A26"/>
    <w:rsid w:val="00270C85"/>
    <w:rsid w:val="00271480"/>
    <w:rsid w:val="0027198F"/>
    <w:rsid w:val="00271A68"/>
    <w:rsid w:val="00271B14"/>
    <w:rsid w:val="00271FFD"/>
    <w:rsid w:val="002721E1"/>
    <w:rsid w:val="00272349"/>
    <w:rsid w:val="0027253A"/>
    <w:rsid w:val="00272848"/>
    <w:rsid w:val="0027373E"/>
    <w:rsid w:val="00273908"/>
    <w:rsid w:val="00274062"/>
    <w:rsid w:val="002745F6"/>
    <w:rsid w:val="0027467C"/>
    <w:rsid w:val="002748AA"/>
    <w:rsid w:val="00274BEB"/>
    <w:rsid w:val="00274D75"/>
    <w:rsid w:val="00275106"/>
    <w:rsid w:val="00275384"/>
    <w:rsid w:val="00275DAC"/>
    <w:rsid w:val="00275FA8"/>
    <w:rsid w:val="002761BB"/>
    <w:rsid w:val="002764FB"/>
    <w:rsid w:val="00276B9A"/>
    <w:rsid w:val="00276F4D"/>
    <w:rsid w:val="002803A3"/>
    <w:rsid w:val="00281028"/>
    <w:rsid w:val="002812AE"/>
    <w:rsid w:val="002812B2"/>
    <w:rsid w:val="0028162E"/>
    <w:rsid w:val="00282232"/>
    <w:rsid w:val="00282286"/>
    <w:rsid w:val="00283495"/>
    <w:rsid w:val="0028386E"/>
    <w:rsid w:val="0028463B"/>
    <w:rsid w:val="0028468F"/>
    <w:rsid w:val="00284D53"/>
    <w:rsid w:val="00284E0A"/>
    <w:rsid w:val="002853C9"/>
    <w:rsid w:val="00285B10"/>
    <w:rsid w:val="0028762A"/>
    <w:rsid w:val="00287773"/>
    <w:rsid w:val="0028798E"/>
    <w:rsid w:val="00287C41"/>
    <w:rsid w:val="00287FED"/>
    <w:rsid w:val="00290C0D"/>
    <w:rsid w:val="00291850"/>
    <w:rsid w:val="0029185C"/>
    <w:rsid w:val="00291C39"/>
    <w:rsid w:val="002926AD"/>
    <w:rsid w:val="00293055"/>
    <w:rsid w:val="00293235"/>
    <w:rsid w:val="0029356B"/>
    <w:rsid w:val="002937A6"/>
    <w:rsid w:val="00293C4C"/>
    <w:rsid w:val="00293EED"/>
    <w:rsid w:val="00294102"/>
    <w:rsid w:val="00294939"/>
    <w:rsid w:val="00294C86"/>
    <w:rsid w:val="00294FA9"/>
    <w:rsid w:val="00295406"/>
    <w:rsid w:val="00295A53"/>
    <w:rsid w:val="00295D4E"/>
    <w:rsid w:val="00295D6B"/>
    <w:rsid w:val="002A0410"/>
    <w:rsid w:val="002A0784"/>
    <w:rsid w:val="002A07B5"/>
    <w:rsid w:val="002A0C10"/>
    <w:rsid w:val="002A0F1C"/>
    <w:rsid w:val="002A1985"/>
    <w:rsid w:val="002A2397"/>
    <w:rsid w:val="002A2572"/>
    <w:rsid w:val="002A2D23"/>
    <w:rsid w:val="002A2F03"/>
    <w:rsid w:val="002A31C6"/>
    <w:rsid w:val="002A3E4E"/>
    <w:rsid w:val="002A4CF7"/>
    <w:rsid w:val="002A4EFF"/>
    <w:rsid w:val="002A526C"/>
    <w:rsid w:val="002A5380"/>
    <w:rsid w:val="002A580E"/>
    <w:rsid w:val="002A625A"/>
    <w:rsid w:val="002A69E8"/>
    <w:rsid w:val="002B002E"/>
    <w:rsid w:val="002B0791"/>
    <w:rsid w:val="002B13D2"/>
    <w:rsid w:val="002B13F7"/>
    <w:rsid w:val="002B167C"/>
    <w:rsid w:val="002B19B8"/>
    <w:rsid w:val="002B1CC6"/>
    <w:rsid w:val="002B1CD9"/>
    <w:rsid w:val="002B2B33"/>
    <w:rsid w:val="002B2C0F"/>
    <w:rsid w:val="002B3A8B"/>
    <w:rsid w:val="002B4346"/>
    <w:rsid w:val="002B4656"/>
    <w:rsid w:val="002B4A41"/>
    <w:rsid w:val="002B4D13"/>
    <w:rsid w:val="002B6187"/>
    <w:rsid w:val="002B62EB"/>
    <w:rsid w:val="002B6745"/>
    <w:rsid w:val="002B6F2C"/>
    <w:rsid w:val="002B7284"/>
    <w:rsid w:val="002B7B23"/>
    <w:rsid w:val="002C00B8"/>
    <w:rsid w:val="002C0448"/>
    <w:rsid w:val="002C060C"/>
    <w:rsid w:val="002C0735"/>
    <w:rsid w:val="002C0865"/>
    <w:rsid w:val="002C08AD"/>
    <w:rsid w:val="002C0DBD"/>
    <w:rsid w:val="002C0F28"/>
    <w:rsid w:val="002C13B4"/>
    <w:rsid w:val="002C1745"/>
    <w:rsid w:val="002C1DFB"/>
    <w:rsid w:val="002C2240"/>
    <w:rsid w:val="002C2D01"/>
    <w:rsid w:val="002C2D90"/>
    <w:rsid w:val="002C2ED9"/>
    <w:rsid w:val="002C2F26"/>
    <w:rsid w:val="002C3D74"/>
    <w:rsid w:val="002C49CD"/>
    <w:rsid w:val="002C50D2"/>
    <w:rsid w:val="002C53C5"/>
    <w:rsid w:val="002C5FAD"/>
    <w:rsid w:val="002C67BD"/>
    <w:rsid w:val="002C7979"/>
    <w:rsid w:val="002C7A00"/>
    <w:rsid w:val="002D00B3"/>
    <w:rsid w:val="002D140C"/>
    <w:rsid w:val="002D159A"/>
    <w:rsid w:val="002D2169"/>
    <w:rsid w:val="002D29A9"/>
    <w:rsid w:val="002D3383"/>
    <w:rsid w:val="002D362A"/>
    <w:rsid w:val="002D372F"/>
    <w:rsid w:val="002D3B4C"/>
    <w:rsid w:val="002D3CF0"/>
    <w:rsid w:val="002D3DEE"/>
    <w:rsid w:val="002D490A"/>
    <w:rsid w:val="002D4BBC"/>
    <w:rsid w:val="002D5118"/>
    <w:rsid w:val="002D5197"/>
    <w:rsid w:val="002D52CE"/>
    <w:rsid w:val="002D5392"/>
    <w:rsid w:val="002D565F"/>
    <w:rsid w:val="002D58B4"/>
    <w:rsid w:val="002D5EE1"/>
    <w:rsid w:val="002D639E"/>
    <w:rsid w:val="002D6610"/>
    <w:rsid w:val="002D6ABC"/>
    <w:rsid w:val="002D6E20"/>
    <w:rsid w:val="002E015A"/>
    <w:rsid w:val="002E0457"/>
    <w:rsid w:val="002E08AC"/>
    <w:rsid w:val="002E19CC"/>
    <w:rsid w:val="002E1AD2"/>
    <w:rsid w:val="002E1B76"/>
    <w:rsid w:val="002E1D74"/>
    <w:rsid w:val="002E2385"/>
    <w:rsid w:val="002E2B7B"/>
    <w:rsid w:val="002E3A48"/>
    <w:rsid w:val="002E3CD8"/>
    <w:rsid w:val="002E4390"/>
    <w:rsid w:val="002E4545"/>
    <w:rsid w:val="002E4630"/>
    <w:rsid w:val="002E59EF"/>
    <w:rsid w:val="002E5A8C"/>
    <w:rsid w:val="002E67B5"/>
    <w:rsid w:val="002E6BAA"/>
    <w:rsid w:val="002E6EFB"/>
    <w:rsid w:val="002E74CC"/>
    <w:rsid w:val="002E77C0"/>
    <w:rsid w:val="002E7A6F"/>
    <w:rsid w:val="002F0383"/>
    <w:rsid w:val="002F03B6"/>
    <w:rsid w:val="002F0428"/>
    <w:rsid w:val="002F0749"/>
    <w:rsid w:val="002F0B10"/>
    <w:rsid w:val="002F0B1F"/>
    <w:rsid w:val="002F0CF8"/>
    <w:rsid w:val="002F187C"/>
    <w:rsid w:val="002F1927"/>
    <w:rsid w:val="002F24C5"/>
    <w:rsid w:val="002F24E9"/>
    <w:rsid w:val="002F2A0B"/>
    <w:rsid w:val="002F2C34"/>
    <w:rsid w:val="002F2DF2"/>
    <w:rsid w:val="002F2E67"/>
    <w:rsid w:val="002F3093"/>
    <w:rsid w:val="002F31A4"/>
    <w:rsid w:val="002F3261"/>
    <w:rsid w:val="002F3295"/>
    <w:rsid w:val="002F3EC2"/>
    <w:rsid w:val="002F486C"/>
    <w:rsid w:val="002F49A1"/>
    <w:rsid w:val="002F541B"/>
    <w:rsid w:val="002F55DC"/>
    <w:rsid w:val="002F61C8"/>
    <w:rsid w:val="002F671B"/>
    <w:rsid w:val="002F730C"/>
    <w:rsid w:val="002F75C6"/>
    <w:rsid w:val="002F78D6"/>
    <w:rsid w:val="002F7C57"/>
    <w:rsid w:val="002F7E12"/>
    <w:rsid w:val="002F7F41"/>
    <w:rsid w:val="00300309"/>
    <w:rsid w:val="00300D7D"/>
    <w:rsid w:val="0030130B"/>
    <w:rsid w:val="003019E9"/>
    <w:rsid w:val="00301B00"/>
    <w:rsid w:val="00301DCC"/>
    <w:rsid w:val="00301F4D"/>
    <w:rsid w:val="00301FF7"/>
    <w:rsid w:val="003020E4"/>
    <w:rsid w:val="003023FE"/>
    <w:rsid w:val="0030259B"/>
    <w:rsid w:val="003029D7"/>
    <w:rsid w:val="0030310C"/>
    <w:rsid w:val="0030450E"/>
    <w:rsid w:val="00304FA0"/>
    <w:rsid w:val="00305209"/>
    <w:rsid w:val="0030570F"/>
    <w:rsid w:val="00306513"/>
    <w:rsid w:val="00306BAE"/>
    <w:rsid w:val="003070F0"/>
    <w:rsid w:val="003070F9"/>
    <w:rsid w:val="0030799E"/>
    <w:rsid w:val="00307ACE"/>
    <w:rsid w:val="00307D4C"/>
    <w:rsid w:val="003106BD"/>
    <w:rsid w:val="00310DD6"/>
    <w:rsid w:val="00311FDF"/>
    <w:rsid w:val="003129E6"/>
    <w:rsid w:val="0031304F"/>
    <w:rsid w:val="0031403C"/>
    <w:rsid w:val="00314991"/>
    <w:rsid w:val="00315420"/>
    <w:rsid w:val="003156E8"/>
    <w:rsid w:val="00315FD6"/>
    <w:rsid w:val="00316711"/>
    <w:rsid w:val="003171D6"/>
    <w:rsid w:val="0031748B"/>
    <w:rsid w:val="00320CD8"/>
    <w:rsid w:val="00320F84"/>
    <w:rsid w:val="0032177A"/>
    <w:rsid w:val="00321BC9"/>
    <w:rsid w:val="00322798"/>
    <w:rsid w:val="00322C73"/>
    <w:rsid w:val="00322EA1"/>
    <w:rsid w:val="00323187"/>
    <w:rsid w:val="00323275"/>
    <w:rsid w:val="0032365B"/>
    <w:rsid w:val="00323968"/>
    <w:rsid w:val="00324259"/>
    <w:rsid w:val="00324919"/>
    <w:rsid w:val="0032567F"/>
    <w:rsid w:val="00325843"/>
    <w:rsid w:val="00325BEB"/>
    <w:rsid w:val="00326A49"/>
    <w:rsid w:val="00326A7A"/>
    <w:rsid w:val="00326CF3"/>
    <w:rsid w:val="00330479"/>
    <w:rsid w:val="00330930"/>
    <w:rsid w:val="00330FAC"/>
    <w:rsid w:val="003310F4"/>
    <w:rsid w:val="00331222"/>
    <w:rsid w:val="00331513"/>
    <w:rsid w:val="0033251D"/>
    <w:rsid w:val="003325DC"/>
    <w:rsid w:val="00333699"/>
    <w:rsid w:val="00333B28"/>
    <w:rsid w:val="003342CC"/>
    <w:rsid w:val="003343F6"/>
    <w:rsid w:val="00334596"/>
    <w:rsid w:val="00334DF7"/>
    <w:rsid w:val="00335494"/>
    <w:rsid w:val="00335EC6"/>
    <w:rsid w:val="0033649F"/>
    <w:rsid w:val="003368E8"/>
    <w:rsid w:val="00336D58"/>
    <w:rsid w:val="0033700B"/>
    <w:rsid w:val="003379E6"/>
    <w:rsid w:val="00337A7E"/>
    <w:rsid w:val="00337D8A"/>
    <w:rsid w:val="00337F54"/>
    <w:rsid w:val="003400F0"/>
    <w:rsid w:val="0034093D"/>
    <w:rsid w:val="00340F69"/>
    <w:rsid w:val="00341103"/>
    <w:rsid w:val="003411CB"/>
    <w:rsid w:val="0034131A"/>
    <w:rsid w:val="00341CB7"/>
    <w:rsid w:val="003424FB"/>
    <w:rsid w:val="0034269B"/>
    <w:rsid w:val="003428AC"/>
    <w:rsid w:val="003431A4"/>
    <w:rsid w:val="0034386D"/>
    <w:rsid w:val="00343985"/>
    <w:rsid w:val="00343AA5"/>
    <w:rsid w:val="0034458E"/>
    <w:rsid w:val="003448DB"/>
    <w:rsid w:val="0034514B"/>
    <w:rsid w:val="003458BB"/>
    <w:rsid w:val="003460A5"/>
    <w:rsid w:val="00346ED1"/>
    <w:rsid w:val="00347B95"/>
    <w:rsid w:val="00347BF1"/>
    <w:rsid w:val="0035090C"/>
    <w:rsid w:val="00350CA8"/>
    <w:rsid w:val="00350F8C"/>
    <w:rsid w:val="0035135A"/>
    <w:rsid w:val="00351C2A"/>
    <w:rsid w:val="00351F32"/>
    <w:rsid w:val="00352949"/>
    <w:rsid w:val="003531E6"/>
    <w:rsid w:val="00353A06"/>
    <w:rsid w:val="00354288"/>
    <w:rsid w:val="003546F0"/>
    <w:rsid w:val="00354EFD"/>
    <w:rsid w:val="003554BF"/>
    <w:rsid w:val="0035638E"/>
    <w:rsid w:val="00356BB0"/>
    <w:rsid w:val="00356CC7"/>
    <w:rsid w:val="00357A93"/>
    <w:rsid w:val="00360D17"/>
    <w:rsid w:val="00360FDB"/>
    <w:rsid w:val="0036156D"/>
    <w:rsid w:val="003617B5"/>
    <w:rsid w:val="0036217A"/>
    <w:rsid w:val="00363B99"/>
    <w:rsid w:val="00364325"/>
    <w:rsid w:val="00365341"/>
    <w:rsid w:val="00365780"/>
    <w:rsid w:val="0036610F"/>
    <w:rsid w:val="00366CBA"/>
    <w:rsid w:val="00366DEE"/>
    <w:rsid w:val="003671D9"/>
    <w:rsid w:val="00367378"/>
    <w:rsid w:val="0036744E"/>
    <w:rsid w:val="00367ACD"/>
    <w:rsid w:val="0037044A"/>
    <w:rsid w:val="003704E1"/>
    <w:rsid w:val="00370D74"/>
    <w:rsid w:val="00370D8F"/>
    <w:rsid w:val="003711DE"/>
    <w:rsid w:val="00371881"/>
    <w:rsid w:val="00371A06"/>
    <w:rsid w:val="00371AC2"/>
    <w:rsid w:val="00371B8A"/>
    <w:rsid w:val="00371BA7"/>
    <w:rsid w:val="00371D18"/>
    <w:rsid w:val="00372441"/>
    <w:rsid w:val="003740C5"/>
    <w:rsid w:val="00374608"/>
    <w:rsid w:val="00375116"/>
    <w:rsid w:val="00375264"/>
    <w:rsid w:val="0037535E"/>
    <w:rsid w:val="0037537C"/>
    <w:rsid w:val="0037540F"/>
    <w:rsid w:val="0037541E"/>
    <w:rsid w:val="00375AFE"/>
    <w:rsid w:val="00375BFB"/>
    <w:rsid w:val="0037676C"/>
    <w:rsid w:val="00376C67"/>
    <w:rsid w:val="003774FE"/>
    <w:rsid w:val="00377649"/>
    <w:rsid w:val="00377ACD"/>
    <w:rsid w:val="003803E2"/>
    <w:rsid w:val="003804C9"/>
    <w:rsid w:val="003806ED"/>
    <w:rsid w:val="0038102F"/>
    <w:rsid w:val="00381451"/>
    <w:rsid w:val="003816AF"/>
    <w:rsid w:val="003821AB"/>
    <w:rsid w:val="003821AE"/>
    <w:rsid w:val="00382655"/>
    <w:rsid w:val="00382A7D"/>
    <w:rsid w:val="00383BEB"/>
    <w:rsid w:val="00383D78"/>
    <w:rsid w:val="00384270"/>
    <w:rsid w:val="00384632"/>
    <w:rsid w:val="00384B88"/>
    <w:rsid w:val="00384FF7"/>
    <w:rsid w:val="00385120"/>
    <w:rsid w:val="00385458"/>
    <w:rsid w:val="0038553F"/>
    <w:rsid w:val="00385938"/>
    <w:rsid w:val="00386651"/>
    <w:rsid w:val="003869D3"/>
    <w:rsid w:val="00386E31"/>
    <w:rsid w:val="00387DF0"/>
    <w:rsid w:val="00387E5C"/>
    <w:rsid w:val="00390563"/>
    <w:rsid w:val="00390BCC"/>
    <w:rsid w:val="003910FE"/>
    <w:rsid w:val="0039179F"/>
    <w:rsid w:val="00391B12"/>
    <w:rsid w:val="00391B91"/>
    <w:rsid w:val="00391C71"/>
    <w:rsid w:val="00391E87"/>
    <w:rsid w:val="0039252B"/>
    <w:rsid w:val="003925F3"/>
    <w:rsid w:val="003927E0"/>
    <w:rsid w:val="0039286E"/>
    <w:rsid w:val="00393A57"/>
    <w:rsid w:val="003944FD"/>
    <w:rsid w:val="00394B1F"/>
    <w:rsid w:val="00394F32"/>
    <w:rsid w:val="00394F66"/>
    <w:rsid w:val="0039504E"/>
    <w:rsid w:val="00395ECD"/>
    <w:rsid w:val="00396303"/>
    <w:rsid w:val="00396916"/>
    <w:rsid w:val="00396AEF"/>
    <w:rsid w:val="00396B67"/>
    <w:rsid w:val="00396F93"/>
    <w:rsid w:val="00396FEE"/>
    <w:rsid w:val="0039708E"/>
    <w:rsid w:val="003971F7"/>
    <w:rsid w:val="003972CD"/>
    <w:rsid w:val="003A010B"/>
    <w:rsid w:val="003A0160"/>
    <w:rsid w:val="003A03AB"/>
    <w:rsid w:val="003A0821"/>
    <w:rsid w:val="003A0F88"/>
    <w:rsid w:val="003A0FA1"/>
    <w:rsid w:val="003A1006"/>
    <w:rsid w:val="003A1097"/>
    <w:rsid w:val="003A1D32"/>
    <w:rsid w:val="003A2042"/>
    <w:rsid w:val="003A2754"/>
    <w:rsid w:val="003A2816"/>
    <w:rsid w:val="003A2C79"/>
    <w:rsid w:val="003A2C9D"/>
    <w:rsid w:val="003A2EC7"/>
    <w:rsid w:val="003A36D8"/>
    <w:rsid w:val="003A3CAC"/>
    <w:rsid w:val="003A3CD7"/>
    <w:rsid w:val="003A3EA6"/>
    <w:rsid w:val="003A554D"/>
    <w:rsid w:val="003A59AA"/>
    <w:rsid w:val="003A6029"/>
    <w:rsid w:val="003A6564"/>
    <w:rsid w:val="003A681F"/>
    <w:rsid w:val="003A77F5"/>
    <w:rsid w:val="003B03C0"/>
    <w:rsid w:val="003B0A1A"/>
    <w:rsid w:val="003B2FB8"/>
    <w:rsid w:val="003B3015"/>
    <w:rsid w:val="003B3068"/>
    <w:rsid w:val="003B3F14"/>
    <w:rsid w:val="003B3F19"/>
    <w:rsid w:val="003B4B18"/>
    <w:rsid w:val="003B5099"/>
    <w:rsid w:val="003B58EE"/>
    <w:rsid w:val="003B5E42"/>
    <w:rsid w:val="003B7515"/>
    <w:rsid w:val="003B7C47"/>
    <w:rsid w:val="003B7C6F"/>
    <w:rsid w:val="003B7F41"/>
    <w:rsid w:val="003C089A"/>
    <w:rsid w:val="003C094C"/>
    <w:rsid w:val="003C09BF"/>
    <w:rsid w:val="003C2E09"/>
    <w:rsid w:val="003C303E"/>
    <w:rsid w:val="003C30FC"/>
    <w:rsid w:val="003C319C"/>
    <w:rsid w:val="003C35EF"/>
    <w:rsid w:val="003C3C5F"/>
    <w:rsid w:val="003C3C6A"/>
    <w:rsid w:val="003C4F06"/>
    <w:rsid w:val="003C5959"/>
    <w:rsid w:val="003C5B1D"/>
    <w:rsid w:val="003C5B35"/>
    <w:rsid w:val="003C5BD4"/>
    <w:rsid w:val="003C5BF2"/>
    <w:rsid w:val="003C62D5"/>
    <w:rsid w:val="003D03B9"/>
    <w:rsid w:val="003D0DED"/>
    <w:rsid w:val="003D1103"/>
    <w:rsid w:val="003D1365"/>
    <w:rsid w:val="003D1662"/>
    <w:rsid w:val="003D2AD7"/>
    <w:rsid w:val="003D2BFD"/>
    <w:rsid w:val="003D30DA"/>
    <w:rsid w:val="003D3ED4"/>
    <w:rsid w:val="003D400C"/>
    <w:rsid w:val="003D4647"/>
    <w:rsid w:val="003D4B83"/>
    <w:rsid w:val="003D4F19"/>
    <w:rsid w:val="003D553C"/>
    <w:rsid w:val="003D5D68"/>
    <w:rsid w:val="003D608A"/>
    <w:rsid w:val="003D7130"/>
    <w:rsid w:val="003E0163"/>
    <w:rsid w:val="003E039F"/>
    <w:rsid w:val="003E07E3"/>
    <w:rsid w:val="003E088D"/>
    <w:rsid w:val="003E0DB3"/>
    <w:rsid w:val="003E1852"/>
    <w:rsid w:val="003E1C1B"/>
    <w:rsid w:val="003E3464"/>
    <w:rsid w:val="003E3488"/>
    <w:rsid w:val="003E3A7E"/>
    <w:rsid w:val="003E4C2F"/>
    <w:rsid w:val="003E4FC2"/>
    <w:rsid w:val="003E5148"/>
    <w:rsid w:val="003E5904"/>
    <w:rsid w:val="003E59A7"/>
    <w:rsid w:val="003E6754"/>
    <w:rsid w:val="003E6879"/>
    <w:rsid w:val="003E68F6"/>
    <w:rsid w:val="003E7B84"/>
    <w:rsid w:val="003F05FD"/>
    <w:rsid w:val="003F0A80"/>
    <w:rsid w:val="003F0EAC"/>
    <w:rsid w:val="003F1132"/>
    <w:rsid w:val="003F11A1"/>
    <w:rsid w:val="003F1641"/>
    <w:rsid w:val="003F1B30"/>
    <w:rsid w:val="003F1C04"/>
    <w:rsid w:val="003F1CA4"/>
    <w:rsid w:val="003F1CAD"/>
    <w:rsid w:val="003F1F92"/>
    <w:rsid w:val="003F225A"/>
    <w:rsid w:val="003F2A10"/>
    <w:rsid w:val="003F3138"/>
    <w:rsid w:val="003F3846"/>
    <w:rsid w:val="003F40F2"/>
    <w:rsid w:val="003F48DB"/>
    <w:rsid w:val="003F4976"/>
    <w:rsid w:val="003F4ACC"/>
    <w:rsid w:val="003F4AEB"/>
    <w:rsid w:val="003F4BC2"/>
    <w:rsid w:val="003F4F36"/>
    <w:rsid w:val="003F4F58"/>
    <w:rsid w:val="003F5948"/>
    <w:rsid w:val="003F6ACA"/>
    <w:rsid w:val="003F6CE1"/>
    <w:rsid w:val="003F6F1C"/>
    <w:rsid w:val="003F7266"/>
    <w:rsid w:val="004000A7"/>
    <w:rsid w:val="00400872"/>
    <w:rsid w:val="004009A7"/>
    <w:rsid w:val="00401237"/>
    <w:rsid w:val="0040160B"/>
    <w:rsid w:val="004016FC"/>
    <w:rsid w:val="00401D76"/>
    <w:rsid w:val="00402115"/>
    <w:rsid w:val="004027E6"/>
    <w:rsid w:val="004028B9"/>
    <w:rsid w:val="004036A3"/>
    <w:rsid w:val="00403A24"/>
    <w:rsid w:val="00403B00"/>
    <w:rsid w:val="00403C49"/>
    <w:rsid w:val="00403D5E"/>
    <w:rsid w:val="004044C9"/>
    <w:rsid w:val="00405C4F"/>
    <w:rsid w:val="00405F98"/>
    <w:rsid w:val="0040650A"/>
    <w:rsid w:val="00406660"/>
    <w:rsid w:val="004066AC"/>
    <w:rsid w:val="004076C2"/>
    <w:rsid w:val="0041049B"/>
    <w:rsid w:val="00410544"/>
    <w:rsid w:val="0041061A"/>
    <w:rsid w:val="004107F6"/>
    <w:rsid w:val="00410A9F"/>
    <w:rsid w:val="00410ADE"/>
    <w:rsid w:val="0041125F"/>
    <w:rsid w:val="004116F8"/>
    <w:rsid w:val="004117C0"/>
    <w:rsid w:val="00411CF2"/>
    <w:rsid w:val="00412AE9"/>
    <w:rsid w:val="00412D83"/>
    <w:rsid w:val="00412EAD"/>
    <w:rsid w:val="00413701"/>
    <w:rsid w:val="00414531"/>
    <w:rsid w:val="004146EA"/>
    <w:rsid w:val="0041494A"/>
    <w:rsid w:val="00415123"/>
    <w:rsid w:val="004155E2"/>
    <w:rsid w:val="004156FD"/>
    <w:rsid w:val="004163A3"/>
    <w:rsid w:val="00416798"/>
    <w:rsid w:val="00416B87"/>
    <w:rsid w:val="004170CA"/>
    <w:rsid w:val="004170FA"/>
    <w:rsid w:val="00417430"/>
    <w:rsid w:val="00417532"/>
    <w:rsid w:val="0042003E"/>
    <w:rsid w:val="004203C0"/>
    <w:rsid w:val="004203D3"/>
    <w:rsid w:val="004204B0"/>
    <w:rsid w:val="004208DD"/>
    <w:rsid w:val="004209C2"/>
    <w:rsid w:val="00420BB6"/>
    <w:rsid w:val="00421262"/>
    <w:rsid w:val="00422FEB"/>
    <w:rsid w:val="00423D32"/>
    <w:rsid w:val="0042435A"/>
    <w:rsid w:val="0042442B"/>
    <w:rsid w:val="004244A9"/>
    <w:rsid w:val="004244B2"/>
    <w:rsid w:val="0042471C"/>
    <w:rsid w:val="004254D4"/>
    <w:rsid w:val="00425A80"/>
    <w:rsid w:val="00426FA9"/>
    <w:rsid w:val="0042761E"/>
    <w:rsid w:val="004279F7"/>
    <w:rsid w:val="00427F3F"/>
    <w:rsid w:val="00430627"/>
    <w:rsid w:val="00431262"/>
    <w:rsid w:val="004319AB"/>
    <w:rsid w:val="00431D04"/>
    <w:rsid w:val="004322F9"/>
    <w:rsid w:val="004323BC"/>
    <w:rsid w:val="00433516"/>
    <w:rsid w:val="00433BC3"/>
    <w:rsid w:val="00433E5C"/>
    <w:rsid w:val="004344A1"/>
    <w:rsid w:val="0043468A"/>
    <w:rsid w:val="00434F0D"/>
    <w:rsid w:val="00435491"/>
    <w:rsid w:val="00435AC9"/>
    <w:rsid w:val="00435C63"/>
    <w:rsid w:val="00435DA4"/>
    <w:rsid w:val="0043603A"/>
    <w:rsid w:val="00436388"/>
    <w:rsid w:val="00437BC3"/>
    <w:rsid w:val="00437EBC"/>
    <w:rsid w:val="00440A5C"/>
    <w:rsid w:val="00441B83"/>
    <w:rsid w:val="00441E4C"/>
    <w:rsid w:val="00442260"/>
    <w:rsid w:val="00442944"/>
    <w:rsid w:val="004432D5"/>
    <w:rsid w:val="00443C0F"/>
    <w:rsid w:val="004447CC"/>
    <w:rsid w:val="004452FA"/>
    <w:rsid w:val="0044593F"/>
    <w:rsid w:val="00445ED8"/>
    <w:rsid w:val="004462EF"/>
    <w:rsid w:val="00446889"/>
    <w:rsid w:val="0044692C"/>
    <w:rsid w:val="0044711E"/>
    <w:rsid w:val="00447307"/>
    <w:rsid w:val="0044766C"/>
    <w:rsid w:val="0044784A"/>
    <w:rsid w:val="0044784C"/>
    <w:rsid w:val="004510B4"/>
    <w:rsid w:val="00451364"/>
    <w:rsid w:val="00451805"/>
    <w:rsid w:val="00451B2D"/>
    <w:rsid w:val="004525B5"/>
    <w:rsid w:val="00452AE2"/>
    <w:rsid w:val="00453434"/>
    <w:rsid w:val="004535C7"/>
    <w:rsid w:val="00453ED7"/>
    <w:rsid w:val="00453F81"/>
    <w:rsid w:val="0045499E"/>
    <w:rsid w:val="004557B7"/>
    <w:rsid w:val="00456528"/>
    <w:rsid w:val="004568E1"/>
    <w:rsid w:val="00456AD6"/>
    <w:rsid w:val="0045799D"/>
    <w:rsid w:val="00460ED0"/>
    <w:rsid w:val="00461344"/>
    <w:rsid w:val="004614C9"/>
    <w:rsid w:val="004619C6"/>
    <w:rsid w:val="00461A2C"/>
    <w:rsid w:val="00461A3E"/>
    <w:rsid w:val="00462B58"/>
    <w:rsid w:val="00462FC7"/>
    <w:rsid w:val="0046319E"/>
    <w:rsid w:val="00463DBB"/>
    <w:rsid w:val="0046438A"/>
    <w:rsid w:val="00466446"/>
    <w:rsid w:val="00466602"/>
    <w:rsid w:val="00466DB3"/>
    <w:rsid w:val="004670A2"/>
    <w:rsid w:val="004670F4"/>
    <w:rsid w:val="00467409"/>
    <w:rsid w:val="00467BAD"/>
    <w:rsid w:val="004701EA"/>
    <w:rsid w:val="00470D19"/>
    <w:rsid w:val="00471C20"/>
    <w:rsid w:val="00471E95"/>
    <w:rsid w:val="00471EA6"/>
    <w:rsid w:val="00471FC2"/>
    <w:rsid w:val="00472EC0"/>
    <w:rsid w:val="004743C3"/>
    <w:rsid w:val="00474716"/>
    <w:rsid w:val="00474F0C"/>
    <w:rsid w:val="00475009"/>
    <w:rsid w:val="004759F9"/>
    <w:rsid w:val="0047609E"/>
    <w:rsid w:val="0047641B"/>
    <w:rsid w:val="004772F4"/>
    <w:rsid w:val="004778E4"/>
    <w:rsid w:val="00477C75"/>
    <w:rsid w:val="004803D8"/>
    <w:rsid w:val="004803DD"/>
    <w:rsid w:val="004809F9"/>
    <w:rsid w:val="00480C7E"/>
    <w:rsid w:val="004812AF"/>
    <w:rsid w:val="00481F3E"/>
    <w:rsid w:val="004822EA"/>
    <w:rsid w:val="0048243C"/>
    <w:rsid w:val="00484831"/>
    <w:rsid w:val="00484D79"/>
    <w:rsid w:val="004850AC"/>
    <w:rsid w:val="004852DA"/>
    <w:rsid w:val="004855E3"/>
    <w:rsid w:val="00485EFA"/>
    <w:rsid w:val="004861CE"/>
    <w:rsid w:val="00487EFB"/>
    <w:rsid w:val="0049123C"/>
    <w:rsid w:val="00491BBE"/>
    <w:rsid w:val="00491EBD"/>
    <w:rsid w:val="00492615"/>
    <w:rsid w:val="004929D1"/>
    <w:rsid w:val="00492CEB"/>
    <w:rsid w:val="00492E0F"/>
    <w:rsid w:val="0049332D"/>
    <w:rsid w:val="0049352F"/>
    <w:rsid w:val="00494423"/>
    <w:rsid w:val="004945E6"/>
    <w:rsid w:val="0049482E"/>
    <w:rsid w:val="00494E40"/>
    <w:rsid w:val="0049549C"/>
    <w:rsid w:val="00495A08"/>
    <w:rsid w:val="004973F5"/>
    <w:rsid w:val="00497852"/>
    <w:rsid w:val="00497A9F"/>
    <w:rsid w:val="004A0126"/>
    <w:rsid w:val="004A07F7"/>
    <w:rsid w:val="004A0ECD"/>
    <w:rsid w:val="004A1C0C"/>
    <w:rsid w:val="004A1CD6"/>
    <w:rsid w:val="004A2564"/>
    <w:rsid w:val="004A2A63"/>
    <w:rsid w:val="004A2D22"/>
    <w:rsid w:val="004A2D2E"/>
    <w:rsid w:val="004A356E"/>
    <w:rsid w:val="004A3D26"/>
    <w:rsid w:val="004A41B6"/>
    <w:rsid w:val="004A4350"/>
    <w:rsid w:val="004A44BD"/>
    <w:rsid w:val="004A53EE"/>
    <w:rsid w:val="004A5EFE"/>
    <w:rsid w:val="004A6CB7"/>
    <w:rsid w:val="004A7026"/>
    <w:rsid w:val="004A7699"/>
    <w:rsid w:val="004A7918"/>
    <w:rsid w:val="004A7A58"/>
    <w:rsid w:val="004B0400"/>
    <w:rsid w:val="004B074A"/>
    <w:rsid w:val="004B0BDC"/>
    <w:rsid w:val="004B0E05"/>
    <w:rsid w:val="004B0F83"/>
    <w:rsid w:val="004B1E81"/>
    <w:rsid w:val="004B2484"/>
    <w:rsid w:val="004B287C"/>
    <w:rsid w:val="004B2D6F"/>
    <w:rsid w:val="004B2DC8"/>
    <w:rsid w:val="004B2DDA"/>
    <w:rsid w:val="004B302B"/>
    <w:rsid w:val="004B30A1"/>
    <w:rsid w:val="004B31CF"/>
    <w:rsid w:val="004B3AF7"/>
    <w:rsid w:val="004B3D93"/>
    <w:rsid w:val="004B43DF"/>
    <w:rsid w:val="004B4C53"/>
    <w:rsid w:val="004B55D6"/>
    <w:rsid w:val="004B55F3"/>
    <w:rsid w:val="004B5713"/>
    <w:rsid w:val="004B58E7"/>
    <w:rsid w:val="004B5C1E"/>
    <w:rsid w:val="004B5F2E"/>
    <w:rsid w:val="004B6847"/>
    <w:rsid w:val="004B70BB"/>
    <w:rsid w:val="004B72F6"/>
    <w:rsid w:val="004C0667"/>
    <w:rsid w:val="004C0A03"/>
    <w:rsid w:val="004C18E7"/>
    <w:rsid w:val="004C1CA3"/>
    <w:rsid w:val="004C2569"/>
    <w:rsid w:val="004C3338"/>
    <w:rsid w:val="004C38EE"/>
    <w:rsid w:val="004C3A56"/>
    <w:rsid w:val="004C3FBC"/>
    <w:rsid w:val="004C4957"/>
    <w:rsid w:val="004C59A3"/>
    <w:rsid w:val="004C6158"/>
    <w:rsid w:val="004C6BD8"/>
    <w:rsid w:val="004C7040"/>
    <w:rsid w:val="004D0A47"/>
    <w:rsid w:val="004D0A9C"/>
    <w:rsid w:val="004D1155"/>
    <w:rsid w:val="004D13F1"/>
    <w:rsid w:val="004D247F"/>
    <w:rsid w:val="004D2834"/>
    <w:rsid w:val="004D3486"/>
    <w:rsid w:val="004D375B"/>
    <w:rsid w:val="004D3E2F"/>
    <w:rsid w:val="004D4023"/>
    <w:rsid w:val="004D5DCF"/>
    <w:rsid w:val="004D5DEC"/>
    <w:rsid w:val="004D5F5C"/>
    <w:rsid w:val="004D6A62"/>
    <w:rsid w:val="004D71D6"/>
    <w:rsid w:val="004D7CB4"/>
    <w:rsid w:val="004D7D8D"/>
    <w:rsid w:val="004E03A8"/>
    <w:rsid w:val="004E0AE0"/>
    <w:rsid w:val="004E0E26"/>
    <w:rsid w:val="004E217A"/>
    <w:rsid w:val="004E2268"/>
    <w:rsid w:val="004E24B4"/>
    <w:rsid w:val="004E274F"/>
    <w:rsid w:val="004E3046"/>
    <w:rsid w:val="004E35AE"/>
    <w:rsid w:val="004E3703"/>
    <w:rsid w:val="004E3D6A"/>
    <w:rsid w:val="004E46BF"/>
    <w:rsid w:val="004E4AE9"/>
    <w:rsid w:val="004E4F86"/>
    <w:rsid w:val="004E505E"/>
    <w:rsid w:val="004E5121"/>
    <w:rsid w:val="004E5F12"/>
    <w:rsid w:val="004E61BD"/>
    <w:rsid w:val="004E6E26"/>
    <w:rsid w:val="004E7A77"/>
    <w:rsid w:val="004F0369"/>
    <w:rsid w:val="004F07D3"/>
    <w:rsid w:val="004F0FAA"/>
    <w:rsid w:val="004F135B"/>
    <w:rsid w:val="004F189F"/>
    <w:rsid w:val="004F28F4"/>
    <w:rsid w:val="004F40A8"/>
    <w:rsid w:val="004F42C1"/>
    <w:rsid w:val="004F4519"/>
    <w:rsid w:val="004F5463"/>
    <w:rsid w:val="004F66EA"/>
    <w:rsid w:val="004F6E4C"/>
    <w:rsid w:val="004F71F4"/>
    <w:rsid w:val="004F79C0"/>
    <w:rsid w:val="004F7DF6"/>
    <w:rsid w:val="005003F8"/>
    <w:rsid w:val="00500925"/>
    <w:rsid w:val="0050203C"/>
    <w:rsid w:val="005021AE"/>
    <w:rsid w:val="00502575"/>
    <w:rsid w:val="00502CD7"/>
    <w:rsid w:val="00503398"/>
    <w:rsid w:val="00503A02"/>
    <w:rsid w:val="00503A4D"/>
    <w:rsid w:val="00503B34"/>
    <w:rsid w:val="005048F7"/>
    <w:rsid w:val="00504E42"/>
    <w:rsid w:val="00504E5B"/>
    <w:rsid w:val="00504FDC"/>
    <w:rsid w:val="005053F8"/>
    <w:rsid w:val="005058D3"/>
    <w:rsid w:val="005068E2"/>
    <w:rsid w:val="00507031"/>
    <w:rsid w:val="0050727E"/>
    <w:rsid w:val="0050760A"/>
    <w:rsid w:val="00507D2C"/>
    <w:rsid w:val="00507D53"/>
    <w:rsid w:val="00510217"/>
    <w:rsid w:val="005104C2"/>
    <w:rsid w:val="00510863"/>
    <w:rsid w:val="00510C57"/>
    <w:rsid w:val="00511A96"/>
    <w:rsid w:val="00511DEE"/>
    <w:rsid w:val="00512AB0"/>
    <w:rsid w:val="00512C6D"/>
    <w:rsid w:val="00512E90"/>
    <w:rsid w:val="00513D65"/>
    <w:rsid w:val="00514387"/>
    <w:rsid w:val="005143C1"/>
    <w:rsid w:val="00514735"/>
    <w:rsid w:val="00514D11"/>
    <w:rsid w:val="005151C7"/>
    <w:rsid w:val="00515512"/>
    <w:rsid w:val="00516CDC"/>
    <w:rsid w:val="005211FC"/>
    <w:rsid w:val="005213C5"/>
    <w:rsid w:val="00521C1C"/>
    <w:rsid w:val="00522127"/>
    <w:rsid w:val="00522467"/>
    <w:rsid w:val="00522469"/>
    <w:rsid w:val="00522AA6"/>
    <w:rsid w:val="00522C58"/>
    <w:rsid w:val="00522C82"/>
    <w:rsid w:val="005234B9"/>
    <w:rsid w:val="00523D5E"/>
    <w:rsid w:val="00523FCF"/>
    <w:rsid w:val="005241D1"/>
    <w:rsid w:val="00524B64"/>
    <w:rsid w:val="00524E78"/>
    <w:rsid w:val="00524E7B"/>
    <w:rsid w:val="00524FA0"/>
    <w:rsid w:val="00525350"/>
    <w:rsid w:val="00525669"/>
    <w:rsid w:val="00525D15"/>
    <w:rsid w:val="00525FF8"/>
    <w:rsid w:val="0052614B"/>
    <w:rsid w:val="00526993"/>
    <w:rsid w:val="00526BE3"/>
    <w:rsid w:val="00526C42"/>
    <w:rsid w:val="00527682"/>
    <w:rsid w:val="00527A11"/>
    <w:rsid w:val="00527D20"/>
    <w:rsid w:val="0053094E"/>
    <w:rsid w:val="00530D4A"/>
    <w:rsid w:val="00530F8E"/>
    <w:rsid w:val="005318A9"/>
    <w:rsid w:val="00531908"/>
    <w:rsid w:val="00531A90"/>
    <w:rsid w:val="00531B9D"/>
    <w:rsid w:val="0053215F"/>
    <w:rsid w:val="00532615"/>
    <w:rsid w:val="005326D8"/>
    <w:rsid w:val="00532825"/>
    <w:rsid w:val="00533BA6"/>
    <w:rsid w:val="00533DC0"/>
    <w:rsid w:val="005342ED"/>
    <w:rsid w:val="0053439B"/>
    <w:rsid w:val="0053550B"/>
    <w:rsid w:val="005357A1"/>
    <w:rsid w:val="005358B7"/>
    <w:rsid w:val="005358CF"/>
    <w:rsid w:val="00536170"/>
    <w:rsid w:val="00536D77"/>
    <w:rsid w:val="00537264"/>
    <w:rsid w:val="005377D1"/>
    <w:rsid w:val="0053798D"/>
    <w:rsid w:val="00537F87"/>
    <w:rsid w:val="00541056"/>
    <w:rsid w:val="005411B6"/>
    <w:rsid w:val="00541864"/>
    <w:rsid w:val="0054221B"/>
    <w:rsid w:val="005426C4"/>
    <w:rsid w:val="00542BC8"/>
    <w:rsid w:val="00543CF7"/>
    <w:rsid w:val="0054430B"/>
    <w:rsid w:val="005445C6"/>
    <w:rsid w:val="00544DAD"/>
    <w:rsid w:val="00545817"/>
    <w:rsid w:val="005458F4"/>
    <w:rsid w:val="005458F8"/>
    <w:rsid w:val="00545A06"/>
    <w:rsid w:val="00545E65"/>
    <w:rsid w:val="00546095"/>
    <w:rsid w:val="00546352"/>
    <w:rsid w:val="00546454"/>
    <w:rsid w:val="00546764"/>
    <w:rsid w:val="00546CDA"/>
    <w:rsid w:val="00546EAC"/>
    <w:rsid w:val="005471AF"/>
    <w:rsid w:val="0054728D"/>
    <w:rsid w:val="00547EA1"/>
    <w:rsid w:val="00550402"/>
    <w:rsid w:val="0055090B"/>
    <w:rsid w:val="00550A94"/>
    <w:rsid w:val="00551A3D"/>
    <w:rsid w:val="00551EA1"/>
    <w:rsid w:val="00552895"/>
    <w:rsid w:val="0055330C"/>
    <w:rsid w:val="005541D8"/>
    <w:rsid w:val="00554279"/>
    <w:rsid w:val="0055458D"/>
    <w:rsid w:val="00554CB0"/>
    <w:rsid w:val="00554D04"/>
    <w:rsid w:val="005552F3"/>
    <w:rsid w:val="00555434"/>
    <w:rsid w:val="0055545B"/>
    <w:rsid w:val="005555ED"/>
    <w:rsid w:val="00555D45"/>
    <w:rsid w:val="005568F3"/>
    <w:rsid w:val="0055695A"/>
    <w:rsid w:val="00556CFD"/>
    <w:rsid w:val="00557329"/>
    <w:rsid w:val="00560BE6"/>
    <w:rsid w:val="00560F91"/>
    <w:rsid w:val="0056140E"/>
    <w:rsid w:val="00561912"/>
    <w:rsid w:val="00561C8C"/>
    <w:rsid w:val="00561D4A"/>
    <w:rsid w:val="00561F22"/>
    <w:rsid w:val="00562416"/>
    <w:rsid w:val="005624E1"/>
    <w:rsid w:val="0056336D"/>
    <w:rsid w:val="00563CF3"/>
    <w:rsid w:val="00563DC0"/>
    <w:rsid w:val="00563F01"/>
    <w:rsid w:val="0056446F"/>
    <w:rsid w:val="00564B9C"/>
    <w:rsid w:val="00565312"/>
    <w:rsid w:val="00565CB9"/>
    <w:rsid w:val="00565F82"/>
    <w:rsid w:val="00566292"/>
    <w:rsid w:val="005673BF"/>
    <w:rsid w:val="00567FD5"/>
    <w:rsid w:val="00570441"/>
    <w:rsid w:val="005706D9"/>
    <w:rsid w:val="005709E1"/>
    <w:rsid w:val="00570F09"/>
    <w:rsid w:val="00571B95"/>
    <w:rsid w:val="00571EC4"/>
    <w:rsid w:val="00571EC7"/>
    <w:rsid w:val="00572307"/>
    <w:rsid w:val="00572415"/>
    <w:rsid w:val="005725CC"/>
    <w:rsid w:val="00572621"/>
    <w:rsid w:val="00572A5D"/>
    <w:rsid w:val="00573461"/>
    <w:rsid w:val="00573A46"/>
    <w:rsid w:val="005741CE"/>
    <w:rsid w:val="00575A70"/>
    <w:rsid w:val="00576432"/>
    <w:rsid w:val="00576497"/>
    <w:rsid w:val="005767DB"/>
    <w:rsid w:val="005769C8"/>
    <w:rsid w:val="00576D7D"/>
    <w:rsid w:val="00576F81"/>
    <w:rsid w:val="00577468"/>
    <w:rsid w:val="005777D7"/>
    <w:rsid w:val="00577CD3"/>
    <w:rsid w:val="00577F36"/>
    <w:rsid w:val="00580E38"/>
    <w:rsid w:val="0058130E"/>
    <w:rsid w:val="00581ACB"/>
    <w:rsid w:val="00581CAA"/>
    <w:rsid w:val="00581F31"/>
    <w:rsid w:val="00581FBF"/>
    <w:rsid w:val="005820DE"/>
    <w:rsid w:val="00582270"/>
    <w:rsid w:val="00582A57"/>
    <w:rsid w:val="00582C08"/>
    <w:rsid w:val="005838E5"/>
    <w:rsid w:val="00583B6D"/>
    <w:rsid w:val="00583EB9"/>
    <w:rsid w:val="0058406C"/>
    <w:rsid w:val="00584382"/>
    <w:rsid w:val="005844B9"/>
    <w:rsid w:val="005853F6"/>
    <w:rsid w:val="00585886"/>
    <w:rsid w:val="00585DD9"/>
    <w:rsid w:val="00586001"/>
    <w:rsid w:val="005868B7"/>
    <w:rsid w:val="00587048"/>
    <w:rsid w:val="00587084"/>
    <w:rsid w:val="005904AA"/>
    <w:rsid w:val="005906A2"/>
    <w:rsid w:val="00590922"/>
    <w:rsid w:val="00590DCB"/>
    <w:rsid w:val="005911FC"/>
    <w:rsid w:val="00591586"/>
    <w:rsid w:val="0059192A"/>
    <w:rsid w:val="00591EC7"/>
    <w:rsid w:val="0059220B"/>
    <w:rsid w:val="00592579"/>
    <w:rsid w:val="0059395D"/>
    <w:rsid w:val="00593AE0"/>
    <w:rsid w:val="00593F6F"/>
    <w:rsid w:val="00594097"/>
    <w:rsid w:val="00595C18"/>
    <w:rsid w:val="00595EEC"/>
    <w:rsid w:val="00596B86"/>
    <w:rsid w:val="005A0BF4"/>
    <w:rsid w:val="005A12A2"/>
    <w:rsid w:val="005A16D6"/>
    <w:rsid w:val="005A1916"/>
    <w:rsid w:val="005A2B8A"/>
    <w:rsid w:val="005A2F25"/>
    <w:rsid w:val="005A2FB5"/>
    <w:rsid w:val="005A3234"/>
    <w:rsid w:val="005A3CCC"/>
    <w:rsid w:val="005A3F68"/>
    <w:rsid w:val="005A42B3"/>
    <w:rsid w:val="005A4428"/>
    <w:rsid w:val="005A4534"/>
    <w:rsid w:val="005A4E85"/>
    <w:rsid w:val="005A5B56"/>
    <w:rsid w:val="005A7302"/>
    <w:rsid w:val="005A7570"/>
    <w:rsid w:val="005A757E"/>
    <w:rsid w:val="005A785E"/>
    <w:rsid w:val="005A796F"/>
    <w:rsid w:val="005A7C11"/>
    <w:rsid w:val="005B1263"/>
    <w:rsid w:val="005B26B3"/>
    <w:rsid w:val="005B2F68"/>
    <w:rsid w:val="005B484F"/>
    <w:rsid w:val="005B58DF"/>
    <w:rsid w:val="005B5CFA"/>
    <w:rsid w:val="005B6345"/>
    <w:rsid w:val="005B6720"/>
    <w:rsid w:val="005B68FA"/>
    <w:rsid w:val="005B6E78"/>
    <w:rsid w:val="005B76D9"/>
    <w:rsid w:val="005C1395"/>
    <w:rsid w:val="005C16EA"/>
    <w:rsid w:val="005C1B60"/>
    <w:rsid w:val="005C2340"/>
    <w:rsid w:val="005C2790"/>
    <w:rsid w:val="005C29BF"/>
    <w:rsid w:val="005C3408"/>
    <w:rsid w:val="005C356C"/>
    <w:rsid w:val="005C38EB"/>
    <w:rsid w:val="005C3B3B"/>
    <w:rsid w:val="005C3CA5"/>
    <w:rsid w:val="005C405F"/>
    <w:rsid w:val="005C440B"/>
    <w:rsid w:val="005C5214"/>
    <w:rsid w:val="005C56D3"/>
    <w:rsid w:val="005C5F86"/>
    <w:rsid w:val="005C6185"/>
    <w:rsid w:val="005C630F"/>
    <w:rsid w:val="005C79C0"/>
    <w:rsid w:val="005D030D"/>
    <w:rsid w:val="005D0414"/>
    <w:rsid w:val="005D20AC"/>
    <w:rsid w:val="005D20D2"/>
    <w:rsid w:val="005D2775"/>
    <w:rsid w:val="005D309C"/>
    <w:rsid w:val="005D36F3"/>
    <w:rsid w:val="005D3AD1"/>
    <w:rsid w:val="005D3C0A"/>
    <w:rsid w:val="005D47EF"/>
    <w:rsid w:val="005D4AAE"/>
    <w:rsid w:val="005D4D3E"/>
    <w:rsid w:val="005D4F8D"/>
    <w:rsid w:val="005D5027"/>
    <w:rsid w:val="005D5BDB"/>
    <w:rsid w:val="005D6105"/>
    <w:rsid w:val="005D624D"/>
    <w:rsid w:val="005D69A5"/>
    <w:rsid w:val="005D6A99"/>
    <w:rsid w:val="005D7A92"/>
    <w:rsid w:val="005E03E5"/>
    <w:rsid w:val="005E1920"/>
    <w:rsid w:val="005E194C"/>
    <w:rsid w:val="005E214D"/>
    <w:rsid w:val="005E22F1"/>
    <w:rsid w:val="005E27FF"/>
    <w:rsid w:val="005E28E8"/>
    <w:rsid w:val="005E2B8A"/>
    <w:rsid w:val="005E31B2"/>
    <w:rsid w:val="005E3836"/>
    <w:rsid w:val="005E3D28"/>
    <w:rsid w:val="005E4559"/>
    <w:rsid w:val="005E4D9E"/>
    <w:rsid w:val="005E5017"/>
    <w:rsid w:val="005E53D3"/>
    <w:rsid w:val="005E5540"/>
    <w:rsid w:val="005E57D6"/>
    <w:rsid w:val="005E583C"/>
    <w:rsid w:val="005E597B"/>
    <w:rsid w:val="005E5A89"/>
    <w:rsid w:val="005E5FF9"/>
    <w:rsid w:val="005E65C8"/>
    <w:rsid w:val="005E68E9"/>
    <w:rsid w:val="005E703C"/>
    <w:rsid w:val="005E75E8"/>
    <w:rsid w:val="005E7747"/>
    <w:rsid w:val="005E77DD"/>
    <w:rsid w:val="005F00BC"/>
    <w:rsid w:val="005F01B4"/>
    <w:rsid w:val="005F041D"/>
    <w:rsid w:val="005F04A2"/>
    <w:rsid w:val="005F081E"/>
    <w:rsid w:val="005F0BF0"/>
    <w:rsid w:val="005F11E3"/>
    <w:rsid w:val="005F15FB"/>
    <w:rsid w:val="005F18CC"/>
    <w:rsid w:val="005F243B"/>
    <w:rsid w:val="005F257C"/>
    <w:rsid w:val="005F2D0F"/>
    <w:rsid w:val="005F2DA8"/>
    <w:rsid w:val="005F2E76"/>
    <w:rsid w:val="005F338B"/>
    <w:rsid w:val="005F3512"/>
    <w:rsid w:val="005F3768"/>
    <w:rsid w:val="005F37B2"/>
    <w:rsid w:val="005F401B"/>
    <w:rsid w:val="005F45DF"/>
    <w:rsid w:val="005F56D7"/>
    <w:rsid w:val="005F5866"/>
    <w:rsid w:val="005F58B8"/>
    <w:rsid w:val="005F5929"/>
    <w:rsid w:val="005F5BE1"/>
    <w:rsid w:val="005F6461"/>
    <w:rsid w:val="005F65F5"/>
    <w:rsid w:val="005F6604"/>
    <w:rsid w:val="005F6834"/>
    <w:rsid w:val="005F70A1"/>
    <w:rsid w:val="005F71C9"/>
    <w:rsid w:val="005F7297"/>
    <w:rsid w:val="005F7581"/>
    <w:rsid w:val="005F7811"/>
    <w:rsid w:val="005F7C3A"/>
    <w:rsid w:val="006012B9"/>
    <w:rsid w:val="00601422"/>
    <w:rsid w:val="006014A6"/>
    <w:rsid w:val="00602276"/>
    <w:rsid w:val="00602562"/>
    <w:rsid w:val="00602F92"/>
    <w:rsid w:val="00603791"/>
    <w:rsid w:val="00603CB8"/>
    <w:rsid w:val="00603FC5"/>
    <w:rsid w:val="0060422B"/>
    <w:rsid w:val="006045A0"/>
    <w:rsid w:val="00604E42"/>
    <w:rsid w:val="006050CF"/>
    <w:rsid w:val="00605A53"/>
    <w:rsid w:val="006061C4"/>
    <w:rsid w:val="006062FA"/>
    <w:rsid w:val="00606EE1"/>
    <w:rsid w:val="006072EE"/>
    <w:rsid w:val="00607404"/>
    <w:rsid w:val="006102B6"/>
    <w:rsid w:val="0061145E"/>
    <w:rsid w:val="00612BCB"/>
    <w:rsid w:val="00612CEB"/>
    <w:rsid w:val="00612DC5"/>
    <w:rsid w:val="00613200"/>
    <w:rsid w:val="00613912"/>
    <w:rsid w:val="00613B25"/>
    <w:rsid w:val="00614E1D"/>
    <w:rsid w:val="0061524B"/>
    <w:rsid w:val="00616278"/>
    <w:rsid w:val="00616DC4"/>
    <w:rsid w:val="00617482"/>
    <w:rsid w:val="00617688"/>
    <w:rsid w:val="00617A16"/>
    <w:rsid w:val="00617ADA"/>
    <w:rsid w:val="00617FAE"/>
    <w:rsid w:val="0062053D"/>
    <w:rsid w:val="00620DF0"/>
    <w:rsid w:val="006213EE"/>
    <w:rsid w:val="00622841"/>
    <w:rsid w:val="00622B50"/>
    <w:rsid w:val="00623195"/>
    <w:rsid w:val="006231D3"/>
    <w:rsid w:val="00623727"/>
    <w:rsid w:val="00623807"/>
    <w:rsid w:val="00623F9F"/>
    <w:rsid w:val="00623FDF"/>
    <w:rsid w:val="00624291"/>
    <w:rsid w:val="00624622"/>
    <w:rsid w:val="00625123"/>
    <w:rsid w:val="00625703"/>
    <w:rsid w:val="00625756"/>
    <w:rsid w:val="00625763"/>
    <w:rsid w:val="006257A3"/>
    <w:rsid w:val="00626788"/>
    <w:rsid w:val="0062734C"/>
    <w:rsid w:val="00627531"/>
    <w:rsid w:val="00627586"/>
    <w:rsid w:val="00627EA9"/>
    <w:rsid w:val="00630528"/>
    <w:rsid w:val="0063058E"/>
    <w:rsid w:val="00630758"/>
    <w:rsid w:val="00631CC7"/>
    <w:rsid w:val="006322B5"/>
    <w:rsid w:val="006326E5"/>
    <w:rsid w:val="00633937"/>
    <w:rsid w:val="00633E73"/>
    <w:rsid w:val="006340EE"/>
    <w:rsid w:val="00635A7C"/>
    <w:rsid w:val="006367A7"/>
    <w:rsid w:val="006367EC"/>
    <w:rsid w:val="00636ADD"/>
    <w:rsid w:val="006372B8"/>
    <w:rsid w:val="00640645"/>
    <w:rsid w:val="006408BB"/>
    <w:rsid w:val="00640B08"/>
    <w:rsid w:val="00640B7C"/>
    <w:rsid w:val="00640D57"/>
    <w:rsid w:val="00641054"/>
    <w:rsid w:val="006411AB"/>
    <w:rsid w:val="00641749"/>
    <w:rsid w:val="006419F1"/>
    <w:rsid w:val="0064220D"/>
    <w:rsid w:val="00642697"/>
    <w:rsid w:val="00642BA6"/>
    <w:rsid w:val="00643069"/>
    <w:rsid w:val="00643704"/>
    <w:rsid w:val="00643841"/>
    <w:rsid w:val="00643933"/>
    <w:rsid w:val="00643B9F"/>
    <w:rsid w:val="00643C7D"/>
    <w:rsid w:val="00644996"/>
    <w:rsid w:val="00644F97"/>
    <w:rsid w:val="006455DF"/>
    <w:rsid w:val="00645603"/>
    <w:rsid w:val="006459D9"/>
    <w:rsid w:val="00645F0D"/>
    <w:rsid w:val="00646962"/>
    <w:rsid w:val="00646F33"/>
    <w:rsid w:val="00647050"/>
    <w:rsid w:val="006473FB"/>
    <w:rsid w:val="0064792F"/>
    <w:rsid w:val="0065014B"/>
    <w:rsid w:val="00650B9C"/>
    <w:rsid w:val="00651316"/>
    <w:rsid w:val="00652ABB"/>
    <w:rsid w:val="00652DC7"/>
    <w:rsid w:val="00652DCE"/>
    <w:rsid w:val="00652E6F"/>
    <w:rsid w:val="00652FDA"/>
    <w:rsid w:val="0065394B"/>
    <w:rsid w:val="00653A6B"/>
    <w:rsid w:val="00654472"/>
    <w:rsid w:val="00654A43"/>
    <w:rsid w:val="0065505D"/>
    <w:rsid w:val="00655D64"/>
    <w:rsid w:val="00656923"/>
    <w:rsid w:val="006569C4"/>
    <w:rsid w:val="00657359"/>
    <w:rsid w:val="006576F9"/>
    <w:rsid w:val="00657B74"/>
    <w:rsid w:val="00657B95"/>
    <w:rsid w:val="00657CB7"/>
    <w:rsid w:val="006601C8"/>
    <w:rsid w:val="00660888"/>
    <w:rsid w:val="006608F4"/>
    <w:rsid w:val="00660C86"/>
    <w:rsid w:val="00660EB0"/>
    <w:rsid w:val="006617E1"/>
    <w:rsid w:val="006632E0"/>
    <w:rsid w:val="0066364D"/>
    <w:rsid w:val="0066440D"/>
    <w:rsid w:val="006644AD"/>
    <w:rsid w:val="00664520"/>
    <w:rsid w:val="00664C3E"/>
    <w:rsid w:val="00664E1D"/>
    <w:rsid w:val="00664EB2"/>
    <w:rsid w:val="00665296"/>
    <w:rsid w:val="00665AAC"/>
    <w:rsid w:val="00665D3F"/>
    <w:rsid w:val="006662EC"/>
    <w:rsid w:val="00666362"/>
    <w:rsid w:val="0066644A"/>
    <w:rsid w:val="00667EDC"/>
    <w:rsid w:val="00667FB1"/>
    <w:rsid w:val="0067106B"/>
    <w:rsid w:val="00671C75"/>
    <w:rsid w:val="00672970"/>
    <w:rsid w:val="00673979"/>
    <w:rsid w:val="006746AE"/>
    <w:rsid w:val="00674E1E"/>
    <w:rsid w:val="00675055"/>
    <w:rsid w:val="006751F1"/>
    <w:rsid w:val="0067580E"/>
    <w:rsid w:val="00675866"/>
    <w:rsid w:val="0067681F"/>
    <w:rsid w:val="00676941"/>
    <w:rsid w:val="00676BC1"/>
    <w:rsid w:val="00677535"/>
    <w:rsid w:val="006776D0"/>
    <w:rsid w:val="0067773E"/>
    <w:rsid w:val="00677B49"/>
    <w:rsid w:val="00677E4F"/>
    <w:rsid w:val="00677EA3"/>
    <w:rsid w:val="00680741"/>
    <w:rsid w:val="00680F7B"/>
    <w:rsid w:val="00681023"/>
    <w:rsid w:val="0068160B"/>
    <w:rsid w:val="00683409"/>
    <w:rsid w:val="006836D7"/>
    <w:rsid w:val="0068377A"/>
    <w:rsid w:val="00683D70"/>
    <w:rsid w:val="0068418A"/>
    <w:rsid w:val="00684647"/>
    <w:rsid w:val="00684C75"/>
    <w:rsid w:val="006853CB"/>
    <w:rsid w:val="00685B5D"/>
    <w:rsid w:val="00685D8C"/>
    <w:rsid w:val="00686183"/>
    <w:rsid w:val="00686231"/>
    <w:rsid w:val="00686F41"/>
    <w:rsid w:val="00687008"/>
    <w:rsid w:val="00687048"/>
    <w:rsid w:val="00687235"/>
    <w:rsid w:val="00687497"/>
    <w:rsid w:val="00687F41"/>
    <w:rsid w:val="006908E0"/>
    <w:rsid w:val="0069135F"/>
    <w:rsid w:val="006916E0"/>
    <w:rsid w:val="006927F7"/>
    <w:rsid w:val="00692DE5"/>
    <w:rsid w:val="006934CD"/>
    <w:rsid w:val="0069415F"/>
    <w:rsid w:val="00694445"/>
    <w:rsid w:val="006945DB"/>
    <w:rsid w:val="00694795"/>
    <w:rsid w:val="0069490A"/>
    <w:rsid w:val="00694FE7"/>
    <w:rsid w:val="00695100"/>
    <w:rsid w:val="00695310"/>
    <w:rsid w:val="006958C0"/>
    <w:rsid w:val="00696888"/>
    <w:rsid w:val="006968C1"/>
    <w:rsid w:val="006972C9"/>
    <w:rsid w:val="00697712"/>
    <w:rsid w:val="00697A85"/>
    <w:rsid w:val="00697B7C"/>
    <w:rsid w:val="00697E37"/>
    <w:rsid w:val="006A1513"/>
    <w:rsid w:val="006A19A1"/>
    <w:rsid w:val="006A2440"/>
    <w:rsid w:val="006A2A26"/>
    <w:rsid w:val="006A2B2F"/>
    <w:rsid w:val="006A3147"/>
    <w:rsid w:val="006A31F5"/>
    <w:rsid w:val="006A3405"/>
    <w:rsid w:val="006A43C8"/>
    <w:rsid w:val="006A459B"/>
    <w:rsid w:val="006A4D3F"/>
    <w:rsid w:val="006A546C"/>
    <w:rsid w:val="006A56EA"/>
    <w:rsid w:val="006A57C6"/>
    <w:rsid w:val="006A63C7"/>
    <w:rsid w:val="006A6B03"/>
    <w:rsid w:val="006A6CAB"/>
    <w:rsid w:val="006A7FFA"/>
    <w:rsid w:val="006B0112"/>
    <w:rsid w:val="006B0410"/>
    <w:rsid w:val="006B0498"/>
    <w:rsid w:val="006B0774"/>
    <w:rsid w:val="006B10E1"/>
    <w:rsid w:val="006B1292"/>
    <w:rsid w:val="006B15BC"/>
    <w:rsid w:val="006B3622"/>
    <w:rsid w:val="006B38C9"/>
    <w:rsid w:val="006B3B14"/>
    <w:rsid w:val="006B3E83"/>
    <w:rsid w:val="006B42EC"/>
    <w:rsid w:val="006B46EF"/>
    <w:rsid w:val="006B47B2"/>
    <w:rsid w:val="006B4CA3"/>
    <w:rsid w:val="006B5379"/>
    <w:rsid w:val="006B5D96"/>
    <w:rsid w:val="006B6437"/>
    <w:rsid w:val="006B6793"/>
    <w:rsid w:val="006B6C33"/>
    <w:rsid w:val="006B726F"/>
    <w:rsid w:val="006B78E4"/>
    <w:rsid w:val="006B796E"/>
    <w:rsid w:val="006B7B99"/>
    <w:rsid w:val="006B7D26"/>
    <w:rsid w:val="006C03A6"/>
    <w:rsid w:val="006C0A5F"/>
    <w:rsid w:val="006C0CB3"/>
    <w:rsid w:val="006C0CCB"/>
    <w:rsid w:val="006C0EAD"/>
    <w:rsid w:val="006C1108"/>
    <w:rsid w:val="006C119C"/>
    <w:rsid w:val="006C16E9"/>
    <w:rsid w:val="006C1907"/>
    <w:rsid w:val="006C2198"/>
    <w:rsid w:val="006C2334"/>
    <w:rsid w:val="006C2F33"/>
    <w:rsid w:val="006C2F3D"/>
    <w:rsid w:val="006C2F59"/>
    <w:rsid w:val="006C31F4"/>
    <w:rsid w:val="006C3C80"/>
    <w:rsid w:val="006C49F7"/>
    <w:rsid w:val="006C4B31"/>
    <w:rsid w:val="006C5343"/>
    <w:rsid w:val="006C5637"/>
    <w:rsid w:val="006C6124"/>
    <w:rsid w:val="006C6422"/>
    <w:rsid w:val="006C6460"/>
    <w:rsid w:val="006C6E29"/>
    <w:rsid w:val="006C74DE"/>
    <w:rsid w:val="006C77F5"/>
    <w:rsid w:val="006C7ACB"/>
    <w:rsid w:val="006C7C21"/>
    <w:rsid w:val="006C7F18"/>
    <w:rsid w:val="006D0704"/>
    <w:rsid w:val="006D0832"/>
    <w:rsid w:val="006D09D4"/>
    <w:rsid w:val="006D0B2D"/>
    <w:rsid w:val="006D0D1A"/>
    <w:rsid w:val="006D0F70"/>
    <w:rsid w:val="006D1467"/>
    <w:rsid w:val="006D20F6"/>
    <w:rsid w:val="006D210D"/>
    <w:rsid w:val="006D237F"/>
    <w:rsid w:val="006D2492"/>
    <w:rsid w:val="006D2591"/>
    <w:rsid w:val="006D2A30"/>
    <w:rsid w:val="006D2A33"/>
    <w:rsid w:val="006D3853"/>
    <w:rsid w:val="006D38D8"/>
    <w:rsid w:val="006D4399"/>
    <w:rsid w:val="006D4897"/>
    <w:rsid w:val="006D4A65"/>
    <w:rsid w:val="006D4D0C"/>
    <w:rsid w:val="006D4DC6"/>
    <w:rsid w:val="006D52A7"/>
    <w:rsid w:val="006D5385"/>
    <w:rsid w:val="006D585E"/>
    <w:rsid w:val="006D6282"/>
    <w:rsid w:val="006D69B6"/>
    <w:rsid w:val="006D6C56"/>
    <w:rsid w:val="006D7293"/>
    <w:rsid w:val="006D7D39"/>
    <w:rsid w:val="006E1069"/>
    <w:rsid w:val="006E1291"/>
    <w:rsid w:val="006E1B12"/>
    <w:rsid w:val="006E1B28"/>
    <w:rsid w:val="006E1F03"/>
    <w:rsid w:val="006E1F8F"/>
    <w:rsid w:val="006E22D3"/>
    <w:rsid w:val="006E2475"/>
    <w:rsid w:val="006E2A62"/>
    <w:rsid w:val="006E2E10"/>
    <w:rsid w:val="006E306F"/>
    <w:rsid w:val="006E3F20"/>
    <w:rsid w:val="006E4904"/>
    <w:rsid w:val="006E4CCD"/>
    <w:rsid w:val="006E5763"/>
    <w:rsid w:val="006E5E66"/>
    <w:rsid w:val="006E61D9"/>
    <w:rsid w:val="006E6CF3"/>
    <w:rsid w:val="006E70E7"/>
    <w:rsid w:val="006E79DC"/>
    <w:rsid w:val="006F0836"/>
    <w:rsid w:val="006F098D"/>
    <w:rsid w:val="006F1B0E"/>
    <w:rsid w:val="006F22F7"/>
    <w:rsid w:val="006F3729"/>
    <w:rsid w:val="006F395F"/>
    <w:rsid w:val="006F4080"/>
    <w:rsid w:val="006F4232"/>
    <w:rsid w:val="006F485B"/>
    <w:rsid w:val="006F5E89"/>
    <w:rsid w:val="006F6073"/>
    <w:rsid w:val="006F708C"/>
    <w:rsid w:val="006F72AC"/>
    <w:rsid w:val="0070003D"/>
    <w:rsid w:val="0070032A"/>
    <w:rsid w:val="00700434"/>
    <w:rsid w:val="007008EF"/>
    <w:rsid w:val="0070167E"/>
    <w:rsid w:val="0070180A"/>
    <w:rsid w:val="00701D03"/>
    <w:rsid w:val="0070330B"/>
    <w:rsid w:val="0070338C"/>
    <w:rsid w:val="007036CC"/>
    <w:rsid w:val="00703990"/>
    <w:rsid w:val="007040FC"/>
    <w:rsid w:val="00704A30"/>
    <w:rsid w:val="00704DB8"/>
    <w:rsid w:val="00705163"/>
    <w:rsid w:val="007053EA"/>
    <w:rsid w:val="00705708"/>
    <w:rsid w:val="007061D4"/>
    <w:rsid w:val="007067D5"/>
    <w:rsid w:val="00706B37"/>
    <w:rsid w:val="00707205"/>
    <w:rsid w:val="00707861"/>
    <w:rsid w:val="00710AB6"/>
    <w:rsid w:val="0071123D"/>
    <w:rsid w:val="007113A4"/>
    <w:rsid w:val="007114A2"/>
    <w:rsid w:val="007115F4"/>
    <w:rsid w:val="007116EB"/>
    <w:rsid w:val="00711B0E"/>
    <w:rsid w:val="00711E5B"/>
    <w:rsid w:val="007124D5"/>
    <w:rsid w:val="00712626"/>
    <w:rsid w:val="00712A8A"/>
    <w:rsid w:val="0071408E"/>
    <w:rsid w:val="007146F2"/>
    <w:rsid w:val="00715069"/>
    <w:rsid w:val="00715D4D"/>
    <w:rsid w:val="00715EB6"/>
    <w:rsid w:val="00716839"/>
    <w:rsid w:val="0071684E"/>
    <w:rsid w:val="00716E1B"/>
    <w:rsid w:val="00717594"/>
    <w:rsid w:val="00717D43"/>
    <w:rsid w:val="00720479"/>
    <w:rsid w:val="00720AC0"/>
    <w:rsid w:val="00721062"/>
    <w:rsid w:val="0072134A"/>
    <w:rsid w:val="0072142A"/>
    <w:rsid w:val="007217DA"/>
    <w:rsid w:val="00721A04"/>
    <w:rsid w:val="00722F62"/>
    <w:rsid w:val="00723165"/>
    <w:rsid w:val="00723667"/>
    <w:rsid w:val="00723E5E"/>
    <w:rsid w:val="007248CB"/>
    <w:rsid w:val="00724C07"/>
    <w:rsid w:val="00725BA3"/>
    <w:rsid w:val="00725C69"/>
    <w:rsid w:val="00725EBF"/>
    <w:rsid w:val="0072601F"/>
    <w:rsid w:val="00726165"/>
    <w:rsid w:val="00726849"/>
    <w:rsid w:val="0072734A"/>
    <w:rsid w:val="007273B4"/>
    <w:rsid w:val="00730C9C"/>
    <w:rsid w:val="00731A00"/>
    <w:rsid w:val="00732222"/>
    <w:rsid w:val="007322BF"/>
    <w:rsid w:val="00732A45"/>
    <w:rsid w:val="00733849"/>
    <w:rsid w:val="00733A21"/>
    <w:rsid w:val="00733A62"/>
    <w:rsid w:val="0073448D"/>
    <w:rsid w:val="0073497F"/>
    <w:rsid w:val="00734FB4"/>
    <w:rsid w:val="007352A0"/>
    <w:rsid w:val="00735A9D"/>
    <w:rsid w:val="0073656A"/>
    <w:rsid w:val="0073667F"/>
    <w:rsid w:val="00736713"/>
    <w:rsid w:val="00736BCF"/>
    <w:rsid w:val="00737B5C"/>
    <w:rsid w:val="00737CD7"/>
    <w:rsid w:val="00737F93"/>
    <w:rsid w:val="007409F8"/>
    <w:rsid w:val="00741047"/>
    <w:rsid w:val="00741355"/>
    <w:rsid w:val="0074167B"/>
    <w:rsid w:val="00741DC1"/>
    <w:rsid w:val="0074263B"/>
    <w:rsid w:val="00742F36"/>
    <w:rsid w:val="007446F0"/>
    <w:rsid w:val="0074486C"/>
    <w:rsid w:val="007449E7"/>
    <w:rsid w:val="00744F50"/>
    <w:rsid w:val="00745B61"/>
    <w:rsid w:val="00745D62"/>
    <w:rsid w:val="00746E97"/>
    <w:rsid w:val="00747F94"/>
    <w:rsid w:val="0075086D"/>
    <w:rsid w:val="00750ECC"/>
    <w:rsid w:val="007510F2"/>
    <w:rsid w:val="0075118D"/>
    <w:rsid w:val="007513B7"/>
    <w:rsid w:val="0075197A"/>
    <w:rsid w:val="00751C6A"/>
    <w:rsid w:val="00751CEA"/>
    <w:rsid w:val="00751D43"/>
    <w:rsid w:val="00752A6A"/>
    <w:rsid w:val="0075337D"/>
    <w:rsid w:val="0075434C"/>
    <w:rsid w:val="00754574"/>
    <w:rsid w:val="00754FA2"/>
    <w:rsid w:val="00755001"/>
    <w:rsid w:val="007554D3"/>
    <w:rsid w:val="00755B02"/>
    <w:rsid w:val="00756B71"/>
    <w:rsid w:val="00756E77"/>
    <w:rsid w:val="0075714F"/>
    <w:rsid w:val="00757D66"/>
    <w:rsid w:val="00760753"/>
    <w:rsid w:val="007616F9"/>
    <w:rsid w:val="00761874"/>
    <w:rsid w:val="007619D0"/>
    <w:rsid w:val="00761A8F"/>
    <w:rsid w:val="00762415"/>
    <w:rsid w:val="00762481"/>
    <w:rsid w:val="00762580"/>
    <w:rsid w:val="00762733"/>
    <w:rsid w:val="007627BF"/>
    <w:rsid w:val="00762ADC"/>
    <w:rsid w:val="007630CB"/>
    <w:rsid w:val="00763293"/>
    <w:rsid w:val="0076367A"/>
    <w:rsid w:val="00763A09"/>
    <w:rsid w:val="00763AA9"/>
    <w:rsid w:val="00763F66"/>
    <w:rsid w:val="00764B08"/>
    <w:rsid w:val="00764D18"/>
    <w:rsid w:val="00765594"/>
    <w:rsid w:val="007659C0"/>
    <w:rsid w:val="0076646E"/>
    <w:rsid w:val="00766714"/>
    <w:rsid w:val="00766C02"/>
    <w:rsid w:val="00766E6C"/>
    <w:rsid w:val="00766FDF"/>
    <w:rsid w:val="00767111"/>
    <w:rsid w:val="00767383"/>
    <w:rsid w:val="007673FC"/>
    <w:rsid w:val="007674EF"/>
    <w:rsid w:val="007677C8"/>
    <w:rsid w:val="00767AFE"/>
    <w:rsid w:val="007700CA"/>
    <w:rsid w:val="007702C1"/>
    <w:rsid w:val="00770771"/>
    <w:rsid w:val="00770DAE"/>
    <w:rsid w:val="00772F47"/>
    <w:rsid w:val="0077325A"/>
    <w:rsid w:val="0077344C"/>
    <w:rsid w:val="0077446C"/>
    <w:rsid w:val="007749D7"/>
    <w:rsid w:val="0077569C"/>
    <w:rsid w:val="0077571F"/>
    <w:rsid w:val="00775A4B"/>
    <w:rsid w:val="00775AE7"/>
    <w:rsid w:val="007762D4"/>
    <w:rsid w:val="0077733D"/>
    <w:rsid w:val="00777D62"/>
    <w:rsid w:val="00780347"/>
    <w:rsid w:val="00780523"/>
    <w:rsid w:val="007809F6"/>
    <w:rsid w:val="00781CA4"/>
    <w:rsid w:val="00781CA7"/>
    <w:rsid w:val="00782060"/>
    <w:rsid w:val="007826F5"/>
    <w:rsid w:val="00782808"/>
    <w:rsid w:val="0078368D"/>
    <w:rsid w:val="00783C78"/>
    <w:rsid w:val="00784FD0"/>
    <w:rsid w:val="00785112"/>
    <w:rsid w:val="00786352"/>
    <w:rsid w:val="00786D94"/>
    <w:rsid w:val="007872B8"/>
    <w:rsid w:val="00787553"/>
    <w:rsid w:val="007875E6"/>
    <w:rsid w:val="007879D4"/>
    <w:rsid w:val="00790016"/>
    <w:rsid w:val="00790E33"/>
    <w:rsid w:val="00790F0F"/>
    <w:rsid w:val="00790FD8"/>
    <w:rsid w:val="0079106A"/>
    <w:rsid w:val="00791716"/>
    <w:rsid w:val="0079280D"/>
    <w:rsid w:val="007928A9"/>
    <w:rsid w:val="0079344C"/>
    <w:rsid w:val="00793D3A"/>
    <w:rsid w:val="00794C30"/>
    <w:rsid w:val="00794C5E"/>
    <w:rsid w:val="00795083"/>
    <w:rsid w:val="00795347"/>
    <w:rsid w:val="007953FC"/>
    <w:rsid w:val="00795AF9"/>
    <w:rsid w:val="00795FFA"/>
    <w:rsid w:val="00796832"/>
    <w:rsid w:val="00796EB8"/>
    <w:rsid w:val="007975FA"/>
    <w:rsid w:val="00797FA0"/>
    <w:rsid w:val="007A0751"/>
    <w:rsid w:val="007A0C0D"/>
    <w:rsid w:val="007A0CC7"/>
    <w:rsid w:val="007A1AF3"/>
    <w:rsid w:val="007A1B69"/>
    <w:rsid w:val="007A3123"/>
    <w:rsid w:val="007A32C9"/>
    <w:rsid w:val="007A3486"/>
    <w:rsid w:val="007A3694"/>
    <w:rsid w:val="007A3B23"/>
    <w:rsid w:val="007A3BBB"/>
    <w:rsid w:val="007A3C1F"/>
    <w:rsid w:val="007A3DBD"/>
    <w:rsid w:val="007A4613"/>
    <w:rsid w:val="007A4717"/>
    <w:rsid w:val="007A4753"/>
    <w:rsid w:val="007A47E7"/>
    <w:rsid w:val="007A4FF3"/>
    <w:rsid w:val="007A5086"/>
    <w:rsid w:val="007A653E"/>
    <w:rsid w:val="007A6A75"/>
    <w:rsid w:val="007A6DE1"/>
    <w:rsid w:val="007A7E0E"/>
    <w:rsid w:val="007B144C"/>
    <w:rsid w:val="007B2986"/>
    <w:rsid w:val="007B2D5B"/>
    <w:rsid w:val="007B31B0"/>
    <w:rsid w:val="007B3FFF"/>
    <w:rsid w:val="007B48C4"/>
    <w:rsid w:val="007B4913"/>
    <w:rsid w:val="007B4C06"/>
    <w:rsid w:val="007B5C6E"/>
    <w:rsid w:val="007B689E"/>
    <w:rsid w:val="007B6EDB"/>
    <w:rsid w:val="007B7114"/>
    <w:rsid w:val="007B72A1"/>
    <w:rsid w:val="007B778C"/>
    <w:rsid w:val="007B7A2B"/>
    <w:rsid w:val="007B7F25"/>
    <w:rsid w:val="007C033B"/>
    <w:rsid w:val="007C05A2"/>
    <w:rsid w:val="007C1390"/>
    <w:rsid w:val="007C1B34"/>
    <w:rsid w:val="007C206C"/>
    <w:rsid w:val="007C20B1"/>
    <w:rsid w:val="007C2F86"/>
    <w:rsid w:val="007C329A"/>
    <w:rsid w:val="007C3681"/>
    <w:rsid w:val="007C3906"/>
    <w:rsid w:val="007C3DB0"/>
    <w:rsid w:val="007C4AB6"/>
    <w:rsid w:val="007C5637"/>
    <w:rsid w:val="007C77B1"/>
    <w:rsid w:val="007C7953"/>
    <w:rsid w:val="007D02A4"/>
    <w:rsid w:val="007D092D"/>
    <w:rsid w:val="007D11E4"/>
    <w:rsid w:val="007D1A38"/>
    <w:rsid w:val="007D2634"/>
    <w:rsid w:val="007D30C7"/>
    <w:rsid w:val="007D31F8"/>
    <w:rsid w:val="007D401F"/>
    <w:rsid w:val="007D4043"/>
    <w:rsid w:val="007D446E"/>
    <w:rsid w:val="007D4F93"/>
    <w:rsid w:val="007D5EDC"/>
    <w:rsid w:val="007D70F2"/>
    <w:rsid w:val="007D74FF"/>
    <w:rsid w:val="007D7AC5"/>
    <w:rsid w:val="007E0198"/>
    <w:rsid w:val="007E1C7B"/>
    <w:rsid w:val="007E361C"/>
    <w:rsid w:val="007E391F"/>
    <w:rsid w:val="007E3B42"/>
    <w:rsid w:val="007E3B94"/>
    <w:rsid w:val="007E43FD"/>
    <w:rsid w:val="007E4753"/>
    <w:rsid w:val="007E47BB"/>
    <w:rsid w:val="007E5086"/>
    <w:rsid w:val="007E5561"/>
    <w:rsid w:val="007E5D2B"/>
    <w:rsid w:val="007E5E30"/>
    <w:rsid w:val="007E625B"/>
    <w:rsid w:val="007E66D7"/>
    <w:rsid w:val="007E6E6E"/>
    <w:rsid w:val="007E7881"/>
    <w:rsid w:val="007E78D1"/>
    <w:rsid w:val="007F0171"/>
    <w:rsid w:val="007F054E"/>
    <w:rsid w:val="007F0D85"/>
    <w:rsid w:val="007F0DE2"/>
    <w:rsid w:val="007F1123"/>
    <w:rsid w:val="007F13B7"/>
    <w:rsid w:val="007F13C9"/>
    <w:rsid w:val="007F1565"/>
    <w:rsid w:val="007F16B4"/>
    <w:rsid w:val="007F1D0F"/>
    <w:rsid w:val="007F20D6"/>
    <w:rsid w:val="007F215D"/>
    <w:rsid w:val="007F313E"/>
    <w:rsid w:val="007F37D2"/>
    <w:rsid w:val="007F3BC3"/>
    <w:rsid w:val="007F43A2"/>
    <w:rsid w:val="007F4A72"/>
    <w:rsid w:val="007F61C8"/>
    <w:rsid w:val="007F6901"/>
    <w:rsid w:val="007F7112"/>
    <w:rsid w:val="007F74C6"/>
    <w:rsid w:val="007F754D"/>
    <w:rsid w:val="007F76FD"/>
    <w:rsid w:val="007F7CDF"/>
    <w:rsid w:val="00800231"/>
    <w:rsid w:val="0080090C"/>
    <w:rsid w:val="00800FBD"/>
    <w:rsid w:val="00801082"/>
    <w:rsid w:val="008019F0"/>
    <w:rsid w:val="00801CF4"/>
    <w:rsid w:val="008020F8"/>
    <w:rsid w:val="0080267A"/>
    <w:rsid w:val="00802939"/>
    <w:rsid w:val="00802D3B"/>
    <w:rsid w:val="00802E65"/>
    <w:rsid w:val="008034A3"/>
    <w:rsid w:val="0080383F"/>
    <w:rsid w:val="00803EC3"/>
    <w:rsid w:val="00804B4D"/>
    <w:rsid w:val="00805010"/>
    <w:rsid w:val="00805EA3"/>
    <w:rsid w:val="008061F8"/>
    <w:rsid w:val="00806239"/>
    <w:rsid w:val="00806762"/>
    <w:rsid w:val="008100B2"/>
    <w:rsid w:val="008102CE"/>
    <w:rsid w:val="008103C3"/>
    <w:rsid w:val="008106BD"/>
    <w:rsid w:val="008108A8"/>
    <w:rsid w:val="00810C36"/>
    <w:rsid w:val="00810CED"/>
    <w:rsid w:val="00810FAE"/>
    <w:rsid w:val="008118CF"/>
    <w:rsid w:val="00811AD9"/>
    <w:rsid w:val="008129B4"/>
    <w:rsid w:val="00812E1C"/>
    <w:rsid w:val="0081319D"/>
    <w:rsid w:val="0081348D"/>
    <w:rsid w:val="00813A4E"/>
    <w:rsid w:val="00813B3B"/>
    <w:rsid w:val="008147EC"/>
    <w:rsid w:val="00814FBD"/>
    <w:rsid w:val="00815970"/>
    <w:rsid w:val="00815A40"/>
    <w:rsid w:val="00815FAC"/>
    <w:rsid w:val="0081668E"/>
    <w:rsid w:val="0081721A"/>
    <w:rsid w:val="008178E2"/>
    <w:rsid w:val="008179D9"/>
    <w:rsid w:val="00817C11"/>
    <w:rsid w:val="008200B4"/>
    <w:rsid w:val="00820956"/>
    <w:rsid w:val="00821926"/>
    <w:rsid w:val="008226BF"/>
    <w:rsid w:val="0082286F"/>
    <w:rsid w:val="008231D6"/>
    <w:rsid w:val="0082346E"/>
    <w:rsid w:val="00823974"/>
    <w:rsid w:val="008239FB"/>
    <w:rsid w:val="00823BE1"/>
    <w:rsid w:val="00823E24"/>
    <w:rsid w:val="00823E77"/>
    <w:rsid w:val="0082617E"/>
    <w:rsid w:val="00826B98"/>
    <w:rsid w:val="00826E23"/>
    <w:rsid w:val="0082737A"/>
    <w:rsid w:val="00827729"/>
    <w:rsid w:val="00830170"/>
    <w:rsid w:val="008306AF"/>
    <w:rsid w:val="00830A68"/>
    <w:rsid w:val="00830CC0"/>
    <w:rsid w:val="00831774"/>
    <w:rsid w:val="00831AB7"/>
    <w:rsid w:val="00831D20"/>
    <w:rsid w:val="008320C3"/>
    <w:rsid w:val="008322C0"/>
    <w:rsid w:val="008323CC"/>
    <w:rsid w:val="008323D8"/>
    <w:rsid w:val="00832E37"/>
    <w:rsid w:val="008333A8"/>
    <w:rsid w:val="008336A9"/>
    <w:rsid w:val="00833AF8"/>
    <w:rsid w:val="00833EA9"/>
    <w:rsid w:val="00833EF9"/>
    <w:rsid w:val="00834009"/>
    <w:rsid w:val="0083450E"/>
    <w:rsid w:val="00834862"/>
    <w:rsid w:val="0083490C"/>
    <w:rsid w:val="00834D8F"/>
    <w:rsid w:val="00834F8A"/>
    <w:rsid w:val="0083595F"/>
    <w:rsid w:val="008359E5"/>
    <w:rsid w:val="0083684A"/>
    <w:rsid w:val="00836913"/>
    <w:rsid w:val="0083696E"/>
    <w:rsid w:val="00836EF9"/>
    <w:rsid w:val="008376A2"/>
    <w:rsid w:val="0083793E"/>
    <w:rsid w:val="00840129"/>
    <w:rsid w:val="00840762"/>
    <w:rsid w:val="00841122"/>
    <w:rsid w:val="00841766"/>
    <w:rsid w:val="00841768"/>
    <w:rsid w:val="00841900"/>
    <w:rsid w:val="00841A2B"/>
    <w:rsid w:val="00841F21"/>
    <w:rsid w:val="0084294E"/>
    <w:rsid w:val="00843472"/>
    <w:rsid w:val="008437FA"/>
    <w:rsid w:val="00843C6F"/>
    <w:rsid w:val="00844615"/>
    <w:rsid w:val="0084545A"/>
    <w:rsid w:val="008457F0"/>
    <w:rsid w:val="00845B30"/>
    <w:rsid w:val="00846170"/>
    <w:rsid w:val="0084617E"/>
    <w:rsid w:val="008469A9"/>
    <w:rsid w:val="00846A64"/>
    <w:rsid w:val="00846B22"/>
    <w:rsid w:val="00847275"/>
    <w:rsid w:val="00847EA9"/>
    <w:rsid w:val="0085014C"/>
    <w:rsid w:val="00850758"/>
    <w:rsid w:val="00850996"/>
    <w:rsid w:val="00851394"/>
    <w:rsid w:val="008514AE"/>
    <w:rsid w:val="008517F9"/>
    <w:rsid w:val="00852F64"/>
    <w:rsid w:val="00852FED"/>
    <w:rsid w:val="0085336B"/>
    <w:rsid w:val="00853678"/>
    <w:rsid w:val="00853BAD"/>
    <w:rsid w:val="00854EC4"/>
    <w:rsid w:val="00854EF9"/>
    <w:rsid w:val="008551AC"/>
    <w:rsid w:val="008556AF"/>
    <w:rsid w:val="008557D4"/>
    <w:rsid w:val="00855EC2"/>
    <w:rsid w:val="008560CE"/>
    <w:rsid w:val="008568B5"/>
    <w:rsid w:val="008568D7"/>
    <w:rsid w:val="00856AC2"/>
    <w:rsid w:val="00856D61"/>
    <w:rsid w:val="008572EE"/>
    <w:rsid w:val="00857A65"/>
    <w:rsid w:val="00860373"/>
    <w:rsid w:val="00860B5B"/>
    <w:rsid w:val="00860F7F"/>
    <w:rsid w:val="008611DE"/>
    <w:rsid w:val="0086121A"/>
    <w:rsid w:val="00861CF5"/>
    <w:rsid w:val="00861E6D"/>
    <w:rsid w:val="008627FB"/>
    <w:rsid w:val="00862D59"/>
    <w:rsid w:val="00862E75"/>
    <w:rsid w:val="008637C3"/>
    <w:rsid w:val="00863BBC"/>
    <w:rsid w:val="00864029"/>
    <w:rsid w:val="008650CB"/>
    <w:rsid w:val="00865E13"/>
    <w:rsid w:val="00865F35"/>
    <w:rsid w:val="0086633A"/>
    <w:rsid w:val="00866CBF"/>
    <w:rsid w:val="00867FB1"/>
    <w:rsid w:val="008702BB"/>
    <w:rsid w:val="00870EB8"/>
    <w:rsid w:val="008716F3"/>
    <w:rsid w:val="00871A8A"/>
    <w:rsid w:val="0087220A"/>
    <w:rsid w:val="0087253E"/>
    <w:rsid w:val="008726D4"/>
    <w:rsid w:val="008728FC"/>
    <w:rsid w:val="00873ADD"/>
    <w:rsid w:val="008752D2"/>
    <w:rsid w:val="0087533D"/>
    <w:rsid w:val="00875461"/>
    <w:rsid w:val="008754A5"/>
    <w:rsid w:val="0087747B"/>
    <w:rsid w:val="008776B6"/>
    <w:rsid w:val="00877A8F"/>
    <w:rsid w:val="00877BC2"/>
    <w:rsid w:val="00881035"/>
    <w:rsid w:val="00881653"/>
    <w:rsid w:val="00881EA7"/>
    <w:rsid w:val="00882758"/>
    <w:rsid w:val="00882B4F"/>
    <w:rsid w:val="00882D74"/>
    <w:rsid w:val="008836CF"/>
    <w:rsid w:val="0088467E"/>
    <w:rsid w:val="00884AB0"/>
    <w:rsid w:val="0088552A"/>
    <w:rsid w:val="00885906"/>
    <w:rsid w:val="008867B3"/>
    <w:rsid w:val="0088680B"/>
    <w:rsid w:val="00886859"/>
    <w:rsid w:val="00886C02"/>
    <w:rsid w:val="00886EA6"/>
    <w:rsid w:val="008872C8"/>
    <w:rsid w:val="008878D5"/>
    <w:rsid w:val="00887F46"/>
    <w:rsid w:val="008900CA"/>
    <w:rsid w:val="0089025D"/>
    <w:rsid w:val="00890405"/>
    <w:rsid w:val="00890BCC"/>
    <w:rsid w:val="008912B7"/>
    <w:rsid w:val="00891515"/>
    <w:rsid w:val="00891965"/>
    <w:rsid w:val="008927D5"/>
    <w:rsid w:val="00892A7E"/>
    <w:rsid w:val="00892B76"/>
    <w:rsid w:val="008938D5"/>
    <w:rsid w:val="00893BE8"/>
    <w:rsid w:val="00894E9D"/>
    <w:rsid w:val="00895042"/>
    <w:rsid w:val="0089589E"/>
    <w:rsid w:val="00895A90"/>
    <w:rsid w:val="008960E1"/>
    <w:rsid w:val="00896598"/>
    <w:rsid w:val="00897737"/>
    <w:rsid w:val="008979C5"/>
    <w:rsid w:val="00897BA5"/>
    <w:rsid w:val="00897FAC"/>
    <w:rsid w:val="008A032A"/>
    <w:rsid w:val="008A0445"/>
    <w:rsid w:val="008A062C"/>
    <w:rsid w:val="008A0BF4"/>
    <w:rsid w:val="008A0DE4"/>
    <w:rsid w:val="008A0FEF"/>
    <w:rsid w:val="008A151B"/>
    <w:rsid w:val="008A1E75"/>
    <w:rsid w:val="008A21D1"/>
    <w:rsid w:val="008A3964"/>
    <w:rsid w:val="008A3EF1"/>
    <w:rsid w:val="008A43D9"/>
    <w:rsid w:val="008A4988"/>
    <w:rsid w:val="008A5788"/>
    <w:rsid w:val="008A5D59"/>
    <w:rsid w:val="008A66E2"/>
    <w:rsid w:val="008A67DF"/>
    <w:rsid w:val="008A6B71"/>
    <w:rsid w:val="008A72F2"/>
    <w:rsid w:val="008A73D6"/>
    <w:rsid w:val="008B04B9"/>
    <w:rsid w:val="008B0580"/>
    <w:rsid w:val="008B0635"/>
    <w:rsid w:val="008B089C"/>
    <w:rsid w:val="008B0960"/>
    <w:rsid w:val="008B0DD5"/>
    <w:rsid w:val="008B0FDD"/>
    <w:rsid w:val="008B1413"/>
    <w:rsid w:val="008B15FC"/>
    <w:rsid w:val="008B221C"/>
    <w:rsid w:val="008B22C1"/>
    <w:rsid w:val="008B22D6"/>
    <w:rsid w:val="008B242E"/>
    <w:rsid w:val="008B2A57"/>
    <w:rsid w:val="008B30BC"/>
    <w:rsid w:val="008B38EF"/>
    <w:rsid w:val="008B39BA"/>
    <w:rsid w:val="008B3B13"/>
    <w:rsid w:val="008B3CD9"/>
    <w:rsid w:val="008B3DD5"/>
    <w:rsid w:val="008B48E1"/>
    <w:rsid w:val="008B53E0"/>
    <w:rsid w:val="008B5D53"/>
    <w:rsid w:val="008B62D6"/>
    <w:rsid w:val="008B63FC"/>
    <w:rsid w:val="008B6719"/>
    <w:rsid w:val="008B6B38"/>
    <w:rsid w:val="008B6D96"/>
    <w:rsid w:val="008B73B0"/>
    <w:rsid w:val="008B7819"/>
    <w:rsid w:val="008B7A22"/>
    <w:rsid w:val="008B7EBA"/>
    <w:rsid w:val="008C03AC"/>
    <w:rsid w:val="008C0C18"/>
    <w:rsid w:val="008C0F8C"/>
    <w:rsid w:val="008C19F8"/>
    <w:rsid w:val="008C2005"/>
    <w:rsid w:val="008C204B"/>
    <w:rsid w:val="008C260B"/>
    <w:rsid w:val="008C2652"/>
    <w:rsid w:val="008C2E7E"/>
    <w:rsid w:val="008C3871"/>
    <w:rsid w:val="008C3ABC"/>
    <w:rsid w:val="008C44AB"/>
    <w:rsid w:val="008C4CB4"/>
    <w:rsid w:val="008C4DCE"/>
    <w:rsid w:val="008C5B88"/>
    <w:rsid w:val="008C5CC7"/>
    <w:rsid w:val="008C5F26"/>
    <w:rsid w:val="008C6B68"/>
    <w:rsid w:val="008C6D98"/>
    <w:rsid w:val="008C6DDD"/>
    <w:rsid w:val="008C795A"/>
    <w:rsid w:val="008D0940"/>
    <w:rsid w:val="008D0C7C"/>
    <w:rsid w:val="008D0E38"/>
    <w:rsid w:val="008D1217"/>
    <w:rsid w:val="008D1443"/>
    <w:rsid w:val="008D18E6"/>
    <w:rsid w:val="008D1B40"/>
    <w:rsid w:val="008D1F0B"/>
    <w:rsid w:val="008D2985"/>
    <w:rsid w:val="008D2D82"/>
    <w:rsid w:val="008D332C"/>
    <w:rsid w:val="008D3F25"/>
    <w:rsid w:val="008D5422"/>
    <w:rsid w:val="008D5A2A"/>
    <w:rsid w:val="008D5B07"/>
    <w:rsid w:val="008D5D2C"/>
    <w:rsid w:val="008D5F56"/>
    <w:rsid w:val="008D665D"/>
    <w:rsid w:val="008D672A"/>
    <w:rsid w:val="008D6EF4"/>
    <w:rsid w:val="008D768B"/>
    <w:rsid w:val="008E1509"/>
    <w:rsid w:val="008E15EF"/>
    <w:rsid w:val="008E25FB"/>
    <w:rsid w:val="008E2C7A"/>
    <w:rsid w:val="008E2CC8"/>
    <w:rsid w:val="008E3106"/>
    <w:rsid w:val="008E31A6"/>
    <w:rsid w:val="008E3B9C"/>
    <w:rsid w:val="008E3DF9"/>
    <w:rsid w:val="008E4409"/>
    <w:rsid w:val="008E46C8"/>
    <w:rsid w:val="008E4C41"/>
    <w:rsid w:val="008E5093"/>
    <w:rsid w:val="008E55A0"/>
    <w:rsid w:val="008E57BC"/>
    <w:rsid w:val="008F0149"/>
    <w:rsid w:val="008F0209"/>
    <w:rsid w:val="008F14CC"/>
    <w:rsid w:val="008F1B78"/>
    <w:rsid w:val="008F1DDA"/>
    <w:rsid w:val="008F22A7"/>
    <w:rsid w:val="008F2542"/>
    <w:rsid w:val="008F275F"/>
    <w:rsid w:val="008F28CF"/>
    <w:rsid w:val="008F297F"/>
    <w:rsid w:val="008F2AD9"/>
    <w:rsid w:val="008F2BBB"/>
    <w:rsid w:val="008F2DD6"/>
    <w:rsid w:val="008F31B9"/>
    <w:rsid w:val="008F3AFD"/>
    <w:rsid w:val="008F3CEE"/>
    <w:rsid w:val="008F43E7"/>
    <w:rsid w:val="008F4865"/>
    <w:rsid w:val="008F4ADB"/>
    <w:rsid w:val="008F4F08"/>
    <w:rsid w:val="008F5D39"/>
    <w:rsid w:val="008F60FB"/>
    <w:rsid w:val="008F6A04"/>
    <w:rsid w:val="008F6A82"/>
    <w:rsid w:val="008F6D1E"/>
    <w:rsid w:val="008F777F"/>
    <w:rsid w:val="00900710"/>
    <w:rsid w:val="0090095B"/>
    <w:rsid w:val="009009FA"/>
    <w:rsid w:val="009013CC"/>
    <w:rsid w:val="009014F1"/>
    <w:rsid w:val="00901A89"/>
    <w:rsid w:val="00901B39"/>
    <w:rsid w:val="00901D58"/>
    <w:rsid w:val="00901DD2"/>
    <w:rsid w:val="00903F35"/>
    <w:rsid w:val="0090443B"/>
    <w:rsid w:val="0090482A"/>
    <w:rsid w:val="00904B35"/>
    <w:rsid w:val="00904BA5"/>
    <w:rsid w:val="00904F7C"/>
    <w:rsid w:val="00905AA4"/>
    <w:rsid w:val="0090621A"/>
    <w:rsid w:val="00906935"/>
    <w:rsid w:val="00906B00"/>
    <w:rsid w:val="00906E6C"/>
    <w:rsid w:val="009100FC"/>
    <w:rsid w:val="009111BD"/>
    <w:rsid w:val="009111BE"/>
    <w:rsid w:val="009114CF"/>
    <w:rsid w:val="00911633"/>
    <w:rsid w:val="009118E8"/>
    <w:rsid w:val="00912173"/>
    <w:rsid w:val="009129F0"/>
    <w:rsid w:val="00912E63"/>
    <w:rsid w:val="0091344F"/>
    <w:rsid w:val="009134A8"/>
    <w:rsid w:val="009141BD"/>
    <w:rsid w:val="009144BD"/>
    <w:rsid w:val="009145C8"/>
    <w:rsid w:val="0091493D"/>
    <w:rsid w:val="00915132"/>
    <w:rsid w:val="0091536B"/>
    <w:rsid w:val="009158E1"/>
    <w:rsid w:val="00915AED"/>
    <w:rsid w:val="00915C84"/>
    <w:rsid w:val="0091634A"/>
    <w:rsid w:val="009166D2"/>
    <w:rsid w:val="0091674A"/>
    <w:rsid w:val="0091692A"/>
    <w:rsid w:val="00916D1E"/>
    <w:rsid w:val="0091719B"/>
    <w:rsid w:val="0091763C"/>
    <w:rsid w:val="00917C73"/>
    <w:rsid w:val="009202BA"/>
    <w:rsid w:val="0092039D"/>
    <w:rsid w:val="00920A4D"/>
    <w:rsid w:val="00920C00"/>
    <w:rsid w:val="00921905"/>
    <w:rsid w:val="00921FAC"/>
    <w:rsid w:val="00922251"/>
    <w:rsid w:val="00922CD2"/>
    <w:rsid w:val="00922D37"/>
    <w:rsid w:val="00922E01"/>
    <w:rsid w:val="00922E61"/>
    <w:rsid w:val="009230E5"/>
    <w:rsid w:val="009233F8"/>
    <w:rsid w:val="00923549"/>
    <w:rsid w:val="0092362E"/>
    <w:rsid w:val="00923D46"/>
    <w:rsid w:val="0092449A"/>
    <w:rsid w:val="009245DF"/>
    <w:rsid w:val="00924BA5"/>
    <w:rsid w:val="0092570A"/>
    <w:rsid w:val="00925CFC"/>
    <w:rsid w:val="009262D6"/>
    <w:rsid w:val="00926E58"/>
    <w:rsid w:val="009278A5"/>
    <w:rsid w:val="00930013"/>
    <w:rsid w:val="009303AD"/>
    <w:rsid w:val="00930F9F"/>
    <w:rsid w:val="0093100B"/>
    <w:rsid w:val="009310AA"/>
    <w:rsid w:val="0093137E"/>
    <w:rsid w:val="009315A2"/>
    <w:rsid w:val="00931C04"/>
    <w:rsid w:val="0093211E"/>
    <w:rsid w:val="009325F1"/>
    <w:rsid w:val="00932749"/>
    <w:rsid w:val="00933159"/>
    <w:rsid w:val="009339CB"/>
    <w:rsid w:val="00934375"/>
    <w:rsid w:val="0093487E"/>
    <w:rsid w:val="00934BF8"/>
    <w:rsid w:val="00935584"/>
    <w:rsid w:val="009364B9"/>
    <w:rsid w:val="00936E04"/>
    <w:rsid w:val="009371D9"/>
    <w:rsid w:val="00937F20"/>
    <w:rsid w:val="0094001B"/>
    <w:rsid w:val="00940D6E"/>
    <w:rsid w:val="00941452"/>
    <w:rsid w:val="009418B5"/>
    <w:rsid w:val="00942697"/>
    <w:rsid w:val="00942813"/>
    <w:rsid w:val="00942A1D"/>
    <w:rsid w:val="00942D11"/>
    <w:rsid w:val="00943005"/>
    <w:rsid w:val="0094371F"/>
    <w:rsid w:val="00943D12"/>
    <w:rsid w:val="00943DA2"/>
    <w:rsid w:val="00943E6A"/>
    <w:rsid w:val="009440A3"/>
    <w:rsid w:val="009442BD"/>
    <w:rsid w:val="00944BB5"/>
    <w:rsid w:val="00944F28"/>
    <w:rsid w:val="00946042"/>
    <w:rsid w:val="009461B0"/>
    <w:rsid w:val="009462EF"/>
    <w:rsid w:val="009465DC"/>
    <w:rsid w:val="00950FB2"/>
    <w:rsid w:val="009511BC"/>
    <w:rsid w:val="0095126D"/>
    <w:rsid w:val="00951ABD"/>
    <w:rsid w:val="00951BB4"/>
    <w:rsid w:val="00951F17"/>
    <w:rsid w:val="009537EF"/>
    <w:rsid w:val="00953822"/>
    <w:rsid w:val="0095396A"/>
    <w:rsid w:val="00953CCF"/>
    <w:rsid w:val="00954010"/>
    <w:rsid w:val="00954100"/>
    <w:rsid w:val="009545D7"/>
    <w:rsid w:val="00955EF4"/>
    <w:rsid w:val="00956227"/>
    <w:rsid w:val="0095646D"/>
    <w:rsid w:val="0095650C"/>
    <w:rsid w:val="00956739"/>
    <w:rsid w:val="00956C5B"/>
    <w:rsid w:val="00956D78"/>
    <w:rsid w:val="00957A94"/>
    <w:rsid w:val="00957C10"/>
    <w:rsid w:val="009612A7"/>
    <w:rsid w:val="00961331"/>
    <w:rsid w:val="009617C2"/>
    <w:rsid w:val="00962BDF"/>
    <w:rsid w:val="00962EE6"/>
    <w:rsid w:val="00964205"/>
    <w:rsid w:val="009644FF"/>
    <w:rsid w:val="00964BDB"/>
    <w:rsid w:val="009651F3"/>
    <w:rsid w:val="009652A2"/>
    <w:rsid w:val="009659D0"/>
    <w:rsid w:val="009673CA"/>
    <w:rsid w:val="00967610"/>
    <w:rsid w:val="009678AC"/>
    <w:rsid w:val="00967BA7"/>
    <w:rsid w:val="0097030F"/>
    <w:rsid w:val="009708A1"/>
    <w:rsid w:val="00971B20"/>
    <w:rsid w:val="009724D2"/>
    <w:rsid w:val="00972E60"/>
    <w:rsid w:val="00973704"/>
    <w:rsid w:val="0097373B"/>
    <w:rsid w:val="00973BF6"/>
    <w:rsid w:val="009740A3"/>
    <w:rsid w:val="00974C00"/>
    <w:rsid w:val="00974C67"/>
    <w:rsid w:val="00974E66"/>
    <w:rsid w:val="00975088"/>
    <w:rsid w:val="009754B0"/>
    <w:rsid w:val="00976C67"/>
    <w:rsid w:val="00976FD3"/>
    <w:rsid w:val="009771A7"/>
    <w:rsid w:val="0097766E"/>
    <w:rsid w:val="00977D5D"/>
    <w:rsid w:val="0098000F"/>
    <w:rsid w:val="00980714"/>
    <w:rsid w:val="00980D6F"/>
    <w:rsid w:val="00981326"/>
    <w:rsid w:val="009815F8"/>
    <w:rsid w:val="00981B88"/>
    <w:rsid w:val="00981D27"/>
    <w:rsid w:val="00982325"/>
    <w:rsid w:val="00982B54"/>
    <w:rsid w:val="00982B82"/>
    <w:rsid w:val="00982ECB"/>
    <w:rsid w:val="009834C9"/>
    <w:rsid w:val="00983738"/>
    <w:rsid w:val="00983DD6"/>
    <w:rsid w:val="00983DDB"/>
    <w:rsid w:val="00983ED0"/>
    <w:rsid w:val="009840F2"/>
    <w:rsid w:val="00985151"/>
    <w:rsid w:val="009853A7"/>
    <w:rsid w:val="00985CDF"/>
    <w:rsid w:val="00985DFB"/>
    <w:rsid w:val="009866FE"/>
    <w:rsid w:val="0098680E"/>
    <w:rsid w:val="00986936"/>
    <w:rsid w:val="00987253"/>
    <w:rsid w:val="009876F0"/>
    <w:rsid w:val="009877C3"/>
    <w:rsid w:val="00987962"/>
    <w:rsid w:val="0099108E"/>
    <w:rsid w:val="009917D6"/>
    <w:rsid w:val="00991A29"/>
    <w:rsid w:val="00991B39"/>
    <w:rsid w:val="0099224F"/>
    <w:rsid w:val="00992635"/>
    <w:rsid w:val="009933E8"/>
    <w:rsid w:val="00993A77"/>
    <w:rsid w:val="00993FAF"/>
    <w:rsid w:val="00994092"/>
    <w:rsid w:val="0099491B"/>
    <w:rsid w:val="0099525F"/>
    <w:rsid w:val="009956E9"/>
    <w:rsid w:val="00996B0D"/>
    <w:rsid w:val="00996B5A"/>
    <w:rsid w:val="0099708E"/>
    <w:rsid w:val="009970B2"/>
    <w:rsid w:val="009978C0"/>
    <w:rsid w:val="00997DFC"/>
    <w:rsid w:val="009A000E"/>
    <w:rsid w:val="009A01DA"/>
    <w:rsid w:val="009A02DF"/>
    <w:rsid w:val="009A0838"/>
    <w:rsid w:val="009A08DB"/>
    <w:rsid w:val="009A0F8E"/>
    <w:rsid w:val="009A12D6"/>
    <w:rsid w:val="009A1739"/>
    <w:rsid w:val="009A200C"/>
    <w:rsid w:val="009A20DC"/>
    <w:rsid w:val="009A261E"/>
    <w:rsid w:val="009A2AB4"/>
    <w:rsid w:val="009A356B"/>
    <w:rsid w:val="009A3AFD"/>
    <w:rsid w:val="009A3B3F"/>
    <w:rsid w:val="009A5DAD"/>
    <w:rsid w:val="009A5E89"/>
    <w:rsid w:val="009A66E3"/>
    <w:rsid w:val="009A68AA"/>
    <w:rsid w:val="009A7088"/>
    <w:rsid w:val="009B033E"/>
    <w:rsid w:val="009B0F95"/>
    <w:rsid w:val="009B1212"/>
    <w:rsid w:val="009B12A1"/>
    <w:rsid w:val="009B183A"/>
    <w:rsid w:val="009B1DEA"/>
    <w:rsid w:val="009B1EA5"/>
    <w:rsid w:val="009B2FE3"/>
    <w:rsid w:val="009B3211"/>
    <w:rsid w:val="009B323F"/>
    <w:rsid w:val="009B35B1"/>
    <w:rsid w:val="009B3877"/>
    <w:rsid w:val="009B5780"/>
    <w:rsid w:val="009B6118"/>
    <w:rsid w:val="009B614B"/>
    <w:rsid w:val="009B639A"/>
    <w:rsid w:val="009B673C"/>
    <w:rsid w:val="009B7745"/>
    <w:rsid w:val="009B785A"/>
    <w:rsid w:val="009B7968"/>
    <w:rsid w:val="009B7C36"/>
    <w:rsid w:val="009C0BB2"/>
    <w:rsid w:val="009C0FCB"/>
    <w:rsid w:val="009C1043"/>
    <w:rsid w:val="009C1426"/>
    <w:rsid w:val="009C1448"/>
    <w:rsid w:val="009C1970"/>
    <w:rsid w:val="009C1977"/>
    <w:rsid w:val="009C28FC"/>
    <w:rsid w:val="009C2BAB"/>
    <w:rsid w:val="009C2E4F"/>
    <w:rsid w:val="009C3CD9"/>
    <w:rsid w:val="009C4560"/>
    <w:rsid w:val="009C4572"/>
    <w:rsid w:val="009C4BDE"/>
    <w:rsid w:val="009C55F5"/>
    <w:rsid w:val="009C5C1A"/>
    <w:rsid w:val="009C6065"/>
    <w:rsid w:val="009C6692"/>
    <w:rsid w:val="009C6D0C"/>
    <w:rsid w:val="009C7726"/>
    <w:rsid w:val="009C79EE"/>
    <w:rsid w:val="009C7E2E"/>
    <w:rsid w:val="009D0155"/>
    <w:rsid w:val="009D1290"/>
    <w:rsid w:val="009D1FCC"/>
    <w:rsid w:val="009D2250"/>
    <w:rsid w:val="009D2839"/>
    <w:rsid w:val="009D2AC2"/>
    <w:rsid w:val="009D2D47"/>
    <w:rsid w:val="009D2DFF"/>
    <w:rsid w:val="009D2ED8"/>
    <w:rsid w:val="009D3206"/>
    <w:rsid w:val="009D3301"/>
    <w:rsid w:val="009D33A4"/>
    <w:rsid w:val="009D3C41"/>
    <w:rsid w:val="009D42A7"/>
    <w:rsid w:val="009D5340"/>
    <w:rsid w:val="009D5C39"/>
    <w:rsid w:val="009D69F2"/>
    <w:rsid w:val="009D7C7B"/>
    <w:rsid w:val="009D7E70"/>
    <w:rsid w:val="009E01E9"/>
    <w:rsid w:val="009E03B2"/>
    <w:rsid w:val="009E041B"/>
    <w:rsid w:val="009E19D8"/>
    <w:rsid w:val="009E1F17"/>
    <w:rsid w:val="009E2BFB"/>
    <w:rsid w:val="009E2DE5"/>
    <w:rsid w:val="009E31B3"/>
    <w:rsid w:val="009E33F7"/>
    <w:rsid w:val="009E3848"/>
    <w:rsid w:val="009E3DCF"/>
    <w:rsid w:val="009E44DD"/>
    <w:rsid w:val="009E4705"/>
    <w:rsid w:val="009E55DF"/>
    <w:rsid w:val="009E5F53"/>
    <w:rsid w:val="009E602F"/>
    <w:rsid w:val="009E6163"/>
    <w:rsid w:val="009E6272"/>
    <w:rsid w:val="009E62D6"/>
    <w:rsid w:val="009E68CB"/>
    <w:rsid w:val="009E6DCB"/>
    <w:rsid w:val="009E71BC"/>
    <w:rsid w:val="009E7340"/>
    <w:rsid w:val="009E73A0"/>
    <w:rsid w:val="009E73D3"/>
    <w:rsid w:val="009E7AA2"/>
    <w:rsid w:val="009E7AB6"/>
    <w:rsid w:val="009F0231"/>
    <w:rsid w:val="009F02F7"/>
    <w:rsid w:val="009F053D"/>
    <w:rsid w:val="009F090E"/>
    <w:rsid w:val="009F0C6B"/>
    <w:rsid w:val="009F16CF"/>
    <w:rsid w:val="009F1DA0"/>
    <w:rsid w:val="009F240A"/>
    <w:rsid w:val="009F244B"/>
    <w:rsid w:val="009F2461"/>
    <w:rsid w:val="009F2E08"/>
    <w:rsid w:val="009F30CD"/>
    <w:rsid w:val="009F34C4"/>
    <w:rsid w:val="009F3972"/>
    <w:rsid w:val="009F3E08"/>
    <w:rsid w:val="009F3E5C"/>
    <w:rsid w:val="009F436B"/>
    <w:rsid w:val="009F46F7"/>
    <w:rsid w:val="009F49CF"/>
    <w:rsid w:val="009F4D5B"/>
    <w:rsid w:val="009F5AD8"/>
    <w:rsid w:val="009F5C67"/>
    <w:rsid w:val="009F5E03"/>
    <w:rsid w:val="009F5F02"/>
    <w:rsid w:val="009F69B5"/>
    <w:rsid w:val="009F6C55"/>
    <w:rsid w:val="009F75FE"/>
    <w:rsid w:val="009F76D5"/>
    <w:rsid w:val="009F7B5E"/>
    <w:rsid w:val="00A00E1C"/>
    <w:rsid w:val="00A0198A"/>
    <w:rsid w:val="00A019AB"/>
    <w:rsid w:val="00A01D52"/>
    <w:rsid w:val="00A02587"/>
    <w:rsid w:val="00A026D7"/>
    <w:rsid w:val="00A02757"/>
    <w:rsid w:val="00A02C37"/>
    <w:rsid w:val="00A02FE2"/>
    <w:rsid w:val="00A03A0F"/>
    <w:rsid w:val="00A03D48"/>
    <w:rsid w:val="00A040DE"/>
    <w:rsid w:val="00A04389"/>
    <w:rsid w:val="00A054B7"/>
    <w:rsid w:val="00A05DC0"/>
    <w:rsid w:val="00A05DF7"/>
    <w:rsid w:val="00A06719"/>
    <w:rsid w:val="00A067AB"/>
    <w:rsid w:val="00A0691B"/>
    <w:rsid w:val="00A06E08"/>
    <w:rsid w:val="00A0772E"/>
    <w:rsid w:val="00A07BE1"/>
    <w:rsid w:val="00A07CF9"/>
    <w:rsid w:val="00A07F42"/>
    <w:rsid w:val="00A100BE"/>
    <w:rsid w:val="00A10209"/>
    <w:rsid w:val="00A10E20"/>
    <w:rsid w:val="00A10F14"/>
    <w:rsid w:val="00A11367"/>
    <w:rsid w:val="00A11404"/>
    <w:rsid w:val="00A11A83"/>
    <w:rsid w:val="00A11AF7"/>
    <w:rsid w:val="00A120E0"/>
    <w:rsid w:val="00A12368"/>
    <w:rsid w:val="00A124C8"/>
    <w:rsid w:val="00A12966"/>
    <w:rsid w:val="00A12DC8"/>
    <w:rsid w:val="00A13077"/>
    <w:rsid w:val="00A1422E"/>
    <w:rsid w:val="00A14BE5"/>
    <w:rsid w:val="00A1528A"/>
    <w:rsid w:val="00A15C28"/>
    <w:rsid w:val="00A1602C"/>
    <w:rsid w:val="00A16820"/>
    <w:rsid w:val="00A17235"/>
    <w:rsid w:val="00A1767A"/>
    <w:rsid w:val="00A17C75"/>
    <w:rsid w:val="00A2051B"/>
    <w:rsid w:val="00A209DB"/>
    <w:rsid w:val="00A20EC8"/>
    <w:rsid w:val="00A2104D"/>
    <w:rsid w:val="00A2274D"/>
    <w:rsid w:val="00A235AF"/>
    <w:rsid w:val="00A235F5"/>
    <w:rsid w:val="00A241A4"/>
    <w:rsid w:val="00A24322"/>
    <w:rsid w:val="00A24801"/>
    <w:rsid w:val="00A250CF"/>
    <w:rsid w:val="00A2598F"/>
    <w:rsid w:val="00A268D7"/>
    <w:rsid w:val="00A268EA"/>
    <w:rsid w:val="00A26D86"/>
    <w:rsid w:val="00A277A2"/>
    <w:rsid w:val="00A27D23"/>
    <w:rsid w:val="00A307DF"/>
    <w:rsid w:val="00A30E39"/>
    <w:rsid w:val="00A314A8"/>
    <w:rsid w:val="00A31566"/>
    <w:rsid w:val="00A31805"/>
    <w:rsid w:val="00A31A27"/>
    <w:rsid w:val="00A31B8D"/>
    <w:rsid w:val="00A31CB4"/>
    <w:rsid w:val="00A32050"/>
    <w:rsid w:val="00A32A24"/>
    <w:rsid w:val="00A33364"/>
    <w:rsid w:val="00A33400"/>
    <w:rsid w:val="00A349B8"/>
    <w:rsid w:val="00A34F40"/>
    <w:rsid w:val="00A36128"/>
    <w:rsid w:val="00A365D4"/>
    <w:rsid w:val="00A367FD"/>
    <w:rsid w:val="00A375E0"/>
    <w:rsid w:val="00A37793"/>
    <w:rsid w:val="00A37987"/>
    <w:rsid w:val="00A41BFF"/>
    <w:rsid w:val="00A421A5"/>
    <w:rsid w:val="00A43177"/>
    <w:rsid w:val="00A43767"/>
    <w:rsid w:val="00A43A25"/>
    <w:rsid w:val="00A44321"/>
    <w:rsid w:val="00A44347"/>
    <w:rsid w:val="00A4533C"/>
    <w:rsid w:val="00A45EAD"/>
    <w:rsid w:val="00A46610"/>
    <w:rsid w:val="00A473E0"/>
    <w:rsid w:val="00A506D8"/>
    <w:rsid w:val="00A508C3"/>
    <w:rsid w:val="00A50AB6"/>
    <w:rsid w:val="00A50B59"/>
    <w:rsid w:val="00A511D0"/>
    <w:rsid w:val="00A51B10"/>
    <w:rsid w:val="00A51F3E"/>
    <w:rsid w:val="00A52355"/>
    <w:rsid w:val="00A52646"/>
    <w:rsid w:val="00A526A4"/>
    <w:rsid w:val="00A52A5B"/>
    <w:rsid w:val="00A5303E"/>
    <w:rsid w:val="00A53431"/>
    <w:rsid w:val="00A5413D"/>
    <w:rsid w:val="00A54280"/>
    <w:rsid w:val="00A54834"/>
    <w:rsid w:val="00A54DBF"/>
    <w:rsid w:val="00A555E4"/>
    <w:rsid w:val="00A56204"/>
    <w:rsid w:val="00A56CBC"/>
    <w:rsid w:val="00A57167"/>
    <w:rsid w:val="00A6014D"/>
    <w:rsid w:val="00A6077F"/>
    <w:rsid w:val="00A60FB1"/>
    <w:rsid w:val="00A6134D"/>
    <w:rsid w:val="00A613CC"/>
    <w:rsid w:val="00A613FD"/>
    <w:rsid w:val="00A6287D"/>
    <w:rsid w:val="00A63ED2"/>
    <w:rsid w:val="00A6415C"/>
    <w:rsid w:val="00A643FA"/>
    <w:rsid w:val="00A6452F"/>
    <w:rsid w:val="00A648FC"/>
    <w:rsid w:val="00A649F0"/>
    <w:rsid w:val="00A65B17"/>
    <w:rsid w:val="00A65EE2"/>
    <w:rsid w:val="00A65F77"/>
    <w:rsid w:val="00A6618C"/>
    <w:rsid w:val="00A6771E"/>
    <w:rsid w:val="00A677BF"/>
    <w:rsid w:val="00A67F59"/>
    <w:rsid w:val="00A701F1"/>
    <w:rsid w:val="00A70222"/>
    <w:rsid w:val="00A705AB"/>
    <w:rsid w:val="00A70BF3"/>
    <w:rsid w:val="00A710C1"/>
    <w:rsid w:val="00A71507"/>
    <w:rsid w:val="00A716C1"/>
    <w:rsid w:val="00A71A25"/>
    <w:rsid w:val="00A71B3B"/>
    <w:rsid w:val="00A71EFA"/>
    <w:rsid w:val="00A726C5"/>
    <w:rsid w:val="00A73016"/>
    <w:rsid w:val="00A7502A"/>
    <w:rsid w:val="00A7580C"/>
    <w:rsid w:val="00A75D71"/>
    <w:rsid w:val="00A76BFA"/>
    <w:rsid w:val="00A778B2"/>
    <w:rsid w:val="00A77B81"/>
    <w:rsid w:val="00A80405"/>
    <w:rsid w:val="00A8140A"/>
    <w:rsid w:val="00A818A6"/>
    <w:rsid w:val="00A81A15"/>
    <w:rsid w:val="00A81B7C"/>
    <w:rsid w:val="00A821DC"/>
    <w:rsid w:val="00A8259A"/>
    <w:rsid w:val="00A8292D"/>
    <w:rsid w:val="00A83C28"/>
    <w:rsid w:val="00A83F10"/>
    <w:rsid w:val="00A841EE"/>
    <w:rsid w:val="00A848A6"/>
    <w:rsid w:val="00A84EF5"/>
    <w:rsid w:val="00A857A3"/>
    <w:rsid w:val="00A86297"/>
    <w:rsid w:val="00A86354"/>
    <w:rsid w:val="00A86A60"/>
    <w:rsid w:val="00A86AEA"/>
    <w:rsid w:val="00A86DB6"/>
    <w:rsid w:val="00A87D15"/>
    <w:rsid w:val="00A87F89"/>
    <w:rsid w:val="00A9018F"/>
    <w:rsid w:val="00A9064E"/>
    <w:rsid w:val="00A91067"/>
    <w:rsid w:val="00A913B6"/>
    <w:rsid w:val="00A91CDC"/>
    <w:rsid w:val="00A92FC3"/>
    <w:rsid w:val="00A93138"/>
    <w:rsid w:val="00A933CD"/>
    <w:rsid w:val="00A94ABC"/>
    <w:rsid w:val="00A9549B"/>
    <w:rsid w:val="00A96576"/>
    <w:rsid w:val="00A96D94"/>
    <w:rsid w:val="00A97A3C"/>
    <w:rsid w:val="00AA027C"/>
    <w:rsid w:val="00AA067D"/>
    <w:rsid w:val="00AA0E4A"/>
    <w:rsid w:val="00AA0F51"/>
    <w:rsid w:val="00AA17AC"/>
    <w:rsid w:val="00AA1DDD"/>
    <w:rsid w:val="00AA2586"/>
    <w:rsid w:val="00AA2A0D"/>
    <w:rsid w:val="00AA32A7"/>
    <w:rsid w:val="00AA33E2"/>
    <w:rsid w:val="00AA3B75"/>
    <w:rsid w:val="00AA3D99"/>
    <w:rsid w:val="00AA3E6F"/>
    <w:rsid w:val="00AA42BB"/>
    <w:rsid w:val="00AA4622"/>
    <w:rsid w:val="00AA4712"/>
    <w:rsid w:val="00AA500C"/>
    <w:rsid w:val="00AA5689"/>
    <w:rsid w:val="00AA59C3"/>
    <w:rsid w:val="00AA5E13"/>
    <w:rsid w:val="00AA5F83"/>
    <w:rsid w:val="00AA5F87"/>
    <w:rsid w:val="00AA696D"/>
    <w:rsid w:val="00AA7A8D"/>
    <w:rsid w:val="00AA7C99"/>
    <w:rsid w:val="00AB003E"/>
    <w:rsid w:val="00AB079E"/>
    <w:rsid w:val="00AB0E00"/>
    <w:rsid w:val="00AB1274"/>
    <w:rsid w:val="00AB1FEB"/>
    <w:rsid w:val="00AB20D4"/>
    <w:rsid w:val="00AB3258"/>
    <w:rsid w:val="00AB3720"/>
    <w:rsid w:val="00AB3DBE"/>
    <w:rsid w:val="00AB3F7A"/>
    <w:rsid w:val="00AB409A"/>
    <w:rsid w:val="00AB48F7"/>
    <w:rsid w:val="00AB4B43"/>
    <w:rsid w:val="00AB5CFA"/>
    <w:rsid w:val="00AB64A8"/>
    <w:rsid w:val="00AB66B9"/>
    <w:rsid w:val="00AB734B"/>
    <w:rsid w:val="00AB73F0"/>
    <w:rsid w:val="00AB744E"/>
    <w:rsid w:val="00AC0320"/>
    <w:rsid w:val="00AC112A"/>
    <w:rsid w:val="00AC1CDE"/>
    <w:rsid w:val="00AC1E50"/>
    <w:rsid w:val="00AC2C35"/>
    <w:rsid w:val="00AC3D25"/>
    <w:rsid w:val="00AC3D89"/>
    <w:rsid w:val="00AC3F77"/>
    <w:rsid w:val="00AC40E3"/>
    <w:rsid w:val="00AC4151"/>
    <w:rsid w:val="00AC4335"/>
    <w:rsid w:val="00AC46AE"/>
    <w:rsid w:val="00AC481E"/>
    <w:rsid w:val="00AC4DFE"/>
    <w:rsid w:val="00AC4F65"/>
    <w:rsid w:val="00AC5756"/>
    <w:rsid w:val="00AC5CFB"/>
    <w:rsid w:val="00AC6297"/>
    <w:rsid w:val="00AC635E"/>
    <w:rsid w:val="00AC690D"/>
    <w:rsid w:val="00AC69F6"/>
    <w:rsid w:val="00AC70C3"/>
    <w:rsid w:val="00AC74B8"/>
    <w:rsid w:val="00AC780E"/>
    <w:rsid w:val="00AC7BD6"/>
    <w:rsid w:val="00AD07D4"/>
    <w:rsid w:val="00AD0A4A"/>
    <w:rsid w:val="00AD1912"/>
    <w:rsid w:val="00AD1A09"/>
    <w:rsid w:val="00AD1C2C"/>
    <w:rsid w:val="00AD1F87"/>
    <w:rsid w:val="00AD1F8E"/>
    <w:rsid w:val="00AD220C"/>
    <w:rsid w:val="00AD301B"/>
    <w:rsid w:val="00AD3A0A"/>
    <w:rsid w:val="00AD3F4E"/>
    <w:rsid w:val="00AD4774"/>
    <w:rsid w:val="00AD552D"/>
    <w:rsid w:val="00AD5CB2"/>
    <w:rsid w:val="00AD6126"/>
    <w:rsid w:val="00AD62E2"/>
    <w:rsid w:val="00AD6633"/>
    <w:rsid w:val="00AD6A49"/>
    <w:rsid w:val="00AD6D3F"/>
    <w:rsid w:val="00AD741B"/>
    <w:rsid w:val="00AD774B"/>
    <w:rsid w:val="00AD7D85"/>
    <w:rsid w:val="00AE0039"/>
    <w:rsid w:val="00AE03E2"/>
    <w:rsid w:val="00AE092C"/>
    <w:rsid w:val="00AE10EF"/>
    <w:rsid w:val="00AE128A"/>
    <w:rsid w:val="00AE22D0"/>
    <w:rsid w:val="00AE23F6"/>
    <w:rsid w:val="00AE31C1"/>
    <w:rsid w:val="00AE3603"/>
    <w:rsid w:val="00AE3855"/>
    <w:rsid w:val="00AE3BCC"/>
    <w:rsid w:val="00AE3D2E"/>
    <w:rsid w:val="00AE4530"/>
    <w:rsid w:val="00AE5161"/>
    <w:rsid w:val="00AE5FFB"/>
    <w:rsid w:val="00AE6258"/>
    <w:rsid w:val="00AE65B6"/>
    <w:rsid w:val="00AE6DA0"/>
    <w:rsid w:val="00AE6EA2"/>
    <w:rsid w:val="00AE74CD"/>
    <w:rsid w:val="00AE7549"/>
    <w:rsid w:val="00AF13D3"/>
    <w:rsid w:val="00AF16AF"/>
    <w:rsid w:val="00AF1980"/>
    <w:rsid w:val="00AF2E87"/>
    <w:rsid w:val="00AF355F"/>
    <w:rsid w:val="00AF3B9B"/>
    <w:rsid w:val="00AF481F"/>
    <w:rsid w:val="00AF4F09"/>
    <w:rsid w:val="00AF4F39"/>
    <w:rsid w:val="00AF66B7"/>
    <w:rsid w:val="00AF6C9A"/>
    <w:rsid w:val="00AF6DED"/>
    <w:rsid w:val="00AF6E37"/>
    <w:rsid w:val="00AF6F03"/>
    <w:rsid w:val="00AF789F"/>
    <w:rsid w:val="00AF794F"/>
    <w:rsid w:val="00B00025"/>
    <w:rsid w:val="00B00693"/>
    <w:rsid w:val="00B0074B"/>
    <w:rsid w:val="00B007D5"/>
    <w:rsid w:val="00B00C6E"/>
    <w:rsid w:val="00B01225"/>
    <w:rsid w:val="00B01DEA"/>
    <w:rsid w:val="00B0264C"/>
    <w:rsid w:val="00B04D79"/>
    <w:rsid w:val="00B05169"/>
    <w:rsid w:val="00B05712"/>
    <w:rsid w:val="00B05B85"/>
    <w:rsid w:val="00B0681D"/>
    <w:rsid w:val="00B06EA0"/>
    <w:rsid w:val="00B07247"/>
    <w:rsid w:val="00B07254"/>
    <w:rsid w:val="00B073D5"/>
    <w:rsid w:val="00B07432"/>
    <w:rsid w:val="00B07C83"/>
    <w:rsid w:val="00B101F9"/>
    <w:rsid w:val="00B10E24"/>
    <w:rsid w:val="00B10F39"/>
    <w:rsid w:val="00B11165"/>
    <w:rsid w:val="00B11925"/>
    <w:rsid w:val="00B11933"/>
    <w:rsid w:val="00B11A86"/>
    <w:rsid w:val="00B11F3A"/>
    <w:rsid w:val="00B129C1"/>
    <w:rsid w:val="00B13F68"/>
    <w:rsid w:val="00B14296"/>
    <w:rsid w:val="00B14682"/>
    <w:rsid w:val="00B14A63"/>
    <w:rsid w:val="00B15128"/>
    <w:rsid w:val="00B15404"/>
    <w:rsid w:val="00B1596F"/>
    <w:rsid w:val="00B15DFE"/>
    <w:rsid w:val="00B15E8A"/>
    <w:rsid w:val="00B1603B"/>
    <w:rsid w:val="00B162D5"/>
    <w:rsid w:val="00B16935"/>
    <w:rsid w:val="00B16E14"/>
    <w:rsid w:val="00B175EB"/>
    <w:rsid w:val="00B17612"/>
    <w:rsid w:val="00B17B73"/>
    <w:rsid w:val="00B17EC6"/>
    <w:rsid w:val="00B2033A"/>
    <w:rsid w:val="00B20666"/>
    <w:rsid w:val="00B20737"/>
    <w:rsid w:val="00B209A3"/>
    <w:rsid w:val="00B222D5"/>
    <w:rsid w:val="00B22666"/>
    <w:rsid w:val="00B22897"/>
    <w:rsid w:val="00B228BE"/>
    <w:rsid w:val="00B24331"/>
    <w:rsid w:val="00B24731"/>
    <w:rsid w:val="00B2572E"/>
    <w:rsid w:val="00B25965"/>
    <w:rsid w:val="00B25B36"/>
    <w:rsid w:val="00B263C5"/>
    <w:rsid w:val="00B26C0B"/>
    <w:rsid w:val="00B277B0"/>
    <w:rsid w:val="00B2799C"/>
    <w:rsid w:val="00B27A12"/>
    <w:rsid w:val="00B27BBC"/>
    <w:rsid w:val="00B3007B"/>
    <w:rsid w:val="00B301FC"/>
    <w:rsid w:val="00B30706"/>
    <w:rsid w:val="00B30823"/>
    <w:rsid w:val="00B30B92"/>
    <w:rsid w:val="00B31793"/>
    <w:rsid w:val="00B32294"/>
    <w:rsid w:val="00B32776"/>
    <w:rsid w:val="00B32C60"/>
    <w:rsid w:val="00B331FD"/>
    <w:rsid w:val="00B33347"/>
    <w:rsid w:val="00B33D3E"/>
    <w:rsid w:val="00B34819"/>
    <w:rsid w:val="00B35073"/>
    <w:rsid w:val="00B356F3"/>
    <w:rsid w:val="00B358B9"/>
    <w:rsid w:val="00B35CA7"/>
    <w:rsid w:val="00B369EF"/>
    <w:rsid w:val="00B36AA5"/>
    <w:rsid w:val="00B371BB"/>
    <w:rsid w:val="00B371CF"/>
    <w:rsid w:val="00B37C25"/>
    <w:rsid w:val="00B37D0A"/>
    <w:rsid w:val="00B4125E"/>
    <w:rsid w:val="00B415F4"/>
    <w:rsid w:val="00B4296B"/>
    <w:rsid w:val="00B43316"/>
    <w:rsid w:val="00B43368"/>
    <w:rsid w:val="00B4339A"/>
    <w:rsid w:val="00B43B1E"/>
    <w:rsid w:val="00B45DE3"/>
    <w:rsid w:val="00B45FAC"/>
    <w:rsid w:val="00B47962"/>
    <w:rsid w:val="00B47DFD"/>
    <w:rsid w:val="00B503F0"/>
    <w:rsid w:val="00B50F9C"/>
    <w:rsid w:val="00B513A6"/>
    <w:rsid w:val="00B51428"/>
    <w:rsid w:val="00B51C0D"/>
    <w:rsid w:val="00B5264B"/>
    <w:rsid w:val="00B52AE2"/>
    <w:rsid w:val="00B5331A"/>
    <w:rsid w:val="00B5353A"/>
    <w:rsid w:val="00B53FC3"/>
    <w:rsid w:val="00B544B8"/>
    <w:rsid w:val="00B54826"/>
    <w:rsid w:val="00B54C19"/>
    <w:rsid w:val="00B55470"/>
    <w:rsid w:val="00B5548F"/>
    <w:rsid w:val="00B56499"/>
    <w:rsid w:val="00B56F83"/>
    <w:rsid w:val="00B57F8C"/>
    <w:rsid w:val="00B60234"/>
    <w:rsid w:val="00B61380"/>
    <w:rsid w:val="00B61BB9"/>
    <w:rsid w:val="00B61F49"/>
    <w:rsid w:val="00B62B89"/>
    <w:rsid w:val="00B634C5"/>
    <w:rsid w:val="00B64221"/>
    <w:rsid w:val="00B644E2"/>
    <w:rsid w:val="00B64F11"/>
    <w:rsid w:val="00B6506B"/>
    <w:rsid w:val="00B65A7C"/>
    <w:rsid w:val="00B66151"/>
    <w:rsid w:val="00B66448"/>
    <w:rsid w:val="00B667F6"/>
    <w:rsid w:val="00B7030D"/>
    <w:rsid w:val="00B71073"/>
    <w:rsid w:val="00B71428"/>
    <w:rsid w:val="00B71C36"/>
    <w:rsid w:val="00B723C8"/>
    <w:rsid w:val="00B7287D"/>
    <w:rsid w:val="00B72BE1"/>
    <w:rsid w:val="00B7303B"/>
    <w:rsid w:val="00B734CD"/>
    <w:rsid w:val="00B73743"/>
    <w:rsid w:val="00B74193"/>
    <w:rsid w:val="00B7437F"/>
    <w:rsid w:val="00B74700"/>
    <w:rsid w:val="00B7475C"/>
    <w:rsid w:val="00B74974"/>
    <w:rsid w:val="00B75105"/>
    <w:rsid w:val="00B75122"/>
    <w:rsid w:val="00B751A1"/>
    <w:rsid w:val="00B75597"/>
    <w:rsid w:val="00B75B25"/>
    <w:rsid w:val="00B75BAF"/>
    <w:rsid w:val="00B75C67"/>
    <w:rsid w:val="00B76C5A"/>
    <w:rsid w:val="00B774E8"/>
    <w:rsid w:val="00B77EA8"/>
    <w:rsid w:val="00B80315"/>
    <w:rsid w:val="00B80834"/>
    <w:rsid w:val="00B80865"/>
    <w:rsid w:val="00B80EAC"/>
    <w:rsid w:val="00B814D4"/>
    <w:rsid w:val="00B81620"/>
    <w:rsid w:val="00B81DE0"/>
    <w:rsid w:val="00B81DFA"/>
    <w:rsid w:val="00B82153"/>
    <w:rsid w:val="00B82288"/>
    <w:rsid w:val="00B83062"/>
    <w:rsid w:val="00B83087"/>
    <w:rsid w:val="00B83703"/>
    <w:rsid w:val="00B83BCD"/>
    <w:rsid w:val="00B83CFF"/>
    <w:rsid w:val="00B8408A"/>
    <w:rsid w:val="00B8466A"/>
    <w:rsid w:val="00B84E5C"/>
    <w:rsid w:val="00B85A0A"/>
    <w:rsid w:val="00B85B2B"/>
    <w:rsid w:val="00B862B5"/>
    <w:rsid w:val="00B87AC6"/>
    <w:rsid w:val="00B87C1F"/>
    <w:rsid w:val="00B87FAE"/>
    <w:rsid w:val="00B902C6"/>
    <w:rsid w:val="00B9035F"/>
    <w:rsid w:val="00B90AAA"/>
    <w:rsid w:val="00B90B7E"/>
    <w:rsid w:val="00B90E42"/>
    <w:rsid w:val="00B920E5"/>
    <w:rsid w:val="00B93000"/>
    <w:rsid w:val="00B93CD4"/>
    <w:rsid w:val="00B94312"/>
    <w:rsid w:val="00B94622"/>
    <w:rsid w:val="00B94C2B"/>
    <w:rsid w:val="00B94CC5"/>
    <w:rsid w:val="00B94FCE"/>
    <w:rsid w:val="00B95A5D"/>
    <w:rsid w:val="00B95C4A"/>
    <w:rsid w:val="00B965C4"/>
    <w:rsid w:val="00B96774"/>
    <w:rsid w:val="00B96A37"/>
    <w:rsid w:val="00B96D98"/>
    <w:rsid w:val="00B96F10"/>
    <w:rsid w:val="00B97E4C"/>
    <w:rsid w:val="00BA06E1"/>
    <w:rsid w:val="00BA09C1"/>
    <w:rsid w:val="00BA0F04"/>
    <w:rsid w:val="00BA1936"/>
    <w:rsid w:val="00BA1B4A"/>
    <w:rsid w:val="00BA25F4"/>
    <w:rsid w:val="00BA2635"/>
    <w:rsid w:val="00BA28BD"/>
    <w:rsid w:val="00BA2A9D"/>
    <w:rsid w:val="00BA2DDA"/>
    <w:rsid w:val="00BA4033"/>
    <w:rsid w:val="00BA416C"/>
    <w:rsid w:val="00BA42CE"/>
    <w:rsid w:val="00BA4C70"/>
    <w:rsid w:val="00BA519F"/>
    <w:rsid w:val="00BA5508"/>
    <w:rsid w:val="00BA55B9"/>
    <w:rsid w:val="00BA56E2"/>
    <w:rsid w:val="00BA5B9B"/>
    <w:rsid w:val="00BA5E05"/>
    <w:rsid w:val="00BA6B0B"/>
    <w:rsid w:val="00BA6FD3"/>
    <w:rsid w:val="00BA79FC"/>
    <w:rsid w:val="00BB0953"/>
    <w:rsid w:val="00BB0A43"/>
    <w:rsid w:val="00BB0BE3"/>
    <w:rsid w:val="00BB0C9E"/>
    <w:rsid w:val="00BB1269"/>
    <w:rsid w:val="00BB15CC"/>
    <w:rsid w:val="00BB16E4"/>
    <w:rsid w:val="00BB17A4"/>
    <w:rsid w:val="00BB2082"/>
    <w:rsid w:val="00BB21C1"/>
    <w:rsid w:val="00BB48A0"/>
    <w:rsid w:val="00BB4C9B"/>
    <w:rsid w:val="00BB523F"/>
    <w:rsid w:val="00BB5440"/>
    <w:rsid w:val="00BB553F"/>
    <w:rsid w:val="00BB57BD"/>
    <w:rsid w:val="00BB6B4B"/>
    <w:rsid w:val="00BB6E6C"/>
    <w:rsid w:val="00BB714E"/>
    <w:rsid w:val="00BB7C8B"/>
    <w:rsid w:val="00BC0006"/>
    <w:rsid w:val="00BC201E"/>
    <w:rsid w:val="00BC318D"/>
    <w:rsid w:val="00BC3322"/>
    <w:rsid w:val="00BC358B"/>
    <w:rsid w:val="00BC38B1"/>
    <w:rsid w:val="00BC3B16"/>
    <w:rsid w:val="00BC420C"/>
    <w:rsid w:val="00BC5C82"/>
    <w:rsid w:val="00BC62DC"/>
    <w:rsid w:val="00BC6395"/>
    <w:rsid w:val="00BC6530"/>
    <w:rsid w:val="00BC6644"/>
    <w:rsid w:val="00BC6768"/>
    <w:rsid w:val="00BC6A41"/>
    <w:rsid w:val="00BC7420"/>
    <w:rsid w:val="00BC77A3"/>
    <w:rsid w:val="00BD00F0"/>
    <w:rsid w:val="00BD178B"/>
    <w:rsid w:val="00BD1845"/>
    <w:rsid w:val="00BD1EDE"/>
    <w:rsid w:val="00BD1FE6"/>
    <w:rsid w:val="00BD2A25"/>
    <w:rsid w:val="00BD30B3"/>
    <w:rsid w:val="00BD3289"/>
    <w:rsid w:val="00BD328A"/>
    <w:rsid w:val="00BD34BB"/>
    <w:rsid w:val="00BD5C6D"/>
    <w:rsid w:val="00BD5CFD"/>
    <w:rsid w:val="00BD64B2"/>
    <w:rsid w:val="00BD6784"/>
    <w:rsid w:val="00BD682C"/>
    <w:rsid w:val="00BD6C06"/>
    <w:rsid w:val="00BD7651"/>
    <w:rsid w:val="00BD781B"/>
    <w:rsid w:val="00BD78C7"/>
    <w:rsid w:val="00BD7908"/>
    <w:rsid w:val="00BE0068"/>
    <w:rsid w:val="00BE02A3"/>
    <w:rsid w:val="00BE0659"/>
    <w:rsid w:val="00BE06C8"/>
    <w:rsid w:val="00BE0928"/>
    <w:rsid w:val="00BE1D96"/>
    <w:rsid w:val="00BE273D"/>
    <w:rsid w:val="00BE2FC1"/>
    <w:rsid w:val="00BE31E3"/>
    <w:rsid w:val="00BE3266"/>
    <w:rsid w:val="00BE32C0"/>
    <w:rsid w:val="00BE3302"/>
    <w:rsid w:val="00BE3340"/>
    <w:rsid w:val="00BE3CE6"/>
    <w:rsid w:val="00BE422A"/>
    <w:rsid w:val="00BE4237"/>
    <w:rsid w:val="00BE485C"/>
    <w:rsid w:val="00BE544E"/>
    <w:rsid w:val="00BE5715"/>
    <w:rsid w:val="00BE5C6F"/>
    <w:rsid w:val="00BE63D9"/>
    <w:rsid w:val="00BE65BA"/>
    <w:rsid w:val="00BE6A75"/>
    <w:rsid w:val="00BE72A1"/>
    <w:rsid w:val="00BE7838"/>
    <w:rsid w:val="00BF09E1"/>
    <w:rsid w:val="00BF1540"/>
    <w:rsid w:val="00BF2797"/>
    <w:rsid w:val="00BF2CFA"/>
    <w:rsid w:val="00BF2D5A"/>
    <w:rsid w:val="00BF2E84"/>
    <w:rsid w:val="00BF3FA4"/>
    <w:rsid w:val="00BF49B6"/>
    <w:rsid w:val="00BF4BEC"/>
    <w:rsid w:val="00BF4C12"/>
    <w:rsid w:val="00BF5A7C"/>
    <w:rsid w:val="00BF617E"/>
    <w:rsid w:val="00BF65F9"/>
    <w:rsid w:val="00BF665E"/>
    <w:rsid w:val="00BF66C8"/>
    <w:rsid w:val="00BF6D0B"/>
    <w:rsid w:val="00BF6FA5"/>
    <w:rsid w:val="00BF710E"/>
    <w:rsid w:val="00BF7469"/>
    <w:rsid w:val="00C00752"/>
    <w:rsid w:val="00C01274"/>
    <w:rsid w:val="00C01D7C"/>
    <w:rsid w:val="00C021FA"/>
    <w:rsid w:val="00C022A2"/>
    <w:rsid w:val="00C027FA"/>
    <w:rsid w:val="00C031A5"/>
    <w:rsid w:val="00C04313"/>
    <w:rsid w:val="00C049F5"/>
    <w:rsid w:val="00C05520"/>
    <w:rsid w:val="00C055A3"/>
    <w:rsid w:val="00C05F0E"/>
    <w:rsid w:val="00C06491"/>
    <w:rsid w:val="00C06888"/>
    <w:rsid w:val="00C06FEF"/>
    <w:rsid w:val="00C07236"/>
    <w:rsid w:val="00C074D7"/>
    <w:rsid w:val="00C07794"/>
    <w:rsid w:val="00C07F29"/>
    <w:rsid w:val="00C10219"/>
    <w:rsid w:val="00C102B7"/>
    <w:rsid w:val="00C10499"/>
    <w:rsid w:val="00C10834"/>
    <w:rsid w:val="00C10EF8"/>
    <w:rsid w:val="00C117C6"/>
    <w:rsid w:val="00C11B4E"/>
    <w:rsid w:val="00C11B81"/>
    <w:rsid w:val="00C120FE"/>
    <w:rsid w:val="00C13220"/>
    <w:rsid w:val="00C13702"/>
    <w:rsid w:val="00C139DB"/>
    <w:rsid w:val="00C14167"/>
    <w:rsid w:val="00C14631"/>
    <w:rsid w:val="00C14BEB"/>
    <w:rsid w:val="00C15280"/>
    <w:rsid w:val="00C15603"/>
    <w:rsid w:val="00C159B3"/>
    <w:rsid w:val="00C16683"/>
    <w:rsid w:val="00C16E96"/>
    <w:rsid w:val="00C177AF"/>
    <w:rsid w:val="00C177B3"/>
    <w:rsid w:val="00C178AB"/>
    <w:rsid w:val="00C178E9"/>
    <w:rsid w:val="00C17F4F"/>
    <w:rsid w:val="00C2056C"/>
    <w:rsid w:val="00C20E93"/>
    <w:rsid w:val="00C20F1B"/>
    <w:rsid w:val="00C21353"/>
    <w:rsid w:val="00C218CE"/>
    <w:rsid w:val="00C2231F"/>
    <w:rsid w:val="00C225F1"/>
    <w:rsid w:val="00C2299D"/>
    <w:rsid w:val="00C2345E"/>
    <w:rsid w:val="00C23595"/>
    <w:rsid w:val="00C236ED"/>
    <w:rsid w:val="00C237EE"/>
    <w:rsid w:val="00C23FB1"/>
    <w:rsid w:val="00C24062"/>
    <w:rsid w:val="00C240C5"/>
    <w:rsid w:val="00C2460E"/>
    <w:rsid w:val="00C25B02"/>
    <w:rsid w:val="00C263AE"/>
    <w:rsid w:val="00C266D9"/>
    <w:rsid w:val="00C26CBC"/>
    <w:rsid w:val="00C26E30"/>
    <w:rsid w:val="00C26FBF"/>
    <w:rsid w:val="00C274A6"/>
    <w:rsid w:val="00C27B2A"/>
    <w:rsid w:val="00C27F87"/>
    <w:rsid w:val="00C30050"/>
    <w:rsid w:val="00C30C51"/>
    <w:rsid w:val="00C30C9D"/>
    <w:rsid w:val="00C30CDC"/>
    <w:rsid w:val="00C30D18"/>
    <w:rsid w:val="00C30E8B"/>
    <w:rsid w:val="00C3135B"/>
    <w:rsid w:val="00C32027"/>
    <w:rsid w:val="00C32048"/>
    <w:rsid w:val="00C32529"/>
    <w:rsid w:val="00C32B20"/>
    <w:rsid w:val="00C32B48"/>
    <w:rsid w:val="00C3333E"/>
    <w:rsid w:val="00C33511"/>
    <w:rsid w:val="00C34185"/>
    <w:rsid w:val="00C3478A"/>
    <w:rsid w:val="00C34BD9"/>
    <w:rsid w:val="00C34E77"/>
    <w:rsid w:val="00C34FEA"/>
    <w:rsid w:val="00C35E39"/>
    <w:rsid w:val="00C364CB"/>
    <w:rsid w:val="00C366FD"/>
    <w:rsid w:val="00C36826"/>
    <w:rsid w:val="00C37644"/>
    <w:rsid w:val="00C40083"/>
    <w:rsid w:val="00C40C09"/>
    <w:rsid w:val="00C41936"/>
    <w:rsid w:val="00C41CE8"/>
    <w:rsid w:val="00C421C3"/>
    <w:rsid w:val="00C42327"/>
    <w:rsid w:val="00C42386"/>
    <w:rsid w:val="00C42D5F"/>
    <w:rsid w:val="00C434C6"/>
    <w:rsid w:val="00C4390B"/>
    <w:rsid w:val="00C43A91"/>
    <w:rsid w:val="00C4499C"/>
    <w:rsid w:val="00C44C9B"/>
    <w:rsid w:val="00C44CDB"/>
    <w:rsid w:val="00C467C5"/>
    <w:rsid w:val="00C469FF"/>
    <w:rsid w:val="00C46B17"/>
    <w:rsid w:val="00C47012"/>
    <w:rsid w:val="00C4741E"/>
    <w:rsid w:val="00C47616"/>
    <w:rsid w:val="00C47A2C"/>
    <w:rsid w:val="00C47A8A"/>
    <w:rsid w:val="00C504D3"/>
    <w:rsid w:val="00C50A12"/>
    <w:rsid w:val="00C50C67"/>
    <w:rsid w:val="00C518BE"/>
    <w:rsid w:val="00C51E2E"/>
    <w:rsid w:val="00C52846"/>
    <w:rsid w:val="00C52EF7"/>
    <w:rsid w:val="00C53655"/>
    <w:rsid w:val="00C53670"/>
    <w:rsid w:val="00C5384F"/>
    <w:rsid w:val="00C53F5D"/>
    <w:rsid w:val="00C548B1"/>
    <w:rsid w:val="00C54B69"/>
    <w:rsid w:val="00C553DD"/>
    <w:rsid w:val="00C55557"/>
    <w:rsid w:val="00C560C9"/>
    <w:rsid w:val="00C5615F"/>
    <w:rsid w:val="00C56A78"/>
    <w:rsid w:val="00C57474"/>
    <w:rsid w:val="00C57F1F"/>
    <w:rsid w:val="00C6004F"/>
    <w:rsid w:val="00C601E6"/>
    <w:rsid w:val="00C60C84"/>
    <w:rsid w:val="00C610F6"/>
    <w:rsid w:val="00C61176"/>
    <w:rsid w:val="00C611B3"/>
    <w:rsid w:val="00C61EDF"/>
    <w:rsid w:val="00C62976"/>
    <w:rsid w:val="00C63258"/>
    <w:rsid w:val="00C63632"/>
    <w:rsid w:val="00C640A3"/>
    <w:rsid w:val="00C6424A"/>
    <w:rsid w:val="00C64394"/>
    <w:rsid w:val="00C6447F"/>
    <w:rsid w:val="00C64770"/>
    <w:rsid w:val="00C64B70"/>
    <w:rsid w:val="00C64FCD"/>
    <w:rsid w:val="00C65153"/>
    <w:rsid w:val="00C656D0"/>
    <w:rsid w:val="00C66F98"/>
    <w:rsid w:val="00C670BE"/>
    <w:rsid w:val="00C67113"/>
    <w:rsid w:val="00C671FA"/>
    <w:rsid w:val="00C6735F"/>
    <w:rsid w:val="00C67EE5"/>
    <w:rsid w:val="00C67F65"/>
    <w:rsid w:val="00C7069D"/>
    <w:rsid w:val="00C70AE8"/>
    <w:rsid w:val="00C70ED7"/>
    <w:rsid w:val="00C7202D"/>
    <w:rsid w:val="00C721BB"/>
    <w:rsid w:val="00C722EA"/>
    <w:rsid w:val="00C731B1"/>
    <w:rsid w:val="00C73750"/>
    <w:rsid w:val="00C7377B"/>
    <w:rsid w:val="00C73D64"/>
    <w:rsid w:val="00C744FB"/>
    <w:rsid w:val="00C745BB"/>
    <w:rsid w:val="00C747E2"/>
    <w:rsid w:val="00C75968"/>
    <w:rsid w:val="00C75AE6"/>
    <w:rsid w:val="00C75FEB"/>
    <w:rsid w:val="00C76C54"/>
    <w:rsid w:val="00C773A2"/>
    <w:rsid w:val="00C773ED"/>
    <w:rsid w:val="00C774F3"/>
    <w:rsid w:val="00C777B6"/>
    <w:rsid w:val="00C77D24"/>
    <w:rsid w:val="00C8204F"/>
    <w:rsid w:val="00C8214B"/>
    <w:rsid w:val="00C8280A"/>
    <w:rsid w:val="00C82BEE"/>
    <w:rsid w:val="00C82F62"/>
    <w:rsid w:val="00C83192"/>
    <w:rsid w:val="00C83E5E"/>
    <w:rsid w:val="00C8455B"/>
    <w:rsid w:val="00C8502F"/>
    <w:rsid w:val="00C86348"/>
    <w:rsid w:val="00C86BAD"/>
    <w:rsid w:val="00C8779B"/>
    <w:rsid w:val="00C87965"/>
    <w:rsid w:val="00C905CD"/>
    <w:rsid w:val="00C9079C"/>
    <w:rsid w:val="00C916FD"/>
    <w:rsid w:val="00C91975"/>
    <w:rsid w:val="00C91F95"/>
    <w:rsid w:val="00C92338"/>
    <w:rsid w:val="00C928B9"/>
    <w:rsid w:val="00C93737"/>
    <w:rsid w:val="00C939DC"/>
    <w:rsid w:val="00C93E1B"/>
    <w:rsid w:val="00C941BE"/>
    <w:rsid w:val="00C9463A"/>
    <w:rsid w:val="00C9494B"/>
    <w:rsid w:val="00C94D8D"/>
    <w:rsid w:val="00C9553D"/>
    <w:rsid w:val="00C95685"/>
    <w:rsid w:val="00C959F1"/>
    <w:rsid w:val="00C95AA4"/>
    <w:rsid w:val="00C95B90"/>
    <w:rsid w:val="00C96353"/>
    <w:rsid w:val="00C968B4"/>
    <w:rsid w:val="00C96DE6"/>
    <w:rsid w:val="00C96DEE"/>
    <w:rsid w:val="00C96F74"/>
    <w:rsid w:val="00C97122"/>
    <w:rsid w:val="00C97468"/>
    <w:rsid w:val="00C97626"/>
    <w:rsid w:val="00C97BBB"/>
    <w:rsid w:val="00C97FCB"/>
    <w:rsid w:val="00CA09EE"/>
    <w:rsid w:val="00CA113E"/>
    <w:rsid w:val="00CA143C"/>
    <w:rsid w:val="00CA14A9"/>
    <w:rsid w:val="00CA1643"/>
    <w:rsid w:val="00CA16EA"/>
    <w:rsid w:val="00CA1FB2"/>
    <w:rsid w:val="00CA28E6"/>
    <w:rsid w:val="00CA4034"/>
    <w:rsid w:val="00CA40E6"/>
    <w:rsid w:val="00CA40FF"/>
    <w:rsid w:val="00CA44C0"/>
    <w:rsid w:val="00CA4657"/>
    <w:rsid w:val="00CA508F"/>
    <w:rsid w:val="00CA527C"/>
    <w:rsid w:val="00CA55A0"/>
    <w:rsid w:val="00CA5E85"/>
    <w:rsid w:val="00CA6390"/>
    <w:rsid w:val="00CA6B19"/>
    <w:rsid w:val="00CA6BAE"/>
    <w:rsid w:val="00CA6CB8"/>
    <w:rsid w:val="00CB0753"/>
    <w:rsid w:val="00CB0E83"/>
    <w:rsid w:val="00CB15F0"/>
    <w:rsid w:val="00CB1675"/>
    <w:rsid w:val="00CB1A30"/>
    <w:rsid w:val="00CB2001"/>
    <w:rsid w:val="00CB2200"/>
    <w:rsid w:val="00CB23D1"/>
    <w:rsid w:val="00CB2895"/>
    <w:rsid w:val="00CB3045"/>
    <w:rsid w:val="00CB32F5"/>
    <w:rsid w:val="00CB380E"/>
    <w:rsid w:val="00CB3B94"/>
    <w:rsid w:val="00CB5046"/>
    <w:rsid w:val="00CB52A5"/>
    <w:rsid w:val="00CB5FF3"/>
    <w:rsid w:val="00CB69C4"/>
    <w:rsid w:val="00CB6DDB"/>
    <w:rsid w:val="00CB6E21"/>
    <w:rsid w:val="00CB7382"/>
    <w:rsid w:val="00CB766A"/>
    <w:rsid w:val="00CC0298"/>
    <w:rsid w:val="00CC047A"/>
    <w:rsid w:val="00CC0588"/>
    <w:rsid w:val="00CC0A80"/>
    <w:rsid w:val="00CC0D0F"/>
    <w:rsid w:val="00CC1DC7"/>
    <w:rsid w:val="00CC2DD9"/>
    <w:rsid w:val="00CC2FAE"/>
    <w:rsid w:val="00CC31B9"/>
    <w:rsid w:val="00CC34EF"/>
    <w:rsid w:val="00CC3B85"/>
    <w:rsid w:val="00CC4026"/>
    <w:rsid w:val="00CC48F8"/>
    <w:rsid w:val="00CC4C66"/>
    <w:rsid w:val="00CC5208"/>
    <w:rsid w:val="00CC55E1"/>
    <w:rsid w:val="00CC5872"/>
    <w:rsid w:val="00CC6AD9"/>
    <w:rsid w:val="00CC7205"/>
    <w:rsid w:val="00CD03E9"/>
    <w:rsid w:val="00CD1470"/>
    <w:rsid w:val="00CD25B9"/>
    <w:rsid w:val="00CD2C2F"/>
    <w:rsid w:val="00CD3439"/>
    <w:rsid w:val="00CD378E"/>
    <w:rsid w:val="00CD3C13"/>
    <w:rsid w:val="00CD3CBE"/>
    <w:rsid w:val="00CD3F70"/>
    <w:rsid w:val="00CD41EC"/>
    <w:rsid w:val="00CD518C"/>
    <w:rsid w:val="00CD5E43"/>
    <w:rsid w:val="00CD6758"/>
    <w:rsid w:val="00CD6820"/>
    <w:rsid w:val="00CD6C28"/>
    <w:rsid w:val="00CD6EC6"/>
    <w:rsid w:val="00CD702C"/>
    <w:rsid w:val="00CD70EB"/>
    <w:rsid w:val="00CD7787"/>
    <w:rsid w:val="00CE0384"/>
    <w:rsid w:val="00CE04C4"/>
    <w:rsid w:val="00CE062D"/>
    <w:rsid w:val="00CE0D63"/>
    <w:rsid w:val="00CE172B"/>
    <w:rsid w:val="00CE26CD"/>
    <w:rsid w:val="00CE296C"/>
    <w:rsid w:val="00CE3211"/>
    <w:rsid w:val="00CE372B"/>
    <w:rsid w:val="00CE3B8E"/>
    <w:rsid w:val="00CE3C42"/>
    <w:rsid w:val="00CE4033"/>
    <w:rsid w:val="00CE40A7"/>
    <w:rsid w:val="00CE4846"/>
    <w:rsid w:val="00CE4A4C"/>
    <w:rsid w:val="00CE4E32"/>
    <w:rsid w:val="00CE55EC"/>
    <w:rsid w:val="00CE567C"/>
    <w:rsid w:val="00CE6012"/>
    <w:rsid w:val="00CE614A"/>
    <w:rsid w:val="00CE63BF"/>
    <w:rsid w:val="00CE6807"/>
    <w:rsid w:val="00CE6C4B"/>
    <w:rsid w:val="00CE6CC7"/>
    <w:rsid w:val="00CE6D82"/>
    <w:rsid w:val="00CE7A8C"/>
    <w:rsid w:val="00CF058D"/>
    <w:rsid w:val="00CF0D3B"/>
    <w:rsid w:val="00CF1634"/>
    <w:rsid w:val="00CF193D"/>
    <w:rsid w:val="00CF2930"/>
    <w:rsid w:val="00CF295D"/>
    <w:rsid w:val="00CF2C3E"/>
    <w:rsid w:val="00CF40EB"/>
    <w:rsid w:val="00CF4110"/>
    <w:rsid w:val="00CF43FB"/>
    <w:rsid w:val="00CF4BB8"/>
    <w:rsid w:val="00CF4FDD"/>
    <w:rsid w:val="00CF53AC"/>
    <w:rsid w:val="00CF58B2"/>
    <w:rsid w:val="00CF5B72"/>
    <w:rsid w:val="00CF60DE"/>
    <w:rsid w:val="00CF6FD2"/>
    <w:rsid w:val="00CF7864"/>
    <w:rsid w:val="00CF7CEE"/>
    <w:rsid w:val="00CF7F9E"/>
    <w:rsid w:val="00D00723"/>
    <w:rsid w:val="00D00EA6"/>
    <w:rsid w:val="00D0103C"/>
    <w:rsid w:val="00D01268"/>
    <w:rsid w:val="00D02133"/>
    <w:rsid w:val="00D0218D"/>
    <w:rsid w:val="00D02BB8"/>
    <w:rsid w:val="00D02BDC"/>
    <w:rsid w:val="00D0349C"/>
    <w:rsid w:val="00D03EF2"/>
    <w:rsid w:val="00D04986"/>
    <w:rsid w:val="00D04C3D"/>
    <w:rsid w:val="00D0568C"/>
    <w:rsid w:val="00D05938"/>
    <w:rsid w:val="00D061AC"/>
    <w:rsid w:val="00D06C72"/>
    <w:rsid w:val="00D07034"/>
    <w:rsid w:val="00D0725A"/>
    <w:rsid w:val="00D07817"/>
    <w:rsid w:val="00D103CA"/>
    <w:rsid w:val="00D10CBF"/>
    <w:rsid w:val="00D114D5"/>
    <w:rsid w:val="00D11923"/>
    <w:rsid w:val="00D11CA1"/>
    <w:rsid w:val="00D11CF5"/>
    <w:rsid w:val="00D13BB6"/>
    <w:rsid w:val="00D142CD"/>
    <w:rsid w:val="00D1431E"/>
    <w:rsid w:val="00D14423"/>
    <w:rsid w:val="00D147BA"/>
    <w:rsid w:val="00D15A68"/>
    <w:rsid w:val="00D1658D"/>
    <w:rsid w:val="00D1677F"/>
    <w:rsid w:val="00D1703B"/>
    <w:rsid w:val="00D173ED"/>
    <w:rsid w:val="00D178BE"/>
    <w:rsid w:val="00D17C35"/>
    <w:rsid w:val="00D17F9B"/>
    <w:rsid w:val="00D21202"/>
    <w:rsid w:val="00D2161F"/>
    <w:rsid w:val="00D216C4"/>
    <w:rsid w:val="00D2175D"/>
    <w:rsid w:val="00D21828"/>
    <w:rsid w:val="00D21AA4"/>
    <w:rsid w:val="00D21FAF"/>
    <w:rsid w:val="00D222C0"/>
    <w:rsid w:val="00D23744"/>
    <w:rsid w:val="00D238FB"/>
    <w:rsid w:val="00D23BCD"/>
    <w:rsid w:val="00D24636"/>
    <w:rsid w:val="00D2503B"/>
    <w:rsid w:val="00D2556B"/>
    <w:rsid w:val="00D25580"/>
    <w:rsid w:val="00D25987"/>
    <w:rsid w:val="00D26061"/>
    <w:rsid w:val="00D26081"/>
    <w:rsid w:val="00D26A43"/>
    <w:rsid w:val="00D2770F"/>
    <w:rsid w:val="00D27F69"/>
    <w:rsid w:val="00D30299"/>
    <w:rsid w:val="00D31057"/>
    <w:rsid w:val="00D31212"/>
    <w:rsid w:val="00D31A85"/>
    <w:rsid w:val="00D32351"/>
    <w:rsid w:val="00D32686"/>
    <w:rsid w:val="00D32940"/>
    <w:rsid w:val="00D33253"/>
    <w:rsid w:val="00D333E4"/>
    <w:rsid w:val="00D33691"/>
    <w:rsid w:val="00D3452D"/>
    <w:rsid w:val="00D36220"/>
    <w:rsid w:val="00D36281"/>
    <w:rsid w:val="00D37522"/>
    <w:rsid w:val="00D37670"/>
    <w:rsid w:val="00D37680"/>
    <w:rsid w:val="00D40319"/>
    <w:rsid w:val="00D404A5"/>
    <w:rsid w:val="00D407BD"/>
    <w:rsid w:val="00D40C27"/>
    <w:rsid w:val="00D414CD"/>
    <w:rsid w:val="00D41A46"/>
    <w:rsid w:val="00D41E47"/>
    <w:rsid w:val="00D422BB"/>
    <w:rsid w:val="00D42990"/>
    <w:rsid w:val="00D43659"/>
    <w:rsid w:val="00D43EF3"/>
    <w:rsid w:val="00D4401B"/>
    <w:rsid w:val="00D440F0"/>
    <w:rsid w:val="00D44C79"/>
    <w:rsid w:val="00D44CB9"/>
    <w:rsid w:val="00D459CB"/>
    <w:rsid w:val="00D45B40"/>
    <w:rsid w:val="00D45DF9"/>
    <w:rsid w:val="00D46044"/>
    <w:rsid w:val="00D4659D"/>
    <w:rsid w:val="00D46797"/>
    <w:rsid w:val="00D470B2"/>
    <w:rsid w:val="00D47984"/>
    <w:rsid w:val="00D50ED0"/>
    <w:rsid w:val="00D51F2D"/>
    <w:rsid w:val="00D54042"/>
    <w:rsid w:val="00D55C04"/>
    <w:rsid w:val="00D55DCE"/>
    <w:rsid w:val="00D565AC"/>
    <w:rsid w:val="00D56753"/>
    <w:rsid w:val="00D568EF"/>
    <w:rsid w:val="00D56C19"/>
    <w:rsid w:val="00D56FFB"/>
    <w:rsid w:val="00D576CF"/>
    <w:rsid w:val="00D577E4"/>
    <w:rsid w:val="00D57C4C"/>
    <w:rsid w:val="00D57E4B"/>
    <w:rsid w:val="00D6031B"/>
    <w:rsid w:val="00D6100B"/>
    <w:rsid w:val="00D6170B"/>
    <w:rsid w:val="00D61C74"/>
    <w:rsid w:val="00D62681"/>
    <w:rsid w:val="00D62BD5"/>
    <w:rsid w:val="00D63026"/>
    <w:rsid w:val="00D63341"/>
    <w:rsid w:val="00D63638"/>
    <w:rsid w:val="00D63723"/>
    <w:rsid w:val="00D63C68"/>
    <w:rsid w:val="00D63E2A"/>
    <w:rsid w:val="00D640F0"/>
    <w:rsid w:val="00D64295"/>
    <w:rsid w:val="00D648BE"/>
    <w:rsid w:val="00D652AA"/>
    <w:rsid w:val="00D653D4"/>
    <w:rsid w:val="00D65A1C"/>
    <w:rsid w:val="00D6613E"/>
    <w:rsid w:val="00D663C3"/>
    <w:rsid w:val="00D66A41"/>
    <w:rsid w:val="00D67070"/>
    <w:rsid w:val="00D67441"/>
    <w:rsid w:val="00D67719"/>
    <w:rsid w:val="00D67B29"/>
    <w:rsid w:val="00D70140"/>
    <w:rsid w:val="00D70654"/>
    <w:rsid w:val="00D70741"/>
    <w:rsid w:val="00D70B3A"/>
    <w:rsid w:val="00D72267"/>
    <w:rsid w:val="00D722DA"/>
    <w:rsid w:val="00D7243B"/>
    <w:rsid w:val="00D724B4"/>
    <w:rsid w:val="00D72A00"/>
    <w:rsid w:val="00D73069"/>
    <w:rsid w:val="00D7309E"/>
    <w:rsid w:val="00D730C2"/>
    <w:rsid w:val="00D73C5B"/>
    <w:rsid w:val="00D73F17"/>
    <w:rsid w:val="00D73FBD"/>
    <w:rsid w:val="00D74636"/>
    <w:rsid w:val="00D748F7"/>
    <w:rsid w:val="00D74AF9"/>
    <w:rsid w:val="00D74FED"/>
    <w:rsid w:val="00D75649"/>
    <w:rsid w:val="00D7603D"/>
    <w:rsid w:val="00D77CAB"/>
    <w:rsid w:val="00D80552"/>
    <w:rsid w:val="00D8159E"/>
    <w:rsid w:val="00D82149"/>
    <w:rsid w:val="00D8217D"/>
    <w:rsid w:val="00D82A44"/>
    <w:rsid w:val="00D82D9D"/>
    <w:rsid w:val="00D8399A"/>
    <w:rsid w:val="00D83C13"/>
    <w:rsid w:val="00D84174"/>
    <w:rsid w:val="00D84885"/>
    <w:rsid w:val="00D84943"/>
    <w:rsid w:val="00D84A33"/>
    <w:rsid w:val="00D84ED6"/>
    <w:rsid w:val="00D861E7"/>
    <w:rsid w:val="00D865FD"/>
    <w:rsid w:val="00D86B89"/>
    <w:rsid w:val="00D87586"/>
    <w:rsid w:val="00D87B83"/>
    <w:rsid w:val="00D9215E"/>
    <w:rsid w:val="00D92A48"/>
    <w:rsid w:val="00D92C0E"/>
    <w:rsid w:val="00D92CF8"/>
    <w:rsid w:val="00D92F0F"/>
    <w:rsid w:val="00D937C9"/>
    <w:rsid w:val="00D93916"/>
    <w:rsid w:val="00D93D14"/>
    <w:rsid w:val="00D93ED1"/>
    <w:rsid w:val="00D9422B"/>
    <w:rsid w:val="00D945DA"/>
    <w:rsid w:val="00D9462C"/>
    <w:rsid w:val="00D94D0B"/>
    <w:rsid w:val="00D9576C"/>
    <w:rsid w:val="00D962BE"/>
    <w:rsid w:val="00D962D2"/>
    <w:rsid w:val="00D96719"/>
    <w:rsid w:val="00D9785F"/>
    <w:rsid w:val="00DA039D"/>
    <w:rsid w:val="00DA0823"/>
    <w:rsid w:val="00DA0958"/>
    <w:rsid w:val="00DA0C7D"/>
    <w:rsid w:val="00DA0CB8"/>
    <w:rsid w:val="00DA17CA"/>
    <w:rsid w:val="00DA26E4"/>
    <w:rsid w:val="00DA2DAB"/>
    <w:rsid w:val="00DA3484"/>
    <w:rsid w:val="00DA36C6"/>
    <w:rsid w:val="00DA4793"/>
    <w:rsid w:val="00DA5834"/>
    <w:rsid w:val="00DA5C11"/>
    <w:rsid w:val="00DA5C49"/>
    <w:rsid w:val="00DA697B"/>
    <w:rsid w:val="00DA69F7"/>
    <w:rsid w:val="00DA6E6C"/>
    <w:rsid w:val="00DA70ED"/>
    <w:rsid w:val="00DA79CA"/>
    <w:rsid w:val="00DA79D3"/>
    <w:rsid w:val="00DA7BDF"/>
    <w:rsid w:val="00DB04B0"/>
    <w:rsid w:val="00DB080F"/>
    <w:rsid w:val="00DB0A6C"/>
    <w:rsid w:val="00DB18A5"/>
    <w:rsid w:val="00DB1C40"/>
    <w:rsid w:val="00DB2243"/>
    <w:rsid w:val="00DB2817"/>
    <w:rsid w:val="00DB2930"/>
    <w:rsid w:val="00DB2DD4"/>
    <w:rsid w:val="00DB3182"/>
    <w:rsid w:val="00DB5238"/>
    <w:rsid w:val="00DB535A"/>
    <w:rsid w:val="00DB5769"/>
    <w:rsid w:val="00DB5E42"/>
    <w:rsid w:val="00DB6528"/>
    <w:rsid w:val="00DB66EA"/>
    <w:rsid w:val="00DB6C47"/>
    <w:rsid w:val="00DB781B"/>
    <w:rsid w:val="00DB7BD5"/>
    <w:rsid w:val="00DC025F"/>
    <w:rsid w:val="00DC0335"/>
    <w:rsid w:val="00DC06DF"/>
    <w:rsid w:val="00DC0ADD"/>
    <w:rsid w:val="00DC0E8C"/>
    <w:rsid w:val="00DC1302"/>
    <w:rsid w:val="00DC1825"/>
    <w:rsid w:val="00DC1CEC"/>
    <w:rsid w:val="00DC2264"/>
    <w:rsid w:val="00DC2423"/>
    <w:rsid w:val="00DC2617"/>
    <w:rsid w:val="00DC2855"/>
    <w:rsid w:val="00DC2A54"/>
    <w:rsid w:val="00DC33F2"/>
    <w:rsid w:val="00DC33FE"/>
    <w:rsid w:val="00DC3FFF"/>
    <w:rsid w:val="00DC41EE"/>
    <w:rsid w:val="00DC428F"/>
    <w:rsid w:val="00DC43C1"/>
    <w:rsid w:val="00DC4548"/>
    <w:rsid w:val="00DC4896"/>
    <w:rsid w:val="00DC6DDC"/>
    <w:rsid w:val="00DC6E0B"/>
    <w:rsid w:val="00DC73DB"/>
    <w:rsid w:val="00DC759A"/>
    <w:rsid w:val="00DC7D60"/>
    <w:rsid w:val="00DD0464"/>
    <w:rsid w:val="00DD057A"/>
    <w:rsid w:val="00DD05A2"/>
    <w:rsid w:val="00DD0637"/>
    <w:rsid w:val="00DD0A9B"/>
    <w:rsid w:val="00DD0B96"/>
    <w:rsid w:val="00DD0D70"/>
    <w:rsid w:val="00DD1CA3"/>
    <w:rsid w:val="00DD23EB"/>
    <w:rsid w:val="00DD2DCB"/>
    <w:rsid w:val="00DD3335"/>
    <w:rsid w:val="00DD36E3"/>
    <w:rsid w:val="00DD38FD"/>
    <w:rsid w:val="00DD3C7B"/>
    <w:rsid w:val="00DD3D17"/>
    <w:rsid w:val="00DD4564"/>
    <w:rsid w:val="00DD45F0"/>
    <w:rsid w:val="00DD46C5"/>
    <w:rsid w:val="00DD4C4B"/>
    <w:rsid w:val="00DD514A"/>
    <w:rsid w:val="00DD5C01"/>
    <w:rsid w:val="00DD657D"/>
    <w:rsid w:val="00DD6642"/>
    <w:rsid w:val="00DD67E8"/>
    <w:rsid w:val="00DD6E02"/>
    <w:rsid w:val="00DD7941"/>
    <w:rsid w:val="00DD7B11"/>
    <w:rsid w:val="00DD7D5B"/>
    <w:rsid w:val="00DD7F5B"/>
    <w:rsid w:val="00DE0647"/>
    <w:rsid w:val="00DE0D7E"/>
    <w:rsid w:val="00DE0DF8"/>
    <w:rsid w:val="00DE12B5"/>
    <w:rsid w:val="00DE1539"/>
    <w:rsid w:val="00DE228E"/>
    <w:rsid w:val="00DE2F94"/>
    <w:rsid w:val="00DE30A8"/>
    <w:rsid w:val="00DE362D"/>
    <w:rsid w:val="00DE451D"/>
    <w:rsid w:val="00DE4A24"/>
    <w:rsid w:val="00DE4AF6"/>
    <w:rsid w:val="00DE4FBB"/>
    <w:rsid w:val="00DE5695"/>
    <w:rsid w:val="00DE59AB"/>
    <w:rsid w:val="00DE5DB5"/>
    <w:rsid w:val="00DE6602"/>
    <w:rsid w:val="00DE69D2"/>
    <w:rsid w:val="00DE6F8B"/>
    <w:rsid w:val="00DE6FAA"/>
    <w:rsid w:val="00DE6FD9"/>
    <w:rsid w:val="00DE7128"/>
    <w:rsid w:val="00DF0AD1"/>
    <w:rsid w:val="00DF1554"/>
    <w:rsid w:val="00DF19F7"/>
    <w:rsid w:val="00DF1D44"/>
    <w:rsid w:val="00DF1DA1"/>
    <w:rsid w:val="00DF2166"/>
    <w:rsid w:val="00DF2D0B"/>
    <w:rsid w:val="00DF2E5C"/>
    <w:rsid w:val="00DF35DD"/>
    <w:rsid w:val="00DF3BDA"/>
    <w:rsid w:val="00DF3C41"/>
    <w:rsid w:val="00DF4481"/>
    <w:rsid w:val="00DF4544"/>
    <w:rsid w:val="00DF664B"/>
    <w:rsid w:val="00DF68B0"/>
    <w:rsid w:val="00DF73F9"/>
    <w:rsid w:val="00DF7428"/>
    <w:rsid w:val="00DF760D"/>
    <w:rsid w:val="00DF795B"/>
    <w:rsid w:val="00DF797B"/>
    <w:rsid w:val="00E00023"/>
    <w:rsid w:val="00E002C8"/>
    <w:rsid w:val="00E009EC"/>
    <w:rsid w:val="00E01329"/>
    <w:rsid w:val="00E0173C"/>
    <w:rsid w:val="00E01B27"/>
    <w:rsid w:val="00E01B72"/>
    <w:rsid w:val="00E01C84"/>
    <w:rsid w:val="00E01E77"/>
    <w:rsid w:val="00E0209C"/>
    <w:rsid w:val="00E02417"/>
    <w:rsid w:val="00E02B45"/>
    <w:rsid w:val="00E02E8C"/>
    <w:rsid w:val="00E0341F"/>
    <w:rsid w:val="00E03D3D"/>
    <w:rsid w:val="00E04093"/>
    <w:rsid w:val="00E049AD"/>
    <w:rsid w:val="00E04FAE"/>
    <w:rsid w:val="00E05BBD"/>
    <w:rsid w:val="00E06168"/>
    <w:rsid w:val="00E0638C"/>
    <w:rsid w:val="00E065DE"/>
    <w:rsid w:val="00E06723"/>
    <w:rsid w:val="00E06F64"/>
    <w:rsid w:val="00E0721F"/>
    <w:rsid w:val="00E0731B"/>
    <w:rsid w:val="00E076D4"/>
    <w:rsid w:val="00E07887"/>
    <w:rsid w:val="00E0798F"/>
    <w:rsid w:val="00E07CDF"/>
    <w:rsid w:val="00E1096D"/>
    <w:rsid w:val="00E10A2A"/>
    <w:rsid w:val="00E1162A"/>
    <w:rsid w:val="00E116B2"/>
    <w:rsid w:val="00E116C5"/>
    <w:rsid w:val="00E11A7A"/>
    <w:rsid w:val="00E12C80"/>
    <w:rsid w:val="00E1383E"/>
    <w:rsid w:val="00E13EF0"/>
    <w:rsid w:val="00E1461C"/>
    <w:rsid w:val="00E147F2"/>
    <w:rsid w:val="00E1517C"/>
    <w:rsid w:val="00E15601"/>
    <w:rsid w:val="00E1568C"/>
    <w:rsid w:val="00E15697"/>
    <w:rsid w:val="00E158FC"/>
    <w:rsid w:val="00E15A97"/>
    <w:rsid w:val="00E1622C"/>
    <w:rsid w:val="00E16341"/>
    <w:rsid w:val="00E1685E"/>
    <w:rsid w:val="00E168E8"/>
    <w:rsid w:val="00E16A29"/>
    <w:rsid w:val="00E16A96"/>
    <w:rsid w:val="00E16CBF"/>
    <w:rsid w:val="00E17DF4"/>
    <w:rsid w:val="00E2023F"/>
    <w:rsid w:val="00E20447"/>
    <w:rsid w:val="00E207B9"/>
    <w:rsid w:val="00E2082A"/>
    <w:rsid w:val="00E20830"/>
    <w:rsid w:val="00E21901"/>
    <w:rsid w:val="00E227E5"/>
    <w:rsid w:val="00E2283E"/>
    <w:rsid w:val="00E22B5E"/>
    <w:rsid w:val="00E22DFC"/>
    <w:rsid w:val="00E234D6"/>
    <w:rsid w:val="00E23870"/>
    <w:rsid w:val="00E240A4"/>
    <w:rsid w:val="00E25729"/>
    <w:rsid w:val="00E25759"/>
    <w:rsid w:val="00E25C69"/>
    <w:rsid w:val="00E26078"/>
    <w:rsid w:val="00E26429"/>
    <w:rsid w:val="00E26FE6"/>
    <w:rsid w:val="00E27777"/>
    <w:rsid w:val="00E27CC5"/>
    <w:rsid w:val="00E301F1"/>
    <w:rsid w:val="00E303E6"/>
    <w:rsid w:val="00E30538"/>
    <w:rsid w:val="00E309CC"/>
    <w:rsid w:val="00E30E91"/>
    <w:rsid w:val="00E30EFF"/>
    <w:rsid w:val="00E30FEC"/>
    <w:rsid w:val="00E31434"/>
    <w:rsid w:val="00E31491"/>
    <w:rsid w:val="00E31810"/>
    <w:rsid w:val="00E31A9F"/>
    <w:rsid w:val="00E31CD7"/>
    <w:rsid w:val="00E31CDB"/>
    <w:rsid w:val="00E32413"/>
    <w:rsid w:val="00E326E9"/>
    <w:rsid w:val="00E32F2C"/>
    <w:rsid w:val="00E33030"/>
    <w:rsid w:val="00E33A85"/>
    <w:rsid w:val="00E34C77"/>
    <w:rsid w:val="00E351A7"/>
    <w:rsid w:val="00E35794"/>
    <w:rsid w:val="00E35C8A"/>
    <w:rsid w:val="00E36301"/>
    <w:rsid w:val="00E363D8"/>
    <w:rsid w:val="00E3740D"/>
    <w:rsid w:val="00E40570"/>
    <w:rsid w:val="00E4103E"/>
    <w:rsid w:val="00E411CF"/>
    <w:rsid w:val="00E41F0C"/>
    <w:rsid w:val="00E41F51"/>
    <w:rsid w:val="00E420DA"/>
    <w:rsid w:val="00E421BB"/>
    <w:rsid w:val="00E42565"/>
    <w:rsid w:val="00E426F7"/>
    <w:rsid w:val="00E429D9"/>
    <w:rsid w:val="00E42CE4"/>
    <w:rsid w:val="00E42EF0"/>
    <w:rsid w:val="00E4308A"/>
    <w:rsid w:val="00E43644"/>
    <w:rsid w:val="00E44035"/>
    <w:rsid w:val="00E4470B"/>
    <w:rsid w:val="00E447DA"/>
    <w:rsid w:val="00E44F61"/>
    <w:rsid w:val="00E45008"/>
    <w:rsid w:val="00E45DC4"/>
    <w:rsid w:val="00E45FC5"/>
    <w:rsid w:val="00E46916"/>
    <w:rsid w:val="00E46AAB"/>
    <w:rsid w:val="00E47347"/>
    <w:rsid w:val="00E504C5"/>
    <w:rsid w:val="00E5057E"/>
    <w:rsid w:val="00E50AD5"/>
    <w:rsid w:val="00E51A4E"/>
    <w:rsid w:val="00E51C3F"/>
    <w:rsid w:val="00E51CA2"/>
    <w:rsid w:val="00E522F6"/>
    <w:rsid w:val="00E523A1"/>
    <w:rsid w:val="00E52877"/>
    <w:rsid w:val="00E53631"/>
    <w:rsid w:val="00E53C2E"/>
    <w:rsid w:val="00E53CCF"/>
    <w:rsid w:val="00E53FC8"/>
    <w:rsid w:val="00E54F86"/>
    <w:rsid w:val="00E5538A"/>
    <w:rsid w:val="00E558D1"/>
    <w:rsid w:val="00E55928"/>
    <w:rsid w:val="00E5592D"/>
    <w:rsid w:val="00E55FB4"/>
    <w:rsid w:val="00E57068"/>
    <w:rsid w:val="00E57240"/>
    <w:rsid w:val="00E57451"/>
    <w:rsid w:val="00E57613"/>
    <w:rsid w:val="00E57943"/>
    <w:rsid w:val="00E57A23"/>
    <w:rsid w:val="00E6006A"/>
    <w:rsid w:val="00E60185"/>
    <w:rsid w:val="00E607C9"/>
    <w:rsid w:val="00E608B8"/>
    <w:rsid w:val="00E61989"/>
    <w:rsid w:val="00E61A74"/>
    <w:rsid w:val="00E63129"/>
    <w:rsid w:val="00E63938"/>
    <w:rsid w:val="00E63DF4"/>
    <w:rsid w:val="00E63F10"/>
    <w:rsid w:val="00E64A07"/>
    <w:rsid w:val="00E64D23"/>
    <w:rsid w:val="00E6577C"/>
    <w:rsid w:val="00E66010"/>
    <w:rsid w:val="00E660A2"/>
    <w:rsid w:val="00E662FC"/>
    <w:rsid w:val="00E66F5C"/>
    <w:rsid w:val="00E670F9"/>
    <w:rsid w:val="00E6719A"/>
    <w:rsid w:val="00E675E8"/>
    <w:rsid w:val="00E67EE1"/>
    <w:rsid w:val="00E70855"/>
    <w:rsid w:val="00E70D1A"/>
    <w:rsid w:val="00E70FD8"/>
    <w:rsid w:val="00E716D6"/>
    <w:rsid w:val="00E7207D"/>
    <w:rsid w:val="00E728F0"/>
    <w:rsid w:val="00E73244"/>
    <w:rsid w:val="00E73B63"/>
    <w:rsid w:val="00E74C01"/>
    <w:rsid w:val="00E74C70"/>
    <w:rsid w:val="00E76564"/>
    <w:rsid w:val="00E76620"/>
    <w:rsid w:val="00E77132"/>
    <w:rsid w:val="00E77284"/>
    <w:rsid w:val="00E77C4E"/>
    <w:rsid w:val="00E80090"/>
    <w:rsid w:val="00E80788"/>
    <w:rsid w:val="00E812E4"/>
    <w:rsid w:val="00E814B3"/>
    <w:rsid w:val="00E81B70"/>
    <w:rsid w:val="00E81CC7"/>
    <w:rsid w:val="00E8344D"/>
    <w:rsid w:val="00E83B64"/>
    <w:rsid w:val="00E83FE2"/>
    <w:rsid w:val="00E84D37"/>
    <w:rsid w:val="00E84DFF"/>
    <w:rsid w:val="00E84F79"/>
    <w:rsid w:val="00E8571D"/>
    <w:rsid w:val="00E85BDC"/>
    <w:rsid w:val="00E866F5"/>
    <w:rsid w:val="00E87354"/>
    <w:rsid w:val="00E8739E"/>
    <w:rsid w:val="00E874B8"/>
    <w:rsid w:val="00E874F9"/>
    <w:rsid w:val="00E87714"/>
    <w:rsid w:val="00E8772B"/>
    <w:rsid w:val="00E87872"/>
    <w:rsid w:val="00E9095F"/>
    <w:rsid w:val="00E91059"/>
    <w:rsid w:val="00E9218B"/>
    <w:rsid w:val="00E9268C"/>
    <w:rsid w:val="00E9307D"/>
    <w:rsid w:val="00E9396B"/>
    <w:rsid w:val="00E93FCE"/>
    <w:rsid w:val="00E945C2"/>
    <w:rsid w:val="00E95053"/>
    <w:rsid w:val="00E95665"/>
    <w:rsid w:val="00E95FE8"/>
    <w:rsid w:val="00E96C1B"/>
    <w:rsid w:val="00E97A92"/>
    <w:rsid w:val="00E97CDA"/>
    <w:rsid w:val="00E97EE3"/>
    <w:rsid w:val="00EA01ED"/>
    <w:rsid w:val="00EA09AA"/>
    <w:rsid w:val="00EA0ACB"/>
    <w:rsid w:val="00EA1729"/>
    <w:rsid w:val="00EA17CC"/>
    <w:rsid w:val="00EA18B3"/>
    <w:rsid w:val="00EA1DFD"/>
    <w:rsid w:val="00EA2683"/>
    <w:rsid w:val="00EA2F69"/>
    <w:rsid w:val="00EA3257"/>
    <w:rsid w:val="00EA346B"/>
    <w:rsid w:val="00EA3721"/>
    <w:rsid w:val="00EA37C9"/>
    <w:rsid w:val="00EA385D"/>
    <w:rsid w:val="00EA3AB1"/>
    <w:rsid w:val="00EA3B98"/>
    <w:rsid w:val="00EA42DC"/>
    <w:rsid w:val="00EA4338"/>
    <w:rsid w:val="00EA49F5"/>
    <w:rsid w:val="00EA51EB"/>
    <w:rsid w:val="00EA58BC"/>
    <w:rsid w:val="00EA65AE"/>
    <w:rsid w:val="00EA7DF5"/>
    <w:rsid w:val="00EB000F"/>
    <w:rsid w:val="00EB083E"/>
    <w:rsid w:val="00EB128E"/>
    <w:rsid w:val="00EB14DE"/>
    <w:rsid w:val="00EB2751"/>
    <w:rsid w:val="00EB2E0A"/>
    <w:rsid w:val="00EB46C5"/>
    <w:rsid w:val="00EB4AB0"/>
    <w:rsid w:val="00EB4B0A"/>
    <w:rsid w:val="00EB4FDB"/>
    <w:rsid w:val="00EB5368"/>
    <w:rsid w:val="00EB5B8A"/>
    <w:rsid w:val="00EB6363"/>
    <w:rsid w:val="00EB684E"/>
    <w:rsid w:val="00EB6D61"/>
    <w:rsid w:val="00EB79FA"/>
    <w:rsid w:val="00EC2E4B"/>
    <w:rsid w:val="00EC311F"/>
    <w:rsid w:val="00EC3BE4"/>
    <w:rsid w:val="00EC42EB"/>
    <w:rsid w:val="00EC48DB"/>
    <w:rsid w:val="00EC5026"/>
    <w:rsid w:val="00EC518E"/>
    <w:rsid w:val="00EC52F1"/>
    <w:rsid w:val="00EC5736"/>
    <w:rsid w:val="00EC5D6C"/>
    <w:rsid w:val="00EC6795"/>
    <w:rsid w:val="00EC6865"/>
    <w:rsid w:val="00EC6D27"/>
    <w:rsid w:val="00ED04FF"/>
    <w:rsid w:val="00ED09B8"/>
    <w:rsid w:val="00ED0B19"/>
    <w:rsid w:val="00ED0C59"/>
    <w:rsid w:val="00ED0D7F"/>
    <w:rsid w:val="00ED14DC"/>
    <w:rsid w:val="00ED15F7"/>
    <w:rsid w:val="00ED223B"/>
    <w:rsid w:val="00ED24F5"/>
    <w:rsid w:val="00ED2A26"/>
    <w:rsid w:val="00ED2A95"/>
    <w:rsid w:val="00ED37D5"/>
    <w:rsid w:val="00ED3ECD"/>
    <w:rsid w:val="00ED4333"/>
    <w:rsid w:val="00ED4465"/>
    <w:rsid w:val="00ED45E4"/>
    <w:rsid w:val="00ED5247"/>
    <w:rsid w:val="00ED5A2C"/>
    <w:rsid w:val="00ED75B6"/>
    <w:rsid w:val="00ED7AEE"/>
    <w:rsid w:val="00ED7ED4"/>
    <w:rsid w:val="00EE00F7"/>
    <w:rsid w:val="00EE01A9"/>
    <w:rsid w:val="00EE0675"/>
    <w:rsid w:val="00EE07F0"/>
    <w:rsid w:val="00EE1633"/>
    <w:rsid w:val="00EE2109"/>
    <w:rsid w:val="00EE2178"/>
    <w:rsid w:val="00EE2503"/>
    <w:rsid w:val="00EE25CE"/>
    <w:rsid w:val="00EE2664"/>
    <w:rsid w:val="00EE29CB"/>
    <w:rsid w:val="00EE2F34"/>
    <w:rsid w:val="00EE349C"/>
    <w:rsid w:val="00EE36FB"/>
    <w:rsid w:val="00EE4C2F"/>
    <w:rsid w:val="00EE5278"/>
    <w:rsid w:val="00EE5294"/>
    <w:rsid w:val="00EE5A74"/>
    <w:rsid w:val="00EE637A"/>
    <w:rsid w:val="00EE659E"/>
    <w:rsid w:val="00EE6772"/>
    <w:rsid w:val="00EE73F1"/>
    <w:rsid w:val="00EE777E"/>
    <w:rsid w:val="00EE797E"/>
    <w:rsid w:val="00EE7BAB"/>
    <w:rsid w:val="00EF033A"/>
    <w:rsid w:val="00EF0AD2"/>
    <w:rsid w:val="00EF0BDC"/>
    <w:rsid w:val="00EF0D38"/>
    <w:rsid w:val="00EF120B"/>
    <w:rsid w:val="00EF137B"/>
    <w:rsid w:val="00EF13DA"/>
    <w:rsid w:val="00EF16E5"/>
    <w:rsid w:val="00EF1D22"/>
    <w:rsid w:val="00EF3955"/>
    <w:rsid w:val="00EF3FF7"/>
    <w:rsid w:val="00EF4713"/>
    <w:rsid w:val="00EF4CC4"/>
    <w:rsid w:val="00EF513A"/>
    <w:rsid w:val="00EF58E9"/>
    <w:rsid w:val="00EF5D11"/>
    <w:rsid w:val="00EF6BB1"/>
    <w:rsid w:val="00EF74AB"/>
    <w:rsid w:val="00EF7BF2"/>
    <w:rsid w:val="00EF7D2B"/>
    <w:rsid w:val="00EF7DC6"/>
    <w:rsid w:val="00F001F3"/>
    <w:rsid w:val="00F0037D"/>
    <w:rsid w:val="00F00B46"/>
    <w:rsid w:val="00F017A8"/>
    <w:rsid w:val="00F01C83"/>
    <w:rsid w:val="00F02376"/>
    <w:rsid w:val="00F0255D"/>
    <w:rsid w:val="00F02947"/>
    <w:rsid w:val="00F02990"/>
    <w:rsid w:val="00F02AFE"/>
    <w:rsid w:val="00F037A0"/>
    <w:rsid w:val="00F03DFA"/>
    <w:rsid w:val="00F04195"/>
    <w:rsid w:val="00F0472A"/>
    <w:rsid w:val="00F04C97"/>
    <w:rsid w:val="00F05791"/>
    <w:rsid w:val="00F05FF9"/>
    <w:rsid w:val="00F0619F"/>
    <w:rsid w:val="00F068A4"/>
    <w:rsid w:val="00F069A2"/>
    <w:rsid w:val="00F07638"/>
    <w:rsid w:val="00F12143"/>
    <w:rsid w:val="00F12A3A"/>
    <w:rsid w:val="00F12E7F"/>
    <w:rsid w:val="00F1318A"/>
    <w:rsid w:val="00F13601"/>
    <w:rsid w:val="00F14206"/>
    <w:rsid w:val="00F15014"/>
    <w:rsid w:val="00F15338"/>
    <w:rsid w:val="00F15F49"/>
    <w:rsid w:val="00F16305"/>
    <w:rsid w:val="00F167C9"/>
    <w:rsid w:val="00F169F3"/>
    <w:rsid w:val="00F17864"/>
    <w:rsid w:val="00F17A60"/>
    <w:rsid w:val="00F17CE6"/>
    <w:rsid w:val="00F17FCE"/>
    <w:rsid w:val="00F20426"/>
    <w:rsid w:val="00F20E49"/>
    <w:rsid w:val="00F21267"/>
    <w:rsid w:val="00F21A48"/>
    <w:rsid w:val="00F21CEF"/>
    <w:rsid w:val="00F21D8C"/>
    <w:rsid w:val="00F22340"/>
    <w:rsid w:val="00F2321B"/>
    <w:rsid w:val="00F2387E"/>
    <w:rsid w:val="00F24261"/>
    <w:rsid w:val="00F245D3"/>
    <w:rsid w:val="00F248F0"/>
    <w:rsid w:val="00F2492F"/>
    <w:rsid w:val="00F24D2A"/>
    <w:rsid w:val="00F24DDD"/>
    <w:rsid w:val="00F25085"/>
    <w:rsid w:val="00F25375"/>
    <w:rsid w:val="00F25D8E"/>
    <w:rsid w:val="00F26058"/>
    <w:rsid w:val="00F26162"/>
    <w:rsid w:val="00F26795"/>
    <w:rsid w:val="00F274D7"/>
    <w:rsid w:val="00F3024D"/>
    <w:rsid w:val="00F30318"/>
    <w:rsid w:val="00F3069C"/>
    <w:rsid w:val="00F31905"/>
    <w:rsid w:val="00F320C3"/>
    <w:rsid w:val="00F33157"/>
    <w:rsid w:val="00F33514"/>
    <w:rsid w:val="00F33796"/>
    <w:rsid w:val="00F34694"/>
    <w:rsid w:val="00F34750"/>
    <w:rsid w:val="00F34C69"/>
    <w:rsid w:val="00F3509D"/>
    <w:rsid w:val="00F35489"/>
    <w:rsid w:val="00F3645F"/>
    <w:rsid w:val="00F366EC"/>
    <w:rsid w:val="00F3704F"/>
    <w:rsid w:val="00F372C8"/>
    <w:rsid w:val="00F373C2"/>
    <w:rsid w:val="00F37762"/>
    <w:rsid w:val="00F37962"/>
    <w:rsid w:val="00F37D2B"/>
    <w:rsid w:val="00F404A8"/>
    <w:rsid w:val="00F40522"/>
    <w:rsid w:val="00F40941"/>
    <w:rsid w:val="00F41734"/>
    <w:rsid w:val="00F41987"/>
    <w:rsid w:val="00F41C3C"/>
    <w:rsid w:val="00F41D6F"/>
    <w:rsid w:val="00F42C42"/>
    <w:rsid w:val="00F4304A"/>
    <w:rsid w:val="00F43289"/>
    <w:rsid w:val="00F4395E"/>
    <w:rsid w:val="00F43B96"/>
    <w:rsid w:val="00F443D9"/>
    <w:rsid w:val="00F44472"/>
    <w:rsid w:val="00F447CA"/>
    <w:rsid w:val="00F44C16"/>
    <w:rsid w:val="00F44DA3"/>
    <w:rsid w:val="00F452A9"/>
    <w:rsid w:val="00F455F3"/>
    <w:rsid w:val="00F46196"/>
    <w:rsid w:val="00F4634F"/>
    <w:rsid w:val="00F46520"/>
    <w:rsid w:val="00F4657F"/>
    <w:rsid w:val="00F46956"/>
    <w:rsid w:val="00F46F52"/>
    <w:rsid w:val="00F473F1"/>
    <w:rsid w:val="00F47BDA"/>
    <w:rsid w:val="00F507B4"/>
    <w:rsid w:val="00F50B80"/>
    <w:rsid w:val="00F50BDB"/>
    <w:rsid w:val="00F50CF1"/>
    <w:rsid w:val="00F5119B"/>
    <w:rsid w:val="00F5140B"/>
    <w:rsid w:val="00F515B5"/>
    <w:rsid w:val="00F51931"/>
    <w:rsid w:val="00F53D04"/>
    <w:rsid w:val="00F540F0"/>
    <w:rsid w:val="00F5441A"/>
    <w:rsid w:val="00F54871"/>
    <w:rsid w:val="00F54BDC"/>
    <w:rsid w:val="00F55308"/>
    <w:rsid w:val="00F55667"/>
    <w:rsid w:val="00F55F9C"/>
    <w:rsid w:val="00F56105"/>
    <w:rsid w:val="00F5679B"/>
    <w:rsid w:val="00F56DB3"/>
    <w:rsid w:val="00F571F3"/>
    <w:rsid w:val="00F5737E"/>
    <w:rsid w:val="00F57638"/>
    <w:rsid w:val="00F576AD"/>
    <w:rsid w:val="00F5772B"/>
    <w:rsid w:val="00F57901"/>
    <w:rsid w:val="00F57A0A"/>
    <w:rsid w:val="00F57A10"/>
    <w:rsid w:val="00F6017B"/>
    <w:rsid w:val="00F60ACB"/>
    <w:rsid w:val="00F60E95"/>
    <w:rsid w:val="00F61681"/>
    <w:rsid w:val="00F61A3D"/>
    <w:rsid w:val="00F61A7E"/>
    <w:rsid w:val="00F62343"/>
    <w:rsid w:val="00F62E39"/>
    <w:rsid w:val="00F62E78"/>
    <w:rsid w:val="00F6330E"/>
    <w:rsid w:val="00F6379F"/>
    <w:rsid w:val="00F639D6"/>
    <w:rsid w:val="00F642D6"/>
    <w:rsid w:val="00F649D0"/>
    <w:rsid w:val="00F64DCC"/>
    <w:rsid w:val="00F6537D"/>
    <w:rsid w:val="00F657F7"/>
    <w:rsid w:val="00F65F5D"/>
    <w:rsid w:val="00F66239"/>
    <w:rsid w:val="00F6664E"/>
    <w:rsid w:val="00F670AB"/>
    <w:rsid w:val="00F675EF"/>
    <w:rsid w:val="00F67BF2"/>
    <w:rsid w:val="00F67D65"/>
    <w:rsid w:val="00F67E35"/>
    <w:rsid w:val="00F703D9"/>
    <w:rsid w:val="00F720A3"/>
    <w:rsid w:val="00F720C2"/>
    <w:rsid w:val="00F73001"/>
    <w:rsid w:val="00F73679"/>
    <w:rsid w:val="00F73B87"/>
    <w:rsid w:val="00F73CC8"/>
    <w:rsid w:val="00F73CEC"/>
    <w:rsid w:val="00F73EFC"/>
    <w:rsid w:val="00F7440E"/>
    <w:rsid w:val="00F74EBA"/>
    <w:rsid w:val="00F74ED7"/>
    <w:rsid w:val="00F7520A"/>
    <w:rsid w:val="00F752F0"/>
    <w:rsid w:val="00F754EC"/>
    <w:rsid w:val="00F75F8F"/>
    <w:rsid w:val="00F764A5"/>
    <w:rsid w:val="00F76806"/>
    <w:rsid w:val="00F77761"/>
    <w:rsid w:val="00F77CFE"/>
    <w:rsid w:val="00F77D32"/>
    <w:rsid w:val="00F800B5"/>
    <w:rsid w:val="00F801CF"/>
    <w:rsid w:val="00F804A9"/>
    <w:rsid w:val="00F808C0"/>
    <w:rsid w:val="00F80C7B"/>
    <w:rsid w:val="00F80ED5"/>
    <w:rsid w:val="00F8116B"/>
    <w:rsid w:val="00F811A2"/>
    <w:rsid w:val="00F8131F"/>
    <w:rsid w:val="00F81662"/>
    <w:rsid w:val="00F82687"/>
    <w:rsid w:val="00F8302D"/>
    <w:rsid w:val="00F8320C"/>
    <w:rsid w:val="00F832BA"/>
    <w:rsid w:val="00F847C9"/>
    <w:rsid w:val="00F847D4"/>
    <w:rsid w:val="00F84CFA"/>
    <w:rsid w:val="00F84F50"/>
    <w:rsid w:val="00F851CF"/>
    <w:rsid w:val="00F856EB"/>
    <w:rsid w:val="00F856FB"/>
    <w:rsid w:val="00F85B4B"/>
    <w:rsid w:val="00F85DF3"/>
    <w:rsid w:val="00F868DB"/>
    <w:rsid w:val="00F86956"/>
    <w:rsid w:val="00F86B83"/>
    <w:rsid w:val="00F86C27"/>
    <w:rsid w:val="00F91508"/>
    <w:rsid w:val="00F91C43"/>
    <w:rsid w:val="00F91C83"/>
    <w:rsid w:val="00F92260"/>
    <w:rsid w:val="00F9234E"/>
    <w:rsid w:val="00F9494A"/>
    <w:rsid w:val="00F94E2E"/>
    <w:rsid w:val="00F9509A"/>
    <w:rsid w:val="00F952F2"/>
    <w:rsid w:val="00F95498"/>
    <w:rsid w:val="00F957BB"/>
    <w:rsid w:val="00F967F4"/>
    <w:rsid w:val="00F96E0C"/>
    <w:rsid w:val="00F9705A"/>
    <w:rsid w:val="00F97115"/>
    <w:rsid w:val="00F97AE1"/>
    <w:rsid w:val="00F97D1F"/>
    <w:rsid w:val="00FA118F"/>
    <w:rsid w:val="00FA1339"/>
    <w:rsid w:val="00FA1409"/>
    <w:rsid w:val="00FA1697"/>
    <w:rsid w:val="00FA1C4D"/>
    <w:rsid w:val="00FA24CC"/>
    <w:rsid w:val="00FA2A0E"/>
    <w:rsid w:val="00FA2A84"/>
    <w:rsid w:val="00FA2DD0"/>
    <w:rsid w:val="00FA3C6E"/>
    <w:rsid w:val="00FA40D0"/>
    <w:rsid w:val="00FA4931"/>
    <w:rsid w:val="00FA4E6C"/>
    <w:rsid w:val="00FA50B9"/>
    <w:rsid w:val="00FA5321"/>
    <w:rsid w:val="00FA646A"/>
    <w:rsid w:val="00FA6765"/>
    <w:rsid w:val="00FA7531"/>
    <w:rsid w:val="00FA7AA2"/>
    <w:rsid w:val="00FB0E42"/>
    <w:rsid w:val="00FB0FE1"/>
    <w:rsid w:val="00FB1824"/>
    <w:rsid w:val="00FB18AF"/>
    <w:rsid w:val="00FB19D9"/>
    <w:rsid w:val="00FB1FD3"/>
    <w:rsid w:val="00FB2519"/>
    <w:rsid w:val="00FB26EE"/>
    <w:rsid w:val="00FB2C5F"/>
    <w:rsid w:val="00FB2F35"/>
    <w:rsid w:val="00FB35CF"/>
    <w:rsid w:val="00FB496C"/>
    <w:rsid w:val="00FB4E5C"/>
    <w:rsid w:val="00FB55D6"/>
    <w:rsid w:val="00FB6438"/>
    <w:rsid w:val="00FB6862"/>
    <w:rsid w:val="00FB6928"/>
    <w:rsid w:val="00FB6E7B"/>
    <w:rsid w:val="00FB6F28"/>
    <w:rsid w:val="00FB71DC"/>
    <w:rsid w:val="00FB72A0"/>
    <w:rsid w:val="00FB7322"/>
    <w:rsid w:val="00FB77EC"/>
    <w:rsid w:val="00FC193A"/>
    <w:rsid w:val="00FC1D0F"/>
    <w:rsid w:val="00FC1F85"/>
    <w:rsid w:val="00FC2039"/>
    <w:rsid w:val="00FC22FC"/>
    <w:rsid w:val="00FC29FB"/>
    <w:rsid w:val="00FC2AC3"/>
    <w:rsid w:val="00FC2B9B"/>
    <w:rsid w:val="00FC38C5"/>
    <w:rsid w:val="00FC4F91"/>
    <w:rsid w:val="00FC52F9"/>
    <w:rsid w:val="00FC59D2"/>
    <w:rsid w:val="00FC5A71"/>
    <w:rsid w:val="00FC5AD0"/>
    <w:rsid w:val="00FC5B1F"/>
    <w:rsid w:val="00FC5BA8"/>
    <w:rsid w:val="00FC7058"/>
    <w:rsid w:val="00FD06AE"/>
    <w:rsid w:val="00FD093D"/>
    <w:rsid w:val="00FD1DA2"/>
    <w:rsid w:val="00FD2584"/>
    <w:rsid w:val="00FD3258"/>
    <w:rsid w:val="00FD32E4"/>
    <w:rsid w:val="00FD335E"/>
    <w:rsid w:val="00FD3767"/>
    <w:rsid w:val="00FD39C0"/>
    <w:rsid w:val="00FD3EC7"/>
    <w:rsid w:val="00FD4286"/>
    <w:rsid w:val="00FD4730"/>
    <w:rsid w:val="00FD4737"/>
    <w:rsid w:val="00FD4861"/>
    <w:rsid w:val="00FD4D5C"/>
    <w:rsid w:val="00FD534A"/>
    <w:rsid w:val="00FD5C2D"/>
    <w:rsid w:val="00FD626A"/>
    <w:rsid w:val="00FD62D1"/>
    <w:rsid w:val="00FD6589"/>
    <w:rsid w:val="00FD7B5E"/>
    <w:rsid w:val="00FE0458"/>
    <w:rsid w:val="00FE057E"/>
    <w:rsid w:val="00FE1620"/>
    <w:rsid w:val="00FE27C8"/>
    <w:rsid w:val="00FE2828"/>
    <w:rsid w:val="00FE3A8E"/>
    <w:rsid w:val="00FE3D27"/>
    <w:rsid w:val="00FE42D0"/>
    <w:rsid w:val="00FE43E1"/>
    <w:rsid w:val="00FE4840"/>
    <w:rsid w:val="00FE532C"/>
    <w:rsid w:val="00FE713C"/>
    <w:rsid w:val="00FE74E6"/>
    <w:rsid w:val="00FE77C3"/>
    <w:rsid w:val="00FE78D0"/>
    <w:rsid w:val="00FE7C59"/>
    <w:rsid w:val="00FE7FBC"/>
    <w:rsid w:val="00FF0985"/>
    <w:rsid w:val="00FF0E99"/>
    <w:rsid w:val="00FF1A8A"/>
    <w:rsid w:val="00FF1FCD"/>
    <w:rsid w:val="00FF2A6F"/>
    <w:rsid w:val="00FF2A70"/>
    <w:rsid w:val="00FF3504"/>
    <w:rsid w:val="00FF3804"/>
    <w:rsid w:val="00FF3E26"/>
    <w:rsid w:val="00FF4A82"/>
    <w:rsid w:val="00FF4CA2"/>
    <w:rsid w:val="00FF4FDC"/>
    <w:rsid w:val="00FF5663"/>
    <w:rsid w:val="00FF61B6"/>
    <w:rsid w:val="00FF69D7"/>
    <w:rsid w:val="00FF6EA7"/>
    <w:rsid w:val="00FF6F39"/>
    <w:rsid w:val="00FF77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BA20D"/>
  <w15:chartTrackingRefBased/>
  <w15:docId w15:val="{D1780261-DCD7-473A-9D79-C5DA1B8BA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E5FFB"/>
    <w:pPr>
      <w:spacing w:line="360" w:lineRule="auto"/>
      <w:jc w:val="both"/>
    </w:pPr>
    <w:rPr>
      <w:rFonts w:ascii="Times New Roman" w:hAnsi="Times New Roman" w:cs="Times New Roman"/>
      <w:sz w:val="24"/>
      <w:szCs w:val="24"/>
    </w:rPr>
  </w:style>
  <w:style w:type="paragraph" w:styleId="Nadpis1">
    <w:name w:val="heading 1"/>
    <w:basedOn w:val="Normln"/>
    <w:next w:val="Normln"/>
    <w:link w:val="Nadpis1Char"/>
    <w:uiPriority w:val="9"/>
    <w:qFormat/>
    <w:rsid w:val="0083696E"/>
    <w:pPr>
      <w:keepNext/>
      <w:keepLines/>
      <w:spacing w:before="240" w:after="0"/>
      <w:outlineLvl w:val="0"/>
    </w:pPr>
    <w:rPr>
      <w:rFonts w:eastAsiaTheme="majorEastAsia"/>
      <w:b/>
      <w:bCs/>
      <w:sz w:val="32"/>
      <w:szCs w:val="32"/>
    </w:rPr>
  </w:style>
  <w:style w:type="paragraph" w:styleId="Nadpis2">
    <w:name w:val="heading 2"/>
    <w:basedOn w:val="Normln"/>
    <w:next w:val="Normln"/>
    <w:link w:val="Nadpis2Char"/>
    <w:uiPriority w:val="9"/>
    <w:unhideWhenUsed/>
    <w:qFormat/>
    <w:rsid w:val="008F6D1E"/>
    <w:pPr>
      <w:keepNext/>
      <w:keepLines/>
      <w:spacing w:before="40" w:after="0"/>
      <w:outlineLvl w:val="1"/>
    </w:pPr>
    <w:rPr>
      <w:rFonts w:eastAsiaTheme="majorEastAsia"/>
      <w:b/>
      <w:bCs/>
      <w:sz w:val="28"/>
      <w:szCs w:val="28"/>
    </w:rPr>
  </w:style>
  <w:style w:type="paragraph" w:styleId="Nadpis3">
    <w:name w:val="heading 3"/>
    <w:basedOn w:val="Normln"/>
    <w:next w:val="Normln"/>
    <w:link w:val="Nadpis3Char"/>
    <w:uiPriority w:val="9"/>
    <w:unhideWhenUsed/>
    <w:qFormat/>
    <w:rsid w:val="00906B00"/>
    <w:pPr>
      <w:keepNext/>
      <w:keepLines/>
      <w:spacing w:before="40" w:after="0"/>
      <w:outlineLvl w:val="2"/>
    </w:pPr>
    <w:rPr>
      <w:rFonts w:eastAsiaTheme="majorEastAsia"/>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F023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F0231"/>
  </w:style>
  <w:style w:type="paragraph" w:styleId="Zpat">
    <w:name w:val="footer"/>
    <w:basedOn w:val="Normln"/>
    <w:link w:val="ZpatChar"/>
    <w:uiPriority w:val="99"/>
    <w:unhideWhenUsed/>
    <w:rsid w:val="009F0231"/>
    <w:pPr>
      <w:tabs>
        <w:tab w:val="center" w:pos="4536"/>
        <w:tab w:val="right" w:pos="9072"/>
      </w:tabs>
      <w:spacing w:after="0" w:line="240" w:lineRule="auto"/>
    </w:pPr>
  </w:style>
  <w:style w:type="character" w:customStyle="1" w:styleId="ZpatChar">
    <w:name w:val="Zápatí Char"/>
    <w:basedOn w:val="Standardnpsmoodstavce"/>
    <w:link w:val="Zpat"/>
    <w:uiPriority w:val="99"/>
    <w:rsid w:val="009F0231"/>
  </w:style>
  <w:style w:type="paragraph" w:styleId="Odstavecseseznamem">
    <w:name w:val="List Paragraph"/>
    <w:basedOn w:val="Normln"/>
    <w:uiPriority w:val="34"/>
    <w:qFormat/>
    <w:rsid w:val="001157F5"/>
    <w:pPr>
      <w:ind w:left="720"/>
      <w:contextualSpacing/>
    </w:pPr>
  </w:style>
  <w:style w:type="character" w:customStyle="1" w:styleId="Nadpis1Char">
    <w:name w:val="Nadpis 1 Char"/>
    <w:basedOn w:val="Standardnpsmoodstavce"/>
    <w:link w:val="Nadpis1"/>
    <w:uiPriority w:val="9"/>
    <w:rsid w:val="0083696E"/>
    <w:rPr>
      <w:rFonts w:ascii="Times New Roman" w:eastAsiaTheme="majorEastAsia" w:hAnsi="Times New Roman" w:cs="Times New Roman"/>
      <w:b/>
      <w:bCs/>
      <w:sz w:val="32"/>
      <w:szCs w:val="32"/>
    </w:rPr>
  </w:style>
  <w:style w:type="character" w:customStyle="1" w:styleId="Nadpis2Char">
    <w:name w:val="Nadpis 2 Char"/>
    <w:basedOn w:val="Standardnpsmoodstavce"/>
    <w:link w:val="Nadpis2"/>
    <w:uiPriority w:val="9"/>
    <w:rsid w:val="008F6D1E"/>
    <w:rPr>
      <w:rFonts w:ascii="Times New Roman" w:eastAsiaTheme="majorEastAsia" w:hAnsi="Times New Roman" w:cs="Times New Roman"/>
      <w:b/>
      <w:bCs/>
      <w:sz w:val="28"/>
      <w:szCs w:val="28"/>
    </w:rPr>
  </w:style>
  <w:style w:type="character" w:customStyle="1" w:styleId="Nadpis3Char">
    <w:name w:val="Nadpis 3 Char"/>
    <w:basedOn w:val="Standardnpsmoodstavce"/>
    <w:link w:val="Nadpis3"/>
    <w:uiPriority w:val="9"/>
    <w:rsid w:val="00906B00"/>
    <w:rPr>
      <w:rFonts w:ascii="Times New Roman" w:eastAsiaTheme="majorEastAsia" w:hAnsi="Times New Roman" w:cs="Times New Roman"/>
      <w:b/>
      <w:bCs/>
      <w:sz w:val="24"/>
      <w:szCs w:val="24"/>
    </w:rPr>
  </w:style>
  <w:style w:type="paragraph" w:styleId="Obsah1">
    <w:name w:val="toc 1"/>
    <w:basedOn w:val="Normln"/>
    <w:next w:val="Normln"/>
    <w:autoRedefine/>
    <w:uiPriority w:val="39"/>
    <w:unhideWhenUsed/>
    <w:rsid w:val="00A019AB"/>
    <w:pPr>
      <w:tabs>
        <w:tab w:val="left" w:pos="440"/>
        <w:tab w:val="right" w:leader="dot" w:pos="9062"/>
      </w:tabs>
      <w:spacing w:after="100"/>
    </w:pPr>
    <w:rPr>
      <w:b/>
      <w:bCs/>
      <w:noProof/>
    </w:rPr>
  </w:style>
  <w:style w:type="paragraph" w:styleId="Obsah2">
    <w:name w:val="toc 2"/>
    <w:basedOn w:val="Normln"/>
    <w:next w:val="Normln"/>
    <w:autoRedefine/>
    <w:uiPriority w:val="39"/>
    <w:unhideWhenUsed/>
    <w:rsid w:val="00C96DE6"/>
    <w:pPr>
      <w:tabs>
        <w:tab w:val="left" w:pos="720"/>
        <w:tab w:val="right" w:leader="dot" w:pos="9062"/>
      </w:tabs>
      <w:spacing w:after="100"/>
    </w:pPr>
    <w:rPr>
      <w:b/>
      <w:bCs/>
      <w:noProof/>
    </w:rPr>
  </w:style>
  <w:style w:type="paragraph" w:styleId="Obsah3">
    <w:name w:val="toc 3"/>
    <w:basedOn w:val="Normln"/>
    <w:next w:val="Normln"/>
    <w:autoRedefine/>
    <w:uiPriority w:val="39"/>
    <w:unhideWhenUsed/>
    <w:rsid w:val="00CF193D"/>
    <w:pPr>
      <w:spacing w:after="100"/>
      <w:ind w:left="440"/>
    </w:pPr>
  </w:style>
  <w:style w:type="character" w:styleId="Hypertextovodkaz">
    <w:name w:val="Hyperlink"/>
    <w:basedOn w:val="Standardnpsmoodstavce"/>
    <w:uiPriority w:val="99"/>
    <w:unhideWhenUsed/>
    <w:rsid w:val="00CF193D"/>
    <w:rPr>
      <w:color w:val="0563C1" w:themeColor="hyperlink"/>
      <w:u w:val="single"/>
    </w:rPr>
  </w:style>
  <w:style w:type="paragraph" w:styleId="Nadpisobsahu">
    <w:name w:val="TOC Heading"/>
    <w:basedOn w:val="Nadpis1"/>
    <w:next w:val="Normln"/>
    <w:uiPriority w:val="39"/>
    <w:unhideWhenUsed/>
    <w:qFormat/>
    <w:rsid w:val="00365780"/>
    <w:pPr>
      <w:outlineLvl w:val="9"/>
    </w:pPr>
    <w:rPr>
      <w:kern w:val="0"/>
      <w:lang w:eastAsia="cs-CZ"/>
      <w14:ligatures w14:val="none"/>
    </w:rPr>
  </w:style>
  <w:style w:type="paragraph" w:customStyle="1" w:styleId="OBSAHBAKA">
    <w:name w:val="OBSAH BAKA"/>
    <w:basedOn w:val="Normln"/>
    <w:link w:val="OBSAHBAKAChar"/>
    <w:rsid w:val="00D142CD"/>
    <w:rPr>
      <w:b/>
      <w:bCs/>
    </w:rPr>
  </w:style>
  <w:style w:type="character" w:customStyle="1" w:styleId="OBSAHBAKAChar">
    <w:name w:val="OBSAH BAKA Char"/>
    <w:basedOn w:val="Standardnpsmoodstavce"/>
    <w:link w:val="OBSAHBAKA"/>
    <w:rsid w:val="00D142CD"/>
    <w:rPr>
      <w:rFonts w:ascii="Times New Roman" w:hAnsi="Times New Roman" w:cs="Times New Roman"/>
      <w:b/>
      <w:bCs/>
      <w:sz w:val="24"/>
      <w:szCs w:val="24"/>
    </w:rPr>
  </w:style>
  <w:style w:type="paragraph" w:styleId="Nzev">
    <w:name w:val="Title"/>
    <w:basedOn w:val="Normln"/>
    <w:next w:val="Normln"/>
    <w:link w:val="NzevChar"/>
    <w:uiPriority w:val="10"/>
    <w:qFormat/>
    <w:rsid w:val="0025679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25679B"/>
    <w:rPr>
      <w:rFonts w:asciiTheme="majorHAnsi" w:eastAsiaTheme="majorEastAsia" w:hAnsiTheme="majorHAnsi" w:cstheme="majorBidi"/>
      <w:spacing w:val="-10"/>
      <w:kern w:val="28"/>
      <w:sz w:val="56"/>
      <w:szCs w:val="56"/>
    </w:rPr>
  </w:style>
  <w:style w:type="paragraph" w:styleId="Zkladntext">
    <w:name w:val="Body Text"/>
    <w:basedOn w:val="Normln"/>
    <w:link w:val="ZkladntextChar"/>
    <w:uiPriority w:val="1"/>
    <w:qFormat/>
    <w:rsid w:val="004208DD"/>
    <w:pPr>
      <w:widowControl w:val="0"/>
      <w:autoSpaceDE w:val="0"/>
      <w:autoSpaceDN w:val="0"/>
      <w:spacing w:after="0" w:line="240" w:lineRule="auto"/>
      <w:jc w:val="left"/>
    </w:pPr>
    <w:rPr>
      <w:rFonts w:eastAsia="Times New Roman"/>
      <w:kern w:val="0"/>
      <w:sz w:val="28"/>
      <w:szCs w:val="28"/>
      <w:lang w:val="sk-SK"/>
      <w14:ligatures w14:val="none"/>
    </w:rPr>
  </w:style>
  <w:style w:type="character" w:customStyle="1" w:styleId="ZkladntextChar">
    <w:name w:val="Základní text Char"/>
    <w:basedOn w:val="Standardnpsmoodstavce"/>
    <w:link w:val="Zkladntext"/>
    <w:uiPriority w:val="1"/>
    <w:rsid w:val="004208DD"/>
    <w:rPr>
      <w:rFonts w:ascii="Times New Roman" w:eastAsia="Times New Roman" w:hAnsi="Times New Roman" w:cs="Times New Roman"/>
      <w:kern w:val="0"/>
      <w:sz w:val="28"/>
      <w:szCs w:val="28"/>
      <w:lang w:val="sk-SK"/>
      <w14:ligatures w14:val="none"/>
    </w:rPr>
  </w:style>
  <w:style w:type="paragraph" w:styleId="Textvysvtlivek">
    <w:name w:val="endnote text"/>
    <w:basedOn w:val="Normln"/>
    <w:link w:val="TextvysvtlivekChar"/>
    <w:uiPriority w:val="99"/>
    <w:semiHidden/>
    <w:unhideWhenUsed/>
    <w:rsid w:val="00C120FE"/>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C120FE"/>
    <w:rPr>
      <w:rFonts w:ascii="Times New Roman" w:hAnsi="Times New Roman" w:cs="Times New Roman"/>
      <w:sz w:val="20"/>
      <w:szCs w:val="20"/>
    </w:rPr>
  </w:style>
  <w:style w:type="character" w:styleId="Odkaznavysvtlivky">
    <w:name w:val="endnote reference"/>
    <w:basedOn w:val="Standardnpsmoodstavce"/>
    <w:uiPriority w:val="99"/>
    <w:semiHidden/>
    <w:unhideWhenUsed/>
    <w:rsid w:val="00C120FE"/>
    <w:rPr>
      <w:vertAlign w:val="superscript"/>
    </w:rPr>
  </w:style>
  <w:style w:type="character" w:styleId="Nevyeenzmnka">
    <w:name w:val="Unresolved Mention"/>
    <w:basedOn w:val="Standardnpsmoodstavce"/>
    <w:uiPriority w:val="99"/>
    <w:semiHidden/>
    <w:unhideWhenUsed/>
    <w:rsid w:val="004452FA"/>
    <w:rPr>
      <w:color w:val="605E5C"/>
      <w:shd w:val="clear" w:color="auto" w:fill="E1DFDD"/>
    </w:rPr>
  </w:style>
  <w:style w:type="paragraph" w:styleId="Bibliografie">
    <w:name w:val="Bibliography"/>
    <w:basedOn w:val="Normln"/>
    <w:next w:val="Normln"/>
    <w:uiPriority w:val="37"/>
    <w:unhideWhenUsed/>
    <w:rsid w:val="00836EF9"/>
    <w:pPr>
      <w:spacing w:after="240" w:line="240" w:lineRule="auto"/>
    </w:pPr>
  </w:style>
  <w:style w:type="paragraph" w:styleId="Textpoznpodarou">
    <w:name w:val="footnote text"/>
    <w:basedOn w:val="Normln"/>
    <w:link w:val="TextpoznpodarouChar"/>
    <w:uiPriority w:val="99"/>
    <w:semiHidden/>
    <w:unhideWhenUsed/>
    <w:rsid w:val="00980D6F"/>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980D6F"/>
    <w:rPr>
      <w:rFonts w:ascii="Times New Roman" w:hAnsi="Times New Roman" w:cs="Times New Roman"/>
      <w:sz w:val="20"/>
      <w:szCs w:val="20"/>
    </w:rPr>
  </w:style>
  <w:style w:type="character" w:styleId="Znakapoznpodarou">
    <w:name w:val="footnote reference"/>
    <w:basedOn w:val="Standardnpsmoodstavce"/>
    <w:uiPriority w:val="99"/>
    <w:semiHidden/>
    <w:unhideWhenUsed/>
    <w:rsid w:val="00980D6F"/>
    <w:rPr>
      <w:vertAlign w:val="superscript"/>
    </w:rPr>
  </w:style>
  <w:style w:type="table" w:styleId="Mkatabulky">
    <w:name w:val="Table Grid"/>
    <w:basedOn w:val="Normlntabulka"/>
    <w:uiPriority w:val="39"/>
    <w:rsid w:val="00E12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0C749F"/>
    <w:rPr>
      <w:sz w:val="16"/>
      <w:szCs w:val="16"/>
    </w:rPr>
  </w:style>
  <w:style w:type="paragraph" w:styleId="Textkomente">
    <w:name w:val="annotation text"/>
    <w:basedOn w:val="Normln"/>
    <w:link w:val="TextkomenteChar"/>
    <w:uiPriority w:val="99"/>
    <w:unhideWhenUsed/>
    <w:rsid w:val="000C749F"/>
    <w:pPr>
      <w:spacing w:line="240" w:lineRule="auto"/>
    </w:pPr>
    <w:rPr>
      <w:sz w:val="20"/>
      <w:szCs w:val="20"/>
    </w:rPr>
  </w:style>
  <w:style w:type="character" w:customStyle="1" w:styleId="TextkomenteChar">
    <w:name w:val="Text komentáře Char"/>
    <w:basedOn w:val="Standardnpsmoodstavce"/>
    <w:link w:val="Textkomente"/>
    <w:uiPriority w:val="99"/>
    <w:rsid w:val="000C749F"/>
    <w:rPr>
      <w:rFonts w:ascii="Times New Roman" w:hAnsi="Times New Roman" w:cs="Times New Roman"/>
      <w:sz w:val="20"/>
      <w:szCs w:val="20"/>
    </w:rPr>
  </w:style>
  <w:style w:type="paragraph" w:styleId="Pedmtkomente">
    <w:name w:val="annotation subject"/>
    <w:basedOn w:val="Textkomente"/>
    <w:next w:val="Textkomente"/>
    <w:link w:val="PedmtkomenteChar"/>
    <w:uiPriority w:val="99"/>
    <w:semiHidden/>
    <w:unhideWhenUsed/>
    <w:rsid w:val="000C749F"/>
    <w:rPr>
      <w:b/>
      <w:bCs/>
    </w:rPr>
  </w:style>
  <w:style w:type="character" w:customStyle="1" w:styleId="PedmtkomenteChar">
    <w:name w:val="Předmět komentáře Char"/>
    <w:basedOn w:val="TextkomenteChar"/>
    <w:link w:val="Pedmtkomente"/>
    <w:uiPriority w:val="99"/>
    <w:semiHidden/>
    <w:rsid w:val="000C749F"/>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279916187">
      <w:bodyDiv w:val="1"/>
      <w:marLeft w:val="0"/>
      <w:marRight w:val="0"/>
      <w:marTop w:val="0"/>
      <w:marBottom w:val="0"/>
      <w:divBdr>
        <w:top w:val="none" w:sz="0" w:space="0" w:color="auto"/>
        <w:left w:val="none" w:sz="0" w:space="0" w:color="auto"/>
        <w:bottom w:val="none" w:sz="0" w:space="0" w:color="auto"/>
        <w:right w:val="none" w:sz="0" w:space="0" w:color="auto"/>
      </w:divBdr>
    </w:div>
    <w:div w:id="341398735">
      <w:bodyDiv w:val="1"/>
      <w:marLeft w:val="0"/>
      <w:marRight w:val="0"/>
      <w:marTop w:val="0"/>
      <w:marBottom w:val="0"/>
      <w:divBdr>
        <w:top w:val="none" w:sz="0" w:space="0" w:color="auto"/>
        <w:left w:val="none" w:sz="0" w:space="0" w:color="auto"/>
        <w:bottom w:val="none" w:sz="0" w:space="0" w:color="auto"/>
        <w:right w:val="none" w:sz="0" w:space="0" w:color="auto"/>
      </w:divBdr>
    </w:div>
    <w:div w:id="446193324">
      <w:bodyDiv w:val="1"/>
      <w:marLeft w:val="0"/>
      <w:marRight w:val="0"/>
      <w:marTop w:val="0"/>
      <w:marBottom w:val="0"/>
      <w:divBdr>
        <w:top w:val="none" w:sz="0" w:space="0" w:color="auto"/>
        <w:left w:val="none" w:sz="0" w:space="0" w:color="auto"/>
        <w:bottom w:val="none" w:sz="0" w:space="0" w:color="auto"/>
        <w:right w:val="none" w:sz="0" w:space="0" w:color="auto"/>
      </w:divBdr>
    </w:div>
    <w:div w:id="455416386">
      <w:bodyDiv w:val="1"/>
      <w:marLeft w:val="0"/>
      <w:marRight w:val="0"/>
      <w:marTop w:val="0"/>
      <w:marBottom w:val="0"/>
      <w:divBdr>
        <w:top w:val="none" w:sz="0" w:space="0" w:color="auto"/>
        <w:left w:val="none" w:sz="0" w:space="0" w:color="auto"/>
        <w:bottom w:val="none" w:sz="0" w:space="0" w:color="auto"/>
        <w:right w:val="none" w:sz="0" w:space="0" w:color="auto"/>
      </w:divBdr>
    </w:div>
    <w:div w:id="831917292">
      <w:bodyDiv w:val="1"/>
      <w:marLeft w:val="0"/>
      <w:marRight w:val="0"/>
      <w:marTop w:val="0"/>
      <w:marBottom w:val="0"/>
      <w:divBdr>
        <w:top w:val="none" w:sz="0" w:space="0" w:color="auto"/>
        <w:left w:val="none" w:sz="0" w:space="0" w:color="auto"/>
        <w:bottom w:val="none" w:sz="0" w:space="0" w:color="auto"/>
        <w:right w:val="none" w:sz="0" w:space="0" w:color="auto"/>
      </w:divBdr>
    </w:div>
    <w:div w:id="923493707">
      <w:bodyDiv w:val="1"/>
      <w:marLeft w:val="0"/>
      <w:marRight w:val="0"/>
      <w:marTop w:val="0"/>
      <w:marBottom w:val="0"/>
      <w:divBdr>
        <w:top w:val="none" w:sz="0" w:space="0" w:color="auto"/>
        <w:left w:val="none" w:sz="0" w:space="0" w:color="auto"/>
        <w:bottom w:val="none" w:sz="0" w:space="0" w:color="auto"/>
        <w:right w:val="none" w:sz="0" w:space="0" w:color="auto"/>
      </w:divBdr>
    </w:div>
    <w:div w:id="930160700">
      <w:bodyDiv w:val="1"/>
      <w:marLeft w:val="0"/>
      <w:marRight w:val="0"/>
      <w:marTop w:val="0"/>
      <w:marBottom w:val="0"/>
      <w:divBdr>
        <w:top w:val="none" w:sz="0" w:space="0" w:color="auto"/>
        <w:left w:val="none" w:sz="0" w:space="0" w:color="auto"/>
        <w:bottom w:val="none" w:sz="0" w:space="0" w:color="auto"/>
        <w:right w:val="none" w:sz="0" w:space="0" w:color="auto"/>
      </w:divBdr>
    </w:div>
    <w:div w:id="1285845702">
      <w:bodyDiv w:val="1"/>
      <w:marLeft w:val="0"/>
      <w:marRight w:val="0"/>
      <w:marTop w:val="0"/>
      <w:marBottom w:val="0"/>
      <w:divBdr>
        <w:top w:val="none" w:sz="0" w:space="0" w:color="auto"/>
        <w:left w:val="none" w:sz="0" w:space="0" w:color="auto"/>
        <w:bottom w:val="none" w:sz="0" w:space="0" w:color="auto"/>
        <w:right w:val="none" w:sz="0" w:space="0" w:color="auto"/>
      </w:divBdr>
    </w:div>
    <w:div w:id="1311010230">
      <w:bodyDiv w:val="1"/>
      <w:marLeft w:val="0"/>
      <w:marRight w:val="0"/>
      <w:marTop w:val="0"/>
      <w:marBottom w:val="0"/>
      <w:divBdr>
        <w:top w:val="none" w:sz="0" w:space="0" w:color="auto"/>
        <w:left w:val="none" w:sz="0" w:space="0" w:color="auto"/>
        <w:bottom w:val="none" w:sz="0" w:space="0" w:color="auto"/>
        <w:right w:val="none" w:sz="0" w:space="0" w:color="auto"/>
      </w:divBdr>
    </w:div>
    <w:div w:id="1585408698">
      <w:bodyDiv w:val="1"/>
      <w:marLeft w:val="0"/>
      <w:marRight w:val="0"/>
      <w:marTop w:val="0"/>
      <w:marBottom w:val="0"/>
      <w:divBdr>
        <w:top w:val="none" w:sz="0" w:space="0" w:color="auto"/>
        <w:left w:val="none" w:sz="0" w:space="0" w:color="auto"/>
        <w:bottom w:val="none" w:sz="0" w:space="0" w:color="auto"/>
        <w:right w:val="none" w:sz="0" w:space="0" w:color="auto"/>
      </w:divBdr>
    </w:div>
    <w:div w:id="1810829307">
      <w:bodyDiv w:val="1"/>
      <w:marLeft w:val="0"/>
      <w:marRight w:val="0"/>
      <w:marTop w:val="0"/>
      <w:marBottom w:val="0"/>
      <w:divBdr>
        <w:top w:val="none" w:sz="0" w:space="0" w:color="auto"/>
        <w:left w:val="none" w:sz="0" w:space="0" w:color="auto"/>
        <w:bottom w:val="none" w:sz="0" w:space="0" w:color="auto"/>
        <w:right w:val="none" w:sz="0" w:space="0" w:color="auto"/>
      </w:divBdr>
      <w:divsChild>
        <w:div w:id="1499804741">
          <w:marLeft w:val="0"/>
          <w:marRight w:val="0"/>
          <w:marTop w:val="0"/>
          <w:marBottom w:val="0"/>
          <w:divBdr>
            <w:top w:val="single" w:sz="2" w:space="0" w:color="E3E3E3"/>
            <w:left w:val="single" w:sz="2" w:space="0" w:color="E3E3E3"/>
            <w:bottom w:val="single" w:sz="2" w:space="0" w:color="E3E3E3"/>
            <w:right w:val="single" w:sz="2" w:space="0" w:color="E3E3E3"/>
          </w:divBdr>
          <w:divsChild>
            <w:div w:id="1437753907">
              <w:marLeft w:val="0"/>
              <w:marRight w:val="0"/>
              <w:marTop w:val="0"/>
              <w:marBottom w:val="0"/>
              <w:divBdr>
                <w:top w:val="single" w:sz="2" w:space="0" w:color="E3E3E3"/>
                <w:left w:val="single" w:sz="2" w:space="0" w:color="E3E3E3"/>
                <w:bottom w:val="single" w:sz="2" w:space="0" w:color="E3E3E3"/>
                <w:right w:val="single" w:sz="2" w:space="0" w:color="E3E3E3"/>
              </w:divBdr>
              <w:divsChild>
                <w:div w:id="469395842">
                  <w:marLeft w:val="0"/>
                  <w:marRight w:val="0"/>
                  <w:marTop w:val="0"/>
                  <w:marBottom w:val="0"/>
                  <w:divBdr>
                    <w:top w:val="single" w:sz="2" w:space="0" w:color="E3E3E3"/>
                    <w:left w:val="single" w:sz="2" w:space="0" w:color="E3E3E3"/>
                    <w:bottom w:val="single" w:sz="2" w:space="0" w:color="E3E3E3"/>
                    <w:right w:val="single" w:sz="2" w:space="0" w:color="E3E3E3"/>
                  </w:divBdr>
                  <w:divsChild>
                    <w:div w:id="1734768395">
                      <w:marLeft w:val="0"/>
                      <w:marRight w:val="0"/>
                      <w:marTop w:val="0"/>
                      <w:marBottom w:val="0"/>
                      <w:divBdr>
                        <w:top w:val="single" w:sz="2" w:space="0" w:color="E3E3E3"/>
                        <w:left w:val="single" w:sz="2" w:space="0" w:color="E3E3E3"/>
                        <w:bottom w:val="single" w:sz="2" w:space="0" w:color="E3E3E3"/>
                        <w:right w:val="single" w:sz="2" w:space="0" w:color="E3E3E3"/>
                      </w:divBdr>
                      <w:divsChild>
                        <w:div w:id="1943805163">
                          <w:marLeft w:val="0"/>
                          <w:marRight w:val="0"/>
                          <w:marTop w:val="0"/>
                          <w:marBottom w:val="0"/>
                          <w:divBdr>
                            <w:top w:val="single" w:sz="2" w:space="0" w:color="E3E3E3"/>
                            <w:left w:val="single" w:sz="2" w:space="0" w:color="E3E3E3"/>
                            <w:bottom w:val="single" w:sz="2" w:space="0" w:color="E3E3E3"/>
                            <w:right w:val="single" w:sz="2" w:space="0" w:color="E3E3E3"/>
                          </w:divBdr>
                          <w:divsChild>
                            <w:div w:id="1220240447">
                              <w:marLeft w:val="0"/>
                              <w:marRight w:val="0"/>
                              <w:marTop w:val="0"/>
                              <w:marBottom w:val="0"/>
                              <w:divBdr>
                                <w:top w:val="single" w:sz="2" w:space="0" w:color="E3E3E3"/>
                                <w:left w:val="single" w:sz="2" w:space="0" w:color="E3E3E3"/>
                                <w:bottom w:val="single" w:sz="2" w:space="0" w:color="E3E3E3"/>
                                <w:right w:val="single" w:sz="2" w:space="0" w:color="E3E3E3"/>
                              </w:divBdr>
                              <w:divsChild>
                                <w:div w:id="895044525">
                                  <w:marLeft w:val="0"/>
                                  <w:marRight w:val="0"/>
                                  <w:marTop w:val="100"/>
                                  <w:marBottom w:val="100"/>
                                  <w:divBdr>
                                    <w:top w:val="single" w:sz="2" w:space="0" w:color="E3E3E3"/>
                                    <w:left w:val="single" w:sz="2" w:space="0" w:color="E3E3E3"/>
                                    <w:bottom w:val="single" w:sz="2" w:space="0" w:color="E3E3E3"/>
                                    <w:right w:val="single" w:sz="2" w:space="0" w:color="E3E3E3"/>
                                  </w:divBdr>
                                  <w:divsChild>
                                    <w:div w:id="263269534">
                                      <w:marLeft w:val="0"/>
                                      <w:marRight w:val="0"/>
                                      <w:marTop w:val="0"/>
                                      <w:marBottom w:val="0"/>
                                      <w:divBdr>
                                        <w:top w:val="single" w:sz="2" w:space="0" w:color="E3E3E3"/>
                                        <w:left w:val="single" w:sz="2" w:space="0" w:color="E3E3E3"/>
                                        <w:bottom w:val="single" w:sz="2" w:space="0" w:color="E3E3E3"/>
                                        <w:right w:val="single" w:sz="2" w:space="0" w:color="E3E3E3"/>
                                      </w:divBdr>
                                      <w:divsChild>
                                        <w:div w:id="821237598">
                                          <w:marLeft w:val="0"/>
                                          <w:marRight w:val="0"/>
                                          <w:marTop w:val="0"/>
                                          <w:marBottom w:val="0"/>
                                          <w:divBdr>
                                            <w:top w:val="single" w:sz="2" w:space="0" w:color="E3E3E3"/>
                                            <w:left w:val="single" w:sz="2" w:space="0" w:color="E3E3E3"/>
                                            <w:bottom w:val="single" w:sz="2" w:space="0" w:color="E3E3E3"/>
                                            <w:right w:val="single" w:sz="2" w:space="0" w:color="E3E3E3"/>
                                          </w:divBdr>
                                          <w:divsChild>
                                            <w:div w:id="839849640">
                                              <w:marLeft w:val="0"/>
                                              <w:marRight w:val="0"/>
                                              <w:marTop w:val="0"/>
                                              <w:marBottom w:val="0"/>
                                              <w:divBdr>
                                                <w:top w:val="single" w:sz="2" w:space="0" w:color="E3E3E3"/>
                                                <w:left w:val="single" w:sz="2" w:space="0" w:color="E3E3E3"/>
                                                <w:bottom w:val="single" w:sz="2" w:space="0" w:color="E3E3E3"/>
                                                <w:right w:val="single" w:sz="2" w:space="0" w:color="E3E3E3"/>
                                              </w:divBdr>
                                              <w:divsChild>
                                                <w:div w:id="1078289283">
                                                  <w:marLeft w:val="0"/>
                                                  <w:marRight w:val="0"/>
                                                  <w:marTop w:val="0"/>
                                                  <w:marBottom w:val="0"/>
                                                  <w:divBdr>
                                                    <w:top w:val="single" w:sz="2" w:space="0" w:color="E3E3E3"/>
                                                    <w:left w:val="single" w:sz="2" w:space="0" w:color="E3E3E3"/>
                                                    <w:bottom w:val="single" w:sz="2" w:space="0" w:color="E3E3E3"/>
                                                    <w:right w:val="single" w:sz="2" w:space="0" w:color="E3E3E3"/>
                                                  </w:divBdr>
                                                  <w:divsChild>
                                                    <w:div w:id="1427844971">
                                                      <w:marLeft w:val="0"/>
                                                      <w:marRight w:val="0"/>
                                                      <w:marTop w:val="0"/>
                                                      <w:marBottom w:val="0"/>
                                                      <w:divBdr>
                                                        <w:top w:val="single" w:sz="2" w:space="0" w:color="E3E3E3"/>
                                                        <w:left w:val="single" w:sz="2" w:space="0" w:color="E3E3E3"/>
                                                        <w:bottom w:val="single" w:sz="2" w:space="0" w:color="E3E3E3"/>
                                                        <w:right w:val="single" w:sz="2" w:space="0" w:color="E3E3E3"/>
                                                      </w:divBdr>
                                                      <w:divsChild>
                                                        <w:div w:id="4315596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29583528">
          <w:marLeft w:val="0"/>
          <w:marRight w:val="0"/>
          <w:marTop w:val="0"/>
          <w:marBottom w:val="0"/>
          <w:divBdr>
            <w:top w:val="none" w:sz="0" w:space="0" w:color="auto"/>
            <w:left w:val="none" w:sz="0" w:space="0" w:color="auto"/>
            <w:bottom w:val="none" w:sz="0" w:space="0" w:color="auto"/>
            <w:right w:val="none" w:sz="0" w:space="0" w:color="auto"/>
          </w:divBdr>
        </w:div>
      </w:divsChild>
    </w:div>
    <w:div w:id="1959949507">
      <w:bodyDiv w:val="1"/>
      <w:marLeft w:val="0"/>
      <w:marRight w:val="0"/>
      <w:marTop w:val="0"/>
      <w:marBottom w:val="0"/>
      <w:divBdr>
        <w:top w:val="none" w:sz="0" w:space="0" w:color="auto"/>
        <w:left w:val="none" w:sz="0" w:space="0" w:color="auto"/>
        <w:bottom w:val="none" w:sz="0" w:space="0" w:color="auto"/>
        <w:right w:val="none" w:sz="0" w:space="0" w:color="auto"/>
      </w:divBdr>
    </w:div>
    <w:div w:id="1974559741">
      <w:bodyDiv w:val="1"/>
      <w:marLeft w:val="0"/>
      <w:marRight w:val="0"/>
      <w:marTop w:val="0"/>
      <w:marBottom w:val="0"/>
      <w:divBdr>
        <w:top w:val="none" w:sz="0" w:space="0" w:color="auto"/>
        <w:left w:val="none" w:sz="0" w:space="0" w:color="auto"/>
        <w:bottom w:val="none" w:sz="0" w:space="0" w:color="auto"/>
        <w:right w:val="none" w:sz="0" w:space="0" w:color="auto"/>
      </w:divBdr>
    </w:div>
    <w:div w:id="2028671871">
      <w:bodyDiv w:val="1"/>
      <w:marLeft w:val="0"/>
      <w:marRight w:val="0"/>
      <w:marTop w:val="0"/>
      <w:marBottom w:val="0"/>
      <w:divBdr>
        <w:top w:val="none" w:sz="0" w:space="0" w:color="auto"/>
        <w:left w:val="none" w:sz="0" w:space="0" w:color="auto"/>
        <w:bottom w:val="none" w:sz="0" w:space="0" w:color="auto"/>
        <w:right w:val="none" w:sz="0" w:space="0" w:color="auto"/>
      </w:divBdr>
    </w:div>
    <w:div w:id="204178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7.png"/><Relationship Id="rId21" Type="http://schemas.openxmlformats.org/officeDocument/2006/relationships/image" Target="media/image8.emf"/><Relationship Id="rId34" Type="http://schemas.openxmlformats.org/officeDocument/2006/relationships/oleObject" Target="embeddings/oleObject10.bin"/><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2.emf"/><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6.emf"/><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oleObject" Target="embeddings/oleObject4.bin"/><Relationship Id="rId27" Type="http://schemas.openxmlformats.org/officeDocument/2006/relationships/image" Target="media/image11.emf"/><Relationship Id="rId30" Type="http://schemas.openxmlformats.org/officeDocument/2006/relationships/oleObject" Target="embeddings/oleObject8.bin"/><Relationship Id="rId35" Type="http://schemas.openxmlformats.org/officeDocument/2006/relationships/image" Target="media/image15.em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2.bin"/></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BF3C6-9D92-4C3E-9077-F2CB3D0F4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62</Pages>
  <Words>13472</Words>
  <Characters>82055</Characters>
  <Application>Microsoft Office Word</Application>
  <DocSecurity>0</DocSecurity>
  <Lines>1535</Lines>
  <Paragraphs>531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Adéla Matejzíková</dc:creator>
  <cp:keywords/>
  <dc:description/>
  <cp:lastModifiedBy>Adéla Matejzíková</cp:lastModifiedBy>
  <cp:revision>327</cp:revision>
  <dcterms:created xsi:type="dcterms:W3CDTF">2024-04-24T13:30:00Z</dcterms:created>
  <dcterms:modified xsi:type="dcterms:W3CDTF">2024-05-02T15:57:00Z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id="C85ry538"/&gt;&lt;style id="http://www.zotero.org/styles/iso690-author-date-cs" hasBibliography="1" bibliographyStyleHasBeenSet="1"/&gt;&lt;prefs&gt;&lt;pref name="fieldType" value="Field"/&gt;&lt;pref name="automaticJo</vt:lpwstr>
  </property>
  <property fmtid="{D5CDD505-2E9C-101B-9397-08002B2CF9AE}" pid="3" name="ZOTERO_PREF_2">
    <vt:lpwstr>urnalAbbreviations" value="true"/&gt;&lt;/prefs&gt;&lt;/data&gt;</vt:lpwstr>
  </property>
</Properties>
</file>