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Override PartName="/word/footer6.xml" ContentType="application/vnd.openxmlformats-officedocument.wordprocessingml.footer+xml"/>
  <Default Extension="wmf" ContentType="image/x-wmf"/>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406" w:rsidRDefault="004E427D">
      <w:pPr>
        <w:spacing w:after="0"/>
        <w:jc w:val="left"/>
        <w:rPr>
          <w:rFonts w:ascii="Verdana" w:hAnsi="Verdana" w:cs="Verdana"/>
          <w:b/>
          <w:bCs/>
          <w:color w:val="000000"/>
          <w:sz w:val="32"/>
          <w:szCs w:val="32"/>
        </w:rPr>
      </w:pPr>
      <w:r>
        <w:rPr>
          <w:rFonts w:ascii="Verdana" w:hAnsi="Verdana" w:cs="Verdana"/>
          <w:b/>
          <w:bCs/>
          <w:color w:val="000000"/>
          <w:sz w:val="32"/>
          <w:szCs w:val="32"/>
        </w:rPr>
        <w:t>V</w:t>
      </w:r>
      <w:r w:rsidR="009E2406" w:rsidRPr="009E2406">
        <w:rPr>
          <w:rFonts w:ascii="Verdana" w:hAnsi="Verdana" w:cs="Verdana"/>
          <w:b/>
          <w:bCs/>
          <w:color w:val="000000"/>
          <w:sz w:val="32"/>
          <w:szCs w:val="32"/>
        </w:rPr>
        <w:t>YSOKÁ ŠKOLA EKONOMIE A MANAGEMENTU</w:t>
      </w:r>
      <w:r w:rsidR="003006AA">
        <w:rPr>
          <w:rFonts w:ascii="Verdana" w:hAnsi="Verdana" w:cs="Verdana"/>
          <w:b/>
          <w:bCs/>
          <w:color w:val="000000"/>
          <w:sz w:val="32"/>
          <w:szCs w:val="32"/>
        </w:rPr>
        <w:t xml:space="preserve"> </w:t>
      </w:r>
    </w:p>
    <w:p w:rsidR="003006AA" w:rsidRPr="003006AA" w:rsidRDefault="003006AA">
      <w:pPr>
        <w:spacing w:after="0"/>
        <w:jc w:val="left"/>
        <w:rPr>
          <w:rFonts w:ascii="Verdana" w:hAnsi="Verdana" w:cs="Verdana"/>
          <w:bCs/>
          <w:color w:val="000000"/>
          <w:sz w:val="32"/>
          <w:szCs w:val="32"/>
        </w:rPr>
      </w:pPr>
    </w:p>
    <w:p w:rsidR="009E2406" w:rsidRPr="003006AA" w:rsidRDefault="009E2406">
      <w:pPr>
        <w:spacing w:after="0"/>
        <w:jc w:val="left"/>
        <w:rPr>
          <w:rFonts w:ascii="Verdana" w:hAnsi="Verdana" w:cs="Verdana"/>
          <w:bCs/>
          <w:color w:val="000000"/>
          <w:sz w:val="32"/>
          <w:szCs w:val="32"/>
        </w:rPr>
      </w:pPr>
    </w:p>
    <w:p w:rsidR="009E2406" w:rsidRPr="003006AA" w:rsidRDefault="009E2406">
      <w:pPr>
        <w:spacing w:after="0"/>
        <w:jc w:val="left"/>
        <w:rPr>
          <w:rFonts w:ascii="Verdana" w:hAnsi="Verdana" w:cs="Verdana"/>
          <w:bCs/>
          <w:color w:val="000000"/>
          <w:sz w:val="32"/>
          <w:szCs w:val="32"/>
        </w:rPr>
      </w:pPr>
    </w:p>
    <w:p w:rsidR="009E2406" w:rsidRPr="003006AA" w:rsidRDefault="009E2406">
      <w:pPr>
        <w:spacing w:after="0"/>
        <w:jc w:val="left"/>
        <w:rPr>
          <w:rFonts w:ascii="Verdana" w:hAnsi="Verdana" w:cs="Verdana"/>
          <w:bCs/>
          <w:color w:val="000000"/>
          <w:sz w:val="32"/>
          <w:szCs w:val="32"/>
        </w:rPr>
      </w:pPr>
    </w:p>
    <w:p w:rsidR="009E2406" w:rsidRPr="003006AA" w:rsidRDefault="009E2406">
      <w:pPr>
        <w:spacing w:after="0"/>
        <w:jc w:val="left"/>
        <w:rPr>
          <w:rFonts w:ascii="Verdana" w:hAnsi="Verdana" w:cs="Verdana"/>
          <w:bCs/>
          <w:color w:val="000000"/>
          <w:sz w:val="32"/>
          <w:szCs w:val="32"/>
        </w:rPr>
      </w:pPr>
    </w:p>
    <w:p w:rsidR="009E2406" w:rsidRPr="003006AA" w:rsidRDefault="009E2406">
      <w:pPr>
        <w:spacing w:after="0"/>
        <w:jc w:val="left"/>
        <w:rPr>
          <w:rFonts w:ascii="Verdana" w:hAnsi="Verdana" w:cs="Verdana"/>
          <w:bCs/>
          <w:color w:val="000000"/>
          <w:sz w:val="32"/>
          <w:szCs w:val="32"/>
        </w:rPr>
      </w:pPr>
    </w:p>
    <w:p w:rsidR="009E2406" w:rsidRPr="003006AA" w:rsidRDefault="009E2406">
      <w:pPr>
        <w:spacing w:after="0"/>
        <w:jc w:val="left"/>
        <w:rPr>
          <w:rFonts w:ascii="Verdana" w:hAnsi="Verdana" w:cs="Verdana"/>
          <w:bCs/>
          <w:color w:val="000000"/>
          <w:sz w:val="32"/>
          <w:szCs w:val="32"/>
        </w:rPr>
      </w:pPr>
    </w:p>
    <w:p w:rsidR="009E2406" w:rsidRPr="003006AA" w:rsidRDefault="009E2406">
      <w:pPr>
        <w:spacing w:after="0"/>
        <w:jc w:val="left"/>
        <w:rPr>
          <w:rFonts w:ascii="Verdana" w:hAnsi="Verdana" w:cs="Verdana"/>
          <w:bCs/>
          <w:color w:val="000000"/>
          <w:sz w:val="32"/>
          <w:szCs w:val="32"/>
        </w:rPr>
      </w:pPr>
    </w:p>
    <w:p w:rsidR="009E2406" w:rsidRDefault="009E2406">
      <w:pPr>
        <w:spacing w:after="0"/>
        <w:jc w:val="left"/>
        <w:rPr>
          <w:rFonts w:ascii="Verdana" w:hAnsi="Verdana" w:cs="Verdana"/>
          <w:bCs/>
          <w:color w:val="000000"/>
          <w:sz w:val="32"/>
          <w:szCs w:val="32"/>
        </w:rPr>
      </w:pPr>
    </w:p>
    <w:p w:rsidR="003006AA" w:rsidRPr="003006AA" w:rsidRDefault="003006AA">
      <w:pPr>
        <w:spacing w:after="0"/>
        <w:jc w:val="left"/>
        <w:rPr>
          <w:rFonts w:ascii="Verdana" w:hAnsi="Verdana" w:cs="Verdana"/>
          <w:bCs/>
          <w:color w:val="000000"/>
          <w:sz w:val="32"/>
          <w:szCs w:val="32"/>
        </w:rPr>
      </w:pPr>
    </w:p>
    <w:p w:rsidR="00320E0F" w:rsidRPr="0026039B" w:rsidRDefault="0026039B" w:rsidP="009E2406">
      <w:pPr>
        <w:spacing w:after="0"/>
        <w:jc w:val="center"/>
        <w:rPr>
          <w:rFonts w:ascii="Verdana" w:hAnsi="Verdana"/>
          <w:b/>
          <w:sz w:val="56"/>
          <w:szCs w:val="56"/>
        </w:rPr>
      </w:pPr>
      <w:r w:rsidRPr="0026039B">
        <w:rPr>
          <w:rFonts w:ascii="Verdana" w:hAnsi="Verdana"/>
          <w:b/>
          <w:sz w:val="56"/>
          <w:szCs w:val="56"/>
        </w:rPr>
        <w:t>B</w:t>
      </w:r>
      <w:r w:rsidR="00441E7B">
        <w:rPr>
          <w:rFonts w:ascii="Verdana" w:hAnsi="Verdana"/>
          <w:b/>
          <w:sz w:val="56"/>
          <w:szCs w:val="56"/>
        </w:rPr>
        <w:t>A</w:t>
      </w:r>
      <w:r w:rsidRPr="0026039B">
        <w:rPr>
          <w:rFonts w:ascii="Verdana" w:hAnsi="Verdana"/>
          <w:b/>
          <w:sz w:val="56"/>
          <w:szCs w:val="56"/>
        </w:rPr>
        <w:t>KALÁŘSKÁ PRÁCE</w:t>
      </w:r>
    </w:p>
    <w:p w:rsidR="00320E0F" w:rsidRPr="00320E0F" w:rsidRDefault="00320E0F" w:rsidP="00320E0F">
      <w:pPr>
        <w:rPr>
          <w:sz w:val="32"/>
          <w:szCs w:val="32"/>
        </w:rPr>
      </w:pPr>
    </w:p>
    <w:p w:rsidR="00320E0F" w:rsidRDefault="00320E0F" w:rsidP="00320E0F">
      <w:pPr>
        <w:rPr>
          <w:sz w:val="32"/>
          <w:szCs w:val="32"/>
        </w:rPr>
      </w:pPr>
    </w:p>
    <w:p w:rsidR="00320E0F" w:rsidRPr="00320E0F" w:rsidRDefault="00320E0F" w:rsidP="00320E0F">
      <w:pPr>
        <w:rPr>
          <w:sz w:val="32"/>
          <w:szCs w:val="32"/>
        </w:rPr>
      </w:pPr>
    </w:p>
    <w:p w:rsidR="00320E0F" w:rsidRDefault="00320E0F" w:rsidP="00320E0F">
      <w:pPr>
        <w:rPr>
          <w:sz w:val="32"/>
          <w:szCs w:val="32"/>
        </w:rPr>
      </w:pPr>
    </w:p>
    <w:p w:rsidR="00320E0F" w:rsidRDefault="00320E0F" w:rsidP="00320E0F">
      <w:pPr>
        <w:tabs>
          <w:tab w:val="left" w:pos="3600"/>
        </w:tabs>
        <w:rPr>
          <w:sz w:val="32"/>
          <w:szCs w:val="32"/>
        </w:rPr>
      </w:pPr>
    </w:p>
    <w:p w:rsidR="00320E0F" w:rsidRDefault="00320E0F" w:rsidP="00320E0F">
      <w:pPr>
        <w:tabs>
          <w:tab w:val="left" w:pos="3600"/>
        </w:tabs>
        <w:rPr>
          <w:sz w:val="32"/>
          <w:szCs w:val="32"/>
        </w:rPr>
      </w:pPr>
    </w:p>
    <w:p w:rsidR="00320E0F" w:rsidRDefault="009C1CDD" w:rsidP="00320E0F">
      <w:pPr>
        <w:tabs>
          <w:tab w:val="left" w:pos="3600"/>
        </w:tabs>
        <w:rPr>
          <w:sz w:val="32"/>
          <w:szCs w:val="32"/>
        </w:rPr>
      </w:pPr>
      <w:r>
        <w:rPr>
          <w:noProof/>
          <w:sz w:val="32"/>
          <w:szCs w:val="32"/>
          <w:lang w:eastAsia="en-US"/>
        </w:rPr>
        <w:pict>
          <v:shapetype id="_x0000_t202" coordsize="21600,21600" o:spt="202" path="m,l,21600r21600,l21600,xe">
            <v:stroke joinstyle="miter"/>
            <v:path gradientshapeok="t" o:connecttype="rect"/>
          </v:shapetype>
          <v:shape id="_x0000_s1027" type="#_x0000_t202" style="position:absolute;left:0;text-align:left;margin-left:112.35pt;margin-top:32.35pt;width:312.75pt;height:30.75pt;z-index:251660288;mso-width-relative:margin;mso-height-relative:margin" strokecolor="white [3212]">
            <v:textbox style="mso-next-textbox:#_x0000_s1027">
              <w:txbxContent>
                <w:sdt>
                  <w:sdtPr>
                    <w:id w:val="12422445"/>
                    <w:placeholder>
                      <w:docPart w:val="DefaultPlaceholder_22675703"/>
                    </w:placeholder>
                  </w:sdtPr>
                  <w:sdtContent>
                    <w:p w:rsidR="00095772" w:rsidRPr="00320E0F" w:rsidRDefault="00095772" w:rsidP="00320E0F">
                      <w:pPr>
                        <w:jc w:val="right"/>
                      </w:pPr>
                      <w:r>
                        <w:rPr>
                          <w:rFonts w:ascii="Verdana" w:hAnsi="Verdana"/>
                          <w:b/>
                          <w:caps/>
                          <w:sz w:val="32"/>
                        </w:rPr>
                        <w:t>KATEŘINA VOLÁKOVÁ</w:t>
                      </w:r>
                    </w:p>
                  </w:sdtContent>
                </w:sdt>
              </w:txbxContent>
            </v:textbox>
          </v:shape>
        </w:pic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Content>
        <w:p w:rsidR="00320E0F" w:rsidRDefault="003006AA" w:rsidP="00320E0F">
          <w:pPr>
            <w:tabs>
              <w:tab w:val="left" w:pos="1785"/>
            </w:tabs>
            <w:jc w:val="left"/>
            <w:rPr>
              <w:sz w:val="32"/>
              <w:szCs w:val="32"/>
            </w:rPr>
          </w:pPr>
          <w:r>
            <w:rPr>
              <w:rFonts w:ascii="Verdana" w:hAnsi="Verdana"/>
              <w:b/>
              <w:sz w:val="32"/>
              <w:szCs w:val="32"/>
            </w:rPr>
            <w:t>2011</w:t>
          </w:r>
        </w:p>
      </w:sdtContent>
    </w:sdt>
    <w:p w:rsidR="00D57FD4" w:rsidRDefault="00D57FD4">
      <w:pPr>
        <w:spacing w:after="0" w:line="240" w:lineRule="auto"/>
        <w:jc w:val="left"/>
        <w:rPr>
          <w:b/>
          <w:sz w:val="32"/>
          <w:szCs w:val="32"/>
        </w:rPr>
        <w:sectPr w:rsidR="00D57FD4" w:rsidSect="00990CF5">
          <w:footerReference w:type="even" r:id="rId8"/>
          <w:footerReference w:type="default" r:id="rId9"/>
          <w:headerReference w:type="first" r:id="rId10"/>
          <w:footerReference w:type="first" r:id="rId11"/>
          <w:pgSz w:w="11906" w:h="16838" w:code="9"/>
          <w:pgMar w:top="1418" w:right="1134" w:bottom="1418" w:left="2268" w:header="709" w:footer="709" w:gutter="0"/>
          <w:cols w:space="708"/>
          <w:docGrid w:linePitch="326"/>
        </w:sectPr>
      </w:pPr>
    </w:p>
    <w:p w:rsidR="0032047F" w:rsidRDefault="0032047F" w:rsidP="0032047F">
      <w:pPr>
        <w:pStyle w:val="Nzev"/>
        <w:rPr>
          <w:rFonts w:ascii="Verdana" w:hAnsi="Verdana"/>
          <w:b w:val="0"/>
          <w:sz w:val="32"/>
          <w:szCs w:val="32"/>
        </w:rPr>
      </w:pPr>
    </w:p>
    <w:p w:rsidR="003006AA" w:rsidRDefault="003006AA" w:rsidP="0032047F">
      <w:pPr>
        <w:pStyle w:val="Nzev"/>
        <w:rPr>
          <w:rFonts w:ascii="Verdana" w:hAnsi="Verdana"/>
          <w:b w:val="0"/>
          <w:sz w:val="32"/>
          <w:szCs w:val="32"/>
        </w:rPr>
      </w:pPr>
    </w:p>
    <w:p w:rsidR="003006AA" w:rsidRDefault="003006AA" w:rsidP="0032047F">
      <w:pPr>
        <w:pStyle w:val="Nzev"/>
        <w:rPr>
          <w:rFonts w:ascii="Verdana" w:hAnsi="Verdana"/>
          <w:b w:val="0"/>
          <w:sz w:val="32"/>
          <w:szCs w:val="32"/>
        </w:rPr>
      </w:pPr>
    </w:p>
    <w:p w:rsidR="003006AA" w:rsidRPr="003006AA" w:rsidRDefault="003006AA"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p w:rsidR="00B408CB" w:rsidRPr="003006AA" w:rsidRDefault="00B408CB"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p w:rsidR="0032047F" w:rsidRDefault="0026039B" w:rsidP="0032047F">
      <w:pPr>
        <w:spacing w:after="0"/>
        <w:jc w:val="center"/>
        <w:rPr>
          <w:rFonts w:ascii="Verdana" w:hAnsi="Verdana"/>
          <w:b/>
          <w:caps/>
          <w:sz w:val="56"/>
          <w:szCs w:val="56"/>
        </w:rPr>
      </w:pPr>
      <w:r>
        <w:rPr>
          <w:rFonts w:ascii="Verdana" w:hAnsi="Verdana"/>
          <w:b/>
          <w:caps/>
          <w:sz w:val="56"/>
          <w:szCs w:val="56"/>
        </w:rPr>
        <w:t>bakalářská práce</w:t>
      </w:r>
      <w:r w:rsidR="003006AA">
        <w:rPr>
          <w:rFonts w:ascii="Verdana" w:hAnsi="Verdana"/>
          <w:b/>
          <w:caps/>
          <w:sz w:val="56"/>
          <w:szCs w:val="56"/>
        </w:rPr>
        <w:t xml:space="preserve"> </w:t>
      </w:r>
    </w:p>
    <w:p w:rsidR="0032047F" w:rsidRPr="003006AA" w:rsidRDefault="0032047F"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p w:rsidR="003006AA" w:rsidRPr="003006AA" w:rsidRDefault="003006AA"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sdt>
      <w:sdtPr>
        <w:rPr>
          <w:rFonts w:ascii="Verdana" w:hAnsi="Verdana"/>
          <w:sz w:val="36"/>
          <w:szCs w:val="36"/>
        </w:rPr>
        <w:id w:val="4309169"/>
        <w:placeholder>
          <w:docPart w:val="B748D979AEAE4A25B5117D7B3C70EEED"/>
        </w:placeholder>
        <w:comboBox>
          <w:listItem w:value="Zvolte položku."/>
          <w:listItem w:displayText="PODNIKOVÁ EKONOMIKA" w:value="PODNIKOVÁ EKONOMIKA"/>
          <w:listItem w:displayText="KOMUNIKACE A LIDSKÉ ZDROJE" w:value="KOMUNIKACE A LIDSKÉ ZDROJE"/>
          <w:listItem w:displayText="MARKETING" w:value="MARKETING"/>
        </w:comboBox>
      </w:sdtPr>
      <w:sdtContent>
        <w:p w:rsidR="00674498" w:rsidRDefault="00A53CA6" w:rsidP="00674498">
          <w:pPr>
            <w:pStyle w:val="Nzev"/>
            <w:rPr>
              <w:rFonts w:ascii="Verdana" w:hAnsi="Verdana"/>
              <w:sz w:val="36"/>
              <w:szCs w:val="36"/>
            </w:rPr>
          </w:pPr>
          <w:r>
            <w:rPr>
              <w:rFonts w:ascii="Verdana" w:hAnsi="Verdana"/>
              <w:sz w:val="36"/>
              <w:szCs w:val="36"/>
            </w:rPr>
            <w:t>PODNIKOVÁ EKONOMIKA</w:t>
          </w:r>
        </w:p>
      </w:sdtContent>
    </w:sdt>
    <w:p w:rsidR="003006AA" w:rsidRPr="003006AA" w:rsidRDefault="003006AA" w:rsidP="003006AA">
      <w:pPr>
        <w:pStyle w:val="Nzev"/>
        <w:rPr>
          <w:rFonts w:ascii="Verdana" w:hAnsi="Verdana"/>
          <w:b w:val="0"/>
          <w:sz w:val="32"/>
          <w:szCs w:val="32"/>
        </w:rPr>
      </w:pPr>
    </w:p>
    <w:p w:rsidR="003006AA" w:rsidRDefault="003006AA">
      <w:pPr>
        <w:spacing w:after="0" w:line="240" w:lineRule="auto"/>
        <w:jc w:val="left"/>
        <w:rPr>
          <w:rFonts w:ascii="Verdana" w:hAnsi="Verdana"/>
          <w:sz w:val="28"/>
          <w:szCs w:val="28"/>
        </w:rPr>
      </w:pPr>
      <w:r>
        <w:rPr>
          <w:rFonts w:ascii="Verdana" w:hAnsi="Verdana"/>
          <w:b/>
          <w:sz w:val="28"/>
          <w:szCs w:val="28"/>
        </w:rPr>
        <w:br w:type="page"/>
      </w:r>
    </w:p>
    <w:p w:rsidR="003006AA" w:rsidRDefault="003006AA"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915A4B">
        <w:tc>
          <w:tcPr>
            <w:tcW w:w="8644" w:type="dxa"/>
            <w:shd w:val="clear" w:color="auto" w:fill="F2F2F2" w:themeFill="background1" w:themeFillShade="F2"/>
          </w:tcPr>
          <w:p w:rsidR="00B55AB9" w:rsidRPr="00B55AB9" w:rsidRDefault="00B55AB9" w:rsidP="006F1C24">
            <w:pPr>
              <w:pStyle w:val="Formul"/>
            </w:pPr>
            <w:r w:rsidRPr="00B55AB9">
              <w:t xml:space="preserve">Název </w:t>
            </w:r>
            <w:r w:rsidR="006F1C24">
              <w:t>BAKALÁŘSKÉ</w:t>
            </w:r>
            <w:r w:rsidRPr="00B55AB9">
              <w:t xml:space="preserve"> práce</w:t>
            </w:r>
          </w:p>
        </w:tc>
      </w:tr>
      <w:tr w:rsidR="00B55AB9" w:rsidRPr="004D09F5" w:rsidTr="003006AA">
        <w:tc>
          <w:tcPr>
            <w:tcW w:w="8644" w:type="dxa"/>
          </w:tcPr>
          <w:p w:rsidR="00B408CB" w:rsidRDefault="00B408CB" w:rsidP="00205ECD">
            <w:pPr>
              <w:spacing w:after="0" w:line="240" w:lineRule="auto"/>
              <w:jc w:val="left"/>
              <w:rPr>
                <w:rFonts w:ascii="Verdana" w:hAnsi="Verdana"/>
              </w:rPr>
            </w:pPr>
          </w:p>
          <w:sdt>
            <w:sdtPr>
              <w:rPr>
                <w:rFonts w:ascii="Verdana" w:hAnsi="Verdana"/>
              </w:rPr>
              <w:id w:val="528793342"/>
              <w:placeholder>
                <w:docPart w:val="6B2CEC3688A743C2A84428C59BBC7235"/>
              </w:placeholder>
              <w:text/>
            </w:sdtPr>
            <w:sdtContent>
              <w:p w:rsidR="00B55AB9" w:rsidRDefault="00A53CA6" w:rsidP="00B408CB">
                <w:pPr>
                  <w:spacing w:after="0" w:line="240" w:lineRule="auto"/>
                  <w:jc w:val="left"/>
                  <w:rPr>
                    <w:rFonts w:ascii="Verdana" w:hAnsi="Verdana"/>
                  </w:rPr>
                </w:pPr>
                <w:r>
                  <w:rPr>
                    <w:rFonts w:ascii="Verdana" w:hAnsi="Verdana"/>
                  </w:rPr>
                  <w:t xml:space="preserve">Kalkulace a kalkulační metody v manažerském účetnictví </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766B41">
      <w:pPr>
        <w:spacing w:after="180"/>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915A4B">
        <w:tc>
          <w:tcPr>
            <w:tcW w:w="9212" w:type="dxa"/>
            <w:shd w:val="clear" w:color="auto" w:fill="F2F2F2" w:themeFill="background1" w:themeFillShade="F2"/>
          </w:tcPr>
          <w:p w:rsidR="00B55AB9" w:rsidRPr="004D09F5" w:rsidRDefault="00B55AB9" w:rsidP="00472479">
            <w:pPr>
              <w:pStyle w:val="Formul"/>
            </w:pPr>
            <w:r>
              <w:t>TERMÍN UKONČENÍ STUDIA A OBHAJOBA (MĚSÍC/ROK)</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Content>
              <w:p w:rsidR="00B55AB9" w:rsidRDefault="00A53CA6" w:rsidP="00B408CB">
                <w:pPr>
                  <w:spacing w:after="0" w:line="240" w:lineRule="auto"/>
                  <w:jc w:val="left"/>
                  <w:rPr>
                    <w:rFonts w:ascii="Verdana" w:hAnsi="Verdana"/>
                  </w:rPr>
                </w:pPr>
                <w:r>
                  <w:rPr>
                    <w:rFonts w:ascii="Verdana" w:hAnsi="Verdana"/>
                  </w:rPr>
                  <w:t xml:space="preserve">10/2011 </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766B41">
      <w:pPr>
        <w:spacing w:after="180"/>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915A4B">
        <w:tc>
          <w:tcPr>
            <w:tcW w:w="9212" w:type="dxa"/>
            <w:shd w:val="clear" w:color="auto" w:fill="F2F2F2" w:themeFill="background1" w:themeFillShade="F2"/>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9C1CDD" w:rsidP="00B408CB">
            <w:pPr>
              <w:spacing w:after="0" w:line="240" w:lineRule="auto"/>
              <w:jc w:val="left"/>
              <w:rPr>
                <w:rFonts w:ascii="Verdana" w:hAnsi="Verdana"/>
              </w:rPr>
            </w:pPr>
            <w:sdt>
              <w:sdtPr>
                <w:rPr>
                  <w:rFonts w:ascii="Verdana" w:hAnsi="Verdana"/>
                </w:rPr>
                <w:id w:val="528793340"/>
                <w:placeholder>
                  <w:docPart w:val="C840E045410F4AC99C6C23D0C68FBB3A"/>
                </w:placeholder>
                <w:text/>
              </w:sdtPr>
              <w:sdtContent>
                <w:r w:rsidR="00A53CA6">
                  <w:rPr>
                    <w:rFonts w:ascii="Verdana" w:hAnsi="Verdana"/>
                  </w:rPr>
                  <w:t xml:space="preserve">Kateřina Voláková / PE 25 </w:t>
                </w:r>
              </w:sdtContent>
            </w:sdt>
          </w:p>
          <w:p w:rsidR="00B55AB9" w:rsidRPr="004D09F5" w:rsidRDefault="00B55AB9" w:rsidP="00B408CB">
            <w:pPr>
              <w:spacing w:after="0" w:line="240" w:lineRule="auto"/>
              <w:jc w:val="left"/>
              <w:rPr>
                <w:rFonts w:ascii="Verdana" w:hAnsi="Verdana"/>
              </w:rPr>
            </w:pPr>
          </w:p>
        </w:tc>
      </w:tr>
    </w:tbl>
    <w:p w:rsidR="00B55AB9" w:rsidRPr="004D09F5" w:rsidRDefault="00B55AB9" w:rsidP="00766B41">
      <w:pPr>
        <w:spacing w:after="180"/>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915A4B">
        <w:tc>
          <w:tcPr>
            <w:tcW w:w="9212" w:type="dxa"/>
            <w:shd w:val="clear" w:color="auto" w:fill="F2F2F2" w:themeFill="background1" w:themeFillShade="F2"/>
          </w:tcPr>
          <w:p w:rsidR="00B55AB9" w:rsidRPr="004D09F5" w:rsidRDefault="00B55AB9" w:rsidP="006F1C24">
            <w:pPr>
              <w:pStyle w:val="Formul"/>
            </w:pPr>
            <w:r w:rsidRPr="004D09F5">
              <w:t xml:space="preserve">jméno vedoucího </w:t>
            </w:r>
            <w:r w:rsidR="006F1C24">
              <w:t>BAKALÁŘSKÉ</w:t>
            </w:r>
            <w:r w:rsidR="00384C28">
              <w:t xml:space="preserve"> </w:t>
            </w:r>
            <w:r>
              <w:t>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9C1CDD" w:rsidP="00B408CB">
            <w:pPr>
              <w:spacing w:after="0" w:line="240" w:lineRule="auto"/>
              <w:jc w:val="left"/>
              <w:rPr>
                <w:rFonts w:ascii="Verdana" w:hAnsi="Verdana"/>
              </w:rPr>
            </w:pPr>
            <w:sdt>
              <w:sdtPr>
                <w:rPr>
                  <w:rFonts w:ascii="Verdana" w:hAnsi="Verdana"/>
                </w:rPr>
                <w:id w:val="7516487"/>
                <w:placeholder>
                  <w:docPart w:val="7A8A0736D35F4F64BAE5337B5B820467"/>
                </w:placeholder>
                <w:text/>
              </w:sdtPr>
              <w:sdtContent>
                <w:r w:rsidR="00A53CA6">
                  <w:rPr>
                    <w:rFonts w:ascii="Verdana" w:hAnsi="Verdana"/>
                  </w:rPr>
                  <w:t xml:space="preserve">Pavel Novotný </w:t>
                </w:r>
              </w:sdtContent>
            </w:sdt>
          </w:p>
          <w:p w:rsidR="00B55AB9" w:rsidRPr="004D09F5" w:rsidRDefault="00B55AB9" w:rsidP="00B408CB">
            <w:pPr>
              <w:spacing w:after="0" w:line="240" w:lineRule="auto"/>
              <w:jc w:val="left"/>
              <w:rPr>
                <w:rFonts w:ascii="Verdana" w:hAnsi="Verdana"/>
              </w:rPr>
            </w:pPr>
          </w:p>
        </w:tc>
      </w:tr>
    </w:tbl>
    <w:p w:rsidR="00B55AB9" w:rsidRPr="004D09F5" w:rsidRDefault="00B55AB9" w:rsidP="00766B41">
      <w:pPr>
        <w:spacing w:after="180"/>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915A4B">
        <w:tc>
          <w:tcPr>
            <w:tcW w:w="9212" w:type="dxa"/>
            <w:shd w:val="clear" w:color="auto" w:fill="F2F2F2" w:themeFill="background1" w:themeFillShade="F2"/>
          </w:tcPr>
          <w:p w:rsidR="00B55AB9" w:rsidRPr="00663BAA" w:rsidRDefault="00663BAA" w:rsidP="00663BAA">
            <w:pPr>
              <w:pStyle w:val="Formul"/>
            </w:pPr>
            <w:r w:rsidRPr="00663BAA">
              <w:t>prohlášení studenta</w:t>
            </w:r>
          </w:p>
        </w:tc>
      </w:tr>
      <w:tr w:rsidR="00B55AB9" w:rsidRPr="004D09F5" w:rsidTr="00DB47B9">
        <w:tc>
          <w:tcPr>
            <w:tcW w:w="9212" w:type="dxa"/>
          </w:tcPr>
          <w:p w:rsidR="007F1BB5" w:rsidRDefault="007F1BB5" w:rsidP="007F1BB5">
            <w:pPr>
              <w:spacing w:after="0" w:line="240" w:lineRule="auto"/>
              <w:jc w:val="left"/>
              <w:rPr>
                <w:rFonts w:ascii="Verdana" w:hAnsi="Verdana"/>
                <w:sz w:val="20"/>
              </w:rPr>
            </w:pPr>
          </w:p>
          <w:p w:rsidR="00663BAA" w:rsidRDefault="00663BAA" w:rsidP="0061794D">
            <w:pPr>
              <w:spacing w:after="0" w:line="240" w:lineRule="auto"/>
              <w:rPr>
                <w:rFonts w:ascii="Verdana" w:hAnsi="Verdana"/>
                <w:sz w:val="20"/>
              </w:rPr>
            </w:pPr>
            <w:r w:rsidRPr="00E906D8">
              <w:rPr>
                <w:rFonts w:ascii="Verdana" w:hAnsi="Verdana"/>
                <w:sz w:val="20"/>
              </w:rPr>
              <w:t>Prohlašuji tímto, že jsem zadanou bakalářskou práci na uvedené téma</w:t>
            </w:r>
            <w:r w:rsidR="0061794D">
              <w:rPr>
                <w:rFonts w:ascii="Verdana" w:hAnsi="Verdana"/>
                <w:sz w:val="20"/>
              </w:rPr>
              <w:t xml:space="preserve"> </w:t>
            </w:r>
            <w:r w:rsidRPr="00E906D8">
              <w:rPr>
                <w:rFonts w:ascii="Verdana" w:hAnsi="Verdana"/>
                <w:sz w:val="20"/>
              </w:rPr>
              <w:t>vypracoval</w:t>
            </w:r>
            <w:r w:rsidR="000317EA">
              <w:rPr>
                <w:rFonts w:ascii="Verdana" w:hAnsi="Verdana"/>
                <w:sz w:val="20"/>
              </w:rPr>
              <w:t>a</w:t>
            </w:r>
            <w:r w:rsidRPr="00E906D8">
              <w:rPr>
                <w:rFonts w:ascii="Verdana" w:hAnsi="Verdana"/>
                <w:sz w:val="20"/>
              </w:rPr>
              <w:t xml:space="preserve"> samostatně a že jsem ke zpracování této bakalářské práce použila pouze literární prameny v práci uvedené.</w:t>
            </w:r>
            <w:r w:rsidR="00A53CA6">
              <w:rPr>
                <w:rFonts w:ascii="Verdana" w:hAnsi="Verdana"/>
                <w:sz w:val="20"/>
              </w:rPr>
              <w:t xml:space="preserve"> </w:t>
            </w:r>
          </w:p>
          <w:p w:rsidR="007F1BB5" w:rsidRPr="00E906D8" w:rsidRDefault="007F1BB5" w:rsidP="007F1BB5">
            <w:pPr>
              <w:spacing w:after="0" w:line="240" w:lineRule="auto"/>
              <w:jc w:val="left"/>
              <w:rPr>
                <w:rFonts w:ascii="Verdana" w:hAnsi="Verdana"/>
                <w:sz w:val="20"/>
              </w:rPr>
            </w:pPr>
          </w:p>
          <w:p w:rsidR="00663BAA" w:rsidRPr="00E906D8" w:rsidRDefault="00A53CA6" w:rsidP="00532BCE">
            <w:pPr>
              <w:spacing w:line="240" w:lineRule="auto"/>
              <w:rPr>
                <w:rFonts w:ascii="Verdana" w:hAnsi="Verdana"/>
                <w:sz w:val="20"/>
              </w:rPr>
            </w:pPr>
            <w:r>
              <w:rPr>
                <w:rFonts w:ascii="Verdana" w:hAnsi="Verdana"/>
                <w:sz w:val="20"/>
              </w:rPr>
              <w:t xml:space="preserve">V Ratenicích dne </w:t>
            </w:r>
            <w:r w:rsidR="0061794D">
              <w:rPr>
                <w:rFonts w:ascii="Verdana" w:hAnsi="Verdana"/>
                <w:sz w:val="20"/>
              </w:rPr>
              <w:t>30</w:t>
            </w:r>
            <w:r>
              <w:rPr>
                <w:rFonts w:ascii="Verdana" w:hAnsi="Verdana"/>
                <w:sz w:val="20"/>
              </w:rPr>
              <w:t xml:space="preserve">.8.2011 </w:t>
            </w:r>
          </w:p>
          <w:p w:rsidR="00663BAA" w:rsidRPr="00E906D8" w:rsidRDefault="00663BA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B55AB9" w:rsidRPr="004D09F5" w:rsidRDefault="00B55AB9" w:rsidP="00766B41">
      <w:pPr>
        <w:spacing w:after="180"/>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915A4B">
        <w:tc>
          <w:tcPr>
            <w:tcW w:w="9212" w:type="dxa"/>
            <w:shd w:val="clear" w:color="auto" w:fill="F2F2F2" w:themeFill="background1" w:themeFillShade="F2"/>
          </w:tcPr>
          <w:p w:rsidR="00B55AB9" w:rsidRPr="004D09F5" w:rsidRDefault="00532BCE" w:rsidP="00A46F76">
            <w:pPr>
              <w:pStyle w:val="Formul"/>
            </w:pPr>
            <w:r>
              <w:t>poděkování</w:t>
            </w:r>
          </w:p>
        </w:tc>
      </w:tr>
      <w:tr w:rsidR="00B55AB9" w:rsidRPr="004D09F5" w:rsidTr="00DB47B9">
        <w:tc>
          <w:tcPr>
            <w:tcW w:w="9212" w:type="dxa"/>
          </w:tcPr>
          <w:p w:rsidR="00B408CB" w:rsidRDefault="00B408CB" w:rsidP="00205ECD">
            <w:pPr>
              <w:spacing w:after="0" w:line="240" w:lineRule="auto"/>
              <w:jc w:val="left"/>
              <w:rPr>
                <w:rFonts w:ascii="Verdana" w:hAnsi="Verdana"/>
                <w:sz w:val="20"/>
              </w:rPr>
            </w:pPr>
          </w:p>
          <w:p w:rsidR="00B408CB" w:rsidRDefault="00532BCE" w:rsidP="0061794D">
            <w:pPr>
              <w:spacing w:after="0" w:line="240" w:lineRule="auto"/>
              <w:rPr>
                <w:rFonts w:ascii="Verdana" w:hAnsi="Verdana"/>
                <w:sz w:val="20"/>
              </w:rPr>
            </w:pPr>
            <w:r w:rsidRPr="00E906D8">
              <w:rPr>
                <w:rFonts w:ascii="Verdana" w:hAnsi="Verdana"/>
                <w:sz w:val="20"/>
              </w:rPr>
              <w:t>Rád</w:t>
            </w:r>
            <w:r>
              <w:rPr>
                <w:rFonts w:ascii="Verdana" w:hAnsi="Verdana"/>
                <w:sz w:val="20"/>
              </w:rPr>
              <w:t>a</w:t>
            </w:r>
            <w:r w:rsidRPr="00E906D8">
              <w:rPr>
                <w:rFonts w:ascii="Verdana" w:hAnsi="Verdana"/>
                <w:sz w:val="20"/>
              </w:rPr>
              <w:t xml:space="preserve"> bych tímto poděkoval</w:t>
            </w:r>
            <w:r>
              <w:rPr>
                <w:rFonts w:ascii="Verdana" w:hAnsi="Verdana"/>
                <w:sz w:val="20"/>
              </w:rPr>
              <w:t>a</w:t>
            </w:r>
            <w:r w:rsidRPr="00E906D8">
              <w:rPr>
                <w:rFonts w:ascii="Verdana" w:hAnsi="Verdana"/>
                <w:sz w:val="20"/>
              </w:rPr>
              <w:t xml:space="preserve"> vedoucímu</w:t>
            </w:r>
            <w:r w:rsidR="007F1BB5">
              <w:rPr>
                <w:rFonts w:ascii="Verdana" w:hAnsi="Verdana"/>
                <w:sz w:val="20"/>
              </w:rPr>
              <w:t xml:space="preserve"> bakalářské práce</w:t>
            </w:r>
            <w:r w:rsidR="0061794D">
              <w:rPr>
                <w:rFonts w:ascii="Verdana" w:hAnsi="Verdana"/>
                <w:sz w:val="20"/>
              </w:rPr>
              <w:t xml:space="preserve"> za metodické vedení, poskytnuté </w:t>
            </w:r>
            <w:r w:rsidRPr="00E906D8">
              <w:rPr>
                <w:rFonts w:ascii="Verdana" w:hAnsi="Verdana"/>
                <w:sz w:val="20"/>
              </w:rPr>
              <w:t>odborné konzultace</w:t>
            </w:r>
            <w:r w:rsidR="0061794D">
              <w:rPr>
                <w:rFonts w:ascii="Verdana" w:hAnsi="Verdana"/>
                <w:sz w:val="20"/>
              </w:rPr>
              <w:t xml:space="preserve"> i za podporu, kterou</w:t>
            </w:r>
            <w:r w:rsidRPr="00E906D8">
              <w:rPr>
                <w:rFonts w:ascii="Verdana" w:hAnsi="Verdana"/>
                <w:sz w:val="20"/>
              </w:rPr>
              <w:t xml:space="preserve"> mi poskytl při zpracování mé bakalářské práce.</w:t>
            </w:r>
            <w:r w:rsidR="00205ECD">
              <w:rPr>
                <w:rFonts w:ascii="Verdana" w:hAnsi="Verdana"/>
                <w:sz w:val="20"/>
              </w:rPr>
              <w:t xml:space="preserve"> </w:t>
            </w:r>
          </w:p>
          <w:p w:rsidR="00A53CA6" w:rsidRPr="004D09F5" w:rsidRDefault="00A53CA6" w:rsidP="00A53CA6">
            <w:pPr>
              <w:spacing w:after="0" w:line="240" w:lineRule="auto"/>
              <w:jc w:val="left"/>
              <w:rPr>
                <w:rFonts w:ascii="Verdana" w:hAnsi="Verdana"/>
              </w:rPr>
            </w:pPr>
          </w:p>
        </w:tc>
      </w:tr>
    </w:tbl>
    <w:p w:rsidR="00B55AB9" w:rsidRDefault="00B55AB9" w:rsidP="00B55AB9"/>
    <w:p w:rsidR="00D57FD4" w:rsidRDefault="00D57FD4" w:rsidP="00D179FA">
      <w:pPr>
        <w:spacing w:after="0"/>
        <w:jc w:val="left"/>
        <w:rPr>
          <w:b/>
          <w:sz w:val="32"/>
          <w:szCs w:val="32"/>
        </w:rPr>
        <w:sectPr w:rsidR="00D57FD4" w:rsidSect="00717891">
          <w:headerReference w:type="default" r:id="rId12"/>
          <w:footerReference w:type="default" r:id="rId13"/>
          <w:pgSz w:w="11906" w:h="16838" w:code="9"/>
          <w:pgMar w:top="1418" w:right="1134" w:bottom="1418" w:left="2268" w:header="709" w:footer="709" w:gutter="0"/>
          <w:cols w:space="708"/>
          <w:docGrid w:linePitch="326"/>
        </w:sect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Pr="000E31B8" w:rsidRDefault="00D179FA" w:rsidP="00D179FA">
      <w:pPr>
        <w:spacing w:after="0"/>
        <w:jc w:val="left"/>
        <w:rPr>
          <w:bCs/>
          <w:color w:val="000000"/>
          <w:sz w:val="32"/>
          <w:szCs w:val="24"/>
        </w:rPr>
      </w:pPr>
    </w:p>
    <w:p w:rsidR="00D179FA" w:rsidRPr="000E31B8" w:rsidRDefault="00D179FA" w:rsidP="00D179FA">
      <w:pPr>
        <w:spacing w:after="0"/>
        <w:jc w:val="left"/>
        <w:rPr>
          <w:bCs/>
          <w:color w:val="000000"/>
          <w:sz w:val="32"/>
          <w:szCs w:val="24"/>
        </w:rPr>
      </w:pPr>
    </w:p>
    <w:p w:rsidR="00D179FA" w:rsidRPr="000E31B8" w:rsidRDefault="00D179FA" w:rsidP="00D179FA">
      <w:pPr>
        <w:spacing w:after="0"/>
        <w:jc w:val="left"/>
        <w:rPr>
          <w:bCs/>
          <w:color w:val="000000"/>
          <w:sz w:val="32"/>
          <w:szCs w:val="24"/>
        </w:rPr>
      </w:pPr>
    </w:p>
    <w:p w:rsidR="000E31B8" w:rsidRPr="000E31B8" w:rsidRDefault="000E31B8" w:rsidP="00D179FA">
      <w:pPr>
        <w:spacing w:after="0"/>
        <w:jc w:val="left"/>
        <w:rPr>
          <w:bCs/>
          <w:color w:val="000000"/>
          <w:sz w:val="32"/>
          <w:szCs w:val="24"/>
        </w:rPr>
      </w:pPr>
    </w:p>
    <w:p w:rsidR="00D179FA" w:rsidRPr="000E31B8" w:rsidRDefault="00D179FA" w:rsidP="00D179FA">
      <w:pPr>
        <w:spacing w:after="0"/>
        <w:jc w:val="left"/>
        <w:rPr>
          <w:bCs/>
          <w:color w:val="000000"/>
          <w:sz w:val="32"/>
          <w:szCs w:val="24"/>
        </w:rPr>
      </w:pPr>
    </w:p>
    <w:p w:rsidR="00D179FA" w:rsidRPr="000E31B8" w:rsidRDefault="00D179FA" w:rsidP="00D179FA">
      <w:pPr>
        <w:spacing w:after="0"/>
        <w:jc w:val="left"/>
        <w:rPr>
          <w:sz w:val="32"/>
          <w:szCs w:val="24"/>
        </w:rPr>
      </w:pPr>
    </w:p>
    <w:p w:rsidR="000E31B8" w:rsidRPr="000E31B8" w:rsidRDefault="000E31B8" w:rsidP="00D179FA">
      <w:pPr>
        <w:spacing w:after="0"/>
        <w:jc w:val="left"/>
        <w:rPr>
          <w:sz w:val="32"/>
          <w:szCs w:val="24"/>
        </w:rPr>
      </w:pPr>
    </w:p>
    <w:p w:rsidR="000E31B8" w:rsidRPr="000E31B8" w:rsidRDefault="000E31B8" w:rsidP="00D179FA">
      <w:pPr>
        <w:spacing w:after="0"/>
        <w:jc w:val="left"/>
        <w:rPr>
          <w:sz w:val="32"/>
          <w:szCs w:val="24"/>
        </w:rPr>
      </w:pPr>
    </w:p>
    <w:p w:rsidR="000E31B8" w:rsidRPr="000E31B8" w:rsidRDefault="000E31B8" w:rsidP="00D179FA">
      <w:pPr>
        <w:spacing w:after="0"/>
        <w:jc w:val="left"/>
        <w:rPr>
          <w:sz w:val="32"/>
          <w:szCs w:val="24"/>
        </w:rPr>
      </w:pPr>
    </w:p>
    <w:p w:rsidR="000E31B8" w:rsidRPr="000E31B8" w:rsidRDefault="000E31B8" w:rsidP="00D179FA">
      <w:pPr>
        <w:spacing w:after="0"/>
        <w:jc w:val="left"/>
        <w:rPr>
          <w:sz w:val="32"/>
          <w:szCs w:val="24"/>
        </w:rPr>
      </w:pPr>
    </w:p>
    <w:sdt>
      <w:sdtPr>
        <w:rPr>
          <w:b/>
          <w:sz w:val="32"/>
          <w:szCs w:val="32"/>
        </w:rPr>
        <w:id w:val="528793351"/>
        <w:placeholder>
          <w:docPart w:val="DefaultPlaceholder_22675703"/>
        </w:placeholder>
      </w:sdtPr>
      <w:sdtContent>
        <w:p w:rsidR="00D179FA" w:rsidRDefault="00A53CA6" w:rsidP="00D179FA">
          <w:pPr>
            <w:spacing w:after="0"/>
            <w:jc w:val="center"/>
            <w:rPr>
              <w:b/>
              <w:sz w:val="32"/>
              <w:szCs w:val="32"/>
            </w:rPr>
          </w:pPr>
          <w:r>
            <w:rPr>
              <w:b/>
              <w:sz w:val="48"/>
              <w:szCs w:val="48"/>
            </w:rPr>
            <w:t xml:space="preserve">Kalkulace a kalkulační metody v manažerském účetnictví </w:t>
          </w:r>
        </w:p>
      </w:sdtContent>
    </w:sdt>
    <w:sdt>
      <w:sdtPr>
        <w:rPr>
          <w:sz w:val="28"/>
          <w:szCs w:val="32"/>
        </w:rPr>
        <w:id w:val="528793371"/>
        <w:placeholder>
          <w:docPart w:val="DefaultPlaceholder_22675703"/>
        </w:placeholder>
      </w:sdtPr>
      <w:sdtContent>
        <w:sdt>
          <w:sdtPr>
            <w:rPr>
              <w:sz w:val="28"/>
              <w:szCs w:val="32"/>
              <w:lang w:val="en-GB"/>
            </w:rPr>
            <w:id w:val="465744"/>
            <w:placeholder>
              <w:docPart w:val="9B6AB496BEEE406F8C485E66513C8B7D"/>
            </w:placeholder>
          </w:sdtPr>
          <w:sdtContent>
            <w:p w:rsidR="00D179FA" w:rsidRPr="001745C4" w:rsidRDefault="001745C4" w:rsidP="001745C4">
              <w:pPr>
                <w:spacing w:before="240" w:after="0"/>
                <w:jc w:val="center"/>
                <w:rPr>
                  <w:sz w:val="28"/>
                  <w:szCs w:val="32"/>
                  <w:lang w:val="en-GB"/>
                </w:rPr>
              </w:pPr>
              <w:r w:rsidRPr="009061A5">
                <w:rPr>
                  <w:sz w:val="28"/>
                  <w:szCs w:val="32"/>
                  <w:lang w:val="en-GB"/>
                </w:rPr>
                <w:t>C</w:t>
              </w:r>
              <w:r w:rsidR="00480705">
                <w:rPr>
                  <w:sz w:val="28"/>
                  <w:szCs w:val="32"/>
                  <w:lang w:val="en-GB"/>
                </w:rPr>
                <w:t>alculations</w:t>
              </w:r>
              <w:r w:rsidRPr="009061A5">
                <w:rPr>
                  <w:sz w:val="28"/>
                  <w:szCs w:val="32"/>
                  <w:lang w:val="en-GB"/>
                </w:rPr>
                <w:t xml:space="preserve"> and calculation methods in managerial accounting</w:t>
              </w:r>
              <w:r w:rsidR="000013F1">
                <w:rPr>
                  <w:sz w:val="28"/>
                  <w:szCs w:val="32"/>
                  <w:lang w:val="en-GB"/>
                </w:rPr>
                <w:t xml:space="preserve"> </w:t>
              </w:r>
            </w:p>
          </w:sdtContent>
        </w:sdt>
      </w:sdtContent>
    </w:sdt>
    <w:p w:rsidR="00D179FA" w:rsidRPr="00320E0F" w:rsidRDefault="00D179FA" w:rsidP="000E31B8">
      <w:pPr>
        <w:spacing w:after="0"/>
        <w:rPr>
          <w:sz w:val="32"/>
          <w:szCs w:val="32"/>
        </w:rPr>
      </w:pPr>
    </w:p>
    <w:p w:rsidR="00D179FA" w:rsidRPr="00320E0F" w:rsidRDefault="00D179FA" w:rsidP="000E31B8">
      <w:pPr>
        <w:spacing w:after="0"/>
        <w:rPr>
          <w:sz w:val="32"/>
          <w:szCs w:val="32"/>
        </w:rPr>
      </w:pPr>
    </w:p>
    <w:p w:rsidR="00D179FA" w:rsidRDefault="00D179FA" w:rsidP="000E31B8">
      <w:pPr>
        <w:spacing w:after="0"/>
        <w:rPr>
          <w:sz w:val="32"/>
          <w:szCs w:val="32"/>
        </w:rPr>
      </w:pPr>
    </w:p>
    <w:p w:rsidR="000E31B8" w:rsidRDefault="000E31B8" w:rsidP="000E31B8">
      <w:pPr>
        <w:spacing w:after="0"/>
        <w:rPr>
          <w:sz w:val="32"/>
          <w:szCs w:val="32"/>
        </w:rPr>
      </w:pPr>
    </w:p>
    <w:p w:rsidR="000E31B8" w:rsidRDefault="000E31B8" w:rsidP="000E31B8">
      <w:pPr>
        <w:spacing w:after="0"/>
        <w:rPr>
          <w:sz w:val="32"/>
          <w:szCs w:val="32"/>
        </w:rPr>
      </w:pPr>
    </w:p>
    <w:p w:rsidR="000E31B8" w:rsidRDefault="000E31B8" w:rsidP="000E31B8">
      <w:pPr>
        <w:spacing w:after="0"/>
        <w:rPr>
          <w:sz w:val="32"/>
          <w:szCs w:val="32"/>
        </w:rPr>
      </w:pPr>
    </w:p>
    <w:p w:rsidR="000E31B8" w:rsidRDefault="000E31B8" w:rsidP="000E31B8">
      <w:pPr>
        <w:spacing w:after="0"/>
        <w:rPr>
          <w:sz w:val="32"/>
          <w:szCs w:val="32"/>
        </w:rPr>
      </w:pPr>
    </w:p>
    <w:p w:rsidR="00D179FA" w:rsidRDefault="00D179FA" w:rsidP="000E31B8">
      <w:pPr>
        <w:tabs>
          <w:tab w:val="left" w:pos="3600"/>
        </w:tabs>
        <w:spacing w:after="0"/>
        <w:rPr>
          <w:sz w:val="32"/>
          <w:szCs w:val="32"/>
        </w:rPr>
      </w:pPr>
    </w:p>
    <w:p w:rsidR="001F4F38" w:rsidRDefault="001F4F38" w:rsidP="000E31B8">
      <w:pPr>
        <w:tabs>
          <w:tab w:val="left" w:pos="3600"/>
        </w:tabs>
        <w:spacing w:after="0"/>
        <w:jc w:val="left"/>
        <w:rPr>
          <w:sz w:val="32"/>
          <w:szCs w:val="32"/>
        </w:rPr>
      </w:pPr>
    </w:p>
    <w:p w:rsidR="00D179FA" w:rsidRDefault="00D179FA" w:rsidP="00522B1C">
      <w:pPr>
        <w:tabs>
          <w:tab w:val="left" w:pos="3600"/>
        </w:tabs>
        <w:jc w:val="left"/>
        <w:rPr>
          <w:sz w:val="32"/>
          <w:szCs w:val="32"/>
        </w:rPr>
      </w:pPr>
      <w:r>
        <w:rPr>
          <w:sz w:val="32"/>
          <w:szCs w:val="32"/>
        </w:rPr>
        <w:t xml:space="preserve">Autor: </w:t>
      </w:r>
      <w:sdt>
        <w:sdtPr>
          <w:rPr>
            <w:sz w:val="32"/>
            <w:szCs w:val="32"/>
          </w:rPr>
          <w:id w:val="528793366"/>
          <w:placeholder>
            <w:docPart w:val="DefaultPlaceholder_22675703"/>
          </w:placeholder>
        </w:sdtPr>
        <w:sdtContent>
          <w:r w:rsidR="00A53CA6">
            <w:rPr>
              <w:sz w:val="32"/>
              <w:szCs w:val="32"/>
            </w:rPr>
            <w:t xml:space="preserve">Kateřina Voláková </w:t>
          </w:r>
        </w:sdtContent>
      </w:sdt>
    </w:p>
    <w:p w:rsidR="006C7104" w:rsidRDefault="00C91C02" w:rsidP="00A54EEA">
      <w:pPr>
        <w:pStyle w:val="AbstractSummary-nadpis"/>
        <w:spacing w:before="0"/>
      </w:pPr>
      <w:r>
        <w:rPr>
          <w:rFonts w:ascii="Verdana" w:hAnsi="Verdana"/>
          <w:sz w:val="32"/>
          <w:szCs w:val="32"/>
        </w:rPr>
        <w:br w:type="page"/>
      </w:r>
      <w:r>
        <w:lastRenderedPageBreak/>
        <w:t>Souhrn</w:t>
      </w:r>
      <w:r w:rsidR="00A54EEA">
        <w:t xml:space="preserve"> </w:t>
      </w:r>
    </w:p>
    <w:p w:rsidR="0050727E" w:rsidRDefault="0050727E" w:rsidP="006C7104">
      <w:r>
        <w:t xml:space="preserve">Bakalářská práce se zabývá problematikou kalkulací a kalkulačních metod v manažerském účetnictví. V současné době jde o velmi aktuální téma, neboť kalkulace hrají klíčovou roli při řízení hospodárnosti </w:t>
      </w:r>
      <w:r w:rsidR="00E61EF7">
        <w:t xml:space="preserve">a </w:t>
      </w:r>
      <w:r>
        <w:t>při hod</w:t>
      </w:r>
      <w:r w:rsidR="00E61EF7">
        <w:t>nocení ekonomické efektivnosti výkonů organizací</w:t>
      </w:r>
      <w:r>
        <w:t>. Cílem práce je analýza kalkulačního vzorce a kalkulační metody konkrétního podniku. Práce je rozdělena do dvou částí, na část teoretickou a část praktickou. První část shr</w:t>
      </w:r>
      <w:r w:rsidR="00E61EF7">
        <w:t>nuje teoretická východiska vyplý</w:t>
      </w:r>
      <w:r>
        <w:t>vající z odborné literatury</w:t>
      </w:r>
      <w:r w:rsidR="00A83E09">
        <w:t>. Nejprve jsou představeny základní pojmy, mezi něž patří jednotlivé účetní subsystémy a náklady v jejich různém pojetí a členění. Následně se práce zabývá pojmy kalkulace, kalku</w:t>
      </w:r>
      <w:r w:rsidR="00AE7938">
        <w:t>lační systém a kalkulační metoda</w:t>
      </w:r>
      <w:r w:rsidR="00A83E09">
        <w:t xml:space="preserve">. Zároveň jsou představeny základní a vybrané speciální metody kalkulací. Praktická část analyzuje </w:t>
      </w:r>
      <w:r w:rsidR="00E61EF7">
        <w:t xml:space="preserve">kalkulace a </w:t>
      </w:r>
      <w:r w:rsidR="005E324C">
        <w:t xml:space="preserve">kalkulační </w:t>
      </w:r>
      <w:r w:rsidR="00E61EF7">
        <w:t>metodu</w:t>
      </w:r>
      <w:r w:rsidR="008B42A3">
        <w:t xml:space="preserve"> p</w:t>
      </w:r>
      <w:r w:rsidR="00A83E09">
        <w:t>odniku, jež se zabývá marketingovým výzk</w:t>
      </w:r>
      <w:r w:rsidR="00AE7938">
        <w:t>umem</w:t>
      </w:r>
      <w:r w:rsidR="00A83E09">
        <w:t xml:space="preserve">. V této </w:t>
      </w:r>
      <w:r w:rsidR="00E61EF7">
        <w:t xml:space="preserve">části je </w:t>
      </w:r>
      <w:r w:rsidR="000D7088">
        <w:t xml:space="preserve">představen podnik a jeho náklady, zobrazen je používaný kalkulační </w:t>
      </w:r>
      <w:r w:rsidR="00E61EF7">
        <w:t xml:space="preserve">vzorec a </w:t>
      </w:r>
      <w:r w:rsidR="000D7088">
        <w:t xml:space="preserve">dále je osvětlen </w:t>
      </w:r>
      <w:r w:rsidR="00E61EF7">
        <w:t>postup při přiřazení režijních nákladů jednotlivým zakázkám.</w:t>
      </w:r>
      <w:r w:rsidR="00A83E09">
        <w:t xml:space="preserve"> </w:t>
      </w:r>
      <w:r w:rsidR="00386D9F">
        <w:t xml:space="preserve">Zhodnocen je kalkulační systém podniku a zvolená kalkulační metoda vycházející </w:t>
      </w:r>
      <w:r w:rsidR="00E61EF7">
        <w:t>z přirážkové kalku</w:t>
      </w:r>
      <w:r w:rsidR="00386D9F">
        <w:t xml:space="preserve">lace. </w:t>
      </w:r>
    </w:p>
    <w:p w:rsidR="00A54EEA" w:rsidRDefault="00A54EEA" w:rsidP="006C7104"/>
    <w:p w:rsidR="00C91C02" w:rsidRPr="00B87741" w:rsidRDefault="00E86E13" w:rsidP="00A54EEA">
      <w:pPr>
        <w:pStyle w:val="AbstractSummary-nadpis"/>
        <w:spacing w:before="0"/>
        <w:rPr>
          <w:lang w:val="en-GB"/>
        </w:rPr>
      </w:pPr>
      <w:r w:rsidRPr="00B87741">
        <w:rPr>
          <w:lang w:val="en-GB"/>
        </w:rPr>
        <w:t>Summary</w:t>
      </w:r>
      <w:r w:rsidR="00A54EEA">
        <w:rPr>
          <w:lang w:val="en-GB"/>
        </w:rPr>
        <w:t xml:space="preserve"> </w:t>
      </w:r>
    </w:p>
    <w:p w:rsidR="00386D9F" w:rsidRDefault="00795352" w:rsidP="00386D9F">
      <w:pPr>
        <w:rPr>
          <w:lang w:val="en-GB"/>
        </w:rPr>
      </w:pPr>
      <w:r>
        <w:rPr>
          <w:lang w:val="en-GB"/>
        </w:rPr>
        <w:t>The</w:t>
      </w:r>
      <w:r w:rsidR="002E57DE">
        <w:rPr>
          <w:lang w:val="en-GB"/>
        </w:rPr>
        <w:t xml:space="preserve"> thesis deals with </w:t>
      </w:r>
      <w:r w:rsidR="00B87741" w:rsidRPr="00B87741">
        <w:rPr>
          <w:lang w:val="en-GB"/>
        </w:rPr>
        <w:t>calculation</w:t>
      </w:r>
      <w:r w:rsidR="00E108D9">
        <w:rPr>
          <w:lang w:val="en-GB"/>
        </w:rPr>
        <w:t>s</w:t>
      </w:r>
      <w:r w:rsidR="00B87741" w:rsidRPr="00B87741">
        <w:rPr>
          <w:lang w:val="en-GB"/>
        </w:rPr>
        <w:t xml:space="preserve"> and c</w:t>
      </w:r>
      <w:r>
        <w:rPr>
          <w:lang w:val="en-GB"/>
        </w:rPr>
        <w:t>alculation methods in managerial</w:t>
      </w:r>
      <w:r w:rsidR="00B87741" w:rsidRPr="00B87741">
        <w:rPr>
          <w:lang w:val="en-GB"/>
        </w:rPr>
        <w:t xml:space="preserve"> accounting. Currently it is </w:t>
      </w:r>
      <w:r w:rsidR="00904FAE">
        <w:rPr>
          <w:lang w:val="en-GB"/>
        </w:rPr>
        <w:t xml:space="preserve">very topical, because </w:t>
      </w:r>
      <w:r w:rsidR="00E108D9">
        <w:rPr>
          <w:lang w:val="en-GB"/>
        </w:rPr>
        <w:t>calculations</w:t>
      </w:r>
      <w:r w:rsidR="00B87741" w:rsidRPr="00B87741">
        <w:rPr>
          <w:lang w:val="en-GB"/>
        </w:rPr>
        <w:t xml:space="preserve"> play a key role in managing the economy and in evaluati</w:t>
      </w:r>
      <w:r w:rsidR="00E108D9">
        <w:rPr>
          <w:lang w:val="en-GB"/>
        </w:rPr>
        <w:t>on</w:t>
      </w:r>
      <w:r w:rsidR="00B87741" w:rsidRPr="00B87741">
        <w:rPr>
          <w:lang w:val="en-GB"/>
        </w:rPr>
        <w:t xml:space="preserve"> </w:t>
      </w:r>
      <w:r w:rsidR="00E108D9">
        <w:rPr>
          <w:lang w:val="en-GB"/>
        </w:rPr>
        <w:t>of</w:t>
      </w:r>
      <w:r w:rsidR="00B87741" w:rsidRPr="00B87741">
        <w:rPr>
          <w:lang w:val="en-GB"/>
        </w:rPr>
        <w:t xml:space="preserve"> economic efficiency of </w:t>
      </w:r>
      <w:r w:rsidR="00E108D9">
        <w:rPr>
          <w:lang w:val="en-GB"/>
        </w:rPr>
        <w:t>a company</w:t>
      </w:r>
      <w:r w:rsidR="00B87741" w:rsidRPr="00B87741">
        <w:rPr>
          <w:lang w:val="en-GB"/>
        </w:rPr>
        <w:t xml:space="preserve"> performance. The aim is </w:t>
      </w:r>
      <w:r w:rsidR="00E108D9">
        <w:rPr>
          <w:lang w:val="en-GB"/>
        </w:rPr>
        <w:t>to analyse</w:t>
      </w:r>
      <w:r w:rsidR="00B87741" w:rsidRPr="00B87741">
        <w:rPr>
          <w:lang w:val="en-GB"/>
        </w:rPr>
        <w:t xml:space="preserve"> </w:t>
      </w:r>
      <w:r w:rsidR="00E108D9">
        <w:rPr>
          <w:lang w:val="en-GB"/>
        </w:rPr>
        <w:t xml:space="preserve">the calculation </w:t>
      </w:r>
      <w:r w:rsidR="00904FAE">
        <w:rPr>
          <w:lang w:val="en-GB"/>
        </w:rPr>
        <w:t>formula</w:t>
      </w:r>
      <w:r w:rsidR="00B87741" w:rsidRPr="00B87741">
        <w:rPr>
          <w:lang w:val="en-GB"/>
        </w:rPr>
        <w:t xml:space="preserve"> and calculation methods </w:t>
      </w:r>
      <w:r w:rsidR="00904FAE">
        <w:rPr>
          <w:lang w:val="en-GB"/>
        </w:rPr>
        <w:t>of</w:t>
      </w:r>
      <w:r w:rsidR="00B87741" w:rsidRPr="00B87741">
        <w:rPr>
          <w:lang w:val="en-GB"/>
        </w:rPr>
        <w:t xml:space="preserve"> a particular company. The work is divided into two parts, </w:t>
      </w:r>
      <w:r w:rsidR="00E108D9">
        <w:rPr>
          <w:lang w:val="en-GB"/>
        </w:rPr>
        <w:t xml:space="preserve">a </w:t>
      </w:r>
      <w:r w:rsidR="00B87741" w:rsidRPr="00B87741">
        <w:rPr>
          <w:lang w:val="en-GB"/>
        </w:rPr>
        <w:t>the</w:t>
      </w:r>
      <w:r w:rsidR="00904FAE">
        <w:rPr>
          <w:lang w:val="en-GB"/>
        </w:rPr>
        <w:t xml:space="preserve">oretical and </w:t>
      </w:r>
      <w:r w:rsidR="00E108D9">
        <w:rPr>
          <w:lang w:val="en-GB"/>
        </w:rPr>
        <w:t xml:space="preserve">a </w:t>
      </w:r>
      <w:r w:rsidR="00904FAE">
        <w:rPr>
          <w:lang w:val="en-GB"/>
        </w:rPr>
        <w:t>practical one</w:t>
      </w:r>
      <w:r w:rsidR="00B87741" w:rsidRPr="00B87741">
        <w:rPr>
          <w:lang w:val="en-GB"/>
        </w:rPr>
        <w:t xml:space="preserve">. The first section summarizes </w:t>
      </w:r>
      <w:r w:rsidR="002E57DE">
        <w:rPr>
          <w:lang w:val="en-GB"/>
        </w:rPr>
        <w:t>a</w:t>
      </w:r>
      <w:r w:rsidR="00B87741" w:rsidRPr="00B87741">
        <w:rPr>
          <w:lang w:val="en-GB"/>
        </w:rPr>
        <w:t xml:space="preserve"> theoretical background arising from the </w:t>
      </w:r>
      <w:r w:rsidR="00904FAE">
        <w:rPr>
          <w:lang w:val="en-GB"/>
        </w:rPr>
        <w:t xml:space="preserve">specialized literature. </w:t>
      </w:r>
      <w:r w:rsidR="00E108D9">
        <w:rPr>
          <w:lang w:val="en-GB"/>
        </w:rPr>
        <w:t>T</w:t>
      </w:r>
      <w:r w:rsidR="00904FAE">
        <w:rPr>
          <w:lang w:val="en-GB"/>
        </w:rPr>
        <w:t xml:space="preserve">here are introduced </w:t>
      </w:r>
      <w:r w:rsidR="00B87741" w:rsidRPr="00B87741">
        <w:rPr>
          <w:lang w:val="en-GB"/>
        </w:rPr>
        <w:t xml:space="preserve">basic </w:t>
      </w:r>
      <w:r w:rsidR="00904FAE">
        <w:rPr>
          <w:lang w:val="en-GB"/>
        </w:rPr>
        <w:t>terms</w:t>
      </w:r>
      <w:r w:rsidR="00E108D9">
        <w:rPr>
          <w:lang w:val="en-GB"/>
        </w:rPr>
        <w:t xml:space="preserve"> first;</w:t>
      </w:r>
      <w:r w:rsidR="00B87741" w:rsidRPr="00B87741">
        <w:rPr>
          <w:lang w:val="en-GB"/>
        </w:rPr>
        <w:t xml:space="preserve"> </w:t>
      </w:r>
      <w:r w:rsidR="00E108D9">
        <w:rPr>
          <w:lang w:val="en-GB"/>
        </w:rPr>
        <w:t xml:space="preserve">these terms </w:t>
      </w:r>
      <w:r w:rsidR="00B87741" w:rsidRPr="00B87741">
        <w:rPr>
          <w:lang w:val="en-GB"/>
        </w:rPr>
        <w:t>includ</w:t>
      </w:r>
      <w:r w:rsidR="00E108D9">
        <w:rPr>
          <w:lang w:val="en-GB"/>
        </w:rPr>
        <w:t>e</w:t>
      </w:r>
      <w:r w:rsidR="00B87741" w:rsidRPr="00B87741">
        <w:rPr>
          <w:lang w:val="en-GB"/>
        </w:rPr>
        <w:t xml:space="preserve"> various accounting subsystems and </w:t>
      </w:r>
      <w:r w:rsidR="00794EF5">
        <w:rPr>
          <w:lang w:val="en-GB"/>
        </w:rPr>
        <w:t>various conception</w:t>
      </w:r>
      <w:r>
        <w:rPr>
          <w:lang w:val="en-GB"/>
        </w:rPr>
        <w:t>s</w:t>
      </w:r>
      <w:r w:rsidR="00794EF5">
        <w:rPr>
          <w:lang w:val="en-GB"/>
        </w:rPr>
        <w:t xml:space="preserve"> of </w:t>
      </w:r>
      <w:r w:rsidR="00B87741" w:rsidRPr="00B87741">
        <w:rPr>
          <w:lang w:val="en-GB"/>
        </w:rPr>
        <w:t>cost</w:t>
      </w:r>
      <w:r w:rsidR="002E57DE">
        <w:rPr>
          <w:lang w:val="en-GB"/>
        </w:rPr>
        <w:t>s</w:t>
      </w:r>
      <w:r w:rsidR="00B87741" w:rsidRPr="00B87741">
        <w:rPr>
          <w:lang w:val="en-GB"/>
        </w:rPr>
        <w:t xml:space="preserve"> and </w:t>
      </w:r>
      <w:r w:rsidR="00E108D9">
        <w:rPr>
          <w:lang w:val="en-GB"/>
        </w:rPr>
        <w:t>their</w:t>
      </w:r>
      <w:r w:rsidR="00794EF5">
        <w:rPr>
          <w:lang w:val="en-GB"/>
        </w:rPr>
        <w:t xml:space="preserve"> </w:t>
      </w:r>
      <w:r w:rsidR="00B87741" w:rsidRPr="00B87741">
        <w:rPr>
          <w:lang w:val="en-GB"/>
        </w:rPr>
        <w:t xml:space="preserve">classification. Subsequently, the work deals with </w:t>
      </w:r>
      <w:r w:rsidR="00CE213C">
        <w:rPr>
          <w:lang w:val="en-GB"/>
        </w:rPr>
        <w:t>terms of</w:t>
      </w:r>
      <w:r w:rsidR="00794EF5">
        <w:rPr>
          <w:lang w:val="en-GB"/>
        </w:rPr>
        <w:t xml:space="preserve"> calculation,</w:t>
      </w:r>
      <w:r w:rsidR="00B87741" w:rsidRPr="00B87741">
        <w:rPr>
          <w:lang w:val="en-GB"/>
        </w:rPr>
        <w:t xml:space="preserve"> calculation system and calculation</w:t>
      </w:r>
      <w:r w:rsidR="00E108D9">
        <w:rPr>
          <w:lang w:val="en-GB"/>
        </w:rPr>
        <w:t xml:space="preserve"> </w:t>
      </w:r>
      <w:r w:rsidR="00E108D9" w:rsidRPr="00B87741">
        <w:rPr>
          <w:lang w:val="en-GB"/>
        </w:rPr>
        <w:t>method</w:t>
      </w:r>
      <w:r w:rsidR="00B87741" w:rsidRPr="00B87741">
        <w:rPr>
          <w:lang w:val="en-GB"/>
        </w:rPr>
        <w:t xml:space="preserve">. </w:t>
      </w:r>
      <w:r w:rsidR="002E57DE">
        <w:rPr>
          <w:lang w:val="en-GB"/>
        </w:rPr>
        <w:t>The w</w:t>
      </w:r>
      <w:r w:rsidR="00794EF5">
        <w:rPr>
          <w:lang w:val="en-GB"/>
        </w:rPr>
        <w:t>ork is than focused on basic</w:t>
      </w:r>
      <w:r w:rsidR="00B87741" w:rsidRPr="00B87741">
        <w:rPr>
          <w:lang w:val="en-GB"/>
        </w:rPr>
        <w:t xml:space="preserve"> and </w:t>
      </w:r>
      <w:r>
        <w:rPr>
          <w:lang w:val="en-GB"/>
        </w:rPr>
        <w:t>s</w:t>
      </w:r>
      <w:r w:rsidR="00B87741" w:rsidRPr="00B87741">
        <w:rPr>
          <w:lang w:val="en-GB"/>
        </w:rPr>
        <w:t>pecial methods of calculation</w:t>
      </w:r>
      <w:r w:rsidR="002E57DE">
        <w:rPr>
          <w:lang w:val="en-GB"/>
        </w:rPr>
        <w:t>s</w:t>
      </w:r>
      <w:r w:rsidR="00B87741" w:rsidRPr="00B87741">
        <w:rPr>
          <w:lang w:val="en-GB"/>
        </w:rPr>
        <w:t xml:space="preserve">. The practical part </w:t>
      </w:r>
      <w:r w:rsidR="00E108D9">
        <w:rPr>
          <w:lang w:val="en-GB"/>
        </w:rPr>
        <w:t xml:space="preserve">of the work </w:t>
      </w:r>
      <w:r w:rsidR="00B87741" w:rsidRPr="00B87741">
        <w:rPr>
          <w:lang w:val="en-GB"/>
        </w:rPr>
        <w:t>analys</w:t>
      </w:r>
      <w:r w:rsidR="00E108D9">
        <w:rPr>
          <w:lang w:val="en-GB"/>
        </w:rPr>
        <w:t>es calculations</w:t>
      </w:r>
      <w:r w:rsidR="00794EF5">
        <w:rPr>
          <w:lang w:val="en-GB"/>
        </w:rPr>
        <w:t xml:space="preserve"> and </w:t>
      </w:r>
      <w:r w:rsidR="002E57DE">
        <w:rPr>
          <w:lang w:val="en-GB"/>
        </w:rPr>
        <w:t xml:space="preserve">a </w:t>
      </w:r>
      <w:r w:rsidR="00B87741" w:rsidRPr="00B87741">
        <w:rPr>
          <w:lang w:val="en-GB"/>
        </w:rPr>
        <w:t xml:space="preserve">calculation method of </w:t>
      </w:r>
      <w:r w:rsidR="00E108D9">
        <w:rPr>
          <w:lang w:val="en-GB"/>
        </w:rPr>
        <w:t>a</w:t>
      </w:r>
      <w:r w:rsidR="00794EF5">
        <w:rPr>
          <w:lang w:val="en-GB"/>
        </w:rPr>
        <w:t xml:space="preserve"> </w:t>
      </w:r>
      <w:r w:rsidR="00B87741" w:rsidRPr="00B87741">
        <w:rPr>
          <w:lang w:val="en-GB"/>
        </w:rPr>
        <w:t xml:space="preserve">company </w:t>
      </w:r>
      <w:r w:rsidR="00AE7938">
        <w:rPr>
          <w:lang w:val="en-GB"/>
        </w:rPr>
        <w:t>providing</w:t>
      </w:r>
      <w:r w:rsidR="00B87741" w:rsidRPr="00B87741">
        <w:rPr>
          <w:lang w:val="en-GB"/>
        </w:rPr>
        <w:t xml:space="preserve"> market research </w:t>
      </w:r>
      <w:r w:rsidR="00AE7938">
        <w:rPr>
          <w:lang w:val="en-GB"/>
        </w:rPr>
        <w:t>services</w:t>
      </w:r>
      <w:r w:rsidR="00B87741" w:rsidRPr="00B87741">
        <w:rPr>
          <w:lang w:val="en-GB"/>
        </w:rPr>
        <w:t xml:space="preserve">. This section </w:t>
      </w:r>
      <w:r w:rsidR="00E108D9">
        <w:rPr>
          <w:lang w:val="en-GB"/>
        </w:rPr>
        <w:t xml:space="preserve">presents </w:t>
      </w:r>
      <w:r w:rsidR="002E57DE">
        <w:rPr>
          <w:lang w:val="en-GB"/>
        </w:rPr>
        <w:t xml:space="preserve">a </w:t>
      </w:r>
      <w:r w:rsidR="00CE213C">
        <w:rPr>
          <w:lang w:val="en-GB"/>
        </w:rPr>
        <w:t>company and its costs, i</w:t>
      </w:r>
      <w:r w:rsidR="00794EF5">
        <w:rPr>
          <w:lang w:val="en-GB"/>
        </w:rPr>
        <w:t xml:space="preserve">ts </w:t>
      </w:r>
      <w:r w:rsidR="00B87741" w:rsidRPr="00B87741">
        <w:rPr>
          <w:lang w:val="en-GB"/>
        </w:rPr>
        <w:t xml:space="preserve">calculation </w:t>
      </w:r>
      <w:r w:rsidR="00E108D9">
        <w:rPr>
          <w:lang w:val="en-GB"/>
        </w:rPr>
        <w:t xml:space="preserve">as well as the </w:t>
      </w:r>
      <w:r w:rsidR="00B87741" w:rsidRPr="00B87741">
        <w:rPr>
          <w:lang w:val="en-GB"/>
        </w:rPr>
        <w:t xml:space="preserve">process of </w:t>
      </w:r>
      <w:r w:rsidR="00391B93">
        <w:rPr>
          <w:lang w:val="en-GB"/>
        </w:rPr>
        <w:t xml:space="preserve">allocation of </w:t>
      </w:r>
      <w:r w:rsidR="00B87741" w:rsidRPr="00B87741">
        <w:rPr>
          <w:lang w:val="en-GB"/>
        </w:rPr>
        <w:t xml:space="preserve">overhead costs. </w:t>
      </w:r>
      <w:r w:rsidR="00E108D9">
        <w:rPr>
          <w:lang w:val="en-GB"/>
        </w:rPr>
        <w:t xml:space="preserve">Calculation system of the company together with a </w:t>
      </w:r>
      <w:r w:rsidR="00CE213C">
        <w:rPr>
          <w:lang w:val="en-GB"/>
        </w:rPr>
        <w:t>chosen method of calculation is</w:t>
      </w:r>
      <w:r w:rsidR="00E108D9">
        <w:rPr>
          <w:lang w:val="en-GB"/>
        </w:rPr>
        <w:t xml:space="preserve"> being evaluated. </w:t>
      </w:r>
    </w:p>
    <w:p w:rsidR="00E86E13" w:rsidRDefault="00E86E13" w:rsidP="00A54EEA">
      <w:pPr>
        <w:pStyle w:val="AbstractSummary-nadpis"/>
        <w:spacing w:before="0"/>
        <w:jc w:val="both"/>
      </w:pPr>
      <w:r>
        <w:lastRenderedPageBreak/>
        <w:t>Klíčová slova:</w:t>
      </w:r>
      <w:r w:rsidR="00FF1CEB">
        <w:t xml:space="preserve"> </w:t>
      </w:r>
    </w:p>
    <w:p w:rsidR="00E86E13" w:rsidRPr="00BD7149" w:rsidRDefault="001F4F38" w:rsidP="00E86E13">
      <w:pPr>
        <w:pStyle w:val="AbstractSummary-text"/>
        <w:rPr>
          <w:lang w:val="cs-CZ"/>
        </w:rPr>
      </w:pPr>
      <w:r>
        <w:rPr>
          <w:lang w:val="cs-CZ"/>
        </w:rPr>
        <w:t xml:space="preserve">Kalkulace, kalkulační metody, nepřímé náklady, režijní náklady, nákladové účetnictví, manažerské účetnictví. </w:t>
      </w:r>
    </w:p>
    <w:p w:rsidR="00234347" w:rsidRPr="00FF1CEB" w:rsidRDefault="00234347" w:rsidP="00FF1CEB">
      <w:pPr>
        <w:pStyle w:val="AbstractSummary-text"/>
        <w:rPr>
          <w:lang w:val="cs-CZ"/>
        </w:rPr>
      </w:pPr>
    </w:p>
    <w:p w:rsidR="00C91C02" w:rsidRPr="001F4F38" w:rsidRDefault="00C91C02" w:rsidP="00A54EEA">
      <w:pPr>
        <w:pStyle w:val="AbstractSummary-nadpis"/>
        <w:spacing w:before="0"/>
        <w:jc w:val="both"/>
        <w:rPr>
          <w:lang w:val="en-GB"/>
        </w:rPr>
      </w:pPr>
      <w:r w:rsidRPr="001F4F38">
        <w:rPr>
          <w:lang w:val="en-GB"/>
        </w:rPr>
        <w:t>Keywords:</w:t>
      </w:r>
      <w:r w:rsidR="00FF1CEB">
        <w:rPr>
          <w:lang w:val="en-GB"/>
        </w:rPr>
        <w:t xml:space="preserve"> </w:t>
      </w:r>
    </w:p>
    <w:p w:rsidR="001F4F38" w:rsidRPr="006C7104" w:rsidRDefault="006C7104" w:rsidP="001F4F38">
      <w:pPr>
        <w:pStyle w:val="AbstractSummary-text"/>
        <w:rPr>
          <w:lang w:val="en-GB"/>
        </w:rPr>
      </w:pPr>
      <w:r w:rsidRPr="006C7104">
        <w:rPr>
          <w:lang w:val="en-GB"/>
        </w:rPr>
        <w:t>Calculati</w:t>
      </w:r>
      <w:r w:rsidR="00651291">
        <w:rPr>
          <w:lang w:val="en-GB"/>
        </w:rPr>
        <w:t>o</w:t>
      </w:r>
      <w:r w:rsidRPr="006C7104">
        <w:rPr>
          <w:lang w:val="en-GB"/>
        </w:rPr>
        <w:t>n, costing</w:t>
      </w:r>
      <w:r w:rsidR="001F4F38" w:rsidRPr="006C7104">
        <w:rPr>
          <w:lang w:val="en-GB"/>
        </w:rPr>
        <w:t>, calculation methods, indirect cost, overhead cost, cost accounting, managerial accounting.</w:t>
      </w:r>
      <w:r w:rsidR="00FF1CEB" w:rsidRPr="006C7104">
        <w:rPr>
          <w:lang w:val="en-GB"/>
        </w:rPr>
        <w:t xml:space="preserve"> </w:t>
      </w:r>
    </w:p>
    <w:p w:rsidR="00234347" w:rsidRPr="00BD7149" w:rsidRDefault="00234347" w:rsidP="00C91C02">
      <w:pPr>
        <w:pStyle w:val="AbstractSummary-text"/>
        <w:rPr>
          <w:lang w:val="cs-CZ"/>
        </w:rPr>
      </w:pPr>
    </w:p>
    <w:p w:rsidR="00BD7149" w:rsidRPr="00FF1CEB" w:rsidRDefault="00BD7149" w:rsidP="00A54EEA">
      <w:pPr>
        <w:pStyle w:val="AbstractSummary-nadpis"/>
        <w:spacing w:before="0"/>
        <w:jc w:val="both"/>
        <w:rPr>
          <w:lang w:val="en-GB"/>
        </w:rPr>
      </w:pPr>
      <w:r w:rsidRPr="00FF1CEB">
        <w:rPr>
          <w:lang w:val="en-GB"/>
        </w:rPr>
        <w:t xml:space="preserve">JEL </w:t>
      </w:r>
      <w:r w:rsidR="00ED6E3B" w:rsidRPr="00FF1CEB">
        <w:rPr>
          <w:lang w:val="en-GB"/>
        </w:rPr>
        <w:t>C</w:t>
      </w:r>
      <w:r w:rsidRPr="00FF1CEB">
        <w:rPr>
          <w:lang w:val="en-GB"/>
        </w:rPr>
        <w:t>lassification:</w:t>
      </w:r>
      <w:r w:rsidR="00FF1CEB">
        <w:rPr>
          <w:lang w:val="en-GB"/>
        </w:rPr>
        <w:t xml:space="preserve"> </w:t>
      </w:r>
    </w:p>
    <w:p w:rsidR="00FF1CEB" w:rsidRPr="006C7104" w:rsidRDefault="00FF1CEB" w:rsidP="00EF42E4">
      <w:pPr>
        <w:pStyle w:val="AbstractSummary-text"/>
        <w:spacing w:after="0"/>
        <w:rPr>
          <w:lang w:val="en-GB"/>
        </w:rPr>
      </w:pPr>
      <w:r w:rsidRPr="006C7104">
        <w:rPr>
          <w:lang w:val="en-GB"/>
        </w:rPr>
        <w:t xml:space="preserve">M21 – Business Economics </w:t>
      </w:r>
    </w:p>
    <w:p w:rsidR="00A54EEA" w:rsidRDefault="00FF1CEB" w:rsidP="00A54EEA">
      <w:pPr>
        <w:pStyle w:val="AbstractSummary-text"/>
        <w:spacing w:after="0"/>
        <w:rPr>
          <w:lang w:val="en-GB"/>
        </w:rPr>
      </w:pPr>
      <w:r w:rsidRPr="006C7104">
        <w:rPr>
          <w:lang w:val="en-GB"/>
        </w:rPr>
        <w:t xml:space="preserve">M40 – General </w:t>
      </w:r>
    </w:p>
    <w:p w:rsidR="00FF1CEB" w:rsidRPr="006C7104" w:rsidRDefault="00FF1CEB" w:rsidP="00A54EEA">
      <w:pPr>
        <w:pStyle w:val="AbstractSummary-text"/>
        <w:rPr>
          <w:lang w:val="en-GB"/>
        </w:rPr>
      </w:pPr>
      <w:r w:rsidRPr="006C7104">
        <w:rPr>
          <w:lang w:val="en-GB"/>
        </w:rPr>
        <w:t xml:space="preserve">D24 – Production; Cost; Capital, Total Factor, and Multifactor Productivity; Capacity </w:t>
      </w:r>
    </w:p>
    <w:p w:rsidR="00C91C02" w:rsidRPr="00FF1CEB" w:rsidRDefault="00C91C02" w:rsidP="00A54EEA">
      <w:pPr>
        <w:pStyle w:val="AbstractSummary-text"/>
        <w:rPr>
          <w:lang w:val="cs-CZ"/>
        </w:rPr>
      </w:pPr>
    </w:p>
    <w:p w:rsidR="00EF42E4" w:rsidRPr="00FF1CEB" w:rsidRDefault="00EF42E4" w:rsidP="00FF1CEB">
      <w:pPr>
        <w:pStyle w:val="AbstractSummary-text"/>
        <w:spacing w:after="0"/>
        <w:rPr>
          <w:lang w:val="en-GB"/>
        </w:rPr>
      </w:pPr>
      <w:r w:rsidRPr="00FF1CEB">
        <w:rPr>
          <w:lang w:val="en-GB"/>
        </w:rPr>
        <w:br w:type="page"/>
      </w:r>
    </w:p>
    <w:p w:rsidR="00793AB3" w:rsidRPr="00793AB3" w:rsidRDefault="00793AB3" w:rsidP="004F736F">
      <w:pPr>
        <w:jc w:val="left"/>
        <w:rPr>
          <w:sz w:val="32"/>
          <w:szCs w:val="32"/>
        </w:rPr>
      </w:pPr>
      <w:r w:rsidRPr="00793AB3">
        <w:rPr>
          <w:b/>
          <w:sz w:val="32"/>
          <w:szCs w:val="32"/>
        </w:rPr>
        <w:lastRenderedPageBreak/>
        <w:t>Obsah</w:t>
      </w:r>
    </w:p>
    <w:p w:rsidR="00095772" w:rsidRDefault="009C1CDD">
      <w:pPr>
        <w:pStyle w:val="Obsah1"/>
        <w:rPr>
          <w:rFonts w:asciiTheme="minorHAnsi" w:eastAsiaTheme="minorEastAsia" w:hAnsiTheme="minorHAnsi" w:cstheme="minorBidi"/>
          <w:noProof/>
          <w:sz w:val="22"/>
          <w:lang w:eastAsia="cs-CZ"/>
        </w:rPr>
      </w:pPr>
      <w:r w:rsidRPr="009C1CDD">
        <w:fldChar w:fldCharType="begin"/>
      </w:r>
      <w:r w:rsidR="00793AB3">
        <w:instrText xml:space="preserve"> TOC \o "1-3" \h \z \u </w:instrText>
      </w:r>
      <w:r w:rsidRPr="009C1CDD">
        <w:fldChar w:fldCharType="separate"/>
      </w:r>
      <w:hyperlink w:anchor="_Toc302476191" w:history="1">
        <w:r w:rsidR="00095772" w:rsidRPr="00274235">
          <w:rPr>
            <w:rStyle w:val="Hypertextovodkaz"/>
            <w:noProof/>
          </w:rPr>
          <w:t>1</w:t>
        </w:r>
        <w:r w:rsidR="00095772">
          <w:rPr>
            <w:rFonts w:asciiTheme="minorHAnsi" w:eastAsiaTheme="minorEastAsia" w:hAnsiTheme="minorHAnsi" w:cstheme="minorBidi"/>
            <w:noProof/>
            <w:sz w:val="22"/>
            <w:lang w:eastAsia="cs-CZ"/>
          </w:rPr>
          <w:tab/>
        </w:r>
        <w:r w:rsidR="00095772" w:rsidRPr="00274235">
          <w:rPr>
            <w:rStyle w:val="Hypertextovodkaz"/>
            <w:noProof/>
          </w:rPr>
          <w:t>Úvod</w:t>
        </w:r>
        <w:r w:rsidR="00095772">
          <w:rPr>
            <w:noProof/>
            <w:webHidden/>
          </w:rPr>
          <w:tab/>
        </w:r>
        <w:r>
          <w:rPr>
            <w:noProof/>
            <w:webHidden/>
          </w:rPr>
          <w:fldChar w:fldCharType="begin"/>
        </w:r>
        <w:r w:rsidR="00095772">
          <w:rPr>
            <w:noProof/>
            <w:webHidden/>
          </w:rPr>
          <w:instrText xml:space="preserve"> PAGEREF _Toc302476191 \h </w:instrText>
        </w:r>
        <w:r>
          <w:rPr>
            <w:noProof/>
            <w:webHidden/>
          </w:rPr>
        </w:r>
        <w:r>
          <w:rPr>
            <w:noProof/>
            <w:webHidden/>
          </w:rPr>
          <w:fldChar w:fldCharType="separate"/>
        </w:r>
        <w:r w:rsidR="006814FB">
          <w:rPr>
            <w:noProof/>
            <w:webHidden/>
          </w:rPr>
          <w:t>1</w:t>
        </w:r>
        <w:r>
          <w:rPr>
            <w:noProof/>
            <w:webHidden/>
          </w:rPr>
          <w:fldChar w:fldCharType="end"/>
        </w:r>
      </w:hyperlink>
    </w:p>
    <w:p w:rsidR="00095772" w:rsidRDefault="009C1CDD">
      <w:pPr>
        <w:pStyle w:val="Obsah1"/>
        <w:rPr>
          <w:rFonts w:asciiTheme="minorHAnsi" w:eastAsiaTheme="minorEastAsia" w:hAnsiTheme="minorHAnsi" w:cstheme="minorBidi"/>
          <w:noProof/>
          <w:sz w:val="22"/>
          <w:lang w:eastAsia="cs-CZ"/>
        </w:rPr>
      </w:pPr>
      <w:hyperlink w:anchor="_Toc302476192" w:history="1">
        <w:r w:rsidR="00095772" w:rsidRPr="00274235">
          <w:rPr>
            <w:rStyle w:val="Hypertextovodkaz"/>
            <w:noProof/>
          </w:rPr>
          <w:t>2</w:t>
        </w:r>
        <w:r w:rsidR="00095772">
          <w:rPr>
            <w:rFonts w:asciiTheme="minorHAnsi" w:eastAsiaTheme="minorEastAsia" w:hAnsiTheme="minorHAnsi" w:cstheme="minorBidi"/>
            <w:noProof/>
            <w:sz w:val="22"/>
            <w:lang w:eastAsia="cs-CZ"/>
          </w:rPr>
          <w:tab/>
        </w:r>
        <w:r w:rsidR="00095772" w:rsidRPr="00274235">
          <w:rPr>
            <w:rStyle w:val="Hypertextovodkaz"/>
            <w:noProof/>
          </w:rPr>
          <w:t>Kalkulace a kalkulační metody</w:t>
        </w:r>
        <w:r w:rsidR="00095772">
          <w:rPr>
            <w:noProof/>
            <w:webHidden/>
          </w:rPr>
          <w:tab/>
        </w:r>
        <w:r>
          <w:rPr>
            <w:noProof/>
            <w:webHidden/>
          </w:rPr>
          <w:fldChar w:fldCharType="begin"/>
        </w:r>
        <w:r w:rsidR="00095772">
          <w:rPr>
            <w:noProof/>
            <w:webHidden/>
          </w:rPr>
          <w:instrText xml:space="preserve"> PAGEREF _Toc302476192 \h </w:instrText>
        </w:r>
        <w:r>
          <w:rPr>
            <w:noProof/>
            <w:webHidden/>
          </w:rPr>
        </w:r>
        <w:r>
          <w:rPr>
            <w:noProof/>
            <w:webHidden/>
          </w:rPr>
          <w:fldChar w:fldCharType="separate"/>
        </w:r>
        <w:r w:rsidR="006814FB">
          <w:rPr>
            <w:noProof/>
            <w:webHidden/>
          </w:rPr>
          <w:t>3</w:t>
        </w:r>
        <w:r>
          <w:rPr>
            <w:noProof/>
            <w:webHidden/>
          </w:rPr>
          <w:fldChar w:fldCharType="end"/>
        </w:r>
      </w:hyperlink>
    </w:p>
    <w:p w:rsidR="00095772" w:rsidRDefault="009C1CDD">
      <w:pPr>
        <w:pStyle w:val="Obsah2"/>
        <w:rPr>
          <w:rFonts w:asciiTheme="minorHAnsi" w:eastAsiaTheme="minorEastAsia" w:hAnsiTheme="minorHAnsi" w:cstheme="minorBidi"/>
          <w:lang w:eastAsia="cs-CZ"/>
        </w:rPr>
      </w:pPr>
      <w:hyperlink w:anchor="_Toc302476193" w:history="1">
        <w:r w:rsidR="00095772" w:rsidRPr="00274235">
          <w:rPr>
            <w:rStyle w:val="Hypertextovodkaz"/>
          </w:rPr>
          <w:t>2.1</w:t>
        </w:r>
        <w:r w:rsidR="00095772">
          <w:rPr>
            <w:rFonts w:asciiTheme="minorHAnsi" w:eastAsiaTheme="minorEastAsia" w:hAnsiTheme="minorHAnsi" w:cstheme="minorBidi"/>
            <w:lang w:eastAsia="cs-CZ"/>
          </w:rPr>
          <w:tab/>
        </w:r>
        <w:r w:rsidR="00095772" w:rsidRPr="00274235">
          <w:rPr>
            <w:rStyle w:val="Hypertextovodkaz"/>
          </w:rPr>
          <w:t>Vztah finančního a manažerského účetnictví</w:t>
        </w:r>
        <w:r w:rsidR="00095772">
          <w:rPr>
            <w:webHidden/>
          </w:rPr>
          <w:tab/>
        </w:r>
        <w:r>
          <w:rPr>
            <w:webHidden/>
          </w:rPr>
          <w:fldChar w:fldCharType="begin"/>
        </w:r>
        <w:r w:rsidR="00095772">
          <w:rPr>
            <w:webHidden/>
          </w:rPr>
          <w:instrText xml:space="preserve"> PAGEREF _Toc302476193 \h </w:instrText>
        </w:r>
        <w:r>
          <w:rPr>
            <w:webHidden/>
          </w:rPr>
        </w:r>
        <w:r>
          <w:rPr>
            <w:webHidden/>
          </w:rPr>
          <w:fldChar w:fldCharType="separate"/>
        </w:r>
        <w:r w:rsidR="006814FB">
          <w:rPr>
            <w:webHidden/>
          </w:rPr>
          <w:t>3</w:t>
        </w:r>
        <w:r>
          <w:rPr>
            <w:webHidden/>
          </w:rPr>
          <w:fldChar w:fldCharType="end"/>
        </w:r>
      </w:hyperlink>
    </w:p>
    <w:p w:rsidR="00095772" w:rsidRDefault="009C1CDD">
      <w:pPr>
        <w:pStyle w:val="Obsah3"/>
        <w:rPr>
          <w:rFonts w:asciiTheme="minorHAnsi" w:eastAsiaTheme="minorEastAsia" w:hAnsiTheme="minorHAnsi" w:cstheme="minorBidi"/>
          <w:noProof/>
          <w:lang w:eastAsia="cs-CZ"/>
        </w:rPr>
      </w:pPr>
      <w:hyperlink w:anchor="_Toc302476194" w:history="1">
        <w:r w:rsidR="00095772" w:rsidRPr="00274235">
          <w:rPr>
            <w:rStyle w:val="Hypertextovodkaz"/>
            <w:noProof/>
          </w:rPr>
          <w:t>2.1.1</w:t>
        </w:r>
        <w:r w:rsidR="00095772">
          <w:rPr>
            <w:rFonts w:asciiTheme="minorHAnsi" w:eastAsiaTheme="minorEastAsia" w:hAnsiTheme="minorHAnsi" w:cstheme="minorBidi"/>
            <w:noProof/>
            <w:lang w:eastAsia="cs-CZ"/>
          </w:rPr>
          <w:tab/>
        </w:r>
        <w:r w:rsidR="00095772" w:rsidRPr="00274235">
          <w:rPr>
            <w:rStyle w:val="Hypertextovodkaz"/>
            <w:noProof/>
          </w:rPr>
          <w:t>Účetnictví a jeho subsystémy</w:t>
        </w:r>
        <w:r w:rsidR="00095772">
          <w:rPr>
            <w:noProof/>
            <w:webHidden/>
          </w:rPr>
          <w:tab/>
        </w:r>
        <w:r>
          <w:rPr>
            <w:noProof/>
            <w:webHidden/>
          </w:rPr>
          <w:fldChar w:fldCharType="begin"/>
        </w:r>
        <w:r w:rsidR="00095772">
          <w:rPr>
            <w:noProof/>
            <w:webHidden/>
          </w:rPr>
          <w:instrText xml:space="preserve"> PAGEREF _Toc302476194 \h </w:instrText>
        </w:r>
        <w:r>
          <w:rPr>
            <w:noProof/>
            <w:webHidden/>
          </w:rPr>
        </w:r>
        <w:r>
          <w:rPr>
            <w:noProof/>
            <w:webHidden/>
          </w:rPr>
          <w:fldChar w:fldCharType="separate"/>
        </w:r>
        <w:r w:rsidR="006814FB">
          <w:rPr>
            <w:noProof/>
            <w:webHidden/>
          </w:rPr>
          <w:t>3</w:t>
        </w:r>
        <w:r>
          <w:rPr>
            <w:noProof/>
            <w:webHidden/>
          </w:rPr>
          <w:fldChar w:fldCharType="end"/>
        </w:r>
      </w:hyperlink>
    </w:p>
    <w:p w:rsidR="00095772" w:rsidRDefault="009C1CDD">
      <w:pPr>
        <w:pStyle w:val="Obsah3"/>
        <w:rPr>
          <w:rFonts w:asciiTheme="minorHAnsi" w:eastAsiaTheme="minorEastAsia" w:hAnsiTheme="minorHAnsi" w:cstheme="minorBidi"/>
          <w:noProof/>
          <w:lang w:eastAsia="cs-CZ"/>
        </w:rPr>
      </w:pPr>
      <w:hyperlink w:anchor="_Toc302476195" w:history="1">
        <w:r w:rsidR="00095772" w:rsidRPr="00274235">
          <w:rPr>
            <w:rStyle w:val="Hypertextovodkaz"/>
            <w:noProof/>
          </w:rPr>
          <w:t>2.1.2</w:t>
        </w:r>
        <w:r w:rsidR="00095772">
          <w:rPr>
            <w:rFonts w:asciiTheme="minorHAnsi" w:eastAsiaTheme="minorEastAsia" w:hAnsiTheme="minorHAnsi" w:cstheme="minorBidi"/>
            <w:noProof/>
            <w:lang w:eastAsia="cs-CZ"/>
          </w:rPr>
          <w:tab/>
        </w:r>
        <w:r w:rsidR="00095772" w:rsidRPr="00274235">
          <w:rPr>
            <w:rStyle w:val="Hypertextovodkaz"/>
            <w:noProof/>
          </w:rPr>
          <w:t>Organizace finančního a manažerského účetnictví</w:t>
        </w:r>
        <w:r w:rsidR="00095772">
          <w:rPr>
            <w:noProof/>
            <w:webHidden/>
          </w:rPr>
          <w:tab/>
        </w:r>
        <w:r>
          <w:rPr>
            <w:noProof/>
            <w:webHidden/>
          </w:rPr>
          <w:fldChar w:fldCharType="begin"/>
        </w:r>
        <w:r w:rsidR="00095772">
          <w:rPr>
            <w:noProof/>
            <w:webHidden/>
          </w:rPr>
          <w:instrText xml:space="preserve"> PAGEREF _Toc302476195 \h </w:instrText>
        </w:r>
        <w:r>
          <w:rPr>
            <w:noProof/>
            <w:webHidden/>
          </w:rPr>
        </w:r>
        <w:r>
          <w:rPr>
            <w:noProof/>
            <w:webHidden/>
          </w:rPr>
          <w:fldChar w:fldCharType="separate"/>
        </w:r>
        <w:r w:rsidR="006814FB">
          <w:rPr>
            <w:noProof/>
            <w:webHidden/>
          </w:rPr>
          <w:t>5</w:t>
        </w:r>
        <w:r>
          <w:rPr>
            <w:noProof/>
            <w:webHidden/>
          </w:rPr>
          <w:fldChar w:fldCharType="end"/>
        </w:r>
      </w:hyperlink>
    </w:p>
    <w:p w:rsidR="00095772" w:rsidRDefault="009C1CDD">
      <w:pPr>
        <w:pStyle w:val="Obsah2"/>
        <w:rPr>
          <w:rFonts w:asciiTheme="minorHAnsi" w:eastAsiaTheme="minorEastAsia" w:hAnsiTheme="minorHAnsi" w:cstheme="minorBidi"/>
          <w:lang w:eastAsia="cs-CZ"/>
        </w:rPr>
      </w:pPr>
      <w:hyperlink w:anchor="_Toc302476196" w:history="1">
        <w:r w:rsidR="00095772" w:rsidRPr="00274235">
          <w:rPr>
            <w:rStyle w:val="Hypertextovodkaz"/>
          </w:rPr>
          <w:t>2.2</w:t>
        </w:r>
        <w:r w:rsidR="00095772">
          <w:rPr>
            <w:rFonts w:asciiTheme="minorHAnsi" w:eastAsiaTheme="minorEastAsia" w:hAnsiTheme="minorHAnsi" w:cstheme="minorBidi"/>
            <w:lang w:eastAsia="cs-CZ"/>
          </w:rPr>
          <w:tab/>
        </w:r>
        <w:r w:rsidR="00095772" w:rsidRPr="00274235">
          <w:rPr>
            <w:rStyle w:val="Hypertextovodkaz"/>
          </w:rPr>
          <w:t>Náklady v manažerském účetnictví</w:t>
        </w:r>
        <w:r w:rsidR="00095772">
          <w:rPr>
            <w:webHidden/>
          </w:rPr>
          <w:tab/>
        </w:r>
        <w:r>
          <w:rPr>
            <w:webHidden/>
          </w:rPr>
          <w:fldChar w:fldCharType="begin"/>
        </w:r>
        <w:r w:rsidR="00095772">
          <w:rPr>
            <w:webHidden/>
          </w:rPr>
          <w:instrText xml:space="preserve"> PAGEREF _Toc302476196 \h </w:instrText>
        </w:r>
        <w:r>
          <w:rPr>
            <w:webHidden/>
          </w:rPr>
        </w:r>
        <w:r>
          <w:rPr>
            <w:webHidden/>
          </w:rPr>
          <w:fldChar w:fldCharType="separate"/>
        </w:r>
        <w:r w:rsidR="006814FB">
          <w:rPr>
            <w:webHidden/>
          </w:rPr>
          <w:t>5</w:t>
        </w:r>
        <w:r>
          <w:rPr>
            <w:webHidden/>
          </w:rPr>
          <w:fldChar w:fldCharType="end"/>
        </w:r>
      </w:hyperlink>
    </w:p>
    <w:p w:rsidR="00095772" w:rsidRDefault="009C1CDD">
      <w:pPr>
        <w:pStyle w:val="Obsah3"/>
        <w:rPr>
          <w:rFonts w:asciiTheme="minorHAnsi" w:eastAsiaTheme="minorEastAsia" w:hAnsiTheme="minorHAnsi" w:cstheme="minorBidi"/>
          <w:noProof/>
          <w:lang w:eastAsia="cs-CZ"/>
        </w:rPr>
      </w:pPr>
      <w:hyperlink w:anchor="_Toc302476197" w:history="1">
        <w:r w:rsidR="00095772" w:rsidRPr="00274235">
          <w:rPr>
            <w:rStyle w:val="Hypertextovodkaz"/>
            <w:noProof/>
          </w:rPr>
          <w:t>2.2.1</w:t>
        </w:r>
        <w:r w:rsidR="00095772">
          <w:rPr>
            <w:rFonts w:asciiTheme="minorHAnsi" w:eastAsiaTheme="minorEastAsia" w:hAnsiTheme="minorHAnsi" w:cstheme="minorBidi"/>
            <w:noProof/>
            <w:lang w:eastAsia="cs-CZ"/>
          </w:rPr>
          <w:tab/>
        </w:r>
        <w:r w:rsidR="00095772" w:rsidRPr="00274235">
          <w:rPr>
            <w:rStyle w:val="Hypertextovodkaz"/>
            <w:noProof/>
          </w:rPr>
          <w:t>Pojetí nákladů</w:t>
        </w:r>
        <w:r w:rsidR="00095772">
          <w:rPr>
            <w:noProof/>
            <w:webHidden/>
          </w:rPr>
          <w:tab/>
        </w:r>
        <w:r>
          <w:rPr>
            <w:noProof/>
            <w:webHidden/>
          </w:rPr>
          <w:fldChar w:fldCharType="begin"/>
        </w:r>
        <w:r w:rsidR="00095772">
          <w:rPr>
            <w:noProof/>
            <w:webHidden/>
          </w:rPr>
          <w:instrText xml:space="preserve"> PAGEREF _Toc302476197 \h </w:instrText>
        </w:r>
        <w:r>
          <w:rPr>
            <w:noProof/>
            <w:webHidden/>
          </w:rPr>
        </w:r>
        <w:r>
          <w:rPr>
            <w:noProof/>
            <w:webHidden/>
          </w:rPr>
          <w:fldChar w:fldCharType="separate"/>
        </w:r>
        <w:r w:rsidR="006814FB">
          <w:rPr>
            <w:noProof/>
            <w:webHidden/>
          </w:rPr>
          <w:t>5</w:t>
        </w:r>
        <w:r>
          <w:rPr>
            <w:noProof/>
            <w:webHidden/>
          </w:rPr>
          <w:fldChar w:fldCharType="end"/>
        </w:r>
      </w:hyperlink>
    </w:p>
    <w:p w:rsidR="00095772" w:rsidRDefault="009C1CDD">
      <w:pPr>
        <w:pStyle w:val="Obsah3"/>
        <w:rPr>
          <w:rFonts w:asciiTheme="minorHAnsi" w:eastAsiaTheme="minorEastAsia" w:hAnsiTheme="minorHAnsi" w:cstheme="minorBidi"/>
          <w:noProof/>
          <w:lang w:eastAsia="cs-CZ"/>
        </w:rPr>
      </w:pPr>
      <w:hyperlink w:anchor="_Toc302476198" w:history="1">
        <w:r w:rsidR="00095772" w:rsidRPr="00274235">
          <w:rPr>
            <w:rStyle w:val="Hypertextovodkaz"/>
            <w:noProof/>
          </w:rPr>
          <w:t>2.2.2</w:t>
        </w:r>
        <w:r w:rsidR="00095772">
          <w:rPr>
            <w:rFonts w:asciiTheme="minorHAnsi" w:eastAsiaTheme="minorEastAsia" w:hAnsiTheme="minorHAnsi" w:cstheme="minorBidi"/>
            <w:noProof/>
            <w:lang w:eastAsia="cs-CZ"/>
          </w:rPr>
          <w:tab/>
        </w:r>
        <w:r w:rsidR="00095772" w:rsidRPr="00274235">
          <w:rPr>
            <w:rStyle w:val="Hypertextovodkaz"/>
            <w:noProof/>
          </w:rPr>
          <w:t>Členění nákladů</w:t>
        </w:r>
        <w:r w:rsidR="00095772">
          <w:rPr>
            <w:noProof/>
            <w:webHidden/>
          </w:rPr>
          <w:tab/>
        </w:r>
        <w:r>
          <w:rPr>
            <w:noProof/>
            <w:webHidden/>
          </w:rPr>
          <w:fldChar w:fldCharType="begin"/>
        </w:r>
        <w:r w:rsidR="00095772">
          <w:rPr>
            <w:noProof/>
            <w:webHidden/>
          </w:rPr>
          <w:instrText xml:space="preserve"> PAGEREF _Toc302476198 \h </w:instrText>
        </w:r>
        <w:r>
          <w:rPr>
            <w:noProof/>
            <w:webHidden/>
          </w:rPr>
        </w:r>
        <w:r>
          <w:rPr>
            <w:noProof/>
            <w:webHidden/>
          </w:rPr>
          <w:fldChar w:fldCharType="separate"/>
        </w:r>
        <w:r w:rsidR="006814FB">
          <w:rPr>
            <w:noProof/>
            <w:webHidden/>
          </w:rPr>
          <w:t>6</w:t>
        </w:r>
        <w:r>
          <w:rPr>
            <w:noProof/>
            <w:webHidden/>
          </w:rPr>
          <w:fldChar w:fldCharType="end"/>
        </w:r>
      </w:hyperlink>
    </w:p>
    <w:p w:rsidR="00095772" w:rsidRDefault="009C1CDD">
      <w:pPr>
        <w:pStyle w:val="Obsah2"/>
        <w:rPr>
          <w:rFonts w:asciiTheme="minorHAnsi" w:eastAsiaTheme="minorEastAsia" w:hAnsiTheme="minorHAnsi" w:cstheme="minorBidi"/>
          <w:lang w:eastAsia="cs-CZ"/>
        </w:rPr>
      </w:pPr>
      <w:hyperlink w:anchor="_Toc302476199" w:history="1">
        <w:r w:rsidR="00095772" w:rsidRPr="00274235">
          <w:rPr>
            <w:rStyle w:val="Hypertextovodkaz"/>
          </w:rPr>
          <w:t>2.3</w:t>
        </w:r>
        <w:r w:rsidR="00095772">
          <w:rPr>
            <w:rFonts w:asciiTheme="minorHAnsi" w:eastAsiaTheme="minorEastAsia" w:hAnsiTheme="minorHAnsi" w:cstheme="minorBidi"/>
            <w:lang w:eastAsia="cs-CZ"/>
          </w:rPr>
          <w:tab/>
        </w:r>
        <w:r w:rsidR="00095772" w:rsidRPr="00274235">
          <w:rPr>
            <w:rStyle w:val="Hypertextovodkaz"/>
          </w:rPr>
          <w:t>Kalkulace</w:t>
        </w:r>
        <w:r w:rsidR="00095772">
          <w:rPr>
            <w:webHidden/>
          </w:rPr>
          <w:tab/>
        </w:r>
        <w:r>
          <w:rPr>
            <w:webHidden/>
          </w:rPr>
          <w:fldChar w:fldCharType="begin"/>
        </w:r>
        <w:r w:rsidR="00095772">
          <w:rPr>
            <w:webHidden/>
          </w:rPr>
          <w:instrText xml:space="preserve"> PAGEREF _Toc302476199 \h </w:instrText>
        </w:r>
        <w:r>
          <w:rPr>
            <w:webHidden/>
          </w:rPr>
        </w:r>
        <w:r>
          <w:rPr>
            <w:webHidden/>
          </w:rPr>
          <w:fldChar w:fldCharType="separate"/>
        </w:r>
        <w:r w:rsidR="006814FB">
          <w:rPr>
            <w:webHidden/>
          </w:rPr>
          <w:t>8</w:t>
        </w:r>
        <w:r>
          <w:rPr>
            <w:webHidden/>
          </w:rPr>
          <w:fldChar w:fldCharType="end"/>
        </w:r>
      </w:hyperlink>
    </w:p>
    <w:p w:rsidR="00095772" w:rsidRDefault="009C1CDD">
      <w:pPr>
        <w:pStyle w:val="Obsah3"/>
        <w:rPr>
          <w:rFonts w:asciiTheme="minorHAnsi" w:eastAsiaTheme="minorEastAsia" w:hAnsiTheme="minorHAnsi" w:cstheme="minorBidi"/>
          <w:noProof/>
          <w:lang w:eastAsia="cs-CZ"/>
        </w:rPr>
      </w:pPr>
      <w:hyperlink w:anchor="_Toc302476200" w:history="1">
        <w:r w:rsidR="00095772" w:rsidRPr="00274235">
          <w:rPr>
            <w:rStyle w:val="Hypertextovodkaz"/>
            <w:noProof/>
          </w:rPr>
          <w:t>2.3.1</w:t>
        </w:r>
        <w:r w:rsidR="00095772">
          <w:rPr>
            <w:rFonts w:asciiTheme="minorHAnsi" w:eastAsiaTheme="minorEastAsia" w:hAnsiTheme="minorHAnsi" w:cstheme="minorBidi"/>
            <w:noProof/>
            <w:lang w:eastAsia="cs-CZ"/>
          </w:rPr>
          <w:tab/>
        </w:r>
        <w:r w:rsidR="00095772" w:rsidRPr="00274235">
          <w:rPr>
            <w:rStyle w:val="Hypertextovodkaz"/>
            <w:noProof/>
          </w:rPr>
          <w:t>Základní kalkulační pojmy</w:t>
        </w:r>
        <w:r w:rsidR="00095772">
          <w:rPr>
            <w:noProof/>
            <w:webHidden/>
          </w:rPr>
          <w:tab/>
        </w:r>
        <w:r>
          <w:rPr>
            <w:noProof/>
            <w:webHidden/>
          </w:rPr>
          <w:fldChar w:fldCharType="begin"/>
        </w:r>
        <w:r w:rsidR="00095772">
          <w:rPr>
            <w:noProof/>
            <w:webHidden/>
          </w:rPr>
          <w:instrText xml:space="preserve"> PAGEREF _Toc302476200 \h </w:instrText>
        </w:r>
        <w:r>
          <w:rPr>
            <w:noProof/>
            <w:webHidden/>
          </w:rPr>
        </w:r>
        <w:r>
          <w:rPr>
            <w:noProof/>
            <w:webHidden/>
          </w:rPr>
          <w:fldChar w:fldCharType="separate"/>
        </w:r>
        <w:r w:rsidR="006814FB">
          <w:rPr>
            <w:noProof/>
            <w:webHidden/>
          </w:rPr>
          <w:t>8</w:t>
        </w:r>
        <w:r>
          <w:rPr>
            <w:noProof/>
            <w:webHidden/>
          </w:rPr>
          <w:fldChar w:fldCharType="end"/>
        </w:r>
      </w:hyperlink>
    </w:p>
    <w:p w:rsidR="00095772" w:rsidRDefault="009C1CDD">
      <w:pPr>
        <w:pStyle w:val="Obsah3"/>
        <w:rPr>
          <w:rFonts w:asciiTheme="minorHAnsi" w:eastAsiaTheme="minorEastAsia" w:hAnsiTheme="minorHAnsi" w:cstheme="minorBidi"/>
          <w:noProof/>
          <w:lang w:eastAsia="cs-CZ"/>
        </w:rPr>
      </w:pPr>
      <w:hyperlink w:anchor="_Toc302476201" w:history="1">
        <w:r w:rsidR="00095772" w:rsidRPr="00274235">
          <w:rPr>
            <w:rStyle w:val="Hypertextovodkaz"/>
            <w:noProof/>
          </w:rPr>
          <w:t>2.3.2</w:t>
        </w:r>
        <w:r w:rsidR="00095772">
          <w:rPr>
            <w:rFonts w:asciiTheme="minorHAnsi" w:eastAsiaTheme="minorEastAsia" w:hAnsiTheme="minorHAnsi" w:cstheme="minorBidi"/>
            <w:noProof/>
            <w:lang w:eastAsia="cs-CZ"/>
          </w:rPr>
          <w:tab/>
        </w:r>
        <w:r w:rsidR="00095772" w:rsidRPr="00274235">
          <w:rPr>
            <w:rStyle w:val="Hypertextovodkaz"/>
            <w:noProof/>
          </w:rPr>
          <w:t>Struktura nákladů v kalkulaci</w:t>
        </w:r>
        <w:r w:rsidR="00095772">
          <w:rPr>
            <w:noProof/>
            <w:webHidden/>
          </w:rPr>
          <w:tab/>
        </w:r>
        <w:r>
          <w:rPr>
            <w:noProof/>
            <w:webHidden/>
          </w:rPr>
          <w:fldChar w:fldCharType="begin"/>
        </w:r>
        <w:r w:rsidR="00095772">
          <w:rPr>
            <w:noProof/>
            <w:webHidden/>
          </w:rPr>
          <w:instrText xml:space="preserve"> PAGEREF _Toc302476201 \h </w:instrText>
        </w:r>
        <w:r>
          <w:rPr>
            <w:noProof/>
            <w:webHidden/>
          </w:rPr>
        </w:r>
        <w:r>
          <w:rPr>
            <w:noProof/>
            <w:webHidden/>
          </w:rPr>
          <w:fldChar w:fldCharType="separate"/>
        </w:r>
        <w:r w:rsidR="006814FB">
          <w:rPr>
            <w:noProof/>
            <w:webHidden/>
          </w:rPr>
          <w:t>9</w:t>
        </w:r>
        <w:r>
          <w:rPr>
            <w:noProof/>
            <w:webHidden/>
          </w:rPr>
          <w:fldChar w:fldCharType="end"/>
        </w:r>
      </w:hyperlink>
    </w:p>
    <w:p w:rsidR="00095772" w:rsidRDefault="009C1CDD">
      <w:pPr>
        <w:pStyle w:val="Obsah3"/>
        <w:rPr>
          <w:rFonts w:asciiTheme="minorHAnsi" w:eastAsiaTheme="minorEastAsia" w:hAnsiTheme="minorHAnsi" w:cstheme="minorBidi"/>
          <w:noProof/>
          <w:lang w:eastAsia="cs-CZ"/>
        </w:rPr>
      </w:pPr>
      <w:hyperlink w:anchor="_Toc302476202" w:history="1">
        <w:r w:rsidR="00095772" w:rsidRPr="00274235">
          <w:rPr>
            <w:rStyle w:val="Hypertextovodkaz"/>
            <w:noProof/>
          </w:rPr>
          <w:t>2.3.3</w:t>
        </w:r>
        <w:r w:rsidR="00095772">
          <w:rPr>
            <w:rFonts w:asciiTheme="minorHAnsi" w:eastAsiaTheme="minorEastAsia" w:hAnsiTheme="minorHAnsi" w:cstheme="minorBidi"/>
            <w:noProof/>
            <w:lang w:eastAsia="cs-CZ"/>
          </w:rPr>
          <w:tab/>
        </w:r>
        <w:r w:rsidR="00095772" w:rsidRPr="00274235">
          <w:rPr>
            <w:rStyle w:val="Hypertextovodkaz"/>
            <w:noProof/>
          </w:rPr>
          <w:t>Přiřazování nákladů předmětu kalkulace</w:t>
        </w:r>
        <w:r w:rsidR="00095772">
          <w:rPr>
            <w:noProof/>
            <w:webHidden/>
          </w:rPr>
          <w:tab/>
        </w:r>
        <w:r>
          <w:rPr>
            <w:noProof/>
            <w:webHidden/>
          </w:rPr>
          <w:fldChar w:fldCharType="begin"/>
        </w:r>
        <w:r w:rsidR="00095772">
          <w:rPr>
            <w:noProof/>
            <w:webHidden/>
          </w:rPr>
          <w:instrText xml:space="preserve"> PAGEREF _Toc302476202 \h </w:instrText>
        </w:r>
        <w:r>
          <w:rPr>
            <w:noProof/>
            <w:webHidden/>
          </w:rPr>
        </w:r>
        <w:r>
          <w:rPr>
            <w:noProof/>
            <w:webHidden/>
          </w:rPr>
          <w:fldChar w:fldCharType="separate"/>
        </w:r>
        <w:r w:rsidR="006814FB">
          <w:rPr>
            <w:noProof/>
            <w:webHidden/>
          </w:rPr>
          <w:t>10</w:t>
        </w:r>
        <w:r>
          <w:rPr>
            <w:noProof/>
            <w:webHidden/>
          </w:rPr>
          <w:fldChar w:fldCharType="end"/>
        </w:r>
      </w:hyperlink>
    </w:p>
    <w:p w:rsidR="00095772" w:rsidRDefault="009C1CDD">
      <w:pPr>
        <w:pStyle w:val="Obsah3"/>
        <w:rPr>
          <w:rFonts w:asciiTheme="minorHAnsi" w:eastAsiaTheme="minorEastAsia" w:hAnsiTheme="minorHAnsi" w:cstheme="minorBidi"/>
          <w:noProof/>
          <w:lang w:eastAsia="cs-CZ"/>
        </w:rPr>
      </w:pPr>
      <w:hyperlink w:anchor="_Toc302476203" w:history="1">
        <w:r w:rsidR="00095772" w:rsidRPr="00274235">
          <w:rPr>
            <w:rStyle w:val="Hypertextovodkaz"/>
            <w:noProof/>
          </w:rPr>
          <w:t>2.3.4</w:t>
        </w:r>
        <w:r w:rsidR="00095772">
          <w:rPr>
            <w:rFonts w:asciiTheme="minorHAnsi" w:eastAsiaTheme="minorEastAsia" w:hAnsiTheme="minorHAnsi" w:cstheme="minorBidi"/>
            <w:noProof/>
            <w:lang w:eastAsia="cs-CZ"/>
          </w:rPr>
          <w:tab/>
        </w:r>
        <w:r w:rsidR="00095772" w:rsidRPr="00274235">
          <w:rPr>
            <w:rStyle w:val="Hypertextovodkaz"/>
            <w:noProof/>
          </w:rPr>
          <w:t>Kalkulační systém podniku</w:t>
        </w:r>
        <w:r w:rsidR="00095772">
          <w:rPr>
            <w:noProof/>
            <w:webHidden/>
          </w:rPr>
          <w:tab/>
        </w:r>
        <w:r>
          <w:rPr>
            <w:noProof/>
            <w:webHidden/>
          </w:rPr>
          <w:fldChar w:fldCharType="begin"/>
        </w:r>
        <w:r w:rsidR="00095772">
          <w:rPr>
            <w:noProof/>
            <w:webHidden/>
          </w:rPr>
          <w:instrText xml:space="preserve"> PAGEREF _Toc302476203 \h </w:instrText>
        </w:r>
        <w:r>
          <w:rPr>
            <w:noProof/>
            <w:webHidden/>
          </w:rPr>
        </w:r>
        <w:r>
          <w:rPr>
            <w:noProof/>
            <w:webHidden/>
          </w:rPr>
          <w:fldChar w:fldCharType="separate"/>
        </w:r>
        <w:r w:rsidR="006814FB">
          <w:rPr>
            <w:noProof/>
            <w:webHidden/>
          </w:rPr>
          <w:t>11</w:t>
        </w:r>
        <w:r>
          <w:rPr>
            <w:noProof/>
            <w:webHidden/>
          </w:rPr>
          <w:fldChar w:fldCharType="end"/>
        </w:r>
      </w:hyperlink>
    </w:p>
    <w:p w:rsidR="00095772" w:rsidRDefault="009C1CDD">
      <w:pPr>
        <w:pStyle w:val="Obsah2"/>
        <w:rPr>
          <w:rFonts w:asciiTheme="minorHAnsi" w:eastAsiaTheme="minorEastAsia" w:hAnsiTheme="minorHAnsi" w:cstheme="minorBidi"/>
          <w:lang w:eastAsia="cs-CZ"/>
        </w:rPr>
      </w:pPr>
      <w:hyperlink w:anchor="_Toc302476204" w:history="1">
        <w:r w:rsidR="00095772" w:rsidRPr="00274235">
          <w:rPr>
            <w:rStyle w:val="Hypertextovodkaz"/>
          </w:rPr>
          <w:t>2.4</w:t>
        </w:r>
        <w:r w:rsidR="00095772">
          <w:rPr>
            <w:rFonts w:asciiTheme="minorHAnsi" w:eastAsiaTheme="minorEastAsia" w:hAnsiTheme="minorHAnsi" w:cstheme="minorBidi"/>
            <w:lang w:eastAsia="cs-CZ"/>
          </w:rPr>
          <w:tab/>
        </w:r>
        <w:r w:rsidR="00095772" w:rsidRPr="00274235">
          <w:rPr>
            <w:rStyle w:val="Hypertextovodkaz"/>
          </w:rPr>
          <w:t>Metody kalkulace</w:t>
        </w:r>
        <w:r w:rsidR="00095772">
          <w:rPr>
            <w:webHidden/>
          </w:rPr>
          <w:tab/>
        </w:r>
        <w:r>
          <w:rPr>
            <w:webHidden/>
          </w:rPr>
          <w:fldChar w:fldCharType="begin"/>
        </w:r>
        <w:r w:rsidR="00095772">
          <w:rPr>
            <w:webHidden/>
          </w:rPr>
          <w:instrText xml:space="preserve"> PAGEREF _Toc302476204 \h </w:instrText>
        </w:r>
        <w:r>
          <w:rPr>
            <w:webHidden/>
          </w:rPr>
        </w:r>
        <w:r>
          <w:rPr>
            <w:webHidden/>
          </w:rPr>
          <w:fldChar w:fldCharType="separate"/>
        </w:r>
        <w:r w:rsidR="006814FB">
          <w:rPr>
            <w:webHidden/>
          </w:rPr>
          <w:t>12</w:t>
        </w:r>
        <w:r>
          <w:rPr>
            <w:webHidden/>
          </w:rPr>
          <w:fldChar w:fldCharType="end"/>
        </w:r>
      </w:hyperlink>
    </w:p>
    <w:p w:rsidR="00095772" w:rsidRDefault="009C1CDD">
      <w:pPr>
        <w:pStyle w:val="Obsah3"/>
        <w:rPr>
          <w:rFonts w:asciiTheme="minorHAnsi" w:eastAsiaTheme="minorEastAsia" w:hAnsiTheme="minorHAnsi" w:cstheme="minorBidi"/>
          <w:noProof/>
          <w:lang w:eastAsia="cs-CZ"/>
        </w:rPr>
      </w:pPr>
      <w:hyperlink w:anchor="_Toc302476205" w:history="1">
        <w:r w:rsidR="00095772" w:rsidRPr="00274235">
          <w:rPr>
            <w:rStyle w:val="Hypertextovodkaz"/>
            <w:noProof/>
          </w:rPr>
          <w:t>2.4.1</w:t>
        </w:r>
        <w:r w:rsidR="00095772">
          <w:rPr>
            <w:rFonts w:asciiTheme="minorHAnsi" w:eastAsiaTheme="minorEastAsia" w:hAnsiTheme="minorHAnsi" w:cstheme="minorBidi"/>
            <w:noProof/>
            <w:lang w:eastAsia="cs-CZ"/>
          </w:rPr>
          <w:tab/>
        </w:r>
        <w:r w:rsidR="00095772" w:rsidRPr="00274235">
          <w:rPr>
            <w:rStyle w:val="Hypertextovodkaz"/>
            <w:noProof/>
          </w:rPr>
          <w:t>Charakteristika kalkulačních metod</w:t>
        </w:r>
        <w:r w:rsidR="00095772">
          <w:rPr>
            <w:noProof/>
            <w:webHidden/>
          </w:rPr>
          <w:tab/>
        </w:r>
        <w:r>
          <w:rPr>
            <w:noProof/>
            <w:webHidden/>
          </w:rPr>
          <w:fldChar w:fldCharType="begin"/>
        </w:r>
        <w:r w:rsidR="00095772">
          <w:rPr>
            <w:noProof/>
            <w:webHidden/>
          </w:rPr>
          <w:instrText xml:space="preserve"> PAGEREF _Toc302476205 \h </w:instrText>
        </w:r>
        <w:r>
          <w:rPr>
            <w:noProof/>
            <w:webHidden/>
          </w:rPr>
        </w:r>
        <w:r>
          <w:rPr>
            <w:noProof/>
            <w:webHidden/>
          </w:rPr>
          <w:fldChar w:fldCharType="separate"/>
        </w:r>
        <w:r w:rsidR="006814FB">
          <w:rPr>
            <w:noProof/>
            <w:webHidden/>
          </w:rPr>
          <w:t>12</w:t>
        </w:r>
        <w:r>
          <w:rPr>
            <w:noProof/>
            <w:webHidden/>
          </w:rPr>
          <w:fldChar w:fldCharType="end"/>
        </w:r>
      </w:hyperlink>
    </w:p>
    <w:p w:rsidR="00095772" w:rsidRDefault="009C1CDD">
      <w:pPr>
        <w:pStyle w:val="Obsah3"/>
        <w:rPr>
          <w:rFonts w:asciiTheme="minorHAnsi" w:eastAsiaTheme="minorEastAsia" w:hAnsiTheme="minorHAnsi" w:cstheme="minorBidi"/>
          <w:noProof/>
          <w:lang w:eastAsia="cs-CZ"/>
        </w:rPr>
      </w:pPr>
      <w:hyperlink w:anchor="_Toc302476206" w:history="1">
        <w:r w:rsidR="00095772" w:rsidRPr="00274235">
          <w:rPr>
            <w:rStyle w:val="Hypertextovodkaz"/>
            <w:noProof/>
          </w:rPr>
          <w:t>2.4.2</w:t>
        </w:r>
        <w:r w:rsidR="00095772">
          <w:rPr>
            <w:rFonts w:asciiTheme="minorHAnsi" w:eastAsiaTheme="minorEastAsia" w:hAnsiTheme="minorHAnsi" w:cstheme="minorBidi"/>
            <w:noProof/>
            <w:lang w:eastAsia="cs-CZ"/>
          </w:rPr>
          <w:tab/>
        </w:r>
        <w:r w:rsidR="00095772" w:rsidRPr="00274235">
          <w:rPr>
            <w:rStyle w:val="Hypertextovodkaz"/>
            <w:noProof/>
          </w:rPr>
          <w:t>Základní typy nákladových kalkulací</w:t>
        </w:r>
        <w:r w:rsidR="00095772">
          <w:rPr>
            <w:noProof/>
            <w:webHidden/>
          </w:rPr>
          <w:tab/>
        </w:r>
        <w:r>
          <w:rPr>
            <w:noProof/>
            <w:webHidden/>
          </w:rPr>
          <w:fldChar w:fldCharType="begin"/>
        </w:r>
        <w:r w:rsidR="00095772">
          <w:rPr>
            <w:noProof/>
            <w:webHidden/>
          </w:rPr>
          <w:instrText xml:space="preserve"> PAGEREF _Toc302476206 \h </w:instrText>
        </w:r>
        <w:r>
          <w:rPr>
            <w:noProof/>
            <w:webHidden/>
          </w:rPr>
        </w:r>
        <w:r>
          <w:rPr>
            <w:noProof/>
            <w:webHidden/>
          </w:rPr>
          <w:fldChar w:fldCharType="separate"/>
        </w:r>
        <w:r w:rsidR="006814FB">
          <w:rPr>
            <w:noProof/>
            <w:webHidden/>
          </w:rPr>
          <w:t>13</w:t>
        </w:r>
        <w:r>
          <w:rPr>
            <w:noProof/>
            <w:webHidden/>
          </w:rPr>
          <w:fldChar w:fldCharType="end"/>
        </w:r>
      </w:hyperlink>
    </w:p>
    <w:p w:rsidR="00095772" w:rsidRDefault="009C1CDD">
      <w:pPr>
        <w:pStyle w:val="Obsah3"/>
        <w:rPr>
          <w:rFonts w:asciiTheme="minorHAnsi" w:eastAsiaTheme="minorEastAsia" w:hAnsiTheme="minorHAnsi" w:cstheme="minorBidi"/>
          <w:noProof/>
          <w:lang w:eastAsia="cs-CZ"/>
        </w:rPr>
      </w:pPr>
      <w:hyperlink w:anchor="_Toc302476207" w:history="1">
        <w:r w:rsidR="00095772" w:rsidRPr="00274235">
          <w:rPr>
            <w:rStyle w:val="Hypertextovodkaz"/>
            <w:noProof/>
          </w:rPr>
          <w:t>2.4.3</w:t>
        </w:r>
        <w:r w:rsidR="00095772">
          <w:rPr>
            <w:rFonts w:asciiTheme="minorHAnsi" w:eastAsiaTheme="minorEastAsia" w:hAnsiTheme="minorHAnsi" w:cstheme="minorBidi"/>
            <w:noProof/>
            <w:lang w:eastAsia="cs-CZ"/>
          </w:rPr>
          <w:tab/>
        </w:r>
        <w:r w:rsidR="00095772" w:rsidRPr="00274235">
          <w:rPr>
            <w:rStyle w:val="Hypertextovodkaz"/>
            <w:noProof/>
          </w:rPr>
          <w:t>Speciální typy nákladových kalkulací</w:t>
        </w:r>
        <w:r w:rsidR="00095772">
          <w:rPr>
            <w:noProof/>
            <w:webHidden/>
          </w:rPr>
          <w:tab/>
        </w:r>
        <w:r>
          <w:rPr>
            <w:noProof/>
            <w:webHidden/>
          </w:rPr>
          <w:fldChar w:fldCharType="begin"/>
        </w:r>
        <w:r w:rsidR="00095772">
          <w:rPr>
            <w:noProof/>
            <w:webHidden/>
          </w:rPr>
          <w:instrText xml:space="preserve"> PAGEREF _Toc302476207 \h </w:instrText>
        </w:r>
        <w:r>
          <w:rPr>
            <w:noProof/>
            <w:webHidden/>
          </w:rPr>
        </w:r>
        <w:r>
          <w:rPr>
            <w:noProof/>
            <w:webHidden/>
          </w:rPr>
          <w:fldChar w:fldCharType="separate"/>
        </w:r>
        <w:r w:rsidR="006814FB">
          <w:rPr>
            <w:noProof/>
            <w:webHidden/>
          </w:rPr>
          <w:t>16</w:t>
        </w:r>
        <w:r>
          <w:rPr>
            <w:noProof/>
            <w:webHidden/>
          </w:rPr>
          <w:fldChar w:fldCharType="end"/>
        </w:r>
      </w:hyperlink>
    </w:p>
    <w:p w:rsidR="00095772" w:rsidRDefault="009C1CDD">
      <w:pPr>
        <w:pStyle w:val="Obsah3"/>
        <w:rPr>
          <w:rFonts w:asciiTheme="minorHAnsi" w:eastAsiaTheme="minorEastAsia" w:hAnsiTheme="minorHAnsi" w:cstheme="minorBidi"/>
          <w:noProof/>
          <w:lang w:eastAsia="cs-CZ"/>
        </w:rPr>
      </w:pPr>
      <w:hyperlink w:anchor="_Toc302476208" w:history="1">
        <w:r w:rsidR="00095772" w:rsidRPr="00274235">
          <w:rPr>
            <w:rStyle w:val="Hypertextovodkaz"/>
            <w:noProof/>
          </w:rPr>
          <w:t>2.4.4</w:t>
        </w:r>
        <w:r w:rsidR="00095772">
          <w:rPr>
            <w:rFonts w:asciiTheme="minorHAnsi" w:eastAsiaTheme="minorEastAsia" w:hAnsiTheme="minorHAnsi" w:cstheme="minorBidi"/>
            <w:noProof/>
            <w:lang w:eastAsia="cs-CZ"/>
          </w:rPr>
          <w:tab/>
        </w:r>
        <w:r w:rsidR="00095772" w:rsidRPr="00274235">
          <w:rPr>
            <w:rStyle w:val="Hypertextovodkaz"/>
            <w:noProof/>
          </w:rPr>
          <w:t>Nákladová kalkulace jako podklad pro stanovení ceny</w:t>
        </w:r>
        <w:r w:rsidR="00095772">
          <w:rPr>
            <w:noProof/>
            <w:webHidden/>
          </w:rPr>
          <w:tab/>
        </w:r>
        <w:r>
          <w:rPr>
            <w:noProof/>
            <w:webHidden/>
          </w:rPr>
          <w:fldChar w:fldCharType="begin"/>
        </w:r>
        <w:r w:rsidR="00095772">
          <w:rPr>
            <w:noProof/>
            <w:webHidden/>
          </w:rPr>
          <w:instrText xml:space="preserve"> PAGEREF _Toc302476208 \h </w:instrText>
        </w:r>
        <w:r>
          <w:rPr>
            <w:noProof/>
            <w:webHidden/>
          </w:rPr>
        </w:r>
        <w:r>
          <w:rPr>
            <w:noProof/>
            <w:webHidden/>
          </w:rPr>
          <w:fldChar w:fldCharType="separate"/>
        </w:r>
        <w:r w:rsidR="006814FB">
          <w:rPr>
            <w:noProof/>
            <w:webHidden/>
          </w:rPr>
          <w:t>17</w:t>
        </w:r>
        <w:r>
          <w:rPr>
            <w:noProof/>
            <w:webHidden/>
          </w:rPr>
          <w:fldChar w:fldCharType="end"/>
        </w:r>
      </w:hyperlink>
    </w:p>
    <w:p w:rsidR="00095772" w:rsidRDefault="009C1CDD">
      <w:pPr>
        <w:pStyle w:val="Obsah3"/>
        <w:rPr>
          <w:rFonts w:asciiTheme="minorHAnsi" w:eastAsiaTheme="minorEastAsia" w:hAnsiTheme="minorHAnsi" w:cstheme="minorBidi"/>
          <w:noProof/>
          <w:lang w:eastAsia="cs-CZ"/>
        </w:rPr>
      </w:pPr>
      <w:hyperlink w:anchor="_Toc302476209" w:history="1">
        <w:r w:rsidR="00095772" w:rsidRPr="00274235">
          <w:rPr>
            <w:rStyle w:val="Hypertextovodkaz"/>
            <w:noProof/>
          </w:rPr>
          <w:t>2.4.5</w:t>
        </w:r>
        <w:r w:rsidR="00095772">
          <w:rPr>
            <w:rFonts w:asciiTheme="minorHAnsi" w:eastAsiaTheme="minorEastAsia" w:hAnsiTheme="minorHAnsi" w:cstheme="minorBidi"/>
            <w:noProof/>
            <w:lang w:eastAsia="cs-CZ"/>
          </w:rPr>
          <w:tab/>
        </w:r>
        <w:r w:rsidR="00095772" w:rsidRPr="00274235">
          <w:rPr>
            <w:rStyle w:val="Hypertextovodkaz"/>
            <w:noProof/>
          </w:rPr>
          <w:t>Specifika kalkulace ve službách</w:t>
        </w:r>
        <w:r w:rsidR="00095772">
          <w:rPr>
            <w:noProof/>
            <w:webHidden/>
          </w:rPr>
          <w:tab/>
        </w:r>
        <w:r>
          <w:rPr>
            <w:noProof/>
            <w:webHidden/>
          </w:rPr>
          <w:fldChar w:fldCharType="begin"/>
        </w:r>
        <w:r w:rsidR="00095772">
          <w:rPr>
            <w:noProof/>
            <w:webHidden/>
          </w:rPr>
          <w:instrText xml:space="preserve"> PAGEREF _Toc302476209 \h </w:instrText>
        </w:r>
        <w:r>
          <w:rPr>
            <w:noProof/>
            <w:webHidden/>
          </w:rPr>
        </w:r>
        <w:r>
          <w:rPr>
            <w:noProof/>
            <w:webHidden/>
          </w:rPr>
          <w:fldChar w:fldCharType="separate"/>
        </w:r>
        <w:r w:rsidR="006814FB">
          <w:rPr>
            <w:noProof/>
            <w:webHidden/>
          </w:rPr>
          <w:t>18</w:t>
        </w:r>
        <w:r>
          <w:rPr>
            <w:noProof/>
            <w:webHidden/>
          </w:rPr>
          <w:fldChar w:fldCharType="end"/>
        </w:r>
      </w:hyperlink>
    </w:p>
    <w:p w:rsidR="00095772" w:rsidRDefault="009C1CDD">
      <w:pPr>
        <w:pStyle w:val="Obsah1"/>
        <w:rPr>
          <w:rFonts w:asciiTheme="minorHAnsi" w:eastAsiaTheme="minorEastAsia" w:hAnsiTheme="minorHAnsi" w:cstheme="minorBidi"/>
          <w:noProof/>
          <w:sz w:val="22"/>
          <w:lang w:eastAsia="cs-CZ"/>
        </w:rPr>
      </w:pPr>
      <w:hyperlink w:anchor="_Toc302476210" w:history="1">
        <w:r w:rsidR="00095772" w:rsidRPr="00274235">
          <w:rPr>
            <w:rStyle w:val="Hypertextovodkaz"/>
            <w:noProof/>
          </w:rPr>
          <w:t>3</w:t>
        </w:r>
        <w:r w:rsidR="00095772">
          <w:rPr>
            <w:rFonts w:asciiTheme="minorHAnsi" w:eastAsiaTheme="minorEastAsia" w:hAnsiTheme="minorHAnsi" w:cstheme="minorBidi"/>
            <w:noProof/>
            <w:sz w:val="22"/>
            <w:lang w:eastAsia="cs-CZ"/>
          </w:rPr>
          <w:tab/>
        </w:r>
        <w:r w:rsidR="00095772" w:rsidRPr="00274235">
          <w:rPr>
            <w:rStyle w:val="Hypertextovodkaz"/>
            <w:noProof/>
          </w:rPr>
          <w:t>Kalkulace ve výzkumné agentuře</w:t>
        </w:r>
        <w:r w:rsidR="00095772">
          <w:rPr>
            <w:noProof/>
            <w:webHidden/>
          </w:rPr>
          <w:tab/>
        </w:r>
        <w:r>
          <w:rPr>
            <w:noProof/>
            <w:webHidden/>
          </w:rPr>
          <w:fldChar w:fldCharType="begin"/>
        </w:r>
        <w:r w:rsidR="00095772">
          <w:rPr>
            <w:noProof/>
            <w:webHidden/>
          </w:rPr>
          <w:instrText xml:space="preserve"> PAGEREF _Toc302476210 \h </w:instrText>
        </w:r>
        <w:r>
          <w:rPr>
            <w:noProof/>
            <w:webHidden/>
          </w:rPr>
        </w:r>
        <w:r>
          <w:rPr>
            <w:noProof/>
            <w:webHidden/>
          </w:rPr>
          <w:fldChar w:fldCharType="separate"/>
        </w:r>
        <w:r w:rsidR="006814FB">
          <w:rPr>
            <w:noProof/>
            <w:webHidden/>
          </w:rPr>
          <w:t>19</w:t>
        </w:r>
        <w:r>
          <w:rPr>
            <w:noProof/>
            <w:webHidden/>
          </w:rPr>
          <w:fldChar w:fldCharType="end"/>
        </w:r>
      </w:hyperlink>
    </w:p>
    <w:p w:rsidR="00095772" w:rsidRDefault="009C1CDD">
      <w:pPr>
        <w:pStyle w:val="Obsah2"/>
        <w:rPr>
          <w:rFonts w:asciiTheme="minorHAnsi" w:eastAsiaTheme="minorEastAsia" w:hAnsiTheme="minorHAnsi" w:cstheme="minorBidi"/>
          <w:lang w:eastAsia="cs-CZ"/>
        </w:rPr>
      </w:pPr>
      <w:hyperlink w:anchor="_Toc302476211" w:history="1">
        <w:r w:rsidR="00095772" w:rsidRPr="00274235">
          <w:rPr>
            <w:rStyle w:val="Hypertextovodkaz"/>
          </w:rPr>
          <w:t>3.1</w:t>
        </w:r>
        <w:r w:rsidR="00095772">
          <w:rPr>
            <w:rFonts w:asciiTheme="minorHAnsi" w:eastAsiaTheme="minorEastAsia" w:hAnsiTheme="minorHAnsi" w:cstheme="minorBidi"/>
            <w:lang w:eastAsia="cs-CZ"/>
          </w:rPr>
          <w:tab/>
        </w:r>
        <w:r w:rsidR="00095772" w:rsidRPr="00274235">
          <w:rPr>
            <w:rStyle w:val="Hypertextovodkaz"/>
          </w:rPr>
          <w:t>Představení podniku</w:t>
        </w:r>
        <w:r w:rsidR="00095772">
          <w:rPr>
            <w:webHidden/>
          </w:rPr>
          <w:tab/>
        </w:r>
        <w:r>
          <w:rPr>
            <w:webHidden/>
          </w:rPr>
          <w:fldChar w:fldCharType="begin"/>
        </w:r>
        <w:r w:rsidR="00095772">
          <w:rPr>
            <w:webHidden/>
          </w:rPr>
          <w:instrText xml:space="preserve"> PAGEREF _Toc302476211 \h </w:instrText>
        </w:r>
        <w:r>
          <w:rPr>
            <w:webHidden/>
          </w:rPr>
        </w:r>
        <w:r>
          <w:rPr>
            <w:webHidden/>
          </w:rPr>
          <w:fldChar w:fldCharType="separate"/>
        </w:r>
        <w:r w:rsidR="006814FB">
          <w:rPr>
            <w:webHidden/>
          </w:rPr>
          <w:t>19</w:t>
        </w:r>
        <w:r>
          <w:rPr>
            <w:webHidden/>
          </w:rPr>
          <w:fldChar w:fldCharType="end"/>
        </w:r>
      </w:hyperlink>
    </w:p>
    <w:p w:rsidR="00095772" w:rsidRDefault="009C1CDD">
      <w:pPr>
        <w:pStyle w:val="Obsah3"/>
        <w:rPr>
          <w:rFonts w:asciiTheme="minorHAnsi" w:eastAsiaTheme="minorEastAsia" w:hAnsiTheme="minorHAnsi" w:cstheme="minorBidi"/>
          <w:noProof/>
          <w:lang w:eastAsia="cs-CZ"/>
        </w:rPr>
      </w:pPr>
      <w:hyperlink w:anchor="_Toc302476212" w:history="1">
        <w:r w:rsidR="00095772" w:rsidRPr="00274235">
          <w:rPr>
            <w:rStyle w:val="Hypertextovodkaz"/>
            <w:noProof/>
          </w:rPr>
          <w:t>3.1.1</w:t>
        </w:r>
        <w:r w:rsidR="00095772">
          <w:rPr>
            <w:rFonts w:asciiTheme="minorHAnsi" w:eastAsiaTheme="minorEastAsia" w:hAnsiTheme="minorHAnsi" w:cstheme="minorBidi"/>
            <w:noProof/>
            <w:lang w:eastAsia="cs-CZ"/>
          </w:rPr>
          <w:tab/>
        </w:r>
        <w:r w:rsidR="00095772" w:rsidRPr="00274235">
          <w:rPr>
            <w:rStyle w:val="Hypertextovodkaz"/>
            <w:noProof/>
          </w:rPr>
          <w:t>Vznik, vývoj a právní forma podniku</w:t>
        </w:r>
        <w:r w:rsidR="00095772">
          <w:rPr>
            <w:noProof/>
            <w:webHidden/>
          </w:rPr>
          <w:tab/>
        </w:r>
        <w:r>
          <w:rPr>
            <w:noProof/>
            <w:webHidden/>
          </w:rPr>
          <w:fldChar w:fldCharType="begin"/>
        </w:r>
        <w:r w:rsidR="00095772">
          <w:rPr>
            <w:noProof/>
            <w:webHidden/>
          </w:rPr>
          <w:instrText xml:space="preserve"> PAGEREF _Toc302476212 \h </w:instrText>
        </w:r>
        <w:r>
          <w:rPr>
            <w:noProof/>
            <w:webHidden/>
          </w:rPr>
        </w:r>
        <w:r>
          <w:rPr>
            <w:noProof/>
            <w:webHidden/>
          </w:rPr>
          <w:fldChar w:fldCharType="separate"/>
        </w:r>
        <w:r w:rsidR="006814FB">
          <w:rPr>
            <w:noProof/>
            <w:webHidden/>
          </w:rPr>
          <w:t>19</w:t>
        </w:r>
        <w:r>
          <w:rPr>
            <w:noProof/>
            <w:webHidden/>
          </w:rPr>
          <w:fldChar w:fldCharType="end"/>
        </w:r>
      </w:hyperlink>
    </w:p>
    <w:p w:rsidR="00095772" w:rsidRDefault="009C1CDD">
      <w:pPr>
        <w:pStyle w:val="Obsah3"/>
        <w:rPr>
          <w:rFonts w:asciiTheme="minorHAnsi" w:eastAsiaTheme="minorEastAsia" w:hAnsiTheme="minorHAnsi" w:cstheme="minorBidi"/>
          <w:noProof/>
          <w:lang w:eastAsia="cs-CZ"/>
        </w:rPr>
      </w:pPr>
      <w:hyperlink w:anchor="_Toc302476213" w:history="1">
        <w:r w:rsidR="00095772" w:rsidRPr="00274235">
          <w:rPr>
            <w:rStyle w:val="Hypertextovodkaz"/>
            <w:noProof/>
          </w:rPr>
          <w:t>3.1.2</w:t>
        </w:r>
        <w:r w:rsidR="00095772">
          <w:rPr>
            <w:rFonts w:asciiTheme="minorHAnsi" w:eastAsiaTheme="minorEastAsia" w:hAnsiTheme="minorHAnsi" w:cstheme="minorBidi"/>
            <w:noProof/>
            <w:lang w:eastAsia="cs-CZ"/>
          </w:rPr>
          <w:tab/>
        </w:r>
        <w:r w:rsidR="00095772" w:rsidRPr="00274235">
          <w:rPr>
            <w:rStyle w:val="Hypertextovodkaz"/>
            <w:noProof/>
          </w:rPr>
          <w:t>Poskytované služby</w:t>
        </w:r>
        <w:r w:rsidR="00095772">
          <w:rPr>
            <w:noProof/>
            <w:webHidden/>
          </w:rPr>
          <w:tab/>
        </w:r>
        <w:r>
          <w:rPr>
            <w:noProof/>
            <w:webHidden/>
          </w:rPr>
          <w:fldChar w:fldCharType="begin"/>
        </w:r>
        <w:r w:rsidR="00095772">
          <w:rPr>
            <w:noProof/>
            <w:webHidden/>
          </w:rPr>
          <w:instrText xml:space="preserve"> PAGEREF _Toc302476213 \h </w:instrText>
        </w:r>
        <w:r>
          <w:rPr>
            <w:noProof/>
            <w:webHidden/>
          </w:rPr>
        </w:r>
        <w:r>
          <w:rPr>
            <w:noProof/>
            <w:webHidden/>
          </w:rPr>
          <w:fldChar w:fldCharType="separate"/>
        </w:r>
        <w:r w:rsidR="006814FB">
          <w:rPr>
            <w:noProof/>
            <w:webHidden/>
          </w:rPr>
          <w:t>20</w:t>
        </w:r>
        <w:r>
          <w:rPr>
            <w:noProof/>
            <w:webHidden/>
          </w:rPr>
          <w:fldChar w:fldCharType="end"/>
        </w:r>
      </w:hyperlink>
    </w:p>
    <w:p w:rsidR="00095772" w:rsidRDefault="009C1CDD">
      <w:pPr>
        <w:pStyle w:val="Obsah3"/>
        <w:rPr>
          <w:rFonts w:asciiTheme="minorHAnsi" w:eastAsiaTheme="minorEastAsia" w:hAnsiTheme="minorHAnsi" w:cstheme="minorBidi"/>
          <w:noProof/>
          <w:lang w:eastAsia="cs-CZ"/>
        </w:rPr>
      </w:pPr>
      <w:hyperlink w:anchor="_Toc302476214" w:history="1">
        <w:r w:rsidR="00095772" w:rsidRPr="00274235">
          <w:rPr>
            <w:rStyle w:val="Hypertextovodkaz"/>
            <w:noProof/>
          </w:rPr>
          <w:t>3.1.3</w:t>
        </w:r>
        <w:r w:rsidR="00095772">
          <w:rPr>
            <w:rFonts w:asciiTheme="minorHAnsi" w:eastAsiaTheme="minorEastAsia" w:hAnsiTheme="minorHAnsi" w:cstheme="minorBidi"/>
            <w:noProof/>
            <w:lang w:eastAsia="cs-CZ"/>
          </w:rPr>
          <w:tab/>
        </w:r>
        <w:r w:rsidR="00095772" w:rsidRPr="00274235">
          <w:rPr>
            <w:rStyle w:val="Hypertextovodkaz"/>
            <w:noProof/>
          </w:rPr>
          <w:t>Organizační struktura</w:t>
        </w:r>
        <w:r w:rsidR="00095772">
          <w:rPr>
            <w:noProof/>
            <w:webHidden/>
          </w:rPr>
          <w:tab/>
        </w:r>
        <w:r>
          <w:rPr>
            <w:noProof/>
            <w:webHidden/>
          </w:rPr>
          <w:fldChar w:fldCharType="begin"/>
        </w:r>
        <w:r w:rsidR="00095772">
          <w:rPr>
            <w:noProof/>
            <w:webHidden/>
          </w:rPr>
          <w:instrText xml:space="preserve"> PAGEREF _Toc302476214 \h </w:instrText>
        </w:r>
        <w:r>
          <w:rPr>
            <w:noProof/>
            <w:webHidden/>
          </w:rPr>
        </w:r>
        <w:r>
          <w:rPr>
            <w:noProof/>
            <w:webHidden/>
          </w:rPr>
          <w:fldChar w:fldCharType="separate"/>
        </w:r>
        <w:r w:rsidR="006814FB">
          <w:rPr>
            <w:noProof/>
            <w:webHidden/>
          </w:rPr>
          <w:t>22</w:t>
        </w:r>
        <w:r>
          <w:rPr>
            <w:noProof/>
            <w:webHidden/>
          </w:rPr>
          <w:fldChar w:fldCharType="end"/>
        </w:r>
      </w:hyperlink>
    </w:p>
    <w:p w:rsidR="00095772" w:rsidRDefault="009C1CDD">
      <w:pPr>
        <w:pStyle w:val="Obsah3"/>
        <w:rPr>
          <w:rFonts w:asciiTheme="minorHAnsi" w:eastAsiaTheme="minorEastAsia" w:hAnsiTheme="minorHAnsi" w:cstheme="minorBidi"/>
          <w:noProof/>
          <w:lang w:eastAsia="cs-CZ"/>
        </w:rPr>
      </w:pPr>
      <w:hyperlink w:anchor="_Toc302476215" w:history="1">
        <w:r w:rsidR="00095772" w:rsidRPr="00274235">
          <w:rPr>
            <w:rStyle w:val="Hypertextovodkaz"/>
            <w:noProof/>
          </w:rPr>
          <w:t>3.1.4</w:t>
        </w:r>
        <w:r w:rsidR="00095772">
          <w:rPr>
            <w:rFonts w:asciiTheme="minorHAnsi" w:eastAsiaTheme="minorEastAsia" w:hAnsiTheme="minorHAnsi" w:cstheme="minorBidi"/>
            <w:noProof/>
            <w:lang w:eastAsia="cs-CZ"/>
          </w:rPr>
          <w:tab/>
        </w:r>
        <w:r w:rsidR="00095772" w:rsidRPr="00274235">
          <w:rPr>
            <w:rStyle w:val="Hypertextovodkaz"/>
            <w:noProof/>
          </w:rPr>
          <w:t>Organizace účetnictví</w:t>
        </w:r>
        <w:r w:rsidR="00095772">
          <w:rPr>
            <w:noProof/>
            <w:webHidden/>
          </w:rPr>
          <w:tab/>
        </w:r>
        <w:r>
          <w:rPr>
            <w:noProof/>
            <w:webHidden/>
          </w:rPr>
          <w:fldChar w:fldCharType="begin"/>
        </w:r>
        <w:r w:rsidR="00095772">
          <w:rPr>
            <w:noProof/>
            <w:webHidden/>
          </w:rPr>
          <w:instrText xml:space="preserve"> PAGEREF _Toc302476215 \h </w:instrText>
        </w:r>
        <w:r>
          <w:rPr>
            <w:noProof/>
            <w:webHidden/>
          </w:rPr>
        </w:r>
        <w:r>
          <w:rPr>
            <w:noProof/>
            <w:webHidden/>
          </w:rPr>
          <w:fldChar w:fldCharType="separate"/>
        </w:r>
        <w:r w:rsidR="006814FB">
          <w:rPr>
            <w:noProof/>
            <w:webHidden/>
          </w:rPr>
          <w:t>22</w:t>
        </w:r>
        <w:r>
          <w:rPr>
            <w:noProof/>
            <w:webHidden/>
          </w:rPr>
          <w:fldChar w:fldCharType="end"/>
        </w:r>
      </w:hyperlink>
    </w:p>
    <w:p w:rsidR="00095772" w:rsidRDefault="009C1CDD">
      <w:pPr>
        <w:pStyle w:val="Obsah2"/>
        <w:rPr>
          <w:rFonts w:asciiTheme="minorHAnsi" w:eastAsiaTheme="minorEastAsia" w:hAnsiTheme="minorHAnsi" w:cstheme="minorBidi"/>
          <w:lang w:eastAsia="cs-CZ"/>
        </w:rPr>
      </w:pPr>
      <w:hyperlink w:anchor="_Toc302476216" w:history="1">
        <w:r w:rsidR="00095772" w:rsidRPr="00274235">
          <w:rPr>
            <w:rStyle w:val="Hypertextovodkaz"/>
          </w:rPr>
          <w:t>3.2</w:t>
        </w:r>
        <w:r w:rsidR="00095772">
          <w:rPr>
            <w:rFonts w:asciiTheme="minorHAnsi" w:eastAsiaTheme="minorEastAsia" w:hAnsiTheme="minorHAnsi" w:cstheme="minorBidi"/>
            <w:lang w:eastAsia="cs-CZ"/>
          </w:rPr>
          <w:tab/>
        </w:r>
        <w:r w:rsidR="00095772" w:rsidRPr="00274235">
          <w:rPr>
            <w:rStyle w:val="Hypertextovodkaz"/>
          </w:rPr>
          <w:t>Náklady podniku</w:t>
        </w:r>
        <w:r w:rsidR="00095772">
          <w:rPr>
            <w:webHidden/>
          </w:rPr>
          <w:tab/>
        </w:r>
        <w:r>
          <w:rPr>
            <w:webHidden/>
          </w:rPr>
          <w:fldChar w:fldCharType="begin"/>
        </w:r>
        <w:r w:rsidR="00095772">
          <w:rPr>
            <w:webHidden/>
          </w:rPr>
          <w:instrText xml:space="preserve"> PAGEREF _Toc302476216 \h </w:instrText>
        </w:r>
        <w:r>
          <w:rPr>
            <w:webHidden/>
          </w:rPr>
        </w:r>
        <w:r>
          <w:rPr>
            <w:webHidden/>
          </w:rPr>
          <w:fldChar w:fldCharType="separate"/>
        </w:r>
        <w:r w:rsidR="006814FB">
          <w:rPr>
            <w:webHidden/>
          </w:rPr>
          <w:t>24</w:t>
        </w:r>
        <w:r>
          <w:rPr>
            <w:webHidden/>
          </w:rPr>
          <w:fldChar w:fldCharType="end"/>
        </w:r>
      </w:hyperlink>
    </w:p>
    <w:p w:rsidR="00095772" w:rsidRDefault="009C1CDD">
      <w:pPr>
        <w:pStyle w:val="Obsah3"/>
        <w:rPr>
          <w:rFonts w:asciiTheme="minorHAnsi" w:eastAsiaTheme="minorEastAsia" w:hAnsiTheme="minorHAnsi" w:cstheme="minorBidi"/>
          <w:noProof/>
          <w:lang w:eastAsia="cs-CZ"/>
        </w:rPr>
      </w:pPr>
      <w:hyperlink w:anchor="_Toc302476217" w:history="1">
        <w:r w:rsidR="00095772" w:rsidRPr="00274235">
          <w:rPr>
            <w:rStyle w:val="Hypertextovodkaz"/>
            <w:noProof/>
          </w:rPr>
          <w:t>3.2.1</w:t>
        </w:r>
        <w:r w:rsidR="00095772">
          <w:rPr>
            <w:rFonts w:asciiTheme="minorHAnsi" w:eastAsiaTheme="minorEastAsia" w:hAnsiTheme="minorHAnsi" w:cstheme="minorBidi"/>
            <w:noProof/>
            <w:lang w:eastAsia="cs-CZ"/>
          </w:rPr>
          <w:tab/>
        </w:r>
        <w:r w:rsidR="00095772" w:rsidRPr="00274235">
          <w:rPr>
            <w:rStyle w:val="Hypertextovodkaz"/>
            <w:noProof/>
          </w:rPr>
          <w:t>Systém rozpočtů, kalkulací a reportů</w:t>
        </w:r>
        <w:r w:rsidR="00095772">
          <w:rPr>
            <w:noProof/>
            <w:webHidden/>
          </w:rPr>
          <w:tab/>
        </w:r>
        <w:r>
          <w:rPr>
            <w:noProof/>
            <w:webHidden/>
          </w:rPr>
          <w:fldChar w:fldCharType="begin"/>
        </w:r>
        <w:r w:rsidR="00095772">
          <w:rPr>
            <w:noProof/>
            <w:webHidden/>
          </w:rPr>
          <w:instrText xml:space="preserve"> PAGEREF _Toc302476217 \h </w:instrText>
        </w:r>
        <w:r>
          <w:rPr>
            <w:noProof/>
            <w:webHidden/>
          </w:rPr>
        </w:r>
        <w:r>
          <w:rPr>
            <w:noProof/>
            <w:webHidden/>
          </w:rPr>
          <w:fldChar w:fldCharType="separate"/>
        </w:r>
        <w:r w:rsidR="006814FB">
          <w:rPr>
            <w:noProof/>
            <w:webHidden/>
          </w:rPr>
          <w:t>24</w:t>
        </w:r>
        <w:r>
          <w:rPr>
            <w:noProof/>
            <w:webHidden/>
          </w:rPr>
          <w:fldChar w:fldCharType="end"/>
        </w:r>
      </w:hyperlink>
    </w:p>
    <w:p w:rsidR="00095772" w:rsidRDefault="009C1CDD">
      <w:pPr>
        <w:pStyle w:val="Obsah3"/>
        <w:rPr>
          <w:rFonts w:asciiTheme="minorHAnsi" w:eastAsiaTheme="minorEastAsia" w:hAnsiTheme="minorHAnsi" w:cstheme="minorBidi"/>
          <w:noProof/>
          <w:lang w:eastAsia="cs-CZ"/>
        </w:rPr>
      </w:pPr>
      <w:hyperlink w:anchor="_Toc302476218" w:history="1">
        <w:r w:rsidR="00095772" w:rsidRPr="00274235">
          <w:rPr>
            <w:rStyle w:val="Hypertextovodkaz"/>
            <w:noProof/>
          </w:rPr>
          <w:t>3.2.2</w:t>
        </w:r>
        <w:r w:rsidR="00095772">
          <w:rPr>
            <w:rFonts w:asciiTheme="minorHAnsi" w:eastAsiaTheme="minorEastAsia" w:hAnsiTheme="minorHAnsi" w:cstheme="minorBidi"/>
            <w:noProof/>
            <w:lang w:eastAsia="cs-CZ"/>
          </w:rPr>
          <w:tab/>
        </w:r>
        <w:r w:rsidR="00095772" w:rsidRPr="00274235">
          <w:rPr>
            <w:rStyle w:val="Hypertextovodkaz"/>
            <w:noProof/>
          </w:rPr>
          <w:t>Druhové členění nákladů podniku</w:t>
        </w:r>
        <w:r w:rsidR="00095772">
          <w:rPr>
            <w:noProof/>
            <w:webHidden/>
          </w:rPr>
          <w:tab/>
        </w:r>
        <w:r>
          <w:rPr>
            <w:noProof/>
            <w:webHidden/>
          </w:rPr>
          <w:fldChar w:fldCharType="begin"/>
        </w:r>
        <w:r w:rsidR="00095772">
          <w:rPr>
            <w:noProof/>
            <w:webHidden/>
          </w:rPr>
          <w:instrText xml:space="preserve"> PAGEREF _Toc302476218 \h </w:instrText>
        </w:r>
        <w:r>
          <w:rPr>
            <w:noProof/>
            <w:webHidden/>
          </w:rPr>
        </w:r>
        <w:r>
          <w:rPr>
            <w:noProof/>
            <w:webHidden/>
          </w:rPr>
          <w:fldChar w:fldCharType="separate"/>
        </w:r>
        <w:r w:rsidR="006814FB">
          <w:rPr>
            <w:noProof/>
            <w:webHidden/>
          </w:rPr>
          <w:t>25</w:t>
        </w:r>
        <w:r>
          <w:rPr>
            <w:noProof/>
            <w:webHidden/>
          </w:rPr>
          <w:fldChar w:fldCharType="end"/>
        </w:r>
      </w:hyperlink>
    </w:p>
    <w:p w:rsidR="00095772" w:rsidRDefault="009C1CDD">
      <w:pPr>
        <w:pStyle w:val="Obsah3"/>
        <w:rPr>
          <w:rFonts w:asciiTheme="minorHAnsi" w:eastAsiaTheme="minorEastAsia" w:hAnsiTheme="minorHAnsi" w:cstheme="minorBidi"/>
          <w:noProof/>
          <w:lang w:eastAsia="cs-CZ"/>
        </w:rPr>
      </w:pPr>
      <w:hyperlink w:anchor="_Toc302476219" w:history="1">
        <w:r w:rsidR="00095772" w:rsidRPr="00274235">
          <w:rPr>
            <w:rStyle w:val="Hypertextovodkaz"/>
            <w:noProof/>
          </w:rPr>
          <w:t>3.2.3</w:t>
        </w:r>
        <w:r w:rsidR="00095772">
          <w:rPr>
            <w:rFonts w:asciiTheme="minorHAnsi" w:eastAsiaTheme="minorEastAsia" w:hAnsiTheme="minorHAnsi" w:cstheme="minorBidi"/>
            <w:noProof/>
            <w:lang w:eastAsia="cs-CZ"/>
          </w:rPr>
          <w:tab/>
        </w:r>
        <w:r w:rsidR="00095772" w:rsidRPr="00274235">
          <w:rPr>
            <w:rStyle w:val="Hypertextovodkaz"/>
            <w:noProof/>
          </w:rPr>
          <w:t>Účelové členění nákladů podniku</w:t>
        </w:r>
        <w:r w:rsidR="00095772">
          <w:rPr>
            <w:noProof/>
            <w:webHidden/>
          </w:rPr>
          <w:tab/>
        </w:r>
        <w:r>
          <w:rPr>
            <w:noProof/>
            <w:webHidden/>
          </w:rPr>
          <w:fldChar w:fldCharType="begin"/>
        </w:r>
        <w:r w:rsidR="00095772">
          <w:rPr>
            <w:noProof/>
            <w:webHidden/>
          </w:rPr>
          <w:instrText xml:space="preserve"> PAGEREF _Toc302476219 \h </w:instrText>
        </w:r>
        <w:r>
          <w:rPr>
            <w:noProof/>
            <w:webHidden/>
          </w:rPr>
        </w:r>
        <w:r>
          <w:rPr>
            <w:noProof/>
            <w:webHidden/>
          </w:rPr>
          <w:fldChar w:fldCharType="separate"/>
        </w:r>
        <w:r w:rsidR="006814FB">
          <w:rPr>
            <w:noProof/>
            <w:webHidden/>
          </w:rPr>
          <w:t>26</w:t>
        </w:r>
        <w:r>
          <w:rPr>
            <w:noProof/>
            <w:webHidden/>
          </w:rPr>
          <w:fldChar w:fldCharType="end"/>
        </w:r>
      </w:hyperlink>
    </w:p>
    <w:p w:rsidR="00095772" w:rsidRDefault="009C1CDD">
      <w:pPr>
        <w:pStyle w:val="Obsah3"/>
        <w:rPr>
          <w:rFonts w:asciiTheme="minorHAnsi" w:eastAsiaTheme="minorEastAsia" w:hAnsiTheme="minorHAnsi" w:cstheme="minorBidi"/>
          <w:noProof/>
          <w:lang w:eastAsia="cs-CZ"/>
        </w:rPr>
      </w:pPr>
      <w:hyperlink w:anchor="_Toc302476220" w:history="1">
        <w:r w:rsidR="00095772" w:rsidRPr="00274235">
          <w:rPr>
            <w:rStyle w:val="Hypertextovodkaz"/>
            <w:noProof/>
          </w:rPr>
          <w:t>3.2.4</w:t>
        </w:r>
        <w:r w:rsidR="00095772">
          <w:rPr>
            <w:rFonts w:asciiTheme="minorHAnsi" w:eastAsiaTheme="minorEastAsia" w:hAnsiTheme="minorHAnsi" w:cstheme="minorBidi"/>
            <w:noProof/>
            <w:lang w:eastAsia="cs-CZ"/>
          </w:rPr>
          <w:tab/>
        </w:r>
        <w:r w:rsidR="00095772" w:rsidRPr="00274235">
          <w:rPr>
            <w:rStyle w:val="Hypertextovodkaz"/>
            <w:noProof/>
          </w:rPr>
          <w:t>Kalkulační členění nákladů podniku</w:t>
        </w:r>
        <w:r w:rsidR="00095772">
          <w:rPr>
            <w:noProof/>
            <w:webHidden/>
          </w:rPr>
          <w:tab/>
        </w:r>
        <w:r>
          <w:rPr>
            <w:noProof/>
            <w:webHidden/>
          </w:rPr>
          <w:fldChar w:fldCharType="begin"/>
        </w:r>
        <w:r w:rsidR="00095772">
          <w:rPr>
            <w:noProof/>
            <w:webHidden/>
          </w:rPr>
          <w:instrText xml:space="preserve"> PAGEREF _Toc302476220 \h </w:instrText>
        </w:r>
        <w:r>
          <w:rPr>
            <w:noProof/>
            <w:webHidden/>
          </w:rPr>
        </w:r>
        <w:r>
          <w:rPr>
            <w:noProof/>
            <w:webHidden/>
          </w:rPr>
          <w:fldChar w:fldCharType="separate"/>
        </w:r>
        <w:r w:rsidR="006814FB">
          <w:rPr>
            <w:noProof/>
            <w:webHidden/>
          </w:rPr>
          <w:t>28</w:t>
        </w:r>
        <w:r>
          <w:rPr>
            <w:noProof/>
            <w:webHidden/>
          </w:rPr>
          <w:fldChar w:fldCharType="end"/>
        </w:r>
      </w:hyperlink>
    </w:p>
    <w:p w:rsidR="00095772" w:rsidRDefault="009C1CDD">
      <w:pPr>
        <w:pStyle w:val="Obsah2"/>
        <w:rPr>
          <w:rFonts w:asciiTheme="minorHAnsi" w:eastAsiaTheme="minorEastAsia" w:hAnsiTheme="minorHAnsi" w:cstheme="minorBidi"/>
          <w:lang w:eastAsia="cs-CZ"/>
        </w:rPr>
      </w:pPr>
      <w:hyperlink w:anchor="_Toc302476221" w:history="1">
        <w:r w:rsidR="00095772" w:rsidRPr="00274235">
          <w:rPr>
            <w:rStyle w:val="Hypertextovodkaz"/>
          </w:rPr>
          <w:t>3.3</w:t>
        </w:r>
        <w:r w:rsidR="00095772">
          <w:rPr>
            <w:rFonts w:asciiTheme="minorHAnsi" w:eastAsiaTheme="minorEastAsia" w:hAnsiTheme="minorHAnsi" w:cstheme="minorBidi"/>
            <w:lang w:eastAsia="cs-CZ"/>
          </w:rPr>
          <w:tab/>
        </w:r>
        <w:r w:rsidR="00095772" w:rsidRPr="00274235">
          <w:rPr>
            <w:rStyle w:val="Hypertextovodkaz"/>
          </w:rPr>
          <w:t>Kalkulace a kalkulační vzorec</w:t>
        </w:r>
        <w:r w:rsidR="00095772">
          <w:rPr>
            <w:webHidden/>
          </w:rPr>
          <w:tab/>
        </w:r>
        <w:r>
          <w:rPr>
            <w:webHidden/>
          </w:rPr>
          <w:fldChar w:fldCharType="begin"/>
        </w:r>
        <w:r w:rsidR="00095772">
          <w:rPr>
            <w:webHidden/>
          </w:rPr>
          <w:instrText xml:space="preserve"> PAGEREF _Toc302476221 \h </w:instrText>
        </w:r>
        <w:r>
          <w:rPr>
            <w:webHidden/>
          </w:rPr>
        </w:r>
        <w:r>
          <w:rPr>
            <w:webHidden/>
          </w:rPr>
          <w:fldChar w:fldCharType="separate"/>
        </w:r>
        <w:r w:rsidR="006814FB">
          <w:rPr>
            <w:webHidden/>
          </w:rPr>
          <w:t>29</w:t>
        </w:r>
        <w:r>
          <w:rPr>
            <w:webHidden/>
          </w:rPr>
          <w:fldChar w:fldCharType="end"/>
        </w:r>
      </w:hyperlink>
    </w:p>
    <w:p w:rsidR="00095772" w:rsidRDefault="009C1CDD">
      <w:pPr>
        <w:pStyle w:val="Obsah3"/>
        <w:rPr>
          <w:rFonts w:asciiTheme="minorHAnsi" w:eastAsiaTheme="minorEastAsia" w:hAnsiTheme="minorHAnsi" w:cstheme="minorBidi"/>
          <w:noProof/>
          <w:lang w:eastAsia="cs-CZ"/>
        </w:rPr>
      </w:pPr>
      <w:hyperlink w:anchor="_Toc302476222" w:history="1">
        <w:r w:rsidR="00095772" w:rsidRPr="00274235">
          <w:rPr>
            <w:rStyle w:val="Hypertextovodkaz"/>
            <w:noProof/>
          </w:rPr>
          <w:t>3.3.1</w:t>
        </w:r>
        <w:r w:rsidR="00095772">
          <w:rPr>
            <w:rFonts w:asciiTheme="minorHAnsi" w:eastAsiaTheme="minorEastAsia" w:hAnsiTheme="minorHAnsi" w:cstheme="minorBidi"/>
            <w:noProof/>
            <w:lang w:eastAsia="cs-CZ"/>
          </w:rPr>
          <w:tab/>
        </w:r>
        <w:r w:rsidR="00095772" w:rsidRPr="00274235">
          <w:rPr>
            <w:rStyle w:val="Hypertextovodkaz"/>
            <w:noProof/>
          </w:rPr>
          <w:t>Kalkulace v podniku</w:t>
        </w:r>
        <w:r w:rsidR="00095772">
          <w:rPr>
            <w:noProof/>
            <w:webHidden/>
          </w:rPr>
          <w:tab/>
        </w:r>
        <w:r>
          <w:rPr>
            <w:noProof/>
            <w:webHidden/>
          </w:rPr>
          <w:fldChar w:fldCharType="begin"/>
        </w:r>
        <w:r w:rsidR="00095772">
          <w:rPr>
            <w:noProof/>
            <w:webHidden/>
          </w:rPr>
          <w:instrText xml:space="preserve"> PAGEREF _Toc302476222 \h </w:instrText>
        </w:r>
        <w:r>
          <w:rPr>
            <w:noProof/>
            <w:webHidden/>
          </w:rPr>
        </w:r>
        <w:r>
          <w:rPr>
            <w:noProof/>
            <w:webHidden/>
          </w:rPr>
          <w:fldChar w:fldCharType="separate"/>
        </w:r>
        <w:r w:rsidR="006814FB">
          <w:rPr>
            <w:noProof/>
            <w:webHidden/>
          </w:rPr>
          <w:t>29</w:t>
        </w:r>
        <w:r>
          <w:rPr>
            <w:noProof/>
            <w:webHidden/>
          </w:rPr>
          <w:fldChar w:fldCharType="end"/>
        </w:r>
      </w:hyperlink>
    </w:p>
    <w:p w:rsidR="00095772" w:rsidRDefault="009C1CDD">
      <w:pPr>
        <w:pStyle w:val="Obsah3"/>
        <w:rPr>
          <w:rFonts w:asciiTheme="minorHAnsi" w:eastAsiaTheme="minorEastAsia" w:hAnsiTheme="minorHAnsi" w:cstheme="minorBidi"/>
          <w:noProof/>
          <w:lang w:eastAsia="cs-CZ"/>
        </w:rPr>
      </w:pPr>
      <w:hyperlink w:anchor="_Toc302476223" w:history="1">
        <w:r w:rsidR="00095772" w:rsidRPr="00274235">
          <w:rPr>
            <w:rStyle w:val="Hypertextovodkaz"/>
            <w:noProof/>
          </w:rPr>
          <w:t>3.3.2</w:t>
        </w:r>
        <w:r w:rsidR="00095772">
          <w:rPr>
            <w:rFonts w:asciiTheme="minorHAnsi" w:eastAsiaTheme="minorEastAsia" w:hAnsiTheme="minorHAnsi" w:cstheme="minorBidi"/>
            <w:noProof/>
            <w:lang w:eastAsia="cs-CZ"/>
          </w:rPr>
          <w:tab/>
        </w:r>
        <w:r w:rsidR="00095772" w:rsidRPr="00274235">
          <w:rPr>
            <w:rStyle w:val="Hypertextovodkaz"/>
            <w:noProof/>
          </w:rPr>
          <w:t>Kalkulační vzorec podniku</w:t>
        </w:r>
        <w:r w:rsidR="00095772">
          <w:rPr>
            <w:noProof/>
            <w:webHidden/>
          </w:rPr>
          <w:tab/>
        </w:r>
        <w:r>
          <w:rPr>
            <w:noProof/>
            <w:webHidden/>
          </w:rPr>
          <w:fldChar w:fldCharType="begin"/>
        </w:r>
        <w:r w:rsidR="00095772">
          <w:rPr>
            <w:noProof/>
            <w:webHidden/>
          </w:rPr>
          <w:instrText xml:space="preserve"> PAGEREF _Toc302476223 \h </w:instrText>
        </w:r>
        <w:r>
          <w:rPr>
            <w:noProof/>
            <w:webHidden/>
          </w:rPr>
        </w:r>
        <w:r>
          <w:rPr>
            <w:noProof/>
            <w:webHidden/>
          </w:rPr>
          <w:fldChar w:fldCharType="separate"/>
        </w:r>
        <w:r w:rsidR="006814FB">
          <w:rPr>
            <w:noProof/>
            <w:webHidden/>
          </w:rPr>
          <w:t>30</w:t>
        </w:r>
        <w:r>
          <w:rPr>
            <w:noProof/>
            <w:webHidden/>
          </w:rPr>
          <w:fldChar w:fldCharType="end"/>
        </w:r>
      </w:hyperlink>
    </w:p>
    <w:p w:rsidR="00095772" w:rsidRDefault="009C1CDD">
      <w:pPr>
        <w:pStyle w:val="Obsah3"/>
        <w:rPr>
          <w:rFonts w:asciiTheme="minorHAnsi" w:eastAsiaTheme="minorEastAsia" w:hAnsiTheme="minorHAnsi" w:cstheme="minorBidi"/>
          <w:noProof/>
          <w:lang w:eastAsia="cs-CZ"/>
        </w:rPr>
      </w:pPr>
      <w:hyperlink w:anchor="_Toc302476224" w:history="1">
        <w:r w:rsidR="00095772" w:rsidRPr="00274235">
          <w:rPr>
            <w:rStyle w:val="Hypertextovodkaz"/>
            <w:noProof/>
          </w:rPr>
          <w:t>3.3.3</w:t>
        </w:r>
        <w:r w:rsidR="00095772">
          <w:rPr>
            <w:rFonts w:asciiTheme="minorHAnsi" w:eastAsiaTheme="minorEastAsia" w:hAnsiTheme="minorHAnsi" w:cstheme="minorBidi"/>
            <w:noProof/>
            <w:lang w:eastAsia="cs-CZ"/>
          </w:rPr>
          <w:tab/>
        </w:r>
        <w:r w:rsidR="00095772" w:rsidRPr="00274235">
          <w:rPr>
            <w:rStyle w:val="Hypertextovodkaz"/>
            <w:noProof/>
          </w:rPr>
          <w:t>Stanovení ceny práce</w:t>
        </w:r>
        <w:r w:rsidR="00095772">
          <w:rPr>
            <w:noProof/>
            <w:webHidden/>
          </w:rPr>
          <w:tab/>
        </w:r>
        <w:r>
          <w:rPr>
            <w:noProof/>
            <w:webHidden/>
          </w:rPr>
          <w:fldChar w:fldCharType="begin"/>
        </w:r>
        <w:r w:rsidR="00095772">
          <w:rPr>
            <w:noProof/>
            <w:webHidden/>
          </w:rPr>
          <w:instrText xml:space="preserve"> PAGEREF _Toc302476224 \h </w:instrText>
        </w:r>
        <w:r>
          <w:rPr>
            <w:noProof/>
            <w:webHidden/>
          </w:rPr>
        </w:r>
        <w:r>
          <w:rPr>
            <w:noProof/>
            <w:webHidden/>
          </w:rPr>
          <w:fldChar w:fldCharType="separate"/>
        </w:r>
        <w:r w:rsidR="006814FB">
          <w:rPr>
            <w:noProof/>
            <w:webHidden/>
          </w:rPr>
          <w:t>32</w:t>
        </w:r>
        <w:r>
          <w:rPr>
            <w:noProof/>
            <w:webHidden/>
          </w:rPr>
          <w:fldChar w:fldCharType="end"/>
        </w:r>
      </w:hyperlink>
    </w:p>
    <w:p w:rsidR="00095772" w:rsidRDefault="009C1CDD">
      <w:pPr>
        <w:pStyle w:val="Obsah3"/>
        <w:rPr>
          <w:rFonts w:asciiTheme="minorHAnsi" w:eastAsiaTheme="minorEastAsia" w:hAnsiTheme="minorHAnsi" w:cstheme="minorBidi"/>
          <w:noProof/>
          <w:lang w:eastAsia="cs-CZ"/>
        </w:rPr>
      </w:pPr>
      <w:hyperlink w:anchor="_Toc302476225" w:history="1">
        <w:r w:rsidR="00095772" w:rsidRPr="00274235">
          <w:rPr>
            <w:rStyle w:val="Hypertextovodkaz"/>
            <w:noProof/>
          </w:rPr>
          <w:t>3.3.4</w:t>
        </w:r>
        <w:r w:rsidR="00095772">
          <w:rPr>
            <w:rFonts w:asciiTheme="minorHAnsi" w:eastAsiaTheme="minorEastAsia" w:hAnsiTheme="minorHAnsi" w:cstheme="minorBidi"/>
            <w:noProof/>
            <w:lang w:eastAsia="cs-CZ"/>
          </w:rPr>
          <w:tab/>
        </w:r>
        <w:r w:rsidR="00095772" w:rsidRPr="00274235">
          <w:rPr>
            <w:rStyle w:val="Hypertextovodkaz"/>
            <w:noProof/>
          </w:rPr>
          <w:t>Vzorová kalkulace zakázky</w:t>
        </w:r>
        <w:r w:rsidR="00095772">
          <w:rPr>
            <w:noProof/>
            <w:webHidden/>
          </w:rPr>
          <w:tab/>
        </w:r>
        <w:r>
          <w:rPr>
            <w:noProof/>
            <w:webHidden/>
          </w:rPr>
          <w:fldChar w:fldCharType="begin"/>
        </w:r>
        <w:r w:rsidR="00095772">
          <w:rPr>
            <w:noProof/>
            <w:webHidden/>
          </w:rPr>
          <w:instrText xml:space="preserve"> PAGEREF _Toc302476225 \h </w:instrText>
        </w:r>
        <w:r>
          <w:rPr>
            <w:noProof/>
            <w:webHidden/>
          </w:rPr>
        </w:r>
        <w:r>
          <w:rPr>
            <w:noProof/>
            <w:webHidden/>
          </w:rPr>
          <w:fldChar w:fldCharType="separate"/>
        </w:r>
        <w:r w:rsidR="006814FB">
          <w:rPr>
            <w:noProof/>
            <w:webHidden/>
          </w:rPr>
          <w:t>36</w:t>
        </w:r>
        <w:r>
          <w:rPr>
            <w:noProof/>
            <w:webHidden/>
          </w:rPr>
          <w:fldChar w:fldCharType="end"/>
        </w:r>
      </w:hyperlink>
    </w:p>
    <w:p w:rsidR="00095772" w:rsidRDefault="009C1CDD">
      <w:pPr>
        <w:pStyle w:val="Obsah2"/>
        <w:rPr>
          <w:rFonts w:asciiTheme="minorHAnsi" w:eastAsiaTheme="minorEastAsia" w:hAnsiTheme="minorHAnsi" w:cstheme="minorBidi"/>
          <w:lang w:eastAsia="cs-CZ"/>
        </w:rPr>
      </w:pPr>
      <w:hyperlink w:anchor="_Toc302476226" w:history="1">
        <w:r w:rsidR="00095772" w:rsidRPr="00274235">
          <w:rPr>
            <w:rStyle w:val="Hypertextovodkaz"/>
          </w:rPr>
          <w:t>3.4</w:t>
        </w:r>
        <w:r w:rsidR="00095772">
          <w:rPr>
            <w:rFonts w:asciiTheme="minorHAnsi" w:eastAsiaTheme="minorEastAsia" w:hAnsiTheme="minorHAnsi" w:cstheme="minorBidi"/>
            <w:lang w:eastAsia="cs-CZ"/>
          </w:rPr>
          <w:tab/>
        </w:r>
        <w:r w:rsidR="00095772" w:rsidRPr="00274235">
          <w:rPr>
            <w:rStyle w:val="Hypertextovodkaz"/>
          </w:rPr>
          <w:t>Zhodnocení kalkulace podniku</w:t>
        </w:r>
        <w:r w:rsidR="00095772">
          <w:rPr>
            <w:webHidden/>
          </w:rPr>
          <w:tab/>
        </w:r>
        <w:r>
          <w:rPr>
            <w:webHidden/>
          </w:rPr>
          <w:fldChar w:fldCharType="begin"/>
        </w:r>
        <w:r w:rsidR="00095772">
          <w:rPr>
            <w:webHidden/>
          </w:rPr>
          <w:instrText xml:space="preserve"> PAGEREF _Toc302476226 \h </w:instrText>
        </w:r>
        <w:r>
          <w:rPr>
            <w:webHidden/>
          </w:rPr>
        </w:r>
        <w:r>
          <w:rPr>
            <w:webHidden/>
          </w:rPr>
          <w:fldChar w:fldCharType="separate"/>
        </w:r>
        <w:r w:rsidR="006814FB">
          <w:rPr>
            <w:webHidden/>
          </w:rPr>
          <w:t>37</w:t>
        </w:r>
        <w:r>
          <w:rPr>
            <w:webHidden/>
          </w:rPr>
          <w:fldChar w:fldCharType="end"/>
        </w:r>
      </w:hyperlink>
    </w:p>
    <w:p w:rsidR="00095772" w:rsidRDefault="009C1CDD">
      <w:pPr>
        <w:pStyle w:val="Obsah3"/>
        <w:rPr>
          <w:rFonts w:asciiTheme="minorHAnsi" w:eastAsiaTheme="minorEastAsia" w:hAnsiTheme="minorHAnsi" w:cstheme="minorBidi"/>
          <w:noProof/>
          <w:lang w:eastAsia="cs-CZ"/>
        </w:rPr>
      </w:pPr>
      <w:hyperlink w:anchor="_Toc302476227" w:history="1">
        <w:r w:rsidR="00095772" w:rsidRPr="00274235">
          <w:rPr>
            <w:rStyle w:val="Hypertextovodkaz"/>
            <w:noProof/>
          </w:rPr>
          <w:t>3.4.1</w:t>
        </w:r>
        <w:r w:rsidR="00095772">
          <w:rPr>
            <w:rFonts w:asciiTheme="minorHAnsi" w:eastAsiaTheme="minorEastAsia" w:hAnsiTheme="minorHAnsi" w:cstheme="minorBidi"/>
            <w:noProof/>
            <w:lang w:eastAsia="cs-CZ"/>
          </w:rPr>
          <w:tab/>
        </w:r>
        <w:r w:rsidR="00095772" w:rsidRPr="00274235">
          <w:rPr>
            <w:rStyle w:val="Hypertextovodkaz"/>
            <w:noProof/>
          </w:rPr>
          <w:t>Zhodnocení kalkulačního systému</w:t>
        </w:r>
        <w:r w:rsidR="00095772">
          <w:rPr>
            <w:noProof/>
            <w:webHidden/>
          </w:rPr>
          <w:tab/>
        </w:r>
        <w:r>
          <w:rPr>
            <w:noProof/>
            <w:webHidden/>
          </w:rPr>
          <w:fldChar w:fldCharType="begin"/>
        </w:r>
        <w:r w:rsidR="00095772">
          <w:rPr>
            <w:noProof/>
            <w:webHidden/>
          </w:rPr>
          <w:instrText xml:space="preserve"> PAGEREF _Toc302476227 \h </w:instrText>
        </w:r>
        <w:r>
          <w:rPr>
            <w:noProof/>
            <w:webHidden/>
          </w:rPr>
        </w:r>
        <w:r>
          <w:rPr>
            <w:noProof/>
            <w:webHidden/>
          </w:rPr>
          <w:fldChar w:fldCharType="separate"/>
        </w:r>
        <w:r w:rsidR="006814FB">
          <w:rPr>
            <w:noProof/>
            <w:webHidden/>
          </w:rPr>
          <w:t>37</w:t>
        </w:r>
        <w:r>
          <w:rPr>
            <w:noProof/>
            <w:webHidden/>
          </w:rPr>
          <w:fldChar w:fldCharType="end"/>
        </w:r>
      </w:hyperlink>
    </w:p>
    <w:p w:rsidR="00095772" w:rsidRDefault="009C1CDD">
      <w:pPr>
        <w:pStyle w:val="Obsah3"/>
        <w:rPr>
          <w:rFonts w:asciiTheme="minorHAnsi" w:eastAsiaTheme="minorEastAsia" w:hAnsiTheme="minorHAnsi" w:cstheme="minorBidi"/>
          <w:noProof/>
          <w:lang w:eastAsia="cs-CZ"/>
        </w:rPr>
      </w:pPr>
      <w:hyperlink w:anchor="_Toc302476228" w:history="1">
        <w:r w:rsidR="00095772" w:rsidRPr="00274235">
          <w:rPr>
            <w:rStyle w:val="Hypertextovodkaz"/>
            <w:noProof/>
          </w:rPr>
          <w:t>3.4.2</w:t>
        </w:r>
        <w:r w:rsidR="00095772">
          <w:rPr>
            <w:rFonts w:asciiTheme="minorHAnsi" w:eastAsiaTheme="minorEastAsia" w:hAnsiTheme="minorHAnsi" w:cstheme="minorBidi"/>
            <w:noProof/>
            <w:lang w:eastAsia="cs-CZ"/>
          </w:rPr>
          <w:tab/>
        </w:r>
        <w:r w:rsidR="00095772" w:rsidRPr="00274235">
          <w:rPr>
            <w:rStyle w:val="Hypertextovodkaz"/>
            <w:noProof/>
          </w:rPr>
          <w:t>Zhodnocení kalkulační metody</w:t>
        </w:r>
        <w:r w:rsidR="00095772">
          <w:rPr>
            <w:noProof/>
            <w:webHidden/>
          </w:rPr>
          <w:tab/>
        </w:r>
        <w:r>
          <w:rPr>
            <w:noProof/>
            <w:webHidden/>
          </w:rPr>
          <w:fldChar w:fldCharType="begin"/>
        </w:r>
        <w:r w:rsidR="00095772">
          <w:rPr>
            <w:noProof/>
            <w:webHidden/>
          </w:rPr>
          <w:instrText xml:space="preserve"> PAGEREF _Toc302476228 \h </w:instrText>
        </w:r>
        <w:r>
          <w:rPr>
            <w:noProof/>
            <w:webHidden/>
          </w:rPr>
        </w:r>
        <w:r>
          <w:rPr>
            <w:noProof/>
            <w:webHidden/>
          </w:rPr>
          <w:fldChar w:fldCharType="separate"/>
        </w:r>
        <w:r w:rsidR="006814FB">
          <w:rPr>
            <w:noProof/>
            <w:webHidden/>
          </w:rPr>
          <w:t>39</w:t>
        </w:r>
        <w:r>
          <w:rPr>
            <w:noProof/>
            <w:webHidden/>
          </w:rPr>
          <w:fldChar w:fldCharType="end"/>
        </w:r>
      </w:hyperlink>
    </w:p>
    <w:p w:rsidR="00095772" w:rsidRDefault="009C1CDD">
      <w:pPr>
        <w:pStyle w:val="Obsah1"/>
        <w:rPr>
          <w:rFonts w:asciiTheme="minorHAnsi" w:eastAsiaTheme="minorEastAsia" w:hAnsiTheme="minorHAnsi" w:cstheme="minorBidi"/>
          <w:noProof/>
          <w:sz w:val="22"/>
          <w:lang w:eastAsia="cs-CZ"/>
        </w:rPr>
      </w:pPr>
      <w:hyperlink w:anchor="_Toc302476229" w:history="1">
        <w:r w:rsidR="00095772" w:rsidRPr="00274235">
          <w:rPr>
            <w:rStyle w:val="Hypertextovodkaz"/>
            <w:noProof/>
          </w:rPr>
          <w:t>4</w:t>
        </w:r>
        <w:r w:rsidR="00095772">
          <w:rPr>
            <w:rFonts w:asciiTheme="minorHAnsi" w:eastAsiaTheme="minorEastAsia" w:hAnsiTheme="minorHAnsi" w:cstheme="minorBidi"/>
            <w:noProof/>
            <w:sz w:val="22"/>
            <w:lang w:eastAsia="cs-CZ"/>
          </w:rPr>
          <w:tab/>
        </w:r>
        <w:r w:rsidR="00095772" w:rsidRPr="00274235">
          <w:rPr>
            <w:rStyle w:val="Hypertextovodkaz"/>
            <w:noProof/>
          </w:rPr>
          <w:t>Závěr</w:t>
        </w:r>
        <w:r w:rsidR="00095772">
          <w:rPr>
            <w:noProof/>
            <w:webHidden/>
          </w:rPr>
          <w:tab/>
        </w:r>
        <w:r>
          <w:rPr>
            <w:noProof/>
            <w:webHidden/>
          </w:rPr>
          <w:fldChar w:fldCharType="begin"/>
        </w:r>
        <w:r w:rsidR="00095772">
          <w:rPr>
            <w:noProof/>
            <w:webHidden/>
          </w:rPr>
          <w:instrText xml:space="preserve"> PAGEREF _Toc302476229 \h </w:instrText>
        </w:r>
        <w:r>
          <w:rPr>
            <w:noProof/>
            <w:webHidden/>
          </w:rPr>
        </w:r>
        <w:r>
          <w:rPr>
            <w:noProof/>
            <w:webHidden/>
          </w:rPr>
          <w:fldChar w:fldCharType="separate"/>
        </w:r>
        <w:r w:rsidR="006814FB">
          <w:rPr>
            <w:noProof/>
            <w:webHidden/>
          </w:rPr>
          <w:t>41</w:t>
        </w:r>
        <w:r>
          <w:rPr>
            <w:noProof/>
            <w:webHidden/>
          </w:rPr>
          <w:fldChar w:fldCharType="end"/>
        </w:r>
      </w:hyperlink>
    </w:p>
    <w:p w:rsidR="00095772" w:rsidRDefault="009C1CDD">
      <w:pPr>
        <w:pStyle w:val="Obsah1"/>
        <w:rPr>
          <w:rFonts w:asciiTheme="minorHAnsi" w:eastAsiaTheme="minorEastAsia" w:hAnsiTheme="minorHAnsi" w:cstheme="minorBidi"/>
          <w:noProof/>
          <w:sz w:val="22"/>
          <w:lang w:eastAsia="cs-CZ"/>
        </w:rPr>
      </w:pPr>
      <w:hyperlink w:anchor="_Toc302476230" w:history="1">
        <w:r w:rsidR="00095772" w:rsidRPr="00274235">
          <w:rPr>
            <w:rStyle w:val="Hypertextovodkaz"/>
            <w:noProof/>
          </w:rPr>
          <w:t>Literatura</w:t>
        </w:r>
        <w:r w:rsidR="00095772">
          <w:rPr>
            <w:noProof/>
            <w:webHidden/>
          </w:rPr>
          <w:tab/>
        </w:r>
        <w:r>
          <w:rPr>
            <w:noProof/>
            <w:webHidden/>
          </w:rPr>
          <w:fldChar w:fldCharType="begin"/>
        </w:r>
        <w:r w:rsidR="00095772">
          <w:rPr>
            <w:noProof/>
            <w:webHidden/>
          </w:rPr>
          <w:instrText xml:space="preserve"> PAGEREF _Toc302476230 \h </w:instrText>
        </w:r>
        <w:r>
          <w:rPr>
            <w:noProof/>
            <w:webHidden/>
          </w:rPr>
        </w:r>
        <w:r>
          <w:rPr>
            <w:noProof/>
            <w:webHidden/>
          </w:rPr>
          <w:fldChar w:fldCharType="separate"/>
        </w:r>
        <w:r w:rsidR="006814FB">
          <w:rPr>
            <w:noProof/>
            <w:webHidden/>
          </w:rPr>
          <w:t>45</w:t>
        </w:r>
        <w:r>
          <w:rPr>
            <w:noProof/>
            <w:webHidden/>
          </w:rPr>
          <w:fldChar w:fldCharType="end"/>
        </w:r>
      </w:hyperlink>
    </w:p>
    <w:p w:rsidR="00095772" w:rsidRDefault="009C1CDD">
      <w:pPr>
        <w:pStyle w:val="Obsah1"/>
        <w:rPr>
          <w:rFonts w:asciiTheme="minorHAnsi" w:eastAsiaTheme="minorEastAsia" w:hAnsiTheme="minorHAnsi" w:cstheme="minorBidi"/>
          <w:noProof/>
          <w:sz w:val="22"/>
          <w:lang w:eastAsia="cs-CZ"/>
        </w:rPr>
      </w:pPr>
      <w:hyperlink w:anchor="_Toc302476231" w:history="1">
        <w:r w:rsidR="00095772" w:rsidRPr="00274235">
          <w:rPr>
            <w:rStyle w:val="Hypertextovodkaz"/>
            <w:noProof/>
          </w:rPr>
          <w:t>Přílohy</w:t>
        </w:r>
      </w:hyperlink>
    </w:p>
    <w:p w:rsidR="00456474" w:rsidRDefault="009C1CDD" w:rsidP="00CD6A5A">
      <w:pPr>
        <w:jc w:val="left"/>
      </w:pPr>
      <w:r>
        <w:fldChar w:fldCharType="end"/>
      </w:r>
    </w:p>
    <w:p w:rsidR="00F72854" w:rsidRDefault="00F72854">
      <w:pPr>
        <w:spacing w:after="0" w:line="240" w:lineRule="auto"/>
        <w:jc w:val="left"/>
      </w:pPr>
      <w:r>
        <w:br w:type="page"/>
      </w:r>
    </w:p>
    <w:p w:rsidR="007B4C07" w:rsidRDefault="007B4C07" w:rsidP="007B4C07">
      <w:pPr>
        <w:pStyle w:val="AbstractSummary-nadpis"/>
      </w:pPr>
      <w:r>
        <w:lastRenderedPageBreak/>
        <w:t>Seznam zkratek</w:t>
      </w:r>
    </w:p>
    <w:p w:rsidR="003114BF" w:rsidRDefault="003114BF" w:rsidP="00A60CB2">
      <w:pPr>
        <w:ind w:left="2127" w:hanging="2127"/>
      </w:pPr>
      <w:r>
        <w:t>CAPI</w:t>
      </w:r>
      <w:r w:rsidR="00F301D0">
        <w:tab/>
      </w:r>
      <w:r w:rsidR="00F301D0" w:rsidRPr="008131D1">
        <w:rPr>
          <w:lang w:val="en-GB"/>
        </w:rPr>
        <w:t>Computer Assisted Personal Interviewing</w:t>
      </w:r>
      <w:r w:rsidR="00F301D0">
        <w:t xml:space="preserve"> (osobní dotazování </w:t>
      </w:r>
      <w:r w:rsidR="00A60CB2">
        <w:br/>
      </w:r>
      <w:r w:rsidR="00F301D0">
        <w:t xml:space="preserve">za pomoci počítače) </w:t>
      </w:r>
    </w:p>
    <w:p w:rsidR="003114BF" w:rsidRDefault="003114BF" w:rsidP="00A60CB2">
      <w:pPr>
        <w:ind w:left="2127" w:hanging="2127"/>
      </w:pPr>
      <w:r>
        <w:t>CATI</w:t>
      </w:r>
      <w:r w:rsidR="00F301D0">
        <w:tab/>
      </w:r>
      <w:r w:rsidR="00F301D0" w:rsidRPr="008131D1">
        <w:rPr>
          <w:lang w:val="en-GB"/>
        </w:rPr>
        <w:t>Computer Assisted Telephone Interviewing</w:t>
      </w:r>
      <w:r w:rsidR="00F301D0">
        <w:t xml:space="preserve"> (telefonické dotazování za pomoci počítačového programu) </w:t>
      </w:r>
    </w:p>
    <w:p w:rsidR="003114BF" w:rsidRDefault="003114BF" w:rsidP="00A60CB2">
      <w:pPr>
        <w:ind w:left="2127" w:hanging="2127"/>
      </w:pPr>
      <w:r>
        <w:t>CAWI</w:t>
      </w:r>
      <w:r w:rsidR="00F301D0">
        <w:tab/>
      </w:r>
      <w:r w:rsidR="00A60CB2" w:rsidRPr="008131D1">
        <w:rPr>
          <w:lang w:val="en-GB"/>
        </w:rPr>
        <w:t>Computer Assisted Web Interviewing</w:t>
      </w:r>
      <w:r w:rsidR="00A60CB2">
        <w:t xml:space="preserve"> (dotazování </w:t>
      </w:r>
      <w:r w:rsidR="00A60CB2">
        <w:br/>
        <w:t xml:space="preserve">na webových stránkách) </w:t>
      </w:r>
    </w:p>
    <w:p w:rsidR="00A60CB2" w:rsidRDefault="00A60CB2" w:rsidP="00A60CB2">
      <w:pPr>
        <w:ind w:left="2127" w:hanging="2127"/>
      </w:pPr>
      <w:r>
        <w:t>ESOMAR</w:t>
      </w:r>
      <w:r>
        <w:tab/>
      </w:r>
      <w:r w:rsidRPr="008131D1">
        <w:rPr>
          <w:lang w:val="en-GB"/>
        </w:rPr>
        <w:t>European Society for Opinion and Marketing Research</w:t>
      </w:r>
      <w:r>
        <w:t xml:space="preserve"> (světová organizace pro výzkum veřejného míněné a marketing. výzkum) </w:t>
      </w:r>
    </w:p>
    <w:p w:rsidR="00A60CB2" w:rsidRDefault="00A60CB2" w:rsidP="00A60CB2">
      <w:r>
        <w:t>FtF</w:t>
      </w:r>
      <w:r>
        <w:tab/>
      </w:r>
      <w:r>
        <w:tab/>
      </w:r>
      <w:r>
        <w:tab/>
      </w:r>
      <w:r w:rsidRPr="008131D1">
        <w:rPr>
          <w:lang w:val="en-GB"/>
        </w:rPr>
        <w:t>Face To Face</w:t>
      </w:r>
      <w:r>
        <w:t xml:space="preserve"> (osobní dotazování) </w:t>
      </w:r>
    </w:p>
    <w:p w:rsidR="000E31B8" w:rsidRPr="000E31B8" w:rsidRDefault="000E31B8" w:rsidP="000E31B8">
      <w:pPr>
        <w:ind w:left="2127" w:hanging="2127"/>
        <w:rPr>
          <w:lang w:val="en-GB"/>
        </w:rPr>
      </w:pPr>
      <w:r>
        <w:t>PAPI</w:t>
      </w:r>
      <w:r>
        <w:tab/>
      </w:r>
      <w:r w:rsidRPr="000E31B8">
        <w:rPr>
          <w:lang w:val="en-GB"/>
        </w:rPr>
        <w:t xml:space="preserve">Paper and Pencil Interviewing </w:t>
      </w:r>
      <w:r w:rsidRPr="000E31B8">
        <w:t xml:space="preserve">(osobní dotazování se záznamem do papírového dotazníku) </w:t>
      </w:r>
    </w:p>
    <w:p w:rsidR="003114BF" w:rsidRDefault="003114BF" w:rsidP="007B4C07">
      <w:pPr>
        <w:tabs>
          <w:tab w:val="left" w:pos="2505"/>
          <w:tab w:val="center" w:leader="dot" w:pos="7938"/>
        </w:tabs>
      </w:pPr>
    </w:p>
    <w:p w:rsidR="007B4C07" w:rsidRDefault="007B4C07">
      <w:pPr>
        <w:spacing w:after="0" w:line="240" w:lineRule="auto"/>
        <w:jc w:val="left"/>
        <w:rPr>
          <w:b/>
          <w:szCs w:val="24"/>
        </w:rPr>
      </w:pPr>
      <w:r>
        <w:br w:type="page"/>
      </w:r>
    </w:p>
    <w:p w:rsidR="00F72854" w:rsidRDefault="00F72854" w:rsidP="00F72854">
      <w:pPr>
        <w:pStyle w:val="AbstractSummary-nadpis"/>
      </w:pPr>
      <w:r>
        <w:lastRenderedPageBreak/>
        <w:t>Seznam tabulek</w:t>
      </w:r>
    </w:p>
    <w:p w:rsidR="008B42A3" w:rsidRDefault="008B42A3" w:rsidP="008B42A3">
      <w:pPr>
        <w:tabs>
          <w:tab w:val="center" w:leader="dot" w:pos="7938"/>
        </w:tabs>
      </w:pPr>
      <w:r>
        <w:t>Tabulka 1 Náklady podniku v druhovém členění</w:t>
      </w:r>
      <w:r>
        <w:tab/>
        <w:t>2</w:t>
      </w:r>
      <w:r w:rsidR="0041578A">
        <w:t>5</w:t>
      </w:r>
    </w:p>
    <w:p w:rsidR="008B42A3" w:rsidRDefault="008B42A3" w:rsidP="008B42A3">
      <w:pPr>
        <w:tabs>
          <w:tab w:val="center" w:leader="dot" w:pos="7938"/>
        </w:tabs>
      </w:pPr>
      <w:r>
        <w:t>Tabulka 2 Náklady po</w:t>
      </w:r>
      <w:r w:rsidR="0041578A">
        <w:t>dniku v účelovém členění</w:t>
      </w:r>
      <w:r w:rsidR="0041578A">
        <w:tab/>
        <w:t>26</w:t>
      </w:r>
    </w:p>
    <w:p w:rsidR="00730969" w:rsidRDefault="00730969" w:rsidP="00730969">
      <w:pPr>
        <w:tabs>
          <w:tab w:val="center" w:leader="dot" w:pos="7938"/>
        </w:tabs>
      </w:pPr>
      <w:r>
        <w:t>Tabulka 3 Přímé náklady podniku</w:t>
      </w:r>
      <w:r w:rsidR="0041578A">
        <w:tab/>
        <w:t>27</w:t>
      </w:r>
    </w:p>
    <w:p w:rsidR="00730969" w:rsidRDefault="00730969" w:rsidP="00730969">
      <w:pPr>
        <w:tabs>
          <w:tab w:val="center" w:leader="dot" w:pos="7938"/>
        </w:tabs>
      </w:pPr>
      <w:r>
        <w:t>Tabulka 4 Model propočtu a ověře</w:t>
      </w:r>
      <w:r w:rsidR="0041578A">
        <w:t>ní sazeb za práci zaměstnanců</w:t>
      </w:r>
      <w:r w:rsidR="0041578A">
        <w:tab/>
        <w:t>35</w:t>
      </w:r>
    </w:p>
    <w:p w:rsidR="0007535B" w:rsidRDefault="0007535B">
      <w:pPr>
        <w:spacing w:after="0" w:line="240" w:lineRule="auto"/>
        <w:jc w:val="left"/>
      </w:pPr>
      <w:r>
        <w:br w:type="page"/>
      </w:r>
    </w:p>
    <w:p w:rsidR="0007535B" w:rsidRDefault="0007535B" w:rsidP="0007535B">
      <w:pPr>
        <w:pStyle w:val="AbstractSummary-nadpis"/>
      </w:pPr>
      <w:r>
        <w:lastRenderedPageBreak/>
        <w:t>Seznam obrázků</w:t>
      </w:r>
    </w:p>
    <w:p w:rsidR="008B42A3" w:rsidRDefault="008B42A3" w:rsidP="008B42A3">
      <w:pPr>
        <w:tabs>
          <w:tab w:val="center" w:leader="dot" w:pos="7938"/>
        </w:tabs>
      </w:pPr>
      <w:r>
        <w:t>Obrázek 1 Typový kalkulační vzorec</w:t>
      </w:r>
      <w:r>
        <w:tab/>
        <w:t>9</w:t>
      </w:r>
      <w:r w:rsidRPr="00193744">
        <w:t xml:space="preserve"> </w:t>
      </w:r>
    </w:p>
    <w:p w:rsidR="008B42A3" w:rsidRDefault="008B42A3" w:rsidP="008B42A3">
      <w:pPr>
        <w:tabs>
          <w:tab w:val="center" w:leader="dot" w:pos="7938"/>
        </w:tabs>
      </w:pPr>
      <w:r>
        <w:t>Obrázek 2 Kalkulační systém podniku</w:t>
      </w:r>
      <w:r>
        <w:tab/>
        <w:t>11</w:t>
      </w:r>
    </w:p>
    <w:p w:rsidR="008B42A3" w:rsidRDefault="008B42A3" w:rsidP="008B42A3">
      <w:pPr>
        <w:tabs>
          <w:tab w:val="center" w:leader="dot" w:pos="7938"/>
        </w:tabs>
      </w:pPr>
      <w:r>
        <w:t>Obrázek 3 Organizační struktura podniku</w:t>
      </w:r>
      <w:r>
        <w:tab/>
        <w:t>2</w:t>
      </w:r>
      <w:r w:rsidR="0041578A">
        <w:t>2</w:t>
      </w:r>
    </w:p>
    <w:p w:rsidR="008B42A3" w:rsidRDefault="008B42A3" w:rsidP="008B42A3">
      <w:pPr>
        <w:tabs>
          <w:tab w:val="center" w:leader="dot" w:pos="7938"/>
        </w:tabs>
      </w:pPr>
      <w:r>
        <w:t>Obrázek 4 Podnikový kalkulační vzorec</w:t>
      </w:r>
      <w:r>
        <w:tab/>
      </w:r>
      <w:r w:rsidR="0041578A">
        <w:t>30</w:t>
      </w:r>
    </w:p>
    <w:p w:rsidR="003B4708" w:rsidRDefault="003B4708" w:rsidP="003B4708">
      <w:pPr>
        <w:tabs>
          <w:tab w:val="center" w:leader="dot" w:pos="7938"/>
        </w:tabs>
      </w:pPr>
      <w:r>
        <w:t>Obrázek 5</w:t>
      </w:r>
      <w:r w:rsidR="00066718">
        <w:t xml:space="preserve"> Propočtová</w:t>
      </w:r>
      <w:r>
        <w:t xml:space="preserve"> a výsledná ka</w:t>
      </w:r>
      <w:r w:rsidR="00730969">
        <w:t>lkulace v</w:t>
      </w:r>
      <w:r w:rsidR="0061794D">
        <w:t xml:space="preserve"> podnikovém</w:t>
      </w:r>
      <w:r w:rsidR="00766B41">
        <w:t xml:space="preserve"> intranetu</w:t>
      </w:r>
      <w:r w:rsidR="00766B41">
        <w:tab/>
        <w:t>38</w:t>
      </w:r>
    </w:p>
    <w:p w:rsidR="007D58CE" w:rsidRDefault="007D58CE" w:rsidP="007D58CE">
      <w:pPr>
        <w:tabs>
          <w:tab w:val="center" w:leader="dot" w:pos="7938"/>
        </w:tabs>
      </w:pPr>
    </w:p>
    <w:p w:rsidR="007D58CE" w:rsidRDefault="007D58CE" w:rsidP="00F05477">
      <w:pPr>
        <w:pStyle w:val="Zkladntext"/>
        <w:sectPr w:rsidR="007D58CE" w:rsidSect="00990CF5">
          <w:headerReference w:type="default" r:id="rId14"/>
          <w:footerReference w:type="default" r:id="rId15"/>
          <w:pgSz w:w="11906" w:h="16838" w:code="9"/>
          <w:pgMar w:top="1418" w:right="1134" w:bottom="1418" w:left="2268" w:header="709" w:footer="709" w:gutter="0"/>
          <w:cols w:space="708"/>
          <w:docGrid w:linePitch="326"/>
        </w:sectPr>
      </w:pPr>
    </w:p>
    <w:p w:rsidR="00990CF5" w:rsidRDefault="00990CF5" w:rsidP="0036573D">
      <w:pPr>
        <w:pStyle w:val="Nadpis1"/>
      </w:pPr>
      <w:bookmarkStart w:id="0" w:name="_Toc302476191"/>
      <w:r w:rsidRPr="00164167">
        <w:lastRenderedPageBreak/>
        <w:t>Úvod</w:t>
      </w:r>
      <w:bookmarkEnd w:id="0"/>
      <w:r w:rsidR="00A53CA6">
        <w:t xml:space="preserve"> </w:t>
      </w:r>
    </w:p>
    <w:p w:rsidR="004F00E2" w:rsidRDefault="004F00E2" w:rsidP="00403FB6"/>
    <w:p w:rsidR="003E0AE2" w:rsidRDefault="00A273B6" w:rsidP="00403FB6">
      <w:r>
        <w:t>Kalkulace jsou</w:t>
      </w:r>
      <w:r w:rsidR="003E0AE2">
        <w:t xml:space="preserve"> jedním z nejdůležitějších n</w:t>
      </w:r>
      <w:r>
        <w:t xml:space="preserve">ástrojů manažerského účetnictví. Využívány jsou </w:t>
      </w:r>
      <w:r w:rsidR="00842DC7">
        <w:t>při plánování nákladů i</w:t>
      </w:r>
      <w:r>
        <w:t xml:space="preserve"> jej</w:t>
      </w:r>
      <w:r w:rsidR="00842DC7">
        <w:t>ich následné kontrole, přináš</w:t>
      </w:r>
      <w:r w:rsidR="009A180E">
        <w:t>ej</w:t>
      </w:r>
      <w:r w:rsidR="00842DC7">
        <w:t>í také</w:t>
      </w:r>
      <w:r>
        <w:t xml:space="preserve"> informace pro rozhodování o cenách. Jde o nejstarší a nejpoužívanější nástroj hodnotového řízení, slouží jak řízení hospodárnosti,</w:t>
      </w:r>
      <w:r w:rsidR="00842DC7">
        <w:t xml:space="preserve"> tak i </w:t>
      </w:r>
      <w:r>
        <w:t xml:space="preserve">hodnocení ekonomické efektivnosti výkonů. </w:t>
      </w:r>
      <w:r w:rsidR="003E0AE2">
        <w:t xml:space="preserve">Jsou součástí informačního systému podniku, společně s účetnictvím, rozpočetnictvím, statistikou a operativní evidencí vytváří podklady pro řízení. </w:t>
      </w:r>
    </w:p>
    <w:p w:rsidR="00403FB6" w:rsidRDefault="0001053B" w:rsidP="00403FB6">
      <w:r>
        <w:t xml:space="preserve">Kalkulace slouží ke zjištění či stanovení nákladů </w:t>
      </w:r>
      <w:r w:rsidR="00A273B6">
        <w:t>jednotlivého výkonu a z nich vypl</w:t>
      </w:r>
      <w:r w:rsidR="009A180E">
        <w:t>ý</w:t>
      </w:r>
      <w:r>
        <w:t xml:space="preserve">vající ceny. Z tohoto důvodu mají klíčový význam při řízení nákladů výkonu. </w:t>
      </w:r>
      <w:r w:rsidR="00A273B6">
        <w:t xml:space="preserve">Tato skutečnost nabývá na významu zejména v současné silně konkurenční době. </w:t>
      </w:r>
      <w:r w:rsidR="00776308">
        <w:t>Pro každý podnik je důležité správně stanovit cenu svých produktů či služeb. V </w:t>
      </w:r>
      <w:r w:rsidR="001072B9">
        <w:t>době</w:t>
      </w:r>
      <w:r w:rsidR="00776308">
        <w:t xml:space="preserve">, kdy je cena celé řady výkonů stanovena trhem, je pro úspěch každého podniku nezbytné řídit výši nákladů tak, aby bylo dosaženo požadovaného zisku. </w:t>
      </w:r>
      <w:r>
        <w:t xml:space="preserve">S problematikou kalkulací se proto setkává každý podnik, bez ohledu </w:t>
      </w:r>
      <w:r w:rsidR="00A54EEA">
        <w:t xml:space="preserve">na </w:t>
      </w:r>
      <w:r w:rsidR="00A273B6">
        <w:t>zaměření činnosti nebo svou velikost</w:t>
      </w:r>
      <w:r>
        <w:t xml:space="preserve">. </w:t>
      </w:r>
    </w:p>
    <w:p w:rsidR="0001053B" w:rsidRDefault="00842DC7" w:rsidP="00403FB6">
      <w:r>
        <w:t xml:space="preserve">Téma bakalářské práce „Kalkulace a kalkulační metody v manažerském účetnictví“ jsem si vybrala právě z důvodu velkého významu kalkulací a vhodně nastavených kalkulačních postupů a zvolených metod pro řízení nákladů a stanovení ceny. Téma je pro mě přínosné i vzhledem k mé profesi, neboť jsem pracovala na různých pozicích v rámci finančního </w:t>
      </w:r>
      <w:r w:rsidR="00A42277">
        <w:t>oddělení, od finanční účetní k práci</w:t>
      </w:r>
      <w:r>
        <w:t xml:space="preserve"> </w:t>
      </w:r>
      <w:r w:rsidR="00BF3332">
        <w:t>c</w:t>
      </w:r>
      <w:r>
        <w:t xml:space="preserve">ontrollerky a finanční manažerky, a na každé z těchto pozic jsem se setkávala s problematikou kalkulací. </w:t>
      </w:r>
    </w:p>
    <w:p w:rsidR="00776308" w:rsidRDefault="00671FB4" w:rsidP="00403FB6">
      <w:r>
        <w:t>Hlavním c</w:t>
      </w:r>
      <w:r w:rsidR="00776308">
        <w:t xml:space="preserve">ílem práce je analýza kalkulačního vzorce a techniky kalkulace konkrétního podniku. </w:t>
      </w:r>
      <w:r>
        <w:t xml:space="preserve">Na základě provedené analýzy bude aktuální stav vyhodnocen a v případě zjištění závažných nedostatků budou </w:t>
      </w:r>
      <w:r w:rsidR="00A42277">
        <w:t>vy</w:t>
      </w:r>
      <w:r>
        <w:t xml:space="preserve">pracována doporučení vedoucí ke zlepšení kalkulací. </w:t>
      </w:r>
      <w:r w:rsidR="00776308">
        <w:t xml:space="preserve">Předpokladem je představení teoretických poznatků vycházející z odborné literatury a dalších zdrojů. </w:t>
      </w:r>
    </w:p>
    <w:p w:rsidR="0001053B" w:rsidRDefault="0001053B" w:rsidP="00403FB6">
      <w:r>
        <w:t xml:space="preserve">Práce bude rozdělena do dvou částí, na část teoretickou </w:t>
      </w:r>
      <w:r w:rsidR="008C5BEC">
        <w:t>a část praktickou. První část shr</w:t>
      </w:r>
      <w:r w:rsidR="00E61EF7">
        <w:t>nuje teoretická východiska vyplý</w:t>
      </w:r>
      <w:r w:rsidR="008C5BEC">
        <w:t>vající z odborné literatury, druhá část se</w:t>
      </w:r>
      <w:r w:rsidR="00F57714">
        <w:t xml:space="preserve"> věnuje představení kalkulační</w:t>
      </w:r>
      <w:r w:rsidR="008C5BEC">
        <w:t xml:space="preserve"> metod</w:t>
      </w:r>
      <w:r w:rsidR="00F57714">
        <w:t>y</w:t>
      </w:r>
      <w:r w:rsidR="008C5BEC">
        <w:t xml:space="preserve"> konkrétního podniku. </w:t>
      </w:r>
    </w:p>
    <w:p w:rsidR="008C5BEC" w:rsidRDefault="008C5BEC" w:rsidP="00403FB6">
      <w:r>
        <w:lastRenderedPageBreak/>
        <w:t>Teoretická část je rozdělena do čtyř subkapitol, v jejichž rámci budou charakterizovány j</w:t>
      </w:r>
      <w:r w:rsidR="00894DDC">
        <w:t>ednotlivé pojmy související s té</w:t>
      </w:r>
      <w:r>
        <w:t xml:space="preserve">matikou práce. </w:t>
      </w:r>
      <w:r w:rsidR="00FE0BB4">
        <w:t>Nejprve budou p</w:t>
      </w:r>
      <w:r>
        <w:t>ředstaveny účetní subsystémy finančního, náklado</w:t>
      </w:r>
      <w:r w:rsidR="00FE0BB4">
        <w:t>vého a manažerského účetnictví a jejich vzájemné vztahy</w:t>
      </w:r>
      <w:r>
        <w:t xml:space="preserve">. Dále budou charakterizovány </w:t>
      </w:r>
      <w:r w:rsidR="00FD07FE">
        <w:t xml:space="preserve">náklady a jejich </w:t>
      </w:r>
      <w:r>
        <w:t>odlišná pojetí</w:t>
      </w:r>
      <w:r w:rsidR="00FD07FE">
        <w:t xml:space="preserve">. Práce </w:t>
      </w:r>
      <w:r w:rsidR="00A42277">
        <w:t>uvede</w:t>
      </w:r>
      <w:r w:rsidR="003A642B">
        <w:t xml:space="preserve"> </w:t>
      </w:r>
      <w:r w:rsidR="00FD07FE">
        <w:t>různé možnosti</w:t>
      </w:r>
      <w:r w:rsidR="003A642B">
        <w:t xml:space="preserve"> klasifikace</w:t>
      </w:r>
      <w:r w:rsidR="00FD07FE">
        <w:t xml:space="preserve"> nákladů</w:t>
      </w:r>
      <w:r w:rsidR="00894DDC">
        <w:t xml:space="preserve">, </w:t>
      </w:r>
      <w:r w:rsidR="00FD07FE">
        <w:t xml:space="preserve">jež jsou </w:t>
      </w:r>
      <w:r w:rsidR="009F1F5E">
        <w:t xml:space="preserve">nezbytným předpokladem </w:t>
      </w:r>
      <w:r w:rsidR="00A42277">
        <w:t xml:space="preserve">jejich </w:t>
      </w:r>
      <w:r w:rsidR="00FD07FE">
        <w:t>řízení</w:t>
      </w:r>
      <w:r w:rsidR="003A642B">
        <w:t>. Osvětleny budou základní</w:t>
      </w:r>
      <w:r w:rsidR="00FE0BB4">
        <w:t xml:space="preserve"> </w:t>
      </w:r>
      <w:r w:rsidR="003A642B">
        <w:t xml:space="preserve">pojmy související s kalkulacemi, metodami kalkulace a kalkulačním systémem. V poslední subkapitole pak budou představeny kalkulační metody a jejich členění, zároveň budou popsány základní kalkulační metody, tedy </w:t>
      </w:r>
      <w:r w:rsidR="00894DDC">
        <w:t xml:space="preserve">kalkulace </w:t>
      </w:r>
      <w:r w:rsidR="003A642B">
        <w:t xml:space="preserve">přirážková, kalkulace variabilních nákladů a kalkulace dle aktivit, a </w:t>
      </w:r>
      <w:r w:rsidR="00FD07FE">
        <w:t xml:space="preserve">také </w:t>
      </w:r>
      <w:r w:rsidR="00A42277">
        <w:t xml:space="preserve">vybrané </w:t>
      </w:r>
      <w:r w:rsidR="003A642B">
        <w:t xml:space="preserve">speciální kalkulační metody. Závěrem se tato část bude věnovat vztahu mezi nákladovou kalkulací a kalkulací ceny a specifiky kalkulací v podnicích poskytujících služby. </w:t>
      </w:r>
    </w:p>
    <w:p w:rsidR="003A642B" w:rsidRDefault="00A42277" w:rsidP="00403FB6">
      <w:r>
        <w:t>P</w:t>
      </w:r>
      <w:r w:rsidR="00FE0BB4">
        <w:t>raktick</w:t>
      </w:r>
      <w:r>
        <w:t>á</w:t>
      </w:r>
      <w:r w:rsidR="00FE0BB4">
        <w:t xml:space="preserve"> část</w:t>
      </w:r>
      <w:r>
        <w:t xml:space="preserve"> se</w:t>
      </w:r>
      <w:r w:rsidR="00FE0BB4">
        <w:t xml:space="preserve"> bude </w:t>
      </w:r>
      <w:r>
        <w:t>zabývat</w:t>
      </w:r>
      <w:r w:rsidR="00894DDC">
        <w:t xml:space="preserve"> kalkulac</w:t>
      </w:r>
      <w:r>
        <w:t>í</w:t>
      </w:r>
      <w:r w:rsidR="00894DDC">
        <w:t xml:space="preserve"> a kalkulační metod</w:t>
      </w:r>
      <w:r>
        <w:t>ou</w:t>
      </w:r>
      <w:r w:rsidR="00FE0BB4">
        <w:t xml:space="preserve"> vybraného podniku. </w:t>
      </w:r>
      <w:r w:rsidR="00EC2953">
        <w:t>Nejprve bude představen podnik, v němž budeme sledovat kalkulační postupy – tímto podnikem je</w:t>
      </w:r>
      <w:r w:rsidR="00EC2953" w:rsidRPr="00EC2953">
        <w:t xml:space="preserve"> </w:t>
      </w:r>
      <w:r w:rsidR="00EC2953">
        <w:t>výzkumná agentura, tedy společnost poskytující služby průzkumu trhu a veřejného mínění a související marketingová poradenství. Práce uvede základní informace o podniku, jeho založení a historii, dále bude před</w:t>
      </w:r>
      <w:r w:rsidR="009A180E">
        <w:t>staveno portfolio služeb</w:t>
      </w:r>
      <w:r w:rsidR="00EC2953">
        <w:t xml:space="preserve">, vnitřní struktura </w:t>
      </w:r>
      <w:r w:rsidR="009A180E">
        <w:t xml:space="preserve">podniku </w:t>
      </w:r>
      <w:r w:rsidR="00EC2953">
        <w:t xml:space="preserve">a bude také charakterizována organizace informačního systému podniku, jeho účetnictví, rozpočetnictví a kalkulací. V další části se práce bude věnovat nákladům podniku, jež jsou středem zájmu kalkulací. </w:t>
      </w:r>
      <w:r w:rsidR="00C3199E">
        <w:t>Zobrazena bude struktura nákladů z p</w:t>
      </w:r>
      <w:r w:rsidR="00816B1E">
        <w:t>ohledů</w:t>
      </w:r>
      <w:r w:rsidR="00C3199E">
        <w:t xml:space="preserve"> druhového a účelového členění, které </w:t>
      </w:r>
      <w:r w:rsidR="00B144ED">
        <w:t xml:space="preserve">podnik </w:t>
      </w:r>
      <w:r w:rsidR="00C3199E">
        <w:t xml:space="preserve">používá při řízení. </w:t>
      </w:r>
      <w:r w:rsidR="00B144ED">
        <w:br/>
      </w:r>
      <w:r w:rsidR="00C3199E">
        <w:t>Ve třetí subkapitol</w:t>
      </w:r>
      <w:r>
        <w:t>e praktické části pak mohou být uvedeny</w:t>
      </w:r>
      <w:r w:rsidR="00C3199E">
        <w:t xml:space="preserve"> kalkulace podniku a jeho kalkulační vzorec. Práce se bude zabývat otázkou, jakým způsobem přiřazuje podnik náklady svým výkonům. Zároveň bude prezentován příklad kalkulace nákladů a ceny typové zakázky. Závěr této kapitoly bude věnován vyhodnocení uvedené kalkulační metody, pozornost bude </w:t>
      </w:r>
      <w:r>
        <w:t>soustředěna i na</w:t>
      </w:r>
      <w:r w:rsidR="00C3199E">
        <w:t xml:space="preserve"> klad</w:t>
      </w:r>
      <w:r>
        <w:t>y</w:t>
      </w:r>
      <w:r w:rsidR="007A24DF">
        <w:t xml:space="preserve"> a</w:t>
      </w:r>
      <w:r w:rsidR="00C3199E">
        <w:t xml:space="preserve"> zápor</w:t>
      </w:r>
      <w:r>
        <w:t>y</w:t>
      </w:r>
      <w:r w:rsidR="00C3199E">
        <w:t xml:space="preserve"> zvolené kalkulační techniky</w:t>
      </w:r>
      <w:r w:rsidR="00816B1E">
        <w:t xml:space="preserve"> a</w:t>
      </w:r>
      <w:r w:rsidR="00492035">
        <w:t xml:space="preserve"> na kalkulační systém podniku</w:t>
      </w:r>
      <w:r w:rsidR="00C3199E">
        <w:t xml:space="preserve">. </w:t>
      </w:r>
    </w:p>
    <w:p w:rsidR="00FD07FE" w:rsidRDefault="00FD07FE" w:rsidP="00305E02"/>
    <w:p w:rsidR="00CD6A5A" w:rsidRDefault="00CD6A5A" w:rsidP="00717891">
      <w:pPr>
        <w:pStyle w:val="Nadpis1"/>
        <w:pageBreakBefore/>
        <w:ind w:left="357" w:hanging="357"/>
      </w:pPr>
      <w:bookmarkStart w:id="1" w:name="_Toc302476192"/>
      <w:r>
        <w:lastRenderedPageBreak/>
        <w:t>Kalkulace a kalkulační metody</w:t>
      </w:r>
      <w:bookmarkEnd w:id="1"/>
      <w:r>
        <w:t xml:space="preserve"> </w:t>
      </w:r>
    </w:p>
    <w:p w:rsidR="00CD6A5A" w:rsidRDefault="00CD6A5A" w:rsidP="0014355A"/>
    <w:p w:rsidR="00CD6A5A" w:rsidRDefault="00CD6A5A" w:rsidP="00CD6A5A">
      <w:pPr>
        <w:pStyle w:val="Nadpis2"/>
        <w:ind w:left="578" w:hanging="578"/>
      </w:pPr>
      <w:bookmarkStart w:id="2" w:name="_Toc302476193"/>
      <w:r>
        <w:t>Vztah finančního a manažerského účetnictví</w:t>
      </w:r>
      <w:bookmarkEnd w:id="2"/>
      <w:r>
        <w:t xml:space="preserve"> </w:t>
      </w:r>
    </w:p>
    <w:p w:rsidR="006D4C2E" w:rsidRPr="006D4C2E" w:rsidRDefault="007F34FA" w:rsidP="006D4C2E">
      <w:pPr>
        <w:pStyle w:val="Nadpis3"/>
      </w:pPr>
      <w:bookmarkStart w:id="3" w:name="_Toc302476194"/>
      <w:r>
        <w:t>Účetnictví a jeho subsystémy</w:t>
      </w:r>
      <w:bookmarkEnd w:id="3"/>
      <w:r>
        <w:t xml:space="preserve"> </w:t>
      </w:r>
    </w:p>
    <w:p w:rsidR="00CD6A5A" w:rsidRDefault="00E2220B" w:rsidP="00CD6A5A">
      <w:r w:rsidRPr="00577241">
        <w:rPr>
          <w:b/>
        </w:rPr>
        <w:t>Účetnictví</w:t>
      </w:r>
      <w:r>
        <w:t xml:space="preserve"> představuje </w:t>
      </w:r>
      <w:r w:rsidR="00B85ED4">
        <w:t>„</w:t>
      </w:r>
      <w:r w:rsidRPr="00B85ED4">
        <w:rPr>
          <w:i/>
        </w:rPr>
        <w:t>uspořádaný systém inf</w:t>
      </w:r>
      <w:r w:rsidR="001D262C" w:rsidRPr="00B85ED4">
        <w:rPr>
          <w:i/>
        </w:rPr>
        <w:t>ormací, který v peněžním vyjádření zobrazuje hodnotovou stránku podnikatelského procesu</w:t>
      </w:r>
      <w:r w:rsidR="00B85ED4">
        <w:t>“</w:t>
      </w:r>
      <w:r w:rsidR="006D59F0">
        <w:t xml:space="preserve"> (Fibírová, Š</w:t>
      </w:r>
      <w:r w:rsidR="001D262C">
        <w:t>oljaková</w:t>
      </w:r>
      <w:r w:rsidR="006D59F0">
        <w:t>, Wagner</w:t>
      </w:r>
      <w:r w:rsidR="001D262C">
        <w:t xml:space="preserve"> 2007, s. 14). </w:t>
      </w:r>
      <w:r w:rsidR="00011DFF">
        <w:t>Poskytuje info</w:t>
      </w:r>
      <w:r w:rsidR="00B206B5">
        <w:t>r</w:t>
      </w:r>
      <w:r w:rsidR="00011DFF">
        <w:t xml:space="preserve">mace o finanční pozici </w:t>
      </w:r>
      <w:r w:rsidR="00B85ED4">
        <w:t xml:space="preserve">podniku </w:t>
      </w:r>
      <w:r w:rsidR="00011DFF">
        <w:t>a jejích změnách a informace o výkonnosti</w:t>
      </w:r>
      <w:r w:rsidR="00B85ED4">
        <w:t xml:space="preserve"> podniku</w:t>
      </w:r>
      <w:r w:rsidR="00011DFF">
        <w:t xml:space="preserve">, přičemž </w:t>
      </w:r>
      <w:r w:rsidR="00B85ED4">
        <w:t xml:space="preserve">obsah a </w:t>
      </w:r>
      <w:r w:rsidR="00011DFF">
        <w:t xml:space="preserve">podoba těchto informací závisí </w:t>
      </w:r>
      <w:r w:rsidR="00B206B5">
        <w:br/>
      </w:r>
      <w:r w:rsidR="00011DFF">
        <w:t xml:space="preserve">na tom, kdo je jejich uživatelem a jaké rozhodovací úlohy řeší. </w:t>
      </w:r>
      <w:r w:rsidR="00577241">
        <w:t>Z tohoto důvodu se v</w:t>
      </w:r>
      <w:r w:rsidR="00B85ED4">
        <w:t xml:space="preserve"> minulém století </w:t>
      </w:r>
      <w:r w:rsidR="00577241">
        <w:t xml:space="preserve">účetní zobrazení podnikatelského procesu </w:t>
      </w:r>
      <w:r w:rsidR="00B85ED4">
        <w:t>diferencovalo na finanční účetnictví vede</w:t>
      </w:r>
      <w:r w:rsidR="00301D2A">
        <w:t xml:space="preserve">né </w:t>
      </w:r>
      <w:r w:rsidR="009E75C8">
        <w:t xml:space="preserve">především </w:t>
      </w:r>
      <w:r w:rsidR="00301D2A">
        <w:t xml:space="preserve">pro externí uživatele </w:t>
      </w:r>
      <w:r w:rsidR="00B85ED4">
        <w:t xml:space="preserve">a na manažerské účetnictví vedené </w:t>
      </w:r>
      <w:r w:rsidR="00301D2A">
        <w:t>pro interní uživatele. Specifi</w:t>
      </w:r>
      <w:r w:rsidR="00A87B12">
        <w:t xml:space="preserve">ckým externím uživatelem je </w:t>
      </w:r>
      <w:r w:rsidR="00B206B5">
        <w:t>stát –</w:t>
      </w:r>
      <w:r w:rsidR="00301D2A">
        <w:t xml:space="preserve"> </w:t>
      </w:r>
      <w:r w:rsidR="009E75C8">
        <w:t xml:space="preserve">pro </w:t>
      </w:r>
      <w:r w:rsidR="00A87B12">
        <w:t xml:space="preserve">splnění daňové povinnosti </w:t>
      </w:r>
      <w:r w:rsidR="009E75C8">
        <w:t xml:space="preserve">vůči němu </w:t>
      </w:r>
      <w:r w:rsidR="00A87B12">
        <w:t xml:space="preserve">slouží </w:t>
      </w:r>
      <w:r w:rsidR="00301D2A">
        <w:t>da</w:t>
      </w:r>
      <w:r w:rsidR="00A87B12">
        <w:t xml:space="preserve">ňové účetnictví. </w:t>
      </w:r>
    </w:p>
    <w:p w:rsidR="00B85ED4" w:rsidRDefault="008A695F" w:rsidP="008A695F">
      <w:r>
        <w:t xml:space="preserve">Úkolem </w:t>
      </w:r>
      <w:r w:rsidRPr="008A695F">
        <w:rPr>
          <w:b/>
        </w:rPr>
        <w:t>finančního účetnictví</w:t>
      </w:r>
      <w:r>
        <w:t xml:space="preserve"> je poskytovat věrohodné informace o finanční situaci a hospodaření podniku, tzn. o majetku, závazcích, nákladech, výnosech a výsledku hospodaření. Na základě informací finančního účetnictví jsou sestavovány a </w:t>
      </w:r>
      <w:r w:rsidR="002B5EC8">
        <w:t xml:space="preserve">jednou </w:t>
      </w:r>
      <w:r>
        <w:t xml:space="preserve">ročně prezentovány finanční výkazy – rozvaha (zobrazující finanční pozici), výsledovka (zobrazující výkonnost) a výkaz peněžních toků (poskytující informace o změnách finanční pozice). </w:t>
      </w:r>
      <w:r w:rsidR="003128EE">
        <w:t>Jednotně strukturované v</w:t>
      </w:r>
      <w:r w:rsidR="002B5EC8">
        <w:t xml:space="preserve">ýstupy finančního účetnictví umožňují srovnání hospodaření podniku v čase </w:t>
      </w:r>
      <w:r w:rsidR="00B206B5">
        <w:t>i</w:t>
      </w:r>
      <w:r w:rsidR="002B5EC8">
        <w:t xml:space="preserve"> srovnání </w:t>
      </w:r>
      <w:r w:rsidR="006352A6">
        <w:t>s dalšími</w:t>
      </w:r>
      <w:r w:rsidR="002B5EC8">
        <w:t xml:space="preserve"> podniky</w:t>
      </w:r>
      <w:r w:rsidR="00051061">
        <w:t xml:space="preserve">, </w:t>
      </w:r>
      <w:r w:rsidR="006352A6">
        <w:t xml:space="preserve">přičemž pro zajištění srovnatelnosti musí </w:t>
      </w:r>
      <w:r w:rsidR="00C1409A">
        <w:t>organizace</w:t>
      </w:r>
      <w:r w:rsidR="006352A6">
        <w:t xml:space="preserve"> dodržovat daná </w:t>
      </w:r>
      <w:r w:rsidR="00051061">
        <w:t>pravidla a zásady finančního účetnictví. Finanční účetnictví je na rozdíl od</w:t>
      </w:r>
      <w:r>
        <w:t xml:space="preserve"> manažerského účetnictví </w:t>
      </w:r>
      <w:r w:rsidR="00E956A6">
        <w:t>orient</w:t>
      </w:r>
      <w:r w:rsidR="00051061">
        <w:t>ováno především</w:t>
      </w:r>
      <w:r w:rsidR="00E956A6">
        <w:t xml:space="preserve"> </w:t>
      </w:r>
      <w:r w:rsidR="00C1409A">
        <w:br/>
      </w:r>
      <w:r w:rsidR="00E956A6">
        <w:t>na minulost</w:t>
      </w:r>
      <w:r w:rsidR="006352A6">
        <w:t xml:space="preserve"> a</w:t>
      </w:r>
      <w:r w:rsidR="00E956A6">
        <w:t xml:space="preserve"> zabývá </w:t>
      </w:r>
      <w:r w:rsidR="006352A6">
        <w:t xml:space="preserve">se </w:t>
      </w:r>
      <w:r w:rsidR="00E956A6">
        <w:t xml:space="preserve">především </w:t>
      </w:r>
      <w:r w:rsidR="00B059AB">
        <w:t>externí</w:t>
      </w:r>
      <w:r w:rsidR="00E956A6">
        <w:t>mi vztahy podniku</w:t>
      </w:r>
      <w:r w:rsidR="00051061">
        <w:t xml:space="preserve">. </w:t>
      </w:r>
    </w:p>
    <w:p w:rsidR="008A695F" w:rsidRDefault="00FE6273" w:rsidP="00CD6A5A">
      <w:r w:rsidRPr="003571E2">
        <w:rPr>
          <w:b/>
        </w:rPr>
        <w:t>Daňové účetnictví</w:t>
      </w:r>
      <w:r>
        <w:t xml:space="preserve"> zobrazuje podnikatelský proces s ohledem na zjištění základu daně z příjmů. </w:t>
      </w:r>
      <w:r w:rsidR="003571E2">
        <w:t>Výsledek hospodaření</w:t>
      </w:r>
      <w:r>
        <w:t xml:space="preserve"> </w:t>
      </w:r>
      <w:r w:rsidR="003571E2">
        <w:t xml:space="preserve">z finančního účetnictví </w:t>
      </w:r>
      <w:r>
        <w:t xml:space="preserve">se na daňový </w:t>
      </w:r>
      <w:r w:rsidR="003571E2">
        <w:t>základ zpravidla transformuje výběrem z dostupných účetních informací a</w:t>
      </w:r>
      <w:r w:rsidR="009E75C8">
        <w:t xml:space="preserve"> dále</w:t>
      </w:r>
      <w:r w:rsidR="003571E2">
        <w:t xml:space="preserve"> z mimoúčetní evidence (Král 2006, s. 101)</w:t>
      </w:r>
      <w:r w:rsidR="009C12BB">
        <w:t xml:space="preserve">. </w:t>
      </w:r>
    </w:p>
    <w:p w:rsidR="00346284" w:rsidRDefault="00FE6A58" w:rsidP="00346284">
      <w:r>
        <w:lastRenderedPageBreak/>
        <w:t>Hlavní rolí</w:t>
      </w:r>
      <w:r w:rsidR="00A810D1">
        <w:t xml:space="preserve"> </w:t>
      </w:r>
      <w:r w:rsidR="00800355" w:rsidRPr="00A810D1">
        <w:rPr>
          <w:b/>
        </w:rPr>
        <w:t>manažerského účetnictví</w:t>
      </w:r>
      <w:r w:rsidR="00800355">
        <w:t xml:space="preserve"> </w:t>
      </w:r>
      <w:r w:rsidR="00A810D1">
        <w:t>je</w:t>
      </w:r>
      <w:r w:rsidR="00800355">
        <w:t xml:space="preserve"> „</w:t>
      </w:r>
      <w:r w:rsidR="00800355" w:rsidRPr="00BD6C55">
        <w:rPr>
          <w:i/>
        </w:rPr>
        <w:t>zjišťování, třídění, analýz</w:t>
      </w:r>
      <w:r w:rsidR="00A810D1">
        <w:rPr>
          <w:i/>
        </w:rPr>
        <w:t>a</w:t>
      </w:r>
      <w:r w:rsidR="00800355" w:rsidRPr="00BD6C55">
        <w:rPr>
          <w:i/>
        </w:rPr>
        <w:t xml:space="preserve"> a prezentac</w:t>
      </w:r>
      <w:r w:rsidR="00A810D1">
        <w:rPr>
          <w:i/>
        </w:rPr>
        <w:t>e</w:t>
      </w:r>
      <w:r w:rsidR="00800355" w:rsidRPr="00BD6C55">
        <w:rPr>
          <w:i/>
        </w:rPr>
        <w:t xml:space="preserve"> informací</w:t>
      </w:r>
      <w:r w:rsidR="00BD6C55" w:rsidRPr="00BD6C55">
        <w:rPr>
          <w:i/>
        </w:rPr>
        <w:t>, a to takovým způsobem, který umožní řídícím pracovníkům cílevědomě ovládat podnikatelskou činnost</w:t>
      </w:r>
      <w:r w:rsidR="00BD6C55">
        <w:t>“ (</w:t>
      </w:r>
      <w:r w:rsidR="006D59F0">
        <w:t>Fibírová, Šoljaková, Wagner 2007</w:t>
      </w:r>
      <w:r w:rsidR="00BD6C55">
        <w:t xml:space="preserve">, s. 25). </w:t>
      </w:r>
      <w:r w:rsidR="00A810D1">
        <w:t xml:space="preserve">Slouží tak strategickému, taktickému i operativnímu řízení podniku. </w:t>
      </w:r>
      <w:r w:rsidR="00674590">
        <w:t>Jeho podobu ovlivňují požadavky řídících pracovníků</w:t>
      </w:r>
      <w:r w:rsidR="006D4D70">
        <w:t xml:space="preserve">. </w:t>
      </w:r>
    </w:p>
    <w:p w:rsidR="0060018F" w:rsidRDefault="00E83C12" w:rsidP="0060018F">
      <w:pPr>
        <w:spacing w:after="0"/>
      </w:pPr>
      <w:r>
        <w:t xml:space="preserve">Král uvádí vývoj manažerského účetnictví v jednotlivých fázích </w:t>
      </w:r>
      <w:r w:rsidR="00346284">
        <w:t xml:space="preserve">od </w:t>
      </w:r>
      <w:r>
        <w:t xml:space="preserve">účetnictví nákladového k účetnictví pro rozhodování. </w:t>
      </w:r>
      <w:r w:rsidR="0066563F">
        <w:t xml:space="preserve">Základní částí manažerského účetnictví je </w:t>
      </w:r>
      <w:r w:rsidR="0066563F" w:rsidRPr="0066563F">
        <w:rPr>
          <w:b/>
        </w:rPr>
        <w:t>nákladové účetnictví</w:t>
      </w:r>
      <w:r w:rsidR="0066563F">
        <w:t xml:space="preserve">, jež přináší informace pro řízení podnikatelského procesu, </w:t>
      </w:r>
      <w:r w:rsidR="00B206B5">
        <w:br/>
      </w:r>
      <w:r w:rsidR="0066563F">
        <w:t>o jehož parametrech bylo</w:t>
      </w:r>
      <w:r>
        <w:t xml:space="preserve"> v zásadě</w:t>
      </w:r>
      <w:r w:rsidR="0066563F">
        <w:t xml:space="preserve"> již rozhodnuto. </w:t>
      </w:r>
      <w:r>
        <w:t xml:space="preserve">Vznikalo se zaměřením na zjištění skutečně vynaložených nákladů a realizovaných výnosů, a to </w:t>
      </w:r>
      <w:r w:rsidR="00127145">
        <w:t xml:space="preserve">nejprve </w:t>
      </w:r>
      <w:r>
        <w:t xml:space="preserve">dle jejich vztahu </w:t>
      </w:r>
      <w:r w:rsidR="00127145">
        <w:br/>
      </w:r>
      <w:r>
        <w:t>k finálním výkonům, později i k odpovědným útvarům a dílčím procesům. To umožnilo v další fázi p</w:t>
      </w:r>
      <w:r w:rsidR="00346284">
        <w:t>orovnat skutečné náklady s plánovaným</w:t>
      </w:r>
      <w:r w:rsidR="00827630">
        <w:t xml:space="preserve"> stavem a získat tak podklady </w:t>
      </w:r>
      <w:r w:rsidR="006B31AB">
        <w:t>p</w:t>
      </w:r>
      <w:r w:rsidR="00827630">
        <w:t>ro řízení pomocí odchylek. Nákladové účetnictví je tedy spjaté především s operativním řízením v</w:t>
      </w:r>
      <w:r w:rsidR="00FE6A58">
        <w:t xml:space="preserve"> návaznosti na řízení taktické. Dle obsahové orientace </w:t>
      </w:r>
      <w:r w:rsidR="00827630">
        <w:t xml:space="preserve">se člení </w:t>
      </w:r>
      <w:r w:rsidR="00FE6A58">
        <w:t>na</w:t>
      </w:r>
      <w:r w:rsidR="0060018F">
        <w:t xml:space="preserve">: </w:t>
      </w:r>
    </w:p>
    <w:p w:rsidR="0060018F" w:rsidRPr="0060018F" w:rsidRDefault="00FE6A58" w:rsidP="005855A6">
      <w:pPr>
        <w:pStyle w:val="Odstavecseseznamem"/>
        <w:numPr>
          <w:ilvl w:val="0"/>
          <w:numId w:val="9"/>
        </w:numPr>
        <w:spacing w:line="360" w:lineRule="auto"/>
        <w:ind w:left="357" w:hanging="357"/>
      </w:pPr>
      <w:r w:rsidRPr="0060018F">
        <w:t xml:space="preserve">výkonově orientované účetnictví, jež </w:t>
      </w:r>
      <w:r w:rsidR="00827630" w:rsidRPr="0060018F">
        <w:t xml:space="preserve">za pomoci kalkulací výkonů </w:t>
      </w:r>
      <w:r w:rsidRPr="0060018F">
        <w:t xml:space="preserve">zjišťuje náklady, výnosy, marži a zisk </w:t>
      </w:r>
      <w:r w:rsidR="00C8611A" w:rsidRPr="0060018F">
        <w:t xml:space="preserve">dílčích a finálních </w:t>
      </w:r>
      <w:r w:rsidRPr="0060018F">
        <w:t xml:space="preserve">produktů; </w:t>
      </w:r>
    </w:p>
    <w:p w:rsidR="0060018F" w:rsidRPr="0060018F" w:rsidRDefault="00FE6A58" w:rsidP="005855A6">
      <w:pPr>
        <w:pStyle w:val="Odstavecseseznamem"/>
        <w:numPr>
          <w:ilvl w:val="0"/>
          <w:numId w:val="9"/>
        </w:numPr>
        <w:spacing w:line="360" w:lineRule="auto"/>
        <w:ind w:left="357" w:hanging="357"/>
      </w:pPr>
      <w:r w:rsidRPr="0060018F">
        <w:t>odpovědnostní účetnictví, které člení náklady a výnosy podle odpovědnosti jednotlivých útvarů a je tedy provázáno s rozpočty a vnitropodnikovými cenami</w:t>
      </w:r>
      <w:r w:rsidR="00D25E62" w:rsidRPr="0060018F">
        <w:t>;</w:t>
      </w:r>
      <w:r w:rsidRPr="0060018F">
        <w:t xml:space="preserve"> </w:t>
      </w:r>
    </w:p>
    <w:p w:rsidR="00C8611A" w:rsidRPr="0060018F" w:rsidRDefault="00346284" w:rsidP="005855A6">
      <w:pPr>
        <w:pStyle w:val="Odstavecseseznamem"/>
        <w:numPr>
          <w:ilvl w:val="0"/>
          <w:numId w:val="9"/>
        </w:numPr>
        <w:spacing w:line="360" w:lineRule="auto"/>
        <w:ind w:left="357" w:hanging="357"/>
      </w:pPr>
      <w:r w:rsidRPr="0060018F">
        <w:t>procesní nákladové účetnictví, jež p</w:t>
      </w:r>
      <w:r w:rsidR="009E75C8" w:rsidRPr="0060018F">
        <w:t>oskytuje</w:t>
      </w:r>
      <w:r w:rsidRPr="0060018F">
        <w:t xml:space="preserve"> podklady pro řízení podnikového procesu. </w:t>
      </w:r>
    </w:p>
    <w:p w:rsidR="00DD5CB9" w:rsidRDefault="00E501E1" w:rsidP="00DD5CB9">
      <w:r>
        <w:t>Další</w:t>
      </w:r>
      <w:r w:rsidR="00C8611A">
        <w:t xml:space="preserve"> fází vývoje manažerského účetnictví je </w:t>
      </w:r>
      <w:r w:rsidR="00C8611A" w:rsidRPr="00C8611A">
        <w:rPr>
          <w:b/>
        </w:rPr>
        <w:t>účetnictví pro rozhodování</w:t>
      </w:r>
      <w:r w:rsidR="00C8611A">
        <w:t xml:space="preserve">. Dosavadní </w:t>
      </w:r>
      <w:r w:rsidR="00F41D4A">
        <w:t>podklady</w:t>
      </w:r>
      <w:r w:rsidR="00C8611A">
        <w:t xml:space="preserve"> finančního a nákladového účetnictví doplňuje o informace </w:t>
      </w:r>
      <w:r w:rsidR="00674590">
        <w:t>z dalších subsystém</w:t>
      </w:r>
      <w:r w:rsidR="006D4D70">
        <w:t>ů informačního systému podniku i</w:t>
      </w:r>
      <w:r w:rsidR="00674590">
        <w:t xml:space="preserve"> z jeho okolí s cílem umožnit</w:t>
      </w:r>
      <w:r w:rsidR="00C8611A">
        <w:t xml:space="preserve"> vyhodnocov</w:t>
      </w:r>
      <w:r w:rsidR="00674590">
        <w:t>ání různých variant</w:t>
      </w:r>
      <w:r w:rsidR="00C8611A">
        <w:t xml:space="preserve"> budoucího rozvoje podniku. </w:t>
      </w:r>
      <w:r w:rsidR="006D4D70">
        <w:t>Připravuje informační základnu především pro roz</w:t>
      </w:r>
      <w:r w:rsidR="00B206B5">
        <w:t xml:space="preserve">hodování na základě existující </w:t>
      </w:r>
      <w:r w:rsidR="006D4D70">
        <w:t xml:space="preserve">nebo budoucí kapacity. </w:t>
      </w:r>
      <w:r w:rsidR="006D59F0">
        <w:t xml:space="preserve">V této fázi tak dochází k přerůstání </w:t>
      </w:r>
      <w:r w:rsidR="009E75C8">
        <w:t xml:space="preserve">účetnictví </w:t>
      </w:r>
      <w:r w:rsidR="006D59F0">
        <w:t xml:space="preserve">nákladového v manažerské (Král 2006, </w:t>
      </w:r>
      <w:r w:rsidR="00B206B5">
        <w:br/>
      </w:r>
      <w:r w:rsidR="006D59F0">
        <w:t xml:space="preserve">s. 21-23). </w:t>
      </w:r>
    </w:p>
    <w:p w:rsidR="007F34FA" w:rsidRPr="006D4C2E" w:rsidRDefault="007F34FA" w:rsidP="00AD39AE">
      <w:pPr>
        <w:pStyle w:val="Nadpis3"/>
        <w:spacing w:before="720"/>
      </w:pPr>
      <w:bookmarkStart w:id="4" w:name="_Toc302476195"/>
      <w:r>
        <w:lastRenderedPageBreak/>
        <w:t>Organizace finančního a manažerského účetnictví</w:t>
      </w:r>
      <w:bookmarkEnd w:id="4"/>
      <w:r>
        <w:t xml:space="preserve"> </w:t>
      </w:r>
    </w:p>
    <w:p w:rsidR="006B31AB" w:rsidRDefault="00C72D04" w:rsidP="00CD6A5A">
      <w:r>
        <w:t xml:space="preserve">K zajištění informací </w:t>
      </w:r>
      <w:r w:rsidR="007B67F6">
        <w:t>pro interní a externí uživatele</w:t>
      </w:r>
      <w:r>
        <w:t xml:space="preserve"> </w:t>
      </w:r>
      <w:r w:rsidR="009A7036">
        <w:t xml:space="preserve">vedou dvě odlišné koncepce – </w:t>
      </w:r>
      <w:r w:rsidR="009A7036" w:rsidRPr="006F0271">
        <w:rPr>
          <w:b/>
        </w:rPr>
        <w:t>dvouokruhová a jednookruhová soustava účetnictví</w:t>
      </w:r>
      <w:r w:rsidR="009A7036">
        <w:t xml:space="preserve">, v praxi se </w:t>
      </w:r>
      <w:r w:rsidR="004363D5">
        <w:t xml:space="preserve">přitom zpravidla používá </w:t>
      </w:r>
      <w:r w:rsidR="009A7036">
        <w:t>vhodná kombinace</w:t>
      </w:r>
      <w:r w:rsidR="004363D5">
        <w:t xml:space="preserve"> obou přístupů</w:t>
      </w:r>
      <w:r w:rsidR="009A7036">
        <w:t xml:space="preserve">. Dvouokruhová </w:t>
      </w:r>
      <w:r w:rsidR="004363D5">
        <w:t>soustava</w:t>
      </w:r>
      <w:r w:rsidR="009A7036">
        <w:t xml:space="preserve"> </w:t>
      </w:r>
      <w:r w:rsidR="004363D5">
        <w:t xml:space="preserve">představuje dva samostatné okruhy finančního a nákladového účetnictví, mezi nimiž je zajištěna vazba prostřednictvím spojovacích účtů a účtů rozdílů. Jednookruhová soustava </w:t>
      </w:r>
      <w:r w:rsidR="008B1D22">
        <w:t xml:space="preserve">zajišťuje potřeby obou skupin uživatelů za pomoci analytické evidence aktiv, pasiv, nákladů a výnosů odlišující účty věcně, podle útvarů, výkonů apod. </w:t>
      </w:r>
      <w:r w:rsidR="00FF6AD1">
        <w:t xml:space="preserve">Za výhodnější je označována dvouokruhová </w:t>
      </w:r>
      <w:r w:rsidR="00AF24FD">
        <w:t>soustava o</w:t>
      </w:r>
      <w:r w:rsidR="00FB4814">
        <w:t xml:space="preserve">rganizace účetnictví, která také </w:t>
      </w:r>
      <w:r w:rsidR="00AF24FD">
        <w:t>převládá</w:t>
      </w:r>
      <w:r w:rsidR="008E3E84" w:rsidRPr="008E3E84">
        <w:t xml:space="preserve"> </w:t>
      </w:r>
      <w:r w:rsidR="008E3E84">
        <w:t>v českých podnicích s rozsáhlejším účetnictvím</w:t>
      </w:r>
      <w:r w:rsidR="00AF24FD">
        <w:t xml:space="preserve">. </w:t>
      </w:r>
    </w:p>
    <w:p w:rsidR="00AD39AE" w:rsidRDefault="00AD39AE" w:rsidP="00CD6A5A"/>
    <w:p w:rsidR="00CD6A5A" w:rsidRDefault="00CD6A5A" w:rsidP="00CD6A5A">
      <w:pPr>
        <w:pStyle w:val="Nadpis2"/>
        <w:ind w:left="578" w:hanging="578"/>
      </w:pPr>
      <w:bookmarkStart w:id="5" w:name="_Toc302476196"/>
      <w:r>
        <w:t>Náklady v manažerském účetnictví</w:t>
      </w:r>
      <w:bookmarkEnd w:id="5"/>
      <w:r>
        <w:t xml:space="preserve"> </w:t>
      </w:r>
    </w:p>
    <w:p w:rsidR="006D4C2E" w:rsidRPr="006D4C2E" w:rsidRDefault="006D4C2E" w:rsidP="006D4C2E">
      <w:pPr>
        <w:pStyle w:val="Nadpis3"/>
      </w:pPr>
      <w:bookmarkStart w:id="6" w:name="_Toc302476197"/>
      <w:r>
        <w:t>Poje</w:t>
      </w:r>
      <w:r w:rsidR="0026647C">
        <w:t>tí</w:t>
      </w:r>
      <w:r>
        <w:t xml:space="preserve"> nákladů</w:t>
      </w:r>
      <w:bookmarkEnd w:id="6"/>
      <w:r>
        <w:t xml:space="preserve"> </w:t>
      </w:r>
    </w:p>
    <w:p w:rsidR="0062134E" w:rsidRDefault="0062134E" w:rsidP="0062134E">
      <w:r>
        <w:t xml:space="preserve">Pro řízení podnikatelského procesu i rozhodování o budoucích variantách jsou klíčové náklady, je tedy zřejmé, že manažerské účetnictví se jimi zabývá intenzivněji než jiné účetní subsystémy. Z tohoto důvodu je také pojem nákladů chápán </w:t>
      </w:r>
      <w:r w:rsidR="00E51DC6">
        <w:t xml:space="preserve">v subsystémech finančního a manažerského účetnictví </w:t>
      </w:r>
      <w:r w:rsidR="004304B5">
        <w:t>odlišně</w:t>
      </w:r>
      <w:r>
        <w:t xml:space="preserve">. </w:t>
      </w:r>
    </w:p>
    <w:p w:rsidR="0000299A" w:rsidRDefault="0062134E" w:rsidP="0062134E">
      <w:r>
        <w:t xml:space="preserve">Ve finančním účetnictví představují náklady </w:t>
      </w:r>
      <w:r w:rsidR="004304B5">
        <w:t xml:space="preserve">úbytek ekonomického prospěchu vedoucí ve sledovaném období ke snížení vlastního kapitálu. Šoljaková uvádí rozdílná pojetí nákladů, přičemž jejich </w:t>
      </w:r>
      <w:r w:rsidR="004304B5" w:rsidRPr="009A49D0">
        <w:rPr>
          <w:b/>
        </w:rPr>
        <w:t>finanční pojetí</w:t>
      </w:r>
      <w:r w:rsidR="004304B5">
        <w:t xml:space="preserve"> vyjadřuje skutečně spotřebované ekonomické zdroje související s reálným </w:t>
      </w:r>
      <w:r w:rsidR="00457B97">
        <w:t>výdejem</w:t>
      </w:r>
      <w:r w:rsidR="004304B5">
        <w:t xml:space="preserve"> peněz </w:t>
      </w:r>
      <w:r w:rsidR="00F05E84">
        <w:t>vycház</w:t>
      </w:r>
      <w:r w:rsidR="009A06AC">
        <w:t>ejíc</w:t>
      </w:r>
      <w:r w:rsidR="00F05E84">
        <w:t xml:space="preserve">í z ocenění ve skutečných pořizovacích cenách (Šoljaková 2009, s. 39). </w:t>
      </w:r>
    </w:p>
    <w:p w:rsidR="0062134E" w:rsidRDefault="00F05E84" w:rsidP="0062134E">
      <w:r w:rsidRPr="00B03976">
        <w:rPr>
          <w:b/>
        </w:rPr>
        <w:t>Hodnotové pojetí nákladů</w:t>
      </w:r>
      <w:r>
        <w:t xml:space="preserve"> oproti tomu představuje reáln</w:t>
      </w:r>
      <w:r w:rsidR="00457B97">
        <w:t xml:space="preserve">ě vynaložené ekonomické zdroje za podmínek existujících </w:t>
      </w:r>
      <w:r w:rsidR="00FC3933">
        <w:t>v čase</w:t>
      </w:r>
      <w:r>
        <w:t>, kdy došlo k uskutečnění činnosti</w:t>
      </w:r>
      <w:r w:rsidR="00FC3933">
        <w:t xml:space="preserve">. </w:t>
      </w:r>
      <w:r>
        <w:t>Definovat je lze jako „</w:t>
      </w:r>
      <w:r w:rsidR="0000299A" w:rsidRPr="0000299A">
        <w:rPr>
          <w:i/>
        </w:rPr>
        <w:t>hodnotově vyjádřené, účelné vynaložení ekonomických zdrojů</w:t>
      </w:r>
      <w:r w:rsidR="009A49D0">
        <w:rPr>
          <w:i/>
        </w:rPr>
        <w:t xml:space="preserve"> podniku</w:t>
      </w:r>
      <w:r w:rsidR="0000299A" w:rsidRPr="0000299A">
        <w:rPr>
          <w:i/>
        </w:rPr>
        <w:t>, účelově související s ekonomickou činností</w:t>
      </w:r>
      <w:r w:rsidR="0000299A">
        <w:t>“ (Král 2006, s. 44), přičemž účelnost je posuzována jako</w:t>
      </w:r>
      <w:r>
        <w:t xml:space="preserve"> racionalit</w:t>
      </w:r>
      <w:r w:rsidR="0000299A">
        <w:t>a nákladů a jejich přiměřenost</w:t>
      </w:r>
      <w:r>
        <w:t xml:space="preserve"> výsledku činnosti,</w:t>
      </w:r>
      <w:r w:rsidR="0000299A">
        <w:t xml:space="preserve"> a účelový</w:t>
      </w:r>
      <w:r>
        <w:t xml:space="preserve"> charakter </w:t>
      </w:r>
      <w:r w:rsidR="0000299A">
        <w:t>jako jejich zhodnocení ve vztahu k výkonům. S takto chápanými náklady pa</w:t>
      </w:r>
      <w:r w:rsidR="00FC3933">
        <w:t xml:space="preserve">k </w:t>
      </w:r>
      <w:r w:rsidR="00FC3933">
        <w:lastRenderedPageBreak/>
        <w:t xml:space="preserve">pracuje nákladové účetnictví. </w:t>
      </w:r>
      <w:r w:rsidR="00D21983">
        <w:t xml:space="preserve">Od finančního pojetí se odlišuje </w:t>
      </w:r>
      <w:r w:rsidR="00457B97">
        <w:t>způsobem ocenění</w:t>
      </w:r>
      <w:r w:rsidR="00D21983">
        <w:t xml:space="preserve"> zdrojů, neboť pracuje</w:t>
      </w:r>
      <w:r w:rsidR="000E10F4">
        <w:t xml:space="preserve"> s reprodukční pořizovací cenou;</w:t>
      </w:r>
      <w:r w:rsidR="00D21983">
        <w:t xml:space="preserve"> širším pojetím zdrojů jako takových, neboť zahrnuje i nepeněžně vynaložené zdroje (kalkulační náklady)</w:t>
      </w:r>
      <w:r w:rsidR="000E10F4">
        <w:t>;</w:t>
      </w:r>
      <w:r w:rsidR="00D21983">
        <w:t xml:space="preserve"> a </w:t>
      </w:r>
      <w:r w:rsidR="00534D72">
        <w:br/>
        <w:t xml:space="preserve">s </w:t>
      </w:r>
      <w:r w:rsidR="00D21983">
        <w:t xml:space="preserve">okamžikem vzniku nákladu. </w:t>
      </w:r>
    </w:p>
    <w:p w:rsidR="00DD5CB9" w:rsidRDefault="009A49D0" w:rsidP="00DD5CB9">
      <w:r>
        <w:t xml:space="preserve">Zatímco uvedená pojetí nákladů pracují s pohledem na </w:t>
      </w:r>
      <w:r w:rsidR="000E2279">
        <w:t>náklady</w:t>
      </w:r>
      <w:r>
        <w:t xml:space="preserve"> v podmínkách, které platily v minulosti </w:t>
      </w:r>
      <w:r w:rsidR="00F954BD">
        <w:t>nebo které by platily</w:t>
      </w:r>
      <w:r>
        <w:t xml:space="preserve"> v současnosti, lze případy hodnotit i porovnáním s jinou alternativou. </w:t>
      </w:r>
      <w:r w:rsidR="00B03976">
        <w:t xml:space="preserve">S výběrem mezi </w:t>
      </w:r>
      <w:r w:rsidR="000E2279">
        <w:t>optimálními budoucími alternativami</w:t>
      </w:r>
      <w:r w:rsidR="00B03976">
        <w:t xml:space="preserve"> souvisí </w:t>
      </w:r>
      <w:r w:rsidR="00B03976" w:rsidRPr="00B03976">
        <w:rPr>
          <w:b/>
        </w:rPr>
        <w:t>ekonomické pojetí nákladů</w:t>
      </w:r>
      <w:r w:rsidR="00B03976">
        <w:t xml:space="preserve"> </w:t>
      </w:r>
      <w:r w:rsidR="00C05AFA">
        <w:t xml:space="preserve">používané </w:t>
      </w:r>
      <w:r w:rsidR="000E2279">
        <w:t>v manažerském účetnictví</w:t>
      </w:r>
      <w:r w:rsidR="00F954BD">
        <w:t>.</w:t>
      </w:r>
      <w:r w:rsidR="000E2279">
        <w:t xml:space="preserve"> Dle Krále můžeme takto pojaté náklady chápat nejen jako oceněný úbytek ekonomického zdroje, ale také jako oceněný </w:t>
      </w:r>
      <w:r w:rsidR="001129C2">
        <w:t xml:space="preserve">ušlý </w:t>
      </w:r>
      <w:r w:rsidR="00F954BD">
        <w:t>vý</w:t>
      </w:r>
      <w:r w:rsidR="001129C2">
        <w:t>nos</w:t>
      </w:r>
      <w:r w:rsidR="000E2279">
        <w:t>, který podnik nerealizoval</w:t>
      </w:r>
      <w:r w:rsidR="00241E41">
        <w:t xml:space="preserve">, protože </w:t>
      </w:r>
      <w:r w:rsidR="00F954BD">
        <w:t xml:space="preserve">ekonomický </w:t>
      </w:r>
      <w:r w:rsidR="00241E41">
        <w:t xml:space="preserve">zdroj </w:t>
      </w:r>
      <w:r w:rsidR="00241E41" w:rsidRPr="00241E41">
        <w:t>nepoužil</w:t>
      </w:r>
      <w:r w:rsidR="00241E41">
        <w:t xml:space="preserve"> jiným způsobem. (Král 2006, s. 61). </w:t>
      </w:r>
      <w:r w:rsidR="001129C2">
        <w:t>V tomto případě mluvíme o oportunitních nákladech vycházejících z principu existence omezených zdrojů</w:t>
      </w:r>
      <w:r w:rsidR="00F954BD">
        <w:t xml:space="preserve"> – vydání zdroje pro jeho zhodnocení v jedné aktivitě znemožňuje jeho využití alternativním způsobem. Manažerské účetnictví s těmito náklady pracuje za účelem nalezení maximální hodnoty, jež přináší volba </w:t>
      </w:r>
      <w:r w:rsidR="006D4C2E">
        <w:t xml:space="preserve">konkrétní alternativy. </w:t>
      </w:r>
    </w:p>
    <w:p w:rsidR="006D4C2E" w:rsidRDefault="006D4C2E" w:rsidP="00AD39AE">
      <w:pPr>
        <w:pStyle w:val="Nadpis3"/>
        <w:spacing w:before="720"/>
      </w:pPr>
      <w:bookmarkStart w:id="7" w:name="_Toc302476198"/>
      <w:r>
        <w:t>Členění nákladů</w:t>
      </w:r>
      <w:bookmarkEnd w:id="7"/>
      <w:r>
        <w:t xml:space="preserve"> </w:t>
      </w:r>
    </w:p>
    <w:p w:rsidR="0007254D" w:rsidRPr="0007254D" w:rsidRDefault="008F2ABF" w:rsidP="0007254D">
      <w:r>
        <w:t>Náklady čl</w:t>
      </w:r>
      <w:r w:rsidR="00C91D9F">
        <w:t>e</w:t>
      </w:r>
      <w:r>
        <w:t>níme s cílem charakterizovat jejich vlastnosti a vytvořit stejnorodé skupiny jako předpoklad</w:t>
      </w:r>
      <w:r w:rsidR="00DD5CB9">
        <w:t xml:space="preserve"> pro</w:t>
      </w:r>
      <w:r>
        <w:t xml:space="preserve"> jejich účinné řízení. Členění je proto vždy podmíněno vz</w:t>
      </w:r>
      <w:r w:rsidR="00691C08">
        <w:t>tahem k řešení daného problému. V publikacích Krále, Fibírové a Šoljakové lze nalé</w:t>
      </w:r>
      <w:r w:rsidR="00D6298E">
        <w:t>zt následující hlediska pro čle</w:t>
      </w:r>
      <w:r w:rsidR="00691C08">
        <w:t xml:space="preserve">nění nákladů. </w:t>
      </w:r>
    </w:p>
    <w:p w:rsidR="006C66E6" w:rsidRDefault="006C66E6" w:rsidP="002A4E30">
      <w:r w:rsidRPr="002A4E30">
        <w:rPr>
          <w:b/>
        </w:rPr>
        <w:t>Druhové členění</w:t>
      </w:r>
      <w:r>
        <w:t xml:space="preserve"> se </w:t>
      </w:r>
      <w:r w:rsidR="002A4E30">
        <w:t xml:space="preserve">zabývá náklady vstupujícími do podniku z vnějšího okolí. </w:t>
      </w:r>
      <w:r w:rsidR="000F0CCE">
        <w:t xml:space="preserve">Mezi </w:t>
      </w:r>
      <w:r w:rsidR="002A4E30">
        <w:t xml:space="preserve">základní nákladové druhy </w:t>
      </w:r>
      <w:r w:rsidR="000F0CCE">
        <w:t xml:space="preserve">řadíme </w:t>
      </w:r>
      <w:r w:rsidR="002A4E30">
        <w:t>spotřeb</w:t>
      </w:r>
      <w:r w:rsidR="000F0CCE">
        <w:t>u</w:t>
      </w:r>
      <w:r w:rsidR="002A4E30">
        <w:t xml:space="preserve"> materiálu, spotřeb</w:t>
      </w:r>
      <w:r w:rsidR="000F0CCE">
        <w:t>u</w:t>
      </w:r>
      <w:r w:rsidR="002A4E30">
        <w:t xml:space="preserve"> a použití externí práce a služeb, mzdové a osobní náklady, odpisy majetku a finanční náklady. Používá se především ve finančním účetnictví, neboť</w:t>
      </w:r>
      <w:r w:rsidR="008E7774">
        <w:t xml:space="preserve"> </w:t>
      </w:r>
      <w:r w:rsidR="002A4E30">
        <w:t>neposkytuje dostatečné informace pro hodnocení hospodárnosti</w:t>
      </w:r>
      <w:r w:rsidR="000F0CCE">
        <w:t>,</w:t>
      </w:r>
      <w:r w:rsidR="002A4E30">
        <w:t xml:space="preserve"> účinnosti a efektivnosti</w:t>
      </w:r>
      <w:r w:rsidR="000F0CCE">
        <w:t xml:space="preserve">; v manažerském účetnictví je využitelné v kombinaci </w:t>
      </w:r>
      <w:r w:rsidR="002A4E30">
        <w:t xml:space="preserve">s účelovými hledisky členění. </w:t>
      </w:r>
    </w:p>
    <w:p w:rsidR="0007254D" w:rsidRDefault="006C66E6" w:rsidP="006C66E6">
      <w:r w:rsidRPr="000F0CCE">
        <w:rPr>
          <w:b/>
        </w:rPr>
        <w:t>Účelové členění</w:t>
      </w:r>
      <w:r w:rsidRPr="0000650F">
        <w:t xml:space="preserve"> sleduje náklady </w:t>
      </w:r>
      <w:r w:rsidR="000F0CCE">
        <w:t>na základě příčinné souvislosti jejich vzniku</w:t>
      </w:r>
      <w:r w:rsidR="004F2938">
        <w:t xml:space="preserve"> a slouží řízení hospodárnosti</w:t>
      </w:r>
      <w:r w:rsidRPr="0000650F">
        <w:t xml:space="preserve">. </w:t>
      </w:r>
      <w:r>
        <w:t xml:space="preserve">Účel vynaložení nákladů lze </w:t>
      </w:r>
      <w:r w:rsidR="00857306">
        <w:t>sledovat na různých</w:t>
      </w:r>
      <w:r>
        <w:t xml:space="preserve"> úrovn</w:t>
      </w:r>
      <w:r w:rsidR="00857306">
        <w:t>ích</w:t>
      </w:r>
      <w:r w:rsidR="00CE0BEF">
        <w:t xml:space="preserve">. </w:t>
      </w:r>
      <w:r w:rsidR="00D76229">
        <w:t xml:space="preserve">Podle vztahu k činnosti, aktivitě </w:t>
      </w:r>
      <w:r w:rsidR="00D76229" w:rsidRPr="003C3509">
        <w:t xml:space="preserve">nebo operaci </w:t>
      </w:r>
      <w:r w:rsidR="00857306" w:rsidRPr="003C3509">
        <w:t>rozlišujeme</w:t>
      </w:r>
      <w:r w:rsidR="00D76229" w:rsidRPr="003C3509">
        <w:t xml:space="preserve"> </w:t>
      </w:r>
      <w:r w:rsidR="000F0CCE" w:rsidRPr="00AB1EAD">
        <w:rPr>
          <w:b/>
        </w:rPr>
        <w:t>technologické</w:t>
      </w:r>
      <w:r w:rsidR="00857306" w:rsidRPr="00AB1EAD">
        <w:rPr>
          <w:b/>
        </w:rPr>
        <w:t xml:space="preserve"> náklady</w:t>
      </w:r>
      <w:r w:rsidR="00D76229" w:rsidRPr="003C3509">
        <w:t xml:space="preserve">, které jsou </w:t>
      </w:r>
      <w:r w:rsidR="00D76229" w:rsidRPr="003C3509">
        <w:lastRenderedPageBreak/>
        <w:t>přímo vyvolané t</w:t>
      </w:r>
      <w:r w:rsidR="00C2297B" w:rsidRPr="003C3509">
        <w:t>echnologií dan</w:t>
      </w:r>
      <w:r w:rsidR="00857306" w:rsidRPr="003C3509">
        <w:t>é činnosti a jsou tedy vynakládané</w:t>
      </w:r>
      <w:r w:rsidR="00C2297B" w:rsidRPr="003C3509">
        <w:t xml:space="preserve"> při vlastním vytváření výkonů,</w:t>
      </w:r>
      <w:r w:rsidR="00D76229" w:rsidRPr="003C3509">
        <w:t xml:space="preserve"> a </w:t>
      </w:r>
      <w:r w:rsidR="000F0CCE" w:rsidRPr="00AB1EAD">
        <w:rPr>
          <w:b/>
        </w:rPr>
        <w:t>náklady na obsluhu a řízení</w:t>
      </w:r>
      <w:r w:rsidR="000F0CCE" w:rsidRPr="003C3509">
        <w:t xml:space="preserve">, </w:t>
      </w:r>
      <w:r w:rsidR="00D76229" w:rsidRPr="003C3509">
        <w:t>jež</w:t>
      </w:r>
      <w:r w:rsidR="00C2297B" w:rsidRPr="003C3509">
        <w:t xml:space="preserve"> </w:t>
      </w:r>
      <w:r w:rsidR="00D76229" w:rsidRPr="003C3509">
        <w:t>vznikají za účelem vytvoření, zajištění a udržení</w:t>
      </w:r>
      <w:r w:rsidR="00D76229">
        <w:t xml:space="preserve"> podmínek pro podnikání. </w:t>
      </w:r>
    </w:p>
    <w:p w:rsidR="003F4669" w:rsidRDefault="00D76229" w:rsidP="006C66E6">
      <w:r w:rsidRPr="003C3509">
        <w:t xml:space="preserve">Na toto členění navazuje rozdělení nákladů </w:t>
      </w:r>
      <w:r w:rsidR="009C0953" w:rsidRPr="003C3509">
        <w:t>podle vztahu k jednotce výkonu</w:t>
      </w:r>
      <w:r w:rsidRPr="003C3509">
        <w:t xml:space="preserve">. </w:t>
      </w:r>
      <w:r w:rsidR="00C2297B" w:rsidRPr="00AB1EAD">
        <w:rPr>
          <w:b/>
        </w:rPr>
        <w:t>Jednicové náklady</w:t>
      </w:r>
      <w:r w:rsidR="00C2297B" w:rsidRPr="003C3509">
        <w:t xml:space="preserve"> jsou</w:t>
      </w:r>
      <w:r w:rsidR="00CE0BEF" w:rsidRPr="003C3509">
        <w:t xml:space="preserve"> vyvolány tvo</w:t>
      </w:r>
      <w:r w:rsidR="00C2297B" w:rsidRPr="003C3509">
        <w:t>r</w:t>
      </w:r>
      <w:r w:rsidR="00CE0BEF" w:rsidRPr="003C3509">
        <w:t xml:space="preserve">bou konkrétní jednotky výkonu, </w:t>
      </w:r>
      <w:r w:rsidR="00857306" w:rsidRPr="003C3509">
        <w:t xml:space="preserve">nákladový úkol </w:t>
      </w:r>
      <w:r w:rsidR="00CE0BEF" w:rsidRPr="003C3509">
        <w:t>proto m</w:t>
      </w:r>
      <w:r w:rsidR="00857306" w:rsidRPr="003C3509">
        <w:t>ůže</w:t>
      </w:r>
      <w:r w:rsidR="00CE0BEF" w:rsidRPr="003C3509">
        <w:t xml:space="preserve"> být stanoven pomocí norem spotřeby</w:t>
      </w:r>
      <w:r w:rsidR="00C2297B" w:rsidRPr="003C3509">
        <w:t>. Hospodárnost jednicových nákladů je řízena kalkula</w:t>
      </w:r>
      <w:r w:rsidR="003F4669" w:rsidRPr="003C3509">
        <w:t xml:space="preserve">cemi. </w:t>
      </w:r>
      <w:r w:rsidR="003F4669" w:rsidRPr="00AB1EAD">
        <w:rPr>
          <w:b/>
        </w:rPr>
        <w:t>Režijní náklady</w:t>
      </w:r>
      <w:r w:rsidR="003F4669" w:rsidRPr="003C3509">
        <w:t xml:space="preserve"> pak představují náklady na obsluhu a řízení a náklady související s technologickým procesem jako celkem, nelze u nich tedy vyjádřit</w:t>
      </w:r>
      <w:r w:rsidR="003F4669">
        <w:t xml:space="preserve"> bezprostřední vztah ke konkrétní</w:t>
      </w:r>
      <w:r w:rsidR="00F5268A">
        <w:t xml:space="preserve"> jednotce výkonu. </w:t>
      </w:r>
      <w:r w:rsidR="00857306">
        <w:t xml:space="preserve">Nákladový úkol vychází z limitů a normativů pro určité období nebo objem výkonů, řízení </w:t>
      </w:r>
      <w:r w:rsidR="009C0953">
        <w:t>hospodárnosti napomáhají</w:t>
      </w:r>
      <w:r w:rsidR="00F5268A">
        <w:t xml:space="preserve"> rozpočty režijních nákladů. </w:t>
      </w:r>
    </w:p>
    <w:p w:rsidR="006C66E6" w:rsidRDefault="004F2938" w:rsidP="006C66E6">
      <w:r>
        <w:t xml:space="preserve">Z účelového členění vychází i </w:t>
      </w:r>
      <w:r w:rsidR="009C0953">
        <w:rPr>
          <w:b/>
        </w:rPr>
        <w:t>č</w:t>
      </w:r>
      <w:r w:rsidR="006C66E6" w:rsidRPr="009C0953">
        <w:rPr>
          <w:b/>
        </w:rPr>
        <w:t>lenění podle odpovědnosti</w:t>
      </w:r>
      <w:r w:rsidR="009C0953">
        <w:t xml:space="preserve">, jež </w:t>
      </w:r>
      <w:r w:rsidR="006C66E6">
        <w:t xml:space="preserve">třídí </w:t>
      </w:r>
      <w:r w:rsidR="009C0953">
        <w:t xml:space="preserve">náklady </w:t>
      </w:r>
      <w:r w:rsidR="006C66E6">
        <w:t xml:space="preserve">podle odpovědnosti jednotlivých </w:t>
      </w:r>
      <w:r w:rsidR="009C0953">
        <w:t>vnitropodnikových útvarů za jejich vznik</w:t>
      </w:r>
      <w:r w:rsidR="006C66E6">
        <w:t>. V rámci vnitropodnikového sledování nákladů může d</w:t>
      </w:r>
      <w:r w:rsidR="00682E3D">
        <w:t xml:space="preserve">ocházet k předávání výkonů mezi </w:t>
      </w:r>
      <w:r w:rsidR="009C0953">
        <w:t>útvary</w:t>
      </w:r>
      <w:r w:rsidR="0064742B">
        <w:t xml:space="preserve"> – </w:t>
      </w:r>
      <w:r w:rsidR="006C66E6">
        <w:t xml:space="preserve">vznikají pak interní náklady, které </w:t>
      </w:r>
      <w:r w:rsidR="008E7774">
        <w:t>se oceňují</w:t>
      </w:r>
      <w:r w:rsidR="009C0953">
        <w:t xml:space="preserve"> vnitropodnikovou cenou. </w:t>
      </w:r>
    </w:p>
    <w:p w:rsidR="00144154" w:rsidRDefault="00AA665A" w:rsidP="006C66E6">
      <w:r>
        <w:t>P</w:t>
      </w:r>
      <w:r w:rsidR="006C66E6">
        <w:t xml:space="preserve">odstatou </w:t>
      </w:r>
      <w:r w:rsidR="00144154" w:rsidRPr="00144154">
        <w:rPr>
          <w:b/>
        </w:rPr>
        <w:t>kalkulačního členění</w:t>
      </w:r>
      <w:r w:rsidR="00144154">
        <w:t xml:space="preserve"> jako specifického typu </w:t>
      </w:r>
      <w:r w:rsidR="00F81B4F">
        <w:t xml:space="preserve">členění </w:t>
      </w:r>
      <w:r w:rsidR="00144154">
        <w:t xml:space="preserve">účelového </w:t>
      </w:r>
      <w:r w:rsidR="006C66E6">
        <w:t xml:space="preserve">je </w:t>
      </w:r>
      <w:r w:rsidR="006C66E6" w:rsidRPr="003C3509">
        <w:t>přiřazování nákladů k určitému výkonu</w:t>
      </w:r>
      <w:r w:rsidR="001E3564" w:rsidRPr="003C3509">
        <w:t>, objektu kalkulace</w:t>
      </w:r>
      <w:r w:rsidR="006C66E6" w:rsidRPr="003C3509">
        <w:t xml:space="preserve">. </w:t>
      </w:r>
      <w:r w:rsidR="00144154" w:rsidRPr="003C3509">
        <w:t xml:space="preserve">Náklady </w:t>
      </w:r>
      <w:r w:rsidR="007B4D95" w:rsidRPr="003C3509">
        <w:t xml:space="preserve">jsou z tohoto pohledu členěny na </w:t>
      </w:r>
      <w:r w:rsidR="00F81B4F" w:rsidRPr="00AB1EAD">
        <w:rPr>
          <w:b/>
        </w:rPr>
        <w:t>p</w:t>
      </w:r>
      <w:r w:rsidR="007B4D95" w:rsidRPr="00AB1EAD">
        <w:rPr>
          <w:b/>
        </w:rPr>
        <w:t>římé náklady</w:t>
      </w:r>
      <w:r w:rsidR="00F81B4F" w:rsidRPr="003C3509">
        <w:t>, které</w:t>
      </w:r>
      <w:r w:rsidR="007B4D95" w:rsidRPr="003C3509">
        <w:t xml:space="preserve"> </w:t>
      </w:r>
      <w:r w:rsidR="00F81B4F" w:rsidRPr="003C3509">
        <w:t>se jednoznačně</w:t>
      </w:r>
      <w:r w:rsidR="007B4D95" w:rsidRPr="003C3509">
        <w:t xml:space="preserve"> </w:t>
      </w:r>
      <w:r w:rsidR="00F81B4F" w:rsidRPr="003C3509">
        <w:t xml:space="preserve">přiřazují </w:t>
      </w:r>
      <w:r w:rsidR="007B4D95" w:rsidRPr="003C3509">
        <w:t>určit</w:t>
      </w:r>
      <w:r w:rsidR="00F81B4F" w:rsidRPr="003C3509">
        <w:t xml:space="preserve">ému druhu výkonu, přímo s ním souvisí a v kalkulaci je můžeme stanovit přímo na </w:t>
      </w:r>
      <w:r w:rsidR="00347818" w:rsidRPr="003C3509">
        <w:t xml:space="preserve">kalkulační </w:t>
      </w:r>
      <w:r w:rsidR="007B4D95" w:rsidRPr="003C3509">
        <w:t>jednici</w:t>
      </w:r>
      <w:r w:rsidR="00F81B4F" w:rsidRPr="003C3509">
        <w:t xml:space="preserve"> (viz dále)</w:t>
      </w:r>
      <w:r w:rsidR="00B52940">
        <w:t>,</w:t>
      </w:r>
      <w:r w:rsidR="00F81B4F" w:rsidRPr="003C3509">
        <w:t xml:space="preserve"> a </w:t>
      </w:r>
      <w:r w:rsidR="00F81B4F" w:rsidRPr="00AB1EAD">
        <w:rPr>
          <w:b/>
        </w:rPr>
        <w:t>nepřímé náklady</w:t>
      </w:r>
      <w:r w:rsidR="00347818" w:rsidRPr="003C3509">
        <w:t>, které se neváží k jednomu druhu výkonu, ale jsou společné více druhům a zajišťují průběh podnikatelského procesu jako celku, a proto se</w:t>
      </w:r>
      <w:r w:rsidR="00347818">
        <w:t xml:space="preserve"> konkrétním výkonům přiřazují nepřímo za pomoci propočtů. </w:t>
      </w:r>
    </w:p>
    <w:p w:rsidR="003301CC" w:rsidRDefault="006C66E6" w:rsidP="006C66E6">
      <w:bookmarkStart w:id="8" w:name="_Toc288051817"/>
      <w:r w:rsidRPr="003C3509">
        <w:t xml:space="preserve">Členění </w:t>
      </w:r>
      <w:r w:rsidR="003C3509" w:rsidRPr="003C3509">
        <w:t>nákladů</w:t>
      </w:r>
      <w:r w:rsidR="003C3509">
        <w:rPr>
          <w:b/>
        </w:rPr>
        <w:t xml:space="preserve"> </w:t>
      </w:r>
      <w:r w:rsidR="003301CC">
        <w:rPr>
          <w:b/>
        </w:rPr>
        <w:t xml:space="preserve">podle závislosti na </w:t>
      </w:r>
      <w:r w:rsidRPr="00AA665A">
        <w:rPr>
          <w:b/>
        </w:rPr>
        <w:t>objemu výkonů</w:t>
      </w:r>
      <w:bookmarkEnd w:id="8"/>
      <w:r>
        <w:t xml:space="preserve"> vychází ze skutečnosti, že se různé </w:t>
      </w:r>
      <w:r w:rsidRPr="003C3509">
        <w:t xml:space="preserve">náklady chovají odlišně při změnách objemu výkonů podniku. </w:t>
      </w:r>
      <w:r w:rsidR="00266DDC" w:rsidRPr="003C3509">
        <w:t xml:space="preserve">V závislosti </w:t>
      </w:r>
      <w:r w:rsidR="009A06AC">
        <w:br/>
      </w:r>
      <w:r w:rsidR="00266DDC" w:rsidRPr="003C3509">
        <w:t xml:space="preserve">na něm se mění </w:t>
      </w:r>
      <w:r w:rsidR="00266DDC" w:rsidRPr="00AB1EAD">
        <w:rPr>
          <w:b/>
        </w:rPr>
        <w:t>v</w:t>
      </w:r>
      <w:r w:rsidRPr="00AB1EAD">
        <w:rPr>
          <w:b/>
        </w:rPr>
        <w:t>ariabilní náklady</w:t>
      </w:r>
      <w:r w:rsidR="00266DDC" w:rsidRPr="003C3509">
        <w:t>, které</w:t>
      </w:r>
      <w:r w:rsidRPr="003C3509">
        <w:t xml:space="preserve"> </w:t>
      </w:r>
      <w:r w:rsidR="00F4772A" w:rsidRPr="003C3509">
        <w:t xml:space="preserve">jsou </w:t>
      </w:r>
      <w:r w:rsidR="00C91D9F" w:rsidRPr="003C3509">
        <w:t>spotřebovávány</w:t>
      </w:r>
      <w:r w:rsidR="00F4772A" w:rsidRPr="003C3509">
        <w:t xml:space="preserve"> v proporcích, které vyžaduje určitý objem výkonů</w:t>
      </w:r>
      <w:r w:rsidRPr="003C3509">
        <w:t xml:space="preserve">. </w:t>
      </w:r>
      <w:r w:rsidR="00266DDC" w:rsidRPr="003C3509">
        <w:t xml:space="preserve">Oproti tomu se </w:t>
      </w:r>
      <w:r w:rsidR="00F4772A" w:rsidRPr="00AB1EAD">
        <w:rPr>
          <w:b/>
        </w:rPr>
        <w:t>fixní náklady</w:t>
      </w:r>
      <w:r w:rsidR="00F4772A" w:rsidRPr="003C3509">
        <w:t xml:space="preserve"> při změnách v určitém rozpětí prováděných výkonů nemění</w:t>
      </w:r>
      <w:r w:rsidR="00D56D63" w:rsidRPr="003C3509">
        <w:t>.</w:t>
      </w:r>
      <w:r w:rsidR="00266DDC" w:rsidRPr="003C3509">
        <w:t xml:space="preserve"> </w:t>
      </w:r>
      <w:r w:rsidR="00D56D63" w:rsidRPr="003C3509">
        <w:t>V</w:t>
      </w:r>
      <w:r w:rsidR="00266DDC" w:rsidRPr="003C3509">
        <w:t> této skupině nalezneme</w:t>
      </w:r>
      <w:r w:rsidR="00F4772A" w:rsidRPr="003C3509">
        <w:t xml:space="preserve"> náklady zajišťující </w:t>
      </w:r>
      <w:r w:rsidR="00266DDC" w:rsidRPr="003C3509">
        <w:t xml:space="preserve">podmínky pro činnost </w:t>
      </w:r>
      <w:r w:rsidR="00F4772A" w:rsidRPr="003C3509">
        <w:t>v určitém rozsahu a souvis</w:t>
      </w:r>
      <w:r w:rsidR="00266DDC" w:rsidRPr="003C3509">
        <w:t>ející</w:t>
      </w:r>
      <w:r w:rsidR="00F4772A" w:rsidRPr="003C3509">
        <w:t xml:space="preserve"> s určitým časovým obdobím</w:t>
      </w:r>
      <w:r w:rsidRPr="003C3509">
        <w:t xml:space="preserve">. </w:t>
      </w:r>
      <w:r w:rsidR="00266DDC" w:rsidRPr="003C3509">
        <w:t>Vynaložení</w:t>
      </w:r>
      <w:r w:rsidR="00D56D63" w:rsidRPr="003C3509">
        <w:t>m</w:t>
      </w:r>
      <w:r w:rsidR="00266DDC">
        <w:t xml:space="preserve"> fixních nákladů </w:t>
      </w:r>
      <w:r w:rsidR="00D56D63">
        <w:t xml:space="preserve">se vytváří určitá produkční kapacita, což přirozeně vede ke snaze maximálně tuto kapacitu využít a snížit tak podíl fixních nákladů na jednotku výkonu. </w:t>
      </w:r>
    </w:p>
    <w:p w:rsidR="006E71E7" w:rsidRDefault="00112F7F" w:rsidP="006E71E7">
      <w:bookmarkStart w:id="9" w:name="_Toc288051818"/>
      <w:r>
        <w:lastRenderedPageBreak/>
        <w:t xml:space="preserve">Pro </w:t>
      </w:r>
      <w:r w:rsidRPr="003C3509">
        <w:t>č</w:t>
      </w:r>
      <w:r w:rsidR="006C66E6" w:rsidRPr="003C3509">
        <w:t>lenění nákladů</w:t>
      </w:r>
      <w:r w:rsidR="006C66E6" w:rsidRPr="00112F7F">
        <w:rPr>
          <w:b/>
        </w:rPr>
        <w:t xml:space="preserve"> v závislosti na variantách</w:t>
      </w:r>
      <w:r w:rsidR="006C66E6">
        <w:t xml:space="preserve"> řešení</w:t>
      </w:r>
      <w:bookmarkEnd w:id="9"/>
      <w:r w:rsidR="006C66E6">
        <w:t xml:space="preserve"> </w:t>
      </w:r>
      <w:r>
        <w:t xml:space="preserve">je typické, že vychází </w:t>
      </w:r>
      <w:r w:rsidRPr="003C3509">
        <w:t>z odhadovaných nákladů možných variant.</w:t>
      </w:r>
      <w:r w:rsidR="006C66E6" w:rsidRPr="003C3509">
        <w:t xml:space="preserve"> </w:t>
      </w:r>
      <w:r w:rsidRPr="003C3509">
        <w:t>Posouzením</w:t>
      </w:r>
      <w:r w:rsidR="006C66E6" w:rsidRPr="003C3509">
        <w:t>, zda jsou náklady ovlivněny zvažovanou variantou</w:t>
      </w:r>
      <w:r w:rsidRPr="003C3509">
        <w:t xml:space="preserve"> nebo ne, odlišujeme relevantní náklady, na které má uskutečnění varianty vliv, nebo irelevantní náklady, j</w:t>
      </w:r>
      <w:r w:rsidR="003C3509" w:rsidRPr="003C3509">
        <w:t xml:space="preserve">ejichž výši </w:t>
      </w:r>
      <w:r w:rsidRPr="003C3509">
        <w:t>rozhodnutí o změně varianty řešení neovlivňuje.</w:t>
      </w:r>
      <w:r w:rsidR="003C3509" w:rsidRPr="003C3509">
        <w:t xml:space="preserve"> S rozhodováním mezi různými variantami souvisí již zmíněné oportunitní náklady.</w:t>
      </w:r>
      <w:r w:rsidR="003C3509">
        <w:t xml:space="preserve"> </w:t>
      </w:r>
      <w:r w:rsidR="00AA2B00">
        <w:t xml:space="preserve">V rámci strategického řízení rozlišujeme skutečně vynaložené </w:t>
      </w:r>
      <w:r w:rsidR="00311133">
        <w:t>náklady</w:t>
      </w:r>
      <w:r w:rsidR="00AA2B00" w:rsidRPr="00AA2B00">
        <w:t xml:space="preserve"> </w:t>
      </w:r>
      <w:r w:rsidR="00AA2B00">
        <w:t xml:space="preserve">a náklady vázané k rozhodnutí. Skutečně vynaložené náklady představují faktické čerpání zdrojů, náklady vázané k rozhodnutí pak </w:t>
      </w:r>
      <w:r w:rsidR="006E71E7">
        <w:t xml:space="preserve">náklady, které vzniknou v budoucnu </w:t>
      </w:r>
      <w:r w:rsidR="009A06AC">
        <w:br/>
      </w:r>
      <w:r w:rsidR="006E71E7">
        <w:t xml:space="preserve">na základě současných rozhodnutí souvisejících s technologickým řešením produktů. </w:t>
      </w:r>
    </w:p>
    <w:p w:rsidR="00DD5CB9" w:rsidRDefault="00DD5CB9" w:rsidP="006E71E7">
      <w:r>
        <w:t xml:space="preserve">S každou úrovní řízení se pojí jiná hlediska členění, např. pro operativní a taktické řízené je vhodné </w:t>
      </w:r>
      <w:r w:rsidR="00C91D9F">
        <w:t>účelové a</w:t>
      </w:r>
      <w:r>
        <w:t xml:space="preserve"> kalkulační </w:t>
      </w:r>
      <w:r w:rsidR="00C91D9F">
        <w:t>členění</w:t>
      </w:r>
      <w:r>
        <w:t xml:space="preserve">. </w:t>
      </w:r>
      <w:r w:rsidR="004F2938">
        <w:t xml:space="preserve">Členění dle vztahu k objemu výkonu vytváří informace pro taktické i strategické rozhodování. </w:t>
      </w:r>
      <w:r>
        <w:t xml:space="preserve">Strategickému řízení </w:t>
      </w:r>
      <w:r w:rsidR="008E7774">
        <w:t xml:space="preserve">pak </w:t>
      </w:r>
      <w:r>
        <w:t xml:space="preserve">napomáhají poslední uvedené kategorie nákladů. </w:t>
      </w:r>
    </w:p>
    <w:p w:rsidR="0026647C" w:rsidRDefault="0026647C" w:rsidP="006E71E7"/>
    <w:p w:rsidR="00CD6A5A" w:rsidRDefault="00CD6A5A" w:rsidP="00CD6A5A">
      <w:pPr>
        <w:pStyle w:val="Nadpis2"/>
        <w:ind w:left="578" w:hanging="578"/>
      </w:pPr>
      <w:bookmarkStart w:id="10" w:name="_Toc302476199"/>
      <w:r>
        <w:t>Kalkulace</w:t>
      </w:r>
      <w:bookmarkEnd w:id="10"/>
      <w:r>
        <w:t xml:space="preserve"> </w:t>
      </w:r>
    </w:p>
    <w:p w:rsidR="0078592A" w:rsidRDefault="000C1683" w:rsidP="0078592A">
      <w:pPr>
        <w:pStyle w:val="Nadpis3"/>
      </w:pPr>
      <w:bookmarkStart w:id="11" w:name="_Toc302476200"/>
      <w:r>
        <w:t>Základní kalkulační pojmy</w:t>
      </w:r>
      <w:bookmarkEnd w:id="11"/>
      <w:r>
        <w:t xml:space="preserve"> </w:t>
      </w:r>
    </w:p>
    <w:p w:rsidR="00CD6A5A" w:rsidRDefault="00903D62" w:rsidP="00CD6A5A">
      <w:r w:rsidRPr="000C1683">
        <w:rPr>
          <w:b/>
        </w:rPr>
        <w:t>Kalkulace</w:t>
      </w:r>
      <w:r>
        <w:t xml:space="preserve"> obecně znamená výpočet nebo p</w:t>
      </w:r>
      <w:r w:rsidR="00F57F23">
        <w:t>r</w:t>
      </w:r>
      <w:r>
        <w:t>opočet</w:t>
      </w:r>
      <w:r w:rsidR="00C16889">
        <w:rPr>
          <w:rStyle w:val="Znakapoznpodarou"/>
        </w:rPr>
        <w:footnoteReference w:id="1"/>
      </w:r>
      <w:r>
        <w:t xml:space="preserve">. </w:t>
      </w:r>
      <w:r w:rsidR="00F57F23">
        <w:t>V e</w:t>
      </w:r>
      <w:r>
        <w:t>konom</w:t>
      </w:r>
      <w:r w:rsidR="00F57F23">
        <w:t xml:space="preserve">ickém slova smyslu ji výstižně charakterizuje </w:t>
      </w:r>
      <w:r w:rsidR="00BB04AE">
        <w:t>Šoljaková</w:t>
      </w:r>
      <w:r w:rsidR="0078592A">
        <w:t xml:space="preserve"> </w:t>
      </w:r>
      <w:r w:rsidR="00BB04AE">
        <w:t xml:space="preserve">jako </w:t>
      </w:r>
      <w:r w:rsidR="0078592A">
        <w:t>„</w:t>
      </w:r>
      <w:r w:rsidR="0078592A" w:rsidRPr="00BB04AE">
        <w:rPr>
          <w:i/>
        </w:rPr>
        <w:t>propočet náklad</w:t>
      </w:r>
      <w:r w:rsidR="00BB04AE" w:rsidRPr="00BB04AE">
        <w:rPr>
          <w:i/>
        </w:rPr>
        <w:t>ů</w:t>
      </w:r>
      <w:r w:rsidR="0078592A" w:rsidRPr="00BB04AE">
        <w:rPr>
          <w:i/>
        </w:rPr>
        <w:t>, marže, zisku, ceny nebo jiné hodnotové veličiny na naturá</w:t>
      </w:r>
      <w:r w:rsidR="00BB04AE">
        <w:rPr>
          <w:i/>
        </w:rPr>
        <w:t>lně vyjádřenou jednotku výkonu (</w:t>
      </w:r>
      <w:r w:rsidR="0078592A" w:rsidRPr="00BB04AE">
        <w:rPr>
          <w:i/>
        </w:rPr>
        <w:t>výrobek, práci nebo službu, na činnost nebo operaci, kterou je třeba v souvislosti s procesem tvorby výkonu provést)</w:t>
      </w:r>
      <w:r w:rsidR="0078592A">
        <w:t>“</w:t>
      </w:r>
      <w:r w:rsidR="00BB04AE">
        <w:t xml:space="preserve"> (Fibírová, Šoljaková, Wagner 2007, s. 111). Nejčastěji využívanou kalkulací jsou propočty nákladů konkrétních výrobků, prací a služeb prodávaných externím zákazníkům podniku. </w:t>
      </w:r>
      <w:r>
        <w:t>Kalkulace nákladů patří mezi nejdůležitější nástroje hodnotového řízení.</w:t>
      </w:r>
      <w:r w:rsidR="00441EEA">
        <w:t xml:space="preserve"> </w:t>
      </w:r>
    </w:p>
    <w:p w:rsidR="00BB04AE" w:rsidRDefault="00BB04AE" w:rsidP="00C16889">
      <w:pPr>
        <w:spacing w:after="0"/>
      </w:pPr>
      <w:r>
        <w:t xml:space="preserve">Pojem kalkulace můžeme dle Krále chápat </w:t>
      </w:r>
      <w:r w:rsidR="00441EEA">
        <w:t xml:space="preserve">ve třech </w:t>
      </w:r>
      <w:r>
        <w:t>základních významech</w:t>
      </w:r>
      <w:r w:rsidR="000C1683">
        <w:t xml:space="preserve">: </w:t>
      </w:r>
    </w:p>
    <w:p w:rsidR="00BB04AE" w:rsidRPr="00AE5014" w:rsidRDefault="00C16889" w:rsidP="005855A6">
      <w:pPr>
        <w:pStyle w:val="Odstavecseseznamem"/>
        <w:numPr>
          <w:ilvl w:val="0"/>
          <w:numId w:val="5"/>
        </w:numPr>
        <w:spacing w:line="360" w:lineRule="auto"/>
        <w:ind w:left="357" w:hanging="357"/>
      </w:pPr>
      <w:r w:rsidRPr="00AE5014">
        <w:t>j</w:t>
      </w:r>
      <w:r w:rsidR="00BB04AE" w:rsidRPr="00AE5014">
        <w:t xml:space="preserve">ako činnost </w:t>
      </w:r>
      <w:r w:rsidRPr="00AE5014">
        <w:t xml:space="preserve">vedoucí ke zjištění či stanovení nákladů na výkon; </w:t>
      </w:r>
    </w:p>
    <w:p w:rsidR="00C16889" w:rsidRPr="00AE5014" w:rsidRDefault="00C16889" w:rsidP="005855A6">
      <w:pPr>
        <w:pStyle w:val="Odstavecseseznamem"/>
        <w:numPr>
          <w:ilvl w:val="0"/>
          <w:numId w:val="5"/>
        </w:numPr>
        <w:spacing w:line="360" w:lineRule="auto"/>
        <w:ind w:left="357" w:hanging="357"/>
      </w:pPr>
      <w:r w:rsidRPr="00AE5014">
        <w:t xml:space="preserve">jako výsledek této činnosti; </w:t>
      </w:r>
    </w:p>
    <w:p w:rsidR="00C16889" w:rsidRPr="00AE5014" w:rsidRDefault="00C16889" w:rsidP="005855A6">
      <w:pPr>
        <w:pStyle w:val="Odstavecseseznamem"/>
        <w:numPr>
          <w:ilvl w:val="0"/>
          <w:numId w:val="5"/>
        </w:numPr>
        <w:spacing w:line="360" w:lineRule="auto"/>
        <w:ind w:left="357" w:hanging="357"/>
      </w:pPr>
      <w:r w:rsidRPr="00AE5014">
        <w:lastRenderedPageBreak/>
        <w:t>jako část informačního systému podniku, součást manažerského účetnictví</w:t>
      </w:r>
      <w:r w:rsidR="000C1683" w:rsidRPr="00AE5014">
        <w:t>, tvořící systém vzájemně skloubených propočtů (Král 2006, s. 120).</w:t>
      </w:r>
      <w:r w:rsidRPr="00AE5014">
        <w:t xml:space="preserve"> </w:t>
      </w:r>
    </w:p>
    <w:p w:rsidR="00C16889" w:rsidRDefault="000C1683" w:rsidP="00C16889">
      <w:r>
        <w:t xml:space="preserve">Způsob zjištění nebo stanovení nákladů na výkon, tedy </w:t>
      </w:r>
      <w:r w:rsidRPr="000C1683">
        <w:rPr>
          <w:b/>
        </w:rPr>
        <w:t>metoda kalkulace</w:t>
      </w:r>
      <w:r>
        <w:t xml:space="preserve">, je závislá </w:t>
      </w:r>
      <w:r w:rsidR="00CE2F41">
        <w:br/>
      </w:r>
      <w:r>
        <w:t xml:space="preserve">na vymezení předmětu kalkulace, způsobu přiřazování nákladů předmětu kalkulace a </w:t>
      </w:r>
      <w:r w:rsidR="00CE2F41">
        <w:br/>
      </w:r>
      <w:r>
        <w:t xml:space="preserve">na struktuře nákladových položek, ve které se zjišťují nebo stanovují náklady </w:t>
      </w:r>
      <w:r w:rsidR="00CE2F41">
        <w:br/>
      </w:r>
      <w:r>
        <w:t>na kalkulační jednici</w:t>
      </w:r>
      <w:r w:rsidR="00441EEA">
        <w:t xml:space="preserve">. Předmětem kalkulace přitom mohou být všechny druhy dílčích i finálních výkonů, které podnik vytváří </w:t>
      </w:r>
      <w:r>
        <w:t xml:space="preserve">(Fibírová, Šoljaková, Wagner 2007, s. 117). </w:t>
      </w:r>
    </w:p>
    <w:p w:rsidR="00225D68" w:rsidRDefault="00C0373A" w:rsidP="00C16889">
      <w:r>
        <w:t xml:space="preserve">Předmět kalkulace je vymezen kalkulační jednicí a kalkulovaným množstvím. </w:t>
      </w:r>
      <w:r w:rsidRPr="00AE5014">
        <w:rPr>
          <w:b/>
        </w:rPr>
        <w:t>Kalkulační jednice</w:t>
      </w:r>
      <w:r>
        <w:t xml:space="preserve"> představuje konkrétní výkon, vymezený měrnou jednotkou, druhem a jakostí, na který se náklady zjišťují nebo stanovují. </w:t>
      </w:r>
      <w:r w:rsidRPr="00AE5014">
        <w:rPr>
          <w:b/>
        </w:rPr>
        <w:t>Kalkulovaným množstvím</w:t>
      </w:r>
      <w:r>
        <w:t xml:space="preserve"> je pak konkrétní počet kalkulačních jednic, pro něž se zjišťují nebo stanovují celkové náklady</w:t>
      </w:r>
      <w:r w:rsidR="00AE5014">
        <w:t xml:space="preserve"> </w:t>
      </w:r>
      <w:r w:rsidR="00AE5014" w:rsidRPr="00AE5014">
        <w:t>(Král 2006, s</w:t>
      </w:r>
      <w:r w:rsidR="00AE5014">
        <w:t>. 122</w:t>
      </w:r>
      <w:r w:rsidR="00AE5014" w:rsidRPr="00AE5014">
        <w:t>)</w:t>
      </w:r>
      <w:r>
        <w:t>.</w:t>
      </w:r>
      <w:r w:rsidR="00225D68">
        <w:t xml:space="preserve"> </w:t>
      </w:r>
    </w:p>
    <w:p w:rsidR="00AE5014" w:rsidRDefault="00AE5014" w:rsidP="00AD39AE">
      <w:pPr>
        <w:pStyle w:val="Nadpis3"/>
        <w:spacing w:before="720"/>
      </w:pPr>
      <w:bookmarkStart w:id="12" w:name="_Toc302476201"/>
      <w:r>
        <w:t>Struktura nákladů v kalkulaci</w:t>
      </w:r>
      <w:bookmarkEnd w:id="12"/>
      <w:r>
        <w:t xml:space="preserve"> </w:t>
      </w:r>
    </w:p>
    <w:p w:rsidR="006C5D05" w:rsidRDefault="006F0D0A" w:rsidP="00CD6A5A">
      <w:r>
        <w:t>Struktur</w:t>
      </w:r>
      <w:r w:rsidR="00CE2F41">
        <w:t>a</w:t>
      </w:r>
      <w:r>
        <w:t xml:space="preserve"> propočt</w:t>
      </w:r>
      <w:r w:rsidR="00EC1557">
        <w:t>u</w:t>
      </w:r>
      <w:r>
        <w:t xml:space="preserve"> nákladů výkon</w:t>
      </w:r>
      <w:r w:rsidR="00EC1557">
        <w:t xml:space="preserve">u </w:t>
      </w:r>
      <w:r w:rsidR="00CE2F41">
        <w:t xml:space="preserve">– </w:t>
      </w:r>
      <w:r w:rsidR="00EC1557">
        <w:t>vyjádřen</w:t>
      </w:r>
      <w:r w:rsidR="00CE2F41">
        <w:t xml:space="preserve">á </w:t>
      </w:r>
      <w:r w:rsidR="00EC1557">
        <w:t xml:space="preserve">kalkulačním vzorcem </w:t>
      </w:r>
      <w:r w:rsidR="00CE2F41">
        <w:t>– je přizpůsobena potřebám jednotlivých podniků</w:t>
      </w:r>
      <w:r>
        <w:t xml:space="preserve">. </w:t>
      </w:r>
      <w:r w:rsidR="003C4DD6" w:rsidRPr="003C4DD6">
        <w:rPr>
          <w:b/>
        </w:rPr>
        <w:t>Kalkulační vzorce</w:t>
      </w:r>
      <w:r>
        <w:t xml:space="preserve"> </w:t>
      </w:r>
      <w:r w:rsidR="00CE2F41">
        <w:t>jsou ale i</w:t>
      </w:r>
      <w:r w:rsidR="00EC1557">
        <w:t xml:space="preserve"> </w:t>
      </w:r>
      <w:r>
        <w:t>v rámci podniku sestavovány v různých variantách s ohledem na jejich využití</w:t>
      </w:r>
      <w:r w:rsidR="003C4DD6">
        <w:t xml:space="preserve">. </w:t>
      </w:r>
      <w:r w:rsidR="002B3677">
        <w:t xml:space="preserve">Základní </w:t>
      </w:r>
      <w:r w:rsidR="003C2AF1">
        <w:t xml:space="preserve">pohled </w:t>
      </w:r>
      <w:r w:rsidR="00146665">
        <w:br/>
      </w:r>
      <w:r w:rsidR="003C2AF1">
        <w:t>na</w:t>
      </w:r>
      <w:r w:rsidR="00146665">
        <w:t xml:space="preserve"> </w:t>
      </w:r>
      <w:r w:rsidR="002B3677">
        <w:t>struktu</w:t>
      </w:r>
      <w:r w:rsidR="003C2AF1">
        <w:t>ru</w:t>
      </w:r>
      <w:r w:rsidR="002B3677">
        <w:t xml:space="preserve"> nákladů v kalkulaci zobrazuje typový kalkulační </w:t>
      </w:r>
      <w:r w:rsidR="00CE2F41">
        <w:t>vzorec na</w:t>
      </w:r>
      <w:r w:rsidR="00146665">
        <w:t xml:space="preserve"> </w:t>
      </w:r>
      <w:r w:rsidR="002B3677">
        <w:t>obr</w:t>
      </w:r>
      <w:r w:rsidR="008E7774">
        <w:t>ázku</w:t>
      </w:r>
      <w:r w:rsidR="002B3677">
        <w:t xml:space="preserve"> č. 1. </w:t>
      </w:r>
    </w:p>
    <w:p w:rsidR="000B1A6C" w:rsidRPr="007D58CE" w:rsidRDefault="000B1A6C" w:rsidP="000B1A6C">
      <w:pPr>
        <w:pStyle w:val="Titulek"/>
        <w:keepNext/>
        <w:spacing w:before="120" w:after="120"/>
        <w:rPr>
          <w:b w:val="0"/>
          <w:color w:val="auto"/>
          <w:sz w:val="22"/>
          <w:szCs w:val="22"/>
        </w:rPr>
      </w:pPr>
      <w:r w:rsidRPr="007D58CE">
        <w:rPr>
          <w:b w:val="0"/>
          <w:color w:val="auto"/>
          <w:sz w:val="22"/>
          <w:szCs w:val="22"/>
        </w:rPr>
        <w:t xml:space="preserve">Obrázek </w:t>
      </w:r>
      <w:r w:rsidR="009C1CDD">
        <w:rPr>
          <w:b w:val="0"/>
          <w:color w:val="auto"/>
          <w:sz w:val="22"/>
          <w:szCs w:val="22"/>
        </w:rPr>
        <w:fldChar w:fldCharType="begin"/>
      </w:r>
      <w:r w:rsidR="006D29C5">
        <w:rPr>
          <w:b w:val="0"/>
          <w:color w:val="auto"/>
          <w:sz w:val="22"/>
          <w:szCs w:val="22"/>
        </w:rPr>
        <w:instrText xml:space="preserve"> SEQ Obrázek \* ARABIC </w:instrText>
      </w:r>
      <w:r w:rsidR="009C1CDD">
        <w:rPr>
          <w:b w:val="0"/>
          <w:color w:val="auto"/>
          <w:sz w:val="22"/>
          <w:szCs w:val="22"/>
        </w:rPr>
        <w:fldChar w:fldCharType="separate"/>
      </w:r>
      <w:r w:rsidR="006814FB">
        <w:rPr>
          <w:b w:val="0"/>
          <w:noProof/>
          <w:color w:val="auto"/>
          <w:sz w:val="22"/>
          <w:szCs w:val="22"/>
        </w:rPr>
        <w:t>1</w:t>
      </w:r>
      <w:r w:rsidR="009C1CDD">
        <w:rPr>
          <w:b w:val="0"/>
          <w:color w:val="auto"/>
          <w:sz w:val="22"/>
          <w:szCs w:val="22"/>
        </w:rPr>
        <w:fldChar w:fldCharType="end"/>
      </w:r>
      <w:r w:rsidRPr="007D58CE">
        <w:rPr>
          <w:b w:val="0"/>
          <w:color w:val="auto"/>
          <w:sz w:val="22"/>
          <w:szCs w:val="22"/>
        </w:rPr>
        <w:t xml:space="preserve"> Typový kalkulační vzorec</w:t>
      </w:r>
      <w:r w:rsidR="00115505">
        <w:rPr>
          <w:b w:val="0"/>
          <w:color w:val="auto"/>
          <w:sz w:val="22"/>
          <w:szCs w:val="22"/>
        </w:rPr>
        <w:t xml:space="preserve"> </w:t>
      </w:r>
    </w:p>
    <w:tbl>
      <w:tblPr>
        <w:tblStyle w:val="Mkatabulky"/>
        <w:tblW w:w="3827" w:type="dxa"/>
        <w:tblInd w:w="10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none" w:sz="0" w:space="0" w:color="auto"/>
        </w:tblBorders>
        <w:tblLook w:val="04A0"/>
      </w:tblPr>
      <w:tblGrid>
        <w:gridCol w:w="425"/>
        <w:gridCol w:w="3402"/>
      </w:tblGrid>
      <w:tr w:rsidR="000B1A6C" w:rsidRPr="000B1A6C" w:rsidTr="006E229E">
        <w:tc>
          <w:tcPr>
            <w:tcW w:w="425" w:type="dxa"/>
            <w:vAlign w:val="center"/>
          </w:tcPr>
          <w:p w:rsidR="00A12EC4" w:rsidRPr="000B1A6C" w:rsidRDefault="00A12EC4" w:rsidP="00BC58B8">
            <w:pPr>
              <w:spacing w:after="0" w:line="300" w:lineRule="auto"/>
              <w:rPr>
                <w:rFonts w:ascii="Times New Roman" w:hAnsi="Times New Roman"/>
              </w:rPr>
            </w:pPr>
            <w:r w:rsidRPr="000B1A6C">
              <w:rPr>
                <w:rFonts w:ascii="Times New Roman" w:hAnsi="Times New Roman"/>
              </w:rPr>
              <w:t>1</w:t>
            </w:r>
            <w:r w:rsidR="00CE2F41">
              <w:rPr>
                <w:rFonts w:ascii="Times New Roman" w:hAnsi="Times New Roman"/>
              </w:rPr>
              <w:t xml:space="preserve"> </w:t>
            </w:r>
          </w:p>
          <w:p w:rsidR="00A12EC4" w:rsidRPr="000B1A6C" w:rsidRDefault="00A12EC4" w:rsidP="00BC58B8">
            <w:pPr>
              <w:spacing w:after="0" w:line="300" w:lineRule="auto"/>
              <w:rPr>
                <w:rFonts w:ascii="Times New Roman" w:hAnsi="Times New Roman"/>
              </w:rPr>
            </w:pPr>
            <w:r w:rsidRPr="000B1A6C">
              <w:rPr>
                <w:rFonts w:ascii="Times New Roman" w:hAnsi="Times New Roman"/>
              </w:rPr>
              <w:t>2</w:t>
            </w:r>
            <w:r w:rsidR="00CE2F41">
              <w:rPr>
                <w:rFonts w:ascii="Times New Roman" w:hAnsi="Times New Roman"/>
              </w:rPr>
              <w:t xml:space="preserve"> </w:t>
            </w:r>
          </w:p>
          <w:p w:rsidR="00A12EC4" w:rsidRPr="000B1A6C" w:rsidRDefault="00A12EC4" w:rsidP="00BC58B8">
            <w:pPr>
              <w:spacing w:after="0" w:line="300" w:lineRule="auto"/>
              <w:rPr>
                <w:rFonts w:ascii="Times New Roman" w:hAnsi="Times New Roman"/>
              </w:rPr>
            </w:pPr>
            <w:r w:rsidRPr="000B1A6C">
              <w:rPr>
                <w:rFonts w:ascii="Times New Roman" w:hAnsi="Times New Roman"/>
              </w:rPr>
              <w:t>3</w:t>
            </w:r>
            <w:r w:rsidR="00CE2F41">
              <w:rPr>
                <w:rFonts w:ascii="Times New Roman" w:hAnsi="Times New Roman"/>
              </w:rPr>
              <w:t xml:space="preserve"> </w:t>
            </w:r>
          </w:p>
          <w:p w:rsidR="00A12EC4" w:rsidRPr="000B1A6C" w:rsidRDefault="00A12EC4" w:rsidP="00BC58B8">
            <w:pPr>
              <w:spacing w:after="0" w:line="300" w:lineRule="auto"/>
              <w:rPr>
                <w:rFonts w:ascii="Times New Roman" w:hAnsi="Times New Roman"/>
              </w:rPr>
            </w:pPr>
            <w:r w:rsidRPr="000B1A6C">
              <w:rPr>
                <w:rFonts w:ascii="Times New Roman" w:hAnsi="Times New Roman"/>
              </w:rPr>
              <w:t>4</w:t>
            </w:r>
            <w:r w:rsidR="00CE2F41">
              <w:rPr>
                <w:rFonts w:ascii="Times New Roman" w:hAnsi="Times New Roman"/>
              </w:rPr>
              <w:t xml:space="preserve"> </w:t>
            </w:r>
          </w:p>
        </w:tc>
        <w:tc>
          <w:tcPr>
            <w:tcW w:w="3402" w:type="dxa"/>
            <w:vAlign w:val="center"/>
          </w:tcPr>
          <w:p w:rsidR="00A12EC4" w:rsidRPr="000B1A6C" w:rsidRDefault="007D58CE" w:rsidP="00BC58B8">
            <w:pPr>
              <w:spacing w:after="0" w:line="300" w:lineRule="auto"/>
              <w:rPr>
                <w:rFonts w:ascii="Times New Roman" w:hAnsi="Times New Roman"/>
              </w:rPr>
            </w:pPr>
            <w:r>
              <w:rPr>
                <w:rFonts w:ascii="Times New Roman" w:hAnsi="Times New Roman"/>
              </w:rPr>
              <w:t>Přímý</w:t>
            </w:r>
            <w:r w:rsidR="00A12EC4" w:rsidRPr="000B1A6C">
              <w:rPr>
                <w:rFonts w:ascii="Times New Roman" w:hAnsi="Times New Roman"/>
              </w:rPr>
              <w:t xml:space="preserve"> </w:t>
            </w:r>
            <w:r w:rsidR="00CE2F41">
              <w:rPr>
                <w:rFonts w:ascii="Times New Roman" w:hAnsi="Times New Roman"/>
              </w:rPr>
              <w:t xml:space="preserve">(jednicový) </w:t>
            </w:r>
            <w:r w:rsidR="00A12EC4" w:rsidRPr="000B1A6C">
              <w:rPr>
                <w:rFonts w:ascii="Times New Roman" w:hAnsi="Times New Roman"/>
              </w:rPr>
              <w:t xml:space="preserve">materiál </w:t>
            </w:r>
          </w:p>
          <w:p w:rsidR="00A12EC4" w:rsidRPr="000B1A6C" w:rsidRDefault="007D58CE" w:rsidP="00BC58B8">
            <w:pPr>
              <w:spacing w:after="0" w:line="300" w:lineRule="auto"/>
              <w:rPr>
                <w:rFonts w:ascii="Times New Roman" w:hAnsi="Times New Roman"/>
              </w:rPr>
            </w:pPr>
            <w:r>
              <w:rPr>
                <w:rFonts w:ascii="Times New Roman" w:hAnsi="Times New Roman"/>
              </w:rPr>
              <w:t>Přímé</w:t>
            </w:r>
            <w:r w:rsidR="00A12EC4" w:rsidRPr="000B1A6C">
              <w:rPr>
                <w:rFonts w:ascii="Times New Roman" w:hAnsi="Times New Roman"/>
              </w:rPr>
              <w:t xml:space="preserve"> </w:t>
            </w:r>
            <w:r w:rsidR="00CE2F41">
              <w:rPr>
                <w:rFonts w:ascii="Times New Roman" w:hAnsi="Times New Roman"/>
              </w:rPr>
              <w:t xml:space="preserve">(jednicové) </w:t>
            </w:r>
            <w:r w:rsidR="00A12EC4" w:rsidRPr="000B1A6C">
              <w:rPr>
                <w:rFonts w:ascii="Times New Roman" w:hAnsi="Times New Roman"/>
              </w:rPr>
              <w:t xml:space="preserve">mzdy </w:t>
            </w:r>
          </w:p>
          <w:p w:rsidR="00A12EC4" w:rsidRPr="000B1A6C" w:rsidRDefault="00A12EC4" w:rsidP="00BC58B8">
            <w:pPr>
              <w:spacing w:after="0" w:line="300" w:lineRule="auto"/>
              <w:rPr>
                <w:rFonts w:ascii="Times New Roman" w:hAnsi="Times New Roman"/>
              </w:rPr>
            </w:pPr>
            <w:r w:rsidRPr="000B1A6C">
              <w:rPr>
                <w:rFonts w:ascii="Times New Roman" w:hAnsi="Times New Roman"/>
              </w:rPr>
              <w:t xml:space="preserve">Ostatní </w:t>
            </w:r>
            <w:r w:rsidR="007D58CE">
              <w:rPr>
                <w:rFonts w:ascii="Times New Roman" w:hAnsi="Times New Roman"/>
              </w:rPr>
              <w:t>přímé</w:t>
            </w:r>
            <w:r w:rsidRPr="000B1A6C">
              <w:rPr>
                <w:rFonts w:ascii="Times New Roman" w:hAnsi="Times New Roman"/>
              </w:rPr>
              <w:t xml:space="preserve"> </w:t>
            </w:r>
            <w:r w:rsidR="00CE2F41">
              <w:rPr>
                <w:rFonts w:ascii="Times New Roman" w:hAnsi="Times New Roman"/>
              </w:rPr>
              <w:t xml:space="preserve">(jednicové) </w:t>
            </w:r>
            <w:r w:rsidRPr="000B1A6C">
              <w:rPr>
                <w:rFonts w:ascii="Times New Roman" w:hAnsi="Times New Roman"/>
              </w:rPr>
              <w:t xml:space="preserve">náklady </w:t>
            </w:r>
          </w:p>
          <w:p w:rsidR="00A12EC4" w:rsidRPr="000B1A6C" w:rsidRDefault="00A12EC4" w:rsidP="00BC58B8">
            <w:pPr>
              <w:spacing w:after="0" w:line="300" w:lineRule="auto"/>
              <w:rPr>
                <w:rFonts w:ascii="Times New Roman" w:hAnsi="Times New Roman"/>
              </w:rPr>
            </w:pPr>
            <w:r w:rsidRPr="000B1A6C">
              <w:rPr>
                <w:rFonts w:ascii="Times New Roman" w:hAnsi="Times New Roman"/>
              </w:rPr>
              <w:t xml:space="preserve">Výrobní (provozní) režie </w:t>
            </w:r>
          </w:p>
        </w:tc>
      </w:tr>
      <w:tr w:rsidR="000B1A6C" w:rsidRPr="000B1A6C" w:rsidTr="006E229E">
        <w:tc>
          <w:tcPr>
            <w:tcW w:w="425" w:type="dxa"/>
            <w:vAlign w:val="center"/>
          </w:tcPr>
          <w:p w:rsidR="00A12EC4" w:rsidRPr="000B1A6C" w:rsidRDefault="00A12EC4" w:rsidP="00BC58B8">
            <w:pPr>
              <w:spacing w:after="0" w:line="300" w:lineRule="auto"/>
              <w:rPr>
                <w:rFonts w:ascii="Times New Roman" w:hAnsi="Times New Roman"/>
              </w:rPr>
            </w:pPr>
            <w:r w:rsidRPr="000B1A6C">
              <w:rPr>
                <w:rFonts w:ascii="Times New Roman" w:hAnsi="Times New Roman"/>
              </w:rPr>
              <w:t>=</w:t>
            </w:r>
            <w:r w:rsidR="00CE2F41">
              <w:rPr>
                <w:rFonts w:ascii="Times New Roman" w:hAnsi="Times New Roman"/>
              </w:rPr>
              <w:t xml:space="preserve"> </w:t>
            </w:r>
          </w:p>
        </w:tc>
        <w:tc>
          <w:tcPr>
            <w:tcW w:w="3402" w:type="dxa"/>
            <w:vAlign w:val="center"/>
          </w:tcPr>
          <w:p w:rsidR="00A12EC4" w:rsidRPr="000B1A6C" w:rsidRDefault="00A12EC4" w:rsidP="00BC58B8">
            <w:pPr>
              <w:spacing w:after="0" w:line="300" w:lineRule="auto"/>
              <w:rPr>
                <w:rFonts w:ascii="Times New Roman" w:hAnsi="Times New Roman"/>
              </w:rPr>
            </w:pPr>
            <w:r w:rsidRPr="000B1A6C">
              <w:rPr>
                <w:rFonts w:ascii="Times New Roman" w:hAnsi="Times New Roman"/>
              </w:rPr>
              <w:t>Vlastní náklad</w:t>
            </w:r>
            <w:r w:rsidR="007D58CE">
              <w:rPr>
                <w:rFonts w:ascii="Times New Roman" w:hAnsi="Times New Roman"/>
              </w:rPr>
              <w:t>y</w:t>
            </w:r>
            <w:r w:rsidRPr="000B1A6C">
              <w:rPr>
                <w:rFonts w:ascii="Times New Roman" w:hAnsi="Times New Roman"/>
              </w:rPr>
              <w:t xml:space="preserve"> výroby </w:t>
            </w:r>
            <w:r w:rsidR="004E02A4">
              <w:rPr>
                <w:rFonts w:ascii="Times New Roman" w:hAnsi="Times New Roman"/>
              </w:rPr>
              <w:t xml:space="preserve">(provozu) </w:t>
            </w:r>
          </w:p>
        </w:tc>
      </w:tr>
      <w:tr w:rsidR="000B1A6C" w:rsidRPr="000B1A6C" w:rsidTr="006E229E">
        <w:tc>
          <w:tcPr>
            <w:tcW w:w="425" w:type="dxa"/>
            <w:vAlign w:val="center"/>
          </w:tcPr>
          <w:p w:rsidR="00A12EC4" w:rsidRPr="000B1A6C" w:rsidRDefault="00A12EC4" w:rsidP="00BC58B8">
            <w:pPr>
              <w:spacing w:after="0" w:line="300" w:lineRule="auto"/>
              <w:rPr>
                <w:rFonts w:ascii="Times New Roman" w:hAnsi="Times New Roman"/>
              </w:rPr>
            </w:pPr>
            <w:r w:rsidRPr="000B1A6C">
              <w:rPr>
                <w:rFonts w:ascii="Times New Roman" w:hAnsi="Times New Roman"/>
              </w:rPr>
              <w:t>5</w:t>
            </w:r>
            <w:r w:rsidR="00CE2F41">
              <w:rPr>
                <w:rFonts w:ascii="Times New Roman" w:hAnsi="Times New Roman"/>
              </w:rPr>
              <w:t xml:space="preserve"> </w:t>
            </w:r>
          </w:p>
        </w:tc>
        <w:tc>
          <w:tcPr>
            <w:tcW w:w="3402" w:type="dxa"/>
            <w:vAlign w:val="center"/>
          </w:tcPr>
          <w:p w:rsidR="00A12EC4" w:rsidRPr="000B1A6C" w:rsidRDefault="00A12EC4" w:rsidP="00BC58B8">
            <w:pPr>
              <w:spacing w:after="0" w:line="300" w:lineRule="auto"/>
              <w:rPr>
                <w:rFonts w:ascii="Times New Roman" w:hAnsi="Times New Roman"/>
              </w:rPr>
            </w:pPr>
            <w:r w:rsidRPr="000B1A6C">
              <w:rPr>
                <w:rFonts w:ascii="Times New Roman" w:hAnsi="Times New Roman"/>
              </w:rPr>
              <w:t xml:space="preserve">Správní režie </w:t>
            </w:r>
          </w:p>
        </w:tc>
      </w:tr>
      <w:tr w:rsidR="000B1A6C" w:rsidRPr="000B1A6C" w:rsidTr="006E229E">
        <w:tc>
          <w:tcPr>
            <w:tcW w:w="425" w:type="dxa"/>
            <w:vAlign w:val="center"/>
          </w:tcPr>
          <w:p w:rsidR="00A12EC4" w:rsidRPr="000B1A6C" w:rsidRDefault="00A12EC4" w:rsidP="00BC58B8">
            <w:pPr>
              <w:spacing w:after="0" w:line="300" w:lineRule="auto"/>
              <w:rPr>
                <w:rFonts w:ascii="Times New Roman" w:hAnsi="Times New Roman"/>
              </w:rPr>
            </w:pPr>
            <w:r w:rsidRPr="000B1A6C">
              <w:rPr>
                <w:rFonts w:ascii="Times New Roman" w:hAnsi="Times New Roman"/>
              </w:rPr>
              <w:t>=</w:t>
            </w:r>
            <w:r w:rsidR="00CE2F41">
              <w:rPr>
                <w:rFonts w:ascii="Times New Roman" w:hAnsi="Times New Roman"/>
              </w:rPr>
              <w:t xml:space="preserve"> </w:t>
            </w:r>
          </w:p>
        </w:tc>
        <w:tc>
          <w:tcPr>
            <w:tcW w:w="3402" w:type="dxa"/>
            <w:vAlign w:val="center"/>
          </w:tcPr>
          <w:p w:rsidR="00A12EC4" w:rsidRPr="000B1A6C" w:rsidRDefault="00A12EC4" w:rsidP="00BC58B8">
            <w:pPr>
              <w:spacing w:after="0" w:line="300" w:lineRule="auto"/>
              <w:rPr>
                <w:rFonts w:ascii="Times New Roman" w:hAnsi="Times New Roman"/>
              </w:rPr>
            </w:pPr>
            <w:r w:rsidRPr="000B1A6C">
              <w:rPr>
                <w:rFonts w:ascii="Times New Roman" w:hAnsi="Times New Roman"/>
              </w:rPr>
              <w:t xml:space="preserve">Vlastní náklady výkonu </w:t>
            </w:r>
          </w:p>
        </w:tc>
      </w:tr>
      <w:tr w:rsidR="000B1A6C" w:rsidRPr="000B1A6C" w:rsidTr="006E229E">
        <w:tc>
          <w:tcPr>
            <w:tcW w:w="425" w:type="dxa"/>
            <w:vAlign w:val="center"/>
          </w:tcPr>
          <w:p w:rsidR="00A12EC4" w:rsidRPr="000B1A6C" w:rsidRDefault="00A12EC4" w:rsidP="00BC58B8">
            <w:pPr>
              <w:spacing w:after="0" w:line="300" w:lineRule="auto"/>
              <w:rPr>
                <w:rFonts w:ascii="Times New Roman" w:hAnsi="Times New Roman"/>
              </w:rPr>
            </w:pPr>
            <w:r w:rsidRPr="000B1A6C">
              <w:rPr>
                <w:rFonts w:ascii="Times New Roman" w:hAnsi="Times New Roman"/>
              </w:rPr>
              <w:t>6</w:t>
            </w:r>
            <w:r w:rsidR="00CE2F41">
              <w:rPr>
                <w:rFonts w:ascii="Times New Roman" w:hAnsi="Times New Roman"/>
              </w:rPr>
              <w:t xml:space="preserve"> </w:t>
            </w:r>
          </w:p>
        </w:tc>
        <w:tc>
          <w:tcPr>
            <w:tcW w:w="3402" w:type="dxa"/>
            <w:vAlign w:val="center"/>
          </w:tcPr>
          <w:p w:rsidR="00A12EC4" w:rsidRPr="000B1A6C" w:rsidRDefault="00A12EC4" w:rsidP="00BC58B8">
            <w:pPr>
              <w:spacing w:after="0" w:line="300" w:lineRule="auto"/>
              <w:rPr>
                <w:rFonts w:ascii="Times New Roman" w:hAnsi="Times New Roman"/>
              </w:rPr>
            </w:pPr>
            <w:r w:rsidRPr="000B1A6C">
              <w:rPr>
                <w:rFonts w:ascii="Times New Roman" w:hAnsi="Times New Roman"/>
              </w:rPr>
              <w:t xml:space="preserve">Odbytová režie </w:t>
            </w:r>
          </w:p>
        </w:tc>
      </w:tr>
      <w:tr w:rsidR="007D58CE" w:rsidRPr="000B1A6C" w:rsidTr="006E229E">
        <w:tc>
          <w:tcPr>
            <w:tcW w:w="425" w:type="dxa"/>
            <w:vAlign w:val="center"/>
          </w:tcPr>
          <w:p w:rsidR="007D58CE" w:rsidRPr="000B1A6C" w:rsidRDefault="007D58CE" w:rsidP="00BC58B8">
            <w:pPr>
              <w:spacing w:after="0" w:line="300" w:lineRule="auto"/>
              <w:rPr>
                <w:rFonts w:ascii="Times New Roman" w:hAnsi="Times New Roman"/>
              </w:rPr>
            </w:pPr>
            <w:r w:rsidRPr="000B1A6C">
              <w:rPr>
                <w:rFonts w:ascii="Times New Roman" w:hAnsi="Times New Roman"/>
              </w:rPr>
              <w:t>=</w:t>
            </w:r>
            <w:r w:rsidR="00CE2F41">
              <w:rPr>
                <w:rFonts w:ascii="Times New Roman" w:hAnsi="Times New Roman"/>
              </w:rPr>
              <w:t xml:space="preserve"> </w:t>
            </w:r>
          </w:p>
        </w:tc>
        <w:tc>
          <w:tcPr>
            <w:tcW w:w="3402" w:type="dxa"/>
            <w:vAlign w:val="center"/>
          </w:tcPr>
          <w:p w:rsidR="007D58CE" w:rsidRPr="000B1A6C" w:rsidRDefault="007D58CE" w:rsidP="00BC58B8">
            <w:pPr>
              <w:spacing w:after="0" w:line="300" w:lineRule="auto"/>
              <w:rPr>
                <w:rFonts w:ascii="Times New Roman" w:hAnsi="Times New Roman"/>
              </w:rPr>
            </w:pPr>
            <w:r w:rsidRPr="000B1A6C">
              <w:rPr>
                <w:rFonts w:ascii="Times New Roman" w:hAnsi="Times New Roman"/>
              </w:rPr>
              <w:t xml:space="preserve">Úplné vlastní náklady výkonu </w:t>
            </w:r>
          </w:p>
        </w:tc>
      </w:tr>
    </w:tbl>
    <w:p w:rsidR="00A12EC4" w:rsidRPr="0066644E" w:rsidRDefault="000B1A6C" w:rsidP="000B1A6C">
      <w:pPr>
        <w:spacing w:before="60" w:line="240" w:lineRule="auto"/>
        <w:rPr>
          <w:sz w:val="22"/>
          <w:szCs w:val="22"/>
        </w:rPr>
      </w:pPr>
      <w:r w:rsidRPr="0066644E">
        <w:rPr>
          <w:sz w:val="22"/>
          <w:szCs w:val="22"/>
        </w:rPr>
        <w:t xml:space="preserve">Zdroj: </w:t>
      </w:r>
      <w:r w:rsidR="006C5D05" w:rsidRPr="0066644E">
        <w:rPr>
          <w:sz w:val="22"/>
          <w:szCs w:val="22"/>
        </w:rPr>
        <w:t xml:space="preserve">Hradecký, Lanča, Šiška 2008, s. 178 (vlastní zpracování) </w:t>
      </w:r>
    </w:p>
    <w:p w:rsidR="004C5B0A" w:rsidRDefault="00EC1557" w:rsidP="00CD6A5A">
      <w:r>
        <w:t xml:space="preserve">Král upozorňuje, že </w:t>
      </w:r>
      <w:r w:rsidR="00CE2F41">
        <w:t>historicky</w:t>
      </w:r>
      <w:r w:rsidR="004C5B0A">
        <w:t xml:space="preserve"> používaný typový kalkulační vzorec nevyhovuje potřebám manažerského řízení, </w:t>
      </w:r>
      <w:r w:rsidR="00115505">
        <w:t xml:space="preserve">a </w:t>
      </w:r>
      <w:r w:rsidR="004C5B0A">
        <w:t xml:space="preserve">proto se v současnosti používají </w:t>
      </w:r>
      <w:r w:rsidR="00146665">
        <w:t xml:space="preserve">i </w:t>
      </w:r>
      <w:r w:rsidR="004C5B0A">
        <w:t xml:space="preserve">jiné kalkulační </w:t>
      </w:r>
      <w:r w:rsidR="004C5B0A">
        <w:lastRenderedPageBreak/>
        <w:t xml:space="preserve">vzorce, jež se odlišují vztahem nákladů výkonu k jeho ceně a strukturou nákladů výkonu. </w:t>
      </w:r>
    </w:p>
    <w:p w:rsidR="007226A2" w:rsidRDefault="00EC1557" w:rsidP="007226A2">
      <w:r w:rsidRPr="00115505">
        <w:rPr>
          <w:b/>
        </w:rPr>
        <w:t>Retrográdní kalkulační vzorec</w:t>
      </w:r>
      <w:r>
        <w:t xml:space="preserve"> vychází z</w:t>
      </w:r>
      <w:r w:rsidR="00452101">
        <w:t> </w:t>
      </w:r>
      <w:r>
        <w:t>ceny</w:t>
      </w:r>
      <w:r w:rsidR="00452101">
        <w:t xml:space="preserve"> výkonu. Vztah mezi reálnou kalkulací nákladů, očekávaným ziskem a dosaženou cenou v něm není </w:t>
      </w:r>
      <w:r w:rsidR="00146665">
        <w:t xml:space="preserve">jako u typového kalkulačního vzorce </w:t>
      </w:r>
      <w:r w:rsidR="00452101">
        <w:t xml:space="preserve">součtový, ale rozdílový – úroveň zisku se zjišťuje odečtením nákladů od ceny. </w:t>
      </w:r>
      <w:r w:rsidR="0033421D">
        <w:t xml:space="preserve">Další typ kalkulačního vzorce pracuje s oddělením nákladů variabilních a fixních. Po odečtení variabilních nákladů od ceny získáme marži, odečtením fixních nákladů na jednotku výkonu od marže se zjišťuje zisk. Z tohoto vzorce vychází i </w:t>
      </w:r>
      <w:r w:rsidR="0033421D" w:rsidRPr="00115505">
        <w:rPr>
          <w:b/>
        </w:rPr>
        <w:t>dynamická kalkulace</w:t>
      </w:r>
      <w:r w:rsidR="0033421D">
        <w:t xml:space="preserve"> používaná pro ocenění vnitropodnikových výkonů</w:t>
      </w:r>
      <w:r w:rsidR="007226A2">
        <w:t xml:space="preserve"> a </w:t>
      </w:r>
      <w:r w:rsidR="007226A2" w:rsidRPr="00115505">
        <w:rPr>
          <w:b/>
        </w:rPr>
        <w:t>kalkulace se stupňovitým rozvrstvením fixních nákladů</w:t>
      </w:r>
      <w:r w:rsidR="0033421D">
        <w:t xml:space="preserve">. Vzorec dynamické kalkulace je postaven </w:t>
      </w:r>
      <w:r w:rsidR="00146665">
        <w:t xml:space="preserve">vedle </w:t>
      </w:r>
      <w:r w:rsidR="0033421D">
        <w:t>oddělení variabilních a fixních ná</w:t>
      </w:r>
      <w:r w:rsidR="00146665">
        <w:t>kladů i</w:t>
      </w:r>
      <w:r w:rsidR="0033421D">
        <w:t xml:space="preserve"> </w:t>
      </w:r>
      <w:r w:rsidR="00115505">
        <w:br/>
      </w:r>
      <w:r w:rsidR="0033421D">
        <w:t>na členění nákladů dle fází reproduk</w:t>
      </w:r>
      <w:r w:rsidR="007226A2">
        <w:t xml:space="preserve">čního procesu. Kalkulace se stupňovitým rozvrstvením fixních nákladů odděluje fixní náklady v závislosti na principu jejich alokace. Konečně </w:t>
      </w:r>
      <w:r w:rsidR="007226A2" w:rsidRPr="00115505">
        <w:rPr>
          <w:b/>
        </w:rPr>
        <w:t>kalkulace relevantních nákladů</w:t>
      </w:r>
      <w:r w:rsidR="007226A2">
        <w:t xml:space="preserve"> ve vzorci navíc odděluje náklady podle toho, zda mají v daném období vliv na peněžní toky. Pomáhají tak např. stanovit dolní hranici ceny z pohledu financování zakázky </w:t>
      </w:r>
      <w:r w:rsidR="007226A2" w:rsidRPr="00AE5014">
        <w:t>(Král 2006, s</w:t>
      </w:r>
      <w:r w:rsidR="007226A2">
        <w:t>. 133 až 139</w:t>
      </w:r>
      <w:r w:rsidR="007226A2" w:rsidRPr="00AE5014">
        <w:t>)</w:t>
      </w:r>
      <w:r w:rsidR="007226A2">
        <w:t xml:space="preserve">. </w:t>
      </w:r>
    </w:p>
    <w:p w:rsidR="007226A2" w:rsidRDefault="0034125F" w:rsidP="00AD39AE">
      <w:pPr>
        <w:pStyle w:val="Nadpis3"/>
        <w:spacing w:before="720"/>
      </w:pPr>
      <w:bookmarkStart w:id="13" w:name="_Toc302476202"/>
      <w:r>
        <w:t>Přiřazování nákladů předmětu kalkulace</w:t>
      </w:r>
      <w:bookmarkEnd w:id="13"/>
      <w:r>
        <w:t xml:space="preserve"> </w:t>
      </w:r>
    </w:p>
    <w:p w:rsidR="007226A2" w:rsidRDefault="001772E1" w:rsidP="00CD6A5A">
      <w:r>
        <w:t xml:space="preserve">Při přiřazování nákladů předmětu kalkulace se vychází z nákladů členěných na přímé a nepřímé. Aktuálně je </w:t>
      </w:r>
      <w:r w:rsidR="00026162">
        <w:t xml:space="preserve">ale </w:t>
      </w:r>
      <w:r>
        <w:t xml:space="preserve">tento </w:t>
      </w:r>
      <w:r w:rsidR="00026162">
        <w:t xml:space="preserve">tradiční </w:t>
      </w:r>
      <w:r>
        <w:t xml:space="preserve">pohled </w:t>
      </w:r>
      <w:r w:rsidR="00026162">
        <w:t xml:space="preserve">v závislosti na řešeném problému </w:t>
      </w:r>
      <w:r>
        <w:t xml:space="preserve">kombinován </w:t>
      </w:r>
      <w:r w:rsidR="00026162">
        <w:t xml:space="preserve">i </w:t>
      </w:r>
      <w:r>
        <w:t>s rozlišením nákladů na jednicové a režijní</w:t>
      </w:r>
      <w:r w:rsidR="00026162">
        <w:t xml:space="preserve">, </w:t>
      </w:r>
      <w:r w:rsidR="00146665">
        <w:t xml:space="preserve">na </w:t>
      </w:r>
      <w:r w:rsidR="00026162">
        <w:t xml:space="preserve">variabilní a fixní </w:t>
      </w:r>
      <w:r w:rsidR="00146665">
        <w:t xml:space="preserve">a </w:t>
      </w:r>
      <w:r w:rsidR="00146665">
        <w:br/>
      </w:r>
      <w:r w:rsidR="00026162">
        <w:t xml:space="preserve">na relevantní a irelevantní. </w:t>
      </w:r>
    </w:p>
    <w:p w:rsidR="003C2AF1" w:rsidRDefault="00026162" w:rsidP="003C2AF1">
      <w:r>
        <w:t xml:space="preserve">Přímé náklady </w:t>
      </w:r>
      <w:r w:rsidR="007F784A">
        <w:t>na</w:t>
      </w:r>
      <w:r>
        <w:t xml:space="preserve"> kalkulační jednici </w:t>
      </w:r>
      <w:r w:rsidR="007F784A">
        <w:t xml:space="preserve">se </w:t>
      </w:r>
      <w:r w:rsidR="00146665">
        <w:t xml:space="preserve">jednoduše </w:t>
      </w:r>
      <w:r>
        <w:t>zjišťují jako podíl cel</w:t>
      </w:r>
      <w:r w:rsidR="007F784A">
        <w:t>k</w:t>
      </w:r>
      <w:r>
        <w:t xml:space="preserve">ové výše přímých nákladů a kalkulovaného množství. Přiřazení kalkulační jednici lze přitom zajistit </w:t>
      </w:r>
      <w:r w:rsidR="006C5D05">
        <w:t xml:space="preserve">už </w:t>
      </w:r>
      <w:r>
        <w:t xml:space="preserve">na úrovni finančního účetnictví. </w:t>
      </w:r>
    </w:p>
    <w:p w:rsidR="00026162" w:rsidRDefault="00026162" w:rsidP="003C2AF1">
      <w:pPr>
        <w:spacing w:after="0"/>
      </w:pPr>
      <w:r>
        <w:t xml:space="preserve">Oproti tomu </w:t>
      </w:r>
      <w:r w:rsidR="007F784A">
        <w:t xml:space="preserve">jsou </w:t>
      </w:r>
      <w:r>
        <w:t xml:space="preserve">nepřímé náklady </w:t>
      </w:r>
      <w:r w:rsidR="007F784A">
        <w:t>společné více skupin</w:t>
      </w:r>
      <w:r w:rsidR="008F4E89">
        <w:t>ám</w:t>
      </w:r>
      <w:r w:rsidR="007F784A">
        <w:t xml:space="preserve"> výkonů. Pro j</w:t>
      </w:r>
      <w:r w:rsidR="00C022DB">
        <w:t>ejich přiřazení se používají dvě</w:t>
      </w:r>
      <w:r w:rsidR="007F784A">
        <w:t xml:space="preserve"> základní </w:t>
      </w:r>
      <w:r w:rsidR="00C022DB">
        <w:t>techniky</w:t>
      </w:r>
      <w:r w:rsidR="007F784A">
        <w:t xml:space="preserve">: </w:t>
      </w:r>
    </w:p>
    <w:p w:rsidR="007F784A" w:rsidRDefault="00CE481E" w:rsidP="005855A6">
      <w:pPr>
        <w:pStyle w:val="Odstavecseseznamem"/>
        <w:numPr>
          <w:ilvl w:val="0"/>
          <w:numId w:val="5"/>
        </w:numPr>
        <w:spacing w:line="360" w:lineRule="auto"/>
        <w:ind w:left="357" w:hanging="357"/>
      </w:pPr>
      <w:r>
        <w:t>k</w:t>
      </w:r>
      <w:r w:rsidR="007F784A">
        <w:t>alkulace dělením (prostá nebo s poměrovými čísly)</w:t>
      </w:r>
      <w:r>
        <w:t>, kter</w:t>
      </w:r>
      <w:r w:rsidR="008F4E89">
        <w:t>á přiřazuje</w:t>
      </w:r>
      <w:r>
        <w:t xml:space="preserve"> náklady výkonům podle množství kalkulačních jednic</w:t>
      </w:r>
      <w:r w:rsidR="007F784A">
        <w:t xml:space="preserve">; </w:t>
      </w:r>
    </w:p>
    <w:p w:rsidR="007F784A" w:rsidRDefault="00CE481E" w:rsidP="005855A6">
      <w:pPr>
        <w:pStyle w:val="Odstavecseseznamem"/>
        <w:numPr>
          <w:ilvl w:val="0"/>
          <w:numId w:val="5"/>
        </w:numPr>
        <w:spacing w:line="360" w:lineRule="auto"/>
        <w:ind w:left="357" w:hanging="357"/>
      </w:pPr>
      <w:r>
        <w:lastRenderedPageBreak/>
        <w:t>k</w:t>
      </w:r>
      <w:r w:rsidR="007F784A">
        <w:t>alkulace přirážková (sumační nebo diferencovaná)</w:t>
      </w:r>
      <w:r>
        <w:t>, kter</w:t>
      </w:r>
      <w:r w:rsidR="008F4E89">
        <w:t>á</w:t>
      </w:r>
      <w:r>
        <w:t xml:space="preserve"> </w:t>
      </w:r>
      <w:r w:rsidR="008F4E89">
        <w:t xml:space="preserve">přičítá </w:t>
      </w:r>
      <w:r>
        <w:t xml:space="preserve">náklady na základě hodnotové nebo naturální rozvrhové základny. </w:t>
      </w:r>
    </w:p>
    <w:p w:rsidR="00225D68" w:rsidRDefault="00225D68" w:rsidP="00AD39AE">
      <w:pPr>
        <w:pStyle w:val="Nadpis3"/>
        <w:spacing w:before="720"/>
      </w:pPr>
      <w:bookmarkStart w:id="14" w:name="_Toc302476203"/>
      <w:r>
        <w:t>Kalkulační systém podniku</w:t>
      </w:r>
      <w:bookmarkEnd w:id="14"/>
      <w:r>
        <w:t xml:space="preserve"> </w:t>
      </w:r>
    </w:p>
    <w:p w:rsidR="0066644E" w:rsidRDefault="00F02ACA" w:rsidP="00256A24">
      <w:r>
        <w:t xml:space="preserve">Jednotlivé druhy kalkulací se neliší jen principem používaným pro přepočet nákladů </w:t>
      </w:r>
      <w:r w:rsidR="00864885">
        <w:br/>
      </w:r>
      <w:r>
        <w:t>na jednotku výkonu, ale také dobou sestavení a časovým horizontem, ke kterému se vztahují. V rámci jednoho podniku pak mohou být využívány různé typy kalkulací s ohledem na svůj úče</w:t>
      </w:r>
      <w:r w:rsidR="00864885">
        <w:t>l</w:t>
      </w:r>
      <w:r>
        <w:t xml:space="preserve"> a úroveň řízení, se kterým se pojí. </w:t>
      </w:r>
      <w:r w:rsidR="00864885">
        <w:t xml:space="preserve">Používané kalkulace tvoří </w:t>
      </w:r>
      <w:r w:rsidR="00864885" w:rsidRPr="00864885">
        <w:rPr>
          <w:b/>
        </w:rPr>
        <w:t>kalkulační systém</w:t>
      </w:r>
      <w:r w:rsidR="00864885">
        <w:t xml:space="preserve"> podniku. </w:t>
      </w:r>
      <w:r>
        <w:t xml:space="preserve">Kalkulace nákladů můžeme z pohledu okamžiku sestavení a fází řídícího cyklu rozdělit na předběžné a výsledné. </w:t>
      </w:r>
    </w:p>
    <w:p w:rsidR="0066644E" w:rsidRPr="0066644E" w:rsidRDefault="00B65A44" w:rsidP="00933B0C">
      <w:pPr>
        <w:keepNext/>
        <w:spacing w:before="120" w:after="3120" w:line="240" w:lineRule="auto"/>
        <w:rPr>
          <w:sz w:val="22"/>
        </w:rPr>
      </w:pPr>
      <w:r>
        <w:rPr>
          <w:noProof/>
          <w:sz w:val="22"/>
        </w:rPr>
        <w:drawing>
          <wp:anchor distT="0" distB="0" distL="114300" distR="114300" simplePos="0" relativeHeight="251664384" behindDoc="1" locked="0" layoutInCell="1" allowOverlap="1">
            <wp:simplePos x="0" y="0"/>
            <wp:positionH relativeFrom="column">
              <wp:posOffset>-1905</wp:posOffset>
            </wp:positionH>
            <wp:positionV relativeFrom="paragraph">
              <wp:posOffset>11430</wp:posOffset>
            </wp:positionV>
            <wp:extent cx="5400040" cy="2028825"/>
            <wp:effectExtent l="19050" t="0" r="10160"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r w:rsidR="0066644E" w:rsidRPr="0066644E">
        <w:rPr>
          <w:sz w:val="22"/>
        </w:rPr>
        <w:t>Obrázek 2 Kalkulační systém podniku</w:t>
      </w:r>
      <w:r w:rsidR="005300FE">
        <w:rPr>
          <w:sz w:val="22"/>
        </w:rPr>
        <w:t xml:space="preserve"> </w:t>
      </w:r>
    </w:p>
    <w:p w:rsidR="0066644E" w:rsidRPr="0066644E" w:rsidRDefault="0066644E" w:rsidP="0066644E">
      <w:pPr>
        <w:spacing w:before="60" w:line="240" w:lineRule="auto"/>
        <w:rPr>
          <w:sz w:val="22"/>
          <w:szCs w:val="22"/>
        </w:rPr>
      </w:pPr>
      <w:r w:rsidRPr="0066644E">
        <w:rPr>
          <w:sz w:val="22"/>
          <w:szCs w:val="22"/>
        </w:rPr>
        <w:t xml:space="preserve">Zdroj: </w:t>
      </w:r>
      <w:r w:rsidR="005300FE">
        <w:rPr>
          <w:sz w:val="22"/>
          <w:szCs w:val="22"/>
        </w:rPr>
        <w:t>Král 2006</w:t>
      </w:r>
      <w:r w:rsidRPr="0066644E">
        <w:rPr>
          <w:sz w:val="22"/>
          <w:szCs w:val="22"/>
        </w:rPr>
        <w:t>, s. 18</w:t>
      </w:r>
      <w:r w:rsidR="005300FE">
        <w:rPr>
          <w:sz w:val="22"/>
          <w:szCs w:val="22"/>
        </w:rPr>
        <w:t>7</w:t>
      </w:r>
      <w:r w:rsidRPr="0066644E">
        <w:rPr>
          <w:sz w:val="22"/>
          <w:szCs w:val="22"/>
        </w:rPr>
        <w:t xml:space="preserve"> (vlastní zpracování) </w:t>
      </w:r>
    </w:p>
    <w:p w:rsidR="00225D68" w:rsidRDefault="00F02ACA" w:rsidP="00256A24">
      <w:r w:rsidRPr="00864885">
        <w:rPr>
          <w:b/>
        </w:rPr>
        <w:t>Předběžné kalkulace</w:t>
      </w:r>
      <w:r>
        <w:t xml:space="preserve"> se sestavují před zahájením činností na výrobku nebo služb</w:t>
      </w:r>
      <w:r w:rsidR="00C764CA">
        <w:t>ě</w:t>
      </w:r>
      <w:r>
        <w:t xml:space="preserve"> jako odhad budoucích nákladů a podklad pro stanovení ceny. V rámci předběžných kalkulací se vymezují další prv</w:t>
      </w:r>
      <w:r w:rsidR="00864885">
        <w:t>ky kalkulačního systému, mezi ně</w:t>
      </w:r>
      <w:r>
        <w:t xml:space="preserve">ž patří kalkulace propočtové, operativní a plánové. </w:t>
      </w:r>
      <w:r w:rsidRPr="00864885">
        <w:rPr>
          <w:b/>
        </w:rPr>
        <w:t>Propočtové kalkulace</w:t>
      </w:r>
      <w:r>
        <w:t xml:space="preserve"> se s</w:t>
      </w:r>
      <w:r w:rsidR="00864885">
        <w:t xml:space="preserve">estavují pro zjištění rámcového odhadu budoucích nákladů zpravidla ve fázi přípravy nového výkonu. V hromadné a sériové výrobě slouží pro ověření ziskovosti </w:t>
      </w:r>
      <w:r w:rsidR="006D7549">
        <w:t xml:space="preserve">kalkulovaného </w:t>
      </w:r>
      <w:r w:rsidR="00864885">
        <w:t>výkonu ve vztahu k tržní ceně. V zakázkové výrobě pak vyjadřuj</w:t>
      </w:r>
      <w:r w:rsidR="00C764CA">
        <w:t>í</w:t>
      </w:r>
      <w:r w:rsidR="00864885">
        <w:t xml:space="preserve"> náklado</w:t>
      </w:r>
      <w:r w:rsidR="006D7549">
        <w:t>vou náročnost a představuj</w:t>
      </w:r>
      <w:r w:rsidR="00C764CA">
        <w:t>í</w:t>
      </w:r>
      <w:r w:rsidR="006D7549">
        <w:t xml:space="preserve"> </w:t>
      </w:r>
      <w:r w:rsidR="00864885">
        <w:t xml:space="preserve">podklad pro </w:t>
      </w:r>
      <w:r w:rsidR="006D7549">
        <w:t>cenovou nabídku</w:t>
      </w:r>
      <w:r w:rsidR="00864885">
        <w:t xml:space="preserve">. Přesnějším typem předběžných kalkulací jsou </w:t>
      </w:r>
      <w:r w:rsidR="00864885" w:rsidRPr="00864885">
        <w:rPr>
          <w:b/>
        </w:rPr>
        <w:t>plánové kalkulace.</w:t>
      </w:r>
      <w:r w:rsidR="00864885">
        <w:t xml:space="preserve"> Ty se sestavují na určité rozpočtové období na základě známých podmínek výrob</w:t>
      </w:r>
      <w:r w:rsidR="006D7549">
        <w:t>y</w:t>
      </w:r>
      <w:r w:rsidR="00864885">
        <w:t xml:space="preserve"> a daných norem. </w:t>
      </w:r>
      <w:r w:rsidR="006D7549">
        <w:t xml:space="preserve">Stanovují úroveň nákladů, které by mělo být v průběhu období dosaženo v opakované výrobě, a používají se proto jako podklad pro rozpočty hromadné a sériové </w:t>
      </w:r>
      <w:r w:rsidR="006D7549">
        <w:lastRenderedPageBreak/>
        <w:t xml:space="preserve">výroby. </w:t>
      </w:r>
      <w:r w:rsidR="001F2368">
        <w:t xml:space="preserve">Dalším zpřesněním nákladů se zabývají </w:t>
      </w:r>
      <w:r w:rsidR="001F2368" w:rsidRPr="00C764CA">
        <w:rPr>
          <w:b/>
        </w:rPr>
        <w:t>operativní kalkulace</w:t>
      </w:r>
      <w:r w:rsidR="001F2368">
        <w:t xml:space="preserve">. Sestavují se v průběhu hromadné nebo sériové výroby s cílem reflektovat změny </w:t>
      </w:r>
      <w:r w:rsidR="00C764CA">
        <w:t xml:space="preserve">nákladů </w:t>
      </w:r>
      <w:r w:rsidR="001F2368">
        <w:t xml:space="preserve">dané úpravou konstrukčních a technologických podmínek. </w:t>
      </w:r>
      <w:r w:rsidR="006D7549">
        <w:t xml:space="preserve">(Fibírová, Šoljaková, Wagner 2007, s. 224-228). </w:t>
      </w:r>
    </w:p>
    <w:p w:rsidR="00FC7876" w:rsidRDefault="00C764CA" w:rsidP="00256A24">
      <w:r>
        <w:t xml:space="preserve">Po skončení realizace výkonu se sestavují </w:t>
      </w:r>
      <w:r w:rsidRPr="00C764CA">
        <w:rPr>
          <w:b/>
        </w:rPr>
        <w:t>výsledné kalkulace</w:t>
      </w:r>
      <w:r>
        <w:t xml:space="preserve">. Souží ke zpětnému hodnocení hospodárnosti, přičemž se porovnávají provedené odhady nákladů se skutečnou výší spotřebovaných zdrojů. </w:t>
      </w:r>
    </w:p>
    <w:p w:rsidR="00FC7876" w:rsidRDefault="00FC7876" w:rsidP="00256A24"/>
    <w:p w:rsidR="00CD6A5A" w:rsidRDefault="00CD6A5A" w:rsidP="00CD6A5A">
      <w:pPr>
        <w:pStyle w:val="Nadpis2"/>
        <w:ind w:left="578" w:hanging="578"/>
      </w:pPr>
      <w:bookmarkStart w:id="15" w:name="_Toc302476204"/>
      <w:r>
        <w:t>Metody kalkulace</w:t>
      </w:r>
      <w:bookmarkEnd w:id="15"/>
      <w:r>
        <w:t xml:space="preserve"> </w:t>
      </w:r>
    </w:p>
    <w:p w:rsidR="00BA1B75" w:rsidRDefault="00BA1B75" w:rsidP="006D4FD7">
      <w:pPr>
        <w:pStyle w:val="Nadpis3"/>
      </w:pPr>
      <w:bookmarkStart w:id="16" w:name="_Toc302476205"/>
      <w:r>
        <w:t>Charakteristika kalkulačních metod</w:t>
      </w:r>
      <w:bookmarkEnd w:id="16"/>
      <w:r>
        <w:t xml:space="preserve"> </w:t>
      </w:r>
    </w:p>
    <w:p w:rsidR="00AB294B" w:rsidRDefault="00AB294B" w:rsidP="006D4FD7">
      <w:r>
        <w:t xml:space="preserve">Metody kalkulace jsou v literatuře </w:t>
      </w:r>
      <w:r w:rsidR="008F4E89">
        <w:t>zpravidla rozlišovány</w:t>
      </w:r>
      <w:r>
        <w:t xml:space="preserve"> podle rozsahu nákladových položek, s nimiž pracují. </w:t>
      </w:r>
      <w:r w:rsidR="002B3677">
        <w:t>Historicky nejstarší koncepc</w:t>
      </w:r>
      <w:r>
        <w:t>í</w:t>
      </w:r>
      <w:r w:rsidR="002B3677">
        <w:t xml:space="preserve">, jež zobrazuje vztah všech spotřebovaných nákladů </w:t>
      </w:r>
      <w:r>
        <w:t xml:space="preserve">podniku nebo organizační jednotky </w:t>
      </w:r>
      <w:r w:rsidR="002B3677">
        <w:t>k příslušné kalkulační jednici</w:t>
      </w:r>
      <w:r>
        <w:t xml:space="preserve">, je </w:t>
      </w:r>
      <w:r w:rsidR="002B3677" w:rsidRPr="002B3677">
        <w:rPr>
          <w:b/>
        </w:rPr>
        <w:t>kalkulac</w:t>
      </w:r>
      <w:r>
        <w:rPr>
          <w:b/>
        </w:rPr>
        <w:t>e</w:t>
      </w:r>
      <w:r w:rsidR="002B3677" w:rsidRPr="002B3677">
        <w:rPr>
          <w:b/>
        </w:rPr>
        <w:t xml:space="preserve"> úplných nákladů</w:t>
      </w:r>
      <w:r w:rsidR="00094572">
        <w:rPr>
          <w:b/>
        </w:rPr>
        <w:t xml:space="preserve"> (</w:t>
      </w:r>
      <w:r w:rsidR="00F67E3D">
        <w:t xml:space="preserve">jinak také </w:t>
      </w:r>
      <w:r w:rsidR="002B3677">
        <w:t>absorp</w:t>
      </w:r>
      <w:r>
        <w:t>ční kalkulace</w:t>
      </w:r>
      <w:r w:rsidR="00094572">
        <w:t>)</w:t>
      </w:r>
      <w:r w:rsidR="002B3677">
        <w:t>.</w:t>
      </w:r>
      <w:r>
        <w:t xml:space="preserve"> Jejím příkladem je tedy i typový kalkulační vzorec představený v </w:t>
      </w:r>
      <w:r w:rsidR="00744D4A">
        <w:t>sub</w:t>
      </w:r>
      <w:r>
        <w:t xml:space="preserve">kapitole 2.3.2. </w:t>
      </w:r>
      <w:r w:rsidR="00C17227">
        <w:br/>
      </w:r>
      <w:r w:rsidR="00094572">
        <w:t xml:space="preserve">Dle Hradeckého je nevýhodou této kalkulace fakt, že nebere zřetel na různý charakter fixních a variabilních nákladů a nelze ji tedy využít pro řešení všech rozhodovacích úloh. Vhodná je </w:t>
      </w:r>
      <w:r w:rsidR="00367F20">
        <w:t xml:space="preserve">ale </w:t>
      </w:r>
      <w:r w:rsidR="00094572">
        <w:t xml:space="preserve">např. pro stanovení cen individuálně vyráběných zakázek a </w:t>
      </w:r>
      <w:r w:rsidR="008F4E89">
        <w:t xml:space="preserve">pro </w:t>
      </w:r>
      <w:r w:rsidR="00094572">
        <w:t xml:space="preserve">dlouhodobé analýzy nákladové náročnosti výkonů (Hradecký, Lanča, Šiška 2008, </w:t>
      </w:r>
      <w:r w:rsidR="004E02A4">
        <w:br/>
      </w:r>
      <w:r w:rsidR="00094572">
        <w:t xml:space="preserve">s. 178). </w:t>
      </w:r>
      <w:r w:rsidR="00367F20">
        <w:t xml:space="preserve">Nedostatky kalkulace úplných nákladů pro některé rozhodovací úlohy odstraňuje </w:t>
      </w:r>
      <w:r w:rsidR="00367F20" w:rsidRPr="00367F20">
        <w:rPr>
          <w:b/>
        </w:rPr>
        <w:t>k</w:t>
      </w:r>
      <w:r w:rsidRPr="00367F20">
        <w:rPr>
          <w:b/>
        </w:rPr>
        <w:t>alkulace ne</w:t>
      </w:r>
      <w:r w:rsidR="00094572" w:rsidRPr="00367F20">
        <w:rPr>
          <w:b/>
        </w:rPr>
        <w:t>úplných nákladů</w:t>
      </w:r>
      <w:r w:rsidR="00094572">
        <w:t xml:space="preserve"> (neabsorpční kalkulace</w:t>
      </w:r>
      <w:r w:rsidR="003C2AF1">
        <w:t xml:space="preserve">). Tento typ kalkulace pracuje jen s variabilními </w:t>
      </w:r>
      <w:r w:rsidR="008F4E89">
        <w:t>náklady,</w:t>
      </w:r>
      <w:r w:rsidR="003C2AF1">
        <w:t xml:space="preserve"> fixní náklady na jednotlivé výkony nerozpočítává. </w:t>
      </w:r>
    </w:p>
    <w:p w:rsidR="00256A24" w:rsidRDefault="006E12A9" w:rsidP="006D4FD7">
      <w:r>
        <w:t>Jiný pohled na charakter</w:t>
      </w:r>
      <w:r w:rsidR="008F4E89">
        <w:t>istiku a členění kalkulačních metod</w:t>
      </w:r>
      <w:r>
        <w:t xml:space="preserve"> přináší </w:t>
      </w:r>
      <w:r w:rsidR="008F4E89">
        <w:t xml:space="preserve">ve své </w:t>
      </w:r>
      <w:r>
        <w:t>publikac</w:t>
      </w:r>
      <w:r w:rsidR="008F4E89">
        <w:t>i Propesko</w:t>
      </w:r>
      <w:r w:rsidR="00115505">
        <w:t xml:space="preserve"> – m</w:t>
      </w:r>
      <w:r>
        <w:t xml:space="preserve">etody kalkulace člení </w:t>
      </w:r>
      <w:r w:rsidR="008F4E89">
        <w:t>na základní a speciální. Základní metody jsou využitelné ve většině podniků bez ohledu na rozsah a strukturu jejích výkonů. Druhou skupin</w:t>
      </w:r>
      <w:r>
        <w:t xml:space="preserve">u představují metody, které se nedají obecně využít v jakémkoliv podniku – tyto metody jsou vhodné jen pro specifické typy výkonů. </w:t>
      </w:r>
    </w:p>
    <w:p w:rsidR="00256A24" w:rsidRDefault="006E12A9" w:rsidP="006D4FD7">
      <w:r>
        <w:lastRenderedPageBreak/>
        <w:t>Skupinu základních me</w:t>
      </w:r>
      <w:r w:rsidR="00F10A5E">
        <w:t xml:space="preserve">tod lze dál členit podle způsobu přiřazení režijních nákladů výkonům. Propesko uvádí tři možnosti volby nákladové kalkulace: z kategorie kalkulací úplných nákladů to je </w:t>
      </w:r>
      <w:r w:rsidR="00F10A5E" w:rsidRPr="00F10A5E">
        <w:rPr>
          <w:b/>
        </w:rPr>
        <w:t>přirážková kalkulace</w:t>
      </w:r>
      <w:r w:rsidR="00F10A5E">
        <w:t xml:space="preserve"> pracující s průměrnou úrovní režijních nákladů na výkon a </w:t>
      </w:r>
      <w:r w:rsidR="00F10A5E" w:rsidRPr="00F10A5E">
        <w:rPr>
          <w:b/>
        </w:rPr>
        <w:t>kalkulace dle aktivit</w:t>
      </w:r>
      <w:r w:rsidR="00F10A5E">
        <w:t xml:space="preserve"> přiřazující nepřímé náklady podle skutečných příčinných vztahů</w:t>
      </w:r>
      <w:r w:rsidR="00AB1EAD">
        <w:t xml:space="preserve">; </w:t>
      </w:r>
      <w:r w:rsidR="00744D4A">
        <w:t>druhou</w:t>
      </w:r>
      <w:r w:rsidR="00AB1EAD">
        <w:t xml:space="preserve"> možností je režijní náklady </w:t>
      </w:r>
      <w:r w:rsidR="00BA1B75">
        <w:t xml:space="preserve">nepřiřazovat v plné výši, což je princip </w:t>
      </w:r>
      <w:r w:rsidR="00BA1B75" w:rsidRPr="00BA1B75">
        <w:rPr>
          <w:b/>
        </w:rPr>
        <w:t>kalkulace variabilních nákladů</w:t>
      </w:r>
      <w:r w:rsidR="00BA1B75">
        <w:t xml:space="preserve"> </w:t>
      </w:r>
      <w:r w:rsidR="00F10A5E">
        <w:t>(Propesko 2009, s. 60)</w:t>
      </w:r>
      <w:r w:rsidR="00BA1B75">
        <w:t xml:space="preserve">. </w:t>
      </w:r>
      <w:r w:rsidR="00256A24">
        <w:t xml:space="preserve">Mezi speciální kalkulační metody můžeme zařadit kalkulace dělením a kalkulace sdružených výkonů. </w:t>
      </w:r>
      <w:r w:rsidR="00256A24" w:rsidRPr="00623406">
        <w:t>V literatuře jsou uv</w:t>
      </w:r>
      <w:r w:rsidR="00D44865">
        <w:t>áděny</w:t>
      </w:r>
      <w:r w:rsidR="00256A24" w:rsidRPr="00623406">
        <w:t xml:space="preserve"> i další metody, </w:t>
      </w:r>
      <w:r w:rsidR="00F33C08">
        <w:t xml:space="preserve">jež vycházejí ze základních technik přiřazování nákladů předmětu kalkulace, </w:t>
      </w:r>
      <w:r w:rsidR="00256A24" w:rsidRPr="00623406">
        <w:t xml:space="preserve">např. </w:t>
      </w:r>
      <w:r w:rsidR="002D6A93" w:rsidRPr="00623406">
        <w:t xml:space="preserve">metoda </w:t>
      </w:r>
      <w:r w:rsidR="00623406" w:rsidRPr="00623406">
        <w:t>kalkulace se sazbou za strojní</w:t>
      </w:r>
      <w:r w:rsidR="002D6A93" w:rsidRPr="00623406">
        <w:t xml:space="preserve"> hodin</w:t>
      </w:r>
      <w:r w:rsidR="00623406" w:rsidRPr="00623406">
        <w:t>u.</w:t>
      </w:r>
      <w:r w:rsidR="00623406">
        <w:t xml:space="preserve"> </w:t>
      </w:r>
    </w:p>
    <w:p w:rsidR="00BA1B75" w:rsidRDefault="00BA1B75" w:rsidP="00AD39AE">
      <w:pPr>
        <w:pStyle w:val="Nadpis3"/>
        <w:spacing w:before="720"/>
      </w:pPr>
      <w:bookmarkStart w:id="17" w:name="_Toc302476206"/>
      <w:r>
        <w:t>Základní typy nákladových kalkulací</w:t>
      </w:r>
      <w:bookmarkEnd w:id="17"/>
      <w:r>
        <w:t xml:space="preserve"> </w:t>
      </w:r>
    </w:p>
    <w:p w:rsidR="00225D68" w:rsidRPr="00890F78" w:rsidRDefault="00890F78" w:rsidP="00CB04DE">
      <w:pPr>
        <w:keepNext/>
        <w:rPr>
          <w:b/>
        </w:rPr>
      </w:pPr>
      <w:r w:rsidRPr="00890F78">
        <w:rPr>
          <w:b/>
        </w:rPr>
        <w:t xml:space="preserve">Přirážková kalkulace </w:t>
      </w:r>
    </w:p>
    <w:p w:rsidR="00890F78" w:rsidRDefault="00890F78" w:rsidP="00225D68">
      <w:r>
        <w:t>Přirážková kalkulace je nejrozšířenější kalkulační metodou. Mezi výhody, které vedou k</w:t>
      </w:r>
      <w:r w:rsidR="00172B69">
        <w:t xml:space="preserve"> jejímu </w:t>
      </w:r>
      <w:r>
        <w:t xml:space="preserve">častému využívání, patří </w:t>
      </w:r>
      <w:r w:rsidR="00172B69">
        <w:t>značná</w:t>
      </w:r>
      <w:r>
        <w:t xml:space="preserve"> jednoduchost</w:t>
      </w:r>
      <w:r w:rsidR="00172B69">
        <w:t xml:space="preserve"> </w:t>
      </w:r>
      <w:r>
        <w:t xml:space="preserve">výpočtu nákladů výkonu </w:t>
      </w:r>
      <w:r w:rsidR="00172B69">
        <w:t xml:space="preserve">této metody </w:t>
      </w:r>
      <w:r>
        <w:t xml:space="preserve">a fakt, že pro její provádění nejsou </w:t>
      </w:r>
      <w:r w:rsidR="00172B69">
        <w:t>zapotřebí</w:t>
      </w:r>
      <w:r>
        <w:t xml:space="preserve"> žádná speciální data a informace, neboť je založena na práci s</w:t>
      </w:r>
      <w:r w:rsidR="00172B69">
        <w:t xml:space="preserve"> účetními </w:t>
      </w:r>
      <w:r>
        <w:t xml:space="preserve">daty. Jakožto metoda pracující se všemi náklady podniku je také vhodná pro </w:t>
      </w:r>
      <w:r w:rsidR="00172B69">
        <w:t>zajištění</w:t>
      </w:r>
      <w:r>
        <w:t xml:space="preserve"> </w:t>
      </w:r>
      <w:r w:rsidR="00172B69">
        <w:t xml:space="preserve">informací o úplných vlastních nákladech výkonu, </w:t>
      </w:r>
      <w:r w:rsidR="00732854">
        <w:t xml:space="preserve">a </w:t>
      </w:r>
      <w:r w:rsidR="00172B69">
        <w:t xml:space="preserve">proto se používá pro měření rentability a v řadě podniků i při stanovení cen výkonů. </w:t>
      </w:r>
    </w:p>
    <w:p w:rsidR="00225D68" w:rsidRDefault="00B75AAE" w:rsidP="00225D68">
      <w:r>
        <w:t>Přirážková kalkulace pracuje při přiřazování režijních nákladů určitému výkonu s </w:t>
      </w:r>
      <w:r w:rsidRPr="00B75AAE">
        <w:rPr>
          <w:b/>
        </w:rPr>
        <w:t>rozvrhovou základnou</w:t>
      </w:r>
      <w:r>
        <w:t xml:space="preserve">, na jejímž základě se stanovuje přepočítací koeficient nazývaný </w:t>
      </w:r>
      <w:r w:rsidRPr="00B75AAE">
        <w:rPr>
          <w:b/>
        </w:rPr>
        <w:t>režijní přirážka</w:t>
      </w:r>
      <w:r>
        <w:t>. Rozvrhovou základnou je přitom zpravidla určitá polož</w:t>
      </w:r>
      <w:r w:rsidR="00C31AAD">
        <w:t>ka přímých nákladů, přičemž základna může být stanovena buď v</w:t>
      </w:r>
      <w:r w:rsidR="00203ACA">
        <w:t> </w:t>
      </w:r>
      <w:r w:rsidR="00C31AAD">
        <w:t>peněžní</w:t>
      </w:r>
      <w:r w:rsidR="00203ACA">
        <w:t xml:space="preserve">, </w:t>
      </w:r>
      <w:r w:rsidR="00C31AAD">
        <w:t>nebo naturální podobě</w:t>
      </w:r>
      <w:r w:rsidR="00A1069C">
        <w:t xml:space="preserve"> (Propesko 2009, s. 69)</w:t>
      </w:r>
      <w:r w:rsidR="00C31AAD">
        <w:t xml:space="preserve">. </w:t>
      </w:r>
      <w:r w:rsidR="00287033">
        <w:t xml:space="preserve">Při stanovení přirážky můžeme vyjít buď z evidence nákladů minulých období, anebo z plánu nákladů z rozpočtu. </w:t>
      </w:r>
    </w:p>
    <w:p w:rsidR="00C31AAD" w:rsidRDefault="00C31AAD" w:rsidP="00203ACA">
      <w:pPr>
        <w:spacing w:after="120"/>
      </w:pPr>
      <w:r>
        <w:t xml:space="preserve">Při použití peněžní rozvrhové základny se zjišťuje režijní přirážka v procentech </w:t>
      </w:r>
      <w:r w:rsidR="00203ACA">
        <w:br/>
      </w:r>
      <w:r>
        <w:t xml:space="preserve">ve vztahu ke zvolené peněžní základně: </w:t>
      </w:r>
    </w:p>
    <w:p w:rsidR="00172B69" w:rsidRPr="005947DA" w:rsidRDefault="00C31AAD" w:rsidP="003E3667">
      <w:pPr>
        <w:rPr>
          <w:sz w:val="23"/>
          <w:szCs w:val="23"/>
        </w:rPr>
      </w:pPr>
      <m:oMathPara>
        <m:oMathParaPr>
          <m:jc m:val="center"/>
        </m:oMathParaPr>
        <m:oMath>
          <m:r>
            <m:rPr>
              <m:sty m:val="p"/>
            </m:rPr>
            <w:rPr>
              <w:rFonts w:ascii="Cambria Math"/>
              <w:sz w:val="23"/>
              <w:szCs w:val="23"/>
            </w:rPr>
            <m:t>procento p</m:t>
          </m:r>
          <m:r>
            <m:rPr>
              <m:sty m:val="p"/>
            </m:rPr>
            <w:rPr>
              <w:sz w:val="23"/>
              <w:szCs w:val="23"/>
            </w:rPr>
            <m:t>ř</m:t>
          </m:r>
          <m:r>
            <m:rPr>
              <m:sty m:val="p"/>
            </m:rPr>
            <w:rPr>
              <w:rFonts w:ascii="Cambria Math"/>
              <w:sz w:val="23"/>
              <w:szCs w:val="23"/>
            </w:rPr>
            <m:t>ir</m:t>
          </m:r>
          <m:r>
            <m:rPr>
              <m:sty m:val="p"/>
            </m:rPr>
            <w:rPr>
              <w:sz w:val="23"/>
              <w:szCs w:val="23"/>
            </w:rPr>
            <m:t>áž</m:t>
          </m:r>
          <m:r>
            <m:rPr>
              <m:sty m:val="p"/>
            </m:rPr>
            <w:rPr>
              <w:rFonts w:ascii="Cambria Math"/>
              <w:sz w:val="23"/>
              <w:szCs w:val="23"/>
            </w:rPr>
            <m:t>ky re</m:t>
          </m:r>
          <m:r>
            <m:rPr>
              <m:sty m:val="p"/>
            </m:rPr>
            <w:rPr>
              <w:sz w:val="23"/>
              <w:szCs w:val="23"/>
            </w:rPr>
            <m:t>ž</m:t>
          </m:r>
          <m:r>
            <m:rPr>
              <m:sty m:val="p"/>
            </m:rPr>
            <w:rPr>
              <w:rFonts w:ascii="Cambria Math"/>
              <w:sz w:val="23"/>
              <w:szCs w:val="23"/>
            </w:rPr>
            <m:t>ijn</m:t>
          </m:r>
          <m:r>
            <m:rPr>
              <m:sty m:val="p"/>
            </m:rPr>
            <w:rPr>
              <w:sz w:val="23"/>
              <w:szCs w:val="23"/>
            </w:rPr>
            <m:t>í</m:t>
          </m:r>
          <m:r>
            <m:rPr>
              <m:sty m:val="p"/>
            </m:rPr>
            <w:rPr>
              <w:rFonts w:ascii="Cambria Math"/>
              <w:sz w:val="23"/>
              <w:szCs w:val="23"/>
            </w:rPr>
            <m:t>ch n</m:t>
          </m:r>
          <m:r>
            <m:rPr>
              <m:sty m:val="p"/>
            </m:rPr>
            <w:rPr>
              <w:sz w:val="23"/>
              <w:szCs w:val="23"/>
            </w:rPr>
            <m:t>á</m:t>
          </m:r>
          <m:r>
            <m:rPr>
              <m:sty m:val="p"/>
            </m:rPr>
            <w:rPr>
              <w:rFonts w:ascii="Cambria Math"/>
              <w:sz w:val="23"/>
              <w:szCs w:val="23"/>
            </w:rPr>
            <m:t>klad</m:t>
          </m:r>
          <m:r>
            <m:rPr>
              <m:sty m:val="p"/>
            </m:rPr>
            <w:rPr>
              <w:sz w:val="23"/>
              <w:szCs w:val="23"/>
            </w:rPr>
            <m:t>ů</m:t>
          </m:r>
          <m:r>
            <m:rPr>
              <m:sty m:val="p"/>
            </m:rPr>
            <w:rPr>
              <w:rFonts w:ascii="Cambria Math"/>
              <w:sz w:val="23"/>
              <w:szCs w:val="23"/>
            </w:rPr>
            <m:t xml:space="preserve">= </m:t>
          </m:r>
          <m:f>
            <m:fPr>
              <m:ctrlPr>
                <w:rPr>
                  <w:rFonts w:ascii="Cambria Math" w:hAnsi="Cambria Math"/>
                  <w:sz w:val="23"/>
                  <w:szCs w:val="23"/>
                </w:rPr>
              </m:ctrlPr>
            </m:fPr>
            <m:num>
              <m:r>
                <m:rPr>
                  <m:sty m:val="p"/>
                </m:rPr>
                <w:rPr>
                  <w:rFonts w:ascii="Cambria Math"/>
                  <w:sz w:val="23"/>
                  <w:szCs w:val="23"/>
                </w:rPr>
                <m:t>nep</m:t>
              </m:r>
              <m:r>
                <m:rPr>
                  <m:sty m:val="p"/>
                </m:rPr>
                <w:rPr>
                  <w:sz w:val="23"/>
                  <w:szCs w:val="23"/>
                </w:rPr>
                <m:t>ří</m:t>
              </m:r>
              <m:r>
                <m:rPr>
                  <m:sty m:val="p"/>
                </m:rPr>
                <w:rPr>
                  <w:rFonts w:ascii="Cambria Math"/>
                  <w:sz w:val="23"/>
                  <w:szCs w:val="23"/>
                </w:rPr>
                <m:t>m</m:t>
              </m:r>
              <m:r>
                <m:rPr>
                  <m:sty m:val="p"/>
                </m:rPr>
                <w:rPr>
                  <w:sz w:val="23"/>
                  <w:szCs w:val="23"/>
                </w:rPr>
                <m:t>é</m:t>
              </m:r>
              <m:r>
                <m:rPr>
                  <m:sty m:val="p"/>
                </m:rPr>
                <w:rPr>
                  <w:rFonts w:ascii="Cambria Math"/>
                  <w:sz w:val="23"/>
                  <w:szCs w:val="23"/>
                </w:rPr>
                <m:t xml:space="preserve"> re</m:t>
              </m:r>
              <m:r>
                <m:rPr>
                  <m:sty m:val="p"/>
                </m:rPr>
                <w:rPr>
                  <w:sz w:val="23"/>
                  <w:szCs w:val="23"/>
                </w:rPr>
                <m:t>ž</m:t>
              </m:r>
              <m:r>
                <m:rPr>
                  <m:sty m:val="p"/>
                </m:rPr>
                <w:rPr>
                  <w:rFonts w:ascii="Cambria Math"/>
                  <w:sz w:val="23"/>
                  <w:szCs w:val="23"/>
                </w:rPr>
                <m:t>ijn</m:t>
              </m:r>
              <m:r>
                <m:rPr>
                  <m:sty m:val="p"/>
                </m:rPr>
                <w:rPr>
                  <w:sz w:val="23"/>
                  <w:szCs w:val="23"/>
                </w:rPr>
                <m:t>í</m:t>
              </m:r>
              <m:r>
                <m:rPr>
                  <m:sty m:val="p"/>
                </m:rPr>
                <w:rPr>
                  <w:rFonts w:ascii="Cambria Math"/>
                  <w:sz w:val="23"/>
                  <w:szCs w:val="23"/>
                </w:rPr>
                <m:t xml:space="preserve"> n</m:t>
              </m:r>
              <m:r>
                <m:rPr>
                  <m:sty m:val="p"/>
                </m:rPr>
                <w:rPr>
                  <w:sz w:val="23"/>
                  <w:szCs w:val="23"/>
                </w:rPr>
                <m:t>á</m:t>
              </m:r>
              <m:r>
                <m:rPr>
                  <m:sty m:val="p"/>
                </m:rPr>
                <w:rPr>
                  <w:rFonts w:ascii="Cambria Math"/>
                  <w:sz w:val="23"/>
                  <w:szCs w:val="23"/>
                </w:rPr>
                <m:t>klady</m:t>
              </m:r>
            </m:num>
            <m:den>
              <m:r>
                <m:rPr>
                  <m:sty m:val="p"/>
                </m:rPr>
                <w:rPr>
                  <w:rFonts w:ascii="Cambria Math"/>
                  <w:sz w:val="23"/>
                  <w:szCs w:val="23"/>
                </w:rPr>
                <m:t>rozvrhov</m:t>
              </m:r>
              <m:r>
                <m:rPr>
                  <m:sty m:val="p"/>
                </m:rPr>
                <w:rPr>
                  <w:sz w:val="23"/>
                  <w:szCs w:val="23"/>
                </w:rPr>
                <m:t>á</m:t>
              </m:r>
              <m:r>
                <m:rPr>
                  <m:sty m:val="p"/>
                </m:rPr>
                <w:rPr>
                  <w:rFonts w:ascii="Cambria Math"/>
                  <w:sz w:val="23"/>
                  <w:szCs w:val="23"/>
                </w:rPr>
                <m:t xml:space="preserve"> z</m:t>
              </m:r>
              <m:r>
                <m:rPr>
                  <m:sty m:val="p"/>
                </m:rPr>
                <w:rPr>
                  <w:sz w:val="23"/>
                  <w:szCs w:val="23"/>
                </w:rPr>
                <m:t>á</m:t>
              </m:r>
              <m:r>
                <m:rPr>
                  <m:sty m:val="p"/>
                </m:rPr>
                <w:rPr>
                  <w:rFonts w:ascii="Cambria Math"/>
                  <w:sz w:val="23"/>
                  <w:szCs w:val="23"/>
                </w:rPr>
                <m:t>kladna v K</m:t>
              </m:r>
              <m:r>
                <m:rPr>
                  <m:sty m:val="p"/>
                </m:rPr>
                <w:rPr>
                  <w:sz w:val="23"/>
                  <w:szCs w:val="23"/>
                </w:rPr>
                <m:t>č</m:t>
              </m:r>
            </m:den>
          </m:f>
        </m:oMath>
      </m:oMathPara>
    </w:p>
    <w:p w:rsidR="00172B69" w:rsidRDefault="00203ACA" w:rsidP="00203ACA">
      <w:pPr>
        <w:spacing w:after="120"/>
      </w:pPr>
      <w:r>
        <w:lastRenderedPageBreak/>
        <w:t>U naturální rozvrhové základny</w:t>
      </w:r>
      <w:r w:rsidR="00732854">
        <w:t xml:space="preserve"> </w:t>
      </w:r>
      <w:r>
        <w:t>je sazba režijní přirážky stanovena v peněžních jednotkách, a to</w:t>
      </w:r>
      <w:r w:rsidR="00B65A44">
        <w:t xml:space="preserve"> na</w:t>
      </w:r>
      <w:r>
        <w:t xml:space="preserve"> jednu naturální jednotku základny (hodinu práce, kg materiálu): </w:t>
      </w:r>
    </w:p>
    <w:p w:rsidR="00172B69" w:rsidRPr="005947DA" w:rsidRDefault="00203ACA" w:rsidP="00225D68">
      <w:pPr>
        <w:rPr>
          <w:sz w:val="23"/>
          <w:szCs w:val="23"/>
        </w:rPr>
      </w:pPr>
      <m:oMathPara>
        <m:oMath>
          <m:r>
            <m:rPr>
              <m:sty m:val="p"/>
            </m:rPr>
            <w:rPr>
              <w:rFonts w:ascii="Cambria Math"/>
              <w:sz w:val="23"/>
              <w:szCs w:val="23"/>
            </w:rPr>
            <m:t>sazba re</m:t>
          </m:r>
          <m:r>
            <m:rPr>
              <m:sty m:val="p"/>
            </m:rPr>
            <w:rPr>
              <w:rFonts w:ascii="Cambria Math"/>
              <w:sz w:val="23"/>
              <w:szCs w:val="23"/>
            </w:rPr>
            <m:t>ž</m:t>
          </m:r>
          <m:r>
            <m:rPr>
              <m:sty m:val="p"/>
            </m:rPr>
            <w:rPr>
              <w:rFonts w:ascii="Cambria Math"/>
              <w:sz w:val="23"/>
              <w:szCs w:val="23"/>
            </w:rPr>
            <m:t>ijn</m:t>
          </m:r>
          <m:r>
            <m:rPr>
              <m:sty m:val="p"/>
            </m:rPr>
            <w:rPr>
              <w:rFonts w:ascii="Cambria Math"/>
              <w:sz w:val="23"/>
              <w:szCs w:val="23"/>
            </w:rPr>
            <m:t>í</m:t>
          </m:r>
          <m:r>
            <m:rPr>
              <m:sty m:val="p"/>
            </m:rPr>
            <w:rPr>
              <w:rFonts w:ascii="Cambria Math"/>
              <w:sz w:val="23"/>
              <w:szCs w:val="23"/>
            </w:rPr>
            <m:t xml:space="preserve"> p</m:t>
          </m:r>
          <m:r>
            <m:rPr>
              <m:sty m:val="p"/>
            </m:rPr>
            <w:rPr>
              <w:rFonts w:ascii="Cambria Math"/>
              <w:sz w:val="23"/>
              <w:szCs w:val="23"/>
            </w:rPr>
            <m:t>ř</m:t>
          </m:r>
          <m:r>
            <m:rPr>
              <m:sty m:val="p"/>
            </m:rPr>
            <w:rPr>
              <w:rFonts w:ascii="Cambria Math"/>
              <w:sz w:val="23"/>
              <w:szCs w:val="23"/>
            </w:rPr>
            <m:t>ir</m:t>
          </m:r>
          <m:r>
            <m:rPr>
              <m:sty m:val="p"/>
            </m:rPr>
            <w:rPr>
              <w:rFonts w:ascii="Cambria Math"/>
              <w:sz w:val="23"/>
              <w:szCs w:val="23"/>
            </w:rPr>
            <m:t>áž</m:t>
          </m:r>
          <m:r>
            <m:rPr>
              <m:sty m:val="p"/>
            </m:rPr>
            <w:rPr>
              <w:rFonts w:ascii="Cambria Math"/>
              <w:sz w:val="23"/>
              <w:szCs w:val="23"/>
            </w:rPr>
            <m:t xml:space="preserve">ky= </m:t>
          </m:r>
          <m:f>
            <m:fPr>
              <m:ctrlPr>
                <w:rPr>
                  <w:rFonts w:ascii="Cambria Math" w:hAnsi="Cambria Math"/>
                  <w:sz w:val="23"/>
                  <w:szCs w:val="23"/>
                </w:rPr>
              </m:ctrlPr>
            </m:fPr>
            <m:num>
              <m:r>
                <m:rPr>
                  <m:sty m:val="p"/>
                </m:rPr>
                <w:rPr>
                  <w:rFonts w:ascii="Cambria Math"/>
                  <w:sz w:val="23"/>
                  <w:szCs w:val="23"/>
                </w:rPr>
                <m:t>nep</m:t>
              </m:r>
              <m:r>
                <m:rPr>
                  <m:sty m:val="p"/>
                </m:rPr>
                <w:rPr>
                  <w:sz w:val="23"/>
                  <w:szCs w:val="23"/>
                </w:rPr>
                <m:t>ří</m:t>
              </m:r>
              <m:r>
                <m:rPr>
                  <m:sty m:val="p"/>
                </m:rPr>
                <w:rPr>
                  <w:rFonts w:ascii="Cambria Math"/>
                  <w:sz w:val="23"/>
                  <w:szCs w:val="23"/>
                </w:rPr>
                <m:t>m</m:t>
              </m:r>
              <m:r>
                <m:rPr>
                  <m:sty m:val="p"/>
                </m:rPr>
                <w:rPr>
                  <w:sz w:val="23"/>
                  <w:szCs w:val="23"/>
                </w:rPr>
                <m:t>é</m:t>
              </m:r>
              <m:r>
                <m:rPr>
                  <m:sty m:val="p"/>
                </m:rPr>
                <w:rPr>
                  <w:rFonts w:ascii="Cambria Math"/>
                  <w:sz w:val="23"/>
                  <w:szCs w:val="23"/>
                </w:rPr>
                <m:t xml:space="preserve"> re</m:t>
              </m:r>
              <m:r>
                <m:rPr>
                  <m:sty m:val="p"/>
                </m:rPr>
                <w:rPr>
                  <w:sz w:val="23"/>
                  <w:szCs w:val="23"/>
                </w:rPr>
                <m:t>ž</m:t>
              </m:r>
              <m:r>
                <m:rPr>
                  <m:sty m:val="p"/>
                </m:rPr>
                <w:rPr>
                  <w:rFonts w:ascii="Cambria Math"/>
                  <w:sz w:val="23"/>
                  <w:szCs w:val="23"/>
                </w:rPr>
                <m:t>ijn</m:t>
              </m:r>
              <m:r>
                <m:rPr>
                  <m:sty m:val="p"/>
                </m:rPr>
                <w:rPr>
                  <w:sz w:val="23"/>
                  <w:szCs w:val="23"/>
                </w:rPr>
                <m:t>í</m:t>
              </m:r>
              <m:r>
                <m:rPr>
                  <m:sty m:val="p"/>
                </m:rPr>
                <w:rPr>
                  <w:rFonts w:ascii="Cambria Math"/>
                  <w:sz w:val="23"/>
                  <w:szCs w:val="23"/>
                </w:rPr>
                <m:t xml:space="preserve"> n</m:t>
              </m:r>
              <m:r>
                <m:rPr>
                  <m:sty m:val="p"/>
                </m:rPr>
                <w:rPr>
                  <w:sz w:val="23"/>
                  <w:szCs w:val="23"/>
                </w:rPr>
                <m:t>á</m:t>
              </m:r>
              <m:r>
                <m:rPr>
                  <m:sty m:val="p"/>
                </m:rPr>
                <w:rPr>
                  <w:rFonts w:ascii="Cambria Math"/>
                  <w:sz w:val="23"/>
                  <w:szCs w:val="23"/>
                </w:rPr>
                <m:t>klady</m:t>
              </m:r>
            </m:num>
            <m:den>
              <m:r>
                <m:rPr>
                  <m:sty m:val="p"/>
                </m:rPr>
                <w:rPr>
                  <w:rFonts w:ascii="Cambria Math"/>
                  <w:sz w:val="23"/>
                  <w:szCs w:val="23"/>
                </w:rPr>
                <m:t>rozvrhov</m:t>
              </m:r>
              <m:r>
                <m:rPr>
                  <m:sty m:val="p"/>
                </m:rPr>
                <w:rPr>
                  <w:sz w:val="23"/>
                  <w:szCs w:val="23"/>
                </w:rPr>
                <m:t>á</m:t>
              </m:r>
              <m:r>
                <m:rPr>
                  <m:sty m:val="p"/>
                </m:rPr>
                <w:rPr>
                  <w:rFonts w:ascii="Cambria Math"/>
                  <w:sz w:val="23"/>
                  <w:szCs w:val="23"/>
                </w:rPr>
                <m:t xml:space="preserve"> z</m:t>
              </m:r>
              <m:r>
                <m:rPr>
                  <m:sty m:val="p"/>
                </m:rPr>
                <w:rPr>
                  <w:sz w:val="23"/>
                  <w:szCs w:val="23"/>
                </w:rPr>
                <m:t>á</m:t>
              </m:r>
              <m:r>
                <m:rPr>
                  <m:sty m:val="p"/>
                </m:rPr>
                <w:rPr>
                  <w:rFonts w:ascii="Cambria Math"/>
                  <w:sz w:val="23"/>
                  <w:szCs w:val="23"/>
                </w:rPr>
                <m:t>kladna v</m:t>
              </m:r>
              <m:r>
                <m:rPr>
                  <m:sty m:val="p"/>
                </m:rPr>
                <w:rPr>
                  <w:sz w:val="23"/>
                  <w:szCs w:val="23"/>
                </w:rPr>
                <m:t> </m:t>
              </m:r>
              <m:r>
                <m:rPr>
                  <m:sty m:val="p"/>
                </m:rPr>
                <w:rPr>
                  <w:rFonts w:ascii="Cambria Math"/>
                  <w:sz w:val="23"/>
                  <w:szCs w:val="23"/>
                </w:rPr>
                <m:t>natur.  jednotk</m:t>
              </m:r>
              <m:r>
                <m:rPr>
                  <m:sty m:val="p"/>
                </m:rPr>
                <w:rPr>
                  <w:sz w:val="23"/>
                  <w:szCs w:val="23"/>
                </w:rPr>
                <m:t>á</m:t>
              </m:r>
              <m:r>
                <m:rPr>
                  <m:sty m:val="p"/>
                </m:rPr>
                <w:rPr>
                  <w:rFonts w:ascii="Cambria Math"/>
                  <w:sz w:val="23"/>
                  <w:szCs w:val="23"/>
                </w:rPr>
                <m:t>ch</m:t>
              </m:r>
            </m:den>
          </m:f>
        </m:oMath>
      </m:oMathPara>
    </w:p>
    <w:p w:rsidR="00732854" w:rsidRDefault="00732854" w:rsidP="00225D68">
      <w:r>
        <w:t xml:space="preserve">Výhodou peněžních základen je jejich snadná zjistitelnost z účetních výkazů, nevýhodou je </w:t>
      </w:r>
      <w:r w:rsidR="00744D4A">
        <w:t xml:space="preserve">jejich </w:t>
      </w:r>
      <w:r>
        <w:t xml:space="preserve">nestálost, neboť je ovlivňuje i změna ceny rozvrhové základny (tedy </w:t>
      </w:r>
      <w:r w:rsidR="00CB4E6C">
        <w:t xml:space="preserve">např. </w:t>
      </w:r>
      <w:r>
        <w:t xml:space="preserve">změna pořizovací ceny materiálu či změna mzdových sazeb). Oproti tomu je zjišťování naturálních základen </w:t>
      </w:r>
      <w:r w:rsidR="003E3667">
        <w:t xml:space="preserve">sice </w:t>
      </w:r>
      <w:r>
        <w:t xml:space="preserve">složitější, ale </w:t>
      </w:r>
      <w:r w:rsidR="00744D4A">
        <w:t xml:space="preserve">výhodou je </w:t>
      </w:r>
      <w:r>
        <w:t>nepodléh</w:t>
      </w:r>
      <w:r w:rsidR="00744D4A">
        <w:t>ání</w:t>
      </w:r>
      <w:r>
        <w:t xml:space="preserve"> vlivům cenových změn. Další výhodou je vyšší vypovídací schopnost naturálních základen. </w:t>
      </w:r>
    </w:p>
    <w:p w:rsidR="00676E62" w:rsidRDefault="00676E62" w:rsidP="00225D68">
      <w:r>
        <w:t>Král uvádí dvě</w:t>
      </w:r>
      <w:r w:rsidR="00A1069C">
        <w:t xml:space="preserve"> variant</w:t>
      </w:r>
      <w:r>
        <w:t>y</w:t>
      </w:r>
      <w:r w:rsidR="00A1069C">
        <w:t xml:space="preserve">, </w:t>
      </w:r>
      <w:r>
        <w:t>ve kterých se přirážková kalkulace používá</w:t>
      </w:r>
      <w:r w:rsidR="00A1069C">
        <w:t xml:space="preserve">. </w:t>
      </w:r>
      <w:r w:rsidR="00A1069C" w:rsidRPr="00A1069C">
        <w:rPr>
          <w:b/>
        </w:rPr>
        <w:t>Sumační přirážková kalkulace</w:t>
      </w:r>
      <w:r w:rsidR="00A1069C">
        <w:t xml:space="preserve"> vychází z jediné rozvrhové základny, na jejímž základě se přiřazují veškeré režijní náklady podniku. Lze ji tedy použít za předpokladu, že se všechny režijní náklady vyvíjejí úmě</w:t>
      </w:r>
      <w:r>
        <w:t xml:space="preserve">rně právě této jediné základně, v praxi je ovšem tento předpoklad málo pravděpodobný. </w:t>
      </w:r>
      <w:r w:rsidRPr="00676E62">
        <w:rPr>
          <w:b/>
        </w:rPr>
        <w:t>Diferencovaná přirážková kalkulace</w:t>
      </w:r>
      <w:r>
        <w:t xml:space="preserve"> používá pro přiřazování režijních nákladů různé rozvrhové základny. Režijní náklady jsou proto rozděleny do skupin a pro každou skupinu se hledá odpovídající základna. Skupiny jsou zpravidla tvořeny podle základních podnikových funkcí, příkladem vhodné základny je objem přímé práce pro výrobní režii</w:t>
      </w:r>
      <w:r w:rsidR="00260C3F">
        <w:t xml:space="preserve"> (Král 2006, s. 124)</w:t>
      </w:r>
      <w:r>
        <w:t xml:space="preserve">. </w:t>
      </w:r>
    </w:p>
    <w:p w:rsidR="00260C3F" w:rsidRDefault="00260C3F" w:rsidP="00225D68">
      <w:r>
        <w:t xml:space="preserve">Vedle jedné celopodnikové režijní sazby může podnik stanovit i sazby na úrovni nižších útvarů, střediskové režijní sazby. Tyto sazby najdou uplatnění v podnicích s velmi diferencovanou výrobou, s různými výrobními postupy zajišťovanými zpravidla nezávislými organizačními celky podniku (Propesko 2009, s. 77). </w:t>
      </w:r>
    </w:p>
    <w:p w:rsidR="00287033" w:rsidRPr="00287033" w:rsidRDefault="00287033" w:rsidP="00C81806">
      <w:pPr>
        <w:keepNext/>
        <w:spacing w:before="360"/>
        <w:rPr>
          <w:b/>
        </w:rPr>
      </w:pPr>
      <w:r w:rsidRPr="00287033">
        <w:rPr>
          <w:b/>
        </w:rPr>
        <w:t xml:space="preserve">Kalkulace variabilních nákladů </w:t>
      </w:r>
    </w:p>
    <w:p w:rsidR="00287033" w:rsidRDefault="00B3283B" w:rsidP="00225D68">
      <w:r>
        <w:t xml:space="preserve">Další kalkulační metoda vychází z principu odděleného sledování variabilních a fixních nákladů. Kalkulace variabilních nákladů (také </w:t>
      </w:r>
      <w:r w:rsidRPr="007109CF">
        <w:rPr>
          <w:b/>
        </w:rPr>
        <w:t>kalkulace krycího příspěvku</w:t>
      </w:r>
      <w:r>
        <w:t xml:space="preserve">) vznikla </w:t>
      </w:r>
      <w:r>
        <w:br/>
        <w:t xml:space="preserve">ve snaze </w:t>
      </w:r>
      <w:r w:rsidR="003A7F67">
        <w:t>odstranit</w:t>
      </w:r>
      <w:r>
        <w:t xml:space="preserve"> </w:t>
      </w:r>
      <w:r w:rsidR="003A7F67">
        <w:t>nepříznivé</w:t>
      </w:r>
      <w:r>
        <w:t xml:space="preserve"> dopady plnéh</w:t>
      </w:r>
      <w:r w:rsidR="005C059B">
        <w:t>o přiřazování fixních nákladů pro</w:t>
      </w:r>
      <w:r>
        <w:t xml:space="preserve"> řízení hospodárnosti a optimalizaci sortimentu. Tato kalkulační metoda proto fixní náklady nerozpočítává na jednotlivé výkony, ale považuje je za náklady spojené s provozem </w:t>
      </w:r>
      <w:r w:rsidR="003A7F67">
        <w:t>podniku jako celku</w:t>
      </w:r>
      <w:r>
        <w:t xml:space="preserve">, které musí být uhrazeny příspěvky </w:t>
      </w:r>
      <w:r w:rsidR="003A7F67">
        <w:t xml:space="preserve">jednotlivých produktů. </w:t>
      </w:r>
    </w:p>
    <w:p w:rsidR="00287033" w:rsidRDefault="003A7F67" w:rsidP="00225D68">
      <w:r>
        <w:lastRenderedPageBreak/>
        <w:t xml:space="preserve">Kalkulace postupuje v několika krocích – nejprve se zjistí příspěvky na úhradu fixních nákladů a tvorbu zisku jednotlivých výkonů, a to jako rozdíl jednotkové ceny výkonu a jeho variabilních nákladů. Celkový příspěvek na úhradu se zjistí jako součet příspěvků všech výkonů. </w:t>
      </w:r>
      <w:r w:rsidR="00384D6C">
        <w:t xml:space="preserve">Odečtením fixních nákladů od celkového příspěvku na úhradu se pak zjišťuje zisk podniku. Tím, že nedochází k rozpočítání fixních nákladů, nelze zjistit zisk jednotkového výkonu – výhodnost je posuzována na základě výše příspěvku na úhradu. Ten přitom zůstává na rozdíl od zisku jednotkového výkonu zjištěného přirážkovou kalkulací nezávislý na objemu prováděných výkonů (Propesko 2009, s. 89). </w:t>
      </w:r>
    </w:p>
    <w:p w:rsidR="00384D6C" w:rsidRDefault="00384D6C" w:rsidP="00225D68">
      <w:r>
        <w:t xml:space="preserve">Kalkulace variabilních nákladů je známa ve dvou variantách – jednostupňové a vícestupňové kalkulaci. </w:t>
      </w:r>
      <w:r w:rsidRPr="00F43197">
        <w:rPr>
          <w:b/>
        </w:rPr>
        <w:t>Jednostupňová metoda</w:t>
      </w:r>
      <w:r>
        <w:t xml:space="preserve"> se používá, pokud se veškeré fixní náklady vztahují k podniku jako celku. Pokud je ale část fixních nákladů spojena s nižšími úrovněmi (útvarem, střediskem, výrobkovou skupinou), používá se </w:t>
      </w:r>
      <w:r w:rsidRPr="00F43197">
        <w:rPr>
          <w:b/>
        </w:rPr>
        <w:t>vícestupňová metoda</w:t>
      </w:r>
      <w:r>
        <w:t xml:space="preserve">. </w:t>
      </w:r>
    </w:p>
    <w:p w:rsidR="005F6F91" w:rsidRDefault="00FE155C" w:rsidP="00225D68">
      <w:r>
        <w:t>Metoda variabilních nákladů je vhodná pro rozhodování o struktuře výroby v krátkém období v situacích, kdy dochází k výkyvům v objemu prodeje nebo ceny. Umožňuje také stanovit minimální cenu výrobků a služeb</w:t>
      </w:r>
      <w:r w:rsidR="00CD3E0C">
        <w:t xml:space="preserve"> (Propesko 2009, s. 94).</w:t>
      </w:r>
      <w:r>
        <w:t xml:space="preserve"> Jako neabsorpční kalkulace ovšem neposkytuje informaci o nákladové náročnosti jednotlivého výkonu</w:t>
      </w:r>
      <w:r w:rsidR="00CD3E0C">
        <w:t xml:space="preserve">. </w:t>
      </w:r>
    </w:p>
    <w:p w:rsidR="005F6F91" w:rsidRPr="00287033" w:rsidRDefault="005F6F91" w:rsidP="00C81806">
      <w:pPr>
        <w:keepNext/>
        <w:spacing w:before="360"/>
        <w:rPr>
          <w:b/>
        </w:rPr>
      </w:pPr>
      <w:r w:rsidRPr="00287033">
        <w:rPr>
          <w:b/>
        </w:rPr>
        <w:t xml:space="preserve">Kalkulace </w:t>
      </w:r>
      <w:r w:rsidR="00614DFB">
        <w:rPr>
          <w:b/>
        </w:rPr>
        <w:t>po</w:t>
      </w:r>
      <w:r w:rsidRPr="00287033">
        <w:rPr>
          <w:b/>
        </w:rPr>
        <w:t xml:space="preserve">dle aktivit </w:t>
      </w:r>
    </w:p>
    <w:p w:rsidR="005F6F91" w:rsidRDefault="00614DFB" w:rsidP="005F6F91">
      <w:r>
        <w:t>Kalkulace s přiřazováním nákladů aktivitám (</w:t>
      </w:r>
      <w:r w:rsidRPr="00534D72">
        <w:t>angl</w:t>
      </w:r>
      <w:r>
        <w:t xml:space="preserve">. </w:t>
      </w:r>
      <w:r w:rsidRPr="00F43197">
        <w:rPr>
          <w:b/>
          <w:lang w:val="en-GB"/>
        </w:rPr>
        <w:t>Activity Based Costing</w:t>
      </w:r>
      <w:r>
        <w:t xml:space="preserve"> = ABC) používá pro přiřazování nákladů měření skutečných fyzických výkonů jednotlivých činností a aktivit. </w:t>
      </w:r>
      <w:r w:rsidR="00316065">
        <w:t>Propesko uvádí</w:t>
      </w:r>
      <w:r>
        <w:t>, jde o jedinou možnost</w:t>
      </w:r>
      <w:r w:rsidR="00EF43FC">
        <w:t>,</w:t>
      </w:r>
      <w:r>
        <w:t xml:space="preserve"> jak se vyhnout paušalizaci nákladů, neboť vztah mezi nákladem a výkonem netvoří zkreslující rozvrhová základna, ale skutečné aktivity a činnosti prováděné s cílem vytvoření výkonů. </w:t>
      </w:r>
      <w:r w:rsidR="00316065">
        <w:t xml:space="preserve">Metoda sleduje tok nákladů podél prováděných procesů a aktivit a snaží se odhalit skutečné příčiny vzniku nákladů (Propesko 2009, s. 100). </w:t>
      </w:r>
    </w:p>
    <w:p w:rsidR="00316065" w:rsidRDefault="00316065" w:rsidP="005F6F91">
      <w:r>
        <w:t>Jak uvádí Šoljaková, rozdíl mezi tradičními metodami kalkulace a metodou ABC spočívá v tom, že „</w:t>
      </w:r>
      <w:r w:rsidRPr="00316065">
        <w:rPr>
          <w:i/>
        </w:rPr>
        <w:t>tradiční metody v první alokační fázi přiř</w:t>
      </w:r>
      <w:r>
        <w:rPr>
          <w:i/>
        </w:rPr>
        <w:t>a</w:t>
      </w:r>
      <w:r w:rsidRPr="00316065">
        <w:rPr>
          <w:i/>
        </w:rPr>
        <w:t xml:space="preserve">dily náklady útvarům a náklady útvarů se převážně podle </w:t>
      </w:r>
      <w:r>
        <w:rPr>
          <w:i/>
        </w:rPr>
        <w:t>j</w:t>
      </w:r>
      <w:r w:rsidRPr="00316065">
        <w:rPr>
          <w:i/>
        </w:rPr>
        <w:t>edné sumární objemové rozvrhov</w:t>
      </w:r>
      <w:r>
        <w:rPr>
          <w:i/>
        </w:rPr>
        <w:t>é</w:t>
      </w:r>
      <w:r w:rsidRPr="00316065">
        <w:rPr>
          <w:i/>
        </w:rPr>
        <w:t xml:space="preserve"> základny alokovaly výkonům; v metodě ABC se v první fázi přiřadí náklady aktivitám</w:t>
      </w:r>
      <w:r>
        <w:rPr>
          <w:i/>
        </w:rPr>
        <w:t xml:space="preserve"> a</w:t>
      </w:r>
      <w:r w:rsidRPr="00316065">
        <w:rPr>
          <w:i/>
        </w:rPr>
        <w:t xml:space="preserve"> ty se </w:t>
      </w:r>
      <w:r w:rsidRPr="00316065">
        <w:rPr>
          <w:i/>
        </w:rPr>
        <w:lastRenderedPageBreak/>
        <w:t>následně alokují přes rozvrhové základny vypl</w:t>
      </w:r>
      <w:r>
        <w:rPr>
          <w:i/>
        </w:rPr>
        <w:t>ý</w:t>
      </w:r>
      <w:r w:rsidRPr="00316065">
        <w:rPr>
          <w:i/>
        </w:rPr>
        <w:t>vající z rozsahu aktivit, a nikoliv z objemu výkonů</w:t>
      </w:r>
      <w:r>
        <w:t xml:space="preserve">“ (Šoljaková 2009, s. 98). </w:t>
      </w:r>
    </w:p>
    <w:p w:rsidR="005F6F91" w:rsidRDefault="006B1D52" w:rsidP="006B1D52">
      <w:pPr>
        <w:spacing w:after="0"/>
      </w:pPr>
      <w:r>
        <w:t xml:space="preserve">Propesko uvádí následující postup kalkulace ABC: </w:t>
      </w:r>
    </w:p>
    <w:p w:rsidR="006B1D52" w:rsidRPr="006B1D52" w:rsidRDefault="006B1D52" w:rsidP="005855A6">
      <w:pPr>
        <w:pStyle w:val="Odstavecseseznamem"/>
        <w:numPr>
          <w:ilvl w:val="0"/>
          <w:numId w:val="10"/>
        </w:numPr>
        <w:spacing w:line="360" w:lineRule="auto"/>
        <w:ind w:left="357" w:hanging="357"/>
        <w:rPr>
          <w:rFonts w:ascii="Cambria" w:hAnsi="Cambria"/>
        </w:rPr>
      </w:pPr>
      <w:r>
        <w:t xml:space="preserve">nepřímé náklady se přiřadí jednotlivým definovaným aktivitám na základě vztahové veličiny nákladů, jež určuje způsob přepočtu nákladů zjištěných z účetní evidence na jednotlivé aktivity; </w:t>
      </w:r>
    </w:p>
    <w:p w:rsidR="006B1D52" w:rsidRDefault="006B1D52" w:rsidP="005855A6">
      <w:pPr>
        <w:pStyle w:val="Odstavecseseznamem"/>
        <w:numPr>
          <w:ilvl w:val="0"/>
          <w:numId w:val="10"/>
        </w:numPr>
        <w:spacing w:line="360" w:lineRule="auto"/>
        <w:ind w:left="357" w:hanging="357"/>
      </w:pPr>
      <w:r>
        <w:t>zjistí se celkové</w:t>
      </w:r>
      <w:r w:rsidR="00D65D6F">
        <w:t xml:space="preserve"> náklady na jednotlivé aktivity, vymezí se vztahová veličina aktivity a stanoví se náklady na jednotku aktivity; </w:t>
      </w:r>
    </w:p>
    <w:p w:rsidR="00D65D6F" w:rsidRDefault="00D65D6F" w:rsidP="005855A6">
      <w:pPr>
        <w:pStyle w:val="Odstavecseseznamem"/>
        <w:numPr>
          <w:ilvl w:val="0"/>
          <w:numId w:val="10"/>
        </w:numPr>
        <w:spacing w:line="360" w:lineRule="auto"/>
        <w:ind w:left="357" w:hanging="357"/>
      </w:pPr>
      <w:r>
        <w:t xml:space="preserve">z nákladů na jednotku aktivity a objemu těchto jednotek se určí náklady </w:t>
      </w:r>
      <w:r w:rsidR="00EF43FC">
        <w:br/>
      </w:r>
      <w:r>
        <w:t xml:space="preserve">na nákladový objekt – výkon, zákazníka (Propesko 2009, s. 101). </w:t>
      </w:r>
    </w:p>
    <w:p w:rsidR="00FC7876" w:rsidRDefault="00D65D6F" w:rsidP="00225D68">
      <w:r>
        <w:t>Je zřejmé, že zavedení této metody je oproti tradičním metodám podstatně náročn</w:t>
      </w:r>
      <w:r w:rsidR="00534D72">
        <w:t>ější – vedle dat účetnictví</w:t>
      </w:r>
      <w:r>
        <w:t xml:space="preserve"> je potřebná analýza a definice procesů a aktivit, používá se řada měření a propočtů. To je zřejmě příčinou prozatím malého rozšíření metody ABC v českých podnicích. </w:t>
      </w:r>
      <w:r w:rsidR="00EF43FC">
        <w:t xml:space="preserve">Metoda má ale vedle vytvoření předpokladů </w:t>
      </w:r>
      <w:r w:rsidR="005C059B">
        <w:t>pro poměrně přesné</w:t>
      </w:r>
      <w:r w:rsidR="00EF43FC">
        <w:t xml:space="preserve"> kalkulování nákladů i silný přesah do řízení – na základě kalkulační metody se vyvinul manažerský nástroj známý jako </w:t>
      </w:r>
      <w:r w:rsidR="00EF43FC" w:rsidRPr="00F43197">
        <w:rPr>
          <w:b/>
          <w:lang w:val="en-GB"/>
        </w:rPr>
        <w:t>Activity Based</w:t>
      </w:r>
      <w:r w:rsidR="00EF43FC" w:rsidRPr="00F43197">
        <w:rPr>
          <w:b/>
        </w:rPr>
        <w:t xml:space="preserve"> Management</w:t>
      </w:r>
      <w:r w:rsidR="00EF43FC">
        <w:t xml:space="preserve"> (ABM) sloužící řízení činností v podniku, restrukturalizaci procesů a aktivit a procesnímu řízení nákladů. </w:t>
      </w:r>
    </w:p>
    <w:p w:rsidR="00BA1B75" w:rsidRDefault="00BA1B75" w:rsidP="00AD39AE">
      <w:pPr>
        <w:pStyle w:val="Nadpis3"/>
        <w:spacing w:before="720"/>
      </w:pPr>
      <w:bookmarkStart w:id="18" w:name="_Toc302476207"/>
      <w:r>
        <w:t>Speciální typy nákladových kalkulací</w:t>
      </w:r>
      <w:bookmarkEnd w:id="18"/>
      <w:r>
        <w:t xml:space="preserve"> </w:t>
      </w:r>
    </w:p>
    <w:p w:rsidR="00256A24" w:rsidRDefault="00256A24" w:rsidP="00256A24">
      <w:r w:rsidRPr="00256A24">
        <w:rPr>
          <w:b/>
        </w:rPr>
        <w:t>Kalkulace nákladů prostým</w:t>
      </w:r>
      <w:r w:rsidRPr="008F4E89">
        <w:rPr>
          <w:b/>
        </w:rPr>
        <w:t xml:space="preserve"> dělením</w:t>
      </w:r>
      <w:r>
        <w:t xml:space="preserve"> je nejjednodušší technikou nákladové kalkulace. Náklady na jednotku výkonu zjišťuje jako prostý podíl celkových nákladů organizace a počtu jednotek výkonu. Z tohoto důvodu je vhodná pouze v podnicích s homogenní výrobou, jejíž výkony jsou nákladově stejně náročné (výroba elektřiny, těžba uhlí). Pokud výkony podniku nejsou zcela homogenní, ale odlišují se v jednom měřitelném parametru, lze použít </w:t>
      </w:r>
      <w:r w:rsidRPr="00BA1B75">
        <w:rPr>
          <w:b/>
        </w:rPr>
        <w:t xml:space="preserve">kalkulaci </w:t>
      </w:r>
      <w:r w:rsidRPr="008F4E89">
        <w:rPr>
          <w:b/>
        </w:rPr>
        <w:t>dělením s poměrovými (ekvivalenčními) čísly</w:t>
      </w:r>
      <w:r>
        <w:t xml:space="preserve">. Tato metoda se používá u hromadné výroby technologicky podobných výrobků. Vybraný typický výrobek má ekvivalent o hodnotě 1, dalším výrobkům se přiřadí ekvivalenční číslo přepočtem sledovaného měřitelného parametru k poměrovému číslu typického výrobku. Dalším krokem metody je zjištění sumy ekvivalentů a stanovení nákladů </w:t>
      </w:r>
      <w:r w:rsidR="00DC602E">
        <w:br/>
      </w:r>
      <w:r>
        <w:lastRenderedPageBreak/>
        <w:t xml:space="preserve">na jeden ekvivalent. Náklad na výrobek se pak vypočte jako násobek nákladu </w:t>
      </w:r>
      <w:r>
        <w:br/>
        <w:t xml:space="preserve">na ekvivalent a ekvivalenčního čísla výrobku (Propesko 2009, s. 62). </w:t>
      </w:r>
    </w:p>
    <w:p w:rsidR="00A43213" w:rsidRDefault="002D6A93" w:rsidP="00CD6A5A">
      <w:r>
        <w:t xml:space="preserve">Druhý typ speciálních kalkulačních metod je určen pro kalkulování ve sdružené výrobě, tedy v případech, kdy </w:t>
      </w:r>
      <w:r w:rsidR="00357888">
        <w:t xml:space="preserve">výrobou </w:t>
      </w:r>
      <w:r w:rsidR="00DC602E">
        <w:t>určitého výrobku současně vznikají další výrobky</w:t>
      </w:r>
      <w:r w:rsidR="00357888">
        <w:t xml:space="preserve">. Metoda </w:t>
      </w:r>
      <w:r w:rsidR="00357888" w:rsidRPr="00357888">
        <w:rPr>
          <w:b/>
        </w:rPr>
        <w:t>odčítací kalkulace</w:t>
      </w:r>
      <w:r w:rsidR="00357888">
        <w:t xml:space="preserve"> se používá ve výrobách, kde v rámci jednoho výrobního procesu </w:t>
      </w:r>
      <w:r w:rsidR="00DC602E">
        <w:t xml:space="preserve">současně </w:t>
      </w:r>
      <w:r w:rsidR="00357888">
        <w:t>vzniká jeden hlavní výrobek a několik vedlejších výrobků (</w:t>
      </w:r>
      <w:r w:rsidR="00115505">
        <w:t xml:space="preserve">tedy </w:t>
      </w:r>
      <w:r w:rsidR="00DC602E">
        <w:t>např.</w:t>
      </w:r>
      <w:r w:rsidR="00357888">
        <w:t xml:space="preserve"> v chemické výrobě). </w:t>
      </w:r>
      <w:r w:rsidR="00DC602E">
        <w:t xml:space="preserve">Předmětem této metody jsou hlavní výrobky – náklady na ně </w:t>
      </w:r>
      <w:r w:rsidR="00357888">
        <w:t>se zjistí jako rozdíl</w:t>
      </w:r>
      <w:r w:rsidR="00DC602E">
        <w:t xml:space="preserve"> mezi</w:t>
      </w:r>
      <w:r w:rsidR="00357888">
        <w:t xml:space="preserve"> celkový</w:t>
      </w:r>
      <w:r w:rsidR="00DC602E">
        <w:t xml:space="preserve">mi náklady sdružené výroby a nákladů na vedlejší výrobky, ocenění vedlejších výrobků se odvíjí od prodejní ceny. </w:t>
      </w:r>
      <w:r w:rsidR="00814FA2">
        <w:t>Pokud je</w:t>
      </w:r>
      <w:r w:rsidR="00DC602E">
        <w:t xml:space="preserve"> produkcí současně získáno více hlavních výrobků</w:t>
      </w:r>
      <w:r w:rsidR="00814FA2">
        <w:t xml:space="preserve">, používá se metoda </w:t>
      </w:r>
      <w:r w:rsidR="00814FA2" w:rsidRPr="00814FA2">
        <w:rPr>
          <w:b/>
        </w:rPr>
        <w:t>rozčítací kalkulace</w:t>
      </w:r>
      <w:r w:rsidR="00814FA2">
        <w:t xml:space="preserve">. Náklady na výrobek se zjistí z celkových nákladů sdružené výroby podle zvolených poměrových čísel, nejčastěji se používá poměr prodejních cen výrobků (Hradecký, Lanča, Šiška 2008, s. 196). </w:t>
      </w:r>
    </w:p>
    <w:p w:rsidR="00357888" w:rsidRDefault="00DF6C9E" w:rsidP="00AD39AE">
      <w:pPr>
        <w:pStyle w:val="Nadpis3"/>
        <w:spacing w:before="720"/>
      </w:pPr>
      <w:bookmarkStart w:id="19" w:name="_Toc302476208"/>
      <w:r>
        <w:t>Nákladová kalkulace jako podklad pro stanovení</w:t>
      </w:r>
      <w:r w:rsidR="0060264F">
        <w:t xml:space="preserve"> ceny</w:t>
      </w:r>
      <w:bookmarkEnd w:id="19"/>
      <w:r w:rsidR="0060264F">
        <w:t xml:space="preserve"> </w:t>
      </w:r>
    </w:p>
    <w:p w:rsidR="0060264F" w:rsidRDefault="00746C13" w:rsidP="0060264F">
      <w:r>
        <w:t xml:space="preserve">Analýza nákladů a nákladová kalkulace může být podkladem při stanovení ceny výkonu. V současné době je </w:t>
      </w:r>
      <w:r w:rsidR="005C059B">
        <w:t xml:space="preserve">ale </w:t>
      </w:r>
      <w:r>
        <w:t xml:space="preserve">cena řady produktů a služeb dána situací na trhu, v těchto případech nám analýza nákladů poskytuje informace o tom, zda a jak tržní cena hradí náklady podniku. </w:t>
      </w:r>
      <w:r w:rsidR="001177AD">
        <w:t>Vedle toho mají c</w:t>
      </w:r>
      <w:r>
        <w:t xml:space="preserve">enové kalkulace nezastupitelný význam </w:t>
      </w:r>
      <w:r w:rsidR="001177AD">
        <w:t>při</w:t>
      </w:r>
      <w:r>
        <w:t xml:space="preserve"> </w:t>
      </w:r>
      <w:r w:rsidR="001177AD">
        <w:t xml:space="preserve">stanovování cen individuálně nabízených výkonů. </w:t>
      </w:r>
      <w:r w:rsidR="000F5774">
        <w:t xml:space="preserve">Při určování cen se pracuje s modely orientovanými poptávkově </w:t>
      </w:r>
      <w:r w:rsidR="00225D68">
        <w:t>a</w:t>
      </w:r>
      <w:r w:rsidR="000F5774">
        <w:t xml:space="preserve">nebo s modely orientovanými nákladově. </w:t>
      </w:r>
    </w:p>
    <w:p w:rsidR="000F5774" w:rsidRDefault="00DF6C9E" w:rsidP="0060264F">
      <w:r>
        <w:t xml:space="preserve">Nákladově orientované metody tvorby cen vychází ze stanovení </w:t>
      </w:r>
      <w:r w:rsidRPr="000F5774">
        <w:rPr>
          <w:b/>
        </w:rPr>
        <w:t>směrné ceny</w:t>
      </w:r>
      <w:r>
        <w:t xml:space="preserve">, tedy vnitřní, kalkulované ceny, která při daných podmínkách přináší požadovaný zisk. Tato cena se pak porovnává s tržní cenou. </w:t>
      </w:r>
      <w:r w:rsidR="000F5774">
        <w:t>S</w:t>
      </w:r>
      <w:r w:rsidR="00403FB6">
        <w:t>měrná</w:t>
      </w:r>
      <w:r>
        <w:t xml:space="preserve"> cen</w:t>
      </w:r>
      <w:r w:rsidR="000F5774">
        <w:t xml:space="preserve">a je založena na </w:t>
      </w:r>
      <w:r>
        <w:t>kalkul</w:t>
      </w:r>
      <w:r w:rsidR="000F5774">
        <w:t>ovaných nákladech, ke kterým se při</w:t>
      </w:r>
      <w:r w:rsidR="00403FB6">
        <w:t>počte</w:t>
      </w:r>
      <w:r>
        <w:t xml:space="preserve"> </w:t>
      </w:r>
      <w:r w:rsidR="000F5774">
        <w:t>směrná zisková</w:t>
      </w:r>
      <w:r>
        <w:t xml:space="preserve"> přirážk</w:t>
      </w:r>
      <w:r w:rsidR="000F5774">
        <w:t>a</w:t>
      </w:r>
      <w:r>
        <w:t xml:space="preserve">. </w:t>
      </w:r>
      <w:r w:rsidR="00403FB6">
        <w:t>Jak uvádí Král, v</w:t>
      </w:r>
      <w:r>
        <w:t xml:space="preserve">ýše zisku se </w:t>
      </w:r>
      <w:r w:rsidR="00403FB6">
        <w:t xml:space="preserve">přitom </w:t>
      </w:r>
      <w:r>
        <w:t>odvíjí od očekávaného zhodnocení vloženého kapitálu</w:t>
      </w:r>
      <w:r w:rsidR="00403FB6">
        <w:t xml:space="preserve"> (Král 2006, s. 542). </w:t>
      </w:r>
    </w:p>
    <w:p w:rsidR="0060264F" w:rsidRDefault="00746C13" w:rsidP="00AD39AE">
      <w:pPr>
        <w:pStyle w:val="Nadpis3"/>
        <w:spacing w:before="720"/>
      </w:pPr>
      <w:bookmarkStart w:id="20" w:name="_Toc302476209"/>
      <w:r>
        <w:lastRenderedPageBreak/>
        <w:t xml:space="preserve">Specifika kalkulace </w:t>
      </w:r>
      <w:r w:rsidR="0060264F">
        <w:t>ve službách</w:t>
      </w:r>
      <w:bookmarkEnd w:id="20"/>
      <w:r w:rsidR="0060264F">
        <w:t xml:space="preserve"> </w:t>
      </w:r>
    </w:p>
    <w:p w:rsidR="004E4C01" w:rsidRDefault="00FB53BB" w:rsidP="0060264F">
      <w:r>
        <w:t>Zatímco se odborná literatura i vědecké práce věnují</w:t>
      </w:r>
      <w:r w:rsidR="00F5548A">
        <w:t xml:space="preserve"> kalkulačním technikám pro různé typy výrobních podniků, problematika kalkulací v sektoru služeb zůstává poměrně neprozkoumána. Je to dáno jednak historicky, kdy se kalkulační metody rozvíjely </w:t>
      </w:r>
      <w:r w:rsidR="00567BA3">
        <w:br/>
      </w:r>
      <w:r w:rsidR="00F5548A">
        <w:t>ve výrobních podnicích na různé úrovni</w:t>
      </w:r>
      <w:r w:rsidR="004E4C01">
        <w:t xml:space="preserve"> </w:t>
      </w:r>
      <w:r w:rsidR="004062AA">
        <w:t>hromadnosti a organizac</w:t>
      </w:r>
      <w:r w:rsidR="004A55D1">
        <w:t>e</w:t>
      </w:r>
      <w:r w:rsidR="004062AA">
        <w:t xml:space="preserve"> </w:t>
      </w:r>
      <w:r w:rsidR="00F5548A">
        <w:t>výroby</w:t>
      </w:r>
      <w:r w:rsidR="004A55D1">
        <w:t>,</w:t>
      </w:r>
      <w:r w:rsidR="00F5548A">
        <w:t xml:space="preserve"> a dále skutečností, že </w:t>
      </w:r>
      <w:r w:rsidR="004A55D1">
        <w:t xml:space="preserve">i </w:t>
      </w:r>
      <w:r w:rsidR="00F5548A">
        <w:t>v</w:t>
      </w:r>
      <w:r w:rsidR="004E4C01">
        <w:t> rámci těchto odlišných t</w:t>
      </w:r>
      <w:r w:rsidR="00F5548A">
        <w:t>ypů výrobních podniků (hromadná</w:t>
      </w:r>
      <w:r w:rsidR="004E4C01">
        <w:t xml:space="preserve">, </w:t>
      </w:r>
      <w:r w:rsidR="00F5548A">
        <w:t xml:space="preserve">sériová nebo </w:t>
      </w:r>
      <w:r w:rsidR="004062AA">
        <w:t>zakázková výroba</w:t>
      </w:r>
      <w:r w:rsidR="00F5548A">
        <w:t>,</w:t>
      </w:r>
      <w:r w:rsidR="004062AA">
        <w:t xml:space="preserve"> </w:t>
      </w:r>
      <w:r w:rsidR="00F5548A">
        <w:t xml:space="preserve">sdružená výroba </w:t>
      </w:r>
      <w:r w:rsidR="004062AA">
        <w:t>atd.</w:t>
      </w:r>
      <w:r w:rsidR="004E4C01">
        <w:t xml:space="preserve">) </w:t>
      </w:r>
      <w:r w:rsidR="004062AA">
        <w:t xml:space="preserve">můžeme nalézt obdobnou strukturu kalkulací. </w:t>
      </w:r>
      <w:r w:rsidR="004E4C01">
        <w:t xml:space="preserve">Vedle toho </w:t>
      </w:r>
      <w:r w:rsidR="004062AA">
        <w:t xml:space="preserve">se jednotlivé typy služeb vyznačují značnou rozdílností. </w:t>
      </w:r>
    </w:p>
    <w:p w:rsidR="00D91EF6" w:rsidRDefault="004E4C01" w:rsidP="00CD6A5A">
      <w:r>
        <w:t xml:space="preserve">Ve službách se často uplatňují </w:t>
      </w:r>
      <w:r w:rsidRPr="007109CF">
        <w:rPr>
          <w:b/>
        </w:rPr>
        <w:t>kalkulace vycházející z přirážkové metody</w:t>
      </w:r>
      <w:r>
        <w:t xml:space="preserve">. Řada podniků, jež se zabývají poskytováním služeb, zpracovává především cenové kalkulace, jež jsou často vázány na objem práce. </w:t>
      </w:r>
      <w:r w:rsidR="004062AA">
        <w:t>Propesko jako příklad uvádí kalkulaci používanou řadou poradenských firem, které cenu určují na základě hodinových sazeb práce. Sazby za práci, se kterými se ve službách pracuje, přitom zahrnují mzdové náklady a přirážkou stanovenou část režie (Propesko 2009, s.</w:t>
      </w:r>
      <w:r w:rsidR="00287033">
        <w:t xml:space="preserve"> </w:t>
      </w:r>
      <w:r w:rsidR="004062AA">
        <w:t xml:space="preserve">75). </w:t>
      </w:r>
    </w:p>
    <w:p w:rsidR="00CD6A5A" w:rsidRDefault="00CD6A5A" w:rsidP="00717891">
      <w:pPr>
        <w:pStyle w:val="Nadpis1"/>
        <w:pageBreakBefore/>
        <w:ind w:left="357" w:hanging="357"/>
      </w:pPr>
      <w:bookmarkStart w:id="21" w:name="_Toc302476210"/>
      <w:r>
        <w:lastRenderedPageBreak/>
        <w:t>Kalkulace ve výzkumné agentuře</w:t>
      </w:r>
      <w:bookmarkEnd w:id="21"/>
      <w:r>
        <w:t xml:space="preserve"> </w:t>
      </w:r>
    </w:p>
    <w:p w:rsidR="003D6E31" w:rsidRDefault="003D6E31" w:rsidP="003D6E31"/>
    <w:p w:rsidR="00CD6A5A" w:rsidRDefault="00CD6A5A" w:rsidP="00CD6A5A">
      <w:pPr>
        <w:pStyle w:val="Nadpis2"/>
        <w:ind w:left="578" w:hanging="578"/>
      </w:pPr>
      <w:bookmarkStart w:id="22" w:name="_Toc302476211"/>
      <w:r>
        <w:t>Představení podniku</w:t>
      </w:r>
      <w:bookmarkEnd w:id="22"/>
      <w:r>
        <w:t xml:space="preserve"> </w:t>
      </w:r>
    </w:p>
    <w:p w:rsidR="00401E19" w:rsidRPr="00401E19" w:rsidRDefault="00401E19" w:rsidP="00401E19">
      <w:pPr>
        <w:pStyle w:val="Nadpis3"/>
      </w:pPr>
      <w:bookmarkStart w:id="23" w:name="_Toc302476212"/>
      <w:r>
        <w:t>Vznik, vývoj a právní forma podniku</w:t>
      </w:r>
      <w:bookmarkEnd w:id="23"/>
      <w:r>
        <w:t xml:space="preserve"> </w:t>
      </w:r>
    </w:p>
    <w:p w:rsidR="00684FB4" w:rsidRDefault="001B02BE" w:rsidP="001B02BE">
      <w:r w:rsidRPr="00471EC4">
        <w:t xml:space="preserve">Společnost </w:t>
      </w:r>
      <w:r>
        <w:t>Market Research</w:t>
      </w:r>
      <w:r w:rsidR="006F1EF9">
        <w:rPr>
          <w:rStyle w:val="Znakapoznpodarou"/>
        </w:rPr>
        <w:footnoteReference w:id="2"/>
      </w:r>
      <w:r>
        <w:t xml:space="preserve"> </w:t>
      </w:r>
      <w:r w:rsidR="003D6E31">
        <w:t>byla založena</w:t>
      </w:r>
      <w:r>
        <w:t xml:space="preserve"> </w:t>
      </w:r>
      <w:r w:rsidR="00C06399">
        <w:t>před dvaceti lety</w:t>
      </w:r>
      <w:r w:rsidR="00F73EEE">
        <w:t xml:space="preserve"> jako jedna z prvních českých agentur </w:t>
      </w:r>
      <w:r w:rsidR="00CE6924">
        <w:t>výzkumu</w:t>
      </w:r>
      <w:r w:rsidR="00F73EEE">
        <w:t xml:space="preserve"> trhu. </w:t>
      </w:r>
      <w:r w:rsidR="001875C7">
        <w:t xml:space="preserve">Podnik poskytuje služby průzkumu trhu a veřejného mínění a </w:t>
      </w:r>
      <w:r w:rsidR="008637AA">
        <w:t xml:space="preserve">související </w:t>
      </w:r>
      <w:r w:rsidR="001875C7">
        <w:t xml:space="preserve">marketingová poradenství. Jde o tzv. </w:t>
      </w:r>
      <w:r w:rsidR="001875C7" w:rsidRPr="00471EC4">
        <w:t xml:space="preserve">full-service agenturu, tedy výzkumnou agenturu, která zajišťuje komplexní řešení od zpracování návrhu výzkumu, přes sběr dat a jejich analýzu po zpracování výstupů pro klienta a související poradenství. </w:t>
      </w:r>
      <w:r w:rsidR="008637AA">
        <w:t xml:space="preserve">Za své poslání považuje přinášení spolehlivých a hodnověrných informací klientům, jimž chce být nejen dodavatelem, ale i partnerem. </w:t>
      </w:r>
    </w:p>
    <w:p w:rsidR="00684FB4" w:rsidRDefault="001875C7" w:rsidP="001B02BE">
      <w:r>
        <w:t>Podnik byl zapsán d</w:t>
      </w:r>
      <w:r w:rsidR="003D6E31">
        <w:t xml:space="preserve">o obchodního rejstříku </w:t>
      </w:r>
      <w:r w:rsidR="00271EB8">
        <w:t>v roce 1992</w:t>
      </w:r>
      <w:r>
        <w:t xml:space="preserve"> </w:t>
      </w:r>
      <w:r w:rsidR="00F73EEE">
        <w:t xml:space="preserve">jako </w:t>
      </w:r>
      <w:r w:rsidR="00F73EEE" w:rsidRPr="003269AF">
        <w:rPr>
          <w:b/>
        </w:rPr>
        <w:t>společnost s </w:t>
      </w:r>
      <w:r w:rsidR="001B613A" w:rsidRPr="003269AF">
        <w:rPr>
          <w:b/>
        </w:rPr>
        <w:t>r</w:t>
      </w:r>
      <w:r w:rsidRPr="003269AF">
        <w:rPr>
          <w:b/>
        </w:rPr>
        <w:t>učením omezený</w:t>
      </w:r>
      <w:r w:rsidR="00F73EEE" w:rsidRPr="003269AF">
        <w:rPr>
          <w:b/>
        </w:rPr>
        <w:t>m</w:t>
      </w:r>
      <w:r>
        <w:t xml:space="preserve"> a </w:t>
      </w:r>
      <w:r w:rsidR="00C06399">
        <w:t>pod touto právní formou podniká</w:t>
      </w:r>
      <w:r w:rsidR="00F73EEE">
        <w:t xml:space="preserve"> dodnes. </w:t>
      </w:r>
      <w:r>
        <w:t xml:space="preserve">Prvními společníky byli tři partneři, české fyzické osoby. </w:t>
      </w:r>
      <w:r w:rsidR="00684FB4">
        <w:t xml:space="preserve">Podnik byl od počátků členem profesních organizací sdružujících výzkumné agentury – </w:t>
      </w:r>
      <w:r w:rsidR="005A33D8">
        <w:t xml:space="preserve">mezinárodní asociace marketingového výzkumu ESOMAR a </w:t>
      </w:r>
      <w:r w:rsidR="00CE6924">
        <w:t xml:space="preserve">české asociace </w:t>
      </w:r>
      <w:r w:rsidR="005A33D8">
        <w:t>SIMAR</w:t>
      </w:r>
      <w:r w:rsidR="00684FB4">
        <w:t xml:space="preserve">, </w:t>
      </w:r>
      <w:r w:rsidR="00012BDF">
        <w:t xml:space="preserve">přičemž se </w:t>
      </w:r>
      <w:r w:rsidR="00684FB4">
        <w:t>podílel na tvorbě standardů kvality t</w:t>
      </w:r>
      <w:r w:rsidR="005A33D8">
        <w:t xml:space="preserve">ohoto </w:t>
      </w:r>
      <w:r w:rsidR="00684FB4">
        <w:t xml:space="preserve">sdružení. </w:t>
      </w:r>
      <w:r w:rsidR="008637AA">
        <w:t xml:space="preserve">Vedle toho je členem České marketingové společnosti a několika </w:t>
      </w:r>
      <w:r w:rsidR="00012BDF">
        <w:t xml:space="preserve">zahraničních </w:t>
      </w:r>
      <w:r w:rsidR="008637AA">
        <w:t xml:space="preserve">obchodních komor. </w:t>
      </w:r>
    </w:p>
    <w:p w:rsidR="00012BDF" w:rsidRDefault="001875C7" w:rsidP="001B02BE">
      <w:r>
        <w:t>Společnost úspěšně rostla</w:t>
      </w:r>
      <w:r w:rsidR="00684FB4">
        <w:t xml:space="preserve"> a</w:t>
      </w:r>
      <w:r>
        <w:t xml:space="preserve"> propracovala se mezi klíčové dodavatele marketingových </w:t>
      </w:r>
      <w:r w:rsidR="00012BDF">
        <w:t>řešení</w:t>
      </w:r>
      <w:r>
        <w:t xml:space="preserve"> na českém trhu</w:t>
      </w:r>
      <w:r w:rsidR="00684FB4">
        <w:t xml:space="preserve">. </w:t>
      </w:r>
      <w:r w:rsidR="000B1B19">
        <w:t xml:space="preserve">V roce </w:t>
      </w:r>
      <w:r w:rsidR="005A33D8">
        <w:t>1995</w:t>
      </w:r>
      <w:r w:rsidR="000B1B19">
        <w:t xml:space="preserve"> založila </w:t>
      </w:r>
      <w:r w:rsidR="00012BDF">
        <w:t>dceřinou společnost</w:t>
      </w:r>
      <w:r w:rsidR="000B1B19">
        <w:t xml:space="preserve"> na Slovensku. </w:t>
      </w:r>
      <w:r w:rsidR="00012BDF">
        <w:t xml:space="preserve">O dva roky později </w:t>
      </w:r>
      <w:r w:rsidR="00684FB4">
        <w:t>se stala součástí mezinárodního řetězce výzkumných agentur</w:t>
      </w:r>
      <w:r w:rsidR="0070646C">
        <w:t xml:space="preserve">, který </w:t>
      </w:r>
      <w:r w:rsidR="00227DDA">
        <w:br/>
      </w:r>
      <w:r w:rsidR="0070646C">
        <w:t>do společnosti vstoupil prostřednictvím své německé pobočky jako čtvrtý společník.</w:t>
      </w:r>
      <w:r w:rsidR="00684FB4">
        <w:t xml:space="preserve"> </w:t>
      </w:r>
      <w:r w:rsidR="0070646C">
        <w:t xml:space="preserve">Centrála </w:t>
      </w:r>
      <w:r w:rsidR="008637AA">
        <w:t>skupiny</w:t>
      </w:r>
      <w:r w:rsidR="0070646C">
        <w:t xml:space="preserve"> byla </w:t>
      </w:r>
      <w:r w:rsidR="008637AA">
        <w:t>nejprve</w:t>
      </w:r>
      <w:r w:rsidR="0070646C">
        <w:t xml:space="preserve"> ve Francii, posléze d</w:t>
      </w:r>
      <w:r w:rsidR="008637AA">
        <w:t xml:space="preserve">ošlo k dalším akvizicím a </w:t>
      </w:r>
      <w:r w:rsidR="0070646C">
        <w:t>k pře</w:t>
      </w:r>
      <w:r w:rsidR="008637AA">
        <w:t>sunu</w:t>
      </w:r>
      <w:r w:rsidR="0070646C">
        <w:t xml:space="preserve"> vedení mezinárodní</w:t>
      </w:r>
      <w:r w:rsidR="008637AA">
        <w:t>ho řetězce</w:t>
      </w:r>
      <w:r w:rsidR="0070646C">
        <w:t xml:space="preserve"> do Velké Británie. </w:t>
      </w:r>
      <w:r w:rsidR="00F64E96">
        <w:t>Přistoupení k mezinárodní skupině s sebou neslo řadu výhod</w:t>
      </w:r>
      <w:r w:rsidR="008637AA">
        <w:t xml:space="preserve"> a kvalitativní růst</w:t>
      </w:r>
      <w:r w:rsidR="00F64E96">
        <w:t xml:space="preserve">, ať již přístupem k know-how </w:t>
      </w:r>
      <w:r w:rsidR="000B1B19">
        <w:t>řetězce</w:t>
      </w:r>
      <w:r w:rsidR="00E25985">
        <w:t xml:space="preserve"> v metodické oblasti a</w:t>
      </w:r>
      <w:r w:rsidR="00F64E96">
        <w:t xml:space="preserve"> </w:t>
      </w:r>
      <w:r w:rsidR="00012BDF">
        <w:t xml:space="preserve">v oblasti řízení </w:t>
      </w:r>
      <w:r w:rsidR="00E25985">
        <w:t>a</w:t>
      </w:r>
      <w:r w:rsidR="00012BDF">
        <w:t xml:space="preserve">nebo na </w:t>
      </w:r>
      <w:r w:rsidR="00F64E96">
        <w:t>obchodním</w:t>
      </w:r>
      <w:r w:rsidR="000B1B19">
        <w:t xml:space="preserve"> poli</w:t>
      </w:r>
      <w:r w:rsidR="00F64E96">
        <w:t xml:space="preserve">. Podnik </w:t>
      </w:r>
      <w:r w:rsidR="00017266">
        <w:t xml:space="preserve">mohl své výzkumy </w:t>
      </w:r>
      <w:r w:rsidR="000B1B19">
        <w:t xml:space="preserve">realizovat </w:t>
      </w:r>
      <w:r w:rsidR="00017266">
        <w:t xml:space="preserve">prostřednictvím sesterských organizací </w:t>
      </w:r>
      <w:r w:rsidR="000B1B19">
        <w:t xml:space="preserve">na mezinárodní úrovni a </w:t>
      </w:r>
      <w:r w:rsidR="00012BDF">
        <w:lastRenderedPageBreak/>
        <w:t xml:space="preserve">vedle toho </w:t>
      </w:r>
      <w:r w:rsidR="00017266">
        <w:t>využíva</w:t>
      </w:r>
      <w:r w:rsidR="00012BDF">
        <w:t>l</w:t>
      </w:r>
      <w:r w:rsidR="00017266">
        <w:t xml:space="preserve"> </w:t>
      </w:r>
      <w:r w:rsidR="000B1B19">
        <w:t>skupinová</w:t>
      </w:r>
      <w:r w:rsidR="00017266">
        <w:t xml:space="preserve"> značková řešení. </w:t>
      </w:r>
      <w:r w:rsidR="000B1B19">
        <w:t>R</w:t>
      </w:r>
      <w:r w:rsidR="00017266">
        <w:t xml:space="preserve">ůstu </w:t>
      </w:r>
      <w:r w:rsidR="00EE7065">
        <w:t>obratu</w:t>
      </w:r>
      <w:r w:rsidR="00017266">
        <w:t xml:space="preserve"> napomohlo před</w:t>
      </w:r>
      <w:r w:rsidR="00012BDF">
        <w:t>evším získání nových zákazníků</w:t>
      </w:r>
      <w:r w:rsidR="00017266">
        <w:t xml:space="preserve"> </w:t>
      </w:r>
      <w:r w:rsidR="00012BDF">
        <w:t xml:space="preserve">z řad nadnárodních podniků, </w:t>
      </w:r>
      <w:r w:rsidR="00017266">
        <w:t>s nimiž skupina spoluprac</w:t>
      </w:r>
      <w:r w:rsidR="003114BF">
        <w:t>ovala</w:t>
      </w:r>
      <w:r w:rsidR="00017266">
        <w:t xml:space="preserve"> </w:t>
      </w:r>
      <w:r w:rsidR="00227DDA">
        <w:br/>
      </w:r>
      <w:r w:rsidR="00017266">
        <w:t xml:space="preserve">na </w:t>
      </w:r>
      <w:r w:rsidR="00012BDF">
        <w:t>mezinárodní</w:t>
      </w:r>
      <w:r w:rsidR="00017266">
        <w:t xml:space="preserve"> úrovni. Vedle toho podnik realizova</w:t>
      </w:r>
      <w:r w:rsidR="00012BDF">
        <w:t>l</w:t>
      </w:r>
      <w:r w:rsidR="00017266">
        <w:t xml:space="preserve"> zakázky pro odběratele v rámci skupiny jako</w:t>
      </w:r>
      <w:r w:rsidR="000B1B19">
        <w:t>žto</w:t>
      </w:r>
      <w:r w:rsidR="00017266">
        <w:t xml:space="preserve"> subdodavatel </w:t>
      </w:r>
      <w:r w:rsidR="00EE7065">
        <w:t xml:space="preserve">českých dat do </w:t>
      </w:r>
      <w:r w:rsidR="00017266">
        <w:t xml:space="preserve">mezinárodních průzkumů. </w:t>
      </w:r>
    </w:p>
    <w:p w:rsidR="001875C7" w:rsidRDefault="0070646C" w:rsidP="001B02BE">
      <w:r>
        <w:t>V roce 2004 došlo k</w:t>
      </w:r>
      <w:r w:rsidR="00F64E96">
        <w:t> akvizici významného konkurenta mateřskou společností</w:t>
      </w:r>
      <w:r>
        <w:t xml:space="preserve">. Vlivem </w:t>
      </w:r>
      <w:r w:rsidR="00F64E96">
        <w:t>plánované</w:t>
      </w:r>
      <w:r>
        <w:t xml:space="preserve"> fúze mělo dojít </w:t>
      </w:r>
      <w:r w:rsidR="00F64E96">
        <w:t>ke </w:t>
      </w:r>
      <w:r w:rsidR="00227DDA">
        <w:t xml:space="preserve"> </w:t>
      </w:r>
      <w:r w:rsidR="00F64E96">
        <w:t>sloučení s konkurenčním podnikem</w:t>
      </w:r>
      <w:r w:rsidR="00227DDA" w:rsidRPr="00227DDA">
        <w:t xml:space="preserve"> </w:t>
      </w:r>
      <w:r w:rsidR="00227DDA">
        <w:t xml:space="preserve">i na </w:t>
      </w:r>
      <w:r w:rsidR="00E25985">
        <w:t>tuzemském</w:t>
      </w:r>
      <w:r w:rsidR="00227DDA">
        <w:t xml:space="preserve"> trhu</w:t>
      </w:r>
      <w:r w:rsidR="00CE6924">
        <w:t xml:space="preserve">, </w:t>
      </w:r>
      <w:r w:rsidR="00E25985">
        <w:t>čeští společníci</w:t>
      </w:r>
      <w:r w:rsidR="00CE6924">
        <w:t xml:space="preserve"> ale </w:t>
      </w:r>
      <w:r w:rsidR="00E25985">
        <w:t xml:space="preserve">chtěli zachovat </w:t>
      </w:r>
      <w:r w:rsidR="00CE6924">
        <w:t>značk</w:t>
      </w:r>
      <w:r w:rsidR="00E25985">
        <w:t>u</w:t>
      </w:r>
      <w:r w:rsidR="00CE6924">
        <w:t xml:space="preserve"> </w:t>
      </w:r>
      <w:r w:rsidR="00E25985">
        <w:t xml:space="preserve">a rozhodli se z mezinárodního řetězce </w:t>
      </w:r>
      <w:r w:rsidR="00CE6924">
        <w:t xml:space="preserve">vystoupit. </w:t>
      </w:r>
      <w:r w:rsidR="00EE7065">
        <w:t>Tento krok měl</w:t>
      </w:r>
      <w:r w:rsidR="00401E19">
        <w:t xml:space="preserve"> negativní vliv na objem zakázek, </w:t>
      </w:r>
      <w:r w:rsidR="00012BDF">
        <w:t xml:space="preserve">neboť </w:t>
      </w:r>
      <w:r w:rsidR="00401E19">
        <w:t xml:space="preserve">podnik ztratil část svých „skupinových“ </w:t>
      </w:r>
      <w:r w:rsidR="00227DDA">
        <w:t>zákazníků</w:t>
      </w:r>
      <w:r w:rsidR="00401E19">
        <w:t xml:space="preserve">. Obrat po počátečním poklesu rostl jen mírně, přesto se </w:t>
      </w:r>
      <w:r w:rsidR="00012BDF">
        <w:t>organizaci</w:t>
      </w:r>
      <w:r w:rsidR="00401E19">
        <w:t xml:space="preserve"> vedlo nacházet nové tržní příležitost a získávat nové </w:t>
      </w:r>
      <w:r w:rsidR="00567BA3">
        <w:t>zákazníky</w:t>
      </w:r>
      <w:r w:rsidR="00401E19">
        <w:t xml:space="preserve">. Pro posílení pozice na </w:t>
      </w:r>
      <w:r w:rsidR="00F51557">
        <w:t>t</w:t>
      </w:r>
      <w:r w:rsidR="00401E19">
        <w:t xml:space="preserve">rhu </w:t>
      </w:r>
      <w:r w:rsidR="00227DDA">
        <w:t>agentura</w:t>
      </w:r>
      <w:r w:rsidR="00401E19">
        <w:t xml:space="preserve"> </w:t>
      </w:r>
      <w:r w:rsidR="00221D81">
        <w:t>iniciova</w:t>
      </w:r>
      <w:r w:rsidR="00227DDA">
        <w:t>la</w:t>
      </w:r>
      <w:r w:rsidR="00221D81">
        <w:t xml:space="preserve"> vznik řetězce Market Research Group, který pokrývá region </w:t>
      </w:r>
      <w:r w:rsidR="00401E19">
        <w:t xml:space="preserve">střední a východní Evropy. </w:t>
      </w:r>
    </w:p>
    <w:p w:rsidR="00EE7065" w:rsidRDefault="00C06CC3" w:rsidP="001B02BE">
      <w:r>
        <w:t xml:space="preserve">Ekonomická krize s sebou přinesla výrazné šetření podniků </w:t>
      </w:r>
      <w:r w:rsidR="00227DDA">
        <w:t>ve výdajích na marketing</w:t>
      </w:r>
      <w:r>
        <w:t xml:space="preserve">. </w:t>
      </w:r>
      <w:r w:rsidR="00EE4CB2">
        <w:t xml:space="preserve">Negativní dopady krize vedly ke zhoršení výsledků hospodaření a problémům </w:t>
      </w:r>
      <w:r w:rsidR="003114BF">
        <w:br/>
      </w:r>
      <w:r w:rsidR="00EE4CB2">
        <w:t xml:space="preserve">s cash-flow. Do podniku </w:t>
      </w:r>
      <w:r w:rsidR="00227DDA">
        <w:t xml:space="preserve">proto </w:t>
      </w:r>
      <w:r w:rsidR="00EE4CB2">
        <w:t xml:space="preserve">před dvěma lety </w:t>
      </w:r>
      <w:r w:rsidR="00FF26A4">
        <w:t>v</w:t>
      </w:r>
      <w:r w:rsidR="00EE4CB2">
        <w:t>stoup</w:t>
      </w:r>
      <w:r w:rsidR="00227DDA">
        <w:t>il partner z oblasti marketingu s</w:t>
      </w:r>
      <w:r w:rsidR="00EE4CB2">
        <w:t xml:space="preserve"> cílem kapitál</w:t>
      </w:r>
      <w:r w:rsidR="00227DDA">
        <w:t xml:space="preserve">ového posílení podniku a </w:t>
      </w:r>
      <w:r w:rsidR="00EE4CB2">
        <w:t>využ</w:t>
      </w:r>
      <w:r w:rsidR="00227DDA">
        <w:t>ití</w:t>
      </w:r>
      <w:r w:rsidR="00EE4CB2">
        <w:t xml:space="preserve"> synergického efektu dvou společně fungujících subjektů. </w:t>
      </w:r>
    </w:p>
    <w:p w:rsidR="00401E19" w:rsidRPr="00401E19" w:rsidRDefault="00401E19" w:rsidP="00AD39AE">
      <w:pPr>
        <w:pStyle w:val="Nadpis3"/>
        <w:spacing w:before="720"/>
      </w:pPr>
      <w:bookmarkStart w:id="24" w:name="_Toc302476213"/>
      <w:r>
        <w:t>Poskytované služby</w:t>
      </w:r>
      <w:bookmarkEnd w:id="24"/>
      <w:r>
        <w:t xml:space="preserve"> </w:t>
      </w:r>
    </w:p>
    <w:p w:rsidR="00335E76" w:rsidRDefault="003B0FC2" w:rsidP="00335E76">
      <w:r>
        <w:t xml:space="preserve">Podnik </w:t>
      </w:r>
      <w:r w:rsidR="001104AC">
        <w:t xml:space="preserve">se </w:t>
      </w:r>
      <w:r w:rsidR="00627521">
        <w:t xml:space="preserve">dle klasifikace ekonomických činností </w:t>
      </w:r>
      <w:r w:rsidR="001104AC">
        <w:t>zabývá poskytováním</w:t>
      </w:r>
      <w:r>
        <w:t xml:space="preserve"> </w:t>
      </w:r>
      <w:r w:rsidRPr="003269AF">
        <w:rPr>
          <w:b/>
        </w:rPr>
        <w:t>služ</w:t>
      </w:r>
      <w:r w:rsidR="001104AC" w:rsidRPr="003269AF">
        <w:rPr>
          <w:b/>
        </w:rPr>
        <w:t>eb</w:t>
      </w:r>
      <w:r w:rsidR="00391B64" w:rsidRPr="003269AF">
        <w:rPr>
          <w:b/>
        </w:rPr>
        <w:t xml:space="preserve"> průzkum</w:t>
      </w:r>
      <w:r w:rsidR="002D263C" w:rsidRPr="003269AF">
        <w:rPr>
          <w:b/>
        </w:rPr>
        <w:t>u</w:t>
      </w:r>
      <w:r w:rsidR="00391B64" w:rsidRPr="003269AF">
        <w:rPr>
          <w:b/>
        </w:rPr>
        <w:t xml:space="preserve"> trhu a veřejného mínění</w:t>
      </w:r>
      <w:r w:rsidR="00391B64">
        <w:t xml:space="preserve"> (CZ-NACE kód 73.2) a </w:t>
      </w:r>
      <w:r w:rsidR="00391B64" w:rsidRPr="00227DDA">
        <w:rPr>
          <w:b/>
        </w:rPr>
        <w:t>poradenství v</w:t>
      </w:r>
      <w:r w:rsidR="002D263C" w:rsidRPr="00227DDA">
        <w:rPr>
          <w:b/>
        </w:rPr>
        <w:t> oblasti řízení</w:t>
      </w:r>
      <w:r w:rsidR="002D263C">
        <w:t xml:space="preserve"> (CZ-NACE kód 70.2). </w:t>
      </w:r>
      <w:r w:rsidR="00335E76">
        <w:t xml:space="preserve">Realizované zakázky mají charakter poradenských služeb. Většina zakázek je navržena a realizována s ohledem na individuální potřeby zákazníka a </w:t>
      </w:r>
      <w:r w:rsidR="00227DDA">
        <w:t xml:space="preserve">jím </w:t>
      </w:r>
      <w:r w:rsidR="00335E76">
        <w:t xml:space="preserve">řešený problém. Podnik v menší míře zpracovává i šetření, jejichž výsledkem jsou </w:t>
      </w:r>
      <w:r w:rsidR="00335E76" w:rsidRPr="00F73EEE">
        <w:t xml:space="preserve">volně prodejné </w:t>
      </w:r>
      <w:r w:rsidR="00267FB5">
        <w:t>studie te</w:t>
      </w:r>
      <w:r w:rsidR="00335E76">
        <w:t xml:space="preserve">maticky zaměřené na různé oblasti trhu. </w:t>
      </w:r>
    </w:p>
    <w:p w:rsidR="003B0FC2" w:rsidRDefault="00335E76" w:rsidP="000874A1">
      <w:r>
        <w:t>Z</w:t>
      </w:r>
      <w:r w:rsidR="003B0FC2">
        <w:t>ákazníky</w:t>
      </w:r>
      <w:r w:rsidR="001104AC">
        <w:t xml:space="preserve"> </w:t>
      </w:r>
      <w:r>
        <w:t xml:space="preserve">výzkumné agentury </w:t>
      </w:r>
      <w:r w:rsidR="001104AC">
        <w:t xml:space="preserve">jsou další podniky, stát </w:t>
      </w:r>
      <w:r w:rsidR="003B0FC2">
        <w:t xml:space="preserve">a </w:t>
      </w:r>
      <w:r w:rsidR="002A07A1">
        <w:t>jiné</w:t>
      </w:r>
      <w:r w:rsidR="003B0FC2">
        <w:t xml:space="preserve"> instituce. </w:t>
      </w:r>
      <w:r w:rsidR="001104AC">
        <w:t xml:space="preserve">Průzkumy jsou realizovány pro celou řadu podniků z komerční sféry, mezi nejvýznamnější </w:t>
      </w:r>
      <w:r w:rsidR="00267FB5">
        <w:t>oblasti</w:t>
      </w:r>
      <w:r w:rsidR="001104AC">
        <w:t xml:space="preserve"> patří </w:t>
      </w:r>
      <w:r w:rsidR="00271EB8">
        <w:t xml:space="preserve">spotřebitelské výzkumy, </w:t>
      </w:r>
      <w:r w:rsidR="002D263C">
        <w:t>výzkumy business-to-business</w:t>
      </w:r>
      <w:r w:rsidR="00152138">
        <w:t xml:space="preserve">, </w:t>
      </w:r>
      <w:r w:rsidR="002D263C">
        <w:t>výzkumy veřejného mínění, průzkumy</w:t>
      </w:r>
      <w:r w:rsidR="00391B64">
        <w:t xml:space="preserve"> </w:t>
      </w:r>
      <w:r w:rsidR="001104AC">
        <w:t>finanční</w:t>
      </w:r>
      <w:r w:rsidR="00391B64">
        <w:t>ho</w:t>
      </w:r>
      <w:r w:rsidR="001104AC">
        <w:t xml:space="preserve"> </w:t>
      </w:r>
      <w:r w:rsidR="00391B64">
        <w:t>a pojistného</w:t>
      </w:r>
      <w:r w:rsidR="00271EB8">
        <w:t xml:space="preserve"> </w:t>
      </w:r>
      <w:r w:rsidR="002D263C">
        <w:t>trhu, výzkumy pro</w:t>
      </w:r>
      <w:r w:rsidR="00391B64">
        <w:t xml:space="preserve"> </w:t>
      </w:r>
      <w:r w:rsidR="002A07A1">
        <w:t>průmyslové podniky v celé řadě odvětví</w:t>
      </w:r>
      <w:r w:rsidR="001104AC">
        <w:t xml:space="preserve">, </w:t>
      </w:r>
      <w:r w:rsidR="002D263C">
        <w:t xml:space="preserve">oblast </w:t>
      </w:r>
      <w:r w:rsidR="002A07A1">
        <w:t xml:space="preserve">IT a </w:t>
      </w:r>
      <w:r w:rsidR="00173B01">
        <w:t>telekomunika</w:t>
      </w:r>
      <w:r w:rsidR="002D263C">
        <w:t>cí a</w:t>
      </w:r>
      <w:r w:rsidR="001104AC">
        <w:t xml:space="preserve"> </w:t>
      </w:r>
      <w:r w:rsidR="002A07A1">
        <w:t>oblast healhtcare orien</w:t>
      </w:r>
      <w:r w:rsidR="003114BF">
        <w:t xml:space="preserve">tovaná na zdravotnictví a </w:t>
      </w:r>
      <w:r w:rsidR="003114BF">
        <w:lastRenderedPageBreak/>
        <w:t>průzkumy</w:t>
      </w:r>
      <w:r w:rsidR="002A07A1">
        <w:t xml:space="preserve"> pro farmaceutické firmy</w:t>
      </w:r>
      <w:r w:rsidR="001104AC">
        <w:t xml:space="preserve">. </w:t>
      </w:r>
      <w:r w:rsidR="00152138">
        <w:t>Mezi přínosné realizované zakázky patří také dopravní výzkumy a výzkumy cestovního ruchu. Významným zákazník</w:t>
      </w:r>
      <w:r w:rsidR="00227DDA">
        <w:t xml:space="preserve">em je i </w:t>
      </w:r>
      <w:r w:rsidR="00173B01">
        <w:t>stát</w:t>
      </w:r>
      <w:r w:rsidR="00152138">
        <w:t>, samospráva</w:t>
      </w:r>
      <w:r w:rsidR="00173B01">
        <w:t xml:space="preserve"> a organizační </w:t>
      </w:r>
      <w:r w:rsidR="00391B64">
        <w:t>složky státu</w:t>
      </w:r>
      <w:r w:rsidR="00173B01">
        <w:t>, média a další instituce</w:t>
      </w:r>
      <w:r w:rsidR="003114BF">
        <w:t>,</w:t>
      </w:r>
      <w:r w:rsidR="00173B01">
        <w:t xml:space="preserve"> j</w:t>
      </w:r>
      <w:r w:rsidR="003114BF">
        <w:t>ako např.</w:t>
      </w:r>
      <w:r w:rsidR="002D263C">
        <w:t xml:space="preserve"> výzkumné ústavy, školy</w:t>
      </w:r>
      <w:r w:rsidR="00173B01">
        <w:t xml:space="preserve"> a nadace. </w:t>
      </w:r>
      <w:r w:rsidR="001104AC">
        <w:t xml:space="preserve">Převážná část služeb je poskytována tuzemským zákazníkům, </w:t>
      </w:r>
      <w:r w:rsidR="002D263C">
        <w:t>zhruba</w:t>
      </w:r>
      <w:r w:rsidR="00152138">
        <w:t xml:space="preserve"> pětinu</w:t>
      </w:r>
      <w:r w:rsidR="001104AC">
        <w:t xml:space="preserve"> z celkového objemu tržeb </w:t>
      </w:r>
      <w:r w:rsidR="002D263C">
        <w:t>představují zahraniční zakázky</w:t>
      </w:r>
      <w:r w:rsidR="001104AC">
        <w:t>.</w:t>
      </w:r>
      <w:r w:rsidR="00271EB8">
        <w:t xml:space="preserve"> </w:t>
      </w:r>
    </w:p>
    <w:p w:rsidR="00152138" w:rsidRDefault="00152138" w:rsidP="00152138">
      <w:pPr>
        <w:spacing w:after="0"/>
      </w:pPr>
      <w:r>
        <w:t xml:space="preserve">Výzkumy a šetření mohou být orientovány na: </w:t>
      </w:r>
    </w:p>
    <w:p w:rsidR="00152138" w:rsidRPr="00152138" w:rsidRDefault="00BA5260" w:rsidP="005855A6">
      <w:pPr>
        <w:pStyle w:val="Odstavecseseznamem"/>
        <w:numPr>
          <w:ilvl w:val="0"/>
          <w:numId w:val="7"/>
        </w:numPr>
        <w:spacing w:line="360" w:lineRule="auto"/>
        <w:ind w:left="357" w:hanging="357"/>
      </w:pPr>
      <w:r>
        <w:t>problematiku t</w:t>
      </w:r>
      <w:r w:rsidR="00152138" w:rsidRPr="00152138">
        <w:t>rh</w:t>
      </w:r>
      <w:r>
        <w:t>u (</w:t>
      </w:r>
      <w:r w:rsidR="002D263C" w:rsidRPr="00152138">
        <w:t>s</w:t>
      </w:r>
      <w:r w:rsidR="00391B64" w:rsidRPr="00152138">
        <w:t>egmenta</w:t>
      </w:r>
      <w:r>
        <w:t>ci</w:t>
      </w:r>
      <w:r w:rsidR="00391B64" w:rsidRPr="00152138">
        <w:t>, konkurenční prostředí</w:t>
      </w:r>
      <w:r>
        <w:t xml:space="preserve"> a</w:t>
      </w:r>
      <w:r w:rsidR="00391B64" w:rsidRPr="00152138">
        <w:t xml:space="preserve"> tržní</w:t>
      </w:r>
      <w:r>
        <w:t xml:space="preserve"> </w:t>
      </w:r>
      <w:r w:rsidR="00391B64" w:rsidRPr="00152138">
        <w:t>příležitost</w:t>
      </w:r>
      <w:r>
        <w:t>i)</w:t>
      </w:r>
      <w:r w:rsidR="00152138" w:rsidRPr="00152138">
        <w:t xml:space="preserve">; </w:t>
      </w:r>
    </w:p>
    <w:p w:rsidR="00152138" w:rsidRPr="00152138" w:rsidRDefault="00391B64" w:rsidP="005855A6">
      <w:pPr>
        <w:pStyle w:val="Odstavecseseznamem"/>
        <w:numPr>
          <w:ilvl w:val="0"/>
          <w:numId w:val="7"/>
        </w:numPr>
        <w:spacing w:line="360" w:lineRule="auto"/>
        <w:ind w:left="357" w:hanging="357"/>
      </w:pPr>
      <w:r w:rsidRPr="00152138">
        <w:t>zákazníka</w:t>
      </w:r>
      <w:r w:rsidR="00BA5260">
        <w:t xml:space="preserve"> (</w:t>
      </w:r>
      <w:r w:rsidR="00152138" w:rsidRPr="00152138">
        <w:t xml:space="preserve">jeho </w:t>
      </w:r>
      <w:r w:rsidRPr="00152138">
        <w:t>postoje, chování a spokojenost</w:t>
      </w:r>
      <w:r w:rsidR="00BA5260">
        <w:t>)</w:t>
      </w:r>
      <w:r w:rsidR="00152138" w:rsidRPr="00152138">
        <w:t xml:space="preserve">; </w:t>
      </w:r>
    </w:p>
    <w:p w:rsidR="00152138" w:rsidRPr="00152138" w:rsidRDefault="00152138" w:rsidP="005855A6">
      <w:pPr>
        <w:pStyle w:val="Odstavecseseznamem"/>
        <w:numPr>
          <w:ilvl w:val="0"/>
          <w:numId w:val="7"/>
        </w:numPr>
        <w:spacing w:line="360" w:lineRule="auto"/>
        <w:ind w:left="357" w:hanging="357"/>
      </w:pPr>
      <w:r w:rsidRPr="00152138">
        <w:t>výrobky</w:t>
      </w:r>
      <w:r w:rsidR="00391B64" w:rsidRPr="00152138">
        <w:t xml:space="preserve"> </w:t>
      </w:r>
      <w:r w:rsidRPr="00152138">
        <w:t>a služ</w:t>
      </w:r>
      <w:r w:rsidR="00391B64" w:rsidRPr="00152138">
        <w:t>b</w:t>
      </w:r>
      <w:r w:rsidRPr="00152138">
        <w:t>y</w:t>
      </w:r>
      <w:r w:rsidR="00BA5260">
        <w:t xml:space="preserve"> (</w:t>
      </w:r>
      <w:r w:rsidRPr="00152138">
        <w:t xml:space="preserve">testy </w:t>
      </w:r>
      <w:r w:rsidR="00BA5260">
        <w:t>výrobků</w:t>
      </w:r>
      <w:r w:rsidR="00227DDA">
        <w:t>, služeb</w:t>
      </w:r>
      <w:r w:rsidR="00BA5260">
        <w:t xml:space="preserve"> </w:t>
      </w:r>
      <w:r w:rsidRPr="00152138">
        <w:t xml:space="preserve">a </w:t>
      </w:r>
      <w:r w:rsidR="00BA5260">
        <w:t>jejich</w:t>
      </w:r>
      <w:r w:rsidRPr="00152138">
        <w:t xml:space="preserve"> </w:t>
      </w:r>
      <w:r w:rsidR="00391B64" w:rsidRPr="00152138">
        <w:t>konceptů,</w:t>
      </w:r>
      <w:r w:rsidRPr="00152138">
        <w:t xml:space="preserve"> cenové testy</w:t>
      </w:r>
      <w:r w:rsidR="00BA5260">
        <w:t xml:space="preserve">); </w:t>
      </w:r>
    </w:p>
    <w:p w:rsidR="00152138" w:rsidRPr="00152138" w:rsidRDefault="00391B64" w:rsidP="005855A6">
      <w:pPr>
        <w:pStyle w:val="Odstavecseseznamem"/>
        <w:numPr>
          <w:ilvl w:val="0"/>
          <w:numId w:val="7"/>
        </w:numPr>
        <w:spacing w:line="360" w:lineRule="auto"/>
        <w:ind w:left="357" w:hanging="357"/>
      </w:pPr>
      <w:r w:rsidRPr="00152138">
        <w:t>image a komunikac</w:t>
      </w:r>
      <w:r w:rsidR="00BA5260">
        <w:t>i (image výrobků a služeb</w:t>
      </w:r>
      <w:r w:rsidR="00152138" w:rsidRPr="00152138">
        <w:t>, testy reklamy</w:t>
      </w:r>
      <w:r w:rsidR="00BA5260">
        <w:t>)</w:t>
      </w:r>
      <w:r w:rsidR="00152138" w:rsidRPr="00152138">
        <w:t xml:space="preserve">; </w:t>
      </w:r>
    </w:p>
    <w:p w:rsidR="00391B64" w:rsidRPr="00152138" w:rsidRDefault="00BA5260" w:rsidP="005855A6">
      <w:pPr>
        <w:pStyle w:val="Odstavecseseznamem"/>
        <w:numPr>
          <w:ilvl w:val="0"/>
          <w:numId w:val="7"/>
        </w:numPr>
        <w:spacing w:line="360" w:lineRule="auto"/>
        <w:ind w:left="357" w:hanging="357"/>
      </w:pPr>
      <w:r>
        <w:t xml:space="preserve">zaměstnance (jejich </w:t>
      </w:r>
      <w:r w:rsidR="00391B64" w:rsidRPr="00152138">
        <w:t xml:space="preserve">spokojenost </w:t>
      </w:r>
      <w:r w:rsidR="00152138" w:rsidRPr="00152138">
        <w:t>a oddanost</w:t>
      </w:r>
      <w:r>
        <w:t>)</w:t>
      </w:r>
      <w:r w:rsidR="00152138" w:rsidRPr="00152138">
        <w:t xml:space="preserve">; </w:t>
      </w:r>
    </w:p>
    <w:p w:rsidR="00152138" w:rsidRPr="00152138" w:rsidRDefault="00BA5260" w:rsidP="005855A6">
      <w:pPr>
        <w:pStyle w:val="Odstavecseseznamem"/>
        <w:numPr>
          <w:ilvl w:val="0"/>
          <w:numId w:val="7"/>
        </w:numPr>
        <w:spacing w:line="360" w:lineRule="auto"/>
        <w:ind w:left="357" w:hanging="357"/>
      </w:pPr>
      <w:r>
        <w:t>názory obyvatelstva (</w:t>
      </w:r>
      <w:r w:rsidR="00152138" w:rsidRPr="00152138">
        <w:t xml:space="preserve">výzkumy </w:t>
      </w:r>
      <w:r>
        <w:t>mínění</w:t>
      </w:r>
      <w:r w:rsidR="00152138" w:rsidRPr="00152138">
        <w:t>, reakce na po</w:t>
      </w:r>
      <w:r>
        <w:t xml:space="preserve">litické a jiné události) apod. </w:t>
      </w:r>
    </w:p>
    <w:p w:rsidR="00427CE6" w:rsidRDefault="00515611" w:rsidP="000874A1">
      <w:r>
        <w:t>Metodicky p</w:t>
      </w:r>
      <w:r w:rsidR="00427CE6">
        <w:t xml:space="preserve">odnik realizuje jak </w:t>
      </w:r>
      <w:r w:rsidR="00427CE6" w:rsidRPr="00F43197">
        <w:rPr>
          <w:b/>
        </w:rPr>
        <w:t>kvantitativní šetření</w:t>
      </w:r>
      <w:r w:rsidR="00427CE6">
        <w:t>, tak i kvalitativní výzkumy. Mezi dotazovací techniky patří osobní</w:t>
      </w:r>
      <w:r w:rsidR="00416873">
        <w:t xml:space="preserve"> dotazování (</w:t>
      </w:r>
      <w:r w:rsidR="00002A2D">
        <w:t>FtF</w:t>
      </w:r>
      <w:r w:rsidR="00AF5AF5">
        <w:t xml:space="preserve"> – PAPI, CAPI</w:t>
      </w:r>
      <w:r w:rsidR="00416873">
        <w:t>)</w:t>
      </w:r>
      <w:r w:rsidR="00427CE6">
        <w:t xml:space="preserve">, telefonické </w:t>
      </w:r>
      <w:r w:rsidR="00416873">
        <w:t xml:space="preserve">dotazování (CATI) </w:t>
      </w:r>
      <w:r w:rsidR="00427CE6">
        <w:t xml:space="preserve">a internetové </w:t>
      </w:r>
      <w:r w:rsidR="00416873">
        <w:t>dotazování (CAWI)</w:t>
      </w:r>
      <w:r w:rsidR="00AF5AF5">
        <w:t>.</w:t>
      </w:r>
      <w:r w:rsidR="00427CE6">
        <w:t xml:space="preserve"> </w:t>
      </w:r>
      <w:r w:rsidR="00AF5AF5">
        <w:t>M</w:t>
      </w:r>
      <w:r w:rsidR="00427CE6">
        <w:t xml:space="preserve">ezi specifické techniky </w:t>
      </w:r>
      <w:r w:rsidR="00416873">
        <w:t>je řazen</w:t>
      </w:r>
      <w:r w:rsidR="00427CE6">
        <w:t xml:space="preserve"> mystery shopping</w:t>
      </w:r>
      <w:r w:rsidR="00AF5AF5">
        <w:t>.</w:t>
      </w:r>
      <w:r w:rsidR="00427CE6">
        <w:t xml:space="preserve"> Zákazníci </w:t>
      </w:r>
      <w:r w:rsidR="00AF5AF5">
        <w:t xml:space="preserve">si </w:t>
      </w:r>
      <w:r w:rsidR="00427CE6">
        <w:t>mohou zvolit i dotazování v rámci omnibusu, opakovaného vícetematického výzkumu. Na sběru dat za pomoci osobního dotazování</w:t>
      </w:r>
      <w:r w:rsidR="00AF5AF5">
        <w:t xml:space="preserve"> </w:t>
      </w:r>
      <w:r w:rsidR="00427CE6">
        <w:t xml:space="preserve">podnik spolupracuje s vyškolenými tazateli. </w:t>
      </w:r>
      <w:r w:rsidR="00416873">
        <w:t xml:space="preserve">Telefonické a internetové dotazování je zajištěno subdodavatelsky. </w:t>
      </w:r>
      <w:r w:rsidR="00427CE6">
        <w:t>Z </w:t>
      </w:r>
      <w:r w:rsidR="00427CE6" w:rsidRPr="00F43197">
        <w:rPr>
          <w:b/>
        </w:rPr>
        <w:t>kvalitativních výzkumů</w:t>
      </w:r>
      <w:r w:rsidR="00427CE6">
        <w:t xml:space="preserve"> jsou nejčastěji prováděny skupinové diskuze (focus group) a hloubkové rozhovory (in-depth), tyto techniky provádějí zkušení psychologové z řad zaměstnanců nebo externích spolupracovníků. </w:t>
      </w:r>
      <w:r w:rsidR="00AF5AF5">
        <w:t xml:space="preserve">Podnik také nabízí několik </w:t>
      </w:r>
      <w:r w:rsidR="00267FB5">
        <w:t xml:space="preserve">vlastních značkových řešení a </w:t>
      </w:r>
      <w:r w:rsidR="00AF5AF5">
        <w:t xml:space="preserve">analytických nástrojů. </w:t>
      </w:r>
    </w:p>
    <w:p w:rsidR="001B02BE" w:rsidRDefault="00415EEF" w:rsidP="00EE7065">
      <w:r>
        <w:t>Zakáz</w:t>
      </w:r>
      <w:r w:rsidR="00503C05">
        <w:t>k</w:t>
      </w:r>
      <w:r>
        <w:t xml:space="preserve">y mohou být získány </w:t>
      </w:r>
      <w:r w:rsidR="00074EA0">
        <w:t>po</w:t>
      </w:r>
      <w:r>
        <w:t xml:space="preserve"> </w:t>
      </w:r>
      <w:r w:rsidR="00503C05">
        <w:t>poptáv</w:t>
      </w:r>
      <w:r w:rsidR="00074EA0">
        <w:t>ce</w:t>
      </w:r>
      <w:r w:rsidR="00503C05">
        <w:t xml:space="preserve"> klienta</w:t>
      </w:r>
      <w:r>
        <w:t xml:space="preserve"> anebo</w:t>
      </w:r>
      <w:r w:rsidR="000874A1" w:rsidRPr="00F73EEE">
        <w:t xml:space="preserve"> </w:t>
      </w:r>
      <w:r>
        <w:t>vlastní akvizicí</w:t>
      </w:r>
      <w:r w:rsidR="000874A1" w:rsidRPr="00F73EEE">
        <w:t xml:space="preserve">, tedy </w:t>
      </w:r>
      <w:r w:rsidR="00227DDA">
        <w:br/>
      </w:r>
      <w:r w:rsidR="000874A1" w:rsidRPr="00F73EEE">
        <w:t xml:space="preserve">po aktivním oslovení </w:t>
      </w:r>
      <w:r w:rsidR="00503C05">
        <w:t xml:space="preserve">potencionálního </w:t>
      </w:r>
      <w:r>
        <w:t>zákazníka</w:t>
      </w:r>
      <w:r w:rsidR="000874A1" w:rsidRPr="00F73EEE">
        <w:t xml:space="preserve">. V případě přijetí nabídky </w:t>
      </w:r>
      <w:r w:rsidR="00227DDA">
        <w:t xml:space="preserve">zákazníkem </w:t>
      </w:r>
      <w:r w:rsidR="000874A1" w:rsidRPr="00F73EEE">
        <w:t xml:space="preserve">se uzavírá smlouva </w:t>
      </w:r>
      <w:r>
        <w:t>na realizaci zakázky</w:t>
      </w:r>
      <w:r w:rsidR="000874A1" w:rsidRPr="00F73EEE">
        <w:t>. Mezi jedno</w:t>
      </w:r>
      <w:r w:rsidR="00227DDA">
        <w:t xml:space="preserve">tlivé kroky zpracování projektu </w:t>
      </w:r>
      <w:r w:rsidR="000874A1" w:rsidRPr="00F73EEE">
        <w:t xml:space="preserve">patří příprava a organizace výzkumu, příprava sběru dat, sběr dat v terénu, zpracování dat a zpracování a prezentace výstupů. Jednotlivé kroky jsou zaznamenávány </w:t>
      </w:r>
      <w:r w:rsidR="00227DDA">
        <w:br/>
      </w:r>
      <w:r w:rsidR="000874A1" w:rsidRPr="00F73EEE">
        <w:t xml:space="preserve">do interního systému </w:t>
      </w:r>
      <w:r w:rsidR="003114BF">
        <w:t xml:space="preserve">pro </w:t>
      </w:r>
      <w:r w:rsidR="000874A1" w:rsidRPr="00F73EEE">
        <w:t xml:space="preserve">řízení zakázek v rámci </w:t>
      </w:r>
      <w:r w:rsidR="00267FB5">
        <w:t xml:space="preserve">podnikového </w:t>
      </w:r>
      <w:r w:rsidR="000874A1" w:rsidRPr="00F73EEE">
        <w:t xml:space="preserve">intranetu. </w:t>
      </w:r>
      <w:r w:rsidRPr="00F73EEE">
        <w:t>Projekt</w:t>
      </w:r>
      <w:r>
        <w:t>y</w:t>
      </w:r>
      <w:r w:rsidRPr="00F73EEE">
        <w:t xml:space="preserve"> </w:t>
      </w:r>
      <w:r>
        <w:t xml:space="preserve">jsou zpracovávány </w:t>
      </w:r>
      <w:r w:rsidRPr="00F73EEE">
        <w:t>v souladu s interními p</w:t>
      </w:r>
      <w:r w:rsidR="00E25985">
        <w:t xml:space="preserve">ředpisy pro realizaci zakázek, </w:t>
      </w:r>
      <w:r w:rsidRPr="00F73EEE">
        <w:t>interními metodickými postupy</w:t>
      </w:r>
      <w:r w:rsidR="00E25985">
        <w:t xml:space="preserve"> a metodickými standardy </w:t>
      </w:r>
      <w:r w:rsidR="00F43197">
        <w:t xml:space="preserve">organizace </w:t>
      </w:r>
      <w:r w:rsidR="00E25985">
        <w:t>SIMAR</w:t>
      </w:r>
      <w:r w:rsidRPr="00F73EEE">
        <w:t>.</w:t>
      </w:r>
      <w:r>
        <w:t xml:space="preserve"> </w:t>
      </w:r>
    </w:p>
    <w:p w:rsidR="00401E19" w:rsidRPr="00401E19" w:rsidRDefault="00401E19" w:rsidP="00AD39AE">
      <w:pPr>
        <w:pStyle w:val="Nadpis3"/>
        <w:spacing w:before="720"/>
      </w:pPr>
      <w:bookmarkStart w:id="25" w:name="_Toc302476214"/>
      <w:r>
        <w:lastRenderedPageBreak/>
        <w:t>Organizační struktura</w:t>
      </w:r>
      <w:bookmarkEnd w:id="25"/>
      <w:r>
        <w:t xml:space="preserve"> </w:t>
      </w:r>
    </w:p>
    <w:p w:rsidR="004A78D9" w:rsidRDefault="00EE7065" w:rsidP="004A78D9">
      <w:r>
        <w:t xml:space="preserve">Podnik provozuje </w:t>
      </w:r>
      <w:r w:rsidR="00401E19">
        <w:t>činnost v místě svého sídla v</w:t>
      </w:r>
      <w:r w:rsidR="00D80153">
        <w:t> </w:t>
      </w:r>
      <w:r w:rsidR="00401E19">
        <w:t>Praze</w:t>
      </w:r>
      <w:r w:rsidR="00D80153">
        <w:t>,</w:t>
      </w:r>
      <w:r w:rsidR="00401E19">
        <w:t xml:space="preserve"> </w:t>
      </w:r>
      <w:r w:rsidR="00D80153">
        <w:t xml:space="preserve">v současnosti </w:t>
      </w:r>
      <w:r w:rsidR="00401E19">
        <w:t xml:space="preserve">nemá </w:t>
      </w:r>
      <w:r w:rsidR="00D80153">
        <w:t>další</w:t>
      </w:r>
      <w:r w:rsidR="00401E19">
        <w:t xml:space="preserve"> p</w:t>
      </w:r>
      <w:r w:rsidR="00D80153">
        <w:t>rovozovny</w:t>
      </w:r>
      <w:r w:rsidR="00401E19">
        <w:t xml:space="preserve">. </w:t>
      </w:r>
      <w:r w:rsidR="00D80153">
        <w:t>Jde o malou organizaci, která</w:t>
      </w:r>
      <w:r w:rsidR="00401E19" w:rsidRPr="00471EC4">
        <w:t xml:space="preserve"> zaměstnává kolem 40 </w:t>
      </w:r>
      <w:r w:rsidR="004A78D9">
        <w:t>pracovníků</w:t>
      </w:r>
      <w:r w:rsidR="00401E19" w:rsidRPr="00471EC4">
        <w:t xml:space="preserve">. </w:t>
      </w:r>
      <w:r w:rsidR="00D80153">
        <w:t>Organizace</w:t>
      </w:r>
      <w:r w:rsidR="00401E19" w:rsidRPr="00471EC4">
        <w:t xml:space="preserve"> se člení na </w:t>
      </w:r>
      <w:r w:rsidR="00401E19" w:rsidRPr="003269AF">
        <w:rPr>
          <w:b/>
        </w:rPr>
        <w:t>oddělení</w:t>
      </w:r>
      <w:r w:rsidR="00401E19" w:rsidRPr="00471EC4">
        <w:t xml:space="preserve">, ty pak </w:t>
      </w:r>
      <w:r w:rsidR="00D80153">
        <w:t>dále na menší organizační celky nazývané</w:t>
      </w:r>
      <w:r w:rsidR="00401E19" w:rsidRPr="00471EC4">
        <w:t xml:space="preserve"> </w:t>
      </w:r>
      <w:r w:rsidR="00401E19" w:rsidRPr="003269AF">
        <w:rPr>
          <w:b/>
        </w:rPr>
        <w:t>sektory</w:t>
      </w:r>
      <w:r w:rsidR="00401E19" w:rsidRPr="00983AD6">
        <w:t xml:space="preserve"> nebo </w:t>
      </w:r>
      <w:r w:rsidR="00401E19" w:rsidRPr="003269AF">
        <w:rPr>
          <w:b/>
        </w:rPr>
        <w:t>skupiny</w:t>
      </w:r>
      <w:r w:rsidR="00401E19" w:rsidRPr="00471EC4">
        <w:t xml:space="preserve">. </w:t>
      </w:r>
      <w:r w:rsidR="00D80153" w:rsidRPr="00F73EEE">
        <w:t xml:space="preserve">V čele každého oddělení stojí ředitel, nižší organizační celky jsou řízeny vedoucími. Organizační struktura </w:t>
      </w:r>
      <w:r w:rsidR="00D80153">
        <w:t>podniku</w:t>
      </w:r>
      <w:r w:rsidR="00D80153" w:rsidRPr="00F73EEE">
        <w:t xml:space="preserve"> se v průběhu let mírně upravovala, základní koncept </w:t>
      </w:r>
      <w:r w:rsidR="004A78D9">
        <w:t xml:space="preserve">a současnou podobu pak přestavuje </w:t>
      </w:r>
      <w:r w:rsidR="00D80153" w:rsidRPr="00F73EEE">
        <w:t xml:space="preserve">obrázek č. </w:t>
      </w:r>
      <w:r w:rsidR="0066644E">
        <w:t>3</w:t>
      </w:r>
      <w:r w:rsidR="00D80153" w:rsidRPr="00F73EEE">
        <w:t xml:space="preserve">. </w:t>
      </w:r>
    </w:p>
    <w:p w:rsidR="004A78D9" w:rsidRDefault="004A78D9" w:rsidP="004A78D9">
      <w:pPr>
        <w:pStyle w:val="Titulek"/>
        <w:spacing w:before="120" w:after="120"/>
        <w:rPr>
          <w:b w:val="0"/>
          <w:color w:val="auto"/>
          <w:sz w:val="22"/>
          <w:szCs w:val="22"/>
        </w:rPr>
      </w:pPr>
      <w:r>
        <w:rPr>
          <w:b w:val="0"/>
          <w:noProof/>
          <w:color w:val="auto"/>
          <w:sz w:val="22"/>
          <w:szCs w:val="22"/>
        </w:rPr>
        <w:drawing>
          <wp:anchor distT="0" distB="0" distL="114300" distR="114300" simplePos="0" relativeHeight="251662336" behindDoc="0" locked="0" layoutInCell="1" allowOverlap="1">
            <wp:simplePos x="0" y="0"/>
            <wp:positionH relativeFrom="column">
              <wp:posOffset>-1270</wp:posOffset>
            </wp:positionH>
            <wp:positionV relativeFrom="paragraph">
              <wp:posOffset>313690</wp:posOffset>
            </wp:positionV>
            <wp:extent cx="4241800" cy="2653030"/>
            <wp:effectExtent l="0" t="0" r="0" b="0"/>
            <wp:wrapTopAndBottom/>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r>
        <w:rPr>
          <w:b w:val="0"/>
          <w:color w:val="auto"/>
          <w:sz w:val="22"/>
          <w:szCs w:val="22"/>
        </w:rPr>
        <w:t>O</w:t>
      </w:r>
      <w:r w:rsidRPr="007D58CE">
        <w:rPr>
          <w:b w:val="0"/>
          <w:color w:val="auto"/>
          <w:sz w:val="22"/>
          <w:szCs w:val="22"/>
        </w:rPr>
        <w:t xml:space="preserve">brázek </w:t>
      </w:r>
      <w:r w:rsidR="0066644E">
        <w:rPr>
          <w:b w:val="0"/>
          <w:color w:val="auto"/>
          <w:sz w:val="22"/>
          <w:szCs w:val="22"/>
        </w:rPr>
        <w:t>3</w:t>
      </w:r>
      <w:r>
        <w:rPr>
          <w:b w:val="0"/>
          <w:color w:val="auto"/>
          <w:sz w:val="22"/>
          <w:szCs w:val="22"/>
        </w:rPr>
        <w:t xml:space="preserve"> Organizační struktura podniku </w:t>
      </w:r>
    </w:p>
    <w:p w:rsidR="00C06CC3" w:rsidRPr="00227DDA" w:rsidRDefault="00C06CC3" w:rsidP="005672E3">
      <w:pPr>
        <w:spacing w:before="240"/>
        <w:rPr>
          <w:sz w:val="22"/>
          <w:szCs w:val="22"/>
        </w:rPr>
      </w:pPr>
      <w:r w:rsidRPr="00227DDA">
        <w:rPr>
          <w:sz w:val="22"/>
          <w:szCs w:val="22"/>
        </w:rPr>
        <w:t xml:space="preserve">Zdroj: Interní materiály podniku (vlastní zpracování) </w:t>
      </w:r>
    </w:p>
    <w:p w:rsidR="004A78D9" w:rsidRDefault="004A78D9" w:rsidP="004A78D9">
      <w:r>
        <w:t>Výzkumné oddělení zajišťuje z</w:t>
      </w:r>
      <w:r w:rsidRPr="00471EC4">
        <w:t>ákladní pro</w:t>
      </w:r>
      <w:r>
        <w:t xml:space="preserve">cesy, mezi něž patří </w:t>
      </w:r>
      <w:r w:rsidRPr="00F73EEE">
        <w:t>komunikac</w:t>
      </w:r>
      <w:r>
        <w:t>e</w:t>
      </w:r>
      <w:r w:rsidRPr="00F73EEE">
        <w:t xml:space="preserve"> s klienty, zpracování nabídek, </w:t>
      </w:r>
      <w:r>
        <w:t>řízení zakázek a zpracování výstupů z prů</w:t>
      </w:r>
      <w:r w:rsidRPr="00F73EEE">
        <w:t>zkumu</w:t>
      </w:r>
      <w:r>
        <w:t xml:space="preserve">. </w:t>
      </w:r>
      <w:r w:rsidRPr="00471EC4">
        <w:t>Oddělení produkce zajišťuje podpůrné procesy, j</w:t>
      </w:r>
      <w:r>
        <w:t xml:space="preserve">ako je </w:t>
      </w:r>
      <w:r w:rsidRPr="00471EC4">
        <w:t xml:space="preserve">zajištění sběru dat v terénu a </w:t>
      </w:r>
      <w:r>
        <w:t xml:space="preserve">jejich </w:t>
      </w:r>
      <w:r w:rsidRPr="00471EC4">
        <w:t>zpracování. Řídící procesy pak</w:t>
      </w:r>
      <w:r>
        <w:t xml:space="preserve"> zajišťuje vedení společnosti a </w:t>
      </w:r>
      <w:r w:rsidRPr="00471EC4">
        <w:t xml:space="preserve">finanční a </w:t>
      </w:r>
      <w:r>
        <w:t>provozní</w:t>
      </w:r>
      <w:r w:rsidRPr="00471EC4">
        <w:t xml:space="preserve"> oddělení.</w:t>
      </w:r>
      <w:r>
        <w:t xml:space="preserve"> </w:t>
      </w:r>
    </w:p>
    <w:p w:rsidR="00401E19" w:rsidRPr="00401E19" w:rsidRDefault="00401E19" w:rsidP="00AD39AE">
      <w:pPr>
        <w:pStyle w:val="Nadpis3"/>
        <w:spacing w:before="720"/>
      </w:pPr>
      <w:bookmarkStart w:id="26" w:name="_Toc302476215"/>
      <w:r>
        <w:t>Organizace účetnictví</w:t>
      </w:r>
      <w:bookmarkEnd w:id="26"/>
      <w:r>
        <w:t xml:space="preserve"> </w:t>
      </w:r>
    </w:p>
    <w:p w:rsidR="003D2E55" w:rsidRDefault="003D2E55" w:rsidP="001B02BE">
      <w:r>
        <w:t xml:space="preserve">Společnost vede účetnictví v souladu s předpisy pro </w:t>
      </w:r>
      <w:r w:rsidR="00C5660E">
        <w:t>účetnictví</w:t>
      </w:r>
      <w:r>
        <w:t xml:space="preserve"> podnikatel</w:t>
      </w:r>
      <w:r w:rsidR="00C5660E">
        <w:t>ů</w:t>
      </w:r>
      <w:r w:rsidR="00FF27C6">
        <w:t xml:space="preserve"> a vnitřními účetními směrnicemi</w:t>
      </w:r>
      <w:r>
        <w:t xml:space="preserve">. </w:t>
      </w:r>
      <w:r w:rsidR="00305E02" w:rsidRPr="00F73EEE">
        <w:t xml:space="preserve">Za vedení účetnictví a zpracování </w:t>
      </w:r>
      <w:r w:rsidR="00305E02">
        <w:t>finančních podkladů pro řízení</w:t>
      </w:r>
      <w:r w:rsidR="00305E02" w:rsidRPr="00F73EEE">
        <w:t xml:space="preserve"> je odpovědné finanční oddělení, které tvoří finanční manažer, finanční účetní a mzdová </w:t>
      </w:r>
      <w:r w:rsidR="00305E02" w:rsidRPr="00F73EEE">
        <w:lastRenderedPageBreak/>
        <w:t xml:space="preserve">účetní. </w:t>
      </w:r>
      <w:r w:rsidR="00305E02">
        <w:t xml:space="preserve">Od roku 2007 je účetním obdobím podniku </w:t>
      </w:r>
      <w:r w:rsidR="00305E02" w:rsidRPr="00FF27C6">
        <w:rPr>
          <w:b/>
        </w:rPr>
        <w:t>hospodářský rok</w:t>
      </w:r>
      <w:r w:rsidR="00305E02">
        <w:t xml:space="preserve"> počínající v dubnu. </w:t>
      </w:r>
    </w:p>
    <w:p w:rsidR="00515611" w:rsidRDefault="003D2E55" w:rsidP="00515611">
      <w:r>
        <w:t>Finanční ú</w:t>
      </w:r>
      <w:r w:rsidR="001B02BE" w:rsidRPr="00F73EEE">
        <w:t xml:space="preserve">četnictví </w:t>
      </w:r>
      <w:r w:rsidR="003B0FC2">
        <w:t xml:space="preserve">je vedeno </w:t>
      </w:r>
      <w:r w:rsidR="001B02BE" w:rsidRPr="00F73EEE">
        <w:t xml:space="preserve">v českém </w:t>
      </w:r>
      <w:r w:rsidR="001B02BE" w:rsidRPr="00FF27C6">
        <w:rPr>
          <w:b/>
        </w:rPr>
        <w:t>ekonomickém softwaru</w:t>
      </w:r>
      <w:r w:rsidR="001B02BE" w:rsidRPr="00F73EEE">
        <w:t xml:space="preserve"> Vario. </w:t>
      </w:r>
      <w:r>
        <w:t xml:space="preserve">Jde </w:t>
      </w:r>
      <w:r w:rsidR="00134AB1">
        <w:br/>
      </w:r>
      <w:r>
        <w:t xml:space="preserve">o modulární systém kategorie ERP/CRM postavený na technologii klient/server. Podnik pracuje s moduly účetnictví, vydané doklady, přijaté doklady, banka, pokladna, evidence majetku, interní doklady, adresář, kurzy a individuálně přizpůsobeným modulem zakázky. </w:t>
      </w:r>
      <w:r w:rsidR="001B02BE" w:rsidRPr="00F73EEE">
        <w:t xml:space="preserve">Vedle toho je </w:t>
      </w:r>
      <w:r>
        <w:t>v podniku</w:t>
      </w:r>
      <w:r w:rsidR="001B02BE" w:rsidRPr="00F73EEE">
        <w:t xml:space="preserve"> jako zdroj dat využíván </w:t>
      </w:r>
      <w:r w:rsidR="00FF27C6">
        <w:t>interní systém –</w:t>
      </w:r>
      <w:r w:rsidR="005B2390">
        <w:t xml:space="preserve"> </w:t>
      </w:r>
      <w:r w:rsidR="005B2390">
        <w:rPr>
          <w:b/>
        </w:rPr>
        <w:t xml:space="preserve">podnikový </w:t>
      </w:r>
      <w:r w:rsidR="00D0380D" w:rsidRPr="00FF27C6">
        <w:rPr>
          <w:b/>
        </w:rPr>
        <w:t>intranet</w:t>
      </w:r>
      <w:r w:rsidR="00D0380D">
        <w:t xml:space="preserve"> </w:t>
      </w:r>
      <w:r w:rsidR="00983AD6">
        <w:t>–</w:t>
      </w:r>
      <w:r w:rsidR="00D0380D">
        <w:t xml:space="preserve"> </w:t>
      </w:r>
      <w:r w:rsidR="00983AD6">
        <w:t>s </w:t>
      </w:r>
      <w:r w:rsidR="00D0380D">
        <w:t>aplikacemi</w:t>
      </w:r>
      <w:r w:rsidR="001B02BE" w:rsidRPr="00F73EEE">
        <w:t xml:space="preserve"> pro </w:t>
      </w:r>
      <w:r w:rsidR="00FF27C6">
        <w:t>řízení</w:t>
      </w:r>
      <w:r w:rsidR="001B02BE" w:rsidRPr="00F73EEE">
        <w:t xml:space="preserve"> zakázek</w:t>
      </w:r>
      <w:r>
        <w:t xml:space="preserve"> a evidenci práce</w:t>
      </w:r>
      <w:r w:rsidR="001B02BE" w:rsidRPr="00F73EEE">
        <w:t xml:space="preserve">, ve kterém jsou informace o nabídkách, </w:t>
      </w:r>
      <w:r w:rsidR="003B0FC2">
        <w:t>zakázkách</w:t>
      </w:r>
      <w:r w:rsidR="001B02BE" w:rsidRPr="00F73EEE">
        <w:t xml:space="preserve">, smluvních cenách zakázek, kalkulovaných nákladech, </w:t>
      </w:r>
      <w:r w:rsidR="00FF27C6" w:rsidRPr="00F73EEE">
        <w:t xml:space="preserve">plánovaných </w:t>
      </w:r>
      <w:r w:rsidR="00FF27C6">
        <w:t xml:space="preserve">a </w:t>
      </w:r>
      <w:r w:rsidR="00FF27C6" w:rsidRPr="00F73EEE">
        <w:t>provedených fakturacích</w:t>
      </w:r>
      <w:r w:rsidR="00267FB5">
        <w:t xml:space="preserve"> tržeb</w:t>
      </w:r>
      <w:r w:rsidR="00FF27C6" w:rsidRPr="00F73EEE">
        <w:t xml:space="preserve">, </w:t>
      </w:r>
      <w:r w:rsidR="001B02BE" w:rsidRPr="00F73EEE">
        <w:t>vyúčtovaných náklade</w:t>
      </w:r>
      <w:r>
        <w:t>ch a práci vykázané na zakázky</w:t>
      </w:r>
      <w:r w:rsidR="001B02BE" w:rsidRPr="00F73EEE">
        <w:t xml:space="preserve">. </w:t>
      </w:r>
    </w:p>
    <w:p w:rsidR="00FF27C6" w:rsidRDefault="00FF27C6" w:rsidP="00FF27C6">
      <w:r w:rsidRPr="00FF27C6">
        <w:rPr>
          <w:b/>
        </w:rPr>
        <w:t xml:space="preserve">Účetní </w:t>
      </w:r>
      <w:r w:rsidR="0054518A">
        <w:rPr>
          <w:b/>
        </w:rPr>
        <w:t>rozvrh</w:t>
      </w:r>
      <w:r>
        <w:t xml:space="preserve"> je zpracován s ohledem na potřeby finančního, daňového </w:t>
      </w:r>
      <w:r w:rsidR="000F6B35">
        <w:t>i</w:t>
      </w:r>
      <w:r>
        <w:t xml:space="preserve"> nákladového účetnictví</w:t>
      </w:r>
      <w:r w:rsidR="000F6B35">
        <w:t xml:space="preserve"> a na strukturu rozpočtů</w:t>
      </w:r>
      <w:r>
        <w:t xml:space="preserve">. Druhové členění je dáno strukturou </w:t>
      </w:r>
      <w:r w:rsidR="0054518A">
        <w:t xml:space="preserve">účtových skupin </w:t>
      </w:r>
      <w:r>
        <w:t>směrné účtové osnovy</w:t>
      </w:r>
      <w:r w:rsidR="00134AB1">
        <w:t xml:space="preserve"> a dřívějším směrným rozvrhem syntetických</w:t>
      </w:r>
      <w:r w:rsidR="0054518A">
        <w:t xml:space="preserve"> účt</w:t>
      </w:r>
      <w:r w:rsidR="00134AB1">
        <w:t>ů</w:t>
      </w:r>
      <w:r>
        <w:t>. Struktura výsledkových analytických účtů vychází z rozd</w:t>
      </w:r>
      <w:r w:rsidR="003D560F">
        <w:t>ělení položek na přímé a režijní</w:t>
      </w:r>
      <w:r>
        <w:t xml:space="preserve"> a dále </w:t>
      </w:r>
      <w:r w:rsidR="003D560F">
        <w:br/>
      </w:r>
      <w:r w:rsidR="00134AB1">
        <w:t>na</w:t>
      </w:r>
      <w:r>
        <w:t xml:space="preserve"> účelově příbuzné skupiny s ohledem na příčinu a místo vzniku nákladu. </w:t>
      </w:r>
    </w:p>
    <w:p w:rsidR="002B6630" w:rsidRDefault="002B6630" w:rsidP="002B6630">
      <w:r>
        <w:t xml:space="preserve">Všechny výnosy a náklady jsou při prvozápisu do účetního systému přiřazeny </w:t>
      </w:r>
      <w:r w:rsidRPr="003269AF">
        <w:rPr>
          <w:b/>
        </w:rPr>
        <w:t>analytickému účtu</w:t>
      </w:r>
      <w:r>
        <w:t xml:space="preserve"> a určitému </w:t>
      </w:r>
      <w:r w:rsidRPr="003269AF">
        <w:rPr>
          <w:b/>
        </w:rPr>
        <w:t>oddělení</w:t>
      </w:r>
      <w:r>
        <w:t xml:space="preserve">. Výnosy a náklady přímo související s konkrétní zakázkou jsou pak přiřazovány i této </w:t>
      </w:r>
      <w:r w:rsidRPr="003269AF">
        <w:rPr>
          <w:b/>
        </w:rPr>
        <w:t>zakázce</w:t>
      </w:r>
      <w:r>
        <w:t xml:space="preserve"> a její dílčí části vedené pod určitým kódem. Každá zakázka je v systému pro řízení zakázek přiřazena určitému výzkumnému sektoru. Údaje o tržbách a přímých nákladech jsou z účetního systému přenášeny do interního systému pro řízení a sledování zakázek. V rámci tohoto systému se zobrazují údaje o zakázkách z finančního účetnictví propojené s údaji o objemu práce vykázané zaměstnanci na zakázky, přičemž prostřednictvím hodin práce se rozpouští podniková režie. Údaje je možné analyzovat na úrovni zakázek, jejich dílčích částí, ale také souhrnně za jednotlivé sektory výzkumného oddělení, </w:t>
      </w:r>
      <w:r w:rsidR="00744AE2">
        <w:t xml:space="preserve">podle </w:t>
      </w:r>
      <w:r>
        <w:t xml:space="preserve">použité metodiky </w:t>
      </w:r>
      <w:r w:rsidR="00744AE2">
        <w:t>sběru dat</w:t>
      </w:r>
      <w:r>
        <w:t xml:space="preserve"> nebo za </w:t>
      </w:r>
      <w:r w:rsidRPr="00620DBC">
        <w:t xml:space="preserve">zákazníky. </w:t>
      </w:r>
      <w:r w:rsidR="00671FB4" w:rsidRPr="00620DBC">
        <w:t xml:space="preserve">V podniku tedy nedochází k přeúčtování výnosů mezi jednotlivými středisky. </w:t>
      </w:r>
      <w:r w:rsidRPr="00620DBC">
        <w:t xml:space="preserve">S ohledem na charakter organizace účetnictví jde tedy </w:t>
      </w:r>
      <w:r w:rsidRPr="00620DBC">
        <w:br/>
        <w:t>o jednookruhovou účetní soustavu se zaměřením na výkony.</w:t>
      </w:r>
      <w:r w:rsidR="00C5660E">
        <w:t xml:space="preserve"> </w:t>
      </w:r>
    </w:p>
    <w:p w:rsidR="009335C1" w:rsidRDefault="009335C1" w:rsidP="00CD6A5A"/>
    <w:p w:rsidR="00CD6A5A" w:rsidRDefault="00CD6A5A" w:rsidP="00CD6A5A">
      <w:pPr>
        <w:pStyle w:val="Nadpis2"/>
        <w:ind w:left="578" w:hanging="578"/>
      </w:pPr>
      <w:bookmarkStart w:id="27" w:name="_Toc302476216"/>
      <w:r>
        <w:lastRenderedPageBreak/>
        <w:t>Náklady podniku</w:t>
      </w:r>
      <w:bookmarkEnd w:id="27"/>
      <w:r>
        <w:t xml:space="preserve"> </w:t>
      </w:r>
    </w:p>
    <w:p w:rsidR="003269AF" w:rsidRPr="003269AF" w:rsidRDefault="001E31EE" w:rsidP="003269AF">
      <w:pPr>
        <w:pStyle w:val="Nadpis3"/>
      </w:pPr>
      <w:bookmarkStart w:id="28" w:name="_Toc302476217"/>
      <w:r>
        <w:t>Systém r</w:t>
      </w:r>
      <w:r w:rsidR="003269AF">
        <w:t>ozpočt</w:t>
      </w:r>
      <w:r>
        <w:t>ů</w:t>
      </w:r>
      <w:r w:rsidR="00515611">
        <w:t xml:space="preserve">, </w:t>
      </w:r>
      <w:r w:rsidR="003269AF">
        <w:t>kalkulac</w:t>
      </w:r>
      <w:r>
        <w:t>í</w:t>
      </w:r>
      <w:r w:rsidR="002B6630">
        <w:t xml:space="preserve"> a </w:t>
      </w:r>
      <w:r w:rsidR="00515611">
        <w:t>reportů</w:t>
      </w:r>
      <w:bookmarkEnd w:id="28"/>
      <w:r w:rsidR="00515611">
        <w:t xml:space="preserve"> </w:t>
      </w:r>
    </w:p>
    <w:p w:rsidR="002B6630" w:rsidRDefault="00D0380D" w:rsidP="00CD6A5A">
      <w:r>
        <w:t xml:space="preserve">Základním nástrojem řízení nákladů v podniku jsou rozpočty </w:t>
      </w:r>
      <w:r w:rsidR="00515611">
        <w:t xml:space="preserve">režijních nákladů </w:t>
      </w:r>
      <w:r>
        <w:t xml:space="preserve">a kalkulace </w:t>
      </w:r>
      <w:r w:rsidR="00515611">
        <w:t xml:space="preserve">přímých nákladů </w:t>
      </w:r>
      <w:r>
        <w:t xml:space="preserve">jednotlivých zakázek. Zpracování </w:t>
      </w:r>
      <w:r w:rsidRPr="003269AF">
        <w:rPr>
          <w:b/>
        </w:rPr>
        <w:t>ročního rozpočtu</w:t>
      </w:r>
      <w:r>
        <w:t xml:space="preserve"> se odvíjí od </w:t>
      </w:r>
      <w:r w:rsidR="00E33E72">
        <w:t xml:space="preserve">stanovených </w:t>
      </w:r>
      <w:r w:rsidR="00744AE2">
        <w:t xml:space="preserve">směrných </w:t>
      </w:r>
      <w:r w:rsidR="00E33E72">
        <w:t>ukazatelů výkonnosti (např. ziskovost</w:t>
      </w:r>
      <w:r w:rsidR="00515611">
        <w:t>i</w:t>
      </w:r>
      <w:r w:rsidR="00E33E72">
        <w:t>, růst</w:t>
      </w:r>
      <w:r w:rsidR="00515611">
        <w:t>u</w:t>
      </w:r>
      <w:r w:rsidR="00E33E72">
        <w:t xml:space="preserve"> obratu, </w:t>
      </w:r>
      <w:r w:rsidR="00744AE2">
        <w:t>přidané hodnoty na hlavu</w:t>
      </w:r>
      <w:r w:rsidR="00E33E72">
        <w:t xml:space="preserve">), popř. </w:t>
      </w:r>
      <w:r>
        <w:t>plánu obratu</w:t>
      </w:r>
      <w:r w:rsidR="00F953CE">
        <w:t xml:space="preserve">. </w:t>
      </w:r>
      <w:r w:rsidR="00E33E72">
        <w:t>Obrat se stanovuje společně s vypracováním plánu obchodních a akvizičních aktivit</w:t>
      </w:r>
      <w:r w:rsidR="009335C1">
        <w:t xml:space="preserve"> jednotlivých sektorů</w:t>
      </w:r>
      <w:r w:rsidR="00E33E72">
        <w:t xml:space="preserve">. </w:t>
      </w:r>
      <w:r w:rsidR="003269AF">
        <w:t>V</w:t>
      </w:r>
      <w:r w:rsidR="00F953CE">
        <w:t>z</w:t>
      </w:r>
      <w:r>
        <w:t>hledem k tomu, že každá zakázka je zpracovávána individuálně a každá použitá metodika sběru dat je jinak nákladově náročná, je v okamžiku sestav</w:t>
      </w:r>
      <w:r w:rsidR="00F953CE">
        <w:t xml:space="preserve">ení rozpočtu znám pouze </w:t>
      </w:r>
      <w:r w:rsidR="003269AF">
        <w:t>očekávaný</w:t>
      </w:r>
      <w:r w:rsidR="00F953CE">
        <w:t xml:space="preserve"> podíl přímých nákladů na obratu</w:t>
      </w:r>
      <w:r w:rsidR="0054518A">
        <w:t xml:space="preserve"> určený na základě obvyklé </w:t>
      </w:r>
      <w:r w:rsidR="003269AF">
        <w:t>struktury a velikosti zakázek</w:t>
      </w:r>
      <w:r w:rsidR="00F953CE">
        <w:t xml:space="preserve">. </w:t>
      </w:r>
      <w:r w:rsidR="00E33E72">
        <w:t xml:space="preserve">V rámci sestavení rozpočtu je zpracován i plán personálního obsazení a rozpočet mzdových a osobních nákladů. Plán režijních nákladů je sestavován </w:t>
      </w:r>
      <w:r w:rsidR="00983AD6">
        <w:br/>
      </w:r>
      <w:r w:rsidR="00E33E72">
        <w:t xml:space="preserve">na základě údajů z minulých let, </w:t>
      </w:r>
      <w:r w:rsidR="00515611">
        <w:t xml:space="preserve">existujících smluv, </w:t>
      </w:r>
      <w:r w:rsidR="00E33E72">
        <w:t xml:space="preserve">investičního plánu a marketingového rozpočtu. </w:t>
      </w:r>
      <w:r w:rsidR="006E0A33">
        <w:t>Při zpracování rozpočtu se vychází z výsledků minulého roku a očekávaných změn, přičemž se u každé nákladové položky pro</w:t>
      </w:r>
      <w:r w:rsidR="00134AB1">
        <w:t>věřuje</w:t>
      </w:r>
      <w:r w:rsidR="006E0A33">
        <w:t xml:space="preserve"> její oprávněnost, smysluplnost a výše. </w:t>
      </w:r>
      <w:r w:rsidR="00E33E72">
        <w:t xml:space="preserve">Rozpočet je zpracováván na úrovni jednotlivých oddělení s detailním rozpisem nákladových položek na analytické účty. </w:t>
      </w:r>
    </w:p>
    <w:p w:rsidR="00CD6A5A" w:rsidRDefault="003269AF" w:rsidP="00CD6A5A">
      <w:r>
        <w:t xml:space="preserve">V průběhu roku jsou </w:t>
      </w:r>
      <w:r w:rsidR="002B6630">
        <w:t xml:space="preserve">plánované ukazatele výkonnosti a jednotlivé nákladové položky </w:t>
      </w:r>
      <w:r>
        <w:t>poměřovány s dosaženými hodnotami</w:t>
      </w:r>
      <w:r w:rsidR="002B6630">
        <w:t xml:space="preserve"> </w:t>
      </w:r>
      <w:r w:rsidR="00783C6F">
        <w:t xml:space="preserve">v rámci </w:t>
      </w:r>
      <w:r w:rsidR="00783C6F" w:rsidRPr="00515611">
        <w:rPr>
          <w:b/>
        </w:rPr>
        <w:t>měsíčních reportů</w:t>
      </w:r>
      <w:r w:rsidR="002B6630">
        <w:t>. V</w:t>
      </w:r>
      <w:r>
        <w:t xml:space="preserve">ýsledky </w:t>
      </w:r>
      <w:r w:rsidR="00E33E72">
        <w:t xml:space="preserve">poté </w:t>
      </w:r>
      <w:r>
        <w:t xml:space="preserve">slouží jako podklad </w:t>
      </w:r>
      <w:r w:rsidR="00134AB1">
        <w:t xml:space="preserve">pro </w:t>
      </w:r>
      <w:r>
        <w:t xml:space="preserve">další řízení. </w:t>
      </w:r>
      <w:r w:rsidR="002B6630">
        <w:t>Na základě těchto údajů jsou pak zpracovávány měsíční aktualizace</w:t>
      </w:r>
      <w:r w:rsidR="00783C6F">
        <w:t xml:space="preserve"> rozpočtu</w:t>
      </w:r>
      <w:r w:rsidR="002B6630">
        <w:t xml:space="preserve">, tzv. </w:t>
      </w:r>
      <w:r w:rsidR="002B6630" w:rsidRPr="00515611">
        <w:rPr>
          <w:b/>
        </w:rPr>
        <w:t>forecasty</w:t>
      </w:r>
      <w:r w:rsidR="002B6630">
        <w:t xml:space="preserve">. Podnik proto dodržuje jednotnou podobu </w:t>
      </w:r>
      <w:r w:rsidR="00783C6F">
        <w:t xml:space="preserve">výkazů </w:t>
      </w:r>
      <w:r w:rsidR="002B6630">
        <w:t xml:space="preserve">pro rozpočty, forecasty a měsíční reporty. </w:t>
      </w:r>
    </w:p>
    <w:p w:rsidR="006E0A33" w:rsidRDefault="00DE1C0C" w:rsidP="00CD6A5A">
      <w:r w:rsidRPr="00AB3B1C">
        <w:rPr>
          <w:b/>
        </w:rPr>
        <w:t>Kalkulace</w:t>
      </w:r>
      <w:r>
        <w:t xml:space="preserve"> se v podniku sestavují pro zjištění nákladové náročnosti zakázek</w:t>
      </w:r>
      <w:r w:rsidR="002B6630">
        <w:t>, a to</w:t>
      </w:r>
      <w:r w:rsidR="00500517">
        <w:t xml:space="preserve"> </w:t>
      </w:r>
      <w:r w:rsidR="002B6630">
        <w:br/>
      </w:r>
      <w:r w:rsidR="00500517">
        <w:t>na úrovni jejích dílčích částí</w:t>
      </w:r>
      <w:r>
        <w:t xml:space="preserve">. </w:t>
      </w:r>
      <w:r w:rsidR="00500517">
        <w:t xml:space="preserve">Jde tedy o propočtové kalkulace, které slouží jako podklad pro </w:t>
      </w:r>
      <w:r w:rsidR="00500517" w:rsidRPr="00AB3B1C">
        <w:rPr>
          <w:b/>
        </w:rPr>
        <w:t>stanovení nabídkové ceny</w:t>
      </w:r>
      <w:r w:rsidR="00500517">
        <w:t xml:space="preserve"> </w:t>
      </w:r>
      <w:r w:rsidR="00AB3B1C">
        <w:t xml:space="preserve">každé </w:t>
      </w:r>
      <w:r w:rsidR="00500517">
        <w:t xml:space="preserve">zakázky. Po dokončení zakázky se sestavují </w:t>
      </w:r>
      <w:r w:rsidR="00AB3B1C">
        <w:t xml:space="preserve">výsledné kalkulace, v podniku nazývané </w:t>
      </w:r>
      <w:r w:rsidR="00AB3B1C" w:rsidRPr="00AB3B1C">
        <w:rPr>
          <w:b/>
        </w:rPr>
        <w:t>vyúčtování zakázky</w:t>
      </w:r>
      <w:r w:rsidR="00AB3B1C">
        <w:t xml:space="preserve">, které se následně porovnávají s propočtovou kalkulací pro zjištění a prošetření odchylek. </w:t>
      </w:r>
    </w:p>
    <w:p w:rsidR="00500517" w:rsidRPr="003269AF" w:rsidRDefault="00500517" w:rsidP="00AD39AE">
      <w:pPr>
        <w:pStyle w:val="Nadpis3"/>
        <w:spacing w:before="720"/>
      </w:pPr>
      <w:bookmarkStart w:id="29" w:name="_Toc302476218"/>
      <w:r>
        <w:lastRenderedPageBreak/>
        <w:t>Druhové členění nákladů podniku</w:t>
      </w:r>
      <w:bookmarkEnd w:id="29"/>
      <w:r>
        <w:t xml:space="preserve"> </w:t>
      </w:r>
    </w:p>
    <w:p w:rsidR="00500517" w:rsidRDefault="00AB3B1C" w:rsidP="00134AB1">
      <w:r>
        <w:t>A</w:t>
      </w:r>
      <w:r w:rsidR="00500517" w:rsidRPr="007F35FA">
        <w:t>nalýz</w:t>
      </w:r>
      <w:r>
        <w:t>a</w:t>
      </w:r>
      <w:r w:rsidR="00500517" w:rsidRPr="007F35FA">
        <w:t xml:space="preserve"> nákladů dle druhu </w:t>
      </w:r>
      <w:r>
        <w:t>vychází ze statutárních výkazů finančního účetnictví</w:t>
      </w:r>
      <w:r w:rsidR="00500517" w:rsidRPr="007F35FA">
        <w:t xml:space="preserve">. Hodnoty jsou porovnány vertikální analýzou, která spočívá ve vyjádření jednotlivých nákladových druhů jako podílu k celkovým nákladům daného roku. </w:t>
      </w:r>
    </w:p>
    <w:p w:rsidR="001D7309" w:rsidRDefault="001D7309" w:rsidP="001565F6">
      <w:pPr>
        <w:keepNext/>
        <w:spacing w:before="120" w:after="120" w:line="240" w:lineRule="auto"/>
        <w:rPr>
          <w:sz w:val="22"/>
        </w:rPr>
      </w:pPr>
      <w:r w:rsidRPr="005672E3">
        <w:rPr>
          <w:sz w:val="22"/>
        </w:rPr>
        <w:t xml:space="preserve">Tabulka 1 Náklady podniku v druhovém členění </w:t>
      </w:r>
    </w:p>
    <w:tbl>
      <w:tblPr>
        <w:tblW w:w="8577" w:type="dxa"/>
        <w:tblInd w:w="55" w:type="dxa"/>
        <w:tblLayout w:type="fixed"/>
        <w:tblCellMar>
          <w:left w:w="70" w:type="dxa"/>
          <w:right w:w="70" w:type="dxa"/>
        </w:tblCellMar>
        <w:tblLook w:val="04A0"/>
      </w:tblPr>
      <w:tblGrid>
        <w:gridCol w:w="3437"/>
        <w:gridCol w:w="974"/>
        <w:gridCol w:w="724"/>
        <w:gridCol w:w="974"/>
        <w:gridCol w:w="749"/>
        <w:gridCol w:w="974"/>
        <w:gridCol w:w="745"/>
      </w:tblGrid>
      <w:tr w:rsidR="000E062F" w:rsidRPr="00BF3C55" w:rsidTr="00C17227">
        <w:trPr>
          <w:trHeight w:val="282"/>
        </w:trPr>
        <w:tc>
          <w:tcPr>
            <w:tcW w:w="3437" w:type="dxa"/>
            <w:vMerge w:val="restart"/>
            <w:tcBorders>
              <w:top w:val="single" w:sz="8" w:space="0" w:color="7F7F7F" w:themeColor="text1" w:themeTint="80"/>
              <w:left w:val="single" w:sz="8" w:space="0" w:color="7F7F7F" w:themeColor="text1" w:themeTint="80"/>
              <w:bottom w:val="single" w:sz="8" w:space="0" w:color="D9D9D9" w:themeColor="background1" w:themeShade="D9"/>
              <w:right w:val="single" w:sz="8" w:space="0" w:color="7F7F7F" w:themeColor="text1" w:themeTint="80"/>
            </w:tcBorders>
            <w:shd w:val="clear" w:color="auto" w:fill="auto"/>
            <w:noWrap/>
            <w:vAlign w:val="bottom"/>
            <w:hideMark/>
          </w:tcPr>
          <w:p w:rsidR="006E083C" w:rsidRPr="005672E3" w:rsidRDefault="006E083C" w:rsidP="00C17227">
            <w:pPr>
              <w:jc w:val="left"/>
              <w:rPr>
                <w:sz w:val="22"/>
                <w:szCs w:val="22"/>
              </w:rPr>
            </w:pPr>
          </w:p>
        </w:tc>
        <w:tc>
          <w:tcPr>
            <w:tcW w:w="1698" w:type="dxa"/>
            <w:gridSpan w:val="2"/>
            <w:tcBorders>
              <w:top w:val="single" w:sz="8" w:space="0" w:color="7F7F7F" w:themeColor="text1" w:themeTint="80"/>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center"/>
            <w:hideMark/>
          </w:tcPr>
          <w:p w:rsidR="006E083C" w:rsidRPr="005672E3" w:rsidRDefault="006E083C" w:rsidP="006E083C">
            <w:pPr>
              <w:spacing w:after="0" w:line="240" w:lineRule="auto"/>
              <w:jc w:val="center"/>
              <w:rPr>
                <w:sz w:val="22"/>
                <w:szCs w:val="22"/>
              </w:rPr>
            </w:pPr>
            <w:r>
              <w:rPr>
                <w:sz w:val="22"/>
                <w:szCs w:val="22"/>
              </w:rPr>
              <w:t>2007/8</w:t>
            </w:r>
          </w:p>
        </w:tc>
        <w:tc>
          <w:tcPr>
            <w:tcW w:w="1723" w:type="dxa"/>
            <w:gridSpan w:val="2"/>
            <w:tcBorders>
              <w:top w:val="single" w:sz="8" w:space="0" w:color="7F7F7F" w:themeColor="text1" w:themeTint="80"/>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center"/>
            <w:hideMark/>
          </w:tcPr>
          <w:p w:rsidR="006E083C" w:rsidRPr="005672E3" w:rsidRDefault="006E083C" w:rsidP="006E083C">
            <w:pPr>
              <w:spacing w:after="0" w:line="240" w:lineRule="auto"/>
              <w:jc w:val="center"/>
              <w:rPr>
                <w:sz w:val="22"/>
                <w:szCs w:val="22"/>
              </w:rPr>
            </w:pPr>
            <w:r>
              <w:rPr>
                <w:sz w:val="22"/>
                <w:szCs w:val="22"/>
              </w:rPr>
              <w:t>2008/9</w:t>
            </w:r>
          </w:p>
        </w:tc>
        <w:tc>
          <w:tcPr>
            <w:tcW w:w="1719" w:type="dxa"/>
            <w:gridSpan w:val="2"/>
            <w:tcBorders>
              <w:top w:val="single" w:sz="8" w:space="0" w:color="7F7F7F" w:themeColor="text1" w:themeTint="80"/>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center"/>
            <w:hideMark/>
          </w:tcPr>
          <w:p w:rsidR="006E083C" w:rsidRPr="005672E3" w:rsidRDefault="006E083C" w:rsidP="006E083C">
            <w:pPr>
              <w:spacing w:after="0" w:line="240" w:lineRule="auto"/>
              <w:jc w:val="center"/>
              <w:rPr>
                <w:sz w:val="22"/>
                <w:szCs w:val="22"/>
              </w:rPr>
            </w:pPr>
            <w:r>
              <w:rPr>
                <w:sz w:val="22"/>
                <w:szCs w:val="22"/>
              </w:rPr>
              <w:t>2009/10</w:t>
            </w:r>
          </w:p>
        </w:tc>
      </w:tr>
      <w:tr w:rsidR="000E062F" w:rsidRPr="00BF3C55" w:rsidTr="000E062F">
        <w:trPr>
          <w:trHeight w:val="282"/>
        </w:trPr>
        <w:tc>
          <w:tcPr>
            <w:tcW w:w="3437" w:type="dxa"/>
            <w:vMerge/>
            <w:tcBorders>
              <w:top w:val="single" w:sz="8" w:space="0" w:color="D9D9D9" w:themeColor="background1" w:themeShade="D9"/>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6E083C" w:rsidRPr="005672E3" w:rsidRDefault="006E083C" w:rsidP="0029528E">
            <w:pPr>
              <w:spacing w:after="0" w:line="240" w:lineRule="auto"/>
              <w:jc w:val="left"/>
              <w:rPr>
                <w:sz w:val="22"/>
                <w:szCs w:val="22"/>
              </w:rPr>
            </w:pPr>
          </w:p>
        </w:tc>
        <w:tc>
          <w:tcPr>
            <w:tcW w:w="974" w:type="dxa"/>
            <w:tcBorders>
              <w:top w:val="single" w:sz="6" w:space="0" w:color="D9D9D9" w:themeColor="background1" w:themeShade="D9"/>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center"/>
            <w:hideMark/>
          </w:tcPr>
          <w:p w:rsidR="006E083C" w:rsidRPr="005672E3" w:rsidRDefault="006E083C" w:rsidP="0029528E">
            <w:pPr>
              <w:spacing w:after="0" w:line="240" w:lineRule="auto"/>
              <w:jc w:val="right"/>
              <w:rPr>
                <w:sz w:val="22"/>
                <w:szCs w:val="22"/>
              </w:rPr>
            </w:pPr>
            <w:r>
              <w:rPr>
                <w:sz w:val="22"/>
                <w:szCs w:val="22"/>
              </w:rPr>
              <w:t>v tis. Kč</w:t>
            </w:r>
          </w:p>
        </w:tc>
        <w:tc>
          <w:tcPr>
            <w:tcW w:w="724" w:type="dxa"/>
            <w:tcBorders>
              <w:top w:val="single" w:sz="6" w:space="0" w:color="D9D9D9" w:themeColor="background1" w:themeShade="D9"/>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6E083C" w:rsidRPr="005672E3" w:rsidRDefault="006E083C" w:rsidP="0029528E">
            <w:pPr>
              <w:spacing w:after="0" w:line="240" w:lineRule="auto"/>
              <w:jc w:val="right"/>
              <w:rPr>
                <w:sz w:val="22"/>
                <w:szCs w:val="22"/>
              </w:rPr>
            </w:pPr>
            <w:r>
              <w:rPr>
                <w:sz w:val="22"/>
                <w:szCs w:val="22"/>
              </w:rPr>
              <w:t>podíl</w:t>
            </w:r>
          </w:p>
        </w:tc>
        <w:tc>
          <w:tcPr>
            <w:tcW w:w="974" w:type="dxa"/>
            <w:tcBorders>
              <w:top w:val="single" w:sz="6" w:space="0" w:color="D9D9D9" w:themeColor="background1" w:themeShade="D9"/>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center"/>
            <w:hideMark/>
          </w:tcPr>
          <w:p w:rsidR="006E083C" w:rsidRPr="005672E3" w:rsidRDefault="006E083C" w:rsidP="0029528E">
            <w:pPr>
              <w:spacing w:after="0" w:line="240" w:lineRule="auto"/>
              <w:jc w:val="right"/>
              <w:rPr>
                <w:sz w:val="22"/>
                <w:szCs w:val="22"/>
              </w:rPr>
            </w:pPr>
            <w:r>
              <w:rPr>
                <w:sz w:val="22"/>
                <w:szCs w:val="22"/>
              </w:rPr>
              <w:t>v tis. Kč</w:t>
            </w:r>
          </w:p>
        </w:tc>
        <w:tc>
          <w:tcPr>
            <w:tcW w:w="749" w:type="dxa"/>
            <w:tcBorders>
              <w:top w:val="single" w:sz="6" w:space="0" w:color="D9D9D9" w:themeColor="background1" w:themeShade="D9"/>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6E083C" w:rsidRPr="005672E3" w:rsidRDefault="006E083C" w:rsidP="0029528E">
            <w:pPr>
              <w:spacing w:after="0" w:line="240" w:lineRule="auto"/>
              <w:jc w:val="right"/>
              <w:rPr>
                <w:sz w:val="22"/>
                <w:szCs w:val="22"/>
              </w:rPr>
            </w:pPr>
            <w:r>
              <w:rPr>
                <w:sz w:val="22"/>
                <w:szCs w:val="22"/>
              </w:rPr>
              <w:t>podíl</w:t>
            </w:r>
          </w:p>
        </w:tc>
        <w:tc>
          <w:tcPr>
            <w:tcW w:w="974" w:type="dxa"/>
            <w:tcBorders>
              <w:top w:val="single" w:sz="6" w:space="0" w:color="D9D9D9" w:themeColor="background1" w:themeShade="D9"/>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center"/>
            <w:hideMark/>
          </w:tcPr>
          <w:p w:rsidR="006E083C" w:rsidRPr="005672E3" w:rsidRDefault="006E083C" w:rsidP="0029528E">
            <w:pPr>
              <w:spacing w:after="0" w:line="240" w:lineRule="auto"/>
              <w:jc w:val="right"/>
              <w:rPr>
                <w:sz w:val="22"/>
                <w:szCs w:val="22"/>
              </w:rPr>
            </w:pPr>
            <w:r>
              <w:rPr>
                <w:sz w:val="22"/>
                <w:szCs w:val="22"/>
              </w:rPr>
              <w:t>v tis. Kč</w:t>
            </w:r>
          </w:p>
        </w:tc>
        <w:tc>
          <w:tcPr>
            <w:tcW w:w="745" w:type="dxa"/>
            <w:tcBorders>
              <w:top w:val="single" w:sz="6" w:space="0" w:color="D9D9D9" w:themeColor="background1" w:themeShade="D9"/>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6E083C" w:rsidRPr="005672E3" w:rsidRDefault="006E083C" w:rsidP="0029528E">
            <w:pPr>
              <w:spacing w:after="0" w:line="240" w:lineRule="auto"/>
              <w:jc w:val="right"/>
              <w:rPr>
                <w:sz w:val="22"/>
                <w:szCs w:val="22"/>
              </w:rPr>
            </w:pPr>
            <w:r>
              <w:rPr>
                <w:sz w:val="22"/>
                <w:szCs w:val="22"/>
              </w:rPr>
              <w:t>podíl</w:t>
            </w:r>
          </w:p>
        </w:tc>
      </w:tr>
      <w:tr w:rsidR="000E062F" w:rsidRPr="00BF3C55" w:rsidTr="000E062F">
        <w:trPr>
          <w:trHeight w:val="282"/>
        </w:trPr>
        <w:tc>
          <w:tcPr>
            <w:tcW w:w="3437" w:type="dxa"/>
            <w:tcBorders>
              <w:top w:val="single" w:sz="8" w:space="0" w:color="7F7F7F" w:themeColor="text1" w:themeTint="80"/>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left"/>
              <w:rPr>
                <w:sz w:val="22"/>
                <w:szCs w:val="22"/>
              </w:rPr>
            </w:pPr>
            <w:r w:rsidRPr="005672E3">
              <w:rPr>
                <w:sz w:val="22"/>
                <w:szCs w:val="22"/>
              </w:rPr>
              <w:t>Náklady na prodané zboží</w:t>
            </w:r>
          </w:p>
        </w:tc>
        <w:tc>
          <w:tcPr>
            <w:tcW w:w="974" w:type="dxa"/>
            <w:tcBorders>
              <w:top w:val="single" w:sz="8" w:space="0" w:color="7F7F7F" w:themeColor="text1" w:themeTint="80"/>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 xml:space="preserve"> -</w:t>
            </w:r>
          </w:p>
        </w:tc>
        <w:tc>
          <w:tcPr>
            <w:tcW w:w="724" w:type="dxa"/>
            <w:tcBorders>
              <w:top w:val="single" w:sz="8" w:space="0" w:color="7F7F7F" w:themeColor="text1" w:themeTint="80"/>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 xml:space="preserve"> -</w:t>
            </w:r>
          </w:p>
        </w:tc>
        <w:tc>
          <w:tcPr>
            <w:tcW w:w="974" w:type="dxa"/>
            <w:tcBorders>
              <w:top w:val="single" w:sz="8" w:space="0" w:color="7F7F7F" w:themeColor="text1" w:themeTint="80"/>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85</w:t>
            </w:r>
          </w:p>
        </w:tc>
        <w:tc>
          <w:tcPr>
            <w:tcW w:w="749" w:type="dxa"/>
            <w:tcBorders>
              <w:top w:val="single" w:sz="8" w:space="0" w:color="7F7F7F" w:themeColor="text1" w:themeTint="80"/>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0%</w:t>
            </w:r>
          </w:p>
        </w:tc>
        <w:tc>
          <w:tcPr>
            <w:tcW w:w="974" w:type="dxa"/>
            <w:tcBorders>
              <w:top w:val="single" w:sz="8" w:space="0" w:color="7F7F7F" w:themeColor="text1" w:themeTint="80"/>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 xml:space="preserve"> -</w:t>
            </w:r>
          </w:p>
        </w:tc>
        <w:tc>
          <w:tcPr>
            <w:tcW w:w="745" w:type="dxa"/>
            <w:tcBorders>
              <w:top w:val="single" w:sz="8" w:space="0" w:color="7F7F7F" w:themeColor="text1" w:themeTint="80"/>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 xml:space="preserve"> -</w:t>
            </w:r>
          </w:p>
        </w:tc>
      </w:tr>
      <w:tr w:rsidR="000E062F" w:rsidRPr="00BF3C55" w:rsidTr="000E062F">
        <w:trPr>
          <w:trHeight w:val="282"/>
        </w:trPr>
        <w:tc>
          <w:tcPr>
            <w:tcW w:w="3437" w:type="dxa"/>
            <w:tcBorders>
              <w:top w:val="single" w:sz="6" w:space="0" w:color="D9D9D9" w:themeColor="background1" w:themeShade="D9"/>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left"/>
              <w:rPr>
                <w:sz w:val="22"/>
                <w:szCs w:val="22"/>
              </w:rPr>
            </w:pPr>
            <w:r w:rsidRPr="005672E3">
              <w:rPr>
                <w:sz w:val="22"/>
                <w:szCs w:val="22"/>
              </w:rPr>
              <w:t>Výkonová spotřeba</w:t>
            </w:r>
          </w:p>
        </w:tc>
        <w:tc>
          <w:tcPr>
            <w:tcW w:w="974"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22 287</w:t>
            </w:r>
          </w:p>
        </w:tc>
        <w:tc>
          <w:tcPr>
            <w:tcW w:w="72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41%</w:t>
            </w:r>
          </w:p>
        </w:tc>
        <w:tc>
          <w:tcPr>
            <w:tcW w:w="974"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24 667</w:t>
            </w:r>
          </w:p>
        </w:tc>
        <w:tc>
          <w:tcPr>
            <w:tcW w:w="749"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37%</w:t>
            </w:r>
          </w:p>
        </w:tc>
        <w:tc>
          <w:tcPr>
            <w:tcW w:w="974"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22 522</w:t>
            </w:r>
          </w:p>
        </w:tc>
        <w:tc>
          <w:tcPr>
            <w:tcW w:w="7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42%</w:t>
            </w:r>
          </w:p>
        </w:tc>
      </w:tr>
      <w:tr w:rsidR="000E062F" w:rsidRPr="00BF3C55" w:rsidTr="000E062F">
        <w:trPr>
          <w:trHeight w:val="282"/>
        </w:trPr>
        <w:tc>
          <w:tcPr>
            <w:tcW w:w="3437" w:type="dxa"/>
            <w:tcBorders>
              <w:top w:val="single" w:sz="6" w:space="0" w:color="D9D9D9" w:themeColor="background1" w:themeShade="D9"/>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left"/>
              <w:rPr>
                <w:sz w:val="22"/>
                <w:szCs w:val="22"/>
              </w:rPr>
            </w:pPr>
            <w:r w:rsidRPr="005672E3">
              <w:rPr>
                <w:sz w:val="22"/>
                <w:szCs w:val="22"/>
              </w:rPr>
              <w:t>Osobní náklady</w:t>
            </w:r>
          </w:p>
        </w:tc>
        <w:tc>
          <w:tcPr>
            <w:tcW w:w="974"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29 498</w:t>
            </w:r>
          </w:p>
        </w:tc>
        <w:tc>
          <w:tcPr>
            <w:tcW w:w="72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55%</w:t>
            </w:r>
          </w:p>
        </w:tc>
        <w:tc>
          <w:tcPr>
            <w:tcW w:w="974"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39 676</w:t>
            </w:r>
          </w:p>
        </w:tc>
        <w:tc>
          <w:tcPr>
            <w:tcW w:w="749"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60%</w:t>
            </w:r>
          </w:p>
        </w:tc>
        <w:tc>
          <w:tcPr>
            <w:tcW w:w="974"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29 984</w:t>
            </w:r>
          </w:p>
        </w:tc>
        <w:tc>
          <w:tcPr>
            <w:tcW w:w="7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55%</w:t>
            </w:r>
          </w:p>
        </w:tc>
      </w:tr>
      <w:tr w:rsidR="000E062F" w:rsidRPr="00BF3C55" w:rsidTr="000E062F">
        <w:trPr>
          <w:trHeight w:val="282"/>
        </w:trPr>
        <w:tc>
          <w:tcPr>
            <w:tcW w:w="3437" w:type="dxa"/>
            <w:tcBorders>
              <w:top w:val="single" w:sz="6" w:space="0" w:color="D9D9D9" w:themeColor="background1" w:themeShade="D9"/>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left"/>
              <w:rPr>
                <w:sz w:val="22"/>
                <w:szCs w:val="22"/>
              </w:rPr>
            </w:pPr>
            <w:r w:rsidRPr="005672E3">
              <w:rPr>
                <w:sz w:val="22"/>
                <w:szCs w:val="22"/>
              </w:rPr>
              <w:t>Daně a poplatky</w:t>
            </w:r>
          </w:p>
        </w:tc>
        <w:tc>
          <w:tcPr>
            <w:tcW w:w="974"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17</w:t>
            </w:r>
          </w:p>
        </w:tc>
        <w:tc>
          <w:tcPr>
            <w:tcW w:w="72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0%</w:t>
            </w:r>
          </w:p>
        </w:tc>
        <w:tc>
          <w:tcPr>
            <w:tcW w:w="974"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19</w:t>
            </w:r>
          </w:p>
        </w:tc>
        <w:tc>
          <w:tcPr>
            <w:tcW w:w="749"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0%</w:t>
            </w:r>
          </w:p>
        </w:tc>
        <w:tc>
          <w:tcPr>
            <w:tcW w:w="974"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37</w:t>
            </w:r>
          </w:p>
        </w:tc>
        <w:tc>
          <w:tcPr>
            <w:tcW w:w="7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0%</w:t>
            </w:r>
          </w:p>
        </w:tc>
      </w:tr>
      <w:tr w:rsidR="000E062F" w:rsidRPr="00BF3C55" w:rsidTr="000E062F">
        <w:trPr>
          <w:trHeight w:val="282"/>
        </w:trPr>
        <w:tc>
          <w:tcPr>
            <w:tcW w:w="3437" w:type="dxa"/>
            <w:tcBorders>
              <w:top w:val="single" w:sz="6" w:space="0" w:color="D9D9D9" w:themeColor="background1" w:themeShade="D9"/>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left"/>
              <w:rPr>
                <w:sz w:val="22"/>
                <w:szCs w:val="22"/>
              </w:rPr>
            </w:pPr>
            <w:r w:rsidRPr="005672E3">
              <w:rPr>
                <w:sz w:val="22"/>
                <w:szCs w:val="22"/>
              </w:rPr>
              <w:t xml:space="preserve">Odpisy dl. nehm. a hmot. </w:t>
            </w:r>
            <w:r w:rsidR="00C50C4F">
              <w:rPr>
                <w:sz w:val="22"/>
                <w:szCs w:val="22"/>
              </w:rPr>
              <w:t>m</w:t>
            </w:r>
            <w:r w:rsidRPr="005672E3">
              <w:rPr>
                <w:sz w:val="22"/>
                <w:szCs w:val="22"/>
              </w:rPr>
              <w:t>aj</w:t>
            </w:r>
            <w:r w:rsidR="00C50C4F">
              <w:rPr>
                <w:sz w:val="22"/>
                <w:szCs w:val="22"/>
              </w:rPr>
              <w:t>etku</w:t>
            </w:r>
          </w:p>
        </w:tc>
        <w:tc>
          <w:tcPr>
            <w:tcW w:w="974"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880</w:t>
            </w:r>
          </w:p>
        </w:tc>
        <w:tc>
          <w:tcPr>
            <w:tcW w:w="72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2%</w:t>
            </w:r>
          </w:p>
        </w:tc>
        <w:tc>
          <w:tcPr>
            <w:tcW w:w="974"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471</w:t>
            </w:r>
          </w:p>
        </w:tc>
        <w:tc>
          <w:tcPr>
            <w:tcW w:w="749"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1%</w:t>
            </w:r>
          </w:p>
        </w:tc>
        <w:tc>
          <w:tcPr>
            <w:tcW w:w="974"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390</w:t>
            </w:r>
          </w:p>
        </w:tc>
        <w:tc>
          <w:tcPr>
            <w:tcW w:w="7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1%</w:t>
            </w:r>
          </w:p>
        </w:tc>
      </w:tr>
      <w:tr w:rsidR="000E062F" w:rsidRPr="00BF3C55" w:rsidTr="000E062F">
        <w:trPr>
          <w:trHeight w:val="282"/>
        </w:trPr>
        <w:tc>
          <w:tcPr>
            <w:tcW w:w="3437" w:type="dxa"/>
            <w:tcBorders>
              <w:top w:val="single" w:sz="6" w:space="0" w:color="D9D9D9" w:themeColor="background1" w:themeShade="D9"/>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left"/>
              <w:rPr>
                <w:sz w:val="22"/>
                <w:szCs w:val="22"/>
              </w:rPr>
            </w:pPr>
            <w:r w:rsidRPr="005672E3">
              <w:rPr>
                <w:sz w:val="22"/>
                <w:szCs w:val="22"/>
              </w:rPr>
              <w:t>Zůstatková cena prod. maj. a mat.</w:t>
            </w:r>
          </w:p>
        </w:tc>
        <w:tc>
          <w:tcPr>
            <w:tcW w:w="974"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 xml:space="preserve"> -</w:t>
            </w:r>
          </w:p>
        </w:tc>
        <w:tc>
          <w:tcPr>
            <w:tcW w:w="72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AF0D65" w:rsidP="000E10F4">
            <w:pPr>
              <w:spacing w:after="0" w:line="240" w:lineRule="auto"/>
              <w:jc w:val="right"/>
              <w:rPr>
                <w:sz w:val="22"/>
                <w:szCs w:val="22"/>
              </w:rPr>
            </w:pPr>
            <w:r>
              <w:rPr>
                <w:sz w:val="22"/>
                <w:szCs w:val="22"/>
              </w:rPr>
              <w:t xml:space="preserve"> </w:t>
            </w:r>
            <w:r w:rsidR="001D7309" w:rsidRPr="005672E3">
              <w:rPr>
                <w:sz w:val="22"/>
                <w:szCs w:val="22"/>
              </w:rPr>
              <w:t>-</w:t>
            </w:r>
          </w:p>
        </w:tc>
        <w:tc>
          <w:tcPr>
            <w:tcW w:w="974"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108</w:t>
            </w:r>
          </w:p>
        </w:tc>
        <w:tc>
          <w:tcPr>
            <w:tcW w:w="749"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0%</w:t>
            </w:r>
          </w:p>
        </w:tc>
        <w:tc>
          <w:tcPr>
            <w:tcW w:w="974"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244</w:t>
            </w:r>
          </w:p>
        </w:tc>
        <w:tc>
          <w:tcPr>
            <w:tcW w:w="7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0%</w:t>
            </w:r>
          </w:p>
        </w:tc>
      </w:tr>
      <w:tr w:rsidR="000E062F" w:rsidRPr="00BF3C55" w:rsidTr="000E062F">
        <w:trPr>
          <w:trHeight w:val="282"/>
        </w:trPr>
        <w:tc>
          <w:tcPr>
            <w:tcW w:w="3437" w:type="dxa"/>
            <w:tcBorders>
              <w:top w:val="single" w:sz="6" w:space="0" w:color="D9D9D9" w:themeColor="background1" w:themeShade="D9"/>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C50C4F">
            <w:pPr>
              <w:spacing w:after="0" w:line="240" w:lineRule="auto"/>
              <w:jc w:val="left"/>
              <w:rPr>
                <w:sz w:val="22"/>
                <w:szCs w:val="22"/>
              </w:rPr>
            </w:pPr>
            <w:r w:rsidRPr="005672E3">
              <w:rPr>
                <w:sz w:val="22"/>
                <w:szCs w:val="22"/>
              </w:rPr>
              <w:t xml:space="preserve">Změna stavu rezerv a opr. </w:t>
            </w:r>
            <w:r w:rsidR="00C50C4F">
              <w:rPr>
                <w:sz w:val="22"/>
                <w:szCs w:val="22"/>
              </w:rPr>
              <w:t>p</w:t>
            </w:r>
            <w:r w:rsidRPr="005672E3">
              <w:rPr>
                <w:sz w:val="22"/>
                <w:szCs w:val="22"/>
              </w:rPr>
              <w:t>ol</w:t>
            </w:r>
            <w:r w:rsidR="00C50C4F">
              <w:rPr>
                <w:sz w:val="22"/>
                <w:szCs w:val="22"/>
              </w:rPr>
              <w:t>ožek</w:t>
            </w:r>
          </w:p>
        </w:tc>
        <w:tc>
          <w:tcPr>
            <w:tcW w:w="974"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 xml:space="preserve"> -9</w:t>
            </w:r>
          </w:p>
        </w:tc>
        <w:tc>
          <w:tcPr>
            <w:tcW w:w="72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0%</w:t>
            </w:r>
          </w:p>
        </w:tc>
        <w:tc>
          <w:tcPr>
            <w:tcW w:w="974"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87</w:t>
            </w:r>
          </w:p>
        </w:tc>
        <w:tc>
          <w:tcPr>
            <w:tcW w:w="749"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0%</w:t>
            </w:r>
          </w:p>
        </w:tc>
        <w:tc>
          <w:tcPr>
            <w:tcW w:w="974"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 xml:space="preserve"> -137</w:t>
            </w:r>
          </w:p>
        </w:tc>
        <w:tc>
          <w:tcPr>
            <w:tcW w:w="7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557FC8">
            <w:pPr>
              <w:spacing w:after="0" w:line="240" w:lineRule="auto"/>
              <w:jc w:val="right"/>
              <w:rPr>
                <w:sz w:val="22"/>
                <w:szCs w:val="22"/>
              </w:rPr>
            </w:pPr>
            <w:r w:rsidRPr="005672E3">
              <w:rPr>
                <w:sz w:val="22"/>
                <w:szCs w:val="22"/>
              </w:rPr>
              <w:t xml:space="preserve"> 0%</w:t>
            </w:r>
          </w:p>
        </w:tc>
      </w:tr>
      <w:tr w:rsidR="000E062F" w:rsidRPr="00BF3C55" w:rsidTr="000E062F">
        <w:trPr>
          <w:trHeight w:val="282"/>
        </w:trPr>
        <w:tc>
          <w:tcPr>
            <w:tcW w:w="3437" w:type="dxa"/>
            <w:tcBorders>
              <w:top w:val="single" w:sz="6" w:space="0" w:color="D9D9D9" w:themeColor="background1" w:themeShade="D9"/>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left"/>
              <w:rPr>
                <w:sz w:val="22"/>
                <w:szCs w:val="22"/>
              </w:rPr>
            </w:pPr>
            <w:r w:rsidRPr="005672E3">
              <w:rPr>
                <w:sz w:val="22"/>
                <w:szCs w:val="22"/>
              </w:rPr>
              <w:t>Ostatní provozní náklady</w:t>
            </w:r>
          </w:p>
        </w:tc>
        <w:tc>
          <w:tcPr>
            <w:tcW w:w="974" w:type="dxa"/>
            <w:tcBorders>
              <w:top w:val="single" w:sz="6" w:space="0" w:color="D9D9D9" w:themeColor="background1" w:themeShade="D9"/>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287</w:t>
            </w:r>
          </w:p>
        </w:tc>
        <w:tc>
          <w:tcPr>
            <w:tcW w:w="724" w:type="dxa"/>
            <w:tcBorders>
              <w:top w:val="single" w:sz="6" w:space="0" w:color="D9D9D9" w:themeColor="background1" w:themeShade="D9"/>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D7309" w:rsidRPr="005672E3" w:rsidRDefault="001D7309" w:rsidP="00AF0D65">
            <w:pPr>
              <w:spacing w:after="0" w:line="240" w:lineRule="auto"/>
              <w:jc w:val="right"/>
              <w:rPr>
                <w:sz w:val="22"/>
                <w:szCs w:val="22"/>
              </w:rPr>
            </w:pPr>
            <w:r w:rsidRPr="005672E3">
              <w:rPr>
                <w:sz w:val="22"/>
                <w:szCs w:val="22"/>
              </w:rPr>
              <w:t>1%</w:t>
            </w:r>
          </w:p>
        </w:tc>
        <w:tc>
          <w:tcPr>
            <w:tcW w:w="974" w:type="dxa"/>
            <w:tcBorders>
              <w:top w:val="single" w:sz="6" w:space="0" w:color="D9D9D9" w:themeColor="background1" w:themeShade="D9"/>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294</w:t>
            </w:r>
          </w:p>
        </w:tc>
        <w:tc>
          <w:tcPr>
            <w:tcW w:w="749" w:type="dxa"/>
            <w:tcBorders>
              <w:top w:val="single" w:sz="6" w:space="0" w:color="D9D9D9" w:themeColor="background1" w:themeShade="D9"/>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0%</w:t>
            </w:r>
          </w:p>
        </w:tc>
        <w:tc>
          <w:tcPr>
            <w:tcW w:w="974" w:type="dxa"/>
            <w:tcBorders>
              <w:top w:val="single" w:sz="6" w:space="0" w:color="D9D9D9" w:themeColor="background1" w:themeShade="D9"/>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363</w:t>
            </w:r>
          </w:p>
        </w:tc>
        <w:tc>
          <w:tcPr>
            <w:tcW w:w="745" w:type="dxa"/>
            <w:tcBorders>
              <w:top w:val="single" w:sz="6" w:space="0" w:color="D9D9D9" w:themeColor="background1" w:themeShade="D9"/>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1%</w:t>
            </w:r>
          </w:p>
        </w:tc>
      </w:tr>
      <w:tr w:rsidR="000E062F" w:rsidRPr="00BF3C55" w:rsidTr="000E062F">
        <w:trPr>
          <w:trHeight w:val="282"/>
        </w:trPr>
        <w:tc>
          <w:tcPr>
            <w:tcW w:w="343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ind w:firstLineChars="100" w:firstLine="220"/>
              <w:jc w:val="left"/>
              <w:rPr>
                <w:sz w:val="22"/>
                <w:szCs w:val="22"/>
              </w:rPr>
            </w:pPr>
            <w:r w:rsidRPr="005672E3">
              <w:rPr>
                <w:sz w:val="22"/>
                <w:szCs w:val="22"/>
              </w:rPr>
              <w:t>PROVOZNÍ NÁKLADY</w:t>
            </w:r>
          </w:p>
        </w:tc>
        <w:tc>
          <w:tcPr>
            <w:tcW w:w="974" w:type="dxa"/>
            <w:tcBorders>
              <w:top w:val="single" w:sz="8" w:space="0" w:color="7F7F7F" w:themeColor="text1" w:themeTint="80"/>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52 960</w:t>
            </w:r>
          </w:p>
        </w:tc>
        <w:tc>
          <w:tcPr>
            <w:tcW w:w="724" w:type="dxa"/>
            <w:tcBorders>
              <w:top w:val="single" w:sz="8" w:space="0" w:color="7F7F7F" w:themeColor="text1" w:themeTint="80"/>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98%</w:t>
            </w:r>
          </w:p>
        </w:tc>
        <w:tc>
          <w:tcPr>
            <w:tcW w:w="974" w:type="dxa"/>
            <w:tcBorders>
              <w:top w:val="single" w:sz="8" w:space="0" w:color="7F7F7F" w:themeColor="text1" w:themeTint="80"/>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65 407</w:t>
            </w:r>
          </w:p>
        </w:tc>
        <w:tc>
          <w:tcPr>
            <w:tcW w:w="749" w:type="dxa"/>
            <w:tcBorders>
              <w:top w:val="single" w:sz="8" w:space="0" w:color="7F7F7F" w:themeColor="text1" w:themeTint="80"/>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99%</w:t>
            </w:r>
          </w:p>
        </w:tc>
        <w:tc>
          <w:tcPr>
            <w:tcW w:w="974" w:type="dxa"/>
            <w:tcBorders>
              <w:top w:val="single" w:sz="8" w:space="0" w:color="7F7F7F" w:themeColor="text1" w:themeTint="80"/>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53 403</w:t>
            </w:r>
          </w:p>
        </w:tc>
        <w:tc>
          <w:tcPr>
            <w:tcW w:w="745" w:type="dxa"/>
            <w:tcBorders>
              <w:top w:val="single" w:sz="8" w:space="0" w:color="7F7F7F" w:themeColor="text1" w:themeTint="80"/>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99%</w:t>
            </w:r>
          </w:p>
        </w:tc>
      </w:tr>
      <w:tr w:rsidR="000E062F" w:rsidRPr="00BF3C55" w:rsidTr="000E062F">
        <w:trPr>
          <w:trHeight w:val="282"/>
        </w:trPr>
        <w:tc>
          <w:tcPr>
            <w:tcW w:w="3437" w:type="dxa"/>
            <w:tcBorders>
              <w:top w:val="single" w:sz="8" w:space="0" w:color="7F7F7F" w:themeColor="text1" w:themeTint="80"/>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left"/>
              <w:rPr>
                <w:sz w:val="22"/>
                <w:szCs w:val="22"/>
              </w:rPr>
            </w:pPr>
            <w:r w:rsidRPr="005672E3">
              <w:rPr>
                <w:sz w:val="22"/>
                <w:szCs w:val="22"/>
              </w:rPr>
              <w:t>Prodané cenné papíry a podíly</w:t>
            </w:r>
          </w:p>
        </w:tc>
        <w:tc>
          <w:tcPr>
            <w:tcW w:w="974" w:type="dxa"/>
            <w:tcBorders>
              <w:top w:val="single" w:sz="8" w:space="0" w:color="7F7F7F" w:themeColor="text1" w:themeTint="80"/>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20</w:t>
            </w:r>
          </w:p>
        </w:tc>
        <w:tc>
          <w:tcPr>
            <w:tcW w:w="724" w:type="dxa"/>
            <w:tcBorders>
              <w:top w:val="single" w:sz="8" w:space="0" w:color="7F7F7F" w:themeColor="text1" w:themeTint="80"/>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0%</w:t>
            </w:r>
          </w:p>
        </w:tc>
        <w:tc>
          <w:tcPr>
            <w:tcW w:w="974" w:type="dxa"/>
            <w:tcBorders>
              <w:top w:val="single" w:sz="8" w:space="0" w:color="7F7F7F" w:themeColor="text1" w:themeTint="80"/>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 xml:space="preserve"> -</w:t>
            </w:r>
          </w:p>
        </w:tc>
        <w:tc>
          <w:tcPr>
            <w:tcW w:w="749" w:type="dxa"/>
            <w:tcBorders>
              <w:top w:val="single" w:sz="8" w:space="0" w:color="7F7F7F" w:themeColor="text1" w:themeTint="80"/>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AF0D65" w:rsidP="000E10F4">
            <w:pPr>
              <w:spacing w:after="0" w:line="240" w:lineRule="auto"/>
              <w:jc w:val="right"/>
              <w:rPr>
                <w:sz w:val="22"/>
                <w:szCs w:val="22"/>
              </w:rPr>
            </w:pPr>
            <w:r>
              <w:rPr>
                <w:sz w:val="22"/>
                <w:szCs w:val="22"/>
              </w:rPr>
              <w:t xml:space="preserve"> </w:t>
            </w:r>
            <w:r w:rsidR="001D7309" w:rsidRPr="005672E3">
              <w:rPr>
                <w:sz w:val="22"/>
                <w:szCs w:val="22"/>
              </w:rPr>
              <w:t>-</w:t>
            </w:r>
          </w:p>
        </w:tc>
        <w:tc>
          <w:tcPr>
            <w:tcW w:w="974" w:type="dxa"/>
            <w:tcBorders>
              <w:top w:val="single" w:sz="8" w:space="0" w:color="7F7F7F" w:themeColor="text1" w:themeTint="80"/>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 xml:space="preserve"> -</w:t>
            </w:r>
          </w:p>
        </w:tc>
        <w:tc>
          <w:tcPr>
            <w:tcW w:w="745" w:type="dxa"/>
            <w:tcBorders>
              <w:top w:val="single" w:sz="8" w:space="0" w:color="7F7F7F" w:themeColor="text1" w:themeTint="80"/>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 xml:space="preserve"> -</w:t>
            </w:r>
          </w:p>
        </w:tc>
      </w:tr>
      <w:tr w:rsidR="000E062F" w:rsidRPr="00BF3C55" w:rsidTr="000E062F">
        <w:trPr>
          <w:trHeight w:val="282"/>
        </w:trPr>
        <w:tc>
          <w:tcPr>
            <w:tcW w:w="3437" w:type="dxa"/>
            <w:tcBorders>
              <w:top w:val="single" w:sz="6" w:space="0" w:color="D9D9D9" w:themeColor="background1" w:themeShade="D9"/>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left"/>
              <w:rPr>
                <w:sz w:val="22"/>
                <w:szCs w:val="22"/>
              </w:rPr>
            </w:pPr>
            <w:r w:rsidRPr="005672E3">
              <w:rPr>
                <w:sz w:val="22"/>
                <w:szCs w:val="22"/>
              </w:rPr>
              <w:t>Nákladové úroky</w:t>
            </w:r>
          </w:p>
        </w:tc>
        <w:tc>
          <w:tcPr>
            <w:tcW w:w="974"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275</w:t>
            </w:r>
          </w:p>
        </w:tc>
        <w:tc>
          <w:tcPr>
            <w:tcW w:w="72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1%</w:t>
            </w:r>
          </w:p>
        </w:tc>
        <w:tc>
          <w:tcPr>
            <w:tcW w:w="974"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177</w:t>
            </w:r>
          </w:p>
        </w:tc>
        <w:tc>
          <w:tcPr>
            <w:tcW w:w="749"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0%</w:t>
            </w:r>
          </w:p>
        </w:tc>
        <w:tc>
          <w:tcPr>
            <w:tcW w:w="974"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200</w:t>
            </w:r>
          </w:p>
        </w:tc>
        <w:tc>
          <w:tcPr>
            <w:tcW w:w="7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0%</w:t>
            </w:r>
          </w:p>
        </w:tc>
      </w:tr>
      <w:tr w:rsidR="000E062F" w:rsidRPr="00BF3C55" w:rsidTr="000E062F">
        <w:trPr>
          <w:trHeight w:val="282"/>
        </w:trPr>
        <w:tc>
          <w:tcPr>
            <w:tcW w:w="3437" w:type="dxa"/>
            <w:tcBorders>
              <w:top w:val="single" w:sz="6" w:space="0" w:color="D9D9D9" w:themeColor="background1" w:themeShade="D9"/>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left"/>
              <w:rPr>
                <w:sz w:val="22"/>
                <w:szCs w:val="22"/>
              </w:rPr>
            </w:pPr>
            <w:r w:rsidRPr="005672E3">
              <w:rPr>
                <w:sz w:val="22"/>
                <w:szCs w:val="22"/>
              </w:rPr>
              <w:t>Ostatní finanční náklady</w:t>
            </w:r>
          </w:p>
        </w:tc>
        <w:tc>
          <w:tcPr>
            <w:tcW w:w="974" w:type="dxa"/>
            <w:tcBorders>
              <w:top w:val="single" w:sz="6" w:space="0" w:color="D9D9D9" w:themeColor="background1" w:themeShade="D9"/>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863</w:t>
            </w:r>
          </w:p>
        </w:tc>
        <w:tc>
          <w:tcPr>
            <w:tcW w:w="724" w:type="dxa"/>
            <w:tcBorders>
              <w:top w:val="single" w:sz="6" w:space="0" w:color="D9D9D9" w:themeColor="background1" w:themeShade="D9"/>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2%</w:t>
            </w:r>
          </w:p>
        </w:tc>
        <w:tc>
          <w:tcPr>
            <w:tcW w:w="974" w:type="dxa"/>
            <w:tcBorders>
              <w:top w:val="single" w:sz="6" w:space="0" w:color="D9D9D9" w:themeColor="background1" w:themeShade="D9"/>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756</w:t>
            </w:r>
          </w:p>
        </w:tc>
        <w:tc>
          <w:tcPr>
            <w:tcW w:w="749" w:type="dxa"/>
            <w:tcBorders>
              <w:top w:val="single" w:sz="6" w:space="0" w:color="D9D9D9" w:themeColor="background1" w:themeShade="D9"/>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1%</w:t>
            </w:r>
          </w:p>
        </w:tc>
        <w:tc>
          <w:tcPr>
            <w:tcW w:w="974" w:type="dxa"/>
            <w:tcBorders>
              <w:top w:val="single" w:sz="6" w:space="0" w:color="D9D9D9" w:themeColor="background1" w:themeShade="D9"/>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484</w:t>
            </w:r>
          </w:p>
        </w:tc>
        <w:tc>
          <w:tcPr>
            <w:tcW w:w="745" w:type="dxa"/>
            <w:tcBorders>
              <w:top w:val="single" w:sz="6" w:space="0" w:color="D9D9D9" w:themeColor="background1" w:themeShade="D9"/>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1%</w:t>
            </w:r>
          </w:p>
        </w:tc>
      </w:tr>
      <w:tr w:rsidR="000E062F" w:rsidRPr="00BF3C55" w:rsidTr="000E062F">
        <w:trPr>
          <w:trHeight w:val="282"/>
        </w:trPr>
        <w:tc>
          <w:tcPr>
            <w:tcW w:w="343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ind w:firstLineChars="100" w:firstLine="220"/>
              <w:jc w:val="left"/>
              <w:rPr>
                <w:sz w:val="22"/>
                <w:szCs w:val="22"/>
              </w:rPr>
            </w:pPr>
            <w:r w:rsidRPr="005672E3">
              <w:rPr>
                <w:sz w:val="22"/>
                <w:szCs w:val="22"/>
              </w:rPr>
              <w:t>FINANČNÍ NÁKLADY</w:t>
            </w:r>
          </w:p>
        </w:tc>
        <w:tc>
          <w:tcPr>
            <w:tcW w:w="974" w:type="dxa"/>
            <w:tcBorders>
              <w:top w:val="single" w:sz="8" w:space="0" w:color="7F7F7F" w:themeColor="text1" w:themeTint="80"/>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1 158</w:t>
            </w:r>
          </w:p>
        </w:tc>
        <w:tc>
          <w:tcPr>
            <w:tcW w:w="724" w:type="dxa"/>
            <w:tcBorders>
              <w:top w:val="single" w:sz="8" w:space="0" w:color="7F7F7F" w:themeColor="text1" w:themeTint="80"/>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2%</w:t>
            </w:r>
          </w:p>
        </w:tc>
        <w:tc>
          <w:tcPr>
            <w:tcW w:w="974" w:type="dxa"/>
            <w:tcBorders>
              <w:top w:val="single" w:sz="8" w:space="0" w:color="7F7F7F" w:themeColor="text1" w:themeTint="80"/>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933</w:t>
            </w:r>
          </w:p>
        </w:tc>
        <w:tc>
          <w:tcPr>
            <w:tcW w:w="749" w:type="dxa"/>
            <w:tcBorders>
              <w:top w:val="single" w:sz="8" w:space="0" w:color="7F7F7F" w:themeColor="text1" w:themeTint="80"/>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1%</w:t>
            </w:r>
          </w:p>
        </w:tc>
        <w:tc>
          <w:tcPr>
            <w:tcW w:w="974" w:type="dxa"/>
            <w:tcBorders>
              <w:top w:val="single" w:sz="8" w:space="0" w:color="7F7F7F" w:themeColor="text1" w:themeTint="80"/>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684</w:t>
            </w:r>
          </w:p>
        </w:tc>
        <w:tc>
          <w:tcPr>
            <w:tcW w:w="745" w:type="dxa"/>
            <w:tcBorders>
              <w:top w:val="single" w:sz="8" w:space="0" w:color="7F7F7F" w:themeColor="text1" w:themeTint="80"/>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1%</w:t>
            </w:r>
          </w:p>
        </w:tc>
      </w:tr>
      <w:tr w:rsidR="000E062F" w:rsidRPr="00BF3C55" w:rsidTr="000E062F">
        <w:trPr>
          <w:trHeight w:val="300"/>
        </w:trPr>
        <w:tc>
          <w:tcPr>
            <w:tcW w:w="343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ind w:firstLineChars="100" w:firstLine="220"/>
              <w:jc w:val="left"/>
              <w:rPr>
                <w:sz w:val="22"/>
                <w:szCs w:val="22"/>
              </w:rPr>
            </w:pPr>
            <w:r w:rsidRPr="005672E3">
              <w:rPr>
                <w:sz w:val="22"/>
                <w:szCs w:val="22"/>
              </w:rPr>
              <w:t>NÁKLADY CELKEM</w:t>
            </w:r>
          </w:p>
        </w:tc>
        <w:tc>
          <w:tcPr>
            <w:tcW w:w="974" w:type="dxa"/>
            <w:tcBorders>
              <w:top w:val="single" w:sz="8" w:space="0" w:color="7F7F7F" w:themeColor="text1" w:themeTint="80"/>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54 118</w:t>
            </w:r>
          </w:p>
        </w:tc>
        <w:tc>
          <w:tcPr>
            <w:tcW w:w="724" w:type="dxa"/>
            <w:tcBorders>
              <w:top w:val="single" w:sz="8" w:space="0" w:color="7F7F7F" w:themeColor="text1" w:themeTint="80"/>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100%</w:t>
            </w:r>
          </w:p>
        </w:tc>
        <w:tc>
          <w:tcPr>
            <w:tcW w:w="974" w:type="dxa"/>
            <w:tcBorders>
              <w:top w:val="single" w:sz="8" w:space="0" w:color="7F7F7F" w:themeColor="text1" w:themeTint="80"/>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66 340</w:t>
            </w:r>
          </w:p>
        </w:tc>
        <w:tc>
          <w:tcPr>
            <w:tcW w:w="749" w:type="dxa"/>
            <w:tcBorders>
              <w:top w:val="single" w:sz="8" w:space="0" w:color="7F7F7F" w:themeColor="text1" w:themeTint="80"/>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100%</w:t>
            </w:r>
          </w:p>
        </w:tc>
        <w:tc>
          <w:tcPr>
            <w:tcW w:w="974" w:type="dxa"/>
            <w:tcBorders>
              <w:top w:val="single" w:sz="8" w:space="0" w:color="7F7F7F" w:themeColor="text1" w:themeTint="80"/>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54 087</w:t>
            </w:r>
          </w:p>
        </w:tc>
        <w:tc>
          <w:tcPr>
            <w:tcW w:w="745" w:type="dxa"/>
            <w:tcBorders>
              <w:top w:val="single" w:sz="8" w:space="0" w:color="7F7F7F" w:themeColor="text1" w:themeTint="80"/>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D7309" w:rsidRPr="005672E3" w:rsidRDefault="001D7309" w:rsidP="000E10F4">
            <w:pPr>
              <w:spacing w:after="0" w:line="240" w:lineRule="auto"/>
              <w:jc w:val="right"/>
              <w:rPr>
                <w:sz w:val="22"/>
                <w:szCs w:val="22"/>
              </w:rPr>
            </w:pPr>
            <w:r w:rsidRPr="005672E3">
              <w:rPr>
                <w:sz w:val="22"/>
                <w:szCs w:val="22"/>
              </w:rPr>
              <w:t>100%</w:t>
            </w:r>
          </w:p>
        </w:tc>
      </w:tr>
    </w:tbl>
    <w:p w:rsidR="001D7309" w:rsidRPr="00227DDA" w:rsidRDefault="001D7309" w:rsidP="001565F6">
      <w:pPr>
        <w:spacing w:before="60"/>
        <w:rPr>
          <w:sz w:val="22"/>
          <w:szCs w:val="22"/>
        </w:rPr>
      </w:pPr>
      <w:r w:rsidRPr="00227DDA">
        <w:rPr>
          <w:sz w:val="22"/>
          <w:szCs w:val="22"/>
        </w:rPr>
        <w:t xml:space="preserve">Zdroj: </w:t>
      </w:r>
      <w:r>
        <w:rPr>
          <w:sz w:val="22"/>
          <w:szCs w:val="22"/>
        </w:rPr>
        <w:t xml:space="preserve">Výkazy zisku a ztráty </w:t>
      </w:r>
      <w:r w:rsidRPr="00227DDA">
        <w:rPr>
          <w:sz w:val="22"/>
          <w:szCs w:val="22"/>
        </w:rPr>
        <w:t xml:space="preserve">podniku (vlastní zpracování) </w:t>
      </w:r>
    </w:p>
    <w:p w:rsidR="00500517" w:rsidRPr="007F35FA" w:rsidRDefault="00500517" w:rsidP="00134AB1">
      <w:r w:rsidRPr="007F35FA">
        <w:t>Ze</w:t>
      </w:r>
      <w:r w:rsidR="00AB3B1C">
        <w:t xml:space="preserve"> </w:t>
      </w:r>
      <w:r w:rsidRPr="007F35FA">
        <w:t xml:space="preserve">struktury nákladů dle výkazu zisku a ztráty </w:t>
      </w:r>
      <w:r w:rsidR="001D7309">
        <w:t>v tab</w:t>
      </w:r>
      <w:r w:rsidR="00693E27">
        <w:t>ulce</w:t>
      </w:r>
      <w:r w:rsidR="001D7309">
        <w:t xml:space="preserve"> č. 1 </w:t>
      </w:r>
      <w:r w:rsidRPr="007F35FA">
        <w:t xml:space="preserve">je zřejmé, že náklady </w:t>
      </w:r>
      <w:r>
        <w:t>podniku</w:t>
      </w:r>
      <w:r w:rsidRPr="007F35FA">
        <w:t xml:space="preserve"> jsou tvořeny </w:t>
      </w:r>
      <w:r w:rsidR="00AB3B1C">
        <w:t>převážně</w:t>
      </w:r>
      <w:r w:rsidRPr="007F35FA">
        <w:t xml:space="preserve"> osobními náklady a výkonovou spotřebou. Součet těchto dvou nákladových druhů přesahoval v </w:t>
      </w:r>
      <w:r>
        <w:t>zobrazených</w:t>
      </w:r>
      <w:r w:rsidRPr="007F35FA">
        <w:t xml:space="preserve"> letech 95 % celkových nákladů. V okruhu </w:t>
      </w:r>
      <w:r w:rsidRPr="00BD7829">
        <w:rPr>
          <w:b/>
        </w:rPr>
        <w:t>osobních nákladů</w:t>
      </w:r>
      <w:r w:rsidRPr="007F35FA">
        <w:t xml:space="preserve"> představujících v jednotlivých letech 55 – 60 % z celkových nákladů převládají mzdové náklady a související odvody. V </w:t>
      </w:r>
      <w:r w:rsidR="001E31EE">
        <w:t>kategorii</w:t>
      </w:r>
      <w:r w:rsidRPr="007F35FA">
        <w:t xml:space="preserve"> </w:t>
      </w:r>
      <w:r w:rsidRPr="00BD7829">
        <w:rPr>
          <w:b/>
        </w:rPr>
        <w:t>výkonové spotřeby</w:t>
      </w:r>
      <w:r w:rsidRPr="007F35FA">
        <w:t xml:space="preserve"> převládají služby</w:t>
      </w:r>
      <w:r w:rsidR="00134AB1">
        <w:t xml:space="preserve">, jejichž </w:t>
      </w:r>
      <w:r w:rsidRPr="007F35FA">
        <w:t>podíl na celkov</w:t>
      </w:r>
      <w:r w:rsidR="001E31EE">
        <w:t xml:space="preserve">ém objemu </w:t>
      </w:r>
      <w:r w:rsidRPr="007F35FA">
        <w:t>náklad</w:t>
      </w:r>
      <w:r w:rsidR="001E31EE">
        <w:t>ů</w:t>
      </w:r>
      <w:r w:rsidRPr="007F35FA">
        <w:t xml:space="preserve"> </w:t>
      </w:r>
      <w:r w:rsidR="00134AB1">
        <w:t xml:space="preserve">se pohyboval </w:t>
      </w:r>
      <w:r w:rsidRPr="007F35FA">
        <w:t>v rozmezí 35 – 40 %. Toto rozložení náklad</w:t>
      </w:r>
      <w:r w:rsidR="00AB3B1C">
        <w:t>ových druhů</w:t>
      </w:r>
      <w:r w:rsidRPr="007F35FA">
        <w:t xml:space="preserve"> je dané předmětem činnosti podniku, která je vysoce náročná na prác</w:t>
      </w:r>
      <w:r w:rsidR="001E31EE">
        <w:t>i, a to jak na práci kmenových a</w:t>
      </w:r>
      <w:r w:rsidRPr="007F35FA">
        <w:t xml:space="preserve"> externích zaměstnanců, tak i </w:t>
      </w:r>
      <w:r w:rsidR="00BD7829">
        <w:t xml:space="preserve">na </w:t>
      </w:r>
      <w:r w:rsidRPr="007F35FA">
        <w:t xml:space="preserve">práci a služby dodavatelů. Naopak materiálová a energetická spotřeba stejně jako </w:t>
      </w:r>
      <w:r w:rsidR="00C5660E">
        <w:t>opotřebení</w:t>
      </w:r>
      <w:r w:rsidRPr="007F35FA">
        <w:t xml:space="preserve"> majetku v podobě jeho odpisů je zastoupena </w:t>
      </w:r>
      <w:r w:rsidR="001E31EE">
        <w:t>minimálně</w:t>
      </w:r>
      <w:r w:rsidRPr="007F35FA">
        <w:t xml:space="preserve">. Důvodem je </w:t>
      </w:r>
      <w:r w:rsidR="00895D67">
        <w:t xml:space="preserve">skutečnost, že podnik nevlastní </w:t>
      </w:r>
      <w:r w:rsidRPr="007F35FA">
        <w:t xml:space="preserve">budovy, stavby ani výrobní zařízení, které by odepisoval, a materiál není spotřebováván jako podstatná část </w:t>
      </w:r>
      <w:r w:rsidR="00895D67">
        <w:t>finálního produktu</w:t>
      </w:r>
      <w:r w:rsidRPr="007F35FA">
        <w:t xml:space="preserve">. </w:t>
      </w:r>
    </w:p>
    <w:p w:rsidR="00500517" w:rsidRPr="003269AF" w:rsidRDefault="00500517" w:rsidP="00AD39AE">
      <w:pPr>
        <w:pStyle w:val="Nadpis3"/>
        <w:spacing w:before="720"/>
      </w:pPr>
      <w:bookmarkStart w:id="30" w:name="_Toc302476219"/>
      <w:r>
        <w:lastRenderedPageBreak/>
        <w:t>Účelové členění nákladů podniku</w:t>
      </w:r>
      <w:bookmarkEnd w:id="30"/>
      <w:r>
        <w:t xml:space="preserve"> </w:t>
      </w:r>
    </w:p>
    <w:p w:rsidR="00500517" w:rsidRDefault="00500517" w:rsidP="00500517">
      <w:r w:rsidRPr="007F35FA">
        <w:t>Analýza nákladů podle účelu jejich vynalož</w:t>
      </w:r>
      <w:r w:rsidR="00895D67">
        <w:t xml:space="preserve">ení </w:t>
      </w:r>
      <w:r w:rsidR="008F1CAA">
        <w:t>v</w:t>
      </w:r>
      <w:r w:rsidR="00693E27">
        <w:t xml:space="preserve"> tabulce </w:t>
      </w:r>
      <w:r w:rsidR="008F1CAA">
        <w:t xml:space="preserve">č. 2 </w:t>
      </w:r>
      <w:r w:rsidR="00895D67">
        <w:t xml:space="preserve">vychází z účetních záznamů podniku </w:t>
      </w:r>
      <w:r w:rsidRPr="007F35FA">
        <w:t xml:space="preserve">a zpracovaných interních reportů. Náklady jsou dále sledovány v rozdělení na přímé a režijní, přičemž </w:t>
      </w:r>
      <w:r w:rsidR="00895D67">
        <w:t>t</w:t>
      </w:r>
      <w:r w:rsidR="00895D67" w:rsidRPr="007F35FA">
        <w:t xml:space="preserve">erminologie </w:t>
      </w:r>
      <w:r w:rsidR="00895D67">
        <w:t xml:space="preserve">používaná v </w:t>
      </w:r>
      <w:r w:rsidR="001E31EE">
        <w:t>podniku</w:t>
      </w:r>
      <w:r w:rsidRPr="007F35FA">
        <w:t xml:space="preserve"> odpovídá </w:t>
      </w:r>
      <w:r w:rsidRPr="00A96E78">
        <w:t xml:space="preserve">členění na </w:t>
      </w:r>
      <w:r w:rsidR="00895D67" w:rsidRPr="00A96E78">
        <w:t>j</w:t>
      </w:r>
      <w:r w:rsidRPr="00A96E78">
        <w:t>ednicové a režijní</w:t>
      </w:r>
      <w:r w:rsidR="001E31EE" w:rsidRPr="00A96E78">
        <w:t xml:space="preserve"> náklady</w:t>
      </w:r>
      <w:r w:rsidRPr="007F35FA">
        <w:t>. Do přímých nákladů je zahrnován veškerý materiál, externí práce a dodané služby objednané a spotřebované v souvislos</w:t>
      </w:r>
      <w:r w:rsidR="00895D67">
        <w:t xml:space="preserve">ti s řešením konkrétní zakázky a </w:t>
      </w:r>
      <w:r w:rsidRPr="007F35FA">
        <w:t xml:space="preserve">materiál objednaný na sklad a následně spotřebovaný </w:t>
      </w:r>
      <w:r w:rsidR="00F43197">
        <w:br/>
      </w:r>
      <w:r w:rsidRPr="007F35FA">
        <w:t xml:space="preserve">na konkrétní zakázku. Do režijních nákladů pak spadají mzdové náklady </w:t>
      </w:r>
      <w:r w:rsidR="00A546E6">
        <w:t xml:space="preserve">kmenových </w:t>
      </w:r>
      <w:r w:rsidRPr="007F35FA">
        <w:t xml:space="preserve">zaměstnanců a náklady na provoz a řízení. </w:t>
      </w:r>
    </w:p>
    <w:p w:rsidR="00975B7A" w:rsidRPr="005672E3" w:rsidRDefault="00975B7A" w:rsidP="001565F6">
      <w:pPr>
        <w:keepNext/>
        <w:spacing w:before="120" w:after="120" w:line="240" w:lineRule="auto"/>
        <w:rPr>
          <w:sz w:val="22"/>
        </w:rPr>
      </w:pPr>
      <w:r w:rsidRPr="001565F6">
        <w:rPr>
          <w:sz w:val="22"/>
        </w:rPr>
        <w:t>Tabulka 2 Nákl</w:t>
      </w:r>
      <w:r w:rsidR="001565F6" w:rsidRPr="001565F6">
        <w:rPr>
          <w:sz w:val="22"/>
        </w:rPr>
        <w:t xml:space="preserve">ady podniku v účelovém členění </w:t>
      </w:r>
    </w:p>
    <w:tbl>
      <w:tblPr>
        <w:tblW w:w="8505" w:type="dxa"/>
        <w:tblInd w:w="55"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D9D9D9" w:themeColor="background1" w:themeShade="D9"/>
          <w:insideV w:val="single" w:sz="8" w:space="0" w:color="D9D9D9" w:themeColor="background1" w:themeShade="D9"/>
        </w:tblBorders>
        <w:tblLayout w:type="fixed"/>
        <w:tblCellMar>
          <w:left w:w="70" w:type="dxa"/>
          <w:right w:w="70" w:type="dxa"/>
        </w:tblCellMar>
        <w:tblLook w:val="04A0"/>
      </w:tblPr>
      <w:tblGrid>
        <w:gridCol w:w="2853"/>
        <w:gridCol w:w="1028"/>
        <w:gridCol w:w="856"/>
        <w:gridCol w:w="1028"/>
        <w:gridCol w:w="856"/>
        <w:gridCol w:w="1028"/>
        <w:gridCol w:w="856"/>
      </w:tblGrid>
      <w:tr w:rsidR="006E083C" w:rsidRPr="006E083C" w:rsidTr="00C17227">
        <w:trPr>
          <w:trHeight w:val="282"/>
        </w:trPr>
        <w:tc>
          <w:tcPr>
            <w:tcW w:w="2853" w:type="dxa"/>
            <w:vMerge w:val="restart"/>
            <w:tcBorders>
              <w:top w:val="single" w:sz="8" w:space="0" w:color="7F7F7F" w:themeColor="text1" w:themeTint="80"/>
              <w:left w:val="single" w:sz="8" w:space="0" w:color="7F7F7F" w:themeColor="text1" w:themeTint="80"/>
              <w:bottom w:val="single" w:sz="8" w:space="0" w:color="D9D9D9" w:themeColor="background1" w:themeShade="D9"/>
              <w:right w:val="single" w:sz="8" w:space="0" w:color="7F7F7F" w:themeColor="text1" w:themeTint="80"/>
            </w:tcBorders>
            <w:shd w:val="clear" w:color="auto" w:fill="auto"/>
            <w:noWrap/>
            <w:vAlign w:val="bottom"/>
            <w:hideMark/>
          </w:tcPr>
          <w:p w:rsidR="006E083C" w:rsidRPr="006E083C" w:rsidRDefault="006E083C" w:rsidP="00C17227">
            <w:pPr>
              <w:spacing w:after="0" w:line="240" w:lineRule="auto"/>
              <w:jc w:val="left"/>
              <w:rPr>
                <w:color w:val="333333"/>
                <w:sz w:val="22"/>
                <w:szCs w:val="22"/>
              </w:rPr>
            </w:pPr>
          </w:p>
        </w:tc>
        <w:tc>
          <w:tcPr>
            <w:tcW w:w="1884" w:type="dxa"/>
            <w:gridSpan w:val="2"/>
            <w:tcBorders>
              <w:top w:val="single" w:sz="8" w:space="0" w:color="7F7F7F" w:themeColor="text1" w:themeTint="80"/>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bottom"/>
            <w:hideMark/>
          </w:tcPr>
          <w:p w:rsidR="006E083C" w:rsidRPr="006E083C" w:rsidRDefault="006E083C" w:rsidP="0029528E">
            <w:pPr>
              <w:spacing w:after="0" w:line="240" w:lineRule="auto"/>
              <w:jc w:val="center"/>
              <w:rPr>
                <w:sz w:val="22"/>
                <w:szCs w:val="22"/>
              </w:rPr>
            </w:pPr>
            <w:r>
              <w:rPr>
                <w:sz w:val="22"/>
                <w:szCs w:val="22"/>
              </w:rPr>
              <w:t>2007/8</w:t>
            </w:r>
          </w:p>
        </w:tc>
        <w:tc>
          <w:tcPr>
            <w:tcW w:w="1884" w:type="dxa"/>
            <w:gridSpan w:val="2"/>
            <w:tcBorders>
              <w:top w:val="single" w:sz="8" w:space="0" w:color="7F7F7F" w:themeColor="text1" w:themeTint="80"/>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bottom"/>
            <w:hideMark/>
          </w:tcPr>
          <w:p w:rsidR="006E083C" w:rsidRPr="006E083C" w:rsidRDefault="006E083C" w:rsidP="0029528E">
            <w:pPr>
              <w:spacing w:after="0" w:line="240" w:lineRule="auto"/>
              <w:jc w:val="center"/>
              <w:rPr>
                <w:sz w:val="22"/>
                <w:szCs w:val="22"/>
              </w:rPr>
            </w:pPr>
            <w:r>
              <w:rPr>
                <w:sz w:val="22"/>
                <w:szCs w:val="22"/>
              </w:rPr>
              <w:t>2008/9</w:t>
            </w:r>
          </w:p>
        </w:tc>
        <w:tc>
          <w:tcPr>
            <w:tcW w:w="1884" w:type="dxa"/>
            <w:gridSpan w:val="2"/>
            <w:tcBorders>
              <w:top w:val="single" w:sz="8" w:space="0" w:color="7F7F7F" w:themeColor="text1" w:themeTint="80"/>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bottom"/>
            <w:hideMark/>
          </w:tcPr>
          <w:p w:rsidR="006E083C" w:rsidRPr="006E083C" w:rsidRDefault="006E083C" w:rsidP="0029528E">
            <w:pPr>
              <w:spacing w:after="0" w:line="240" w:lineRule="auto"/>
              <w:jc w:val="center"/>
              <w:rPr>
                <w:sz w:val="22"/>
                <w:szCs w:val="22"/>
              </w:rPr>
            </w:pPr>
            <w:r>
              <w:rPr>
                <w:sz w:val="22"/>
                <w:szCs w:val="22"/>
              </w:rPr>
              <w:t>2009/10</w:t>
            </w:r>
          </w:p>
        </w:tc>
      </w:tr>
      <w:tr w:rsidR="006E083C" w:rsidRPr="006E083C" w:rsidTr="000E062F">
        <w:trPr>
          <w:trHeight w:val="282"/>
        </w:trPr>
        <w:tc>
          <w:tcPr>
            <w:tcW w:w="2853" w:type="dxa"/>
            <w:vMerge/>
            <w:tcBorders>
              <w:top w:val="single" w:sz="8" w:space="0" w:color="D9D9D9" w:themeColor="background1" w:themeShade="D9"/>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bottom"/>
            <w:hideMark/>
          </w:tcPr>
          <w:p w:rsidR="006E083C" w:rsidRPr="006E083C" w:rsidRDefault="006E083C" w:rsidP="0029528E">
            <w:pPr>
              <w:spacing w:after="0" w:line="240" w:lineRule="auto"/>
              <w:jc w:val="left"/>
              <w:rPr>
                <w:color w:val="333333"/>
                <w:sz w:val="22"/>
                <w:szCs w:val="22"/>
              </w:rPr>
            </w:pPr>
          </w:p>
        </w:tc>
        <w:tc>
          <w:tcPr>
            <w:tcW w:w="1028" w:type="dxa"/>
            <w:tcBorders>
              <w:top w:val="single" w:sz="6" w:space="0" w:color="D9D9D9" w:themeColor="background1" w:themeShade="D9"/>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bottom"/>
            <w:hideMark/>
          </w:tcPr>
          <w:p w:rsidR="006E083C" w:rsidRPr="006E083C" w:rsidRDefault="006E083C" w:rsidP="0029528E">
            <w:pPr>
              <w:spacing w:after="0" w:line="240" w:lineRule="auto"/>
              <w:jc w:val="right"/>
              <w:rPr>
                <w:sz w:val="22"/>
                <w:szCs w:val="22"/>
              </w:rPr>
            </w:pPr>
            <w:r>
              <w:rPr>
                <w:sz w:val="22"/>
                <w:szCs w:val="22"/>
              </w:rPr>
              <w:t>v tis. Kč</w:t>
            </w:r>
          </w:p>
        </w:tc>
        <w:tc>
          <w:tcPr>
            <w:tcW w:w="856" w:type="dxa"/>
            <w:tcBorders>
              <w:top w:val="single" w:sz="6" w:space="0" w:color="D9D9D9" w:themeColor="background1" w:themeShade="D9"/>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bottom"/>
            <w:hideMark/>
          </w:tcPr>
          <w:p w:rsidR="006E083C" w:rsidRPr="006E083C" w:rsidRDefault="006E083C" w:rsidP="0029528E">
            <w:pPr>
              <w:spacing w:after="0" w:line="240" w:lineRule="auto"/>
              <w:jc w:val="right"/>
              <w:rPr>
                <w:sz w:val="22"/>
                <w:szCs w:val="22"/>
              </w:rPr>
            </w:pPr>
            <w:r>
              <w:rPr>
                <w:sz w:val="22"/>
                <w:szCs w:val="22"/>
              </w:rPr>
              <w:t>podíl</w:t>
            </w:r>
          </w:p>
        </w:tc>
        <w:tc>
          <w:tcPr>
            <w:tcW w:w="1028" w:type="dxa"/>
            <w:tcBorders>
              <w:top w:val="single" w:sz="6" w:space="0" w:color="D9D9D9" w:themeColor="background1" w:themeShade="D9"/>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bottom"/>
            <w:hideMark/>
          </w:tcPr>
          <w:p w:rsidR="006E083C" w:rsidRPr="006E083C" w:rsidRDefault="006E083C" w:rsidP="0029528E">
            <w:pPr>
              <w:spacing w:after="0" w:line="240" w:lineRule="auto"/>
              <w:jc w:val="right"/>
              <w:rPr>
                <w:sz w:val="22"/>
                <w:szCs w:val="22"/>
              </w:rPr>
            </w:pPr>
            <w:r>
              <w:rPr>
                <w:sz w:val="22"/>
                <w:szCs w:val="22"/>
              </w:rPr>
              <w:t>v tis. Kč</w:t>
            </w:r>
          </w:p>
        </w:tc>
        <w:tc>
          <w:tcPr>
            <w:tcW w:w="856" w:type="dxa"/>
            <w:tcBorders>
              <w:top w:val="single" w:sz="6" w:space="0" w:color="D9D9D9" w:themeColor="background1" w:themeShade="D9"/>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bottom"/>
            <w:hideMark/>
          </w:tcPr>
          <w:p w:rsidR="006E083C" w:rsidRPr="006E083C" w:rsidRDefault="006E083C" w:rsidP="0029528E">
            <w:pPr>
              <w:spacing w:after="0" w:line="240" w:lineRule="auto"/>
              <w:jc w:val="right"/>
              <w:rPr>
                <w:sz w:val="22"/>
                <w:szCs w:val="22"/>
              </w:rPr>
            </w:pPr>
            <w:r>
              <w:rPr>
                <w:sz w:val="22"/>
                <w:szCs w:val="22"/>
              </w:rPr>
              <w:t>podíl</w:t>
            </w:r>
          </w:p>
        </w:tc>
        <w:tc>
          <w:tcPr>
            <w:tcW w:w="1028" w:type="dxa"/>
            <w:tcBorders>
              <w:top w:val="single" w:sz="6" w:space="0" w:color="D9D9D9" w:themeColor="background1" w:themeShade="D9"/>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bottom"/>
            <w:hideMark/>
          </w:tcPr>
          <w:p w:rsidR="006E083C" w:rsidRPr="006E083C" w:rsidRDefault="006E083C" w:rsidP="0029528E">
            <w:pPr>
              <w:spacing w:after="0" w:line="240" w:lineRule="auto"/>
              <w:jc w:val="right"/>
              <w:rPr>
                <w:sz w:val="22"/>
                <w:szCs w:val="22"/>
              </w:rPr>
            </w:pPr>
            <w:r>
              <w:rPr>
                <w:sz w:val="22"/>
                <w:szCs w:val="22"/>
              </w:rPr>
              <w:t>v tis. Kč</w:t>
            </w:r>
          </w:p>
        </w:tc>
        <w:tc>
          <w:tcPr>
            <w:tcW w:w="856" w:type="dxa"/>
            <w:tcBorders>
              <w:top w:val="single" w:sz="6" w:space="0" w:color="D9D9D9" w:themeColor="background1" w:themeShade="D9"/>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bottom"/>
            <w:hideMark/>
          </w:tcPr>
          <w:p w:rsidR="006E083C" w:rsidRPr="006E083C" w:rsidRDefault="000E062F" w:rsidP="0029528E">
            <w:pPr>
              <w:spacing w:after="0" w:line="240" w:lineRule="auto"/>
              <w:jc w:val="right"/>
              <w:rPr>
                <w:sz w:val="22"/>
                <w:szCs w:val="22"/>
              </w:rPr>
            </w:pPr>
            <w:r>
              <w:rPr>
                <w:sz w:val="22"/>
                <w:szCs w:val="22"/>
              </w:rPr>
              <w:t>P</w:t>
            </w:r>
            <w:r w:rsidR="006E083C">
              <w:rPr>
                <w:sz w:val="22"/>
                <w:szCs w:val="22"/>
              </w:rPr>
              <w:t>odíl</w:t>
            </w:r>
          </w:p>
        </w:tc>
      </w:tr>
      <w:tr w:rsidR="006E083C" w:rsidRPr="006E083C" w:rsidTr="000E062F">
        <w:trPr>
          <w:trHeight w:val="282"/>
        </w:trPr>
        <w:tc>
          <w:tcPr>
            <w:tcW w:w="285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bottom"/>
            <w:hideMark/>
          </w:tcPr>
          <w:p w:rsidR="00557FC8" w:rsidRPr="006E083C" w:rsidRDefault="00557FC8" w:rsidP="00557FC8">
            <w:pPr>
              <w:spacing w:after="0" w:line="240" w:lineRule="auto"/>
              <w:jc w:val="left"/>
              <w:rPr>
                <w:color w:val="333333"/>
                <w:sz w:val="22"/>
                <w:szCs w:val="22"/>
              </w:rPr>
            </w:pPr>
            <w:r w:rsidRPr="006E083C">
              <w:rPr>
                <w:color w:val="333333"/>
                <w:sz w:val="22"/>
                <w:szCs w:val="22"/>
              </w:rPr>
              <w:t>Přímé náklady</w:t>
            </w:r>
          </w:p>
        </w:tc>
        <w:tc>
          <w:tcPr>
            <w:tcW w:w="1028" w:type="dxa"/>
            <w:tcBorders>
              <w:top w:val="single" w:sz="8" w:space="0" w:color="7F7F7F" w:themeColor="text1" w:themeTint="80"/>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22 583</w:t>
            </w:r>
          </w:p>
        </w:tc>
        <w:tc>
          <w:tcPr>
            <w:tcW w:w="856" w:type="dxa"/>
            <w:tcBorders>
              <w:top w:val="single" w:sz="8" w:space="0" w:color="7F7F7F" w:themeColor="text1" w:themeTint="80"/>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41,7%</w:t>
            </w:r>
          </w:p>
        </w:tc>
        <w:tc>
          <w:tcPr>
            <w:tcW w:w="1028" w:type="dxa"/>
            <w:tcBorders>
              <w:top w:val="single" w:sz="8" w:space="0" w:color="7F7F7F" w:themeColor="text1" w:themeTint="80"/>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27 475</w:t>
            </w:r>
          </w:p>
        </w:tc>
        <w:tc>
          <w:tcPr>
            <w:tcW w:w="856" w:type="dxa"/>
            <w:tcBorders>
              <w:top w:val="single" w:sz="8" w:space="0" w:color="7F7F7F" w:themeColor="text1" w:themeTint="80"/>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41,4%</w:t>
            </w:r>
          </w:p>
        </w:tc>
        <w:tc>
          <w:tcPr>
            <w:tcW w:w="1028" w:type="dxa"/>
            <w:tcBorders>
              <w:top w:val="single" w:sz="8" w:space="0" w:color="7F7F7F" w:themeColor="text1" w:themeTint="80"/>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22 986</w:t>
            </w:r>
          </w:p>
        </w:tc>
        <w:tc>
          <w:tcPr>
            <w:tcW w:w="856" w:type="dxa"/>
            <w:tcBorders>
              <w:top w:val="single" w:sz="8" w:space="0" w:color="7F7F7F" w:themeColor="text1" w:themeTint="80"/>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42,5%</w:t>
            </w:r>
          </w:p>
        </w:tc>
      </w:tr>
      <w:tr w:rsidR="006E083C" w:rsidRPr="006E083C" w:rsidTr="000E062F">
        <w:trPr>
          <w:trHeight w:val="282"/>
        </w:trPr>
        <w:tc>
          <w:tcPr>
            <w:tcW w:w="285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bottom"/>
            <w:hideMark/>
          </w:tcPr>
          <w:p w:rsidR="00557FC8" w:rsidRPr="006E083C" w:rsidRDefault="00A33F9B" w:rsidP="00557FC8">
            <w:pPr>
              <w:spacing w:after="0" w:line="240" w:lineRule="auto"/>
              <w:ind w:firstLineChars="100" w:firstLine="220"/>
              <w:jc w:val="left"/>
              <w:rPr>
                <w:color w:val="333333"/>
                <w:sz w:val="22"/>
                <w:szCs w:val="22"/>
              </w:rPr>
            </w:pPr>
            <w:r>
              <w:rPr>
                <w:color w:val="333333"/>
                <w:sz w:val="22"/>
                <w:szCs w:val="22"/>
              </w:rPr>
              <w:t>PŘÍMÉ NÁKLADY</w:t>
            </w:r>
          </w:p>
        </w:tc>
        <w:tc>
          <w:tcPr>
            <w:tcW w:w="1028" w:type="dxa"/>
            <w:tcBorders>
              <w:top w:val="single" w:sz="8" w:space="0" w:color="7F7F7F" w:themeColor="text1" w:themeTint="80"/>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22 583</w:t>
            </w:r>
          </w:p>
        </w:tc>
        <w:tc>
          <w:tcPr>
            <w:tcW w:w="856" w:type="dxa"/>
            <w:tcBorders>
              <w:top w:val="single" w:sz="8" w:space="0" w:color="7F7F7F" w:themeColor="text1" w:themeTint="80"/>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41,7%</w:t>
            </w:r>
          </w:p>
        </w:tc>
        <w:tc>
          <w:tcPr>
            <w:tcW w:w="1028" w:type="dxa"/>
            <w:tcBorders>
              <w:top w:val="single" w:sz="8" w:space="0" w:color="7F7F7F" w:themeColor="text1" w:themeTint="80"/>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27 475</w:t>
            </w:r>
          </w:p>
        </w:tc>
        <w:tc>
          <w:tcPr>
            <w:tcW w:w="856" w:type="dxa"/>
            <w:tcBorders>
              <w:top w:val="single" w:sz="8" w:space="0" w:color="7F7F7F" w:themeColor="text1" w:themeTint="80"/>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41,4%</w:t>
            </w:r>
          </w:p>
        </w:tc>
        <w:tc>
          <w:tcPr>
            <w:tcW w:w="1028" w:type="dxa"/>
            <w:tcBorders>
              <w:top w:val="single" w:sz="8" w:space="0" w:color="7F7F7F" w:themeColor="text1" w:themeTint="80"/>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22 986</w:t>
            </w:r>
          </w:p>
        </w:tc>
        <w:tc>
          <w:tcPr>
            <w:tcW w:w="856" w:type="dxa"/>
            <w:tcBorders>
              <w:top w:val="single" w:sz="8" w:space="0" w:color="7F7F7F" w:themeColor="text1" w:themeTint="80"/>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42,5%</w:t>
            </w:r>
          </w:p>
        </w:tc>
      </w:tr>
      <w:tr w:rsidR="006E083C" w:rsidRPr="006E083C" w:rsidTr="000E062F">
        <w:trPr>
          <w:trHeight w:val="282"/>
        </w:trPr>
        <w:tc>
          <w:tcPr>
            <w:tcW w:w="2853" w:type="dxa"/>
            <w:tcBorders>
              <w:top w:val="single" w:sz="8" w:space="0" w:color="7F7F7F" w:themeColor="text1" w:themeTint="80"/>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557FC8">
            <w:pPr>
              <w:spacing w:after="0" w:line="240" w:lineRule="auto"/>
              <w:jc w:val="left"/>
              <w:rPr>
                <w:color w:val="333333"/>
                <w:sz w:val="22"/>
                <w:szCs w:val="22"/>
              </w:rPr>
            </w:pPr>
            <w:r w:rsidRPr="006E083C">
              <w:rPr>
                <w:color w:val="333333"/>
                <w:sz w:val="22"/>
                <w:szCs w:val="22"/>
              </w:rPr>
              <w:t xml:space="preserve">Mzdy </w:t>
            </w:r>
            <w:r w:rsidR="00C50C4F">
              <w:rPr>
                <w:color w:val="333333"/>
                <w:sz w:val="22"/>
                <w:szCs w:val="22"/>
              </w:rPr>
              <w:t>–</w:t>
            </w:r>
            <w:r w:rsidRPr="006E083C">
              <w:rPr>
                <w:color w:val="333333"/>
                <w:sz w:val="22"/>
                <w:szCs w:val="22"/>
              </w:rPr>
              <w:t xml:space="preserve"> </w:t>
            </w:r>
            <w:r w:rsidR="00C50C4F">
              <w:rPr>
                <w:color w:val="333333"/>
                <w:sz w:val="22"/>
                <w:szCs w:val="22"/>
              </w:rPr>
              <w:t>fixní část</w:t>
            </w:r>
          </w:p>
        </w:tc>
        <w:tc>
          <w:tcPr>
            <w:tcW w:w="1028" w:type="dxa"/>
            <w:tcBorders>
              <w:top w:val="single" w:sz="8" w:space="0" w:color="7F7F7F" w:themeColor="text1" w:themeTint="80"/>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13 985</w:t>
            </w:r>
          </w:p>
        </w:tc>
        <w:tc>
          <w:tcPr>
            <w:tcW w:w="856" w:type="dxa"/>
            <w:tcBorders>
              <w:top w:val="single" w:sz="8" w:space="0" w:color="7F7F7F" w:themeColor="text1" w:themeTint="80"/>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25,8%</w:t>
            </w:r>
          </w:p>
        </w:tc>
        <w:tc>
          <w:tcPr>
            <w:tcW w:w="1028" w:type="dxa"/>
            <w:tcBorders>
              <w:top w:val="single" w:sz="8" w:space="0" w:color="7F7F7F" w:themeColor="text1" w:themeTint="80"/>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19 182</w:t>
            </w:r>
          </w:p>
        </w:tc>
        <w:tc>
          <w:tcPr>
            <w:tcW w:w="856" w:type="dxa"/>
            <w:tcBorders>
              <w:top w:val="single" w:sz="8" w:space="0" w:color="7F7F7F" w:themeColor="text1" w:themeTint="80"/>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28,9%</w:t>
            </w:r>
          </w:p>
        </w:tc>
        <w:tc>
          <w:tcPr>
            <w:tcW w:w="1028" w:type="dxa"/>
            <w:tcBorders>
              <w:top w:val="single" w:sz="8" w:space="0" w:color="7F7F7F" w:themeColor="text1" w:themeTint="80"/>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17 556</w:t>
            </w:r>
          </w:p>
        </w:tc>
        <w:tc>
          <w:tcPr>
            <w:tcW w:w="856" w:type="dxa"/>
            <w:tcBorders>
              <w:top w:val="single" w:sz="8" w:space="0" w:color="7F7F7F" w:themeColor="text1" w:themeTint="80"/>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32,5%</w:t>
            </w:r>
          </w:p>
        </w:tc>
      </w:tr>
      <w:tr w:rsidR="006E083C" w:rsidRPr="006E083C" w:rsidTr="000E062F">
        <w:trPr>
          <w:trHeight w:val="282"/>
        </w:trPr>
        <w:tc>
          <w:tcPr>
            <w:tcW w:w="2853" w:type="dxa"/>
            <w:tcBorders>
              <w:top w:val="single" w:sz="6" w:space="0" w:color="D9D9D9" w:themeColor="background1" w:themeShade="D9"/>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C50C4F">
            <w:pPr>
              <w:spacing w:after="0" w:line="240" w:lineRule="auto"/>
              <w:jc w:val="left"/>
              <w:rPr>
                <w:color w:val="333333"/>
                <w:sz w:val="22"/>
                <w:szCs w:val="22"/>
              </w:rPr>
            </w:pPr>
            <w:r w:rsidRPr="006E083C">
              <w:rPr>
                <w:color w:val="333333"/>
                <w:sz w:val="22"/>
                <w:szCs w:val="22"/>
              </w:rPr>
              <w:t xml:space="preserve">Mzdy </w:t>
            </w:r>
            <w:r w:rsidR="00C50C4F">
              <w:rPr>
                <w:color w:val="333333"/>
                <w:sz w:val="22"/>
                <w:szCs w:val="22"/>
              </w:rPr>
              <w:t>–</w:t>
            </w:r>
            <w:r w:rsidRPr="006E083C">
              <w:rPr>
                <w:color w:val="333333"/>
                <w:sz w:val="22"/>
                <w:szCs w:val="22"/>
              </w:rPr>
              <w:t xml:space="preserve"> </w:t>
            </w:r>
            <w:r w:rsidR="00C50C4F">
              <w:rPr>
                <w:color w:val="333333"/>
                <w:sz w:val="22"/>
                <w:szCs w:val="22"/>
              </w:rPr>
              <w:t>pohyblivá část</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2 203</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4,1%</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2 386</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3,6%</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1 989</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3,7%</w:t>
            </w:r>
          </w:p>
        </w:tc>
      </w:tr>
      <w:tr w:rsidR="006E083C" w:rsidRPr="006E083C" w:rsidTr="000E062F">
        <w:trPr>
          <w:trHeight w:val="282"/>
        </w:trPr>
        <w:tc>
          <w:tcPr>
            <w:tcW w:w="2853" w:type="dxa"/>
            <w:tcBorders>
              <w:top w:val="single" w:sz="6" w:space="0" w:color="D9D9D9" w:themeColor="background1" w:themeShade="D9"/>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557FC8">
            <w:pPr>
              <w:spacing w:after="0" w:line="240" w:lineRule="auto"/>
              <w:jc w:val="left"/>
              <w:rPr>
                <w:color w:val="333333"/>
                <w:sz w:val="22"/>
                <w:szCs w:val="22"/>
              </w:rPr>
            </w:pPr>
            <w:r w:rsidRPr="006E083C">
              <w:rPr>
                <w:color w:val="333333"/>
                <w:sz w:val="22"/>
                <w:szCs w:val="22"/>
              </w:rPr>
              <w:t>Benefity</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602</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1,1%</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829</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1,2%</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724</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1,3%</w:t>
            </w:r>
          </w:p>
        </w:tc>
      </w:tr>
      <w:tr w:rsidR="006E083C" w:rsidRPr="006E083C" w:rsidTr="000E062F">
        <w:trPr>
          <w:trHeight w:val="282"/>
        </w:trPr>
        <w:tc>
          <w:tcPr>
            <w:tcW w:w="2853" w:type="dxa"/>
            <w:tcBorders>
              <w:top w:val="single" w:sz="6" w:space="0" w:color="D9D9D9" w:themeColor="background1" w:themeShade="D9"/>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557FC8">
            <w:pPr>
              <w:spacing w:after="0" w:line="240" w:lineRule="auto"/>
              <w:jc w:val="left"/>
              <w:rPr>
                <w:color w:val="333333"/>
                <w:sz w:val="22"/>
                <w:szCs w:val="22"/>
              </w:rPr>
            </w:pPr>
            <w:r w:rsidRPr="006E083C">
              <w:rPr>
                <w:color w:val="333333"/>
                <w:sz w:val="22"/>
                <w:szCs w:val="22"/>
              </w:rPr>
              <w:t>Odvody</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5 765</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10,7%</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7 532</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11,4%</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4 854</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9,0%</w:t>
            </w:r>
          </w:p>
        </w:tc>
      </w:tr>
      <w:tr w:rsidR="006E083C" w:rsidRPr="006E083C" w:rsidTr="000E062F">
        <w:trPr>
          <w:trHeight w:val="282"/>
        </w:trPr>
        <w:tc>
          <w:tcPr>
            <w:tcW w:w="2853" w:type="dxa"/>
            <w:tcBorders>
              <w:top w:val="single" w:sz="6" w:space="0" w:color="D9D9D9" w:themeColor="background1" w:themeShade="D9"/>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557FC8">
            <w:pPr>
              <w:spacing w:after="0" w:line="240" w:lineRule="auto"/>
              <w:jc w:val="left"/>
              <w:rPr>
                <w:color w:val="333333"/>
                <w:sz w:val="22"/>
                <w:szCs w:val="22"/>
              </w:rPr>
            </w:pPr>
            <w:r w:rsidRPr="006E083C">
              <w:rPr>
                <w:color w:val="333333"/>
                <w:sz w:val="22"/>
                <w:szCs w:val="22"/>
              </w:rPr>
              <w:t>Cestovné</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191</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0,4%</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178</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0,3%</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87</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0,2%</w:t>
            </w:r>
          </w:p>
        </w:tc>
      </w:tr>
      <w:tr w:rsidR="006E083C" w:rsidRPr="006E083C" w:rsidTr="000E062F">
        <w:trPr>
          <w:trHeight w:val="282"/>
        </w:trPr>
        <w:tc>
          <w:tcPr>
            <w:tcW w:w="2853" w:type="dxa"/>
            <w:tcBorders>
              <w:top w:val="single" w:sz="6" w:space="0" w:color="D9D9D9" w:themeColor="background1" w:themeShade="D9"/>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bottom"/>
            <w:hideMark/>
          </w:tcPr>
          <w:p w:rsidR="00557FC8" w:rsidRPr="006E083C" w:rsidRDefault="00557FC8" w:rsidP="00557FC8">
            <w:pPr>
              <w:spacing w:after="0" w:line="240" w:lineRule="auto"/>
              <w:jc w:val="left"/>
              <w:rPr>
                <w:color w:val="333333"/>
                <w:sz w:val="22"/>
                <w:szCs w:val="22"/>
              </w:rPr>
            </w:pPr>
            <w:r w:rsidRPr="006E083C">
              <w:rPr>
                <w:color w:val="333333"/>
                <w:sz w:val="22"/>
                <w:szCs w:val="22"/>
              </w:rPr>
              <w:t>Ost. nákl. na zaměstnance</w:t>
            </w:r>
          </w:p>
        </w:tc>
        <w:tc>
          <w:tcPr>
            <w:tcW w:w="1028" w:type="dxa"/>
            <w:tcBorders>
              <w:top w:val="single" w:sz="6" w:space="0" w:color="D9D9D9" w:themeColor="background1" w:themeShade="D9"/>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439</w:t>
            </w:r>
          </w:p>
        </w:tc>
        <w:tc>
          <w:tcPr>
            <w:tcW w:w="856" w:type="dxa"/>
            <w:tcBorders>
              <w:top w:val="single" w:sz="6" w:space="0" w:color="D9D9D9" w:themeColor="background1" w:themeShade="D9"/>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0,8%</w:t>
            </w:r>
          </w:p>
        </w:tc>
        <w:tc>
          <w:tcPr>
            <w:tcW w:w="1028" w:type="dxa"/>
            <w:tcBorders>
              <w:top w:val="single" w:sz="6" w:space="0" w:color="D9D9D9" w:themeColor="background1" w:themeShade="D9"/>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310</w:t>
            </w:r>
          </w:p>
        </w:tc>
        <w:tc>
          <w:tcPr>
            <w:tcW w:w="856" w:type="dxa"/>
            <w:tcBorders>
              <w:top w:val="single" w:sz="6" w:space="0" w:color="D9D9D9" w:themeColor="background1" w:themeShade="D9"/>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0,5%</w:t>
            </w:r>
          </w:p>
        </w:tc>
        <w:tc>
          <w:tcPr>
            <w:tcW w:w="1028" w:type="dxa"/>
            <w:tcBorders>
              <w:top w:val="single" w:sz="6" w:space="0" w:color="D9D9D9" w:themeColor="background1" w:themeShade="D9"/>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174</w:t>
            </w:r>
          </w:p>
        </w:tc>
        <w:tc>
          <w:tcPr>
            <w:tcW w:w="856" w:type="dxa"/>
            <w:tcBorders>
              <w:top w:val="single" w:sz="6" w:space="0" w:color="D9D9D9" w:themeColor="background1" w:themeShade="D9"/>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0,3%</w:t>
            </w:r>
          </w:p>
        </w:tc>
      </w:tr>
      <w:tr w:rsidR="006E083C" w:rsidRPr="006E083C" w:rsidTr="000E062F">
        <w:trPr>
          <w:trHeight w:val="282"/>
        </w:trPr>
        <w:tc>
          <w:tcPr>
            <w:tcW w:w="285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bottom"/>
            <w:hideMark/>
          </w:tcPr>
          <w:p w:rsidR="00557FC8" w:rsidRPr="006E083C" w:rsidRDefault="00A33F9B" w:rsidP="00557FC8">
            <w:pPr>
              <w:spacing w:after="0" w:line="240" w:lineRule="auto"/>
              <w:ind w:firstLineChars="100" w:firstLine="220"/>
              <w:jc w:val="left"/>
              <w:rPr>
                <w:color w:val="333333"/>
                <w:sz w:val="22"/>
                <w:szCs w:val="22"/>
              </w:rPr>
            </w:pPr>
            <w:r>
              <w:rPr>
                <w:color w:val="333333"/>
                <w:sz w:val="22"/>
                <w:szCs w:val="22"/>
              </w:rPr>
              <w:t>OSOBNÍ NÁKLADY</w:t>
            </w:r>
          </w:p>
        </w:tc>
        <w:tc>
          <w:tcPr>
            <w:tcW w:w="1028" w:type="dxa"/>
            <w:tcBorders>
              <w:top w:val="single" w:sz="8" w:space="0" w:color="7F7F7F" w:themeColor="text1" w:themeTint="80"/>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23 185</w:t>
            </w:r>
          </w:p>
        </w:tc>
        <w:tc>
          <w:tcPr>
            <w:tcW w:w="856" w:type="dxa"/>
            <w:tcBorders>
              <w:top w:val="single" w:sz="8" w:space="0" w:color="7F7F7F" w:themeColor="text1" w:themeTint="80"/>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42,8%</w:t>
            </w:r>
          </w:p>
        </w:tc>
        <w:tc>
          <w:tcPr>
            <w:tcW w:w="1028" w:type="dxa"/>
            <w:tcBorders>
              <w:top w:val="single" w:sz="8" w:space="0" w:color="7F7F7F" w:themeColor="text1" w:themeTint="80"/>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30 417</w:t>
            </w:r>
          </w:p>
        </w:tc>
        <w:tc>
          <w:tcPr>
            <w:tcW w:w="856" w:type="dxa"/>
            <w:tcBorders>
              <w:top w:val="single" w:sz="8" w:space="0" w:color="7F7F7F" w:themeColor="text1" w:themeTint="80"/>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45,9%</w:t>
            </w:r>
          </w:p>
        </w:tc>
        <w:tc>
          <w:tcPr>
            <w:tcW w:w="1028" w:type="dxa"/>
            <w:tcBorders>
              <w:top w:val="single" w:sz="8" w:space="0" w:color="7F7F7F" w:themeColor="text1" w:themeTint="80"/>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25 384</w:t>
            </w:r>
          </w:p>
        </w:tc>
        <w:tc>
          <w:tcPr>
            <w:tcW w:w="856" w:type="dxa"/>
            <w:tcBorders>
              <w:top w:val="single" w:sz="8" w:space="0" w:color="7F7F7F" w:themeColor="text1" w:themeTint="80"/>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46,9%</w:t>
            </w:r>
          </w:p>
        </w:tc>
      </w:tr>
      <w:tr w:rsidR="006E083C" w:rsidRPr="006E083C" w:rsidTr="000E062F">
        <w:trPr>
          <w:trHeight w:val="282"/>
        </w:trPr>
        <w:tc>
          <w:tcPr>
            <w:tcW w:w="2853" w:type="dxa"/>
            <w:tcBorders>
              <w:top w:val="single" w:sz="8" w:space="0" w:color="7F7F7F" w:themeColor="text1" w:themeTint="80"/>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557FC8">
            <w:pPr>
              <w:spacing w:after="0" w:line="240" w:lineRule="auto"/>
              <w:jc w:val="left"/>
              <w:rPr>
                <w:color w:val="333333"/>
                <w:sz w:val="22"/>
                <w:szCs w:val="22"/>
              </w:rPr>
            </w:pPr>
            <w:r w:rsidRPr="006E083C">
              <w:rPr>
                <w:color w:val="333333"/>
                <w:sz w:val="22"/>
                <w:szCs w:val="22"/>
              </w:rPr>
              <w:t>Provoz kanceláří</w:t>
            </w:r>
          </w:p>
        </w:tc>
        <w:tc>
          <w:tcPr>
            <w:tcW w:w="1028" w:type="dxa"/>
            <w:tcBorders>
              <w:top w:val="single" w:sz="8" w:space="0" w:color="7F7F7F" w:themeColor="text1" w:themeTint="80"/>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2 084</w:t>
            </w:r>
          </w:p>
        </w:tc>
        <w:tc>
          <w:tcPr>
            <w:tcW w:w="856" w:type="dxa"/>
            <w:tcBorders>
              <w:top w:val="single" w:sz="8" w:space="0" w:color="7F7F7F" w:themeColor="text1" w:themeTint="80"/>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3,9%</w:t>
            </w:r>
          </w:p>
        </w:tc>
        <w:tc>
          <w:tcPr>
            <w:tcW w:w="1028" w:type="dxa"/>
            <w:tcBorders>
              <w:top w:val="single" w:sz="8" w:space="0" w:color="7F7F7F" w:themeColor="text1" w:themeTint="80"/>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2 385</w:t>
            </w:r>
          </w:p>
        </w:tc>
        <w:tc>
          <w:tcPr>
            <w:tcW w:w="856" w:type="dxa"/>
            <w:tcBorders>
              <w:top w:val="single" w:sz="8" w:space="0" w:color="7F7F7F" w:themeColor="text1" w:themeTint="80"/>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3,6%</w:t>
            </w:r>
          </w:p>
        </w:tc>
        <w:tc>
          <w:tcPr>
            <w:tcW w:w="1028" w:type="dxa"/>
            <w:tcBorders>
              <w:top w:val="single" w:sz="8" w:space="0" w:color="7F7F7F" w:themeColor="text1" w:themeTint="80"/>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2 243</w:t>
            </w:r>
          </w:p>
        </w:tc>
        <w:tc>
          <w:tcPr>
            <w:tcW w:w="856" w:type="dxa"/>
            <w:tcBorders>
              <w:top w:val="single" w:sz="8" w:space="0" w:color="7F7F7F" w:themeColor="text1" w:themeTint="80"/>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4,1%</w:t>
            </w:r>
          </w:p>
        </w:tc>
      </w:tr>
      <w:tr w:rsidR="006E083C" w:rsidRPr="006E083C" w:rsidTr="000E062F">
        <w:trPr>
          <w:trHeight w:val="282"/>
        </w:trPr>
        <w:tc>
          <w:tcPr>
            <w:tcW w:w="2853" w:type="dxa"/>
            <w:tcBorders>
              <w:top w:val="single" w:sz="6" w:space="0" w:color="D9D9D9" w:themeColor="background1" w:themeShade="D9"/>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C50C4F" w:rsidP="00C50C4F">
            <w:pPr>
              <w:spacing w:after="0" w:line="240" w:lineRule="auto"/>
              <w:jc w:val="left"/>
              <w:rPr>
                <w:color w:val="333333"/>
                <w:sz w:val="22"/>
                <w:szCs w:val="22"/>
              </w:rPr>
            </w:pPr>
            <w:r>
              <w:rPr>
                <w:color w:val="333333"/>
                <w:sz w:val="22"/>
                <w:szCs w:val="22"/>
              </w:rPr>
              <w:t>IT a informační</w:t>
            </w:r>
            <w:r w:rsidR="00557FC8" w:rsidRPr="006E083C">
              <w:rPr>
                <w:color w:val="333333"/>
                <w:sz w:val="22"/>
                <w:szCs w:val="22"/>
              </w:rPr>
              <w:t xml:space="preserve"> </w:t>
            </w:r>
            <w:r>
              <w:rPr>
                <w:color w:val="333333"/>
                <w:sz w:val="22"/>
                <w:szCs w:val="22"/>
              </w:rPr>
              <w:t>s</w:t>
            </w:r>
            <w:r w:rsidR="00557FC8" w:rsidRPr="006E083C">
              <w:rPr>
                <w:color w:val="333333"/>
                <w:sz w:val="22"/>
                <w:szCs w:val="22"/>
              </w:rPr>
              <w:t>ystémy</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1 371</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2,5%</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976</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1,5%</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344</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0,6%</w:t>
            </w:r>
          </w:p>
        </w:tc>
      </w:tr>
      <w:tr w:rsidR="006E083C" w:rsidRPr="006E083C" w:rsidTr="000E062F">
        <w:trPr>
          <w:trHeight w:val="282"/>
        </w:trPr>
        <w:tc>
          <w:tcPr>
            <w:tcW w:w="2853" w:type="dxa"/>
            <w:tcBorders>
              <w:top w:val="single" w:sz="6" w:space="0" w:color="D9D9D9" w:themeColor="background1" w:themeShade="D9"/>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C50C4F" w:rsidP="00557FC8">
            <w:pPr>
              <w:spacing w:after="0" w:line="240" w:lineRule="auto"/>
              <w:jc w:val="left"/>
              <w:rPr>
                <w:color w:val="333333"/>
                <w:sz w:val="22"/>
                <w:szCs w:val="22"/>
              </w:rPr>
            </w:pPr>
            <w:r>
              <w:rPr>
                <w:color w:val="333333"/>
                <w:sz w:val="22"/>
                <w:szCs w:val="22"/>
              </w:rPr>
              <w:t>Marketing a</w:t>
            </w:r>
            <w:r w:rsidR="00557FC8" w:rsidRPr="006E083C">
              <w:rPr>
                <w:color w:val="333333"/>
                <w:sz w:val="22"/>
                <w:szCs w:val="22"/>
              </w:rPr>
              <w:t xml:space="preserve"> PR</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1 202</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2,2%</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633</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1,0%</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724</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1,3%</w:t>
            </w:r>
          </w:p>
        </w:tc>
      </w:tr>
      <w:tr w:rsidR="006E083C" w:rsidRPr="006E083C" w:rsidTr="000E062F">
        <w:trPr>
          <w:trHeight w:val="282"/>
        </w:trPr>
        <w:tc>
          <w:tcPr>
            <w:tcW w:w="2853" w:type="dxa"/>
            <w:tcBorders>
              <w:top w:val="single" w:sz="6" w:space="0" w:color="D9D9D9" w:themeColor="background1" w:themeShade="D9"/>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557FC8">
            <w:pPr>
              <w:spacing w:after="0" w:line="240" w:lineRule="auto"/>
              <w:jc w:val="left"/>
              <w:rPr>
                <w:color w:val="333333"/>
                <w:sz w:val="22"/>
                <w:szCs w:val="22"/>
              </w:rPr>
            </w:pPr>
            <w:r w:rsidRPr="006E083C">
              <w:rPr>
                <w:color w:val="333333"/>
                <w:sz w:val="22"/>
                <w:szCs w:val="22"/>
              </w:rPr>
              <w:t>Finanční náklady</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1 138</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2,1%</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933</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1,4%</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684</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1,3%</w:t>
            </w:r>
          </w:p>
        </w:tc>
      </w:tr>
      <w:tr w:rsidR="006E083C" w:rsidRPr="006E083C" w:rsidTr="000E062F">
        <w:trPr>
          <w:trHeight w:val="282"/>
        </w:trPr>
        <w:tc>
          <w:tcPr>
            <w:tcW w:w="2853" w:type="dxa"/>
            <w:tcBorders>
              <w:top w:val="single" w:sz="6" w:space="0" w:color="D9D9D9" w:themeColor="background1" w:themeShade="D9"/>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557FC8">
            <w:pPr>
              <w:spacing w:after="0" w:line="240" w:lineRule="auto"/>
              <w:jc w:val="left"/>
              <w:rPr>
                <w:color w:val="333333"/>
                <w:sz w:val="22"/>
                <w:szCs w:val="22"/>
              </w:rPr>
            </w:pPr>
            <w:r w:rsidRPr="006E083C">
              <w:rPr>
                <w:color w:val="333333"/>
                <w:sz w:val="22"/>
                <w:szCs w:val="22"/>
              </w:rPr>
              <w:t>Služební vozy</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709</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1,3%</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406</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0,6%</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64</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0,1%</w:t>
            </w:r>
          </w:p>
        </w:tc>
      </w:tr>
      <w:tr w:rsidR="006E083C" w:rsidRPr="006E083C" w:rsidTr="000E062F">
        <w:trPr>
          <w:trHeight w:val="282"/>
        </w:trPr>
        <w:tc>
          <w:tcPr>
            <w:tcW w:w="2853" w:type="dxa"/>
            <w:tcBorders>
              <w:top w:val="single" w:sz="6" w:space="0" w:color="D9D9D9" w:themeColor="background1" w:themeShade="D9"/>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557FC8">
            <w:pPr>
              <w:spacing w:after="0" w:line="240" w:lineRule="auto"/>
              <w:jc w:val="left"/>
              <w:rPr>
                <w:color w:val="333333"/>
                <w:sz w:val="22"/>
                <w:szCs w:val="22"/>
              </w:rPr>
            </w:pPr>
            <w:r w:rsidRPr="006E083C">
              <w:rPr>
                <w:color w:val="333333"/>
                <w:sz w:val="22"/>
                <w:szCs w:val="22"/>
              </w:rPr>
              <w:t>Spojové služby</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600</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1,1%</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674</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1,0%</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364</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0,7%</w:t>
            </w:r>
          </w:p>
        </w:tc>
      </w:tr>
      <w:tr w:rsidR="006E083C" w:rsidRPr="006E083C" w:rsidTr="000E062F">
        <w:trPr>
          <w:trHeight w:val="282"/>
        </w:trPr>
        <w:tc>
          <w:tcPr>
            <w:tcW w:w="2853" w:type="dxa"/>
            <w:tcBorders>
              <w:top w:val="single" w:sz="6" w:space="0" w:color="D9D9D9" w:themeColor="background1" w:themeShade="D9"/>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557FC8">
            <w:pPr>
              <w:spacing w:after="0" w:line="240" w:lineRule="auto"/>
              <w:jc w:val="left"/>
              <w:rPr>
                <w:color w:val="333333"/>
                <w:sz w:val="22"/>
                <w:szCs w:val="22"/>
              </w:rPr>
            </w:pPr>
            <w:r w:rsidRPr="006E083C">
              <w:rPr>
                <w:color w:val="333333"/>
                <w:sz w:val="22"/>
                <w:szCs w:val="22"/>
              </w:rPr>
              <w:t>Odborné poradenství</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408</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0,8%</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1 324</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2,0%</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595</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1,1%</w:t>
            </w:r>
          </w:p>
        </w:tc>
      </w:tr>
      <w:tr w:rsidR="006E083C" w:rsidRPr="006E083C" w:rsidTr="000E062F">
        <w:trPr>
          <w:trHeight w:val="282"/>
        </w:trPr>
        <w:tc>
          <w:tcPr>
            <w:tcW w:w="2853" w:type="dxa"/>
            <w:tcBorders>
              <w:top w:val="single" w:sz="6" w:space="0" w:color="D9D9D9" w:themeColor="background1" w:themeShade="D9"/>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557FC8">
            <w:pPr>
              <w:spacing w:after="0" w:line="240" w:lineRule="auto"/>
              <w:jc w:val="left"/>
              <w:rPr>
                <w:color w:val="333333"/>
                <w:sz w:val="22"/>
                <w:szCs w:val="22"/>
              </w:rPr>
            </w:pPr>
            <w:r w:rsidRPr="006E083C">
              <w:rPr>
                <w:color w:val="333333"/>
                <w:sz w:val="22"/>
                <w:szCs w:val="22"/>
              </w:rPr>
              <w:t>Spotřeba materiálu</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370</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0,7%</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382</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0,6%</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148</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0,3%</w:t>
            </w:r>
          </w:p>
        </w:tc>
      </w:tr>
      <w:tr w:rsidR="006E083C" w:rsidRPr="006E083C" w:rsidTr="000E062F">
        <w:trPr>
          <w:trHeight w:val="282"/>
        </w:trPr>
        <w:tc>
          <w:tcPr>
            <w:tcW w:w="2853" w:type="dxa"/>
            <w:tcBorders>
              <w:top w:val="single" w:sz="6" w:space="0" w:color="D9D9D9" w:themeColor="background1" w:themeShade="D9"/>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557FC8">
            <w:pPr>
              <w:spacing w:after="0" w:line="240" w:lineRule="auto"/>
              <w:jc w:val="left"/>
              <w:rPr>
                <w:color w:val="333333"/>
                <w:sz w:val="22"/>
                <w:szCs w:val="22"/>
              </w:rPr>
            </w:pPr>
            <w:r w:rsidRPr="006E083C">
              <w:rPr>
                <w:color w:val="333333"/>
                <w:sz w:val="22"/>
                <w:szCs w:val="22"/>
              </w:rPr>
              <w:t xml:space="preserve">Náklady na </w:t>
            </w:r>
            <w:r w:rsidR="00C50C4F">
              <w:rPr>
                <w:color w:val="333333"/>
                <w:sz w:val="22"/>
                <w:szCs w:val="22"/>
              </w:rPr>
              <w:t>terén</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151</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0,3%</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185</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0,3%</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121</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0,2%</w:t>
            </w:r>
          </w:p>
        </w:tc>
      </w:tr>
      <w:tr w:rsidR="006E083C" w:rsidRPr="006E083C" w:rsidTr="000E062F">
        <w:trPr>
          <w:trHeight w:val="282"/>
        </w:trPr>
        <w:tc>
          <w:tcPr>
            <w:tcW w:w="2853" w:type="dxa"/>
            <w:tcBorders>
              <w:top w:val="single" w:sz="6" w:space="0" w:color="D9D9D9" w:themeColor="background1" w:themeShade="D9"/>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557FC8">
            <w:pPr>
              <w:spacing w:after="0" w:line="240" w:lineRule="auto"/>
              <w:jc w:val="left"/>
              <w:rPr>
                <w:color w:val="333333"/>
                <w:sz w:val="22"/>
                <w:szCs w:val="22"/>
              </w:rPr>
            </w:pPr>
            <w:r w:rsidRPr="006E083C">
              <w:rPr>
                <w:color w:val="333333"/>
                <w:sz w:val="22"/>
                <w:szCs w:val="22"/>
              </w:rPr>
              <w:t>Ost. služby a provoz. nákl.</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105</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0,2%</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96</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0,1%</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112</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0,2%</w:t>
            </w:r>
          </w:p>
        </w:tc>
      </w:tr>
      <w:tr w:rsidR="006E083C" w:rsidRPr="006E083C" w:rsidTr="000E062F">
        <w:trPr>
          <w:trHeight w:val="282"/>
        </w:trPr>
        <w:tc>
          <w:tcPr>
            <w:tcW w:w="2853" w:type="dxa"/>
            <w:tcBorders>
              <w:top w:val="single" w:sz="6" w:space="0" w:color="D9D9D9" w:themeColor="background1" w:themeShade="D9"/>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557FC8">
            <w:pPr>
              <w:spacing w:after="0" w:line="240" w:lineRule="auto"/>
              <w:jc w:val="left"/>
              <w:rPr>
                <w:color w:val="333333"/>
                <w:sz w:val="22"/>
                <w:szCs w:val="22"/>
              </w:rPr>
            </w:pPr>
            <w:r w:rsidRPr="006E083C">
              <w:rPr>
                <w:color w:val="333333"/>
                <w:sz w:val="22"/>
                <w:szCs w:val="22"/>
              </w:rPr>
              <w:t>Interní marketing</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70</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0,1%</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80</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0,1%</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87</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0,2%</w:t>
            </w:r>
          </w:p>
        </w:tc>
      </w:tr>
      <w:tr w:rsidR="006E083C" w:rsidRPr="006E083C" w:rsidTr="000E062F">
        <w:trPr>
          <w:trHeight w:val="282"/>
        </w:trPr>
        <w:tc>
          <w:tcPr>
            <w:tcW w:w="2853" w:type="dxa"/>
            <w:tcBorders>
              <w:top w:val="single" w:sz="6" w:space="0" w:color="D9D9D9" w:themeColor="background1" w:themeShade="D9"/>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557FC8">
            <w:pPr>
              <w:spacing w:after="0" w:line="240" w:lineRule="auto"/>
              <w:jc w:val="left"/>
              <w:rPr>
                <w:color w:val="333333"/>
                <w:sz w:val="22"/>
                <w:szCs w:val="22"/>
              </w:rPr>
            </w:pPr>
            <w:r w:rsidRPr="006E083C">
              <w:rPr>
                <w:color w:val="333333"/>
                <w:sz w:val="22"/>
                <w:szCs w:val="22"/>
              </w:rPr>
              <w:t>Administrativní služby</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69</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0,1%</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94</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0,1%</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18</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0,0%</w:t>
            </w:r>
          </w:p>
        </w:tc>
      </w:tr>
      <w:tr w:rsidR="006E083C" w:rsidRPr="006E083C" w:rsidTr="000E062F">
        <w:trPr>
          <w:trHeight w:val="282"/>
        </w:trPr>
        <w:tc>
          <w:tcPr>
            <w:tcW w:w="2853" w:type="dxa"/>
            <w:tcBorders>
              <w:top w:val="single" w:sz="6" w:space="0" w:color="D9D9D9" w:themeColor="background1" w:themeShade="D9"/>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557FC8">
            <w:pPr>
              <w:spacing w:after="0" w:line="240" w:lineRule="auto"/>
              <w:jc w:val="left"/>
              <w:rPr>
                <w:color w:val="333333"/>
                <w:sz w:val="22"/>
                <w:szCs w:val="22"/>
              </w:rPr>
            </w:pPr>
            <w:r w:rsidRPr="006E083C">
              <w:rPr>
                <w:color w:val="333333"/>
                <w:sz w:val="22"/>
                <w:szCs w:val="22"/>
              </w:rPr>
              <w:t>Pokuty a penále, odp. pohl.</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53</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0,1%</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87</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0,1%</w:t>
            </w:r>
          </w:p>
        </w:tc>
        <w:tc>
          <w:tcPr>
            <w:tcW w:w="1028"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-31</w:t>
            </w:r>
          </w:p>
        </w:tc>
        <w:tc>
          <w:tcPr>
            <w:tcW w:w="85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-0,1%</w:t>
            </w:r>
          </w:p>
        </w:tc>
      </w:tr>
      <w:tr w:rsidR="006E083C" w:rsidRPr="006E083C" w:rsidTr="000E062F">
        <w:trPr>
          <w:trHeight w:val="282"/>
        </w:trPr>
        <w:tc>
          <w:tcPr>
            <w:tcW w:w="2853" w:type="dxa"/>
            <w:tcBorders>
              <w:top w:val="single" w:sz="6" w:space="0" w:color="D9D9D9" w:themeColor="background1" w:themeShade="D9"/>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bottom"/>
            <w:hideMark/>
          </w:tcPr>
          <w:p w:rsidR="00557FC8" w:rsidRPr="006E083C" w:rsidRDefault="00557FC8" w:rsidP="00557FC8">
            <w:pPr>
              <w:spacing w:after="0" w:line="240" w:lineRule="auto"/>
              <w:jc w:val="left"/>
              <w:rPr>
                <w:color w:val="333333"/>
                <w:sz w:val="22"/>
                <w:szCs w:val="22"/>
              </w:rPr>
            </w:pPr>
            <w:r w:rsidRPr="006E083C">
              <w:rPr>
                <w:color w:val="333333"/>
                <w:sz w:val="22"/>
                <w:szCs w:val="22"/>
              </w:rPr>
              <w:t>Prodané zboží, mat. a maj.</w:t>
            </w:r>
          </w:p>
        </w:tc>
        <w:tc>
          <w:tcPr>
            <w:tcW w:w="1028" w:type="dxa"/>
            <w:tcBorders>
              <w:top w:val="single" w:sz="6" w:space="0" w:color="D9D9D9" w:themeColor="background1" w:themeShade="D9"/>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20</w:t>
            </w:r>
          </w:p>
        </w:tc>
        <w:tc>
          <w:tcPr>
            <w:tcW w:w="856" w:type="dxa"/>
            <w:tcBorders>
              <w:top w:val="single" w:sz="6" w:space="0" w:color="D9D9D9" w:themeColor="background1" w:themeShade="D9"/>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0,0%</w:t>
            </w:r>
          </w:p>
        </w:tc>
        <w:tc>
          <w:tcPr>
            <w:tcW w:w="1028" w:type="dxa"/>
            <w:tcBorders>
              <w:top w:val="single" w:sz="6" w:space="0" w:color="D9D9D9" w:themeColor="background1" w:themeShade="D9"/>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193</w:t>
            </w:r>
          </w:p>
        </w:tc>
        <w:tc>
          <w:tcPr>
            <w:tcW w:w="856" w:type="dxa"/>
            <w:tcBorders>
              <w:top w:val="single" w:sz="6" w:space="0" w:color="D9D9D9" w:themeColor="background1" w:themeShade="D9"/>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0,3%</w:t>
            </w:r>
          </w:p>
        </w:tc>
        <w:tc>
          <w:tcPr>
            <w:tcW w:w="1028" w:type="dxa"/>
            <w:tcBorders>
              <w:top w:val="single" w:sz="6" w:space="0" w:color="D9D9D9" w:themeColor="background1" w:themeShade="D9"/>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244</w:t>
            </w:r>
          </w:p>
        </w:tc>
        <w:tc>
          <w:tcPr>
            <w:tcW w:w="856" w:type="dxa"/>
            <w:tcBorders>
              <w:top w:val="single" w:sz="6" w:space="0" w:color="D9D9D9" w:themeColor="background1" w:themeShade="D9"/>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0,5%</w:t>
            </w:r>
          </w:p>
        </w:tc>
      </w:tr>
      <w:tr w:rsidR="006E083C" w:rsidRPr="006E083C" w:rsidTr="000E062F">
        <w:trPr>
          <w:trHeight w:val="282"/>
        </w:trPr>
        <w:tc>
          <w:tcPr>
            <w:tcW w:w="285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bottom"/>
            <w:hideMark/>
          </w:tcPr>
          <w:p w:rsidR="00557FC8" w:rsidRPr="006E083C" w:rsidRDefault="00A33F9B" w:rsidP="00557FC8">
            <w:pPr>
              <w:spacing w:after="0" w:line="240" w:lineRule="auto"/>
              <w:ind w:firstLineChars="100" w:firstLine="220"/>
              <w:jc w:val="left"/>
              <w:rPr>
                <w:color w:val="333333"/>
                <w:sz w:val="22"/>
                <w:szCs w:val="22"/>
              </w:rPr>
            </w:pPr>
            <w:r>
              <w:rPr>
                <w:color w:val="333333"/>
                <w:sz w:val="22"/>
                <w:szCs w:val="22"/>
              </w:rPr>
              <w:t>REŽIJNÍ NÁKLADY</w:t>
            </w:r>
          </w:p>
        </w:tc>
        <w:tc>
          <w:tcPr>
            <w:tcW w:w="1028" w:type="dxa"/>
            <w:tcBorders>
              <w:top w:val="single" w:sz="8" w:space="0" w:color="7F7F7F" w:themeColor="text1" w:themeTint="80"/>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8 350</w:t>
            </w:r>
          </w:p>
        </w:tc>
        <w:tc>
          <w:tcPr>
            <w:tcW w:w="856" w:type="dxa"/>
            <w:tcBorders>
              <w:top w:val="single" w:sz="8" w:space="0" w:color="7F7F7F" w:themeColor="text1" w:themeTint="80"/>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15,4%</w:t>
            </w:r>
          </w:p>
        </w:tc>
        <w:tc>
          <w:tcPr>
            <w:tcW w:w="1028" w:type="dxa"/>
            <w:tcBorders>
              <w:top w:val="single" w:sz="8" w:space="0" w:color="7F7F7F" w:themeColor="text1" w:themeTint="80"/>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8 448</w:t>
            </w:r>
          </w:p>
        </w:tc>
        <w:tc>
          <w:tcPr>
            <w:tcW w:w="856" w:type="dxa"/>
            <w:tcBorders>
              <w:top w:val="single" w:sz="8" w:space="0" w:color="7F7F7F" w:themeColor="text1" w:themeTint="80"/>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12,7%</w:t>
            </w:r>
          </w:p>
        </w:tc>
        <w:tc>
          <w:tcPr>
            <w:tcW w:w="1028" w:type="dxa"/>
            <w:tcBorders>
              <w:top w:val="single" w:sz="8" w:space="0" w:color="7F7F7F" w:themeColor="text1" w:themeTint="80"/>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5 717</w:t>
            </w:r>
          </w:p>
        </w:tc>
        <w:tc>
          <w:tcPr>
            <w:tcW w:w="856" w:type="dxa"/>
            <w:tcBorders>
              <w:top w:val="single" w:sz="8" w:space="0" w:color="7F7F7F" w:themeColor="text1" w:themeTint="80"/>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10,6%</w:t>
            </w:r>
          </w:p>
        </w:tc>
      </w:tr>
      <w:tr w:rsidR="006E083C" w:rsidRPr="006E083C" w:rsidTr="000E062F">
        <w:trPr>
          <w:trHeight w:val="282"/>
        </w:trPr>
        <w:tc>
          <w:tcPr>
            <w:tcW w:w="285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bottom"/>
            <w:hideMark/>
          </w:tcPr>
          <w:p w:rsidR="00557FC8" w:rsidRPr="006E083C" w:rsidRDefault="00557FC8" w:rsidP="00557FC8">
            <w:pPr>
              <w:spacing w:after="0" w:line="240" w:lineRule="auto"/>
              <w:ind w:firstLineChars="100" w:firstLine="220"/>
              <w:jc w:val="left"/>
              <w:rPr>
                <w:color w:val="333333"/>
                <w:sz w:val="22"/>
                <w:szCs w:val="22"/>
              </w:rPr>
            </w:pPr>
            <w:r w:rsidRPr="006E083C">
              <w:rPr>
                <w:color w:val="333333"/>
                <w:sz w:val="22"/>
                <w:szCs w:val="22"/>
              </w:rPr>
              <w:t>NÁKLADY CELKEM</w:t>
            </w:r>
          </w:p>
        </w:tc>
        <w:tc>
          <w:tcPr>
            <w:tcW w:w="1028" w:type="dxa"/>
            <w:tcBorders>
              <w:top w:val="single" w:sz="8" w:space="0" w:color="7F7F7F" w:themeColor="text1" w:themeTint="80"/>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54 118</w:t>
            </w:r>
          </w:p>
        </w:tc>
        <w:tc>
          <w:tcPr>
            <w:tcW w:w="856" w:type="dxa"/>
            <w:tcBorders>
              <w:top w:val="single" w:sz="8" w:space="0" w:color="7F7F7F" w:themeColor="text1" w:themeTint="80"/>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100,0%</w:t>
            </w:r>
          </w:p>
        </w:tc>
        <w:tc>
          <w:tcPr>
            <w:tcW w:w="1028" w:type="dxa"/>
            <w:tcBorders>
              <w:top w:val="single" w:sz="8" w:space="0" w:color="7F7F7F" w:themeColor="text1" w:themeTint="80"/>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66 340</w:t>
            </w:r>
          </w:p>
        </w:tc>
        <w:tc>
          <w:tcPr>
            <w:tcW w:w="856" w:type="dxa"/>
            <w:tcBorders>
              <w:top w:val="single" w:sz="8" w:space="0" w:color="7F7F7F" w:themeColor="text1" w:themeTint="80"/>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100,0%</w:t>
            </w:r>
          </w:p>
        </w:tc>
        <w:tc>
          <w:tcPr>
            <w:tcW w:w="1028" w:type="dxa"/>
            <w:tcBorders>
              <w:top w:val="single" w:sz="8" w:space="0" w:color="7F7F7F" w:themeColor="text1" w:themeTint="80"/>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54 087</w:t>
            </w:r>
          </w:p>
        </w:tc>
        <w:tc>
          <w:tcPr>
            <w:tcW w:w="856" w:type="dxa"/>
            <w:tcBorders>
              <w:top w:val="single" w:sz="8" w:space="0" w:color="7F7F7F" w:themeColor="text1" w:themeTint="80"/>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bottom"/>
            <w:hideMark/>
          </w:tcPr>
          <w:p w:rsidR="00557FC8" w:rsidRPr="006E083C" w:rsidRDefault="00557FC8" w:rsidP="0029528E">
            <w:pPr>
              <w:spacing w:after="0" w:line="240" w:lineRule="auto"/>
              <w:jc w:val="right"/>
              <w:rPr>
                <w:sz w:val="22"/>
                <w:szCs w:val="22"/>
              </w:rPr>
            </w:pPr>
            <w:r w:rsidRPr="006E083C">
              <w:rPr>
                <w:sz w:val="22"/>
                <w:szCs w:val="22"/>
              </w:rPr>
              <w:t>100,0%</w:t>
            </w:r>
          </w:p>
        </w:tc>
      </w:tr>
    </w:tbl>
    <w:p w:rsidR="00975B7A" w:rsidRPr="00227DDA" w:rsidRDefault="00975B7A" w:rsidP="001565F6">
      <w:pPr>
        <w:spacing w:before="60"/>
        <w:rPr>
          <w:sz w:val="22"/>
          <w:szCs w:val="22"/>
        </w:rPr>
      </w:pPr>
      <w:r w:rsidRPr="00227DDA">
        <w:rPr>
          <w:sz w:val="22"/>
          <w:szCs w:val="22"/>
        </w:rPr>
        <w:t xml:space="preserve">Zdroj: </w:t>
      </w:r>
      <w:r>
        <w:rPr>
          <w:sz w:val="22"/>
          <w:szCs w:val="22"/>
        </w:rPr>
        <w:t xml:space="preserve">Interní výkazy </w:t>
      </w:r>
      <w:r w:rsidRPr="00227DDA">
        <w:rPr>
          <w:sz w:val="22"/>
          <w:szCs w:val="22"/>
        </w:rPr>
        <w:t xml:space="preserve">podniku (vlastní zpracování) </w:t>
      </w:r>
    </w:p>
    <w:p w:rsidR="00500517" w:rsidRPr="007F35FA" w:rsidRDefault="00500517" w:rsidP="00500517">
      <w:r w:rsidRPr="007F35FA">
        <w:lastRenderedPageBreak/>
        <w:t xml:space="preserve">V zobrazených letech se podíl </w:t>
      </w:r>
      <w:r w:rsidRPr="00BD7829">
        <w:rPr>
          <w:b/>
        </w:rPr>
        <w:t>přímých nákladů</w:t>
      </w:r>
      <w:r w:rsidRPr="007F35FA">
        <w:t xml:space="preserve"> na celkových nákladech pohyboval okolo 42 %. </w:t>
      </w:r>
      <w:r w:rsidRPr="00135C6E">
        <w:t>S</w:t>
      </w:r>
      <w:r w:rsidR="001E31EE" w:rsidRPr="00135C6E">
        <w:t>ložení</w:t>
      </w:r>
      <w:r w:rsidRPr="00135C6E">
        <w:t xml:space="preserve"> přímých nákladů vybraného roku analyzuje </w:t>
      </w:r>
      <w:r w:rsidR="00A00BE8" w:rsidRPr="00135C6E">
        <w:t>tab</w:t>
      </w:r>
      <w:r w:rsidR="00135C6E" w:rsidRPr="00135C6E">
        <w:t>ulka</w:t>
      </w:r>
      <w:r w:rsidR="001E31EE" w:rsidRPr="00135C6E">
        <w:t xml:space="preserve"> </w:t>
      </w:r>
      <w:r w:rsidR="00A00BE8" w:rsidRPr="00135C6E">
        <w:t xml:space="preserve">č. </w:t>
      </w:r>
      <w:r w:rsidR="00135C6E" w:rsidRPr="00135C6E">
        <w:t>3</w:t>
      </w:r>
      <w:r w:rsidRPr="00135C6E">
        <w:t>.</w:t>
      </w:r>
      <w:r w:rsidRPr="007F35FA">
        <w:t xml:space="preserve"> Nejvýznamnější část přímých nákladů (4</w:t>
      </w:r>
      <w:r w:rsidR="00D1794E">
        <w:t>3</w:t>
      </w:r>
      <w:r w:rsidRPr="007F35FA">
        <w:t xml:space="preserve"> %) představují subdodávky zakázek a terénního šetření, zahrnující zajištění sběru dat formou telefonického a on-line dotazování partnerskými organizacemi a subdodávky sběru dat realizované partnery v zahraničí. Další významnou část nákladů (3</w:t>
      </w:r>
      <w:r w:rsidR="00D1794E">
        <w:t>7</w:t>
      </w:r>
      <w:r w:rsidRPr="007F35FA">
        <w:t xml:space="preserve"> %) představují odměny za dotazování a související náhrady cestovného, tyto odměny se vyplácí tazatelům kvantitativních šetření za sběr dat formou dotazníkového šetření a externím psychologům za realizaci skupinových diskuzí a hloubkových rozhovorů. I v dalších skupinách nákladů převažují náklady související se sběrem a zpracováním dat, např. zabezpečení sběru dat zahrnuje tisk dotazníků, poštovné na jejich distribuci, pronájem </w:t>
      </w:r>
      <w:r w:rsidR="00975B7A">
        <w:t>prostor</w:t>
      </w:r>
      <w:r w:rsidRPr="007F35FA">
        <w:t xml:space="preserve"> k realizaci rozhovorů a diskuzí a materiálové zabezpečení. Odměny respondentů zahrnují finanční i naturální odměny účastníkům skupinových diskuzí a hloubkových rozhovorů a případné drobné dárky pro respondenty dotazníkových šetření. </w:t>
      </w:r>
      <w:r>
        <w:t>K</w:t>
      </w:r>
      <w:r w:rsidRPr="007F35FA">
        <w:t xml:space="preserve">ategorie zpracování dotazníků </w:t>
      </w:r>
      <w:r>
        <w:t>zahrnuje</w:t>
      </w:r>
      <w:r w:rsidRPr="007F35FA">
        <w:t xml:space="preserve"> náklady na kódování dotazníků a jejich následný zápis, tzv. nahrání; ve skupině práce na zakázkách a poradenství jsou pak jinde neuvedené práce a služby jako jsou odborná poradenství k zakázkám, překlady a tlumočení, administrativní práce a výpomoc; poslední položkou přímých nákladů jsou cestovní náhrady zaměstnanců. </w:t>
      </w:r>
    </w:p>
    <w:p w:rsidR="001C22D0" w:rsidRDefault="001C22D0" w:rsidP="001C22D0">
      <w:pPr>
        <w:keepNext/>
        <w:spacing w:before="120" w:after="120" w:line="240" w:lineRule="auto"/>
        <w:rPr>
          <w:sz w:val="22"/>
        </w:rPr>
      </w:pPr>
      <w:r w:rsidRPr="00135C6E">
        <w:rPr>
          <w:sz w:val="22"/>
        </w:rPr>
        <w:t>Tab</w:t>
      </w:r>
      <w:r w:rsidR="0061794D">
        <w:rPr>
          <w:sz w:val="22"/>
        </w:rPr>
        <w:t xml:space="preserve">ulka 3 Přímé náklady podniku </w:t>
      </w:r>
    </w:p>
    <w:tbl>
      <w:tblPr>
        <w:tblW w:w="4991" w:type="dxa"/>
        <w:tblInd w:w="55"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D9D9D9" w:themeColor="background1" w:themeShade="D9"/>
          <w:insideV w:val="single" w:sz="8" w:space="0" w:color="D9D9D9" w:themeColor="background1" w:themeShade="D9"/>
        </w:tblBorders>
        <w:tblCellMar>
          <w:left w:w="70" w:type="dxa"/>
          <w:right w:w="70" w:type="dxa"/>
        </w:tblCellMar>
        <w:tblLook w:val="04A0"/>
      </w:tblPr>
      <w:tblGrid>
        <w:gridCol w:w="3119"/>
        <w:gridCol w:w="1021"/>
        <w:gridCol w:w="851"/>
      </w:tblGrid>
      <w:tr w:rsidR="0029528E" w:rsidRPr="0029528E" w:rsidTr="000E062F">
        <w:trPr>
          <w:trHeight w:val="282"/>
        </w:trPr>
        <w:tc>
          <w:tcPr>
            <w:tcW w:w="3119" w:type="dxa"/>
            <w:vMerge w:val="restart"/>
            <w:tcBorders>
              <w:top w:val="single" w:sz="8" w:space="0" w:color="7F7F7F" w:themeColor="text1" w:themeTint="80"/>
              <w:left w:val="single" w:sz="8" w:space="0" w:color="7F7F7F" w:themeColor="text1" w:themeTint="80"/>
              <w:bottom w:val="single" w:sz="8" w:space="0" w:color="D9D9D9" w:themeColor="background1" w:themeShade="D9"/>
              <w:right w:val="single" w:sz="8" w:space="0" w:color="7F7F7F" w:themeColor="text1" w:themeTint="80"/>
            </w:tcBorders>
            <w:vAlign w:val="bottom"/>
            <w:hideMark/>
          </w:tcPr>
          <w:p w:rsidR="0029528E" w:rsidRPr="0029528E" w:rsidRDefault="0029528E" w:rsidP="0029528E">
            <w:pPr>
              <w:spacing w:after="0" w:line="240" w:lineRule="auto"/>
              <w:jc w:val="left"/>
              <w:rPr>
                <w:sz w:val="22"/>
                <w:szCs w:val="22"/>
              </w:rPr>
            </w:pPr>
          </w:p>
        </w:tc>
        <w:tc>
          <w:tcPr>
            <w:tcW w:w="1872" w:type="dxa"/>
            <w:gridSpan w:val="2"/>
            <w:tcBorders>
              <w:top w:val="single" w:sz="8" w:space="0" w:color="7F7F7F" w:themeColor="text1" w:themeTint="80"/>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bottom"/>
            <w:hideMark/>
          </w:tcPr>
          <w:p w:rsidR="0029528E" w:rsidRPr="0029528E" w:rsidRDefault="0029528E" w:rsidP="0029528E">
            <w:pPr>
              <w:spacing w:after="0" w:line="240" w:lineRule="auto"/>
              <w:jc w:val="center"/>
              <w:rPr>
                <w:sz w:val="22"/>
                <w:szCs w:val="22"/>
              </w:rPr>
            </w:pPr>
            <w:r>
              <w:rPr>
                <w:sz w:val="22"/>
                <w:szCs w:val="22"/>
              </w:rPr>
              <w:t>2009/10</w:t>
            </w:r>
          </w:p>
        </w:tc>
      </w:tr>
      <w:tr w:rsidR="0029528E" w:rsidRPr="0029528E" w:rsidTr="000E062F">
        <w:trPr>
          <w:trHeight w:val="282"/>
        </w:trPr>
        <w:tc>
          <w:tcPr>
            <w:tcW w:w="3119" w:type="dxa"/>
            <w:vMerge/>
            <w:tcBorders>
              <w:top w:val="single" w:sz="8" w:space="0" w:color="D9D9D9" w:themeColor="background1" w:themeShade="D9"/>
              <w:left w:val="single" w:sz="8" w:space="0" w:color="7F7F7F" w:themeColor="text1" w:themeTint="80"/>
              <w:bottom w:val="single" w:sz="8" w:space="0" w:color="7F7F7F" w:themeColor="text1" w:themeTint="80"/>
              <w:right w:val="single" w:sz="8" w:space="0" w:color="7F7F7F" w:themeColor="text1" w:themeTint="80"/>
            </w:tcBorders>
            <w:vAlign w:val="bottom"/>
            <w:hideMark/>
          </w:tcPr>
          <w:p w:rsidR="0029528E" w:rsidRPr="0029528E" w:rsidRDefault="0029528E" w:rsidP="0029528E">
            <w:pPr>
              <w:spacing w:after="0" w:line="240" w:lineRule="auto"/>
              <w:jc w:val="left"/>
              <w:rPr>
                <w:sz w:val="22"/>
                <w:szCs w:val="22"/>
              </w:rPr>
            </w:pPr>
          </w:p>
        </w:tc>
        <w:tc>
          <w:tcPr>
            <w:tcW w:w="1021" w:type="dxa"/>
            <w:tcBorders>
              <w:top w:val="single" w:sz="6" w:space="0" w:color="D9D9D9" w:themeColor="background1" w:themeShade="D9"/>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bottom"/>
            <w:hideMark/>
          </w:tcPr>
          <w:p w:rsidR="0029528E" w:rsidRPr="0029528E" w:rsidRDefault="0029528E" w:rsidP="0029528E">
            <w:pPr>
              <w:spacing w:after="0" w:line="240" w:lineRule="auto"/>
              <w:jc w:val="right"/>
              <w:rPr>
                <w:sz w:val="22"/>
                <w:szCs w:val="22"/>
              </w:rPr>
            </w:pPr>
            <w:r w:rsidRPr="0029528E">
              <w:rPr>
                <w:sz w:val="22"/>
                <w:szCs w:val="22"/>
              </w:rPr>
              <w:t>v tis. Kč</w:t>
            </w:r>
          </w:p>
        </w:tc>
        <w:tc>
          <w:tcPr>
            <w:tcW w:w="851" w:type="dxa"/>
            <w:tcBorders>
              <w:top w:val="single" w:sz="6" w:space="0" w:color="D9D9D9" w:themeColor="background1" w:themeShade="D9"/>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bottom"/>
            <w:hideMark/>
          </w:tcPr>
          <w:p w:rsidR="0029528E" w:rsidRPr="0029528E" w:rsidRDefault="0029528E" w:rsidP="0029528E">
            <w:pPr>
              <w:spacing w:after="0" w:line="240" w:lineRule="auto"/>
              <w:jc w:val="right"/>
              <w:rPr>
                <w:sz w:val="22"/>
                <w:szCs w:val="22"/>
              </w:rPr>
            </w:pPr>
            <w:r w:rsidRPr="0029528E">
              <w:rPr>
                <w:sz w:val="22"/>
                <w:szCs w:val="22"/>
              </w:rPr>
              <w:t>podíl</w:t>
            </w:r>
          </w:p>
        </w:tc>
      </w:tr>
      <w:tr w:rsidR="0029528E" w:rsidRPr="0029528E" w:rsidTr="000E062F">
        <w:trPr>
          <w:trHeight w:val="282"/>
        </w:trPr>
        <w:tc>
          <w:tcPr>
            <w:tcW w:w="3119" w:type="dxa"/>
            <w:tcBorders>
              <w:top w:val="single" w:sz="8" w:space="0" w:color="7F7F7F" w:themeColor="text1" w:themeTint="80"/>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bottom"/>
            <w:hideMark/>
          </w:tcPr>
          <w:p w:rsidR="0029528E" w:rsidRPr="0029528E" w:rsidRDefault="00135C6E" w:rsidP="0029528E">
            <w:pPr>
              <w:spacing w:after="0" w:line="240" w:lineRule="auto"/>
              <w:jc w:val="left"/>
              <w:rPr>
                <w:sz w:val="22"/>
                <w:szCs w:val="22"/>
              </w:rPr>
            </w:pPr>
            <w:r>
              <w:rPr>
                <w:sz w:val="22"/>
                <w:szCs w:val="22"/>
              </w:rPr>
              <w:t>Subdodávky zakázek</w:t>
            </w:r>
            <w:r w:rsidR="0029528E" w:rsidRPr="0029528E">
              <w:rPr>
                <w:sz w:val="22"/>
                <w:szCs w:val="22"/>
              </w:rPr>
              <w:t xml:space="preserve"> a terénu</w:t>
            </w:r>
          </w:p>
        </w:tc>
        <w:tc>
          <w:tcPr>
            <w:tcW w:w="1021" w:type="dxa"/>
            <w:tcBorders>
              <w:top w:val="single" w:sz="8" w:space="0" w:color="7F7F7F" w:themeColor="text1" w:themeTint="80"/>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29528E" w:rsidRPr="0029528E" w:rsidRDefault="00135C6E" w:rsidP="0029528E">
            <w:pPr>
              <w:spacing w:after="0" w:line="240" w:lineRule="auto"/>
              <w:jc w:val="right"/>
              <w:rPr>
                <w:sz w:val="22"/>
                <w:szCs w:val="22"/>
              </w:rPr>
            </w:pPr>
            <w:r>
              <w:rPr>
                <w:sz w:val="22"/>
                <w:szCs w:val="22"/>
              </w:rPr>
              <w:t>9 889</w:t>
            </w:r>
          </w:p>
        </w:tc>
        <w:tc>
          <w:tcPr>
            <w:tcW w:w="851" w:type="dxa"/>
            <w:tcBorders>
              <w:top w:val="single" w:sz="8" w:space="0" w:color="7F7F7F" w:themeColor="text1" w:themeTint="80"/>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29528E" w:rsidRPr="0029528E" w:rsidRDefault="00135C6E" w:rsidP="0029528E">
            <w:pPr>
              <w:spacing w:after="0" w:line="240" w:lineRule="auto"/>
              <w:jc w:val="right"/>
              <w:rPr>
                <w:sz w:val="22"/>
                <w:szCs w:val="22"/>
              </w:rPr>
            </w:pPr>
            <w:r>
              <w:rPr>
                <w:sz w:val="22"/>
                <w:szCs w:val="22"/>
              </w:rPr>
              <w:t>43,0</w:t>
            </w:r>
            <w:r w:rsidR="0029528E" w:rsidRPr="0029528E">
              <w:rPr>
                <w:sz w:val="22"/>
                <w:szCs w:val="22"/>
              </w:rPr>
              <w:t>%</w:t>
            </w:r>
          </w:p>
        </w:tc>
      </w:tr>
      <w:tr w:rsidR="0029528E" w:rsidRPr="0029528E" w:rsidTr="000E062F">
        <w:trPr>
          <w:trHeight w:val="282"/>
        </w:trPr>
        <w:tc>
          <w:tcPr>
            <w:tcW w:w="3119" w:type="dxa"/>
            <w:tcBorders>
              <w:top w:val="single" w:sz="6" w:space="0" w:color="D9D9D9" w:themeColor="background1" w:themeShade="D9"/>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bottom"/>
            <w:hideMark/>
          </w:tcPr>
          <w:p w:rsidR="0029528E" w:rsidRPr="0029528E" w:rsidRDefault="0029528E" w:rsidP="0029528E">
            <w:pPr>
              <w:spacing w:after="0" w:line="240" w:lineRule="auto"/>
              <w:jc w:val="left"/>
              <w:rPr>
                <w:sz w:val="22"/>
                <w:szCs w:val="22"/>
              </w:rPr>
            </w:pPr>
            <w:r w:rsidRPr="0029528E">
              <w:rPr>
                <w:sz w:val="22"/>
                <w:szCs w:val="22"/>
              </w:rPr>
              <w:t>Odměny a cestovné tazatelů</w:t>
            </w:r>
          </w:p>
        </w:tc>
        <w:tc>
          <w:tcPr>
            <w:tcW w:w="1021"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29528E" w:rsidRPr="0029528E" w:rsidRDefault="00135C6E" w:rsidP="0029528E">
            <w:pPr>
              <w:spacing w:after="0" w:line="240" w:lineRule="auto"/>
              <w:jc w:val="right"/>
              <w:rPr>
                <w:sz w:val="22"/>
                <w:szCs w:val="22"/>
              </w:rPr>
            </w:pPr>
            <w:r>
              <w:rPr>
                <w:sz w:val="22"/>
                <w:szCs w:val="22"/>
              </w:rPr>
              <w:t>8 523</w:t>
            </w:r>
          </w:p>
        </w:tc>
        <w:tc>
          <w:tcPr>
            <w:tcW w:w="851"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29528E" w:rsidRPr="0029528E" w:rsidRDefault="00135C6E" w:rsidP="0029528E">
            <w:pPr>
              <w:spacing w:after="0" w:line="240" w:lineRule="auto"/>
              <w:jc w:val="right"/>
              <w:rPr>
                <w:sz w:val="22"/>
                <w:szCs w:val="22"/>
              </w:rPr>
            </w:pPr>
            <w:r>
              <w:rPr>
                <w:sz w:val="22"/>
                <w:szCs w:val="22"/>
              </w:rPr>
              <w:t>37,1</w:t>
            </w:r>
            <w:r w:rsidR="0029528E" w:rsidRPr="0029528E">
              <w:rPr>
                <w:sz w:val="22"/>
                <w:szCs w:val="22"/>
              </w:rPr>
              <w:t>%</w:t>
            </w:r>
          </w:p>
        </w:tc>
      </w:tr>
      <w:tr w:rsidR="0029528E" w:rsidRPr="0029528E" w:rsidTr="000E062F">
        <w:trPr>
          <w:trHeight w:val="282"/>
        </w:trPr>
        <w:tc>
          <w:tcPr>
            <w:tcW w:w="3119" w:type="dxa"/>
            <w:tcBorders>
              <w:top w:val="single" w:sz="6" w:space="0" w:color="D9D9D9" w:themeColor="background1" w:themeShade="D9"/>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bottom"/>
            <w:hideMark/>
          </w:tcPr>
          <w:p w:rsidR="0029528E" w:rsidRPr="0029528E" w:rsidRDefault="0029528E" w:rsidP="0029528E">
            <w:pPr>
              <w:spacing w:after="0" w:line="240" w:lineRule="auto"/>
              <w:jc w:val="left"/>
              <w:rPr>
                <w:sz w:val="22"/>
                <w:szCs w:val="22"/>
              </w:rPr>
            </w:pPr>
            <w:r w:rsidRPr="0029528E">
              <w:rPr>
                <w:sz w:val="22"/>
                <w:szCs w:val="22"/>
              </w:rPr>
              <w:t>Odměny respondentů</w:t>
            </w:r>
          </w:p>
        </w:tc>
        <w:tc>
          <w:tcPr>
            <w:tcW w:w="1021"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29528E" w:rsidRPr="0029528E" w:rsidRDefault="00135C6E" w:rsidP="0029528E">
            <w:pPr>
              <w:spacing w:after="0" w:line="240" w:lineRule="auto"/>
              <w:jc w:val="right"/>
              <w:rPr>
                <w:sz w:val="22"/>
                <w:szCs w:val="22"/>
              </w:rPr>
            </w:pPr>
            <w:r>
              <w:rPr>
                <w:sz w:val="22"/>
                <w:szCs w:val="22"/>
              </w:rPr>
              <w:t>1 206</w:t>
            </w:r>
          </w:p>
        </w:tc>
        <w:tc>
          <w:tcPr>
            <w:tcW w:w="851"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29528E" w:rsidRPr="0029528E" w:rsidRDefault="00135C6E" w:rsidP="0029528E">
            <w:pPr>
              <w:spacing w:after="0" w:line="240" w:lineRule="auto"/>
              <w:jc w:val="right"/>
              <w:rPr>
                <w:sz w:val="22"/>
                <w:szCs w:val="22"/>
              </w:rPr>
            </w:pPr>
            <w:r>
              <w:rPr>
                <w:sz w:val="22"/>
                <w:szCs w:val="22"/>
              </w:rPr>
              <w:t>5,2</w:t>
            </w:r>
            <w:r w:rsidR="0029528E" w:rsidRPr="0029528E">
              <w:rPr>
                <w:sz w:val="22"/>
                <w:szCs w:val="22"/>
              </w:rPr>
              <w:t>%</w:t>
            </w:r>
          </w:p>
        </w:tc>
      </w:tr>
      <w:tr w:rsidR="0029528E" w:rsidRPr="0029528E" w:rsidTr="000E062F">
        <w:trPr>
          <w:trHeight w:val="282"/>
        </w:trPr>
        <w:tc>
          <w:tcPr>
            <w:tcW w:w="3119" w:type="dxa"/>
            <w:tcBorders>
              <w:top w:val="single" w:sz="6" w:space="0" w:color="D9D9D9" w:themeColor="background1" w:themeShade="D9"/>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bottom"/>
            <w:hideMark/>
          </w:tcPr>
          <w:p w:rsidR="0029528E" w:rsidRPr="0029528E" w:rsidRDefault="0029528E" w:rsidP="0029528E">
            <w:pPr>
              <w:spacing w:after="0" w:line="240" w:lineRule="auto"/>
              <w:jc w:val="left"/>
              <w:rPr>
                <w:sz w:val="22"/>
                <w:szCs w:val="22"/>
              </w:rPr>
            </w:pPr>
            <w:r w:rsidRPr="0029528E">
              <w:rPr>
                <w:sz w:val="22"/>
                <w:szCs w:val="22"/>
              </w:rPr>
              <w:t>Zabezpečení sběru dat</w:t>
            </w:r>
          </w:p>
        </w:tc>
        <w:tc>
          <w:tcPr>
            <w:tcW w:w="1021"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29528E" w:rsidRPr="0029528E" w:rsidRDefault="0029528E" w:rsidP="00135C6E">
            <w:pPr>
              <w:spacing w:after="0" w:line="240" w:lineRule="auto"/>
              <w:jc w:val="right"/>
              <w:rPr>
                <w:sz w:val="22"/>
                <w:szCs w:val="22"/>
              </w:rPr>
            </w:pPr>
            <w:r w:rsidRPr="0029528E">
              <w:rPr>
                <w:sz w:val="22"/>
                <w:szCs w:val="22"/>
              </w:rPr>
              <w:t xml:space="preserve">1 </w:t>
            </w:r>
            <w:r w:rsidR="00135C6E">
              <w:rPr>
                <w:sz w:val="22"/>
                <w:szCs w:val="22"/>
              </w:rPr>
              <w:t>152</w:t>
            </w:r>
          </w:p>
        </w:tc>
        <w:tc>
          <w:tcPr>
            <w:tcW w:w="851"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29528E" w:rsidRPr="0029528E" w:rsidRDefault="0029528E" w:rsidP="00135C6E">
            <w:pPr>
              <w:spacing w:after="0" w:line="240" w:lineRule="auto"/>
              <w:jc w:val="right"/>
              <w:rPr>
                <w:sz w:val="22"/>
                <w:szCs w:val="22"/>
              </w:rPr>
            </w:pPr>
            <w:r w:rsidRPr="0029528E">
              <w:rPr>
                <w:sz w:val="22"/>
                <w:szCs w:val="22"/>
              </w:rPr>
              <w:t>5,</w:t>
            </w:r>
            <w:r w:rsidR="00135C6E">
              <w:rPr>
                <w:sz w:val="22"/>
                <w:szCs w:val="22"/>
              </w:rPr>
              <w:t>0</w:t>
            </w:r>
            <w:r w:rsidRPr="0029528E">
              <w:rPr>
                <w:sz w:val="22"/>
                <w:szCs w:val="22"/>
              </w:rPr>
              <w:t>%</w:t>
            </w:r>
          </w:p>
        </w:tc>
      </w:tr>
      <w:tr w:rsidR="0029528E" w:rsidRPr="0029528E" w:rsidTr="000E062F">
        <w:trPr>
          <w:trHeight w:val="282"/>
        </w:trPr>
        <w:tc>
          <w:tcPr>
            <w:tcW w:w="3119" w:type="dxa"/>
            <w:tcBorders>
              <w:top w:val="single" w:sz="6" w:space="0" w:color="D9D9D9" w:themeColor="background1" w:themeShade="D9"/>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bottom"/>
            <w:hideMark/>
          </w:tcPr>
          <w:p w:rsidR="0029528E" w:rsidRPr="0029528E" w:rsidRDefault="0029528E" w:rsidP="00135C6E">
            <w:pPr>
              <w:spacing w:after="0" w:line="240" w:lineRule="auto"/>
              <w:jc w:val="left"/>
              <w:rPr>
                <w:sz w:val="22"/>
                <w:szCs w:val="22"/>
              </w:rPr>
            </w:pPr>
            <w:r w:rsidRPr="0029528E">
              <w:rPr>
                <w:sz w:val="22"/>
                <w:szCs w:val="22"/>
              </w:rPr>
              <w:t>Práce na zak</w:t>
            </w:r>
            <w:r w:rsidR="00135C6E">
              <w:rPr>
                <w:sz w:val="22"/>
                <w:szCs w:val="22"/>
              </w:rPr>
              <w:t>., poradenství</w:t>
            </w:r>
          </w:p>
        </w:tc>
        <w:tc>
          <w:tcPr>
            <w:tcW w:w="1021"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29528E" w:rsidRPr="0029528E" w:rsidRDefault="0029528E" w:rsidP="00135C6E">
            <w:pPr>
              <w:spacing w:after="0" w:line="240" w:lineRule="auto"/>
              <w:jc w:val="right"/>
              <w:rPr>
                <w:sz w:val="22"/>
                <w:szCs w:val="22"/>
              </w:rPr>
            </w:pPr>
            <w:r w:rsidRPr="0029528E">
              <w:rPr>
                <w:sz w:val="22"/>
                <w:szCs w:val="22"/>
              </w:rPr>
              <w:t xml:space="preserve">1 </w:t>
            </w:r>
            <w:r w:rsidR="00135C6E">
              <w:rPr>
                <w:sz w:val="22"/>
                <w:szCs w:val="22"/>
              </w:rPr>
              <w:t>056</w:t>
            </w:r>
          </w:p>
        </w:tc>
        <w:tc>
          <w:tcPr>
            <w:tcW w:w="851"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29528E" w:rsidRPr="0029528E" w:rsidRDefault="00135C6E" w:rsidP="0029528E">
            <w:pPr>
              <w:spacing w:after="0" w:line="240" w:lineRule="auto"/>
              <w:jc w:val="right"/>
              <w:rPr>
                <w:sz w:val="22"/>
                <w:szCs w:val="22"/>
              </w:rPr>
            </w:pPr>
            <w:r>
              <w:rPr>
                <w:sz w:val="22"/>
                <w:szCs w:val="22"/>
              </w:rPr>
              <w:t>4,6</w:t>
            </w:r>
            <w:r w:rsidR="0029528E" w:rsidRPr="0029528E">
              <w:rPr>
                <w:sz w:val="22"/>
                <w:szCs w:val="22"/>
              </w:rPr>
              <w:t>%</w:t>
            </w:r>
          </w:p>
        </w:tc>
      </w:tr>
      <w:tr w:rsidR="0029528E" w:rsidRPr="0029528E" w:rsidTr="000E062F">
        <w:trPr>
          <w:trHeight w:val="282"/>
        </w:trPr>
        <w:tc>
          <w:tcPr>
            <w:tcW w:w="3119" w:type="dxa"/>
            <w:tcBorders>
              <w:top w:val="single" w:sz="6" w:space="0" w:color="D9D9D9" w:themeColor="background1" w:themeShade="D9"/>
              <w:left w:val="single" w:sz="8" w:space="0" w:color="7F7F7F" w:themeColor="text1" w:themeTint="80"/>
              <w:bottom w:val="single" w:sz="6" w:space="0" w:color="D9D9D9" w:themeColor="background1" w:themeShade="D9"/>
              <w:right w:val="single" w:sz="8" w:space="0" w:color="7F7F7F" w:themeColor="text1" w:themeTint="80"/>
            </w:tcBorders>
            <w:shd w:val="clear" w:color="auto" w:fill="auto"/>
            <w:noWrap/>
            <w:vAlign w:val="bottom"/>
            <w:hideMark/>
          </w:tcPr>
          <w:p w:rsidR="0029528E" w:rsidRPr="0029528E" w:rsidRDefault="0029528E" w:rsidP="0029528E">
            <w:pPr>
              <w:spacing w:after="0" w:line="240" w:lineRule="auto"/>
              <w:jc w:val="left"/>
              <w:rPr>
                <w:sz w:val="22"/>
                <w:szCs w:val="22"/>
              </w:rPr>
            </w:pPr>
            <w:r w:rsidRPr="0029528E">
              <w:rPr>
                <w:sz w:val="22"/>
                <w:szCs w:val="22"/>
              </w:rPr>
              <w:t>Zpracování dotazníků</w:t>
            </w:r>
          </w:p>
        </w:tc>
        <w:tc>
          <w:tcPr>
            <w:tcW w:w="1021" w:type="dxa"/>
            <w:tcBorders>
              <w:top w:val="single" w:sz="6" w:space="0" w:color="D9D9D9" w:themeColor="background1" w:themeShade="D9"/>
              <w:left w:val="single" w:sz="8" w:space="0" w:color="7F7F7F" w:themeColor="text1" w:themeTint="80"/>
              <w:bottom w:val="single" w:sz="6" w:space="0" w:color="D9D9D9" w:themeColor="background1" w:themeShade="D9"/>
              <w:right w:val="single" w:sz="6" w:space="0" w:color="D9D9D9" w:themeColor="background1" w:themeShade="D9"/>
            </w:tcBorders>
            <w:shd w:val="clear" w:color="auto" w:fill="auto"/>
            <w:noWrap/>
            <w:vAlign w:val="bottom"/>
            <w:hideMark/>
          </w:tcPr>
          <w:p w:rsidR="0029528E" w:rsidRPr="0029528E" w:rsidRDefault="00135C6E" w:rsidP="0029528E">
            <w:pPr>
              <w:spacing w:after="0" w:line="240" w:lineRule="auto"/>
              <w:jc w:val="right"/>
              <w:rPr>
                <w:sz w:val="22"/>
                <w:szCs w:val="22"/>
              </w:rPr>
            </w:pPr>
            <w:r>
              <w:rPr>
                <w:sz w:val="22"/>
                <w:szCs w:val="22"/>
              </w:rPr>
              <w:t>984</w:t>
            </w:r>
          </w:p>
        </w:tc>
        <w:tc>
          <w:tcPr>
            <w:tcW w:w="851"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8" w:space="0" w:color="7F7F7F" w:themeColor="text1" w:themeTint="80"/>
            </w:tcBorders>
            <w:shd w:val="clear" w:color="auto" w:fill="auto"/>
            <w:noWrap/>
            <w:vAlign w:val="bottom"/>
            <w:hideMark/>
          </w:tcPr>
          <w:p w:rsidR="0029528E" w:rsidRPr="0029528E" w:rsidRDefault="00135C6E" w:rsidP="0029528E">
            <w:pPr>
              <w:spacing w:after="0" w:line="240" w:lineRule="auto"/>
              <w:jc w:val="right"/>
              <w:rPr>
                <w:sz w:val="22"/>
                <w:szCs w:val="22"/>
              </w:rPr>
            </w:pPr>
            <w:r>
              <w:rPr>
                <w:sz w:val="22"/>
                <w:szCs w:val="22"/>
              </w:rPr>
              <w:t>4,3</w:t>
            </w:r>
            <w:r w:rsidR="0029528E" w:rsidRPr="0029528E">
              <w:rPr>
                <w:sz w:val="22"/>
                <w:szCs w:val="22"/>
              </w:rPr>
              <w:t>%</w:t>
            </w:r>
          </w:p>
        </w:tc>
      </w:tr>
      <w:tr w:rsidR="0029528E" w:rsidRPr="0029528E" w:rsidTr="000E062F">
        <w:trPr>
          <w:trHeight w:val="282"/>
        </w:trPr>
        <w:tc>
          <w:tcPr>
            <w:tcW w:w="3119" w:type="dxa"/>
            <w:tcBorders>
              <w:top w:val="single" w:sz="6" w:space="0" w:color="D9D9D9" w:themeColor="background1" w:themeShade="D9"/>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bottom"/>
            <w:hideMark/>
          </w:tcPr>
          <w:p w:rsidR="0029528E" w:rsidRPr="0029528E" w:rsidRDefault="0029528E" w:rsidP="0029528E">
            <w:pPr>
              <w:spacing w:after="0" w:line="240" w:lineRule="auto"/>
              <w:jc w:val="left"/>
              <w:rPr>
                <w:sz w:val="22"/>
                <w:szCs w:val="22"/>
              </w:rPr>
            </w:pPr>
            <w:r w:rsidRPr="0029528E">
              <w:rPr>
                <w:sz w:val="22"/>
                <w:szCs w:val="22"/>
              </w:rPr>
              <w:t>Cestovné zaměstnanců</w:t>
            </w:r>
          </w:p>
        </w:tc>
        <w:tc>
          <w:tcPr>
            <w:tcW w:w="1021" w:type="dxa"/>
            <w:tcBorders>
              <w:top w:val="single" w:sz="6" w:space="0" w:color="D9D9D9" w:themeColor="background1" w:themeShade="D9"/>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bottom"/>
            <w:hideMark/>
          </w:tcPr>
          <w:p w:rsidR="0029528E" w:rsidRPr="0029528E" w:rsidRDefault="0029528E" w:rsidP="0029528E">
            <w:pPr>
              <w:spacing w:after="0" w:line="240" w:lineRule="auto"/>
              <w:jc w:val="right"/>
              <w:rPr>
                <w:sz w:val="22"/>
                <w:szCs w:val="22"/>
              </w:rPr>
            </w:pPr>
            <w:r w:rsidRPr="0029528E">
              <w:rPr>
                <w:sz w:val="22"/>
                <w:szCs w:val="22"/>
              </w:rPr>
              <w:t>1</w:t>
            </w:r>
            <w:r w:rsidR="00135C6E">
              <w:rPr>
                <w:sz w:val="22"/>
                <w:szCs w:val="22"/>
              </w:rPr>
              <w:t>76</w:t>
            </w:r>
          </w:p>
        </w:tc>
        <w:tc>
          <w:tcPr>
            <w:tcW w:w="851" w:type="dxa"/>
            <w:tcBorders>
              <w:top w:val="single" w:sz="6" w:space="0" w:color="D9D9D9" w:themeColor="background1" w:themeShade="D9"/>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bottom"/>
            <w:hideMark/>
          </w:tcPr>
          <w:p w:rsidR="0029528E" w:rsidRPr="0029528E" w:rsidRDefault="0029528E" w:rsidP="0029528E">
            <w:pPr>
              <w:spacing w:after="0" w:line="240" w:lineRule="auto"/>
              <w:jc w:val="right"/>
              <w:rPr>
                <w:sz w:val="22"/>
                <w:szCs w:val="22"/>
              </w:rPr>
            </w:pPr>
            <w:r w:rsidRPr="0029528E">
              <w:rPr>
                <w:sz w:val="22"/>
                <w:szCs w:val="22"/>
              </w:rPr>
              <w:t>0,8%</w:t>
            </w:r>
          </w:p>
        </w:tc>
      </w:tr>
      <w:tr w:rsidR="0029528E" w:rsidRPr="0029528E" w:rsidTr="000E062F">
        <w:trPr>
          <w:trHeight w:val="282"/>
        </w:trPr>
        <w:tc>
          <w:tcPr>
            <w:tcW w:w="3119"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bottom"/>
            <w:hideMark/>
          </w:tcPr>
          <w:p w:rsidR="0029528E" w:rsidRPr="0029528E" w:rsidRDefault="0029528E" w:rsidP="0029528E">
            <w:pPr>
              <w:spacing w:after="0" w:line="240" w:lineRule="auto"/>
              <w:jc w:val="left"/>
              <w:rPr>
                <w:sz w:val="22"/>
                <w:szCs w:val="22"/>
              </w:rPr>
            </w:pPr>
            <w:r>
              <w:rPr>
                <w:sz w:val="22"/>
                <w:szCs w:val="22"/>
              </w:rPr>
              <w:t>PŘÍMÉ NÁKLADY CELKEM</w:t>
            </w:r>
          </w:p>
        </w:tc>
        <w:tc>
          <w:tcPr>
            <w:tcW w:w="1021" w:type="dxa"/>
            <w:tcBorders>
              <w:top w:val="single" w:sz="8" w:space="0" w:color="7F7F7F" w:themeColor="text1" w:themeTint="80"/>
              <w:left w:val="single" w:sz="8" w:space="0" w:color="7F7F7F" w:themeColor="text1" w:themeTint="80"/>
              <w:bottom w:val="single" w:sz="8" w:space="0" w:color="7F7F7F" w:themeColor="text1" w:themeTint="80"/>
              <w:right w:val="single" w:sz="6" w:space="0" w:color="D9D9D9" w:themeColor="background1" w:themeShade="D9"/>
            </w:tcBorders>
            <w:shd w:val="clear" w:color="auto" w:fill="auto"/>
            <w:noWrap/>
            <w:vAlign w:val="bottom"/>
            <w:hideMark/>
          </w:tcPr>
          <w:p w:rsidR="0029528E" w:rsidRPr="0029528E" w:rsidRDefault="0029528E" w:rsidP="0029528E">
            <w:pPr>
              <w:spacing w:after="0" w:line="240" w:lineRule="auto"/>
              <w:jc w:val="right"/>
              <w:rPr>
                <w:sz w:val="22"/>
                <w:szCs w:val="22"/>
              </w:rPr>
            </w:pPr>
            <w:r w:rsidRPr="0029528E">
              <w:rPr>
                <w:sz w:val="22"/>
                <w:szCs w:val="22"/>
              </w:rPr>
              <w:t>22 986</w:t>
            </w:r>
          </w:p>
        </w:tc>
        <w:tc>
          <w:tcPr>
            <w:tcW w:w="851" w:type="dxa"/>
            <w:tcBorders>
              <w:top w:val="single" w:sz="8" w:space="0" w:color="7F7F7F" w:themeColor="text1" w:themeTint="80"/>
              <w:left w:val="single" w:sz="6" w:space="0" w:color="D9D9D9" w:themeColor="background1" w:themeShade="D9"/>
              <w:bottom w:val="single" w:sz="8" w:space="0" w:color="7F7F7F" w:themeColor="text1" w:themeTint="80"/>
              <w:right w:val="single" w:sz="8" w:space="0" w:color="7F7F7F" w:themeColor="text1" w:themeTint="80"/>
            </w:tcBorders>
            <w:shd w:val="clear" w:color="auto" w:fill="auto"/>
            <w:noWrap/>
            <w:vAlign w:val="bottom"/>
            <w:hideMark/>
          </w:tcPr>
          <w:p w:rsidR="0029528E" w:rsidRPr="0029528E" w:rsidRDefault="0029528E" w:rsidP="0029528E">
            <w:pPr>
              <w:spacing w:after="0" w:line="240" w:lineRule="auto"/>
              <w:jc w:val="right"/>
              <w:rPr>
                <w:sz w:val="22"/>
                <w:szCs w:val="22"/>
              </w:rPr>
            </w:pPr>
            <w:r w:rsidRPr="0029528E">
              <w:rPr>
                <w:sz w:val="22"/>
                <w:szCs w:val="22"/>
              </w:rPr>
              <w:t>100,0%</w:t>
            </w:r>
          </w:p>
        </w:tc>
      </w:tr>
    </w:tbl>
    <w:p w:rsidR="001C22D0" w:rsidRPr="00227DDA" w:rsidRDefault="001C22D0" w:rsidP="001C22D0">
      <w:pPr>
        <w:spacing w:before="60"/>
        <w:rPr>
          <w:sz w:val="22"/>
          <w:szCs w:val="22"/>
        </w:rPr>
      </w:pPr>
      <w:r w:rsidRPr="00227DDA">
        <w:rPr>
          <w:sz w:val="22"/>
          <w:szCs w:val="22"/>
        </w:rPr>
        <w:t xml:space="preserve">Zdroj: </w:t>
      </w:r>
      <w:r>
        <w:rPr>
          <w:sz w:val="22"/>
          <w:szCs w:val="22"/>
        </w:rPr>
        <w:t xml:space="preserve">Interní výkazy </w:t>
      </w:r>
      <w:r w:rsidRPr="00227DDA">
        <w:rPr>
          <w:sz w:val="22"/>
          <w:szCs w:val="22"/>
        </w:rPr>
        <w:t xml:space="preserve">podniku (vlastní zpracování) </w:t>
      </w:r>
    </w:p>
    <w:p w:rsidR="00500517" w:rsidRPr="007F35FA" w:rsidRDefault="00A00BE8" w:rsidP="00500517">
      <w:r w:rsidRPr="00BD7829">
        <w:rPr>
          <w:b/>
        </w:rPr>
        <w:t>Osobní náklady</w:t>
      </w:r>
      <w:r>
        <w:t xml:space="preserve"> společnosti </w:t>
      </w:r>
      <w:r w:rsidR="00500517" w:rsidRPr="007F35FA">
        <w:t>představují mzdové náklady kmenových zaměstnanců, a to v členění na fixní a pohyblivou složku mzdy, odvody soc</w:t>
      </w:r>
      <w:r w:rsidR="009833C7">
        <w:t>iálního a zdravotního pojištění a</w:t>
      </w:r>
      <w:r w:rsidR="00500517" w:rsidRPr="007F35FA">
        <w:t xml:space="preserve"> úrazové pojištění, poskytované benefity, cestovní náhrady nepřipadající na zakázky</w:t>
      </w:r>
      <w:r w:rsidR="009833C7">
        <w:t xml:space="preserve"> a ostatní náklady jako jsou</w:t>
      </w:r>
      <w:r w:rsidR="00500517" w:rsidRPr="007F35FA">
        <w:t xml:space="preserve"> výdaje na školení, jazykové kurzy a náklady na vyhledávání </w:t>
      </w:r>
      <w:r w:rsidR="00500517" w:rsidRPr="007F35FA">
        <w:lastRenderedPageBreak/>
        <w:t xml:space="preserve">zaměstnanců při obsazování nových </w:t>
      </w:r>
      <w:r w:rsidR="009833C7">
        <w:t xml:space="preserve">pracovních </w:t>
      </w:r>
      <w:r w:rsidR="00500517" w:rsidRPr="007F35FA">
        <w:t xml:space="preserve">pozic. V úhrnu představují osobní náklady v uvedených letech cca 45 % z celkových nákladů. </w:t>
      </w:r>
    </w:p>
    <w:p w:rsidR="00500517" w:rsidRPr="007F35FA" w:rsidRDefault="00500517" w:rsidP="00500517">
      <w:r w:rsidRPr="00A16C33">
        <w:rPr>
          <w:b/>
        </w:rPr>
        <w:t>Režijní náklady</w:t>
      </w:r>
      <w:r w:rsidRPr="007F35FA">
        <w:t xml:space="preserve"> jsou poslední složk</w:t>
      </w:r>
      <w:r w:rsidR="00A16C33">
        <w:t>o</w:t>
      </w:r>
      <w:r w:rsidRPr="007F35FA">
        <w:t xml:space="preserve">u nákladů v interním účelovém členění, v uvedených letech jsou na </w:t>
      </w:r>
      <w:r w:rsidR="009833C7">
        <w:t>celkových nákladech zastoupeny 11</w:t>
      </w:r>
      <w:r w:rsidRPr="007F35FA">
        <w:t xml:space="preserve"> – 15 %. Režijní náklady jsou podle svého účelu dále členěny na kategorie provoz kanceláří, zahrnující nájemné kancelářských prostor a související služby, spotřebu energie, odpisy vybavení kanceláří, opravy, údržbu a pojištění prostor; dále na oblast IT a IS zahrnující leasing a odpisy výpočetní a komunikační techniky, jejich opravy a údržbu, náhradní díly, software a pojistné IT; dále pak spojové služby zahrnující poštovné, přepravné, telekomunikační služby a internet; náklady na služební vozy zahrnují jejich leasing a odpisy, opravy a údržbu, pojištění, silniční daň a poplatky; spotřebu materiálu zahrnující spotřebu kancelářských potřeb a dalšího spotřebního materiálu; marketingové náklady zahrnující výdaje na propagaci, akce pro klienty a zaměstnance; náklady na terén zahrnující materiály pro tazatele </w:t>
      </w:r>
      <w:r w:rsidR="00621D7B">
        <w:t xml:space="preserve">a výdaje na jejich získávání a </w:t>
      </w:r>
      <w:r w:rsidRPr="007F35FA">
        <w:t xml:space="preserve">školení; odborné poradenství zahrnující poradenské, právní, auditorské a překladatelské služby a členství a služby profesních organizací; další práci zahrnutou v administrativních službách; na finanční náklady tvořící bankovní poplatky a úroky z úvěrů a další nákladové položky. </w:t>
      </w:r>
    </w:p>
    <w:p w:rsidR="009646C8" w:rsidRPr="003269AF" w:rsidRDefault="009646C8" w:rsidP="00AD39AE">
      <w:pPr>
        <w:pStyle w:val="Nadpis3"/>
        <w:spacing w:before="720"/>
      </w:pPr>
      <w:bookmarkStart w:id="31" w:name="_Toc302476220"/>
      <w:r>
        <w:t>Kalkulační členění nákladů podniku</w:t>
      </w:r>
      <w:bookmarkEnd w:id="31"/>
      <w:r>
        <w:t xml:space="preserve"> </w:t>
      </w:r>
    </w:p>
    <w:p w:rsidR="009646C8" w:rsidRDefault="009646C8" w:rsidP="00561568">
      <w:r>
        <w:t xml:space="preserve">Pro účely kalkulace </w:t>
      </w:r>
      <w:r w:rsidR="00561568">
        <w:t>nákladů podnik člení náklady</w:t>
      </w:r>
      <w:r>
        <w:t xml:space="preserve"> na přímé </w:t>
      </w:r>
      <w:r w:rsidR="00561568">
        <w:t>a režijní náklady. P</w:t>
      </w:r>
      <w:r>
        <w:t xml:space="preserve">římé náklady v kalkulačním smyslu </w:t>
      </w:r>
      <w:r w:rsidR="00561568">
        <w:t>zahrnují</w:t>
      </w:r>
      <w:r>
        <w:t xml:space="preserve"> přím</w:t>
      </w:r>
      <w:r w:rsidR="00561568">
        <w:t>é</w:t>
      </w:r>
      <w:r>
        <w:t xml:space="preserve"> náklad</w:t>
      </w:r>
      <w:r w:rsidR="00561568">
        <w:t>y</w:t>
      </w:r>
      <w:r>
        <w:t xml:space="preserve"> v</w:t>
      </w:r>
      <w:r w:rsidR="00561568">
        <w:t> </w:t>
      </w:r>
      <w:r>
        <w:t>interní</w:t>
      </w:r>
      <w:r w:rsidR="00561568">
        <w:t xml:space="preserve">m účelovém členění a část režijních nákladů přiřazených přímo zakázce. </w:t>
      </w:r>
      <w:r w:rsidR="00FF709E">
        <w:t>V rámci kalkulace jsou r</w:t>
      </w:r>
      <w:r w:rsidR="00561568">
        <w:t xml:space="preserve">ežijní </w:t>
      </w:r>
      <w:r w:rsidR="00FF709E">
        <w:t xml:space="preserve">náklady </w:t>
      </w:r>
      <w:r w:rsidR="00561568">
        <w:t>přiřazovány jednotlivým</w:t>
      </w:r>
      <w:r>
        <w:t xml:space="preserve"> </w:t>
      </w:r>
      <w:r w:rsidR="00A00BE8">
        <w:t xml:space="preserve">zakázkám </w:t>
      </w:r>
      <w:r w:rsidR="00561568">
        <w:t xml:space="preserve">prostřednictvím ceny za práci – </w:t>
      </w:r>
      <w:r>
        <w:t xml:space="preserve">sazeb </w:t>
      </w:r>
      <w:r w:rsidR="00FF709E">
        <w:br/>
      </w:r>
      <w:r>
        <w:t xml:space="preserve">za práci zaměstnanců. </w:t>
      </w:r>
      <w:r w:rsidR="00FF709E">
        <w:t xml:space="preserve">U </w:t>
      </w:r>
      <w:r>
        <w:t xml:space="preserve">jednotlivých zakázek je pak </w:t>
      </w:r>
      <w:r w:rsidR="00561568">
        <w:t xml:space="preserve">efektivita </w:t>
      </w:r>
      <w:r>
        <w:t xml:space="preserve">vyhodnocována porovnáním </w:t>
      </w:r>
      <w:r w:rsidR="008F1CAA">
        <w:t>tržeb</w:t>
      </w:r>
      <w:r>
        <w:t xml:space="preserve"> s přímými náklady a cenou práce. Hospodárnost se sleduje srovnáním kalkulací nákladů s jejich skutečnou výší. </w:t>
      </w:r>
    </w:p>
    <w:p w:rsidR="009646C8" w:rsidRDefault="009646C8" w:rsidP="009646C8"/>
    <w:p w:rsidR="00CD6A5A" w:rsidRDefault="00CD6A5A" w:rsidP="00CD6A5A">
      <w:pPr>
        <w:pStyle w:val="Nadpis2"/>
        <w:ind w:left="578" w:hanging="578"/>
      </w:pPr>
      <w:bookmarkStart w:id="32" w:name="_Toc302476221"/>
      <w:r>
        <w:lastRenderedPageBreak/>
        <w:t>Kalkulace a kalkulační vzorec</w:t>
      </w:r>
      <w:bookmarkEnd w:id="32"/>
      <w:r>
        <w:t xml:space="preserve"> </w:t>
      </w:r>
    </w:p>
    <w:p w:rsidR="009646C8" w:rsidRPr="009646C8" w:rsidRDefault="009646C8" w:rsidP="009646C8">
      <w:pPr>
        <w:pStyle w:val="Nadpis3"/>
      </w:pPr>
      <w:bookmarkStart w:id="33" w:name="_Toc302476222"/>
      <w:r>
        <w:t>Kalkulace v podniku</w:t>
      </w:r>
      <w:bookmarkEnd w:id="33"/>
      <w:r>
        <w:t xml:space="preserve"> </w:t>
      </w:r>
    </w:p>
    <w:p w:rsidR="00783C6F" w:rsidRPr="00446336" w:rsidRDefault="00783C6F" w:rsidP="006D4D6C">
      <w:pPr>
        <w:spacing w:after="0"/>
      </w:pPr>
      <w:r w:rsidRPr="00446336">
        <w:t xml:space="preserve">Cílem kalkulací v podniku je zjištění nákladové náročnosti zakázky </w:t>
      </w:r>
      <w:r w:rsidR="006D4D6C" w:rsidRPr="00446336">
        <w:t>a</w:t>
      </w:r>
      <w:r w:rsidRPr="00446336">
        <w:t xml:space="preserve"> určení </w:t>
      </w:r>
      <w:r w:rsidRPr="000B591A">
        <w:t>její směrné</w:t>
      </w:r>
      <w:r w:rsidRPr="00446336">
        <w:t xml:space="preserve"> ceny</w:t>
      </w:r>
      <w:r w:rsidR="000B591A">
        <w:t xml:space="preserve"> jakožto výchozí informace pro stanovení nabídkové ceny</w:t>
      </w:r>
      <w:r w:rsidRPr="00446336">
        <w:t xml:space="preserve">. </w:t>
      </w:r>
      <w:r w:rsidR="00877223">
        <w:t>Jednotlivé zakázky jsou přitom nav</w:t>
      </w:r>
      <w:r w:rsidR="00015526">
        <w:t xml:space="preserve">rhovány zákazníkům „na míru“, </w:t>
      </w:r>
      <w:r w:rsidR="00877223">
        <w:t xml:space="preserve">proto </w:t>
      </w:r>
      <w:r w:rsidR="00015526">
        <w:t>s</w:t>
      </w:r>
      <w:r w:rsidR="00A16C33">
        <w:t>e i kalkulace nákladů zpracovávají</w:t>
      </w:r>
      <w:r w:rsidR="00015526">
        <w:t xml:space="preserve"> zvlášť </w:t>
      </w:r>
      <w:r w:rsidR="007A5BC0">
        <w:t>pro každou zakázku</w:t>
      </w:r>
      <w:r w:rsidR="00877223">
        <w:t xml:space="preserve">. </w:t>
      </w:r>
      <w:r w:rsidRPr="00446336">
        <w:t xml:space="preserve">Náklady na </w:t>
      </w:r>
      <w:r w:rsidR="006D4D6C" w:rsidRPr="00446336">
        <w:t xml:space="preserve">jednotlivé </w:t>
      </w:r>
      <w:r w:rsidRPr="00446336">
        <w:t>zakázky jsou závislé na</w:t>
      </w:r>
      <w:r w:rsidR="006D4D6C" w:rsidRPr="00446336">
        <w:t xml:space="preserve"> řadě faktorů, mezi něž patří</w:t>
      </w:r>
      <w:r w:rsidRPr="00446336">
        <w:t>:</w:t>
      </w:r>
      <w:r w:rsidR="006D4D6C" w:rsidRPr="00446336">
        <w:t xml:space="preserve"> </w:t>
      </w:r>
    </w:p>
    <w:p w:rsidR="006D4D6C" w:rsidRPr="00446336" w:rsidRDefault="006D4D6C" w:rsidP="005855A6">
      <w:pPr>
        <w:pStyle w:val="Odstavecseseznamem"/>
        <w:numPr>
          <w:ilvl w:val="0"/>
          <w:numId w:val="8"/>
        </w:numPr>
        <w:spacing w:line="360" w:lineRule="auto"/>
        <w:ind w:left="357" w:hanging="357"/>
      </w:pPr>
      <w:r w:rsidRPr="00446336">
        <w:t>problematika, kterou</w:t>
      </w:r>
      <w:r w:rsidR="00783C6F" w:rsidRPr="00446336">
        <w:t xml:space="preserve"> zákazník v danou chvíli řeší</w:t>
      </w:r>
      <w:r w:rsidRPr="00446336">
        <w:t xml:space="preserve"> a r</w:t>
      </w:r>
      <w:r w:rsidR="00975B7A">
        <w:t>ozsah dosavadních poznatků</w:t>
      </w:r>
      <w:r w:rsidRPr="00446336">
        <w:t xml:space="preserve"> a informací souvisejících s touto problematikou; </w:t>
      </w:r>
    </w:p>
    <w:p w:rsidR="00783C6F" w:rsidRPr="00446336" w:rsidRDefault="00783C6F" w:rsidP="005855A6">
      <w:pPr>
        <w:pStyle w:val="Odstavecseseznamem"/>
        <w:numPr>
          <w:ilvl w:val="0"/>
          <w:numId w:val="8"/>
        </w:numPr>
        <w:spacing w:line="360" w:lineRule="auto"/>
        <w:ind w:left="357" w:hanging="357"/>
      </w:pPr>
      <w:r w:rsidRPr="00446336">
        <w:t>obor a cílov</w:t>
      </w:r>
      <w:r w:rsidR="006D4D6C" w:rsidRPr="00446336">
        <w:t>á</w:t>
      </w:r>
      <w:r w:rsidRPr="00446336">
        <w:t xml:space="preserve"> skupin</w:t>
      </w:r>
      <w:r w:rsidR="006D4D6C" w:rsidRPr="00446336">
        <w:t>a</w:t>
      </w:r>
      <w:r w:rsidR="00A16C33">
        <w:t>, jí</w:t>
      </w:r>
      <w:r w:rsidRPr="00446336">
        <w:t xml:space="preserve">ž se zákazník zabývá; </w:t>
      </w:r>
    </w:p>
    <w:p w:rsidR="00783C6F" w:rsidRPr="00446336" w:rsidRDefault="006D4D6C" w:rsidP="005855A6">
      <w:pPr>
        <w:pStyle w:val="Odstavecseseznamem"/>
        <w:numPr>
          <w:ilvl w:val="0"/>
          <w:numId w:val="8"/>
        </w:numPr>
        <w:spacing w:line="360" w:lineRule="auto"/>
        <w:ind w:left="357" w:hanging="357"/>
      </w:pPr>
      <w:r w:rsidRPr="00446336">
        <w:t>použitá metodika,</w:t>
      </w:r>
      <w:r w:rsidR="00783C6F" w:rsidRPr="00446336">
        <w:t xml:space="preserve"> jež je vhodná pro </w:t>
      </w:r>
      <w:r w:rsidRPr="00446336">
        <w:t>získání dat</w:t>
      </w:r>
      <w:r w:rsidR="00783C6F" w:rsidRPr="00446336">
        <w:t xml:space="preserve">; </w:t>
      </w:r>
    </w:p>
    <w:p w:rsidR="00783C6F" w:rsidRPr="00446336" w:rsidRDefault="00783C6F" w:rsidP="005855A6">
      <w:pPr>
        <w:pStyle w:val="Odstavecseseznamem"/>
        <w:numPr>
          <w:ilvl w:val="0"/>
          <w:numId w:val="8"/>
        </w:numPr>
        <w:spacing w:line="360" w:lineRule="auto"/>
        <w:ind w:left="357" w:hanging="357"/>
      </w:pPr>
      <w:r w:rsidRPr="00446336">
        <w:t>velikos</w:t>
      </w:r>
      <w:r w:rsidR="006D4D6C" w:rsidRPr="00446336">
        <w:t>t</w:t>
      </w:r>
      <w:r w:rsidRPr="00446336">
        <w:t xml:space="preserve"> vzorku, který má být šetřen; </w:t>
      </w:r>
    </w:p>
    <w:p w:rsidR="006D4D6C" w:rsidRPr="00446336" w:rsidRDefault="006D4D6C" w:rsidP="005855A6">
      <w:pPr>
        <w:pStyle w:val="Odstavecseseznamem"/>
        <w:numPr>
          <w:ilvl w:val="0"/>
          <w:numId w:val="8"/>
        </w:numPr>
        <w:spacing w:line="360" w:lineRule="auto"/>
        <w:ind w:left="357" w:hanging="357"/>
      </w:pPr>
      <w:r w:rsidRPr="00446336">
        <w:t xml:space="preserve">náročnost statistických analýz, které budou použity při zpracování dat; </w:t>
      </w:r>
    </w:p>
    <w:p w:rsidR="006D4D6C" w:rsidRPr="00446336" w:rsidRDefault="006D4D6C" w:rsidP="005855A6">
      <w:pPr>
        <w:pStyle w:val="Odstavecseseznamem"/>
        <w:numPr>
          <w:ilvl w:val="0"/>
          <w:numId w:val="8"/>
        </w:numPr>
        <w:spacing w:line="360" w:lineRule="auto"/>
        <w:ind w:left="357" w:hanging="357"/>
      </w:pPr>
      <w:r w:rsidRPr="00446336">
        <w:t xml:space="preserve">rozsah poskytovaných služeb, které se pohybují od dodání dat po </w:t>
      </w:r>
      <w:r w:rsidR="00CB4A73" w:rsidRPr="00446336">
        <w:t>vypracování analýz</w:t>
      </w:r>
      <w:r w:rsidRPr="00446336">
        <w:t xml:space="preserve"> a doporučení. </w:t>
      </w:r>
    </w:p>
    <w:p w:rsidR="004757EF" w:rsidRDefault="009646C8" w:rsidP="00CD6A5A">
      <w:r w:rsidRPr="00446336">
        <w:t>Nabídka marketingového výzkumu včetně ka</w:t>
      </w:r>
      <w:r w:rsidR="00015526">
        <w:t xml:space="preserve">lkulace nákladů a ceny je </w:t>
      </w:r>
      <w:r w:rsidRPr="00446336">
        <w:t>vždy zpracová</w:t>
      </w:r>
      <w:r w:rsidR="00A16C33">
        <w:t>vá</w:t>
      </w:r>
      <w:r w:rsidRPr="00446336">
        <w:t xml:space="preserve">na </w:t>
      </w:r>
      <w:r w:rsidRPr="00AC208D">
        <w:rPr>
          <w:b/>
        </w:rPr>
        <w:t>individuálně</w:t>
      </w:r>
      <w:r w:rsidRPr="00446336">
        <w:t xml:space="preserve">. Kalkulace nákladů se zpravidla připravují v rámci každé nabídky </w:t>
      </w:r>
      <w:r w:rsidRPr="00AC208D">
        <w:rPr>
          <w:b/>
        </w:rPr>
        <w:t>ve více variantách</w:t>
      </w:r>
      <w:r w:rsidRPr="00446336">
        <w:t>, a to vždy na úrovni dílčí</w:t>
      </w:r>
      <w:r w:rsidR="00A16C33">
        <w:t>ch částí</w:t>
      </w:r>
      <w:r w:rsidRPr="00446336">
        <w:t xml:space="preserve"> </w:t>
      </w:r>
      <w:r w:rsidR="00A16C33">
        <w:t xml:space="preserve">budoucí </w:t>
      </w:r>
      <w:r w:rsidRPr="00446336">
        <w:t xml:space="preserve">zakázky, jež </w:t>
      </w:r>
      <w:r w:rsidR="00A16C33">
        <w:t>oddělují</w:t>
      </w:r>
      <w:r w:rsidRPr="00446336">
        <w:t xml:space="preserve"> různé metodiky sběru dat. Vybrané varianty pak představují podklad pro určení nabídkové ceny. </w:t>
      </w:r>
    </w:p>
    <w:p w:rsidR="005A6DCD" w:rsidRPr="00446336" w:rsidRDefault="004757EF" w:rsidP="00CD6A5A">
      <w:r>
        <w:t>Základní informace o nabídce jsou zadávány do interního systému pro řízení zakázek. V okamžiku přijetí nabídky klientem je v</w:t>
      </w:r>
      <w:r w:rsidR="005B2390">
        <w:t xml:space="preserve"> podnikovém </w:t>
      </w:r>
      <w:r>
        <w:t xml:space="preserve">intranetu založena zakázka a všechny její dílčí části – jednotlivé metodiky sběru dat. Na této úrovni </w:t>
      </w:r>
      <w:r w:rsidR="00C430D0">
        <w:t>se do systému zadává údaj o</w:t>
      </w:r>
      <w:r>
        <w:t xml:space="preserve"> sjednan</w:t>
      </w:r>
      <w:r w:rsidR="00C430D0">
        <w:t>é</w:t>
      </w:r>
      <w:r>
        <w:t xml:space="preserve"> smluvní cen</w:t>
      </w:r>
      <w:r w:rsidR="00C430D0">
        <w:t>ě</w:t>
      </w:r>
      <w:r>
        <w:t xml:space="preserve"> a </w:t>
      </w:r>
      <w:r w:rsidR="00C430D0">
        <w:t>základní</w:t>
      </w:r>
      <w:r>
        <w:t xml:space="preserve"> položk</w:t>
      </w:r>
      <w:r w:rsidR="00C430D0">
        <w:t>y z</w:t>
      </w:r>
      <w:r>
        <w:t xml:space="preserve"> kalkulace nabídkové ceny. </w:t>
      </w:r>
    </w:p>
    <w:p w:rsidR="00017266" w:rsidRPr="00446336" w:rsidRDefault="00CB4A73" w:rsidP="00CD6A5A">
      <w:r w:rsidRPr="00446336">
        <w:t>V rámci řešení zakázky jsou přímé náklady, tedy materiál, externí práce a služby přiřazovány dílčí části zakázky a pod příslušným kódem zaváděny do účetního systé</w:t>
      </w:r>
      <w:r w:rsidR="005B2390">
        <w:t>mu. Zaměstnanci si vedle toho v podnikovém intranet</w:t>
      </w:r>
      <w:r w:rsidRPr="00446336">
        <w:t xml:space="preserve">u vedou výkazy práce, v jejichž rámci je pracovní doba vykazována na režii oddělení, </w:t>
      </w:r>
      <w:r w:rsidR="00975B7A">
        <w:t xml:space="preserve">akviziční činnost a na </w:t>
      </w:r>
      <w:r w:rsidRPr="00446336">
        <w:t>jednotlivé nabídky nebo dílčí části zakázek. Spojením informací o př</w:t>
      </w:r>
      <w:r w:rsidR="00446336">
        <w:t>ímých nákladech a práci vykázané</w:t>
      </w:r>
      <w:r w:rsidRPr="00446336">
        <w:t xml:space="preserve"> na zakázku získává podnik výslednou kalkulaci. Tato zakázková vyúčtování </w:t>
      </w:r>
      <w:r w:rsidRPr="00446336">
        <w:lastRenderedPageBreak/>
        <w:t xml:space="preserve">jsou v interním systému dostupná jak za </w:t>
      </w:r>
      <w:r w:rsidR="00446336" w:rsidRPr="00446336">
        <w:t xml:space="preserve">zakázky, tak i jejich dílčí části. </w:t>
      </w:r>
      <w:r w:rsidR="004757EF">
        <w:t xml:space="preserve">Stejně tak je možné porovnání základních položek kalkulace </w:t>
      </w:r>
      <w:r w:rsidR="00C430D0">
        <w:t xml:space="preserve">nabídkové ceny se skutečně vykázanými náklady a </w:t>
      </w:r>
      <w:r w:rsidR="00F87040">
        <w:t>prací</w:t>
      </w:r>
      <w:r w:rsidR="00C430D0">
        <w:t xml:space="preserve">. </w:t>
      </w:r>
    </w:p>
    <w:p w:rsidR="00CB4A73" w:rsidRDefault="00CB4A73" w:rsidP="00AD39AE">
      <w:pPr>
        <w:pStyle w:val="Nadpis3"/>
        <w:spacing w:before="720"/>
      </w:pPr>
      <w:bookmarkStart w:id="34" w:name="_Toc302476223"/>
      <w:r>
        <w:t>Kalkulační vzorec podniku</w:t>
      </w:r>
      <w:bookmarkEnd w:id="34"/>
      <w:r>
        <w:t xml:space="preserve"> </w:t>
      </w:r>
    </w:p>
    <w:p w:rsidR="000A36C9" w:rsidRDefault="00446336" w:rsidP="00CD6A5A">
      <w:r>
        <w:t xml:space="preserve">Kalkulování nákladů a ceny </w:t>
      </w:r>
      <w:r w:rsidR="00684E3E">
        <w:t xml:space="preserve">se </w:t>
      </w:r>
      <w:r>
        <w:t xml:space="preserve">v okamžiku </w:t>
      </w:r>
      <w:r w:rsidR="00684E3E">
        <w:t>zpracování nabídky</w:t>
      </w:r>
      <w:r>
        <w:t xml:space="preserve"> provádí v</w:t>
      </w:r>
      <w:r w:rsidR="00804245">
        <w:t xml:space="preserve"> jednotném </w:t>
      </w:r>
      <w:r w:rsidR="00B11C72">
        <w:t xml:space="preserve">podnikovém </w:t>
      </w:r>
      <w:r w:rsidRPr="00F43197">
        <w:rPr>
          <w:b/>
        </w:rPr>
        <w:t>kalkulačním formuláři</w:t>
      </w:r>
      <w:r>
        <w:t xml:space="preserve">, který </w:t>
      </w:r>
      <w:r w:rsidR="00684E3E">
        <w:t>zaručuje</w:t>
      </w:r>
      <w:r>
        <w:t xml:space="preserve"> </w:t>
      </w:r>
      <w:r w:rsidR="002E2A96">
        <w:t xml:space="preserve">dodržení </w:t>
      </w:r>
      <w:r w:rsidR="00B82B24">
        <w:t>stanoveného</w:t>
      </w:r>
      <w:r w:rsidR="002E2A96">
        <w:t xml:space="preserve"> </w:t>
      </w:r>
      <w:r>
        <w:t xml:space="preserve">kalkulačního </w:t>
      </w:r>
      <w:r w:rsidR="00535B69">
        <w:t>vzorc</w:t>
      </w:r>
      <w:r w:rsidR="0066644E">
        <w:t>e, viz obrázek č. 4</w:t>
      </w:r>
      <w:r w:rsidR="00535B69">
        <w:t xml:space="preserve">. </w:t>
      </w:r>
      <w:r w:rsidR="002E2A96">
        <w:t xml:space="preserve">Kalkulační formulář je </w:t>
      </w:r>
      <w:r w:rsidR="00693E27">
        <w:t xml:space="preserve">zpracován </w:t>
      </w:r>
      <w:r w:rsidR="002E2A96">
        <w:t xml:space="preserve">v podobě šablony programu MS Excel. </w:t>
      </w:r>
    </w:p>
    <w:p w:rsidR="00F04BE5" w:rsidRPr="007D58CE" w:rsidRDefault="00F04BE5" w:rsidP="00F04BE5">
      <w:pPr>
        <w:pStyle w:val="Titulek"/>
        <w:keepNext/>
        <w:spacing w:before="120" w:after="120"/>
        <w:rPr>
          <w:b w:val="0"/>
          <w:color w:val="auto"/>
          <w:sz w:val="22"/>
          <w:szCs w:val="22"/>
        </w:rPr>
      </w:pPr>
      <w:r w:rsidRPr="007D58CE">
        <w:rPr>
          <w:b w:val="0"/>
          <w:color w:val="auto"/>
          <w:sz w:val="22"/>
          <w:szCs w:val="22"/>
        </w:rPr>
        <w:t xml:space="preserve">Obrázek </w:t>
      </w:r>
      <w:r>
        <w:rPr>
          <w:b w:val="0"/>
          <w:color w:val="auto"/>
          <w:sz w:val="22"/>
          <w:szCs w:val="22"/>
        </w:rPr>
        <w:t>4</w:t>
      </w:r>
      <w:r w:rsidRPr="007D58CE">
        <w:rPr>
          <w:b w:val="0"/>
          <w:color w:val="auto"/>
          <w:sz w:val="22"/>
          <w:szCs w:val="22"/>
        </w:rPr>
        <w:t xml:space="preserve"> </w:t>
      </w:r>
      <w:r>
        <w:rPr>
          <w:b w:val="0"/>
          <w:color w:val="auto"/>
          <w:sz w:val="22"/>
          <w:szCs w:val="22"/>
        </w:rPr>
        <w:t>Podnikový</w:t>
      </w:r>
      <w:r w:rsidRPr="007D58CE">
        <w:rPr>
          <w:b w:val="0"/>
          <w:color w:val="auto"/>
          <w:sz w:val="22"/>
          <w:szCs w:val="22"/>
        </w:rPr>
        <w:t xml:space="preserve"> kalkulační vzorec</w:t>
      </w:r>
      <w:r>
        <w:rPr>
          <w:b w:val="0"/>
          <w:color w:val="auto"/>
          <w:sz w:val="22"/>
          <w:szCs w:val="22"/>
        </w:rPr>
        <w:t xml:space="preserve"> </w:t>
      </w:r>
    </w:p>
    <w:tbl>
      <w:tblPr>
        <w:tblStyle w:val="Mkatabulky"/>
        <w:tblW w:w="4253" w:type="dxa"/>
        <w:tblInd w:w="10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none" w:sz="0" w:space="0" w:color="auto"/>
        </w:tblBorders>
        <w:tblLook w:val="04A0"/>
      </w:tblPr>
      <w:tblGrid>
        <w:gridCol w:w="425"/>
        <w:gridCol w:w="3828"/>
      </w:tblGrid>
      <w:tr w:rsidR="00F04BE5" w:rsidRPr="000B1A6C" w:rsidTr="00564B83">
        <w:tc>
          <w:tcPr>
            <w:tcW w:w="425" w:type="dxa"/>
            <w:vAlign w:val="center"/>
          </w:tcPr>
          <w:p w:rsidR="00F04BE5" w:rsidRPr="007A49EC" w:rsidRDefault="00F04BE5" w:rsidP="00BC58B8">
            <w:pPr>
              <w:spacing w:after="0" w:line="300" w:lineRule="auto"/>
              <w:rPr>
                <w:rFonts w:ascii="Times New Roman" w:hAnsi="Times New Roman"/>
              </w:rPr>
            </w:pPr>
            <w:r w:rsidRPr="007A49EC">
              <w:rPr>
                <w:rFonts w:ascii="Times New Roman" w:hAnsi="Times New Roman"/>
                <w:b/>
              </w:rPr>
              <w:t>1.</w:t>
            </w:r>
          </w:p>
          <w:p w:rsidR="00F04BE5" w:rsidRPr="007A49EC" w:rsidRDefault="00F04BE5" w:rsidP="00BC58B8">
            <w:pPr>
              <w:spacing w:after="0" w:line="300" w:lineRule="auto"/>
              <w:rPr>
                <w:rFonts w:ascii="Times New Roman" w:hAnsi="Times New Roman"/>
              </w:rPr>
            </w:pPr>
          </w:p>
          <w:p w:rsidR="00F04BE5" w:rsidRPr="007A49EC" w:rsidRDefault="00F04BE5" w:rsidP="00BC58B8">
            <w:pPr>
              <w:spacing w:after="0" w:line="300" w:lineRule="auto"/>
              <w:rPr>
                <w:rFonts w:ascii="Times New Roman" w:hAnsi="Times New Roman"/>
              </w:rPr>
            </w:pPr>
          </w:p>
          <w:p w:rsidR="00F04BE5" w:rsidRPr="007A49EC" w:rsidRDefault="00F04BE5" w:rsidP="00BC58B8">
            <w:pPr>
              <w:spacing w:after="0" w:line="300" w:lineRule="auto"/>
              <w:rPr>
                <w:rFonts w:ascii="Times New Roman" w:hAnsi="Times New Roman"/>
              </w:rPr>
            </w:pPr>
          </w:p>
        </w:tc>
        <w:tc>
          <w:tcPr>
            <w:tcW w:w="3828" w:type="dxa"/>
            <w:vAlign w:val="center"/>
          </w:tcPr>
          <w:p w:rsidR="00F04BE5" w:rsidRDefault="00F04BE5" w:rsidP="00BC58B8">
            <w:pPr>
              <w:spacing w:after="0" w:line="300" w:lineRule="auto"/>
              <w:rPr>
                <w:rFonts w:ascii="Times New Roman" w:hAnsi="Times New Roman"/>
                <w:b/>
              </w:rPr>
            </w:pPr>
            <w:r w:rsidRPr="00554C82">
              <w:rPr>
                <w:rFonts w:ascii="Times New Roman" w:hAnsi="Times New Roman"/>
                <w:b/>
              </w:rPr>
              <w:t>Přímé náklady</w:t>
            </w:r>
            <w:r>
              <w:rPr>
                <w:rFonts w:ascii="Times New Roman" w:hAnsi="Times New Roman"/>
                <w:b/>
              </w:rPr>
              <w:t>:</w:t>
            </w:r>
            <w:r w:rsidRPr="00554C82">
              <w:rPr>
                <w:rFonts w:ascii="Times New Roman" w:hAnsi="Times New Roman"/>
                <w:b/>
              </w:rPr>
              <w:t xml:space="preserve"> </w:t>
            </w:r>
          </w:p>
          <w:p w:rsidR="00F04BE5" w:rsidRDefault="00F04BE5" w:rsidP="00BC58B8">
            <w:pPr>
              <w:spacing w:after="0" w:line="300" w:lineRule="auto"/>
              <w:rPr>
                <w:rFonts w:ascii="Times New Roman" w:hAnsi="Times New Roman"/>
              </w:rPr>
            </w:pPr>
            <w:r>
              <w:rPr>
                <w:rFonts w:ascii="Times New Roman" w:hAnsi="Times New Roman"/>
              </w:rPr>
              <w:t xml:space="preserve">Subdodávky </w:t>
            </w:r>
          </w:p>
          <w:p w:rsidR="00F04BE5" w:rsidRPr="000B1A6C" w:rsidRDefault="00CB239F" w:rsidP="00BC58B8">
            <w:pPr>
              <w:spacing w:after="0" w:line="300" w:lineRule="auto"/>
              <w:rPr>
                <w:rFonts w:ascii="Times New Roman" w:hAnsi="Times New Roman"/>
              </w:rPr>
            </w:pPr>
            <w:r>
              <w:rPr>
                <w:rFonts w:ascii="Times New Roman" w:hAnsi="Times New Roman"/>
              </w:rPr>
              <w:t>Přímé</w:t>
            </w:r>
            <w:r w:rsidR="00F04BE5">
              <w:rPr>
                <w:rFonts w:ascii="Times New Roman" w:hAnsi="Times New Roman"/>
              </w:rPr>
              <w:t xml:space="preserve"> </w:t>
            </w:r>
            <w:r>
              <w:rPr>
                <w:rFonts w:ascii="Times New Roman" w:hAnsi="Times New Roman"/>
              </w:rPr>
              <w:t>mzdy externistů</w:t>
            </w:r>
            <w:r w:rsidR="00F04BE5">
              <w:rPr>
                <w:rFonts w:ascii="Times New Roman" w:hAnsi="Times New Roman"/>
              </w:rPr>
              <w:t>, služby a materiál</w:t>
            </w:r>
            <w:r w:rsidR="00F04BE5" w:rsidRPr="000B1A6C">
              <w:rPr>
                <w:rFonts w:ascii="Times New Roman" w:hAnsi="Times New Roman"/>
              </w:rPr>
              <w:t xml:space="preserve"> </w:t>
            </w:r>
          </w:p>
          <w:p w:rsidR="00F04BE5" w:rsidRPr="000B1A6C" w:rsidRDefault="00F04BE5" w:rsidP="00BC58B8">
            <w:pPr>
              <w:spacing w:after="0" w:line="300" w:lineRule="auto"/>
              <w:rPr>
                <w:rFonts w:ascii="Times New Roman" w:hAnsi="Times New Roman"/>
              </w:rPr>
            </w:pPr>
            <w:r w:rsidRPr="000B1A6C">
              <w:rPr>
                <w:rFonts w:ascii="Times New Roman" w:hAnsi="Times New Roman"/>
              </w:rPr>
              <w:t xml:space="preserve">Ostatní </w:t>
            </w:r>
            <w:r>
              <w:rPr>
                <w:rFonts w:ascii="Times New Roman" w:hAnsi="Times New Roman"/>
              </w:rPr>
              <w:t>přímé</w:t>
            </w:r>
            <w:r w:rsidRPr="000B1A6C">
              <w:rPr>
                <w:rFonts w:ascii="Times New Roman" w:hAnsi="Times New Roman"/>
              </w:rPr>
              <w:t xml:space="preserve"> náklady </w:t>
            </w:r>
          </w:p>
        </w:tc>
      </w:tr>
      <w:tr w:rsidR="001B5776" w:rsidRPr="007A49EC" w:rsidTr="00A42277">
        <w:tc>
          <w:tcPr>
            <w:tcW w:w="425" w:type="dxa"/>
            <w:vAlign w:val="center"/>
          </w:tcPr>
          <w:p w:rsidR="001B5776" w:rsidRPr="007A49EC" w:rsidRDefault="001B5776" w:rsidP="00A42277">
            <w:pPr>
              <w:spacing w:after="0" w:line="300" w:lineRule="auto"/>
              <w:rPr>
                <w:rFonts w:ascii="Times New Roman" w:hAnsi="Times New Roman"/>
                <w:b/>
              </w:rPr>
            </w:pPr>
            <w:r>
              <w:rPr>
                <w:rFonts w:ascii="Times New Roman" w:hAnsi="Times New Roman"/>
                <w:b/>
              </w:rPr>
              <w:t>2</w:t>
            </w:r>
            <w:r w:rsidRPr="007A49EC">
              <w:rPr>
                <w:rFonts w:ascii="Times New Roman" w:hAnsi="Times New Roman"/>
                <w:b/>
              </w:rPr>
              <w:t>.</w:t>
            </w:r>
          </w:p>
          <w:p w:rsidR="001B5776" w:rsidRPr="007A49EC" w:rsidRDefault="001B5776" w:rsidP="00A42277">
            <w:pPr>
              <w:spacing w:after="0" w:line="300" w:lineRule="auto"/>
              <w:rPr>
                <w:rFonts w:ascii="Times New Roman" w:hAnsi="Times New Roman"/>
              </w:rPr>
            </w:pPr>
          </w:p>
          <w:p w:rsidR="001B5776" w:rsidRPr="007A49EC" w:rsidRDefault="001B5776" w:rsidP="00A42277">
            <w:pPr>
              <w:spacing w:after="0" w:line="300" w:lineRule="auto"/>
              <w:rPr>
                <w:rFonts w:ascii="Times New Roman" w:hAnsi="Times New Roman"/>
              </w:rPr>
            </w:pPr>
          </w:p>
        </w:tc>
        <w:tc>
          <w:tcPr>
            <w:tcW w:w="3828" w:type="dxa"/>
            <w:vAlign w:val="center"/>
          </w:tcPr>
          <w:p w:rsidR="001B5776" w:rsidRPr="007A49EC" w:rsidRDefault="001B5776" w:rsidP="00A42277">
            <w:pPr>
              <w:spacing w:after="0" w:line="300" w:lineRule="auto"/>
              <w:rPr>
                <w:rFonts w:ascii="Times New Roman" w:hAnsi="Times New Roman"/>
                <w:b/>
              </w:rPr>
            </w:pPr>
            <w:r w:rsidRPr="007A49EC">
              <w:rPr>
                <w:rFonts w:ascii="Times New Roman" w:hAnsi="Times New Roman"/>
                <w:b/>
              </w:rPr>
              <w:t xml:space="preserve">Cena práce: </w:t>
            </w:r>
          </w:p>
          <w:p w:rsidR="001B5776" w:rsidRPr="007A49EC" w:rsidRDefault="001B5776" w:rsidP="00A42277">
            <w:pPr>
              <w:spacing w:after="0" w:line="300" w:lineRule="auto"/>
              <w:rPr>
                <w:rFonts w:ascii="Times New Roman" w:hAnsi="Times New Roman"/>
              </w:rPr>
            </w:pPr>
            <w:r>
              <w:rPr>
                <w:rFonts w:ascii="Times New Roman" w:hAnsi="Times New Roman"/>
              </w:rPr>
              <w:t>Přímá interní práce + p</w:t>
            </w:r>
            <w:r w:rsidRPr="007A49EC">
              <w:rPr>
                <w:rFonts w:ascii="Times New Roman" w:hAnsi="Times New Roman"/>
              </w:rPr>
              <w:t xml:space="preserve">odíl na </w:t>
            </w:r>
            <w:r>
              <w:rPr>
                <w:rFonts w:ascii="Times New Roman" w:hAnsi="Times New Roman"/>
              </w:rPr>
              <w:t>režii (režijních nákladech podniku)</w:t>
            </w:r>
            <w:r w:rsidRPr="007A49EC">
              <w:rPr>
                <w:rFonts w:ascii="Times New Roman" w:hAnsi="Times New Roman"/>
              </w:rPr>
              <w:t xml:space="preserve"> </w:t>
            </w:r>
          </w:p>
        </w:tc>
      </w:tr>
      <w:tr w:rsidR="00F04BE5" w:rsidRPr="000B1A6C" w:rsidTr="00564B83">
        <w:tc>
          <w:tcPr>
            <w:tcW w:w="425" w:type="dxa"/>
            <w:vAlign w:val="center"/>
          </w:tcPr>
          <w:p w:rsidR="00F04BE5" w:rsidRPr="007A49EC" w:rsidRDefault="001B5776" w:rsidP="00BC58B8">
            <w:pPr>
              <w:spacing w:after="0" w:line="300" w:lineRule="auto"/>
              <w:rPr>
                <w:rFonts w:ascii="Times New Roman" w:hAnsi="Times New Roman"/>
              </w:rPr>
            </w:pPr>
            <w:r>
              <w:rPr>
                <w:rFonts w:ascii="Times New Roman" w:hAnsi="Times New Roman"/>
                <w:b/>
              </w:rPr>
              <w:t>3</w:t>
            </w:r>
            <w:r w:rsidR="00F04BE5" w:rsidRPr="007A49EC">
              <w:rPr>
                <w:rFonts w:ascii="Times New Roman" w:hAnsi="Times New Roman"/>
                <w:b/>
              </w:rPr>
              <w:t>.</w:t>
            </w:r>
          </w:p>
          <w:p w:rsidR="00F04BE5" w:rsidRDefault="00F04BE5" w:rsidP="00BC58B8">
            <w:pPr>
              <w:spacing w:after="0" w:line="300" w:lineRule="auto"/>
              <w:rPr>
                <w:rFonts w:ascii="Times New Roman" w:hAnsi="Times New Roman"/>
              </w:rPr>
            </w:pPr>
          </w:p>
          <w:p w:rsidR="00F04BE5" w:rsidRPr="007A49EC" w:rsidRDefault="00F04BE5" w:rsidP="00BC58B8">
            <w:pPr>
              <w:spacing w:after="0" w:line="300" w:lineRule="auto"/>
              <w:rPr>
                <w:rFonts w:ascii="Times New Roman" w:hAnsi="Times New Roman"/>
              </w:rPr>
            </w:pPr>
          </w:p>
        </w:tc>
        <w:tc>
          <w:tcPr>
            <w:tcW w:w="3828" w:type="dxa"/>
            <w:vAlign w:val="center"/>
          </w:tcPr>
          <w:p w:rsidR="00F04BE5" w:rsidRPr="007A49EC" w:rsidRDefault="00F04BE5" w:rsidP="00BC58B8">
            <w:pPr>
              <w:spacing w:after="0" w:line="300" w:lineRule="auto"/>
              <w:rPr>
                <w:rFonts w:ascii="Times New Roman" w:hAnsi="Times New Roman"/>
                <w:b/>
              </w:rPr>
            </w:pPr>
            <w:r w:rsidRPr="007A49EC">
              <w:rPr>
                <w:rFonts w:ascii="Times New Roman" w:hAnsi="Times New Roman"/>
                <w:b/>
              </w:rPr>
              <w:t xml:space="preserve">Ostatní položky </w:t>
            </w:r>
          </w:p>
          <w:p w:rsidR="00F04BE5" w:rsidRDefault="00F04BE5" w:rsidP="00BC58B8">
            <w:pPr>
              <w:spacing w:after="0" w:line="300" w:lineRule="auto"/>
              <w:rPr>
                <w:rFonts w:ascii="Times New Roman" w:hAnsi="Times New Roman"/>
              </w:rPr>
            </w:pPr>
            <w:r>
              <w:rPr>
                <w:rFonts w:ascii="Times New Roman" w:hAnsi="Times New Roman"/>
              </w:rPr>
              <w:t>Poplatek za značková řešení</w:t>
            </w:r>
            <w:r w:rsidRPr="000B1A6C">
              <w:rPr>
                <w:rFonts w:ascii="Times New Roman" w:hAnsi="Times New Roman"/>
              </w:rPr>
              <w:t xml:space="preserve"> </w:t>
            </w:r>
          </w:p>
          <w:p w:rsidR="00F04BE5" w:rsidRPr="000B1A6C" w:rsidRDefault="00F04BE5" w:rsidP="00BC58B8">
            <w:pPr>
              <w:spacing w:after="0" w:line="300" w:lineRule="auto"/>
              <w:rPr>
                <w:rFonts w:ascii="Times New Roman" w:hAnsi="Times New Roman"/>
              </w:rPr>
            </w:pPr>
            <w:r>
              <w:rPr>
                <w:rFonts w:ascii="Times New Roman" w:hAnsi="Times New Roman"/>
              </w:rPr>
              <w:t xml:space="preserve">Provize skupinových zakázek </w:t>
            </w:r>
          </w:p>
        </w:tc>
      </w:tr>
      <w:tr w:rsidR="001B5776" w:rsidRPr="007A49EC" w:rsidTr="00A42277">
        <w:tc>
          <w:tcPr>
            <w:tcW w:w="425" w:type="dxa"/>
            <w:vAlign w:val="center"/>
          </w:tcPr>
          <w:p w:rsidR="001B5776" w:rsidRPr="007A49EC" w:rsidRDefault="001B5776" w:rsidP="00A42277">
            <w:pPr>
              <w:spacing w:after="0" w:line="300" w:lineRule="auto"/>
              <w:rPr>
                <w:rFonts w:ascii="Times New Roman" w:hAnsi="Times New Roman"/>
                <w:b/>
              </w:rPr>
            </w:pPr>
            <w:r>
              <w:rPr>
                <w:rFonts w:ascii="Times New Roman" w:hAnsi="Times New Roman"/>
                <w:b/>
              </w:rPr>
              <w:t>4</w:t>
            </w:r>
            <w:r w:rsidRPr="007A49EC">
              <w:rPr>
                <w:rFonts w:ascii="Times New Roman" w:hAnsi="Times New Roman"/>
                <w:b/>
              </w:rPr>
              <w:t>.</w:t>
            </w:r>
          </w:p>
          <w:p w:rsidR="001B5776" w:rsidRPr="007A49EC" w:rsidRDefault="001B5776" w:rsidP="00A42277">
            <w:pPr>
              <w:spacing w:after="0" w:line="300" w:lineRule="auto"/>
              <w:rPr>
                <w:rFonts w:ascii="Times New Roman" w:hAnsi="Times New Roman"/>
              </w:rPr>
            </w:pPr>
          </w:p>
          <w:p w:rsidR="001B5776" w:rsidRPr="007A49EC" w:rsidRDefault="001B5776" w:rsidP="00A42277">
            <w:pPr>
              <w:spacing w:after="0" w:line="300" w:lineRule="auto"/>
              <w:rPr>
                <w:rFonts w:ascii="Times New Roman" w:hAnsi="Times New Roman"/>
              </w:rPr>
            </w:pPr>
          </w:p>
        </w:tc>
        <w:tc>
          <w:tcPr>
            <w:tcW w:w="3828" w:type="dxa"/>
            <w:vAlign w:val="center"/>
          </w:tcPr>
          <w:p w:rsidR="001B5776" w:rsidRDefault="001B5776" w:rsidP="00A42277">
            <w:pPr>
              <w:spacing w:after="0" w:line="300" w:lineRule="auto"/>
              <w:rPr>
                <w:rFonts w:ascii="Times New Roman" w:hAnsi="Times New Roman"/>
                <w:b/>
              </w:rPr>
            </w:pPr>
            <w:r>
              <w:rPr>
                <w:rFonts w:ascii="Times New Roman" w:hAnsi="Times New Roman"/>
                <w:b/>
              </w:rPr>
              <w:t xml:space="preserve">Prodejní marže: </w:t>
            </w:r>
          </w:p>
          <w:p w:rsidR="001B5776" w:rsidRDefault="001B5776" w:rsidP="00A42277">
            <w:pPr>
              <w:spacing w:after="0" w:line="300" w:lineRule="auto"/>
              <w:rPr>
                <w:rFonts w:ascii="Times New Roman" w:hAnsi="Times New Roman"/>
              </w:rPr>
            </w:pPr>
            <w:r>
              <w:rPr>
                <w:rFonts w:ascii="Times New Roman" w:hAnsi="Times New Roman"/>
              </w:rPr>
              <w:t xml:space="preserve">Přirážka k subdodávkám </w:t>
            </w:r>
          </w:p>
          <w:p w:rsidR="001B5776" w:rsidRPr="007A49EC" w:rsidRDefault="001B5776" w:rsidP="00A42277">
            <w:pPr>
              <w:spacing w:after="0" w:line="300" w:lineRule="auto"/>
              <w:rPr>
                <w:rFonts w:ascii="Times New Roman" w:hAnsi="Times New Roman"/>
              </w:rPr>
            </w:pPr>
            <w:r w:rsidRPr="007A49EC">
              <w:rPr>
                <w:rFonts w:ascii="Times New Roman" w:hAnsi="Times New Roman"/>
              </w:rPr>
              <w:t xml:space="preserve">Přirážka k přímým nákladům </w:t>
            </w:r>
          </w:p>
        </w:tc>
      </w:tr>
      <w:tr w:rsidR="00F04BE5" w:rsidRPr="007A49EC" w:rsidTr="00564B83">
        <w:tc>
          <w:tcPr>
            <w:tcW w:w="425" w:type="dxa"/>
            <w:vAlign w:val="center"/>
          </w:tcPr>
          <w:p w:rsidR="00F04BE5" w:rsidRDefault="00F04BE5" w:rsidP="00BC58B8">
            <w:pPr>
              <w:spacing w:after="0" w:line="300" w:lineRule="auto"/>
              <w:rPr>
                <w:rFonts w:ascii="Times New Roman" w:hAnsi="Times New Roman"/>
                <w:b/>
              </w:rPr>
            </w:pPr>
            <w:r w:rsidRPr="007A49EC">
              <w:rPr>
                <w:rFonts w:ascii="Times New Roman" w:hAnsi="Times New Roman"/>
                <w:b/>
              </w:rPr>
              <w:t>5.</w:t>
            </w:r>
          </w:p>
          <w:p w:rsidR="00693E27" w:rsidRPr="007A49EC" w:rsidRDefault="00693E27" w:rsidP="00BC58B8">
            <w:pPr>
              <w:spacing w:after="0" w:line="300" w:lineRule="auto"/>
              <w:rPr>
                <w:rFonts w:ascii="Times New Roman" w:hAnsi="Times New Roman"/>
                <w:b/>
              </w:rPr>
            </w:pPr>
          </w:p>
        </w:tc>
        <w:tc>
          <w:tcPr>
            <w:tcW w:w="3828" w:type="dxa"/>
            <w:vAlign w:val="center"/>
          </w:tcPr>
          <w:p w:rsidR="00693E27" w:rsidRDefault="00693E27" w:rsidP="00693E27">
            <w:pPr>
              <w:spacing w:after="0" w:line="300" w:lineRule="auto"/>
              <w:rPr>
                <w:rFonts w:ascii="Times New Roman" w:hAnsi="Times New Roman"/>
                <w:b/>
              </w:rPr>
            </w:pPr>
            <w:r>
              <w:rPr>
                <w:rFonts w:ascii="Times New Roman" w:hAnsi="Times New Roman"/>
                <w:b/>
              </w:rPr>
              <w:t xml:space="preserve">Úpravy ceny </w:t>
            </w:r>
          </w:p>
          <w:p w:rsidR="00F04BE5" w:rsidRPr="00693E27" w:rsidRDefault="00693E27" w:rsidP="00693E27">
            <w:pPr>
              <w:spacing w:after="0" w:line="300" w:lineRule="auto"/>
              <w:rPr>
                <w:rFonts w:ascii="Times New Roman" w:hAnsi="Times New Roman"/>
              </w:rPr>
            </w:pPr>
            <w:r w:rsidRPr="00693E27">
              <w:rPr>
                <w:rFonts w:ascii="Times New Roman" w:hAnsi="Times New Roman"/>
              </w:rPr>
              <w:t>Sleva (-</w:t>
            </w:r>
            <w:r w:rsidR="003D1C60">
              <w:rPr>
                <w:rFonts w:ascii="Times New Roman" w:hAnsi="Times New Roman"/>
              </w:rPr>
              <w:t xml:space="preserve">) / </w:t>
            </w:r>
            <w:r w:rsidR="00F04BE5" w:rsidRPr="00693E27">
              <w:rPr>
                <w:rFonts w:ascii="Times New Roman" w:hAnsi="Times New Roman"/>
              </w:rPr>
              <w:t>Přirážka (</w:t>
            </w:r>
            <w:r w:rsidRPr="00693E27">
              <w:rPr>
                <w:rFonts w:ascii="Times New Roman" w:hAnsi="Times New Roman"/>
              </w:rPr>
              <w:t>+</w:t>
            </w:r>
            <w:r w:rsidR="00F04BE5" w:rsidRPr="00693E27">
              <w:rPr>
                <w:rFonts w:ascii="Times New Roman" w:hAnsi="Times New Roman"/>
              </w:rPr>
              <w:t>)</w:t>
            </w:r>
            <w:r w:rsidRPr="00693E27">
              <w:rPr>
                <w:rFonts w:ascii="Times New Roman" w:hAnsi="Times New Roman"/>
              </w:rPr>
              <w:t xml:space="preserve"> </w:t>
            </w:r>
          </w:p>
        </w:tc>
      </w:tr>
      <w:tr w:rsidR="00F04BE5" w:rsidRPr="007A49EC" w:rsidTr="00564B83">
        <w:tc>
          <w:tcPr>
            <w:tcW w:w="425" w:type="dxa"/>
            <w:vAlign w:val="center"/>
          </w:tcPr>
          <w:p w:rsidR="00F04BE5" w:rsidRPr="007A49EC" w:rsidRDefault="00F04BE5" w:rsidP="00BC58B8">
            <w:pPr>
              <w:spacing w:after="0" w:line="300" w:lineRule="auto"/>
              <w:rPr>
                <w:rFonts w:ascii="Times New Roman" w:hAnsi="Times New Roman"/>
                <w:b/>
              </w:rPr>
            </w:pPr>
            <w:r w:rsidRPr="007A49EC">
              <w:rPr>
                <w:rFonts w:ascii="Times New Roman" w:hAnsi="Times New Roman"/>
                <w:b/>
              </w:rPr>
              <w:t>=</w:t>
            </w:r>
          </w:p>
        </w:tc>
        <w:tc>
          <w:tcPr>
            <w:tcW w:w="3828" w:type="dxa"/>
            <w:vAlign w:val="center"/>
          </w:tcPr>
          <w:p w:rsidR="00F04BE5" w:rsidRPr="007A49EC" w:rsidRDefault="00F04BE5" w:rsidP="00BC58B8">
            <w:pPr>
              <w:spacing w:after="0" w:line="300" w:lineRule="auto"/>
              <w:rPr>
                <w:rFonts w:ascii="Times New Roman" w:hAnsi="Times New Roman"/>
                <w:b/>
              </w:rPr>
            </w:pPr>
            <w:r w:rsidRPr="007A49EC">
              <w:rPr>
                <w:rFonts w:ascii="Times New Roman" w:hAnsi="Times New Roman"/>
                <w:b/>
              </w:rPr>
              <w:t xml:space="preserve">Nabídková cena </w:t>
            </w:r>
          </w:p>
        </w:tc>
      </w:tr>
    </w:tbl>
    <w:p w:rsidR="00F04BE5" w:rsidRPr="007A49EC" w:rsidRDefault="00F04BE5" w:rsidP="00F04BE5">
      <w:pPr>
        <w:spacing w:before="60" w:line="240" w:lineRule="auto"/>
        <w:rPr>
          <w:sz w:val="22"/>
          <w:szCs w:val="22"/>
        </w:rPr>
      </w:pPr>
      <w:r w:rsidRPr="007A49EC">
        <w:rPr>
          <w:sz w:val="22"/>
          <w:szCs w:val="22"/>
        </w:rPr>
        <w:t xml:space="preserve">Zdroj: </w:t>
      </w:r>
      <w:r>
        <w:rPr>
          <w:sz w:val="22"/>
          <w:szCs w:val="22"/>
        </w:rPr>
        <w:t xml:space="preserve">Kalkulační schéma podniku </w:t>
      </w:r>
      <w:r w:rsidRPr="007A49EC">
        <w:rPr>
          <w:sz w:val="22"/>
          <w:szCs w:val="22"/>
        </w:rPr>
        <w:t xml:space="preserve">(vlastní zpracování) </w:t>
      </w:r>
    </w:p>
    <w:p w:rsidR="00B82B24" w:rsidRPr="00C430D0" w:rsidRDefault="00B82B24" w:rsidP="00B82B24">
      <w:r w:rsidRPr="00C430D0">
        <w:t xml:space="preserve">Podnik </w:t>
      </w:r>
      <w:r>
        <w:t xml:space="preserve">tedy </w:t>
      </w:r>
      <w:r w:rsidRPr="00C430D0">
        <w:t xml:space="preserve">pro propočet nákladů a ceny používá společný </w:t>
      </w:r>
      <w:r>
        <w:t>vzorec</w:t>
      </w:r>
      <w:r w:rsidR="005B2390">
        <w:t>, přičemž v rámci podnikovéh</w:t>
      </w:r>
      <w:r w:rsidRPr="00C430D0">
        <w:t>o intranetu se s</w:t>
      </w:r>
      <w:r>
        <w:t>ledují základní položky kalkulačního vzorce: přímé náklady, cena práce, ostatní položky</w:t>
      </w:r>
      <w:r w:rsidR="00D343E8">
        <w:t>,</w:t>
      </w:r>
      <w:r>
        <w:t xml:space="preserve"> </w:t>
      </w:r>
      <w:r w:rsidR="00D343E8">
        <w:t xml:space="preserve">prodejní marže </w:t>
      </w:r>
      <w:r>
        <w:t xml:space="preserve">a úpravy ceny. Součet položek přímých nákladů a ceny práce je v podniku sledován jakožto kalkulace nákladů, která se porovnává s výslednou kalkulací. </w:t>
      </w:r>
    </w:p>
    <w:p w:rsidR="00804245" w:rsidRDefault="00804245" w:rsidP="00804245">
      <w:r w:rsidRPr="00F43197">
        <w:rPr>
          <w:b/>
        </w:rPr>
        <w:lastRenderedPageBreak/>
        <w:t>Přímé náklady</w:t>
      </w:r>
      <w:r w:rsidRPr="00B11C72">
        <w:t xml:space="preserve"> představují veškeré služby, práce externích pracovníků a materiál </w:t>
      </w:r>
      <w:r w:rsidR="00C430D0">
        <w:t>představený</w:t>
      </w:r>
      <w:r w:rsidRPr="00B11C72">
        <w:t xml:space="preserve"> v </w:t>
      </w:r>
      <w:r>
        <w:t>sub</w:t>
      </w:r>
      <w:r w:rsidRPr="00B11C72">
        <w:t xml:space="preserve">kapitole </w:t>
      </w:r>
      <w:r>
        <w:t>3.2.3</w:t>
      </w:r>
      <w:r w:rsidRPr="002E2A96">
        <w:t>; příloha č. 1 pak</w:t>
      </w:r>
      <w:r>
        <w:t xml:space="preserve"> zobrazuje konkrétní položky</w:t>
      </w:r>
      <w:r w:rsidR="000425CB">
        <w:t xml:space="preserve"> z účtového rozvrhu</w:t>
      </w:r>
      <w:r>
        <w:t xml:space="preserve">, jež se na této úrovni kalkulují. </w:t>
      </w:r>
      <w:r w:rsidR="00693E27">
        <w:t xml:space="preserve">Vedle těchto </w:t>
      </w:r>
      <w:r w:rsidR="000425CB">
        <w:t xml:space="preserve">položek </w:t>
      </w:r>
      <w:r w:rsidR="00693E27">
        <w:t xml:space="preserve">zde mohou být připočteny speciální kalkulační položky, jež oceňují náklady </w:t>
      </w:r>
      <w:r w:rsidR="000425CB">
        <w:t>z</w:t>
      </w:r>
      <w:r w:rsidR="00693E27">
        <w:t xml:space="preserve">a využití interních zdrojů podniku, např. sazba za </w:t>
      </w:r>
      <w:r w:rsidR="000425CB">
        <w:t xml:space="preserve">použití firemního vozidla nebo sazba za </w:t>
      </w:r>
      <w:r w:rsidR="00693E27">
        <w:t xml:space="preserve">použití </w:t>
      </w:r>
      <w:r w:rsidR="000425CB">
        <w:t xml:space="preserve">studia s nahrávací a audiovizuální technikou. </w:t>
      </w:r>
      <w:r>
        <w:t xml:space="preserve">Další položkou je tzv. </w:t>
      </w:r>
      <w:r w:rsidRPr="006B31AB">
        <w:rPr>
          <w:b/>
        </w:rPr>
        <w:t>cena práce</w:t>
      </w:r>
      <w:r>
        <w:t xml:space="preserve">, jež pokrývá kategorie osobních a režijních nákladů podniku </w:t>
      </w:r>
      <w:r w:rsidR="00C3348F">
        <w:t>ze subkapitoly 3.2.3</w:t>
      </w:r>
      <w:r>
        <w:t xml:space="preserve"> a část zisku. Tato položka se zjišťuje vynásob</w:t>
      </w:r>
      <w:r w:rsidR="00C3348F">
        <w:t>ením sazby za práci</w:t>
      </w:r>
      <w:r>
        <w:t xml:space="preserve"> počt</w:t>
      </w:r>
      <w:r w:rsidR="00C3348F">
        <w:t>em</w:t>
      </w:r>
      <w:r w:rsidR="000425CB">
        <w:t xml:space="preserve"> plánovaných </w:t>
      </w:r>
      <w:r>
        <w:t xml:space="preserve">dnů </w:t>
      </w:r>
      <w:r w:rsidR="000425CB">
        <w:t xml:space="preserve">nebo hodin </w:t>
      </w:r>
      <w:r>
        <w:t xml:space="preserve">práce zaměstnance. Postup při stanovení sazeb za práci zaměstnanců je </w:t>
      </w:r>
      <w:r w:rsidR="00D343E8">
        <w:t xml:space="preserve">zobrazen </w:t>
      </w:r>
      <w:r>
        <w:t xml:space="preserve">v následující kapitole. Při zjištění nákladů a </w:t>
      </w:r>
      <w:r w:rsidRPr="000B591A">
        <w:t xml:space="preserve">směrné </w:t>
      </w:r>
      <w:r>
        <w:t xml:space="preserve">ceny se navíc v případě, že je při zpracování zakázky použito tzv. </w:t>
      </w:r>
      <w:r w:rsidRPr="006B31AB">
        <w:rPr>
          <w:b/>
        </w:rPr>
        <w:t>značkové řešení</w:t>
      </w:r>
      <w:r>
        <w:t xml:space="preserve"> podniku, tedy vlastní metodický postup, </w:t>
      </w:r>
      <w:r w:rsidR="00693E27">
        <w:t xml:space="preserve">navyšuje </w:t>
      </w:r>
      <w:r>
        <w:t xml:space="preserve">zjištěná částka o kalkulační položku </w:t>
      </w:r>
      <w:r w:rsidR="00C3348F">
        <w:t xml:space="preserve">– </w:t>
      </w:r>
      <w:r>
        <w:t xml:space="preserve">sazbu za toto řešení. </w:t>
      </w:r>
      <w:r w:rsidR="001B5776">
        <w:t xml:space="preserve">Část zisku je ve vzorci kalkulována jako </w:t>
      </w:r>
      <w:r w:rsidR="001B5776" w:rsidRPr="006B31AB">
        <w:rPr>
          <w:b/>
        </w:rPr>
        <w:t>prodejní marže</w:t>
      </w:r>
      <w:r w:rsidR="001B5776">
        <w:t xml:space="preserve"> – procentní přirážka k přímým nákladům – tato přirážka je stanovena na dvou úrovních, nižší pro subdodávky a vyšší pro </w:t>
      </w:r>
      <w:r w:rsidR="00D343E8">
        <w:t xml:space="preserve">jiné </w:t>
      </w:r>
      <w:r w:rsidR="001B5776">
        <w:t xml:space="preserve">přímé náklady. </w:t>
      </w:r>
    </w:p>
    <w:p w:rsidR="009A4CD4" w:rsidRDefault="009A4CD4" w:rsidP="009A4CD4">
      <w:r>
        <w:t>Průměrné přímé náklady představují zhruba 55 % z</w:t>
      </w:r>
      <w:r w:rsidR="0001333B">
        <w:t> </w:t>
      </w:r>
      <w:r>
        <w:t>celkov</w:t>
      </w:r>
      <w:r w:rsidR="00B82B24">
        <w:t xml:space="preserve">ého objemu </w:t>
      </w:r>
      <w:r w:rsidR="00B82B24" w:rsidRPr="000B591A">
        <w:t>kalkulací</w:t>
      </w:r>
      <w:r w:rsidR="00C3348F" w:rsidRPr="000B591A">
        <w:t xml:space="preserve"> směrné</w:t>
      </w:r>
      <w:r w:rsidR="00C3348F">
        <w:t xml:space="preserve"> ceny</w:t>
      </w:r>
      <w:r w:rsidR="0001333B">
        <w:t>,</w:t>
      </w:r>
      <w:r>
        <w:t xml:space="preserve"> cena práce </w:t>
      </w:r>
      <w:r w:rsidR="00D343E8">
        <w:t xml:space="preserve">je </w:t>
      </w:r>
      <w:r>
        <w:t xml:space="preserve">pak cca 35 % z objemu kalkulací, 7 % připadá v průměru </w:t>
      </w:r>
      <w:r w:rsidR="00C3348F">
        <w:br/>
      </w:r>
      <w:r>
        <w:t>na pro</w:t>
      </w:r>
      <w:r w:rsidR="00D343E8">
        <w:t xml:space="preserve">dejní marži a zbývající část jsou </w:t>
      </w:r>
      <w:r w:rsidR="000425CB">
        <w:t>další</w:t>
      </w:r>
      <w:r>
        <w:t xml:space="preserve"> položky. U</w:t>
      </w:r>
      <w:r w:rsidR="00B11C72">
        <w:t xml:space="preserve"> jednotlivých typů zakázek </w:t>
      </w:r>
      <w:r>
        <w:t>přitom dochází ke značným rozdílům v zastoupení přímých nákladů a ceny práce</w:t>
      </w:r>
      <w:r w:rsidR="00B11C72">
        <w:t xml:space="preserve">. </w:t>
      </w:r>
      <w:r w:rsidR="00BE6E3B">
        <w:t>Č</w:t>
      </w:r>
      <w:r w:rsidR="00B11C72">
        <w:t>ást obratu podniku např. tvoří zakázky pro zahraniční výzkumné agentury, jejichž pod</w:t>
      </w:r>
      <w:r w:rsidR="00BE6E3B">
        <w:t>s</w:t>
      </w:r>
      <w:r w:rsidR="00B11C72">
        <w:t xml:space="preserve">tatou je </w:t>
      </w:r>
      <w:r w:rsidR="00BE6E3B">
        <w:t>pouze dodání</w:t>
      </w:r>
      <w:r w:rsidR="00B11C72">
        <w:t xml:space="preserve"> dat</w:t>
      </w:r>
      <w:r w:rsidR="00BE6E3B">
        <w:t>, tedy zajištění terénního šetření</w:t>
      </w:r>
      <w:r w:rsidR="00B11C72">
        <w:t xml:space="preserve"> bez </w:t>
      </w:r>
      <w:r w:rsidR="00BE6E3B">
        <w:t xml:space="preserve">následné analytické práce </w:t>
      </w:r>
      <w:r w:rsidR="00B11C72">
        <w:t xml:space="preserve">– u těchto zakázek je pochopitelně vyšší </w:t>
      </w:r>
      <w:r w:rsidR="00C3348F">
        <w:t>podíl</w:t>
      </w:r>
      <w:r w:rsidR="00B11C72">
        <w:t xml:space="preserve"> přímých nákladů a nižší úroveň ceny práce. </w:t>
      </w:r>
      <w:r w:rsidR="00BE6E3B">
        <w:t>Vyšší úroveň přímých nákladů mají i</w:t>
      </w:r>
      <w:r w:rsidR="00B11C72">
        <w:t xml:space="preserve"> z</w:t>
      </w:r>
      <w:r>
        <w:t>akáz</w:t>
      </w:r>
      <w:r w:rsidR="00B11C72">
        <w:t>k</w:t>
      </w:r>
      <w:r w:rsidR="00BE6E3B">
        <w:t>y</w:t>
      </w:r>
      <w:r>
        <w:t xml:space="preserve"> </w:t>
      </w:r>
      <w:r w:rsidR="00B11C72">
        <w:t>řešen</w:t>
      </w:r>
      <w:r w:rsidR="00BE6E3B">
        <w:t>é</w:t>
      </w:r>
      <w:r>
        <w:t xml:space="preserve"> za pomoci subdodávek terénního sběru, neboť v rámci subdodávek jsou hrazeny přímé náklady a část režie a zisku dodavatele; nadprůměrné přímé náklady </w:t>
      </w:r>
      <w:r w:rsidR="00C16804">
        <w:t>dále vykazují</w:t>
      </w:r>
      <w:r>
        <w:t xml:space="preserve"> zakázky s osobním dotazováním, jež se pro zajištění potřebných dat používají nejčastěji.</w:t>
      </w:r>
      <w:r w:rsidR="00B11C72">
        <w:t xml:space="preserve"> Naopak </w:t>
      </w:r>
      <w:r w:rsidR="00C3348F">
        <w:t>nadprůměrný</w:t>
      </w:r>
      <w:r w:rsidR="00B11C72">
        <w:t xml:space="preserve"> podíl ceny práce vykazuje kvalitativní výzkum a </w:t>
      </w:r>
      <w:r w:rsidR="00C3348F">
        <w:t xml:space="preserve">dále i </w:t>
      </w:r>
      <w:r w:rsidR="00B11C72">
        <w:t xml:space="preserve">zakázky bez sběru dat, tedy např. sekundární analýzy nebo poradenská činnost. </w:t>
      </w:r>
    </w:p>
    <w:p w:rsidR="00CB4A73" w:rsidRPr="009646C8" w:rsidRDefault="00C96134" w:rsidP="00AD39AE">
      <w:pPr>
        <w:pStyle w:val="Nadpis3"/>
        <w:spacing w:before="720"/>
      </w:pPr>
      <w:bookmarkStart w:id="35" w:name="_Toc302476224"/>
      <w:r>
        <w:lastRenderedPageBreak/>
        <w:t>Stanovení</w:t>
      </w:r>
      <w:r w:rsidR="00CB4A73">
        <w:t xml:space="preserve"> ceny práce</w:t>
      </w:r>
      <w:bookmarkEnd w:id="35"/>
      <w:r w:rsidR="00CB4A73">
        <w:t xml:space="preserve"> </w:t>
      </w:r>
    </w:p>
    <w:p w:rsidR="00CB4A73" w:rsidRDefault="00015526" w:rsidP="00CD6A5A">
      <w:r>
        <w:t xml:space="preserve">Cena za práci </w:t>
      </w:r>
      <w:r w:rsidR="00C96134">
        <w:t xml:space="preserve">používaná v kalkulačním vzorci představuje </w:t>
      </w:r>
      <w:r w:rsidR="00B82B24">
        <w:t>příspěvek</w:t>
      </w:r>
      <w:r w:rsidR="00C96134">
        <w:t xml:space="preserve"> zakázky na úhrad</w:t>
      </w:r>
      <w:r w:rsidR="00B82B24">
        <w:t>u</w:t>
      </w:r>
      <w:r w:rsidR="00C96134">
        <w:t xml:space="preserve"> osobních a režijních nákladů podniku</w:t>
      </w:r>
      <w:r w:rsidR="000425CB">
        <w:t xml:space="preserve"> a na úhradu zisku</w:t>
      </w:r>
      <w:r w:rsidR="00C96134">
        <w:t xml:space="preserve">. V této položce jsou tedy kalkulovány </w:t>
      </w:r>
      <w:r w:rsidR="00C3348F">
        <w:t>jak přímé, tak i nepřímé mzdy,</w:t>
      </w:r>
      <w:r w:rsidR="00C96134">
        <w:t xml:space="preserve"> a veškerá</w:t>
      </w:r>
      <w:r w:rsidR="00C3348F">
        <w:t xml:space="preserve"> podnikov</w:t>
      </w:r>
      <w:r w:rsidR="00C96134">
        <w:t>á</w:t>
      </w:r>
      <w:r w:rsidR="00C3348F">
        <w:t xml:space="preserve"> </w:t>
      </w:r>
      <w:r w:rsidR="00C96134">
        <w:t xml:space="preserve">režie. Cena za práci se kalkuluje za pomoci tzv. </w:t>
      </w:r>
      <w:r w:rsidR="00C96134" w:rsidRPr="006B31AB">
        <w:rPr>
          <w:b/>
        </w:rPr>
        <w:t>sazeb „člověkoden“</w:t>
      </w:r>
      <w:r w:rsidR="00C96134">
        <w:t xml:space="preserve"> (používány jsou </w:t>
      </w:r>
      <w:r w:rsidR="00330C62">
        <w:t xml:space="preserve">ale </w:t>
      </w:r>
      <w:r w:rsidR="00C96134">
        <w:t xml:space="preserve">i sazby „člověkohodina“). Tyto sazby jsou určeny pro jednotlivé kategorie zaměstnanců, a to v závislosti na </w:t>
      </w:r>
      <w:r w:rsidR="00330C62">
        <w:t>pracovní pozici, plánované</w:t>
      </w:r>
      <w:r w:rsidR="001821CE">
        <w:t>m</w:t>
      </w:r>
      <w:r w:rsidR="00330C62">
        <w:t xml:space="preserve"> </w:t>
      </w:r>
      <w:r w:rsidR="001821CE">
        <w:t>podílu pracovní doby</w:t>
      </w:r>
      <w:r w:rsidR="00330C62">
        <w:t xml:space="preserve"> strávené</w:t>
      </w:r>
      <w:r w:rsidR="000425CB">
        <w:t>m</w:t>
      </w:r>
      <w:r w:rsidR="00330C62">
        <w:t xml:space="preserve"> prací </w:t>
      </w:r>
      <w:r w:rsidR="00F923B4">
        <w:br/>
      </w:r>
      <w:r w:rsidR="00330C62">
        <w:t>na zakázkách</w:t>
      </w:r>
      <w:r w:rsidR="001821CE">
        <w:t>, který odpovídá</w:t>
      </w:r>
      <w:r w:rsidR="00330C62">
        <w:t xml:space="preserve"> dané pozici</w:t>
      </w:r>
      <w:r w:rsidR="001821CE">
        <w:t>,</w:t>
      </w:r>
      <w:r w:rsidR="00330C62">
        <w:t xml:space="preserve"> a průměrných mzdových nákladech dané kategorie zaměstnanců. </w:t>
      </w:r>
    </w:p>
    <w:p w:rsidR="00CB4A73" w:rsidRDefault="00534621" w:rsidP="00534621">
      <w:pPr>
        <w:spacing w:after="0"/>
      </w:pPr>
      <w:r>
        <w:t>Mezi p</w:t>
      </w:r>
      <w:r w:rsidR="00B82B24">
        <w:t>odklady pro stanove</w:t>
      </w:r>
      <w:r>
        <w:t>ní sazeb za práci zaměstnanců patří</w:t>
      </w:r>
      <w:r w:rsidR="00B82B24">
        <w:t xml:space="preserve">: </w:t>
      </w:r>
    </w:p>
    <w:p w:rsidR="009E73AF" w:rsidRDefault="00750211" w:rsidP="005855A6">
      <w:pPr>
        <w:pStyle w:val="Odstavecseseznamem"/>
        <w:numPr>
          <w:ilvl w:val="0"/>
          <w:numId w:val="11"/>
        </w:numPr>
        <w:spacing w:line="360" w:lineRule="auto"/>
        <w:ind w:left="357" w:hanging="357"/>
      </w:pPr>
      <w:r>
        <w:t>p</w:t>
      </w:r>
      <w:r w:rsidR="009E73AF">
        <w:t>lánovan</w:t>
      </w:r>
      <w:r w:rsidR="00841AC9">
        <w:t>á přidaná hodnota</w:t>
      </w:r>
      <w:r w:rsidR="009E73AF">
        <w:t xml:space="preserve"> vycházející z ročního rozpočtu podniku, </w:t>
      </w:r>
      <w:r w:rsidR="00841AC9">
        <w:t xml:space="preserve">tedy </w:t>
      </w:r>
      <w:r w:rsidR="009E73AF">
        <w:t>rozpočet osobních a režijních nákladů</w:t>
      </w:r>
      <w:r w:rsidR="00841AC9">
        <w:t xml:space="preserve"> a plánovan</w:t>
      </w:r>
      <w:r w:rsidR="001821CE">
        <w:t>ý</w:t>
      </w:r>
      <w:r w:rsidR="00841AC9">
        <w:t xml:space="preserve"> zisk</w:t>
      </w:r>
      <w:r w:rsidR="009E73AF">
        <w:t xml:space="preserve">; </w:t>
      </w:r>
    </w:p>
    <w:p w:rsidR="00534621" w:rsidRDefault="009E73AF" w:rsidP="005855A6">
      <w:pPr>
        <w:pStyle w:val="Odstavecseseznamem"/>
        <w:numPr>
          <w:ilvl w:val="0"/>
          <w:numId w:val="11"/>
        </w:numPr>
        <w:spacing w:line="360" w:lineRule="auto"/>
        <w:ind w:left="357" w:hanging="357"/>
      </w:pPr>
      <w:r>
        <w:t>p</w:t>
      </w:r>
      <w:r w:rsidR="00534621">
        <w:t>lánované personální obsazení</w:t>
      </w:r>
      <w:r>
        <w:t>, tedy</w:t>
      </w:r>
      <w:r w:rsidR="00534621">
        <w:t xml:space="preserve"> počet </w:t>
      </w:r>
      <w:r w:rsidR="001821CE">
        <w:t>a struktura</w:t>
      </w:r>
      <w:r>
        <w:t xml:space="preserve"> </w:t>
      </w:r>
      <w:r w:rsidR="00534621">
        <w:t>zaměstnanců</w:t>
      </w:r>
      <w:r>
        <w:t>;</w:t>
      </w:r>
      <w:r w:rsidR="00534621">
        <w:t xml:space="preserve"> </w:t>
      </w:r>
    </w:p>
    <w:p w:rsidR="00534621" w:rsidRDefault="009E73AF" w:rsidP="005855A6">
      <w:pPr>
        <w:pStyle w:val="Odstavecseseznamem"/>
        <w:numPr>
          <w:ilvl w:val="0"/>
          <w:numId w:val="11"/>
        </w:numPr>
        <w:spacing w:line="360" w:lineRule="auto"/>
        <w:ind w:left="357" w:hanging="357"/>
      </w:pPr>
      <w:r>
        <w:t>plánovaná produktivita práce, tedy podíl</w:t>
      </w:r>
      <w:r w:rsidR="000425CB">
        <w:t xml:space="preserve"> pracovní</w:t>
      </w:r>
      <w:r>
        <w:t xml:space="preserve"> doby strávené prací na zakázkách na f</w:t>
      </w:r>
      <w:r w:rsidR="00750211">
        <w:t xml:space="preserve">ondu pracovní doby. </w:t>
      </w:r>
    </w:p>
    <w:p w:rsidR="00750211" w:rsidRDefault="00750211" w:rsidP="00750211">
      <w:r>
        <w:t xml:space="preserve">Sazby „člověkoden“ se </w:t>
      </w:r>
      <w:r w:rsidR="005F5A54">
        <w:t xml:space="preserve">zpravidla </w:t>
      </w:r>
      <w:r>
        <w:t xml:space="preserve">stanovují na období </w:t>
      </w:r>
      <w:r w:rsidR="005F5A54">
        <w:t xml:space="preserve">alespoň </w:t>
      </w:r>
      <w:r>
        <w:t xml:space="preserve">jednoho roku. V pravidelných intervalech se </w:t>
      </w:r>
      <w:r w:rsidR="00611C34">
        <w:t xml:space="preserve">sazby </w:t>
      </w:r>
      <w:r>
        <w:t>prov</w:t>
      </w:r>
      <w:r w:rsidR="00611C34">
        <w:t xml:space="preserve">ěřují </w:t>
      </w:r>
      <w:r>
        <w:t xml:space="preserve">tak, že se plánované hodnoty v kontrolním </w:t>
      </w:r>
      <w:r w:rsidR="001821CE">
        <w:t>pro</w:t>
      </w:r>
      <w:r>
        <w:t xml:space="preserve">počtu nahradí hodnotami z aktuálně zpracovaného forecastu </w:t>
      </w:r>
      <w:r w:rsidR="001821CE">
        <w:t>a</w:t>
      </w:r>
      <w:r>
        <w:t xml:space="preserve">nebo skutečně dosaženými výsledky. </w:t>
      </w:r>
    </w:p>
    <w:p w:rsidR="00C96134" w:rsidRPr="00841AC9" w:rsidRDefault="00841AC9" w:rsidP="00AD39AE">
      <w:pPr>
        <w:keepNext/>
        <w:spacing w:before="360"/>
        <w:rPr>
          <w:b/>
        </w:rPr>
      </w:pPr>
      <w:r w:rsidRPr="00841AC9">
        <w:rPr>
          <w:b/>
        </w:rPr>
        <w:t>P</w:t>
      </w:r>
      <w:r w:rsidR="00750211">
        <w:rPr>
          <w:b/>
        </w:rPr>
        <w:t xml:space="preserve">lánovaná přidaná hodnota </w:t>
      </w:r>
    </w:p>
    <w:p w:rsidR="00750211" w:rsidRDefault="00750211" w:rsidP="00750211">
      <w:r>
        <w:t xml:space="preserve">Výpočet sazeb „člověkoden“ vychází z rozpočtované přidané hodnoty, kterou se v podniku označuje rozdíl mezi tržbami a přímými náklady. </w:t>
      </w:r>
      <w:r w:rsidR="001821CE">
        <w:t>Přidaná hodnota</w:t>
      </w:r>
      <w:r>
        <w:t xml:space="preserve"> zahrnuje součet položek osobních a režijních nákladů účelového členění podniku a </w:t>
      </w:r>
      <w:r w:rsidR="00324639">
        <w:t xml:space="preserve">plánovaného </w:t>
      </w:r>
      <w:r>
        <w:t xml:space="preserve">zisku. </w:t>
      </w:r>
      <w:r w:rsidR="003D608B">
        <w:t xml:space="preserve">Alternativně lze pro určení plánované přidané hodnoty použít </w:t>
      </w:r>
      <w:r w:rsidR="001821CE">
        <w:t>aktualizovaný rozpočet (forecast)</w:t>
      </w:r>
      <w:r w:rsidR="003D608B">
        <w:t>.</w:t>
      </w:r>
      <w:r w:rsidR="001821CE">
        <w:t xml:space="preserve"> </w:t>
      </w:r>
    </w:p>
    <w:p w:rsidR="00750211" w:rsidRDefault="00750211" w:rsidP="00AD39AE">
      <w:pPr>
        <w:keepNext/>
        <w:spacing w:before="360"/>
        <w:rPr>
          <w:b/>
        </w:rPr>
      </w:pPr>
      <w:r w:rsidRPr="00841AC9">
        <w:rPr>
          <w:b/>
        </w:rPr>
        <w:t>P</w:t>
      </w:r>
      <w:r>
        <w:rPr>
          <w:b/>
        </w:rPr>
        <w:t xml:space="preserve">lánované personální obsazení </w:t>
      </w:r>
    </w:p>
    <w:p w:rsidR="00324639" w:rsidRDefault="00324639" w:rsidP="00F84524">
      <w:pPr>
        <w:spacing w:after="0"/>
      </w:pPr>
      <w:r>
        <w:t xml:space="preserve">Sazby „člověkoden“ jsou určeny na čtyřech úrovních odpovídajících jednotlivým </w:t>
      </w:r>
      <w:r w:rsidR="009F1210">
        <w:t xml:space="preserve">kategoriím </w:t>
      </w:r>
      <w:r>
        <w:t xml:space="preserve">zaměstnanců: </w:t>
      </w:r>
    </w:p>
    <w:p w:rsidR="00324639" w:rsidRDefault="009F1210" w:rsidP="005855A6">
      <w:pPr>
        <w:pStyle w:val="Odstavecseseznamem"/>
        <w:numPr>
          <w:ilvl w:val="0"/>
          <w:numId w:val="12"/>
        </w:numPr>
        <w:spacing w:line="360" w:lineRule="auto"/>
        <w:ind w:left="357" w:hanging="357"/>
      </w:pPr>
      <w:r>
        <w:lastRenderedPageBreak/>
        <w:t>kategorie ř</w:t>
      </w:r>
      <w:r w:rsidR="00324639">
        <w:t xml:space="preserve">editel, nejvyšší sazba používaná pro </w:t>
      </w:r>
      <w:r>
        <w:t xml:space="preserve">generálního ředitele a </w:t>
      </w:r>
      <w:r w:rsidR="00324639">
        <w:t>ředitele oddělení</w:t>
      </w:r>
      <w:r>
        <w:t>, kteří při zpracování nabídek a zakázek působí převážně jako konzultanti</w:t>
      </w:r>
      <w:r w:rsidR="00324639">
        <w:t xml:space="preserve">; </w:t>
      </w:r>
    </w:p>
    <w:p w:rsidR="00324639" w:rsidRDefault="009F1210" w:rsidP="005855A6">
      <w:pPr>
        <w:pStyle w:val="Odstavecseseznamem"/>
        <w:numPr>
          <w:ilvl w:val="0"/>
          <w:numId w:val="12"/>
        </w:numPr>
        <w:spacing w:line="360" w:lineRule="auto"/>
        <w:ind w:left="357" w:hanging="357"/>
      </w:pPr>
      <w:r>
        <w:t>kategorie e</w:t>
      </w:r>
      <w:r w:rsidR="00324639">
        <w:t xml:space="preserve">xpert 1 </w:t>
      </w:r>
      <w:r>
        <w:t xml:space="preserve">používaná </w:t>
      </w:r>
      <w:r w:rsidR="00324639">
        <w:t xml:space="preserve">pro </w:t>
      </w:r>
      <w:r>
        <w:t xml:space="preserve">kalkulaci práce </w:t>
      </w:r>
      <w:r w:rsidR="00324639">
        <w:t>vedoucí</w:t>
      </w:r>
      <w:r>
        <w:t>ho</w:t>
      </w:r>
      <w:r w:rsidR="00324639">
        <w:t xml:space="preserve"> výzkumného sektoru, </w:t>
      </w:r>
      <w:r w:rsidR="00611C34">
        <w:t>který</w:t>
      </w:r>
      <w:r>
        <w:t xml:space="preserve"> plní úlohu team leadera, a který je odpovědný za obrat svěřeného sektoru; </w:t>
      </w:r>
    </w:p>
    <w:p w:rsidR="00324639" w:rsidRDefault="009F1210" w:rsidP="005855A6">
      <w:pPr>
        <w:pStyle w:val="Odstavecseseznamem"/>
        <w:numPr>
          <w:ilvl w:val="0"/>
          <w:numId w:val="12"/>
        </w:numPr>
        <w:spacing w:line="360" w:lineRule="auto"/>
        <w:ind w:left="357" w:hanging="357"/>
      </w:pPr>
      <w:r>
        <w:t>kategorie e</w:t>
      </w:r>
      <w:r w:rsidR="00324639">
        <w:t xml:space="preserve">xpert 2 </w:t>
      </w:r>
      <w:r w:rsidR="007749B4">
        <w:t>odpovídá</w:t>
      </w:r>
      <w:r w:rsidR="00EA565A">
        <w:t xml:space="preserve"> pozicím</w:t>
      </w:r>
      <w:r w:rsidR="00324639">
        <w:t xml:space="preserve"> projektov</w:t>
      </w:r>
      <w:r w:rsidR="00EA565A">
        <w:t>ých</w:t>
      </w:r>
      <w:r w:rsidR="00324639">
        <w:t xml:space="preserve"> manaže</w:t>
      </w:r>
      <w:r w:rsidR="00EA565A">
        <w:t>rů</w:t>
      </w:r>
      <w:r w:rsidR="00324639">
        <w:t xml:space="preserve"> </w:t>
      </w:r>
      <w:r>
        <w:t>výzkumného odděle</w:t>
      </w:r>
      <w:r w:rsidR="00EA565A">
        <w:t>ní, statistiků</w:t>
      </w:r>
      <w:r w:rsidR="00324639">
        <w:t xml:space="preserve"> a </w:t>
      </w:r>
      <w:r>
        <w:t>další</w:t>
      </w:r>
      <w:r w:rsidR="00EA565A">
        <w:t>ch</w:t>
      </w:r>
      <w:r>
        <w:t xml:space="preserve"> odbo</w:t>
      </w:r>
      <w:r w:rsidR="00EA565A">
        <w:t>rných pracovníků</w:t>
      </w:r>
      <w:r w:rsidR="00324639">
        <w:t xml:space="preserve"> oddělení</w:t>
      </w:r>
      <w:r w:rsidR="00EA565A">
        <w:t xml:space="preserve"> produkce</w:t>
      </w:r>
      <w:r w:rsidR="00324639">
        <w:t xml:space="preserve">, </w:t>
      </w:r>
      <w:r>
        <w:t xml:space="preserve">kteří jsou odpovědní za </w:t>
      </w:r>
      <w:r w:rsidR="00EA565A">
        <w:t xml:space="preserve">řízení a </w:t>
      </w:r>
      <w:r>
        <w:t xml:space="preserve">zpracování nabídek a zakázek, </w:t>
      </w:r>
      <w:r w:rsidR="00EA565A">
        <w:t xml:space="preserve">tato </w:t>
      </w:r>
      <w:r>
        <w:t>sazba se případně používá</w:t>
      </w:r>
      <w:r w:rsidR="008F1852">
        <w:t xml:space="preserve"> i pro </w:t>
      </w:r>
      <w:r>
        <w:t>od</w:t>
      </w:r>
      <w:r w:rsidR="008F1852">
        <w:t xml:space="preserve">borné pracovníky </w:t>
      </w:r>
      <w:r w:rsidR="007749B4">
        <w:t>obslužných</w:t>
      </w:r>
      <w:r w:rsidR="00324639">
        <w:t xml:space="preserve"> oddě</w:t>
      </w:r>
      <w:r>
        <w:t>l</w:t>
      </w:r>
      <w:r w:rsidR="00324639">
        <w:t>ení</w:t>
      </w:r>
      <w:r w:rsidR="00F84524">
        <w:t xml:space="preserve">; </w:t>
      </w:r>
    </w:p>
    <w:p w:rsidR="00750211" w:rsidRDefault="009F1210" w:rsidP="005855A6">
      <w:pPr>
        <w:pStyle w:val="Odstavecseseznamem"/>
        <w:numPr>
          <w:ilvl w:val="0"/>
          <w:numId w:val="12"/>
        </w:numPr>
        <w:spacing w:line="360" w:lineRule="auto"/>
        <w:ind w:left="357" w:hanging="357"/>
      </w:pPr>
      <w:r>
        <w:t>kategorie a</w:t>
      </w:r>
      <w:r w:rsidR="00324639">
        <w:t>sistent</w:t>
      </w:r>
      <w:r w:rsidR="00EA565A">
        <w:t>, která se používá pro stanovení ceny práce asistentských pozic výzkumného</w:t>
      </w:r>
      <w:r w:rsidR="00324639">
        <w:t xml:space="preserve"> oddělení a odd</w:t>
      </w:r>
      <w:r w:rsidR="00EA565A">
        <w:t>ěle</w:t>
      </w:r>
      <w:r w:rsidR="00324639">
        <w:t>ní produkce</w:t>
      </w:r>
      <w:r w:rsidR="00EA565A">
        <w:t>,</w:t>
      </w:r>
      <w:r w:rsidR="00324639">
        <w:t xml:space="preserve"> příp</w:t>
      </w:r>
      <w:r w:rsidR="00EA565A">
        <w:t>adně</w:t>
      </w:r>
      <w:r w:rsidR="00324639">
        <w:t xml:space="preserve"> pro asistenty </w:t>
      </w:r>
      <w:r w:rsidR="007749B4">
        <w:t>dalších</w:t>
      </w:r>
      <w:r w:rsidR="00324639">
        <w:t xml:space="preserve"> oddělení. </w:t>
      </w:r>
    </w:p>
    <w:p w:rsidR="008F1852" w:rsidRPr="00750211" w:rsidRDefault="008F1852" w:rsidP="008F1852">
      <w:r>
        <w:t xml:space="preserve">Zpracovaný rozpočet stanovuje strukturu pracovní síly vycházející z organizačního schématu podniku a počty pracovníků na jednotlivých pozicích odpovídající potřebné kapacitě, jež musí být držena pro dosažení plánovaného obratu a zajištění provozu podniku. </w:t>
      </w:r>
    </w:p>
    <w:p w:rsidR="00750211" w:rsidRPr="00841AC9" w:rsidRDefault="00750211" w:rsidP="00AD39AE">
      <w:pPr>
        <w:keepNext/>
        <w:spacing w:before="360"/>
        <w:rPr>
          <w:b/>
        </w:rPr>
      </w:pPr>
      <w:r w:rsidRPr="00841AC9">
        <w:rPr>
          <w:b/>
        </w:rPr>
        <w:t>P</w:t>
      </w:r>
      <w:r>
        <w:rPr>
          <w:b/>
        </w:rPr>
        <w:t xml:space="preserve">lánovaná produktivita práce </w:t>
      </w:r>
    </w:p>
    <w:p w:rsidR="00750211" w:rsidRDefault="008F1852" w:rsidP="00985A65">
      <w:pPr>
        <w:spacing w:after="0"/>
      </w:pPr>
      <w:r>
        <w:t xml:space="preserve">Plánovaná produktivita představuje podíl </w:t>
      </w:r>
      <w:r w:rsidR="009F4211">
        <w:t xml:space="preserve">práce na zakázkách </w:t>
      </w:r>
      <w:r w:rsidR="007749B4">
        <w:t xml:space="preserve">(tj. zákazníky placené práce) </w:t>
      </w:r>
      <w:r>
        <w:t xml:space="preserve">na </w:t>
      </w:r>
      <w:r w:rsidR="009F4211">
        <w:t xml:space="preserve">celkovém </w:t>
      </w:r>
      <w:r>
        <w:t>fondu pracovní doby, kter</w:t>
      </w:r>
      <w:r w:rsidR="00985A65">
        <w:t>ý</w:t>
      </w:r>
      <w:r>
        <w:t xml:space="preserve"> se považuje za optimální vzhledem k</w:t>
      </w:r>
      <w:r w:rsidR="00985A65">
        <w:t xml:space="preserve"> požadovanému </w:t>
      </w:r>
      <w:r>
        <w:t xml:space="preserve">rozložení činností a aktivit mezi </w:t>
      </w:r>
      <w:r w:rsidR="00985A65">
        <w:t xml:space="preserve">jednotlivé pozice zaměstnanců. Podnik v tomto ohledu rozlišuje: </w:t>
      </w:r>
    </w:p>
    <w:p w:rsidR="00985A65" w:rsidRDefault="00985A65" w:rsidP="005855A6">
      <w:pPr>
        <w:pStyle w:val="Odstavecseseznamem"/>
        <w:numPr>
          <w:ilvl w:val="0"/>
          <w:numId w:val="12"/>
        </w:numPr>
        <w:spacing w:line="360" w:lineRule="auto"/>
        <w:ind w:left="357" w:hanging="357"/>
      </w:pPr>
      <w:r>
        <w:t xml:space="preserve">produkční činnost, kterou je </w:t>
      </w:r>
      <w:r w:rsidR="003D608B">
        <w:t xml:space="preserve">samotná </w:t>
      </w:r>
      <w:r>
        <w:t xml:space="preserve">výroba podniku, tedy práce na zakázkách </w:t>
      </w:r>
      <w:r w:rsidR="003D608B">
        <w:t>vedoucí</w:t>
      </w:r>
      <w:r>
        <w:t xml:space="preserve"> k dosažení tržeb podniku</w:t>
      </w:r>
      <w:r w:rsidR="003D608B">
        <w:t xml:space="preserve"> a </w:t>
      </w:r>
      <w:r w:rsidR="00E61D97">
        <w:t xml:space="preserve">k </w:t>
      </w:r>
      <w:r w:rsidR="003D608B">
        <w:t>realizaci přidané hodnoty</w:t>
      </w:r>
      <w:r w:rsidR="009F4211">
        <w:t xml:space="preserve">, </w:t>
      </w:r>
      <w:r>
        <w:t xml:space="preserve">sazby za produkční činnost </w:t>
      </w:r>
      <w:r w:rsidR="003D608B">
        <w:t xml:space="preserve">proto </w:t>
      </w:r>
      <w:r>
        <w:t xml:space="preserve">pokrývají i náklady na další </w:t>
      </w:r>
      <w:r w:rsidR="003D608B">
        <w:t xml:space="preserve">dva </w:t>
      </w:r>
      <w:r>
        <w:t xml:space="preserve">typy činností; </w:t>
      </w:r>
    </w:p>
    <w:p w:rsidR="00985A65" w:rsidRDefault="00985A65" w:rsidP="005855A6">
      <w:pPr>
        <w:pStyle w:val="Odstavecseseznamem"/>
        <w:numPr>
          <w:ilvl w:val="0"/>
          <w:numId w:val="12"/>
        </w:numPr>
        <w:spacing w:line="360" w:lineRule="auto"/>
        <w:ind w:left="357" w:hanging="357"/>
      </w:pPr>
      <w:r>
        <w:t>předprodukční činnost, do které se řadí akvizič</w:t>
      </w:r>
      <w:r w:rsidR="00E61D97">
        <w:t>ní činnost, práce na nabídkách a</w:t>
      </w:r>
      <w:r>
        <w:t xml:space="preserve"> </w:t>
      </w:r>
      <w:r w:rsidR="00E61D97">
        <w:t xml:space="preserve">rozvojové aktivity včetně </w:t>
      </w:r>
      <w:r>
        <w:t>vývoj</w:t>
      </w:r>
      <w:r w:rsidR="00E61D97">
        <w:t>e</w:t>
      </w:r>
      <w:r>
        <w:t xml:space="preserve"> nových značkových řešení; </w:t>
      </w:r>
    </w:p>
    <w:p w:rsidR="00985A65" w:rsidRDefault="00985A65" w:rsidP="005855A6">
      <w:pPr>
        <w:pStyle w:val="Odstavecseseznamem"/>
        <w:numPr>
          <w:ilvl w:val="0"/>
          <w:numId w:val="12"/>
        </w:numPr>
        <w:spacing w:line="360" w:lineRule="auto"/>
        <w:ind w:left="357" w:hanging="357"/>
      </w:pPr>
      <w:r>
        <w:t xml:space="preserve">neprodukční činnost, do které spadá manažerská činnost, režijní a administrativní činnosti a čas věnovaný vzdělávání. </w:t>
      </w:r>
    </w:p>
    <w:p w:rsidR="00985A65" w:rsidRDefault="003D608B" w:rsidP="00750211">
      <w:r>
        <w:t>Každé zaměstnanecké pozici se stanovuje procentní vyjádření optimálního rozložení fondu pracovní doby mezi tyto činnosti, jež je pro zjednodušení přepočítáno i na počet hod</w:t>
      </w:r>
      <w:r w:rsidR="00E61D97">
        <w:t>in</w:t>
      </w:r>
      <w:r w:rsidR="009F4211">
        <w:t>, které</w:t>
      </w:r>
      <w:r>
        <w:t xml:space="preserve"> </w:t>
      </w:r>
      <w:r w:rsidR="00E61D97">
        <w:t xml:space="preserve">denně </w:t>
      </w:r>
      <w:r w:rsidR="009F4211">
        <w:t>připadají</w:t>
      </w:r>
      <w:r>
        <w:t xml:space="preserve"> na jednotlivé </w:t>
      </w:r>
      <w:r w:rsidR="00163D69">
        <w:t>činnosti</w:t>
      </w:r>
      <w:r>
        <w:t xml:space="preserve">. </w:t>
      </w:r>
    </w:p>
    <w:p w:rsidR="00E61D97" w:rsidRDefault="006509A1" w:rsidP="00750211">
      <w:r>
        <w:lastRenderedPageBreak/>
        <w:t>F</w:t>
      </w:r>
      <w:r w:rsidR="00E61D97">
        <w:t xml:space="preserve">ond pracovní doby </w:t>
      </w:r>
      <w:r w:rsidR="00B91FA4">
        <w:t xml:space="preserve">se zjišťuje </w:t>
      </w:r>
      <w:r w:rsidR="00163D69">
        <w:t>jako rozdíl fondu pracovních dnů hospodářského</w:t>
      </w:r>
      <w:r>
        <w:t xml:space="preserve"> </w:t>
      </w:r>
      <w:r w:rsidR="00163D69">
        <w:t>roku a dnů, kdy zaměstnanci nepracují z důvodu čerpání dovolené</w:t>
      </w:r>
      <w:r w:rsidR="009F4211">
        <w:t>, onemocnění</w:t>
      </w:r>
      <w:r w:rsidR="00163D69">
        <w:t xml:space="preserve"> </w:t>
      </w:r>
      <w:r w:rsidR="009F4211">
        <w:t>a</w:t>
      </w:r>
      <w:r w:rsidR="00163D69">
        <w:t>nebo z jiných důvodů</w:t>
      </w:r>
      <w:r w:rsidR="000B591A">
        <w:t xml:space="preserve"> (čerpání náhradního volna, zákonného volna a prostojů)</w:t>
      </w:r>
      <w:r w:rsidR="00163D69">
        <w:t xml:space="preserve">. </w:t>
      </w:r>
    </w:p>
    <w:p w:rsidR="00BC58B8" w:rsidRPr="00841AC9" w:rsidRDefault="00BC58B8" w:rsidP="00AD39AE">
      <w:pPr>
        <w:keepNext/>
        <w:spacing w:before="360"/>
        <w:rPr>
          <w:b/>
        </w:rPr>
      </w:pPr>
      <w:r>
        <w:rPr>
          <w:b/>
        </w:rPr>
        <w:t xml:space="preserve">Orientační propočet průměrné ceny za práci </w:t>
      </w:r>
    </w:p>
    <w:p w:rsidR="004A78E5" w:rsidRDefault="007749B4" w:rsidP="004A78E5">
      <w:r>
        <w:t>Nejprve</w:t>
      </w:r>
      <w:r w:rsidR="00BC58B8">
        <w:t xml:space="preserve"> </w:t>
      </w:r>
      <w:r w:rsidR="00DB7F70">
        <w:t>bude představen</w:t>
      </w:r>
      <w:r w:rsidR="00BC58B8">
        <w:t xml:space="preserve"> postup stanovení průměrné ceny za práci, z něhož vychází i postup při stanovení sazeb „člověkoden“ jednotlivých kategorií zaměstnanců. </w:t>
      </w:r>
      <w:r w:rsidR="004A78E5">
        <w:t xml:space="preserve">Postup výpočtu průměrné sazby za práci </w:t>
      </w:r>
      <w:r w:rsidR="008979C0">
        <w:t>lze</w:t>
      </w:r>
      <w:r w:rsidR="004A78E5">
        <w:t xml:space="preserve"> vyjádřit vzorcem: </w:t>
      </w:r>
    </w:p>
    <w:p w:rsidR="00A200ED" w:rsidRDefault="0064741A" w:rsidP="005A1361">
      <m:oMathPara>
        <m:oMath>
          <m:r>
            <m:rPr>
              <m:sty m:val="p"/>
            </m:rPr>
            <w:rPr>
              <w:rFonts w:ascii="Cambria Math" w:hAnsi="Cambria Math"/>
              <w:sz w:val="23"/>
              <w:szCs w:val="23"/>
            </w:rPr>
            <m:t>sazba</m:t>
          </m:r>
          <m:r>
            <m:rPr>
              <m:sty m:val="p"/>
            </m:rPr>
            <w:rPr>
              <w:rFonts w:ascii="Cambria"/>
              <w:sz w:val="23"/>
              <w:szCs w:val="23"/>
            </w:rPr>
            <m:t xml:space="preserve"> </m:t>
          </m:r>
          <m:r>
            <m:rPr>
              <m:sty m:val="p"/>
            </m:rPr>
            <w:rPr>
              <w:rFonts w:ascii="Cambria"/>
              <w:sz w:val="23"/>
              <w:szCs w:val="23"/>
            </w:rPr>
            <m:t>č</m:t>
          </m:r>
          <m:r>
            <m:rPr>
              <m:sty m:val="p"/>
            </m:rPr>
            <w:rPr>
              <w:rFonts w:ascii="Cambria Math" w:hAnsi="Cambria Math"/>
              <w:sz w:val="23"/>
              <w:szCs w:val="23"/>
            </w:rPr>
            <m:t>lov</m:t>
          </m:r>
          <m:r>
            <m:rPr>
              <m:sty m:val="p"/>
            </m:rPr>
            <w:rPr>
              <w:rFonts w:ascii="Cambria"/>
              <w:sz w:val="23"/>
              <w:szCs w:val="23"/>
            </w:rPr>
            <m:t>ě</m:t>
          </m:r>
          <m:r>
            <m:rPr>
              <m:sty m:val="p"/>
            </m:rPr>
            <w:rPr>
              <w:rFonts w:ascii="Cambria Math" w:hAnsi="Cambria Math"/>
              <w:sz w:val="23"/>
              <w:szCs w:val="23"/>
            </w:rPr>
            <m:t>koden</m:t>
          </m:r>
          <m:r>
            <m:rPr>
              <m:sty m:val="p"/>
            </m:rPr>
            <w:rPr>
              <w:rFonts w:ascii="Cambria"/>
              <w:sz w:val="23"/>
              <w:szCs w:val="23"/>
            </w:rPr>
            <m:t>=</m:t>
          </m:r>
          <m:f>
            <m:fPr>
              <m:ctrlPr>
                <w:rPr>
                  <w:rFonts w:ascii="Cambria" w:hAnsi="Cambria Math"/>
                  <w:sz w:val="23"/>
                  <w:szCs w:val="23"/>
                </w:rPr>
              </m:ctrlPr>
            </m:fPr>
            <m:num>
              <m:r>
                <m:rPr>
                  <m:sty m:val="p"/>
                </m:rPr>
                <w:rPr>
                  <w:rFonts w:ascii="Cambria Math" w:hAnsi="Cambria Math"/>
                  <w:sz w:val="23"/>
                  <w:szCs w:val="23"/>
                </w:rPr>
                <m:t>ro</m:t>
              </m:r>
              <m:r>
                <m:rPr>
                  <m:sty m:val="p"/>
                </m:rPr>
                <w:rPr>
                  <w:rFonts w:ascii="Cambria"/>
                  <w:sz w:val="23"/>
                  <w:szCs w:val="23"/>
                </w:rPr>
                <m:t>č</m:t>
              </m:r>
              <m:r>
                <m:rPr>
                  <m:sty m:val="p"/>
                </m:rPr>
                <w:rPr>
                  <w:rFonts w:ascii="Cambria Math" w:hAnsi="Cambria Math"/>
                  <w:sz w:val="23"/>
                  <w:szCs w:val="23"/>
                </w:rPr>
                <m:t>n</m:t>
              </m:r>
              <m:r>
                <m:rPr>
                  <m:sty m:val="p"/>
                </m:rPr>
                <w:rPr>
                  <w:rFonts w:ascii="Cambria"/>
                  <w:sz w:val="23"/>
                  <w:szCs w:val="23"/>
                </w:rPr>
                <m:t>í</m:t>
              </m:r>
              <m:r>
                <m:rPr>
                  <m:sty m:val="p"/>
                </m:rPr>
                <w:rPr>
                  <w:rFonts w:ascii="Cambria"/>
                  <w:sz w:val="23"/>
                  <w:szCs w:val="23"/>
                </w:rPr>
                <m:t xml:space="preserve"> </m:t>
              </m:r>
              <m:r>
                <m:rPr>
                  <m:sty m:val="p"/>
                </m:rPr>
                <w:rPr>
                  <w:rFonts w:ascii="Cambria Math" w:hAnsi="Cambria Math"/>
                  <w:sz w:val="23"/>
                  <w:szCs w:val="23"/>
                </w:rPr>
                <m:t>objem</m:t>
              </m:r>
              <m:r>
                <m:rPr>
                  <m:sty m:val="p"/>
                </m:rPr>
                <w:rPr>
                  <w:rFonts w:ascii="Cambria"/>
                  <w:sz w:val="23"/>
                  <w:szCs w:val="23"/>
                </w:rPr>
                <m:t xml:space="preserve"> </m:t>
              </m:r>
              <m:r>
                <m:rPr>
                  <m:sty m:val="p"/>
                </m:rPr>
                <w:rPr>
                  <w:rFonts w:ascii="Cambria Math" w:hAnsi="Cambria Math"/>
                  <w:sz w:val="23"/>
                  <w:szCs w:val="23"/>
                </w:rPr>
                <m:t>p</m:t>
              </m:r>
              <m:r>
                <m:rPr>
                  <m:sty m:val="p"/>
                </m:rPr>
                <w:rPr>
                  <w:rFonts w:ascii="Cambria"/>
                  <w:sz w:val="23"/>
                  <w:szCs w:val="23"/>
                </w:rPr>
                <m:t>ř</m:t>
              </m:r>
              <m:r>
                <m:rPr>
                  <m:sty m:val="p"/>
                </m:rPr>
                <w:rPr>
                  <w:rFonts w:ascii="Cambria Math" w:hAnsi="Cambria Math"/>
                  <w:sz w:val="23"/>
                  <w:szCs w:val="23"/>
                </w:rPr>
                <m:t>idan</m:t>
              </m:r>
              <m:r>
                <m:rPr>
                  <m:sty m:val="p"/>
                </m:rPr>
                <w:rPr>
                  <w:rFonts w:ascii="Cambria"/>
                  <w:sz w:val="23"/>
                  <w:szCs w:val="23"/>
                </w:rPr>
                <m:t>é</m:t>
              </m:r>
              <m:r>
                <m:rPr>
                  <m:sty m:val="p"/>
                </m:rPr>
                <w:rPr>
                  <w:rFonts w:ascii="Cambria"/>
                  <w:sz w:val="23"/>
                  <w:szCs w:val="23"/>
                </w:rPr>
                <m:t xml:space="preserve"> </m:t>
              </m:r>
              <m:r>
                <m:rPr>
                  <m:sty m:val="p"/>
                </m:rPr>
                <w:rPr>
                  <w:rFonts w:ascii="Cambria Math" w:hAnsi="Cambria Math"/>
                  <w:sz w:val="23"/>
                  <w:szCs w:val="23"/>
                </w:rPr>
                <m:t>hodnoty</m:t>
              </m:r>
            </m:num>
            <m:den>
              <m:r>
                <m:rPr>
                  <m:sty m:val="p"/>
                </m:rPr>
                <w:rPr>
                  <w:rFonts w:ascii="Cambria Math" w:hAnsi="Cambria Math"/>
                  <w:sz w:val="23"/>
                  <w:szCs w:val="23"/>
                </w:rPr>
                <m:t>po</m:t>
              </m:r>
              <m:r>
                <m:rPr>
                  <m:sty m:val="p"/>
                </m:rPr>
                <w:rPr>
                  <w:rFonts w:ascii="Cambria"/>
                  <w:sz w:val="23"/>
                  <w:szCs w:val="23"/>
                </w:rPr>
                <m:t>č</m:t>
              </m:r>
              <m:r>
                <m:rPr>
                  <m:sty m:val="p"/>
                </m:rPr>
                <w:rPr>
                  <w:rFonts w:ascii="Cambria Math" w:hAnsi="Cambria Math"/>
                  <w:sz w:val="23"/>
                  <w:szCs w:val="23"/>
                </w:rPr>
                <m:t>et</m:t>
              </m:r>
              <m:r>
                <m:rPr>
                  <m:sty m:val="p"/>
                </m:rPr>
                <w:rPr>
                  <w:rFonts w:ascii="Cambria"/>
                  <w:sz w:val="23"/>
                  <w:szCs w:val="23"/>
                </w:rPr>
                <m:t xml:space="preserve"> </m:t>
              </m:r>
              <m:r>
                <m:rPr>
                  <m:sty m:val="p"/>
                </m:rPr>
                <w:rPr>
                  <w:rFonts w:ascii="Cambria Math" w:hAnsi="Cambria Math"/>
                  <w:sz w:val="23"/>
                  <w:szCs w:val="23"/>
                </w:rPr>
                <m:t>produkčních</m:t>
              </m:r>
              <m:r>
                <m:rPr>
                  <m:sty m:val="p"/>
                </m:rPr>
                <w:rPr>
                  <w:rFonts w:ascii="Cambria"/>
                  <w:sz w:val="23"/>
                  <w:szCs w:val="23"/>
                </w:rPr>
                <m:t xml:space="preserve"> </m:t>
              </m:r>
              <m:r>
                <m:rPr>
                  <m:sty m:val="p"/>
                </m:rPr>
                <w:rPr>
                  <w:rFonts w:ascii="Cambria Math" w:hAnsi="Cambria Math"/>
                  <w:sz w:val="23"/>
                  <w:szCs w:val="23"/>
                </w:rPr>
                <m:t>zam</m:t>
              </m:r>
              <m:r>
                <m:rPr>
                  <m:sty m:val="p"/>
                </m:rPr>
                <w:rPr>
                  <w:rFonts w:ascii="Cambria"/>
                  <w:sz w:val="23"/>
                  <w:szCs w:val="23"/>
                </w:rPr>
                <m:t>.</m:t>
              </m:r>
              <m:r>
                <m:rPr>
                  <m:sty m:val="p"/>
                </m:rPr>
                <w:rPr>
                  <w:rFonts w:ascii="Cambria"/>
                  <w:sz w:val="23"/>
                  <w:szCs w:val="23"/>
                </w:rPr>
                <m:t>*</m:t>
              </m:r>
              <m:r>
                <m:rPr>
                  <m:sty m:val="p"/>
                </m:rPr>
                <w:rPr>
                  <w:rFonts w:ascii="Cambria Math" w:hAnsi="Cambria Math"/>
                  <w:sz w:val="23"/>
                  <w:szCs w:val="23"/>
                </w:rPr>
                <m:t>pod</m:t>
              </m:r>
              <m:r>
                <m:rPr>
                  <m:sty m:val="p"/>
                </m:rPr>
                <w:rPr>
                  <w:rFonts w:ascii="Cambria"/>
                  <w:sz w:val="23"/>
                  <w:szCs w:val="23"/>
                </w:rPr>
                <m:t>í</m:t>
              </m:r>
              <m:r>
                <m:rPr>
                  <m:sty m:val="p"/>
                </m:rPr>
                <w:rPr>
                  <w:rFonts w:ascii="Cambria Math" w:hAnsi="Cambria Math"/>
                  <w:sz w:val="23"/>
                  <w:szCs w:val="23"/>
                </w:rPr>
                <m:t>l</m:t>
              </m:r>
              <m:r>
                <m:rPr>
                  <m:sty m:val="p"/>
                </m:rPr>
                <w:rPr>
                  <w:rFonts w:ascii="Cambria"/>
                  <w:sz w:val="23"/>
                  <w:szCs w:val="23"/>
                </w:rPr>
                <m:t xml:space="preserve"> </m:t>
              </m:r>
              <m:r>
                <m:rPr>
                  <m:sty m:val="p"/>
                </m:rPr>
                <w:rPr>
                  <w:rFonts w:ascii="Cambria Math" w:hAnsi="Cambria Math"/>
                  <w:sz w:val="23"/>
                  <w:szCs w:val="23"/>
                </w:rPr>
                <m:t>produk</m:t>
              </m:r>
              <m:r>
                <m:rPr>
                  <m:sty m:val="p"/>
                </m:rPr>
                <w:rPr>
                  <w:rFonts w:ascii="Cambria"/>
                  <w:sz w:val="23"/>
                  <w:szCs w:val="23"/>
                </w:rPr>
                <m:t>č</m:t>
              </m:r>
              <m:r>
                <m:rPr>
                  <m:sty m:val="p"/>
                </m:rPr>
                <w:rPr>
                  <w:rFonts w:ascii="Cambria Math" w:hAnsi="Cambria Math"/>
                  <w:sz w:val="23"/>
                  <w:szCs w:val="23"/>
                </w:rPr>
                <m:t>n</m:t>
              </m:r>
              <m:r>
                <m:rPr>
                  <m:sty m:val="p"/>
                </m:rPr>
                <w:rPr>
                  <w:rFonts w:ascii="Cambria"/>
                  <w:sz w:val="23"/>
                  <w:szCs w:val="23"/>
                </w:rPr>
                <m:t>í</m:t>
              </m:r>
              <m:r>
                <m:rPr>
                  <m:sty m:val="p"/>
                </m:rPr>
                <w:rPr>
                  <w:rFonts w:ascii="Cambria"/>
                  <w:sz w:val="23"/>
                  <w:szCs w:val="23"/>
                </w:rPr>
                <m:t xml:space="preserve"> </m:t>
              </m:r>
              <m:r>
                <m:rPr>
                  <m:sty m:val="p"/>
                </m:rPr>
                <w:rPr>
                  <w:rFonts w:ascii="Cambria"/>
                  <w:sz w:val="23"/>
                  <w:szCs w:val="23"/>
                </w:rPr>
                <m:t>č</m:t>
              </m:r>
              <m:r>
                <m:rPr>
                  <m:sty m:val="p"/>
                </m:rPr>
                <w:rPr>
                  <w:rFonts w:ascii="Cambria Math" w:hAnsi="Cambria Math"/>
                  <w:sz w:val="23"/>
                  <w:szCs w:val="23"/>
                </w:rPr>
                <m:t>in</m:t>
              </m:r>
              <m:r>
                <m:rPr>
                  <m:sty m:val="p"/>
                </m:rPr>
                <w:rPr>
                  <w:rFonts w:ascii="Cambria"/>
                  <w:sz w:val="23"/>
                  <w:szCs w:val="23"/>
                </w:rPr>
                <m:t>.</m:t>
              </m:r>
              <m:r>
                <m:rPr>
                  <m:sty m:val="p"/>
                </m:rPr>
                <w:rPr>
                  <w:rFonts w:ascii="Cambria"/>
                  <w:sz w:val="23"/>
                  <w:szCs w:val="23"/>
                </w:rPr>
                <m:t>*</m:t>
              </m:r>
              <m:r>
                <m:rPr>
                  <m:sty m:val="p"/>
                </m:rPr>
                <w:rPr>
                  <w:rFonts w:ascii="Cambria Math" w:hAnsi="Cambria Math"/>
                  <w:sz w:val="23"/>
                  <w:szCs w:val="23"/>
                </w:rPr>
                <m:t>fond</m:t>
              </m:r>
              <m:r>
                <m:rPr>
                  <m:sty m:val="p"/>
                </m:rPr>
                <w:rPr>
                  <w:rFonts w:ascii="Cambria"/>
                  <w:sz w:val="23"/>
                  <w:szCs w:val="23"/>
                </w:rPr>
                <m:t xml:space="preserve"> </m:t>
              </m:r>
              <m:r>
                <m:rPr>
                  <m:sty m:val="p"/>
                </m:rPr>
                <w:rPr>
                  <w:rFonts w:ascii="Cambria Math" w:hAnsi="Cambria Math"/>
                  <w:sz w:val="23"/>
                  <w:szCs w:val="23"/>
                </w:rPr>
                <m:t>prac</m:t>
              </m:r>
              <m:r>
                <m:rPr>
                  <m:sty m:val="p"/>
                </m:rPr>
                <w:rPr>
                  <w:rFonts w:ascii="Cambria"/>
                  <w:sz w:val="23"/>
                  <w:szCs w:val="23"/>
                </w:rPr>
                <m:t>.</m:t>
              </m:r>
              <m:r>
                <m:rPr>
                  <m:sty m:val="p"/>
                </m:rPr>
                <w:rPr>
                  <w:rFonts w:ascii="Cambria Math" w:hAnsi="Cambria Math"/>
                  <w:sz w:val="23"/>
                  <w:szCs w:val="23"/>
                </w:rPr>
                <m:t>doby</m:t>
              </m:r>
            </m:den>
          </m:f>
          <m:r>
            <m:rPr>
              <m:sty m:val="p"/>
            </m:rPr>
            <w:rPr>
              <w:rFonts w:ascii="Cambria"/>
              <w:sz w:val="23"/>
              <w:szCs w:val="23"/>
            </w:rPr>
            <m:t xml:space="preserve"> </m:t>
          </m:r>
        </m:oMath>
      </m:oMathPara>
    </w:p>
    <w:p w:rsidR="00714E79" w:rsidRDefault="00714E79" w:rsidP="005855A6">
      <w:pPr>
        <w:pStyle w:val="Odstavecseseznamem"/>
        <w:numPr>
          <w:ilvl w:val="0"/>
          <w:numId w:val="13"/>
        </w:numPr>
        <w:spacing w:line="360" w:lineRule="auto"/>
        <w:ind w:left="357" w:hanging="357"/>
      </w:pPr>
      <w:r>
        <w:t xml:space="preserve">Roční rozpočet je výchozím bodem při stanovení plánované přidané </w:t>
      </w:r>
      <w:r w:rsidR="00B91D33">
        <w:t>hodnoty. Pro hospodářský rok 2010/11</w:t>
      </w:r>
      <w:r>
        <w:t xml:space="preserve"> byl plánován obrat 62 mil. Kč, a to při 42 % úrovni přímých nákladů</w:t>
      </w:r>
      <w:r w:rsidR="00785566">
        <w:t>, což odpovídá 26 mil. Kč</w:t>
      </w:r>
      <w:r>
        <w:t xml:space="preserve">. Přidaná hodnota je tedy cca 36 mil. Kč. </w:t>
      </w:r>
      <w:r w:rsidR="00785566">
        <w:t xml:space="preserve">Z této částky připadá 28,5 mil. na složku osobních nákladů a 6,5 mil. na složku režijních nákladů. Zbývající část je </w:t>
      </w:r>
      <w:r w:rsidR="00611C34">
        <w:t xml:space="preserve">plánovaný </w:t>
      </w:r>
      <w:r w:rsidR="00785566">
        <w:t xml:space="preserve">zisk. </w:t>
      </w:r>
    </w:p>
    <w:p w:rsidR="00714E79" w:rsidRDefault="00714E79" w:rsidP="005855A6">
      <w:pPr>
        <w:pStyle w:val="Odstavecseseznamem"/>
        <w:numPr>
          <w:ilvl w:val="0"/>
          <w:numId w:val="13"/>
        </w:numPr>
        <w:spacing w:line="360" w:lineRule="auto"/>
        <w:ind w:left="357" w:hanging="357"/>
      </w:pPr>
      <w:r>
        <w:t xml:space="preserve">Průměrná sazba se stanovuje na jednoho produkčního zaměstnance, tedy pracovníka, jehož pracovní náplň z podstatné části zahrnuje produkční činnost. V podniku jde o zaměstnance výzkumného a produkčního oddělení. Z celkového </w:t>
      </w:r>
      <w:r w:rsidR="007749B4">
        <w:t xml:space="preserve">plánovaného </w:t>
      </w:r>
      <w:r>
        <w:t>přepočtenéh</w:t>
      </w:r>
      <w:r w:rsidR="00B91D33">
        <w:t>o počtu pracovníků podniku – 41,0</w:t>
      </w:r>
      <w:r>
        <w:t xml:space="preserve"> zaměstnanců – připadá na výzkumné oddělení 2</w:t>
      </w:r>
      <w:r w:rsidR="004D6529">
        <w:t>6,</w:t>
      </w:r>
      <w:r w:rsidR="00B91D33">
        <w:t>0</w:t>
      </w:r>
      <w:r>
        <w:t xml:space="preserve"> praco</w:t>
      </w:r>
      <w:r w:rsidR="00F75357">
        <w:t xml:space="preserve">vníků a na oddělení produkce </w:t>
      </w:r>
      <w:r w:rsidR="00B91D33">
        <w:t>8,0</w:t>
      </w:r>
      <w:r>
        <w:t xml:space="preserve"> pracovníků, celkově je tedy v rámci ročního rozpočtu plánováno 3</w:t>
      </w:r>
      <w:r w:rsidR="004D6529">
        <w:t>4,</w:t>
      </w:r>
      <w:r w:rsidR="00B91D33">
        <w:t>0</w:t>
      </w:r>
      <w:r>
        <w:t xml:space="preserve"> produkčních zaměstnanců. </w:t>
      </w:r>
    </w:p>
    <w:p w:rsidR="003D5E78" w:rsidRDefault="003D5E78" w:rsidP="003D5E78">
      <w:pPr>
        <w:pStyle w:val="Odstavecseseznamem"/>
        <w:numPr>
          <w:ilvl w:val="0"/>
          <w:numId w:val="13"/>
        </w:numPr>
        <w:spacing w:line="360" w:lineRule="auto"/>
        <w:ind w:left="357" w:hanging="357"/>
      </w:pPr>
      <w:r>
        <w:t xml:space="preserve">Pro produkční pracovníky je stanoveno optimální rozložení pracovní doby poměrným zastoupením jednotlivých činností na fondu pracovní doby. Dle tohoto rozložení připadá v průměru </w:t>
      </w:r>
      <w:r w:rsidRPr="002B567D">
        <w:t>59 % na produkční činnosti,</w:t>
      </w:r>
      <w:r>
        <w:t xml:space="preserve"> 18 % na předprodukční činnosti a zbývající část na neprodukční činnosti. </w:t>
      </w:r>
    </w:p>
    <w:p w:rsidR="00714E79" w:rsidRDefault="00B91D33" w:rsidP="005855A6">
      <w:pPr>
        <w:pStyle w:val="Odstavecseseznamem"/>
        <w:numPr>
          <w:ilvl w:val="0"/>
          <w:numId w:val="13"/>
        </w:numPr>
        <w:spacing w:line="360" w:lineRule="auto"/>
        <w:ind w:left="357" w:hanging="357"/>
      </w:pPr>
      <w:r>
        <w:t>V hospodářském roce 2010/11 je 254</w:t>
      </w:r>
      <w:r w:rsidR="00714E79">
        <w:t xml:space="preserve"> pracovních dní, fond pracovní doby je dále snížen o dny čerpání dovolené – podnik poskytuje týden dovolené navíc, celkem tedy 25 dnů – a o dny nepřítomnosti z důvodu nemoci a jiných zákonných důvodů, které jsou na základě průměrů z minulých let stanoveny na 6 dnů</w:t>
      </w:r>
      <w:r>
        <w:t>. Fond pracovní doby je tedy 223</w:t>
      </w:r>
      <w:r w:rsidR="00714E79">
        <w:t xml:space="preserve"> dnů. </w:t>
      </w:r>
    </w:p>
    <w:p w:rsidR="00B91D33" w:rsidRDefault="00B91D33">
      <w:pPr>
        <w:spacing w:after="0" w:line="240" w:lineRule="auto"/>
        <w:jc w:val="left"/>
      </w:pPr>
      <w:r>
        <w:br w:type="page"/>
      </w:r>
    </w:p>
    <w:p w:rsidR="005A1361" w:rsidRDefault="005947DA" w:rsidP="005A1361">
      <w:r>
        <w:lastRenderedPageBreak/>
        <w:t xml:space="preserve">Dosazením </w:t>
      </w:r>
      <w:r w:rsidR="004A78E5">
        <w:t xml:space="preserve">uvedených hodnot do vzorce </w:t>
      </w:r>
      <w:r w:rsidR="007749B4">
        <w:t>se stanoví</w:t>
      </w:r>
      <w:r w:rsidR="00BA4400">
        <w:t xml:space="preserve"> průměrn</w:t>
      </w:r>
      <w:r w:rsidR="007749B4">
        <w:t>á sazba</w:t>
      </w:r>
      <w:r>
        <w:t xml:space="preserve"> „člověkoden“:</w:t>
      </w:r>
      <w:r w:rsidR="004A78E5">
        <w:t xml:space="preserve"> </w:t>
      </w:r>
    </w:p>
    <w:p w:rsidR="005947DA" w:rsidRDefault="005947DA" w:rsidP="005A1361">
      <w:pPr>
        <w:rPr>
          <w:sz w:val="23"/>
          <w:szCs w:val="23"/>
        </w:rPr>
      </w:pPr>
      <m:oMathPara>
        <m:oMath>
          <m:r>
            <m:rPr>
              <m:sty m:val="p"/>
            </m:rPr>
            <w:rPr>
              <w:rFonts w:ascii="Cambria Math"/>
              <w:sz w:val="23"/>
              <w:szCs w:val="23"/>
            </w:rPr>
            <m:t>sazba</m:t>
          </m:r>
          <m:r>
            <m:rPr>
              <m:sty m:val="p"/>
            </m:rPr>
            <w:rPr>
              <w:rFonts w:ascii="Cambria"/>
              <w:sz w:val="23"/>
              <w:szCs w:val="23"/>
            </w:rPr>
            <m:t xml:space="preserve"> </m:t>
          </m:r>
          <m:r>
            <m:rPr>
              <m:sty m:val="p"/>
            </m:rPr>
            <w:rPr>
              <w:sz w:val="23"/>
              <w:szCs w:val="23"/>
            </w:rPr>
            <m:t>č</m:t>
          </m:r>
          <m:r>
            <m:rPr>
              <m:sty m:val="p"/>
            </m:rPr>
            <w:rPr>
              <w:rFonts w:ascii="Cambria Math"/>
              <w:sz w:val="23"/>
              <w:szCs w:val="23"/>
            </w:rPr>
            <m:t>lov</m:t>
          </m:r>
          <m:r>
            <m:rPr>
              <m:sty m:val="p"/>
            </m:rPr>
            <w:rPr>
              <w:sz w:val="23"/>
              <w:szCs w:val="23"/>
            </w:rPr>
            <m:t>ě</m:t>
          </m:r>
          <m:r>
            <m:rPr>
              <m:sty m:val="p"/>
            </m:rPr>
            <w:rPr>
              <w:rFonts w:ascii="Cambria Math"/>
              <w:sz w:val="23"/>
              <w:szCs w:val="23"/>
            </w:rPr>
            <m:t>koden</m:t>
          </m:r>
          <m:r>
            <m:rPr>
              <m:sty m:val="p"/>
            </m:rPr>
            <w:rPr>
              <w:rFonts w:ascii="Cambria"/>
              <w:sz w:val="23"/>
              <w:szCs w:val="23"/>
            </w:rPr>
            <m:t>=</m:t>
          </m:r>
          <m:f>
            <m:fPr>
              <m:ctrlPr>
                <w:rPr>
                  <w:rFonts w:ascii="Cambria" w:hAnsi="Cambria Math"/>
                  <w:sz w:val="23"/>
                  <w:szCs w:val="23"/>
                </w:rPr>
              </m:ctrlPr>
            </m:fPr>
            <m:num>
              <m:r>
                <m:rPr>
                  <m:sty m:val="p"/>
                </m:rPr>
                <w:rPr>
                  <w:rFonts w:ascii="Cambria Math"/>
                  <w:sz w:val="23"/>
                  <w:szCs w:val="23"/>
                </w:rPr>
                <m:t>35 960 000</m:t>
              </m:r>
            </m:num>
            <m:den>
              <m:r>
                <m:rPr>
                  <m:sty m:val="p"/>
                </m:rPr>
                <w:rPr>
                  <w:rFonts w:ascii="Cambria Math"/>
                  <w:sz w:val="23"/>
                  <w:szCs w:val="23"/>
                </w:rPr>
                <m:t>34,0</m:t>
              </m:r>
              <m:r>
                <m:rPr>
                  <m:sty m:val="p"/>
                </m:rPr>
                <w:rPr>
                  <w:rFonts w:ascii="Cambria Math"/>
                  <w:sz w:val="23"/>
                  <w:szCs w:val="23"/>
                </w:rPr>
                <m:t>*</m:t>
              </m:r>
              <m:r>
                <m:rPr>
                  <m:sty m:val="p"/>
                </m:rPr>
                <w:rPr>
                  <w:rFonts w:ascii="Cambria Math"/>
                  <w:sz w:val="23"/>
                  <w:szCs w:val="23"/>
                </w:rPr>
                <m:t>0,59</m:t>
              </m:r>
              <m:r>
                <m:rPr>
                  <m:sty m:val="p"/>
                </m:rPr>
                <w:rPr>
                  <w:rFonts w:ascii="Cambria Math"/>
                  <w:sz w:val="23"/>
                  <w:szCs w:val="23"/>
                </w:rPr>
                <m:t>*</m:t>
              </m:r>
              <m:r>
                <m:rPr>
                  <m:sty m:val="p"/>
                </m:rPr>
                <w:rPr>
                  <w:rFonts w:ascii="Cambria Math"/>
                  <w:sz w:val="23"/>
                  <w:szCs w:val="23"/>
                </w:rPr>
                <m:t>223</m:t>
              </m:r>
            </m:den>
          </m:f>
          <m:r>
            <m:rPr>
              <m:sty m:val="p"/>
            </m:rPr>
            <w:rPr>
              <w:rFonts w:ascii="Cambria"/>
              <w:sz w:val="23"/>
              <w:szCs w:val="23"/>
            </w:rPr>
            <m:t xml:space="preserve">= </m:t>
          </m:r>
          <m:f>
            <m:fPr>
              <m:ctrlPr>
                <w:rPr>
                  <w:rFonts w:ascii="Cambria" w:hAnsi="Cambria Math"/>
                  <w:sz w:val="23"/>
                  <w:szCs w:val="23"/>
                </w:rPr>
              </m:ctrlPr>
            </m:fPr>
            <m:num>
              <m:r>
                <m:rPr>
                  <m:sty m:val="p"/>
                </m:rPr>
                <w:rPr>
                  <w:rFonts w:ascii="Cambria"/>
                  <w:sz w:val="23"/>
                  <w:szCs w:val="23"/>
                </w:rPr>
                <m:t>35</m:t>
              </m:r>
              <m:r>
                <m:rPr>
                  <m:sty m:val="p"/>
                </m:rPr>
                <w:rPr>
                  <w:sz w:val="23"/>
                  <w:szCs w:val="23"/>
                </w:rPr>
                <m:t> </m:t>
              </m:r>
              <m:r>
                <m:rPr>
                  <m:sty m:val="p"/>
                </m:rPr>
                <w:rPr>
                  <w:rFonts w:ascii="Cambria Math"/>
                  <w:sz w:val="23"/>
                  <w:szCs w:val="23"/>
                </w:rPr>
                <m:t>960</m:t>
              </m:r>
              <m:r>
                <m:rPr>
                  <m:sty m:val="p"/>
                </m:rPr>
                <w:rPr>
                  <w:rFonts w:ascii="Cambria"/>
                  <w:sz w:val="23"/>
                  <w:szCs w:val="23"/>
                </w:rPr>
                <m:t xml:space="preserve"> 000</m:t>
              </m:r>
            </m:num>
            <m:den>
              <m:r>
                <m:rPr>
                  <m:sty m:val="p"/>
                </m:rPr>
                <w:rPr>
                  <w:rFonts w:ascii="Cambria"/>
                  <w:sz w:val="23"/>
                  <w:szCs w:val="23"/>
                </w:rPr>
                <m:t>4 473</m:t>
              </m:r>
            </m:den>
          </m:f>
          <m:r>
            <m:rPr>
              <m:sty m:val="p"/>
            </m:rPr>
            <w:rPr>
              <w:rFonts w:ascii="Cambria"/>
              <w:sz w:val="23"/>
              <w:szCs w:val="23"/>
            </w:rPr>
            <m:t>=8</m:t>
          </m:r>
          <m:r>
            <m:rPr>
              <m:sty m:val="p"/>
            </m:rPr>
            <w:rPr>
              <w:sz w:val="23"/>
              <w:szCs w:val="23"/>
            </w:rPr>
            <m:t> </m:t>
          </m:r>
          <m:r>
            <m:rPr>
              <m:sty m:val="p"/>
            </m:rPr>
            <w:rPr>
              <w:rFonts w:ascii="Cambria Math"/>
              <w:sz w:val="23"/>
              <w:szCs w:val="23"/>
            </w:rPr>
            <m:t>039</m:t>
          </m:r>
          <m:r>
            <w:rPr>
              <w:rFonts w:ascii="Cambria Math"/>
              <w:sz w:val="23"/>
              <w:szCs w:val="23"/>
            </w:rPr>
            <m:t xml:space="preserve"> </m:t>
          </m:r>
          <m:r>
            <m:rPr>
              <m:sty m:val="p"/>
            </m:rPr>
            <w:rPr>
              <w:rFonts w:ascii="Cambria Math"/>
              <w:sz w:val="23"/>
              <w:szCs w:val="23"/>
            </w:rPr>
            <m:t>K</m:t>
          </m:r>
          <m:r>
            <m:rPr>
              <m:sty m:val="p"/>
            </m:rPr>
            <w:rPr>
              <w:rFonts w:ascii="Cambria Math"/>
              <w:sz w:val="23"/>
              <w:szCs w:val="23"/>
            </w:rPr>
            <m:t>č</m:t>
          </m:r>
          <m:r>
            <m:rPr>
              <m:sty m:val="p"/>
            </m:rPr>
            <w:rPr>
              <w:rFonts w:ascii="Cambria Math"/>
              <w:sz w:val="23"/>
              <w:szCs w:val="23"/>
            </w:rPr>
            <m:t>/den</m:t>
          </m:r>
        </m:oMath>
      </m:oMathPara>
    </w:p>
    <w:p w:rsidR="005947DA" w:rsidRDefault="00011FCB" w:rsidP="005A1361">
      <w:r>
        <w:t xml:space="preserve">Vypočtená sazba „člověkoden“ odpovídá v průměru 8 tis. Kč za den práce zaměstnance, </w:t>
      </w:r>
      <w:r w:rsidR="00D14FBA">
        <w:t xml:space="preserve">průměrná </w:t>
      </w:r>
      <w:r>
        <w:t xml:space="preserve">sazba „člověkohodina“ je tedy 1 tis. Kč. </w:t>
      </w:r>
    </w:p>
    <w:p w:rsidR="00FB3748" w:rsidRPr="00841AC9" w:rsidRDefault="00FB3748" w:rsidP="00C81806">
      <w:pPr>
        <w:keepNext/>
        <w:spacing w:before="360"/>
        <w:rPr>
          <w:b/>
        </w:rPr>
      </w:pPr>
      <w:r>
        <w:rPr>
          <w:b/>
        </w:rPr>
        <w:t xml:space="preserve">Stanovení ceny za práci pro jednotlivé kategorie zaměstnanců </w:t>
      </w:r>
    </w:p>
    <w:p w:rsidR="00011FCB" w:rsidRDefault="00011FCB" w:rsidP="005A1361">
      <w:r>
        <w:t xml:space="preserve">Analogicky lze stanovit i sazby pro jednotlivé kategorie pracovníků. Podnik pro kalkulaci těchto sazeb používá model </w:t>
      </w:r>
      <w:r w:rsidR="005F2FD9">
        <w:t>pro propočet a ověření sazeb „člověkoden“ představený v tabulce</w:t>
      </w:r>
      <w:r w:rsidR="002B1AEB">
        <w:t xml:space="preserve"> č. </w:t>
      </w:r>
      <w:r w:rsidR="002B567D">
        <w:t>4</w:t>
      </w:r>
      <w:r w:rsidR="002B1AEB">
        <w:t xml:space="preserve">. Stanovenou strukturou a počtem zaměstnanců </w:t>
      </w:r>
      <w:r w:rsidR="002B1AEB">
        <w:br/>
        <w:t xml:space="preserve">na jednotlivých pozicích a jim příslušného očekávaného podílu produkční činnosti </w:t>
      </w:r>
      <w:r w:rsidR="002B1AEB">
        <w:br/>
        <w:t xml:space="preserve">na celkovém fondu pracovní doby je dán roční fond produkční pracovní doby. </w:t>
      </w:r>
      <w:r w:rsidR="004E112B">
        <w:t>Vyn</w:t>
      </w:r>
      <w:r w:rsidR="002B1AEB">
        <w:t xml:space="preserve">ásobením fondu produkční pracovní doby </w:t>
      </w:r>
      <w:r w:rsidR="004E112B">
        <w:t xml:space="preserve">každé skupiny zaměstnanců </w:t>
      </w:r>
      <w:r w:rsidR="002B1AEB">
        <w:t xml:space="preserve">a </w:t>
      </w:r>
      <w:r w:rsidR="004E112B">
        <w:t xml:space="preserve">příslušné </w:t>
      </w:r>
      <w:r w:rsidR="002B1AEB">
        <w:t xml:space="preserve">sazby „člověkoden“ se v rámci modelu </w:t>
      </w:r>
      <w:r w:rsidR="00726472">
        <w:t>o</w:t>
      </w:r>
      <w:r w:rsidR="002B1AEB">
        <w:t xml:space="preserve">testuje, zda je dosahováno požadovaného objemu přidané hodnoty. </w:t>
      </w:r>
    </w:p>
    <w:p w:rsidR="00480204" w:rsidRPr="005672E3" w:rsidRDefault="00480204" w:rsidP="00480204">
      <w:pPr>
        <w:keepNext/>
        <w:spacing w:before="120" w:after="120" w:line="240" w:lineRule="auto"/>
        <w:rPr>
          <w:sz w:val="22"/>
        </w:rPr>
      </w:pPr>
      <w:r w:rsidRPr="005672E3">
        <w:rPr>
          <w:sz w:val="22"/>
        </w:rPr>
        <w:t xml:space="preserve">Tabulka </w:t>
      </w:r>
      <w:r>
        <w:rPr>
          <w:sz w:val="22"/>
        </w:rPr>
        <w:t>4</w:t>
      </w:r>
      <w:r w:rsidRPr="005672E3">
        <w:rPr>
          <w:sz w:val="22"/>
        </w:rPr>
        <w:t xml:space="preserve"> Model propočtu a ověření sazeb za práci zaměstnanců </w:t>
      </w:r>
    </w:p>
    <w:tbl>
      <w:tblPr>
        <w:tblW w:w="8510" w:type="dxa"/>
        <w:tblInd w:w="65"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70" w:type="dxa"/>
          <w:right w:w="70" w:type="dxa"/>
        </w:tblCellMar>
        <w:tblLook w:val="04A0"/>
      </w:tblPr>
      <w:tblGrid>
        <w:gridCol w:w="2552"/>
        <w:gridCol w:w="851"/>
        <w:gridCol w:w="1277"/>
        <w:gridCol w:w="1277"/>
        <w:gridCol w:w="1276"/>
        <w:gridCol w:w="1277"/>
      </w:tblGrid>
      <w:tr w:rsidR="00480204" w:rsidRPr="005333CD" w:rsidTr="000E062F">
        <w:trPr>
          <w:trHeight w:val="255"/>
        </w:trPr>
        <w:tc>
          <w:tcPr>
            <w:tcW w:w="255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480204" w:rsidRPr="005333CD" w:rsidRDefault="00480204" w:rsidP="002E57DE">
            <w:pPr>
              <w:spacing w:after="0" w:line="240" w:lineRule="auto"/>
              <w:jc w:val="left"/>
              <w:rPr>
                <w:sz w:val="22"/>
                <w:szCs w:val="22"/>
              </w:rPr>
            </w:pPr>
            <w:r>
              <w:rPr>
                <w:sz w:val="22"/>
                <w:szCs w:val="22"/>
              </w:rPr>
              <w:t xml:space="preserve">Oddělení – </w:t>
            </w:r>
            <w:r w:rsidRPr="005333CD">
              <w:rPr>
                <w:sz w:val="22"/>
                <w:szCs w:val="22"/>
              </w:rPr>
              <w:t>Kategorie</w:t>
            </w:r>
            <w:r>
              <w:rPr>
                <w:sz w:val="22"/>
                <w:szCs w:val="22"/>
              </w:rPr>
              <w:t xml:space="preserve"> zam.</w:t>
            </w:r>
          </w:p>
        </w:tc>
        <w:tc>
          <w:tcPr>
            <w:tcW w:w="851"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480204" w:rsidRPr="005333CD" w:rsidRDefault="00480204" w:rsidP="002E57DE">
            <w:pPr>
              <w:spacing w:after="0" w:line="240" w:lineRule="auto"/>
              <w:jc w:val="right"/>
              <w:rPr>
                <w:sz w:val="22"/>
                <w:szCs w:val="22"/>
              </w:rPr>
            </w:pPr>
            <w:r>
              <w:rPr>
                <w:sz w:val="22"/>
                <w:szCs w:val="22"/>
              </w:rPr>
              <w:t>Počet zam.</w:t>
            </w:r>
          </w:p>
        </w:tc>
        <w:tc>
          <w:tcPr>
            <w:tcW w:w="12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480204" w:rsidRPr="005333CD" w:rsidRDefault="00480204" w:rsidP="002E57DE">
            <w:pPr>
              <w:spacing w:after="0" w:line="240" w:lineRule="auto"/>
              <w:jc w:val="right"/>
              <w:rPr>
                <w:sz w:val="22"/>
                <w:szCs w:val="22"/>
              </w:rPr>
            </w:pPr>
            <w:r>
              <w:rPr>
                <w:sz w:val="22"/>
                <w:szCs w:val="22"/>
              </w:rPr>
              <w:t>Podíl prod. činnosti</w:t>
            </w:r>
          </w:p>
        </w:tc>
        <w:tc>
          <w:tcPr>
            <w:tcW w:w="12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480204" w:rsidRPr="005333CD" w:rsidRDefault="00480204" w:rsidP="00DC24F1">
            <w:pPr>
              <w:spacing w:after="0" w:line="240" w:lineRule="auto"/>
              <w:jc w:val="right"/>
              <w:rPr>
                <w:sz w:val="22"/>
                <w:szCs w:val="22"/>
              </w:rPr>
            </w:pPr>
            <w:r>
              <w:rPr>
                <w:sz w:val="22"/>
                <w:szCs w:val="22"/>
              </w:rPr>
              <w:t xml:space="preserve">Sazba </w:t>
            </w:r>
            <w:r w:rsidR="00DC24F1">
              <w:rPr>
                <w:sz w:val="22"/>
                <w:szCs w:val="22"/>
              </w:rPr>
              <w:br/>
            </w:r>
            <w:r>
              <w:rPr>
                <w:sz w:val="22"/>
                <w:szCs w:val="22"/>
              </w:rPr>
              <w:t>v tis. Kč/den</w:t>
            </w:r>
          </w:p>
        </w:tc>
        <w:tc>
          <w:tcPr>
            <w:tcW w:w="1276" w:type="dxa"/>
            <w:tcBorders>
              <w:top w:val="single" w:sz="8" w:space="0" w:color="7F7F7F" w:themeColor="text1" w:themeTint="80"/>
              <w:left w:val="single" w:sz="8" w:space="0" w:color="7F7F7F" w:themeColor="text1" w:themeTint="80"/>
              <w:bottom w:val="single" w:sz="8" w:space="0" w:color="7F7F7F" w:themeColor="text1" w:themeTint="80"/>
            </w:tcBorders>
            <w:shd w:val="clear" w:color="auto" w:fill="auto"/>
            <w:noWrap/>
            <w:vAlign w:val="center"/>
            <w:hideMark/>
          </w:tcPr>
          <w:p w:rsidR="00480204" w:rsidRPr="005333CD" w:rsidRDefault="00480204" w:rsidP="00DC24F1">
            <w:pPr>
              <w:spacing w:after="0" w:line="240" w:lineRule="auto"/>
              <w:jc w:val="right"/>
              <w:rPr>
                <w:sz w:val="22"/>
                <w:szCs w:val="22"/>
              </w:rPr>
            </w:pPr>
            <w:r>
              <w:rPr>
                <w:sz w:val="22"/>
                <w:szCs w:val="22"/>
              </w:rPr>
              <w:t>Přid. hodn.</w:t>
            </w:r>
            <w:r w:rsidR="00DC24F1">
              <w:rPr>
                <w:sz w:val="22"/>
                <w:szCs w:val="22"/>
              </w:rPr>
              <w:br/>
            </w:r>
            <w:r>
              <w:rPr>
                <w:sz w:val="22"/>
                <w:szCs w:val="22"/>
              </w:rPr>
              <w:t>v tis. Kč/den</w:t>
            </w:r>
          </w:p>
        </w:tc>
        <w:tc>
          <w:tcPr>
            <w:tcW w:w="1277" w:type="dxa"/>
            <w:tcBorders>
              <w:top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480204" w:rsidRPr="00541D4E" w:rsidRDefault="00480204" w:rsidP="002E57DE">
            <w:pPr>
              <w:spacing w:after="0" w:line="240" w:lineRule="auto"/>
              <w:jc w:val="right"/>
              <w:rPr>
                <w:sz w:val="22"/>
                <w:szCs w:val="22"/>
              </w:rPr>
            </w:pPr>
            <w:r w:rsidRPr="00541D4E">
              <w:rPr>
                <w:sz w:val="22"/>
                <w:szCs w:val="22"/>
              </w:rPr>
              <w:t>Přid. hodn.</w:t>
            </w:r>
            <w:r w:rsidRPr="00541D4E">
              <w:rPr>
                <w:sz w:val="22"/>
                <w:szCs w:val="22"/>
              </w:rPr>
              <w:br/>
              <w:t>v tis. Kč/rok</w:t>
            </w:r>
          </w:p>
        </w:tc>
      </w:tr>
      <w:tr w:rsidR="00480204" w:rsidRPr="005333CD" w:rsidTr="002E57DE">
        <w:trPr>
          <w:trHeight w:val="255"/>
        </w:trPr>
        <w:tc>
          <w:tcPr>
            <w:tcW w:w="2552" w:type="dxa"/>
            <w:tcBorders>
              <w:top w:val="single" w:sz="8" w:space="0" w:color="7F7F7F" w:themeColor="text1" w:themeTint="80"/>
              <w:left w:val="single" w:sz="8" w:space="0" w:color="7F7F7F" w:themeColor="text1" w:themeTint="80"/>
              <w:right w:val="single" w:sz="8" w:space="0" w:color="7F7F7F" w:themeColor="text1" w:themeTint="80"/>
            </w:tcBorders>
            <w:shd w:val="clear" w:color="auto" w:fill="auto"/>
            <w:noWrap/>
            <w:vAlign w:val="center"/>
            <w:hideMark/>
          </w:tcPr>
          <w:p w:rsidR="00480204" w:rsidRPr="005333CD" w:rsidRDefault="00480204" w:rsidP="002E57DE">
            <w:pPr>
              <w:spacing w:after="0" w:line="240" w:lineRule="auto"/>
              <w:jc w:val="left"/>
              <w:rPr>
                <w:sz w:val="22"/>
                <w:szCs w:val="22"/>
              </w:rPr>
            </w:pPr>
            <w:r w:rsidRPr="005333CD">
              <w:rPr>
                <w:sz w:val="22"/>
                <w:szCs w:val="22"/>
              </w:rPr>
              <w:t xml:space="preserve">Výzkum </w:t>
            </w:r>
            <w:r>
              <w:rPr>
                <w:sz w:val="22"/>
                <w:szCs w:val="22"/>
              </w:rPr>
              <w:t xml:space="preserve">– </w:t>
            </w:r>
            <w:r w:rsidRPr="005333CD">
              <w:rPr>
                <w:sz w:val="22"/>
                <w:szCs w:val="22"/>
              </w:rPr>
              <w:t>Ředitel</w:t>
            </w:r>
          </w:p>
        </w:tc>
        <w:tc>
          <w:tcPr>
            <w:tcW w:w="851" w:type="dxa"/>
            <w:tcBorders>
              <w:top w:val="single" w:sz="8" w:space="0" w:color="7F7F7F" w:themeColor="text1" w:themeTint="80"/>
              <w:left w:val="single" w:sz="8" w:space="0" w:color="7F7F7F" w:themeColor="text1" w:themeTint="80"/>
              <w:right w:val="single" w:sz="8" w:space="0" w:color="7F7F7F" w:themeColor="text1" w:themeTint="80"/>
            </w:tcBorders>
            <w:vAlign w:val="center"/>
          </w:tcPr>
          <w:p w:rsidR="00480204" w:rsidRPr="005333CD" w:rsidRDefault="006D4950" w:rsidP="006D4950">
            <w:pPr>
              <w:spacing w:after="0" w:line="240" w:lineRule="auto"/>
              <w:jc w:val="right"/>
              <w:rPr>
                <w:sz w:val="22"/>
                <w:szCs w:val="22"/>
              </w:rPr>
            </w:pPr>
            <w:r>
              <w:rPr>
                <w:sz w:val="22"/>
                <w:szCs w:val="22"/>
              </w:rPr>
              <w:t>1</w:t>
            </w:r>
            <w:r w:rsidR="00480204" w:rsidRPr="005333CD">
              <w:rPr>
                <w:sz w:val="22"/>
                <w:szCs w:val="22"/>
              </w:rPr>
              <w:t>,0</w:t>
            </w:r>
          </w:p>
        </w:tc>
        <w:tc>
          <w:tcPr>
            <w:tcW w:w="1277" w:type="dxa"/>
            <w:tcBorders>
              <w:top w:val="single" w:sz="8" w:space="0" w:color="7F7F7F" w:themeColor="text1" w:themeTint="80"/>
              <w:left w:val="single" w:sz="8" w:space="0" w:color="7F7F7F" w:themeColor="text1" w:themeTint="80"/>
              <w:right w:val="single" w:sz="8" w:space="0" w:color="7F7F7F" w:themeColor="text1" w:themeTint="80"/>
            </w:tcBorders>
            <w:vAlign w:val="center"/>
          </w:tcPr>
          <w:p w:rsidR="00480204" w:rsidRPr="005333CD" w:rsidRDefault="006D4950" w:rsidP="002E57DE">
            <w:pPr>
              <w:spacing w:after="0" w:line="240" w:lineRule="auto"/>
              <w:jc w:val="right"/>
              <w:rPr>
                <w:sz w:val="22"/>
                <w:szCs w:val="22"/>
              </w:rPr>
            </w:pPr>
            <w:r>
              <w:rPr>
                <w:sz w:val="22"/>
                <w:szCs w:val="22"/>
              </w:rPr>
              <w:t>21,9</w:t>
            </w:r>
            <w:r w:rsidR="00480204" w:rsidRPr="005333CD">
              <w:rPr>
                <w:sz w:val="22"/>
                <w:szCs w:val="22"/>
              </w:rPr>
              <w:t>%</w:t>
            </w:r>
          </w:p>
        </w:tc>
        <w:tc>
          <w:tcPr>
            <w:tcW w:w="1277" w:type="dxa"/>
            <w:tcBorders>
              <w:top w:val="single" w:sz="8" w:space="0" w:color="7F7F7F" w:themeColor="text1" w:themeTint="80"/>
              <w:left w:val="single" w:sz="8" w:space="0" w:color="7F7F7F" w:themeColor="text1" w:themeTint="80"/>
              <w:right w:val="single" w:sz="8" w:space="0" w:color="7F7F7F" w:themeColor="text1" w:themeTint="80"/>
            </w:tcBorders>
            <w:shd w:val="clear" w:color="auto" w:fill="auto"/>
            <w:noWrap/>
            <w:vAlign w:val="center"/>
            <w:hideMark/>
          </w:tcPr>
          <w:p w:rsidR="00480204" w:rsidRPr="005333CD" w:rsidRDefault="00480204" w:rsidP="002E57DE">
            <w:pPr>
              <w:spacing w:after="0" w:line="240" w:lineRule="auto"/>
              <w:jc w:val="right"/>
              <w:rPr>
                <w:sz w:val="22"/>
                <w:szCs w:val="22"/>
              </w:rPr>
            </w:pPr>
            <w:r w:rsidRPr="005333CD">
              <w:rPr>
                <w:sz w:val="22"/>
                <w:szCs w:val="22"/>
              </w:rPr>
              <w:t>12,0</w:t>
            </w:r>
          </w:p>
        </w:tc>
        <w:tc>
          <w:tcPr>
            <w:tcW w:w="1276" w:type="dxa"/>
            <w:tcBorders>
              <w:top w:val="single" w:sz="8" w:space="0" w:color="7F7F7F" w:themeColor="text1" w:themeTint="80"/>
              <w:left w:val="single" w:sz="8" w:space="0" w:color="7F7F7F" w:themeColor="text1" w:themeTint="80"/>
            </w:tcBorders>
            <w:shd w:val="clear" w:color="auto" w:fill="auto"/>
            <w:noWrap/>
            <w:vAlign w:val="center"/>
            <w:hideMark/>
          </w:tcPr>
          <w:p w:rsidR="00480204" w:rsidRPr="005333CD" w:rsidRDefault="006D4950" w:rsidP="002E57DE">
            <w:pPr>
              <w:spacing w:after="0" w:line="240" w:lineRule="auto"/>
              <w:jc w:val="right"/>
              <w:rPr>
                <w:sz w:val="22"/>
                <w:szCs w:val="22"/>
              </w:rPr>
            </w:pPr>
            <w:r>
              <w:rPr>
                <w:sz w:val="22"/>
                <w:szCs w:val="22"/>
              </w:rPr>
              <w:t>2,6</w:t>
            </w:r>
          </w:p>
        </w:tc>
        <w:tc>
          <w:tcPr>
            <w:tcW w:w="1277" w:type="dxa"/>
            <w:tcBorders>
              <w:top w:val="single" w:sz="8" w:space="0" w:color="7F7F7F" w:themeColor="text1" w:themeTint="80"/>
              <w:right w:val="single" w:sz="8" w:space="0" w:color="7F7F7F" w:themeColor="text1" w:themeTint="80"/>
            </w:tcBorders>
            <w:shd w:val="clear" w:color="auto" w:fill="auto"/>
            <w:noWrap/>
            <w:vAlign w:val="center"/>
            <w:hideMark/>
          </w:tcPr>
          <w:p w:rsidR="00480204" w:rsidRPr="00541D4E" w:rsidRDefault="006D4950" w:rsidP="002E57DE">
            <w:pPr>
              <w:spacing w:after="0" w:line="240" w:lineRule="auto"/>
              <w:jc w:val="right"/>
              <w:rPr>
                <w:sz w:val="22"/>
                <w:szCs w:val="22"/>
              </w:rPr>
            </w:pPr>
            <w:r>
              <w:rPr>
                <w:sz w:val="22"/>
                <w:szCs w:val="22"/>
              </w:rPr>
              <w:t>579,8</w:t>
            </w:r>
          </w:p>
        </w:tc>
      </w:tr>
      <w:tr w:rsidR="00480204" w:rsidRPr="005333CD" w:rsidTr="002E57DE">
        <w:trPr>
          <w:trHeight w:val="255"/>
        </w:trPr>
        <w:tc>
          <w:tcPr>
            <w:tcW w:w="2552" w:type="dxa"/>
            <w:tcBorders>
              <w:left w:val="single" w:sz="8" w:space="0" w:color="7F7F7F" w:themeColor="text1" w:themeTint="80"/>
              <w:right w:val="single" w:sz="8" w:space="0" w:color="7F7F7F" w:themeColor="text1" w:themeTint="80"/>
            </w:tcBorders>
            <w:shd w:val="clear" w:color="auto" w:fill="auto"/>
            <w:noWrap/>
            <w:vAlign w:val="center"/>
            <w:hideMark/>
          </w:tcPr>
          <w:p w:rsidR="00480204" w:rsidRPr="005333CD" w:rsidRDefault="00480204" w:rsidP="002E57DE">
            <w:pPr>
              <w:spacing w:after="0" w:line="240" w:lineRule="auto"/>
              <w:jc w:val="left"/>
              <w:rPr>
                <w:sz w:val="22"/>
                <w:szCs w:val="22"/>
              </w:rPr>
            </w:pPr>
            <w:r w:rsidRPr="005333CD">
              <w:rPr>
                <w:sz w:val="22"/>
                <w:szCs w:val="22"/>
              </w:rPr>
              <w:t xml:space="preserve">Výzkum </w:t>
            </w:r>
            <w:r>
              <w:rPr>
                <w:sz w:val="22"/>
                <w:szCs w:val="22"/>
              </w:rPr>
              <w:t>– Expert 1</w:t>
            </w:r>
          </w:p>
        </w:tc>
        <w:tc>
          <w:tcPr>
            <w:tcW w:w="851" w:type="dxa"/>
            <w:tcBorders>
              <w:left w:val="single" w:sz="8" w:space="0" w:color="7F7F7F" w:themeColor="text1" w:themeTint="80"/>
              <w:right w:val="single" w:sz="8" w:space="0" w:color="7F7F7F" w:themeColor="text1" w:themeTint="80"/>
            </w:tcBorders>
            <w:vAlign w:val="center"/>
          </w:tcPr>
          <w:p w:rsidR="00480204" w:rsidRPr="005333CD" w:rsidRDefault="00480204" w:rsidP="002E57DE">
            <w:pPr>
              <w:spacing w:after="0" w:line="240" w:lineRule="auto"/>
              <w:jc w:val="right"/>
              <w:rPr>
                <w:sz w:val="22"/>
                <w:szCs w:val="22"/>
              </w:rPr>
            </w:pPr>
            <w:r w:rsidRPr="005333CD">
              <w:rPr>
                <w:sz w:val="22"/>
                <w:szCs w:val="22"/>
              </w:rPr>
              <w:t>7,0</w:t>
            </w:r>
          </w:p>
        </w:tc>
        <w:tc>
          <w:tcPr>
            <w:tcW w:w="1277" w:type="dxa"/>
            <w:tcBorders>
              <w:left w:val="single" w:sz="8" w:space="0" w:color="7F7F7F" w:themeColor="text1" w:themeTint="80"/>
              <w:right w:val="single" w:sz="8" w:space="0" w:color="7F7F7F" w:themeColor="text1" w:themeTint="80"/>
            </w:tcBorders>
            <w:vAlign w:val="center"/>
          </w:tcPr>
          <w:p w:rsidR="00480204" w:rsidRPr="005333CD" w:rsidRDefault="00480204" w:rsidP="006D4950">
            <w:pPr>
              <w:spacing w:after="0" w:line="240" w:lineRule="auto"/>
              <w:jc w:val="right"/>
              <w:rPr>
                <w:sz w:val="22"/>
                <w:szCs w:val="22"/>
              </w:rPr>
            </w:pPr>
            <w:r>
              <w:rPr>
                <w:sz w:val="22"/>
                <w:szCs w:val="22"/>
              </w:rPr>
              <w:t>38,</w:t>
            </w:r>
            <w:r w:rsidR="006D4950">
              <w:rPr>
                <w:sz w:val="22"/>
                <w:szCs w:val="22"/>
              </w:rPr>
              <w:t>4</w:t>
            </w:r>
            <w:r w:rsidRPr="005333CD">
              <w:rPr>
                <w:sz w:val="22"/>
                <w:szCs w:val="22"/>
              </w:rPr>
              <w:t>%</w:t>
            </w:r>
          </w:p>
        </w:tc>
        <w:tc>
          <w:tcPr>
            <w:tcW w:w="1277" w:type="dxa"/>
            <w:tcBorders>
              <w:left w:val="single" w:sz="8" w:space="0" w:color="7F7F7F" w:themeColor="text1" w:themeTint="80"/>
              <w:right w:val="single" w:sz="8" w:space="0" w:color="7F7F7F" w:themeColor="text1" w:themeTint="80"/>
            </w:tcBorders>
            <w:shd w:val="clear" w:color="auto" w:fill="auto"/>
            <w:noWrap/>
            <w:vAlign w:val="center"/>
            <w:hideMark/>
          </w:tcPr>
          <w:p w:rsidR="00480204" w:rsidRPr="005333CD" w:rsidRDefault="00480204" w:rsidP="002E57DE">
            <w:pPr>
              <w:spacing w:after="0" w:line="240" w:lineRule="auto"/>
              <w:jc w:val="right"/>
              <w:rPr>
                <w:sz w:val="22"/>
                <w:szCs w:val="22"/>
              </w:rPr>
            </w:pPr>
            <w:r w:rsidRPr="005333CD">
              <w:rPr>
                <w:sz w:val="22"/>
                <w:szCs w:val="22"/>
              </w:rPr>
              <w:t>9,6</w:t>
            </w:r>
          </w:p>
        </w:tc>
        <w:tc>
          <w:tcPr>
            <w:tcW w:w="1276" w:type="dxa"/>
            <w:tcBorders>
              <w:left w:val="single" w:sz="8" w:space="0" w:color="7F7F7F" w:themeColor="text1" w:themeTint="80"/>
            </w:tcBorders>
            <w:shd w:val="clear" w:color="auto" w:fill="auto"/>
            <w:noWrap/>
            <w:vAlign w:val="center"/>
            <w:hideMark/>
          </w:tcPr>
          <w:p w:rsidR="00480204" w:rsidRPr="005333CD" w:rsidRDefault="00480204" w:rsidP="006D4950">
            <w:pPr>
              <w:spacing w:after="0" w:line="240" w:lineRule="auto"/>
              <w:jc w:val="right"/>
              <w:rPr>
                <w:sz w:val="22"/>
                <w:szCs w:val="22"/>
              </w:rPr>
            </w:pPr>
            <w:r w:rsidRPr="005333CD">
              <w:rPr>
                <w:sz w:val="22"/>
                <w:szCs w:val="22"/>
              </w:rPr>
              <w:t>2</w:t>
            </w:r>
            <w:r>
              <w:rPr>
                <w:sz w:val="22"/>
                <w:szCs w:val="22"/>
              </w:rPr>
              <w:t>5,</w:t>
            </w:r>
            <w:r w:rsidR="006D4950">
              <w:rPr>
                <w:sz w:val="22"/>
                <w:szCs w:val="22"/>
              </w:rPr>
              <w:t>8</w:t>
            </w:r>
          </w:p>
        </w:tc>
        <w:tc>
          <w:tcPr>
            <w:tcW w:w="1277" w:type="dxa"/>
            <w:tcBorders>
              <w:right w:val="single" w:sz="8" w:space="0" w:color="7F7F7F" w:themeColor="text1" w:themeTint="80"/>
            </w:tcBorders>
            <w:shd w:val="clear" w:color="auto" w:fill="auto"/>
            <w:noWrap/>
            <w:vAlign w:val="center"/>
            <w:hideMark/>
          </w:tcPr>
          <w:p w:rsidR="00480204" w:rsidRPr="00541D4E" w:rsidRDefault="00480204" w:rsidP="006D4950">
            <w:pPr>
              <w:spacing w:after="0" w:line="240" w:lineRule="auto"/>
              <w:jc w:val="right"/>
              <w:rPr>
                <w:sz w:val="22"/>
                <w:szCs w:val="22"/>
              </w:rPr>
            </w:pPr>
            <w:r w:rsidRPr="00541D4E">
              <w:rPr>
                <w:sz w:val="22"/>
                <w:szCs w:val="22"/>
              </w:rPr>
              <w:t>5</w:t>
            </w:r>
            <w:r w:rsidR="006D4950">
              <w:rPr>
                <w:sz w:val="22"/>
                <w:szCs w:val="22"/>
              </w:rPr>
              <w:t xml:space="preserve"> 753,4</w:t>
            </w:r>
          </w:p>
        </w:tc>
      </w:tr>
      <w:tr w:rsidR="00480204" w:rsidRPr="005333CD" w:rsidTr="002E57DE">
        <w:trPr>
          <w:trHeight w:val="255"/>
        </w:trPr>
        <w:tc>
          <w:tcPr>
            <w:tcW w:w="2552" w:type="dxa"/>
            <w:tcBorders>
              <w:left w:val="single" w:sz="8" w:space="0" w:color="7F7F7F" w:themeColor="text1" w:themeTint="80"/>
              <w:right w:val="single" w:sz="8" w:space="0" w:color="7F7F7F" w:themeColor="text1" w:themeTint="80"/>
            </w:tcBorders>
            <w:shd w:val="clear" w:color="auto" w:fill="auto"/>
            <w:noWrap/>
            <w:vAlign w:val="center"/>
            <w:hideMark/>
          </w:tcPr>
          <w:p w:rsidR="00480204" w:rsidRPr="005333CD" w:rsidRDefault="00480204" w:rsidP="002E57DE">
            <w:pPr>
              <w:spacing w:after="0" w:line="240" w:lineRule="auto"/>
              <w:jc w:val="left"/>
              <w:rPr>
                <w:sz w:val="22"/>
                <w:szCs w:val="22"/>
              </w:rPr>
            </w:pPr>
            <w:r w:rsidRPr="005333CD">
              <w:rPr>
                <w:sz w:val="22"/>
                <w:szCs w:val="22"/>
              </w:rPr>
              <w:t xml:space="preserve">Výzkum </w:t>
            </w:r>
            <w:r>
              <w:rPr>
                <w:sz w:val="22"/>
                <w:szCs w:val="22"/>
              </w:rPr>
              <w:t xml:space="preserve">– </w:t>
            </w:r>
            <w:r w:rsidRPr="005333CD">
              <w:rPr>
                <w:sz w:val="22"/>
                <w:szCs w:val="22"/>
              </w:rPr>
              <w:t>Expert 2</w:t>
            </w:r>
          </w:p>
        </w:tc>
        <w:tc>
          <w:tcPr>
            <w:tcW w:w="851" w:type="dxa"/>
            <w:tcBorders>
              <w:left w:val="single" w:sz="8" w:space="0" w:color="7F7F7F" w:themeColor="text1" w:themeTint="80"/>
              <w:right w:val="single" w:sz="8" w:space="0" w:color="7F7F7F" w:themeColor="text1" w:themeTint="80"/>
            </w:tcBorders>
            <w:vAlign w:val="center"/>
          </w:tcPr>
          <w:p w:rsidR="00480204" w:rsidRPr="005333CD" w:rsidRDefault="00480204" w:rsidP="002E57DE">
            <w:pPr>
              <w:spacing w:after="0" w:line="240" w:lineRule="auto"/>
              <w:jc w:val="right"/>
              <w:rPr>
                <w:sz w:val="22"/>
                <w:szCs w:val="22"/>
              </w:rPr>
            </w:pPr>
            <w:r w:rsidRPr="005333CD">
              <w:rPr>
                <w:sz w:val="22"/>
                <w:szCs w:val="22"/>
              </w:rPr>
              <w:t>14,0</w:t>
            </w:r>
          </w:p>
        </w:tc>
        <w:tc>
          <w:tcPr>
            <w:tcW w:w="1277" w:type="dxa"/>
            <w:tcBorders>
              <w:left w:val="single" w:sz="8" w:space="0" w:color="7F7F7F" w:themeColor="text1" w:themeTint="80"/>
              <w:right w:val="single" w:sz="8" w:space="0" w:color="7F7F7F" w:themeColor="text1" w:themeTint="80"/>
            </w:tcBorders>
            <w:vAlign w:val="center"/>
          </w:tcPr>
          <w:p w:rsidR="00480204" w:rsidRPr="005333CD" w:rsidRDefault="006D4950" w:rsidP="002E57DE">
            <w:pPr>
              <w:spacing w:after="0" w:line="240" w:lineRule="auto"/>
              <w:jc w:val="right"/>
              <w:rPr>
                <w:sz w:val="22"/>
                <w:szCs w:val="22"/>
              </w:rPr>
            </w:pPr>
            <w:r>
              <w:rPr>
                <w:sz w:val="22"/>
                <w:szCs w:val="22"/>
              </w:rPr>
              <w:t>60,4</w:t>
            </w:r>
            <w:r w:rsidR="00480204" w:rsidRPr="005333CD">
              <w:rPr>
                <w:sz w:val="22"/>
                <w:szCs w:val="22"/>
              </w:rPr>
              <w:t>%</w:t>
            </w:r>
          </w:p>
        </w:tc>
        <w:tc>
          <w:tcPr>
            <w:tcW w:w="1277" w:type="dxa"/>
            <w:tcBorders>
              <w:left w:val="single" w:sz="8" w:space="0" w:color="7F7F7F" w:themeColor="text1" w:themeTint="80"/>
              <w:right w:val="single" w:sz="8" w:space="0" w:color="7F7F7F" w:themeColor="text1" w:themeTint="80"/>
            </w:tcBorders>
            <w:shd w:val="clear" w:color="auto" w:fill="auto"/>
            <w:noWrap/>
            <w:vAlign w:val="center"/>
            <w:hideMark/>
          </w:tcPr>
          <w:p w:rsidR="00480204" w:rsidRPr="005333CD" w:rsidRDefault="00480204" w:rsidP="002E57DE">
            <w:pPr>
              <w:spacing w:after="0" w:line="240" w:lineRule="auto"/>
              <w:jc w:val="right"/>
              <w:rPr>
                <w:sz w:val="22"/>
                <w:szCs w:val="22"/>
              </w:rPr>
            </w:pPr>
            <w:r w:rsidRPr="005333CD">
              <w:rPr>
                <w:sz w:val="22"/>
                <w:szCs w:val="22"/>
              </w:rPr>
              <w:t>8,0</w:t>
            </w:r>
          </w:p>
        </w:tc>
        <w:tc>
          <w:tcPr>
            <w:tcW w:w="1276" w:type="dxa"/>
            <w:tcBorders>
              <w:left w:val="single" w:sz="8" w:space="0" w:color="7F7F7F" w:themeColor="text1" w:themeTint="80"/>
            </w:tcBorders>
            <w:shd w:val="clear" w:color="auto" w:fill="auto"/>
            <w:noWrap/>
            <w:vAlign w:val="center"/>
            <w:hideMark/>
          </w:tcPr>
          <w:p w:rsidR="00480204" w:rsidRPr="005333CD" w:rsidRDefault="00480204" w:rsidP="006D4950">
            <w:pPr>
              <w:spacing w:after="0" w:line="240" w:lineRule="auto"/>
              <w:jc w:val="right"/>
              <w:rPr>
                <w:sz w:val="22"/>
                <w:szCs w:val="22"/>
              </w:rPr>
            </w:pPr>
            <w:r w:rsidRPr="005333CD">
              <w:rPr>
                <w:sz w:val="22"/>
                <w:szCs w:val="22"/>
              </w:rPr>
              <w:t>6</w:t>
            </w:r>
            <w:r>
              <w:rPr>
                <w:sz w:val="22"/>
                <w:szCs w:val="22"/>
              </w:rPr>
              <w:t>7,</w:t>
            </w:r>
            <w:r w:rsidR="006D4950">
              <w:rPr>
                <w:sz w:val="22"/>
                <w:szCs w:val="22"/>
              </w:rPr>
              <w:t>6</w:t>
            </w:r>
          </w:p>
        </w:tc>
        <w:tc>
          <w:tcPr>
            <w:tcW w:w="1277" w:type="dxa"/>
            <w:tcBorders>
              <w:right w:val="single" w:sz="8" w:space="0" w:color="7F7F7F" w:themeColor="text1" w:themeTint="80"/>
            </w:tcBorders>
            <w:shd w:val="clear" w:color="auto" w:fill="auto"/>
            <w:noWrap/>
            <w:vAlign w:val="center"/>
            <w:hideMark/>
          </w:tcPr>
          <w:p w:rsidR="00480204" w:rsidRPr="00541D4E" w:rsidRDefault="006D4950" w:rsidP="006D4950">
            <w:pPr>
              <w:spacing w:after="0" w:line="240" w:lineRule="auto"/>
              <w:jc w:val="right"/>
              <w:rPr>
                <w:sz w:val="22"/>
                <w:szCs w:val="22"/>
              </w:rPr>
            </w:pPr>
            <w:r>
              <w:rPr>
                <w:sz w:val="22"/>
                <w:szCs w:val="22"/>
              </w:rPr>
              <w:t>15 074,8</w:t>
            </w:r>
          </w:p>
        </w:tc>
      </w:tr>
      <w:tr w:rsidR="00480204" w:rsidRPr="005333CD" w:rsidTr="000E062F">
        <w:trPr>
          <w:trHeight w:val="255"/>
        </w:trPr>
        <w:tc>
          <w:tcPr>
            <w:tcW w:w="2552" w:type="dxa"/>
            <w:tcBorders>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480204" w:rsidRPr="005333CD" w:rsidRDefault="00480204" w:rsidP="002E57DE">
            <w:pPr>
              <w:spacing w:after="0" w:line="240" w:lineRule="auto"/>
              <w:jc w:val="left"/>
              <w:rPr>
                <w:sz w:val="22"/>
                <w:szCs w:val="22"/>
              </w:rPr>
            </w:pPr>
            <w:r w:rsidRPr="005333CD">
              <w:rPr>
                <w:sz w:val="22"/>
                <w:szCs w:val="22"/>
              </w:rPr>
              <w:t xml:space="preserve">Výzkum </w:t>
            </w:r>
            <w:r>
              <w:rPr>
                <w:sz w:val="22"/>
                <w:szCs w:val="22"/>
              </w:rPr>
              <w:t xml:space="preserve">– </w:t>
            </w:r>
            <w:r w:rsidRPr="005333CD">
              <w:rPr>
                <w:sz w:val="22"/>
                <w:szCs w:val="22"/>
              </w:rPr>
              <w:t>Asistent</w:t>
            </w:r>
          </w:p>
        </w:tc>
        <w:tc>
          <w:tcPr>
            <w:tcW w:w="851" w:type="dxa"/>
            <w:tcBorders>
              <w:left w:val="single" w:sz="8" w:space="0" w:color="7F7F7F" w:themeColor="text1" w:themeTint="80"/>
              <w:bottom w:val="single" w:sz="8" w:space="0" w:color="7F7F7F" w:themeColor="text1" w:themeTint="80"/>
              <w:right w:val="single" w:sz="8" w:space="0" w:color="7F7F7F" w:themeColor="text1" w:themeTint="80"/>
            </w:tcBorders>
            <w:vAlign w:val="center"/>
          </w:tcPr>
          <w:p w:rsidR="00480204" w:rsidRPr="005333CD" w:rsidRDefault="006D4950" w:rsidP="002E57DE">
            <w:pPr>
              <w:spacing w:after="0" w:line="240" w:lineRule="auto"/>
              <w:jc w:val="right"/>
              <w:rPr>
                <w:sz w:val="22"/>
                <w:szCs w:val="22"/>
              </w:rPr>
            </w:pPr>
            <w:r>
              <w:rPr>
                <w:sz w:val="22"/>
                <w:szCs w:val="22"/>
              </w:rPr>
              <w:t>4,0</w:t>
            </w:r>
          </w:p>
        </w:tc>
        <w:tc>
          <w:tcPr>
            <w:tcW w:w="1277" w:type="dxa"/>
            <w:tcBorders>
              <w:left w:val="single" w:sz="8" w:space="0" w:color="7F7F7F" w:themeColor="text1" w:themeTint="80"/>
              <w:bottom w:val="single" w:sz="8" w:space="0" w:color="7F7F7F" w:themeColor="text1" w:themeTint="80"/>
              <w:right w:val="single" w:sz="8" w:space="0" w:color="7F7F7F" w:themeColor="text1" w:themeTint="80"/>
            </w:tcBorders>
            <w:vAlign w:val="center"/>
          </w:tcPr>
          <w:p w:rsidR="00480204" w:rsidRPr="005333CD" w:rsidRDefault="006D4950" w:rsidP="002E57DE">
            <w:pPr>
              <w:spacing w:after="0" w:line="240" w:lineRule="auto"/>
              <w:jc w:val="right"/>
              <w:rPr>
                <w:sz w:val="22"/>
                <w:szCs w:val="22"/>
              </w:rPr>
            </w:pPr>
            <w:r>
              <w:rPr>
                <w:sz w:val="22"/>
                <w:szCs w:val="22"/>
              </w:rPr>
              <w:t>71,3</w:t>
            </w:r>
            <w:r w:rsidR="00480204" w:rsidRPr="005333CD">
              <w:rPr>
                <w:sz w:val="22"/>
                <w:szCs w:val="22"/>
              </w:rPr>
              <w:t>%</w:t>
            </w:r>
          </w:p>
        </w:tc>
        <w:tc>
          <w:tcPr>
            <w:tcW w:w="1277" w:type="dxa"/>
            <w:tcBorders>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480204" w:rsidRPr="005333CD" w:rsidRDefault="006D4950" w:rsidP="002E57DE">
            <w:pPr>
              <w:spacing w:after="0" w:line="240" w:lineRule="auto"/>
              <w:jc w:val="right"/>
              <w:rPr>
                <w:sz w:val="22"/>
                <w:szCs w:val="22"/>
              </w:rPr>
            </w:pPr>
            <w:r>
              <w:rPr>
                <w:sz w:val="22"/>
                <w:szCs w:val="22"/>
              </w:rPr>
              <w:t>4,8</w:t>
            </w:r>
          </w:p>
        </w:tc>
        <w:tc>
          <w:tcPr>
            <w:tcW w:w="1276" w:type="dxa"/>
            <w:tcBorders>
              <w:left w:val="single" w:sz="8" w:space="0" w:color="7F7F7F" w:themeColor="text1" w:themeTint="80"/>
              <w:bottom w:val="single" w:sz="8" w:space="0" w:color="7F7F7F" w:themeColor="text1" w:themeTint="80"/>
            </w:tcBorders>
            <w:shd w:val="clear" w:color="auto" w:fill="auto"/>
            <w:noWrap/>
            <w:vAlign w:val="center"/>
            <w:hideMark/>
          </w:tcPr>
          <w:p w:rsidR="00480204" w:rsidRPr="005333CD" w:rsidRDefault="00480204" w:rsidP="002E57DE">
            <w:pPr>
              <w:spacing w:after="0" w:line="240" w:lineRule="auto"/>
              <w:jc w:val="right"/>
              <w:rPr>
                <w:sz w:val="22"/>
                <w:szCs w:val="22"/>
              </w:rPr>
            </w:pPr>
            <w:r w:rsidRPr="005333CD">
              <w:rPr>
                <w:sz w:val="22"/>
                <w:szCs w:val="22"/>
              </w:rPr>
              <w:t>1</w:t>
            </w:r>
            <w:r>
              <w:rPr>
                <w:sz w:val="22"/>
                <w:szCs w:val="22"/>
              </w:rPr>
              <w:t>3,7</w:t>
            </w:r>
          </w:p>
        </w:tc>
        <w:tc>
          <w:tcPr>
            <w:tcW w:w="1277" w:type="dxa"/>
            <w:tcBorders>
              <w:bottom w:val="single" w:sz="8" w:space="0" w:color="7F7F7F" w:themeColor="text1" w:themeTint="80"/>
              <w:right w:val="single" w:sz="8" w:space="0" w:color="7F7F7F" w:themeColor="text1" w:themeTint="80"/>
            </w:tcBorders>
            <w:shd w:val="clear" w:color="auto" w:fill="auto"/>
            <w:noWrap/>
            <w:vAlign w:val="center"/>
            <w:hideMark/>
          </w:tcPr>
          <w:p w:rsidR="00480204" w:rsidRPr="00541D4E" w:rsidRDefault="00480204" w:rsidP="006D4950">
            <w:pPr>
              <w:spacing w:after="0" w:line="240" w:lineRule="auto"/>
              <w:jc w:val="right"/>
              <w:rPr>
                <w:sz w:val="22"/>
                <w:szCs w:val="22"/>
              </w:rPr>
            </w:pPr>
            <w:r w:rsidRPr="00541D4E">
              <w:rPr>
                <w:sz w:val="22"/>
                <w:szCs w:val="22"/>
              </w:rPr>
              <w:t>3</w:t>
            </w:r>
            <w:r>
              <w:rPr>
                <w:sz w:val="22"/>
                <w:szCs w:val="22"/>
              </w:rPr>
              <w:t xml:space="preserve"> </w:t>
            </w:r>
            <w:r w:rsidR="006D4950">
              <w:rPr>
                <w:sz w:val="22"/>
                <w:szCs w:val="22"/>
              </w:rPr>
              <w:t>055</w:t>
            </w:r>
            <w:r w:rsidRPr="00541D4E">
              <w:rPr>
                <w:sz w:val="22"/>
                <w:szCs w:val="22"/>
              </w:rPr>
              <w:t>,</w:t>
            </w:r>
            <w:r w:rsidR="006D4950">
              <w:rPr>
                <w:sz w:val="22"/>
                <w:szCs w:val="22"/>
              </w:rPr>
              <w:t>1</w:t>
            </w:r>
          </w:p>
        </w:tc>
      </w:tr>
      <w:tr w:rsidR="00480204" w:rsidRPr="005333CD" w:rsidTr="002E57DE">
        <w:trPr>
          <w:trHeight w:val="255"/>
        </w:trPr>
        <w:tc>
          <w:tcPr>
            <w:tcW w:w="2552" w:type="dxa"/>
            <w:tcBorders>
              <w:top w:val="single" w:sz="8" w:space="0" w:color="7F7F7F" w:themeColor="text1" w:themeTint="80"/>
              <w:left w:val="single" w:sz="8" w:space="0" w:color="7F7F7F" w:themeColor="text1" w:themeTint="80"/>
              <w:right w:val="single" w:sz="8" w:space="0" w:color="7F7F7F" w:themeColor="text1" w:themeTint="80"/>
            </w:tcBorders>
            <w:shd w:val="clear" w:color="auto" w:fill="auto"/>
            <w:noWrap/>
            <w:vAlign w:val="center"/>
            <w:hideMark/>
          </w:tcPr>
          <w:p w:rsidR="00480204" w:rsidRPr="005333CD" w:rsidRDefault="00480204" w:rsidP="002E57DE">
            <w:pPr>
              <w:spacing w:after="0" w:line="240" w:lineRule="auto"/>
              <w:jc w:val="left"/>
              <w:rPr>
                <w:sz w:val="22"/>
                <w:szCs w:val="22"/>
              </w:rPr>
            </w:pPr>
            <w:r w:rsidRPr="005333CD">
              <w:rPr>
                <w:sz w:val="22"/>
                <w:szCs w:val="22"/>
              </w:rPr>
              <w:t>Produkce</w:t>
            </w:r>
            <w:r>
              <w:rPr>
                <w:sz w:val="22"/>
                <w:szCs w:val="22"/>
              </w:rPr>
              <w:t xml:space="preserve"> – </w:t>
            </w:r>
            <w:r w:rsidRPr="005333CD">
              <w:rPr>
                <w:sz w:val="22"/>
                <w:szCs w:val="22"/>
              </w:rPr>
              <w:t>Ředitel</w:t>
            </w:r>
          </w:p>
        </w:tc>
        <w:tc>
          <w:tcPr>
            <w:tcW w:w="851" w:type="dxa"/>
            <w:tcBorders>
              <w:top w:val="single" w:sz="8" w:space="0" w:color="7F7F7F" w:themeColor="text1" w:themeTint="80"/>
              <w:left w:val="single" w:sz="8" w:space="0" w:color="7F7F7F" w:themeColor="text1" w:themeTint="80"/>
              <w:right w:val="single" w:sz="8" w:space="0" w:color="7F7F7F" w:themeColor="text1" w:themeTint="80"/>
            </w:tcBorders>
            <w:vAlign w:val="center"/>
          </w:tcPr>
          <w:p w:rsidR="00480204" w:rsidRPr="005333CD" w:rsidRDefault="00480204" w:rsidP="002E57DE">
            <w:pPr>
              <w:spacing w:after="0" w:line="240" w:lineRule="auto"/>
              <w:jc w:val="right"/>
              <w:rPr>
                <w:sz w:val="22"/>
                <w:szCs w:val="22"/>
              </w:rPr>
            </w:pPr>
            <w:r w:rsidRPr="005333CD">
              <w:rPr>
                <w:sz w:val="22"/>
                <w:szCs w:val="22"/>
              </w:rPr>
              <w:t>1,0</w:t>
            </w:r>
          </w:p>
        </w:tc>
        <w:tc>
          <w:tcPr>
            <w:tcW w:w="1277" w:type="dxa"/>
            <w:tcBorders>
              <w:top w:val="single" w:sz="8" w:space="0" w:color="7F7F7F" w:themeColor="text1" w:themeTint="80"/>
              <w:left w:val="single" w:sz="8" w:space="0" w:color="7F7F7F" w:themeColor="text1" w:themeTint="80"/>
              <w:right w:val="single" w:sz="8" w:space="0" w:color="7F7F7F" w:themeColor="text1" w:themeTint="80"/>
            </w:tcBorders>
            <w:vAlign w:val="center"/>
          </w:tcPr>
          <w:p w:rsidR="00480204" w:rsidRPr="005333CD" w:rsidRDefault="006D4950" w:rsidP="002E57DE">
            <w:pPr>
              <w:spacing w:after="0" w:line="240" w:lineRule="auto"/>
              <w:jc w:val="right"/>
              <w:rPr>
                <w:sz w:val="22"/>
                <w:szCs w:val="22"/>
              </w:rPr>
            </w:pPr>
            <w:r>
              <w:rPr>
                <w:sz w:val="22"/>
                <w:szCs w:val="22"/>
              </w:rPr>
              <w:t>38,4</w:t>
            </w:r>
            <w:r w:rsidR="00480204" w:rsidRPr="005333CD">
              <w:rPr>
                <w:sz w:val="22"/>
                <w:szCs w:val="22"/>
              </w:rPr>
              <w:t>%</w:t>
            </w:r>
          </w:p>
        </w:tc>
        <w:tc>
          <w:tcPr>
            <w:tcW w:w="1277" w:type="dxa"/>
            <w:tcBorders>
              <w:top w:val="single" w:sz="8" w:space="0" w:color="7F7F7F" w:themeColor="text1" w:themeTint="80"/>
              <w:left w:val="single" w:sz="8" w:space="0" w:color="7F7F7F" w:themeColor="text1" w:themeTint="80"/>
              <w:right w:val="single" w:sz="8" w:space="0" w:color="7F7F7F" w:themeColor="text1" w:themeTint="80"/>
            </w:tcBorders>
            <w:shd w:val="clear" w:color="auto" w:fill="auto"/>
            <w:noWrap/>
            <w:vAlign w:val="center"/>
            <w:hideMark/>
          </w:tcPr>
          <w:p w:rsidR="00480204" w:rsidRPr="005333CD" w:rsidRDefault="00480204" w:rsidP="002E57DE">
            <w:pPr>
              <w:spacing w:after="0" w:line="240" w:lineRule="auto"/>
              <w:jc w:val="right"/>
              <w:rPr>
                <w:sz w:val="22"/>
                <w:szCs w:val="22"/>
              </w:rPr>
            </w:pPr>
            <w:r w:rsidRPr="005333CD">
              <w:rPr>
                <w:sz w:val="22"/>
                <w:szCs w:val="22"/>
              </w:rPr>
              <w:t>12,0</w:t>
            </w:r>
          </w:p>
        </w:tc>
        <w:tc>
          <w:tcPr>
            <w:tcW w:w="1276" w:type="dxa"/>
            <w:tcBorders>
              <w:top w:val="single" w:sz="8" w:space="0" w:color="7F7F7F" w:themeColor="text1" w:themeTint="80"/>
              <w:left w:val="single" w:sz="8" w:space="0" w:color="7F7F7F" w:themeColor="text1" w:themeTint="80"/>
            </w:tcBorders>
            <w:shd w:val="clear" w:color="auto" w:fill="auto"/>
            <w:noWrap/>
            <w:vAlign w:val="center"/>
            <w:hideMark/>
          </w:tcPr>
          <w:p w:rsidR="00480204" w:rsidRPr="005333CD" w:rsidRDefault="00480204" w:rsidP="002E57DE">
            <w:pPr>
              <w:spacing w:after="0" w:line="240" w:lineRule="auto"/>
              <w:jc w:val="right"/>
              <w:rPr>
                <w:sz w:val="22"/>
                <w:szCs w:val="22"/>
              </w:rPr>
            </w:pPr>
            <w:r w:rsidRPr="005333CD">
              <w:rPr>
                <w:sz w:val="22"/>
                <w:szCs w:val="22"/>
              </w:rPr>
              <w:t>4,</w:t>
            </w:r>
            <w:r>
              <w:rPr>
                <w:sz w:val="22"/>
                <w:szCs w:val="22"/>
              </w:rPr>
              <w:t>6</w:t>
            </w:r>
          </w:p>
        </w:tc>
        <w:tc>
          <w:tcPr>
            <w:tcW w:w="1277" w:type="dxa"/>
            <w:tcBorders>
              <w:top w:val="single" w:sz="8" w:space="0" w:color="7F7F7F" w:themeColor="text1" w:themeTint="80"/>
              <w:right w:val="single" w:sz="8" w:space="0" w:color="7F7F7F" w:themeColor="text1" w:themeTint="80"/>
            </w:tcBorders>
            <w:shd w:val="clear" w:color="auto" w:fill="auto"/>
            <w:noWrap/>
            <w:vAlign w:val="center"/>
            <w:hideMark/>
          </w:tcPr>
          <w:p w:rsidR="00480204" w:rsidRPr="00541D4E" w:rsidRDefault="00480204" w:rsidP="006D4950">
            <w:pPr>
              <w:spacing w:after="0" w:line="240" w:lineRule="auto"/>
              <w:jc w:val="right"/>
              <w:rPr>
                <w:sz w:val="22"/>
                <w:szCs w:val="22"/>
              </w:rPr>
            </w:pPr>
            <w:r w:rsidRPr="00541D4E">
              <w:rPr>
                <w:sz w:val="22"/>
                <w:szCs w:val="22"/>
              </w:rPr>
              <w:t>1</w:t>
            </w:r>
            <w:r w:rsidR="006D4950">
              <w:rPr>
                <w:sz w:val="22"/>
                <w:szCs w:val="22"/>
              </w:rPr>
              <w:t xml:space="preserve"> </w:t>
            </w:r>
            <w:r w:rsidRPr="00541D4E">
              <w:rPr>
                <w:sz w:val="22"/>
                <w:szCs w:val="22"/>
              </w:rPr>
              <w:t>0</w:t>
            </w:r>
            <w:r w:rsidR="006D4950">
              <w:rPr>
                <w:sz w:val="22"/>
                <w:szCs w:val="22"/>
              </w:rPr>
              <w:t>25,8</w:t>
            </w:r>
          </w:p>
        </w:tc>
      </w:tr>
      <w:tr w:rsidR="00480204" w:rsidRPr="005333CD" w:rsidTr="002E57DE">
        <w:trPr>
          <w:trHeight w:val="255"/>
        </w:trPr>
        <w:tc>
          <w:tcPr>
            <w:tcW w:w="2552" w:type="dxa"/>
            <w:tcBorders>
              <w:left w:val="single" w:sz="8" w:space="0" w:color="7F7F7F" w:themeColor="text1" w:themeTint="80"/>
              <w:right w:val="single" w:sz="8" w:space="0" w:color="7F7F7F" w:themeColor="text1" w:themeTint="80"/>
            </w:tcBorders>
            <w:shd w:val="clear" w:color="auto" w:fill="auto"/>
            <w:noWrap/>
            <w:vAlign w:val="center"/>
            <w:hideMark/>
          </w:tcPr>
          <w:p w:rsidR="00480204" w:rsidRPr="005333CD" w:rsidRDefault="00480204" w:rsidP="002E57DE">
            <w:pPr>
              <w:spacing w:after="0" w:line="240" w:lineRule="auto"/>
              <w:jc w:val="left"/>
              <w:rPr>
                <w:sz w:val="22"/>
                <w:szCs w:val="22"/>
              </w:rPr>
            </w:pPr>
            <w:r w:rsidRPr="005333CD">
              <w:rPr>
                <w:sz w:val="22"/>
                <w:szCs w:val="22"/>
              </w:rPr>
              <w:t>Produkce</w:t>
            </w:r>
            <w:r>
              <w:rPr>
                <w:sz w:val="22"/>
                <w:szCs w:val="22"/>
              </w:rPr>
              <w:t xml:space="preserve"> –Expert </w:t>
            </w:r>
            <w:r w:rsidRPr="005333CD">
              <w:rPr>
                <w:sz w:val="22"/>
                <w:szCs w:val="22"/>
              </w:rPr>
              <w:t>2</w:t>
            </w:r>
          </w:p>
        </w:tc>
        <w:tc>
          <w:tcPr>
            <w:tcW w:w="851" w:type="dxa"/>
            <w:tcBorders>
              <w:left w:val="single" w:sz="8" w:space="0" w:color="7F7F7F" w:themeColor="text1" w:themeTint="80"/>
              <w:right w:val="single" w:sz="8" w:space="0" w:color="7F7F7F" w:themeColor="text1" w:themeTint="80"/>
            </w:tcBorders>
            <w:vAlign w:val="center"/>
          </w:tcPr>
          <w:p w:rsidR="00480204" w:rsidRPr="005333CD" w:rsidRDefault="00480204" w:rsidP="002E57DE">
            <w:pPr>
              <w:spacing w:after="0" w:line="240" w:lineRule="auto"/>
              <w:jc w:val="right"/>
              <w:rPr>
                <w:sz w:val="22"/>
                <w:szCs w:val="22"/>
              </w:rPr>
            </w:pPr>
            <w:r w:rsidRPr="005333CD">
              <w:rPr>
                <w:sz w:val="22"/>
                <w:szCs w:val="22"/>
              </w:rPr>
              <w:t>5,</w:t>
            </w:r>
            <w:r w:rsidR="006D4950">
              <w:rPr>
                <w:sz w:val="22"/>
                <w:szCs w:val="22"/>
              </w:rPr>
              <w:t>0</w:t>
            </w:r>
          </w:p>
        </w:tc>
        <w:tc>
          <w:tcPr>
            <w:tcW w:w="1277" w:type="dxa"/>
            <w:tcBorders>
              <w:left w:val="single" w:sz="8" w:space="0" w:color="7F7F7F" w:themeColor="text1" w:themeTint="80"/>
              <w:right w:val="single" w:sz="8" w:space="0" w:color="7F7F7F" w:themeColor="text1" w:themeTint="80"/>
            </w:tcBorders>
            <w:vAlign w:val="center"/>
          </w:tcPr>
          <w:p w:rsidR="00480204" w:rsidRPr="005333CD" w:rsidRDefault="006D4950" w:rsidP="002E57DE">
            <w:pPr>
              <w:spacing w:after="0" w:line="240" w:lineRule="auto"/>
              <w:jc w:val="right"/>
              <w:rPr>
                <w:sz w:val="22"/>
                <w:szCs w:val="22"/>
              </w:rPr>
            </w:pPr>
            <w:r>
              <w:rPr>
                <w:sz w:val="22"/>
                <w:szCs w:val="22"/>
              </w:rPr>
              <w:t>71,3</w:t>
            </w:r>
            <w:r w:rsidR="00480204" w:rsidRPr="005333CD">
              <w:rPr>
                <w:sz w:val="22"/>
                <w:szCs w:val="22"/>
              </w:rPr>
              <w:t>%</w:t>
            </w:r>
          </w:p>
        </w:tc>
        <w:tc>
          <w:tcPr>
            <w:tcW w:w="1277" w:type="dxa"/>
            <w:tcBorders>
              <w:left w:val="single" w:sz="8" w:space="0" w:color="7F7F7F" w:themeColor="text1" w:themeTint="80"/>
              <w:right w:val="single" w:sz="8" w:space="0" w:color="7F7F7F" w:themeColor="text1" w:themeTint="80"/>
            </w:tcBorders>
            <w:shd w:val="clear" w:color="auto" w:fill="auto"/>
            <w:noWrap/>
            <w:vAlign w:val="center"/>
            <w:hideMark/>
          </w:tcPr>
          <w:p w:rsidR="00480204" w:rsidRPr="005333CD" w:rsidRDefault="00480204" w:rsidP="002E57DE">
            <w:pPr>
              <w:spacing w:after="0" w:line="240" w:lineRule="auto"/>
              <w:jc w:val="right"/>
              <w:rPr>
                <w:sz w:val="22"/>
                <w:szCs w:val="22"/>
              </w:rPr>
            </w:pPr>
            <w:r w:rsidRPr="005333CD">
              <w:rPr>
                <w:sz w:val="22"/>
                <w:szCs w:val="22"/>
              </w:rPr>
              <w:t>8,0</w:t>
            </w:r>
          </w:p>
        </w:tc>
        <w:tc>
          <w:tcPr>
            <w:tcW w:w="1276" w:type="dxa"/>
            <w:tcBorders>
              <w:left w:val="single" w:sz="8" w:space="0" w:color="7F7F7F" w:themeColor="text1" w:themeTint="80"/>
            </w:tcBorders>
            <w:shd w:val="clear" w:color="auto" w:fill="auto"/>
            <w:noWrap/>
            <w:vAlign w:val="center"/>
            <w:hideMark/>
          </w:tcPr>
          <w:p w:rsidR="00480204" w:rsidRPr="005333CD" w:rsidRDefault="006D4950" w:rsidP="002E57DE">
            <w:pPr>
              <w:spacing w:after="0" w:line="240" w:lineRule="auto"/>
              <w:jc w:val="right"/>
              <w:rPr>
                <w:sz w:val="22"/>
                <w:szCs w:val="22"/>
              </w:rPr>
            </w:pPr>
            <w:r>
              <w:rPr>
                <w:sz w:val="22"/>
                <w:szCs w:val="22"/>
              </w:rPr>
              <w:t>28,5</w:t>
            </w:r>
          </w:p>
        </w:tc>
        <w:tc>
          <w:tcPr>
            <w:tcW w:w="1277" w:type="dxa"/>
            <w:tcBorders>
              <w:right w:val="single" w:sz="8" w:space="0" w:color="7F7F7F" w:themeColor="text1" w:themeTint="80"/>
            </w:tcBorders>
            <w:shd w:val="clear" w:color="auto" w:fill="auto"/>
            <w:noWrap/>
            <w:vAlign w:val="center"/>
            <w:hideMark/>
          </w:tcPr>
          <w:p w:rsidR="00480204" w:rsidRPr="00541D4E" w:rsidRDefault="006D4950" w:rsidP="002E57DE">
            <w:pPr>
              <w:spacing w:after="0" w:line="240" w:lineRule="auto"/>
              <w:jc w:val="right"/>
              <w:rPr>
                <w:sz w:val="22"/>
                <w:szCs w:val="22"/>
              </w:rPr>
            </w:pPr>
            <w:r>
              <w:rPr>
                <w:sz w:val="22"/>
                <w:szCs w:val="22"/>
              </w:rPr>
              <w:t>6 355,5</w:t>
            </w:r>
          </w:p>
        </w:tc>
      </w:tr>
      <w:tr w:rsidR="00480204" w:rsidRPr="005333CD" w:rsidTr="000E062F">
        <w:trPr>
          <w:trHeight w:val="255"/>
        </w:trPr>
        <w:tc>
          <w:tcPr>
            <w:tcW w:w="2552" w:type="dxa"/>
            <w:tcBorders>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480204" w:rsidRPr="005333CD" w:rsidRDefault="00480204" w:rsidP="002E57DE">
            <w:pPr>
              <w:spacing w:after="0" w:line="240" w:lineRule="auto"/>
              <w:jc w:val="left"/>
              <w:rPr>
                <w:sz w:val="22"/>
                <w:szCs w:val="22"/>
              </w:rPr>
            </w:pPr>
            <w:r w:rsidRPr="005333CD">
              <w:rPr>
                <w:sz w:val="22"/>
                <w:szCs w:val="22"/>
              </w:rPr>
              <w:t xml:space="preserve">Produkce </w:t>
            </w:r>
            <w:r>
              <w:rPr>
                <w:sz w:val="22"/>
                <w:szCs w:val="22"/>
              </w:rPr>
              <w:t xml:space="preserve">– </w:t>
            </w:r>
            <w:r w:rsidRPr="005333CD">
              <w:rPr>
                <w:sz w:val="22"/>
                <w:szCs w:val="22"/>
              </w:rPr>
              <w:t>Asistent</w:t>
            </w:r>
          </w:p>
        </w:tc>
        <w:tc>
          <w:tcPr>
            <w:tcW w:w="851" w:type="dxa"/>
            <w:tcBorders>
              <w:left w:val="single" w:sz="8" w:space="0" w:color="7F7F7F" w:themeColor="text1" w:themeTint="80"/>
              <w:bottom w:val="single" w:sz="8" w:space="0" w:color="7F7F7F" w:themeColor="text1" w:themeTint="80"/>
              <w:right w:val="single" w:sz="8" w:space="0" w:color="7F7F7F" w:themeColor="text1" w:themeTint="80"/>
            </w:tcBorders>
            <w:vAlign w:val="center"/>
          </w:tcPr>
          <w:p w:rsidR="00480204" w:rsidRPr="005333CD" w:rsidRDefault="006D4950" w:rsidP="002E57DE">
            <w:pPr>
              <w:spacing w:after="0" w:line="240" w:lineRule="auto"/>
              <w:jc w:val="right"/>
              <w:rPr>
                <w:sz w:val="22"/>
                <w:szCs w:val="22"/>
              </w:rPr>
            </w:pPr>
            <w:r>
              <w:rPr>
                <w:sz w:val="22"/>
                <w:szCs w:val="22"/>
              </w:rPr>
              <w:t>2</w:t>
            </w:r>
            <w:r w:rsidR="00480204" w:rsidRPr="005333CD">
              <w:rPr>
                <w:sz w:val="22"/>
                <w:szCs w:val="22"/>
              </w:rPr>
              <w:t>,0</w:t>
            </w:r>
          </w:p>
        </w:tc>
        <w:tc>
          <w:tcPr>
            <w:tcW w:w="1277" w:type="dxa"/>
            <w:tcBorders>
              <w:left w:val="single" w:sz="8" w:space="0" w:color="7F7F7F" w:themeColor="text1" w:themeTint="80"/>
              <w:bottom w:val="single" w:sz="8" w:space="0" w:color="7F7F7F" w:themeColor="text1" w:themeTint="80"/>
              <w:right w:val="single" w:sz="8" w:space="0" w:color="7F7F7F" w:themeColor="text1" w:themeTint="80"/>
            </w:tcBorders>
            <w:vAlign w:val="center"/>
          </w:tcPr>
          <w:p w:rsidR="00480204" w:rsidRPr="005333CD" w:rsidRDefault="006D4950" w:rsidP="002E57DE">
            <w:pPr>
              <w:spacing w:after="0" w:line="240" w:lineRule="auto"/>
              <w:jc w:val="right"/>
              <w:rPr>
                <w:sz w:val="22"/>
                <w:szCs w:val="22"/>
              </w:rPr>
            </w:pPr>
            <w:r>
              <w:rPr>
                <w:sz w:val="22"/>
                <w:szCs w:val="22"/>
              </w:rPr>
              <w:t>76,8</w:t>
            </w:r>
            <w:r w:rsidR="00480204" w:rsidRPr="005333CD">
              <w:rPr>
                <w:sz w:val="22"/>
                <w:szCs w:val="22"/>
              </w:rPr>
              <w:t>%</w:t>
            </w:r>
          </w:p>
        </w:tc>
        <w:tc>
          <w:tcPr>
            <w:tcW w:w="1277" w:type="dxa"/>
            <w:tcBorders>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480204" w:rsidRPr="005333CD" w:rsidRDefault="006D4950" w:rsidP="002E57DE">
            <w:pPr>
              <w:spacing w:after="0" w:line="240" w:lineRule="auto"/>
              <w:jc w:val="right"/>
              <w:rPr>
                <w:sz w:val="22"/>
                <w:szCs w:val="22"/>
              </w:rPr>
            </w:pPr>
            <w:r>
              <w:rPr>
                <w:sz w:val="22"/>
                <w:szCs w:val="22"/>
              </w:rPr>
              <w:t>4,8</w:t>
            </w:r>
          </w:p>
        </w:tc>
        <w:tc>
          <w:tcPr>
            <w:tcW w:w="1276" w:type="dxa"/>
            <w:tcBorders>
              <w:left w:val="single" w:sz="8" w:space="0" w:color="7F7F7F" w:themeColor="text1" w:themeTint="80"/>
              <w:bottom w:val="single" w:sz="8" w:space="0" w:color="7F7F7F" w:themeColor="text1" w:themeTint="80"/>
            </w:tcBorders>
            <w:shd w:val="clear" w:color="auto" w:fill="auto"/>
            <w:noWrap/>
            <w:vAlign w:val="center"/>
            <w:hideMark/>
          </w:tcPr>
          <w:p w:rsidR="00480204" w:rsidRPr="005333CD" w:rsidRDefault="006D4950" w:rsidP="002E57DE">
            <w:pPr>
              <w:spacing w:after="0" w:line="240" w:lineRule="auto"/>
              <w:jc w:val="right"/>
              <w:rPr>
                <w:sz w:val="22"/>
                <w:szCs w:val="22"/>
              </w:rPr>
            </w:pPr>
            <w:r>
              <w:rPr>
                <w:sz w:val="22"/>
                <w:szCs w:val="22"/>
              </w:rPr>
              <w:t>7,4</w:t>
            </w:r>
          </w:p>
        </w:tc>
        <w:tc>
          <w:tcPr>
            <w:tcW w:w="1277" w:type="dxa"/>
            <w:tcBorders>
              <w:bottom w:val="single" w:sz="8" w:space="0" w:color="7F7F7F" w:themeColor="text1" w:themeTint="80"/>
              <w:right w:val="single" w:sz="8" w:space="0" w:color="7F7F7F" w:themeColor="text1" w:themeTint="80"/>
            </w:tcBorders>
            <w:shd w:val="clear" w:color="auto" w:fill="auto"/>
            <w:noWrap/>
            <w:vAlign w:val="center"/>
            <w:hideMark/>
          </w:tcPr>
          <w:p w:rsidR="00480204" w:rsidRPr="00541D4E" w:rsidRDefault="006D4950" w:rsidP="002E57DE">
            <w:pPr>
              <w:spacing w:after="0" w:line="240" w:lineRule="auto"/>
              <w:jc w:val="right"/>
              <w:rPr>
                <w:sz w:val="22"/>
                <w:szCs w:val="22"/>
              </w:rPr>
            </w:pPr>
            <w:r>
              <w:rPr>
                <w:sz w:val="22"/>
                <w:szCs w:val="22"/>
              </w:rPr>
              <w:t>1 650,2</w:t>
            </w:r>
          </w:p>
        </w:tc>
      </w:tr>
      <w:tr w:rsidR="00480204" w:rsidRPr="005333CD" w:rsidTr="002E57DE">
        <w:trPr>
          <w:trHeight w:val="255"/>
        </w:trPr>
        <w:tc>
          <w:tcPr>
            <w:tcW w:w="2552" w:type="dxa"/>
            <w:tcBorders>
              <w:top w:val="single" w:sz="8" w:space="0" w:color="7F7F7F" w:themeColor="text1" w:themeTint="80"/>
              <w:left w:val="single" w:sz="8" w:space="0" w:color="7F7F7F" w:themeColor="text1" w:themeTint="80"/>
              <w:right w:val="single" w:sz="8" w:space="0" w:color="7F7F7F" w:themeColor="text1" w:themeTint="80"/>
            </w:tcBorders>
            <w:shd w:val="clear" w:color="auto" w:fill="auto"/>
            <w:noWrap/>
            <w:vAlign w:val="center"/>
            <w:hideMark/>
          </w:tcPr>
          <w:p w:rsidR="00480204" w:rsidRPr="005333CD" w:rsidRDefault="00480204" w:rsidP="002E57DE">
            <w:pPr>
              <w:spacing w:after="0" w:line="240" w:lineRule="auto"/>
              <w:jc w:val="left"/>
              <w:rPr>
                <w:sz w:val="22"/>
                <w:szCs w:val="22"/>
              </w:rPr>
            </w:pPr>
            <w:r>
              <w:rPr>
                <w:sz w:val="22"/>
                <w:szCs w:val="22"/>
              </w:rPr>
              <w:t xml:space="preserve">Fin. a provoz – </w:t>
            </w:r>
            <w:r w:rsidRPr="005333CD">
              <w:rPr>
                <w:sz w:val="22"/>
                <w:szCs w:val="22"/>
              </w:rPr>
              <w:t>Ředitel</w:t>
            </w:r>
          </w:p>
        </w:tc>
        <w:tc>
          <w:tcPr>
            <w:tcW w:w="851" w:type="dxa"/>
            <w:tcBorders>
              <w:top w:val="single" w:sz="8" w:space="0" w:color="7F7F7F" w:themeColor="text1" w:themeTint="80"/>
              <w:left w:val="single" w:sz="8" w:space="0" w:color="7F7F7F" w:themeColor="text1" w:themeTint="80"/>
              <w:right w:val="single" w:sz="8" w:space="0" w:color="7F7F7F" w:themeColor="text1" w:themeTint="80"/>
            </w:tcBorders>
            <w:vAlign w:val="center"/>
          </w:tcPr>
          <w:p w:rsidR="00480204" w:rsidRPr="005333CD" w:rsidRDefault="00480204" w:rsidP="002E57DE">
            <w:pPr>
              <w:spacing w:after="0" w:line="240" w:lineRule="auto"/>
              <w:jc w:val="right"/>
              <w:rPr>
                <w:sz w:val="22"/>
                <w:szCs w:val="22"/>
              </w:rPr>
            </w:pPr>
            <w:r w:rsidRPr="005333CD">
              <w:rPr>
                <w:sz w:val="22"/>
                <w:szCs w:val="22"/>
              </w:rPr>
              <w:t>1,</w:t>
            </w:r>
            <w:r w:rsidR="006D4950">
              <w:rPr>
                <w:sz w:val="22"/>
                <w:szCs w:val="22"/>
              </w:rPr>
              <w:t>0</w:t>
            </w:r>
          </w:p>
        </w:tc>
        <w:tc>
          <w:tcPr>
            <w:tcW w:w="1277" w:type="dxa"/>
            <w:tcBorders>
              <w:top w:val="single" w:sz="8" w:space="0" w:color="7F7F7F" w:themeColor="text1" w:themeTint="80"/>
              <w:left w:val="single" w:sz="8" w:space="0" w:color="7F7F7F" w:themeColor="text1" w:themeTint="80"/>
              <w:right w:val="single" w:sz="8" w:space="0" w:color="7F7F7F" w:themeColor="text1" w:themeTint="80"/>
            </w:tcBorders>
            <w:vAlign w:val="center"/>
          </w:tcPr>
          <w:p w:rsidR="00480204" w:rsidRPr="005333CD" w:rsidRDefault="00480204" w:rsidP="002E57DE">
            <w:pPr>
              <w:spacing w:after="0" w:line="240" w:lineRule="auto"/>
              <w:jc w:val="right"/>
              <w:rPr>
                <w:sz w:val="22"/>
                <w:szCs w:val="22"/>
              </w:rPr>
            </w:pPr>
            <w:r w:rsidRPr="005333CD">
              <w:rPr>
                <w:sz w:val="22"/>
                <w:szCs w:val="22"/>
              </w:rPr>
              <w:t xml:space="preserve"> -</w:t>
            </w:r>
          </w:p>
        </w:tc>
        <w:tc>
          <w:tcPr>
            <w:tcW w:w="1277" w:type="dxa"/>
            <w:tcBorders>
              <w:top w:val="single" w:sz="8" w:space="0" w:color="7F7F7F" w:themeColor="text1" w:themeTint="80"/>
              <w:left w:val="single" w:sz="8" w:space="0" w:color="7F7F7F" w:themeColor="text1" w:themeTint="80"/>
              <w:right w:val="single" w:sz="8" w:space="0" w:color="7F7F7F" w:themeColor="text1" w:themeTint="80"/>
            </w:tcBorders>
            <w:shd w:val="clear" w:color="auto" w:fill="auto"/>
            <w:noWrap/>
            <w:vAlign w:val="center"/>
            <w:hideMark/>
          </w:tcPr>
          <w:p w:rsidR="00480204" w:rsidRPr="005333CD" w:rsidRDefault="00480204" w:rsidP="002E57DE">
            <w:pPr>
              <w:spacing w:after="0" w:line="240" w:lineRule="auto"/>
              <w:jc w:val="right"/>
              <w:rPr>
                <w:sz w:val="22"/>
                <w:szCs w:val="22"/>
              </w:rPr>
            </w:pPr>
            <w:r w:rsidRPr="005333CD">
              <w:rPr>
                <w:sz w:val="22"/>
                <w:szCs w:val="22"/>
              </w:rPr>
              <w:t>12,0</w:t>
            </w:r>
          </w:p>
        </w:tc>
        <w:tc>
          <w:tcPr>
            <w:tcW w:w="1276" w:type="dxa"/>
            <w:tcBorders>
              <w:top w:val="single" w:sz="8" w:space="0" w:color="7F7F7F" w:themeColor="text1" w:themeTint="80"/>
              <w:left w:val="single" w:sz="8" w:space="0" w:color="7F7F7F" w:themeColor="text1" w:themeTint="80"/>
            </w:tcBorders>
            <w:shd w:val="clear" w:color="auto" w:fill="auto"/>
            <w:noWrap/>
            <w:vAlign w:val="center"/>
            <w:hideMark/>
          </w:tcPr>
          <w:p w:rsidR="00480204" w:rsidRPr="005333CD" w:rsidRDefault="00480204" w:rsidP="002E57DE">
            <w:pPr>
              <w:spacing w:after="0" w:line="240" w:lineRule="auto"/>
              <w:jc w:val="right"/>
              <w:rPr>
                <w:sz w:val="22"/>
                <w:szCs w:val="22"/>
              </w:rPr>
            </w:pPr>
            <w:r w:rsidRPr="005333CD">
              <w:rPr>
                <w:sz w:val="22"/>
                <w:szCs w:val="22"/>
              </w:rPr>
              <w:t xml:space="preserve"> - </w:t>
            </w:r>
          </w:p>
        </w:tc>
        <w:tc>
          <w:tcPr>
            <w:tcW w:w="1277" w:type="dxa"/>
            <w:tcBorders>
              <w:top w:val="single" w:sz="8" w:space="0" w:color="7F7F7F" w:themeColor="text1" w:themeTint="80"/>
              <w:right w:val="single" w:sz="8" w:space="0" w:color="7F7F7F" w:themeColor="text1" w:themeTint="80"/>
            </w:tcBorders>
            <w:shd w:val="clear" w:color="auto" w:fill="auto"/>
            <w:noWrap/>
            <w:vAlign w:val="center"/>
            <w:hideMark/>
          </w:tcPr>
          <w:p w:rsidR="00480204" w:rsidRPr="00541D4E" w:rsidRDefault="00480204" w:rsidP="002E57DE">
            <w:pPr>
              <w:spacing w:after="0" w:line="240" w:lineRule="auto"/>
              <w:jc w:val="right"/>
              <w:rPr>
                <w:sz w:val="22"/>
                <w:szCs w:val="22"/>
              </w:rPr>
            </w:pPr>
            <w:r w:rsidRPr="00541D4E">
              <w:rPr>
                <w:sz w:val="22"/>
                <w:szCs w:val="22"/>
              </w:rPr>
              <w:t xml:space="preserve"> - </w:t>
            </w:r>
          </w:p>
        </w:tc>
      </w:tr>
      <w:tr w:rsidR="00480204" w:rsidRPr="005333CD" w:rsidTr="002E57DE">
        <w:trPr>
          <w:trHeight w:val="255"/>
        </w:trPr>
        <w:tc>
          <w:tcPr>
            <w:tcW w:w="2552" w:type="dxa"/>
            <w:tcBorders>
              <w:left w:val="single" w:sz="8" w:space="0" w:color="7F7F7F" w:themeColor="text1" w:themeTint="80"/>
              <w:right w:val="single" w:sz="8" w:space="0" w:color="7F7F7F" w:themeColor="text1" w:themeTint="80"/>
            </w:tcBorders>
            <w:shd w:val="clear" w:color="auto" w:fill="auto"/>
            <w:noWrap/>
            <w:vAlign w:val="center"/>
            <w:hideMark/>
          </w:tcPr>
          <w:p w:rsidR="00480204" w:rsidRPr="005333CD" w:rsidRDefault="00480204" w:rsidP="002E57DE">
            <w:pPr>
              <w:spacing w:after="0" w:line="240" w:lineRule="auto"/>
              <w:jc w:val="left"/>
              <w:rPr>
                <w:sz w:val="22"/>
                <w:szCs w:val="22"/>
              </w:rPr>
            </w:pPr>
            <w:r>
              <w:rPr>
                <w:sz w:val="22"/>
                <w:szCs w:val="22"/>
              </w:rPr>
              <w:t xml:space="preserve">Fin. a provoz – </w:t>
            </w:r>
            <w:r w:rsidRPr="005333CD">
              <w:rPr>
                <w:sz w:val="22"/>
                <w:szCs w:val="22"/>
              </w:rPr>
              <w:t>Expert 2</w:t>
            </w:r>
          </w:p>
        </w:tc>
        <w:tc>
          <w:tcPr>
            <w:tcW w:w="851" w:type="dxa"/>
            <w:tcBorders>
              <w:left w:val="single" w:sz="8" w:space="0" w:color="7F7F7F" w:themeColor="text1" w:themeTint="80"/>
              <w:right w:val="single" w:sz="8" w:space="0" w:color="7F7F7F" w:themeColor="text1" w:themeTint="80"/>
            </w:tcBorders>
            <w:vAlign w:val="center"/>
          </w:tcPr>
          <w:p w:rsidR="00480204" w:rsidRPr="005333CD" w:rsidRDefault="00480204" w:rsidP="002E57DE">
            <w:pPr>
              <w:spacing w:after="0" w:line="240" w:lineRule="auto"/>
              <w:jc w:val="right"/>
              <w:rPr>
                <w:sz w:val="22"/>
                <w:szCs w:val="22"/>
              </w:rPr>
            </w:pPr>
            <w:r w:rsidRPr="005333CD">
              <w:rPr>
                <w:sz w:val="22"/>
                <w:szCs w:val="22"/>
              </w:rPr>
              <w:t>3,0</w:t>
            </w:r>
          </w:p>
        </w:tc>
        <w:tc>
          <w:tcPr>
            <w:tcW w:w="1277" w:type="dxa"/>
            <w:tcBorders>
              <w:left w:val="single" w:sz="8" w:space="0" w:color="7F7F7F" w:themeColor="text1" w:themeTint="80"/>
              <w:right w:val="single" w:sz="8" w:space="0" w:color="7F7F7F" w:themeColor="text1" w:themeTint="80"/>
            </w:tcBorders>
            <w:vAlign w:val="center"/>
          </w:tcPr>
          <w:p w:rsidR="00480204" w:rsidRPr="005333CD" w:rsidRDefault="00480204" w:rsidP="002E57DE">
            <w:pPr>
              <w:spacing w:after="0" w:line="240" w:lineRule="auto"/>
              <w:jc w:val="right"/>
              <w:rPr>
                <w:sz w:val="22"/>
                <w:szCs w:val="22"/>
              </w:rPr>
            </w:pPr>
            <w:r w:rsidRPr="005333CD">
              <w:rPr>
                <w:sz w:val="22"/>
                <w:szCs w:val="22"/>
              </w:rPr>
              <w:t xml:space="preserve"> -</w:t>
            </w:r>
          </w:p>
        </w:tc>
        <w:tc>
          <w:tcPr>
            <w:tcW w:w="1277" w:type="dxa"/>
            <w:tcBorders>
              <w:left w:val="single" w:sz="8" w:space="0" w:color="7F7F7F" w:themeColor="text1" w:themeTint="80"/>
              <w:right w:val="single" w:sz="8" w:space="0" w:color="7F7F7F" w:themeColor="text1" w:themeTint="80"/>
            </w:tcBorders>
            <w:shd w:val="clear" w:color="auto" w:fill="auto"/>
            <w:noWrap/>
            <w:vAlign w:val="center"/>
            <w:hideMark/>
          </w:tcPr>
          <w:p w:rsidR="00480204" w:rsidRPr="005333CD" w:rsidRDefault="00480204" w:rsidP="002E57DE">
            <w:pPr>
              <w:spacing w:after="0" w:line="240" w:lineRule="auto"/>
              <w:jc w:val="right"/>
              <w:rPr>
                <w:sz w:val="22"/>
                <w:szCs w:val="22"/>
              </w:rPr>
            </w:pPr>
            <w:r w:rsidRPr="005333CD">
              <w:rPr>
                <w:sz w:val="22"/>
                <w:szCs w:val="22"/>
              </w:rPr>
              <w:t>8,</w:t>
            </w:r>
            <w:r>
              <w:rPr>
                <w:sz w:val="22"/>
                <w:szCs w:val="22"/>
              </w:rPr>
              <w:t>0</w:t>
            </w:r>
          </w:p>
        </w:tc>
        <w:tc>
          <w:tcPr>
            <w:tcW w:w="1276" w:type="dxa"/>
            <w:tcBorders>
              <w:left w:val="single" w:sz="8" w:space="0" w:color="7F7F7F" w:themeColor="text1" w:themeTint="80"/>
            </w:tcBorders>
            <w:shd w:val="clear" w:color="auto" w:fill="auto"/>
            <w:noWrap/>
            <w:vAlign w:val="center"/>
            <w:hideMark/>
          </w:tcPr>
          <w:p w:rsidR="00480204" w:rsidRPr="005333CD" w:rsidRDefault="00480204" w:rsidP="002E57DE">
            <w:pPr>
              <w:spacing w:after="0" w:line="240" w:lineRule="auto"/>
              <w:jc w:val="right"/>
              <w:rPr>
                <w:sz w:val="22"/>
                <w:szCs w:val="22"/>
              </w:rPr>
            </w:pPr>
            <w:r w:rsidRPr="005333CD">
              <w:rPr>
                <w:sz w:val="22"/>
                <w:szCs w:val="22"/>
              </w:rPr>
              <w:t xml:space="preserve"> - </w:t>
            </w:r>
          </w:p>
        </w:tc>
        <w:tc>
          <w:tcPr>
            <w:tcW w:w="1277" w:type="dxa"/>
            <w:tcBorders>
              <w:right w:val="single" w:sz="8" w:space="0" w:color="7F7F7F" w:themeColor="text1" w:themeTint="80"/>
            </w:tcBorders>
            <w:shd w:val="clear" w:color="auto" w:fill="auto"/>
            <w:noWrap/>
            <w:vAlign w:val="center"/>
            <w:hideMark/>
          </w:tcPr>
          <w:p w:rsidR="00480204" w:rsidRPr="00541D4E" w:rsidRDefault="00480204" w:rsidP="002E57DE">
            <w:pPr>
              <w:spacing w:after="0" w:line="240" w:lineRule="auto"/>
              <w:jc w:val="right"/>
              <w:rPr>
                <w:sz w:val="22"/>
                <w:szCs w:val="22"/>
              </w:rPr>
            </w:pPr>
            <w:r w:rsidRPr="00541D4E">
              <w:rPr>
                <w:sz w:val="22"/>
                <w:szCs w:val="22"/>
              </w:rPr>
              <w:t xml:space="preserve"> - </w:t>
            </w:r>
          </w:p>
        </w:tc>
      </w:tr>
      <w:tr w:rsidR="00480204" w:rsidRPr="005333CD" w:rsidTr="002E57DE">
        <w:trPr>
          <w:trHeight w:val="255"/>
        </w:trPr>
        <w:tc>
          <w:tcPr>
            <w:tcW w:w="2552" w:type="dxa"/>
            <w:tcBorders>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480204" w:rsidRPr="005333CD" w:rsidRDefault="00480204" w:rsidP="002E57DE">
            <w:pPr>
              <w:spacing w:after="0" w:line="240" w:lineRule="auto"/>
              <w:jc w:val="left"/>
              <w:rPr>
                <w:sz w:val="22"/>
                <w:szCs w:val="22"/>
              </w:rPr>
            </w:pPr>
            <w:r>
              <w:rPr>
                <w:sz w:val="22"/>
                <w:szCs w:val="22"/>
              </w:rPr>
              <w:t xml:space="preserve">Fin. a provoz – </w:t>
            </w:r>
            <w:r w:rsidRPr="005333CD">
              <w:rPr>
                <w:sz w:val="22"/>
                <w:szCs w:val="22"/>
              </w:rPr>
              <w:t>Asistent</w:t>
            </w:r>
          </w:p>
        </w:tc>
        <w:tc>
          <w:tcPr>
            <w:tcW w:w="851" w:type="dxa"/>
            <w:tcBorders>
              <w:left w:val="single" w:sz="8" w:space="0" w:color="7F7F7F" w:themeColor="text1" w:themeTint="80"/>
              <w:bottom w:val="single" w:sz="8" w:space="0" w:color="7F7F7F" w:themeColor="text1" w:themeTint="80"/>
              <w:right w:val="single" w:sz="8" w:space="0" w:color="7F7F7F" w:themeColor="text1" w:themeTint="80"/>
            </w:tcBorders>
            <w:vAlign w:val="center"/>
          </w:tcPr>
          <w:p w:rsidR="00480204" w:rsidRPr="005333CD" w:rsidRDefault="00480204" w:rsidP="002E57DE">
            <w:pPr>
              <w:spacing w:after="0" w:line="240" w:lineRule="auto"/>
              <w:jc w:val="right"/>
              <w:rPr>
                <w:sz w:val="22"/>
                <w:szCs w:val="22"/>
              </w:rPr>
            </w:pPr>
            <w:r w:rsidRPr="005333CD">
              <w:rPr>
                <w:sz w:val="22"/>
                <w:szCs w:val="22"/>
              </w:rPr>
              <w:t>2,0</w:t>
            </w:r>
          </w:p>
        </w:tc>
        <w:tc>
          <w:tcPr>
            <w:tcW w:w="1277" w:type="dxa"/>
            <w:tcBorders>
              <w:left w:val="single" w:sz="8" w:space="0" w:color="7F7F7F" w:themeColor="text1" w:themeTint="80"/>
              <w:bottom w:val="single" w:sz="8" w:space="0" w:color="7F7F7F" w:themeColor="text1" w:themeTint="80"/>
              <w:right w:val="single" w:sz="8" w:space="0" w:color="7F7F7F" w:themeColor="text1" w:themeTint="80"/>
            </w:tcBorders>
            <w:vAlign w:val="center"/>
          </w:tcPr>
          <w:p w:rsidR="00480204" w:rsidRPr="005333CD" w:rsidRDefault="00480204" w:rsidP="002E57DE">
            <w:pPr>
              <w:spacing w:after="0" w:line="240" w:lineRule="auto"/>
              <w:jc w:val="right"/>
              <w:rPr>
                <w:sz w:val="22"/>
                <w:szCs w:val="22"/>
              </w:rPr>
            </w:pPr>
            <w:r>
              <w:rPr>
                <w:sz w:val="22"/>
                <w:szCs w:val="22"/>
              </w:rPr>
              <w:t>5,5</w:t>
            </w:r>
            <w:r w:rsidRPr="005333CD">
              <w:rPr>
                <w:sz w:val="22"/>
                <w:szCs w:val="22"/>
              </w:rPr>
              <w:t>%</w:t>
            </w:r>
          </w:p>
        </w:tc>
        <w:tc>
          <w:tcPr>
            <w:tcW w:w="1277" w:type="dxa"/>
            <w:tcBorders>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480204" w:rsidRPr="005333CD" w:rsidRDefault="006D4950" w:rsidP="002E57DE">
            <w:pPr>
              <w:spacing w:after="0" w:line="240" w:lineRule="auto"/>
              <w:jc w:val="right"/>
              <w:rPr>
                <w:sz w:val="22"/>
                <w:szCs w:val="22"/>
              </w:rPr>
            </w:pPr>
            <w:r>
              <w:rPr>
                <w:sz w:val="22"/>
                <w:szCs w:val="22"/>
              </w:rPr>
              <w:t>4,8</w:t>
            </w:r>
          </w:p>
        </w:tc>
        <w:tc>
          <w:tcPr>
            <w:tcW w:w="1276" w:type="dxa"/>
            <w:tcBorders>
              <w:left w:val="single" w:sz="8" w:space="0" w:color="7F7F7F" w:themeColor="text1" w:themeTint="80"/>
              <w:bottom w:val="single" w:sz="8" w:space="0" w:color="7F7F7F" w:themeColor="text1" w:themeTint="80"/>
            </w:tcBorders>
            <w:shd w:val="clear" w:color="auto" w:fill="auto"/>
            <w:noWrap/>
            <w:vAlign w:val="center"/>
            <w:hideMark/>
          </w:tcPr>
          <w:p w:rsidR="00480204" w:rsidRPr="005333CD" w:rsidRDefault="00480204" w:rsidP="006D4950">
            <w:pPr>
              <w:spacing w:after="0" w:line="240" w:lineRule="auto"/>
              <w:jc w:val="right"/>
              <w:rPr>
                <w:sz w:val="22"/>
                <w:szCs w:val="22"/>
              </w:rPr>
            </w:pPr>
            <w:r w:rsidRPr="005333CD">
              <w:rPr>
                <w:sz w:val="22"/>
                <w:szCs w:val="22"/>
              </w:rPr>
              <w:t>0,</w:t>
            </w:r>
            <w:r w:rsidR="006D4950">
              <w:rPr>
                <w:sz w:val="22"/>
                <w:szCs w:val="22"/>
              </w:rPr>
              <w:t>5</w:t>
            </w:r>
          </w:p>
        </w:tc>
        <w:tc>
          <w:tcPr>
            <w:tcW w:w="1277" w:type="dxa"/>
            <w:tcBorders>
              <w:bottom w:val="single" w:sz="8" w:space="0" w:color="7F7F7F" w:themeColor="text1" w:themeTint="80"/>
              <w:right w:val="single" w:sz="8" w:space="0" w:color="7F7F7F" w:themeColor="text1" w:themeTint="80"/>
            </w:tcBorders>
            <w:shd w:val="clear" w:color="auto" w:fill="auto"/>
            <w:noWrap/>
            <w:vAlign w:val="center"/>
            <w:hideMark/>
          </w:tcPr>
          <w:p w:rsidR="00480204" w:rsidRPr="00541D4E" w:rsidRDefault="00480204" w:rsidP="006D4950">
            <w:pPr>
              <w:spacing w:after="0" w:line="240" w:lineRule="auto"/>
              <w:jc w:val="right"/>
              <w:rPr>
                <w:sz w:val="22"/>
                <w:szCs w:val="22"/>
              </w:rPr>
            </w:pPr>
            <w:r w:rsidRPr="00541D4E">
              <w:rPr>
                <w:sz w:val="22"/>
                <w:szCs w:val="22"/>
              </w:rPr>
              <w:t>1</w:t>
            </w:r>
            <w:r w:rsidR="006D4950">
              <w:rPr>
                <w:sz w:val="22"/>
                <w:szCs w:val="22"/>
              </w:rPr>
              <w:t>11</w:t>
            </w:r>
            <w:r w:rsidRPr="00541D4E">
              <w:rPr>
                <w:sz w:val="22"/>
                <w:szCs w:val="22"/>
              </w:rPr>
              <w:t>,</w:t>
            </w:r>
            <w:r w:rsidR="006D4950">
              <w:rPr>
                <w:sz w:val="22"/>
                <w:szCs w:val="22"/>
              </w:rPr>
              <w:t>5</w:t>
            </w:r>
          </w:p>
        </w:tc>
      </w:tr>
      <w:tr w:rsidR="00480204" w:rsidRPr="005333CD" w:rsidTr="002E57DE">
        <w:trPr>
          <w:trHeight w:val="255"/>
        </w:trPr>
        <w:tc>
          <w:tcPr>
            <w:tcW w:w="255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480204" w:rsidRPr="005333CD" w:rsidRDefault="00480204" w:rsidP="002E57DE">
            <w:pPr>
              <w:spacing w:after="0" w:line="240" w:lineRule="auto"/>
              <w:jc w:val="left"/>
              <w:rPr>
                <w:sz w:val="22"/>
                <w:szCs w:val="22"/>
              </w:rPr>
            </w:pPr>
            <w:r>
              <w:rPr>
                <w:sz w:val="22"/>
                <w:szCs w:val="22"/>
              </w:rPr>
              <w:t xml:space="preserve">Vedení spol. - </w:t>
            </w:r>
            <w:r w:rsidRPr="005333CD">
              <w:rPr>
                <w:sz w:val="22"/>
                <w:szCs w:val="22"/>
              </w:rPr>
              <w:t>Ředitel</w:t>
            </w:r>
          </w:p>
        </w:tc>
        <w:tc>
          <w:tcPr>
            <w:tcW w:w="851"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480204" w:rsidRPr="005333CD" w:rsidRDefault="00480204" w:rsidP="002E57DE">
            <w:pPr>
              <w:spacing w:after="0" w:line="240" w:lineRule="auto"/>
              <w:jc w:val="right"/>
              <w:rPr>
                <w:sz w:val="22"/>
                <w:szCs w:val="22"/>
              </w:rPr>
            </w:pPr>
            <w:r w:rsidRPr="005333CD">
              <w:rPr>
                <w:sz w:val="22"/>
                <w:szCs w:val="22"/>
              </w:rPr>
              <w:t>1,0</w:t>
            </w:r>
          </w:p>
        </w:tc>
        <w:tc>
          <w:tcPr>
            <w:tcW w:w="12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480204" w:rsidRPr="005333CD" w:rsidRDefault="006D4950" w:rsidP="002E57DE">
            <w:pPr>
              <w:spacing w:after="0" w:line="240" w:lineRule="auto"/>
              <w:jc w:val="right"/>
              <w:rPr>
                <w:sz w:val="22"/>
                <w:szCs w:val="22"/>
              </w:rPr>
            </w:pPr>
            <w:r>
              <w:rPr>
                <w:sz w:val="22"/>
                <w:szCs w:val="22"/>
              </w:rPr>
              <w:t>16,5</w:t>
            </w:r>
            <w:r w:rsidR="00480204" w:rsidRPr="005333CD">
              <w:rPr>
                <w:sz w:val="22"/>
                <w:szCs w:val="22"/>
              </w:rPr>
              <w:t>%</w:t>
            </w:r>
          </w:p>
        </w:tc>
        <w:tc>
          <w:tcPr>
            <w:tcW w:w="12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480204" w:rsidRPr="005333CD" w:rsidRDefault="00480204" w:rsidP="002E57DE">
            <w:pPr>
              <w:spacing w:after="0" w:line="240" w:lineRule="auto"/>
              <w:jc w:val="right"/>
              <w:rPr>
                <w:sz w:val="22"/>
                <w:szCs w:val="22"/>
              </w:rPr>
            </w:pPr>
            <w:r w:rsidRPr="005333CD">
              <w:rPr>
                <w:sz w:val="22"/>
                <w:szCs w:val="22"/>
              </w:rPr>
              <w:t>12,0</w:t>
            </w:r>
          </w:p>
        </w:tc>
        <w:tc>
          <w:tcPr>
            <w:tcW w:w="1276" w:type="dxa"/>
            <w:tcBorders>
              <w:top w:val="single" w:sz="8" w:space="0" w:color="7F7F7F" w:themeColor="text1" w:themeTint="80"/>
              <w:left w:val="single" w:sz="8" w:space="0" w:color="7F7F7F" w:themeColor="text1" w:themeTint="80"/>
              <w:bottom w:val="single" w:sz="8" w:space="0" w:color="7F7F7F" w:themeColor="text1" w:themeTint="80"/>
            </w:tcBorders>
            <w:shd w:val="clear" w:color="auto" w:fill="auto"/>
            <w:noWrap/>
            <w:vAlign w:val="center"/>
            <w:hideMark/>
          </w:tcPr>
          <w:p w:rsidR="00480204" w:rsidRPr="005333CD" w:rsidRDefault="00480204" w:rsidP="002E57DE">
            <w:pPr>
              <w:spacing w:after="0" w:line="240" w:lineRule="auto"/>
              <w:jc w:val="right"/>
              <w:rPr>
                <w:sz w:val="22"/>
                <w:szCs w:val="22"/>
              </w:rPr>
            </w:pPr>
            <w:r w:rsidRPr="005333CD">
              <w:rPr>
                <w:sz w:val="22"/>
                <w:szCs w:val="22"/>
              </w:rPr>
              <w:t>2,0</w:t>
            </w:r>
          </w:p>
        </w:tc>
        <w:tc>
          <w:tcPr>
            <w:tcW w:w="1277" w:type="dxa"/>
            <w:tcBorders>
              <w:top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480204" w:rsidRPr="00541D4E" w:rsidRDefault="006D4950" w:rsidP="002E57DE">
            <w:pPr>
              <w:spacing w:after="0" w:line="240" w:lineRule="auto"/>
              <w:jc w:val="right"/>
              <w:rPr>
                <w:sz w:val="22"/>
                <w:szCs w:val="22"/>
              </w:rPr>
            </w:pPr>
            <w:r>
              <w:rPr>
                <w:sz w:val="22"/>
                <w:szCs w:val="22"/>
              </w:rPr>
              <w:t>446</w:t>
            </w:r>
            <w:r w:rsidR="00480204" w:rsidRPr="00541D4E">
              <w:rPr>
                <w:sz w:val="22"/>
                <w:szCs w:val="22"/>
              </w:rPr>
              <w:t>,0</w:t>
            </w:r>
          </w:p>
        </w:tc>
      </w:tr>
      <w:tr w:rsidR="00480204" w:rsidRPr="005333CD" w:rsidTr="002E57DE">
        <w:trPr>
          <w:trHeight w:val="255"/>
        </w:trPr>
        <w:tc>
          <w:tcPr>
            <w:tcW w:w="255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480204" w:rsidRPr="005333CD" w:rsidRDefault="00C17227" w:rsidP="002E57DE">
            <w:pPr>
              <w:spacing w:after="0" w:line="240" w:lineRule="auto"/>
              <w:jc w:val="left"/>
              <w:rPr>
                <w:sz w:val="22"/>
                <w:szCs w:val="22"/>
              </w:rPr>
            </w:pPr>
            <w:r>
              <w:rPr>
                <w:sz w:val="22"/>
                <w:szCs w:val="22"/>
              </w:rPr>
              <w:t>CELKEM</w:t>
            </w:r>
          </w:p>
        </w:tc>
        <w:tc>
          <w:tcPr>
            <w:tcW w:w="851"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480204" w:rsidRPr="005333CD" w:rsidRDefault="00480204" w:rsidP="002E57DE">
            <w:pPr>
              <w:spacing w:after="0" w:line="240" w:lineRule="auto"/>
              <w:jc w:val="right"/>
              <w:rPr>
                <w:sz w:val="22"/>
                <w:szCs w:val="22"/>
              </w:rPr>
            </w:pPr>
            <w:r w:rsidRPr="005333CD">
              <w:rPr>
                <w:sz w:val="22"/>
                <w:szCs w:val="22"/>
              </w:rPr>
              <w:t>4</w:t>
            </w:r>
            <w:r w:rsidR="006D4950">
              <w:rPr>
                <w:sz w:val="22"/>
                <w:szCs w:val="22"/>
              </w:rPr>
              <w:t>1,0</w:t>
            </w:r>
          </w:p>
        </w:tc>
        <w:tc>
          <w:tcPr>
            <w:tcW w:w="12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480204" w:rsidRPr="002B09F2" w:rsidRDefault="00480204" w:rsidP="006D4950">
            <w:pPr>
              <w:spacing w:after="0" w:line="240" w:lineRule="auto"/>
              <w:jc w:val="right"/>
              <w:rPr>
                <w:sz w:val="22"/>
                <w:szCs w:val="22"/>
              </w:rPr>
            </w:pPr>
            <w:r w:rsidRPr="002B09F2">
              <w:rPr>
                <w:sz w:val="22"/>
                <w:szCs w:val="22"/>
              </w:rPr>
              <w:t>4</w:t>
            </w:r>
            <w:r w:rsidR="006D4950">
              <w:rPr>
                <w:sz w:val="22"/>
                <w:szCs w:val="22"/>
              </w:rPr>
              <w:t>8,7</w:t>
            </w:r>
            <w:r w:rsidRPr="002B09F2">
              <w:rPr>
                <w:sz w:val="22"/>
                <w:szCs w:val="22"/>
              </w:rPr>
              <w:t>%</w:t>
            </w:r>
          </w:p>
        </w:tc>
        <w:tc>
          <w:tcPr>
            <w:tcW w:w="12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480204" w:rsidRPr="002B09F2" w:rsidRDefault="00480204" w:rsidP="002E57DE">
            <w:pPr>
              <w:spacing w:after="0" w:line="240" w:lineRule="auto"/>
              <w:jc w:val="right"/>
              <w:rPr>
                <w:sz w:val="22"/>
                <w:szCs w:val="22"/>
              </w:rPr>
            </w:pPr>
            <w:r w:rsidRPr="002B09F2">
              <w:rPr>
                <w:sz w:val="22"/>
                <w:szCs w:val="22"/>
              </w:rPr>
              <w:t>-</w:t>
            </w:r>
          </w:p>
        </w:tc>
        <w:tc>
          <w:tcPr>
            <w:tcW w:w="1276" w:type="dxa"/>
            <w:tcBorders>
              <w:top w:val="single" w:sz="8" w:space="0" w:color="7F7F7F" w:themeColor="text1" w:themeTint="80"/>
              <w:left w:val="single" w:sz="8" w:space="0" w:color="7F7F7F" w:themeColor="text1" w:themeTint="80"/>
              <w:bottom w:val="single" w:sz="8" w:space="0" w:color="7F7F7F" w:themeColor="text1" w:themeTint="80"/>
            </w:tcBorders>
            <w:shd w:val="clear" w:color="auto" w:fill="auto"/>
            <w:noWrap/>
            <w:vAlign w:val="center"/>
            <w:hideMark/>
          </w:tcPr>
          <w:p w:rsidR="00480204" w:rsidRPr="005333CD" w:rsidRDefault="006D4950" w:rsidP="006D4950">
            <w:pPr>
              <w:spacing w:after="0" w:line="240" w:lineRule="auto"/>
              <w:jc w:val="right"/>
              <w:rPr>
                <w:sz w:val="22"/>
                <w:szCs w:val="22"/>
              </w:rPr>
            </w:pPr>
            <w:r>
              <w:rPr>
                <w:sz w:val="22"/>
                <w:szCs w:val="22"/>
              </w:rPr>
              <w:t>152,7</w:t>
            </w:r>
          </w:p>
        </w:tc>
        <w:tc>
          <w:tcPr>
            <w:tcW w:w="1277" w:type="dxa"/>
            <w:tcBorders>
              <w:top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480204" w:rsidRPr="00541D4E" w:rsidRDefault="006D4950" w:rsidP="002E57DE">
            <w:pPr>
              <w:spacing w:after="0" w:line="240" w:lineRule="auto"/>
              <w:jc w:val="right"/>
              <w:rPr>
                <w:sz w:val="22"/>
                <w:szCs w:val="22"/>
              </w:rPr>
            </w:pPr>
            <w:r>
              <w:rPr>
                <w:sz w:val="22"/>
                <w:szCs w:val="22"/>
              </w:rPr>
              <w:t>34 052,1</w:t>
            </w:r>
          </w:p>
        </w:tc>
      </w:tr>
    </w:tbl>
    <w:p w:rsidR="00480204" w:rsidRDefault="00480204" w:rsidP="00480204">
      <w:pPr>
        <w:spacing w:before="60"/>
        <w:rPr>
          <w:sz w:val="22"/>
          <w:szCs w:val="22"/>
        </w:rPr>
      </w:pPr>
      <w:r w:rsidRPr="00227DDA">
        <w:rPr>
          <w:sz w:val="22"/>
          <w:szCs w:val="22"/>
        </w:rPr>
        <w:t xml:space="preserve">Zdroj: </w:t>
      </w:r>
      <w:r>
        <w:rPr>
          <w:sz w:val="22"/>
          <w:szCs w:val="22"/>
        </w:rPr>
        <w:t xml:space="preserve">Podklady </w:t>
      </w:r>
      <w:r w:rsidRPr="00227DDA">
        <w:rPr>
          <w:sz w:val="22"/>
          <w:szCs w:val="22"/>
        </w:rPr>
        <w:t>podniku (vlastní zpracování)</w:t>
      </w:r>
      <w:r w:rsidR="008F5977">
        <w:rPr>
          <w:rStyle w:val="Znakapoznpodarou"/>
          <w:sz w:val="22"/>
          <w:szCs w:val="22"/>
        </w:rPr>
        <w:footnoteReference w:id="3"/>
      </w:r>
    </w:p>
    <w:p w:rsidR="00DC24F1" w:rsidRDefault="00480204" w:rsidP="00DC24F1">
      <w:r>
        <w:lastRenderedPageBreak/>
        <w:t xml:space="preserve">V podnikovém kalkulačním vzorci je požadovaná přidaná hodnota zčásti pokrývána prodejní marží, proto jsou v rámci modelového propočtu sazby „člověkoden“ nastaveny tak, aby generovaly přidanou hodnotu v objemu odpovídající požadované roční přidané hodnotě po </w:t>
      </w:r>
      <w:r w:rsidR="00DC24F1">
        <w:t>odečtení příspěvku získaného</w:t>
      </w:r>
      <w:r>
        <w:t xml:space="preserve"> prodejní marží. Prodejní marže </w:t>
      </w:r>
      <w:r w:rsidR="00DC24F1">
        <w:t xml:space="preserve">dosahuje v průměru 7,5 % z přímých nákladů, což vede ke snížení požadované přidané hodnoty, jež musí být zajištěna placenou prací zaměstnanců, na 34 mil. za rok. </w:t>
      </w:r>
    </w:p>
    <w:p w:rsidR="00DC24F1" w:rsidRDefault="00B03F15" w:rsidP="00DC24F1">
      <w:r>
        <w:t xml:space="preserve">V uvedeném modelu je </w:t>
      </w:r>
      <w:r w:rsidR="00DC24F1">
        <w:t xml:space="preserve">kategorii expert 2, jež je vzhledem k typu práce a počtu pracovníků skupinou s největším počtem produkčních hodin, přiřazena průměrná sazba za práci, tedy 8 tis. Kč za den. Další denní sazby jsou nastaveny s ohledem </w:t>
      </w:r>
      <w:r>
        <w:br/>
      </w:r>
      <w:r w:rsidR="00DC24F1">
        <w:t xml:space="preserve">na rozdílnosti kategorií pracovníků z pohledu typu práce a průměrných mzdových nákladů </w:t>
      </w:r>
      <w:r w:rsidR="002846C6">
        <w:t>dané kategorie na</w:t>
      </w:r>
      <w:r w:rsidR="00DC24F1">
        <w:t xml:space="preserve"> </w:t>
      </w:r>
      <w:r w:rsidR="006D4950">
        <w:t>4,8</w:t>
      </w:r>
      <w:r w:rsidR="00DC24F1">
        <w:t xml:space="preserve"> tis. Kč za práci asistenta</w:t>
      </w:r>
      <w:r w:rsidR="002846C6">
        <w:t xml:space="preserve">; 9,6 tis. Kč za práci vedoucích výzkumných sektorů a </w:t>
      </w:r>
      <w:r w:rsidR="00DC24F1">
        <w:t>12</w:t>
      </w:r>
      <w:r w:rsidR="002846C6">
        <w:t>,0</w:t>
      </w:r>
      <w:r w:rsidR="00DC24F1">
        <w:t xml:space="preserve"> tis. Kč za práci ředitele. </w:t>
      </w:r>
    </w:p>
    <w:p w:rsidR="00CB4A73" w:rsidRDefault="00CB4A73" w:rsidP="00AD39AE">
      <w:pPr>
        <w:pStyle w:val="Nadpis3"/>
        <w:spacing w:before="720"/>
      </w:pPr>
      <w:bookmarkStart w:id="36" w:name="_Toc302476225"/>
      <w:r>
        <w:t>Vzorová kalkulace zakázky</w:t>
      </w:r>
      <w:bookmarkEnd w:id="36"/>
      <w:r>
        <w:t xml:space="preserve"> </w:t>
      </w:r>
    </w:p>
    <w:p w:rsidR="00566184" w:rsidRDefault="00785566" w:rsidP="00CD6A5A">
      <w:r>
        <w:t xml:space="preserve">Kalkulační postup podniku </w:t>
      </w:r>
      <w:r w:rsidR="001A759A">
        <w:t>je</w:t>
      </w:r>
      <w:r>
        <w:t xml:space="preserve"> zobrazen na </w:t>
      </w:r>
      <w:r w:rsidR="00B1759A">
        <w:t>příkladu propočtu nákladů a sta</w:t>
      </w:r>
      <w:r w:rsidR="00651291">
        <w:t>no</w:t>
      </w:r>
      <w:r w:rsidR="00B1759A">
        <w:t>vení ceny</w:t>
      </w:r>
      <w:r w:rsidR="00566184">
        <w:t xml:space="preserve"> konkrétní </w:t>
      </w:r>
      <w:r w:rsidR="00B1759A">
        <w:t xml:space="preserve">zakázky. </w:t>
      </w:r>
      <w:r w:rsidR="00566184">
        <w:t>Kalkulovanou z</w:t>
      </w:r>
      <w:r w:rsidR="00B1759A">
        <w:t>akázk</w:t>
      </w:r>
      <w:r w:rsidR="00566184">
        <w:t xml:space="preserve">ou je průzkum </w:t>
      </w:r>
      <w:r w:rsidR="00B1759A">
        <w:t xml:space="preserve">pro zákazníka ze sektoru </w:t>
      </w:r>
      <w:r w:rsidR="00046DFE">
        <w:t>spotřebitelských produktů</w:t>
      </w:r>
      <w:r w:rsidR="00566184">
        <w:t xml:space="preserve">, zvolenou metodikou sběru dat je </w:t>
      </w:r>
      <w:r w:rsidR="00B1759A">
        <w:t>osobní dotazování</w:t>
      </w:r>
      <w:r w:rsidR="00566184">
        <w:t xml:space="preserve">. Zakázka je </w:t>
      </w:r>
      <w:r w:rsidR="00083C23">
        <w:t>zpracována</w:t>
      </w:r>
      <w:r w:rsidR="00B1759A">
        <w:t xml:space="preserve"> </w:t>
      </w:r>
      <w:r w:rsidR="00566184">
        <w:t xml:space="preserve">jako komplexní služba, tedy </w:t>
      </w:r>
      <w:r w:rsidR="00B1759A">
        <w:t xml:space="preserve">od návrhu šetření, </w:t>
      </w:r>
      <w:r w:rsidR="00CB5433">
        <w:t>přípravy dotazníku</w:t>
      </w:r>
      <w:r w:rsidR="00B1759A">
        <w:t>, sběr</w:t>
      </w:r>
      <w:r w:rsidR="00083C23">
        <w:t xml:space="preserve">u a </w:t>
      </w:r>
      <w:r w:rsidR="00B1759A">
        <w:t xml:space="preserve">zpracování dat po zpracování závěrečné zprávy z výzkumu a prezentaci výstupů zákazníkovi. </w:t>
      </w:r>
      <w:r w:rsidR="00B1759A" w:rsidRPr="00046DFE">
        <w:t xml:space="preserve">Vyhotovený kalkulační formulář představuje příloha č. 2. </w:t>
      </w:r>
    </w:p>
    <w:p w:rsidR="00566184" w:rsidRDefault="00B1759A" w:rsidP="00CD6A5A">
      <w:r w:rsidRPr="00046DFE">
        <w:t xml:space="preserve">V rámci </w:t>
      </w:r>
      <w:r w:rsidR="005B2390" w:rsidRPr="00046DFE">
        <w:t>podnikového</w:t>
      </w:r>
      <w:r w:rsidRPr="00046DFE">
        <w:t xml:space="preserve"> intranetu je sledována smluvní cena a kalkulace nákladů společně se skutečně vynaloženými přímými náklady a cenou práce. </w:t>
      </w:r>
      <w:r w:rsidR="00046DFE">
        <w:t>Příloha č. 3</w:t>
      </w:r>
      <w:r w:rsidR="00974497" w:rsidRPr="00046DFE">
        <w:t xml:space="preserve"> zobrazuje srovnání propočtové a</w:t>
      </w:r>
      <w:r w:rsidR="00974497">
        <w:t xml:space="preserve"> výsledné kalkulace </w:t>
      </w:r>
      <w:r w:rsidR="00CB5433">
        <w:t xml:space="preserve">stejné zakázky </w:t>
      </w:r>
      <w:r w:rsidR="00974497">
        <w:t>v</w:t>
      </w:r>
      <w:r w:rsidR="00CB5433">
        <w:t xml:space="preserve"> podnikovém intranetu – </w:t>
      </w:r>
      <w:r w:rsidR="00CA4733">
        <w:t>interním systému</w:t>
      </w:r>
      <w:r w:rsidR="00974497">
        <w:t xml:space="preserve"> p</w:t>
      </w:r>
      <w:r w:rsidR="005F5A54">
        <w:t>r</w:t>
      </w:r>
      <w:r w:rsidR="00974497">
        <w:t xml:space="preserve">o řízení zakázek. </w:t>
      </w:r>
    </w:p>
    <w:p w:rsidR="00835350" w:rsidRDefault="00835350" w:rsidP="00CD6A5A"/>
    <w:p w:rsidR="00894DDC" w:rsidRDefault="00894DDC" w:rsidP="00894DDC">
      <w:pPr>
        <w:pStyle w:val="Nadpis2"/>
        <w:ind w:left="578" w:hanging="578"/>
      </w:pPr>
      <w:bookmarkStart w:id="37" w:name="_Toc302476226"/>
      <w:r>
        <w:lastRenderedPageBreak/>
        <w:t>Zhodnocení kalkula</w:t>
      </w:r>
      <w:r w:rsidR="00651291">
        <w:t>ce</w:t>
      </w:r>
      <w:r>
        <w:t xml:space="preserve"> podniku</w:t>
      </w:r>
      <w:bookmarkEnd w:id="37"/>
      <w:r>
        <w:t xml:space="preserve"> </w:t>
      </w:r>
    </w:p>
    <w:p w:rsidR="00F61986" w:rsidRPr="00F61986" w:rsidRDefault="00F61986" w:rsidP="00F61986">
      <w:pPr>
        <w:pStyle w:val="Nadpis3"/>
      </w:pPr>
      <w:bookmarkStart w:id="38" w:name="_Toc302476227"/>
      <w:r>
        <w:t>Z</w:t>
      </w:r>
      <w:r w:rsidR="00314766">
        <w:t>hodnocení kalkulačního systému</w:t>
      </w:r>
      <w:bookmarkEnd w:id="38"/>
      <w:r w:rsidR="00314766">
        <w:t xml:space="preserve"> </w:t>
      </w:r>
    </w:p>
    <w:p w:rsidR="00021BBD" w:rsidRDefault="00021BBD" w:rsidP="00CD6A5A">
      <w:r w:rsidRPr="00835350">
        <w:t>Kalkulace js</w:t>
      </w:r>
      <w:r w:rsidR="00B20A15" w:rsidRPr="00835350">
        <w:t>ou v podniku sestavovány v rámci</w:t>
      </w:r>
      <w:r w:rsidRPr="00835350">
        <w:t xml:space="preserve"> </w:t>
      </w:r>
      <w:r w:rsidR="001B5776" w:rsidRPr="00835350">
        <w:t>zpracování nabídek</w:t>
      </w:r>
      <w:r w:rsidRPr="00835350">
        <w:t xml:space="preserve">, přičemž hlavním účelem je </w:t>
      </w:r>
      <w:r w:rsidR="00D32F2C" w:rsidRPr="00835350">
        <w:t>propočet</w:t>
      </w:r>
      <w:r w:rsidRPr="00835350">
        <w:t xml:space="preserve"> plánovaných nákladů </w:t>
      </w:r>
      <w:r w:rsidR="001B5776" w:rsidRPr="00835350">
        <w:t xml:space="preserve">a </w:t>
      </w:r>
      <w:r w:rsidR="00D32F2C" w:rsidRPr="00835350">
        <w:t xml:space="preserve">určení </w:t>
      </w:r>
      <w:r w:rsidR="001B5776" w:rsidRPr="00835350">
        <w:t>směrné ceny. Směrná cena dále slo</w:t>
      </w:r>
      <w:r w:rsidR="00D32F2C" w:rsidRPr="00835350">
        <w:t>u</w:t>
      </w:r>
      <w:r w:rsidR="001B5776" w:rsidRPr="00835350">
        <w:t>ží jako podklad pro stanovení nabídkové</w:t>
      </w:r>
      <w:r w:rsidR="00B20A15" w:rsidRPr="00835350">
        <w:t xml:space="preserve"> </w:t>
      </w:r>
      <w:r w:rsidRPr="00835350">
        <w:t>ceny.</w:t>
      </w:r>
      <w:r>
        <w:t xml:space="preserve"> </w:t>
      </w:r>
      <w:r w:rsidR="001B5776">
        <w:t xml:space="preserve">Tyto </w:t>
      </w:r>
      <w:r w:rsidR="001B5776" w:rsidRPr="000E062F">
        <w:rPr>
          <w:b/>
        </w:rPr>
        <w:t>p</w:t>
      </w:r>
      <w:r w:rsidR="00835350" w:rsidRPr="000E062F">
        <w:rPr>
          <w:b/>
        </w:rPr>
        <w:t>ropočtové</w:t>
      </w:r>
      <w:r w:rsidR="001B5776" w:rsidRPr="000E062F">
        <w:rPr>
          <w:b/>
        </w:rPr>
        <w:t xml:space="preserve"> kalkulace</w:t>
      </w:r>
      <w:r w:rsidR="001B5776">
        <w:t xml:space="preserve"> jsou </w:t>
      </w:r>
      <w:r w:rsidR="00D32F2C">
        <w:t>sestavovány</w:t>
      </w:r>
      <w:r w:rsidR="001B5776">
        <w:t xml:space="preserve"> individuálně pro každou připravovanou zakázku. </w:t>
      </w:r>
      <w:r>
        <w:t xml:space="preserve">Po skončení zakázky jsou zpracovány </w:t>
      </w:r>
      <w:r w:rsidRPr="000E062F">
        <w:rPr>
          <w:b/>
        </w:rPr>
        <w:t>výsledkové kalkulace</w:t>
      </w:r>
      <w:r>
        <w:t xml:space="preserve">, v podniku označované jako finanční vyúčtování zakázek, které umožňují srovnání plánovaných a skutečných nákladů. Porovnáním kalkulace a finančního vyúčtování zakázky se prověřuje hospodárnost a ekonomická efektivnost při realizaci zakázky. </w:t>
      </w:r>
    </w:p>
    <w:p w:rsidR="00D97475" w:rsidRDefault="00A629C7" w:rsidP="00D97475">
      <w:r>
        <w:t xml:space="preserve">Záznamy o nabídkách a zakázkách jsou zaznamenávány do </w:t>
      </w:r>
      <w:r w:rsidR="00835350">
        <w:t>interního</w:t>
      </w:r>
      <w:r>
        <w:t xml:space="preserve"> systému pro řízení zakázek</w:t>
      </w:r>
      <w:r w:rsidR="00D32F2C">
        <w:t xml:space="preserve">, který je součástí </w:t>
      </w:r>
      <w:r w:rsidR="005B2390">
        <w:t>podnikového</w:t>
      </w:r>
      <w:r w:rsidR="00D32F2C">
        <w:t xml:space="preserve"> intranetu</w:t>
      </w:r>
      <w:r>
        <w:t>. V rámci nabídky se sleduj</w:t>
      </w:r>
      <w:r w:rsidR="00FC5629">
        <w:t>e</w:t>
      </w:r>
      <w:r>
        <w:t xml:space="preserve"> objem práce na nabídce</w:t>
      </w:r>
      <w:r w:rsidR="00FC5629">
        <w:t xml:space="preserve"> a případné přímé náklady</w:t>
      </w:r>
      <w:r>
        <w:t xml:space="preserve">. Při realizaci </w:t>
      </w:r>
      <w:r w:rsidR="001B5776">
        <w:t>zakázek</w:t>
      </w:r>
      <w:r>
        <w:t xml:space="preserve"> se </w:t>
      </w:r>
      <w:r w:rsidR="003B4708">
        <w:t>evidují</w:t>
      </w:r>
      <w:r>
        <w:t xml:space="preserve"> přímé náklady a objem i cena práce vynaložená na zpracování zakázky. Tyto hodnoty jsou porovnávány s </w:t>
      </w:r>
      <w:r w:rsidR="00835350">
        <w:t>odhadem</w:t>
      </w:r>
      <w:r>
        <w:t xml:space="preserve"> nákladů </w:t>
      </w:r>
      <w:r w:rsidR="00C83124">
        <w:t>z </w:t>
      </w:r>
      <w:r>
        <w:t xml:space="preserve">kalkulace. </w:t>
      </w:r>
      <w:r w:rsidR="005B2390">
        <w:t>Podnikový</w:t>
      </w:r>
      <w:r>
        <w:t xml:space="preserve"> intranet poskytuje informace </w:t>
      </w:r>
      <w:r w:rsidR="003F0858">
        <w:br/>
      </w:r>
      <w:r w:rsidR="00D32F2C">
        <w:t>o smluvních cenách a fakturacích zakázek</w:t>
      </w:r>
      <w:r w:rsidR="005B2390">
        <w:rPr>
          <w:rStyle w:val="Znakapoznpodarou"/>
        </w:rPr>
        <w:footnoteReference w:id="4"/>
      </w:r>
      <w:r w:rsidR="00D32F2C">
        <w:t xml:space="preserve"> a</w:t>
      </w:r>
      <w:r>
        <w:t xml:space="preserve"> </w:t>
      </w:r>
      <w:r w:rsidR="00D32F2C">
        <w:t xml:space="preserve">o </w:t>
      </w:r>
      <w:r>
        <w:t>kalkulovaných a skutečn</w:t>
      </w:r>
      <w:r w:rsidR="00D32F2C">
        <w:t>ých nákladech</w:t>
      </w:r>
      <w:r>
        <w:t xml:space="preserve"> za jednotlivé zakázky</w:t>
      </w:r>
      <w:r w:rsidR="003B4708">
        <w:t>, viz obrázek č. 5</w:t>
      </w:r>
      <w:r>
        <w:t xml:space="preserve">. </w:t>
      </w:r>
      <w:r w:rsidR="00D97475">
        <w:t xml:space="preserve">Vedle toho jsou pravidelně zpracovávány souhrnné přehledy finančního vyhodnocení zakázek, jež analyzují zakázky dle výzkumných sektorů, příp. i podle klientů. Dále jsou zpracovávány agregované údaje </w:t>
      </w:r>
      <w:r w:rsidR="003F0858">
        <w:br/>
      </w:r>
      <w:r w:rsidR="00D97475">
        <w:t xml:space="preserve">za dílčí části zakázek, </w:t>
      </w:r>
      <w:r w:rsidR="009D43A9">
        <w:t>které</w:t>
      </w:r>
      <w:r w:rsidR="00D97475">
        <w:t xml:space="preserve"> umožňují hodnotit hospodárnost a efektivnost používaných metodik sběru dat. </w:t>
      </w:r>
    </w:p>
    <w:p w:rsidR="002C095A" w:rsidRDefault="00D32F2C" w:rsidP="00CD6A5A">
      <w:r>
        <w:t xml:space="preserve">Při založení zakázky </w:t>
      </w:r>
      <w:r w:rsidR="002C095A">
        <w:t xml:space="preserve">se v prvním kroku zadává smluvní cena. Částka vychází </w:t>
      </w:r>
      <w:r w:rsidR="002C095A">
        <w:br/>
        <w:t xml:space="preserve">ze smlouvy o dílo </w:t>
      </w:r>
      <w:r w:rsidR="009D43A9">
        <w:t>a</w:t>
      </w:r>
      <w:r w:rsidR="002C095A">
        <w:t>nebo z objednávky zakázk</w:t>
      </w:r>
      <w:r w:rsidR="00835350">
        <w:t>y</w:t>
      </w:r>
      <w:r w:rsidR="002C095A">
        <w:t xml:space="preserve">. </w:t>
      </w:r>
      <w:r w:rsidR="00835350">
        <w:t xml:space="preserve">Smluvní cena se </w:t>
      </w:r>
      <w:r w:rsidR="009D43A9">
        <w:t>za</w:t>
      </w:r>
      <w:r w:rsidR="00835350">
        <w:t>eviduje na úrov</w:t>
      </w:r>
      <w:r w:rsidR="009D43A9">
        <w:t xml:space="preserve">eň </w:t>
      </w:r>
      <w:r w:rsidR="00835350">
        <w:t xml:space="preserve">všech </w:t>
      </w:r>
      <w:r w:rsidR="002C095A">
        <w:t>dílčí</w:t>
      </w:r>
      <w:r w:rsidR="00835350">
        <w:t>ch</w:t>
      </w:r>
      <w:r w:rsidR="002C095A">
        <w:t xml:space="preserve"> část</w:t>
      </w:r>
      <w:r w:rsidR="00835350">
        <w:t>í</w:t>
      </w:r>
      <w:r w:rsidR="002C095A">
        <w:t xml:space="preserve"> zakázky, jež byly klientem akceptovány </w:t>
      </w:r>
      <w:r>
        <w:t xml:space="preserve">na základě poskytnuté nabídky. </w:t>
      </w:r>
      <w:r w:rsidR="002C095A">
        <w:t xml:space="preserve">Smluvní cena je následně na úrovni dílčích částí zakázky rozepsána </w:t>
      </w:r>
      <w:r w:rsidR="003F0858">
        <w:br/>
      </w:r>
      <w:r w:rsidR="002C095A">
        <w:t xml:space="preserve">do základních kalkulačních položek. Vychází se přitom ze zpracovaných </w:t>
      </w:r>
      <w:r w:rsidR="00835350">
        <w:t xml:space="preserve">propočtových </w:t>
      </w:r>
      <w:r w:rsidR="002C095A">
        <w:t>kalkulací, které tvořili podklad pro cenovou nabídku. N</w:t>
      </w:r>
      <w:r>
        <w:t xml:space="preserve">ejvětší význam mají položky </w:t>
      </w:r>
      <w:r>
        <w:lastRenderedPageBreak/>
        <w:t>kalkulovaných přímých ná</w:t>
      </w:r>
      <w:r w:rsidR="002C095A">
        <w:t xml:space="preserve">kladů a kalkulované ceny práce (rozdíl mezi </w:t>
      </w:r>
      <w:r w:rsidR="00835350">
        <w:t>směrn</w:t>
      </w:r>
      <w:r w:rsidR="002C095A">
        <w:t xml:space="preserve">ou cenou a konečnou smluvní cenou je zachycen v položce úpravy ceny). </w:t>
      </w:r>
    </w:p>
    <w:p w:rsidR="00CE6387" w:rsidRDefault="002C095A" w:rsidP="00CD6A5A">
      <w:r>
        <w:t xml:space="preserve">Po zpracování interních měsíčních závěrek finančního účetnictví se z účetního systému Vario </w:t>
      </w:r>
      <w:r w:rsidR="005B2390">
        <w:t xml:space="preserve">do podnikového intranetu </w:t>
      </w:r>
      <w:r>
        <w:t>importuj</w:t>
      </w:r>
      <w:r w:rsidR="00D97475">
        <w:t xml:space="preserve">e celková suma </w:t>
      </w:r>
      <w:r w:rsidR="00311EF5">
        <w:t>fakturace</w:t>
      </w:r>
      <w:r>
        <w:t xml:space="preserve"> a </w:t>
      </w:r>
      <w:r w:rsidR="00D97475">
        <w:t xml:space="preserve">suma </w:t>
      </w:r>
      <w:r>
        <w:t xml:space="preserve">přímých nákladů za jednotlivé části zakázek. </w:t>
      </w:r>
      <w:r w:rsidR="00D97475">
        <w:t xml:space="preserve">Zároveň se po měsíční závěrce výkazů práce zaměstnanců v rámci </w:t>
      </w:r>
      <w:r w:rsidR="005B2390">
        <w:t xml:space="preserve">podnikového </w:t>
      </w:r>
      <w:r w:rsidR="00D97475">
        <w:t xml:space="preserve">intranetu </w:t>
      </w:r>
      <w:r w:rsidR="005B2390">
        <w:t xml:space="preserve">přenese </w:t>
      </w:r>
      <w:r w:rsidR="00D97475">
        <w:t>do výsledkové kalkulace</w:t>
      </w:r>
      <w:r w:rsidR="00311EF5">
        <w:t xml:space="preserve"> souhrnná částka </w:t>
      </w:r>
      <w:r w:rsidR="00D97475">
        <w:t>cen</w:t>
      </w:r>
      <w:r w:rsidR="00311EF5">
        <w:t>y</w:t>
      </w:r>
      <w:r w:rsidR="00D97475">
        <w:t xml:space="preserve"> </w:t>
      </w:r>
      <w:r w:rsidR="009D43A9">
        <w:t xml:space="preserve">za </w:t>
      </w:r>
      <w:r w:rsidR="00D97475">
        <w:t>prác</w:t>
      </w:r>
      <w:r w:rsidR="009D43A9">
        <w:t>i</w:t>
      </w:r>
      <w:r w:rsidR="00D97475">
        <w:t xml:space="preserve"> zaměstnanců. Tato položka je zjištěna jako součin vykázaných hodin práce jednotlivých pracovníků </w:t>
      </w:r>
      <w:r w:rsidR="009D43A9">
        <w:t>v</w:t>
      </w:r>
      <w:r w:rsidR="00311EF5">
        <w:t> </w:t>
      </w:r>
      <w:r w:rsidR="009D43A9">
        <w:t>evidenci</w:t>
      </w:r>
      <w:r w:rsidR="00311EF5">
        <w:t xml:space="preserve"> pracovní doby </w:t>
      </w:r>
      <w:r w:rsidR="009D43A9">
        <w:t xml:space="preserve">a příslušné sazby </w:t>
      </w:r>
      <w:r w:rsidR="005B2390">
        <w:br/>
      </w:r>
      <w:r w:rsidR="009D43A9">
        <w:t xml:space="preserve">za </w:t>
      </w:r>
      <w:r w:rsidR="00D97475">
        <w:t xml:space="preserve">práci. Porovnáním položek plánu a skutečnosti se po uzavření a konečném vyúčtování zakázky zjišťuje výsledek a odchylky od plánu. </w:t>
      </w:r>
    </w:p>
    <w:p w:rsidR="00120DA4" w:rsidRDefault="00120DA4" w:rsidP="00120DA4">
      <w:pPr>
        <w:pStyle w:val="Titulek"/>
        <w:keepNext/>
        <w:spacing w:before="120" w:after="120"/>
        <w:rPr>
          <w:b w:val="0"/>
          <w:color w:val="auto"/>
          <w:sz w:val="22"/>
          <w:szCs w:val="22"/>
        </w:rPr>
      </w:pPr>
      <w:r w:rsidRPr="007D58CE">
        <w:rPr>
          <w:b w:val="0"/>
          <w:color w:val="auto"/>
          <w:sz w:val="22"/>
          <w:szCs w:val="22"/>
        </w:rPr>
        <w:t xml:space="preserve">Obrázek </w:t>
      </w:r>
      <w:r>
        <w:rPr>
          <w:b w:val="0"/>
          <w:color w:val="auto"/>
          <w:sz w:val="22"/>
          <w:szCs w:val="22"/>
        </w:rPr>
        <w:t>5</w:t>
      </w:r>
      <w:r w:rsidRPr="007D58CE">
        <w:rPr>
          <w:b w:val="0"/>
          <w:color w:val="auto"/>
          <w:sz w:val="22"/>
          <w:szCs w:val="22"/>
        </w:rPr>
        <w:t xml:space="preserve"> </w:t>
      </w:r>
      <w:r>
        <w:rPr>
          <w:b w:val="0"/>
          <w:color w:val="auto"/>
          <w:sz w:val="22"/>
          <w:szCs w:val="22"/>
        </w:rPr>
        <w:t>Propočtová</w:t>
      </w:r>
      <w:r w:rsidRPr="003B4708">
        <w:rPr>
          <w:b w:val="0"/>
          <w:color w:val="auto"/>
          <w:sz w:val="22"/>
          <w:szCs w:val="22"/>
        </w:rPr>
        <w:t xml:space="preserve"> a výsledná kalkulace </w:t>
      </w:r>
      <w:r>
        <w:rPr>
          <w:b w:val="0"/>
          <w:color w:val="auto"/>
          <w:sz w:val="22"/>
          <w:szCs w:val="22"/>
        </w:rPr>
        <w:t xml:space="preserve">v podnikovém intranetu </w:t>
      </w:r>
    </w:p>
    <w:tbl>
      <w:tblPr>
        <w:tblStyle w:val="Mkatabulky"/>
        <w:tblW w:w="7655" w:type="dxa"/>
        <w:tblInd w:w="10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none" w:sz="0" w:space="0" w:color="auto"/>
        </w:tblBorders>
        <w:tblLook w:val="04A0"/>
      </w:tblPr>
      <w:tblGrid>
        <w:gridCol w:w="2551"/>
        <w:gridCol w:w="2552"/>
        <w:gridCol w:w="2552"/>
      </w:tblGrid>
      <w:tr w:rsidR="00120DA4" w:rsidRPr="00D97475" w:rsidTr="00B91D33">
        <w:tc>
          <w:tcPr>
            <w:tcW w:w="2551" w:type="dxa"/>
            <w:tcBorders>
              <w:top w:val="nil"/>
              <w:left w:val="nil"/>
              <w:bottom w:val="single" w:sz="8" w:space="0" w:color="7F7F7F" w:themeColor="text1" w:themeTint="80"/>
              <w:right w:val="nil"/>
            </w:tcBorders>
            <w:vAlign w:val="center"/>
          </w:tcPr>
          <w:p w:rsidR="00120DA4" w:rsidRPr="00D97475" w:rsidRDefault="00120DA4" w:rsidP="00B91D33">
            <w:pPr>
              <w:spacing w:after="0" w:line="300" w:lineRule="auto"/>
              <w:jc w:val="center"/>
              <w:rPr>
                <w:rFonts w:ascii="Times New Roman" w:hAnsi="Times New Roman"/>
                <w:i/>
                <w:color w:val="595959" w:themeColor="text1" w:themeTint="A6"/>
              </w:rPr>
            </w:pPr>
            <w:r>
              <w:rPr>
                <w:rFonts w:ascii="Times New Roman" w:hAnsi="Times New Roman"/>
                <w:i/>
                <w:color w:val="595959" w:themeColor="text1" w:themeTint="A6"/>
              </w:rPr>
              <w:t>Propočtová</w:t>
            </w:r>
            <w:r w:rsidRPr="00D97475">
              <w:rPr>
                <w:rFonts w:ascii="Times New Roman" w:hAnsi="Times New Roman"/>
                <w:i/>
                <w:color w:val="595959" w:themeColor="text1" w:themeTint="A6"/>
              </w:rPr>
              <w:t xml:space="preserve"> kalkulace</w:t>
            </w:r>
          </w:p>
        </w:tc>
        <w:tc>
          <w:tcPr>
            <w:tcW w:w="2552" w:type="dxa"/>
            <w:tcBorders>
              <w:top w:val="nil"/>
              <w:left w:val="nil"/>
              <w:bottom w:val="single" w:sz="8" w:space="0" w:color="7F7F7F" w:themeColor="text1" w:themeTint="80"/>
              <w:right w:val="nil"/>
            </w:tcBorders>
            <w:vAlign w:val="center"/>
          </w:tcPr>
          <w:p w:rsidR="00120DA4" w:rsidRPr="00D97475" w:rsidRDefault="00120DA4" w:rsidP="00B91D33">
            <w:pPr>
              <w:spacing w:after="0" w:line="300" w:lineRule="auto"/>
              <w:jc w:val="center"/>
              <w:rPr>
                <w:rFonts w:ascii="Times New Roman" w:hAnsi="Times New Roman"/>
                <w:i/>
                <w:color w:val="595959" w:themeColor="text1" w:themeTint="A6"/>
              </w:rPr>
            </w:pPr>
            <w:r w:rsidRPr="00D97475">
              <w:rPr>
                <w:rFonts w:ascii="Times New Roman" w:hAnsi="Times New Roman"/>
                <w:i/>
                <w:color w:val="595959" w:themeColor="text1" w:themeTint="A6"/>
              </w:rPr>
              <w:t>Výsledná kalkulace</w:t>
            </w:r>
          </w:p>
        </w:tc>
        <w:tc>
          <w:tcPr>
            <w:tcW w:w="2552" w:type="dxa"/>
            <w:tcBorders>
              <w:top w:val="nil"/>
              <w:left w:val="nil"/>
              <w:bottom w:val="single" w:sz="8" w:space="0" w:color="7F7F7F" w:themeColor="text1" w:themeTint="80"/>
              <w:right w:val="nil"/>
            </w:tcBorders>
            <w:vAlign w:val="center"/>
          </w:tcPr>
          <w:p w:rsidR="00120DA4" w:rsidRPr="00D97475" w:rsidRDefault="00120DA4" w:rsidP="00B91D33">
            <w:pPr>
              <w:spacing w:after="0" w:line="300" w:lineRule="auto"/>
              <w:jc w:val="center"/>
              <w:rPr>
                <w:rFonts w:ascii="Times New Roman" w:hAnsi="Times New Roman"/>
                <w:i/>
                <w:color w:val="595959" w:themeColor="text1" w:themeTint="A6"/>
              </w:rPr>
            </w:pPr>
            <w:r w:rsidRPr="00D97475">
              <w:rPr>
                <w:rFonts w:ascii="Times New Roman" w:hAnsi="Times New Roman"/>
                <w:i/>
                <w:color w:val="595959" w:themeColor="text1" w:themeTint="A6"/>
              </w:rPr>
              <w:t>Srovnání</w:t>
            </w:r>
          </w:p>
        </w:tc>
      </w:tr>
      <w:tr w:rsidR="00120DA4" w:rsidRPr="001A6DE1" w:rsidTr="00B91D33">
        <w:tc>
          <w:tcPr>
            <w:tcW w:w="2551" w:type="dxa"/>
            <w:tcBorders>
              <w:bottom w:val="single" w:sz="8" w:space="0" w:color="7F7F7F" w:themeColor="text1" w:themeTint="80"/>
              <w:right w:val="single" w:sz="8" w:space="0" w:color="7F7F7F" w:themeColor="text1" w:themeTint="80"/>
            </w:tcBorders>
            <w:vAlign w:val="center"/>
          </w:tcPr>
          <w:p w:rsidR="00120DA4" w:rsidRPr="001A6DE1" w:rsidRDefault="00120DA4" w:rsidP="00B91D33">
            <w:pPr>
              <w:spacing w:after="0" w:line="300" w:lineRule="auto"/>
              <w:rPr>
                <w:rFonts w:ascii="Times New Roman" w:hAnsi="Times New Roman"/>
              </w:rPr>
            </w:pPr>
            <w:r>
              <w:rPr>
                <w:rFonts w:ascii="Times New Roman" w:hAnsi="Times New Roman"/>
              </w:rPr>
              <w:t>Plán</w:t>
            </w:r>
            <w:r w:rsidRPr="001A6DE1">
              <w:rPr>
                <w:rFonts w:ascii="Times New Roman" w:hAnsi="Times New Roman"/>
              </w:rPr>
              <w:t xml:space="preserve"> </w:t>
            </w:r>
          </w:p>
        </w:tc>
        <w:tc>
          <w:tcPr>
            <w:tcW w:w="2552" w:type="dxa"/>
            <w:tcBorders>
              <w:left w:val="single" w:sz="8" w:space="0" w:color="7F7F7F" w:themeColor="text1" w:themeTint="80"/>
              <w:bottom w:val="single" w:sz="8" w:space="0" w:color="7F7F7F" w:themeColor="text1" w:themeTint="80"/>
              <w:right w:val="single" w:sz="8" w:space="0" w:color="7F7F7F" w:themeColor="text1" w:themeTint="80"/>
            </w:tcBorders>
            <w:vAlign w:val="center"/>
          </w:tcPr>
          <w:p w:rsidR="00120DA4" w:rsidRPr="001A6DE1" w:rsidRDefault="00120DA4" w:rsidP="00B91D33">
            <w:pPr>
              <w:spacing w:after="0" w:line="300" w:lineRule="auto"/>
              <w:rPr>
                <w:rFonts w:ascii="Times New Roman" w:hAnsi="Times New Roman"/>
              </w:rPr>
            </w:pPr>
            <w:r w:rsidRPr="001A6DE1">
              <w:rPr>
                <w:rFonts w:ascii="Times New Roman" w:hAnsi="Times New Roman"/>
              </w:rPr>
              <w:t xml:space="preserve">Skutečnost </w:t>
            </w:r>
          </w:p>
        </w:tc>
        <w:tc>
          <w:tcPr>
            <w:tcW w:w="2552" w:type="dxa"/>
            <w:tcBorders>
              <w:left w:val="single" w:sz="8" w:space="0" w:color="7F7F7F" w:themeColor="text1" w:themeTint="80"/>
              <w:bottom w:val="single" w:sz="8" w:space="0" w:color="7F7F7F" w:themeColor="text1" w:themeTint="80"/>
            </w:tcBorders>
            <w:vAlign w:val="center"/>
          </w:tcPr>
          <w:p w:rsidR="00120DA4" w:rsidRPr="001A6DE1" w:rsidRDefault="00120DA4" w:rsidP="00B91D33">
            <w:pPr>
              <w:spacing w:after="0" w:line="300" w:lineRule="auto"/>
              <w:rPr>
                <w:rFonts w:ascii="Times New Roman" w:hAnsi="Times New Roman"/>
              </w:rPr>
            </w:pPr>
            <w:r w:rsidRPr="001A6DE1">
              <w:rPr>
                <w:rFonts w:ascii="Times New Roman" w:hAnsi="Times New Roman"/>
              </w:rPr>
              <w:t xml:space="preserve">Rozdíl </w:t>
            </w:r>
          </w:p>
        </w:tc>
      </w:tr>
      <w:tr w:rsidR="00120DA4" w:rsidRPr="001A6DE1" w:rsidTr="00B91D33">
        <w:tc>
          <w:tcPr>
            <w:tcW w:w="2551" w:type="dxa"/>
            <w:tcBorders>
              <w:right w:val="single" w:sz="8" w:space="0" w:color="7F7F7F" w:themeColor="text1" w:themeTint="80"/>
            </w:tcBorders>
            <w:vAlign w:val="center"/>
          </w:tcPr>
          <w:p w:rsidR="00120DA4" w:rsidRDefault="00120DA4" w:rsidP="00B91D33">
            <w:pPr>
              <w:spacing w:after="0" w:line="300" w:lineRule="auto"/>
              <w:rPr>
                <w:rFonts w:ascii="Times New Roman" w:hAnsi="Times New Roman"/>
              </w:rPr>
            </w:pPr>
            <w:r w:rsidRPr="001A6DE1">
              <w:rPr>
                <w:rFonts w:ascii="Times New Roman" w:hAnsi="Times New Roman"/>
              </w:rPr>
              <w:t xml:space="preserve">Smluvní cena </w:t>
            </w:r>
            <w:r>
              <w:rPr>
                <w:rFonts w:ascii="Times New Roman" w:hAnsi="Times New Roman"/>
              </w:rPr>
              <w:t xml:space="preserve">v Kč </w:t>
            </w:r>
          </w:p>
          <w:p w:rsidR="00120DA4" w:rsidRPr="001A6DE1" w:rsidRDefault="00120DA4" w:rsidP="00B91D33">
            <w:pPr>
              <w:spacing w:after="0" w:line="300" w:lineRule="auto"/>
              <w:rPr>
                <w:rFonts w:ascii="Times New Roman" w:hAnsi="Times New Roman"/>
              </w:rPr>
            </w:pPr>
            <w:r>
              <w:rPr>
                <w:rFonts w:ascii="Times New Roman" w:hAnsi="Times New Roman"/>
              </w:rPr>
              <w:t xml:space="preserve">Smluvní cena/Měna </w:t>
            </w:r>
          </w:p>
        </w:tc>
        <w:tc>
          <w:tcPr>
            <w:tcW w:w="2552" w:type="dxa"/>
            <w:tcBorders>
              <w:left w:val="single" w:sz="8" w:space="0" w:color="7F7F7F" w:themeColor="text1" w:themeTint="80"/>
              <w:right w:val="single" w:sz="8" w:space="0" w:color="7F7F7F" w:themeColor="text1" w:themeTint="80"/>
            </w:tcBorders>
            <w:vAlign w:val="center"/>
          </w:tcPr>
          <w:p w:rsidR="00120DA4" w:rsidRDefault="00120DA4" w:rsidP="00B91D33">
            <w:pPr>
              <w:spacing w:after="0" w:line="300" w:lineRule="auto"/>
              <w:rPr>
                <w:rFonts w:ascii="Times New Roman" w:hAnsi="Times New Roman"/>
              </w:rPr>
            </w:pPr>
            <w:r>
              <w:rPr>
                <w:rFonts w:ascii="Times New Roman" w:hAnsi="Times New Roman"/>
              </w:rPr>
              <w:t xml:space="preserve">Fakturace v Kč </w:t>
            </w:r>
          </w:p>
          <w:p w:rsidR="00120DA4" w:rsidRPr="001A6DE1" w:rsidRDefault="00120DA4" w:rsidP="00B91D33">
            <w:pPr>
              <w:spacing w:after="0" w:line="300" w:lineRule="auto"/>
              <w:rPr>
                <w:rFonts w:ascii="Times New Roman" w:hAnsi="Times New Roman"/>
              </w:rPr>
            </w:pPr>
            <w:r>
              <w:rPr>
                <w:rFonts w:ascii="Times New Roman" w:hAnsi="Times New Roman"/>
              </w:rPr>
              <w:t xml:space="preserve">Fakturace/Měna </w:t>
            </w:r>
          </w:p>
        </w:tc>
        <w:tc>
          <w:tcPr>
            <w:tcW w:w="2552" w:type="dxa"/>
            <w:tcBorders>
              <w:left w:val="single" w:sz="8" w:space="0" w:color="7F7F7F" w:themeColor="text1" w:themeTint="80"/>
            </w:tcBorders>
            <w:vAlign w:val="center"/>
          </w:tcPr>
          <w:p w:rsidR="00120DA4" w:rsidRDefault="00120DA4" w:rsidP="00B91D33">
            <w:pPr>
              <w:spacing w:after="0" w:line="300" w:lineRule="auto"/>
              <w:rPr>
                <w:rFonts w:ascii="Times New Roman" w:hAnsi="Times New Roman"/>
              </w:rPr>
            </w:pPr>
            <w:r>
              <w:rPr>
                <w:rFonts w:ascii="Times New Roman" w:hAnsi="Times New Roman"/>
              </w:rPr>
              <w:t xml:space="preserve">Rozdíl fakturace v Kč </w:t>
            </w:r>
          </w:p>
          <w:p w:rsidR="00120DA4" w:rsidRPr="001A6DE1" w:rsidRDefault="00120DA4" w:rsidP="00B91D33">
            <w:pPr>
              <w:spacing w:after="0" w:line="300" w:lineRule="auto"/>
              <w:rPr>
                <w:rFonts w:ascii="Times New Roman" w:hAnsi="Times New Roman"/>
              </w:rPr>
            </w:pPr>
            <w:r>
              <w:rPr>
                <w:rFonts w:ascii="Times New Roman" w:hAnsi="Times New Roman"/>
              </w:rPr>
              <w:t xml:space="preserve">Rozdíl fakturace/Měna </w:t>
            </w:r>
          </w:p>
        </w:tc>
      </w:tr>
      <w:tr w:rsidR="00120DA4" w:rsidRPr="001A6DE1" w:rsidTr="00B91D33">
        <w:tc>
          <w:tcPr>
            <w:tcW w:w="2551" w:type="dxa"/>
            <w:tcBorders>
              <w:bottom w:val="nil"/>
              <w:right w:val="single" w:sz="8" w:space="0" w:color="7F7F7F" w:themeColor="text1" w:themeTint="80"/>
            </w:tcBorders>
            <w:vAlign w:val="center"/>
          </w:tcPr>
          <w:p w:rsidR="00120DA4" w:rsidRPr="001A6DE1" w:rsidRDefault="00120DA4" w:rsidP="00B91D33">
            <w:pPr>
              <w:spacing w:after="0" w:line="300" w:lineRule="auto"/>
              <w:rPr>
                <w:rFonts w:ascii="Times New Roman" w:hAnsi="Times New Roman"/>
              </w:rPr>
            </w:pPr>
            <w:r>
              <w:rPr>
                <w:rFonts w:ascii="Times New Roman" w:hAnsi="Times New Roman"/>
              </w:rPr>
              <w:t>Kalk. přímé</w:t>
            </w:r>
            <w:r w:rsidRPr="001A6DE1">
              <w:rPr>
                <w:rFonts w:ascii="Times New Roman" w:hAnsi="Times New Roman"/>
              </w:rPr>
              <w:t xml:space="preserve"> náklad</w:t>
            </w:r>
            <w:r>
              <w:rPr>
                <w:rFonts w:ascii="Times New Roman" w:hAnsi="Times New Roman"/>
              </w:rPr>
              <w:t xml:space="preserve">y </w:t>
            </w:r>
          </w:p>
        </w:tc>
        <w:tc>
          <w:tcPr>
            <w:tcW w:w="2552" w:type="dxa"/>
            <w:tcBorders>
              <w:left w:val="single" w:sz="8" w:space="0" w:color="7F7F7F" w:themeColor="text1" w:themeTint="80"/>
              <w:bottom w:val="nil"/>
              <w:right w:val="single" w:sz="8" w:space="0" w:color="7F7F7F" w:themeColor="text1" w:themeTint="80"/>
            </w:tcBorders>
            <w:vAlign w:val="center"/>
          </w:tcPr>
          <w:p w:rsidR="00120DA4" w:rsidRPr="001A6DE1" w:rsidRDefault="00120DA4" w:rsidP="00B91D33">
            <w:pPr>
              <w:spacing w:after="0" w:line="300" w:lineRule="auto"/>
              <w:rPr>
                <w:rFonts w:ascii="Times New Roman" w:hAnsi="Times New Roman"/>
              </w:rPr>
            </w:pPr>
            <w:r w:rsidRPr="001A6DE1">
              <w:rPr>
                <w:rFonts w:ascii="Times New Roman" w:hAnsi="Times New Roman"/>
              </w:rPr>
              <w:t xml:space="preserve">Přímé náklady </w:t>
            </w:r>
          </w:p>
        </w:tc>
        <w:tc>
          <w:tcPr>
            <w:tcW w:w="2552" w:type="dxa"/>
            <w:tcBorders>
              <w:left w:val="single" w:sz="8" w:space="0" w:color="7F7F7F" w:themeColor="text1" w:themeTint="80"/>
              <w:bottom w:val="nil"/>
            </w:tcBorders>
            <w:vAlign w:val="center"/>
          </w:tcPr>
          <w:p w:rsidR="00120DA4" w:rsidRPr="001A6DE1" w:rsidRDefault="00120DA4" w:rsidP="00B91D33">
            <w:pPr>
              <w:spacing w:after="0" w:line="300" w:lineRule="auto"/>
              <w:rPr>
                <w:rFonts w:ascii="Times New Roman" w:hAnsi="Times New Roman"/>
              </w:rPr>
            </w:pPr>
            <w:r>
              <w:rPr>
                <w:rFonts w:ascii="Times New Roman" w:hAnsi="Times New Roman"/>
              </w:rPr>
              <w:t>Rozdíl přímé náklady</w:t>
            </w:r>
            <w:r w:rsidRPr="001A6DE1">
              <w:rPr>
                <w:rFonts w:ascii="Times New Roman" w:hAnsi="Times New Roman"/>
              </w:rPr>
              <w:t xml:space="preserve"> </w:t>
            </w:r>
          </w:p>
        </w:tc>
      </w:tr>
      <w:tr w:rsidR="00120DA4" w:rsidRPr="001A6DE1" w:rsidTr="00B91D33">
        <w:tc>
          <w:tcPr>
            <w:tcW w:w="2551" w:type="dxa"/>
            <w:tcBorders>
              <w:top w:val="nil"/>
              <w:bottom w:val="nil"/>
              <w:right w:val="single" w:sz="8" w:space="0" w:color="7F7F7F" w:themeColor="text1" w:themeTint="80"/>
            </w:tcBorders>
            <w:vAlign w:val="center"/>
          </w:tcPr>
          <w:p w:rsidR="00120DA4" w:rsidRPr="001A6DE1" w:rsidRDefault="00120DA4" w:rsidP="00B91D33">
            <w:pPr>
              <w:spacing w:after="0" w:line="300" w:lineRule="auto"/>
              <w:rPr>
                <w:rFonts w:ascii="Times New Roman" w:hAnsi="Times New Roman"/>
              </w:rPr>
            </w:pPr>
            <w:r>
              <w:rPr>
                <w:rFonts w:ascii="Times New Roman" w:hAnsi="Times New Roman"/>
              </w:rPr>
              <w:t>Kalk.</w:t>
            </w:r>
            <w:r w:rsidRPr="001A6DE1">
              <w:rPr>
                <w:rFonts w:ascii="Times New Roman" w:hAnsi="Times New Roman"/>
              </w:rPr>
              <w:t xml:space="preserve"> </w:t>
            </w:r>
            <w:r>
              <w:rPr>
                <w:rFonts w:ascii="Times New Roman" w:hAnsi="Times New Roman"/>
              </w:rPr>
              <w:t>c</w:t>
            </w:r>
            <w:r w:rsidRPr="001A6DE1">
              <w:rPr>
                <w:rFonts w:ascii="Times New Roman" w:hAnsi="Times New Roman"/>
              </w:rPr>
              <w:t xml:space="preserve">ena práce </w:t>
            </w:r>
          </w:p>
        </w:tc>
        <w:tc>
          <w:tcPr>
            <w:tcW w:w="2552" w:type="dxa"/>
            <w:tcBorders>
              <w:top w:val="nil"/>
              <w:left w:val="single" w:sz="8" w:space="0" w:color="7F7F7F" w:themeColor="text1" w:themeTint="80"/>
              <w:bottom w:val="nil"/>
              <w:right w:val="single" w:sz="8" w:space="0" w:color="7F7F7F" w:themeColor="text1" w:themeTint="80"/>
            </w:tcBorders>
            <w:vAlign w:val="center"/>
          </w:tcPr>
          <w:p w:rsidR="00120DA4" w:rsidRPr="001A6DE1" w:rsidRDefault="00120DA4" w:rsidP="00B91D33">
            <w:pPr>
              <w:spacing w:after="0" w:line="300" w:lineRule="auto"/>
              <w:rPr>
                <w:rFonts w:ascii="Times New Roman" w:hAnsi="Times New Roman"/>
              </w:rPr>
            </w:pPr>
            <w:r w:rsidRPr="001A6DE1">
              <w:rPr>
                <w:rFonts w:ascii="Times New Roman" w:hAnsi="Times New Roman"/>
              </w:rPr>
              <w:t xml:space="preserve">Cena práce </w:t>
            </w:r>
          </w:p>
        </w:tc>
        <w:tc>
          <w:tcPr>
            <w:tcW w:w="2552" w:type="dxa"/>
            <w:tcBorders>
              <w:top w:val="nil"/>
              <w:left w:val="single" w:sz="8" w:space="0" w:color="7F7F7F" w:themeColor="text1" w:themeTint="80"/>
              <w:bottom w:val="nil"/>
            </w:tcBorders>
            <w:vAlign w:val="center"/>
          </w:tcPr>
          <w:p w:rsidR="00120DA4" w:rsidRPr="001A6DE1" w:rsidRDefault="00120DA4" w:rsidP="00B91D33">
            <w:pPr>
              <w:spacing w:after="0" w:line="300" w:lineRule="auto"/>
              <w:rPr>
                <w:rFonts w:ascii="Times New Roman" w:hAnsi="Times New Roman"/>
              </w:rPr>
            </w:pPr>
            <w:r>
              <w:rPr>
                <w:rFonts w:ascii="Times New Roman" w:hAnsi="Times New Roman"/>
              </w:rPr>
              <w:t xml:space="preserve">Rozdíl cena práce </w:t>
            </w:r>
          </w:p>
        </w:tc>
      </w:tr>
      <w:tr w:rsidR="00120DA4" w:rsidRPr="001A6DE1" w:rsidTr="00B91D33">
        <w:tc>
          <w:tcPr>
            <w:tcW w:w="2551" w:type="dxa"/>
            <w:tcBorders>
              <w:top w:val="nil"/>
              <w:bottom w:val="nil"/>
              <w:right w:val="single" w:sz="8" w:space="0" w:color="7F7F7F" w:themeColor="text1" w:themeTint="80"/>
            </w:tcBorders>
            <w:vAlign w:val="center"/>
          </w:tcPr>
          <w:p w:rsidR="00120DA4" w:rsidRDefault="00120DA4" w:rsidP="00B91D33">
            <w:pPr>
              <w:spacing w:after="0" w:line="300" w:lineRule="auto"/>
              <w:rPr>
                <w:rFonts w:ascii="Times New Roman" w:hAnsi="Times New Roman"/>
              </w:rPr>
            </w:pPr>
            <w:r>
              <w:rPr>
                <w:rFonts w:ascii="Times New Roman" w:hAnsi="Times New Roman"/>
              </w:rPr>
              <w:t>Kalk. o</w:t>
            </w:r>
            <w:r w:rsidRPr="001A6DE1">
              <w:rPr>
                <w:rFonts w:ascii="Times New Roman" w:hAnsi="Times New Roman"/>
              </w:rPr>
              <w:t xml:space="preserve">statní položky </w:t>
            </w:r>
          </w:p>
          <w:p w:rsidR="001A759A" w:rsidRPr="001A6DE1" w:rsidRDefault="001A759A" w:rsidP="00B91D33">
            <w:pPr>
              <w:spacing w:after="0" w:line="300" w:lineRule="auto"/>
              <w:rPr>
                <w:rFonts w:ascii="Times New Roman" w:hAnsi="Times New Roman"/>
              </w:rPr>
            </w:pPr>
            <w:r>
              <w:rPr>
                <w:rFonts w:ascii="Times New Roman" w:hAnsi="Times New Roman"/>
              </w:rPr>
              <w:t>Kalk. p</w:t>
            </w:r>
            <w:r w:rsidRPr="001A6DE1">
              <w:rPr>
                <w:rFonts w:ascii="Times New Roman" w:hAnsi="Times New Roman"/>
              </w:rPr>
              <w:t>rodejní marže</w:t>
            </w:r>
          </w:p>
        </w:tc>
        <w:tc>
          <w:tcPr>
            <w:tcW w:w="2552" w:type="dxa"/>
            <w:tcBorders>
              <w:top w:val="nil"/>
              <w:left w:val="single" w:sz="8" w:space="0" w:color="7F7F7F" w:themeColor="text1" w:themeTint="80"/>
              <w:bottom w:val="nil"/>
              <w:right w:val="single" w:sz="8" w:space="0" w:color="7F7F7F" w:themeColor="text1" w:themeTint="80"/>
            </w:tcBorders>
            <w:vAlign w:val="center"/>
          </w:tcPr>
          <w:p w:rsidR="00120DA4" w:rsidRPr="001A6DE1" w:rsidRDefault="00120DA4" w:rsidP="00B91D33">
            <w:pPr>
              <w:spacing w:after="0" w:line="300" w:lineRule="auto"/>
              <w:rPr>
                <w:rFonts w:ascii="Times New Roman" w:hAnsi="Times New Roman"/>
              </w:rPr>
            </w:pPr>
            <w:r w:rsidRPr="001A6DE1">
              <w:rPr>
                <w:rFonts w:ascii="Times New Roman" w:hAnsi="Times New Roman"/>
              </w:rPr>
              <w:t xml:space="preserve">- </w:t>
            </w:r>
          </w:p>
        </w:tc>
        <w:tc>
          <w:tcPr>
            <w:tcW w:w="2552" w:type="dxa"/>
            <w:tcBorders>
              <w:top w:val="nil"/>
              <w:left w:val="single" w:sz="8" w:space="0" w:color="7F7F7F" w:themeColor="text1" w:themeTint="80"/>
              <w:bottom w:val="nil"/>
            </w:tcBorders>
            <w:vAlign w:val="center"/>
          </w:tcPr>
          <w:p w:rsidR="00120DA4" w:rsidRPr="001A6DE1" w:rsidRDefault="00120DA4" w:rsidP="00B91D33">
            <w:pPr>
              <w:spacing w:after="0" w:line="300" w:lineRule="auto"/>
              <w:rPr>
                <w:rFonts w:ascii="Times New Roman" w:hAnsi="Times New Roman"/>
              </w:rPr>
            </w:pPr>
            <w:r w:rsidRPr="001A6DE1">
              <w:rPr>
                <w:rFonts w:ascii="Times New Roman" w:hAnsi="Times New Roman"/>
              </w:rPr>
              <w:t xml:space="preserve">- </w:t>
            </w:r>
          </w:p>
        </w:tc>
      </w:tr>
      <w:tr w:rsidR="00120DA4" w:rsidRPr="001A6DE1" w:rsidTr="00B91D33">
        <w:tc>
          <w:tcPr>
            <w:tcW w:w="2551" w:type="dxa"/>
            <w:tcBorders>
              <w:top w:val="nil"/>
              <w:bottom w:val="single" w:sz="8" w:space="0" w:color="7F7F7F" w:themeColor="text1" w:themeTint="80"/>
              <w:right w:val="single" w:sz="8" w:space="0" w:color="7F7F7F" w:themeColor="text1" w:themeTint="80"/>
            </w:tcBorders>
            <w:vAlign w:val="center"/>
          </w:tcPr>
          <w:p w:rsidR="00120DA4" w:rsidRPr="001A6DE1" w:rsidRDefault="00120DA4" w:rsidP="00B91D33">
            <w:pPr>
              <w:spacing w:after="0" w:line="300" w:lineRule="auto"/>
              <w:rPr>
                <w:rFonts w:ascii="Times New Roman" w:hAnsi="Times New Roman"/>
              </w:rPr>
            </w:pPr>
            <w:r>
              <w:rPr>
                <w:rFonts w:ascii="Times New Roman" w:hAnsi="Times New Roman"/>
              </w:rPr>
              <w:t>Kalk. ú</w:t>
            </w:r>
            <w:r w:rsidRPr="001A6DE1">
              <w:rPr>
                <w:rFonts w:ascii="Times New Roman" w:hAnsi="Times New Roman"/>
              </w:rPr>
              <w:t xml:space="preserve">pravy ceny </w:t>
            </w:r>
          </w:p>
        </w:tc>
        <w:tc>
          <w:tcPr>
            <w:tcW w:w="2552" w:type="dxa"/>
            <w:tcBorders>
              <w:top w:val="nil"/>
              <w:left w:val="single" w:sz="8" w:space="0" w:color="7F7F7F" w:themeColor="text1" w:themeTint="80"/>
              <w:bottom w:val="single" w:sz="8" w:space="0" w:color="7F7F7F" w:themeColor="text1" w:themeTint="80"/>
              <w:right w:val="single" w:sz="8" w:space="0" w:color="7F7F7F" w:themeColor="text1" w:themeTint="80"/>
            </w:tcBorders>
            <w:vAlign w:val="center"/>
          </w:tcPr>
          <w:p w:rsidR="00120DA4" w:rsidRPr="001A6DE1" w:rsidRDefault="00120DA4" w:rsidP="00B91D33">
            <w:pPr>
              <w:spacing w:after="0" w:line="300" w:lineRule="auto"/>
              <w:rPr>
                <w:rFonts w:ascii="Times New Roman" w:hAnsi="Times New Roman"/>
              </w:rPr>
            </w:pPr>
            <w:r w:rsidRPr="001A6DE1">
              <w:rPr>
                <w:rFonts w:ascii="Times New Roman" w:hAnsi="Times New Roman"/>
              </w:rPr>
              <w:t xml:space="preserve">- </w:t>
            </w:r>
          </w:p>
        </w:tc>
        <w:tc>
          <w:tcPr>
            <w:tcW w:w="2552" w:type="dxa"/>
            <w:tcBorders>
              <w:top w:val="nil"/>
              <w:left w:val="single" w:sz="8" w:space="0" w:color="7F7F7F" w:themeColor="text1" w:themeTint="80"/>
              <w:bottom w:val="single" w:sz="8" w:space="0" w:color="7F7F7F" w:themeColor="text1" w:themeTint="80"/>
            </w:tcBorders>
            <w:vAlign w:val="center"/>
          </w:tcPr>
          <w:p w:rsidR="00120DA4" w:rsidRPr="001A6DE1" w:rsidRDefault="00120DA4" w:rsidP="00B91D33">
            <w:pPr>
              <w:spacing w:after="0" w:line="300" w:lineRule="auto"/>
              <w:rPr>
                <w:rFonts w:ascii="Times New Roman" w:hAnsi="Times New Roman"/>
              </w:rPr>
            </w:pPr>
            <w:r w:rsidRPr="001A6DE1">
              <w:rPr>
                <w:rFonts w:ascii="Times New Roman" w:hAnsi="Times New Roman"/>
              </w:rPr>
              <w:t xml:space="preserve">- </w:t>
            </w:r>
          </w:p>
        </w:tc>
      </w:tr>
    </w:tbl>
    <w:p w:rsidR="00120DA4" w:rsidRPr="007A49EC" w:rsidRDefault="00120DA4" w:rsidP="00120DA4">
      <w:pPr>
        <w:spacing w:before="60" w:line="240" w:lineRule="auto"/>
        <w:rPr>
          <w:sz w:val="22"/>
          <w:szCs w:val="22"/>
        </w:rPr>
      </w:pPr>
      <w:r w:rsidRPr="007A49EC">
        <w:rPr>
          <w:sz w:val="22"/>
          <w:szCs w:val="22"/>
        </w:rPr>
        <w:t xml:space="preserve">Zdroj: </w:t>
      </w:r>
      <w:r w:rsidR="0089270E">
        <w:rPr>
          <w:sz w:val="22"/>
          <w:szCs w:val="22"/>
        </w:rPr>
        <w:t>Podnikový intranet</w:t>
      </w:r>
      <w:r w:rsidR="0089270E" w:rsidRPr="007A49EC">
        <w:rPr>
          <w:sz w:val="22"/>
          <w:szCs w:val="22"/>
        </w:rPr>
        <w:t xml:space="preserve"> </w:t>
      </w:r>
      <w:r w:rsidRPr="007A49EC">
        <w:rPr>
          <w:sz w:val="22"/>
          <w:szCs w:val="22"/>
        </w:rPr>
        <w:t>(vlastní zpracování)</w:t>
      </w:r>
      <w:r>
        <w:rPr>
          <w:sz w:val="22"/>
          <w:szCs w:val="22"/>
        </w:rPr>
        <w:t xml:space="preserve"> </w:t>
      </w:r>
    </w:p>
    <w:p w:rsidR="00C83124" w:rsidRDefault="00021BBD" w:rsidP="00CD6A5A">
      <w:r>
        <w:t xml:space="preserve">Kalkulace se sestavují v jednotném formuláři </w:t>
      </w:r>
      <w:r w:rsidR="00B20A15">
        <w:t>nástroje</w:t>
      </w:r>
      <w:r>
        <w:t xml:space="preserve"> MS Excel. </w:t>
      </w:r>
      <w:r w:rsidR="00C83124">
        <w:t xml:space="preserve">Do budoucna by bylo vhodné </w:t>
      </w:r>
      <w:r w:rsidR="009D43A9">
        <w:t>formulář kalkulace</w:t>
      </w:r>
      <w:r w:rsidR="00C83124">
        <w:t xml:space="preserve"> implementovat do </w:t>
      </w:r>
      <w:r w:rsidR="005B2390">
        <w:t>podnikového</w:t>
      </w:r>
      <w:r w:rsidR="00C83124">
        <w:t xml:space="preserve"> intranetu</w:t>
      </w:r>
      <w:r w:rsidR="00D97475">
        <w:t xml:space="preserve">, což by umožnilo následnou kontrolu úplnosti a </w:t>
      </w:r>
      <w:r w:rsidR="009D43A9">
        <w:t>správnosti</w:t>
      </w:r>
      <w:r w:rsidR="00D97475">
        <w:t xml:space="preserve"> plánovaných položek přímo v rámci </w:t>
      </w:r>
      <w:r w:rsidR="00311EF5">
        <w:t>tohoto</w:t>
      </w:r>
      <w:r w:rsidR="00D97475">
        <w:t xml:space="preserve"> systému. </w:t>
      </w:r>
      <w:r w:rsidR="00311EF5">
        <w:t>Tento krok by proto měl být doplněn odpovídající úrovní</w:t>
      </w:r>
      <w:r w:rsidR="00D97475">
        <w:t xml:space="preserve"> zobrazení </w:t>
      </w:r>
      <w:r w:rsidR="00311EF5">
        <w:t xml:space="preserve">přímých </w:t>
      </w:r>
      <w:r w:rsidR="00D97475">
        <w:t xml:space="preserve">nákladů </w:t>
      </w:r>
      <w:r w:rsidR="00311EF5">
        <w:t>evidova</w:t>
      </w:r>
      <w:r w:rsidR="00D97475">
        <w:t xml:space="preserve">ných v účetním </w:t>
      </w:r>
      <w:r w:rsidR="00705DF5">
        <w:t>systému</w:t>
      </w:r>
      <w:r w:rsidR="00311EF5">
        <w:t xml:space="preserve"> tak</w:t>
      </w:r>
      <w:r w:rsidR="009D43A9">
        <w:t>,</w:t>
      </w:r>
      <w:r w:rsidR="00311EF5">
        <w:t xml:space="preserve"> aby namísto celkové sumy přímých nákladů bylo možné přímo v rámci intranetu zobrazovat jednotlivé položky vyúčtovaných nákladů</w:t>
      </w:r>
      <w:r w:rsidR="00705DF5">
        <w:t xml:space="preserve">. Z tohoto důvodu by bylo vhodné napojit intranet na databázi účetního systému Vario, neboť toto řešení na rozdíl od stávajících </w:t>
      </w:r>
      <w:r w:rsidR="00311EF5">
        <w:t>převodů</w:t>
      </w:r>
      <w:r w:rsidR="00705DF5">
        <w:t xml:space="preserve"> dat mezi oběma systémy nevede k</w:t>
      </w:r>
      <w:r w:rsidR="009D43A9">
        <w:t xml:space="preserve"> další </w:t>
      </w:r>
      <w:r w:rsidR="00705DF5">
        <w:t xml:space="preserve">duplikaci dat v obou databázích. </w:t>
      </w:r>
    </w:p>
    <w:p w:rsidR="00F61986" w:rsidRDefault="00021BBD" w:rsidP="00CD6A5A">
      <w:r>
        <w:t xml:space="preserve">Za </w:t>
      </w:r>
      <w:r w:rsidR="00CD5B0E">
        <w:t>podobu kalkulační</w:t>
      </w:r>
      <w:r w:rsidR="00B20A15">
        <w:t>ho</w:t>
      </w:r>
      <w:r w:rsidR="00CD5B0E">
        <w:t xml:space="preserve"> vzorce i za kalkulační formulář a </w:t>
      </w:r>
      <w:r w:rsidR="00B20A15">
        <w:t xml:space="preserve">sazby kalkulačních položek </w:t>
      </w:r>
      <w:r w:rsidR="00CD5B0E">
        <w:t xml:space="preserve">odpovídá </w:t>
      </w:r>
      <w:r w:rsidR="00311EF5">
        <w:t xml:space="preserve">vedení společnosti, zejména pak </w:t>
      </w:r>
      <w:r w:rsidR="00CD5B0E">
        <w:t xml:space="preserve">finanční manažer. Propočet nákladů provádí osoba zodpovědná za zpracování dané nabídky, přičemž </w:t>
      </w:r>
      <w:r w:rsidR="00B00FDD">
        <w:t xml:space="preserve">pokud zajišťuje sběr dat </w:t>
      </w:r>
      <w:r w:rsidR="00B00FDD">
        <w:lastRenderedPageBreak/>
        <w:t xml:space="preserve">tazatelská skupina, na </w:t>
      </w:r>
      <w:r w:rsidR="00FC5629">
        <w:t>odhadu</w:t>
      </w:r>
      <w:r w:rsidR="00B00FDD">
        <w:t xml:space="preserve"> nákladů za </w:t>
      </w:r>
      <w:r w:rsidR="00311EF5">
        <w:t>příslušnou</w:t>
      </w:r>
      <w:r w:rsidR="00B00FDD">
        <w:t xml:space="preserve"> část </w:t>
      </w:r>
      <w:r w:rsidR="003B4708">
        <w:t>zakázky</w:t>
      </w:r>
      <w:r w:rsidR="00B00FDD">
        <w:t xml:space="preserve"> se podílí vedoucí této skupiny</w:t>
      </w:r>
      <w:r w:rsidR="00CD5B0E">
        <w:t>. V obou případech se dbá na správné a úplné uvedení kalkulačních položek a jejich správně ocenění. Na základě zpracované kalkulace nákladů se stanovuje nabídková cena zakázky. Kon</w:t>
      </w:r>
      <w:r w:rsidR="004F6DD6">
        <w:t>ečná odpovědnost za nákladovou i</w:t>
      </w:r>
      <w:r w:rsidR="00CD5B0E">
        <w:t xml:space="preserve"> cenovou kalkulaci spadá do kompetencí příslušného vedoucího</w:t>
      </w:r>
      <w:r w:rsidR="00B20A15">
        <w:t xml:space="preserve"> výzkumného sektoru, přičemž při překročení určité výše </w:t>
      </w:r>
      <w:r w:rsidR="00311EF5">
        <w:t>směrné</w:t>
      </w:r>
      <w:r w:rsidR="00B20A15">
        <w:t xml:space="preserve"> ceny se nabídka v</w:t>
      </w:r>
      <w:r w:rsidR="00CD5B0E">
        <w:t xml:space="preserve"> souladu s vnitřním schvalovacím a podpisovým řádem </w:t>
      </w:r>
      <w:r w:rsidR="00B20A15">
        <w:t>dále postupuje ke schválení řediteli výzkumu, příp. generálnímu řediteli</w:t>
      </w:r>
      <w:r w:rsidR="00CD5B0E">
        <w:t>.</w:t>
      </w:r>
      <w:r w:rsidR="00B20A15">
        <w:t xml:space="preserve"> Výjimkou jsou nabídky podávané v rámci vyhlášených veřejných </w:t>
      </w:r>
      <w:r w:rsidR="004F6DD6">
        <w:t>zakázek</w:t>
      </w:r>
      <w:r w:rsidR="00B20A15">
        <w:t xml:space="preserve"> a tendrů, na jejichž zpracování participuje finanční manažer</w:t>
      </w:r>
      <w:r w:rsidR="003B4708">
        <w:t>,</w:t>
      </w:r>
      <w:r w:rsidR="00B20A15">
        <w:t xml:space="preserve"> a které schvaluje generální ředitel. </w:t>
      </w:r>
      <w:r w:rsidR="00F61986">
        <w:t xml:space="preserve">Rozložení odpovědností za jednotlivé kroky při zpracování nabídky, </w:t>
      </w:r>
      <w:r w:rsidR="00311EF5">
        <w:t>propočet</w:t>
      </w:r>
      <w:r w:rsidR="00F61986">
        <w:t xml:space="preserve"> nákladů a </w:t>
      </w:r>
      <w:r w:rsidR="00311EF5">
        <w:t xml:space="preserve">stanovení </w:t>
      </w:r>
      <w:r w:rsidR="00F61986">
        <w:t xml:space="preserve">ceny </w:t>
      </w:r>
      <w:r w:rsidR="00311EF5">
        <w:t xml:space="preserve">zakázky </w:t>
      </w:r>
      <w:r w:rsidR="00EA3BE5">
        <w:t>je v souladu s kompetenční směrnicí</w:t>
      </w:r>
      <w:r w:rsidR="00F61986">
        <w:t xml:space="preserve">, jež určuje vnitropodnikové postupy a popisuje proces realizace zakázky. </w:t>
      </w:r>
    </w:p>
    <w:p w:rsidR="00F61986" w:rsidRPr="00F61986" w:rsidRDefault="00F61986" w:rsidP="00AD39AE">
      <w:pPr>
        <w:pStyle w:val="Nadpis3"/>
        <w:spacing w:before="720"/>
      </w:pPr>
      <w:bookmarkStart w:id="39" w:name="_Toc302476228"/>
      <w:r>
        <w:t>Zhodnocení kalkulační metody</w:t>
      </w:r>
      <w:bookmarkEnd w:id="39"/>
      <w:r>
        <w:t xml:space="preserve"> </w:t>
      </w:r>
    </w:p>
    <w:p w:rsidR="00CA1651" w:rsidRDefault="004F6DD6" w:rsidP="00CD6A5A">
      <w:r>
        <w:t xml:space="preserve">Metoda kalkulace používaná v podniku </w:t>
      </w:r>
      <w:r w:rsidRPr="000E062F">
        <w:rPr>
          <w:b/>
        </w:rPr>
        <w:t>vychází z p</w:t>
      </w:r>
      <w:r w:rsidR="00CD0C15" w:rsidRPr="000E062F">
        <w:rPr>
          <w:b/>
        </w:rPr>
        <w:t>řirážkové</w:t>
      </w:r>
      <w:r w:rsidRPr="000E062F">
        <w:rPr>
          <w:b/>
        </w:rPr>
        <w:t xml:space="preserve"> kalkulace</w:t>
      </w:r>
      <w:r>
        <w:t xml:space="preserve">. </w:t>
      </w:r>
      <w:r w:rsidR="00BA52DB">
        <w:br/>
      </w:r>
      <w:r w:rsidR="00CD0C15">
        <w:t xml:space="preserve">Za rozvrhovou základnu je zvolen objem práce zaměstnanců vyjádřený ve dnech nebo </w:t>
      </w:r>
      <w:r w:rsidR="003056C0">
        <w:br/>
      </w:r>
      <w:r w:rsidR="00311EF5">
        <w:t xml:space="preserve">v </w:t>
      </w:r>
      <w:r w:rsidR="00D0450B">
        <w:t>hodinách. Celkový objem</w:t>
      </w:r>
      <w:r w:rsidR="008D0502">
        <w:t xml:space="preserve"> </w:t>
      </w:r>
      <w:r w:rsidR="00CD0C15">
        <w:t xml:space="preserve">naturální rozvrhové základny je stanoven v závislosti </w:t>
      </w:r>
      <w:r w:rsidR="003056C0">
        <w:br/>
      </w:r>
      <w:r w:rsidR="00CD0C15">
        <w:t xml:space="preserve">na počtu produkčních pracovníků, fondu pracovní doby a podílu produkční činnosti </w:t>
      </w:r>
      <w:r w:rsidR="003056C0">
        <w:br/>
      </w:r>
      <w:r w:rsidR="00CD0C15">
        <w:t xml:space="preserve">na tomto fondu. Získány jsou tak sazby režijní přirážky </w:t>
      </w:r>
      <w:r w:rsidR="008D0502">
        <w:t>odpovídající různým</w:t>
      </w:r>
      <w:r w:rsidR="00CD0C15">
        <w:t xml:space="preserve"> kategori</w:t>
      </w:r>
      <w:r w:rsidR="008D0502">
        <w:t>ím</w:t>
      </w:r>
      <w:r w:rsidR="00CD0C15">
        <w:t xml:space="preserve"> zaměstnanců. </w:t>
      </w:r>
      <w:r w:rsidR="008D0502">
        <w:t xml:space="preserve">V podniku jsou tyto sazby nazývány sazbami „člověkoden“, případně „člověkohodina“. </w:t>
      </w:r>
    </w:p>
    <w:p w:rsidR="00705DF5" w:rsidRDefault="00E668CA" w:rsidP="00E668CA">
      <w:r>
        <w:t>Podnik při propočtu sazeb vychá</w:t>
      </w:r>
      <w:r w:rsidR="00F301D0">
        <w:t xml:space="preserve">zí z ročního rozpočtu. Tento </w:t>
      </w:r>
      <w:r>
        <w:t xml:space="preserve">postup se jeví jako vhodnější než propočet na základě výsledků minulých období, neboť v souvislosti </w:t>
      </w:r>
      <w:r w:rsidR="003B4708">
        <w:br/>
      </w:r>
      <w:r>
        <w:t xml:space="preserve">s významnými změnami se meziročně může měnit i struktura zakázek </w:t>
      </w:r>
      <w:r w:rsidR="00705DF5">
        <w:t xml:space="preserve">podniku </w:t>
      </w:r>
      <w:r>
        <w:t>a</w:t>
      </w:r>
      <w:r w:rsidR="00D0450B">
        <w:t xml:space="preserve"> </w:t>
      </w:r>
      <w:r w:rsidR="00705DF5">
        <w:t>jeho</w:t>
      </w:r>
      <w:r>
        <w:t xml:space="preserve"> nákladů.</w:t>
      </w:r>
      <w:r w:rsidR="00705DF5">
        <w:t xml:space="preserve"> </w:t>
      </w:r>
    </w:p>
    <w:p w:rsidR="003A7AFC" w:rsidRDefault="00D0450B" w:rsidP="00CD6A5A">
      <w:r>
        <w:t>Hlavní výhodou vy</w:t>
      </w:r>
      <w:r w:rsidR="00CA1651">
        <w:t xml:space="preserve">užívání principů kalkulace úplných nákladů je snadný postup při stanovení nákladové náročnosti zakázky jako výchozí informace pro </w:t>
      </w:r>
      <w:r>
        <w:t>zjištění</w:t>
      </w:r>
      <w:r w:rsidR="00CA1651">
        <w:t xml:space="preserve"> </w:t>
      </w:r>
      <w:r>
        <w:t xml:space="preserve">směrné </w:t>
      </w:r>
      <w:r w:rsidR="00CA1651">
        <w:t>ceny</w:t>
      </w:r>
      <w:r>
        <w:t xml:space="preserve"> v zakázkově orientované výrobě</w:t>
      </w:r>
      <w:r w:rsidR="00CA1651">
        <w:t>. Podnik proto akceptuje i nevýhody, jež přináší sumační přirážková metoda, tedy určité zprůměrování při přiřaz</w:t>
      </w:r>
      <w:r w:rsidR="005B2390">
        <w:t>ení</w:t>
      </w:r>
      <w:r w:rsidR="00CA1651">
        <w:t xml:space="preserve"> režijních nákladů </w:t>
      </w:r>
      <w:r w:rsidR="005B2390">
        <w:br/>
      </w:r>
      <w:r w:rsidR="00CA1651">
        <w:t xml:space="preserve">na základě jediné rozvrhové základny. </w:t>
      </w:r>
      <w:r w:rsidR="007E2798">
        <w:t xml:space="preserve">Vyjdeme-li ze skutečnosti, že podnik </w:t>
      </w:r>
      <w:r w:rsidR="002161EA">
        <w:t xml:space="preserve">provádí </w:t>
      </w:r>
      <w:r w:rsidR="002161EA">
        <w:lastRenderedPageBreak/>
        <w:t xml:space="preserve">kalkulaci na každou zakázku zvlášť, a to zpravidla ve více variantách, je přístup podniku přijatelným řešením, jež usnadňuje rychlé porovnání variant a </w:t>
      </w:r>
      <w:r>
        <w:t>zjištění směrné</w:t>
      </w:r>
      <w:r w:rsidR="002161EA">
        <w:t xml:space="preserve"> ceny. Kalkulace spojená s používáním jed</w:t>
      </w:r>
      <w:r w:rsidR="004210EE">
        <w:t xml:space="preserve">iné rozvrhové základny umožňuje svou snadností </w:t>
      </w:r>
      <w:r>
        <w:t xml:space="preserve">výpočet nákladů </w:t>
      </w:r>
      <w:r w:rsidR="00F301D0">
        <w:t xml:space="preserve">pracovníky </w:t>
      </w:r>
      <w:r w:rsidR="004210EE">
        <w:t>na</w:t>
      </w:r>
      <w:r w:rsidR="002161EA">
        <w:t xml:space="preserve"> </w:t>
      </w:r>
      <w:r w:rsidR="004210EE">
        <w:t>různých pozicích</w:t>
      </w:r>
      <w:r w:rsidR="002161EA">
        <w:t xml:space="preserve"> výzkumného oddělení a oddělení produkce</w:t>
      </w:r>
      <w:r w:rsidR="004210EE">
        <w:t xml:space="preserve">, </w:t>
      </w:r>
      <w:r w:rsidR="00C84448">
        <w:t>přičemž</w:t>
      </w:r>
      <w:r w:rsidR="004210EE">
        <w:t xml:space="preserve"> zaměstnancům pro správn</w:t>
      </w:r>
      <w:r w:rsidR="00C84448">
        <w:t>é</w:t>
      </w:r>
      <w:r w:rsidR="004210EE">
        <w:t xml:space="preserve"> proveden</w:t>
      </w:r>
      <w:r w:rsidR="00C84448">
        <w:t>í</w:t>
      </w:r>
      <w:r w:rsidR="004210EE">
        <w:t xml:space="preserve"> kalkulac</w:t>
      </w:r>
      <w:r w:rsidR="00C84448">
        <w:t>e</w:t>
      </w:r>
      <w:r w:rsidR="004210EE">
        <w:t xml:space="preserve"> </w:t>
      </w:r>
      <w:r>
        <w:t xml:space="preserve">postačuje </w:t>
      </w:r>
      <w:r w:rsidR="004210EE">
        <w:t xml:space="preserve">rozlišovat přímé a režijní náklady. </w:t>
      </w:r>
      <w:r>
        <w:t xml:space="preserve">Podnik se tímto odlišuje od podniků hromadné nebo sériové výroby, kde kalkulace provádí specializovaní pracovníci, a to pouze na omezený okruh předem daných produktů. </w:t>
      </w:r>
      <w:r w:rsidR="003A7AFC">
        <w:t xml:space="preserve">Podnik </w:t>
      </w:r>
      <w:r w:rsidR="00C84448">
        <w:t>tak</w:t>
      </w:r>
      <w:r w:rsidR="003A7AFC">
        <w:t xml:space="preserve"> může </w:t>
      </w:r>
      <w:r w:rsidR="00C84448">
        <w:t xml:space="preserve">danou techniku používat </w:t>
      </w:r>
      <w:r w:rsidR="003A7AFC">
        <w:t xml:space="preserve">v rámci propočtových kalkulací, </w:t>
      </w:r>
      <w:r w:rsidR="00C84448">
        <w:t>nicméně</w:t>
      </w:r>
      <w:r w:rsidR="003A7AFC">
        <w:t xml:space="preserve"> </w:t>
      </w:r>
      <w:r w:rsidR="00C84448">
        <w:t>propočet nákladů</w:t>
      </w:r>
      <w:r w:rsidR="003A7AFC">
        <w:t xml:space="preserve"> v rámci výsledkových kalkulací lze </w:t>
      </w:r>
      <w:r w:rsidR="00C84448">
        <w:t>zpracovávat</w:t>
      </w:r>
      <w:r w:rsidR="003A7AFC">
        <w:t xml:space="preserve"> vedle stávajícího vyčíslení úplných nákladů i </w:t>
      </w:r>
      <w:r w:rsidR="00C84448">
        <w:t>k</w:t>
      </w:r>
      <w:r w:rsidR="003A7AFC">
        <w:t xml:space="preserve">alkulací neúplných nákladů. </w:t>
      </w:r>
      <w:r w:rsidR="00B93791">
        <w:t xml:space="preserve">V souladu se zjištěním Nováka se právě </w:t>
      </w:r>
      <w:r w:rsidR="00C53D91">
        <w:t>s</w:t>
      </w:r>
      <w:r w:rsidR="003A7AFC">
        <w:t>rovnáním zisku zjištěného přirážkovou kalkulací a krycího příspěvku zjištěného kalkulací variabilních nákladů získá objektivnější pohled na efektivnost jednotlivých zakázek</w:t>
      </w:r>
      <w:r w:rsidR="00C53D91">
        <w:t xml:space="preserve"> (Novák 2009, s. 156)</w:t>
      </w:r>
      <w:r w:rsidR="003A7AFC">
        <w:t>.</w:t>
      </w:r>
      <w:r w:rsidR="00C84448">
        <w:t xml:space="preserve"> </w:t>
      </w:r>
    </w:p>
    <w:p w:rsidR="00E668CA" w:rsidRDefault="00E668CA" w:rsidP="00CD6A5A">
      <w:r>
        <w:t xml:space="preserve">Vedle </w:t>
      </w:r>
      <w:r w:rsidR="00F61986">
        <w:t>dané</w:t>
      </w:r>
      <w:r>
        <w:t xml:space="preserve"> míry nepřesnosti a zprůměrování při přiřazení režijních nákladů je </w:t>
      </w:r>
      <w:r w:rsidR="00C84448">
        <w:t>dalším negativem uvedené metody kalkulace i</w:t>
      </w:r>
      <w:r>
        <w:t xml:space="preserve"> skutečnost, že uvedený postup může vést k chybnému stanovování cen u extrémně malých anebo velkých zakázek. Stanovené ceny práce jsou vhodné pro použití u </w:t>
      </w:r>
      <w:r w:rsidR="00C84448">
        <w:t xml:space="preserve">převážné </w:t>
      </w:r>
      <w:r w:rsidR="00D0450B">
        <w:t>většiny</w:t>
      </w:r>
      <w:r>
        <w:t xml:space="preserve"> zakázek, pakliže je </w:t>
      </w:r>
      <w:r w:rsidR="00D0450B">
        <w:t>ale kalkulována zakázka velmi malého rozsahu</w:t>
      </w:r>
      <w:r>
        <w:t xml:space="preserve">, je vhodné její cenu navýšit, neboť objem práce </w:t>
      </w:r>
      <w:r w:rsidR="00F301D0">
        <w:t xml:space="preserve">potřebný </w:t>
      </w:r>
      <w:r>
        <w:t xml:space="preserve">pro její realizaci by přinášel zanedbatelný příspěvek na </w:t>
      </w:r>
      <w:r w:rsidR="00F301D0">
        <w:t>úhradu režie a zisku. N</w:t>
      </w:r>
      <w:r w:rsidR="00F61986">
        <w:t xml:space="preserve">aopak u extrémně rozsáhlých zakázek by požadovaný průměrný příspěvek </w:t>
      </w:r>
      <w:r w:rsidR="00C84448">
        <w:br/>
      </w:r>
      <w:r w:rsidR="00F61986">
        <w:t>na úh</w:t>
      </w:r>
      <w:r w:rsidR="00D0450B">
        <w:t xml:space="preserve">radu </w:t>
      </w:r>
      <w:r w:rsidR="00C84448">
        <w:t xml:space="preserve">osobních nákladů a </w:t>
      </w:r>
      <w:r w:rsidR="00D0450B">
        <w:t>režie natolik navýšil směrnou cenu</w:t>
      </w:r>
      <w:r w:rsidR="00F61986">
        <w:t>, že by nabídka nebyla konkurenceschopná, přičemž i nižší úroveň příspěvku by při daném rozsahu zakázky přinesla uspokojivý výsledek.</w:t>
      </w:r>
      <w:r>
        <w:t xml:space="preserve"> </w:t>
      </w:r>
      <w:r w:rsidR="00F61986">
        <w:t xml:space="preserve">V těchto případech se pro kalkulaci nákladové náročnosti </w:t>
      </w:r>
      <w:r w:rsidR="004210EE">
        <w:t xml:space="preserve">mohou </w:t>
      </w:r>
      <w:r w:rsidR="00F61986">
        <w:t>použí</w:t>
      </w:r>
      <w:r w:rsidR="004210EE">
        <w:t>t</w:t>
      </w:r>
      <w:r w:rsidR="00F61986">
        <w:t xml:space="preserve"> standardní sazby, ale pro stanovení </w:t>
      </w:r>
      <w:r w:rsidR="00D0450B">
        <w:t xml:space="preserve">nabídkové </w:t>
      </w:r>
      <w:r w:rsidR="00F61986">
        <w:t xml:space="preserve">ceny </w:t>
      </w:r>
      <w:r w:rsidR="004210EE">
        <w:t xml:space="preserve">je vhodné provést </w:t>
      </w:r>
      <w:r w:rsidR="00F61986">
        <w:t xml:space="preserve">alternativní propočet. </w:t>
      </w:r>
    </w:p>
    <w:p w:rsidR="00705DF5" w:rsidRDefault="00705DF5" w:rsidP="00705DF5">
      <w:r>
        <w:t>Kalkulační vzorec sestává ze dvou hlavních položek, přímých nákladů a ceny práce. Položky, jež spadají do kategorie přímých nákladů, jsou v podniku jasně a srozumitelně definovány, jejich výčet je uveden v kalkulační šabloně. Stejně tak jsou v šablo</w:t>
      </w:r>
      <w:r w:rsidR="00C84448">
        <w:t xml:space="preserve">ně zavedeny sazby za práci. Používané sazby za práci byly prověřeny a bylo zjištěno, že jejich struktura a výše je v souladu s aktuálními podmínkami v podniku. </w:t>
      </w:r>
    </w:p>
    <w:p w:rsidR="00990CF5" w:rsidRPr="003B0FCB" w:rsidRDefault="00990CF5" w:rsidP="00717891">
      <w:pPr>
        <w:pStyle w:val="Nadpis1"/>
        <w:pageBreakBefore/>
        <w:ind w:left="357" w:hanging="357"/>
      </w:pPr>
      <w:bookmarkStart w:id="40" w:name="_Toc302476229"/>
      <w:r w:rsidRPr="003B0FCB">
        <w:lastRenderedPageBreak/>
        <w:t>Závěr</w:t>
      </w:r>
      <w:bookmarkEnd w:id="40"/>
      <w:r w:rsidR="00CD6A5A">
        <w:t xml:space="preserve"> </w:t>
      </w:r>
    </w:p>
    <w:p w:rsidR="00283681" w:rsidRDefault="00283681" w:rsidP="00CD6A5A"/>
    <w:p w:rsidR="00ED6A72" w:rsidRDefault="007E0607" w:rsidP="00CD6A5A">
      <w:r>
        <w:t>Bakalářská p</w:t>
      </w:r>
      <w:r w:rsidR="00ED6A72">
        <w:t>ráce se zabývala problematikou kalkulací a kalkulačních metod</w:t>
      </w:r>
      <w:r w:rsidR="00373F9E">
        <w:t xml:space="preserve"> v manažerském účetnictví</w:t>
      </w:r>
      <w:r w:rsidR="00ED6A72">
        <w:t xml:space="preserve">. Shrnuje teoretické poznatky </w:t>
      </w:r>
      <w:r w:rsidR="00625438">
        <w:t>z</w:t>
      </w:r>
      <w:r w:rsidR="00ED6A72">
        <w:t xml:space="preserve"> této oblasti a na jejich základě následně popisuje a analyzuje kalkulaci a metodu kalkulace </w:t>
      </w:r>
      <w:r w:rsidR="00625438">
        <w:t xml:space="preserve">vybraného </w:t>
      </w:r>
      <w:r w:rsidR="00ED6A72">
        <w:t xml:space="preserve">podniku. </w:t>
      </w:r>
    </w:p>
    <w:p w:rsidR="00B91FEF" w:rsidRDefault="00625438" w:rsidP="00CD6A5A">
      <w:r>
        <w:t xml:space="preserve">Hlavním cílem práce bylo definovat a </w:t>
      </w:r>
      <w:r w:rsidR="00ED6A72">
        <w:t>anal</w:t>
      </w:r>
      <w:r>
        <w:t>y</w:t>
      </w:r>
      <w:r w:rsidR="00ED6A72">
        <w:t>z</w:t>
      </w:r>
      <w:r>
        <w:t>ovat kalkula</w:t>
      </w:r>
      <w:r w:rsidR="00B91FEF">
        <w:t>ce</w:t>
      </w:r>
      <w:r>
        <w:t xml:space="preserve"> a techniku</w:t>
      </w:r>
      <w:r w:rsidR="00ED6A72">
        <w:t xml:space="preserve"> kalkulace </w:t>
      </w:r>
      <w:r>
        <w:t>konkrétního podniku. Po vyhodnocení aktuálního stavu bylo dalším cílem v případě zjištění závažných nedostatků zpracování doporučení vedoucích k nápravě.</w:t>
      </w:r>
      <w:r w:rsidR="00373F9E">
        <w:t xml:space="preserve"> Jako podnik, v němž byly</w:t>
      </w:r>
      <w:r w:rsidR="00B91FEF">
        <w:t xml:space="preserve"> kalkulace a kalkulační metody sledovány a hodnoceny, byla vybrána organizace působící v oblasti poskytování služeb. Problematika kalkulací </w:t>
      </w:r>
      <w:r w:rsidR="00B91FEF">
        <w:br/>
        <w:t xml:space="preserve">v podnicích orientovaných na služby je ve srovnání s výrobními podniky poměrně nepopsanou oblastí, a to i v době, kdy sektor služeb narůstá na významu. </w:t>
      </w:r>
    </w:p>
    <w:p w:rsidR="005976CB" w:rsidRDefault="007E0607" w:rsidP="00CD6A5A">
      <w:r>
        <w:t>Práce je rozčleněna do dvou hlavních částí</w:t>
      </w:r>
      <w:r w:rsidR="001E6497">
        <w:t>, teoretické a praktické</w:t>
      </w:r>
      <w:r>
        <w:t>. V první části jsou představeny teoretické poznatky získané především z odborné literatury věnované dané problematice. Východiskem této části je vymezení zák</w:t>
      </w:r>
      <w:r w:rsidR="0038125E">
        <w:t>ladních pojmů souvisejících s té</w:t>
      </w:r>
      <w:r>
        <w:t xml:space="preserve">matikou práce. </w:t>
      </w:r>
      <w:r w:rsidR="005976CB">
        <w:t>Prvním okruhem pojmů, jemuž</w:t>
      </w:r>
      <w:r>
        <w:t xml:space="preserve"> se práce věnuje, je účetnictví a jeho subsystémy</w:t>
      </w:r>
      <w:r w:rsidR="005976CB">
        <w:t xml:space="preserve"> – </w:t>
      </w:r>
      <w:r>
        <w:t>osvětleny jsou rozdíly mezi finančním, nákladovým a manažerským účetnictvím. Dále se práce zabývá náklady a jejich možným pojetím</w:t>
      </w:r>
      <w:r w:rsidR="005976CB">
        <w:t xml:space="preserve">. Charakteristika nákladů se odráží i v představených pohledech na jejich klasifikaci jakožto předpokladu účinného řízení nákladů. </w:t>
      </w:r>
    </w:p>
    <w:p w:rsidR="00B91FEF" w:rsidRDefault="005976CB" w:rsidP="00CD6A5A">
      <w:r>
        <w:t>Práce se dále přesouvá k pojmům souvisejících s </w:t>
      </w:r>
      <w:r w:rsidR="001E6497">
        <w:t>kalkulacemi</w:t>
      </w:r>
      <w:r>
        <w:t>, metodami kalkulace a kalkulačním systémem. V této části</w:t>
      </w:r>
      <w:r w:rsidR="007E0607">
        <w:t xml:space="preserve"> </w:t>
      </w:r>
      <w:r>
        <w:t xml:space="preserve">se práce </w:t>
      </w:r>
      <w:r w:rsidR="001E6497">
        <w:t>zabývá</w:t>
      </w:r>
      <w:r>
        <w:t xml:space="preserve"> i struktu</w:t>
      </w:r>
      <w:r w:rsidR="001E6497">
        <w:t>rou</w:t>
      </w:r>
      <w:r>
        <w:t xml:space="preserve"> nákladů v kalkulaci, zobrazen je typový kalkulační vzorec</w:t>
      </w:r>
      <w:r w:rsidR="004F213D">
        <w:t xml:space="preserve"> a základní techniky přiřa</w:t>
      </w:r>
      <w:r>
        <w:t xml:space="preserve">zování nákladů </w:t>
      </w:r>
      <w:r w:rsidR="004F213D">
        <w:t>kalkulačnímu předmětu. V části věnované kalkulačním metodám jsou uvedeny různé pohledy na charakteristiku metod</w:t>
      </w:r>
      <w:r w:rsidR="001E6497">
        <w:t xml:space="preserve"> kalkulace</w:t>
      </w:r>
      <w:r w:rsidR="004F213D">
        <w:t xml:space="preserve">. Podrobněji jsou pak představeny principy základních kalkulačních metod, které mohou být využity ve většině podniků bez ohledu na zaměření činnosti </w:t>
      </w:r>
      <w:r w:rsidR="00373F9E">
        <w:t xml:space="preserve">a </w:t>
      </w:r>
      <w:r w:rsidR="004F213D">
        <w:t xml:space="preserve">rozsah či strukturu produkce, a vybrané specifické metody vhodné jen pro </w:t>
      </w:r>
      <w:r w:rsidR="00373F9E">
        <w:t>určité</w:t>
      </w:r>
      <w:r w:rsidR="004F213D">
        <w:t xml:space="preserve"> typy podniků. Závěrem je zmíněn vztah nákladové </w:t>
      </w:r>
      <w:r w:rsidR="001E6497">
        <w:t xml:space="preserve">a cenové kalkulace a specifika kalkulací v podnicích, jejichž předmětem činnosti je poskytování služeb. </w:t>
      </w:r>
    </w:p>
    <w:p w:rsidR="00547E07" w:rsidRDefault="001E6497" w:rsidP="00CD6A5A">
      <w:r>
        <w:lastRenderedPageBreak/>
        <w:t>Praktická část se zabývá kalkulací a kalkulační metodou konkrétního podniku. Zvoleným podnikem je organizace</w:t>
      </w:r>
      <w:r w:rsidR="00B91FEF">
        <w:t xml:space="preserve"> </w:t>
      </w:r>
      <w:r>
        <w:t xml:space="preserve">poskytující služby průzkumu trhu a veřejného mínění a související poradenství. </w:t>
      </w:r>
      <w:r w:rsidR="00547E07">
        <w:t>Praktická část se ve svém ú</w:t>
      </w:r>
      <w:r w:rsidR="00373F9E">
        <w:t>vodu věnuje představení podniku –</w:t>
      </w:r>
      <w:r w:rsidR="00547E07">
        <w:t xml:space="preserve"> jeho vývoji od založení k současnosti, portfoliu poskytovaných služeb</w:t>
      </w:r>
      <w:r w:rsidR="00B2760A">
        <w:t xml:space="preserve"> a</w:t>
      </w:r>
      <w:r w:rsidR="00547E07">
        <w:t xml:space="preserve"> jeho organizační struktuře. Práce dále přináší informace o organizaci účetnictví, informačním systému a vztahu rozpočtů, kalkulací, účetnictví a reportů. Náklady podniku jsou představeny z pohledu </w:t>
      </w:r>
      <w:r w:rsidR="002D5E45">
        <w:t>druhového i účelového členění</w:t>
      </w:r>
      <w:r w:rsidR="0047655B">
        <w:t xml:space="preserve"> a rozebrány jsou také všechny významné okruhy náklad</w:t>
      </w:r>
      <w:r w:rsidR="00373F9E">
        <w:t>ových položek</w:t>
      </w:r>
      <w:r w:rsidR="0047655B">
        <w:t xml:space="preserve">. </w:t>
      </w:r>
    </w:p>
    <w:p w:rsidR="00321C1C" w:rsidRDefault="0047655B" w:rsidP="00CD6A5A">
      <w:r>
        <w:t>Přes uvedená východiska praktické části se práce dostává k popisu kalkulací v p</w:t>
      </w:r>
      <w:r w:rsidR="00373F9E">
        <w:t>odniku. Jelikož podnik poskytuje</w:t>
      </w:r>
      <w:r>
        <w:t xml:space="preserve"> zakázkově orientované služby, jsou uvedeny principy a postupy kalkulací individuálních zakázek a faktory ovlivňují</w:t>
      </w:r>
      <w:r w:rsidR="00373F9E">
        <w:t>cí</w:t>
      </w:r>
      <w:r>
        <w:t xml:space="preserve"> náklady</w:t>
      </w:r>
      <w:r w:rsidR="00373F9E">
        <w:t xml:space="preserve"> zakáze</w:t>
      </w:r>
      <w:r>
        <w:t xml:space="preserve">k. Zobrazen je podnikový kalkulační vzorec používaný pro propočet nákladů </w:t>
      </w:r>
      <w:r w:rsidR="00373F9E">
        <w:t xml:space="preserve">připravované zakázky a </w:t>
      </w:r>
      <w:r>
        <w:t>zjištění sm</w:t>
      </w:r>
      <w:r w:rsidR="00373F9E">
        <w:t xml:space="preserve">ěrné ceny, jež je podkladem při </w:t>
      </w:r>
      <w:r>
        <w:t xml:space="preserve">stanovení ceny nabídkové. </w:t>
      </w:r>
      <w:r w:rsidR="00321C1C">
        <w:t xml:space="preserve">Základními položkami kalkulačního vzorce podniku jsou přímé </w:t>
      </w:r>
      <w:r w:rsidR="00373F9E">
        <w:t xml:space="preserve">náklady </w:t>
      </w:r>
      <w:r w:rsidR="00321C1C">
        <w:t>a cena práce. Přímé náklady v podniku zahrnují přímé služby, subdodávky zakázek, přímé mzdy externích pracovníků a přímý materiál. V položce cena práce se kalkulují přímé mzdy kmenových pracovníků společn</w:t>
      </w:r>
      <w:r w:rsidR="00373F9E">
        <w:t>ě s podílem zakázky na ostatních</w:t>
      </w:r>
      <w:r w:rsidR="00321C1C">
        <w:t xml:space="preserve"> osobních </w:t>
      </w:r>
      <w:r w:rsidR="00373F9E">
        <w:t xml:space="preserve">nákladech </w:t>
      </w:r>
      <w:r w:rsidR="00321C1C">
        <w:t xml:space="preserve">a </w:t>
      </w:r>
      <w:r w:rsidR="00BD3A8F">
        <w:t xml:space="preserve">na </w:t>
      </w:r>
      <w:r w:rsidR="00321C1C">
        <w:t>režijních nákladech podniku. Cena práce se stanovuje jako násobek plánovaného objemu práce zaměstnanců na dané zakázce a sazeb za práci</w:t>
      </w:r>
      <w:r w:rsidR="00373F9E">
        <w:t>. V</w:t>
      </w:r>
      <w:r w:rsidR="00321C1C">
        <w:t xml:space="preserve"> této části </w:t>
      </w:r>
      <w:r w:rsidR="009044D4">
        <w:t xml:space="preserve">práce je </w:t>
      </w:r>
      <w:r w:rsidR="00BD3A8F">
        <w:t xml:space="preserve">tedy </w:t>
      </w:r>
      <w:r w:rsidR="009044D4">
        <w:t>uve</w:t>
      </w:r>
      <w:r w:rsidR="00373F9E">
        <w:t>den</w:t>
      </w:r>
      <w:r w:rsidR="00321C1C">
        <w:t xml:space="preserve"> </w:t>
      </w:r>
      <w:r w:rsidR="00BD3A8F">
        <w:t xml:space="preserve">i </w:t>
      </w:r>
      <w:r w:rsidR="00321C1C">
        <w:t>postup při výpočtu sazeb za práci. Jako příklad použití kalkula</w:t>
      </w:r>
      <w:r w:rsidR="009044D4">
        <w:t xml:space="preserve">čního vzorce </w:t>
      </w:r>
      <w:r w:rsidR="00321C1C">
        <w:t xml:space="preserve">je uvedena </w:t>
      </w:r>
      <w:r w:rsidR="009044D4">
        <w:t xml:space="preserve">propočtová </w:t>
      </w:r>
      <w:r w:rsidR="00321C1C">
        <w:t>kalkulace realizované zakázky. Závěrem praktická část vyhodnocuje zjištěné</w:t>
      </w:r>
      <w:r w:rsidR="00767D36">
        <w:t xml:space="preserve"> poznatky</w:t>
      </w:r>
      <w:r w:rsidR="009044D4">
        <w:t xml:space="preserve"> o kalkulacích</w:t>
      </w:r>
      <w:r w:rsidR="00321C1C">
        <w:t xml:space="preserve"> </w:t>
      </w:r>
      <w:r w:rsidR="00767D36">
        <w:t>v </w:t>
      </w:r>
      <w:r w:rsidR="00321C1C">
        <w:t xml:space="preserve">podniku, používané technice přiřazení nákladů a </w:t>
      </w:r>
      <w:r w:rsidR="00767D36">
        <w:t xml:space="preserve">o </w:t>
      </w:r>
      <w:r w:rsidR="00321C1C">
        <w:t xml:space="preserve">kalkulačním systému. </w:t>
      </w:r>
    </w:p>
    <w:p w:rsidR="006138DC" w:rsidRDefault="00576991" w:rsidP="003A7AFC">
      <w:r>
        <w:t>Kalkulační systém podniku zahrnuje propočtové kalkulace sestavované individuálně pro každou připravovanou nabídku zakázky a kalkulace výsledkové, jež se sestavují pro vyhodnocení dokončených zakázek. V rámci interního systému podniku jsou zobrazeny kalkulované náklady ve srovnání</w:t>
      </w:r>
      <w:r w:rsidR="006138DC">
        <w:t xml:space="preserve"> se skutečně </w:t>
      </w:r>
      <w:r w:rsidR="009044D4">
        <w:t>vynaloženými</w:t>
      </w:r>
      <w:r w:rsidR="006138DC">
        <w:t xml:space="preserve"> náklady, přičemž jsou dostupné údaje pouze na úrovni základních položek kalkulačního vzorce (</w:t>
      </w:r>
      <w:r w:rsidR="009044D4">
        <w:t xml:space="preserve">tj. </w:t>
      </w:r>
      <w:r w:rsidR="006138DC">
        <w:t>celková suma přímých nákladů a celková suma ceny práce).</w:t>
      </w:r>
      <w:r>
        <w:t xml:space="preserve"> Doporučení v této oblasti lze směřovat k technickému řešení kalkulací a vyhodnocení zakázek. Jelikož jsou v současnosti kalkulace prováděny v nástroji MS Excel, bylo by vhodné </w:t>
      </w:r>
      <w:r w:rsidR="006138DC">
        <w:t xml:space="preserve">kalkulační formulář implementovat přímo do interního systému, čímž by se v rámci interního </w:t>
      </w:r>
      <w:r w:rsidR="006138DC">
        <w:lastRenderedPageBreak/>
        <w:t>systému zpřístupnily podrobnější informace o obsahu základních kalkulovaných položek. Zároveň lze doporučit propojení databází interního systému a účetního systému pro zobrazování detailní informace o již vyúčtovaných nákladech</w:t>
      </w:r>
      <w:r w:rsidR="009044D4">
        <w:t xml:space="preserve"> přímo z</w:t>
      </w:r>
      <w:r w:rsidR="00BD3A8F">
        <w:t> podnikového intranetu</w:t>
      </w:r>
      <w:r w:rsidR="006138DC">
        <w:t xml:space="preserve">. Uvedené změny by umožnily srovnání plánovaných a skutečných nákladů nejen na úrovni celkových přímých nákladů a celkového objemu ceny práce, ale také kontrolu dodržení nákladů na úrovni jednotlivých kalkulovaných položek. </w:t>
      </w:r>
    </w:p>
    <w:p w:rsidR="00B454AF" w:rsidRDefault="00C84448" w:rsidP="00C84448">
      <w:r>
        <w:t xml:space="preserve">Při analýze kalkulace a kalkulačního vzorce podniku nebyly zjištěny závažné nedostatky. </w:t>
      </w:r>
      <w:r w:rsidR="00B454AF">
        <w:t xml:space="preserve">Prověřeny byly sazby za práci zaměstnanců, přičemž výpočet potvrdil strukturu i výši aktuálních sazeb „člověkoden“. </w:t>
      </w:r>
    </w:p>
    <w:p w:rsidR="00C84448" w:rsidRDefault="00C84448" w:rsidP="00C84448">
      <w:r>
        <w:t>Organizace pracuje s netypickým kalkulačním vzorcem, obdobné principy jsou však využívány v podnicích poskytujících poradenské služby</w:t>
      </w:r>
      <w:r w:rsidR="00B454AF">
        <w:t xml:space="preserve"> nebo</w:t>
      </w:r>
      <w:r>
        <w:t xml:space="preserve"> v  zakázkové výrobě. Kalkulační technika podniku je založena na metodě sumační přirážkové kalkulace. V současnosti bývají tradiční metody přirážkové kalkulace hodnoceny jako slabší </w:t>
      </w:r>
      <w:r w:rsidR="00B454AF">
        <w:br/>
      </w:r>
      <w:r>
        <w:t xml:space="preserve">ve vztahu k přesnému a adresnému přiřazení nákladů konkrétnímu výkonu. Využívání přirážkové kalkulace v podniku se přesto jeví jako vhodné, neboť aktuální postup vyhovuje požadavkům podniku na snadnost a nízkou nákladnost prováděné kalkulace a dále na propočet na úrovni úplných nákladů, neboť kalkulace jsou zpracovávány jako podklad pro stanovení nabídkové ceny. Podnik proto může využívat uvedenou metodu v rámci propočtových kalkulací, přičemž pro hodnocení zakázek v rámci výsledkových kalkulací lze doporučit vedle stávajícího vyčíslení úplných nákladů i alternativní hodnocení vycházející z principů kalkulací neúplných nákladů. Srovnání obou výsledků – zisku a krycího příspěvku – pak může eliminovat nedostatky sumační přirážkové metody. </w:t>
      </w:r>
    </w:p>
    <w:p w:rsidR="00821086" w:rsidRDefault="00B041DF" w:rsidP="00CD6A5A">
      <w:pPr>
        <w:rPr>
          <w:iCs/>
        </w:rPr>
      </w:pPr>
      <w:r>
        <w:t xml:space="preserve">Práce </w:t>
      </w:r>
      <w:r w:rsidR="00670547">
        <w:t xml:space="preserve">shrnula teoretická východiska kalkulací a kalkulačních metod a </w:t>
      </w:r>
      <w:r>
        <w:t>na</w:t>
      </w:r>
      <w:r w:rsidR="00625438">
        <w:t xml:space="preserve"> praktickém příkladu </w:t>
      </w:r>
      <w:r w:rsidR="00670547">
        <w:t>zobrazila kalkulace a kalkulační systém</w:t>
      </w:r>
      <w:r w:rsidR="00625438">
        <w:t xml:space="preserve"> podniku působícího v oblasti poskytování služeb. </w:t>
      </w:r>
      <w:r w:rsidR="00C24B7C">
        <w:t xml:space="preserve">Problematika kalkulací je a zůstane velmi aktuální, neboť jak uvádí Král </w:t>
      </w:r>
      <w:r w:rsidR="00C24B7C">
        <w:rPr>
          <w:i/>
          <w:iCs/>
        </w:rPr>
        <w:t>„</w:t>
      </w:r>
      <w:r w:rsidR="00C24B7C" w:rsidRPr="00821086">
        <w:rPr>
          <w:i/>
        </w:rPr>
        <w:t>skutečnost, že kalkulace zobrazuje ve vzájemné souvislosti oba póly podnikatelského procesu – naturálně vyjádřený výkon a jeho hodnotovou charakteristiku, z ní činí nejvýznamnější nástroj, synteticky zobrazující vztah věcné a hodnotové stránky podnikání</w:t>
      </w:r>
      <w:r w:rsidR="00C24B7C">
        <w:rPr>
          <w:i/>
          <w:iCs/>
        </w:rPr>
        <w:t>“</w:t>
      </w:r>
      <w:r w:rsidR="00C24B7C" w:rsidRPr="00C24B7C">
        <w:rPr>
          <w:iCs/>
        </w:rPr>
        <w:t xml:space="preserve"> (Král 2002, s. 168). </w:t>
      </w:r>
    </w:p>
    <w:p w:rsidR="00ED6A72" w:rsidRDefault="00670547" w:rsidP="00CD6A5A">
      <w:r>
        <w:lastRenderedPageBreak/>
        <w:t>Mezi další oblasti, jim</w:t>
      </w:r>
      <w:r w:rsidR="00821086">
        <w:t>i</w:t>
      </w:r>
      <w:r>
        <w:t>ž by se práce zaměřená na problematiku</w:t>
      </w:r>
      <w:r w:rsidR="00821086">
        <w:t xml:space="preserve"> kalkulací a kalkulačních metod</w:t>
      </w:r>
      <w:r>
        <w:t xml:space="preserve"> mohla zabývat, patří </w:t>
      </w:r>
      <w:r w:rsidR="00821086">
        <w:t>podrobnější pohled na řešení manažerského účetnictví v podniku a otázka alokací nákladů</w:t>
      </w:r>
      <w:r>
        <w:t xml:space="preserve">. Dalším směrem, jímž by se práce mohla rozvinout, je </w:t>
      </w:r>
      <w:r w:rsidR="00821086">
        <w:t xml:space="preserve">možná aplikace </w:t>
      </w:r>
      <w:r>
        <w:t>některé z moderních kalkulačních metod</w:t>
      </w:r>
      <w:r w:rsidR="00821086">
        <w:t xml:space="preserve"> ve vybraném </w:t>
      </w:r>
      <w:r>
        <w:t xml:space="preserve">podniku, např. </w:t>
      </w:r>
      <w:r w:rsidR="00821086">
        <w:t xml:space="preserve">použití </w:t>
      </w:r>
      <w:r>
        <w:t>v současné době prosazované metody ABC</w:t>
      </w:r>
      <w:r w:rsidR="00432D89">
        <w:t xml:space="preserve">. V rámci rozsáhleji pojaté práce by </w:t>
      </w:r>
      <w:r w:rsidR="00821086">
        <w:t xml:space="preserve">pak </w:t>
      </w:r>
      <w:r w:rsidR="00432D89">
        <w:t xml:space="preserve">bylo přínosné provedení </w:t>
      </w:r>
      <w:r>
        <w:t>průzkum</w:t>
      </w:r>
      <w:r w:rsidR="00432D89">
        <w:t>u</w:t>
      </w:r>
      <w:r>
        <w:t xml:space="preserve"> kalkulačních metod v </w:t>
      </w:r>
      <w:r w:rsidR="00432D89">
        <w:t>podnicích</w:t>
      </w:r>
      <w:r>
        <w:t xml:space="preserve"> orientovaných </w:t>
      </w:r>
      <w:r w:rsidR="00432D89">
        <w:t>na služby</w:t>
      </w:r>
      <w:r>
        <w:t xml:space="preserve">, neboť </w:t>
      </w:r>
      <w:r w:rsidR="00432D89">
        <w:t>šetření publikovaná v dostupných vědeckých prac</w:t>
      </w:r>
      <w:r w:rsidR="00821086">
        <w:t>ích se zabývají</w:t>
      </w:r>
      <w:r w:rsidR="00432D89">
        <w:t xml:space="preserve"> srovnáním a vyhodnocením metod kalkulací </w:t>
      </w:r>
      <w:r w:rsidR="00821086">
        <w:t xml:space="preserve">převážně </w:t>
      </w:r>
      <w:r w:rsidR="00432D89">
        <w:t>ve výrobních podnicích. Vzhledem ke stále početnějším</w:t>
      </w:r>
      <w:r w:rsidR="00821086">
        <w:t>u</w:t>
      </w:r>
      <w:r w:rsidR="00432D89">
        <w:t xml:space="preserve"> a ekonomicky významnějšímu sektoru služeb by mohlo být realizováno </w:t>
      </w:r>
      <w:r w:rsidR="00821086">
        <w:t xml:space="preserve">i </w:t>
      </w:r>
      <w:r w:rsidR="00432D89">
        <w:t xml:space="preserve">specifické šetření mezi </w:t>
      </w:r>
      <w:r w:rsidR="00564734">
        <w:t xml:space="preserve">podniky poskytující služby „šité </w:t>
      </w:r>
      <w:r w:rsidR="00BD3A8F">
        <w:br/>
      </w:r>
      <w:r w:rsidR="00564734">
        <w:t xml:space="preserve">na míru“ zákazníkům anebo </w:t>
      </w:r>
      <w:r w:rsidR="00BD3A8F">
        <w:t xml:space="preserve">šetření </w:t>
      </w:r>
      <w:r w:rsidR="00564734">
        <w:t xml:space="preserve">mezi </w:t>
      </w:r>
      <w:r w:rsidR="00432D89">
        <w:t xml:space="preserve">poradenskými podniky. </w:t>
      </w:r>
    </w:p>
    <w:p w:rsidR="00C24B7C" w:rsidRDefault="00C24B7C" w:rsidP="00C24B7C"/>
    <w:p w:rsidR="00260F8F" w:rsidRDefault="00260F8F">
      <w:pPr>
        <w:spacing w:after="0"/>
        <w:jc w:val="left"/>
        <w:rPr>
          <w:b/>
          <w:bCs/>
          <w:sz w:val="26"/>
          <w:szCs w:val="40"/>
        </w:rPr>
      </w:pPr>
      <w:r>
        <w:br w:type="page"/>
      </w:r>
    </w:p>
    <w:p w:rsidR="00990CF5" w:rsidRPr="003B0FCB" w:rsidRDefault="0001702C" w:rsidP="001F3C88">
      <w:pPr>
        <w:pStyle w:val="Nadpis1"/>
        <w:numPr>
          <w:ilvl w:val="0"/>
          <w:numId w:val="0"/>
        </w:numPr>
        <w:ind w:left="360" w:hanging="360"/>
      </w:pPr>
      <w:bookmarkStart w:id="41" w:name="_Toc302476230"/>
      <w:r>
        <w:lastRenderedPageBreak/>
        <w:t>Literatura</w:t>
      </w:r>
      <w:bookmarkEnd w:id="41"/>
      <w:r w:rsidR="005A7234">
        <w:t xml:space="preserve"> </w:t>
      </w:r>
    </w:p>
    <w:p w:rsidR="006E4F07" w:rsidRDefault="00581BA1" w:rsidP="00CE0DFD">
      <w:pPr>
        <w:pStyle w:val="Literatura-text"/>
        <w:rPr>
          <w:b/>
        </w:rPr>
      </w:pPr>
      <w:r w:rsidRPr="00145303">
        <w:rPr>
          <w:b/>
        </w:rPr>
        <w:t>Primární zdroje</w:t>
      </w:r>
      <w:r w:rsidR="005A7234">
        <w:rPr>
          <w:b/>
        </w:rPr>
        <w:t xml:space="preserve"> </w:t>
      </w:r>
    </w:p>
    <w:p w:rsidR="002E6C33" w:rsidRDefault="002E6C33" w:rsidP="002E6C33">
      <w:pPr>
        <w:pStyle w:val="Literatura-text"/>
      </w:pPr>
      <w:r>
        <w:t xml:space="preserve">Podnikové materiály </w:t>
      </w:r>
      <w:r w:rsidRPr="008F0AB5">
        <w:t>(propagační materiály</w:t>
      </w:r>
      <w:r>
        <w:t xml:space="preserve"> a prezentace podniku, výroční zprávy, </w:t>
      </w:r>
      <w:r w:rsidRPr="008F0AB5">
        <w:t xml:space="preserve">statutární výkazy, </w:t>
      </w:r>
      <w:r>
        <w:t>data z účetnictví, rozpočty, interní reporting</w:t>
      </w:r>
      <w:r w:rsidRPr="008F0AB5">
        <w:t xml:space="preserve">, </w:t>
      </w:r>
      <w:r>
        <w:t xml:space="preserve">data z interního systému, </w:t>
      </w:r>
      <w:r w:rsidRPr="008F0AB5">
        <w:t>kalkulační sché</w:t>
      </w:r>
      <w:r>
        <w:t>ma, kalkulace nákladů a kalkulace cen</w:t>
      </w:r>
      <w:r w:rsidRPr="008F0AB5">
        <w:t xml:space="preserve">) </w:t>
      </w:r>
    </w:p>
    <w:p w:rsidR="00D43BD6" w:rsidRDefault="00D43BD6" w:rsidP="0097157C">
      <w:pPr>
        <w:pStyle w:val="Literatura-text"/>
      </w:pPr>
    </w:p>
    <w:p w:rsidR="00581BA1" w:rsidRPr="00145303" w:rsidRDefault="00C53D91" w:rsidP="00581BA1">
      <w:pPr>
        <w:pStyle w:val="Literatura-text"/>
        <w:rPr>
          <w:b/>
        </w:rPr>
      </w:pPr>
      <w:r>
        <w:rPr>
          <w:b/>
        </w:rPr>
        <w:t>Monografie a o</w:t>
      </w:r>
      <w:r w:rsidR="00581BA1" w:rsidRPr="00145303">
        <w:rPr>
          <w:b/>
        </w:rPr>
        <w:t xml:space="preserve">dborné </w:t>
      </w:r>
      <w:r>
        <w:rPr>
          <w:b/>
        </w:rPr>
        <w:t>publikace</w:t>
      </w:r>
      <w:r w:rsidR="00581BA1" w:rsidRPr="00145303">
        <w:rPr>
          <w:b/>
        </w:rPr>
        <w:t xml:space="preserve"> </w:t>
      </w:r>
    </w:p>
    <w:p w:rsidR="002E6C33" w:rsidRPr="002E6C33" w:rsidRDefault="002E6C33" w:rsidP="002E6C33">
      <w:pPr>
        <w:rPr>
          <w:sz w:val="22"/>
          <w:szCs w:val="22"/>
        </w:rPr>
      </w:pPr>
      <w:r w:rsidRPr="002E6C33">
        <w:rPr>
          <w:sz w:val="22"/>
          <w:szCs w:val="22"/>
        </w:rPr>
        <w:t xml:space="preserve">FIBÍROVÁ, J., ŠOLJAKOVÁ, L., WAGNER, J. </w:t>
      </w:r>
      <w:r w:rsidRPr="002E6C33">
        <w:rPr>
          <w:i/>
          <w:sz w:val="22"/>
          <w:szCs w:val="22"/>
        </w:rPr>
        <w:t>Nákladové a manažerské účetnictví</w:t>
      </w:r>
      <w:r w:rsidRPr="002E6C33">
        <w:rPr>
          <w:sz w:val="22"/>
          <w:szCs w:val="22"/>
        </w:rPr>
        <w:t xml:space="preserve">. 1. vyd. Praha : ASPI, 2007. 432 s. ISBN 978-80-7357-299-0. </w:t>
      </w:r>
    </w:p>
    <w:p w:rsidR="002E6C33" w:rsidRPr="002E6C33" w:rsidRDefault="002E6C33" w:rsidP="002E6C33">
      <w:pPr>
        <w:rPr>
          <w:sz w:val="22"/>
          <w:szCs w:val="22"/>
        </w:rPr>
      </w:pPr>
      <w:r w:rsidRPr="002E6C33">
        <w:rPr>
          <w:sz w:val="22"/>
          <w:szCs w:val="22"/>
        </w:rPr>
        <w:t xml:space="preserve">HRADECKÝ, M., KONEČNÝ, M. </w:t>
      </w:r>
      <w:r w:rsidRPr="002E6C33">
        <w:rPr>
          <w:i/>
          <w:sz w:val="22"/>
          <w:szCs w:val="22"/>
        </w:rPr>
        <w:t>Kalkulace pro podnikatele</w:t>
      </w:r>
      <w:r w:rsidRPr="002E6C33">
        <w:rPr>
          <w:sz w:val="22"/>
          <w:szCs w:val="22"/>
        </w:rPr>
        <w:t xml:space="preserve">. 1. vyd. Praha : Prospektum, 2003. 156 s. ISBN 80-7175-119-7. </w:t>
      </w:r>
    </w:p>
    <w:p w:rsidR="002E6C33" w:rsidRPr="002E6C33" w:rsidRDefault="002E6C33" w:rsidP="002E6C33">
      <w:pPr>
        <w:rPr>
          <w:sz w:val="22"/>
          <w:szCs w:val="22"/>
        </w:rPr>
      </w:pPr>
      <w:r w:rsidRPr="002E6C33">
        <w:rPr>
          <w:sz w:val="22"/>
          <w:szCs w:val="22"/>
        </w:rPr>
        <w:t xml:space="preserve">HRADECKÝ, M., LANČA, J., ŠIŠKA, L. </w:t>
      </w:r>
      <w:r w:rsidRPr="002E6C33">
        <w:rPr>
          <w:i/>
          <w:sz w:val="22"/>
          <w:szCs w:val="22"/>
        </w:rPr>
        <w:t>Manažerské účetnictví</w:t>
      </w:r>
      <w:r w:rsidRPr="002E6C33">
        <w:rPr>
          <w:sz w:val="22"/>
          <w:szCs w:val="22"/>
        </w:rPr>
        <w:t xml:space="preserve">. 1. vyd. Praha : Grada, 2008. 264 s. ISBN 978-80-247-2471-3. </w:t>
      </w:r>
    </w:p>
    <w:p w:rsidR="002E6C33" w:rsidRPr="002E6C33" w:rsidRDefault="002E6C33" w:rsidP="002E6C33">
      <w:pPr>
        <w:rPr>
          <w:sz w:val="22"/>
          <w:szCs w:val="22"/>
        </w:rPr>
      </w:pPr>
      <w:r w:rsidRPr="002E6C33">
        <w:rPr>
          <w:sz w:val="22"/>
          <w:szCs w:val="22"/>
        </w:rPr>
        <w:t xml:space="preserve">KRÁL, B. a kol. </w:t>
      </w:r>
      <w:r w:rsidRPr="002E6C33">
        <w:rPr>
          <w:i/>
          <w:sz w:val="22"/>
          <w:szCs w:val="22"/>
        </w:rPr>
        <w:t>Manažerské účetnictví</w:t>
      </w:r>
      <w:r w:rsidRPr="002E6C33">
        <w:rPr>
          <w:sz w:val="22"/>
          <w:szCs w:val="22"/>
        </w:rPr>
        <w:t xml:space="preserve">. 3. dopl. a aktual. vyd. Praha : Management Press, 2010. 664 s. ISBN 978-80-7261-217-8. </w:t>
      </w:r>
    </w:p>
    <w:p w:rsidR="002E6C33" w:rsidRPr="002E6C33" w:rsidRDefault="002E6C33" w:rsidP="002E6C33">
      <w:pPr>
        <w:rPr>
          <w:sz w:val="22"/>
          <w:szCs w:val="22"/>
        </w:rPr>
      </w:pPr>
      <w:r w:rsidRPr="002E6C33">
        <w:rPr>
          <w:sz w:val="22"/>
          <w:szCs w:val="22"/>
        </w:rPr>
        <w:t xml:space="preserve">LANG, H. </w:t>
      </w:r>
      <w:r w:rsidRPr="002E6C33">
        <w:rPr>
          <w:i/>
          <w:sz w:val="22"/>
          <w:szCs w:val="22"/>
        </w:rPr>
        <w:t>Manažerské účetnictví - teorie a praxe</w:t>
      </w:r>
      <w:r w:rsidRPr="002E6C33">
        <w:rPr>
          <w:sz w:val="22"/>
          <w:szCs w:val="22"/>
        </w:rPr>
        <w:t xml:space="preserve">. 1. vyd. Praha : C. H. BECK, 2005. 216 s. ISBN 80-7179-419-8. </w:t>
      </w:r>
    </w:p>
    <w:p w:rsidR="002E6C33" w:rsidRPr="002E6C33" w:rsidRDefault="002E6C33" w:rsidP="002E6C33">
      <w:pPr>
        <w:rPr>
          <w:sz w:val="22"/>
          <w:szCs w:val="22"/>
        </w:rPr>
      </w:pPr>
      <w:r w:rsidRPr="002E6C33">
        <w:rPr>
          <w:sz w:val="22"/>
          <w:szCs w:val="22"/>
        </w:rPr>
        <w:t xml:space="preserve">LAZAR, J. </w:t>
      </w:r>
      <w:r w:rsidRPr="002E6C33">
        <w:rPr>
          <w:i/>
          <w:sz w:val="22"/>
          <w:szCs w:val="22"/>
        </w:rPr>
        <w:t>Manažerské účetnictví: kontrola a řízení nákladů v praxi</w:t>
      </w:r>
      <w:r w:rsidRPr="002E6C33">
        <w:rPr>
          <w:sz w:val="22"/>
          <w:szCs w:val="22"/>
        </w:rPr>
        <w:t xml:space="preserve">. 1. vyd. Praha : Grada, 2001. 152 s. ISBN 80-7169-985-3. </w:t>
      </w:r>
    </w:p>
    <w:p w:rsidR="002E6C33" w:rsidRPr="002E6C33" w:rsidRDefault="002E6C33" w:rsidP="002E6C33">
      <w:pPr>
        <w:rPr>
          <w:sz w:val="22"/>
          <w:szCs w:val="22"/>
        </w:rPr>
      </w:pPr>
      <w:r w:rsidRPr="002E6C33">
        <w:rPr>
          <w:sz w:val="22"/>
          <w:szCs w:val="22"/>
        </w:rPr>
        <w:t xml:space="preserve">MACÍK, K. </w:t>
      </w:r>
      <w:r w:rsidRPr="002E6C33">
        <w:rPr>
          <w:i/>
          <w:sz w:val="22"/>
          <w:szCs w:val="22"/>
        </w:rPr>
        <w:t>Kalkulace nákladů – základ podnikového controllingu</w:t>
      </w:r>
      <w:r w:rsidRPr="002E6C33">
        <w:rPr>
          <w:sz w:val="22"/>
          <w:szCs w:val="22"/>
        </w:rPr>
        <w:t xml:space="preserve">. Ostrava : Montanex, 1999. 241 s. ISBN 80-7225-002-7. </w:t>
      </w:r>
    </w:p>
    <w:p w:rsidR="002E6C33" w:rsidRPr="002E6C33" w:rsidRDefault="002E6C33" w:rsidP="002E6C33">
      <w:pPr>
        <w:rPr>
          <w:sz w:val="22"/>
          <w:szCs w:val="22"/>
        </w:rPr>
      </w:pPr>
      <w:r w:rsidRPr="002E6C33">
        <w:rPr>
          <w:sz w:val="22"/>
          <w:szCs w:val="22"/>
        </w:rPr>
        <w:t xml:space="preserve">PROPESKO, B. </w:t>
      </w:r>
      <w:r w:rsidRPr="002E6C33">
        <w:rPr>
          <w:i/>
          <w:sz w:val="22"/>
          <w:szCs w:val="22"/>
        </w:rPr>
        <w:t>Moderní metody řízení nákladů</w:t>
      </w:r>
      <w:r w:rsidRPr="002E6C33">
        <w:rPr>
          <w:sz w:val="22"/>
          <w:szCs w:val="22"/>
        </w:rPr>
        <w:t xml:space="preserve">. 1. vyd. Praha : Grada, 2009. 240 s. </w:t>
      </w:r>
      <w:r>
        <w:rPr>
          <w:sz w:val="22"/>
          <w:szCs w:val="22"/>
        </w:rPr>
        <w:br/>
      </w:r>
      <w:r w:rsidRPr="002E6C33">
        <w:rPr>
          <w:sz w:val="22"/>
          <w:szCs w:val="22"/>
        </w:rPr>
        <w:t xml:space="preserve">ISBN 978-80-247-2974-9. </w:t>
      </w:r>
    </w:p>
    <w:p w:rsidR="002E6C33" w:rsidRPr="002E6C33" w:rsidRDefault="002E6C33" w:rsidP="002E6C33">
      <w:pPr>
        <w:rPr>
          <w:sz w:val="22"/>
          <w:szCs w:val="22"/>
        </w:rPr>
      </w:pPr>
      <w:r w:rsidRPr="002E6C33">
        <w:rPr>
          <w:sz w:val="22"/>
          <w:szCs w:val="22"/>
        </w:rPr>
        <w:t xml:space="preserve">ŠOLJAKOVÁ, L. </w:t>
      </w:r>
      <w:r w:rsidRPr="002E6C33">
        <w:rPr>
          <w:i/>
          <w:sz w:val="22"/>
          <w:szCs w:val="22"/>
        </w:rPr>
        <w:t>Strategicky zaměřené manažerské účetnictví</w:t>
      </w:r>
      <w:r w:rsidRPr="002E6C33">
        <w:rPr>
          <w:sz w:val="22"/>
          <w:szCs w:val="22"/>
        </w:rPr>
        <w:t xml:space="preserve">. 1. vyd. Praha : Management Press, 2009. 208 s. ISBN 978-80-7261-199-7. </w:t>
      </w:r>
    </w:p>
    <w:p w:rsidR="002E6C33" w:rsidRDefault="002E6C33" w:rsidP="00CE0DFD">
      <w:pPr>
        <w:pStyle w:val="Literatura-text"/>
      </w:pPr>
    </w:p>
    <w:p w:rsidR="005A7234" w:rsidRPr="00145303" w:rsidRDefault="00C53D91" w:rsidP="005A7234">
      <w:pPr>
        <w:pStyle w:val="Literatura-text"/>
        <w:rPr>
          <w:b/>
        </w:rPr>
      </w:pPr>
      <w:r>
        <w:rPr>
          <w:b/>
        </w:rPr>
        <w:lastRenderedPageBreak/>
        <w:t xml:space="preserve">Akademické práce </w:t>
      </w:r>
    </w:p>
    <w:p w:rsidR="005A7234" w:rsidRDefault="005A7234" w:rsidP="005A7234">
      <w:pPr>
        <w:rPr>
          <w:sz w:val="22"/>
        </w:rPr>
      </w:pPr>
      <w:r>
        <w:rPr>
          <w:sz w:val="22"/>
        </w:rPr>
        <w:t>NOVÁK, P</w:t>
      </w:r>
      <w:r w:rsidRPr="005A7234">
        <w:rPr>
          <w:sz w:val="22"/>
        </w:rPr>
        <w:t>.</w:t>
      </w:r>
      <w:r>
        <w:rPr>
          <w:sz w:val="22"/>
        </w:rPr>
        <w:t xml:space="preserve"> </w:t>
      </w:r>
      <w:r w:rsidRPr="005A7234">
        <w:rPr>
          <w:i/>
          <w:iCs/>
          <w:sz w:val="22"/>
        </w:rPr>
        <w:t>Problematika řízení a alokace režijních nákladů v podmínkách výrobních podniků</w:t>
      </w:r>
      <w:r w:rsidRPr="005A7234">
        <w:rPr>
          <w:sz w:val="22"/>
        </w:rPr>
        <w:t>. [s.l.], 2009. 187 s. Dizertační práce. Univerzita Tomáše Bati ve Zlíně.</w:t>
      </w:r>
      <w:r>
        <w:rPr>
          <w:sz w:val="22"/>
        </w:rPr>
        <w:t xml:space="preserve"> </w:t>
      </w:r>
    </w:p>
    <w:p w:rsidR="005A7234" w:rsidRPr="005A7234" w:rsidRDefault="005A7234" w:rsidP="005A7234">
      <w:pPr>
        <w:rPr>
          <w:sz w:val="22"/>
        </w:rPr>
      </w:pPr>
    </w:p>
    <w:p w:rsidR="00581BA1" w:rsidRPr="00145303" w:rsidRDefault="00581BA1" w:rsidP="00CE0DFD">
      <w:pPr>
        <w:pStyle w:val="Literatura-text"/>
        <w:rPr>
          <w:b/>
        </w:rPr>
      </w:pPr>
      <w:r w:rsidRPr="00145303">
        <w:rPr>
          <w:b/>
        </w:rPr>
        <w:t>Internetové zdroje</w:t>
      </w:r>
      <w:r w:rsidR="005A7234">
        <w:rPr>
          <w:b/>
        </w:rPr>
        <w:t xml:space="preserve"> </w:t>
      </w:r>
    </w:p>
    <w:p w:rsidR="002E6C33" w:rsidRPr="002E6C33" w:rsidRDefault="002E6C33" w:rsidP="002E6C33">
      <w:pPr>
        <w:rPr>
          <w:sz w:val="22"/>
        </w:rPr>
      </w:pPr>
      <w:r w:rsidRPr="002E6C33">
        <w:rPr>
          <w:sz w:val="22"/>
        </w:rPr>
        <w:t xml:space="preserve">TOMKOVÁ, Z. Kalkulace - první dáma controllingu. </w:t>
      </w:r>
      <w:r w:rsidRPr="002E6C33">
        <w:rPr>
          <w:i/>
          <w:sz w:val="22"/>
        </w:rPr>
        <w:t>Časopis IT Systems [online]</w:t>
      </w:r>
      <w:r w:rsidRPr="002E6C33">
        <w:rPr>
          <w:sz w:val="22"/>
        </w:rPr>
        <w:t>. 2002, příloha 4/2002, [cit. 2011-03-20]. Dostupný z WWW: &lt;http://www.systemonline.cz/clanky/</w:t>
      </w:r>
      <w:r>
        <w:rPr>
          <w:sz w:val="22"/>
        </w:rPr>
        <w:br/>
      </w:r>
      <w:r w:rsidRPr="002E6C33">
        <w:rPr>
          <w:sz w:val="22"/>
        </w:rPr>
        <w:t xml:space="preserve">kalkulace-prvni-dama-controllingu.htm&gt;. </w:t>
      </w:r>
    </w:p>
    <w:p w:rsidR="0001702C" w:rsidRDefault="0001702C" w:rsidP="0014355A">
      <w:pPr>
        <w:jc w:val="left"/>
      </w:pPr>
    </w:p>
    <w:p w:rsidR="00011C39" w:rsidRDefault="0078685E">
      <w:pPr>
        <w:spacing w:after="0"/>
        <w:jc w:val="left"/>
        <w:sectPr w:rsidR="00011C39" w:rsidSect="00717891">
          <w:headerReference w:type="default" r:id="rId24"/>
          <w:footerReference w:type="default" r:id="rId25"/>
          <w:pgSz w:w="11906" w:h="16838" w:code="9"/>
          <w:pgMar w:top="1418" w:right="1134" w:bottom="1418" w:left="2268" w:header="709" w:footer="11" w:gutter="0"/>
          <w:pgNumType w:start="1"/>
          <w:cols w:space="708"/>
          <w:docGrid w:linePitch="326"/>
        </w:sectPr>
      </w:pPr>
      <w:r>
        <w:br w:type="page"/>
      </w:r>
    </w:p>
    <w:p w:rsidR="00831212" w:rsidRDefault="0001702C" w:rsidP="00E77216">
      <w:pPr>
        <w:pStyle w:val="Nadpis1"/>
        <w:numPr>
          <w:ilvl w:val="0"/>
          <w:numId w:val="0"/>
        </w:numPr>
        <w:ind w:left="360" w:hanging="360"/>
      </w:pPr>
      <w:bookmarkStart w:id="42" w:name="_Toc302476231"/>
      <w:r>
        <w:lastRenderedPageBreak/>
        <w:t>Přílohy</w:t>
      </w:r>
      <w:bookmarkEnd w:id="42"/>
    </w:p>
    <w:p w:rsidR="0001702C" w:rsidRDefault="00831212" w:rsidP="00D63CE4">
      <w:pPr>
        <w:pStyle w:val="Tabulka-pramen"/>
      </w:pPr>
      <w:r w:rsidRPr="00E77216">
        <w:t>Příloha 1</w:t>
      </w:r>
      <w:r w:rsidR="00E77216">
        <w:t xml:space="preserve"> </w:t>
      </w:r>
      <w:r w:rsidR="00E04974">
        <w:t xml:space="preserve">Přehled přímých (jednicových) nákladů podniku </w:t>
      </w:r>
    </w:p>
    <w:tbl>
      <w:tblPr>
        <w:tblW w:w="9088" w:type="dxa"/>
        <w:tblInd w:w="-51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70" w:type="dxa"/>
          <w:right w:w="70" w:type="dxa"/>
        </w:tblCellMar>
        <w:tblLook w:val="04A0"/>
      </w:tblPr>
      <w:tblGrid>
        <w:gridCol w:w="2567"/>
        <w:gridCol w:w="1134"/>
        <w:gridCol w:w="3119"/>
        <w:gridCol w:w="2268"/>
      </w:tblGrid>
      <w:tr w:rsidR="00DC44AC" w:rsidRPr="00E04974" w:rsidTr="0001529D">
        <w:trPr>
          <w:trHeight w:val="270"/>
        </w:trPr>
        <w:tc>
          <w:tcPr>
            <w:tcW w:w="2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D9D9D9" w:themeColor="background1" w:themeShade="D9"/>
            </w:tcBorders>
            <w:shd w:val="clear" w:color="auto" w:fill="auto"/>
            <w:vAlign w:val="center"/>
            <w:hideMark/>
          </w:tcPr>
          <w:p w:rsidR="001F417A" w:rsidRPr="001F417A" w:rsidRDefault="001F417A" w:rsidP="001F417A">
            <w:pPr>
              <w:spacing w:after="0" w:line="240" w:lineRule="auto"/>
              <w:jc w:val="left"/>
              <w:rPr>
                <w:sz w:val="22"/>
                <w:szCs w:val="22"/>
              </w:rPr>
            </w:pPr>
            <w:r w:rsidRPr="00E04974">
              <w:rPr>
                <w:sz w:val="22"/>
                <w:szCs w:val="22"/>
              </w:rPr>
              <w:t xml:space="preserve">Účelové </w:t>
            </w:r>
            <w:r w:rsidRPr="001F417A">
              <w:rPr>
                <w:sz w:val="22"/>
                <w:szCs w:val="22"/>
              </w:rPr>
              <w:t xml:space="preserve">členění </w:t>
            </w:r>
            <w:r w:rsidRPr="00E04974">
              <w:rPr>
                <w:sz w:val="22"/>
                <w:szCs w:val="22"/>
              </w:rPr>
              <w:br/>
            </w:r>
            <w:r w:rsidRPr="001F417A">
              <w:rPr>
                <w:sz w:val="22"/>
                <w:szCs w:val="22"/>
              </w:rPr>
              <w:t>(interní podoba)</w:t>
            </w:r>
          </w:p>
        </w:tc>
        <w:tc>
          <w:tcPr>
            <w:tcW w:w="1134" w:type="dxa"/>
            <w:tcBorders>
              <w:top w:val="single" w:sz="8" w:space="0" w:color="7F7F7F" w:themeColor="text1" w:themeTint="80"/>
              <w:left w:val="single" w:sz="8" w:space="0" w:color="D9D9D9" w:themeColor="background1" w:themeShade="D9"/>
              <w:bottom w:val="single" w:sz="8" w:space="0" w:color="7F7F7F" w:themeColor="text1" w:themeTint="80"/>
              <w:right w:val="single" w:sz="8" w:space="0" w:color="D9D9D9" w:themeColor="background1" w:themeShade="D9"/>
            </w:tcBorders>
            <w:shd w:val="clear" w:color="auto" w:fill="auto"/>
            <w:vAlign w:val="center"/>
            <w:hideMark/>
          </w:tcPr>
          <w:p w:rsidR="001F417A" w:rsidRPr="001F417A" w:rsidRDefault="001F417A" w:rsidP="001F417A">
            <w:pPr>
              <w:spacing w:after="0" w:line="240" w:lineRule="auto"/>
              <w:jc w:val="left"/>
              <w:rPr>
                <w:sz w:val="22"/>
                <w:szCs w:val="22"/>
              </w:rPr>
            </w:pPr>
            <w:r w:rsidRPr="001F417A">
              <w:rPr>
                <w:sz w:val="22"/>
                <w:szCs w:val="22"/>
              </w:rPr>
              <w:t>Kód účtu</w:t>
            </w:r>
          </w:p>
        </w:tc>
        <w:tc>
          <w:tcPr>
            <w:tcW w:w="3119" w:type="dxa"/>
            <w:tcBorders>
              <w:top w:val="single" w:sz="8" w:space="0" w:color="7F7F7F" w:themeColor="text1" w:themeTint="80"/>
              <w:left w:val="single" w:sz="8" w:space="0" w:color="D9D9D9" w:themeColor="background1" w:themeShade="D9"/>
              <w:bottom w:val="single" w:sz="8" w:space="0" w:color="7F7F7F" w:themeColor="text1" w:themeTint="80"/>
              <w:right w:val="single" w:sz="8" w:space="0" w:color="D9D9D9" w:themeColor="background1" w:themeShade="D9"/>
            </w:tcBorders>
            <w:shd w:val="clear" w:color="auto" w:fill="auto"/>
            <w:vAlign w:val="center"/>
            <w:hideMark/>
          </w:tcPr>
          <w:p w:rsidR="001F417A" w:rsidRPr="001F417A" w:rsidRDefault="001F417A" w:rsidP="006C3060">
            <w:pPr>
              <w:spacing w:after="0" w:line="240" w:lineRule="auto"/>
              <w:jc w:val="left"/>
              <w:rPr>
                <w:sz w:val="22"/>
                <w:szCs w:val="22"/>
              </w:rPr>
            </w:pPr>
            <w:r w:rsidRPr="001F417A">
              <w:rPr>
                <w:sz w:val="22"/>
                <w:szCs w:val="22"/>
              </w:rPr>
              <w:t>Název účtu</w:t>
            </w:r>
            <w:r w:rsidR="006C3060">
              <w:rPr>
                <w:sz w:val="22"/>
                <w:szCs w:val="22"/>
              </w:rPr>
              <w:t xml:space="preserve"> / </w:t>
            </w:r>
            <w:r w:rsidR="006C3060">
              <w:rPr>
                <w:sz w:val="22"/>
                <w:szCs w:val="22"/>
              </w:rPr>
              <w:br/>
              <w:t>kalkulační pol. přímých nákladů</w:t>
            </w:r>
          </w:p>
        </w:tc>
        <w:tc>
          <w:tcPr>
            <w:tcW w:w="2268" w:type="dxa"/>
            <w:tcBorders>
              <w:top w:val="single" w:sz="8" w:space="0" w:color="7F7F7F" w:themeColor="text1" w:themeTint="80"/>
              <w:left w:val="single" w:sz="8" w:space="0" w:color="D9D9D9" w:themeColor="background1" w:themeShade="D9"/>
              <w:bottom w:val="single" w:sz="8" w:space="0" w:color="7F7F7F" w:themeColor="text1" w:themeTint="80"/>
              <w:right w:val="single" w:sz="8" w:space="0" w:color="7F7F7F" w:themeColor="text1" w:themeTint="80"/>
            </w:tcBorders>
            <w:shd w:val="clear" w:color="auto" w:fill="auto"/>
            <w:vAlign w:val="center"/>
            <w:hideMark/>
          </w:tcPr>
          <w:p w:rsidR="001F417A" w:rsidRPr="001F417A" w:rsidRDefault="001F417A" w:rsidP="001F417A">
            <w:pPr>
              <w:spacing w:after="0" w:line="240" w:lineRule="auto"/>
              <w:jc w:val="left"/>
              <w:rPr>
                <w:sz w:val="22"/>
                <w:szCs w:val="22"/>
              </w:rPr>
            </w:pPr>
            <w:r w:rsidRPr="001F417A">
              <w:rPr>
                <w:sz w:val="22"/>
                <w:szCs w:val="22"/>
              </w:rPr>
              <w:t>Druh</w:t>
            </w:r>
            <w:r w:rsidRPr="00E04974">
              <w:rPr>
                <w:sz w:val="22"/>
                <w:szCs w:val="22"/>
              </w:rPr>
              <w:t>ové</w:t>
            </w:r>
            <w:r w:rsidRPr="001F417A">
              <w:rPr>
                <w:sz w:val="22"/>
                <w:szCs w:val="22"/>
              </w:rPr>
              <w:t xml:space="preserve"> členění </w:t>
            </w:r>
            <w:r w:rsidRPr="00E04974">
              <w:rPr>
                <w:sz w:val="22"/>
                <w:szCs w:val="22"/>
              </w:rPr>
              <w:br/>
            </w:r>
            <w:r w:rsidRPr="001F417A">
              <w:rPr>
                <w:sz w:val="22"/>
                <w:szCs w:val="22"/>
              </w:rPr>
              <w:t>(</w:t>
            </w:r>
            <w:r w:rsidRPr="00E04974">
              <w:rPr>
                <w:sz w:val="22"/>
                <w:szCs w:val="22"/>
              </w:rPr>
              <w:t>dle</w:t>
            </w:r>
            <w:r w:rsidRPr="001F417A">
              <w:rPr>
                <w:sz w:val="22"/>
                <w:szCs w:val="22"/>
              </w:rPr>
              <w:t xml:space="preserve"> výk</w:t>
            </w:r>
            <w:r w:rsidRPr="00E04974">
              <w:rPr>
                <w:sz w:val="22"/>
                <w:szCs w:val="22"/>
              </w:rPr>
              <w:t>.</w:t>
            </w:r>
            <w:r w:rsidRPr="001F417A">
              <w:rPr>
                <w:sz w:val="22"/>
                <w:szCs w:val="22"/>
              </w:rPr>
              <w:t xml:space="preserve"> zisku a ztráty)</w:t>
            </w:r>
          </w:p>
        </w:tc>
      </w:tr>
      <w:tr w:rsidR="00DC44AC" w:rsidRPr="00E04974" w:rsidTr="0001529D">
        <w:trPr>
          <w:trHeight w:val="270"/>
        </w:trPr>
        <w:tc>
          <w:tcPr>
            <w:tcW w:w="2567" w:type="dxa"/>
            <w:tcBorders>
              <w:top w:val="single" w:sz="8" w:space="0" w:color="7F7F7F" w:themeColor="text1" w:themeTint="80"/>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Subdodávky zak. a terénu</w:t>
            </w:r>
          </w:p>
        </w:tc>
        <w:tc>
          <w:tcPr>
            <w:tcW w:w="1134" w:type="dxa"/>
            <w:tcBorders>
              <w:top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518 105 Z</w:t>
            </w:r>
          </w:p>
        </w:tc>
        <w:tc>
          <w:tcPr>
            <w:tcW w:w="3119" w:type="dxa"/>
            <w:tcBorders>
              <w:top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Subdodávky zakázek</w:t>
            </w:r>
          </w:p>
        </w:tc>
        <w:tc>
          <w:tcPr>
            <w:tcW w:w="2268" w:type="dxa"/>
            <w:tcBorders>
              <w:top w:val="single" w:sz="8" w:space="0" w:color="7F7F7F" w:themeColor="text1" w:themeTint="80"/>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DC44AC" w:rsidRPr="00E04974" w:rsidTr="0001529D">
        <w:trPr>
          <w:trHeight w:val="270"/>
        </w:trPr>
        <w:tc>
          <w:tcPr>
            <w:tcW w:w="2567" w:type="dxa"/>
            <w:tcBorders>
              <w:left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Subdodávky zak. a terénu</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518 106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Subdodávky internetové dot.</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DC44AC" w:rsidRPr="00E04974" w:rsidTr="0001529D">
        <w:trPr>
          <w:trHeight w:val="270"/>
        </w:trPr>
        <w:tc>
          <w:tcPr>
            <w:tcW w:w="2567" w:type="dxa"/>
            <w:tcBorders>
              <w:left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Subdodávky zak. a terénu</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518 107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Subdodávky telefonické dot.</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DC44AC" w:rsidRPr="00E04974" w:rsidTr="0001529D">
        <w:trPr>
          <w:trHeight w:val="270"/>
        </w:trPr>
        <w:tc>
          <w:tcPr>
            <w:tcW w:w="2567" w:type="dxa"/>
            <w:tcBorders>
              <w:left w:val="single" w:sz="8" w:space="0" w:color="7F7F7F" w:themeColor="text1" w:themeTint="80"/>
              <w:bottom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Subdodávky zak. a terénu</w:t>
            </w:r>
          </w:p>
        </w:tc>
        <w:tc>
          <w:tcPr>
            <w:tcW w:w="1134" w:type="dxa"/>
            <w:tcBorders>
              <w:bottom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521 105 Z</w:t>
            </w:r>
          </w:p>
        </w:tc>
        <w:tc>
          <w:tcPr>
            <w:tcW w:w="3119" w:type="dxa"/>
            <w:tcBorders>
              <w:bottom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DOPP - zprac. dílčích částí zak</w:t>
            </w:r>
            <w:r w:rsidRPr="00E04974">
              <w:rPr>
                <w:sz w:val="22"/>
                <w:szCs w:val="22"/>
              </w:rPr>
              <w:t xml:space="preserve">. </w:t>
            </w:r>
          </w:p>
        </w:tc>
        <w:tc>
          <w:tcPr>
            <w:tcW w:w="2268" w:type="dxa"/>
            <w:tcBorders>
              <w:bottom w:val="single" w:sz="8" w:space="0" w:color="7F7F7F" w:themeColor="text1" w:themeTint="80"/>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Mzdové náklady</w:t>
            </w:r>
          </w:p>
        </w:tc>
      </w:tr>
      <w:tr w:rsidR="00DC44AC" w:rsidRPr="00E04974" w:rsidTr="0001529D">
        <w:trPr>
          <w:trHeight w:val="270"/>
        </w:trPr>
        <w:tc>
          <w:tcPr>
            <w:tcW w:w="2567" w:type="dxa"/>
            <w:tcBorders>
              <w:top w:val="single" w:sz="8" w:space="0" w:color="7F7F7F" w:themeColor="text1" w:themeTint="80"/>
              <w:left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Odměny a cest</w:t>
            </w:r>
            <w:r w:rsidRPr="00E04974">
              <w:rPr>
                <w:sz w:val="22"/>
                <w:szCs w:val="22"/>
              </w:rPr>
              <w:t>.</w:t>
            </w:r>
            <w:r w:rsidRPr="001F417A">
              <w:rPr>
                <w:sz w:val="22"/>
                <w:szCs w:val="22"/>
              </w:rPr>
              <w:t xml:space="preserve"> tazatelů</w:t>
            </w:r>
          </w:p>
        </w:tc>
        <w:tc>
          <w:tcPr>
            <w:tcW w:w="1134" w:type="dxa"/>
            <w:tcBorders>
              <w:top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518 108 Z</w:t>
            </w:r>
          </w:p>
        </w:tc>
        <w:tc>
          <w:tcPr>
            <w:tcW w:w="3119" w:type="dxa"/>
            <w:tcBorders>
              <w:top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Dotazování, mystery shopping</w:t>
            </w:r>
          </w:p>
        </w:tc>
        <w:tc>
          <w:tcPr>
            <w:tcW w:w="2268" w:type="dxa"/>
            <w:tcBorders>
              <w:top w:val="single" w:sz="8" w:space="0" w:color="7F7F7F" w:themeColor="text1" w:themeTint="80"/>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Odměny a cest</w:t>
            </w:r>
            <w:r w:rsidRPr="00E04974">
              <w:rPr>
                <w:sz w:val="22"/>
                <w:szCs w:val="22"/>
              </w:rPr>
              <w:t>.</w:t>
            </w:r>
            <w:r w:rsidRPr="001F417A">
              <w:rPr>
                <w:sz w:val="22"/>
                <w:szCs w:val="22"/>
              </w:rPr>
              <w:t xml:space="preserve"> tazatelů</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521 108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DOPP - dotazování, mystery</w:t>
            </w:r>
            <w:r w:rsidRPr="00E04974">
              <w:rPr>
                <w:sz w:val="22"/>
                <w:szCs w:val="22"/>
              </w:rPr>
              <w:t xml:space="preserve"> sh.</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Mzdové náklady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Odměny a cest</w:t>
            </w:r>
            <w:r w:rsidRPr="00E04974">
              <w:rPr>
                <w:sz w:val="22"/>
                <w:szCs w:val="22"/>
              </w:rPr>
              <w:t>.</w:t>
            </w:r>
            <w:r w:rsidRPr="001F417A">
              <w:rPr>
                <w:sz w:val="22"/>
                <w:szCs w:val="22"/>
              </w:rPr>
              <w:t xml:space="preserve"> tazatelů</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518 111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Rekrutace na FG, ID</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Odměny a cest</w:t>
            </w:r>
            <w:r w:rsidRPr="00E04974">
              <w:rPr>
                <w:sz w:val="22"/>
                <w:szCs w:val="22"/>
              </w:rPr>
              <w:t>.</w:t>
            </w:r>
            <w:r w:rsidRPr="001F417A">
              <w:rPr>
                <w:sz w:val="22"/>
                <w:szCs w:val="22"/>
              </w:rPr>
              <w:t xml:space="preserve"> tazatelů</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521 111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DOPP - rekrutace na FG, ID</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Mzdové náklady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Odměny a cest</w:t>
            </w:r>
            <w:r w:rsidRPr="00E04974">
              <w:rPr>
                <w:sz w:val="22"/>
                <w:szCs w:val="22"/>
              </w:rPr>
              <w:t>.</w:t>
            </w:r>
            <w:r w:rsidRPr="001F417A">
              <w:rPr>
                <w:sz w:val="22"/>
                <w:szCs w:val="22"/>
              </w:rPr>
              <w:t xml:space="preserve"> tazatelů</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518 112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Moderace FG, ID</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Odměny a cest</w:t>
            </w:r>
            <w:r w:rsidRPr="00E04974">
              <w:rPr>
                <w:sz w:val="22"/>
                <w:szCs w:val="22"/>
              </w:rPr>
              <w:t>.</w:t>
            </w:r>
            <w:r w:rsidRPr="001F417A">
              <w:rPr>
                <w:sz w:val="22"/>
                <w:szCs w:val="22"/>
              </w:rPr>
              <w:t xml:space="preserve"> tazatelů</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521 112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DOPP - moderace FG, ID</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Mzdové náklady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Odměny a cest</w:t>
            </w:r>
            <w:r w:rsidRPr="00E04974">
              <w:rPr>
                <w:sz w:val="22"/>
                <w:szCs w:val="22"/>
              </w:rPr>
              <w:t>.</w:t>
            </w:r>
            <w:r w:rsidRPr="001F417A">
              <w:rPr>
                <w:sz w:val="22"/>
                <w:szCs w:val="22"/>
              </w:rPr>
              <w:t xml:space="preserve"> tazatelů</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518 121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Cestovné externisté</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Odměny a cest</w:t>
            </w:r>
            <w:r w:rsidRPr="00E04974">
              <w:rPr>
                <w:sz w:val="22"/>
                <w:szCs w:val="22"/>
              </w:rPr>
              <w:t>.</w:t>
            </w:r>
            <w:r w:rsidRPr="001F417A">
              <w:rPr>
                <w:sz w:val="22"/>
                <w:szCs w:val="22"/>
              </w:rPr>
              <w:t xml:space="preserve"> tazatelů</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512 121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Cestovné externisté</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DC44AC" w:rsidRPr="00E04974" w:rsidTr="0001529D">
        <w:trPr>
          <w:trHeight w:val="270"/>
        </w:trPr>
        <w:tc>
          <w:tcPr>
            <w:tcW w:w="2567" w:type="dxa"/>
            <w:tcBorders>
              <w:left w:val="single" w:sz="8" w:space="0" w:color="7F7F7F" w:themeColor="text1" w:themeTint="80"/>
              <w:bottom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Odměny a cest</w:t>
            </w:r>
            <w:r w:rsidRPr="00E04974">
              <w:rPr>
                <w:sz w:val="22"/>
                <w:szCs w:val="22"/>
              </w:rPr>
              <w:t>.</w:t>
            </w:r>
            <w:r w:rsidRPr="001F417A">
              <w:rPr>
                <w:sz w:val="22"/>
                <w:szCs w:val="22"/>
              </w:rPr>
              <w:t xml:space="preserve"> tazatelů</w:t>
            </w:r>
          </w:p>
        </w:tc>
        <w:tc>
          <w:tcPr>
            <w:tcW w:w="1134" w:type="dxa"/>
            <w:tcBorders>
              <w:bottom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531 101 Z</w:t>
            </w:r>
          </w:p>
        </w:tc>
        <w:tc>
          <w:tcPr>
            <w:tcW w:w="3119" w:type="dxa"/>
            <w:tcBorders>
              <w:bottom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Silniční daň - vozy zam.</w:t>
            </w:r>
          </w:p>
        </w:tc>
        <w:tc>
          <w:tcPr>
            <w:tcW w:w="2268" w:type="dxa"/>
            <w:tcBorders>
              <w:bottom w:val="single" w:sz="8" w:space="0" w:color="7F7F7F" w:themeColor="text1" w:themeTint="80"/>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Daně a poplatky</w:t>
            </w:r>
          </w:p>
        </w:tc>
      </w:tr>
      <w:tr w:rsidR="00E04974" w:rsidRPr="00E04974" w:rsidTr="0001529D">
        <w:trPr>
          <w:trHeight w:val="270"/>
        </w:trPr>
        <w:tc>
          <w:tcPr>
            <w:tcW w:w="2567" w:type="dxa"/>
            <w:tcBorders>
              <w:top w:val="single" w:sz="8" w:space="0" w:color="7F7F7F" w:themeColor="text1" w:themeTint="80"/>
              <w:left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Odměny respondentů</w:t>
            </w:r>
          </w:p>
        </w:tc>
        <w:tc>
          <w:tcPr>
            <w:tcW w:w="1134" w:type="dxa"/>
            <w:tcBorders>
              <w:top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518 113 Z</w:t>
            </w:r>
          </w:p>
        </w:tc>
        <w:tc>
          <w:tcPr>
            <w:tcW w:w="3119" w:type="dxa"/>
            <w:tcBorders>
              <w:top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Odměny respondentů</w:t>
            </w:r>
          </w:p>
        </w:tc>
        <w:tc>
          <w:tcPr>
            <w:tcW w:w="2268" w:type="dxa"/>
            <w:tcBorders>
              <w:top w:val="single" w:sz="8" w:space="0" w:color="7F7F7F" w:themeColor="text1" w:themeTint="80"/>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Odměny respondentů</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521 113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DOPP - odměny respondentů</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Mzdové náklady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Odměny respondentů</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513 102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Dárky pro respondenty</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DC44AC" w:rsidRPr="00E04974" w:rsidTr="0001529D">
        <w:trPr>
          <w:trHeight w:val="270"/>
        </w:trPr>
        <w:tc>
          <w:tcPr>
            <w:tcW w:w="2567" w:type="dxa"/>
            <w:tcBorders>
              <w:left w:val="single" w:sz="8" w:space="0" w:color="7F7F7F" w:themeColor="text1" w:themeTint="80"/>
              <w:bottom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Odměny respondentů</w:t>
            </w:r>
          </w:p>
        </w:tc>
        <w:tc>
          <w:tcPr>
            <w:tcW w:w="1134" w:type="dxa"/>
            <w:tcBorders>
              <w:bottom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521 114 Z</w:t>
            </w:r>
          </w:p>
        </w:tc>
        <w:tc>
          <w:tcPr>
            <w:tcW w:w="3119" w:type="dxa"/>
            <w:tcBorders>
              <w:bottom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DOPP - naturální odměny resp.</w:t>
            </w:r>
          </w:p>
        </w:tc>
        <w:tc>
          <w:tcPr>
            <w:tcW w:w="2268" w:type="dxa"/>
            <w:tcBorders>
              <w:bottom w:val="single" w:sz="8" w:space="0" w:color="7F7F7F" w:themeColor="text1" w:themeTint="80"/>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Mzdové náklady</w:t>
            </w:r>
          </w:p>
        </w:tc>
      </w:tr>
      <w:tr w:rsidR="00E04974" w:rsidRPr="00E04974" w:rsidTr="0001529D">
        <w:trPr>
          <w:trHeight w:val="270"/>
        </w:trPr>
        <w:tc>
          <w:tcPr>
            <w:tcW w:w="2567" w:type="dxa"/>
            <w:tcBorders>
              <w:top w:val="single" w:sz="8" w:space="0" w:color="7F7F7F" w:themeColor="text1" w:themeTint="80"/>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Zabezpečení sběru dat</w:t>
            </w:r>
          </w:p>
        </w:tc>
        <w:tc>
          <w:tcPr>
            <w:tcW w:w="1134" w:type="dxa"/>
            <w:tcBorders>
              <w:top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501 113 Z</w:t>
            </w:r>
          </w:p>
        </w:tc>
        <w:tc>
          <w:tcPr>
            <w:tcW w:w="3119" w:type="dxa"/>
            <w:tcBorders>
              <w:top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Materiál na tisk, kop</w:t>
            </w:r>
            <w:r w:rsidRPr="00E04974">
              <w:rPr>
                <w:sz w:val="22"/>
                <w:szCs w:val="22"/>
              </w:rPr>
              <w:t>ie</w:t>
            </w:r>
            <w:r w:rsidRPr="001F417A">
              <w:rPr>
                <w:sz w:val="22"/>
                <w:szCs w:val="22"/>
              </w:rPr>
              <w:t>, vazby</w:t>
            </w:r>
          </w:p>
        </w:tc>
        <w:tc>
          <w:tcPr>
            <w:tcW w:w="2268" w:type="dxa"/>
            <w:tcBorders>
              <w:top w:val="single" w:sz="8" w:space="0" w:color="7F7F7F" w:themeColor="text1" w:themeTint="80"/>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Spotřeba mat. a energie</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Zabezpečení sběru dat</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518 103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Tisk, kopírování, vazby</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Zabezpečení sběru dat</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518 120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Poštovné, kurýr, přepravné</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Zabezpečení sběru dat</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518 119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Hovorné</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Zabezpečení sběru dat</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518 115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Nájemné studií a salónků</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Zabezpečení sběru dat</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518 116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Nájemné techniky</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Zabezpečení sběru dat</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513 101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Pohoštění při FG</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DC44AC" w:rsidRPr="00E04974" w:rsidTr="0001529D">
        <w:trPr>
          <w:trHeight w:val="270"/>
        </w:trPr>
        <w:tc>
          <w:tcPr>
            <w:tcW w:w="2567" w:type="dxa"/>
            <w:tcBorders>
              <w:left w:val="single" w:sz="8" w:space="0" w:color="7F7F7F" w:themeColor="text1" w:themeTint="80"/>
              <w:bottom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Zabezpečení sběru dat</w:t>
            </w:r>
          </w:p>
        </w:tc>
        <w:tc>
          <w:tcPr>
            <w:tcW w:w="1134" w:type="dxa"/>
            <w:tcBorders>
              <w:bottom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501 111 Z</w:t>
            </w:r>
          </w:p>
        </w:tc>
        <w:tc>
          <w:tcPr>
            <w:tcW w:w="3119" w:type="dxa"/>
            <w:tcBorders>
              <w:bottom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Materiál na zakázky</w:t>
            </w:r>
          </w:p>
        </w:tc>
        <w:tc>
          <w:tcPr>
            <w:tcW w:w="2268" w:type="dxa"/>
            <w:tcBorders>
              <w:bottom w:val="single" w:sz="8" w:space="0" w:color="7F7F7F" w:themeColor="text1" w:themeTint="80"/>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Spotřeba mat. a energie</w:t>
            </w:r>
          </w:p>
        </w:tc>
      </w:tr>
      <w:tr w:rsidR="00E04974" w:rsidRPr="00E04974" w:rsidTr="0001529D">
        <w:trPr>
          <w:trHeight w:val="270"/>
        </w:trPr>
        <w:tc>
          <w:tcPr>
            <w:tcW w:w="2567" w:type="dxa"/>
            <w:tcBorders>
              <w:top w:val="single" w:sz="8" w:space="0" w:color="7F7F7F" w:themeColor="text1" w:themeTint="80"/>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Práce na zak., poradenství</w:t>
            </w:r>
          </w:p>
        </w:tc>
        <w:tc>
          <w:tcPr>
            <w:tcW w:w="1134" w:type="dxa"/>
            <w:tcBorders>
              <w:top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518 104 Z</w:t>
            </w:r>
          </w:p>
        </w:tc>
        <w:tc>
          <w:tcPr>
            <w:tcW w:w="3119" w:type="dxa"/>
            <w:tcBorders>
              <w:top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Poradenské a právní služby</w:t>
            </w:r>
          </w:p>
        </w:tc>
        <w:tc>
          <w:tcPr>
            <w:tcW w:w="2268" w:type="dxa"/>
            <w:tcBorders>
              <w:top w:val="single" w:sz="8" w:space="0" w:color="7F7F7F" w:themeColor="text1" w:themeTint="80"/>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Práce na zak., poradenství</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521 104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DOPP - odborné poradenství</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Mzdové náklady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Práce na zak., poradenství</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518 102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Překlady a tlumočení</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Práce na zak., poradenství</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521 102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DOPP - překlady a tlumočení</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Mzdové náklady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Práce na zak., poradenství</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518 101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Administrativní práce</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Práce na zak., poradenství</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521 101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DOPP - administrativní práce</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Mzdové náklady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Práce na zak., poradenství</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518 126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Ostatní služby</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DC44AC" w:rsidRPr="00E04974" w:rsidTr="0001529D">
        <w:trPr>
          <w:trHeight w:val="270"/>
        </w:trPr>
        <w:tc>
          <w:tcPr>
            <w:tcW w:w="2567" w:type="dxa"/>
            <w:tcBorders>
              <w:left w:val="single" w:sz="8" w:space="0" w:color="7F7F7F" w:themeColor="text1" w:themeTint="80"/>
              <w:bottom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Práce na zak., poradenství</w:t>
            </w:r>
          </w:p>
        </w:tc>
        <w:tc>
          <w:tcPr>
            <w:tcW w:w="1134" w:type="dxa"/>
            <w:tcBorders>
              <w:bottom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521 126 Z</w:t>
            </w:r>
          </w:p>
        </w:tc>
        <w:tc>
          <w:tcPr>
            <w:tcW w:w="3119" w:type="dxa"/>
            <w:tcBorders>
              <w:bottom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DOPP - ostatní práce</w:t>
            </w:r>
          </w:p>
        </w:tc>
        <w:tc>
          <w:tcPr>
            <w:tcW w:w="2268" w:type="dxa"/>
            <w:tcBorders>
              <w:bottom w:val="single" w:sz="8" w:space="0" w:color="7F7F7F" w:themeColor="text1" w:themeTint="80"/>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Mzdové náklady</w:t>
            </w:r>
          </w:p>
        </w:tc>
      </w:tr>
      <w:tr w:rsidR="00E04974" w:rsidRPr="00E04974" w:rsidTr="0001529D">
        <w:trPr>
          <w:trHeight w:val="270"/>
        </w:trPr>
        <w:tc>
          <w:tcPr>
            <w:tcW w:w="2567" w:type="dxa"/>
            <w:tcBorders>
              <w:top w:val="single" w:sz="8" w:space="0" w:color="7F7F7F" w:themeColor="text1" w:themeTint="80"/>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Zpracování dotazníků</w:t>
            </w:r>
          </w:p>
        </w:tc>
        <w:tc>
          <w:tcPr>
            <w:tcW w:w="1134" w:type="dxa"/>
            <w:tcBorders>
              <w:top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518 109 Z</w:t>
            </w:r>
          </w:p>
        </w:tc>
        <w:tc>
          <w:tcPr>
            <w:tcW w:w="3119" w:type="dxa"/>
            <w:tcBorders>
              <w:top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Kódování</w:t>
            </w:r>
          </w:p>
        </w:tc>
        <w:tc>
          <w:tcPr>
            <w:tcW w:w="2268" w:type="dxa"/>
            <w:tcBorders>
              <w:top w:val="single" w:sz="8" w:space="0" w:color="7F7F7F" w:themeColor="text1" w:themeTint="80"/>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Zpracování dotazníků</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521 109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DOPP - kódování</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Mzdové náklady</w:t>
            </w:r>
          </w:p>
        </w:tc>
      </w:tr>
      <w:tr w:rsidR="00DC44AC" w:rsidRPr="00E04974" w:rsidTr="0001529D">
        <w:trPr>
          <w:trHeight w:val="270"/>
        </w:trPr>
        <w:tc>
          <w:tcPr>
            <w:tcW w:w="2567" w:type="dxa"/>
            <w:tcBorders>
              <w:left w:val="single" w:sz="8" w:space="0" w:color="7F7F7F" w:themeColor="text1" w:themeTint="80"/>
              <w:bottom w:val="single" w:sz="8" w:space="0" w:color="D9D9D9" w:themeColor="background1" w:themeShade="D9"/>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Zpracování dotazníků</w:t>
            </w:r>
          </w:p>
        </w:tc>
        <w:tc>
          <w:tcPr>
            <w:tcW w:w="1134" w:type="dxa"/>
            <w:tcBorders>
              <w:bottom w:val="single" w:sz="8" w:space="0" w:color="D9D9D9" w:themeColor="background1" w:themeShade="D9"/>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518 110 Z</w:t>
            </w:r>
          </w:p>
        </w:tc>
        <w:tc>
          <w:tcPr>
            <w:tcW w:w="3119" w:type="dxa"/>
            <w:tcBorders>
              <w:bottom w:val="single" w:sz="8" w:space="0" w:color="D9D9D9" w:themeColor="background1" w:themeShade="D9"/>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Nahrávání</w:t>
            </w:r>
          </w:p>
        </w:tc>
        <w:tc>
          <w:tcPr>
            <w:tcW w:w="2268" w:type="dxa"/>
            <w:tcBorders>
              <w:bottom w:val="single" w:sz="8" w:space="0" w:color="D9D9D9" w:themeColor="background1" w:themeShade="D9"/>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DC44AC" w:rsidRPr="00E04974" w:rsidTr="0020548C">
        <w:trPr>
          <w:trHeight w:val="270"/>
        </w:trPr>
        <w:tc>
          <w:tcPr>
            <w:tcW w:w="2567" w:type="dxa"/>
            <w:tcBorders>
              <w:top w:val="single" w:sz="8" w:space="0" w:color="D9D9D9" w:themeColor="background1" w:themeShade="D9"/>
              <w:left w:val="single" w:sz="8" w:space="0" w:color="7F7F7F" w:themeColor="text1" w:themeTint="80"/>
              <w:bottom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Zpracování dotazníků</w:t>
            </w:r>
          </w:p>
        </w:tc>
        <w:tc>
          <w:tcPr>
            <w:tcW w:w="1134" w:type="dxa"/>
            <w:tcBorders>
              <w:top w:val="single" w:sz="8" w:space="0" w:color="D9D9D9" w:themeColor="background1" w:themeShade="D9"/>
              <w:bottom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521 110 Z</w:t>
            </w:r>
          </w:p>
        </w:tc>
        <w:tc>
          <w:tcPr>
            <w:tcW w:w="3119" w:type="dxa"/>
            <w:tcBorders>
              <w:top w:val="single" w:sz="8" w:space="0" w:color="D9D9D9" w:themeColor="background1" w:themeShade="D9"/>
              <w:bottom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DOPP - nahrávání</w:t>
            </w:r>
          </w:p>
        </w:tc>
        <w:tc>
          <w:tcPr>
            <w:tcW w:w="2268" w:type="dxa"/>
            <w:tcBorders>
              <w:top w:val="single" w:sz="8"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Mzdové náklady</w:t>
            </w:r>
          </w:p>
        </w:tc>
      </w:tr>
      <w:tr w:rsidR="00E04974" w:rsidRPr="00E04974" w:rsidTr="0020548C">
        <w:trPr>
          <w:trHeight w:val="270"/>
        </w:trPr>
        <w:tc>
          <w:tcPr>
            <w:tcW w:w="2567" w:type="dxa"/>
            <w:tcBorders>
              <w:top w:val="single" w:sz="8" w:space="0" w:color="7F7F7F" w:themeColor="text1" w:themeTint="80"/>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Cestovné zaměstnanců</w:t>
            </w:r>
          </w:p>
        </w:tc>
        <w:tc>
          <w:tcPr>
            <w:tcW w:w="1134" w:type="dxa"/>
            <w:tcBorders>
              <w:top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512 101 Z</w:t>
            </w:r>
          </w:p>
        </w:tc>
        <w:tc>
          <w:tcPr>
            <w:tcW w:w="3119" w:type="dxa"/>
            <w:tcBorders>
              <w:top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Cestovné zam. - tuzemské</w:t>
            </w:r>
          </w:p>
        </w:tc>
        <w:tc>
          <w:tcPr>
            <w:tcW w:w="2268" w:type="dxa"/>
            <w:tcBorders>
              <w:top w:val="single" w:sz="8" w:space="0" w:color="7F7F7F" w:themeColor="text1" w:themeTint="80"/>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E04974" w:rsidRPr="00E04974" w:rsidTr="0020548C">
        <w:trPr>
          <w:trHeight w:val="270"/>
        </w:trPr>
        <w:tc>
          <w:tcPr>
            <w:tcW w:w="2567" w:type="dxa"/>
            <w:tcBorders>
              <w:left w:val="single" w:sz="8" w:space="0" w:color="7F7F7F" w:themeColor="text1" w:themeTint="80"/>
              <w:bottom w:val="single" w:sz="8" w:space="0" w:color="D9D9D9" w:themeColor="background1" w:themeShade="D9"/>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Cestovné zaměstnanců</w:t>
            </w:r>
          </w:p>
        </w:tc>
        <w:tc>
          <w:tcPr>
            <w:tcW w:w="1134" w:type="dxa"/>
            <w:tcBorders>
              <w:bottom w:val="single" w:sz="8" w:space="0" w:color="D9D9D9" w:themeColor="background1" w:themeShade="D9"/>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512 102 Z</w:t>
            </w:r>
          </w:p>
        </w:tc>
        <w:tc>
          <w:tcPr>
            <w:tcW w:w="3119" w:type="dxa"/>
            <w:tcBorders>
              <w:bottom w:val="single" w:sz="8" w:space="0" w:color="D9D9D9" w:themeColor="background1" w:themeShade="D9"/>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Cestovné zam. - zahraniční</w:t>
            </w:r>
          </w:p>
        </w:tc>
        <w:tc>
          <w:tcPr>
            <w:tcW w:w="2268" w:type="dxa"/>
            <w:tcBorders>
              <w:bottom w:val="single" w:sz="8" w:space="0" w:color="D9D9D9" w:themeColor="background1" w:themeShade="D9"/>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E04974" w:rsidRPr="001F417A" w:rsidTr="0001529D">
        <w:trPr>
          <w:trHeight w:val="270"/>
        </w:trPr>
        <w:tc>
          <w:tcPr>
            <w:tcW w:w="2567" w:type="dxa"/>
            <w:tcBorders>
              <w:top w:val="single" w:sz="8" w:space="0" w:color="D9D9D9" w:themeColor="background1" w:themeShade="D9"/>
              <w:left w:val="single" w:sz="8" w:space="0" w:color="7F7F7F" w:themeColor="text1" w:themeTint="80"/>
              <w:bottom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Cestovné zaměstnanců</w:t>
            </w:r>
          </w:p>
        </w:tc>
        <w:tc>
          <w:tcPr>
            <w:tcW w:w="1134" w:type="dxa"/>
            <w:tcBorders>
              <w:top w:val="single" w:sz="8" w:space="0" w:color="D9D9D9" w:themeColor="background1" w:themeShade="D9"/>
              <w:bottom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501 120 Z</w:t>
            </w:r>
          </w:p>
        </w:tc>
        <w:tc>
          <w:tcPr>
            <w:tcW w:w="3119" w:type="dxa"/>
            <w:tcBorders>
              <w:top w:val="single" w:sz="8" w:space="0" w:color="D9D9D9" w:themeColor="background1" w:themeShade="D9"/>
              <w:bottom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Pohonné hmoty</w:t>
            </w:r>
          </w:p>
        </w:tc>
        <w:tc>
          <w:tcPr>
            <w:tcW w:w="2268" w:type="dxa"/>
            <w:tcBorders>
              <w:top w:val="single" w:sz="8"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Spotřeba mat. a energie</w:t>
            </w:r>
          </w:p>
        </w:tc>
      </w:tr>
    </w:tbl>
    <w:p w:rsidR="00E04974" w:rsidRDefault="002E2A96" w:rsidP="002E2A96">
      <w:pPr>
        <w:spacing w:before="60"/>
        <w:rPr>
          <w:sz w:val="22"/>
          <w:szCs w:val="22"/>
        </w:rPr>
      </w:pPr>
      <w:r w:rsidRPr="00227DDA">
        <w:rPr>
          <w:sz w:val="22"/>
          <w:szCs w:val="22"/>
        </w:rPr>
        <w:t xml:space="preserve">Zdroj: </w:t>
      </w:r>
      <w:r>
        <w:rPr>
          <w:sz w:val="22"/>
          <w:szCs w:val="22"/>
        </w:rPr>
        <w:t>Účtový rozvrh podniku</w:t>
      </w:r>
      <w:r w:rsidRPr="00227DDA">
        <w:rPr>
          <w:sz w:val="22"/>
          <w:szCs w:val="22"/>
        </w:rPr>
        <w:t xml:space="preserve"> (vlastní zpracování)</w:t>
      </w:r>
      <w:r>
        <w:rPr>
          <w:sz w:val="22"/>
          <w:szCs w:val="22"/>
        </w:rPr>
        <w:t xml:space="preserve"> </w:t>
      </w:r>
    </w:p>
    <w:p w:rsidR="00CA4733" w:rsidRDefault="00A52B0F" w:rsidP="00CA4733">
      <w:pPr>
        <w:pStyle w:val="Tabulka-pramen"/>
      </w:pPr>
      <w:r>
        <w:rPr>
          <w:noProof/>
        </w:rPr>
        <w:lastRenderedPageBreak/>
        <w:drawing>
          <wp:anchor distT="0" distB="0" distL="114300" distR="114300" simplePos="0" relativeHeight="251666432" behindDoc="0" locked="0" layoutInCell="1" allowOverlap="1">
            <wp:simplePos x="0" y="0"/>
            <wp:positionH relativeFrom="column">
              <wp:posOffset>-487680</wp:posOffset>
            </wp:positionH>
            <wp:positionV relativeFrom="paragraph">
              <wp:posOffset>394970</wp:posOffset>
            </wp:positionV>
            <wp:extent cx="5972175" cy="5419725"/>
            <wp:effectExtent l="0" t="0" r="0" b="0"/>
            <wp:wrapTopAndBottom/>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srcRect/>
                    <a:stretch>
                      <a:fillRect/>
                    </a:stretch>
                  </pic:blipFill>
                  <pic:spPr bwMode="auto">
                    <a:xfrm>
                      <a:off x="0" y="0"/>
                      <a:ext cx="5972175" cy="5419725"/>
                    </a:xfrm>
                    <a:prstGeom prst="rect">
                      <a:avLst/>
                    </a:prstGeom>
                    <a:noFill/>
                    <a:ln w="9525">
                      <a:noFill/>
                      <a:miter lim="800000"/>
                      <a:headEnd/>
                      <a:tailEnd/>
                    </a:ln>
                  </pic:spPr>
                </pic:pic>
              </a:graphicData>
            </a:graphic>
          </wp:anchor>
        </w:drawing>
      </w:r>
      <w:r w:rsidR="00CA4733" w:rsidRPr="00E77216">
        <w:t xml:space="preserve">Příloha </w:t>
      </w:r>
      <w:r w:rsidR="00CA4733">
        <w:t xml:space="preserve">2 Vzorová kalkulace zakázky </w:t>
      </w:r>
    </w:p>
    <w:p w:rsidR="00046DFE" w:rsidRDefault="00046DFE" w:rsidP="00046DFE">
      <w:pPr>
        <w:spacing w:before="60" w:line="240" w:lineRule="auto"/>
        <w:rPr>
          <w:sz w:val="22"/>
          <w:szCs w:val="22"/>
        </w:rPr>
      </w:pPr>
      <w:r w:rsidRPr="007A49EC">
        <w:rPr>
          <w:sz w:val="22"/>
          <w:szCs w:val="22"/>
        </w:rPr>
        <w:t xml:space="preserve">Zdroj: </w:t>
      </w:r>
      <w:r w:rsidR="00095772">
        <w:rPr>
          <w:sz w:val="22"/>
          <w:szCs w:val="22"/>
        </w:rPr>
        <w:t>Kalkulační formulář podniku a vnitropodnikové materiály</w:t>
      </w:r>
      <w:r>
        <w:rPr>
          <w:sz w:val="22"/>
          <w:szCs w:val="22"/>
        </w:rPr>
        <w:t xml:space="preserve"> </w:t>
      </w:r>
      <w:r w:rsidRPr="007A49EC">
        <w:rPr>
          <w:sz w:val="22"/>
          <w:szCs w:val="22"/>
        </w:rPr>
        <w:t>(vlastní zpracování)</w:t>
      </w:r>
      <w:r>
        <w:rPr>
          <w:sz w:val="22"/>
          <w:szCs w:val="22"/>
        </w:rPr>
        <w:t xml:space="preserve"> </w:t>
      </w:r>
      <w:r w:rsidR="00095772">
        <w:rPr>
          <w:rStyle w:val="Znakapoznpodarou"/>
          <w:sz w:val="22"/>
          <w:szCs w:val="22"/>
        </w:rPr>
        <w:footnoteReference w:id="5"/>
      </w:r>
    </w:p>
    <w:p w:rsidR="00095772" w:rsidRDefault="00095772">
      <w:pPr>
        <w:spacing w:after="0" w:line="240" w:lineRule="auto"/>
        <w:jc w:val="left"/>
        <w:rPr>
          <w:sz w:val="22"/>
          <w:szCs w:val="22"/>
        </w:rPr>
      </w:pPr>
      <w:r>
        <w:rPr>
          <w:sz w:val="22"/>
          <w:szCs w:val="22"/>
        </w:rPr>
        <w:br w:type="page"/>
      </w:r>
    </w:p>
    <w:p w:rsidR="00046DFE" w:rsidRPr="00CA4733" w:rsidRDefault="00C750A5" w:rsidP="00C750A5">
      <w:pPr>
        <w:pStyle w:val="Tabulka-pramen"/>
      </w:pPr>
      <w:r>
        <w:lastRenderedPageBreak/>
        <w:t>Příloha 3</w:t>
      </w:r>
      <w:r w:rsidR="00CA4733">
        <w:t xml:space="preserve"> </w:t>
      </w:r>
      <w:r w:rsidR="00095772">
        <w:t>Zobrazení p</w:t>
      </w:r>
      <w:r w:rsidR="00CA4733">
        <w:t>ropočtov</w:t>
      </w:r>
      <w:r w:rsidR="00095772">
        <w:t>é a výsledné</w:t>
      </w:r>
      <w:r w:rsidR="00CA4733" w:rsidRPr="003B4708">
        <w:t xml:space="preserve"> kalkulace </w:t>
      </w:r>
      <w:r w:rsidR="00CA4733">
        <w:t xml:space="preserve">zakázky v podnikovém intranetu </w:t>
      </w:r>
    </w:p>
    <w:tbl>
      <w:tblPr>
        <w:tblStyle w:val="Mkatabulky"/>
        <w:tblW w:w="7088" w:type="dxa"/>
        <w:tblInd w:w="10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none" w:sz="0" w:space="0" w:color="auto"/>
        </w:tblBorders>
        <w:tblLook w:val="04A0"/>
      </w:tblPr>
      <w:tblGrid>
        <w:gridCol w:w="1985"/>
        <w:gridCol w:w="1701"/>
        <w:gridCol w:w="1701"/>
        <w:gridCol w:w="1701"/>
      </w:tblGrid>
      <w:tr w:rsidR="003B3A02" w:rsidRPr="001A6DE1" w:rsidTr="00BF49AC">
        <w:tc>
          <w:tcPr>
            <w:tcW w:w="1985" w:type="dxa"/>
            <w:tcBorders>
              <w:bottom w:val="single" w:sz="8" w:space="0" w:color="7F7F7F" w:themeColor="text1" w:themeTint="80"/>
              <w:right w:val="single" w:sz="8" w:space="0" w:color="7F7F7F" w:themeColor="text1" w:themeTint="80"/>
            </w:tcBorders>
            <w:vAlign w:val="center"/>
          </w:tcPr>
          <w:p w:rsidR="003B3A02" w:rsidRPr="00D97475" w:rsidRDefault="003B3A02" w:rsidP="003B3A02">
            <w:pPr>
              <w:spacing w:after="0" w:line="300" w:lineRule="auto"/>
              <w:rPr>
                <w:rFonts w:ascii="Times New Roman" w:hAnsi="Times New Roman"/>
                <w:i/>
                <w:color w:val="595959" w:themeColor="text1" w:themeTint="A6"/>
              </w:rPr>
            </w:pPr>
          </w:p>
        </w:tc>
        <w:tc>
          <w:tcPr>
            <w:tcW w:w="1701" w:type="dxa"/>
            <w:tcBorders>
              <w:bottom w:val="single" w:sz="8" w:space="0" w:color="7F7F7F" w:themeColor="text1" w:themeTint="80"/>
              <w:right w:val="single" w:sz="8" w:space="0" w:color="7F7F7F" w:themeColor="text1" w:themeTint="80"/>
            </w:tcBorders>
            <w:vAlign w:val="center"/>
          </w:tcPr>
          <w:p w:rsidR="003B3A02" w:rsidRPr="001A6DE1" w:rsidRDefault="003B3A02" w:rsidP="00095772">
            <w:pPr>
              <w:spacing w:after="0" w:line="300" w:lineRule="auto"/>
              <w:jc w:val="right"/>
              <w:rPr>
                <w:rFonts w:ascii="Times New Roman" w:hAnsi="Times New Roman"/>
              </w:rPr>
            </w:pPr>
            <w:r>
              <w:rPr>
                <w:rFonts w:ascii="Times New Roman" w:hAnsi="Times New Roman"/>
              </w:rPr>
              <w:t>Plán</w:t>
            </w:r>
            <w:r w:rsidRPr="001A6DE1">
              <w:rPr>
                <w:rFonts w:ascii="Times New Roman" w:hAnsi="Times New Roman"/>
              </w:rPr>
              <w:t xml:space="preserve"> </w:t>
            </w:r>
          </w:p>
        </w:tc>
        <w:tc>
          <w:tcPr>
            <w:tcW w:w="1701" w:type="dxa"/>
            <w:tcBorders>
              <w:left w:val="single" w:sz="8" w:space="0" w:color="7F7F7F" w:themeColor="text1" w:themeTint="80"/>
              <w:bottom w:val="single" w:sz="8" w:space="0" w:color="7F7F7F" w:themeColor="text1" w:themeTint="80"/>
              <w:right w:val="single" w:sz="8" w:space="0" w:color="7F7F7F" w:themeColor="text1" w:themeTint="80"/>
            </w:tcBorders>
            <w:vAlign w:val="center"/>
          </w:tcPr>
          <w:p w:rsidR="003B3A02" w:rsidRPr="001A6DE1" w:rsidRDefault="003B3A02" w:rsidP="00095772">
            <w:pPr>
              <w:spacing w:after="0" w:line="300" w:lineRule="auto"/>
              <w:jc w:val="right"/>
              <w:rPr>
                <w:rFonts w:ascii="Times New Roman" w:hAnsi="Times New Roman"/>
              </w:rPr>
            </w:pPr>
            <w:r w:rsidRPr="001A6DE1">
              <w:rPr>
                <w:rFonts w:ascii="Times New Roman" w:hAnsi="Times New Roman"/>
              </w:rPr>
              <w:t xml:space="preserve">Skutečnost </w:t>
            </w:r>
          </w:p>
        </w:tc>
        <w:tc>
          <w:tcPr>
            <w:tcW w:w="1701" w:type="dxa"/>
            <w:tcBorders>
              <w:left w:val="single" w:sz="8" w:space="0" w:color="7F7F7F" w:themeColor="text1" w:themeTint="80"/>
              <w:bottom w:val="single" w:sz="8" w:space="0" w:color="7F7F7F" w:themeColor="text1" w:themeTint="80"/>
            </w:tcBorders>
            <w:vAlign w:val="center"/>
          </w:tcPr>
          <w:p w:rsidR="003B3A02" w:rsidRPr="001A6DE1" w:rsidRDefault="003B3A02" w:rsidP="00095772">
            <w:pPr>
              <w:spacing w:after="0" w:line="300" w:lineRule="auto"/>
              <w:jc w:val="right"/>
              <w:rPr>
                <w:rFonts w:ascii="Times New Roman" w:hAnsi="Times New Roman"/>
              </w:rPr>
            </w:pPr>
            <w:r w:rsidRPr="001A6DE1">
              <w:rPr>
                <w:rFonts w:ascii="Times New Roman" w:hAnsi="Times New Roman"/>
              </w:rPr>
              <w:t xml:space="preserve">Rozdíl </w:t>
            </w:r>
          </w:p>
        </w:tc>
      </w:tr>
      <w:tr w:rsidR="003B3A02" w:rsidRPr="001A6DE1" w:rsidTr="00BF49AC">
        <w:tc>
          <w:tcPr>
            <w:tcW w:w="1985" w:type="dxa"/>
            <w:tcBorders>
              <w:right w:val="single" w:sz="8" w:space="0" w:color="7F7F7F" w:themeColor="text1" w:themeTint="80"/>
            </w:tcBorders>
            <w:shd w:val="clear" w:color="auto" w:fill="F2F2F2" w:themeFill="background1" w:themeFillShade="F2"/>
            <w:vAlign w:val="center"/>
          </w:tcPr>
          <w:p w:rsidR="003B3A02" w:rsidRPr="001A6DE1" w:rsidRDefault="003B3A02" w:rsidP="00257D2B">
            <w:pPr>
              <w:spacing w:after="0" w:line="300" w:lineRule="auto"/>
              <w:rPr>
                <w:rFonts w:ascii="Times New Roman" w:hAnsi="Times New Roman"/>
              </w:rPr>
            </w:pPr>
            <w:r>
              <w:rPr>
                <w:rFonts w:ascii="Times New Roman" w:hAnsi="Times New Roman"/>
              </w:rPr>
              <w:t>Fakturace</w:t>
            </w:r>
          </w:p>
        </w:tc>
        <w:tc>
          <w:tcPr>
            <w:tcW w:w="1701" w:type="dxa"/>
            <w:tcBorders>
              <w:right w:val="single" w:sz="8" w:space="0" w:color="7F7F7F" w:themeColor="text1" w:themeTint="80"/>
            </w:tcBorders>
            <w:shd w:val="clear" w:color="auto" w:fill="F2F2F2" w:themeFill="background1" w:themeFillShade="F2"/>
            <w:vAlign w:val="center"/>
          </w:tcPr>
          <w:p w:rsidR="003B3A02" w:rsidRPr="001A6DE1" w:rsidRDefault="003B3A02" w:rsidP="00CA4733">
            <w:pPr>
              <w:spacing w:after="0" w:line="300" w:lineRule="auto"/>
              <w:jc w:val="right"/>
              <w:rPr>
                <w:rFonts w:ascii="Times New Roman" w:hAnsi="Times New Roman"/>
              </w:rPr>
            </w:pPr>
            <w:r>
              <w:rPr>
                <w:rFonts w:ascii="Times New Roman" w:hAnsi="Times New Roman"/>
              </w:rPr>
              <w:t xml:space="preserve">206 000 </w:t>
            </w:r>
          </w:p>
        </w:tc>
        <w:tc>
          <w:tcPr>
            <w:tcW w:w="1701" w:type="dxa"/>
            <w:tcBorders>
              <w:left w:val="single" w:sz="8" w:space="0" w:color="7F7F7F" w:themeColor="text1" w:themeTint="80"/>
              <w:right w:val="single" w:sz="8" w:space="0" w:color="7F7F7F" w:themeColor="text1" w:themeTint="80"/>
            </w:tcBorders>
            <w:shd w:val="clear" w:color="auto" w:fill="F2F2F2" w:themeFill="background1" w:themeFillShade="F2"/>
            <w:vAlign w:val="center"/>
          </w:tcPr>
          <w:p w:rsidR="003B3A02" w:rsidRPr="001A6DE1" w:rsidRDefault="003B3A02" w:rsidP="00CA4733">
            <w:pPr>
              <w:spacing w:after="0" w:line="300" w:lineRule="auto"/>
              <w:jc w:val="right"/>
              <w:rPr>
                <w:rFonts w:ascii="Times New Roman" w:hAnsi="Times New Roman"/>
              </w:rPr>
            </w:pPr>
            <w:r>
              <w:rPr>
                <w:rFonts w:ascii="Times New Roman" w:hAnsi="Times New Roman"/>
              </w:rPr>
              <w:t xml:space="preserve">206 000 </w:t>
            </w:r>
          </w:p>
        </w:tc>
        <w:tc>
          <w:tcPr>
            <w:tcW w:w="1701" w:type="dxa"/>
            <w:tcBorders>
              <w:left w:val="single" w:sz="8" w:space="0" w:color="7F7F7F" w:themeColor="text1" w:themeTint="80"/>
            </w:tcBorders>
            <w:shd w:val="clear" w:color="auto" w:fill="F2F2F2" w:themeFill="background1" w:themeFillShade="F2"/>
            <w:vAlign w:val="center"/>
          </w:tcPr>
          <w:p w:rsidR="003B3A02" w:rsidRPr="001A6DE1" w:rsidRDefault="003B3A02" w:rsidP="00CA4733">
            <w:pPr>
              <w:spacing w:after="0" w:line="300" w:lineRule="auto"/>
              <w:jc w:val="right"/>
              <w:rPr>
                <w:rFonts w:ascii="Times New Roman" w:hAnsi="Times New Roman"/>
              </w:rPr>
            </w:pPr>
            <w:r>
              <w:rPr>
                <w:rFonts w:ascii="Times New Roman" w:hAnsi="Times New Roman"/>
              </w:rPr>
              <w:t xml:space="preserve">- </w:t>
            </w:r>
          </w:p>
        </w:tc>
      </w:tr>
      <w:tr w:rsidR="003B3A02" w:rsidRPr="001A6DE1" w:rsidTr="00BF49AC">
        <w:tc>
          <w:tcPr>
            <w:tcW w:w="1985" w:type="dxa"/>
            <w:tcBorders>
              <w:bottom w:val="nil"/>
              <w:right w:val="single" w:sz="8" w:space="0" w:color="7F7F7F" w:themeColor="text1" w:themeTint="80"/>
            </w:tcBorders>
            <w:vAlign w:val="center"/>
          </w:tcPr>
          <w:p w:rsidR="003B3A02" w:rsidRPr="001A6DE1" w:rsidRDefault="003B3A02" w:rsidP="00257D2B">
            <w:pPr>
              <w:spacing w:after="0" w:line="300" w:lineRule="auto"/>
              <w:rPr>
                <w:rFonts w:ascii="Times New Roman" w:hAnsi="Times New Roman"/>
              </w:rPr>
            </w:pPr>
            <w:r>
              <w:rPr>
                <w:rFonts w:ascii="Times New Roman" w:hAnsi="Times New Roman"/>
              </w:rPr>
              <w:t>Přímé</w:t>
            </w:r>
            <w:r w:rsidRPr="001A6DE1">
              <w:rPr>
                <w:rFonts w:ascii="Times New Roman" w:hAnsi="Times New Roman"/>
              </w:rPr>
              <w:t xml:space="preserve"> náklad</w:t>
            </w:r>
            <w:r>
              <w:rPr>
                <w:rFonts w:ascii="Times New Roman" w:hAnsi="Times New Roman"/>
              </w:rPr>
              <w:t>y</w:t>
            </w:r>
          </w:p>
        </w:tc>
        <w:tc>
          <w:tcPr>
            <w:tcW w:w="1701" w:type="dxa"/>
            <w:tcBorders>
              <w:bottom w:val="nil"/>
              <w:right w:val="single" w:sz="8" w:space="0" w:color="7F7F7F" w:themeColor="text1" w:themeTint="80"/>
            </w:tcBorders>
            <w:vAlign w:val="center"/>
          </w:tcPr>
          <w:p w:rsidR="003B3A02" w:rsidRPr="001A6DE1" w:rsidRDefault="003B3A02" w:rsidP="00CA4733">
            <w:pPr>
              <w:spacing w:after="0" w:line="300" w:lineRule="auto"/>
              <w:jc w:val="right"/>
              <w:rPr>
                <w:rFonts w:ascii="Times New Roman" w:hAnsi="Times New Roman"/>
              </w:rPr>
            </w:pPr>
            <w:r>
              <w:rPr>
                <w:rFonts w:ascii="Times New Roman" w:hAnsi="Times New Roman"/>
              </w:rPr>
              <w:t xml:space="preserve">114 500 </w:t>
            </w:r>
          </w:p>
        </w:tc>
        <w:tc>
          <w:tcPr>
            <w:tcW w:w="1701" w:type="dxa"/>
            <w:tcBorders>
              <w:left w:val="single" w:sz="8" w:space="0" w:color="7F7F7F" w:themeColor="text1" w:themeTint="80"/>
              <w:bottom w:val="nil"/>
              <w:right w:val="single" w:sz="8" w:space="0" w:color="7F7F7F" w:themeColor="text1" w:themeTint="80"/>
            </w:tcBorders>
            <w:vAlign w:val="center"/>
          </w:tcPr>
          <w:p w:rsidR="003B3A02" w:rsidRPr="001A6DE1" w:rsidRDefault="003B3A02" w:rsidP="00CA4733">
            <w:pPr>
              <w:spacing w:after="0" w:line="300" w:lineRule="auto"/>
              <w:jc w:val="right"/>
              <w:rPr>
                <w:rFonts w:ascii="Times New Roman" w:hAnsi="Times New Roman"/>
              </w:rPr>
            </w:pPr>
            <w:r>
              <w:rPr>
                <w:rFonts w:ascii="Times New Roman" w:hAnsi="Times New Roman"/>
              </w:rPr>
              <w:t>116 423</w:t>
            </w:r>
            <w:r w:rsidRPr="001A6DE1">
              <w:rPr>
                <w:rFonts w:ascii="Times New Roman" w:hAnsi="Times New Roman"/>
              </w:rPr>
              <w:t xml:space="preserve"> </w:t>
            </w:r>
          </w:p>
        </w:tc>
        <w:tc>
          <w:tcPr>
            <w:tcW w:w="1701" w:type="dxa"/>
            <w:tcBorders>
              <w:left w:val="single" w:sz="8" w:space="0" w:color="7F7F7F" w:themeColor="text1" w:themeTint="80"/>
              <w:bottom w:val="nil"/>
            </w:tcBorders>
            <w:vAlign w:val="center"/>
          </w:tcPr>
          <w:p w:rsidR="003B3A02" w:rsidRPr="00CA4733" w:rsidRDefault="003B3A02" w:rsidP="00C750A5">
            <w:pPr>
              <w:pStyle w:val="Odstavecseseznamem"/>
              <w:spacing w:after="0" w:line="300" w:lineRule="auto"/>
              <w:jc w:val="right"/>
              <w:rPr>
                <w:rFonts w:ascii="Times New Roman" w:hAnsi="Times New Roman"/>
              </w:rPr>
            </w:pPr>
            <w:r>
              <w:rPr>
                <w:rFonts w:ascii="Times New Roman" w:hAnsi="Times New Roman"/>
              </w:rPr>
              <w:t>-</w:t>
            </w:r>
            <w:r w:rsidRPr="00CA4733">
              <w:rPr>
                <w:rFonts w:ascii="Times New Roman" w:hAnsi="Times New Roman"/>
              </w:rPr>
              <w:t>1</w:t>
            </w:r>
            <w:r>
              <w:rPr>
                <w:rFonts w:ascii="Times New Roman" w:hAnsi="Times New Roman"/>
              </w:rPr>
              <w:t xml:space="preserve"> </w:t>
            </w:r>
            <w:r w:rsidRPr="00CA4733">
              <w:rPr>
                <w:rFonts w:ascii="Times New Roman" w:hAnsi="Times New Roman"/>
              </w:rPr>
              <w:t>923</w:t>
            </w:r>
          </w:p>
        </w:tc>
      </w:tr>
      <w:tr w:rsidR="003B3A02" w:rsidRPr="001A6DE1" w:rsidTr="00BF49AC">
        <w:tc>
          <w:tcPr>
            <w:tcW w:w="1985" w:type="dxa"/>
            <w:tcBorders>
              <w:top w:val="nil"/>
              <w:bottom w:val="nil"/>
              <w:right w:val="single" w:sz="8" w:space="0" w:color="7F7F7F" w:themeColor="text1" w:themeTint="80"/>
            </w:tcBorders>
            <w:vAlign w:val="center"/>
          </w:tcPr>
          <w:p w:rsidR="003B3A02" w:rsidRPr="001A6DE1" w:rsidRDefault="003B3A02" w:rsidP="00257D2B">
            <w:pPr>
              <w:spacing w:after="0" w:line="300" w:lineRule="auto"/>
              <w:rPr>
                <w:rFonts w:ascii="Times New Roman" w:hAnsi="Times New Roman"/>
              </w:rPr>
            </w:pPr>
            <w:r>
              <w:rPr>
                <w:rFonts w:ascii="Times New Roman" w:hAnsi="Times New Roman"/>
              </w:rPr>
              <w:t>C</w:t>
            </w:r>
            <w:r w:rsidRPr="001A6DE1">
              <w:rPr>
                <w:rFonts w:ascii="Times New Roman" w:hAnsi="Times New Roman"/>
              </w:rPr>
              <w:t>ena práce</w:t>
            </w:r>
          </w:p>
        </w:tc>
        <w:tc>
          <w:tcPr>
            <w:tcW w:w="1701" w:type="dxa"/>
            <w:tcBorders>
              <w:top w:val="nil"/>
              <w:bottom w:val="nil"/>
              <w:right w:val="single" w:sz="8" w:space="0" w:color="7F7F7F" w:themeColor="text1" w:themeTint="80"/>
            </w:tcBorders>
            <w:vAlign w:val="center"/>
          </w:tcPr>
          <w:p w:rsidR="003B3A02" w:rsidRPr="001A6DE1" w:rsidRDefault="003B3A02" w:rsidP="00CA4733">
            <w:pPr>
              <w:spacing w:after="0" w:line="300" w:lineRule="auto"/>
              <w:jc w:val="right"/>
              <w:rPr>
                <w:rFonts w:ascii="Times New Roman" w:hAnsi="Times New Roman"/>
              </w:rPr>
            </w:pPr>
            <w:r>
              <w:rPr>
                <w:rFonts w:ascii="Times New Roman" w:hAnsi="Times New Roman"/>
              </w:rPr>
              <w:t>80 000</w:t>
            </w:r>
            <w:r w:rsidRPr="001A6DE1">
              <w:rPr>
                <w:rFonts w:ascii="Times New Roman" w:hAnsi="Times New Roman"/>
              </w:rPr>
              <w:t xml:space="preserve"> </w:t>
            </w:r>
          </w:p>
        </w:tc>
        <w:tc>
          <w:tcPr>
            <w:tcW w:w="1701" w:type="dxa"/>
            <w:tcBorders>
              <w:top w:val="nil"/>
              <w:left w:val="single" w:sz="8" w:space="0" w:color="7F7F7F" w:themeColor="text1" w:themeTint="80"/>
              <w:bottom w:val="nil"/>
              <w:right w:val="single" w:sz="8" w:space="0" w:color="7F7F7F" w:themeColor="text1" w:themeTint="80"/>
            </w:tcBorders>
            <w:vAlign w:val="center"/>
          </w:tcPr>
          <w:p w:rsidR="003B3A02" w:rsidRPr="001A6DE1" w:rsidRDefault="003B3A02" w:rsidP="00CA4733">
            <w:pPr>
              <w:spacing w:after="0" w:line="300" w:lineRule="auto"/>
              <w:jc w:val="right"/>
              <w:rPr>
                <w:rFonts w:ascii="Times New Roman" w:hAnsi="Times New Roman"/>
              </w:rPr>
            </w:pPr>
            <w:r>
              <w:rPr>
                <w:rFonts w:ascii="Times New Roman" w:hAnsi="Times New Roman"/>
              </w:rPr>
              <w:t>78 355</w:t>
            </w:r>
          </w:p>
        </w:tc>
        <w:tc>
          <w:tcPr>
            <w:tcW w:w="1701" w:type="dxa"/>
            <w:tcBorders>
              <w:top w:val="nil"/>
              <w:left w:val="single" w:sz="8" w:space="0" w:color="7F7F7F" w:themeColor="text1" w:themeTint="80"/>
              <w:bottom w:val="nil"/>
            </w:tcBorders>
            <w:vAlign w:val="center"/>
          </w:tcPr>
          <w:p w:rsidR="003B3A02" w:rsidRPr="001A6DE1" w:rsidRDefault="003B3A02" w:rsidP="00CA4733">
            <w:pPr>
              <w:spacing w:after="0" w:line="300" w:lineRule="auto"/>
              <w:jc w:val="right"/>
              <w:rPr>
                <w:rFonts w:ascii="Times New Roman" w:hAnsi="Times New Roman"/>
              </w:rPr>
            </w:pPr>
            <w:r>
              <w:rPr>
                <w:rFonts w:ascii="Times New Roman" w:hAnsi="Times New Roman"/>
              </w:rPr>
              <w:t xml:space="preserve">1 645 </w:t>
            </w:r>
          </w:p>
        </w:tc>
      </w:tr>
      <w:tr w:rsidR="003B3A02" w:rsidRPr="001A6DE1" w:rsidTr="00BF49AC">
        <w:tc>
          <w:tcPr>
            <w:tcW w:w="1985" w:type="dxa"/>
            <w:tcBorders>
              <w:top w:val="nil"/>
              <w:bottom w:val="nil"/>
              <w:right w:val="single" w:sz="8" w:space="0" w:color="7F7F7F" w:themeColor="text1" w:themeTint="80"/>
            </w:tcBorders>
            <w:vAlign w:val="center"/>
          </w:tcPr>
          <w:p w:rsidR="003B3A02" w:rsidRPr="001A6DE1" w:rsidRDefault="003B3A02" w:rsidP="00257D2B">
            <w:pPr>
              <w:spacing w:after="0" w:line="300" w:lineRule="auto"/>
              <w:rPr>
                <w:rFonts w:ascii="Times New Roman" w:hAnsi="Times New Roman"/>
              </w:rPr>
            </w:pPr>
            <w:r>
              <w:rPr>
                <w:rFonts w:ascii="Times New Roman" w:hAnsi="Times New Roman"/>
              </w:rPr>
              <w:t>O</w:t>
            </w:r>
            <w:r w:rsidRPr="001A6DE1">
              <w:rPr>
                <w:rFonts w:ascii="Times New Roman" w:hAnsi="Times New Roman"/>
              </w:rPr>
              <w:t>statní položky</w:t>
            </w:r>
          </w:p>
        </w:tc>
        <w:tc>
          <w:tcPr>
            <w:tcW w:w="1701" w:type="dxa"/>
            <w:tcBorders>
              <w:top w:val="nil"/>
              <w:bottom w:val="nil"/>
              <w:right w:val="single" w:sz="8" w:space="0" w:color="7F7F7F" w:themeColor="text1" w:themeTint="80"/>
            </w:tcBorders>
            <w:vAlign w:val="center"/>
          </w:tcPr>
          <w:p w:rsidR="003B3A02" w:rsidRPr="001A6DE1" w:rsidRDefault="003B3A02" w:rsidP="00CA4733">
            <w:pPr>
              <w:spacing w:after="0" w:line="300" w:lineRule="auto"/>
              <w:jc w:val="right"/>
              <w:rPr>
                <w:rFonts w:ascii="Times New Roman" w:hAnsi="Times New Roman"/>
              </w:rPr>
            </w:pPr>
            <w:r>
              <w:rPr>
                <w:rFonts w:ascii="Times New Roman" w:hAnsi="Times New Roman"/>
              </w:rPr>
              <w:t>0</w:t>
            </w:r>
            <w:r w:rsidRPr="001A6DE1">
              <w:rPr>
                <w:rFonts w:ascii="Times New Roman" w:hAnsi="Times New Roman"/>
              </w:rPr>
              <w:t xml:space="preserve"> </w:t>
            </w:r>
          </w:p>
        </w:tc>
        <w:tc>
          <w:tcPr>
            <w:tcW w:w="1701" w:type="dxa"/>
            <w:tcBorders>
              <w:top w:val="nil"/>
              <w:left w:val="single" w:sz="8" w:space="0" w:color="7F7F7F" w:themeColor="text1" w:themeTint="80"/>
              <w:bottom w:val="nil"/>
              <w:right w:val="single" w:sz="8" w:space="0" w:color="7F7F7F" w:themeColor="text1" w:themeTint="80"/>
            </w:tcBorders>
            <w:vAlign w:val="center"/>
          </w:tcPr>
          <w:p w:rsidR="003B3A02" w:rsidRPr="001A6DE1" w:rsidRDefault="003B3A02" w:rsidP="00CA4733">
            <w:pPr>
              <w:spacing w:after="0" w:line="300" w:lineRule="auto"/>
              <w:jc w:val="right"/>
              <w:rPr>
                <w:rFonts w:ascii="Times New Roman" w:hAnsi="Times New Roman"/>
              </w:rPr>
            </w:pPr>
            <w:r w:rsidRPr="001A6DE1">
              <w:rPr>
                <w:rFonts w:ascii="Times New Roman" w:hAnsi="Times New Roman"/>
              </w:rPr>
              <w:t xml:space="preserve">- </w:t>
            </w:r>
          </w:p>
        </w:tc>
        <w:tc>
          <w:tcPr>
            <w:tcW w:w="1701" w:type="dxa"/>
            <w:tcBorders>
              <w:top w:val="nil"/>
              <w:left w:val="single" w:sz="8" w:space="0" w:color="7F7F7F" w:themeColor="text1" w:themeTint="80"/>
              <w:bottom w:val="nil"/>
            </w:tcBorders>
            <w:vAlign w:val="center"/>
          </w:tcPr>
          <w:p w:rsidR="003B3A02" w:rsidRPr="001A6DE1" w:rsidRDefault="003B3A02" w:rsidP="00CA4733">
            <w:pPr>
              <w:spacing w:after="0" w:line="300" w:lineRule="auto"/>
              <w:jc w:val="right"/>
              <w:rPr>
                <w:rFonts w:ascii="Times New Roman" w:hAnsi="Times New Roman"/>
              </w:rPr>
            </w:pPr>
            <w:r w:rsidRPr="001A6DE1">
              <w:rPr>
                <w:rFonts w:ascii="Times New Roman" w:hAnsi="Times New Roman"/>
              </w:rPr>
              <w:t xml:space="preserve">- </w:t>
            </w:r>
          </w:p>
        </w:tc>
      </w:tr>
      <w:tr w:rsidR="003B3A02" w:rsidRPr="001A6DE1" w:rsidTr="00BF49AC">
        <w:tc>
          <w:tcPr>
            <w:tcW w:w="1985" w:type="dxa"/>
            <w:tcBorders>
              <w:top w:val="nil"/>
              <w:bottom w:val="nil"/>
              <w:right w:val="single" w:sz="8" w:space="0" w:color="7F7F7F" w:themeColor="text1" w:themeTint="80"/>
            </w:tcBorders>
            <w:vAlign w:val="center"/>
          </w:tcPr>
          <w:p w:rsidR="003B3A02" w:rsidRPr="001A6DE1" w:rsidRDefault="003B3A02" w:rsidP="00257D2B">
            <w:pPr>
              <w:spacing w:after="0" w:line="300" w:lineRule="auto"/>
              <w:rPr>
                <w:rFonts w:ascii="Times New Roman" w:hAnsi="Times New Roman"/>
              </w:rPr>
            </w:pPr>
            <w:r>
              <w:rPr>
                <w:rFonts w:ascii="Times New Roman" w:hAnsi="Times New Roman"/>
              </w:rPr>
              <w:t>P</w:t>
            </w:r>
            <w:r w:rsidRPr="001A6DE1">
              <w:rPr>
                <w:rFonts w:ascii="Times New Roman" w:hAnsi="Times New Roman"/>
              </w:rPr>
              <w:t>rodejní marže</w:t>
            </w:r>
          </w:p>
        </w:tc>
        <w:tc>
          <w:tcPr>
            <w:tcW w:w="1701" w:type="dxa"/>
            <w:tcBorders>
              <w:top w:val="nil"/>
              <w:bottom w:val="nil"/>
              <w:right w:val="single" w:sz="8" w:space="0" w:color="7F7F7F" w:themeColor="text1" w:themeTint="80"/>
            </w:tcBorders>
            <w:vAlign w:val="center"/>
          </w:tcPr>
          <w:p w:rsidR="003B3A02" w:rsidRPr="001A6DE1" w:rsidRDefault="003B3A02" w:rsidP="00CA4733">
            <w:pPr>
              <w:spacing w:after="0" w:line="300" w:lineRule="auto"/>
              <w:jc w:val="right"/>
              <w:rPr>
                <w:rFonts w:ascii="Times New Roman" w:hAnsi="Times New Roman"/>
              </w:rPr>
            </w:pPr>
            <w:r>
              <w:rPr>
                <w:rFonts w:ascii="Times New Roman" w:hAnsi="Times New Roman"/>
              </w:rPr>
              <w:t>11 450</w:t>
            </w:r>
            <w:r w:rsidRPr="001A6DE1">
              <w:rPr>
                <w:rFonts w:ascii="Times New Roman" w:hAnsi="Times New Roman"/>
              </w:rPr>
              <w:t xml:space="preserve"> </w:t>
            </w:r>
          </w:p>
        </w:tc>
        <w:tc>
          <w:tcPr>
            <w:tcW w:w="1701" w:type="dxa"/>
            <w:tcBorders>
              <w:top w:val="nil"/>
              <w:left w:val="single" w:sz="8" w:space="0" w:color="7F7F7F" w:themeColor="text1" w:themeTint="80"/>
              <w:bottom w:val="nil"/>
              <w:right w:val="single" w:sz="8" w:space="0" w:color="7F7F7F" w:themeColor="text1" w:themeTint="80"/>
            </w:tcBorders>
            <w:vAlign w:val="center"/>
          </w:tcPr>
          <w:p w:rsidR="003B3A02" w:rsidRPr="001A6DE1" w:rsidRDefault="003B3A02" w:rsidP="00CA4733">
            <w:pPr>
              <w:spacing w:after="0" w:line="300" w:lineRule="auto"/>
              <w:jc w:val="right"/>
              <w:rPr>
                <w:rFonts w:ascii="Times New Roman" w:hAnsi="Times New Roman"/>
              </w:rPr>
            </w:pPr>
            <w:r w:rsidRPr="001A6DE1">
              <w:rPr>
                <w:rFonts w:ascii="Times New Roman" w:hAnsi="Times New Roman"/>
              </w:rPr>
              <w:t xml:space="preserve">- </w:t>
            </w:r>
          </w:p>
        </w:tc>
        <w:tc>
          <w:tcPr>
            <w:tcW w:w="1701" w:type="dxa"/>
            <w:tcBorders>
              <w:top w:val="nil"/>
              <w:left w:val="single" w:sz="8" w:space="0" w:color="7F7F7F" w:themeColor="text1" w:themeTint="80"/>
              <w:bottom w:val="nil"/>
            </w:tcBorders>
            <w:vAlign w:val="center"/>
          </w:tcPr>
          <w:p w:rsidR="003B3A02" w:rsidRPr="001A6DE1" w:rsidRDefault="003B3A02" w:rsidP="00CA4733">
            <w:pPr>
              <w:spacing w:after="0" w:line="300" w:lineRule="auto"/>
              <w:jc w:val="right"/>
              <w:rPr>
                <w:rFonts w:ascii="Times New Roman" w:hAnsi="Times New Roman"/>
              </w:rPr>
            </w:pPr>
            <w:r w:rsidRPr="001A6DE1">
              <w:rPr>
                <w:rFonts w:ascii="Times New Roman" w:hAnsi="Times New Roman"/>
              </w:rPr>
              <w:t xml:space="preserve">- </w:t>
            </w:r>
          </w:p>
        </w:tc>
      </w:tr>
      <w:tr w:rsidR="003B3A02" w:rsidRPr="001A6DE1" w:rsidTr="00BF49AC">
        <w:tc>
          <w:tcPr>
            <w:tcW w:w="1985" w:type="dxa"/>
            <w:tcBorders>
              <w:top w:val="nil"/>
              <w:bottom w:val="single" w:sz="8" w:space="0" w:color="7F7F7F" w:themeColor="text1" w:themeTint="80"/>
              <w:right w:val="single" w:sz="8" w:space="0" w:color="7F7F7F" w:themeColor="text1" w:themeTint="80"/>
            </w:tcBorders>
            <w:vAlign w:val="center"/>
          </w:tcPr>
          <w:p w:rsidR="003B3A02" w:rsidRPr="001A6DE1" w:rsidRDefault="003B3A02" w:rsidP="00257D2B">
            <w:pPr>
              <w:spacing w:after="0" w:line="300" w:lineRule="auto"/>
              <w:rPr>
                <w:rFonts w:ascii="Times New Roman" w:hAnsi="Times New Roman"/>
              </w:rPr>
            </w:pPr>
            <w:r>
              <w:rPr>
                <w:rFonts w:ascii="Times New Roman" w:hAnsi="Times New Roman"/>
              </w:rPr>
              <w:t>Úpravy ceny</w:t>
            </w:r>
          </w:p>
        </w:tc>
        <w:tc>
          <w:tcPr>
            <w:tcW w:w="1701" w:type="dxa"/>
            <w:tcBorders>
              <w:top w:val="nil"/>
              <w:bottom w:val="single" w:sz="8" w:space="0" w:color="7F7F7F" w:themeColor="text1" w:themeTint="80"/>
              <w:right w:val="single" w:sz="8" w:space="0" w:color="7F7F7F" w:themeColor="text1" w:themeTint="80"/>
            </w:tcBorders>
            <w:vAlign w:val="center"/>
          </w:tcPr>
          <w:p w:rsidR="003B3A02" w:rsidRPr="001A6DE1" w:rsidRDefault="003B3A02" w:rsidP="00CA4733">
            <w:pPr>
              <w:spacing w:after="0" w:line="300" w:lineRule="auto"/>
              <w:jc w:val="right"/>
              <w:rPr>
                <w:rFonts w:ascii="Times New Roman" w:hAnsi="Times New Roman"/>
              </w:rPr>
            </w:pPr>
            <w:r>
              <w:rPr>
                <w:rFonts w:ascii="Times New Roman" w:hAnsi="Times New Roman"/>
              </w:rPr>
              <w:t>50</w:t>
            </w:r>
            <w:r w:rsidRPr="001A6DE1">
              <w:rPr>
                <w:rFonts w:ascii="Times New Roman" w:hAnsi="Times New Roman"/>
              </w:rPr>
              <w:t xml:space="preserve"> </w:t>
            </w:r>
          </w:p>
        </w:tc>
        <w:tc>
          <w:tcPr>
            <w:tcW w:w="1701" w:type="dxa"/>
            <w:tcBorders>
              <w:top w:val="nil"/>
              <w:left w:val="single" w:sz="8" w:space="0" w:color="7F7F7F" w:themeColor="text1" w:themeTint="80"/>
              <w:bottom w:val="single" w:sz="8" w:space="0" w:color="7F7F7F" w:themeColor="text1" w:themeTint="80"/>
              <w:right w:val="single" w:sz="8" w:space="0" w:color="7F7F7F" w:themeColor="text1" w:themeTint="80"/>
            </w:tcBorders>
            <w:vAlign w:val="center"/>
          </w:tcPr>
          <w:p w:rsidR="003B3A02" w:rsidRPr="001A6DE1" w:rsidRDefault="003B3A02" w:rsidP="00CA4733">
            <w:pPr>
              <w:spacing w:after="0" w:line="300" w:lineRule="auto"/>
              <w:jc w:val="right"/>
              <w:rPr>
                <w:rFonts w:ascii="Times New Roman" w:hAnsi="Times New Roman"/>
              </w:rPr>
            </w:pPr>
            <w:r w:rsidRPr="001A6DE1">
              <w:rPr>
                <w:rFonts w:ascii="Times New Roman" w:hAnsi="Times New Roman"/>
              </w:rPr>
              <w:t xml:space="preserve">- </w:t>
            </w:r>
          </w:p>
        </w:tc>
        <w:tc>
          <w:tcPr>
            <w:tcW w:w="1701" w:type="dxa"/>
            <w:tcBorders>
              <w:top w:val="nil"/>
              <w:left w:val="single" w:sz="8" w:space="0" w:color="7F7F7F" w:themeColor="text1" w:themeTint="80"/>
              <w:bottom w:val="single" w:sz="8" w:space="0" w:color="7F7F7F" w:themeColor="text1" w:themeTint="80"/>
            </w:tcBorders>
            <w:vAlign w:val="center"/>
          </w:tcPr>
          <w:p w:rsidR="003B3A02" w:rsidRPr="001A6DE1" w:rsidRDefault="003B3A02" w:rsidP="00CA4733">
            <w:pPr>
              <w:spacing w:after="0" w:line="300" w:lineRule="auto"/>
              <w:jc w:val="right"/>
              <w:rPr>
                <w:rFonts w:ascii="Times New Roman" w:hAnsi="Times New Roman"/>
              </w:rPr>
            </w:pPr>
            <w:r w:rsidRPr="001A6DE1">
              <w:rPr>
                <w:rFonts w:ascii="Times New Roman" w:hAnsi="Times New Roman"/>
              </w:rPr>
              <w:t xml:space="preserve">- </w:t>
            </w:r>
          </w:p>
        </w:tc>
      </w:tr>
    </w:tbl>
    <w:p w:rsidR="00046DFE" w:rsidRPr="007A49EC" w:rsidRDefault="00046DFE" w:rsidP="00C750A5">
      <w:pPr>
        <w:spacing w:before="60"/>
        <w:rPr>
          <w:sz w:val="22"/>
          <w:szCs w:val="22"/>
        </w:rPr>
      </w:pPr>
      <w:r w:rsidRPr="007A49EC">
        <w:rPr>
          <w:sz w:val="22"/>
          <w:szCs w:val="22"/>
        </w:rPr>
        <w:t xml:space="preserve">Zdroj: </w:t>
      </w:r>
      <w:r w:rsidR="0089270E">
        <w:rPr>
          <w:sz w:val="22"/>
          <w:szCs w:val="22"/>
        </w:rPr>
        <w:t>Podnikový intranet</w:t>
      </w:r>
      <w:r>
        <w:rPr>
          <w:sz w:val="22"/>
          <w:szCs w:val="22"/>
        </w:rPr>
        <w:t xml:space="preserve"> </w:t>
      </w:r>
      <w:r w:rsidRPr="007A49EC">
        <w:rPr>
          <w:sz w:val="22"/>
          <w:szCs w:val="22"/>
        </w:rPr>
        <w:t>(vlastní zpracování)</w:t>
      </w:r>
      <w:r>
        <w:rPr>
          <w:sz w:val="22"/>
          <w:szCs w:val="22"/>
        </w:rPr>
        <w:t xml:space="preserve"> </w:t>
      </w:r>
      <w:r w:rsidR="00095772">
        <w:rPr>
          <w:rStyle w:val="Znakapoznpodarou"/>
          <w:sz w:val="22"/>
          <w:szCs w:val="22"/>
        </w:rPr>
        <w:footnoteReference w:id="6"/>
      </w:r>
    </w:p>
    <w:sectPr w:rsidR="00046DFE" w:rsidRPr="007A49EC" w:rsidSect="00717891">
      <w:footerReference w:type="default" r:id="rId27"/>
      <w:pgSz w:w="11906" w:h="16838" w:code="9"/>
      <w:pgMar w:top="1418" w:right="1134" w:bottom="1418" w:left="2268" w:header="709" w:footer="12"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3A6" w:rsidRDefault="00D263A6" w:rsidP="005A66CD">
      <w:pPr>
        <w:spacing w:after="0"/>
      </w:pPr>
      <w:r>
        <w:separator/>
      </w:r>
    </w:p>
  </w:endnote>
  <w:endnote w:type="continuationSeparator" w:id="0">
    <w:p w:rsidR="00D263A6" w:rsidRDefault="00D263A6"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772" w:rsidRPr="00583FB0" w:rsidRDefault="00095772" w:rsidP="00990CF5">
    <w:pPr>
      <w:pStyle w:val="Zpat"/>
      <w:jc w:val="center"/>
      <w:rPr>
        <w:rFonts w:ascii="Verdana" w:hAnsi="Verdana"/>
        <w:b/>
        <w:bCs/>
        <w:sz w:val="20"/>
      </w:rPr>
    </w:pPr>
    <w:r w:rsidRPr="00583FB0">
      <w:rPr>
        <w:rFonts w:ascii="Verdana" w:hAnsi="Verdana"/>
        <w:b/>
        <w:bCs/>
        <w:sz w:val="20"/>
      </w:rPr>
      <w:t>Vysoká škola ekonomie a managementu</w:t>
    </w:r>
  </w:p>
  <w:p w:rsidR="00095772" w:rsidRDefault="00095772" w:rsidP="00990CF5">
    <w:pPr>
      <w:pStyle w:val="Zpat"/>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textovodkaz"/>
          <w:rFonts w:ascii="Verdana" w:hAnsi="Verdana"/>
          <w:sz w:val="20"/>
        </w:rPr>
        <w:t>www.vsem.cz</w:t>
      </w:r>
    </w:hyperlink>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Default="00095772" w:rsidP="00990CF5">
    <w:pPr>
      <w:pStyle w:val="Zpat"/>
      <w:jc w:val="center"/>
      <w:rPr>
        <w:rFonts w:ascii="Verdana" w:hAnsi="Verdana"/>
        <w:sz w:val="20"/>
      </w:rPr>
    </w:pPr>
  </w:p>
  <w:p w:rsidR="00095772" w:rsidRPr="00990CF5" w:rsidRDefault="00095772" w:rsidP="00990CF5">
    <w:pPr>
      <w:pStyle w:val="Zpat"/>
      <w:jc w:val="center"/>
      <w:rPr>
        <w:rFonts w:ascii="Verdana" w:hAnsi="Verdana"/>
        <w:sz w:val="20"/>
      </w:rPr>
    </w:pPr>
  </w:p>
  <w:p w:rsidR="00095772" w:rsidRDefault="0009577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772" w:rsidRDefault="00095772" w:rsidP="00990CF5">
    <w:pPr>
      <w:pStyle w:val="Zpat"/>
      <w:jc w:val="center"/>
      <w:rPr>
        <w:rFonts w:ascii="Verdana" w:hAnsi="Verdana"/>
        <w:b/>
        <w:bCs/>
        <w:sz w:val="20"/>
      </w:rPr>
    </w:pPr>
  </w:p>
  <w:p w:rsidR="00095772" w:rsidRDefault="00095772"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772" w:rsidRDefault="00095772" w:rsidP="00990CF5">
    <w:pPr>
      <w:pStyle w:val="Zpat"/>
      <w:jc w:val="center"/>
      <w:rPr>
        <w:rFonts w:ascii="Verdana" w:hAnsi="Verdana"/>
        <w:b/>
        <w:bCs/>
        <w:sz w:val="20"/>
      </w:rPr>
    </w:pPr>
  </w:p>
  <w:p w:rsidR="00095772" w:rsidRPr="00583FB0" w:rsidRDefault="00095772" w:rsidP="00990CF5">
    <w:pPr>
      <w:pStyle w:val="Zpat"/>
      <w:jc w:val="center"/>
      <w:rPr>
        <w:rFonts w:ascii="Verdana" w:hAnsi="Verdana"/>
        <w:b/>
        <w:bCs/>
        <w:sz w:val="20"/>
      </w:rPr>
    </w:pPr>
    <w:r w:rsidRPr="00583FB0">
      <w:rPr>
        <w:rFonts w:ascii="Verdana" w:hAnsi="Verdana"/>
        <w:b/>
        <w:bCs/>
        <w:sz w:val="20"/>
      </w:rPr>
      <w:t>Vysoká škola ekonomie a managementu</w:t>
    </w:r>
  </w:p>
  <w:p w:rsidR="00095772" w:rsidRPr="00990CF5" w:rsidRDefault="00095772" w:rsidP="00990CF5">
    <w:pPr>
      <w:pStyle w:val="Zpat"/>
      <w:jc w:val="center"/>
      <w:rPr>
        <w:rFonts w:ascii="Verdana" w:hAnsi="Verdana"/>
        <w:sz w:val="20"/>
      </w:rPr>
    </w:pPr>
    <w:r w:rsidRPr="00583FB0">
      <w:rPr>
        <w:rFonts w:ascii="Verdana" w:hAnsi="Verdana"/>
        <w:sz w:val="20"/>
      </w:rPr>
      <w:t>+420 841 133 166 / info@vsem.cz / www.vsem.cz</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772" w:rsidRPr="00DA4A47" w:rsidRDefault="00095772"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095772" w:rsidRPr="00DA4A47" w:rsidRDefault="00095772"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095772" w:rsidRDefault="00095772" w:rsidP="001706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772" w:rsidRPr="000013F1" w:rsidRDefault="00095772" w:rsidP="000013F1">
    <w:pPr>
      <w:pStyle w:val="Zpat"/>
      <w:spacing w:line="240" w:lineRule="auto"/>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772" w:rsidRPr="000013F1" w:rsidRDefault="00095772" w:rsidP="000013F1">
    <w:pPr>
      <w:pStyle w:val="Zpat"/>
      <w:tabs>
        <w:tab w:val="left" w:pos="2265"/>
        <w:tab w:val="center" w:pos="4606"/>
      </w:tabs>
      <w:jc w:val="left"/>
      <w:rPr>
        <w:b/>
        <w:bCs/>
        <w:color w:val="A6A6A6"/>
        <w:sz w:val="20"/>
      </w:rPr>
    </w:pPr>
  </w:p>
  <w:p w:rsidR="00095772" w:rsidRPr="00457343" w:rsidRDefault="009C1CDD" w:rsidP="0079411E">
    <w:pPr>
      <w:framePr w:w="826" w:h="421" w:hRule="exact" w:wrap="around" w:vAnchor="text" w:hAnchor="page" w:x="5761" w:y="19"/>
      <w:jc w:val="right"/>
      <w:rPr>
        <w:rStyle w:val="slostrnky"/>
      </w:rPr>
    </w:pPr>
    <w:r w:rsidRPr="00457343">
      <w:rPr>
        <w:rStyle w:val="slostrnky"/>
      </w:rPr>
      <w:fldChar w:fldCharType="begin"/>
    </w:r>
    <w:r w:rsidR="00095772" w:rsidRPr="00457343">
      <w:rPr>
        <w:rStyle w:val="slostrnky"/>
      </w:rPr>
      <w:instrText xml:space="preserve"> PAGE  </w:instrText>
    </w:r>
    <w:r w:rsidRPr="00457343">
      <w:rPr>
        <w:rStyle w:val="slostrnky"/>
      </w:rPr>
      <w:fldChar w:fldCharType="separate"/>
    </w:r>
    <w:r w:rsidR="006814FB">
      <w:rPr>
        <w:rStyle w:val="slostrnky"/>
        <w:noProof/>
      </w:rPr>
      <w:t>46</w:t>
    </w:r>
    <w:r w:rsidRPr="00457343">
      <w:rPr>
        <w:rStyle w:val="slostrnky"/>
      </w:rPr>
      <w:fldChar w:fldCharType="end"/>
    </w:r>
  </w:p>
  <w:p w:rsidR="00095772" w:rsidRDefault="00095772" w:rsidP="00DA4A47">
    <w:pPr>
      <w:pStyle w:val="Zpat"/>
      <w:tabs>
        <w:tab w:val="left" w:pos="2265"/>
        <w:tab w:val="center" w:pos="4606"/>
      </w:tabs>
      <w:jc w:val="left"/>
      <w:rPr>
        <w:b/>
        <w:bCs/>
        <w:color w:val="A6A6A6"/>
        <w:sz w:val="20"/>
      </w:rPr>
    </w:pPr>
  </w:p>
  <w:p w:rsidR="00095772" w:rsidRDefault="00095772" w:rsidP="0079411E">
    <w:pPr>
      <w:pStyle w:val="Zpat"/>
      <w:tabs>
        <w:tab w:val="clear" w:pos="4536"/>
        <w:tab w:val="clear" w:pos="9072"/>
        <w:tab w:val="left" w:pos="1728"/>
      </w:tabs>
      <w:jc w:val="left"/>
      <w:rPr>
        <w:b/>
        <w:bCs/>
        <w:color w:val="A6A6A6"/>
        <w:sz w:val="20"/>
      </w:rPr>
    </w:pPr>
  </w:p>
  <w:p w:rsidR="00095772" w:rsidRDefault="00095772" w:rsidP="00DA4A47">
    <w:pPr>
      <w:pStyle w:val="Zpat"/>
      <w:tabs>
        <w:tab w:val="left" w:pos="2265"/>
        <w:tab w:val="center" w:pos="4606"/>
      </w:tabs>
      <w:jc w:val="left"/>
      <w:rPr>
        <w:b/>
        <w:bCs/>
        <w:color w:val="A6A6A6"/>
        <w:sz w:val="20"/>
      </w:rPr>
    </w:pPr>
  </w:p>
  <w:p w:rsidR="00095772" w:rsidRPr="00457343" w:rsidRDefault="00095772" w:rsidP="00DA4A47">
    <w:pPr>
      <w:pStyle w:val="Zpat"/>
      <w:tabs>
        <w:tab w:val="left" w:pos="2265"/>
        <w:tab w:val="center" w:pos="4606"/>
      </w:tabs>
      <w:jc w:val="left"/>
      <w:rPr>
        <w:b/>
        <w:bCs/>
        <w:color w:val="A6A6A6"/>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772" w:rsidRPr="00E04974" w:rsidRDefault="00095772" w:rsidP="00E0497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3A6" w:rsidRDefault="00D263A6">
      <w:pPr>
        <w:spacing w:after="0"/>
        <w:rPr>
          <w:iCs/>
          <w:sz w:val="20"/>
          <w:lang w:val="en-GB"/>
        </w:rPr>
      </w:pPr>
      <w:r>
        <w:separator/>
      </w:r>
    </w:p>
  </w:footnote>
  <w:footnote w:type="continuationSeparator" w:id="0">
    <w:p w:rsidR="00D263A6" w:rsidRDefault="00D263A6" w:rsidP="005A66CD">
      <w:pPr>
        <w:spacing w:after="0"/>
      </w:pPr>
      <w:r>
        <w:continuationSeparator/>
      </w:r>
    </w:p>
  </w:footnote>
  <w:footnote w:id="1">
    <w:p w:rsidR="00095772" w:rsidRPr="005672E3" w:rsidRDefault="00095772" w:rsidP="005672E3">
      <w:pPr>
        <w:pStyle w:val="Textpoznpodarou"/>
        <w:ind w:left="142" w:hanging="142"/>
        <w:rPr>
          <w:sz w:val="16"/>
        </w:rPr>
      </w:pPr>
      <w:r>
        <w:rPr>
          <w:rStyle w:val="Znakapoznpodarou"/>
        </w:rPr>
        <w:footnoteRef/>
      </w:r>
      <w:r>
        <w:t xml:space="preserve"> </w:t>
      </w:r>
      <w:r w:rsidRPr="00835350">
        <w:rPr>
          <w:sz w:val="18"/>
        </w:rPr>
        <w:t xml:space="preserve">Termín kalkulace má svůj původ v latinském slově </w:t>
      </w:r>
      <w:r w:rsidRPr="00835350">
        <w:rPr>
          <w:sz w:val="18"/>
          <w:lang w:val="la-Latn"/>
        </w:rPr>
        <w:t>Calx</w:t>
      </w:r>
      <w:r w:rsidRPr="00835350">
        <w:rPr>
          <w:sz w:val="18"/>
        </w:rPr>
        <w:t xml:space="preserve">. Toto slovo označuje mj. i kamínek používaný pro výpočet za pomoci počítadla. </w:t>
      </w:r>
    </w:p>
  </w:footnote>
  <w:footnote w:id="2">
    <w:p w:rsidR="00095772" w:rsidRDefault="00095772" w:rsidP="006F1EF9">
      <w:pPr>
        <w:pStyle w:val="Textpoznpodarou"/>
        <w:ind w:left="142" w:hanging="142"/>
      </w:pPr>
      <w:r>
        <w:rPr>
          <w:rStyle w:val="Znakapoznpodarou"/>
        </w:rPr>
        <w:footnoteRef/>
      </w:r>
      <w:r>
        <w:t xml:space="preserve"> </w:t>
      </w:r>
      <w:r w:rsidRPr="006F1EF9">
        <w:rPr>
          <w:sz w:val="18"/>
        </w:rPr>
        <w:t xml:space="preserve">Z důvodu prezentace a analýzy </w:t>
      </w:r>
      <w:r>
        <w:rPr>
          <w:sz w:val="18"/>
        </w:rPr>
        <w:t>citlivých</w:t>
      </w:r>
      <w:r w:rsidRPr="006F1EF9">
        <w:rPr>
          <w:sz w:val="18"/>
        </w:rPr>
        <w:t xml:space="preserve"> podnikových </w:t>
      </w:r>
      <w:r>
        <w:rPr>
          <w:sz w:val="18"/>
        </w:rPr>
        <w:t>údajů</w:t>
      </w:r>
      <w:r w:rsidRPr="006F1EF9">
        <w:rPr>
          <w:sz w:val="18"/>
        </w:rPr>
        <w:t xml:space="preserve"> je organizace uváděna pod smyšleným jménem. </w:t>
      </w:r>
    </w:p>
  </w:footnote>
  <w:footnote w:id="3">
    <w:p w:rsidR="00095772" w:rsidRDefault="00095772" w:rsidP="008F5977">
      <w:pPr>
        <w:pStyle w:val="Textpoznpodarou"/>
        <w:ind w:left="170" w:hanging="170"/>
      </w:pPr>
      <w:r>
        <w:rPr>
          <w:rStyle w:val="Znakapoznpodarou"/>
        </w:rPr>
        <w:footnoteRef/>
      </w:r>
      <w:r>
        <w:t xml:space="preserve"> </w:t>
      </w:r>
      <w:r>
        <w:rPr>
          <w:sz w:val="18"/>
        </w:rPr>
        <w:t>V podniku je model propočtu a ověření sazeb za práci zpracován v tabulkovém procesoru bez zaokrouhlování mezisoučtů, zobrazený model pak pro zjednodušení prezentuje zaokrouhlené hodnoty. Celkový podíl produkční činnosti na fondu pracovní doby (48,7 %) je dán zahrnutím produkčních i neprodukčních pracovníků do výpočtu, oproti tomu v orientačním propočtu průměrné ceny za práci se kalkulovalo jen s produkčními pracovníky.</w:t>
      </w:r>
    </w:p>
  </w:footnote>
  <w:footnote w:id="4">
    <w:p w:rsidR="00095772" w:rsidRDefault="00095772" w:rsidP="005B2390">
      <w:pPr>
        <w:pStyle w:val="Textpoznpodarou"/>
      </w:pPr>
      <w:r>
        <w:rPr>
          <w:rStyle w:val="Znakapoznpodarou"/>
        </w:rPr>
        <w:footnoteRef/>
      </w:r>
      <w:r>
        <w:t xml:space="preserve"> </w:t>
      </w:r>
      <w:r w:rsidRPr="00835350">
        <w:rPr>
          <w:sz w:val="18"/>
        </w:rPr>
        <w:t xml:space="preserve">Fakturacemi se v podniku označují tržby za prodej služeb marketingového průzkumu. </w:t>
      </w:r>
    </w:p>
  </w:footnote>
  <w:footnote w:id="5">
    <w:p w:rsidR="00095772" w:rsidRDefault="00095772">
      <w:pPr>
        <w:pStyle w:val="Textpoznpodarou"/>
      </w:pPr>
      <w:r>
        <w:rPr>
          <w:rStyle w:val="Znakapoznpodarou"/>
        </w:rPr>
        <w:footnoteRef/>
      </w:r>
      <w:r>
        <w:t xml:space="preserve"> </w:t>
      </w:r>
      <w:r>
        <w:rPr>
          <w:sz w:val="18"/>
        </w:rPr>
        <w:t>Kalkulace fiktivní</w:t>
      </w:r>
      <w:r w:rsidRPr="00095772">
        <w:rPr>
          <w:sz w:val="18"/>
        </w:rPr>
        <w:t xml:space="preserve"> zakázky. </w:t>
      </w:r>
    </w:p>
  </w:footnote>
  <w:footnote w:id="6">
    <w:p w:rsidR="00095772" w:rsidRDefault="00095772">
      <w:pPr>
        <w:pStyle w:val="Textpoznpodarou"/>
      </w:pPr>
      <w:r>
        <w:rPr>
          <w:rStyle w:val="Znakapoznpodarou"/>
        </w:rPr>
        <w:footnoteRef/>
      </w:r>
      <w:r w:rsidRPr="00095772">
        <w:rPr>
          <w:sz w:val="18"/>
        </w:rPr>
        <w:t xml:space="preserve"> Srovnání propočtové a výsledné kalkulace </w:t>
      </w:r>
      <w:r>
        <w:rPr>
          <w:sz w:val="18"/>
        </w:rPr>
        <w:t>fiktivní</w:t>
      </w:r>
      <w:r w:rsidRPr="00095772">
        <w:rPr>
          <w:sz w:val="18"/>
        </w:rPr>
        <w:t xml:space="preserve"> zakázky.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772" w:rsidRPr="00583FB0" w:rsidRDefault="00095772" w:rsidP="00990CF5">
    <w:pPr>
      <w:pStyle w:val="Zhlav"/>
      <w:jc w:val="center"/>
      <w:rPr>
        <w:rFonts w:ascii="Verdana" w:hAnsi="Verdana"/>
        <w:b/>
        <w:bCs/>
        <w:szCs w:val="32"/>
      </w:rPr>
    </w:pPr>
    <w:r w:rsidRPr="00583FB0">
      <w:rPr>
        <w:rFonts w:ascii="Verdana" w:hAnsi="Verdana"/>
        <w:b/>
        <w:bCs/>
        <w:szCs w:val="32"/>
      </w:rPr>
      <w:t>VYSOKÁ ŠKOLA EKONOMIE A MANAGEMENTU</w:t>
    </w:r>
  </w:p>
  <w:p w:rsidR="00095772" w:rsidRDefault="00095772" w:rsidP="00990CF5">
    <w:pPr>
      <w:pStyle w:val="Zhlav"/>
      <w:jc w:val="center"/>
      <w:rPr>
        <w:sz w:val="20"/>
      </w:rPr>
    </w:pPr>
    <w:r w:rsidRPr="00583FB0">
      <w:rPr>
        <w:rFonts w:ascii="Verdana" w:hAnsi="Verdana"/>
        <w:sz w:val="20"/>
      </w:rPr>
      <w:t>Nárožní 2600/9a, 158 00 Praha 5</w:t>
    </w:r>
  </w:p>
  <w:p w:rsidR="00095772" w:rsidRDefault="00095772">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772" w:rsidRPr="001706BD" w:rsidRDefault="00095772"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095772" w:rsidRDefault="00095772" w:rsidP="0032047F">
    <w:pPr>
      <w:pStyle w:val="Zhlav"/>
      <w:jc w:val="center"/>
    </w:pPr>
    <w:r w:rsidRPr="001706BD">
      <w:rPr>
        <w:rFonts w:ascii="Verdana" w:hAnsi="Verdana"/>
        <w:b/>
        <w:bCs/>
        <w:color w:val="808080"/>
        <w:szCs w:val="24"/>
      </w:rPr>
      <w:t>Nárožní 2600/9a, 158 00 Praha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772" w:rsidRPr="004947CA" w:rsidRDefault="00095772" w:rsidP="000013F1">
    <w:pPr>
      <w:pStyle w:val="Zhlav"/>
      <w:spacing w:line="240"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772" w:rsidRPr="0079411E" w:rsidRDefault="00095772" w:rsidP="0079411E">
    <w:pPr>
      <w:pStyle w:val="Zhlav"/>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235E"/>
    <w:multiLevelType w:val="hybridMultilevel"/>
    <w:tmpl w:val="DBD297D8"/>
    <w:lvl w:ilvl="0" w:tplc="3DB6E168">
      <w:start w:val="11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CC57274"/>
    <w:multiLevelType w:val="hybridMultilevel"/>
    <w:tmpl w:val="90605F50"/>
    <w:lvl w:ilvl="0" w:tplc="DC1A5BB4">
      <w:start w:val="1"/>
      <w:numFmt w:val="bullet"/>
      <w:lvlText w:val="−"/>
      <w:lvlJc w:val="left"/>
      <w:pPr>
        <w:ind w:left="720" w:hanging="360"/>
      </w:pPr>
      <w:rPr>
        <w:rFonts w:ascii="Cambria" w:hAnsi="Cambria" w:cs="Times New Roman" w:hint="default"/>
        <w:b/>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73F5CD0"/>
    <w:multiLevelType w:val="hybridMultilevel"/>
    <w:tmpl w:val="9FA40372"/>
    <w:lvl w:ilvl="0" w:tplc="DC1A5BB4">
      <w:start w:val="1"/>
      <w:numFmt w:val="bullet"/>
      <w:lvlText w:val="−"/>
      <w:lvlJc w:val="left"/>
      <w:pPr>
        <w:ind w:left="720" w:hanging="360"/>
      </w:pPr>
      <w:rPr>
        <w:rFonts w:ascii="Cambria" w:hAnsi="Cambria" w:cs="Times New Roman" w:hint="default"/>
        <w:b/>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4">
    <w:nsid w:val="2E4F3696"/>
    <w:multiLevelType w:val="hybridMultilevel"/>
    <w:tmpl w:val="3BF8FF52"/>
    <w:lvl w:ilvl="0" w:tplc="6B842770">
      <w:start w:val="11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EF236BD"/>
    <w:multiLevelType w:val="hybridMultilevel"/>
    <w:tmpl w:val="61A8FF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E26057"/>
    <w:multiLevelType w:val="hybridMultilevel"/>
    <w:tmpl w:val="7E200DBA"/>
    <w:lvl w:ilvl="0" w:tplc="DC1A5BB4">
      <w:start w:val="1"/>
      <w:numFmt w:val="bullet"/>
      <w:lvlText w:val="−"/>
      <w:lvlJc w:val="left"/>
      <w:pPr>
        <w:ind w:left="720" w:hanging="360"/>
      </w:pPr>
      <w:rPr>
        <w:rFonts w:ascii="Cambria" w:hAnsi="Cambria" w:cs="Times New Roman" w:hint="default"/>
        <w:b/>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508285A"/>
    <w:multiLevelType w:val="hybridMultilevel"/>
    <w:tmpl w:val="6D7E1158"/>
    <w:lvl w:ilvl="0" w:tplc="DC1A5BB4">
      <w:start w:val="1"/>
      <w:numFmt w:val="bullet"/>
      <w:lvlText w:val="−"/>
      <w:lvlJc w:val="left"/>
      <w:pPr>
        <w:ind w:left="720" w:hanging="360"/>
      </w:pPr>
      <w:rPr>
        <w:rFonts w:ascii="Cambria" w:hAnsi="Cambria" w:cs="Times New Roman" w:hint="default"/>
        <w:b/>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9">
    <w:nsid w:val="42532639"/>
    <w:multiLevelType w:val="hybridMultilevel"/>
    <w:tmpl w:val="016C0A92"/>
    <w:lvl w:ilvl="0" w:tplc="DC1A5BB4">
      <w:start w:val="1"/>
      <w:numFmt w:val="bullet"/>
      <w:lvlText w:val="−"/>
      <w:lvlJc w:val="left"/>
      <w:pPr>
        <w:ind w:left="720" w:hanging="360"/>
      </w:pPr>
      <w:rPr>
        <w:rFonts w:ascii="Cambria" w:hAnsi="Cambria" w:cs="Times New Roman" w:hint="default"/>
        <w:b/>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7B65816"/>
    <w:multiLevelType w:val="hybridMultilevel"/>
    <w:tmpl w:val="23060B0A"/>
    <w:lvl w:ilvl="0" w:tplc="DC1A5BB4">
      <w:start w:val="1"/>
      <w:numFmt w:val="bullet"/>
      <w:lvlText w:val="−"/>
      <w:lvlJc w:val="left"/>
      <w:pPr>
        <w:ind w:left="720" w:hanging="360"/>
      </w:pPr>
      <w:rPr>
        <w:rFonts w:ascii="Cambria" w:hAnsi="Cambria" w:cs="Times New Roman" w:hint="default"/>
        <w:b/>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1455EBB"/>
    <w:multiLevelType w:val="hybridMultilevel"/>
    <w:tmpl w:val="F2BE2448"/>
    <w:lvl w:ilvl="0" w:tplc="DC1A5BB4">
      <w:start w:val="1"/>
      <w:numFmt w:val="bullet"/>
      <w:lvlText w:val="−"/>
      <w:lvlJc w:val="left"/>
      <w:pPr>
        <w:ind w:left="720" w:hanging="360"/>
      </w:pPr>
      <w:rPr>
        <w:rFonts w:ascii="Cambria" w:hAnsi="Cambria" w:cs="Times New Roman" w:hint="default"/>
        <w:b/>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40D137C"/>
    <w:multiLevelType w:val="multilevel"/>
    <w:tmpl w:val="C7105D88"/>
    <w:styleLink w:val="Styl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36C5312"/>
    <w:multiLevelType w:val="multilevel"/>
    <w:tmpl w:val="75BE90AC"/>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13"/>
  </w:num>
  <w:num w:numId="2">
    <w:abstractNumId w:val="3"/>
  </w:num>
  <w:num w:numId="3">
    <w:abstractNumId w:val="8"/>
  </w:num>
  <w:num w:numId="4">
    <w:abstractNumId w:val="14"/>
  </w:num>
  <w:num w:numId="5">
    <w:abstractNumId w:val="11"/>
  </w:num>
  <w:num w:numId="6">
    <w:abstractNumId w:val="12"/>
  </w:num>
  <w:num w:numId="7">
    <w:abstractNumId w:val="1"/>
  </w:num>
  <w:num w:numId="8">
    <w:abstractNumId w:val="7"/>
  </w:num>
  <w:num w:numId="9">
    <w:abstractNumId w:val="9"/>
  </w:num>
  <w:num w:numId="10">
    <w:abstractNumId w:val="6"/>
  </w:num>
  <w:num w:numId="11">
    <w:abstractNumId w:val="10"/>
  </w:num>
  <w:num w:numId="12">
    <w:abstractNumId w:val="2"/>
  </w:num>
  <w:num w:numId="13">
    <w:abstractNumId w:val="5"/>
  </w:num>
  <w:num w:numId="14">
    <w:abstractNumId w:val="0"/>
  </w:num>
  <w:num w:numId="15">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335874">
      <o:colormenu v:ext="edit" fillcolor="red" strokecolor="none"/>
    </o:shapedefaults>
  </w:hdrShapeDefaults>
  <w:footnotePr>
    <w:footnote w:id="-1"/>
    <w:footnote w:id="0"/>
  </w:footnotePr>
  <w:endnotePr>
    <w:endnote w:id="-1"/>
    <w:endnote w:id="0"/>
  </w:endnotePr>
  <w:compat/>
  <w:rsids>
    <w:rsidRoot w:val="00D6720A"/>
    <w:rsid w:val="000013F1"/>
    <w:rsid w:val="0000299A"/>
    <w:rsid w:val="00002A2D"/>
    <w:rsid w:val="000047F2"/>
    <w:rsid w:val="0000708B"/>
    <w:rsid w:val="000100E7"/>
    <w:rsid w:val="00010473"/>
    <w:rsid w:val="0001053B"/>
    <w:rsid w:val="00011C39"/>
    <w:rsid w:val="00011DFF"/>
    <w:rsid w:val="00011FCB"/>
    <w:rsid w:val="00012BDF"/>
    <w:rsid w:val="00013090"/>
    <w:rsid w:val="0001333B"/>
    <w:rsid w:val="0001529D"/>
    <w:rsid w:val="00015526"/>
    <w:rsid w:val="00016D98"/>
    <w:rsid w:val="0001702C"/>
    <w:rsid w:val="00017266"/>
    <w:rsid w:val="00021BBD"/>
    <w:rsid w:val="00026162"/>
    <w:rsid w:val="00027F2C"/>
    <w:rsid w:val="000317EA"/>
    <w:rsid w:val="00031B87"/>
    <w:rsid w:val="00031E0D"/>
    <w:rsid w:val="000425CB"/>
    <w:rsid w:val="00045555"/>
    <w:rsid w:val="00046DFE"/>
    <w:rsid w:val="00051061"/>
    <w:rsid w:val="000511C9"/>
    <w:rsid w:val="00051F3C"/>
    <w:rsid w:val="00054341"/>
    <w:rsid w:val="0006011E"/>
    <w:rsid w:val="00063309"/>
    <w:rsid w:val="00065351"/>
    <w:rsid w:val="00065BF1"/>
    <w:rsid w:val="00066718"/>
    <w:rsid w:val="0007254D"/>
    <w:rsid w:val="00074EA0"/>
    <w:rsid w:val="0007535B"/>
    <w:rsid w:val="0007666A"/>
    <w:rsid w:val="0007779F"/>
    <w:rsid w:val="00083C23"/>
    <w:rsid w:val="00085CC1"/>
    <w:rsid w:val="000874A1"/>
    <w:rsid w:val="00090385"/>
    <w:rsid w:val="00094572"/>
    <w:rsid w:val="00095772"/>
    <w:rsid w:val="00095D4E"/>
    <w:rsid w:val="000A062E"/>
    <w:rsid w:val="000A0EC6"/>
    <w:rsid w:val="000A36C9"/>
    <w:rsid w:val="000A4BE9"/>
    <w:rsid w:val="000B0076"/>
    <w:rsid w:val="000B13F3"/>
    <w:rsid w:val="000B1A6C"/>
    <w:rsid w:val="000B1B19"/>
    <w:rsid w:val="000B591A"/>
    <w:rsid w:val="000B5E6A"/>
    <w:rsid w:val="000B6DA7"/>
    <w:rsid w:val="000B73D2"/>
    <w:rsid w:val="000C1683"/>
    <w:rsid w:val="000C736E"/>
    <w:rsid w:val="000D2A8D"/>
    <w:rsid w:val="000D2F14"/>
    <w:rsid w:val="000D4D9D"/>
    <w:rsid w:val="000D5195"/>
    <w:rsid w:val="000D7088"/>
    <w:rsid w:val="000E062F"/>
    <w:rsid w:val="000E10F4"/>
    <w:rsid w:val="000E2279"/>
    <w:rsid w:val="000E31B8"/>
    <w:rsid w:val="000E5C0D"/>
    <w:rsid w:val="000F0CCE"/>
    <w:rsid w:val="000F36A8"/>
    <w:rsid w:val="000F3725"/>
    <w:rsid w:val="000F3A6A"/>
    <w:rsid w:val="000F4683"/>
    <w:rsid w:val="000F5774"/>
    <w:rsid w:val="000F680B"/>
    <w:rsid w:val="000F6B35"/>
    <w:rsid w:val="000F6FB1"/>
    <w:rsid w:val="001072B9"/>
    <w:rsid w:val="001104AC"/>
    <w:rsid w:val="00110D21"/>
    <w:rsid w:val="00111451"/>
    <w:rsid w:val="001129C2"/>
    <w:rsid w:val="00112F7F"/>
    <w:rsid w:val="00113F3C"/>
    <w:rsid w:val="00115505"/>
    <w:rsid w:val="001177AD"/>
    <w:rsid w:val="00117EE0"/>
    <w:rsid w:val="00120DA4"/>
    <w:rsid w:val="001219E7"/>
    <w:rsid w:val="00122A8E"/>
    <w:rsid w:val="00127145"/>
    <w:rsid w:val="00127666"/>
    <w:rsid w:val="0012770F"/>
    <w:rsid w:val="00134AB1"/>
    <w:rsid w:val="00135C6E"/>
    <w:rsid w:val="00141717"/>
    <w:rsid w:val="001430AB"/>
    <w:rsid w:val="0014355A"/>
    <w:rsid w:val="00144045"/>
    <w:rsid w:val="00144154"/>
    <w:rsid w:val="00144279"/>
    <w:rsid w:val="00145303"/>
    <w:rsid w:val="00146665"/>
    <w:rsid w:val="00147684"/>
    <w:rsid w:val="00152138"/>
    <w:rsid w:val="001565F6"/>
    <w:rsid w:val="00163D69"/>
    <w:rsid w:val="00164C2F"/>
    <w:rsid w:val="00167227"/>
    <w:rsid w:val="001706BD"/>
    <w:rsid w:val="00171D5C"/>
    <w:rsid w:val="00172B69"/>
    <w:rsid w:val="00173B01"/>
    <w:rsid w:val="001745C4"/>
    <w:rsid w:val="001772E1"/>
    <w:rsid w:val="001814B9"/>
    <w:rsid w:val="001821CE"/>
    <w:rsid w:val="0018258C"/>
    <w:rsid w:val="001865BE"/>
    <w:rsid w:val="001875C7"/>
    <w:rsid w:val="00190045"/>
    <w:rsid w:val="00191D08"/>
    <w:rsid w:val="00193F3F"/>
    <w:rsid w:val="00194089"/>
    <w:rsid w:val="001A09FE"/>
    <w:rsid w:val="001A54EF"/>
    <w:rsid w:val="001A6DE1"/>
    <w:rsid w:val="001A6DE7"/>
    <w:rsid w:val="001A759A"/>
    <w:rsid w:val="001B02BE"/>
    <w:rsid w:val="001B087D"/>
    <w:rsid w:val="001B11CB"/>
    <w:rsid w:val="001B23D1"/>
    <w:rsid w:val="001B2D1C"/>
    <w:rsid w:val="001B3607"/>
    <w:rsid w:val="001B4BD3"/>
    <w:rsid w:val="001B5776"/>
    <w:rsid w:val="001B613A"/>
    <w:rsid w:val="001B6738"/>
    <w:rsid w:val="001B6C51"/>
    <w:rsid w:val="001C00E1"/>
    <w:rsid w:val="001C04CD"/>
    <w:rsid w:val="001C22D0"/>
    <w:rsid w:val="001C3BAC"/>
    <w:rsid w:val="001D2392"/>
    <w:rsid w:val="001D262C"/>
    <w:rsid w:val="001D3CE7"/>
    <w:rsid w:val="001D3E40"/>
    <w:rsid w:val="001D7309"/>
    <w:rsid w:val="001E31EE"/>
    <w:rsid w:val="001E3564"/>
    <w:rsid w:val="001E6497"/>
    <w:rsid w:val="001F0352"/>
    <w:rsid w:val="001F0CCC"/>
    <w:rsid w:val="001F2368"/>
    <w:rsid w:val="001F3C88"/>
    <w:rsid w:val="001F417A"/>
    <w:rsid w:val="001F4F38"/>
    <w:rsid w:val="001F70F2"/>
    <w:rsid w:val="00203ACA"/>
    <w:rsid w:val="0020548C"/>
    <w:rsid w:val="00205ECD"/>
    <w:rsid w:val="00206FBA"/>
    <w:rsid w:val="002161EA"/>
    <w:rsid w:val="0021671D"/>
    <w:rsid w:val="00217F26"/>
    <w:rsid w:val="00221D81"/>
    <w:rsid w:val="00223582"/>
    <w:rsid w:val="00225D68"/>
    <w:rsid w:val="00225E28"/>
    <w:rsid w:val="00226589"/>
    <w:rsid w:val="0022723F"/>
    <w:rsid w:val="00227DDA"/>
    <w:rsid w:val="00230DD1"/>
    <w:rsid w:val="00234347"/>
    <w:rsid w:val="0023522F"/>
    <w:rsid w:val="00235A3A"/>
    <w:rsid w:val="00235BBF"/>
    <w:rsid w:val="002402AE"/>
    <w:rsid w:val="00241E41"/>
    <w:rsid w:val="00243863"/>
    <w:rsid w:val="002448E3"/>
    <w:rsid w:val="00245336"/>
    <w:rsid w:val="0024714C"/>
    <w:rsid w:val="00250D2B"/>
    <w:rsid w:val="0025128B"/>
    <w:rsid w:val="00256A24"/>
    <w:rsid w:val="0026039B"/>
    <w:rsid w:val="00260C3F"/>
    <w:rsid w:val="00260F8F"/>
    <w:rsid w:val="00263E5F"/>
    <w:rsid w:val="002656B5"/>
    <w:rsid w:val="00265875"/>
    <w:rsid w:val="0026647C"/>
    <w:rsid w:val="00266DDC"/>
    <w:rsid w:val="00267FB5"/>
    <w:rsid w:val="00271EB8"/>
    <w:rsid w:val="002756C5"/>
    <w:rsid w:val="0027607F"/>
    <w:rsid w:val="00277A24"/>
    <w:rsid w:val="00283681"/>
    <w:rsid w:val="00283BD7"/>
    <w:rsid w:val="002846C6"/>
    <w:rsid w:val="00287033"/>
    <w:rsid w:val="002877DD"/>
    <w:rsid w:val="0029421C"/>
    <w:rsid w:val="0029528E"/>
    <w:rsid w:val="002971B9"/>
    <w:rsid w:val="002A0724"/>
    <w:rsid w:val="002A07A1"/>
    <w:rsid w:val="002A1CC8"/>
    <w:rsid w:val="002A2F1A"/>
    <w:rsid w:val="002A4708"/>
    <w:rsid w:val="002A4E30"/>
    <w:rsid w:val="002A6748"/>
    <w:rsid w:val="002B09F2"/>
    <w:rsid w:val="002B1680"/>
    <w:rsid w:val="002B1AEB"/>
    <w:rsid w:val="002B205E"/>
    <w:rsid w:val="002B3677"/>
    <w:rsid w:val="002B567D"/>
    <w:rsid w:val="002B5EC8"/>
    <w:rsid w:val="002B6630"/>
    <w:rsid w:val="002C095A"/>
    <w:rsid w:val="002C0DE9"/>
    <w:rsid w:val="002C2272"/>
    <w:rsid w:val="002C38F8"/>
    <w:rsid w:val="002C45BA"/>
    <w:rsid w:val="002D263C"/>
    <w:rsid w:val="002D31D8"/>
    <w:rsid w:val="002D5E45"/>
    <w:rsid w:val="002D6A93"/>
    <w:rsid w:val="002E2A96"/>
    <w:rsid w:val="002E57DE"/>
    <w:rsid w:val="002E6C33"/>
    <w:rsid w:val="002F08E4"/>
    <w:rsid w:val="002F0B50"/>
    <w:rsid w:val="002F35DD"/>
    <w:rsid w:val="003006AA"/>
    <w:rsid w:val="00301D2A"/>
    <w:rsid w:val="00302110"/>
    <w:rsid w:val="0030233D"/>
    <w:rsid w:val="00303754"/>
    <w:rsid w:val="0030505B"/>
    <w:rsid w:val="00305529"/>
    <w:rsid w:val="003056C0"/>
    <w:rsid w:val="00305E02"/>
    <w:rsid w:val="003068D3"/>
    <w:rsid w:val="00311133"/>
    <w:rsid w:val="003114BF"/>
    <w:rsid w:val="00311EF5"/>
    <w:rsid w:val="003128EE"/>
    <w:rsid w:val="003131C7"/>
    <w:rsid w:val="00314766"/>
    <w:rsid w:val="00316065"/>
    <w:rsid w:val="0032047F"/>
    <w:rsid w:val="00320E0F"/>
    <w:rsid w:val="003219A9"/>
    <w:rsid w:val="00321C1C"/>
    <w:rsid w:val="00323BC8"/>
    <w:rsid w:val="00323CAB"/>
    <w:rsid w:val="00324639"/>
    <w:rsid w:val="0032655D"/>
    <w:rsid w:val="003269AF"/>
    <w:rsid w:val="003301CC"/>
    <w:rsid w:val="00330C62"/>
    <w:rsid w:val="003336A7"/>
    <w:rsid w:val="0033421D"/>
    <w:rsid w:val="003354B4"/>
    <w:rsid w:val="00335E76"/>
    <w:rsid w:val="0034125F"/>
    <w:rsid w:val="00346284"/>
    <w:rsid w:val="00347818"/>
    <w:rsid w:val="00352DDF"/>
    <w:rsid w:val="003571E2"/>
    <w:rsid w:val="00357888"/>
    <w:rsid w:val="003610D1"/>
    <w:rsid w:val="00361771"/>
    <w:rsid w:val="00364D3B"/>
    <w:rsid w:val="0036573D"/>
    <w:rsid w:val="0036632B"/>
    <w:rsid w:val="00367F20"/>
    <w:rsid w:val="00373620"/>
    <w:rsid w:val="003739F2"/>
    <w:rsid w:val="00373F9E"/>
    <w:rsid w:val="003748ED"/>
    <w:rsid w:val="003765D6"/>
    <w:rsid w:val="0038125E"/>
    <w:rsid w:val="0038128F"/>
    <w:rsid w:val="00384C28"/>
    <w:rsid w:val="00384D6C"/>
    <w:rsid w:val="00386D9F"/>
    <w:rsid w:val="00387D09"/>
    <w:rsid w:val="00391B64"/>
    <w:rsid w:val="00391B93"/>
    <w:rsid w:val="00393748"/>
    <w:rsid w:val="00394F70"/>
    <w:rsid w:val="003A642B"/>
    <w:rsid w:val="003A7AFC"/>
    <w:rsid w:val="003A7F67"/>
    <w:rsid w:val="003B0FC2"/>
    <w:rsid w:val="003B2343"/>
    <w:rsid w:val="003B3A02"/>
    <w:rsid w:val="003B3C54"/>
    <w:rsid w:val="003B4708"/>
    <w:rsid w:val="003B4D2E"/>
    <w:rsid w:val="003B67D4"/>
    <w:rsid w:val="003B7F36"/>
    <w:rsid w:val="003C2AF1"/>
    <w:rsid w:val="003C3509"/>
    <w:rsid w:val="003C4DD6"/>
    <w:rsid w:val="003C5CEA"/>
    <w:rsid w:val="003D1C60"/>
    <w:rsid w:val="003D2E55"/>
    <w:rsid w:val="003D3324"/>
    <w:rsid w:val="003D560F"/>
    <w:rsid w:val="003D5E78"/>
    <w:rsid w:val="003D608B"/>
    <w:rsid w:val="003D6E31"/>
    <w:rsid w:val="003E0AE2"/>
    <w:rsid w:val="003E3667"/>
    <w:rsid w:val="003F0858"/>
    <w:rsid w:val="003F2A3C"/>
    <w:rsid w:val="003F4669"/>
    <w:rsid w:val="003F5573"/>
    <w:rsid w:val="003F7772"/>
    <w:rsid w:val="00401E19"/>
    <w:rsid w:val="00403FB6"/>
    <w:rsid w:val="004062AA"/>
    <w:rsid w:val="00407C8B"/>
    <w:rsid w:val="0041199D"/>
    <w:rsid w:val="00412B9C"/>
    <w:rsid w:val="00412FEE"/>
    <w:rsid w:val="0041307F"/>
    <w:rsid w:val="0041578A"/>
    <w:rsid w:val="00415EEF"/>
    <w:rsid w:val="00416873"/>
    <w:rsid w:val="004210EE"/>
    <w:rsid w:val="0042140E"/>
    <w:rsid w:val="00423A4D"/>
    <w:rsid w:val="004244B5"/>
    <w:rsid w:val="00427CE6"/>
    <w:rsid w:val="004304B5"/>
    <w:rsid w:val="00432D89"/>
    <w:rsid w:val="00434228"/>
    <w:rsid w:val="00434E86"/>
    <w:rsid w:val="004359A1"/>
    <w:rsid w:val="004363D5"/>
    <w:rsid w:val="004373FD"/>
    <w:rsid w:val="00441E7B"/>
    <w:rsid w:val="00441EDA"/>
    <w:rsid w:val="00441EEA"/>
    <w:rsid w:val="00442E90"/>
    <w:rsid w:val="00446336"/>
    <w:rsid w:val="004465E3"/>
    <w:rsid w:val="00446643"/>
    <w:rsid w:val="00446C68"/>
    <w:rsid w:val="004471FF"/>
    <w:rsid w:val="004500AA"/>
    <w:rsid w:val="00450CD8"/>
    <w:rsid w:val="00450DD8"/>
    <w:rsid w:val="00452101"/>
    <w:rsid w:val="004522E5"/>
    <w:rsid w:val="00456474"/>
    <w:rsid w:val="00457343"/>
    <w:rsid w:val="00457B97"/>
    <w:rsid w:val="00457F16"/>
    <w:rsid w:val="00462360"/>
    <w:rsid w:val="004705B8"/>
    <w:rsid w:val="00472479"/>
    <w:rsid w:val="00472D49"/>
    <w:rsid w:val="00474A4A"/>
    <w:rsid w:val="004757EF"/>
    <w:rsid w:val="0047655B"/>
    <w:rsid w:val="0047750D"/>
    <w:rsid w:val="00480204"/>
    <w:rsid w:val="00480705"/>
    <w:rsid w:val="004839DE"/>
    <w:rsid w:val="004872F8"/>
    <w:rsid w:val="00492035"/>
    <w:rsid w:val="004947CA"/>
    <w:rsid w:val="004A55D1"/>
    <w:rsid w:val="004A78D9"/>
    <w:rsid w:val="004A78E5"/>
    <w:rsid w:val="004B44A0"/>
    <w:rsid w:val="004C1C2C"/>
    <w:rsid w:val="004C3069"/>
    <w:rsid w:val="004C3D83"/>
    <w:rsid w:val="004C5B0A"/>
    <w:rsid w:val="004C790E"/>
    <w:rsid w:val="004D32FD"/>
    <w:rsid w:val="004D56FA"/>
    <w:rsid w:val="004D6529"/>
    <w:rsid w:val="004D7E51"/>
    <w:rsid w:val="004E02A4"/>
    <w:rsid w:val="004E112B"/>
    <w:rsid w:val="004E2069"/>
    <w:rsid w:val="004E427D"/>
    <w:rsid w:val="004E4C01"/>
    <w:rsid w:val="004E6F77"/>
    <w:rsid w:val="004E7350"/>
    <w:rsid w:val="004F00E2"/>
    <w:rsid w:val="004F0E03"/>
    <w:rsid w:val="004F213D"/>
    <w:rsid w:val="004F2938"/>
    <w:rsid w:val="004F3DC9"/>
    <w:rsid w:val="004F6DD6"/>
    <w:rsid w:val="004F736F"/>
    <w:rsid w:val="004F74CC"/>
    <w:rsid w:val="00500517"/>
    <w:rsid w:val="00503C05"/>
    <w:rsid w:val="00505616"/>
    <w:rsid w:val="00506782"/>
    <w:rsid w:val="0050727E"/>
    <w:rsid w:val="005074E0"/>
    <w:rsid w:val="005079BB"/>
    <w:rsid w:val="0051298C"/>
    <w:rsid w:val="00515611"/>
    <w:rsid w:val="005217CD"/>
    <w:rsid w:val="00522B1C"/>
    <w:rsid w:val="00525CC9"/>
    <w:rsid w:val="005300FE"/>
    <w:rsid w:val="00532BCE"/>
    <w:rsid w:val="005333CD"/>
    <w:rsid w:val="00534621"/>
    <w:rsid w:val="00534D72"/>
    <w:rsid w:val="00535282"/>
    <w:rsid w:val="00535B69"/>
    <w:rsid w:val="00541D4E"/>
    <w:rsid w:val="005435F9"/>
    <w:rsid w:val="0054518A"/>
    <w:rsid w:val="00545C54"/>
    <w:rsid w:val="00547255"/>
    <w:rsid w:val="00547E07"/>
    <w:rsid w:val="0055101B"/>
    <w:rsid w:val="00554C82"/>
    <w:rsid w:val="00556E8E"/>
    <w:rsid w:val="00557FC8"/>
    <w:rsid w:val="0056002D"/>
    <w:rsid w:val="00561568"/>
    <w:rsid w:val="0056242D"/>
    <w:rsid w:val="00564734"/>
    <w:rsid w:val="005648D5"/>
    <w:rsid w:val="00564B83"/>
    <w:rsid w:val="00566184"/>
    <w:rsid w:val="0056630B"/>
    <w:rsid w:val="00567188"/>
    <w:rsid w:val="005672E3"/>
    <w:rsid w:val="00567BA3"/>
    <w:rsid w:val="00567EF3"/>
    <w:rsid w:val="00576991"/>
    <w:rsid w:val="00577241"/>
    <w:rsid w:val="00581BA1"/>
    <w:rsid w:val="005855A6"/>
    <w:rsid w:val="005947DA"/>
    <w:rsid w:val="005976CB"/>
    <w:rsid w:val="00597B01"/>
    <w:rsid w:val="005A1361"/>
    <w:rsid w:val="005A33D8"/>
    <w:rsid w:val="005A33DD"/>
    <w:rsid w:val="005A382C"/>
    <w:rsid w:val="005A66CD"/>
    <w:rsid w:val="005A6DCD"/>
    <w:rsid w:val="005A7234"/>
    <w:rsid w:val="005B2390"/>
    <w:rsid w:val="005B2EA5"/>
    <w:rsid w:val="005B3949"/>
    <w:rsid w:val="005B4629"/>
    <w:rsid w:val="005B560F"/>
    <w:rsid w:val="005B6CE4"/>
    <w:rsid w:val="005C059B"/>
    <w:rsid w:val="005C061E"/>
    <w:rsid w:val="005C124B"/>
    <w:rsid w:val="005C41F4"/>
    <w:rsid w:val="005C638F"/>
    <w:rsid w:val="005C6B76"/>
    <w:rsid w:val="005D17EC"/>
    <w:rsid w:val="005D5691"/>
    <w:rsid w:val="005D7110"/>
    <w:rsid w:val="005D786A"/>
    <w:rsid w:val="005E324C"/>
    <w:rsid w:val="005E368F"/>
    <w:rsid w:val="005F2FD9"/>
    <w:rsid w:val="005F3297"/>
    <w:rsid w:val="005F5A54"/>
    <w:rsid w:val="005F6F91"/>
    <w:rsid w:val="005F7466"/>
    <w:rsid w:val="0060018F"/>
    <w:rsid w:val="00600304"/>
    <w:rsid w:val="006009D2"/>
    <w:rsid w:val="0060106D"/>
    <w:rsid w:val="0060264F"/>
    <w:rsid w:val="0060294C"/>
    <w:rsid w:val="00603AE5"/>
    <w:rsid w:val="00611C34"/>
    <w:rsid w:val="006138DC"/>
    <w:rsid w:val="00614DFB"/>
    <w:rsid w:val="00617002"/>
    <w:rsid w:val="0061794D"/>
    <w:rsid w:val="00620DBC"/>
    <w:rsid w:val="0062134E"/>
    <w:rsid w:val="00621D7B"/>
    <w:rsid w:val="00622F49"/>
    <w:rsid w:val="00623406"/>
    <w:rsid w:val="00625438"/>
    <w:rsid w:val="00627521"/>
    <w:rsid w:val="00631314"/>
    <w:rsid w:val="0063288C"/>
    <w:rsid w:val="00634BEA"/>
    <w:rsid w:val="006352A6"/>
    <w:rsid w:val="006403D3"/>
    <w:rsid w:val="0064085E"/>
    <w:rsid w:val="00646C05"/>
    <w:rsid w:val="006473DA"/>
    <w:rsid w:val="0064741A"/>
    <w:rsid w:val="0064742B"/>
    <w:rsid w:val="006509A1"/>
    <w:rsid w:val="006509E8"/>
    <w:rsid w:val="00651291"/>
    <w:rsid w:val="00663BAA"/>
    <w:rsid w:val="0066563F"/>
    <w:rsid w:val="0066644E"/>
    <w:rsid w:val="006664CA"/>
    <w:rsid w:val="00670547"/>
    <w:rsid w:val="00671FB4"/>
    <w:rsid w:val="006730B3"/>
    <w:rsid w:val="00674498"/>
    <w:rsid w:val="00674590"/>
    <w:rsid w:val="00676E62"/>
    <w:rsid w:val="00677A1E"/>
    <w:rsid w:val="00681222"/>
    <w:rsid w:val="006814FB"/>
    <w:rsid w:val="00682E3D"/>
    <w:rsid w:val="00684E3E"/>
    <w:rsid w:val="00684FB4"/>
    <w:rsid w:val="0068577E"/>
    <w:rsid w:val="0069072C"/>
    <w:rsid w:val="00691C08"/>
    <w:rsid w:val="00691F44"/>
    <w:rsid w:val="00693E27"/>
    <w:rsid w:val="00697F7C"/>
    <w:rsid w:val="006A6666"/>
    <w:rsid w:val="006A6766"/>
    <w:rsid w:val="006B122F"/>
    <w:rsid w:val="006B1D52"/>
    <w:rsid w:val="006B27ED"/>
    <w:rsid w:val="006B31AB"/>
    <w:rsid w:val="006B682C"/>
    <w:rsid w:val="006B7CAF"/>
    <w:rsid w:val="006C0835"/>
    <w:rsid w:val="006C3060"/>
    <w:rsid w:val="006C3CAC"/>
    <w:rsid w:val="006C5D05"/>
    <w:rsid w:val="006C66E6"/>
    <w:rsid w:val="006C7104"/>
    <w:rsid w:val="006D29C5"/>
    <w:rsid w:val="006D4950"/>
    <w:rsid w:val="006D4C2E"/>
    <w:rsid w:val="006D4D6C"/>
    <w:rsid w:val="006D4D70"/>
    <w:rsid w:val="006D4FD7"/>
    <w:rsid w:val="006D59F0"/>
    <w:rsid w:val="006D7549"/>
    <w:rsid w:val="006E026D"/>
    <w:rsid w:val="006E083C"/>
    <w:rsid w:val="006E0A33"/>
    <w:rsid w:val="006E12A9"/>
    <w:rsid w:val="006E144D"/>
    <w:rsid w:val="006E229E"/>
    <w:rsid w:val="006E273B"/>
    <w:rsid w:val="006E4F07"/>
    <w:rsid w:val="006E71E7"/>
    <w:rsid w:val="006F0271"/>
    <w:rsid w:val="006F0D0A"/>
    <w:rsid w:val="006F1C24"/>
    <w:rsid w:val="006F1EF9"/>
    <w:rsid w:val="006F2314"/>
    <w:rsid w:val="006F2852"/>
    <w:rsid w:val="006F32A9"/>
    <w:rsid w:val="006F36A3"/>
    <w:rsid w:val="006F38FE"/>
    <w:rsid w:val="00701811"/>
    <w:rsid w:val="00705DF5"/>
    <w:rsid w:val="0070646C"/>
    <w:rsid w:val="007109CF"/>
    <w:rsid w:val="007115D9"/>
    <w:rsid w:val="00711ED9"/>
    <w:rsid w:val="00714E79"/>
    <w:rsid w:val="00717891"/>
    <w:rsid w:val="00720059"/>
    <w:rsid w:val="007219C7"/>
    <w:rsid w:val="007226A2"/>
    <w:rsid w:val="00723C5F"/>
    <w:rsid w:val="00726472"/>
    <w:rsid w:val="00730969"/>
    <w:rsid w:val="00730FC9"/>
    <w:rsid w:val="00732854"/>
    <w:rsid w:val="00735877"/>
    <w:rsid w:val="00735C40"/>
    <w:rsid w:val="00744888"/>
    <w:rsid w:val="00744AE2"/>
    <w:rsid w:val="00744D4A"/>
    <w:rsid w:val="00746C13"/>
    <w:rsid w:val="00750211"/>
    <w:rsid w:val="00757690"/>
    <w:rsid w:val="00764528"/>
    <w:rsid w:val="00766B41"/>
    <w:rsid w:val="00767D36"/>
    <w:rsid w:val="0077076C"/>
    <w:rsid w:val="00772D49"/>
    <w:rsid w:val="007749B4"/>
    <w:rsid w:val="00775757"/>
    <w:rsid w:val="00776308"/>
    <w:rsid w:val="00781A16"/>
    <w:rsid w:val="00782893"/>
    <w:rsid w:val="00783C6F"/>
    <w:rsid w:val="00783D36"/>
    <w:rsid w:val="00784057"/>
    <w:rsid w:val="00785566"/>
    <w:rsid w:val="0078592A"/>
    <w:rsid w:val="0078685E"/>
    <w:rsid w:val="00793AB3"/>
    <w:rsid w:val="0079411E"/>
    <w:rsid w:val="00794EF5"/>
    <w:rsid w:val="00795352"/>
    <w:rsid w:val="007A1233"/>
    <w:rsid w:val="007A24DF"/>
    <w:rsid w:val="007A2C5B"/>
    <w:rsid w:val="007A40AC"/>
    <w:rsid w:val="007A469B"/>
    <w:rsid w:val="007A49EC"/>
    <w:rsid w:val="007A5BC0"/>
    <w:rsid w:val="007A5DFB"/>
    <w:rsid w:val="007A6AB6"/>
    <w:rsid w:val="007B4C07"/>
    <w:rsid w:val="007B4D95"/>
    <w:rsid w:val="007B67F6"/>
    <w:rsid w:val="007B7F3C"/>
    <w:rsid w:val="007C05E4"/>
    <w:rsid w:val="007D313D"/>
    <w:rsid w:val="007D58CE"/>
    <w:rsid w:val="007D5C54"/>
    <w:rsid w:val="007E0607"/>
    <w:rsid w:val="007E2798"/>
    <w:rsid w:val="007E49A4"/>
    <w:rsid w:val="007E684B"/>
    <w:rsid w:val="007F1BB5"/>
    <w:rsid w:val="007F34FA"/>
    <w:rsid w:val="007F5302"/>
    <w:rsid w:val="007F784A"/>
    <w:rsid w:val="00800355"/>
    <w:rsid w:val="008020C9"/>
    <w:rsid w:val="00804245"/>
    <w:rsid w:val="008076E6"/>
    <w:rsid w:val="008131D1"/>
    <w:rsid w:val="00814FA2"/>
    <w:rsid w:val="00815A99"/>
    <w:rsid w:val="00816B1E"/>
    <w:rsid w:val="00821086"/>
    <w:rsid w:val="00827630"/>
    <w:rsid w:val="00827949"/>
    <w:rsid w:val="00830449"/>
    <w:rsid w:val="00831212"/>
    <w:rsid w:val="00832518"/>
    <w:rsid w:val="00835350"/>
    <w:rsid w:val="00837C09"/>
    <w:rsid w:val="00841AC9"/>
    <w:rsid w:val="00842DC7"/>
    <w:rsid w:val="00845737"/>
    <w:rsid w:val="00845800"/>
    <w:rsid w:val="00851E1F"/>
    <w:rsid w:val="008539F6"/>
    <w:rsid w:val="0085537F"/>
    <w:rsid w:val="00857306"/>
    <w:rsid w:val="00861E7B"/>
    <w:rsid w:val="008637AA"/>
    <w:rsid w:val="00864885"/>
    <w:rsid w:val="008651A2"/>
    <w:rsid w:val="008751F4"/>
    <w:rsid w:val="00876F72"/>
    <w:rsid w:val="00877223"/>
    <w:rsid w:val="00882868"/>
    <w:rsid w:val="0088396F"/>
    <w:rsid w:val="00887089"/>
    <w:rsid w:val="00890F78"/>
    <w:rsid w:val="00891348"/>
    <w:rsid w:val="0089270E"/>
    <w:rsid w:val="00893915"/>
    <w:rsid w:val="00894DDC"/>
    <w:rsid w:val="00895D67"/>
    <w:rsid w:val="00895ED6"/>
    <w:rsid w:val="0089714E"/>
    <w:rsid w:val="008979C0"/>
    <w:rsid w:val="008A5FFE"/>
    <w:rsid w:val="008A695F"/>
    <w:rsid w:val="008B1D22"/>
    <w:rsid w:val="008B3978"/>
    <w:rsid w:val="008B42A3"/>
    <w:rsid w:val="008C2BA1"/>
    <w:rsid w:val="008C3313"/>
    <w:rsid w:val="008C5BEC"/>
    <w:rsid w:val="008C6532"/>
    <w:rsid w:val="008D0502"/>
    <w:rsid w:val="008D396D"/>
    <w:rsid w:val="008D4E14"/>
    <w:rsid w:val="008D5370"/>
    <w:rsid w:val="008E2F65"/>
    <w:rsid w:val="008E3E84"/>
    <w:rsid w:val="008E7774"/>
    <w:rsid w:val="008F0485"/>
    <w:rsid w:val="008F1852"/>
    <w:rsid w:val="008F1CAA"/>
    <w:rsid w:val="008F27AE"/>
    <w:rsid w:val="008F2ABF"/>
    <w:rsid w:val="008F3401"/>
    <w:rsid w:val="008F3410"/>
    <w:rsid w:val="008F4E89"/>
    <w:rsid w:val="008F5977"/>
    <w:rsid w:val="008F602B"/>
    <w:rsid w:val="008F6080"/>
    <w:rsid w:val="008F6195"/>
    <w:rsid w:val="00901B3C"/>
    <w:rsid w:val="00903D62"/>
    <w:rsid w:val="009044D4"/>
    <w:rsid w:val="00904FAE"/>
    <w:rsid w:val="00904FBA"/>
    <w:rsid w:val="00905895"/>
    <w:rsid w:val="0090780F"/>
    <w:rsid w:val="00912099"/>
    <w:rsid w:val="00915A4B"/>
    <w:rsid w:val="00917A4F"/>
    <w:rsid w:val="009217F2"/>
    <w:rsid w:val="009231A8"/>
    <w:rsid w:val="00931568"/>
    <w:rsid w:val="00932D76"/>
    <w:rsid w:val="009335C1"/>
    <w:rsid w:val="00933B0C"/>
    <w:rsid w:val="00935A3F"/>
    <w:rsid w:val="009464D9"/>
    <w:rsid w:val="0095346A"/>
    <w:rsid w:val="00954280"/>
    <w:rsid w:val="00955B06"/>
    <w:rsid w:val="00955DEB"/>
    <w:rsid w:val="009565C1"/>
    <w:rsid w:val="00957A2A"/>
    <w:rsid w:val="00957AE1"/>
    <w:rsid w:val="0096006E"/>
    <w:rsid w:val="00961597"/>
    <w:rsid w:val="00963D6E"/>
    <w:rsid w:val="009646C8"/>
    <w:rsid w:val="00971509"/>
    <w:rsid w:val="0097157C"/>
    <w:rsid w:val="00971D9B"/>
    <w:rsid w:val="00974497"/>
    <w:rsid w:val="00975B7A"/>
    <w:rsid w:val="009833C7"/>
    <w:rsid w:val="00983AD6"/>
    <w:rsid w:val="00985A65"/>
    <w:rsid w:val="00990CF5"/>
    <w:rsid w:val="00994731"/>
    <w:rsid w:val="00997CB9"/>
    <w:rsid w:val="009A06AC"/>
    <w:rsid w:val="009A06FC"/>
    <w:rsid w:val="009A180E"/>
    <w:rsid w:val="009A49D0"/>
    <w:rsid w:val="009A4C97"/>
    <w:rsid w:val="009A4CD4"/>
    <w:rsid w:val="009A7036"/>
    <w:rsid w:val="009A7789"/>
    <w:rsid w:val="009A7FF3"/>
    <w:rsid w:val="009B302F"/>
    <w:rsid w:val="009C0953"/>
    <w:rsid w:val="009C12BB"/>
    <w:rsid w:val="009C1CDD"/>
    <w:rsid w:val="009C5106"/>
    <w:rsid w:val="009C5AF7"/>
    <w:rsid w:val="009D00B2"/>
    <w:rsid w:val="009D23E3"/>
    <w:rsid w:val="009D348D"/>
    <w:rsid w:val="009D43A9"/>
    <w:rsid w:val="009D50A3"/>
    <w:rsid w:val="009D5CB2"/>
    <w:rsid w:val="009E2406"/>
    <w:rsid w:val="009E73AF"/>
    <w:rsid w:val="009E75C8"/>
    <w:rsid w:val="009F1210"/>
    <w:rsid w:val="009F1F5E"/>
    <w:rsid w:val="009F4211"/>
    <w:rsid w:val="00A00BE8"/>
    <w:rsid w:val="00A028D2"/>
    <w:rsid w:val="00A0506C"/>
    <w:rsid w:val="00A073EF"/>
    <w:rsid w:val="00A074EB"/>
    <w:rsid w:val="00A101CA"/>
    <w:rsid w:val="00A1069C"/>
    <w:rsid w:val="00A126BB"/>
    <w:rsid w:val="00A12EC4"/>
    <w:rsid w:val="00A1409A"/>
    <w:rsid w:val="00A15B7D"/>
    <w:rsid w:val="00A16C33"/>
    <w:rsid w:val="00A17797"/>
    <w:rsid w:val="00A200ED"/>
    <w:rsid w:val="00A273B6"/>
    <w:rsid w:val="00A318A0"/>
    <w:rsid w:val="00A31C7B"/>
    <w:rsid w:val="00A3307F"/>
    <w:rsid w:val="00A33F9B"/>
    <w:rsid w:val="00A37869"/>
    <w:rsid w:val="00A42277"/>
    <w:rsid w:val="00A43213"/>
    <w:rsid w:val="00A46C19"/>
    <w:rsid w:val="00A46F76"/>
    <w:rsid w:val="00A47746"/>
    <w:rsid w:val="00A52B0F"/>
    <w:rsid w:val="00A53CA6"/>
    <w:rsid w:val="00A546E6"/>
    <w:rsid w:val="00A54EEA"/>
    <w:rsid w:val="00A557E2"/>
    <w:rsid w:val="00A56F2D"/>
    <w:rsid w:val="00A57EFA"/>
    <w:rsid w:val="00A60CB2"/>
    <w:rsid w:val="00A629C7"/>
    <w:rsid w:val="00A63229"/>
    <w:rsid w:val="00A64AAD"/>
    <w:rsid w:val="00A71B27"/>
    <w:rsid w:val="00A80518"/>
    <w:rsid w:val="00A810D1"/>
    <w:rsid w:val="00A82EC3"/>
    <w:rsid w:val="00A83E09"/>
    <w:rsid w:val="00A87B12"/>
    <w:rsid w:val="00A90358"/>
    <w:rsid w:val="00A93B0A"/>
    <w:rsid w:val="00A96E78"/>
    <w:rsid w:val="00A971C3"/>
    <w:rsid w:val="00AA2B00"/>
    <w:rsid w:val="00AA3689"/>
    <w:rsid w:val="00AA3F5F"/>
    <w:rsid w:val="00AA5424"/>
    <w:rsid w:val="00AA665A"/>
    <w:rsid w:val="00AA6F57"/>
    <w:rsid w:val="00AB128F"/>
    <w:rsid w:val="00AB1EAD"/>
    <w:rsid w:val="00AB294B"/>
    <w:rsid w:val="00AB3B1C"/>
    <w:rsid w:val="00AB5825"/>
    <w:rsid w:val="00AC0B33"/>
    <w:rsid w:val="00AC208D"/>
    <w:rsid w:val="00AC3890"/>
    <w:rsid w:val="00AC3AC2"/>
    <w:rsid w:val="00AC50C5"/>
    <w:rsid w:val="00AD0935"/>
    <w:rsid w:val="00AD187B"/>
    <w:rsid w:val="00AD39AE"/>
    <w:rsid w:val="00AE5014"/>
    <w:rsid w:val="00AE7558"/>
    <w:rsid w:val="00AE7938"/>
    <w:rsid w:val="00AF0D65"/>
    <w:rsid w:val="00AF24FD"/>
    <w:rsid w:val="00AF5AF5"/>
    <w:rsid w:val="00AF7149"/>
    <w:rsid w:val="00B00C00"/>
    <w:rsid w:val="00B00FDD"/>
    <w:rsid w:val="00B03976"/>
    <w:rsid w:val="00B03F15"/>
    <w:rsid w:val="00B041DF"/>
    <w:rsid w:val="00B059AB"/>
    <w:rsid w:val="00B103E5"/>
    <w:rsid w:val="00B11C72"/>
    <w:rsid w:val="00B11F03"/>
    <w:rsid w:val="00B13228"/>
    <w:rsid w:val="00B13F36"/>
    <w:rsid w:val="00B144ED"/>
    <w:rsid w:val="00B1759A"/>
    <w:rsid w:val="00B206B5"/>
    <w:rsid w:val="00B20A15"/>
    <w:rsid w:val="00B24535"/>
    <w:rsid w:val="00B26D4B"/>
    <w:rsid w:val="00B2760A"/>
    <w:rsid w:val="00B32510"/>
    <w:rsid w:val="00B3283B"/>
    <w:rsid w:val="00B33AA5"/>
    <w:rsid w:val="00B366F4"/>
    <w:rsid w:val="00B37BC7"/>
    <w:rsid w:val="00B408CB"/>
    <w:rsid w:val="00B41B2A"/>
    <w:rsid w:val="00B42D75"/>
    <w:rsid w:val="00B448F8"/>
    <w:rsid w:val="00B44B89"/>
    <w:rsid w:val="00B454AF"/>
    <w:rsid w:val="00B457F4"/>
    <w:rsid w:val="00B464FC"/>
    <w:rsid w:val="00B52940"/>
    <w:rsid w:val="00B55AB9"/>
    <w:rsid w:val="00B60B67"/>
    <w:rsid w:val="00B65A44"/>
    <w:rsid w:val="00B717AB"/>
    <w:rsid w:val="00B72334"/>
    <w:rsid w:val="00B75AAE"/>
    <w:rsid w:val="00B8042A"/>
    <w:rsid w:val="00B82B24"/>
    <w:rsid w:val="00B85ED4"/>
    <w:rsid w:val="00B87741"/>
    <w:rsid w:val="00B878B5"/>
    <w:rsid w:val="00B907EF"/>
    <w:rsid w:val="00B91D33"/>
    <w:rsid w:val="00B91FA4"/>
    <w:rsid w:val="00B91FEF"/>
    <w:rsid w:val="00B93791"/>
    <w:rsid w:val="00B9550B"/>
    <w:rsid w:val="00BA1381"/>
    <w:rsid w:val="00BA1B75"/>
    <w:rsid w:val="00BA3BEA"/>
    <w:rsid w:val="00BA4400"/>
    <w:rsid w:val="00BA5260"/>
    <w:rsid w:val="00BA52DB"/>
    <w:rsid w:val="00BA710F"/>
    <w:rsid w:val="00BB04AE"/>
    <w:rsid w:val="00BB31A7"/>
    <w:rsid w:val="00BB5120"/>
    <w:rsid w:val="00BB553C"/>
    <w:rsid w:val="00BB5D7A"/>
    <w:rsid w:val="00BB7C8D"/>
    <w:rsid w:val="00BC0066"/>
    <w:rsid w:val="00BC119B"/>
    <w:rsid w:val="00BC14F1"/>
    <w:rsid w:val="00BC2794"/>
    <w:rsid w:val="00BC4D78"/>
    <w:rsid w:val="00BC58B8"/>
    <w:rsid w:val="00BD0B9D"/>
    <w:rsid w:val="00BD1533"/>
    <w:rsid w:val="00BD2935"/>
    <w:rsid w:val="00BD39E5"/>
    <w:rsid w:val="00BD3A8F"/>
    <w:rsid w:val="00BD6C55"/>
    <w:rsid w:val="00BD7149"/>
    <w:rsid w:val="00BD7829"/>
    <w:rsid w:val="00BE04F6"/>
    <w:rsid w:val="00BE1BBF"/>
    <w:rsid w:val="00BE44C0"/>
    <w:rsid w:val="00BE60E7"/>
    <w:rsid w:val="00BE6E3B"/>
    <w:rsid w:val="00BF3332"/>
    <w:rsid w:val="00BF49AC"/>
    <w:rsid w:val="00BF64D9"/>
    <w:rsid w:val="00BF7DAC"/>
    <w:rsid w:val="00C022DB"/>
    <w:rsid w:val="00C02346"/>
    <w:rsid w:val="00C02970"/>
    <w:rsid w:val="00C0373A"/>
    <w:rsid w:val="00C05AFA"/>
    <w:rsid w:val="00C06399"/>
    <w:rsid w:val="00C06690"/>
    <w:rsid w:val="00C06822"/>
    <w:rsid w:val="00C06CC3"/>
    <w:rsid w:val="00C11F01"/>
    <w:rsid w:val="00C1342A"/>
    <w:rsid w:val="00C1409A"/>
    <w:rsid w:val="00C16804"/>
    <w:rsid w:val="00C16889"/>
    <w:rsid w:val="00C17227"/>
    <w:rsid w:val="00C2297B"/>
    <w:rsid w:val="00C24B7C"/>
    <w:rsid w:val="00C310AE"/>
    <w:rsid w:val="00C3199E"/>
    <w:rsid w:val="00C31AAD"/>
    <w:rsid w:val="00C32CFA"/>
    <w:rsid w:val="00C3348F"/>
    <w:rsid w:val="00C36506"/>
    <w:rsid w:val="00C430D0"/>
    <w:rsid w:val="00C478F9"/>
    <w:rsid w:val="00C50C4F"/>
    <w:rsid w:val="00C53D91"/>
    <w:rsid w:val="00C54DC7"/>
    <w:rsid w:val="00C5660E"/>
    <w:rsid w:val="00C6028F"/>
    <w:rsid w:val="00C609E4"/>
    <w:rsid w:val="00C60BF2"/>
    <w:rsid w:val="00C61352"/>
    <w:rsid w:val="00C62997"/>
    <w:rsid w:val="00C62B30"/>
    <w:rsid w:val="00C64424"/>
    <w:rsid w:val="00C664C2"/>
    <w:rsid w:val="00C66815"/>
    <w:rsid w:val="00C70A01"/>
    <w:rsid w:val="00C72D04"/>
    <w:rsid w:val="00C72FD5"/>
    <w:rsid w:val="00C748E4"/>
    <w:rsid w:val="00C74914"/>
    <w:rsid w:val="00C750A5"/>
    <w:rsid w:val="00C764CA"/>
    <w:rsid w:val="00C8048C"/>
    <w:rsid w:val="00C81806"/>
    <w:rsid w:val="00C81CE1"/>
    <w:rsid w:val="00C83096"/>
    <w:rsid w:val="00C83124"/>
    <w:rsid w:val="00C84448"/>
    <w:rsid w:val="00C8611A"/>
    <w:rsid w:val="00C90850"/>
    <w:rsid w:val="00C91453"/>
    <w:rsid w:val="00C91C02"/>
    <w:rsid w:val="00C91D9F"/>
    <w:rsid w:val="00C96134"/>
    <w:rsid w:val="00CA06A5"/>
    <w:rsid w:val="00CA1651"/>
    <w:rsid w:val="00CA22C8"/>
    <w:rsid w:val="00CA3005"/>
    <w:rsid w:val="00CA4733"/>
    <w:rsid w:val="00CB04DE"/>
    <w:rsid w:val="00CB0F0E"/>
    <w:rsid w:val="00CB1B52"/>
    <w:rsid w:val="00CB239F"/>
    <w:rsid w:val="00CB24B8"/>
    <w:rsid w:val="00CB45A7"/>
    <w:rsid w:val="00CB4A73"/>
    <w:rsid w:val="00CB4A8B"/>
    <w:rsid w:val="00CB4E6C"/>
    <w:rsid w:val="00CB5433"/>
    <w:rsid w:val="00CB6F5D"/>
    <w:rsid w:val="00CC1EC8"/>
    <w:rsid w:val="00CC2CD8"/>
    <w:rsid w:val="00CC52B0"/>
    <w:rsid w:val="00CC61DD"/>
    <w:rsid w:val="00CD0C15"/>
    <w:rsid w:val="00CD1467"/>
    <w:rsid w:val="00CD3E0C"/>
    <w:rsid w:val="00CD5B0E"/>
    <w:rsid w:val="00CD6A5A"/>
    <w:rsid w:val="00CD7090"/>
    <w:rsid w:val="00CE0BEF"/>
    <w:rsid w:val="00CE0DFD"/>
    <w:rsid w:val="00CE213C"/>
    <w:rsid w:val="00CE2F41"/>
    <w:rsid w:val="00CE481E"/>
    <w:rsid w:val="00CE48BD"/>
    <w:rsid w:val="00CE541B"/>
    <w:rsid w:val="00CE6387"/>
    <w:rsid w:val="00CE6924"/>
    <w:rsid w:val="00CF59C2"/>
    <w:rsid w:val="00D02EDA"/>
    <w:rsid w:val="00D0380D"/>
    <w:rsid w:val="00D0450B"/>
    <w:rsid w:val="00D04D8E"/>
    <w:rsid w:val="00D14FBA"/>
    <w:rsid w:val="00D15EF1"/>
    <w:rsid w:val="00D1794E"/>
    <w:rsid w:val="00D179FA"/>
    <w:rsid w:val="00D21983"/>
    <w:rsid w:val="00D23352"/>
    <w:rsid w:val="00D25E62"/>
    <w:rsid w:val="00D263A6"/>
    <w:rsid w:val="00D302DC"/>
    <w:rsid w:val="00D32F2C"/>
    <w:rsid w:val="00D343E8"/>
    <w:rsid w:val="00D347F8"/>
    <w:rsid w:val="00D35370"/>
    <w:rsid w:val="00D35E38"/>
    <w:rsid w:val="00D4232F"/>
    <w:rsid w:val="00D43BD6"/>
    <w:rsid w:val="00D44865"/>
    <w:rsid w:val="00D44DFC"/>
    <w:rsid w:val="00D47D7B"/>
    <w:rsid w:val="00D53B32"/>
    <w:rsid w:val="00D56D63"/>
    <w:rsid w:val="00D5735F"/>
    <w:rsid w:val="00D57FD4"/>
    <w:rsid w:val="00D6298E"/>
    <w:rsid w:val="00D63CE4"/>
    <w:rsid w:val="00D65D6F"/>
    <w:rsid w:val="00D6720A"/>
    <w:rsid w:val="00D735E2"/>
    <w:rsid w:val="00D74A39"/>
    <w:rsid w:val="00D76229"/>
    <w:rsid w:val="00D80153"/>
    <w:rsid w:val="00D80224"/>
    <w:rsid w:val="00D8245E"/>
    <w:rsid w:val="00D90FFC"/>
    <w:rsid w:val="00D91EF6"/>
    <w:rsid w:val="00D97475"/>
    <w:rsid w:val="00D977A7"/>
    <w:rsid w:val="00DA1337"/>
    <w:rsid w:val="00DA3716"/>
    <w:rsid w:val="00DA4A47"/>
    <w:rsid w:val="00DA57AC"/>
    <w:rsid w:val="00DB47B9"/>
    <w:rsid w:val="00DB563F"/>
    <w:rsid w:val="00DB7F70"/>
    <w:rsid w:val="00DC24F1"/>
    <w:rsid w:val="00DC44AC"/>
    <w:rsid w:val="00DC57FF"/>
    <w:rsid w:val="00DC602E"/>
    <w:rsid w:val="00DC632B"/>
    <w:rsid w:val="00DC6B57"/>
    <w:rsid w:val="00DD1F82"/>
    <w:rsid w:val="00DD24BC"/>
    <w:rsid w:val="00DD3293"/>
    <w:rsid w:val="00DD43DE"/>
    <w:rsid w:val="00DD524A"/>
    <w:rsid w:val="00DD5CB9"/>
    <w:rsid w:val="00DD6695"/>
    <w:rsid w:val="00DE1C0C"/>
    <w:rsid w:val="00DE31B2"/>
    <w:rsid w:val="00DE413C"/>
    <w:rsid w:val="00DF2E2B"/>
    <w:rsid w:val="00DF6C9E"/>
    <w:rsid w:val="00E0072E"/>
    <w:rsid w:val="00E01EBC"/>
    <w:rsid w:val="00E01F97"/>
    <w:rsid w:val="00E04974"/>
    <w:rsid w:val="00E06B1E"/>
    <w:rsid w:val="00E070D8"/>
    <w:rsid w:val="00E108D9"/>
    <w:rsid w:val="00E10AE5"/>
    <w:rsid w:val="00E14DCF"/>
    <w:rsid w:val="00E15FC3"/>
    <w:rsid w:val="00E2064A"/>
    <w:rsid w:val="00E2220B"/>
    <w:rsid w:val="00E25516"/>
    <w:rsid w:val="00E25985"/>
    <w:rsid w:val="00E3327C"/>
    <w:rsid w:val="00E334FF"/>
    <w:rsid w:val="00E338D0"/>
    <w:rsid w:val="00E33E72"/>
    <w:rsid w:val="00E3547A"/>
    <w:rsid w:val="00E36F48"/>
    <w:rsid w:val="00E37E1C"/>
    <w:rsid w:val="00E418F0"/>
    <w:rsid w:val="00E42B36"/>
    <w:rsid w:val="00E4395C"/>
    <w:rsid w:val="00E46633"/>
    <w:rsid w:val="00E501E1"/>
    <w:rsid w:val="00E50D8D"/>
    <w:rsid w:val="00E51DC6"/>
    <w:rsid w:val="00E543E4"/>
    <w:rsid w:val="00E54E9C"/>
    <w:rsid w:val="00E55D3D"/>
    <w:rsid w:val="00E6040E"/>
    <w:rsid w:val="00E61D97"/>
    <w:rsid w:val="00E61EF7"/>
    <w:rsid w:val="00E65616"/>
    <w:rsid w:val="00E668CA"/>
    <w:rsid w:val="00E75F48"/>
    <w:rsid w:val="00E77216"/>
    <w:rsid w:val="00E80BD8"/>
    <w:rsid w:val="00E82303"/>
    <w:rsid w:val="00E83C12"/>
    <w:rsid w:val="00E8499E"/>
    <w:rsid w:val="00E86E13"/>
    <w:rsid w:val="00E9193C"/>
    <w:rsid w:val="00E956A6"/>
    <w:rsid w:val="00EA075E"/>
    <w:rsid w:val="00EA15C9"/>
    <w:rsid w:val="00EA3BE5"/>
    <w:rsid w:val="00EA565A"/>
    <w:rsid w:val="00EA7D56"/>
    <w:rsid w:val="00EB3550"/>
    <w:rsid w:val="00EB3749"/>
    <w:rsid w:val="00EB513B"/>
    <w:rsid w:val="00EB5245"/>
    <w:rsid w:val="00EB773D"/>
    <w:rsid w:val="00EC1557"/>
    <w:rsid w:val="00EC17F3"/>
    <w:rsid w:val="00EC2953"/>
    <w:rsid w:val="00EC2DBD"/>
    <w:rsid w:val="00EC2DDA"/>
    <w:rsid w:val="00EC7F8F"/>
    <w:rsid w:val="00ED48F9"/>
    <w:rsid w:val="00ED6A72"/>
    <w:rsid w:val="00ED6E3B"/>
    <w:rsid w:val="00ED6F07"/>
    <w:rsid w:val="00ED6F3A"/>
    <w:rsid w:val="00EE0032"/>
    <w:rsid w:val="00EE410D"/>
    <w:rsid w:val="00EE4CB2"/>
    <w:rsid w:val="00EE5A19"/>
    <w:rsid w:val="00EE7065"/>
    <w:rsid w:val="00EE7290"/>
    <w:rsid w:val="00EE72AC"/>
    <w:rsid w:val="00EF402B"/>
    <w:rsid w:val="00EF42E4"/>
    <w:rsid w:val="00EF43FC"/>
    <w:rsid w:val="00EF54F6"/>
    <w:rsid w:val="00EF6EBD"/>
    <w:rsid w:val="00EF6FB9"/>
    <w:rsid w:val="00EF7086"/>
    <w:rsid w:val="00EF7AF2"/>
    <w:rsid w:val="00F002F8"/>
    <w:rsid w:val="00F00C6E"/>
    <w:rsid w:val="00F02ACA"/>
    <w:rsid w:val="00F04BE5"/>
    <w:rsid w:val="00F05477"/>
    <w:rsid w:val="00F05E84"/>
    <w:rsid w:val="00F067D5"/>
    <w:rsid w:val="00F07ACE"/>
    <w:rsid w:val="00F1026E"/>
    <w:rsid w:val="00F10A5E"/>
    <w:rsid w:val="00F162A2"/>
    <w:rsid w:val="00F1714B"/>
    <w:rsid w:val="00F177ED"/>
    <w:rsid w:val="00F27024"/>
    <w:rsid w:val="00F301D0"/>
    <w:rsid w:val="00F328B9"/>
    <w:rsid w:val="00F33C08"/>
    <w:rsid w:val="00F41D4A"/>
    <w:rsid w:val="00F43197"/>
    <w:rsid w:val="00F4518F"/>
    <w:rsid w:val="00F4772A"/>
    <w:rsid w:val="00F47B37"/>
    <w:rsid w:val="00F51557"/>
    <w:rsid w:val="00F5268A"/>
    <w:rsid w:val="00F54320"/>
    <w:rsid w:val="00F5548A"/>
    <w:rsid w:val="00F57066"/>
    <w:rsid w:val="00F57714"/>
    <w:rsid w:val="00F57F23"/>
    <w:rsid w:val="00F61245"/>
    <w:rsid w:val="00F61986"/>
    <w:rsid w:val="00F64E96"/>
    <w:rsid w:val="00F65DAE"/>
    <w:rsid w:val="00F67E3D"/>
    <w:rsid w:val="00F72854"/>
    <w:rsid w:val="00F73EEE"/>
    <w:rsid w:val="00F75357"/>
    <w:rsid w:val="00F81B4F"/>
    <w:rsid w:val="00F84524"/>
    <w:rsid w:val="00F87040"/>
    <w:rsid w:val="00F923B4"/>
    <w:rsid w:val="00F93A46"/>
    <w:rsid w:val="00F947BD"/>
    <w:rsid w:val="00F953CE"/>
    <w:rsid w:val="00F954BD"/>
    <w:rsid w:val="00FA2631"/>
    <w:rsid w:val="00FA317D"/>
    <w:rsid w:val="00FA378F"/>
    <w:rsid w:val="00FA7A27"/>
    <w:rsid w:val="00FB1822"/>
    <w:rsid w:val="00FB3748"/>
    <w:rsid w:val="00FB4225"/>
    <w:rsid w:val="00FB4814"/>
    <w:rsid w:val="00FB53BB"/>
    <w:rsid w:val="00FC3841"/>
    <w:rsid w:val="00FC3933"/>
    <w:rsid w:val="00FC4663"/>
    <w:rsid w:val="00FC4D1B"/>
    <w:rsid w:val="00FC5629"/>
    <w:rsid w:val="00FC6287"/>
    <w:rsid w:val="00FC76D4"/>
    <w:rsid w:val="00FC7876"/>
    <w:rsid w:val="00FD07FE"/>
    <w:rsid w:val="00FD0E68"/>
    <w:rsid w:val="00FD1CD7"/>
    <w:rsid w:val="00FD248B"/>
    <w:rsid w:val="00FD3BAF"/>
    <w:rsid w:val="00FE0B52"/>
    <w:rsid w:val="00FE0BB4"/>
    <w:rsid w:val="00FE155C"/>
    <w:rsid w:val="00FE1E93"/>
    <w:rsid w:val="00FE3B68"/>
    <w:rsid w:val="00FE4092"/>
    <w:rsid w:val="00FE6273"/>
    <w:rsid w:val="00FE6A58"/>
    <w:rsid w:val="00FE7A56"/>
    <w:rsid w:val="00FF1CEB"/>
    <w:rsid w:val="00FF26A4"/>
    <w:rsid w:val="00FF27C6"/>
    <w:rsid w:val="00FF2C76"/>
    <w:rsid w:val="00FF60AD"/>
    <w:rsid w:val="00FF6AD1"/>
    <w:rsid w:val="00FF70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5874">
      <o:colormenu v:ext="edit" fillcolor="red"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qFormat/>
    <w:rsid w:val="00723C5F"/>
    <w:pPr>
      <w:keepNext/>
      <w:numPr>
        <w:numId w:val="4"/>
      </w:numPr>
      <w:jc w:val="left"/>
      <w:outlineLvl w:val="0"/>
    </w:pPr>
    <w:rPr>
      <w:b/>
      <w:bCs/>
      <w:sz w:val="32"/>
      <w:szCs w:val="40"/>
    </w:rPr>
  </w:style>
  <w:style w:type="paragraph" w:styleId="Nadpis2">
    <w:name w:val="heading 2"/>
    <w:basedOn w:val="Normln"/>
    <w:next w:val="Nadpis3"/>
    <w:qFormat/>
    <w:rsid w:val="00723C5F"/>
    <w:pPr>
      <w:keepNext/>
      <w:numPr>
        <w:ilvl w:val="1"/>
        <w:numId w:val="4"/>
      </w:numPr>
      <w:jc w:val="left"/>
      <w:outlineLvl w:val="1"/>
    </w:pPr>
    <w:rPr>
      <w:b/>
      <w:bCs/>
      <w:sz w:val="28"/>
      <w:szCs w:val="24"/>
    </w:rPr>
  </w:style>
  <w:style w:type="paragraph" w:styleId="Nadpis3">
    <w:name w:val="heading 3"/>
    <w:basedOn w:val="Normln"/>
    <w:next w:val="Nadpis4"/>
    <w:qFormat/>
    <w:rsid w:val="00723C5F"/>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723C5F"/>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rsid w:val="00935A3F"/>
  </w:style>
  <w:style w:type="character" w:styleId="Znakapoznpodarou">
    <w:name w:val="footnote reference"/>
    <w:basedOn w:val="Standardnpsmoodstavce"/>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nhideWhenUsed/>
    <w:rsid w:val="00990CF5"/>
    <w:pPr>
      <w:tabs>
        <w:tab w:val="center" w:pos="4536"/>
        <w:tab w:val="right" w:pos="9072"/>
      </w:tabs>
      <w:spacing w:after="0"/>
    </w:pPr>
  </w:style>
  <w:style w:type="character" w:customStyle="1" w:styleId="ZpatChar">
    <w:name w:val="Zápatí Char"/>
    <w:basedOn w:val="Standardnpsmoodstavce"/>
    <w:link w:val="Zpat"/>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paragraph" w:styleId="Odstavecseseznamem">
    <w:name w:val="List Paragraph"/>
    <w:basedOn w:val="Normln"/>
    <w:uiPriority w:val="34"/>
    <w:qFormat/>
    <w:rsid w:val="006B1D52"/>
    <w:pPr>
      <w:spacing w:line="276" w:lineRule="auto"/>
      <w:ind w:left="720"/>
      <w:contextualSpacing/>
    </w:pPr>
  </w:style>
  <w:style w:type="paragraph" w:styleId="Rozvrendokumentu">
    <w:name w:val="Document Map"/>
    <w:basedOn w:val="Normln"/>
    <w:link w:val="RozvrendokumentuChar"/>
    <w:uiPriority w:val="99"/>
    <w:semiHidden/>
    <w:unhideWhenUsed/>
    <w:rsid w:val="00717891"/>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717891"/>
    <w:rPr>
      <w:rFonts w:ascii="Tahoma" w:hAnsi="Tahoma" w:cs="Tahoma"/>
      <w:sz w:val="16"/>
      <w:szCs w:val="16"/>
    </w:rPr>
  </w:style>
  <w:style w:type="paragraph" w:styleId="Bezmezer">
    <w:name w:val="No Spacing"/>
    <w:uiPriority w:val="1"/>
    <w:qFormat/>
    <w:rsid w:val="000B1A6C"/>
    <w:pPr>
      <w:jc w:val="both"/>
    </w:pPr>
    <w:rPr>
      <w:sz w:val="24"/>
    </w:rPr>
  </w:style>
  <w:style w:type="paragraph" w:styleId="Titulek">
    <w:name w:val="caption"/>
    <w:basedOn w:val="Normln"/>
    <w:next w:val="Normln"/>
    <w:unhideWhenUsed/>
    <w:qFormat/>
    <w:rsid w:val="000B1A6C"/>
    <w:pPr>
      <w:spacing w:after="200" w:line="240" w:lineRule="auto"/>
    </w:pPr>
    <w:rPr>
      <w:b/>
      <w:bCs/>
      <w:color w:val="4F81BD" w:themeColor="accent1"/>
      <w:sz w:val="18"/>
      <w:szCs w:val="18"/>
    </w:rPr>
  </w:style>
  <w:style w:type="numbering" w:customStyle="1" w:styleId="Styl2">
    <w:name w:val="Styl2"/>
    <w:uiPriority w:val="99"/>
    <w:rsid w:val="001B02BE"/>
    <w:pPr>
      <w:numPr>
        <w:numId w:val="6"/>
      </w:numPr>
    </w:pPr>
  </w:style>
  <w:style w:type="character" w:styleId="Sledovanodkaz">
    <w:name w:val="FollowedHyperlink"/>
    <w:basedOn w:val="Standardnpsmoodstavce"/>
    <w:uiPriority w:val="99"/>
    <w:semiHidden/>
    <w:unhideWhenUsed/>
    <w:rsid w:val="00744D4A"/>
    <w:rPr>
      <w:color w:val="800080" w:themeColor="followedHyperlink"/>
      <w:u w:val="single"/>
    </w:rPr>
  </w:style>
  <w:style w:type="character" w:customStyle="1" w:styleId="hps">
    <w:name w:val="hps"/>
    <w:basedOn w:val="Standardnpsmoodstavce"/>
    <w:rsid w:val="001F4F38"/>
  </w:style>
  <w:style w:type="character" w:styleId="Odkaznakoment">
    <w:name w:val="annotation reference"/>
    <w:basedOn w:val="Standardnpsmoodstavce"/>
    <w:uiPriority w:val="99"/>
    <w:semiHidden/>
    <w:unhideWhenUsed/>
    <w:rsid w:val="00534D72"/>
    <w:rPr>
      <w:sz w:val="16"/>
      <w:szCs w:val="16"/>
    </w:rPr>
  </w:style>
  <w:style w:type="paragraph" w:styleId="Textkomente">
    <w:name w:val="annotation text"/>
    <w:basedOn w:val="Normln"/>
    <w:link w:val="TextkomenteChar"/>
    <w:uiPriority w:val="99"/>
    <w:semiHidden/>
    <w:unhideWhenUsed/>
    <w:rsid w:val="00534D72"/>
    <w:pPr>
      <w:spacing w:line="240" w:lineRule="auto"/>
    </w:pPr>
    <w:rPr>
      <w:sz w:val="20"/>
    </w:rPr>
  </w:style>
  <w:style w:type="character" w:customStyle="1" w:styleId="TextkomenteChar">
    <w:name w:val="Text komentáře Char"/>
    <w:basedOn w:val="Standardnpsmoodstavce"/>
    <w:link w:val="Textkomente"/>
    <w:uiPriority w:val="99"/>
    <w:semiHidden/>
    <w:rsid w:val="00534D72"/>
  </w:style>
  <w:style w:type="paragraph" w:styleId="Pedmtkomente">
    <w:name w:val="annotation subject"/>
    <w:basedOn w:val="Textkomente"/>
    <w:next w:val="Textkomente"/>
    <w:link w:val="PedmtkomenteChar"/>
    <w:uiPriority w:val="99"/>
    <w:semiHidden/>
    <w:unhideWhenUsed/>
    <w:rsid w:val="00534D72"/>
    <w:rPr>
      <w:b/>
      <w:bCs/>
    </w:rPr>
  </w:style>
  <w:style w:type="character" w:customStyle="1" w:styleId="PedmtkomenteChar">
    <w:name w:val="Předmět komentáře Char"/>
    <w:basedOn w:val="TextkomenteChar"/>
    <w:link w:val="Pedmtkomente"/>
    <w:uiPriority w:val="99"/>
    <w:semiHidden/>
    <w:rsid w:val="00534D72"/>
    <w:rPr>
      <w:b/>
      <w:bCs/>
    </w:rPr>
  </w:style>
  <w:style w:type="character" w:customStyle="1" w:styleId="longtext">
    <w:name w:val="long_text"/>
    <w:basedOn w:val="Standardnpsmoodstavce"/>
    <w:rsid w:val="00B87741"/>
  </w:style>
  <w:style w:type="paragraph" w:styleId="Textvysvtlivek">
    <w:name w:val="endnote text"/>
    <w:basedOn w:val="Normln"/>
    <w:link w:val="TextvysvtlivekChar"/>
    <w:uiPriority w:val="99"/>
    <w:semiHidden/>
    <w:unhideWhenUsed/>
    <w:rsid w:val="003B4708"/>
    <w:pPr>
      <w:spacing w:after="0" w:line="240" w:lineRule="auto"/>
    </w:pPr>
    <w:rPr>
      <w:sz w:val="20"/>
    </w:rPr>
  </w:style>
  <w:style w:type="character" w:customStyle="1" w:styleId="TextvysvtlivekChar">
    <w:name w:val="Text vysvětlivek Char"/>
    <w:basedOn w:val="Standardnpsmoodstavce"/>
    <w:link w:val="Textvysvtlivek"/>
    <w:uiPriority w:val="99"/>
    <w:semiHidden/>
    <w:rsid w:val="003B4708"/>
  </w:style>
  <w:style w:type="character" w:styleId="Odkaznavysvtlivky">
    <w:name w:val="endnote reference"/>
    <w:basedOn w:val="Standardnpsmoodstavce"/>
    <w:uiPriority w:val="99"/>
    <w:semiHidden/>
    <w:unhideWhenUsed/>
    <w:rsid w:val="003B4708"/>
    <w:rPr>
      <w:vertAlign w:val="superscript"/>
    </w:rPr>
  </w:style>
  <w:style w:type="character" w:customStyle="1" w:styleId="apple-style-span">
    <w:name w:val="apple-style-span"/>
    <w:basedOn w:val="Standardnpsmoodstavce"/>
    <w:rsid w:val="000E31B8"/>
  </w:style>
  <w:style w:type="character" w:customStyle="1" w:styleId="apple-converted-space">
    <w:name w:val="apple-converted-space"/>
    <w:basedOn w:val="Standardnpsmoodstavce"/>
    <w:rsid w:val="000E31B8"/>
  </w:style>
  <w:style w:type="character" w:styleId="Siln">
    <w:name w:val="Strong"/>
    <w:basedOn w:val="Standardnpsmoodstavce"/>
    <w:uiPriority w:val="22"/>
    <w:qFormat/>
    <w:rsid w:val="000E31B8"/>
    <w:rPr>
      <w:b/>
      <w:bCs/>
    </w:rPr>
  </w:style>
  <w:style w:type="character" w:styleId="Zvraznn">
    <w:name w:val="Emphasis"/>
    <w:basedOn w:val="Standardnpsmoodstavce"/>
    <w:uiPriority w:val="20"/>
    <w:qFormat/>
    <w:rsid w:val="005A7234"/>
    <w:rPr>
      <w:i/>
      <w:iCs/>
    </w:rPr>
  </w:style>
</w:styles>
</file>

<file path=word/webSettings.xml><?xml version="1.0" encoding="utf-8"?>
<w:webSettings xmlns:r="http://schemas.openxmlformats.org/officeDocument/2006/relationships" xmlns:w="http://schemas.openxmlformats.org/wordprocessingml/2006/main">
  <w:divs>
    <w:div w:id="1903289">
      <w:bodyDiv w:val="1"/>
      <w:marLeft w:val="0"/>
      <w:marRight w:val="0"/>
      <w:marTop w:val="0"/>
      <w:marBottom w:val="0"/>
      <w:divBdr>
        <w:top w:val="none" w:sz="0" w:space="0" w:color="auto"/>
        <w:left w:val="none" w:sz="0" w:space="0" w:color="auto"/>
        <w:bottom w:val="none" w:sz="0" w:space="0" w:color="auto"/>
        <w:right w:val="none" w:sz="0" w:space="0" w:color="auto"/>
      </w:divBdr>
    </w:div>
    <w:div w:id="5405000">
      <w:bodyDiv w:val="1"/>
      <w:marLeft w:val="0"/>
      <w:marRight w:val="0"/>
      <w:marTop w:val="0"/>
      <w:marBottom w:val="0"/>
      <w:divBdr>
        <w:top w:val="none" w:sz="0" w:space="0" w:color="auto"/>
        <w:left w:val="none" w:sz="0" w:space="0" w:color="auto"/>
        <w:bottom w:val="none" w:sz="0" w:space="0" w:color="auto"/>
        <w:right w:val="none" w:sz="0" w:space="0" w:color="auto"/>
      </w:divBdr>
    </w:div>
    <w:div w:id="49693341">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319816823">
      <w:bodyDiv w:val="1"/>
      <w:marLeft w:val="0"/>
      <w:marRight w:val="0"/>
      <w:marTop w:val="0"/>
      <w:marBottom w:val="0"/>
      <w:divBdr>
        <w:top w:val="none" w:sz="0" w:space="0" w:color="auto"/>
        <w:left w:val="none" w:sz="0" w:space="0" w:color="auto"/>
        <w:bottom w:val="none" w:sz="0" w:space="0" w:color="auto"/>
        <w:right w:val="none" w:sz="0" w:space="0" w:color="auto"/>
      </w:divBdr>
    </w:div>
    <w:div w:id="387918875">
      <w:bodyDiv w:val="1"/>
      <w:marLeft w:val="0"/>
      <w:marRight w:val="0"/>
      <w:marTop w:val="0"/>
      <w:marBottom w:val="0"/>
      <w:divBdr>
        <w:top w:val="none" w:sz="0" w:space="0" w:color="auto"/>
        <w:left w:val="none" w:sz="0" w:space="0" w:color="auto"/>
        <w:bottom w:val="none" w:sz="0" w:space="0" w:color="auto"/>
        <w:right w:val="none" w:sz="0" w:space="0" w:color="auto"/>
      </w:divBdr>
    </w:div>
    <w:div w:id="425812205">
      <w:bodyDiv w:val="1"/>
      <w:marLeft w:val="0"/>
      <w:marRight w:val="0"/>
      <w:marTop w:val="0"/>
      <w:marBottom w:val="0"/>
      <w:divBdr>
        <w:top w:val="none" w:sz="0" w:space="0" w:color="auto"/>
        <w:left w:val="none" w:sz="0" w:space="0" w:color="auto"/>
        <w:bottom w:val="none" w:sz="0" w:space="0" w:color="auto"/>
        <w:right w:val="none" w:sz="0" w:space="0" w:color="auto"/>
      </w:divBdr>
      <w:divsChild>
        <w:div w:id="1398242597">
          <w:marLeft w:val="0"/>
          <w:marRight w:val="0"/>
          <w:marTop w:val="0"/>
          <w:marBottom w:val="0"/>
          <w:divBdr>
            <w:top w:val="none" w:sz="0" w:space="0" w:color="auto"/>
            <w:left w:val="none" w:sz="0" w:space="0" w:color="auto"/>
            <w:bottom w:val="none" w:sz="0" w:space="0" w:color="auto"/>
            <w:right w:val="none" w:sz="0" w:space="0" w:color="auto"/>
          </w:divBdr>
          <w:divsChild>
            <w:div w:id="758480647">
              <w:marLeft w:val="0"/>
              <w:marRight w:val="0"/>
              <w:marTop w:val="0"/>
              <w:marBottom w:val="0"/>
              <w:divBdr>
                <w:top w:val="none" w:sz="0" w:space="0" w:color="auto"/>
                <w:left w:val="none" w:sz="0" w:space="0" w:color="auto"/>
                <w:bottom w:val="none" w:sz="0" w:space="0" w:color="auto"/>
                <w:right w:val="none" w:sz="0" w:space="0" w:color="auto"/>
              </w:divBdr>
              <w:divsChild>
                <w:div w:id="1282106786">
                  <w:marLeft w:val="0"/>
                  <w:marRight w:val="0"/>
                  <w:marTop w:val="0"/>
                  <w:marBottom w:val="0"/>
                  <w:divBdr>
                    <w:top w:val="none" w:sz="0" w:space="0" w:color="auto"/>
                    <w:left w:val="none" w:sz="0" w:space="0" w:color="auto"/>
                    <w:bottom w:val="none" w:sz="0" w:space="0" w:color="auto"/>
                    <w:right w:val="none" w:sz="0" w:space="0" w:color="auto"/>
                  </w:divBdr>
                  <w:divsChild>
                    <w:div w:id="1540581081">
                      <w:marLeft w:val="0"/>
                      <w:marRight w:val="0"/>
                      <w:marTop w:val="0"/>
                      <w:marBottom w:val="0"/>
                      <w:divBdr>
                        <w:top w:val="none" w:sz="0" w:space="0" w:color="auto"/>
                        <w:left w:val="none" w:sz="0" w:space="0" w:color="auto"/>
                        <w:bottom w:val="none" w:sz="0" w:space="0" w:color="auto"/>
                        <w:right w:val="none" w:sz="0" w:space="0" w:color="auto"/>
                      </w:divBdr>
                      <w:divsChild>
                        <w:div w:id="573857881">
                          <w:marLeft w:val="0"/>
                          <w:marRight w:val="0"/>
                          <w:marTop w:val="0"/>
                          <w:marBottom w:val="0"/>
                          <w:divBdr>
                            <w:top w:val="none" w:sz="0" w:space="0" w:color="auto"/>
                            <w:left w:val="none" w:sz="0" w:space="0" w:color="auto"/>
                            <w:bottom w:val="none" w:sz="0" w:space="0" w:color="auto"/>
                            <w:right w:val="none" w:sz="0" w:space="0" w:color="auto"/>
                          </w:divBdr>
                          <w:divsChild>
                            <w:div w:id="732775563">
                              <w:marLeft w:val="0"/>
                              <w:marRight w:val="0"/>
                              <w:marTop w:val="0"/>
                              <w:marBottom w:val="0"/>
                              <w:divBdr>
                                <w:top w:val="none" w:sz="0" w:space="0" w:color="auto"/>
                                <w:left w:val="none" w:sz="0" w:space="0" w:color="auto"/>
                                <w:bottom w:val="none" w:sz="0" w:space="0" w:color="auto"/>
                                <w:right w:val="none" w:sz="0" w:space="0" w:color="auto"/>
                              </w:divBdr>
                              <w:divsChild>
                                <w:div w:id="14505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599412518">
      <w:bodyDiv w:val="1"/>
      <w:marLeft w:val="0"/>
      <w:marRight w:val="0"/>
      <w:marTop w:val="0"/>
      <w:marBottom w:val="0"/>
      <w:divBdr>
        <w:top w:val="none" w:sz="0" w:space="0" w:color="auto"/>
        <w:left w:val="none" w:sz="0" w:space="0" w:color="auto"/>
        <w:bottom w:val="none" w:sz="0" w:space="0" w:color="auto"/>
        <w:right w:val="none" w:sz="0" w:space="0" w:color="auto"/>
      </w:divBdr>
    </w:div>
    <w:div w:id="716391045">
      <w:bodyDiv w:val="1"/>
      <w:marLeft w:val="0"/>
      <w:marRight w:val="0"/>
      <w:marTop w:val="0"/>
      <w:marBottom w:val="0"/>
      <w:divBdr>
        <w:top w:val="none" w:sz="0" w:space="0" w:color="auto"/>
        <w:left w:val="none" w:sz="0" w:space="0" w:color="auto"/>
        <w:bottom w:val="none" w:sz="0" w:space="0" w:color="auto"/>
        <w:right w:val="none" w:sz="0" w:space="0" w:color="auto"/>
      </w:divBdr>
    </w:div>
    <w:div w:id="741222635">
      <w:bodyDiv w:val="1"/>
      <w:marLeft w:val="0"/>
      <w:marRight w:val="0"/>
      <w:marTop w:val="0"/>
      <w:marBottom w:val="0"/>
      <w:divBdr>
        <w:top w:val="none" w:sz="0" w:space="0" w:color="auto"/>
        <w:left w:val="none" w:sz="0" w:space="0" w:color="auto"/>
        <w:bottom w:val="none" w:sz="0" w:space="0" w:color="auto"/>
        <w:right w:val="none" w:sz="0" w:space="0" w:color="auto"/>
      </w:divBdr>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882398878">
      <w:bodyDiv w:val="1"/>
      <w:marLeft w:val="0"/>
      <w:marRight w:val="0"/>
      <w:marTop w:val="0"/>
      <w:marBottom w:val="0"/>
      <w:divBdr>
        <w:top w:val="none" w:sz="0" w:space="0" w:color="auto"/>
        <w:left w:val="none" w:sz="0" w:space="0" w:color="auto"/>
        <w:bottom w:val="none" w:sz="0" w:space="0" w:color="auto"/>
        <w:right w:val="none" w:sz="0" w:space="0" w:color="auto"/>
      </w:divBdr>
      <w:divsChild>
        <w:div w:id="2054575238">
          <w:marLeft w:val="0"/>
          <w:marRight w:val="0"/>
          <w:marTop w:val="0"/>
          <w:marBottom w:val="0"/>
          <w:divBdr>
            <w:top w:val="none" w:sz="0" w:space="0" w:color="auto"/>
            <w:left w:val="none" w:sz="0" w:space="0" w:color="auto"/>
            <w:bottom w:val="none" w:sz="0" w:space="0" w:color="auto"/>
            <w:right w:val="none" w:sz="0" w:space="0" w:color="auto"/>
          </w:divBdr>
          <w:divsChild>
            <w:div w:id="1221557070">
              <w:marLeft w:val="0"/>
              <w:marRight w:val="0"/>
              <w:marTop w:val="0"/>
              <w:marBottom w:val="0"/>
              <w:divBdr>
                <w:top w:val="none" w:sz="0" w:space="0" w:color="auto"/>
                <w:left w:val="none" w:sz="0" w:space="0" w:color="auto"/>
                <w:bottom w:val="none" w:sz="0" w:space="0" w:color="auto"/>
                <w:right w:val="none" w:sz="0" w:space="0" w:color="auto"/>
              </w:divBdr>
              <w:divsChild>
                <w:div w:id="1944992944">
                  <w:marLeft w:val="0"/>
                  <w:marRight w:val="0"/>
                  <w:marTop w:val="0"/>
                  <w:marBottom w:val="0"/>
                  <w:divBdr>
                    <w:top w:val="none" w:sz="0" w:space="0" w:color="auto"/>
                    <w:left w:val="none" w:sz="0" w:space="0" w:color="auto"/>
                    <w:bottom w:val="none" w:sz="0" w:space="0" w:color="auto"/>
                    <w:right w:val="none" w:sz="0" w:space="0" w:color="auto"/>
                  </w:divBdr>
                  <w:divsChild>
                    <w:div w:id="449519791">
                      <w:marLeft w:val="0"/>
                      <w:marRight w:val="0"/>
                      <w:marTop w:val="0"/>
                      <w:marBottom w:val="0"/>
                      <w:divBdr>
                        <w:top w:val="none" w:sz="0" w:space="0" w:color="auto"/>
                        <w:left w:val="none" w:sz="0" w:space="0" w:color="auto"/>
                        <w:bottom w:val="none" w:sz="0" w:space="0" w:color="auto"/>
                        <w:right w:val="none" w:sz="0" w:space="0" w:color="auto"/>
                      </w:divBdr>
                      <w:divsChild>
                        <w:div w:id="1135872475">
                          <w:marLeft w:val="0"/>
                          <w:marRight w:val="0"/>
                          <w:marTop w:val="0"/>
                          <w:marBottom w:val="0"/>
                          <w:divBdr>
                            <w:top w:val="none" w:sz="0" w:space="0" w:color="auto"/>
                            <w:left w:val="none" w:sz="0" w:space="0" w:color="auto"/>
                            <w:bottom w:val="none" w:sz="0" w:space="0" w:color="auto"/>
                            <w:right w:val="none" w:sz="0" w:space="0" w:color="auto"/>
                          </w:divBdr>
                          <w:divsChild>
                            <w:div w:id="595291869">
                              <w:marLeft w:val="0"/>
                              <w:marRight w:val="0"/>
                              <w:marTop w:val="0"/>
                              <w:marBottom w:val="0"/>
                              <w:divBdr>
                                <w:top w:val="none" w:sz="0" w:space="0" w:color="auto"/>
                                <w:left w:val="none" w:sz="0" w:space="0" w:color="auto"/>
                                <w:bottom w:val="none" w:sz="0" w:space="0" w:color="auto"/>
                                <w:right w:val="none" w:sz="0" w:space="0" w:color="auto"/>
                              </w:divBdr>
                              <w:divsChild>
                                <w:div w:id="154763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945138">
      <w:bodyDiv w:val="1"/>
      <w:marLeft w:val="0"/>
      <w:marRight w:val="0"/>
      <w:marTop w:val="0"/>
      <w:marBottom w:val="0"/>
      <w:divBdr>
        <w:top w:val="none" w:sz="0" w:space="0" w:color="auto"/>
        <w:left w:val="none" w:sz="0" w:space="0" w:color="auto"/>
        <w:bottom w:val="none" w:sz="0" w:space="0" w:color="auto"/>
        <w:right w:val="none" w:sz="0" w:space="0" w:color="auto"/>
      </w:divBdr>
    </w:div>
    <w:div w:id="1158302917">
      <w:bodyDiv w:val="1"/>
      <w:marLeft w:val="0"/>
      <w:marRight w:val="0"/>
      <w:marTop w:val="0"/>
      <w:marBottom w:val="0"/>
      <w:divBdr>
        <w:top w:val="none" w:sz="0" w:space="0" w:color="auto"/>
        <w:left w:val="none" w:sz="0" w:space="0" w:color="auto"/>
        <w:bottom w:val="none" w:sz="0" w:space="0" w:color="auto"/>
        <w:right w:val="none" w:sz="0" w:space="0" w:color="auto"/>
      </w:divBdr>
    </w:div>
    <w:div w:id="1301807368">
      <w:bodyDiv w:val="1"/>
      <w:marLeft w:val="0"/>
      <w:marRight w:val="0"/>
      <w:marTop w:val="0"/>
      <w:marBottom w:val="0"/>
      <w:divBdr>
        <w:top w:val="none" w:sz="0" w:space="0" w:color="auto"/>
        <w:left w:val="none" w:sz="0" w:space="0" w:color="auto"/>
        <w:bottom w:val="none" w:sz="0" w:space="0" w:color="auto"/>
        <w:right w:val="none" w:sz="0" w:space="0" w:color="auto"/>
      </w:divBdr>
      <w:divsChild>
        <w:div w:id="1340304964">
          <w:marLeft w:val="0"/>
          <w:marRight w:val="0"/>
          <w:marTop w:val="0"/>
          <w:marBottom w:val="0"/>
          <w:divBdr>
            <w:top w:val="none" w:sz="0" w:space="0" w:color="auto"/>
            <w:left w:val="none" w:sz="0" w:space="0" w:color="auto"/>
            <w:bottom w:val="none" w:sz="0" w:space="0" w:color="auto"/>
            <w:right w:val="none" w:sz="0" w:space="0" w:color="auto"/>
          </w:divBdr>
          <w:divsChild>
            <w:div w:id="1728528591">
              <w:marLeft w:val="0"/>
              <w:marRight w:val="0"/>
              <w:marTop w:val="0"/>
              <w:marBottom w:val="0"/>
              <w:divBdr>
                <w:top w:val="none" w:sz="0" w:space="0" w:color="auto"/>
                <w:left w:val="none" w:sz="0" w:space="0" w:color="auto"/>
                <w:bottom w:val="none" w:sz="0" w:space="0" w:color="auto"/>
                <w:right w:val="none" w:sz="0" w:space="0" w:color="auto"/>
              </w:divBdr>
              <w:divsChild>
                <w:div w:id="526212479">
                  <w:marLeft w:val="0"/>
                  <w:marRight w:val="0"/>
                  <w:marTop w:val="0"/>
                  <w:marBottom w:val="0"/>
                  <w:divBdr>
                    <w:top w:val="none" w:sz="0" w:space="0" w:color="auto"/>
                    <w:left w:val="none" w:sz="0" w:space="0" w:color="auto"/>
                    <w:bottom w:val="none" w:sz="0" w:space="0" w:color="auto"/>
                    <w:right w:val="none" w:sz="0" w:space="0" w:color="auto"/>
                  </w:divBdr>
                  <w:divsChild>
                    <w:div w:id="998384293">
                      <w:marLeft w:val="0"/>
                      <w:marRight w:val="0"/>
                      <w:marTop w:val="0"/>
                      <w:marBottom w:val="0"/>
                      <w:divBdr>
                        <w:top w:val="none" w:sz="0" w:space="0" w:color="auto"/>
                        <w:left w:val="none" w:sz="0" w:space="0" w:color="auto"/>
                        <w:bottom w:val="none" w:sz="0" w:space="0" w:color="auto"/>
                        <w:right w:val="none" w:sz="0" w:space="0" w:color="auto"/>
                      </w:divBdr>
                      <w:divsChild>
                        <w:div w:id="973412575">
                          <w:marLeft w:val="0"/>
                          <w:marRight w:val="0"/>
                          <w:marTop w:val="0"/>
                          <w:marBottom w:val="0"/>
                          <w:divBdr>
                            <w:top w:val="none" w:sz="0" w:space="0" w:color="auto"/>
                            <w:left w:val="none" w:sz="0" w:space="0" w:color="auto"/>
                            <w:bottom w:val="none" w:sz="0" w:space="0" w:color="auto"/>
                            <w:right w:val="none" w:sz="0" w:space="0" w:color="auto"/>
                          </w:divBdr>
                          <w:divsChild>
                            <w:div w:id="1181041987">
                              <w:marLeft w:val="0"/>
                              <w:marRight w:val="0"/>
                              <w:marTop w:val="0"/>
                              <w:marBottom w:val="0"/>
                              <w:divBdr>
                                <w:top w:val="none" w:sz="0" w:space="0" w:color="auto"/>
                                <w:left w:val="none" w:sz="0" w:space="0" w:color="auto"/>
                                <w:bottom w:val="none" w:sz="0" w:space="0" w:color="auto"/>
                                <w:right w:val="none" w:sz="0" w:space="0" w:color="auto"/>
                              </w:divBdr>
                              <w:divsChild>
                                <w:div w:id="193516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2458518">
      <w:bodyDiv w:val="1"/>
      <w:marLeft w:val="0"/>
      <w:marRight w:val="0"/>
      <w:marTop w:val="0"/>
      <w:marBottom w:val="0"/>
      <w:divBdr>
        <w:top w:val="none" w:sz="0" w:space="0" w:color="auto"/>
        <w:left w:val="none" w:sz="0" w:space="0" w:color="auto"/>
        <w:bottom w:val="none" w:sz="0" w:space="0" w:color="auto"/>
        <w:right w:val="none" w:sz="0" w:space="0" w:color="auto"/>
      </w:divBdr>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522741878">
      <w:bodyDiv w:val="1"/>
      <w:marLeft w:val="0"/>
      <w:marRight w:val="0"/>
      <w:marTop w:val="0"/>
      <w:marBottom w:val="0"/>
      <w:divBdr>
        <w:top w:val="none" w:sz="0" w:space="0" w:color="auto"/>
        <w:left w:val="none" w:sz="0" w:space="0" w:color="auto"/>
        <w:bottom w:val="none" w:sz="0" w:space="0" w:color="auto"/>
        <w:right w:val="none" w:sz="0" w:space="0" w:color="auto"/>
      </w:divBdr>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69682148">
      <w:bodyDiv w:val="1"/>
      <w:marLeft w:val="0"/>
      <w:marRight w:val="0"/>
      <w:marTop w:val="0"/>
      <w:marBottom w:val="0"/>
      <w:divBdr>
        <w:top w:val="none" w:sz="0" w:space="0" w:color="auto"/>
        <w:left w:val="none" w:sz="0" w:space="0" w:color="auto"/>
        <w:bottom w:val="none" w:sz="0" w:space="0" w:color="auto"/>
        <w:right w:val="none" w:sz="0" w:space="0" w:color="auto"/>
      </w:divBdr>
      <w:divsChild>
        <w:div w:id="1776054856">
          <w:marLeft w:val="0"/>
          <w:marRight w:val="0"/>
          <w:marTop w:val="0"/>
          <w:marBottom w:val="0"/>
          <w:divBdr>
            <w:top w:val="none" w:sz="0" w:space="0" w:color="auto"/>
            <w:left w:val="none" w:sz="0" w:space="0" w:color="auto"/>
            <w:bottom w:val="none" w:sz="0" w:space="0" w:color="auto"/>
            <w:right w:val="none" w:sz="0" w:space="0" w:color="auto"/>
          </w:divBdr>
          <w:divsChild>
            <w:div w:id="6260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880579991">
      <w:bodyDiv w:val="1"/>
      <w:marLeft w:val="0"/>
      <w:marRight w:val="0"/>
      <w:marTop w:val="0"/>
      <w:marBottom w:val="0"/>
      <w:divBdr>
        <w:top w:val="none" w:sz="0" w:space="0" w:color="auto"/>
        <w:left w:val="none" w:sz="0" w:space="0" w:color="auto"/>
        <w:bottom w:val="none" w:sz="0" w:space="0" w:color="auto"/>
        <w:right w:val="none" w:sz="0" w:space="0" w:color="auto"/>
      </w:divBdr>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2702986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082360379">
      <w:bodyDiv w:val="1"/>
      <w:marLeft w:val="0"/>
      <w:marRight w:val="0"/>
      <w:marTop w:val="0"/>
      <w:marBottom w:val="0"/>
      <w:divBdr>
        <w:top w:val="none" w:sz="0" w:space="0" w:color="auto"/>
        <w:left w:val="none" w:sz="0" w:space="0" w:color="auto"/>
        <w:bottom w:val="none" w:sz="0" w:space="0" w:color="auto"/>
        <w:right w:val="none" w:sz="0" w:space="0" w:color="auto"/>
      </w:divBdr>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 w:id="214573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diagramQuickStyle" Target="diagrams/quickStyle1.xml"/><Relationship Id="rId26" Type="http://schemas.openxmlformats.org/officeDocument/2006/relationships/image" Target="media/image1.wmf"/><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diagramLayout" Target="diagrams/layout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diagramData" Target="diagrams/data1.xml"/><Relationship Id="rId20" Type="http://schemas.openxmlformats.org/officeDocument/2006/relationships/diagramData" Target="diagrams/data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diagramColors" Target="diagrams/colors2.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diagramQuickStyle" Target="diagrams/quickStyle2.xml"/><Relationship Id="rId27" Type="http://schemas.openxmlformats.org/officeDocument/2006/relationships/footer" Target="footer7.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301F12-5F35-48B8-A318-C5DCB271C7BE}" type="doc">
      <dgm:prSet loTypeId="urn:microsoft.com/office/officeart/2005/8/layout/hierarchy2" loCatId="hierarchy" qsTypeId="urn:microsoft.com/office/officeart/2005/8/quickstyle/simple1" qsCatId="simple" csTypeId="urn:microsoft.com/office/officeart/2005/8/colors/accent0_2" csCatId="mainScheme" phldr="1"/>
      <dgm:spPr/>
      <dgm:t>
        <a:bodyPr/>
        <a:lstStyle/>
        <a:p>
          <a:endParaRPr lang="cs-CZ"/>
        </a:p>
      </dgm:t>
    </dgm:pt>
    <dgm:pt modelId="{3581F7AC-D06D-456C-9F61-4C2A141E35F5}">
      <dgm:prSet phldrT="[Text]" custT="1"/>
      <dgm:spPr>
        <a:ln w="19050">
          <a:solidFill>
            <a:schemeClr val="bg1">
              <a:lumMod val="65000"/>
            </a:schemeClr>
          </a:solidFill>
        </a:ln>
      </dgm:spPr>
      <dgm:t>
        <a:bodyPr/>
        <a:lstStyle/>
        <a:p>
          <a:r>
            <a:rPr lang="cs-CZ" sz="1100" baseline="0">
              <a:solidFill>
                <a:sysClr val="windowText" lastClr="000000"/>
              </a:solidFill>
              <a:latin typeface="Times New Roman" pitchFamily="18" charset="0"/>
              <a:cs typeface="Times New Roman" pitchFamily="18" charset="0"/>
            </a:rPr>
            <a:t>Kalkulace</a:t>
          </a:r>
        </a:p>
      </dgm:t>
    </dgm:pt>
    <dgm:pt modelId="{4A26538D-4211-4D7B-8D89-E7AAC1B3BE46}" type="parTrans" cxnId="{1293EB65-7406-4538-BE68-DB7D88EF2B1C}">
      <dgm:prSet/>
      <dgm:spPr/>
      <dgm:t>
        <a:bodyPr/>
        <a:lstStyle/>
        <a:p>
          <a:endParaRPr lang="cs-CZ"/>
        </a:p>
      </dgm:t>
    </dgm:pt>
    <dgm:pt modelId="{DD7BD330-8376-447D-9C9A-57B6C44B1D83}" type="sibTrans" cxnId="{1293EB65-7406-4538-BE68-DB7D88EF2B1C}">
      <dgm:prSet/>
      <dgm:spPr/>
      <dgm:t>
        <a:bodyPr/>
        <a:lstStyle/>
        <a:p>
          <a:endParaRPr lang="cs-CZ"/>
        </a:p>
      </dgm:t>
    </dgm:pt>
    <dgm:pt modelId="{CB483917-5924-4230-952A-5D2FE82482B5}">
      <dgm:prSet phldrT="[Text]" custT="1"/>
      <dgm:spPr>
        <a:ln w="19050">
          <a:solidFill>
            <a:schemeClr val="bg1">
              <a:lumMod val="65000"/>
            </a:schemeClr>
          </a:solidFill>
        </a:ln>
      </dgm:spPr>
      <dgm:t>
        <a:bodyPr/>
        <a:lstStyle/>
        <a:p>
          <a:r>
            <a:rPr lang="cs-CZ" sz="1100" baseline="0">
              <a:solidFill>
                <a:sysClr val="windowText" lastClr="000000"/>
              </a:solidFill>
              <a:latin typeface="Times New Roman" pitchFamily="18" charset="0"/>
              <a:cs typeface="Times New Roman" pitchFamily="18" charset="0"/>
            </a:rPr>
            <a:t>předběžná</a:t>
          </a:r>
        </a:p>
      </dgm:t>
    </dgm:pt>
    <dgm:pt modelId="{13AFA7F6-EC4E-49FF-BBCD-2EFB0F7ACB49}" type="parTrans" cxnId="{1B69391D-FE0C-42B8-8676-52B85B0C9B53}">
      <dgm:prSet custT="1"/>
      <dgm:spPr>
        <a:ln w="19050">
          <a:solidFill>
            <a:schemeClr val="bg1">
              <a:lumMod val="65000"/>
            </a:schemeClr>
          </a:solidFill>
        </a:ln>
      </dgm:spPr>
      <dgm:t>
        <a:bodyPr/>
        <a:lstStyle/>
        <a:p>
          <a:endParaRPr lang="cs-CZ" sz="1100" baseline="0">
            <a:solidFill>
              <a:sysClr val="windowText" lastClr="000000"/>
            </a:solidFill>
            <a:latin typeface="Times New Roman" pitchFamily="18" charset="0"/>
            <a:cs typeface="Times New Roman" pitchFamily="18" charset="0"/>
          </a:endParaRPr>
        </a:p>
      </dgm:t>
    </dgm:pt>
    <dgm:pt modelId="{F61C73A4-7439-40A8-A1AC-B4A557FC67AE}" type="sibTrans" cxnId="{1B69391D-FE0C-42B8-8676-52B85B0C9B53}">
      <dgm:prSet/>
      <dgm:spPr/>
      <dgm:t>
        <a:bodyPr/>
        <a:lstStyle/>
        <a:p>
          <a:endParaRPr lang="cs-CZ"/>
        </a:p>
      </dgm:t>
    </dgm:pt>
    <dgm:pt modelId="{A13CB5E8-9522-4BF3-B684-C645A3523573}">
      <dgm:prSet phldrT="[Text]" custT="1"/>
      <dgm:spPr>
        <a:ln w="19050">
          <a:solidFill>
            <a:schemeClr val="bg1">
              <a:lumMod val="65000"/>
            </a:schemeClr>
          </a:solidFill>
        </a:ln>
      </dgm:spPr>
      <dgm:t>
        <a:bodyPr/>
        <a:lstStyle/>
        <a:p>
          <a:r>
            <a:rPr lang="cs-CZ" sz="1100" baseline="0">
              <a:solidFill>
                <a:sysClr val="windowText" lastClr="000000"/>
              </a:solidFill>
              <a:latin typeface="Times New Roman" pitchFamily="18" charset="0"/>
              <a:cs typeface="Times New Roman" pitchFamily="18" charset="0"/>
            </a:rPr>
            <a:t>propočtová</a:t>
          </a:r>
        </a:p>
      </dgm:t>
    </dgm:pt>
    <dgm:pt modelId="{F4F7001B-F4B5-4295-8152-3A02EF8AC36C}" type="parTrans" cxnId="{88138577-72F1-4EC3-B822-9FDD576EF1C4}">
      <dgm:prSet custT="1"/>
      <dgm:spPr>
        <a:ln w="19050">
          <a:solidFill>
            <a:schemeClr val="bg1">
              <a:lumMod val="65000"/>
            </a:schemeClr>
          </a:solidFill>
        </a:ln>
      </dgm:spPr>
      <dgm:t>
        <a:bodyPr/>
        <a:lstStyle/>
        <a:p>
          <a:endParaRPr lang="cs-CZ" sz="1100" baseline="0">
            <a:solidFill>
              <a:sysClr val="windowText" lastClr="000000"/>
            </a:solidFill>
            <a:latin typeface="Times New Roman" pitchFamily="18" charset="0"/>
            <a:cs typeface="Times New Roman" pitchFamily="18" charset="0"/>
          </a:endParaRPr>
        </a:p>
      </dgm:t>
    </dgm:pt>
    <dgm:pt modelId="{50CEA6A1-2B24-47CE-8800-6CC2F79B2F3F}" type="sibTrans" cxnId="{88138577-72F1-4EC3-B822-9FDD576EF1C4}">
      <dgm:prSet/>
      <dgm:spPr/>
      <dgm:t>
        <a:bodyPr/>
        <a:lstStyle/>
        <a:p>
          <a:endParaRPr lang="cs-CZ"/>
        </a:p>
      </dgm:t>
    </dgm:pt>
    <dgm:pt modelId="{E971228E-F8A2-4EBE-A13B-1E1CF65F4F75}">
      <dgm:prSet phldrT="[Text]" custT="1"/>
      <dgm:spPr>
        <a:ln w="19050">
          <a:solidFill>
            <a:schemeClr val="bg1">
              <a:lumMod val="65000"/>
            </a:schemeClr>
          </a:solidFill>
        </a:ln>
      </dgm:spPr>
      <dgm:t>
        <a:bodyPr/>
        <a:lstStyle/>
        <a:p>
          <a:r>
            <a:rPr lang="cs-CZ" sz="1100" baseline="0">
              <a:solidFill>
                <a:sysClr val="windowText" lastClr="000000"/>
              </a:solidFill>
              <a:latin typeface="Times New Roman" pitchFamily="18" charset="0"/>
              <a:cs typeface="Times New Roman" pitchFamily="18" charset="0"/>
            </a:rPr>
            <a:t>plánová</a:t>
          </a:r>
        </a:p>
      </dgm:t>
    </dgm:pt>
    <dgm:pt modelId="{06D19E46-F991-406E-BA40-B462C4161E8E}" type="parTrans" cxnId="{E4C7E49A-8178-447C-9BA7-2F2484DF3941}">
      <dgm:prSet custT="1"/>
      <dgm:spPr>
        <a:ln w="19050">
          <a:solidFill>
            <a:schemeClr val="bg1">
              <a:lumMod val="65000"/>
            </a:schemeClr>
          </a:solidFill>
        </a:ln>
      </dgm:spPr>
      <dgm:t>
        <a:bodyPr/>
        <a:lstStyle/>
        <a:p>
          <a:endParaRPr lang="cs-CZ" sz="1100" baseline="0">
            <a:solidFill>
              <a:sysClr val="windowText" lastClr="000000"/>
            </a:solidFill>
            <a:latin typeface="Times New Roman" pitchFamily="18" charset="0"/>
            <a:cs typeface="Times New Roman" pitchFamily="18" charset="0"/>
          </a:endParaRPr>
        </a:p>
      </dgm:t>
    </dgm:pt>
    <dgm:pt modelId="{C583EDB2-723D-492F-A74C-CF530320E376}" type="sibTrans" cxnId="{E4C7E49A-8178-447C-9BA7-2F2484DF3941}">
      <dgm:prSet/>
      <dgm:spPr/>
      <dgm:t>
        <a:bodyPr/>
        <a:lstStyle/>
        <a:p>
          <a:endParaRPr lang="cs-CZ"/>
        </a:p>
      </dgm:t>
    </dgm:pt>
    <dgm:pt modelId="{3E45D698-C4C4-4C52-BAAA-B5D118DC30BC}">
      <dgm:prSet phldrT="[Text]" custT="1"/>
      <dgm:spPr>
        <a:ln w="19050">
          <a:solidFill>
            <a:schemeClr val="bg1">
              <a:lumMod val="65000"/>
            </a:schemeClr>
          </a:solidFill>
        </a:ln>
      </dgm:spPr>
      <dgm:t>
        <a:bodyPr/>
        <a:lstStyle/>
        <a:p>
          <a:r>
            <a:rPr lang="cs-CZ" sz="1100" baseline="0">
              <a:solidFill>
                <a:sysClr val="windowText" lastClr="000000"/>
              </a:solidFill>
              <a:latin typeface="Times New Roman" pitchFamily="18" charset="0"/>
              <a:cs typeface="Times New Roman" pitchFamily="18" charset="0"/>
            </a:rPr>
            <a:t>ceny</a:t>
          </a:r>
        </a:p>
      </dgm:t>
    </dgm:pt>
    <dgm:pt modelId="{007FD69F-9A6E-4506-90CC-FEC8D6886E77}" type="parTrans" cxnId="{C53FCA98-0375-4FFA-8E1C-DBC02F5110C7}">
      <dgm:prSet custT="1"/>
      <dgm:spPr>
        <a:ln w="19050">
          <a:solidFill>
            <a:schemeClr val="bg1">
              <a:lumMod val="65000"/>
            </a:schemeClr>
          </a:solidFill>
        </a:ln>
      </dgm:spPr>
      <dgm:t>
        <a:bodyPr/>
        <a:lstStyle/>
        <a:p>
          <a:endParaRPr lang="cs-CZ" sz="1100" baseline="0">
            <a:solidFill>
              <a:sysClr val="windowText" lastClr="000000"/>
            </a:solidFill>
            <a:latin typeface="Times New Roman" pitchFamily="18" charset="0"/>
            <a:cs typeface="Times New Roman" pitchFamily="18" charset="0"/>
          </a:endParaRPr>
        </a:p>
      </dgm:t>
    </dgm:pt>
    <dgm:pt modelId="{5CD170FD-F695-4A38-AAEA-398D00ECFB37}" type="sibTrans" cxnId="{C53FCA98-0375-4FFA-8E1C-DBC02F5110C7}">
      <dgm:prSet/>
      <dgm:spPr/>
      <dgm:t>
        <a:bodyPr/>
        <a:lstStyle/>
        <a:p>
          <a:endParaRPr lang="cs-CZ"/>
        </a:p>
      </dgm:t>
    </dgm:pt>
    <dgm:pt modelId="{AD8BE863-B125-4E7D-B893-9134D357B12F}">
      <dgm:prSet custT="1"/>
      <dgm:spPr>
        <a:ln w="19050">
          <a:solidFill>
            <a:schemeClr val="bg1">
              <a:lumMod val="65000"/>
            </a:schemeClr>
          </a:solidFill>
        </a:ln>
      </dgm:spPr>
      <dgm:t>
        <a:bodyPr/>
        <a:lstStyle/>
        <a:p>
          <a:r>
            <a:rPr lang="cs-CZ" sz="1100" baseline="0">
              <a:solidFill>
                <a:sysClr val="windowText" lastClr="000000"/>
              </a:solidFill>
              <a:latin typeface="Times New Roman" pitchFamily="18" charset="0"/>
              <a:cs typeface="Times New Roman" pitchFamily="18" charset="0"/>
            </a:rPr>
            <a:t>operativní</a:t>
          </a:r>
        </a:p>
      </dgm:t>
    </dgm:pt>
    <dgm:pt modelId="{F9052C1D-636A-46DF-AA77-176CD3FEC268}" type="parTrans" cxnId="{BD29FEFC-CECC-4A33-92DC-E3B9AB4151A0}">
      <dgm:prSet custT="1"/>
      <dgm:spPr>
        <a:ln w="19050">
          <a:solidFill>
            <a:schemeClr val="bg1">
              <a:lumMod val="65000"/>
            </a:schemeClr>
          </a:solidFill>
        </a:ln>
      </dgm:spPr>
      <dgm:t>
        <a:bodyPr/>
        <a:lstStyle/>
        <a:p>
          <a:endParaRPr lang="cs-CZ" sz="1100" baseline="0">
            <a:solidFill>
              <a:sysClr val="windowText" lastClr="000000"/>
            </a:solidFill>
            <a:latin typeface="Times New Roman" pitchFamily="18" charset="0"/>
            <a:cs typeface="Times New Roman" pitchFamily="18" charset="0"/>
          </a:endParaRPr>
        </a:p>
      </dgm:t>
    </dgm:pt>
    <dgm:pt modelId="{034F1B14-62C9-48F2-9BC6-FD4C8F41BD45}" type="sibTrans" cxnId="{BD29FEFC-CECC-4A33-92DC-E3B9AB4151A0}">
      <dgm:prSet/>
      <dgm:spPr/>
      <dgm:t>
        <a:bodyPr/>
        <a:lstStyle/>
        <a:p>
          <a:endParaRPr lang="cs-CZ"/>
        </a:p>
      </dgm:t>
    </dgm:pt>
    <dgm:pt modelId="{E0102309-703A-49E4-BDDA-F77E701EB645}">
      <dgm:prSet custT="1"/>
      <dgm:spPr>
        <a:ln w="19050">
          <a:solidFill>
            <a:schemeClr val="bg1">
              <a:lumMod val="65000"/>
            </a:schemeClr>
          </a:solidFill>
        </a:ln>
      </dgm:spPr>
      <dgm:t>
        <a:bodyPr/>
        <a:lstStyle/>
        <a:p>
          <a:r>
            <a:rPr lang="cs-CZ" sz="1100" baseline="0">
              <a:solidFill>
                <a:sysClr val="windowText" lastClr="000000"/>
              </a:solidFill>
              <a:latin typeface="Times New Roman" pitchFamily="18" charset="0"/>
              <a:cs typeface="Times New Roman" pitchFamily="18" charset="0"/>
            </a:rPr>
            <a:t>nákladů</a:t>
          </a:r>
        </a:p>
      </dgm:t>
    </dgm:pt>
    <dgm:pt modelId="{388E27C8-A903-4B74-AA57-895EBED70481}" type="parTrans" cxnId="{C0DE5F25-A952-4FF8-8DF0-52B504876823}">
      <dgm:prSet custT="1"/>
      <dgm:spPr>
        <a:ln w="19050">
          <a:solidFill>
            <a:schemeClr val="bg1">
              <a:lumMod val="65000"/>
            </a:schemeClr>
          </a:solidFill>
        </a:ln>
      </dgm:spPr>
      <dgm:t>
        <a:bodyPr/>
        <a:lstStyle/>
        <a:p>
          <a:endParaRPr lang="cs-CZ" sz="1100" baseline="0">
            <a:solidFill>
              <a:sysClr val="windowText" lastClr="000000"/>
            </a:solidFill>
            <a:latin typeface="Times New Roman" pitchFamily="18" charset="0"/>
            <a:cs typeface="Times New Roman" pitchFamily="18" charset="0"/>
          </a:endParaRPr>
        </a:p>
      </dgm:t>
    </dgm:pt>
    <dgm:pt modelId="{BD68F876-B6C2-430C-AF0C-9C945E9788EC}" type="sibTrans" cxnId="{C0DE5F25-A952-4FF8-8DF0-52B504876823}">
      <dgm:prSet/>
      <dgm:spPr/>
      <dgm:t>
        <a:bodyPr/>
        <a:lstStyle/>
        <a:p>
          <a:endParaRPr lang="cs-CZ"/>
        </a:p>
      </dgm:t>
    </dgm:pt>
    <dgm:pt modelId="{1A1F1104-9830-4A9A-A9E6-466FDF30B490}">
      <dgm:prSet custT="1"/>
      <dgm:spPr>
        <a:ln w="19050">
          <a:solidFill>
            <a:schemeClr val="bg1">
              <a:lumMod val="65000"/>
            </a:schemeClr>
          </a:solidFill>
        </a:ln>
      </dgm:spPr>
      <dgm:t>
        <a:bodyPr/>
        <a:lstStyle/>
        <a:p>
          <a:r>
            <a:rPr lang="cs-CZ" sz="1100" baseline="0">
              <a:solidFill>
                <a:sysClr val="windowText" lastClr="000000"/>
              </a:solidFill>
              <a:latin typeface="Times New Roman" pitchFamily="18" charset="0"/>
              <a:cs typeface="Times New Roman" pitchFamily="18" charset="0"/>
            </a:rPr>
            <a:t>výsledná</a:t>
          </a:r>
        </a:p>
      </dgm:t>
    </dgm:pt>
    <dgm:pt modelId="{5DF8B76F-A5E3-45FB-AB12-B44E4E9AA461}" type="parTrans" cxnId="{ABBE49D7-D35A-4044-B61C-0B1F4862F210}">
      <dgm:prSet custT="1"/>
      <dgm:spPr>
        <a:ln w="19050">
          <a:solidFill>
            <a:schemeClr val="bg1">
              <a:lumMod val="65000"/>
            </a:schemeClr>
          </a:solidFill>
        </a:ln>
      </dgm:spPr>
      <dgm:t>
        <a:bodyPr/>
        <a:lstStyle/>
        <a:p>
          <a:endParaRPr lang="cs-CZ" sz="1100" baseline="0">
            <a:solidFill>
              <a:sysClr val="windowText" lastClr="000000"/>
            </a:solidFill>
            <a:latin typeface="Times New Roman" pitchFamily="18" charset="0"/>
            <a:cs typeface="Times New Roman" pitchFamily="18" charset="0"/>
          </a:endParaRPr>
        </a:p>
      </dgm:t>
    </dgm:pt>
    <dgm:pt modelId="{99688E0E-84D2-44E9-9139-1EAF2B1A59BA}" type="sibTrans" cxnId="{ABBE49D7-D35A-4044-B61C-0B1F4862F210}">
      <dgm:prSet/>
      <dgm:spPr/>
      <dgm:t>
        <a:bodyPr/>
        <a:lstStyle/>
        <a:p>
          <a:endParaRPr lang="cs-CZ"/>
        </a:p>
      </dgm:t>
    </dgm:pt>
    <dgm:pt modelId="{67D0AD78-29DD-41D8-B403-6FE55E699759}" type="pres">
      <dgm:prSet presAssocID="{F5301F12-5F35-48B8-A318-C5DCB271C7BE}" presName="diagram" presStyleCnt="0">
        <dgm:presLayoutVars>
          <dgm:chPref val="1"/>
          <dgm:dir/>
          <dgm:animOne val="branch"/>
          <dgm:animLvl val="lvl"/>
          <dgm:resizeHandles val="exact"/>
        </dgm:presLayoutVars>
      </dgm:prSet>
      <dgm:spPr/>
      <dgm:t>
        <a:bodyPr/>
        <a:lstStyle/>
        <a:p>
          <a:endParaRPr lang="cs-CZ"/>
        </a:p>
      </dgm:t>
    </dgm:pt>
    <dgm:pt modelId="{AFA53C81-7E07-4601-BB12-8906C7760095}" type="pres">
      <dgm:prSet presAssocID="{3581F7AC-D06D-456C-9F61-4C2A141E35F5}" presName="root1" presStyleCnt="0"/>
      <dgm:spPr/>
    </dgm:pt>
    <dgm:pt modelId="{29943A1A-32E4-450A-BD9A-8A5BCB09C2C0}" type="pres">
      <dgm:prSet presAssocID="{3581F7AC-D06D-456C-9F61-4C2A141E35F5}" presName="LevelOneTextNode" presStyleLbl="node0" presStyleIdx="0" presStyleCnt="1">
        <dgm:presLayoutVars>
          <dgm:chPref val="3"/>
        </dgm:presLayoutVars>
      </dgm:prSet>
      <dgm:spPr>
        <a:prstGeom prst="roundRect">
          <a:avLst/>
        </a:prstGeom>
      </dgm:spPr>
      <dgm:t>
        <a:bodyPr/>
        <a:lstStyle/>
        <a:p>
          <a:endParaRPr lang="cs-CZ"/>
        </a:p>
      </dgm:t>
    </dgm:pt>
    <dgm:pt modelId="{E66F7B81-DA5E-4830-8D58-F81D15B61FC3}" type="pres">
      <dgm:prSet presAssocID="{3581F7AC-D06D-456C-9F61-4C2A141E35F5}" presName="level2hierChild" presStyleCnt="0"/>
      <dgm:spPr/>
    </dgm:pt>
    <dgm:pt modelId="{F34EC705-B23E-445A-ADB5-59E714AEA94C}" type="pres">
      <dgm:prSet presAssocID="{388E27C8-A903-4B74-AA57-895EBED70481}" presName="conn2-1" presStyleLbl="parChTrans1D2" presStyleIdx="0" presStyleCnt="2"/>
      <dgm:spPr/>
      <dgm:t>
        <a:bodyPr/>
        <a:lstStyle/>
        <a:p>
          <a:endParaRPr lang="cs-CZ"/>
        </a:p>
      </dgm:t>
    </dgm:pt>
    <dgm:pt modelId="{9BC54564-16B0-4872-9E34-73F912F4F042}" type="pres">
      <dgm:prSet presAssocID="{388E27C8-A903-4B74-AA57-895EBED70481}" presName="connTx" presStyleLbl="parChTrans1D2" presStyleIdx="0" presStyleCnt="2"/>
      <dgm:spPr/>
      <dgm:t>
        <a:bodyPr/>
        <a:lstStyle/>
        <a:p>
          <a:endParaRPr lang="cs-CZ"/>
        </a:p>
      </dgm:t>
    </dgm:pt>
    <dgm:pt modelId="{8E579669-F004-4DB8-AF5F-771453923A37}" type="pres">
      <dgm:prSet presAssocID="{E0102309-703A-49E4-BDDA-F77E701EB645}" presName="root2" presStyleCnt="0"/>
      <dgm:spPr/>
    </dgm:pt>
    <dgm:pt modelId="{9D253E27-22CA-4880-BD3A-28CB7B601AB4}" type="pres">
      <dgm:prSet presAssocID="{E0102309-703A-49E4-BDDA-F77E701EB645}" presName="LevelTwoTextNode" presStyleLbl="node2" presStyleIdx="0" presStyleCnt="2">
        <dgm:presLayoutVars>
          <dgm:chPref val="3"/>
        </dgm:presLayoutVars>
      </dgm:prSet>
      <dgm:spPr>
        <a:prstGeom prst="roundRect">
          <a:avLst/>
        </a:prstGeom>
      </dgm:spPr>
      <dgm:t>
        <a:bodyPr/>
        <a:lstStyle/>
        <a:p>
          <a:endParaRPr lang="cs-CZ"/>
        </a:p>
      </dgm:t>
    </dgm:pt>
    <dgm:pt modelId="{A9A2BAEB-E9D1-4BC2-91A1-0D47E56D62C9}" type="pres">
      <dgm:prSet presAssocID="{E0102309-703A-49E4-BDDA-F77E701EB645}" presName="level3hierChild" presStyleCnt="0"/>
      <dgm:spPr/>
    </dgm:pt>
    <dgm:pt modelId="{BA8CA35B-C007-4F95-A497-2E416B39426D}" type="pres">
      <dgm:prSet presAssocID="{13AFA7F6-EC4E-49FF-BBCD-2EFB0F7ACB49}" presName="conn2-1" presStyleLbl="parChTrans1D3" presStyleIdx="0" presStyleCnt="2"/>
      <dgm:spPr/>
      <dgm:t>
        <a:bodyPr/>
        <a:lstStyle/>
        <a:p>
          <a:endParaRPr lang="cs-CZ"/>
        </a:p>
      </dgm:t>
    </dgm:pt>
    <dgm:pt modelId="{298A8ADE-858E-494F-8FF5-38817B8C1E3C}" type="pres">
      <dgm:prSet presAssocID="{13AFA7F6-EC4E-49FF-BBCD-2EFB0F7ACB49}" presName="connTx" presStyleLbl="parChTrans1D3" presStyleIdx="0" presStyleCnt="2"/>
      <dgm:spPr/>
      <dgm:t>
        <a:bodyPr/>
        <a:lstStyle/>
        <a:p>
          <a:endParaRPr lang="cs-CZ"/>
        </a:p>
      </dgm:t>
    </dgm:pt>
    <dgm:pt modelId="{F40BD02C-924D-46ED-983D-CFB116CE96E4}" type="pres">
      <dgm:prSet presAssocID="{CB483917-5924-4230-952A-5D2FE82482B5}" presName="root2" presStyleCnt="0"/>
      <dgm:spPr/>
    </dgm:pt>
    <dgm:pt modelId="{4A29D130-7A0E-4650-82E8-0C1CC4B4A6C8}" type="pres">
      <dgm:prSet presAssocID="{CB483917-5924-4230-952A-5D2FE82482B5}" presName="LevelTwoTextNode" presStyleLbl="node3" presStyleIdx="0" presStyleCnt="2">
        <dgm:presLayoutVars>
          <dgm:chPref val="3"/>
        </dgm:presLayoutVars>
      </dgm:prSet>
      <dgm:spPr>
        <a:prstGeom prst="roundRect">
          <a:avLst/>
        </a:prstGeom>
      </dgm:spPr>
      <dgm:t>
        <a:bodyPr/>
        <a:lstStyle/>
        <a:p>
          <a:endParaRPr lang="cs-CZ"/>
        </a:p>
      </dgm:t>
    </dgm:pt>
    <dgm:pt modelId="{887AED7E-E641-4341-82DA-65B746A41E03}" type="pres">
      <dgm:prSet presAssocID="{CB483917-5924-4230-952A-5D2FE82482B5}" presName="level3hierChild" presStyleCnt="0"/>
      <dgm:spPr/>
    </dgm:pt>
    <dgm:pt modelId="{47215C21-E403-44D1-B681-43FDA51EBAB9}" type="pres">
      <dgm:prSet presAssocID="{F4F7001B-F4B5-4295-8152-3A02EF8AC36C}" presName="conn2-1" presStyleLbl="parChTrans1D4" presStyleIdx="0" presStyleCnt="3"/>
      <dgm:spPr/>
      <dgm:t>
        <a:bodyPr/>
        <a:lstStyle/>
        <a:p>
          <a:endParaRPr lang="cs-CZ"/>
        </a:p>
      </dgm:t>
    </dgm:pt>
    <dgm:pt modelId="{1598590C-FC9C-43A3-8AFE-AF6E9D717612}" type="pres">
      <dgm:prSet presAssocID="{F4F7001B-F4B5-4295-8152-3A02EF8AC36C}" presName="connTx" presStyleLbl="parChTrans1D4" presStyleIdx="0" presStyleCnt="3"/>
      <dgm:spPr/>
      <dgm:t>
        <a:bodyPr/>
        <a:lstStyle/>
        <a:p>
          <a:endParaRPr lang="cs-CZ"/>
        </a:p>
      </dgm:t>
    </dgm:pt>
    <dgm:pt modelId="{4DFEDC9D-2140-485A-9863-3BFBACC2D7E9}" type="pres">
      <dgm:prSet presAssocID="{A13CB5E8-9522-4BF3-B684-C645A3523573}" presName="root2" presStyleCnt="0"/>
      <dgm:spPr/>
    </dgm:pt>
    <dgm:pt modelId="{F7F0E04C-5192-4DA1-ADD2-9336062EC7C4}" type="pres">
      <dgm:prSet presAssocID="{A13CB5E8-9522-4BF3-B684-C645A3523573}" presName="LevelTwoTextNode" presStyleLbl="node4" presStyleIdx="0" presStyleCnt="3">
        <dgm:presLayoutVars>
          <dgm:chPref val="3"/>
        </dgm:presLayoutVars>
      </dgm:prSet>
      <dgm:spPr>
        <a:prstGeom prst="roundRect">
          <a:avLst/>
        </a:prstGeom>
      </dgm:spPr>
      <dgm:t>
        <a:bodyPr/>
        <a:lstStyle/>
        <a:p>
          <a:endParaRPr lang="cs-CZ"/>
        </a:p>
      </dgm:t>
    </dgm:pt>
    <dgm:pt modelId="{8C6EA2F7-A148-4413-9F97-79EEB59E8C2E}" type="pres">
      <dgm:prSet presAssocID="{A13CB5E8-9522-4BF3-B684-C645A3523573}" presName="level3hierChild" presStyleCnt="0"/>
      <dgm:spPr/>
    </dgm:pt>
    <dgm:pt modelId="{E48FB8FF-4EDC-4F08-9E61-2931C3E05201}" type="pres">
      <dgm:prSet presAssocID="{06D19E46-F991-406E-BA40-B462C4161E8E}" presName="conn2-1" presStyleLbl="parChTrans1D4" presStyleIdx="1" presStyleCnt="3"/>
      <dgm:spPr/>
      <dgm:t>
        <a:bodyPr/>
        <a:lstStyle/>
        <a:p>
          <a:endParaRPr lang="cs-CZ"/>
        </a:p>
      </dgm:t>
    </dgm:pt>
    <dgm:pt modelId="{4004F083-3324-468D-A984-D5582B5D699B}" type="pres">
      <dgm:prSet presAssocID="{06D19E46-F991-406E-BA40-B462C4161E8E}" presName="connTx" presStyleLbl="parChTrans1D4" presStyleIdx="1" presStyleCnt="3"/>
      <dgm:spPr/>
      <dgm:t>
        <a:bodyPr/>
        <a:lstStyle/>
        <a:p>
          <a:endParaRPr lang="cs-CZ"/>
        </a:p>
      </dgm:t>
    </dgm:pt>
    <dgm:pt modelId="{D78B79D3-1DE3-476E-9A01-F36DEEFE50AA}" type="pres">
      <dgm:prSet presAssocID="{E971228E-F8A2-4EBE-A13B-1E1CF65F4F75}" presName="root2" presStyleCnt="0"/>
      <dgm:spPr/>
    </dgm:pt>
    <dgm:pt modelId="{95D62E9C-BC43-48E9-960C-A1B6E78464CB}" type="pres">
      <dgm:prSet presAssocID="{E971228E-F8A2-4EBE-A13B-1E1CF65F4F75}" presName="LevelTwoTextNode" presStyleLbl="node4" presStyleIdx="1" presStyleCnt="3">
        <dgm:presLayoutVars>
          <dgm:chPref val="3"/>
        </dgm:presLayoutVars>
      </dgm:prSet>
      <dgm:spPr>
        <a:prstGeom prst="roundRect">
          <a:avLst/>
        </a:prstGeom>
      </dgm:spPr>
      <dgm:t>
        <a:bodyPr/>
        <a:lstStyle/>
        <a:p>
          <a:endParaRPr lang="cs-CZ"/>
        </a:p>
      </dgm:t>
    </dgm:pt>
    <dgm:pt modelId="{7A43EE3E-376F-44BF-BD28-9CBB120D2F86}" type="pres">
      <dgm:prSet presAssocID="{E971228E-F8A2-4EBE-A13B-1E1CF65F4F75}" presName="level3hierChild" presStyleCnt="0"/>
      <dgm:spPr/>
    </dgm:pt>
    <dgm:pt modelId="{30C1D813-878C-4630-91A8-116D4130E39F}" type="pres">
      <dgm:prSet presAssocID="{F9052C1D-636A-46DF-AA77-176CD3FEC268}" presName="conn2-1" presStyleLbl="parChTrans1D4" presStyleIdx="2" presStyleCnt="3"/>
      <dgm:spPr/>
      <dgm:t>
        <a:bodyPr/>
        <a:lstStyle/>
        <a:p>
          <a:endParaRPr lang="cs-CZ"/>
        </a:p>
      </dgm:t>
    </dgm:pt>
    <dgm:pt modelId="{FF67817D-B143-40D1-BAEE-17EEC921C1DF}" type="pres">
      <dgm:prSet presAssocID="{F9052C1D-636A-46DF-AA77-176CD3FEC268}" presName="connTx" presStyleLbl="parChTrans1D4" presStyleIdx="2" presStyleCnt="3"/>
      <dgm:spPr/>
      <dgm:t>
        <a:bodyPr/>
        <a:lstStyle/>
        <a:p>
          <a:endParaRPr lang="cs-CZ"/>
        </a:p>
      </dgm:t>
    </dgm:pt>
    <dgm:pt modelId="{12D71B22-5C56-4FCD-A227-9FAD6AF9646B}" type="pres">
      <dgm:prSet presAssocID="{AD8BE863-B125-4E7D-B893-9134D357B12F}" presName="root2" presStyleCnt="0"/>
      <dgm:spPr/>
    </dgm:pt>
    <dgm:pt modelId="{8DF5D09A-E9BE-46F1-A387-9E16457F8DF1}" type="pres">
      <dgm:prSet presAssocID="{AD8BE863-B125-4E7D-B893-9134D357B12F}" presName="LevelTwoTextNode" presStyleLbl="node4" presStyleIdx="2" presStyleCnt="3">
        <dgm:presLayoutVars>
          <dgm:chPref val="3"/>
        </dgm:presLayoutVars>
      </dgm:prSet>
      <dgm:spPr>
        <a:prstGeom prst="roundRect">
          <a:avLst/>
        </a:prstGeom>
      </dgm:spPr>
      <dgm:t>
        <a:bodyPr/>
        <a:lstStyle/>
        <a:p>
          <a:endParaRPr lang="cs-CZ"/>
        </a:p>
      </dgm:t>
    </dgm:pt>
    <dgm:pt modelId="{E40C8DAA-3C9A-4883-821D-D4E63BD3BEF0}" type="pres">
      <dgm:prSet presAssocID="{AD8BE863-B125-4E7D-B893-9134D357B12F}" presName="level3hierChild" presStyleCnt="0"/>
      <dgm:spPr/>
    </dgm:pt>
    <dgm:pt modelId="{661AD967-4AE9-42D0-9D0C-7C09644B7836}" type="pres">
      <dgm:prSet presAssocID="{5DF8B76F-A5E3-45FB-AB12-B44E4E9AA461}" presName="conn2-1" presStyleLbl="parChTrans1D3" presStyleIdx="1" presStyleCnt="2"/>
      <dgm:spPr/>
      <dgm:t>
        <a:bodyPr/>
        <a:lstStyle/>
        <a:p>
          <a:endParaRPr lang="cs-CZ"/>
        </a:p>
      </dgm:t>
    </dgm:pt>
    <dgm:pt modelId="{5CF0B10F-CDB9-4D63-9329-A897F5BF0BFB}" type="pres">
      <dgm:prSet presAssocID="{5DF8B76F-A5E3-45FB-AB12-B44E4E9AA461}" presName="connTx" presStyleLbl="parChTrans1D3" presStyleIdx="1" presStyleCnt="2"/>
      <dgm:spPr/>
      <dgm:t>
        <a:bodyPr/>
        <a:lstStyle/>
        <a:p>
          <a:endParaRPr lang="cs-CZ"/>
        </a:p>
      </dgm:t>
    </dgm:pt>
    <dgm:pt modelId="{F9CBF106-F409-41DB-90F9-579127874D76}" type="pres">
      <dgm:prSet presAssocID="{1A1F1104-9830-4A9A-A9E6-466FDF30B490}" presName="root2" presStyleCnt="0"/>
      <dgm:spPr/>
    </dgm:pt>
    <dgm:pt modelId="{3FD5E891-6A45-40AE-8DED-6447036889F8}" type="pres">
      <dgm:prSet presAssocID="{1A1F1104-9830-4A9A-A9E6-466FDF30B490}" presName="LevelTwoTextNode" presStyleLbl="node3" presStyleIdx="1" presStyleCnt="2">
        <dgm:presLayoutVars>
          <dgm:chPref val="3"/>
        </dgm:presLayoutVars>
      </dgm:prSet>
      <dgm:spPr>
        <a:prstGeom prst="roundRect">
          <a:avLst/>
        </a:prstGeom>
      </dgm:spPr>
      <dgm:t>
        <a:bodyPr/>
        <a:lstStyle/>
        <a:p>
          <a:endParaRPr lang="cs-CZ"/>
        </a:p>
      </dgm:t>
    </dgm:pt>
    <dgm:pt modelId="{1FED74B7-72F1-4EEF-B801-D58FD326747E}" type="pres">
      <dgm:prSet presAssocID="{1A1F1104-9830-4A9A-A9E6-466FDF30B490}" presName="level3hierChild" presStyleCnt="0"/>
      <dgm:spPr/>
    </dgm:pt>
    <dgm:pt modelId="{CA7598EF-0D89-479C-887C-420AF64634C5}" type="pres">
      <dgm:prSet presAssocID="{007FD69F-9A6E-4506-90CC-FEC8D6886E77}" presName="conn2-1" presStyleLbl="parChTrans1D2" presStyleIdx="1" presStyleCnt="2"/>
      <dgm:spPr/>
      <dgm:t>
        <a:bodyPr/>
        <a:lstStyle/>
        <a:p>
          <a:endParaRPr lang="cs-CZ"/>
        </a:p>
      </dgm:t>
    </dgm:pt>
    <dgm:pt modelId="{D3241FCC-794D-48A3-84EC-3482E21BD44A}" type="pres">
      <dgm:prSet presAssocID="{007FD69F-9A6E-4506-90CC-FEC8D6886E77}" presName="connTx" presStyleLbl="parChTrans1D2" presStyleIdx="1" presStyleCnt="2"/>
      <dgm:spPr/>
      <dgm:t>
        <a:bodyPr/>
        <a:lstStyle/>
        <a:p>
          <a:endParaRPr lang="cs-CZ"/>
        </a:p>
      </dgm:t>
    </dgm:pt>
    <dgm:pt modelId="{7F50E98A-12B7-4707-872D-7F3BD24DF275}" type="pres">
      <dgm:prSet presAssocID="{3E45D698-C4C4-4C52-BAAA-B5D118DC30BC}" presName="root2" presStyleCnt="0"/>
      <dgm:spPr/>
    </dgm:pt>
    <dgm:pt modelId="{CCA3CEF5-F5E5-4DAB-93D4-DE2C8A481795}" type="pres">
      <dgm:prSet presAssocID="{3E45D698-C4C4-4C52-BAAA-B5D118DC30BC}" presName="LevelTwoTextNode" presStyleLbl="node2" presStyleIdx="1" presStyleCnt="2">
        <dgm:presLayoutVars>
          <dgm:chPref val="3"/>
        </dgm:presLayoutVars>
      </dgm:prSet>
      <dgm:spPr>
        <a:prstGeom prst="roundRect">
          <a:avLst/>
        </a:prstGeom>
      </dgm:spPr>
      <dgm:t>
        <a:bodyPr/>
        <a:lstStyle/>
        <a:p>
          <a:endParaRPr lang="cs-CZ"/>
        </a:p>
      </dgm:t>
    </dgm:pt>
    <dgm:pt modelId="{8A8C7DB5-7FF9-4B24-9AA1-F35E954882F3}" type="pres">
      <dgm:prSet presAssocID="{3E45D698-C4C4-4C52-BAAA-B5D118DC30BC}" presName="level3hierChild" presStyleCnt="0"/>
      <dgm:spPr/>
    </dgm:pt>
  </dgm:ptLst>
  <dgm:cxnLst>
    <dgm:cxn modelId="{C53FCA98-0375-4FFA-8E1C-DBC02F5110C7}" srcId="{3581F7AC-D06D-456C-9F61-4C2A141E35F5}" destId="{3E45D698-C4C4-4C52-BAAA-B5D118DC30BC}" srcOrd="1" destOrd="0" parTransId="{007FD69F-9A6E-4506-90CC-FEC8D6886E77}" sibTransId="{5CD170FD-F695-4A38-AAEA-398D00ECFB37}"/>
    <dgm:cxn modelId="{B03EAD2E-F1DD-4D01-94D3-FC5FC8F9146E}" type="presOf" srcId="{F4F7001B-F4B5-4295-8152-3A02EF8AC36C}" destId="{47215C21-E403-44D1-B681-43FDA51EBAB9}" srcOrd="0" destOrd="0" presId="urn:microsoft.com/office/officeart/2005/8/layout/hierarchy2"/>
    <dgm:cxn modelId="{9A62E9CA-3FB0-4FAF-872B-91D6E8DB87E6}" type="presOf" srcId="{3581F7AC-D06D-456C-9F61-4C2A141E35F5}" destId="{29943A1A-32E4-450A-BD9A-8A5BCB09C2C0}" srcOrd="0" destOrd="0" presId="urn:microsoft.com/office/officeart/2005/8/layout/hierarchy2"/>
    <dgm:cxn modelId="{EF2C387E-85F0-45B8-A574-1E230EBD6C3E}" type="presOf" srcId="{5DF8B76F-A5E3-45FB-AB12-B44E4E9AA461}" destId="{5CF0B10F-CDB9-4D63-9329-A897F5BF0BFB}" srcOrd="1" destOrd="0" presId="urn:microsoft.com/office/officeart/2005/8/layout/hierarchy2"/>
    <dgm:cxn modelId="{AB8C4B47-E293-4E42-8186-66DFBC972BBE}" type="presOf" srcId="{F4F7001B-F4B5-4295-8152-3A02EF8AC36C}" destId="{1598590C-FC9C-43A3-8AFE-AF6E9D717612}" srcOrd="1" destOrd="0" presId="urn:microsoft.com/office/officeart/2005/8/layout/hierarchy2"/>
    <dgm:cxn modelId="{9BE19677-AB15-46E2-B4C0-E93278F1101D}" type="presOf" srcId="{E971228E-F8A2-4EBE-A13B-1E1CF65F4F75}" destId="{95D62E9C-BC43-48E9-960C-A1B6E78464CB}" srcOrd="0" destOrd="0" presId="urn:microsoft.com/office/officeart/2005/8/layout/hierarchy2"/>
    <dgm:cxn modelId="{02394799-5BD5-403C-9914-43D71BD11503}" type="presOf" srcId="{1A1F1104-9830-4A9A-A9E6-466FDF30B490}" destId="{3FD5E891-6A45-40AE-8DED-6447036889F8}" srcOrd="0" destOrd="0" presId="urn:microsoft.com/office/officeart/2005/8/layout/hierarchy2"/>
    <dgm:cxn modelId="{E4C7E49A-8178-447C-9BA7-2F2484DF3941}" srcId="{CB483917-5924-4230-952A-5D2FE82482B5}" destId="{E971228E-F8A2-4EBE-A13B-1E1CF65F4F75}" srcOrd="1" destOrd="0" parTransId="{06D19E46-F991-406E-BA40-B462C4161E8E}" sibTransId="{C583EDB2-723D-492F-A74C-CF530320E376}"/>
    <dgm:cxn modelId="{D3DC08B0-7F43-4E21-BC52-4C46A0906CA3}" type="presOf" srcId="{CB483917-5924-4230-952A-5D2FE82482B5}" destId="{4A29D130-7A0E-4650-82E8-0C1CC4B4A6C8}" srcOrd="0" destOrd="0" presId="urn:microsoft.com/office/officeart/2005/8/layout/hierarchy2"/>
    <dgm:cxn modelId="{A790DFCE-A7AE-4746-ADF4-B1B8867B11BF}" type="presOf" srcId="{5DF8B76F-A5E3-45FB-AB12-B44E4E9AA461}" destId="{661AD967-4AE9-42D0-9D0C-7C09644B7836}" srcOrd="0" destOrd="0" presId="urn:microsoft.com/office/officeart/2005/8/layout/hierarchy2"/>
    <dgm:cxn modelId="{A00B8EE1-DFFA-4423-A38D-BCA53AD1C466}" type="presOf" srcId="{007FD69F-9A6E-4506-90CC-FEC8D6886E77}" destId="{D3241FCC-794D-48A3-84EC-3482E21BD44A}" srcOrd="1" destOrd="0" presId="urn:microsoft.com/office/officeart/2005/8/layout/hierarchy2"/>
    <dgm:cxn modelId="{BD29FEFC-CECC-4A33-92DC-E3B9AB4151A0}" srcId="{CB483917-5924-4230-952A-5D2FE82482B5}" destId="{AD8BE863-B125-4E7D-B893-9134D357B12F}" srcOrd="2" destOrd="0" parTransId="{F9052C1D-636A-46DF-AA77-176CD3FEC268}" sibTransId="{034F1B14-62C9-48F2-9BC6-FD4C8F41BD45}"/>
    <dgm:cxn modelId="{B5229EF3-5E79-4EBD-86BB-9DF273C0AB05}" type="presOf" srcId="{E0102309-703A-49E4-BDDA-F77E701EB645}" destId="{9D253E27-22CA-4880-BD3A-28CB7B601AB4}" srcOrd="0" destOrd="0" presId="urn:microsoft.com/office/officeart/2005/8/layout/hierarchy2"/>
    <dgm:cxn modelId="{CF798DD6-B1C2-454A-985A-45AD54486678}" type="presOf" srcId="{13AFA7F6-EC4E-49FF-BBCD-2EFB0F7ACB49}" destId="{BA8CA35B-C007-4F95-A497-2E416B39426D}" srcOrd="0" destOrd="0" presId="urn:microsoft.com/office/officeart/2005/8/layout/hierarchy2"/>
    <dgm:cxn modelId="{88138577-72F1-4EC3-B822-9FDD576EF1C4}" srcId="{CB483917-5924-4230-952A-5D2FE82482B5}" destId="{A13CB5E8-9522-4BF3-B684-C645A3523573}" srcOrd="0" destOrd="0" parTransId="{F4F7001B-F4B5-4295-8152-3A02EF8AC36C}" sibTransId="{50CEA6A1-2B24-47CE-8800-6CC2F79B2F3F}"/>
    <dgm:cxn modelId="{467A17BB-9915-4C1A-BC32-44F8ADFADAC2}" type="presOf" srcId="{F5301F12-5F35-48B8-A318-C5DCB271C7BE}" destId="{67D0AD78-29DD-41D8-B403-6FE55E699759}" srcOrd="0" destOrd="0" presId="urn:microsoft.com/office/officeart/2005/8/layout/hierarchy2"/>
    <dgm:cxn modelId="{272F6CF9-C270-4F5A-BD2A-47748BEC8BC1}" type="presOf" srcId="{007FD69F-9A6E-4506-90CC-FEC8D6886E77}" destId="{CA7598EF-0D89-479C-887C-420AF64634C5}" srcOrd="0" destOrd="0" presId="urn:microsoft.com/office/officeart/2005/8/layout/hierarchy2"/>
    <dgm:cxn modelId="{B1DE9A50-0EB0-430E-8D07-B6285E18665E}" type="presOf" srcId="{13AFA7F6-EC4E-49FF-BBCD-2EFB0F7ACB49}" destId="{298A8ADE-858E-494F-8FF5-38817B8C1E3C}" srcOrd="1" destOrd="0" presId="urn:microsoft.com/office/officeart/2005/8/layout/hierarchy2"/>
    <dgm:cxn modelId="{1293EB65-7406-4538-BE68-DB7D88EF2B1C}" srcId="{F5301F12-5F35-48B8-A318-C5DCB271C7BE}" destId="{3581F7AC-D06D-456C-9F61-4C2A141E35F5}" srcOrd="0" destOrd="0" parTransId="{4A26538D-4211-4D7B-8D89-E7AAC1B3BE46}" sibTransId="{DD7BD330-8376-447D-9C9A-57B6C44B1D83}"/>
    <dgm:cxn modelId="{9C0EB40C-548E-4F0A-9DF4-F49B8D7C507C}" type="presOf" srcId="{06D19E46-F991-406E-BA40-B462C4161E8E}" destId="{4004F083-3324-468D-A984-D5582B5D699B}" srcOrd="1" destOrd="0" presId="urn:microsoft.com/office/officeart/2005/8/layout/hierarchy2"/>
    <dgm:cxn modelId="{1B69391D-FE0C-42B8-8676-52B85B0C9B53}" srcId="{E0102309-703A-49E4-BDDA-F77E701EB645}" destId="{CB483917-5924-4230-952A-5D2FE82482B5}" srcOrd="0" destOrd="0" parTransId="{13AFA7F6-EC4E-49FF-BBCD-2EFB0F7ACB49}" sibTransId="{F61C73A4-7439-40A8-A1AC-B4A557FC67AE}"/>
    <dgm:cxn modelId="{8394AFFD-00A0-401A-9F30-84DC5AE5412A}" type="presOf" srcId="{A13CB5E8-9522-4BF3-B684-C645A3523573}" destId="{F7F0E04C-5192-4DA1-ADD2-9336062EC7C4}" srcOrd="0" destOrd="0" presId="urn:microsoft.com/office/officeart/2005/8/layout/hierarchy2"/>
    <dgm:cxn modelId="{269912A9-DB93-4159-9BF5-8A16D96C9292}" type="presOf" srcId="{06D19E46-F991-406E-BA40-B462C4161E8E}" destId="{E48FB8FF-4EDC-4F08-9E61-2931C3E05201}" srcOrd="0" destOrd="0" presId="urn:microsoft.com/office/officeart/2005/8/layout/hierarchy2"/>
    <dgm:cxn modelId="{8D03A570-ED89-48AA-886F-D329FDA13A73}" type="presOf" srcId="{388E27C8-A903-4B74-AA57-895EBED70481}" destId="{F34EC705-B23E-445A-ADB5-59E714AEA94C}" srcOrd="0" destOrd="0" presId="urn:microsoft.com/office/officeart/2005/8/layout/hierarchy2"/>
    <dgm:cxn modelId="{C0DE5F25-A952-4FF8-8DF0-52B504876823}" srcId="{3581F7AC-D06D-456C-9F61-4C2A141E35F5}" destId="{E0102309-703A-49E4-BDDA-F77E701EB645}" srcOrd="0" destOrd="0" parTransId="{388E27C8-A903-4B74-AA57-895EBED70481}" sibTransId="{BD68F876-B6C2-430C-AF0C-9C945E9788EC}"/>
    <dgm:cxn modelId="{CF1B079A-1CC7-49E8-9BF8-9485190AC57A}" type="presOf" srcId="{388E27C8-A903-4B74-AA57-895EBED70481}" destId="{9BC54564-16B0-4872-9E34-73F912F4F042}" srcOrd="1" destOrd="0" presId="urn:microsoft.com/office/officeart/2005/8/layout/hierarchy2"/>
    <dgm:cxn modelId="{4F529F08-909D-492C-A582-3D4EE12DB6D8}" type="presOf" srcId="{AD8BE863-B125-4E7D-B893-9134D357B12F}" destId="{8DF5D09A-E9BE-46F1-A387-9E16457F8DF1}" srcOrd="0" destOrd="0" presId="urn:microsoft.com/office/officeart/2005/8/layout/hierarchy2"/>
    <dgm:cxn modelId="{A3851C39-BEFA-4C12-AF41-0DD7F71ADEF3}" type="presOf" srcId="{3E45D698-C4C4-4C52-BAAA-B5D118DC30BC}" destId="{CCA3CEF5-F5E5-4DAB-93D4-DE2C8A481795}" srcOrd="0" destOrd="0" presId="urn:microsoft.com/office/officeart/2005/8/layout/hierarchy2"/>
    <dgm:cxn modelId="{B624DE99-EBF6-468E-A36E-81B18A7346DE}" type="presOf" srcId="{F9052C1D-636A-46DF-AA77-176CD3FEC268}" destId="{FF67817D-B143-40D1-BAEE-17EEC921C1DF}" srcOrd="1" destOrd="0" presId="urn:microsoft.com/office/officeart/2005/8/layout/hierarchy2"/>
    <dgm:cxn modelId="{DC56B5B1-B585-4C1E-A718-05827C517BEE}" type="presOf" srcId="{F9052C1D-636A-46DF-AA77-176CD3FEC268}" destId="{30C1D813-878C-4630-91A8-116D4130E39F}" srcOrd="0" destOrd="0" presId="urn:microsoft.com/office/officeart/2005/8/layout/hierarchy2"/>
    <dgm:cxn modelId="{ABBE49D7-D35A-4044-B61C-0B1F4862F210}" srcId="{E0102309-703A-49E4-BDDA-F77E701EB645}" destId="{1A1F1104-9830-4A9A-A9E6-466FDF30B490}" srcOrd="1" destOrd="0" parTransId="{5DF8B76F-A5E3-45FB-AB12-B44E4E9AA461}" sibTransId="{99688E0E-84D2-44E9-9139-1EAF2B1A59BA}"/>
    <dgm:cxn modelId="{29309CC2-9B6C-4971-A934-A1E22A49E6B3}" type="presParOf" srcId="{67D0AD78-29DD-41D8-B403-6FE55E699759}" destId="{AFA53C81-7E07-4601-BB12-8906C7760095}" srcOrd="0" destOrd="0" presId="urn:microsoft.com/office/officeart/2005/8/layout/hierarchy2"/>
    <dgm:cxn modelId="{A7F5BC66-D358-437F-906B-56EAD8FD564C}" type="presParOf" srcId="{AFA53C81-7E07-4601-BB12-8906C7760095}" destId="{29943A1A-32E4-450A-BD9A-8A5BCB09C2C0}" srcOrd="0" destOrd="0" presId="urn:microsoft.com/office/officeart/2005/8/layout/hierarchy2"/>
    <dgm:cxn modelId="{E13AAE82-E02D-489F-B93F-B0B8327B305A}" type="presParOf" srcId="{AFA53C81-7E07-4601-BB12-8906C7760095}" destId="{E66F7B81-DA5E-4830-8D58-F81D15B61FC3}" srcOrd="1" destOrd="0" presId="urn:microsoft.com/office/officeart/2005/8/layout/hierarchy2"/>
    <dgm:cxn modelId="{EF85F883-9313-4BD9-A8F1-D6E033C0458F}" type="presParOf" srcId="{E66F7B81-DA5E-4830-8D58-F81D15B61FC3}" destId="{F34EC705-B23E-445A-ADB5-59E714AEA94C}" srcOrd="0" destOrd="0" presId="urn:microsoft.com/office/officeart/2005/8/layout/hierarchy2"/>
    <dgm:cxn modelId="{E77C9FE6-C306-4D9A-9657-8A45E41993EE}" type="presParOf" srcId="{F34EC705-B23E-445A-ADB5-59E714AEA94C}" destId="{9BC54564-16B0-4872-9E34-73F912F4F042}" srcOrd="0" destOrd="0" presId="urn:microsoft.com/office/officeart/2005/8/layout/hierarchy2"/>
    <dgm:cxn modelId="{8FC9D70B-65ED-446D-BA77-210274C4E7FB}" type="presParOf" srcId="{E66F7B81-DA5E-4830-8D58-F81D15B61FC3}" destId="{8E579669-F004-4DB8-AF5F-771453923A37}" srcOrd="1" destOrd="0" presId="urn:microsoft.com/office/officeart/2005/8/layout/hierarchy2"/>
    <dgm:cxn modelId="{73532D17-F744-4F6C-9F49-A8FEE4E5BFDB}" type="presParOf" srcId="{8E579669-F004-4DB8-AF5F-771453923A37}" destId="{9D253E27-22CA-4880-BD3A-28CB7B601AB4}" srcOrd="0" destOrd="0" presId="urn:microsoft.com/office/officeart/2005/8/layout/hierarchy2"/>
    <dgm:cxn modelId="{11BC380E-50A1-4F66-A97C-87955B3D86A6}" type="presParOf" srcId="{8E579669-F004-4DB8-AF5F-771453923A37}" destId="{A9A2BAEB-E9D1-4BC2-91A1-0D47E56D62C9}" srcOrd="1" destOrd="0" presId="urn:microsoft.com/office/officeart/2005/8/layout/hierarchy2"/>
    <dgm:cxn modelId="{A1ED9238-2E56-4B82-B1DC-B2D87C24AE31}" type="presParOf" srcId="{A9A2BAEB-E9D1-4BC2-91A1-0D47E56D62C9}" destId="{BA8CA35B-C007-4F95-A497-2E416B39426D}" srcOrd="0" destOrd="0" presId="urn:microsoft.com/office/officeart/2005/8/layout/hierarchy2"/>
    <dgm:cxn modelId="{31FE1656-61C8-4FF1-8453-982FAE7041BF}" type="presParOf" srcId="{BA8CA35B-C007-4F95-A497-2E416B39426D}" destId="{298A8ADE-858E-494F-8FF5-38817B8C1E3C}" srcOrd="0" destOrd="0" presId="urn:microsoft.com/office/officeart/2005/8/layout/hierarchy2"/>
    <dgm:cxn modelId="{877822EC-8ED0-4278-BE37-DEA39AC41818}" type="presParOf" srcId="{A9A2BAEB-E9D1-4BC2-91A1-0D47E56D62C9}" destId="{F40BD02C-924D-46ED-983D-CFB116CE96E4}" srcOrd="1" destOrd="0" presId="urn:microsoft.com/office/officeart/2005/8/layout/hierarchy2"/>
    <dgm:cxn modelId="{10965CC8-1554-4EF7-ADE2-92B493B6D7F4}" type="presParOf" srcId="{F40BD02C-924D-46ED-983D-CFB116CE96E4}" destId="{4A29D130-7A0E-4650-82E8-0C1CC4B4A6C8}" srcOrd="0" destOrd="0" presId="urn:microsoft.com/office/officeart/2005/8/layout/hierarchy2"/>
    <dgm:cxn modelId="{11433AB0-5F31-4F67-A1E8-A103F705CCFC}" type="presParOf" srcId="{F40BD02C-924D-46ED-983D-CFB116CE96E4}" destId="{887AED7E-E641-4341-82DA-65B746A41E03}" srcOrd="1" destOrd="0" presId="urn:microsoft.com/office/officeart/2005/8/layout/hierarchy2"/>
    <dgm:cxn modelId="{403E4E4D-AE91-4368-B244-E5DAF7DEC499}" type="presParOf" srcId="{887AED7E-E641-4341-82DA-65B746A41E03}" destId="{47215C21-E403-44D1-B681-43FDA51EBAB9}" srcOrd="0" destOrd="0" presId="urn:microsoft.com/office/officeart/2005/8/layout/hierarchy2"/>
    <dgm:cxn modelId="{3C6E786E-DC16-4FCA-BAB4-753E81D831C0}" type="presParOf" srcId="{47215C21-E403-44D1-B681-43FDA51EBAB9}" destId="{1598590C-FC9C-43A3-8AFE-AF6E9D717612}" srcOrd="0" destOrd="0" presId="urn:microsoft.com/office/officeart/2005/8/layout/hierarchy2"/>
    <dgm:cxn modelId="{BE74EA14-1411-4B45-89F6-5B6F2D9CE551}" type="presParOf" srcId="{887AED7E-E641-4341-82DA-65B746A41E03}" destId="{4DFEDC9D-2140-485A-9863-3BFBACC2D7E9}" srcOrd="1" destOrd="0" presId="urn:microsoft.com/office/officeart/2005/8/layout/hierarchy2"/>
    <dgm:cxn modelId="{59C16379-9BFC-48B4-A2E8-99901471D060}" type="presParOf" srcId="{4DFEDC9D-2140-485A-9863-3BFBACC2D7E9}" destId="{F7F0E04C-5192-4DA1-ADD2-9336062EC7C4}" srcOrd="0" destOrd="0" presId="urn:microsoft.com/office/officeart/2005/8/layout/hierarchy2"/>
    <dgm:cxn modelId="{FC04A646-144B-46B4-888D-098009E0D3B1}" type="presParOf" srcId="{4DFEDC9D-2140-485A-9863-3BFBACC2D7E9}" destId="{8C6EA2F7-A148-4413-9F97-79EEB59E8C2E}" srcOrd="1" destOrd="0" presId="urn:microsoft.com/office/officeart/2005/8/layout/hierarchy2"/>
    <dgm:cxn modelId="{CA28938C-8FCD-415A-BD77-C86CBA0DCDC7}" type="presParOf" srcId="{887AED7E-E641-4341-82DA-65B746A41E03}" destId="{E48FB8FF-4EDC-4F08-9E61-2931C3E05201}" srcOrd="2" destOrd="0" presId="urn:microsoft.com/office/officeart/2005/8/layout/hierarchy2"/>
    <dgm:cxn modelId="{0C651D35-E1B4-4274-BDF9-A62262E82DA7}" type="presParOf" srcId="{E48FB8FF-4EDC-4F08-9E61-2931C3E05201}" destId="{4004F083-3324-468D-A984-D5582B5D699B}" srcOrd="0" destOrd="0" presId="urn:microsoft.com/office/officeart/2005/8/layout/hierarchy2"/>
    <dgm:cxn modelId="{9736CF94-6D1C-4E54-93EF-33FC120E1CAF}" type="presParOf" srcId="{887AED7E-E641-4341-82DA-65B746A41E03}" destId="{D78B79D3-1DE3-476E-9A01-F36DEEFE50AA}" srcOrd="3" destOrd="0" presId="urn:microsoft.com/office/officeart/2005/8/layout/hierarchy2"/>
    <dgm:cxn modelId="{9C39095B-7BF0-46C2-93A1-DFE59521B056}" type="presParOf" srcId="{D78B79D3-1DE3-476E-9A01-F36DEEFE50AA}" destId="{95D62E9C-BC43-48E9-960C-A1B6E78464CB}" srcOrd="0" destOrd="0" presId="urn:microsoft.com/office/officeart/2005/8/layout/hierarchy2"/>
    <dgm:cxn modelId="{B8CCDCBC-FA37-45EF-BB11-76139B3CD83A}" type="presParOf" srcId="{D78B79D3-1DE3-476E-9A01-F36DEEFE50AA}" destId="{7A43EE3E-376F-44BF-BD28-9CBB120D2F86}" srcOrd="1" destOrd="0" presId="urn:microsoft.com/office/officeart/2005/8/layout/hierarchy2"/>
    <dgm:cxn modelId="{5642119F-155F-4225-81F7-1D3FD70A0677}" type="presParOf" srcId="{887AED7E-E641-4341-82DA-65B746A41E03}" destId="{30C1D813-878C-4630-91A8-116D4130E39F}" srcOrd="4" destOrd="0" presId="urn:microsoft.com/office/officeart/2005/8/layout/hierarchy2"/>
    <dgm:cxn modelId="{C6A4CD62-3B5D-4A14-9BE0-B36C92B8A292}" type="presParOf" srcId="{30C1D813-878C-4630-91A8-116D4130E39F}" destId="{FF67817D-B143-40D1-BAEE-17EEC921C1DF}" srcOrd="0" destOrd="0" presId="urn:microsoft.com/office/officeart/2005/8/layout/hierarchy2"/>
    <dgm:cxn modelId="{683EC7D6-902C-4FDF-A006-C6F2CA78FDA0}" type="presParOf" srcId="{887AED7E-E641-4341-82DA-65B746A41E03}" destId="{12D71B22-5C56-4FCD-A227-9FAD6AF9646B}" srcOrd="5" destOrd="0" presId="urn:microsoft.com/office/officeart/2005/8/layout/hierarchy2"/>
    <dgm:cxn modelId="{EA7AD7CE-00FC-493B-B73C-E1AF64821151}" type="presParOf" srcId="{12D71B22-5C56-4FCD-A227-9FAD6AF9646B}" destId="{8DF5D09A-E9BE-46F1-A387-9E16457F8DF1}" srcOrd="0" destOrd="0" presId="urn:microsoft.com/office/officeart/2005/8/layout/hierarchy2"/>
    <dgm:cxn modelId="{57A241DC-CDF9-40BA-BD4B-E18DB488540E}" type="presParOf" srcId="{12D71B22-5C56-4FCD-A227-9FAD6AF9646B}" destId="{E40C8DAA-3C9A-4883-821D-D4E63BD3BEF0}" srcOrd="1" destOrd="0" presId="urn:microsoft.com/office/officeart/2005/8/layout/hierarchy2"/>
    <dgm:cxn modelId="{1A3A4EF0-6E3B-423D-8777-525AB619B3E9}" type="presParOf" srcId="{A9A2BAEB-E9D1-4BC2-91A1-0D47E56D62C9}" destId="{661AD967-4AE9-42D0-9D0C-7C09644B7836}" srcOrd="2" destOrd="0" presId="urn:microsoft.com/office/officeart/2005/8/layout/hierarchy2"/>
    <dgm:cxn modelId="{F4B39C3D-38CD-4136-A1B8-1E329EB7D116}" type="presParOf" srcId="{661AD967-4AE9-42D0-9D0C-7C09644B7836}" destId="{5CF0B10F-CDB9-4D63-9329-A897F5BF0BFB}" srcOrd="0" destOrd="0" presId="urn:microsoft.com/office/officeart/2005/8/layout/hierarchy2"/>
    <dgm:cxn modelId="{8D3F5316-ED2C-4F9A-94D9-B98DB95EC7E8}" type="presParOf" srcId="{A9A2BAEB-E9D1-4BC2-91A1-0D47E56D62C9}" destId="{F9CBF106-F409-41DB-90F9-579127874D76}" srcOrd="3" destOrd="0" presId="urn:microsoft.com/office/officeart/2005/8/layout/hierarchy2"/>
    <dgm:cxn modelId="{C7D7BA6F-7FBD-463E-8D5C-EF993CDFF583}" type="presParOf" srcId="{F9CBF106-F409-41DB-90F9-579127874D76}" destId="{3FD5E891-6A45-40AE-8DED-6447036889F8}" srcOrd="0" destOrd="0" presId="urn:microsoft.com/office/officeart/2005/8/layout/hierarchy2"/>
    <dgm:cxn modelId="{8F5478E9-DD53-491A-A2D1-80762FF1AAF8}" type="presParOf" srcId="{F9CBF106-F409-41DB-90F9-579127874D76}" destId="{1FED74B7-72F1-4EEF-B801-D58FD326747E}" srcOrd="1" destOrd="0" presId="urn:microsoft.com/office/officeart/2005/8/layout/hierarchy2"/>
    <dgm:cxn modelId="{B82D9A39-0B67-49B3-BCC4-B83D719090BB}" type="presParOf" srcId="{E66F7B81-DA5E-4830-8D58-F81D15B61FC3}" destId="{CA7598EF-0D89-479C-887C-420AF64634C5}" srcOrd="2" destOrd="0" presId="urn:microsoft.com/office/officeart/2005/8/layout/hierarchy2"/>
    <dgm:cxn modelId="{986F4D21-294C-46C2-8944-7D999A7CE07E}" type="presParOf" srcId="{CA7598EF-0D89-479C-887C-420AF64634C5}" destId="{D3241FCC-794D-48A3-84EC-3482E21BD44A}" srcOrd="0" destOrd="0" presId="urn:microsoft.com/office/officeart/2005/8/layout/hierarchy2"/>
    <dgm:cxn modelId="{1A44DBB4-946E-4654-ADA5-FE501C80B539}" type="presParOf" srcId="{E66F7B81-DA5E-4830-8D58-F81D15B61FC3}" destId="{7F50E98A-12B7-4707-872D-7F3BD24DF275}" srcOrd="3" destOrd="0" presId="urn:microsoft.com/office/officeart/2005/8/layout/hierarchy2"/>
    <dgm:cxn modelId="{F7384F6D-6330-448B-8B7D-380D730721BC}" type="presParOf" srcId="{7F50E98A-12B7-4707-872D-7F3BD24DF275}" destId="{CCA3CEF5-F5E5-4DAB-93D4-DE2C8A481795}" srcOrd="0" destOrd="0" presId="urn:microsoft.com/office/officeart/2005/8/layout/hierarchy2"/>
    <dgm:cxn modelId="{96D4DB5D-4DCA-4E49-9F87-A1BB669063C3}" type="presParOf" srcId="{7F50E98A-12B7-4707-872D-7F3BD24DF275}" destId="{8A8C7DB5-7FF9-4B24-9AA1-F35E954882F3}" srcOrd="1" destOrd="0" presId="urn:microsoft.com/office/officeart/2005/8/layout/hierarchy2"/>
  </dgm:cxnLst>
  <dgm:bg/>
  <dgm:whole>
    <a:ln w="9525">
      <a:noFill/>
    </a:ln>
  </dgm:whole>
</dgm:dataModel>
</file>

<file path=word/diagrams/data2.xml><?xml version="1.0" encoding="utf-8"?>
<dgm:dataModel xmlns:dgm="http://schemas.openxmlformats.org/drawingml/2006/diagram" xmlns:a="http://schemas.openxmlformats.org/drawingml/2006/main">
  <dgm:ptLst>
    <dgm:pt modelId="{5D481EF9-5026-460C-B6E4-8327C1C6D151}"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cs-CZ"/>
        </a:p>
      </dgm:t>
    </dgm:pt>
    <dgm:pt modelId="{63BBD2EA-0FB1-4BA9-832A-5F7068E331D2}">
      <dgm:prSet phldrT="[Text]" custT="1"/>
      <dgm:spPr>
        <a:ln w="19050" cap="sq">
          <a:solidFill>
            <a:schemeClr val="bg1">
              <a:lumMod val="65000"/>
            </a:schemeClr>
          </a:solidFill>
        </a:ln>
      </dgm:spPr>
      <dgm:t>
        <a:bodyPr/>
        <a:lstStyle/>
        <a:p>
          <a:r>
            <a:rPr lang="cs-CZ" sz="1100">
              <a:solidFill>
                <a:sysClr val="windowText" lastClr="000000"/>
              </a:solidFill>
              <a:latin typeface="Times New Roman" pitchFamily="18" charset="0"/>
              <a:cs typeface="Times New Roman" pitchFamily="18" charset="0"/>
            </a:rPr>
            <a:t>Vedení společnosti</a:t>
          </a:r>
        </a:p>
      </dgm:t>
    </dgm:pt>
    <dgm:pt modelId="{24FFDDC5-E37A-4B13-8062-3C5D3A33788D}" type="parTrans" cxnId="{3D575CEF-C837-4493-9C5D-48B7DB4AF95C}">
      <dgm:prSet/>
      <dgm:spPr/>
      <dgm:t>
        <a:bodyPr/>
        <a:lstStyle/>
        <a:p>
          <a:endParaRPr lang="cs-CZ"/>
        </a:p>
      </dgm:t>
    </dgm:pt>
    <dgm:pt modelId="{39F21100-57A2-4F36-A265-D114DD1507C6}" type="sibTrans" cxnId="{3D575CEF-C837-4493-9C5D-48B7DB4AF95C}">
      <dgm:prSet/>
      <dgm:spPr/>
      <dgm:t>
        <a:bodyPr/>
        <a:lstStyle/>
        <a:p>
          <a:endParaRPr lang="cs-CZ"/>
        </a:p>
      </dgm:t>
    </dgm:pt>
    <dgm:pt modelId="{5AB2D27F-4CBD-40C7-B9D6-6A936CAFA756}">
      <dgm:prSet phldrT="[Text]" custT="1"/>
      <dgm:spPr>
        <a:ln w="19050" cap="sq">
          <a:solidFill>
            <a:schemeClr val="bg1">
              <a:lumMod val="65000"/>
            </a:schemeClr>
          </a:solidFill>
        </a:ln>
      </dgm:spPr>
      <dgm:t>
        <a:bodyPr anchor="ctr" anchorCtr="0"/>
        <a:lstStyle/>
        <a:p>
          <a:r>
            <a:rPr lang="cs-CZ" sz="1100">
              <a:solidFill>
                <a:sysClr val="windowText" lastClr="000000"/>
              </a:solidFill>
              <a:latin typeface="Times New Roman" pitchFamily="18" charset="0"/>
              <a:cs typeface="Times New Roman" pitchFamily="18" charset="0"/>
            </a:rPr>
            <a:t>Výzkum</a:t>
          </a:r>
        </a:p>
      </dgm:t>
    </dgm:pt>
    <dgm:pt modelId="{A96D5522-C0CA-4C00-B257-10272CB0EB2F}" type="parTrans" cxnId="{A5C6542B-C37D-435D-8F9B-D1651F04262F}">
      <dgm:prSet/>
      <dgm:spPr>
        <a:ln w="19050">
          <a:solidFill>
            <a:schemeClr val="bg1">
              <a:lumMod val="65000"/>
            </a:schemeClr>
          </a:solidFill>
        </a:ln>
      </dgm:spPr>
      <dgm:t>
        <a:bodyPr/>
        <a:lstStyle/>
        <a:p>
          <a:endParaRPr lang="cs-CZ" sz="1100">
            <a:solidFill>
              <a:sysClr val="windowText" lastClr="000000"/>
            </a:solidFill>
          </a:endParaRPr>
        </a:p>
      </dgm:t>
    </dgm:pt>
    <dgm:pt modelId="{C9A06BF7-5709-46F7-B338-ED341F259A6A}" type="sibTrans" cxnId="{A5C6542B-C37D-435D-8F9B-D1651F04262F}">
      <dgm:prSet/>
      <dgm:spPr/>
      <dgm:t>
        <a:bodyPr/>
        <a:lstStyle/>
        <a:p>
          <a:endParaRPr lang="cs-CZ"/>
        </a:p>
      </dgm:t>
    </dgm:pt>
    <dgm:pt modelId="{0D62A34A-8B73-443B-8A10-53EA63632478}">
      <dgm:prSet phldrT="[Text]" custT="1"/>
      <dgm:spPr>
        <a:ln w="19050" cap="sq">
          <a:solidFill>
            <a:schemeClr val="bg1">
              <a:lumMod val="65000"/>
            </a:schemeClr>
          </a:solidFill>
        </a:ln>
      </dgm:spPr>
      <dgm:t>
        <a:bodyPr/>
        <a:lstStyle/>
        <a:p>
          <a:r>
            <a:rPr lang="cs-CZ" sz="1100">
              <a:solidFill>
                <a:sysClr val="windowText" lastClr="000000"/>
              </a:solidFill>
              <a:latin typeface="Times New Roman" pitchFamily="18" charset="0"/>
              <a:cs typeface="Times New Roman" pitchFamily="18" charset="0"/>
            </a:rPr>
            <a:t>Finance </a:t>
          </a:r>
          <a:br>
            <a:rPr lang="cs-CZ" sz="1100">
              <a:solidFill>
                <a:sysClr val="windowText" lastClr="000000"/>
              </a:solidFill>
              <a:latin typeface="Times New Roman" pitchFamily="18" charset="0"/>
              <a:cs typeface="Times New Roman" pitchFamily="18" charset="0"/>
            </a:rPr>
          </a:br>
          <a:r>
            <a:rPr lang="cs-CZ" sz="1100">
              <a:solidFill>
                <a:sysClr val="windowText" lastClr="000000"/>
              </a:solidFill>
              <a:latin typeface="Times New Roman" pitchFamily="18" charset="0"/>
              <a:cs typeface="Times New Roman" pitchFamily="18" charset="0"/>
            </a:rPr>
            <a:t>a provoz</a:t>
          </a:r>
        </a:p>
      </dgm:t>
    </dgm:pt>
    <dgm:pt modelId="{CBDFCB55-8EBC-47A1-BDCA-6C8C530478FD}" type="parTrans" cxnId="{034AC697-7D9F-4FBD-AA1F-E2B3E6C62034}">
      <dgm:prSet/>
      <dgm:spPr>
        <a:ln w="19050">
          <a:solidFill>
            <a:schemeClr val="bg1">
              <a:lumMod val="65000"/>
            </a:schemeClr>
          </a:solidFill>
        </a:ln>
      </dgm:spPr>
      <dgm:t>
        <a:bodyPr/>
        <a:lstStyle/>
        <a:p>
          <a:endParaRPr lang="cs-CZ" sz="1100">
            <a:solidFill>
              <a:sysClr val="windowText" lastClr="000000"/>
            </a:solidFill>
          </a:endParaRPr>
        </a:p>
      </dgm:t>
    </dgm:pt>
    <dgm:pt modelId="{ED378A5C-7361-45DD-A19F-9D8CE4D8C3BC}" type="sibTrans" cxnId="{034AC697-7D9F-4FBD-AA1F-E2B3E6C62034}">
      <dgm:prSet/>
      <dgm:spPr/>
      <dgm:t>
        <a:bodyPr/>
        <a:lstStyle/>
        <a:p>
          <a:endParaRPr lang="cs-CZ"/>
        </a:p>
      </dgm:t>
    </dgm:pt>
    <dgm:pt modelId="{CFECDF47-C8CE-4FED-9AD2-EB7EE3DD1033}">
      <dgm:prSet custT="1"/>
      <dgm:spPr>
        <a:ln w="19050" cap="sq">
          <a:solidFill>
            <a:schemeClr val="bg1">
              <a:lumMod val="65000"/>
            </a:schemeClr>
          </a:solidFill>
        </a:ln>
      </dgm:spPr>
      <dgm:t>
        <a:bodyPr/>
        <a:lstStyle/>
        <a:p>
          <a:r>
            <a:rPr lang="cs-CZ" sz="1100">
              <a:solidFill>
                <a:sysClr val="windowText" lastClr="000000"/>
              </a:solidFill>
              <a:latin typeface="Times New Roman" pitchFamily="18" charset="0"/>
              <a:cs typeface="Times New Roman" pitchFamily="18" charset="0"/>
            </a:rPr>
            <a:t>Tazatelská skupina</a:t>
          </a:r>
        </a:p>
      </dgm:t>
    </dgm:pt>
    <dgm:pt modelId="{F7730830-E7DB-4A73-ADC4-50F20342BAE5}" type="parTrans" cxnId="{E2DE4E14-09B3-4DA7-B23D-5ACC15947389}">
      <dgm:prSet/>
      <dgm:spPr>
        <a:ln w="19050">
          <a:solidFill>
            <a:schemeClr val="bg1">
              <a:lumMod val="65000"/>
            </a:schemeClr>
          </a:solidFill>
        </a:ln>
      </dgm:spPr>
      <dgm:t>
        <a:bodyPr/>
        <a:lstStyle/>
        <a:p>
          <a:endParaRPr lang="cs-CZ" sz="1100">
            <a:solidFill>
              <a:sysClr val="windowText" lastClr="000000"/>
            </a:solidFill>
          </a:endParaRPr>
        </a:p>
      </dgm:t>
    </dgm:pt>
    <dgm:pt modelId="{576DF708-7DFD-4C77-BE0C-A4A4BF110407}" type="sibTrans" cxnId="{E2DE4E14-09B3-4DA7-B23D-5ACC15947389}">
      <dgm:prSet/>
      <dgm:spPr/>
      <dgm:t>
        <a:bodyPr/>
        <a:lstStyle/>
        <a:p>
          <a:endParaRPr lang="cs-CZ"/>
        </a:p>
      </dgm:t>
    </dgm:pt>
    <dgm:pt modelId="{5DEADCC7-13A1-4F47-AFE4-69D41C9FE5F9}">
      <dgm:prSet custT="1"/>
      <dgm:spPr>
        <a:ln w="19050" cap="sq">
          <a:solidFill>
            <a:schemeClr val="bg1">
              <a:lumMod val="65000"/>
            </a:schemeClr>
          </a:solidFill>
        </a:ln>
      </dgm:spPr>
      <dgm:t>
        <a:bodyPr/>
        <a:lstStyle/>
        <a:p>
          <a:r>
            <a:rPr lang="cs-CZ" sz="1100">
              <a:solidFill>
                <a:sysClr val="windowText" lastClr="000000"/>
              </a:solidFill>
              <a:latin typeface="Times New Roman" pitchFamily="18" charset="0"/>
              <a:cs typeface="Times New Roman" pitchFamily="18" charset="0"/>
            </a:rPr>
            <a:t>Zpracování dat</a:t>
          </a:r>
        </a:p>
      </dgm:t>
    </dgm:pt>
    <dgm:pt modelId="{79F70D95-F490-4CEA-B3B3-A03847D61B07}" type="parTrans" cxnId="{555897FD-605E-49B0-9692-FC2396DFB168}">
      <dgm:prSet/>
      <dgm:spPr>
        <a:ln w="19050">
          <a:solidFill>
            <a:schemeClr val="bg1">
              <a:lumMod val="65000"/>
            </a:schemeClr>
          </a:solidFill>
        </a:ln>
      </dgm:spPr>
      <dgm:t>
        <a:bodyPr/>
        <a:lstStyle/>
        <a:p>
          <a:endParaRPr lang="cs-CZ" sz="1100">
            <a:solidFill>
              <a:sysClr val="windowText" lastClr="000000"/>
            </a:solidFill>
          </a:endParaRPr>
        </a:p>
      </dgm:t>
    </dgm:pt>
    <dgm:pt modelId="{6B2CE060-8C02-42F9-9101-25A9F372F2CF}" type="sibTrans" cxnId="{555897FD-605E-49B0-9692-FC2396DFB168}">
      <dgm:prSet/>
      <dgm:spPr/>
      <dgm:t>
        <a:bodyPr/>
        <a:lstStyle/>
        <a:p>
          <a:endParaRPr lang="cs-CZ"/>
        </a:p>
      </dgm:t>
    </dgm:pt>
    <dgm:pt modelId="{96FA9925-6B6C-4CF5-BAC1-F03656226465}">
      <dgm:prSet custT="1"/>
      <dgm:spPr>
        <a:ln w="19050" cap="sq">
          <a:solidFill>
            <a:schemeClr val="bg1">
              <a:lumMod val="65000"/>
            </a:schemeClr>
          </a:solidFill>
        </a:ln>
      </dgm:spPr>
      <dgm:t>
        <a:bodyPr/>
        <a:lstStyle/>
        <a:p>
          <a:pPr>
            <a:spcAft>
              <a:spcPts val="0"/>
            </a:spcAft>
          </a:pPr>
          <a:r>
            <a:rPr lang="cs-CZ" sz="1100">
              <a:solidFill>
                <a:sysClr val="windowText" lastClr="000000"/>
              </a:solidFill>
              <a:latin typeface="Times New Roman" pitchFamily="18" charset="0"/>
              <a:cs typeface="Times New Roman" pitchFamily="18" charset="0"/>
            </a:rPr>
            <a:t>ICT ,</a:t>
          </a:r>
        </a:p>
        <a:p>
          <a:pPr>
            <a:spcAft>
              <a:spcPts val="0"/>
            </a:spcAft>
          </a:pPr>
          <a:r>
            <a:rPr lang="cs-CZ" sz="1100">
              <a:solidFill>
                <a:sysClr val="windowText" lastClr="000000"/>
              </a:solidFill>
              <a:latin typeface="Times New Roman" pitchFamily="18" charset="0"/>
              <a:cs typeface="Times New Roman" pitchFamily="18" charset="0"/>
            </a:rPr>
            <a:t> recepce</a:t>
          </a:r>
        </a:p>
      </dgm:t>
    </dgm:pt>
    <dgm:pt modelId="{6DB9929F-DC3F-4EDA-99EC-6F6A3003FD59}" type="parTrans" cxnId="{ABABB55F-CA50-4654-B926-6D918FACD428}">
      <dgm:prSet/>
      <dgm:spPr>
        <a:ln w="19050">
          <a:solidFill>
            <a:schemeClr val="bg1">
              <a:lumMod val="65000"/>
            </a:schemeClr>
          </a:solidFill>
        </a:ln>
      </dgm:spPr>
      <dgm:t>
        <a:bodyPr/>
        <a:lstStyle/>
        <a:p>
          <a:endParaRPr lang="cs-CZ" sz="1100">
            <a:solidFill>
              <a:sysClr val="windowText" lastClr="000000"/>
            </a:solidFill>
          </a:endParaRPr>
        </a:p>
      </dgm:t>
    </dgm:pt>
    <dgm:pt modelId="{9DFA8362-D566-4DF5-932D-863EF704BD6A}" type="sibTrans" cxnId="{ABABB55F-CA50-4654-B926-6D918FACD428}">
      <dgm:prSet/>
      <dgm:spPr/>
      <dgm:t>
        <a:bodyPr/>
        <a:lstStyle/>
        <a:p>
          <a:endParaRPr lang="cs-CZ"/>
        </a:p>
      </dgm:t>
    </dgm:pt>
    <dgm:pt modelId="{0D543E68-F38E-4229-A130-CD7BED8E14F2}">
      <dgm:prSet custT="1"/>
      <dgm:spPr>
        <a:ln w="19050" cap="sq">
          <a:solidFill>
            <a:schemeClr val="bg1">
              <a:lumMod val="65000"/>
            </a:schemeClr>
          </a:solidFill>
        </a:ln>
      </dgm:spPr>
      <dgm:t>
        <a:bodyPr/>
        <a:lstStyle/>
        <a:p>
          <a:r>
            <a:rPr lang="cs-CZ" sz="1100">
              <a:solidFill>
                <a:sysClr val="windowText" lastClr="000000"/>
              </a:solidFill>
              <a:latin typeface="Times New Roman" pitchFamily="18" charset="0"/>
              <a:cs typeface="Times New Roman" pitchFamily="18" charset="0"/>
            </a:rPr>
            <a:t>Účtárna</a:t>
          </a:r>
        </a:p>
      </dgm:t>
    </dgm:pt>
    <dgm:pt modelId="{44CF89B2-37ED-4CF6-B942-748AD098F29C}" type="parTrans" cxnId="{C984E86A-52B0-4E5A-AB8D-5458F020A03A}">
      <dgm:prSet/>
      <dgm:spPr>
        <a:ln w="19050">
          <a:solidFill>
            <a:schemeClr val="bg1">
              <a:lumMod val="65000"/>
            </a:schemeClr>
          </a:solidFill>
        </a:ln>
      </dgm:spPr>
      <dgm:t>
        <a:bodyPr/>
        <a:lstStyle/>
        <a:p>
          <a:endParaRPr lang="cs-CZ" sz="1100">
            <a:solidFill>
              <a:sysClr val="windowText" lastClr="000000"/>
            </a:solidFill>
          </a:endParaRPr>
        </a:p>
      </dgm:t>
    </dgm:pt>
    <dgm:pt modelId="{1EB3E512-559F-4BBF-96B2-BF49689F1504}" type="sibTrans" cxnId="{C984E86A-52B0-4E5A-AB8D-5458F020A03A}">
      <dgm:prSet/>
      <dgm:spPr/>
      <dgm:t>
        <a:bodyPr/>
        <a:lstStyle/>
        <a:p>
          <a:endParaRPr lang="cs-CZ"/>
        </a:p>
      </dgm:t>
    </dgm:pt>
    <dgm:pt modelId="{E868FA4B-66E9-4484-B870-AC8D6EA98C3B}">
      <dgm:prSet phldrT="[Text]" custT="1"/>
      <dgm:spPr>
        <a:ln w="19050" cap="sq">
          <a:solidFill>
            <a:schemeClr val="bg1">
              <a:lumMod val="65000"/>
            </a:schemeClr>
          </a:solidFill>
        </a:ln>
      </dgm:spPr>
      <dgm:t>
        <a:bodyPr/>
        <a:lstStyle/>
        <a:p>
          <a:r>
            <a:rPr lang="cs-CZ" sz="1100">
              <a:solidFill>
                <a:sysClr val="windowText" lastClr="000000"/>
              </a:solidFill>
              <a:latin typeface="Times New Roman" pitchFamily="18" charset="0"/>
              <a:cs typeface="Times New Roman" pitchFamily="18" charset="0"/>
            </a:rPr>
            <a:t>Produkce</a:t>
          </a:r>
        </a:p>
      </dgm:t>
    </dgm:pt>
    <dgm:pt modelId="{FC56ACD6-A29D-494D-AB4C-7A301B34A6EF}" type="sibTrans" cxnId="{63238719-B710-450B-92DD-700037943827}">
      <dgm:prSet/>
      <dgm:spPr/>
      <dgm:t>
        <a:bodyPr/>
        <a:lstStyle/>
        <a:p>
          <a:endParaRPr lang="cs-CZ"/>
        </a:p>
      </dgm:t>
    </dgm:pt>
    <dgm:pt modelId="{8C2C4146-498B-46F9-8BBB-5312E5B3FE89}" type="parTrans" cxnId="{63238719-B710-450B-92DD-700037943827}">
      <dgm:prSet/>
      <dgm:spPr>
        <a:ln w="19050">
          <a:solidFill>
            <a:schemeClr val="bg1">
              <a:lumMod val="65000"/>
            </a:schemeClr>
          </a:solidFill>
        </a:ln>
      </dgm:spPr>
      <dgm:t>
        <a:bodyPr/>
        <a:lstStyle/>
        <a:p>
          <a:endParaRPr lang="cs-CZ" sz="1100">
            <a:solidFill>
              <a:sysClr val="windowText" lastClr="000000"/>
            </a:solidFill>
          </a:endParaRPr>
        </a:p>
      </dgm:t>
    </dgm:pt>
    <dgm:pt modelId="{6E730CEC-268D-4515-A165-259CFB3D9650}">
      <dgm:prSet custT="1"/>
      <dgm:spPr>
        <a:ln w="19050" cap="sq">
          <a:solidFill>
            <a:schemeClr val="bg1">
              <a:lumMod val="65000"/>
            </a:schemeClr>
          </a:solidFill>
        </a:ln>
      </dgm:spPr>
      <dgm:t>
        <a:bodyPr/>
        <a:lstStyle/>
        <a:p>
          <a:r>
            <a:rPr lang="cs-CZ" sz="1100">
              <a:solidFill>
                <a:sysClr val="windowText" lastClr="000000"/>
              </a:solidFill>
              <a:latin typeface="Times New Roman" pitchFamily="18" charset="0"/>
              <a:cs typeface="Times New Roman" pitchFamily="18" charset="0"/>
            </a:rPr>
            <a:t>Psychologická labolatoř</a:t>
          </a:r>
        </a:p>
      </dgm:t>
    </dgm:pt>
    <dgm:pt modelId="{BA7866AB-7AD6-4B99-8C68-AB2F6EB8B9E1}" type="sibTrans" cxnId="{BBD204B0-3D6E-4199-B2C0-49CC389D28A9}">
      <dgm:prSet/>
      <dgm:spPr/>
      <dgm:t>
        <a:bodyPr/>
        <a:lstStyle/>
        <a:p>
          <a:endParaRPr lang="cs-CZ"/>
        </a:p>
      </dgm:t>
    </dgm:pt>
    <dgm:pt modelId="{B5BC01D7-55F3-4F60-A19F-8A6D4ADB5EF1}" type="parTrans" cxnId="{BBD204B0-3D6E-4199-B2C0-49CC389D28A9}">
      <dgm:prSet/>
      <dgm:spPr>
        <a:ln w="19050">
          <a:solidFill>
            <a:schemeClr val="bg1">
              <a:lumMod val="65000"/>
            </a:schemeClr>
          </a:solidFill>
        </a:ln>
      </dgm:spPr>
      <dgm:t>
        <a:bodyPr/>
        <a:lstStyle/>
        <a:p>
          <a:endParaRPr lang="cs-CZ" sz="1100">
            <a:solidFill>
              <a:sysClr val="windowText" lastClr="000000"/>
            </a:solidFill>
          </a:endParaRPr>
        </a:p>
      </dgm:t>
    </dgm:pt>
    <dgm:pt modelId="{A79822C8-9994-4A85-BE48-B4B725805C4C}">
      <dgm:prSet custT="1"/>
      <dgm:spPr>
        <a:ln w="19050" cap="sq">
          <a:solidFill>
            <a:schemeClr val="bg1">
              <a:lumMod val="65000"/>
            </a:schemeClr>
          </a:solidFill>
        </a:ln>
      </dgm:spPr>
      <dgm:t>
        <a:bodyPr/>
        <a:lstStyle/>
        <a:p>
          <a:r>
            <a:rPr lang="cs-CZ" sz="1100">
              <a:solidFill>
                <a:sysClr val="windowText" lastClr="000000"/>
              </a:solidFill>
              <a:latin typeface="Times New Roman" pitchFamily="18" charset="0"/>
              <a:cs typeface="Times New Roman" pitchFamily="18" charset="0"/>
            </a:rPr>
            <a:t>Výzkumné sektory</a:t>
          </a:r>
        </a:p>
      </dgm:t>
    </dgm:pt>
    <dgm:pt modelId="{42D0E85E-CA7F-4E1C-B6F1-80622D0200FC}" type="sibTrans" cxnId="{34FF9114-5393-4954-8D14-DFF90E5AEC8A}">
      <dgm:prSet/>
      <dgm:spPr/>
      <dgm:t>
        <a:bodyPr/>
        <a:lstStyle/>
        <a:p>
          <a:endParaRPr lang="cs-CZ"/>
        </a:p>
      </dgm:t>
    </dgm:pt>
    <dgm:pt modelId="{7683A70A-FC7B-4062-9FF8-7A5D1F02F4E2}" type="parTrans" cxnId="{34FF9114-5393-4954-8D14-DFF90E5AEC8A}">
      <dgm:prSet/>
      <dgm:spPr>
        <a:ln w="19050">
          <a:solidFill>
            <a:schemeClr val="bg1">
              <a:lumMod val="65000"/>
            </a:schemeClr>
          </a:solidFill>
        </a:ln>
      </dgm:spPr>
      <dgm:t>
        <a:bodyPr/>
        <a:lstStyle/>
        <a:p>
          <a:endParaRPr lang="cs-CZ" sz="1100">
            <a:solidFill>
              <a:sysClr val="windowText" lastClr="000000"/>
            </a:solidFill>
          </a:endParaRPr>
        </a:p>
      </dgm:t>
    </dgm:pt>
    <dgm:pt modelId="{CD576B47-0573-4A80-A119-205AD6F9B99D}" type="pres">
      <dgm:prSet presAssocID="{5D481EF9-5026-460C-B6E4-8327C1C6D151}" presName="hierChild1" presStyleCnt="0">
        <dgm:presLayoutVars>
          <dgm:orgChart val="1"/>
          <dgm:chPref val="1"/>
          <dgm:dir/>
          <dgm:animOne val="branch"/>
          <dgm:animLvl val="lvl"/>
          <dgm:resizeHandles/>
        </dgm:presLayoutVars>
      </dgm:prSet>
      <dgm:spPr/>
      <dgm:t>
        <a:bodyPr/>
        <a:lstStyle/>
        <a:p>
          <a:endParaRPr lang="cs-CZ"/>
        </a:p>
      </dgm:t>
    </dgm:pt>
    <dgm:pt modelId="{43589D51-A16E-4DFF-B5DD-3EC0AAC5C09B}" type="pres">
      <dgm:prSet presAssocID="{63BBD2EA-0FB1-4BA9-832A-5F7068E331D2}" presName="hierRoot1" presStyleCnt="0">
        <dgm:presLayoutVars>
          <dgm:hierBranch val="init"/>
        </dgm:presLayoutVars>
      </dgm:prSet>
      <dgm:spPr/>
      <dgm:t>
        <a:bodyPr/>
        <a:lstStyle/>
        <a:p>
          <a:endParaRPr lang="cs-CZ"/>
        </a:p>
      </dgm:t>
    </dgm:pt>
    <dgm:pt modelId="{831F4417-42DE-42EF-AB36-61AF7F049AB6}" type="pres">
      <dgm:prSet presAssocID="{63BBD2EA-0FB1-4BA9-832A-5F7068E331D2}" presName="rootComposite1" presStyleCnt="0"/>
      <dgm:spPr/>
      <dgm:t>
        <a:bodyPr/>
        <a:lstStyle/>
        <a:p>
          <a:endParaRPr lang="cs-CZ"/>
        </a:p>
      </dgm:t>
    </dgm:pt>
    <dgm:pt modelId="{D05A2EEB-F431-4DCE-A4A5-9D9972F41843}" type="pres">
      <dgm:prSet presAssocID="{63BBD2EA-0FB1-4BA9-832A-5F7068E331D2}" presName="rootText1" presStyleLbl="node0" presStyleIdx="0" presStyleCnt="1">
        <dgm:presLayoutVars>
          <dgm:chPref val="3"/>
        </dgm:presLayoutVars>
      </dgm:prSet>
      <dgm:spPr>
        <a:prstGeom prst="roundRect">
          <a:avLst/>
        </a:prstGeom>
      </dgm:spPr>
      <dgm:t>
        <a:bodyPr/>
        <a:lstStyle/>
        <a:p>
          <a:endParaRPr lang="cs-CZ"/>
        </a:p>
      </dgm:t>
    </dgm:pt>
    <dgm:pt modelId="{6602C0BB-BB01-4D40-A850-A5F3D9C79519}" type="pres">
      <dgm:prSet presAssocID="{63BBD2EA-0FB1-4BA9-832A-5F7068E331D2}" presName="rootConnector1" presStyleLbl="node1" presStyleIdx="0" presStyleCnt="0"/>
      <dgm:spPr/>
      <dgm:t>
        <a:bodyPr/>
        <a:lstStyle/>
        <a:p>
          <a:endParaRPr lang="cs-CZ"/>
        </a:p>
      </dgm:t>
    </dgm:pt>
    <dgm:pt modelId="{C71EBBAB-3636-4AB3-AD50-84A1D4786E71}" type="pres">
      <dgm:prSet presAssocID="{63BBD2EA-0FB1-4BA9-832A-5F7068E331D2}" presName="hierChild2" presStyleCnt="0"/>
      <dgm:spPr/>
      <dgm:t>
        <a:bodyPr/>
        <a:lstStyle/>
        <a:p>
          <a:endParaRPr lang="cs-CZ"/>
        </a:p>
      </dgm:t>
    </dgm:pt>
    <dgm:pt modelId="{79E42B97-46F7-4340-974B-8864A41C3C9A}" type="pres">
      <dgm:prSet presAssocID="{A96D5522-C0CA-4C00-B257-10272CB0EB2F}" presName="Name37" presStyleLbl="parChTrans1D2" presStyleIdx="0" presStyleCnt="3"/>
      <dgm:spPr/>
      <dgm:t>
        <a:bodyPr/>
        <a:lstStyle/>
        <a:p>
          <a:endParaRPr lang="cs-CZ"/>
        </a:p>
      </dgm:t>
    </dgm:pt>
    <dgm:pt modelId="{C7945D95-EC33-4473-979D-3918E578B0E8}" type="pres">
      <dgm:prSet presAssocID="{5AB2D27F-4CBD-40C7-B9D6-6A936CAFA756}" presName="hierRoot2" presStyleCnt="0">
        <dgm:presLayoutVars>
          <dgm:hierBranch val="init"/>
        </dgm:presLayoutVars>
      </dgm:prSet>
      <dgm:spPr/>
      <dgm:t>
        <a:bodyPr/>
        <a:lstStyle/>
        <a:p>
          <a:endParaRPr lang="cs-CZ"/>
        </a:p>
      </dgm:t>
    </dgm:pt>
    <dgm:pt modelId="{88E8AA08-C0EB-4D7A-9B6F-26A8B1B1FE82}" type="pres">
      <dgm:prSet presAssocID="{5AB2D27F-4CBD-40C7-B9D6-6A936CAFA756}" presName="rootComposite" presStyleCnt="0"/>
      <dgm:spPr/>
      <dgm:t>
        <a:bodyPr/>
        <a:lstStyle/>
        <a:p>
          <a:endParaRPr lang="cs-CZ"/>
        </a:p>
      </dgm:t>
    </dgm:pt>
    <dgm:pt modelId="{1EF49442-CC4E-4A39-B0FF-D6348A796985}" type="pres">
      <dgm:prSet presAssocID="{5AB2D27F-4CBD-40C7-B9D6-6A936CAFA756}" presName="rootText" presStyleLbl="node2" presStyleIdx="0" presStyleCnt="3">
        <dgm:presLayoutVars>
          <dgm:chPref val="3"/>
        </dgm:presLayoutVars>
      </dgm:prSet>
      <dgm:spPr>
        <a:prstGeom prst="roundRect">
          <a:avLst/>
        </a:prstGeom>
      </dgm:spPr>
      <dgm:t>
        <a:bodyPr/>
        <a:lstStyle/>
        <a:p>
          <a:endParaRPr lang="cs-CZ"/>
        </a:p>
      </dgm:t>
    </dgm:pt>
    <dgm:pt modelId="{FF76A99F-DB5D-4653-8C7F-083A16925915}" type="pres">
      <dgm:prSet presAssocID="{5AB2D27F-4CBD-40C7-B9D6-6A936CAFA756}" presName="rootConnector" presStyleLbl="node2" presStyleIdx="0" presStyleCnt="3"/>
      <dgm:spPr/>
      <dgm:t>
        <a:bodyPr/>
        <a:lstStyle/>
        <a:p>
          <a:endParaRPr lang="cs-CZ"/>
        </a:p>
      </dgm:t>
    </dgm:pt>
    <dgm:pt modelId="{84AB76CF-6989-4E04-BBF9-ABA505D6DA43}" type="pres">
      <dgm:prSet presAssocID="{5AB2D27F-4CBD-40C7-B9D6-6A936CAFA756}" presName="hierChild4" presStyleCnt="0"/>
      <dgm:spPr/>
      <dgm:t>
        <a:bodyPr/>
        <a:lstStyle/>
        <a:p>
          <a:endParaRPr lang="cs-CZ"/>
        </a:p>
      </dgm:t>
    </dgm:pt>
    <dgm:pt modelId="{7664F1AC-FD26-4DCA-ABA0-1442BAA7B9DD}" type="pres">
      <dgm:prSet presAssocID="{7683A70A-FC7B-4062-9FF8-7A5D1F02F4E2}" presName="Name37" presStyleLbl="parChTrans1D3" presStyleIdx="0" presStyleCnt="6"/>
      <dgm:spPr/>
      <dgm:t>
        <a:bodyPr/>
        <a:lstStyle/>
        <a:p>
          <a:endParaRPr lang="cs-CZ"/>
        </a:p>
      </dgm:t>
    </dgm:pt>
    <dgm:pt modelId="{90F4D709-1DF0-4947-9A71-7028C4AE0C02}" type="pres">
      <dgm:prSet presAssocID="{A79822C8-9994-4A85-BE48-B4B725805C4C}" presName="hierRoot2" presStyleCnt="0">
        <dgm:presLayoutVars>
          <dgm:hierBranch val="init"/>
        </dgm:presLayoutVars>
      </dgm:prSet>
      <dgm:spPr/>
      <dgm:t>
        <a:bodyPr/>
        <a:lstStyle/>
        <a:p>
          <a:endParaRPr lang="cs-CZ"/>
        </a:p>
      </dgm:t>
    </dgm:pt>
    <dgm:pt modelId="{938E4AC9-A8EC-4A9B-AA80-64A9201E2FAE}" type="pres">
      <dgm:prSet presAssocID="{A79822C8-9994-4A85-BE48-B4B725805C4C}" presName="rootComposite" presStyleCnt="0"/>
      <dgm:spPr/>
      <dgm:t>
        <a:bodyPr/>
        <a:lstStyle/>
        <a:p>
          <a:endParaRPr lang="cs-CZ"/>
        </a:p>
      </dgm:t>
    </dgm:pt>
    <dgm:pt modelId="{3A8A21A6-61D0-4BD7-850E-E7082689CD5C}" type="pres">
      <dgm:prSet presAssocID="{A79822C8-9994-4A85-BE48-B4B725805C4C}" presName="rootText" presStyleLbl="node3" presStyleIdx="0" presStyleCnt="6">
        <dgm:presLayoutVars>
          <dgm:chPref val="3"/>
        </dgm:presLayoutVars>
      </dgm:prSet>
      <dgm:spPr>
        <a:prstGeom prst="roundRect">
          <a:avLst/>
        </a:prstGeom>
      </dgm:spPr>
      <dgm:t>
        <a:bodyPr/>
        <a:lstStyle/>
        <a:p>
          <a:endParaRPr lang="cs-CZ"/>
        </a:p>
      </dgm:t>
    </dgm:pt>
    <dgm:pt modelId="{430D8D2B-DE48-4B66-BF4F-93488483051C}" type="pres">
      <dgm:prSet presAssocID="{A79822C8-9994-4A85-BE48-B4B725805C4C}" presName="rootConnector" presStyleLbl="node3" presStyleIdx="0" presStyleCnt="6"/>
      <dgm:spPr/>
      <dgm:t>
        <a:bodyPr/>
        <a:lstStyle/>
        <a:p>
          <a:endParaRPr lang="cs-CZ"/>
        </a:p>
      </dgm:t>
    </dgm:pt>
    <dgm:pt modelId="{4C0A5CD1-BCC7-4F7F-A04D-FA3064460936}" type="pres">
      <dgm:prSet presAssocID="{A79822C8-9994-4A85-BE48-B4B725805C4C}" presName="hierChild4" presStyleCnt="0"/>
      <dgm:spPr/>
      <dgm:t>
        <a:bodyPr/>
        <a:lstStyle/>
        <a:p>
          <a:endParaRPr lang="cs-CZ"/>
        </a:p>
      </dgm:t>
    </dgm:pt>
    <dgm:pt modelId="{72024F6D-9173-4E90-B612-CBB5B199EC7F}" type="pres">
      <dgm:prSet presAssocID="{A79822C8-9994-4A85-BE48-B4B725805C4C}" presName="hierChild5" presStyleCnt="0"/>
      <dgm:spPr/>
      <dgm:t>
        <a:bodyPr/>
        <a:lstStyle/>
        <a:p>
          <a:endParaRPr lang="cs-CZ"/>
        </a:p>
      </dgm:t>
    </dgm:pt>
    <dgm:pt modelId="{C777F119-049A-437F-945C-4C31BD0F460A}" type="pres">
      <dgm:prSet presAssocID="{B5BC01D7-55F3-4F60-A19F-8A6D4ADB5EF1}" presName="Name37" presStyleLbl="parChTrans1D3" presStyleIdx="1" presStyleCnt="6"/>
      <dgm:spPr/>
      <dgm:t>
        <a:bodyPr/>
        <a:lstStyle/>
        <a:p>
          <a:endParaRPr lang="cs-CZ"/>
        </a:p>
      </dgm:t>
    </dgm:pt>
    <dgm:pt modelId="{2A381F34-5E28-49B0-A48C-C866E90AC70A}" type="pres">
      <dgm:prSet presAssocID="{6E730CEC-268D-4515-A165-259CFB3D9650}" presName="hierRoot2" presStyleCnt="0">
        <dgm:presLayoutVars>
          <dgm:hierBranch val="init"/>
        </dgm:presLayoutVars>
      </dgm:prSet>
      <dgm:spPr/>
      <dgm:t>
        <a:bodyPr/>
        <a:lstStyle/>
        <a:p>
          <a:endParaRPr lang="cs-CZ"/>
        </a:p>
      </dgm:t>
    </dgm:pt>
    <dgm:pt modelId="{665AA8C9-7B6D-4A73-AAD1-FE6A60B54E05}" type="pres">
      <dgm:prSet presAssocID="{6E730CEC-268D-4515-A165-259CFB3D9650}" presName="rootComposite" presStyleCnt="0"/>
      <dgm:spPr/>
      <dgm:t>
        <a:bodyPr/>
        <a:lstStyle/>
        <a:p>
          <a:endParaRPr lang="cs-CZ"/>
        </a:p>
      </dgm:t>
    </dgm:pt>
    <dgm:pt modelId="{2C575D80-17BC-4600-B2B9-10C5E9E7A4BC}" type="pres">
      <dgm:prSet presAssocID="{6E730CEC-268D-4515-A165-259CFB3D9650}" presName="rootText" presStyleLbl="node3" presStyleIdx="1" presStyleCnt="6">
        <dgm:presLayoutVars>
          <dgm:chPref val="3"/>
        </dgm:presLayoutVars>
      </dgm:prSet>
      <dgm:spPr>
        <a:prstGeom prst="roundRect">
          <a:avLst/>
        </a:prstGeom>
      </dgm:spPr>
      <dgm:t>
        <a:bodyPr/>
        <a:lstStyle/>
        <a:p>
          <a:endParaRPr lang="cs-CZ"/>
        </a:p>
      </dgm:t>
    </dgm:pt>
    <dgm:pt modelId="{2DE325A2-2BB0-4E38-BD45-A0BC02E0C4F8}" type="pres">
      <dgm:prSet presAssocID="{6E730CEC-268D-4515-A165-259CFB3D9650}" presName="rootConnector" presStyleLbl="node3" presStyleIdx="1" presStyleCnt="6"/>
      <dgm:spPr/>
      <dgm:t>
        <a:bodyPr/>
        <a:lstStyle/>
        <a:p>
          <a:endParaRPr lang="cs-CZ"/>
        </a:p>
      </dgm:t>
    </dgm:pt>
    <dgm:pt modelId="{D25F9A91-5455-44F2-BA60-10F4A7C062C6}" type="pres">
      <dgm:prSet presAssocID="{6E730CEC-268D-4515-A165-259CFB3D9650}" presName="hierChild4" presStyleCnt="0"/>
      <dgm:spPr/>
      <dgm:t>
        <a:bodyPr/>
        <a:lstStyle/>
        <a:p>
          <a:endParaRPr lang="cs-CZ"/>
        </a:p>
      </dgm:t>
    </dgm:pt>
    <dgm:pt modelId="{67F6ECD8-617F-4FC7-B241-928BAA0C458E}" type="pres">
      <dgm:prSet presAssocID="{6E730CEC-268D-4515-A165-259CFB3D9650}" presName="hierChild5" presStyleCnt="0"/>
      <dgm:spPr/>
      <dgm:t>
        <a:bodyPr/>
        <a:lstStyle/>
        <a:p>
          <a:endParaRPr lang="cs-CZ"/>
        </a:p>
      </dgm:t>
    </dgm:pt>
    <dgm:pt modelId="{5CF32AD7-4881-4EFF-989C-65DE8762F9A8}" type="pres">
      <dgm:prSet presAssocID="{5AB2D27F-4CBD-40C7-B9D6-6A936CAFA756}" presName="hierChild5" presStyleCnt="0"/>
      <dgm:spPr/>
      <dgm:t>
        <a:bodyPr/>
        <a:lstStyle/>
        <a:p>
          <a:endParaRPr lang="cs-CZ"/>
        </a:p>
      </dgm:t>
    </dgm:pt>
    <dgm:pt modelId="{42BDF1C1-0FD3-4F90-83E2-8319B6E14C64}" type="pres">
      <dgm:prSet presAssocID="{8C2C4146-498B-46F9-8BBB-5312E5B3FE89}" presName="Name37" presStyleLbl="parChTrans1D2" presStyleIdx="1" presStyleCnt="3"/>
      <dgm:spPr/>
      <dgm:t>
        <a:bodyPr/>
        <a:lstStyle/>
        <a:p>
          <a:endParaRPr lang="cs-CZ"/>
        </a:p>
      </dgm:t>
    </dgm:pt>
    <dgm:pt modelId="{34027547-4A61-49AF-87A8-470673ECA5A2}" type="pres">
      <dgm:prSet presAssocID="{E868FA4B-66E9-4484-B870-AC8D6EA98C3B}" presName="hierRoot2" presStyleCnt="0">
        <dgm:presLayoutVars>
          <dgm:hierBranch val="init"/>
        </dgm:presLayoutVars>
      </dgm:prSet>
      <dgm:spPr/>
      <dgm:t>
        <a:bodyPr/>
        <a:lstStyle/>
        <a:p>
          <a:endParaRPr lang="cs-CZ"/>
        </a:p>
      </dgm:t>
    </dgm:pt>
    <dgm:pt modelId="{2D456536-2C91-49D8-8A0D-42A4BFF77851}" type="pres">
      <dgm:prSet presAssocID="{E868FA4B-66E9-4484-B870-AC8D6EA98C3B}" presName="rootComposite" presStyleCnt="0"/>
      <dgm:spPr/>
      <dgm:t>
        <a:bodyPr/>
        <a:lstStyle/>
        <a:p>
          <a:endParaRPr lang="cs-CZ"/>
        </a:p>
      </dgm:t>
    </dgm:pt>
    <dgm:pt modelId="{C11A7F4F-3C99-4BF5-8E64-4FE5BF846B75}" type="pres">
      <dgm:prSet presAssocID="{E868FA4B-66E9-4484-B870-AC8D6EA98C3B}" presName="rootText" presStyleLbl="node2" presStyleIdx="1" presStyleCnt="3">
        <dgm:presLayoutVars>
          <dgm:chPref val="3"/>
        </dgm:presLayoutVars>
      </dgm:prSet>
      <dgm:spPr>
        <a:prstGeom prst="roundRect">
          <a:avLst/>
        </a:prstGeom>
      </dgm:spPr>
      <dgm:t>
        <a:bodyPr/>
        <a:lstStyle/>
        <a:p>
          <a:endParaRPr lang="cs-CZ"/>
        </a:p>
      </dgm:t>
    </dgm:pt>
    <dgm:pt modelId="{22545EFD-55C3-4E59-B34A-03AD3241086C}" type="pres">
      <dgm:prSet presAssocID="{E868FA4B-66E9-4484-B870-AC8D6EA98C3B}" presName="rootConnector" presStyleLbl="node2" presStyleIdx="1" presStyleCnt="3"/>
      <dgm:spPr/>
      <dgm:t>
        <a:bodyPr/>
        <a:lstStyle/>
        <a:p>
          <a:endParaRPr lang="cs-CZ"/>
        </a:p>
      </dgm:t>
    </dgm:pt>
    <dgm:pt modelId="{51A7ADC4-F8B0-4BA0-BD2B-578D64C5AABC}" type="pres">
      <dgm:prSet presAssocID="{E868FA4B-66E9-4484-B870-AC8D6EA98C3B}" presName="hierChild4" presStyleCnt="0"/>
      <dgm:spPr/>
      <dgm:t>
        <a:bodyPr/>
        <a:lstStyle/>
        <a:p>
          <a:endParaRPr lang="cs-CZ"/>
        </a:p>
      </dgm:t>
    </dgm:pt>
    <dgm:pt modelId="{F8B1DEFA-12EC-4E67-BB95-AB86FB7FEFCC}" type="pres">
      <dgm:prSet presAssocID="{F7730830-E7DB-4A73-ADC4-50F20342BAE5}" presName="Name37" presStyleLbl="parChTrans1D3" presStyleIdx="2" presStyleCnt="6"/>
      <dgm:spPr/>
      <dgm:t>
        <a:bodyPr/>
        <a:lstStyle/>
        <a:p>
          <a:endParaRPr lang="cs-CZ"/>
        </a:p>
      </dgm:t>
    </dgm:pt>
    <dgm:pt modelId="{3A771843-AA06-4233-ADD1-756CF27ABB74}" type="pres">
      <dgm:prSet presAssocID="{CFECDF47-C8CE-4FED-9AD2-EB7EE3DD1033}" presName="hierRoot2" presStyleCnt="0">
        <dgm:presLayoutVars>
          <dgm:hierBranch val="init"/>
        </dgm:presLayoutVars>
      </dgm:prSet>
      <dgm:spPr/>
      <dgm:t>
        <a:bodyPr/>
        <a:lstStyle/>
        <a:p>
          <a:endParaRPr lang="cs-CZ"/>
        </a:p>
      </dgm:t>
    </dgm:pt>
    <dgm:pt modelId="{52E9C853-8794-4057-B7C5-D3FB73619917}" type="pres">
      <dgm:prSet presAssocID="{CFECDF47-C8CE-4FED-9AD2-EB7EE3DD1033}" presName="rootComposite" presStyleCnt="0"/>
      <dgm:spPr/>
      <dgm:t>
        <a:bodyPr/>
        <a:lstStyle/>
        <a:p>
          <a:endParaRPr lang="cs-CZ"/>
        </a:p>
      </dgm:t>
    </dgm:pt>
    <dgm:pt modelId="{CDFCF5FE-9D78-4FCF-AC67-829E42679041}" type="pres">
      <dgm:prSet presAssocID="{CFECDF47-C8CE-4FED-9AD2-EB7EE3DD1033}" presName="rootText" presStyleLbl="node3" presStyleIdx="2" presStyleCnt="6">
        <dgm:presLayoutVars>
          <dgm:chPref val="3"/>
        </dgm:presLayoutVars>
      </dgm:prSet>
      <dgm:spPr>
        <a:prstGeom prst="roundRect">
          <a:avLst/>
        </a:prstGeom>
      </dgm:spPr>
      <dgm:t>
        <a:bodyPr/>
        <a:lstStyle/>
        <a:p>
          <a:endParaRPr lang="cs-CZ"/>
        </a:p>
      </dgm:t>
    </dgm:pt>
    <dgm:pt modelId="{CE2B8DEC-9417-444E-96E9-EA795D2912C7}" type="pres">
      <dgm:prSet presAssocID="{CFECDF47-C8CE-4FED-9AD2-EB7EE3DD1033}" presName="rootConnector" presStyleLbl="node3" presStyleIdx="2" presStyleCnt="6"/>
      <dgm:spPr/>
      <dgm:t>
        <a:bodyPr/>
        <a:lstStyle/>
        <a:p>
          <a:endParaRPr lang="cs-CZ"/>
        </a:p>
      </dgm:t>
    </dgm:pt>
    <dgm:pt modelId="{C33B8B4B-AD2C-43FC-8DC3-8F39BC026B4C}" type="pres">
      <dgm:prSet presAssocID="{CFECDF47-C8CE-4FED-9AD2-EB7EE3DD1033}" presName="hierChild4" presStyleCnt="0"/>
      <dgm:spPr/>
      <dgm:t>
        <a:bodyPr/>
        <a:lstStyle/>
        <a:p>
          <a:endParaRPr lang="cs-CZ"/>
        </a:p>
      </dgm:t>
    </dgm:pt>
    <dgm:pt modelId="{2F3B9685-B625-405E-AA6E-FC7E222C24F9}" type="pres">
      <dgm:prSet presAssocID="{CFECDF47-C8CE-4FED-9AD2-EB7EE3DD1033}" presName="hierChild5" presStyleCnt="0"/>
      <dgm:spPr/>
      <dgm:t>
        <a:bodyPr/>
        <a:lstStyle/>
        <a:p>
          <a:endParaRPr lang="cs-CZ"/>
        </a:p>
      </dgm:t>
    </dgm:pt>
    <dgm:pt modelId="{D6D1B54E-A594-44A8-82C5-D310410142A3}" type="pres">
      <dgm:prSet presAssocID="{79F70D95-F490-4CEA-B3B3-A03847D61B07}" presName="Name37" presStyleLbl="parChTrans1D3" presStyleIdx="3" presStyleCnt="6"/>
      <dgm:spPr/>
      <dgm:t>
        <a:bodyPr/>
        <a:lstStyle/>
        <a:p>
          <a:endParaRPr lang="cs-CZ"/>
        </a:p>
      </dgm:t>
    </dgm:pt>
    <dgm:pt modelId="{4DAE1D96-1FFC-4F85-9FF7-5B7E14775771}" type="pres">
      <dgm:prSet presAssocID="{5DEADCC7-13A1-4F47-AFE4-69D41C9FE5F9}" presName="hierRoot2" presStyleCnt="0">
        <dgm:presLayoutVars>
          <dgm:hierBranch val="init"/>
        </dgm:presLayoutVars>
      </dgm:prSet>
      <dgm:spPr/>
      <dgm:t>
        <a:bodyPr/>
        <a:lstStyle/>
        <a:p>
          <a:endParaRPr lang="cs-CZ"/>
        </a:p>
      </dgm:t>
    </dgm:pt>
    <dgm:pt modelId="{9B622C3C-B377-42AF-B7D4-A31C4C85E9EE}" type="pres">
      <dgm:prSet presAssocID="{5DEADCC7-13A1-4F47-AFE4-69D41C9FE5F9}" presName="rootComposite" presStyleCnt="0"/>
      <dgm:spPr/>
      <dgm:t>
        <a:bodyPr/>
        <a:lstStyle/>
        <a:p>
          <a:endParaRPr lang="cs-CZ"/>
        </a:p>
      </dgm:t>
    </dgm:pt>
    <dgm:pt modelId="{AA000461-4C83-4352-AEE6-D63BB1E19945}" type="pres">
      <dgm:prSet presAssocID="{5DEADCC7-13A1-4F47-AFE4-69D41C9FE5F9}" presName="rootText" presStyleLbl="node3" presStyleIdx="3" presStyleCnt="6">
        <dgm:presLayoutVars>
          <dgm:chPref val="3"/>
        </dgm:presLayoutVars>
      </dgm:prSet>
      <dgm:spPr>
        <a:prstGeom prst="roundRect">
          <a:avLst/>
        </a:prstGeom>
      </dgm:spPr>
      <dgm:t>
        <a:bodyPr/>
        <a:lstStyle/>
        <a:p>
          <a:endParaRPr lang="cs-CZ"/>
        </a:p>
      </dgm:t>
    </dgm:pt>
    <dgm:pt modelId="{F2FED103-4732-4BB4-97AA-2B0B113B1B47}" type="pres">
      <dgm:prSet presAssocID="{5DEADCC7-13A1-4F47-AFE4-69D41C9FE5F9}" presName="rootConnector" presStyleLbl="node3" presStyleIdx="3" presStyleCnt="6"/>
      <dgm:spPr/>
      <dgm:t>
        <a:bodyPr/>
        <a:lstStyle/>
        <a:p>
          <a:endParaRPr lang="cs-CZ"/>
        </a:p>
      </dgm:t>
    </dgm:pt>
    <dgm:pt modelId="{1BA89CEF-A1DC-4246-8DA9-DE679075760A}" type="pres">
      <dgm:prSet presAssocID="{5DEADCC7-13A1-4F47-AFE4-69D41C9FE5F9}" presName="hierChild4" presStyleCnt="0"/>
      <dgm:spPr/>
      <dgm:t>
        <a:bodyPr/>
        <a:lstStyle/>
        <a:p>
          <a:endParaRPr lang="cs-CZ"/>
        </a:p>
      </dgm:t>
    </dgm:pt>
    <dgm:pt modelId="{43ABFDDE-EBB3-45FB-8903-59368407367C}" type="pres">
      <dgm:prSet presAssocID="{5DEADCC7-13A1-4F47-AFE4-69D41C9FE5F9}" presName="hierChild5" presStyleCnt="0"/>
      <dgm:spPr/>
      <dgm:t>
        <a:bodyPr/>
        <a:lstStyle/>
        <a:p>
          <a:endParaRPr lang="cs-CZ"/>
        </a:p>
      </dgm:t>
    </dgm:pt>
    <dgm:pt modelId="{AFED9168-2017-44E6-A652-6D0769347A3E}" type="pres">
      <dgm:prSet presAssocID="{E868FA4B-66E9-4484-B870-AC8D6EA98C3B}" presName="hierChild5" presStyleCnt="0"/>
      <dgm:spPr/>
      <dgm:t>
        <a:bodyPr/>
        <a:lstStyle/>
        <a:p>
          <a:endParaRPr lang="cs-CZ"/>
        </a:p>
      </dgm:t>
    </dgm:pt>
    <dgm:pt modelId="{6C19D62A-7ACB-44BB-9C82-C94B13EE90F6}" type="pres">
      <dgm:prSet presAssocID="{CBDFCB55-8EBC-47A1-BDCA-6C8C530478FD}" presName="Name37" presStyleLbl="parChTrans1D2" presStyleIdx="2" presStyleCnt="3"/>
      <dgm:spPr/>
      <dgm:t>
        <a:bodyPr/>
        <a:lstStyle/>
        <a:p>
          <a:endParaRPr lang="cs-CZ"/>
        </a:p>
      </dgm:t>
    </dgm:pt>
    <dgm:pt modelId="{38592A08-931E-4524-A006-83FEC6EE232A}" type="pres">
      <dgm:prSet presAssocID="{0D62A34A-8B73-443B-8A10-53EA63632478}" presName="hierRoot2" presStyleCnt="0">
        <dgm:presLayoutVars>
          <dgm:hierBranch val="init"/>
        </dgm:presLayoutVars>
      </dgm:prSet>
      <dgm:spPr/>
      <dgm:t>
        <a:bodyPr/>
        <a:lstStyle/>
        <a:p>
          <a:endParaRPr lang="cs-CZ"/>
        </a:p>
      </dgm:t>
    </dgm:pt>
    <dgm:pt modelId="{D9487786-02DE-4134-AE82-7BBB7A76B2BB}" type="pres">
      <dgm:prSet presAssocID="{0D62A34A-8B73-443B-8A10-53EA63632478}" presName="rootComposite" presStyleCnt="0"/>
      <dgm:spPr/>
      <dgm:t>
        <a:bodyPr/>
        <a:lstStyle/>
        <a:p>
          <a:endParaRPr lang="cs-CZ"/>
        </a:p>
      </dgm:t>
    </dgm:pt>
    <dgm:pt modelId="{C5BC0B7B-1475-4A38-BF09-5216896B20E3}" type="pres">
      <dgm:prSet presAssocID="{0D62A34A-8B73-443B-8A10-53EA63632478}" presName="rootText" presStyleLbl="node2" presStyleIdx="2" presStyleCnt="3">
        <dgm:presLayoutVars>
          <dgm:chPref val="3"/>
        </dgm:presLayoutVars>
      </dgm:prSet>
      <dgm:spPr>
        <a:prstGeom prst="roundRect">
          <a:avLst/>
        </a:prstGeom>
      </dgm:spPr>
      <dgm:t>
        <a:bodyPr/>
        <a:lstStyle/>
        <a:p>
          <a:endParaRPr lang="cs-CZ"/>
        </a:p>
      </dgm:t>
    </dgm:pt>
    <dgm:pt modelId="{8535AE7E-371B-408A-A21C-5B663D4262DE}" type="pres">
      <dgm:prSet presAssocID="{0D62A34A-8B73-443B-8A10-53EA63632478}" presName="rootConnector" presStyleLbl="node2" presStyleIdx="2" presStyleCnt="3"/>
      <dgm:spPr/>
      <dgm:t>
        <a:bodyPr/>
        <a:lstStyle/>
        <a:p>
          <a:endParaRPr lang="cs-CZ"/>
        </a:p>
      </dgm:t>
    </dgm:pt>
    <dgm:pt modelId="{95777ADF-F33D-47FF-A514-1A187BFE7528}" type="pres">
      <dgm:prSet presAssocID="{0D62A34A-8B73-443B-8A10-53EA63632478}" presName="hierChild4" presStyleCnt="0"/>
      <dgm:spPr/>
      <dgm:t>
        <a:bodyPr/>
        <a:lstStyle/>
        <a:p>
          <a:endParaRPr lang="cs-CZ"/>
        </a:p>
      </dgm:t>
    </dgm:pt>
    <dgm:pt modelId="{C6F22972-DF00-495B-8A89-97BB4CA4575C}" type="pres">
      <dgm:prSet presAssocID="{44CF89B2-37ED-4CF6-B942-748AD098F29C}" presName="Name37" presStyleLbl="parChTrans1D3" presStyleIdx="4" presStyleCnt="6"/>
      <dgm:spPr/>
      <dgm:t>
        <a:bodyPr/>
        <a:lstStyle/>
        <a:p>
          <a:endParaRPr lang="cs-CZ"/>
        </a:p>
      </dgm:t>
    </dgm:pt>
    <dgm:pt modelId="{FF32391B-AB96-49E2-B183-C649DCB55FA9}" type="pres">
      <dgm:prSet presAssocID="{0D543E68-F38E-4229-A130-CD7BED8E14F2}" presName="hierRoot2" presStyleCnt="0">
        <dgm:presLayoutVars>
          <dgm:hierBranch val="init"/>
        </dgm:presLayoutVars>
      </dgm:prSet>
      <dgm:spPr/>
      <dgm:t>
        <a:bodyPr/>
        <a:lstStyle/>
        <a:p>
          <a:endParaRPr lang="cs-CZ"/>
        </a:p>
      </dgm:t>
    </dgm:pt>
    <dgm:pt modelId="{1592F6BD-5DC2-49EC-9F75-3255A7D110F3}" type="pres">
      <dgm:prSet presAssocID="{0D543E68-F38E-4229-A130-CD7BED8E14F2}" presName="rootComposite" presStyleCnt="0"/>
      <dgm:spPr/>
      <dgm:t>
        <a:bodyPr/>
        <a:lstStyle/>
        <a:p>
          <a:endParaRPr lang="cs-CZ"/>
        </a:p>
      </dgm:t>
    </dgm:pt>
    <dgm:pt modelId="{C1053ADC-BC06-468C-BDDC-19593E4D3AC8}" type="pres">
      <dgm:prSet presAssocID="{0D543E68-F38E-4229-A130-CD7BED8E14F2}" presName="rootText" presStyleLbl="node3" presStyleIdx="4" presStyleCnt="6">
        <dgm:presLayoutVars>
          <dgm:chPref val="3"/>
        </dgm:presLayoutVars>
      </dgm:prSet>
      <dgm:spPr>
        <a:prstGeom prst="roundRect">
          <a:avLst/>
        </a:prstGeom>
      </dgm:spPr>
      <dgm:t>
        <a:bodyPr/>
        <a:lstStyle/>
        <a:p>
          <a:endParaRPr lang="cs-CZ"/>
        </a:p>
      </dgm:t>
    </dgm:pt>
    <dgm:pt modelId="{0D63F9A2-0C48-4EC9-996B-024A1ED5D4AB}" type="pres">
      <dgm:prSet presAssocID="{0D543E68-F38E-4229-A130-CD7BED8E14F2}" presName="rootConnector" presStyleLbl="node3" presStyleIdx="4" presStyleCnt="6"/>
      <dgm:spPr/>
      <dgm:t>
        <a:bodyPr/>
        <a:lstStyle/>
        <a:p>
          <a:endParaRPr lang="cs-CZ"/>
        </a:p>
      </dgm:t>
    </dgm:pt>
    <dgm:pt modelId="{7D3BFA2C-4B87-4DE2-8F4B-319C53E03282}" type="pres">
      <dgm:prSet presAssocID="{0D543E68-F38E-4229-A130-CD7BED8E14F2}" presName="hierChild4" presStyleCnt="0"/>
      <dgm:spPr/>
      <dgm:t>
        <a:bodyPr/>
        <a:lstStyle/>
        <a:p>
          <a:endParaRPr lang="cs-CZ"/>
        </a:p>
      </dgm:t>
    </dgm:pt>
    <dgm:pt modelId="{C317A007-D22E-4059-B86D-37E39306B720}" type="pres">
      <dgm:prSet presAssocID="{0D543E68-F38E-4229-A130-CD7BED8E14F2}" presName="hierChild5" presStyleCnt="0"/>
      <dgm:spPr/>
      <dgm:t>
        <a:bodyPr/>
        <a:lstStyle/>
        <a:p>
          <a:endParaRPr lang="cs-CZ"/>
        </a:p>
      </dgm:t>
    </dgm:pt>
    <dgm:pt modelId="{38570056-033C-44F3-AB5C-46DA5B19E513}" type="pres">
      <dgm:prSet presAssocID="{6DB9929F-DC3F-4EDA-99EC-6F6A3003FD59}" presName="Name37" presStyleLbl="parChTrans1D3" presStyleIdx="5" presStyleCnt="6"/>
      <dgm:spPr/>
      <dgm:t>
        <a:bodyPr/>
        <a:lstStyle/>
        <a:p>
          <a:endParaRPr lang="cs-CZ"/>
        </a:p>
      </dgm:t>
    </dgm:pt>
    <dgm:pt modelId="{6B198571-72F6-489A-9EE4-1CA6969D285D}" type="pres">
      <dgm:prSet presAssocID="{96FA9925-6B6C-4CF5-BAC1-F03656226465}" presName="hierRoot2" presStyleCnt="0">
        <dgm:presLayoutVars>
          <dgm:hierBranch val="init"/>
        </dgm:presLayoutVars>
      </dgm:prSet>
      <dgm:spPr/>
      <dgm:t>
        <a:bodyPr/>
        <a:lstStyle/>
        <a:p>
          <a:endParaRPr lang="cs-CZ"/>
        </a:p>
      </dgm:t>
    </dgm:pt>
    <dgm:pt modelId="{2EECDFBB-926E-4E22-A22E-361F7EA1C2F1}" type="pres">
      <dgm:prSet presAssocID="{96FA9925-6B6C-4CF5-BAC1-F03656226465}" presName="rootComposite" presStyleCnt="0"/>
      <dgm:spPr/>
      <dgm:t>
        <a:bodyPr/>
        <a:lstStyle/>
        <a:p>
          <a:endParaRPr lang="cs-CZ"/>
        </a:p>
      </dgm:t>
    </dgm:pt>
    <dgm:pt modelId="{85D288B9-2741-4701-AC6D-FAF836D91C21}" type="pres">
      <dgm:prSet presAssocID="{96FA9925-6B6C-4CF5-BAC1-F03656226465}" presName="rootText" presStyleLbl="node3" presStyleIdx="5" presStyleCnt="6">
        <dgm:presLayoutVars>
          <dgm:chPref val="3"/>
        </dgm:presLayoutVars>
      </dgm:prSet>
      <dgm:spPr>
        <a:prstGeom prst="roundRect">
          <a:avLst/>
        </a:prstGeom>
      </dgm:spPr>
      <dgm:t>
        <a:bodyPr/>
        <a:lstStyle/>
        <a:p>
          <a:endParaRPr lang="cs-CZ"/>
        </a:p>
      </dgm:t>
    </dgm:pt>
    <dgm:pt modelId="{A977FD04-CE64-46AE-BE1E-356CCDCEDCCA}" type="pres">
      <dgm:prSet presAssocID="{96FA9925-6B6C-4CF5-BAC1-F03656226465}" presName="rootConnector" presStyleLbl="node3" presStyleIdx="5" presStyleCnt="6"/>
      <dgm:spPr/>
      <dgm:t>
        <a:bodyPr/>
        <a:lstStyle/>
        <a:p>
          <a:endParaRPr lang="cs-CZ"/>
        </a:p>
      </dgm:t>
    </dgm:pt>
    <dgm:pt modelId="{19045ACE-5B7A-436B-9147-A0A019E8DA06}" type="pres">
      <dgm:prSet presAssocID="{96FA9925-6B6C-4CF5-BAC1-F03656226465}" presName="hierChild4" presStyleCnt="0"/>
      <dgm:spPr/>
      <dgm:t>
        <a:bodyPr/>
        <a:lstStyle/>
        <a:p>
          <a:endParaRPr lang="cs-CZ"/>
        </a:p>
      </dgm:t>
    </dgm:pt>
    <dgm:pt modelId="{1E0EBF07-8997-43B7-8340-07FA9CA88858}" type="pres">
      <dgm:prSet presAssocID="{96FA9925-6B6C-4CF5-BAC1-F03656226465}" presName="hierChild5" presStyleCnt="0"/>
      <dgm:spPr/>
      <dgm:t>
        <a:bodyPr/>
        <a:lstStyle/>
        <a:p>
          <a:endParaRPr lang="cs-CZ"/>
        </a:p>
      </dgm:t>
    </dgm:pt>
    <dgm:pt modelId="{2E43399F-C1EB-4504-80B7-94221F40F817}" type="pres">
      <dgm:prSet presAssocID="{0D62A34A-8B73-443B-8A10-53EA63632478}" presName="hierChild5" presStyleCnt="0"/>
      <dgm:spPr/>
      <dgm:t>
        <a:bodyPr/>
        <a:lstStyle/>
        <a:p>
          <a:endParaRPr lang="cs-CZ"/>
        </a:p>
      </dgm:t>
    </dgm:pt>
    <dgm:pt modelId="{81D7EA62-3BF1-44D0-8657-7CF61FECB592}" type="pres">
      <dgm:prSet presAssocID="{63BBD2EA-0FB1-4BA9-832A-5F7068E331D2}" presName="hierChild3" presStyleCnt="0"/>
      <dgm:spPr/>
      <dgm:t>
        <a:bodyPr/>
        <a:lstStyle/>
        <a:p>
          <a:endParaRPr lang="cs-CZ"/>
        </a:p>
      </dgm:t>
    </dgm:pt>
  </dgm:ptLst>
  <dgm:cxnLst>
    <dgm:cxn modelId="{C5652AE1-240E-4136-8C98-2E6C1A3C17A5}" type="presOf" srcId="{5AB2D27F-4CBD-40C7-B9D6-6A936CAFA756}" destId="{FF76A99F-DB5D-4653-8C7F-083A16925915}" srcOrd="1" destOrd="0" presId="urn:microsoft.com/office/officeart/2005/8/layout/orgChart1"/>
    <dgm:cxn modelId="{DA290677-88E6-4FE4-8376-319BA5CD0FEC}" type="presOf" srcId="{8C2C4146-498B-46F9-8BBB-5312E5B3FE89}" destId="{42BDF1C1-0FD3-4F90-83E2-8319B6E14C64}" srcOrd="0" destOrd="0" presId="urn:microsoft.com/office/officeart/2005/8/layout/orgChart1"/>
    <dgm:cxn modelId="{96D52BA5-0A9D-4AF1-ABA1-5037EB054A5A}" type="presOf" srcId="{0D62A34A-8B73-443B-8A10-53EA63632478}" destId="{C5BC0B7B-1475-4A38-BF09-5216896B20E3}" srcOrd="0" destOrd="0" presId="urn:microsoft.com/office/officeart/2005/8/layout/orgChart1"/>
    <dgm:cxn modelId="{8CE87812-01A5-4E5F-A79C-994CC423B6D8}" type="presOf" srcId="{5D481EF9-5026-460C-B6E4-8327C1C6D151}" destId="{CD576B47-0573-4A80-A119-205AD6F9B99D}" srcOrd="0" destOrd="0" presId="urn:microsoft.com/office/officeart/2005/8/layout/orgChart1"/>
    <dgm:cxn modelId="{9E8EFD66-ABF5-42FB-AB90-A90621371503}" type="presOf" srcId="{63BBD2EA-0FB1-4BA9-832A-5F7068E331D2}" destId="{6602C0BB-BB01-4D40-A850-A5F3D9C79519}" srcOrd="1" destOrd="0" presId="urn:microsoft.com/office/officeart/2005/8/layout/orgChart1"/>
    <dgm:cxn modelId="{AA14C4E5-FD71-48A3-B876-5EAB3BC9C418}" type="presOf" srcId="{6E730CEC-268D-4515-A165-259CFB3D9650}" destId="{2C575D80-17BC-4600-B2B9-10C5E9E7A4BC}" srcOrd="0" destOrd="0" presId="urn:microsoft.com/office/officeart/2005/8/layout/orgChart1"/>
    <dgm:cxn modelId="{19A2ACEC-1407-4C4D-A1CC-CC5548961CDB}" type="presOf" srcId="{5DEADCC7-13A1-4F47-AFE4-69D41C9FE5F9}" destId="{F2FED103-4732-4BB4-97AA-2B0B113B1B47}" srcOrd="1" destOrd="0" presId="urn:microsoft.com/office/officeart/2005/8/layout/orgChart1"/>
    <dgm:cxn modelId="{32E302F7-AD7E-4C5B-B0D2-98662918ED4F}" type="presOf" srcId="{0D543E68-F38E-4229-A130-CD7BED8E14F2}" destId="{C1053ADC-BC06-468C-BDDC-19593E4D3AC8}" srcOrd="0" destOrd="0" presId="urn:microsoft.com/office/officeart/2005/8/layout/orgChart1"/>
    <dgm:cxn modelId="{A5C6542B-C37D-435D-8F9B-D1651F04262F}" srcId="{63BBD2EA-0FB1-4BA9-832A-5F7068E331D2}" destId="{5AB2D27F-4CBD-40C7-B9D6-6A936CAFA756}" srcOrd="0" destOrd="0" parTransId="{A96D5522-C0CA-4C00-B257-10272CB0EB2F}" sibTransId="{C9A06BF7-5709-46F7-B338-ED341F259A6A}"/>
    <dgm:cxn modelId="{C984E86A-52B0-4E5A-AB8D-5458F020A03A}" srcId="{0D62A34A-8B73-443B-8A10-53EA63632478}" destId="{0D543E68-F38E-4229-A130-CD7BED8E14F2}" srcOrd="0" destOrd="0" parTransId="{44CF89B2-37ED-4CF6-B942-748AD098F29C}" sibTransId="{1EB3E512-559F-4BBF-96B2-BF49689F1504}"/>
    <dgm:cxn modelId="{81B2063F-17A3-463B-B91C-21530D0DBD24}" type="presOf" srcId="{7683A70A-FC7B-4062-9FF8-7A5D1F02F4E2}" destId="{7664F1AC-FD26-4DCA-ABA0-1442BAA7B9DD}" srcOrd="0" destOrd="0" presId="urn:microsoft.com/office/officeart/2005/8/layout/orgChart1"/>
    <dgm:cxn modelId="{FA15652D-3AED-448D-8B1F-108E30234197}" type="presOf" srcId="{0D62A34A-8B73-443B-8A10-53EA63632478}" destId="{8535AE7E-371B-408A-A21C-5B663D4262DE}" srcOrd="1" destOrd="0" presId="urn:microsoft.com/office/officeart/2005/8/layout/orgChart1"/>
    <dgm:cxn modelId="{3E107DFD-342C-4C89-B421-7404C02DA169}" type="presOf" srcId="{CFECDF47-C8CE-4FED-9AD2-EB7EE3DD1033}" destId="{CE2B8DEC-9417-444E-96E9-EA795D2912C7}" srcOrd="1" destOrd="0" presId="urn:microsoft.com/office/officeart/2005/8/layout/orgChart1"/>
    <dgm:cxn modelId="{CE1D551B-2BD7-43B6-8028-B3367F61E448}" type="presOf" srcId="{A79822C8-9994-4A85-BE48-B4B725805C4C}" destId="{3A8A21A6-61D0-4BD7-850E-E7082689CD5C}" srcOrd="0" destOrd="0" presId="urn:microsoft.com/office/officeart/2005/8/layout/orgChart1"/>
    <dgm:cxn modelId="{555897FD-605E-49B0-9692-FC2396DFB168}" srcId="{E868FA4B-66E9-4484-B870-AC8D6EA98C3B}" destId="{5DEADCC7-13A1-4F47-AFE4-69D41C9FE5F9}" srcOrd="1" destOrd="0" parTransId="{79F70D95-F490-4CEA-B3B3-A03847D61B07}" sibTransId="{6B2CE060-8C02-42F9-9101-25A9F372F2CF}"/>
    <dgm:cxn modelId="{FC483BB7-867F-457E-BC3C-FAD2540BA81A}" type="presOf" srcId="{5AB2D27F-4CBD-40C7-B9D6-6A936CAFA756}" destId="{1EF49442-CC4E-4A39-B0FF-D6348A796985}" srcOrd="0" destOrd="0" presId="urn:microsoft.com/office/officeart/2005/8/layout/orgChart1"/>
    <dgm:cxn modelId="{B0B4D8AE-69B6-4BB3-969C-1ECC49C4A732}" type="presOf" srcId="{A79822C8-9994-4A85-BE48-B4B725805C4C}" destId="{430D8D2B-DE48-4B66-BF4F-93488483051C}" srcOrd="1" destOrd="0" presId="urn:microsoft.com/office/officeart/2005/8/layout/orgChart1"/>
    <dgm:cxn modelId="{F9E091BF-4F6A-4715-80EC-26357B0FCE46}" type="presOf" srcId="{E868FA4B-66E9-4484-B870-AC8D6EA98C3B}" destId="{C11A7F4F-3C99-4BF5-8E64-4FE5BF846B75}" srcOrd="0" destOrd="0" presId="urn:microsoft.com/office/officeart/2005/8/layout/orgChart1"/>
    <dgm:cxn modelId="{B5BC090D-28D1-4130-8277-773ED19F2C30}" type="presOf" srcId="{6DB9929F-DC3F-4EDA-99EC-6F6A3003FD59}" destId="{38570056-033C-44F3-AB5C-46DA5B19E513}" srcOrd="0" destOrd="0" presId="urn:microsoft.com/office/officeart/2005/8/layout/orgChart1"/>
    <dgm:cxn modelId="{792E4F24-62D7-42D9-916C-714D56457822}" type="presOf" srcId="{96FA9925-6B6C-4CF5-BAC1-F03656226465}" destId="{85D288B9-2741-4701-AC6D-FAF836D91C21}" srcOrd="0" destOrd="0" presId="urn:microsoft.com/office/officeart/2005/8/layout/orgChart1"/>
    <dgm:cxn modelId="{E2DE4E14-09B3-4DA7-B23D-5ACC15947389}" srcId="{E868FA4B-66E9-4484-B870-AC8D6EA98C3B}" destId="{CFECDF47-C8CE-4FED-9AD2-EB7EE3DD1033}" srcOrd="0" destOrd="0" parTransId="{F7730830-E7DB-4A73-ADC4-50F20342BAE5}" sibTransId="{576DF708-7DFD-4C77-BE0C-A4A4BF110407}"/>
    <dgm:cxn modelId="{0D3DC1EC-1556-4D0B-A48C-15B387CBF079}" type="presOf" srcId="{63BBD2EA-0FB1-4BA9-832A-5F7068E331D2}" destId="{D05A2EEB-F431-4DCE-A4A5-9D9972F41843}" srcOrd="0" destOrd="0" presId="urn:microsoft.com/office/officeart/2005/8/layout/orgChart1"/>
    <dgm:cxn modelId="{6AD7D5E9-1D18-4C73-8076-B4AEE55DF8FB}" type="presOf" srcId="{6E730CEC-268D-4515-A165-259CFB3D9650}" destId="{2DE325A2-2BB0-4E38-BD45-A0BC02E0C4F8}" srcOrd="1" destOrd="0" presId="urn:microsoft.com/office/officeart/2005/8/layout/orgChart1"/>
    <dgm:cxn modelId="{AB13B5B7-EE7A-4B57-AD54-AFD0FC7892FE}" type="presOf" srcId="{E868FA4B-66E9-4484-B870-AC8D6EA98C3B}" destId="{22545EFD-55C3-4E59-B34A-03AD3241086C}" srcOrd="1" destOrd="0" presId="urn:microsoft.com/office/officeart/2005/8/layout/orgChart1"/>
    <dgm:cxn modelId="{63238719-B710-450B-92DD-700037943827}" srcId="{63BBD2EA-0FB1-4BA9-832A-5F7068E331D2}" destId="{E868FA4B-66E9-4484-B870-AC8D6EA98C3B}" srcOrd="1" destOrd="0" parTransId="{8C2C4146-498B-46F9-8BBB-5312E5B3FE89}" sibTransId="{FC56ACD6-A29D-494D-AB4C-7A301B34A6EF}"/>
    <dgm:cxn modelId="{AD2FD600-65A4-467D-A805-EC3AF91B7076}" type="presOf" srcId="{F7730830-E7DB-4A73-ADC4-50F20342BAE5}" destId="{F8B1DEFA-12EC-4E67-BB95-AB86FB7FEFCC}" srcOrd="0" destOrd="0" presId="urn:microsoft.com/office/officeart/2005/8/layout/orgChart1"/>
    <dgm:cxn modelId="{34FF9114-5393-4954-8D14-DFF90E5AEC8A}" srcId="{5AB2D27F-4CBD-40C7-B9D6-6A936CAFA756}" destId="{A79822C8-9994-4A85-BE48-B4B725805C4C}" srcOrd="0" destOrd="0" parTransId="{7683A70A-FC7B-4062-9FF8-7A5D1F02F4E2}" sibTransId="{42D0E85E-CA7F-4E1C-B6F1-80622D0200FC}"/>
    <dgm:cxn modelId="{ABABB55F-CA50-4654-B926-6D918FACD428}" srcId="{0D62A34A-8B73-443B-8A10-53EA63632478}" destId="{96FA9925-6B6C-4CF5-BAC1-F03656226465}" srcOrd="1" destOrd="0" parTransId="{6DB9929F-DC3F-4EDA-99EC-6F6A3003FD59}" sibTransId="{9DFA8362-D566-4DF5-932D-863EF704BD6A}"/>
    <dgm:cxn modelId="{837E335F-5F17-4A3D-B1F4-D8F78676E29B}" type="presOf" srcId="{44CF89B2-37ED-4CF6-B942-748AD098F29C}" destId="{C6F22972-DF00-495B-8A89-97BB4CA4575C}" srcOrd="0" destOrd="0" presId="urn:microsoft.com/office/officeart/2005/8/layout/orgChart1"/>
    <dgm:cxn modelId="{2CCF0A2A-A594-4B1A-9494-751F049257C6}" type="presOf" srcId="{5DEADCC7-13A1-4F47-AFE4-69D41C9FE5F9}" destId="{AA000461-4C83-4352-AEE6-D63BB1E19945}" srcOrd="0" destOrd="0" presId="urn:microsoft.com/office/officeart/2005/8/layout/orgChart1"/>
    <dgm:cxn modelId="{1EF23BAA-0B35-4050-8396-1ED9452CF5F9}" type="presOf" srcId="{CFECDF47-C8CE-4FED-9AD2-EB7EE3DD1033}" destId="{CDFCF5FE-9D78-4FCF-AC67-829E42679041}" srcOrd="0" destOrd="0" presId="urn:microsoft.com/office/officeart/2005/8/layout/orgChart1"/>
    <dgm:cxn modelId="{A6DA5397-061C-43A0-A220-9EBCC53BFA37}" type="presOf" srcId="{CBDFCB55-8EBC-47A1-BDCA-6C8C530478FD}" destId="{6C19D62A-7ACB-44BB-9C82-C94B13EE90F6}" srcOrd="0" destOrd="0" presId="urn:microsoft.com/office/officeart/2005/8/layout/orgChart1"/>
    <dgm:cxn modelId="{034AC697-7D9F-4FBD-AA1F-E2B3E6C62034}" srcId="{63BBD2EA-0FB1-4BA9-832A-5F7068E331D2}" destId="{0D62A34A-8B73-443B-8A10-53EA63632478}" srcOrd="2" destOrd="0" parTransId="{CBDFCB55-8EBC-47A1-BDCA-6C8C530478FD}" sibTransId="{ED378A5C-7361-45DD-A19F-9D8CE4D8C3BC}"/>
    <dgm:cxn modelId="{E055CBEA-7BE3-47B6-8126-3485A0B5E6E6}" type="presOf" srcId="{A96D5522-C0CA-4C00-B257-10272CB0EB2F}" destId="{79E42B97-46F7-4340-974B-8864A41C3C9A}" srcOrd="0" destOrd="0" presId="urn:microsoft.com/office/officeart/2005/8/layout/orgChart1"/>
    <dgm:cxn modelId="{28AF91C1-4306-4381-B1E5-ABD1026784E1}" type="presOf" srcId="{96FA9925-6B6C-4CF5-BAC1-F03656226465}" destId="{A977FD04-CE64-46AE-BE1E-356CCDCEDCCA}" srcOrd="1" destOrd="0" presId="urn:microsoft.com/office/officeart/2005/8/layout/orgChart1"/>
    <dgm:cxn modelId="{BBD204B0-3D6E-4199-B2C0-49CC389D28A9}" srcId="{5AB2D27F-4CBD-40C7-B9D6-6A936CAFA756}" destId="{6E730CEC-268D-4515-A165-259CFB3D9650}" srcOrd="1" destOrd="0" parTransId="{B5BC01D7-55F3-4F60-A19F-8A6D4ADB5EF1}" sibTransId="{BA7866AB-7AD6-4B99-8C68-AB2F6EB8B9E1}"/>
    <dgm:cxn modelId="{3D575CEF-C837-4493-9C5D-48B7DB4AF95C}" srcId="{5D481EF9-5026-460C-B6E4-8327C1C6D151}" destId="{63BBD2EA-0FB1-4BA9-832A-5F7068E331D2}" srcOrd="0" destOrd="0" parTransId="{24FFDDC5-E37A-4B13-8062-3C5D3A33788D}" sibTransId="{39F21100-57A2-4F36-A265-D114DD1507C6}"/>
    <dgm:cxn modelId="{591DFBBB-7C0D-46F9-9460-C869E458083B}" type="presOf" srcId="{79F70D95-F490-4CEA-B3B3-A03847D61B07}" destId="{D6D1B54E-A594-44A8-82C5-D310410142A3}" srcOrd="0" destOrd="0" presId="urn:microsoft.com/office/officeart/2005/8/layout/orgChart1"/>
    <dgm:cxn modelId="{E6C39C70-2EE3-4E50-8B87-6B9FD1AAAD4A}" type="presOf" srcId="{0D543E68-F38E-4229-A130-CD7BED8E14F2}" destId="{0D63F9A2-0C48-4EC9-996B-024A1ED5D4AB}" srcOrd="1" destOrd="0" presId="urn:microsoft.com/office/officeart/2005/8/layout/orgChart1"/>
    <dgm:cxn modelId="{B0537B2A-7357-4747-AE35-3328217E3172}" type="presOf" srcId="{B5BC01D7-55F3-4F60-A19F-8A6D4ADB5EF1}" destId="{C777F119-049A-437F-945C-4C31BD0F460A}" srcOrd="0" destOrd="0" presId="urn:microsoft.com/office/officeart/2005/8/layout/orgChart1"/>
    <dgm:cxn modelId="{BDA270CD-E66F-4B1B-8159-CC2F8BD43377}" type="presParOf" srcId="{CD576B47-0573-4A80-A119-205AD6F9B99D}" destId="{43589D51-A16E-4DFF-B5DD-3EC0AAC5C09B}" srcOrd="0" destOrd="0" presId="urn:microsoft.com/office/officeart/2005/8/layout/orgChart1"/>
    <dgm:cxn modelId="{9659064B-E261-4F6B-B025-05753E1105A4}" type="presParOf" srcId="{43589D51-A16E-4DFF-B5DD-3EC0AAC5C09B}" destId="{831F4417-42DE-42EF-AB36-61AF7F049AB6}" srcOrd="0" destOrd="0" presId="urn:microsoft.com/office/officeart/2005/8/layout/orgChart1"/>
    <dgm:cxn modelId="{FEE5CA2A-CF30-4200-9750-E5FCC5E3E0B6}" type="presParOf" srcId="{831F4417-42DE-42EF-AB36-61AF7F049AB6}" destId="{D05A2EEB-F431-4DCE-A4A5-9D9972F41843}" srcOrd="0" destOrd="0" presId="urn:microsoft.com/office/officeart/2005/8/layout/orgChart1"/>
    <dgm:cxn modelId="{3AC47881-2D7B-4C6C-A453-5D9BF40165C3}" type="presParOf" srcId="{831F4417-42DE-42EF-AB36-61AF7F049AB6}" destId="{6602C0BB-BB01-4D40-A850-A5F3D9C79519}" srcOrd="1" destOrd="0" presId="urn:microsoft.com/office/officeart/2005/8/layout/orgChart1"/>
    <dgm:cxn modelId="{7D1F5B3C-E3AA-4315-98A1-BDEBE8EED7C5}" type="presParOf" srcId="{43589D51-A16E-4DFF-B5DD-3EC0AAC5C09B}" destId="{C71EBBAB-3636-4AB3-AD50-84A1D4786E71}" srcOrd="1" destOrd="0" presId="urn:microsoft.com/office/officeart/2005/8/layout/orgChart1"/>
    <dgm:cxn modelId="{9776A4B4-1C9E-444F-AB6C-C5DF23F90A61}" type="presParOf" srcId="{C71EBBAB-3636-4AB3-AD50-84A1D4786E71}" destId="{79E42B97-46F7-4340-974B-8864A41C3C9A}" srcOrd="0" destOrd="0" presId="urn:microsoft.com/office/officeart/2005/8/layout/orgChart1"/>
    <dgm:cxn modelId="{71FC5C8C-0A98-41F1-B459-216E5BB05B25}" type="presParOf" srcId="{C71EBBAB-3636-4AB3-AD50-84A1D4786E71}" destId="{C7945D95-EC33-4473-979D-3918E578B0E8}" srcOrd="1" destOrd="0" presId="urn:microsoft.com/office/officeart/2005/8/layout/orgChart1"/>
    <dgm:cxn modelId="{53268D5D-83AB-4CAE-B79C-B61060291054}" type="presParOf" srcId="{C7945D95-EC33-4473-979D-3918E578B0E8}" destId="{88E8AA08-C0EB-4D7A-9B6F-26A8B1B1FE82}" srcOrd="0" destOrd="0" presId="urn:microsoft.com/office/officeart/2005/8/layout/orgChart1"/>
    <dgm:cxn modelId="{F4A2348E-4647-4101-B92D-2F221B50D6AC}" type="presParOf" srcId="{88E8AA08-C0EB-4D7A-9B6F-26A8B1B1FE82}" destId="{1EF49442-CC4E-4A39-B0FF-D6348A796985}" srcOrd="0" destOrd="0" presId="urn:microsoft.com/office/officeart/2005/8/layout/orgChart1"/>
    <dgm:cxn modelId="{D6300AD8-0053-498E-9083-D6C7756F1084}" type="presParOf" srcId="{88E8AA08-C0EB-4D7A-9B6F-26A8B1B1FE82}" destId="{FF76A99F-DB5D-4653-8C7F-083A16925915}" srcOrd="1" destOrd="0" presId="urn:microsoft.com/office/officeart/2005/8/layout/orgChart1"/>
    <dgm:cxn modelId="{63B4BBCF-44C6-4D5E-A5ED-64A1F9980D84}" type="presParOf" srcId="{C7945D95-EC33-4473-979D-3918E578B0E8}" destId="{84AB76CF-6989-4E04-BBF9-ABA505D6DA43}" srcOrd="1" destOrd="0" presId="urn:microsoft.com/office/officeart/2005/8/layout/orgChart1"/>
    <dgm:cxn modelId="{3A314B17-B233-4723-AEF8-ADC8F4B45C00}" type="presParOf" srcId="{84AB76CF-6989-4E04-BBF9-ABA505D6DA43}" destId="{7664F1AC-FD26-4DCA-ABA0-1442BAA7B9DD}" srcOrd="0" destOrd="0" presId="urn:microsoft.com/office/officeart/2005/8/layout/orgChart1"/>
    <dgm:cxn modelId="{B0CE346D-A54E-4051-A7D2-922C10F3DDD1}" type="presParOf" srcId="{84AB76CF-6989-4E04-BBF9-ABA505D6DA43}" destId="{90F4D709-1DF0-4947-9A71-7028C4AE0C02}" srcOrd="1" destOrd="0" presId="urn:microsoft.com/office/officeart/2005/8/layout/orgChart1"/>
    <dgm:cxn modelId="{B570B30A-16DB-4402-BD0D-0008A08E8A10}" type="presParOf" srcId="{90F4D709-1DF0-4947-9A71-7028C4AE0C02}" destId="{938E4AC9-A8EC-4A9B-AA80-64A9201E2FAE}" srcOrd="0" destOrd="0" presId="urn:microsoft.com/office/officeart/2005/8/layout/orgChart1"/>
    <dgm:cxn modelId="{05CD46E9-9FEC-4485-9589-262F138527B2}" type="presParOf" srcId="{938E4AC9-A8EC-4A9B-AA80-64A9201E2FAE}" destId="{3A8A21A6-61D0-4BD7-850E-E7082689CD5C}" srcOrd="0" destOrd="0" presId="urn:microsoft.com/office/officeart/2005/8/layout/orgChart1"/>
    <dgm:cxn modelId="{D36455EE-E057-42D7-8ECA-1DE0EBC0F40D}" type="presParOf" srcId="{938E4AC9-A8EC-4A9B-AA80-64A9201E2FAE}" destId="{430D8D2B-DE48-4B66-BF4F-93488483051C}" srcOrd="1" destOrd="0" presId="urn:microsoft.com/office/officeart/2005/8/layout/orgChart1"/>
    <dgm:cxn modelId="{9D7E68EB-E6B0-4A1D-B343-1B2DCF809795}" type="presParOf" srcId="{90F4D709-1DF0-4947-9A71-7028C4AE0C02}" destId="{4C0A5CD1-BCC7-4F7F-A04D-FA3064460936}" srcOrd="1" destOrd="0" presId="urn:microsoft.com/office/officeart/2005/8/layout/orgChart1"/>
    <dgm:cxn modelId="{998179E4-5F1D-452A-8E95-9826D2F424BD}" type="presParOf" srcId="{90F4D709-1DF0-4947-9A71-7028C4AE0C02}" destId="{72024F6D-9173-4E90-B612-CBB5B199EC7F}" srcOrd="2" destOrd="0" presId="urn:microsoft.com/office/officeart/2005/8/layout/orgChart1"/>
    <dgm:cxn modelId="{5EFD1431-C4C8-4C3A-AFE3-541BB7C98C8F}" type="presParOf" srcId="{84AB76CF-6989-4E04-BBF9-ABA505D6DA43}" destId="{C777F119-049A-437F-945C-4C31BD0F460A}" srcOrd="2" destOrd="0" presId="urn:microsoft.com/office/officeart/2005/8/layout/orgChart1"/>
    <dgm:cxn modelId="{3208313E-B2B1-4C38-889B-E4C6D8FDCBCD}" type="presParOf" srcId="{84AB76CF-6989-4E04-BBF9-ABA505D6DA43}" destId="{2A381F34-5E28-49B0-A48C-C866E90AC70A}" srcOrd="3" destOrd="0" presId="urn:microsoft.com/office/officeart/2005/8/layout/orgChart1"/>
    <dgm:cxn modelId="{05AA89E5-7E38-408C-B289-A14C6BB4BB7D}" type="presParOf" srcId="{2A381F34-5E28-49B0-A48C-C866E90AC70A}" destId="{665AA8C9-7B6D-4A73-AAD1-FE6A60B54E05}" srcOrd="0" destOrd="0" presId="urn:microsoft.com/office/officeart/2005/8/layout/orgChart1"/>
    <dgm:cxn modelId="{9A492FA3-DFDF-4778-94E8-4C79028096E2}" type="presParOf" srcId="{665AA8C9-7B6D-4A73-AAD1-FE6A60B54E05}" destId="{2C575D80-17BC-4600-B2B9-10C5E9E7A4BC}" srcOrd="0" destOrd="0" presId="urn:microsoft.com/office/officeart/2005/8/layout/orgChart1"/>
    <dgm:cxn modelId="{8F59CDFF-3B3F-471D-8409-75A315CBEBE8}" type="presParOf" srcId="{665AA8C9-7B6D-4A73-AAD1-FE6A60B54E05}" destId="{2DE325A2-2BB0-4E38-BD45-A0BC02E0C4F8}" srcOrd="1" destOrd="0" presId="urn:microsoft.com/office/officeart/2005/8/layout/orgChart1"/>
    <dgm:cxn modelId="{95C9DACF-6614-4C51-AA9B-C7127A233B2C}" type="presParOf" srcId="{2A381F34-5E28-49B0-A48C-C866E90AC70A}" destId="{D25F9A91-5455-44F2-BA60-10F4A7C062C6}" srcOrd="1" destOrd="0" presId="urn:microsoft.com/office/officeart/2005/8/layout/orgChart1"/>
    <dgm:cxn modelId="{C8C42EB7-C0F1-4F90-8947-AB33ED8B15F6}" type="presParOf" srcId="{2A381F34-5E28-49B0-A48C-C866E90AC70A}" destId="{67F6ECD8-617F-4FC7-B241-928BAA0C458E}" srcOrd="2" destOrd="0" presId="urn:microsoft.com/office/officeart/2005/8/layout/orgChart1"/>
    <dgm:cxn modelId="{67BBA728-A390-473D-A9D4-5D3377724924}" type="presParOf" srcId="{C7945D95-EC33-4473-979D-3918E578B0E8}" destId="{5CF32AD7-4881-4EFF-989C-65DE8762F9A8}" srcOrd="2" destOrd="0" presId="urn:microsoft.com/office/officeart/2005/8/layout/orgChart1"/>
    <dgm:cxn modelId="{BA2D57E0-1836-488A-9B26-9745AF11AD53}" type="presParOf" srcId="{C71EBBAB-3636-4AB3-AD50-84A1D4786E71}" destId="{42BDF1C1-0FD3-4F90-83E2-8319B6E14C64}" srcOrd="2" destOrd="0" presId="urn:microsoft.com/office/officeart/2005/8/layout/orgChart1"/>
    <dgm:cxn modelId="{29855431-8891-4E23-8542-7E2BF4C6D43D}" type="presParOf" srcId="{C71EBBAB-3636-4AB3-AD50-84A1D4786E71}" destId="{34027547-4A61-49AF-87A8-470673ECA5A2}" srcOrd="3" destOrd="0" presId="urn:microsoft.com/office/officeart/2005/8/layout/orgChart1"/>
    <dgm:cxn modelId="{47B18899-D191-4802-8003-5B4603AF1CE6}" type="presParOf" srcId="{34027547-4A61-49AF-87A8-470673ECA5A2}" destId="{2D456536-2C91-49D8-8A0D-42A4BFF77851}" srcOrd="0" destOrd="0" presId="urn:microsoft.com/office/officeart/2005/8/layout/orgChart1"/>
    <dgm:cxn modelId="{F8877863-36F6-4BD5-80C9-231402791821}" type="presParOf" srcId="{2D456536-2C91-49D8-8A0D-42A4BFF77851}" destId="{C11A7F4F-3C99-4BF5-8E64-4FE5BF846B75}" srcOrd="0" destOrd="0" presId="urn:microsoft.com/office/officeart/2005/8/layout/orgChart1"/>
    <dgm:cxn modelId="{1CE0385A-7965-4245-934D-474D9D420B1D}" type="presParOf" srcId="{2D456536-2C91-49D8-8A0D-42A4BFF77851}" destId="{22545EFD-55C3-4E59-B34A-03AD3241086C}" srcOrd="1" destOrd="0" presId="urn:microsoft.com/office/officeart/2005/8/layout/orgChart1"/>
    <dgm:cxn modelId="{2C8FCA75-CCE5-49FA-B865-5A24B174B524}" type="presParOf" srcId="{34027547-4A61-49AF-87A8-470673ECA5A2}" destId="{51A7ADC4-F8B0-4BA0-BD2B-578D64C5AABC}" srcOrd="1" destOrd="0" presId="urn:microsoft.com/office/officeart/2005/8/layout/orgChart1"/>
    <dgm:cxn modelId="{84836C0A-6420-4F54-83DE-6AFFA39D1809}" type="presParOf" srcId="{51A7ADC4-F8B0-4BA0-BD2B-578D64C5AABC}" destId="{F8B1DEFA-12EC-4E67-BB95-AB86FB7FEFCC}" srcOrd="0" destOrd="0" presId="urn:microsoft.com/office/officeart/2005/8/layout/orgChart1"/>
    <dgm:cxn modelId="{0D02A4BC-7748-4B27-965A-B3BD5DAE23C1}" type="presParOf" srcId="{51A7ADC4-F8B0-4BA0-BD2B-578D64C5AABC}" destId="{3A771843-AA06-4233-ADD1-756CF27ABB74}" srcOrd="1" destOrd="0" presId="urn:microsoft.com/office/officeart/2005/8/layout/orgChart1"/>
    <dgm:cxn modelId="{CFC40902-32FB-43FD-895C-0664FFE7099F}" type="presParOf" srcId="{3A771843-AA06-4233-ADD1-756CF27ABB74}" destId="{52E9C853-8794-4057-B7C5-D3FB73619917}" srcOrd="0" destOrd="0" presId="urn:microsoft.com/office/officeart/2005/8/layout/orgChart1"/>
    <dgm:cxn modelId="{EAB91F3B-7346-4B71-BD47-BBCE57038319}" type="presParOf" srcId="{52E9C853-8794-4057-B7C5-D3FB73619917}" destId="{CDFCF5FE-9D78-4FCF-AC67-829E42679041}" srcOrd="0" destOrd="0" presId="urn:microsoft.com/office/officeart/2005/8/layout/orgChart1"/>
    <dgm:cxn modelId="{1F4BB733-1CE0-482A-A17E-2BF828B50E7D}" type="presParOf" srcId="{52E9C853-8794-4057-B7C5-D3FB73619917}" destId="{CE2B8DEC-9417-444E-96E9-EA795D2912C7}" srcOrd="1" destOrd="0" presId="urn:microsoft.com/office/officeart/2005/8/layout/orgChart1"/>
    <dgm:cxn modelId="{B0948D92-A521-4B1A-8083-63B095B257E6}" type="presParOf" srcId="{3A771843-AA06-4233-ADD1-756CF27ABB74}" destId="{C33B8B4B-AD2C-43FC-8DC3-8F39BC026B4C}" srcOrd="1" destOrd="0" presId="urn:microsoft.com/office/officeart/2005/8/layout/orgChart1"/>
    <dgm:cxn modelId="{0163608B-0728-4D59-BFDF-6FCFA02E0C86}" type="presParOf" srcId="{3A771843-AA06-4233-ADD1-756CF27ABB74}" destId="{2F3B9685-B625-405E-AA6E-FC7E222C24F9}" srcOrd="2" destOrd="0" presId="urn:microsoft.com/office/officeart/2005/8/layout/orgChart1"/>
    <dgm:cxn modelId="{3B0E335D-D2FA-4926-955E-C577B9AA7992}" type="presParOf" srcId="{51A7ADC4-F8B0-4BA0-BD2B-578D64C5AABC}" destId="{D6D1B54E-A594-44A8-82C5-D310410142A3}" srcOrd="2" destOrd="0" presId="urn:microsoft.com/office/officeart/2005/8/layout/orgChart1"/>
    <dgm:cxn modelId="{80E433FB-81E2-4258-A36B-A33E2AD38843}" type="presParOf" srcId="{51A7ADC4-F8B0-4BA0-BD2B-578D64C5AABC}" destId="{4DAE1D96-1FFC-4F85-9FF7-5B7E14775771}" srcOrd="3" destOrd="0" presId="urn:microsoft.com/office/officeart/2005/8/layout/orgChart1"/>
    <dgm:cxn modelId="{22E5B990-5828-49F1-A870-952852B66E95}" type="presParOf" srcId="{4DAE1D96-1FFC-4F85-9FF7-5B7E14775771}" destId="{9B622C3C-B377-42AF-B7D4-A31C4C85E9EE}" srcOrd="0" destOrd="0" presId="urn:microsoft.com/office/officeart/2005/8/layout/orgChart1"/>
    <dgm:cxn modelId="{04E5D109-0AF2-4DE2-924C-6E5F30E7DAB4}" type="presParOf" srcId="{9B622C3C-B377-42AF-B7D4-A31C4C85E9EE}" destId="{AA000461-4C83-4352-AEE6-D63BB1E19945}" srcOrd="0" destOrd="0" presId="urn:microsoft.com/office/officeart/2005/8/layout/orgChart1"/>
    <dgm:cxn modelId="{D6DEC62F-E10C-4F72-A5F2-B45CAA442995}" type="presParOf" srcId="{9B622C3C-B377-42AF-B7D4-A31C4C85E9EE}" destId="{F2FED103-4732-4BB4-97AA-2B0B113B1B47}" srcOrd="1" destOrd="0" presId="urn:microsoft.com/office/officeart/2005/8/layout/orgChart1"/>
    <dgm:cxn modelId="{54A612E2-5CBB-43B4-8B18-894E07910A9E}" type="presParOf" srcId="{4DAE1D96-1FFC-4F85-9FF7-5B7E14775771}" destId="{1BA89CEF-A1DC-4246-8DA9-DE679075760A}" srcOrd="1" destOrd="0" presId="urn:microsoft.com/office/officeart/2005/8/layout/orgChart1"/>
    <dgm:cxn modelId="{726E8036-E358-4BC0-B0D9-FC8B31168D40}" type="presParOf" srcId="{4DAE1D96-1FFC-4F85-9FF7-5B7E14775771}" destId="{43ABFDDE-EBB3-45FB-8903-59368407367C}" srcOrd="2" destOrd="0" presId="urn:microsoft.com/office/officeart/2005/8/layout/orgChart1"/>
    <dgm:cxn modelId="{BBBE6168-1370-4A8B-BC83-32AC365A4C01}" type="presParOf" srcId="{34027547-4A61-49AF-87A8-470673ECA5A2}" destId="{AFED9168-2017-44E6-A652-6D0769347A3E}" srcOrd="2" destOrd="0" presId="urn:microsoft.com/office/officeart/2005/8/layout/orgChart1"/>
    <dgm:cxn modelId="{7C0C9CB9-6F44-4058-952A-23798EC94522}" type="presParOf" srcId="{C71EBBAB-3636-4AB3-AD50-84A1D4786E71}" destId="{6C19D62A-7ACB-44BB-9C82-C94B13EE90F6}" srcOrd="4" destOrd="0" presId="urn:microsoft.com/office/officeart/2005/8/layout/orgChart1"/>
    <dgm:cxn modelId="{A29ECCB3-8C66-4979-8DD5-398F3AF72C02}" type="presParOf" srcId="{C71EBBAB-3636-4AB3-AD50-84A1D4786E71}" destId="{38592A08-931E-4524-A006-83FEC6EE232A}" srcOrd="5" destOrd="0" presId="urn:microsoft.com/office/officeart/2005/8/layout/orgChart1"/>
    <dgm:cxn modelId="{6720CF46-0291-4DCC-A2B8-4AC5345DC5AD}" type="presParOf" srcId="{38592A08-931E-4524-A006-83FEC6EE232A}" destId="{D9487786-02DE-4134-AE82-7BBB7A76B2BB}" srcOrd="0" destOrd="0" presId="urn:microsoft.com/office/officeart/2005/8/layout/orgChart1"/>
    <dgm:cxn modelId="{1D06CC96-363A-4013-9528-9C8491C9446F}" type="presParOf" srcId="{D9487786-02DE-4134-AE82-7BBB7A76B2BB}" destId="{C5BC0B7B-1475-4A38-BF09-5216896B20E3}" srcOrd="0" destOrd="0" presId="urn:microsoft.com/office/officeart/2005/8/layout/orgChart1"/>
    <dgm:cxn modelId="{2DD1C5D7-72E6-4C17-B52D-B4B977DB8EDF}" type="presParOf" srcId="{D9487786-02DE-4134-AE82-7BBB7A76B2BB}" destId="{8535AE7E-371B-408A-A21C-5B663D4262DE}" srcOrd="1" destOrd="0" presId="urn:microsoft.com/office/officeart/2005/8/layout/orgChart1"/>
    <dgm:cxn modelId="{CB97C1E9-C717-47C4-BD45-0EE51E732FAD}" type="presParOf" srcId="{38592A08-931E-4524-A006-83FEC6EE232A}" destId="{95777ADF-F33D-47FF-A514-1A187BFE7528}" srcOrd="1" destOrd="0" presId="urn:microsoft.com/office/officeart/2005/8/layout/orgChart1"/>
    <dgm:cxn modelId="{CB182766-4403-4647-B448-26C32C7FE350}" type="presParOf" srcId="{95777ADF-F33D-47FF-A514-1A187BFE7528}" destId="{C6F22972-DF00-495B-8A89-97BB4CA4575C}" srcOrd="0" destOrd="0" presId="urn:microsoft.com/office/officeart/2005/8/layout/orgChart1"/>
    <dgm:cxn modelId="{B044202A-5482-48D5-8669-261A4522D3A9}" type="presParOf" srcId="{95777ADF-F33D-47FF-A514-1A187BFE7528}" destId="{FF32391B-AB96-49E2-B183-C649DCB55FA9}" srcOrd="1" destOrd="0" presId="urn:microsoft.com/office/officeart/2005/8/layout/orgChart1"/>
    <dgm:cxn modelId="{52475604-0319-4043-B272-D5E40C3445E1}" type="presParOf" srcId="{FF32391B-AB96-49E2-B183-C649DCB55FA9}" destId="{1592F6BD-5DC2-49EC-9F75-3255A7D110F3}" srcOrd="0" destOrd="0" presId="urn:microsoft.com/office/officeart/2005/8/layout/orgChart1"/>
    <dgm:cxn modelId="{56BDB061-A945-44B9-9E27-B55F5996B7BF}" type="presParOf" srcId="{1592F6BD-5DC2-49EC-9F75-3255A7D110F3}" destId="{C1053ADC-BC06-468C-BDDC-19593E4D3AC8}" srcOrd="0" destOrd="0" presId="urn:microsoft.com/office/officeart/2005/8/layout/orgChart1"/>
    <dgm:cxn modelId="{A48161B0-AA9D-40EB-8BAB-F45195CEA50E}" type="presParOf" srcId="{1592F6BD-5DC2-49EC-9F75-3255A7D110F3}" destId="{0D63F9A2-0C48-4EC9-996B-024A1ED5D4AB}" srcOrd="1" destOrd="0" presId="urn:microsoft.com/office/officeart/2005/8/layout/orgChart1"/>
    <dgm:cxn modelId="{0291F00C-7FA5-4E7F-9349-75AF4BA24700}" type="presParOf" srcId="{FF32391B-AB96-49E2-B183-C649DCB55FA9}" destId="{7D3BFA2C-4B87-4DE2-8F4B-319C53E03282}" srcOrd="1" destOrd="0" presId="urn:microsoft.com/office/officeart/2005/8/layout/orgChart1"/>
    <dgm:cxn modelId="{8BA39F4C-F634-4BBB-8DCF-4F94CCB05936}" type="presParOf" srcId="{FF32391B-AB96-49E2-B183-C649DCB55FA9}" destId="{C317A007-D22E-4059-B86D-37E39306B720}" srcOrd="2" destOrd="0" presId="urn:microsoft.com/office/officeart/2005/8/layout/orgChart1"/>
    <dgm:cxn modelId="{E7B6E9C2-A477-4041-822F-D58EFEC6BCC2}" type="presParOf" srcId="{95777ADF-F33D-47FF-A514-1A187BFE7528}" destId="{38570056-033C-44F3-AB5C-46DA5B19E513}" srcOrd="2" destOrd="0" presId="urn:microsoft.com/office/officeart/2005/8/layout/orgChart1"/>
    <dgm:cxn modelId="{5A63FE8F-571A-4F6A-9B4A-4A09B967D6EE}" type="presParOf" srcId="{95777ADF-F33D-47FF-A514-1A187BFE7528}" destId="{6B198571-72F6-489A-9EE4-1CA6969D285D}" srcOrd="3" destOrd="0" presId="urn:microsoft.com/office/officeart/2005/8/layout/orgChart1"/>
    <dgm:cxn modelId="{B8794505-FD9F-4093-B6F7-D3B7CD2E7E3C}" type="presParOf" srcId="{6B198571-72F6-489A-9EE4-1CA6969D285D}" destId="{2EECDFBB-926E-4E22-A22E-361F7EA1C2F1}" srcOrd="0" destOrd="0" presId="urn:microsoft.com/office/officeart/2005/8/layout/orgChart1"/>
    <dgm:cxn modelId="{AE3CC3F2-316C-45D6-BB79-FE101BB0EA31}" type="presParOf" srcId="{2EECDFBB-926E-4E22-A22E-361F7EA1C2F1}" destId="{85D288B9-2741-4701-AC6D-FAF836D91C21}" srcOrd="0" destOrd="0" presId="urn:microsoft.com/office/officeart/2005/8/layout/orgChart1"/>
    <dgm:cxn modelId="{F2EDED97-023A-403D-A54A-4743CA18E9BE}" type="presParOf" srcId="{2EECDFBB-926E-4E22-A22E-361F7EA1C2F1}" destId="{A977FD04-CE64-46AE-BE1E-356CCDCEDCCA}" srcOrd="1" destOrd="0" presId="urn:microsoft.com/office/officeart/2005/8/layout/orgChart1"/>
    <dgm:cxn modelId="{56F0DAC5-E487-4665-B2F9-E2DD7ADEC3EC}" type="presParOf" srcId="{6B198571-72F6-489A-9EE4-1CA6969D285D}" destId="{19045ACE-5B7A-436B-9147-A0A019E8DA06}" srcOrd="1" destOrd="0" presId="urn:microsoft.com/office/officeart/2005/8/layout/orgChart1"/>
    <dgm:cxn modelId="{5AACB2B5-5079-4CDF-83B0-CBCC00546BB9}" type="presParOf" srcId="{6B198571-72F6-489A-9EE4-1CA6969D285D}" destId="{1E0EBF07-8997-43B7-8340-07FA9CA88858}" srcOrd="2" destOrd="0" presId="urn:microsoft.com/office/officeart/2005/8/layout/orgChart1"/>
    <dgm:cxn modelId="{DB6A4963-BD29-4CC4-A62B-EFA7AF6BDF69}" type="presParOf" srcId="{38592A08-931E-4524-A006-83FEC6EE232A}" destId="{2E43399F-C1EB-4504-80B7-94221F40F817}" srcOrd="2" destOrd="0" presId="urn:microsoft.com/office/officeart/2005/8/layout/orgChart1"/>
    <dgm:cxn modelId="{1916D208-9483-4250-8023-18B3FC2A2035}" type="presParOf" srcId="{43589D51-A16E-4DFF-B5DD-3EC0AAC5C09B}" destId="{81D7EA62-3BF1-44D0-8657-7CF61FECB592}" srcOrd="2" destOrd="0" presId="urn:microsoft.com/office/officeart/2005/8/layout/orgChart1"/>
  </dgm:cxnLst>
  <dgm:bg/>
  <dgm:whole>
    <a:ln w="3175" cap="flat" cmpd="sng" algn="ctr">
      <a:noFill/>
      <a:prstDash val="solid"/>
      <a:round/>
      <a:headEnd type="none" w="med" len="med"/>
      <a:tailEnd type="none" w="med" len="med"/>
    </a:ln>
  </dgm:whole>
</dgm:dataModel>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Zstupn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Zstupn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Zstupn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Zstupn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Zstupntext"/>
            </w:rPr>
            <w:t>Zvolte položku.</w:t>
          </w:r>
        </w:p>
      </w:docPartBody>
    </w:docPart>
    <w:docPart>
      <w:docPartPr>
        <w:name w:val="9B6AB496BEEE406F8C485E66513C8B7D"/>
        <w:category>
          <w:name w:val="Obecné"/>
          <w:gallery w:val="placeholder"/>
        </w:category>
        <w:types>
          <w:type w:val="bbPlcHdr"/>
        </w:types>
        <w:behaviors>
          <w:behavior w:val="content"/>
        </w:behaviors>
        <w:guid w:val="{36144EF6-D73B-42F1-9B70-3C659ACFAD07}"/>
      </w:docPartPr>
      <w:docPartBody>
        <w:p w:rsidR="0074468A" w:rsidRDefault="00000F15" w:rsidP="00000F15">
          <w:pPr>
            <w:pStyle w:val="9B6AB496BEEE406F8C485E66513C8B7D"/>
          </w:pPr>
          <w:r w:rsidRPr="004D372E">
            <w:rPr>
              <w:rStyle w:val="Zstupntext"/>
            </w:rPr>
            <w:t>Klepněte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A00002EF" w:usb1="420020E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23715"/>
    <w:rsid w:val="000000C5"/>
    <w:rsid w:val="00000F15"/>
    <w:rsid w:val="00006D26"/>
    <w:rsid w:val="00010A89"/>
    <w:rsid w:val="00027D00"/>
    <w:rsid w:val="000532F3"/>
    <w:rsid w:val="000A14CD"/>
    <w:rsid w:val="000A5E6E"/>
    <w:rsid w:val="000E6ACF"/>
    <w:rsid w:val="0010353A"/>
    <w:rsid w:val="00112414"/>
    <w:rsid w:val="001268FD"/>
    <w:rsid w:val="00144B0F"/>
    <w:rsid w:val="0015649F"/>
    <w:rsid w:val="00164211"/>
    <w:rsid w:val="00170F7C"/>
    <w:rsid w:val="001A5625"/>
    <w:rsid w:val="001F028D"/>
    <w:rsid w:val="001F1E1C"/>
    <w:rsid w:val="002220BB"/>
    <w:rsid w:val="002670CC"/>
    <w:rsid w:val="0029604F"/>
    <w:rsid w:val="002B5CE6"/>
    <w:rsid w:val="002F6AAC"/>
    <w:rsid w:val="0030673B"/>
    <w:rsid w:val="00310119"/>
    <w:rsid w:val="00356F41"/>
    <w:rsid w:val="00373A5D"/>
    <w:rsid w:val="003B6262"/>
    <w:rsid w:val="003C352E"/>
    <w:rsid w:val="004518EF"/>
    <w:rsid w:val="00474C25"/>
    <w:rsid w:val="004A18E6"/>
    <w:rsid w:val="00523715"/>
    <w:rsid w:val="00546E77"/>
    <w:rsid w:val="00554D03"/>
    <w:rsid w:val="00571E78"/>
    <w:rsid w:val="0058051F"/>
    <w:rsid w:val="005838FD"/>
    <w:rsid w:val="00585D2E"/>
    <w:rsid w:val="005A7C77"/>
    <w:rsid w:val="005E472A"/>
    <w:rsid w:val="005F4D56"/>
    <w:rsid w:val="005F6CDB"/>
    <w:rsid w:val="00657E45"/>
    <w:rsid w:val="00662015"/>
    <w:rsid w:val="00670DB0"/>
    <w:rsid w:val="00683FB0"/>
    <w:rsid w:val="00691AD4"/>
    <w:rsid w:val="006B46BE"/>
    <w:rsid w:val="006D186D"/>
    <w:rsid w:val="00702D5C"/>
    <w:rsid w:val="0074468A"/>
    <w:rsid w:val="00745660"/>
    <w:rsid w:val="00764F8E"/>
    <w:rsid w:val="007C68D8"/>
    <w:rsid w:val="007D7C1D"/>
    <w:rsid w:val="00813214"/>
    <w:rsid w:val="00823F01"/>
    <w:rsid w:val="00835AE0"/>
    <w:rsid w:val="00875876"/>
    <w:rsid w:val="008A2A62"/>
    <w:rsid w:val="008B0E89"/>
    <w:rsid w:val="00905842"/>
    <w:rsid w:val="00964D2C"/>
    <w:rsid w:val="009C7100"/>
    <w:rsid w:val="009F5BD0"/>
    <w:rsid w:val="00A3204D"/>
    <w:rsid w:val="00A32411"/>
    <w:rsid w:val="00A80DD2"/>
    <w:rsid w:val="00AB122F"/>
    <w:rsid w:val="00AB1C61"/>
    <w:rsid w:val="00AB6DBC"/>
    <w:rsid w:val="00AC2D48"/>
    <w:rsid w:val="00AE122A"/>
    <w:rsid w:val="00B11DFC"/>
    <w:rsid w:val="00B71CD1"/>
    <w:rsid w:val="00B72CCC"/>
    <w:rsid w:val="00B94876"/>
    <w:rsid w:val="00BF62FE"/>
    <w:rsid w:val="00C34142"/>
    <w:rsid w:val="00CA17E1"/>
    <w:rsid w:val="00CC13A6"/>
    <w:rsid w:val="00D1264D"/>
    <w:rsid w:val="00D539B1"/>
    <w:rsid w:val="00D951FC"/>
    <w:rsid w:val="00DA3616"/>
    <w:rsid w:val="00DD2A12"/>
    <w:rsid w:val="00DE0139"/>
    <w:rsid w:val="00E10C8D"/>
    <w:rsid w:val="00E350ED"/>
    <w:rsid w:val="00E36946"/>
    <w:rsid w:val="00E56F3A"/>
    <w:rsid w:val="00E63802"/>
    <w:rsid w:val="00E658CF"/>
    <w:rsid w:val="00E92CD7"/>
    <w:rsid w:val="00EC1E0E"/>
    <w:rsid w:val="00F15830"/>
    <w:rsid w:val="00F2016F"/>
    <w:rsid w:val="00F41D68"/>
    <w:rsid w:val="00F42431"/>
    <w:rsid w:val="00F522BC"/>
    <w:rsid w:val="00F523C0"/>
    <w:rsid w:val="00F6131E"/>
    <w:rsid w:val="00F90F50"/>
    <w:rsid w:val="00F93361"/>
    <w:rsid w:val="00F96878"/>
    <w:rsid w:val="00FC6E64"/>
    <w:rsid w:val="00FD01D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00F15"/>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 w:type="paragraph" w:customStyle="1" w:styleId="9B6AB496BEEE406F8C485E66513C8B7D">
    <w:name w:val="9B6AB496BEEE406F8C485E66513C8B7D"/>
    <w:rsid w:val="00000F1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BD24A93-B058-43AD-ADF6-2AF2761A6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textu.dot</Template>
  <TotalTime>8947</TotalTime>
  <Pages>60</Pages>
  <Words>14622</Words>
  <Characters>86273</Characters>
  <Application>Microsoft Office Word</Application>
  <DocSecurity>0</DocSecurity>
  <Lines>718</Lines>
  <Paragraphs>201</Paragraphs>
  <ScaleCrop>false</ScaleCrop>
  <HeadingPairs>
    <vt:vector size="2" baseType="variant">
      <vt:variant>
        <vt:lpstr>Název</vt:lpstr>
      </vt:variant>
      <vt:variant>
        <vt:i4>1</vt:i4>
      </vt:variant>
    </vt:vector>
  </HeadingPairs>
  <TitlesOfParts>
    <vt:vector size="1" baseType="lpstr">
      <vt:lpstr>BP_kalkulace a kalkulacni metody v manazerskem ucetnictvi</vt:lpstr>
    </vt:vector>
  </TitlesOfParts>
  <Company>VŠEM</Company>
  <LinksUpToDate>false</LinksUpToDate>
  <CharactersWithSpaces>100694</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BP_kalkulace a kalkulacni metody v manazerskem ucetnictvi</dc:title>
  <dc:creator>Kateřina Voláková</dc:creator>
  <cp:lastModifiedBy>Kateřina Voláková</cp:lastModifiedBy>
  <cp:revision>269</cp:revision>
  <cp:lastPrinted>2011-08-30T12:24:00Z</cp:lastPrinted>
  <dcterms:created xsi:type="dcterms:W3CDTF">2011-03-07T13:33:00Z</dcterms:created>
  <dcterms:modified xsi:type="dcterms:W3CDTF">2011-08-30T12:25:00Z</dcterms:modified>
</cp:coreProperties>
</file>