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Appendix A Balance sheet of Procter &amp; Gamble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945"/>
        <w:gridCol w:w="870"/>
        <w:gridCol w:w="660"/>
        <w:gridCol w:w="765"/>
        <w:gridCol w:w="660"/>
        <w:gridCol w:w="660"/>
        <w:gridCol w:w="495"/>
        <w:gridCol w:w="495"/>
        <w:gridCol w:w="480"/>
        <w:gridCol w:w="480"/>
        <w:gridCol w:w="495"/>
        <w:gridCol w:w="495"/>
        <w:tblGridChange w:id="0">
          <w:tblGrid>
            <w:gridCol w:w="2175"/>
            <w:gridCol w:w="945"/>
            <w:gridCol w:w="870"/>
            <w:gridCol w:w="660"/>
            <w:gridCol w:w="765"/>
            <w:gridCol w:w="660"/>
            <w:gridCol w:w="660"/>
            <w:gridCol w:w="495"/>
            <w:gridCol w:w="495"/>
            <w:gridCol w:w="480"/>
            <w:gridCol w:w="480"/>
            <w:gridCol w:w="495"/>
            <w:gridCol w:w="495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$ million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ecec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cash and cash equivalents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5,947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8,558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6,845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4,239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Account receivable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5,836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6,508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6,386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4,568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4,373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4,594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4,686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4,951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INVENTORIES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Materials and supplies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2,262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1,557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1,692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1,289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Work in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Finished goods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5,389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4,651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4,509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4,296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4,483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2,965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2,815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3,116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Total inventories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6,384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6,721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6,909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6,759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4,716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4,624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4,738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Deferred income taxes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1,092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1,507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Prepaid expenses and other 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3,684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3,678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3,845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2,708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2,046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2,218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21,905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18,782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23,99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31,617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29,646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33,782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26,494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23,32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22,473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PROPERTY PLANT AND EQUIPMENT, 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19,462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21,293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20,377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21,666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22,304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19,385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19,893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21,271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Goodwill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59,767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56,512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54,012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57,562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53,773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55,188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53,704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44,622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44,35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44,699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45,175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40,273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Trade marks and other intangible assets 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34,233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32,606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31,636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32,62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30,988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31,572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30,843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25,01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24,527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23,902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24,215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LONG-TERM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114,64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108,58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104,892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111,475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105,138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108,426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99,849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89,287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93,354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93,912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92,622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OTHER NONCURRENT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4,837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4,348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4,909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6,847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5,092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6,863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143,992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134,833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128,172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138,354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132,244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139,263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144,266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129,495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127,136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120,406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118,31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115,095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Liabilities and Shareholders'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CURREN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Accounts payable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8,777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9,632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11,26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Accrued and other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11,099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8,559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8,091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7,449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7,47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9,054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Debt due within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13,084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16,32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9,981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8,698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12,432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15,606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12,018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11,653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13,554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9,697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TOTALCURRENT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30,958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24,282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27,293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24,907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30,037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33,726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29,79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30,770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28,237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30,011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LONG-TERM DEBT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23,581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20,652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22,033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21,08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19,811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18,327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18,945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18,038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20,863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20,395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DEFERRED INCOME TAXES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11,805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10,827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6,899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OTHER NONCURRENTLIABILITIES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9,957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10,579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10,535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8,254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10,211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NONCURRENTLIABILITIES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43,54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40,833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42,46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43,06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43,302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40,517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40,564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40,517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38,383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34,418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37,19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37,505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74,498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71,734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66,733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70,353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68,209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70,554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74,29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66,445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69,153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64,628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65,427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67,516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SHAREHOLDER'S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Convertible class A preferred stock,stated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1,277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1,077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1,006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0,967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0,928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Non-voting class B preferred stock,stated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Common stock,stated value $1 per share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4,009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Additional paid-in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60,307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61,118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61,697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62,405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63,538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63,852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63,714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63,846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63,827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Reserve for ESOP debt retirement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-1,249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-1,146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Accumulated other comprehensive income/loss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-3,746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-3,358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-7,822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-2,054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-9,333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-7,499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-7,662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-12,78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-15,907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-14,632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-14,749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-14,936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Treasury stock,at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-47,588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-55,961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-61,309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-67,278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-69,604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-71,966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-75,805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-77,226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-82,176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-93,715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-99,217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-100,406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Retained 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48,986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57,309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64,614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70,682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75,349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80,197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84,99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84,807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87,953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96,124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98,641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94,918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TOTAL SHAREHOLDER'S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69,494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61,439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68,001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64,035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68,709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69,976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63,05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55,778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52,883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47,579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52525"/>
                <w:rtl w:val="0"/>
              </w:rPr>
              <w:t xml:space="preserve">TOTAL LIABILITIES AND SHAREHOLDERS'EQUITY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143,992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134,833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128,172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138,354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132,244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139,263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144,266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129,495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127,136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120,406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118,31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52525"/>
                <w:rtl w:val="0"/>
              </w:rPr>
              <w:t xml:space="preserve">115,095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