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67468" w14:textId="2F3AB476" w:rsidR="00444B5D" w:rsidRDefault="00444B5D" w:rsidP="00140994">
      <w:pPr>
        <w:pStyle w:val="Nadpis1"/>
        <w:spacing w:line="360" w:lineRule="auto"/>
        <w:jc w:val="center"/>
        <w:rPr>
          <w:rFonts w:ascii="Garamond" w:hAnsi="Garamond"/>
          <w:b/>
          <w:color w:val="auto"/>
        </w:rPr>
      </w:pPr>
      <w:bookmarkStart w:id="0" w:name="_Toc17881122"/>
      <w:bookmarkStart w:id="1" w:name="_Hlk17883399"/>
      <w:r>
        <w:rPr>
          <w:rFonts w:ascii="Garamond" w:hAnsi="Garamond"/>
          <w:b/>
          <w:color w:val="auto"/>
        </w:rPr>
        <w:t>Univerzita Palackého v Olomouci</w:t>
      </w:r>
      <w:bookmarkEnd w:id="0"/>
    </w:p>
    <w:p w14:paraId="4891BC9C" w14:textId="7026DA3B" w:rsidR="00444B5D" w:rsidRPr="00444B5D" w:rsidRDefault="00444B5D" w:rsidP="00140994">
      <w:pPr>
        <w:pStyle w:val="Nadpis1"/>
        <w:spacing w:before="0" w:after="5360" w:line="360" w:lineRule="auto"/>
        <w:jc w:val="center"/>
        <w:rPr>
          <w:rFonts w:ascii="Garamond" w:hAnsi="Garamond"/>
          <w:b/>
          <w:color w:val="auto"/>
        </w:rPr>
      </w:pPr>
      <w:bookmarkStart w:id="2" w:name="_Toc17881123"/>
      <w:r>
        <w:rPr>
          <w:rFonts w:ascii="Garamond" w:hAnsi="Garamond"/>
          <w:b/>
          <w:color w:val="auto"/>
        </w:rPr>
        <w:t>Právnická fakulta</w:t>
      </w:r>
      <w:bookmarkEnd w:id="2"/>
    </w:p>
    <w:p w14:paraId="06E31798" w14:textId="77777777" w:rsidR="00140994" w:rsidRDefault="00140994" w:rsidP="00140994">
      <w:pPr>
        <w:pStyle w:val="Nadpis1"/>
        <w:spacing w:after="120" w:line="360" w:lineRule="auto"/>
        <w:jc w:val="center"/>
        <w:rPr>
          <w:rFonts w:ascii="Garamond" w:hAnsi="Garamond"/>
          <w:b/>
          <w:color w:val="auto"/>
        </w:rPr>
      </w:pPr>
      <w:bookmarkStart w:id="3" w:name="_Toc17881124"/>
      <w:r>
        <w:rPr>
          <w:rFonts w:ascii="Garamond" w:hAnsi="Garamond"/>
          <w:b/>
          <w:color w:val="auto"/>
        </w:rPr>
        <w:t>Richard Sukup</w:t>
      </w:r>
      <w:bookmarkEnd w:id="3"/>
    </w:p>
    <w:p w14:paraId="06F6B12B" w14:textId="01BF39FE" w:rsidR="00140994" w:rsidRDefault="00286006" w:rsidP="00140994">
      <w:pPr>
        <w:pStyle w:val="Nadpis1"/>
        <w:spacing w:before="120" w:after="120" w:line="360" w:lineRule="auto"/>
        <w:jc w:val="center"/>
        <w:rPr>
          <w:rFonts w:ascii="Garamond" w:hAnsi="Garamond"/>
          <w:b/>
          <w:color w:val="auto"/>
        </w:rPr>
      </w:pPr>
      <w:bookmarkStart w:id="4" w:name="_Toc17881125"/>
      <w:r>
        <w:rPr>
          <w:rFonts w:ascii="Garamond" w:hAnsi="Garamond"/>
          <w:b/>
          <w:color w:val="auto"/>
        </w:rPr>
        <w:t>Informační deficit a v</w:t>
      </w:r>
      <w:r w:rsidR="00140994">
        <w:rPr>
          <w:rFonts w:ascii="Garamond" w:hAnsi="Garamond"/>
          <w:b/>
          <w:color w:val="auto"/>
        </w:rPr>
        <w:t>ysvětlovací povinnost procesní strany v civilním soudním řízení</w:t>
      </w:r>
      <w:bookmarkEnd w:id="4"/>
    </w:p>
    <w:p w14:paraId="6F26F301" w14:textId="77777777" w:rsidR="00140994" w:rsidRDefault="00140994" w:rsidP="002B2CDE">
      <w:pPr>
        <w:pStyle w:val="Nadpis1"/>
        <w:spacing w:before="120" w:after="4560" w:line="360" w:lineRule="auto"/>
        <w:jc w:val="center"/>
        <w:rPr>
          <w:rFonts w:ascii="Garamond" w:hAnsi="Garamond"/>
          <w:b/>
          <w:color w:val="auto"/>
        </w:rPr>
      </w:pPr>
      <w:bookmarkStart w:id="5" w:name="_Toc17881126"/>
      <w:r>
        <w:rPr>
          <w:rFonts w:ascii="Garamond" w:hAnsi="Garamond"/>
          <w:b/>
          <w:color w:val="auto"/>
        </w:rPr>
        <w:t>Diplomová práce</w:t>
      </w:r>
      <w:bookmarkEnd w:id="5"/>
    </w:p>
    <w:p w14:paraId="62A9BB0A" w14:textId="09E3CED8" w:rsidR="00444B5D" w:rsidRPr="00444B5D" w:rsidRDefault="00140994" w:rsidP="00140994">
      <w:pPr>
        <w:pStyle w:val="Nadpis1"/>
        <w:spacing w:after="4440" w:line="360" w:lineRule="auto"/>
        <w:jc w:val="center"/>
        <w:rPr>
          <w:rFonts w:ascii="Garamond" w:hAnsi="Garamond"/>
          <w:color w:val="auto"/>
        </w:rPr>
      </w:pPr>
      <w:bookmarkStart w:id="6" w:name="_Toc17881127"/>
      <w:r>
        <w:rPr>
          <w:rFonts w:ascii="Garamond" w:hAnsi="Garamond"/>
          <w:b/>
          <w:color w:val="auto"/>
        </w:rPr>
        <w:t>Olomouc 2019</w:t>
      </w:r>
      <w:bookmarkEnd w:id="6"/>
      <w:r w:rsidR="00444B5D">
        <w:br w:type="page"/>
      </w:r>
    </w:p>
    <w:p w14:paraId="687A88CF" w14:textId="77777777" w:rsidR="00444B5D" w:rsidRDefault="00444B5D" w:rsidP="00573FE6">
      <w:pPr>
        <w:rPr>
          <w:rFonts w:ascii="Garamond" w:hAnsi="Garamond"/>
          <w:sz w:val="24"/>
          <w:szCs w:val="24"/>
        </w:rPr>
      </w:pPr>
    </w:p>
    <w:p w14:paraId="5400B1B5" w14:textId="5EF49810" w:rsidR="00573FE6" w:rsidRPr="00573FE6" w:rsidRDefault="00573FE6" w:rsidP="00444B5D">
      <w:pPr>
        <w:spacing w:before="10800" w:line="360" w:lineRule="auto"/>
        <w:jc w:val="both"/>
        <w:rPr>
          <w:rFonts w:ascii="Garamond" w:hAnsi="Garamond"/>
          <w:sz w:val="24"/>
          <w:szCs w:val="24"/>
        </w:rPr>
      </w:pPr>
      <w:r w:rsidRPr="00573FE6">
        <w:rPr>
          <w:rFonts w:ascii="Garamond" w:hAnsi="Garamond"/>
          <w:sz w:val="24"/>
          <w:szCs w:val="24"/>
        </w:rPr>
        <w:t>Prohlašuji, že jsem diplomovou práci na téma „</w:t>
      </w:r>
      <w:r>
        <w:rPr>
          <w:rFonts w:ascii="Garamond" w:hAnsi="Garamond"/>
          <w:sz w:val="24"/>
          <w:szCs w:val="24"/>
        </w:rPr>
        <w:t>Vysvětlovací povinnost procesní</w:t>
      </w:r>
      <w:r w:rsidR="00444B5D">
        <w:rPr>
          <w:rFonts w:ascii="Garamond" w:hAnsi="Garamond"/>
          <w:sz w:val="24"/>
          <w:szCs w:val="24"/>
        </w:rPr>
        <w:t xml:space="preserve"> </w:t>
      </w:r>
      <w:r>
        <w:rPr>
          <w:rFonts w:ascii="Garamond" w:hAnsi="Garamond"/>
          <w:sz w:val="24"/>
          <w:szCs w:val="24"/>
        </w:rPr>
        <w:t>strany v civilním soudním řízení</w:t>
      </w:r>
      <w:r w:rsidRPr="00573FE6">
        <w:rPr>
          <w:rFonts w:ascii="Garamond" w:hAnsi="Garamond"/>
          <w:sz w:val="24"/>
          <w:szCs w:val="24"/>
        </w:rPr>
        <w:t>“</w:t>
      </w:r>
      <w:r w:rsidR="00444B5D">
        <w:rPr>
          <w:rFonts w:ascii="Garamond" w:hAnsi="Garamond"/>
          <w:sz w:val="24"/>
          <w:szCs w:val="24"/>
        </w:rPr>
        <w:t xml:space="preserve"> </w:t>
      </w:r>
      <w:r w:rsidRPr="00573FE6">
        <w:rPr>
          <w:rFonts w:ascii="Garamond" w:hAnsi="Garamond"/>
          <w:sz w:val="24"/>
          <w:szCs w:val="24"/>
        </w:rPr>
        <w:t>vypracoval samostatně a citoval jsem všechny použité zdroje.</w:t>
      </w:r>
    </w:p>
    <w:p w14:paraId="39AE53EE" w14:textId="77777777" w:rsidR="00573FE6" w:rsidRPr="00573FE6" w:rsidRDefault="00573FE6" w:rsidP="00573FE6">
      <w:pPr>
        <w:rPr>
          <w:rFonts w:ascii="Garamond" w:hAnsi="Garamond"/>
          <w:b/>
          <w:sz w:val="24"/>
          <w:szCs w:val="24"/>
        </w:rPr>
      </w:pPr>
    </w:p>
    <w:p w14:paraId="6FD6AFDE" w14:textId="309D9F77" w:rsidR="00573FE6" w:rsidRPr="00573FE6" w:rsidRDefault="00573FE6" w:rsidP="00573FE6">
      <w:pPr>
        <w:rPr>
          <w:rFonts w:ascii="Garamond" w:hAnsi="Garamond"/>
          <w:sz w:val="24"/>
          <w:szCs w:val="24"/>
        </w:rPr>
      </w:pPr>
      <w:r w:rsidRPr="00573FE6">
        <w:rPr>
          <w:rFonts w:ascii="Garamond" w:hAnsi="Garamond"/>
          <w:sz w:val="24"/>
          <w:szCs w:val="24"/>
        </w:rPr>
        <w:t>V Olomouci dne 2</w:t>
      </w:r>
      <w:r>
        <w:rPr>
          <w:rFonts w:ascii="Garamond" w:hAnsi="Garamond"/>
          <w:sz w:val="24"/>
          <w:szCs w:val="24"/>
        </w:rPr>
        <w:t>7</w:t>
      </w:r>
      <w:r w:rsidRPr="00573FE6">
        <w:rPr>
          <w:rFonts w:ascii="Garamond" w:hAnsi="Garamond"/>
          <w:sz w:val="24"/>
          <w:szCs w:val="24"/>
        </w:rPr>
        <w:t xml:space="preserve">. </w:t>
      </w:r>
      <w:r>
        <w:rPr>
          <w:rFonts w:ascii="Garamond" w:hAnsi="Garamond"/>
          <w:sz w:val="24"/>
          <w:szCs w:val="24"/>
        </w:rPr>
        <w:t>8</w:t>
      </w:r>
      <w:r w:rsidRPr="00573FE6">
        <w:rPr>
          <w:rFonts w:ascii="Garamond" w:hAnsi="Garamond"/>
          <w:sz w:val="24"/>
          <w:szCs w:val="24"/>
        </w:rPr>
        <w:t>. 201</w:t>
      </w:r>
      <w:r>
        <w:rPr>
          <w:rFonts w:ascii="Garamond" w:hAnsi="Garamond"/>
          <w:sz w:val="24"/>
          <w:szCs w:val="24"/>
        </w:rPr>
        <w:t>9</w:t>
      </w:r>
      <w:r w:rsidRPr="00573FE6">
        <w:rPr>
          <w:rFonts w:ascii="Garamond" w:hAnsi="Garamond"/>
          <w:sz w:val="24"/>
          <w:szCs w:val="24"/>
        </w:rPr>
        <w:t xml:space="preserve"> </w:t>
      </w:r>
      <w:r w:rsidRPr="00573FE6">
        <w:rPr>
          <w:rFonts w:ascii="Garamond" w:hAnsi="Garamond"/>
          <w:sz w:val="24"/>
          <w:szCs w:val="24"/>
        </w:rPr>
        <w:tab/>
      </w:r>
      <w:r w:rsidRPr="00573FE6">
        <w:rPr>
          <w:rFonts w:ascii="Garamond" w:hAnsi="Garamond"/>
          <w:sz w:val="24"/>
          <w:szCs w:val="24"/>
        </w:rPr>
        <w:tab/>
      </w:r>
      <w:r w:rsidRPr="00573FE6">
        <w:rPr>
          <w:rFonts w:ascii="Garamond" w:hAnsi="Garamond"/>
          <w:sz w:val="24"/>
          <w:szCs w:val="24"/>
        </w:rPr>
        <w:tab/>
      </w:r>
      <w:r w:rsidRPr="00573FE6">
        <w:rPr>
          <w:rFonts w:ascii="Garamond" w:hAnsi="Garamond"/>
          <w:sz w:val="24"/>
          <w:szCs w:val="24"/>
        </w:rPr>
        <w:tab/>
      </w:r>
      <w:r w:rsidRPr="00573FE6">
        <w:rPr>
          <w:rFonts w:ascii="Garamond" w:hAnsi="Garamond"/>
          <w:sz w:val="24"/>
          <w:szCs w:val="24"/>
        </w:rPr>
        <w:tab/>
      </w:r>
      <w:r w:rsidRPr="00573FE6">
        <w:rPr>
          <w:rFonts w:ascii="Garamond" w:hAnsi="Garamond"/>
          <w:sz w:val="24"/>
          <w:szCs w:val="24"/>
        </w:rPr>
        <w:tab/>
      </w:r>
      <w:r w:rsidRPr="00573FE6">
        <w:rPr>
          <w:rFonts w:ascii="Garamond" w:hAnsi="Garamond"/>
          <w:sz w:val="24"/>
          <w:szCs w:val="24"/>
        </w:rPr>
        <w:tab/>
      </w:r>
    </w:p>
    <w:p w14:paraId="1A25D2C2" w14:textId="77777777" w:rsidR="00573FE6" w:rsidRPr="00573FE6" w:rsidRDefault="00573FE6" w:rsidP="00573FE6">
      <w:pPr>
        <w:rPr>
          <w:rFonts w:ascii="Garamond" w:hAnsi="Garamond"/>
          <w:b/>
          <w:sz w:val="24"/>
          <w:szCs w:val="24"/>
        </w:rPr>
      </w:pPr>
    </w:p>
    <w:p w14:paraId="381320BD" w14:textId="77777777" w:rsidR="00573FE6" w:rsidRPr="00573FE6" w:rsidRDefault="00573FE6" w:rsidP="00573FE6">
      <w:pPr>
        <w:spacing w:after="0"/>
        <w:jc w:val="right"/>
        <w:rPr>
          <w:rFonts w:ascii="Garamond" w:hAnsi="Garamond"/>
          <w:sz w:val="24"/>
          <w:szCs w:val="24"/>
        </w:rPr>
      </w:pPr>
      <w:r w:rsidRPr="00573FE6">
        <w:rPr>
          <w:rFonts w:ascii="Garamond" w:hAnsi="Garamond"/>
          <w:sz w:val="24"/>
          <w:szCs w:val="24"/>
        </w:rPr>
        <w:t>__________________</w:t>
      </w:r>
    </w:p>
    <w:p w14:paraId="683AE627" w14:textId="50DBB858" w:rsidR="00573FE6" w:rsidRDefault="00573FE6" w:rsidP="00573FE6">
      <w:pPr>
        <w:spacing w:after="0"/>
        <w:jc w:val="right"/>
        <w:rPr>
          <w:rFonts w:ascii="Garamond" w:eastAsiaTheme="majorEastAsia" w:hAnsi="Garamond" w:cstheme="majorBidi"/>
          <w:b/>
          <w:sz w:val="24"/>
          <w:szCs w:val="24"/>
        </w:rPr>
      </w:pPr>
      <w:r w:rsidRPr="00573FE6">
        <w:rPr>
          <w:rFonts w:ascii="Garamond" w:hAnsi="Garamond"/>
          <w:sz w:val="24"/>
          <w:szCs w:val="24"/>
        </w:rPr>
        <w:t>(Podpis autora textu)</w:t>
      </w:r>
      <w:r>
        <w:rPr>
          <w:rFonts w:ascii="Garamond" w:hAnsi="Garamond"/>
          <w:b/>
          <w:sz w:val="24"/>
          <w:szCs w:val="24"/>
        </w:rPr>
        <w:br w:type="page"/>
      </w:r>
    </w:p>
    <w:p w14:paraId="7942A84B" w14:textId="77777777" w:rsidR="00444B5D" w:rsidRDefault="00444B5D" w:rsidP="00444B5D">
      <w:pPr>
        <w:pStyle w:val="Nadpis1"/>
        <w:spacing w:before="0"/>
        <w:rPr>
          <w:rFonts w:ascii="Garamond" w:hAnsi="Garamond"/>
          <w:b/>
          <w:color w:val="auto"/>
          <w:sz w:val="24"/>
          <w:szCs w:val="24"/>
        </w:rPr>
      </w:pPr>
    </w:p>
    <w:p w14:paraId="79B2CD9C" w14:textId="68C8C536" w:rsidR="006654AD" w:rsidRDefault="00573FE6" w:rsidP="00444B5D">
      <w:pPr>
        <w:pStyle w:val="Nadpis1"/>
        <w:spacing w:before="11520" w:line="360" w:lineRule="auto"/>
        <w:jc w:val="both"/>
        <w:rPr>
          <w:rFonts w:ascii="Garamond" w:hAnsi="Garamond"/>
          <w:b/>
          <w:color w:val="auto"/>
          <w:sz w:val="24"/>
          <w:szCs w:val="24"/>
        </w:rPr>
      </w:pPr>
      <w:bookmarkStart w:id="7" w:name="_Toc17881128"/>
      <w:r w:rsidRPr="00573FE6">
        <w:rPr>
          <w:rFonts w:ascii="Garamond" w:hAnsi="Garamond"/>
          <w:b/>
          <w:color w:val="auto"/>
          <w:sz w:val="24"/>
          <w:szCs w:val="24"/>
        </w:rPr>
        <w:t>Poděkování</w:t>
      </w:r>
      <w:bookmarkEnd w:id="7"/>
    </w:p>
    <w:p w14:paraId="657A0694" w14:textId="77777777" w:rsidR="00573FE6" w:rsidRPr="00573FE6" w:rsidRDefault="00573FE6" w:rsidP="00444B5D">
      <w:pPr>
        <w:spacing w:line="360" w:lineRule="auto"/>
        <w:jc w:val="both"/>
      </w:pPr>
    </w:p>
    <w:p w14:paraId="605A25E7" w14:textId="25BFC3CD" w:rsidR="002B2CDE" w:rsidRDefault="00573FE6" w:rsidP="00444B5D">
      <w:pPr>
        <w:spacing w:after="0" w:line="360" w:lineRule="auto"/>
        <w:jc w:val="both"/>
        <w:rPr>
          <w:rFonts w:ascii="Garamond" w:hAnsi="Garamond"/>
          <w:sz w:val="24"/>
          <w:szCs w:val="24"/>
        </w:rPr>
      </w:pPr>
      <w:r w:rsidRPr="00573FE6">
        <w:rPr>
          <w:rFonts w:ascii="Garamond" w:hAnsi="Garamond"/>
          <w:sz w:val="24"/>
          <w:szCs w:val="24"/>
        </w:rPr>
        <w:t xml:space="preserve">Tímto děkuji JUDr. Marku </w:t>
      </w:r>
      <w:proofErr w:type="spellStart"/>
      <w:r w:rsidRPr="00573FE6">
        <w:rPr>
          <w:rFonts w:ascii="Garamond" w:hAnsi="Garamond"/>
          <w:sz w:val="24"/>
          <w:szCs w:val="24"/>
        </w:rPr>
        <w:t>Jurášovi</w:t>
      </w:r>
      <w:proofErr w:type="spellEnd"/>
      <w:r w:rsidRPr="00573FE6">
        <w:rPr>
          <w:rFonts w:ascii="Garamond" w:hAnsi="Garamond"/>
          <w:sz w:val="24"/>
          <w:szCs w:val="24"/>
        </w:rPr>
        <w:t xml:space="preserve">, Ph.D., za jeho </w:t>
      </w:r>
      <w:r w:rsidR="00BA78FD">
        <w:rPr>
          <w:rFonts w:ascii="Garamond" w:hAnsi="Garamond"/>
          <w:sz w:val="24"/>
          <w:szCs w:val="24"/>
        </w:rPr>
        <w:t>ochotu</w:t>
      </w:r>
      <w:r w:rsidRPr="00573FE6">
        <w:rPr>
          <w:rFonts w:ascii="Garamond" w:hAnsi="Garamond"/>
          <w:sz w:val="24"/>
          <w:szCs w:val="24"/>
        </w:rPr>
        <w:t>, trpělivost, odborné rady a připomínky při vypracování mé diplomové práce.</w:t>
      </w:r>
      <w:r w:rsidR="002B2CDE">
        <w:rPr>
          <w:rFonts w:ascii="Garamond" w:hAnsi="Garamond"/>
          <w:sz w:val="24"/>
          <w:szCs w:val="24"/>
        </w:rPr>
        <w:br w:type="page"/>
      </w:r>
    </w:p>
    <w:p w14:paraId="48C7480B" w14:textId="4DDC7A63" w:rsidR="00573FE6" w:rsidRDefault="00B000D5" w:rsidP="00B000D5">
      <w:pPr>
        <w:spacing w:after="0" w:line="360" w:lineRule="auto"/>
        <w:jc w:val="both"/>
        <w:rPr>
          <w:rFonts w:ascii="Garamond" w:hAnsi="Garamond"/>
          <w:b/>
          <w:sz w:val="24"/>
          <w:szCs w:val="24"/>
        </w:rPr>
      </w:pPr>
      <w:r w:rsidRPr="00B000D5">
        <w:rPr>
          <w:rFonts w:ascii="Garamond" w:hAnsi="Garamond"/>
          <w:b/>
          <w:sz w:val="24"/>
          <w:szCs w:val="24"/>
        </w:rPr>
        <w:lastRenderedPageBreak/>
        <w:t>Anotace</w:t>
      </w:r>
      <w:r>
        <w:rPr>
          <w:rFonts w:ascii="Garamond" w:hAnsi="Garamond"/>
          <w:b/>
          <w:sz w:val="24"/>
          <w:szCs w:val="24"/>
        </w:rPr>
        <w:t>:</w:t>
      </w:r>
    </w:p>
    <w:p w14:paraId="1E4FF465" w14:textId="0955D865" w:rsidR="00B000D5" w:rsidRPr="00B000D5" w:rsidRDefault="00B000D5" w:rsidP="005575A5">
      <w:pPr>
        <w:spacing w:after="0" w:line="360" w:lineRule="auto"/>
        <w:jc w:val="both"/>
        <w:rPr>
          <w:rFonts w:ascii="Garamond" w:hAnsi="Garamond"/>
          <w:sz w:val="24"/>
          <w:szCs w:val="24"/>
        </w:rPr>
      </w:pPr>
      <w:r>
        <w:rPr>
          <w:rFonts w:ascii="Garamond" w:hAnsi="Garamond"/>
          <w:sz w:val="24"/>
          <w:szCs w:val="24"/>
        </w:rPr>
        <w:t xml:space="preserve">Tato práce pojednává o institutu vysvětlovací povinnosti při řešení informačního deficitu. Cílem práce je zachycení vývoje institutu vysvětlovací povinnosti od prací prof. Macura po současné závěry teorie a praxe.  Současně si práce dává za cíl srovnání těchto názorů. V zájmu lepšího pochopení je na začátku pojednáno o pojmu vyšetřovacího důkazu, který úzce souvisí s vysvětlovací povinností. Následně je v práci v nezbytném rozsahu pojednáno o vzniku vysvětlovací povinnosti, její právní povaze, rozsahu, obsahu a právních následcích v případě jejího nesplnění ve světle díla prof. Macura. V následujících kapitolách je věnována pozornost jejímu současnému pojetí v teorii a judikatuře. Na závěr tuto problematiku uzavírá pohled de lege </w:t>
      </w:r>
      <w:proofErr w:type="spellStart"/>
      <w:r>
        <w:rPr>
          <w:rFonts w:ascii="Garamond" w:hAnsi="Garamond"/>
          <w:sz w:val="24"/>
          <w:szCs w:val="24"/>
        </w:rPr>
        <w:t>ferenda</w:t>
      </w:r>
      <w:proofErr w:type="spellEnd"/>
      <w:r>
        <w:rPr>
          <w:rFonts w:ascii="Garamond" w:hAnsi="Garamond"/>
          <w:sz w:val="24"/>
          <w:szCs w:val="24"/>
        </w:rPr>
        <w:t>.</w:t>
      </w:r>
    </w:p>
    <w:p w14:paraId="227F546C" w14:textId="77777777" w:rsidR="009A7AB0" w:rsidRDefault="00B000D5" w:rsidP="00B000D5">
      <w:pPr>
        <w:spacing w:before="160" w:line="360" w:lineRule="auto"/>
        <w:rPr>
          <w:rFonts w:ascii="Garamond" w:hAnsi="Garamond"/>
          <w:b/>
          <w:sz w:val="24"/>
          <w:szCs w:val="24"/>
        </w:rPr>
      </w:pPr>
      <w:r w:rsidRPr="00B000D5">
        <w:rPr>
          <w:rFonts w:ascii="Garamond" w:hAnsi="Garamond"/>
          <w:b/>
          <w:sz w:val="24"/>
          <w:szCs w:val="24"/>
        </w:rPr>
        <w:t>Klíčová slova</w:t>
      </w:r>
    </w:p>
    <w:p w14:paraId="4F0AF4D8" w14:textId="77777777" w:rsidR="000A0778" w:rsidRDefault="009A7AB0" w:rsidP="0018050D">
      <w:pPr>
        <w:spacing w:before="160" w:line="360" w:lineRule="auto"/>
        <w:jc w:val="both"/>
        <w:rPr>
          <w:rFonts w:ascii="Garamond" w:hAnsi="Garamond"/>
          <w:b/>
          <w:sz w:val="24"/>
          <w:szCs w:val="24"/>
        </w:rPr>
      </w:pPr>
      <w:r>
        <w:rPr>
          <w:rFonts w:ascii="Garamond" w:hAnsi="Garamond"/>
          <w:sz w:val="24"/>
          <w:szCs w:val="24"/>
        </w:rPr>
        <w:t>B</w:t>
      </w:r>
      <w:r>
        <w:rPr>
          <w:rFonts w:ascii="Garamond" w:hAnsi="Garamond"/>
          <w:sz w:val="24"/>
          <w:szCs w:val="24"/>
        </w:rPr>
        <w:t>řemeno důkazní</w:t>
      </w:r>
      <w:r>
        <w:rPr>
          <w:rFonts w:ascii="Garamond" w:hAnsi="Garamond"/>
          <w:sz w:val="24"/>
          <w:szCs w:val="24"/>
        </w:rPr>
        <w:t>, informační deficit, vysvětlovací povinnost, vyšetřovací důkaz</w:t>
      </w:r>
      <w:r w:rsidRPr="00B000D5">
        <w:rPr>
          <w:rFonts w:ascii="Garamond" w:hAnsi="Garamond"/>
          <w:b/>
          <w:sz w:val="24"/>
          <w:szCs w:val="24"/>
        </w:rPr>
        <w:t xml:space="preserve"> </w:t>
      </w:r>
    </w:p>
    <w:p w14:paraId="1527E3CD" w14:textId="31652354" w:rsidR="000A0778" w:rsidRPr="0018050D" w:rsidRDefault="000A0778" w:rsidP="0018050D">
      <w:pPr>
        <w:spacing w:before="160" w:line="360" w:lineRule="auto"/>
        <w:jc w:val="both"/>
        <w:rPr>
          <w:rFonts w:ascii="Garamond" w:hAnsi="Garamond"/>
          <w:b/>
          <w:sz w:val="24"/>
          <w:szCs w:val="24"/>
          <w:lang w:val="en-GB"/>
        </w:rPr>
      </w:pPr>
      <w:r w:rsidRPr="0018050D">
        <w:rPr>
          <w:rFonts w:ascii="Garamond" w:hAnsi="Garamond"/>
          <w:b/>
          <w:sz w:val="24"/>
          <w:szCs w:val="24"/>
          <w:lang w:val="en-GB"/>
        </w:rPr>
        <w:t>Annotation</w:t>
      </w:r>
    </w:p>
    <w:p w14:paraId="49BDA0CD" w14:textId="72AE185F" w:rsidR="008628FC" w:rsidRPr="0018050D" w:rsidRDefault="000A0778" w:rsidP="0018050D">
      <w:pPr>
        <w:spacing w:before="160" w:line="360" w:lineRule="auto"/>
        <w:jc w:val="both"/>
        <w:rPr>
          <w:rFonts w:ascii="Garamond" w:hAnsi="Garamond"/>
          <w:sz w:val="24"/>
          <w:szCs w:val="24"/>
          <w:lang w:val="en-GB"/>
        </w:rPr>
      </w:pPr>
      <w:r w:rsidRPr="0018050D">
        <w:rPr>
          <w:rFonts w:ascii="Garamond" w:hAnsi="Garamond"/>
          <w:sz w:val="24"/>
          <w:szCs w:val="24"/>
          <w:lang w:val="en-GB"/>
        </w:rPr>
        <w:t xml:space="preserve">This </w:t>
      </w:r>
      <w:r w:rsidRPr="0018050D">
        <w:rPr>
          <w:rFonts w:ascii="Garamond" w:hAnsi="Garamond"/>
          <w:sz w:val="24"/>
          <w:szCs w:val="24"/>
          <w:lang w:val="en-GB"/>
        </w:rPr>
        <w:t>thesis</w:t>
      </w:r>
      <w:r w:rsidRPr="0018050D">
        <w:rPr>
          <w:rFonts w:ascii="Garamond" w:hAnsi="Garamond"/>
          <w:sz w:val="24"/>
          <w:szCs w:val="24"/>
          <w:lang w:val="en-GB"/>
        </w:rPr>
        <w:t xml:space="preserve"> deals with the institute of explanatory duty in solving the information deficit. The aim of this </w:t>
      </w:r>
      <w:r w:rsidRPr="0018050D">
        <w:rPr>
          <w:rFonts w:ascii="Garamond" w:hAnsi="Garamond"/>
          <w:sz w:val="24"/>
          <w:szCs w:val="24"/>
          <w:lang w:val="en-GB"/>
        </w:rPr>
        <w:t>thesis</w:t>
      </w:r>
      <w:r w:rsidRPr="0018050D">
        <w:rPr>
          <w:rFonts w:ascii="Garamond" w:hAnsi="Garamond"/>
          <w:sz w:val="24"/>
          <w:szCs w:val="24"/>
          <w:lang w:val="en-GB"/>
        </w:rPr>
        <w:t xml:space="preserve"> is to capture the development of the institute of explanatory dut</w:t>
      </w:r>
      <w:r w:rsidRPr="0018050D">
        <w:rPr>
          <w:rFonts w:ascii="Garamond" w:hAnsi="Garamond"/>
          <w:sz w:val="24"/>
          <w:szCs w:val="24"/>
          <w:lang w:val="en-GB"/>
        </w:rPr>
        <w:t>y</w:t>
      </w:r>
      <w:r w:rsidRPr="0018050D">
        <w:rPr>
          <w:rFonts w:ascii="Garamond" w:hAnsi="Garamond"/>
          <w:sz w:val="24"/>
          <w:szCs w:val="24"/>
          <w:lang w:val="en-GB"/>
        </w:rPr>
        <w:t xml:space="preserve"> from the work of prof. </w:t>
      </w:r>
      <w:proofErr w:type="spellStart"/>
      <w:r w:rsidRPr="0018050D">
        <w:rPr>
          <w:rFonts w:ascii="Garamond" w:hAnsi="Garamond"/>
          <w:sz w:val="24"/>
          <w:szCs w:val="24"/>
          <w:lang w:val="en-GB"/>
        </w:rPr>
        <w:t>Macur</w:t>
      </w:r>
      <w:proofErr w:type="spellEnd"/>
      <w:r w:rsidRPr="0018050D">
        <w:rPr>
          <w:rFonts w:ascii="Garamond" w:hAnsi="Garamond"/>
          <w:sz w:val="24"/>
          <w:szCs w:val="24"/>
          <w:lang w:val="en-GB"/>
        </w:rPr>
        <w:t xml:space="preserve"> following the current conclusions of theory and practice. At the same time the thesis aims to compare these views. For the sake of better understanding, the concept of investigative evidence closely related to the explanatory obligation is discussed at the outset. Subsequently, the </w:t>
      </w:r>
      <w:r w:rsidRPr="0018050D">
        <w:rPr>
          <w:rFonts w:ascii="Garamond" w:hAnsi="Garamond"/>
          <w:sz w:val="24"/>
          <w:szCs w:val="24"/>
          <w:lang w:val="en-GB"/>
        </w:rPr>
        <w:t>thesis</w:t>
      </w:r>
      <w:r w:rsidRPr="0018050D">
        <w:rPr>
          <w:rFonts w:ascii="Garamond" w:hAnsi="Garamond"/>
          <w:sz w:val="24"/>
          <w:szCs w:val="24"/>
          <w:lang w:val="en-GB"/>
        </w:rPr>
        <w:t xml:space="preserve"> deals with the necessity of an explanatory </w:t>
      </w:r>
      <w:r w:rsidR="0012570E">
        <w:rPr>
          <w:rFonts w:ascii="Garamond" w:hAnsi="Garamond"/>
          <w:sz w:val="24"/>
          <w:szCs w:val="24"/>
          <w:lang w:val="en-GB"/>
        </w:rPr>
        <w:t>duty</w:t>
      </w:r>
      <w:r w:rsidRPr="0018050D">
        <w:rPr>
          <w:rFonts w:ascii="Garamond" w:hAnsi="Garamond"/>
          <w:sz w:val="24"/>
          <w:szCs w:val="24"/>
          <w:lang w:val="en-GB"/>
        </w:rPr>
        <w:t xml:space="preserve">, its legal nature, extent, content and legal consequences in the case of its failure to comply with the work of prof. </w:t>
      </w:r>
      <w:proofErr w:type="spellStart"/>
      <w:r w:rsidRPr="0018050D">
        <w:rPr>
          <w:rFonts w:ascii="Garamond" w:hAnsi="Garamond"/>
          <w:sz w:val="24"/>
          <w:szCs w:val="24"/>
          <w:lang w:val="en-GB"/>
        </w:rPr>
        <w:t>Macur</w:t>
      </w:r>
      <w:proofErr w:type="spellEnd"/>
      <w:r w:rsidRPr="0018050D">
        <w:rPr>
          <w:rFonts w:ascii="Garamond" w:hAnsi="Garamond"/>
          <w:sz w:val="24"/>
          <w:szCs w:val="24"/>
          <w:lang w:val="en-GB"/>
        </w:rPr>
        <w:t xml:space="preserve">. In the following chapters attention is paid to its current conception in theory and case law. In conclusion, this issue closes the view de </w:t>
      </w:r>
      <w:proofErr w:type="spellStart"/>
      <w:r w:rsidRPr="0018050D">
        <w:rPr>
          <w:rFonts w:ascii="Garamond" w:hAnsi="Garamond"/>
          <w:sz w:val="24"/>
          <w:szCs w:val="24"/>
          <w:lang w:val="en-GB"/>
        </w:rPr>
        <w:t>lege</w:t>
      </w:r>
      <w:proofErr w:type="spellEnd"/>
      <w:r w:rsidRPr="0018050D">
        <w:rPr>
          <w:rFonts w:ascii="Garamond" w:hAnsi="Garamond"/>
          <w:sz w:val="24"/>
          <w:szCs w:val="24"/>
          <w:lang w:val="en-GB"/>
        </w:rPr>
        <w:t xml:space="preserve"> ferenda</w:t>
      </w:r>
      <w:r w:rsidRPr="0018050D">
        <w:rPr>
          <w:rFonts w:ascii="Garamond" w:hAnsi="Garamond"/>
          <w:sz w:val="24"/>
          <w:szCs w:val="24"/>
          <w:lang w:val="en-GB"/>
        </w:rPr>
        <w:t>.</w:t>
      </w:r>
    </w:p>
    <w:p w14:paraId="48745409" w14:textId="77777777" w:rsidR="008628FC" w:rsidRPr="0018050D" w:rsidRDefault="008628FC" w:rsidP="0018050D">
      <w:pPr>
        <w:spacing w:before="160" w:line="360" w:lineRule="auto"/>
        <w:jc w:val="both"/>
        <w:rPr>
          <w:rFonts w:ascii="Garamond" w:hAnsi="Garamond"/>
          <w:b/>
          <w:sz w:val="24"/>
          <w:szCs w:val="24"/>
          <w:lang w:val="en-GB"/>
        </w:rPr>
      </w:pPr>
      <w:r w:rsidRPr="0018050D">
        <w:rPr>
          <w:rFonts w:ascii="Garamond" w:hAnsi="Garamond"/>
          <w:b/>
          <w:sz w:val="24"/>
          <w:szCs w:val="24"/>
          <w:lang w:val="en-GB"/>
        </w:rPr>
        <w:t>Key words</w:t>
      </w:r>
    </w:p>
    <w:p w14:paraId="2E1D4C48" w14:textId="27BD9988" w:rsidR="006654AD" w:rsidRPr="0018050D" w:rsidRDefault="008628FC" w:rsidP="0018050D">
      <w:pPr>
        <w:spacing w:before="160" w:line="360" w:lineRule="auto"/>
        <w:jc w:val="both"/>
        <w:rPr>
          <w:rFonts w:ascii="Garamond" w:hAnsi="Garamond"/>
          <w:sz w:val="24"/>
          <w:szCs w:val="24"/>
          <w:lang w:val="en-GB"/>
        </w:rPr>
      </w:pPr>
      <w:r w:rsidRPr="0018050D">
        <w:rPr>
          <w:rFonts w:ascii="Garamond" w:hAnsi="Garamond"/>
          <w:sz w:val="24"/>
          <w:szCs w:val="24"/>
          <w:lang w:val="en-GB"/>
        </w:rPr>
        <w:t xml:space="preserve">Burden of proof, </w:t>
      </w:r>
      <w:r w:rsidR="0018050D" w:rsidRPr="0018050D">
        <w:rPr>
          <w:rFonts w:ascii="Garamond" w:hAnsi="Garamond"/>
          <w:sz w:val="24"/>
          <w:szCs w:val="24"/>
          <w:lang w:val="en-GB"/>
        </w:rPr>
        <w:t>explanatory duty</w:t>
      </w:r>
      <w:r w:rsidR="0018050D">
        <w:rPr>
          <w:rFonts w:ascii="Garamond" w:hAnsi="Garamond"/>
          <w:sz w:val="24"/>
          <w:szCs w:val="24"/>
          <w:lang w:val="en-GB"/>
        </w:rPr>
        <w:t xml:space="preserve">, </w:t>
      </w:r>
      <w:r w:rsidRPr="0018050D">
        <w:rPr>
          <w:rFonts w:ascii="Garamond" w:hAnsi="Garamond"/>
          <w:sz w:val="24"/>
          <w:szCs w:val="24"/>
          <w:lang w:val="en-GB"/>
        </w:rPr>
        <w:t>information deficit, investigative evidence</w:t>
      </w:r>
      <w:r w:rsidR="006654AD" w:rsidRPr="000A0778">
        <w:rPr>
          <w:rFonts w:ascii="Garamond" w:hAnsi="Garamond"/>
          <w:sz w:val="24"/>
          <w:szCs w:val="24"/>
        </w:rPr>
        <w:br w:type="page"/>
      </w:r>
    </w:p>
    <w:sdt>
      <w:sdtPr>
        <w:rPr>
          <w:rFonts w:ascii="Garamond" w:eastAsiaTheme="minorHAnsi" w:hAnsi="Garamond" w:cstheme="minorBidi"/>
          <w:color w:val="auto"/>
          <w:sz w:val="22"/>
          <w:szCs w:val="22"/>
          <w:lang w:eastAsia="en-US"/>
        </w:rPr>
        <w:id w:val="153429210"/>
        <w:docPartObj>
          <w:docPartGallery w:val="Table of Contents"/>
          <w:docPartUnique/>
        </w:docPartObj>
      </w:sdtPr>
      <w:sdtEndPr>
        <w:rPr>
          <w:b/>
          <w:bCs/>
        </w:rPr>
      </w:sdtEndPr>
      <w:sdtContent>
        <w:p w14:paraId="5B86D274" w14:textId="77777777" w:rsidR="00DF7A2B" w:rsidRPr="00632E30" w:rsidRDefault="00DF7A2B" w:rsidP="00444B5D">
          <w:pPr>
            <w:pStyle w:val="Nadpisobsahu"/>
            <w:spacing w:before="0"/>
            <w:rPr>
              <w:rFonts w:ascii="Garamond" w:hAnsi="Garamond"/>
              <w:color w:val="auto"/>
            </w:rPr>
          </w:pPr>
          <w:r w:rsidRPr="00632E30">
            <w:rPr>
              <w:rFonts w:ascii="Garamond" w:hAnsi="Garamond"/>
              <w:color w:val="auto"/>
            </w:rPr>
            <w:t>Obsah</w:t>
          </w:r>
        </w:p>
        <w:p w14:paraId="5D926160" w14:textId="4B1B3214" w:rsidR="002B2CDE" w:rsidRDefault="00DF7A2B" w:rsidP="002B2CDE">
          <w:pPr>
            <w:pStyle w:val="Obsah1"/>
            <w:rPr>
              <w:rFonts w:eastAsiaTheme="minorEastAsia"/>
              <w:noProof/>
              <w:lang w:eastAsia="cs-CZ"/>
            </w:rPr>
          </w:pPr>
          <w:r w:rsidRPr="00632E30">
            <w:rPr>
              <w:rFonts w:ascii="Garamond" w:hAnsi="Garamond"/>
            </w:rPr>
            <w:fldChar w:fldCharType="begin"/>
          </w:r>
          <w:r w:rsidRPr="00632E30">
            <w:rPr>
              <w:rFonts w:ascii="Garamond" w:hAnsi="Garamond"/>
            </w:rPr>
            <w:instrText xml:space="preserve"> TOC \o "1-3" \h \z \u </w:instrText>
          </w:r>
          <w:r w:rsidRPr="00632E30">
            <w:rPr>
              <w:rFonts w:ascii="Garamond" w:hAnsi="Garamond"/>
            </w:rPr>
            <w:fldChar w:fldCharType="separate"/>
          </w:r>
        </w:p>
        <w:p w14:paraId="53AE7D16" w14:textId="6C2FE638" w:rsidR="002B2CDE" w:rsidRDefault="002B2CDE" w:rsidP="002B2CDE">
          <w:pPr>
            <w:pStyle w:val="Obsah1"/>
            <w:ind w:left="0"/>
            <w:rPr>
              <w:rFonts w:eastAsiaTheme="minorEastAsia"/>
              <w:noProof/>
              <w:lang w:eastAsia="cs-CZ"/>
            </w:rPr>
          </w:pPr>
          <w:hyperlink w:anchor="_Toc17881129" w:history="1">
            <w:r w:rsidRPr="00C04286">
              <w:rPr>
                <w:rStyle w:val="Hypertextovodkaz"/>
                <w:rFonts w:ascii="Garamond" w:hAnsi="Garamond"/>
                <w:b/>
                <w:noProof/>
              </w:rPr>
              <w:t>1.</w:t>
            </w:r>
            <w:r>
              <w:rPr>
                <w:rFonts w:eastAsiaTheme="minorEastAsia"/>
                <w:noProof/>
                <w:lang w:eastAsia="cs-CZ"/>
              </w:rPr>
              <w:tab/>
            </w:r>
            <w:r w:rsidRPr="00C04286">
              <w:rPr>
                <w:rStyle w:val="Hypertextovodkaz"/>
                <w:rFonts w:ascii="Garamond" w:hAnsi="Garamond"/>
                <w:b/>
                <w:noProof/>
              </w:rPr>
              <w:t>Úvod</w:t>
            </w:r>
            <w:r>
              <w:rPr>
                <w:noProof/>
                <w:webHidden/>
              </w:rPr>
              <w:tab/>
            </w:r>
            <w:r>
              <w:rPr>
                <w:noProof/>
                <w:webHidden/>
              </w:rPr>
              <w:fldChar w:fldCharType="begin"/>
            </w:r>
            <w:r>
              <w:rPr>
                <w:noProof/>
                <w:webHidden/>
              </w:rPr>
              <w:instrText xml:space="preserve"> PAGEREF _Toc17881129 \h </w:instrText>
            </w:r>
            <w:r>
              <w:rPr>
                <w:noProof/>
                <w:webHidden/>
              </w:rPr>
            </w:r>
            <w:r>
              <w:rPr>
                <w:noProof/>
                <w:webHidden/>
              </w:rPr>
              <w:fldChar w:fldCharType="separate"/>
            </w:r>
            <w:r>
              <w:rPr>
                <w:noProof/>
                <w:webHidden/>
              </w:rPr>
              <w:t>6</w:t>
            </w:r>
            <w:r>
              <w:rPr>
                <w:noProof/>
                <w:webHidden/>
              </w:rPr>
              <w:fldChar w:fldCharType="end"/>
            </w:r>
          </w:hyperlink>
        </w:p>
        <w:p w14:paraId="68018D55" w14:textId="6A635F16" w:rsidR="002B2CDE" w:rsidRDefault="002B2CDE" w:rsidP="002B2CDE">
          <w:pPr>
            <w:pStyle w:val="Obsah1"/>
            <w:ind w:left="0"/>
            <w:rPr>
              <w:rFonts w:eastAsiaTheme="minorEastAsia"/>
              <w:noProof/>
              <w:lang w:eastAsia="cs-CZ"/>
            </w:rPr>
          </w:pPr>
          <w:hyperlink w:anchor="_Toc17881130" w:history="1">
            <w:r w:rsidRPr="00C04286">
              <w:rPr>
                <w:rStyle w:val="Hypertextovodkaz"/>
                <w:rFonts w:ascii="Garamond" w:hAnsi="Garamond"/>
                <w:b/>
                <w:noProof/>
              </w:rPr>
              <w:t>2.</w:t>
            </w:r>
            <w:r>
              <w:rPr>
                <w:rFonts w:eastAsiaTheme="minorEastAsia"/>
                <w:noProof/>
                <w:lang w:eastAsia="cs-CZ"/>
              </w:rPr>
              <w:tab/>
            </w:r>
            <w:r w:rsidRPr="00C04286">
              <w:rPr>
                <w:rStyle w:val="Hypertextovodkaz"/>
                <w:rFonts w:ascii="Garamond" w:hAnsi="Garamond"/>
                <w:b/>
                <w:noProof/>
              </w:rPr>
              <w:t>Vyšetřovací důkaz</w:t>
            </w:r>
            <w:r>
              <w:rPr>
                <w:noProof/>
                <w:webHidden/>
              </w:rPr>
              <w:tab/>
            </w:r>
            <w:r>
              <w:rPr>
                <w:noProof/>
                <w:webHidden/>
              </w:rPr>
              <w:fldChar w:fldCharType="begin"/>
            </w:r>
            <w:r>
              <w:rPr>
                <w:noProof/>
                <w:webHidden/>
              </w:rPr>
              <w:instrText xml:space="preserve"> PAGEREF _Toc17881130 \h </w:instrText>
            </w:r>
            <w:r>
              <w:rPr>
                <w:noProof/>
                <w:webHidden/>
              </w:rPr>
            </w:r>
            <w:r>
              <w:rPr>
                <w:noProof/>
                <w:webHidden/>
              </w:rPr>
              <w:fldChar w:fldCharType="separate"/>
            </w:r>
            <w:r>
              <w:rPr>
                <w:noProof/>
                <w:webHidden/>
              </w:rPr>
              <w:t>9</w:t>
            </w:r>
            <w:r>
              <w:rPr>
                <w:noProof/>
                <w:webHidden/>
              </w:rPr>
              <w:fldChar w:fldCharType="end"/>
            </w:r>
          </w:hyperlink>
        </w:p>
        <w:p w14:paraId="1E97D5A4" w14:textId="4D7B1975" w:rsidR="002B2CDE" w:rsidRDefault="002B2CDE">
          <w:pPr>
            <w:pStyle w:val="Obsah2"/>
            <w:rPr>
              <w:rFonts w:eastAsiaTheme="minorEastAsia"/>
              <w:noProof/>
              <w:lang w:eastAsia="cs-CZ"/>
            </w:rPr>
          </w:pPr>
          <w:hyperlink w:anchor="_Toc17881131" w:history="1">
            <w:r w:rsidRPr="00C04286">
              <w:rPr>
                <w:rStyle w:val="Hypertextovodkaz"/>
                <w:rFonts w:ascii="Garamond" w:hAnsi="Garamond"/>
                <w:b/>
                <w:noProof/>
              </w:rPr>
              <w:t>2.1</w:t>
            </w:r>
            <w:r>
              <w:rPr>
                <w:rFonts w:eastAsiaTheme="minorEastAsia"/>
                <w:noProof/>
                <w:lang w:eastAsia="cs-CZ"/>
              </w:rPr>
              <w:tab/>
            </w:r>
            <w:r w:rsidRPr="00C04286">
              <w:rPr>
                <w:rStyle w:val="Hypertextovodkaz"/>
                <w:rFonts w:ascii="Garamond" w:hAnsi="Garamond"/>
                <w:b/>
                <w:noProof/>
              </w:rPr>
              <w:t>Obecně o vyšetřovacím důkazu</w:t>
            </w:r>
            <w:r>
              <w:rPr>
                <w:noProof/>
                <w:webHidden/>
              </w:rPr>
              <w:tab/>
            </w:r>
            <w:r>
              <w:rPr>
                <w:noProof/>
                <w:webHidden/>
              </w:rPr>
              <w:fldChar w:fldCharType="begin"/>
            </w:r>
            <w:r>
              <w:rPr>
                <w:noProof/>
                <w:webHidden/>
              </w:rPr>
              <w:instrText xml:space="preserve"> PAGEREF _Toc17881131 \h </w:instrText>
            </w:r>
            <w:r>
              <w:rPr>
                <w:noProof/>
                <w:webHidden/>
              </w:rPr>
            </w:r>
            <w:r>
              <w:rPr>
                <w:noProof/>
                <w:webHidden/>
              </w:rPr>
              <w:fldChar w:fldCharType="separate"/>
            </w:r>
            <w:r>
              <w:rPr>
                <w:noProof/>
                <w:webHidden/>
              </w:rPr>
              <w:t>9</w:t>
            </w:r>
            <w:r>
              <w:rPr>
                <w:noProof/>
                <w:webHidden/>
              </w:rPr>
              <w:fldChar w:fldCharType="end"/>
            </w:r>
          </w:hyperlink>
        </w:p>
        <w:p w14:paraId="41EBAD4D" w14:textId="32E1F0B3" w:rsidR="002B2CDE" w:rsidRDefault="002B2CDE">
          <w:pPr>
            <w:pStyle w:val="Obsah2"/>
            <w:rPr>
              <w:rFonts w:eastAsiaTheme="minorEastAsia"/>
              <w:noProof/>
              <w:lang w:eastAsia="cs-CZ"/>
            </w:rPr>
          </w:pPr>
          <w:hyperlink w:anchor="_Toc17881132" w:history="1">
            <w:r w:rsidRPr="00C04286">
              <w:rPr>
                <w:rStyle w:val="Hypertextovodkaz"/>
                <w:rFonts w:ascii="Garamond" w:hAnsi="Garamond"/>
                <w:b/>
                <w:noProof/>
              </w:rPr>
              <w:t>2.2</w:t>
            </w:r>
            <w:r>
              <w:rPr>
                <w:rFonts w:eastAsiaTheme="minorEastAsia"/>
                <w:noProof/>
                <w:lang w:eastAsia="cs-CZ"/>
              </w:rPr>
              <w:tab/>
            </w:r>
            <w:r w:rsidRPr="00C04286">
              <w:rPr>
                <w:rStyle w:val="Hypertextovodkaz"/>
                <w:rFonts w:ascii="Garamond" w:hAnsi="Garamond"/>
                <w:b/>
                <w:noProof/>
              </w:rPr>
              <w:t>Formy vyšetřovacího důkazu</w:t>
            </w:r>
            <w:r>
              <w:rPr>
                <w:noProof/>
                <w:webHidden/>
              </w:rPr>
              <w:tab/>
            </w:r>
            <w:r>
              <w:rPr>
                <w:noProof/>
                <w:webHidden/>
              </w:rPr>
              <w:fldChar w:fldCharType="begin"/>
            </w:r>
            <w:r>
              <w:rPr>
                <w:noProof/>
                <w:webHidden/>
              </w:rPr>
              <w:instrText xml:space="preserve"> PAGEREF _Toc17881132 \h </w:instrText>
            </w:r>
            <w:r>
              <w:rPr>
                <w:noProof/>
                <w:webHidden/>
              </w:rPr>
            </w:r>
            <w:r>
              <w:rPr>
                <w:noProof/>
                <w:webHidden/>
              </w:rPr>
              <w:fldChar w:fldCharType="separate"/>
            </w:r>
            <w:r>
              <w:rPr>
                <w:noProof/>
                <w:webHidden/>
              </w:rPr>
              <w:t>9</w:t>
            </w:r>
            <w:r>
              <w:rPr>
                <w:noProof/>
                <w:webHidden/>
              </w:rPr>
              <w:fldChar w:fldCharType="end"/>
            </w:r>
          </w:hyperlink>
        </w:p>
        <w:p w14:paraId="096429B5" w14:textId="4F0DDC44" w:rsidR="002B2CDE" w:rsidRDefault="002B2CDE" w:rsidP="002B2CDE">
          <w:pPr>
            <w:pStyle w:val="Obsah1"/>
            <w:ind w:left="0"/>
            <w:rPr>
              <w:rFonts w:eastAsiaTheme="minorEastAsia"/>
              <w:noProof/>
              <w:lang w:eastAsia="cs-CZ"/>
            </w:rPr>
          </w:pPr>
          <w:hyperlink w:anchor="_Toc17881133" w:history="1">
            <w:r w:rsidRPr="00C04286">
              <w:rPr>
                <w:rStyle w:val="Hypertextovodkaz"/>
                <w:rFonts w:ascii="Garamond" w:hAnsi="Garamond"/>
                <w:b/>
                <w:noProof/>
              </w:rPr>
              <w:t>3.</w:t>
            </w:r>
            <w:r>
              <w:rPr>
                <w:rFonts w:eastAsiaTheme="minorEastAsia"/>
                <w:noProof/>
                <w:lang w:eastAsia="cs-CZ"/>
              </w:rPr>
              <w:tab/>
            </w:r>
            <w:r w:rsidRPr="00C04286">
              <w:rPr>
                <w:rStyle w:val="Hypertextovodkaz"/>
                <w:rFonts w:ascii="Garamond" w:hAnsi="Garamond"/>
                <w:b/>
                <w:noProof/>
              </w:rPr>
              <w:t>Vysvětlovací povinnost</w:t>
            </w:r>
            <w:r>
              <w:rPr>
                <w:noProof/>
                <w:webHidden/>
              </w:rPr>
              <w:tab/>
            </w:r>
            <w:r>
              <w:rPr>
                <w:noProof/>
                <w:webHidden/>
              </w:rPr>
              <w:fldChar w:fldCharType="begin"/>
            </w:r>
            <w:r>
              <w:rPr>
                <w:noProof/>
                <w:webHidden/>
              </w:rPr>
              <w:instrText xml:space="preserve"> PAGEREF _Toc17881133 \h </w:instrText>
            </w:r>
            <w:r>
              <w:rPr>
                <w:noProof/>
                <w:webHidden/>
              </w:rPr>
            </w:r>
            <w:r>
              <w:rPr>
                <w:noProof/>
                <w:webHidden/>
              </w:rPr>
              <w:fldChar w:fldCharType="separate"/>
            </w:r>
            <w:r>
              <w:rPr>
                <w:noProof/>
                <w:webHidden/>
              </w:rPr>
              <w:t>14</w:t>
            </w:r>
            <w:r>
              <w:rPr>
                <w:noProof/>
                <w:webHidden/>
              </w:rPr>
              <w:fldChar w:fldCharType="end"/>
            </w:r>
          </w:hyperlink>
        </w:p>
        <w:p w14:paraId="62A0CA36" w14:textId="5F94A0A8" w:rsidR="002B2CDE" w:rsidRDefault="002B2CDE">
          <w:pPr>
            <w:pStyle w:val="Obsah2"/>
            <w:rPr>
              <w:rFonts w:eastAsiaTheme="minorEastAsia"/>
              <w:noProof/>
              <w:lang w:eastAsia="cs-CZ"/>
            </w:rPr>
          </w:pPr>
          <w:hyperlink w:anchor="_Toc17881134" w:history="1">
            <w:r w:rsidRPr="00C04286">
              <w:rPr>
                <w:rStyle w:val="Hypertextovodkaz"/>
                <w:rFonts w:ascii="Garamond" w:hAnsi="Garamond"/>
                <w:b/>
                <w:noProof/>
              </w:rPr>
              <w:t>3.1</w:t>
            </w:r>
            <w:r>
              <w:rPr>
                <w:rFonts w:eastAsiaTheme="minorEastAsia"/>
                <w:noProof/>
                <w:lang w:eastAsia="cs-CZ"/>
              </w:rPr>
              <w:tab/>
            </w:r>
            <w:r w:rsidRPr="00C04286">
              <w:rPr>
                <w:rStyle w:val="Hypertextovodkaz"/>
                <w:rFonts w:ascii="Garamond" w:hAnsi="Garamond"/>
                <w:b/>
                <w:noProof/>
              </w:rPr>
              <w:t>Pojem vysvětlovací povinnosti a její relace k vyšetřovacímu důkazu</w:t>
            </w:r>
            <w:r>
              <w:rPr>
                <w:noProof/>
                <w:webHidden/>
              </w:rPr>
              <w:tab/>
            </w:r>
            <w:r>
              <w:rPr>
                <w:noProof/>
                <w:webHidden/>
              </w:rPr>
              <w:fldChar w:fldCharType="begin"/>
            </w:r>
            <w:r>
              <w:rPr>
                <w:noProof/>
                <w:webHidden/>
              </w:rPr>
              <w:instrText xml:space="preserve"> PAGEREF _Toc17881134 \h </w:instrText>
            </w:r>
            <w:r>
              <w:rPr>
                <w:noProof/>
                <w:webHidden/>
              </w:rPr>
            </w:r>
            <w:r>
              <w:rPr>
                <w:noProof/>
                <w:webHidden/>
              </w:rPr>
              <w:fldChar w:fldCharType="separate"/>
            </w:r>
            <w:r>
              <w:rPr>
                <w:noProof/>
                <w:webHidden/>
              </w:rPr>
              <w:t>14</w:t>
            </w:r>
            <w:r>
              <w:rPr>
                <w:noProof/>
                <w:webHidden/>
              </w:rPr>
              <w:fldChar w:fldCharType="end"/>
            </w:r>
          </w:hyperlink>
        </w:p>
        <w:p w14:paraId="4D7A6211" w14:textId="341E3201" w:rsidR="002B2CDE" w:rsidRDefault="002B2CDE">
          <w:pPr>
            <w:pStyle w:val="Obsah2"/>
            <w:rPr>
              <w:rFonts w:eastAsiaTheme="minorEastAsia"/>
              <w:noProof/>
              <w:lang w:eastAsia="cs-CZ"/>
            </w:rPr>
          </w:pPr>
          <w:hyperlink w:anchor="_Toc17881135" w:history="1">
            <w:r w:rsidRPr="00C04286">
              <w:rPr>
                <w:rStyle w:val="Hypertextovodkaz"/>
                <w:rFonts w:ascii="Garamond" w:hAnsi="Garamond"/>
                <w:b/>
                <w:noProof/>
              </w:rPr>
              <w:t>3.2</w:t>
            </w:r>
            <w:r>
              <w:rPr>
                <w:rFonts w:eastAsiaTheme="minorEastAsia"/>
                <w:noProof/>
                <w:lang w:eastAsia="cs-CZ"/>
              </w:rPr>
              <w:tab/>
            </w:r>
            <w:r w:rsidRPr="00C04286">
              <w:rPr>
                <w:rStyle w:val="Hypertextovodkaz"/>
                <w:rFonts w:ascii="Garamond" w:hAnsi="Garamond"/>
                <w:b/>
                <w:noProof/>
              </w:rPr>
              <w:t>Právní povaha vysvětlovací povinnosti</w:t>
            </w:r>
            <w:r>
              <w:rPr>
                <w:noProof/>
                <w:webHidden/>
              </w:rPr>
              <w:tab/>
            </w:r>
            <w:r>
              <w:rPr>
                <w:noProof/>
                <w:webHidden/>
              </w:rPr>
              <w:fldChar w:fldCharType="begin"/>
            </w:r>
            <w:r>
              <w:rPr>
                <w:noProof/>
                <w:webHidden/>
              </w:rPr>
              <w:instrText xml:space="preserve"> PAGEREF _Toc17881135 \h </w:instrText>
            </w:r>
            <w:r>
              <w:rPr>
                <w:noProof/>
                <w:webHidden/>
              </w:rPr>
            </w:r>
            <w:r>
              <w:rPr>
                <w:noProof/>
                <w:webHidden/>
              </w:rPr>
              <w:fldChar w:fldCharType="separate"/>
            </w:r>
            <w:r>
              <w:rPr>
                <w:noProof/>
                <w:webHidden/>
              </w:rPr>
              <w:t>15</w:t>
            </w:r>
            <w:r>
              <w:rPr>
                <w:noProof/>
                <w:webHidden/>
              </w:rPr>
              <w:fldChar w:fldCharType="end"/>
            </w:r>
          </w:hyperlink>
        </w:p>
        <w:p w14:paraId="6B1107F4" w14:textId="11496E2C" w:rsidR="002B2CDE" w:rsidRDefault="002B2CDE">
          <w:pPr>
            <w:pStyle w:val="Obsah2"/>
            <w:rPr>
              <w:rFonts w:eastAsiaTheme="minorEastAsia"/>
              <w:noProof/>
              <w:lang w:eastAsia="cs-CZ"/>
            </w:rPr>
          </w:pPr>
          <w:hyperlink w:anchor="_Toc17881136" w:history="1">
            <w:r w:rsidRPr="00C04286">
              <w:rPr>
                <w:rStyle w:val="Hypertextovodkaz"/>
                <w:rFonts w:ascii="Garamond" w:hAnsi="Garamond"/>
                <w:b/>
                <w:noProof/>
              </w:rPr>
              <w:t>3.3</w:t>
            </w:r>
            <w:r>
              <w:rPr>
                <w:rFonts w:eastAsiaTheme="minorEastAsia"/>
                <w:noProof/>
                <w:lang w:eastAsia="cs-CZ"/>
              </w:rPr>
              <w:tab/>
            </w:r>
            <w:r w:rsidRPr="00C04286">
              <w:rPr>
                <w:rStyle w:val="Hypertextovodkaz"/>
                <w:rFonts w:ascii="Garamond" w:hAnsi="Garamond"/>
                <w:b/>
                <w:noProof/>
              </w:rPr>
              <w:t>Vznik vysvětlovací povinnosti</w:t>
            </w:r>
            <w:r>
              <w:rPr>
                <w:noProof/>
                <w:webHidden/>
              </w:rPr>
              <w:tab/>
            </w:r>
            <w:r>
              <w:rPr>
                <w:noProof/>
                <w:webHidden/>
              </w:rPr>
              <w:fldChar w:fldCharType="begin"/>
            </w:r>
            <w:r>
              <w:rPr>
                <w:noProof/>
                <w:webHidden/>
              </w:rPr>
              <w:instrText xml:space="preserve"> PAGEREF _Toc17881136 \h </w:instrText>
            </w:r>
            <w:r>
              <w:rPr>
                <w:noProof/>
                <w:webHidden/>
              </w:rPr>
            </w:r>
            <w:r>
              <w:rPr>
                <w:noProof/>
                <w:webHidden/>
              </w:rPr>
              <w:fldChar w:fldCharType="separate"/>
            </w:r>
            <w:r>
              <w:rPr>
                <w:noProof/>
                <w:webHidden/>
              </w:rPr>
              <w:t>19</w:t>
            </w:r>
            <w:r>
              <w:rPr>
                <w:noProof/>
                <w:webHidden/>
              </w:rPr>
              <w:fldChar w:fldCharType="end"/>
            </w:r>
          </w:hyperlink>
        </w:p>
        <w:p w14:paraId="076B1D6C" w14:textId="5740211C" w:rsidR="002B2CDE" w:rsidRDefault="002B2CDE">
          <w:pPr>
            <w:pStyle w:val="Obsah2"/>
            <w:rPr>
              <w:rFonts w:eastAsiaTheme="minorEastAsia"/>
              <w:noProof/>
              <w:lang w:eastAsia="cs-CZ"/>
            </w:rPr>
          </w:pPr>
          <w:hyperlink w:anchor="_Toc17881137" w:history="1">
            <w:r w:rsidRPr="00C04286">
              <w:rPr>
                <w:rStyle w:val="Hypertextovodkaz"/>
                <w:rFonts w:ascii="Garamond" w:hAnsi="Garamond"/>
                <w:b/>
                <w:noProof/>
              </w:rPr>
              <w:t>3.4</w:t>
            </w:r>
            <w:r>
              <w:rPr>
                <w:rFonts w:eastAsiaTheme="minorEastAsia"/>
                <w:noProof/>
                <w:lang w:eastAsia="cs-CZ"/>
              </w:rPr>
              <w:tab/>
            </w:r>
            <w:r w:rsidRPr="00C04286">
              <w:rPr>
                <w:rStyle w:val="Hypertextovodkaz"/>
                <w:rFonts w:ascii="Garamond" w:hAnsi="Garamond"/>
                <w:b/>
                <w:noProof/>
              </w:rPr>
              <w:t>Rozsah vysvětlovací povinnost</w:t>
            </w:r>
            <w:r>
              <w:rPr>
                <w:noProof/>
                <w:webHidden/>
              </w:rPr>
              <w:tab/>
            </w:r>
            <w:r>
              <w:rPr>
                <w:noProof/>
                <w:webHidden/>
              </w:rPr>
              <w:fldChar w:fldCharType="begin"/>
            </w:r>
            <w:r>
              <w:rPr>
                <w:noProof/>
                <w:webHidden/>
              </w:rPr>
              <w:instrText xml:space="preserve"> PAGEREF _Toc17881137 \h </w:instrText>
            </w:r>
            <w:r>
              <w:rPr>
                <w:noProof/>
                <w:webHidden/>
              </w:rPr>
            </w:r>
            <w:r>
              <w:rPr>
                <w:noProof/>
                <w:webHidden/>
              </w:rPr>
              <w:fldChar w:fldCharType="separate"/>
            </w:r>
            <w:r>
              <w:rPr>
                <w:noProof/>
                <w:webHidden/>
              </w:rPr>
              <w:t>21</w:t>
            </w:r>
            <w:r>
              <w:rPr>
                <w:noProof/>
                <w:webHidden/>
              </w:rPr>
              <w:fldChar w:fldCharType="end"/>
            </w:r>
          </w:hyperlink>
        </w:p>
        <w:p w14:paraId="33545C6D" w14:textId="3DFBE16E" w:rsidR="002B2CDE" w:rsidRDefault="002B2CDE">
          <w:pPr>
            <w:pStyle w:val="Obsah2"/>
            <w:rPr>
              <w:rFonts w:eastAsiaTheme="minorEastAsia"/>
              <w:noProof/>
              <w:lang w:eastAsia="cs-CZ"/>
            </w:rPr>
          </w:pPr>
          <w:hyperlink w:anchor="_Toc17881138" w:history="1">
            <w:r w:rsidRPr="00C04286">
              <w:rPr>
                <w:rStyle w:val="Hypertextovodkaz"/>
                <w:rFonts w:ascii="Garamond" w:hAnsi="Garamond"/>
                <w:b/>
                <w:noProof/>
              </w:rPr>
              <w:t>3.5</w:t>
            </w:r>
            <w:r>
              <w:rPr>
                <w:rFonts w:eastAsiaTheme="minorEastAsia"/>
                <w:noProof/>
                <w:lang w:eastAsia="cs-CZ"/>
              </w:rPr>
              <w:tab/>
            </w:r>
            <w:r w:rsidRPr="00C04286">
              <w:rPr>
                <w:rStyle w:val="Hypertextovodkaz"/>
                <w:rFonts w:ascii="Garamond" w:hAnsi="Garamond"/>
                <w:b/>
                <w:noProof/>
              </w:rPr>
              <w:t>Obsah vysvětlovací povinnosti</w:t>
            </w:r>
            <w:r>
              <w:rPr>
                <w:noProof/>
                <w:webHidden/>
              </w:rPr>
              <w:tab/>
            </w:r>
            <w:r>
              <w:rPr>
                <w:noProof/>
                <w:webHidden/>
              </w:rPr>
              <w:fldChar w:fldCharType="begin"/>
            </w:r>
            <w:r>
              <w:rPr>
                <w:noProof/>
                <w:webHidden/>
              </w:rPr>
              <w:instrText xml:space="preserve"> PAGEREF _Toc17881138 \h </w:instrText>
            </w:r>
            <w:r>
              <w:rPr>
                <w:noProof/>
                <w:webHidden/>
              </w:rPr>
            </w:r>
            <w:r>
              <w:rPr>
                <w:noProof/>
                <w:webHidden/>
              </w:rPr>
              <w:fldChar w:fldCharType="separate"/>
            </w:r>
            <w:r>
              <w:rPr>
                <w:noProof/>
                <w:webHidden/>
              </w:rPr>
              <w:t>23</w:t>
            </w:r>
            <w:r>
              <w:rPr>
                <w:noProof/>
                <w:webHidden/>
              </w:rPr>
              <w:fldChar w:fldCharType="end"/>
            </w:r>
          </w:hyperlink>
        </w:p>
        <w:p w14:paraId="466A912C" w14:textId="6D2E30AE" w:rsidR="002B2CDE" w:rsidRDefault="002B2CDE">
          <w:pPr>
            <w:pStyle w:val="Obsah2"/>
            <w:rPr>
              <w:rFonts w:eastAsiaTheme="minorEastAsia"/>
              <w:noProof/>
              <w:lang w:eastAsia="cs-CZ"/>
            </w:rPr>
          </w:pPr>
          <w:hyperlink w:anchor="_Toc17881139" w:history="1">
            <w:r w:rsidRPr="00C04286">
              <w:rPr>
                <w:rStyle w:val="Hypertextovodkaz"/>
                <w:rFonts w:ascii="Garamond" w:hAnsi="Garamond"/>
                <w:b/>
                <w:noProof/>
              </w:rPr>
              <w:t>3.6</w:t>
            </w:r>
            <w:r>
              <w:rPr>
                <w:rFonts w:eastAsiaTheme="minorEastAsia"/>
                <w:noProof/>
                <w:lang w:eastAsia="cs-CZ"/>
              </w:rPr>
              <w:tab/>
            </w:r>
            <w:r w:rsidRPr="00C04286">
              <w:rPr>
                <w:rStyle w:val="Hypertextovodkaz"/>
                <w:rFonts w:ascii="Garamond" w:hAnsi="Garamond"/>
                <w:b/>
                <w:noProof/>
              </w:rPr>
              <w:t>Sankce za nesplnění vysvětlovací povinnosti</w:t>
            </w:r>
            <w:r>
              <w:rPr>
                <w:noProof/>
                <w:webHidden/>
              </w:rPr>
              <w:tab/>
            </w:r>
            <w:r>
              <w:rPr>
                <w:noProof/>
                <w:webHidden/>
              </w:rPr>
              <w:fldChar w:fldCharType="begin"/>
            </w:r>
            <w:r>
              <w:rPr>
                <w:noProof/>
                <w:webHidden/>
              </w:rPr>
              <w:instrText xml:space="preserve"> PAGEREF _Toc17881139 \h </w:instrText>
            </w:r>
            <w:r>
              <w:rPr>
                <w:noProof/>
                <w:webHidden/>
              </w:rPr>
            </w:r>
            <w:r>
              <w:rPr>
                <w:noProof/>
                <w:webHidden/>
              </w:rPr>
              <w:fldChar w:fldCharType="separate"/>
            </w:r>
            <w:r>
              <w:rPr>
                <w:noProof/>
                <w:webHidden/>
              </w:rPr>
              <w:t>24</w:t>
            </w:r>
            <w:r>
              <w:rPr>
                <w:noProof/>
                <w:webHidden/>
              </w:rPr>
              <w:fldChar w:fldCharType="end"/>
            </w:r>
          </w:hyperlink>
        </w:p>
        <w:p w14:paraId="01501B15" w14:textId="0A0FB5D7" w:rsidR="002B2CDE" w:rsidRDefault="002B2CDE" w:rsidP="002B2CDE">
          <w:pPr>
            <w:pStyle w:val="Obsah1"/>
            <w:ind w:left="0"/>
            <w:rPr>
              <w:rFonts w:eastAsiaTheme="minorEastAsia"/>
              <w:noProof/>
              <w:lang w:eastAsia="cs-CZ"/>
            </w:rPr>
          </w:pPr>
          <w:hyperlink w:anchor="_Toc17881140" w:history="1">
            <w:r w:rsidRPr="00C04286">
              <w:rPr>
                <w:rStyle w:val="Hypertextovodkaz"/>
                <w:rFonts w:ascii="Garamond" w:hAnsi="Garamond"/>
                <w:b/>
                <w:noProof/>
              </w:rPr>
              <w:t>4</w:t>
            </w:r>
            <w:r>
              <w:rPr>
                <w:rFonts w:eastAsiaTheme="minorEastAsia"/>
                <w:noProof/>
                <w:lang w:eastAsia="cs-CZ"/>
              </w:rPr>
              <w:tab/>
            </w:r>
            <w:r w:rsidRPr="00C04286">
              <w:rPr>
                <w:rStyle w:val="Hypertextovodkaz"/>
                <w:rFonts w:ascii="Garamond" w:hAnsi="Garamond"/>
                <w:b/>
                <w:noProof/>
              </w:rPr>
              <w:t>Vysvětlovací povinnost de lege lata</w:t>
            </w:r>
            <w:r>
              <w:rPr>
                <w:noProof/>
                <w:webHidden/>
              </w:rPr>
              <w:tab/>
            </w:r>
            <w:r>
              <w:rPr>
                <w:noProof/>
                <w:webHidden/>
              </w:rPr>
              <w:fldChar w:fldCharType="begin"/>
            </w:r>
            <w:r>
              <w:rPr>
                <w:noProof/>
                <w:webHidden/>
              </w:rPr>
              <w:instrText xml:space="preserve"> PAGEREF _Toc17881140 \h </w:instrText>
            </w:r>
            <w:r>
              <w:rPr>
                <w:noProof/>
                <w:webHidden/>
              </w:rPr>
            </w:r>
            <w:r>
              <w:rPr>
                <w:noProof/>
                <w:webHidden/>
              </w:rPr>
              <w:fldChar w:fldCharType="separate"/>
            </w:r>
            <w:r>
              <w:rPr>
                <w:noProof/>
                <w:webHidden/>
              </w:rPr>
              <w:t>29</w:t>
            </w:r>
            <w:r>
              <w:rPr>
                <w:noProof/>
                <w:webHidden/>
              </w:rPr>
              <w:fldChar w:fldCharType="end"/>
            </w:r>
          </w:hyperlink>
        </w:p>
        <w:p w14:paraId="792B9CCA" w14:textId="1755EF01" w:rsidR="002B2CDE" w:rsidRDefault="002B2CDE">
          <w:pPr>
            <w:pStyle w:val="Obsah1"/>
            <w:rPr>
              <w:rFonts w:eastAsiaTheme="minorEastAsia"/>
              <w:noProof/>
              <w:lang w:eastAsia="cs-CZ"/>
            </w:rPr>
          </w:pPr>
          <w:hyperlink w:anchor="_Toc17881141" w:history="1">
            <w:r w:rsidRPr="00C04286">
              <w:rPr>
                <w:rStyle w:val="Hypertextovodkaz"/>
                <w:rFonts w:ascii="Garamond" w:hAnsi="Garamond"/>
                <w:b/>
                <w:noProof/>
              </w:rPr>
              <w:t>4.1</w:t>
            </w:r>
            <w:r>
              <w:rPr>
                <w:rFonts w:eastAsiaTheme="minorEastAsia"/>
                <w:noProof/>
                <w:lang w:eastAsia="cs-CZ"/>
              </w:rPr>
              <w:tab/>
            </w:r>
            <w:r w:rsidRPr="00C04286">
              <w:rPr>
                <w:rStyle w:val="Hypertextovodkaz"/>
                <w:rFonts w:ascii="Garamond" w:hAnsi="Garamond"/>
                <w:b/>
                <w:noProof/>
              </w:rPr>
              <w:t>Vysvětlovací povinnost ve světle judikatury</w:t>
            </w:r>
            <w:r>
              <w:rPr>
                <w:noProof/>
                <w:webHidden/>
              </w:rPr>
              <w:tab/>
            </w:r>
            <w:r>
              <w:rPr>
                <w:noProof/>
                <w:webHidden/>
              </w:rPr>
              <w:fldChar w:fldCharType="begin"/>
            </w:r>
            <w:r>
              <w:rPr>
                <w:noProof/>
                <w:webHidden/>
              </w:rPr>
              <w:instrText xml:space="preserve"> PAGEREF _Toc17881141 \h </w:instrText>
            </w:r>
            <w:r>
              <w:rPr>
                <w:noProof/>
                <w:webHidden/>
              </w:rPr>
            </w:r>
            <w:r>
              <w:rPr>
                <w:noProof/>
                <w:webHidden/>
              </w:rPr>
              <w:fldChar w:fldCharType="separate"/>
            </w:r>
            <w:r>
              <w:rPr>
                <w:noProof/>
                <w:webHidden/>
              </w:rPr>
              <w:t>29</w:t>
            </w:r>
            <w:r>
              <w:rPr>
                <w:noProof/>
                <w:webHidden/>
              </w:rPr>
              <w:fldChar w:fldCharType="end"/>
            </w:r>
          </w:hyperlink>
        </w:p>
        <w:p w14:paraId="192AD903" w14:textId="3888E3FD" w:rsidR="002B2CDE" w:rsidRDefault="002B2CDE">
          <w:pPr>
            <w:pStyle w:val="Obsah2"/>
            <w:rPr>
              <w:rFonts w:eastAsiaTheme="minorEastAsia"/>
              <w:noProof/>
              <w:lang w:eastAsia="cs-CZ"/>
            </w:rPr>
          </w:pPr>
          <w:hyperlink w:anchor="_Toc17881142" w:history="1">
            <w:r w:rsidRPr="00C04286">
              <w:rPr>
                <w:rStyle w:val="Hypertextovodkaz"/>
                <w:rFonts w:ascii="Garamond" w:hAnsi="Garamond"/>
                <w:b/>
                <w:noProof/>
              </w:rPr>
              <w:t>4.2</w:t>
            </w:r>
            <w:r>
              <w:rPr>
                <w:rFonts w:eastAsiaTheme="minorEastAsia"/>
                <w:noProof/>
                <w:lang w:eastAsia="cs-CZ"/>
              </w:rPr>
              <w:tab/>
            </w:r>
            <w:r w:rsidRPr="00C04286">
              <w:rPr>
                <w:rStyle w:val="Hypertextovodkaz"/>
                <w:rFonts w:ascii="Garamond" w:hAnsi="Garamond"/>
                <w:b/>
                <w:noProof/>
              </w:rPr>
              <w:t>Vysvětlovací povinnost v pozitivním právu a v současné vědě</w:t>
            </w:r>
            <w:r>
              <w:rPr>
                <w:noProof/>
                <w:webHidden/>
              </w:rPr>
              <w:tab/>
            </w:r>
            <w:r>
              <w:rPr>
                <w:noProof/>
                <w:webHidden/>
              </w:rPr>
              <w:fldChar w:fldCharType="begin"/>
            </w:r>
            <w:r>
              <w:rPr>
                <w:noProof/>
                <w:webHidden/>
              </w:rPr>
              <w:instrText xml:space="preserve"> PAGEREF _Toc17881142 \h </w:instrText>
            </w:r>
            <w:r>
              <w:rPr>
                <w:noProof/>
                <w:webHidden/>
              </w:rPr>
            </w:r>
            <w:r>
              <w:rPr>
                <w:noProof/>
                <w:webHidden/>
              </w:rPr>
              <w:fldChar w:fldCharType="separate"/>
            </w:r>
            <w:r>
              <w:rPr>
                <w:noProof/>
                <w:webHidden/>
              </w:rPr>
              <w:t>33</w:t>
            </w:r>
            <w:r>
              <w:rPr>
                <w:noProof/>
                <w:webHidden/>
              </w:rPr>
              <w:fldChar w:fldCharType="end"/>
            </w:r>
          </w:hyperlink>
        </w:p>
        <w:p w14:paraId="1BD40F33" w14:textId="630A3418" w:rsidR="002B2CDE" w:rsidRDefault="002B2CDE" w:rsidP="002B2CDE">
          <w:pPr>
            <w:pStyle w:val="Obsah1"/>
            <w:ind w:left="0"/>
            <w:rPr>
              <w:rFonts w:eastAsiaTheme="minorEastAsia"/>
              <w:noProof/>
              <w:lang w:eastAsia="cs-CZ"/>
            </w:rPr>
          </w:pPr>
          <w:hyperlink w:anchor="_Toc17881143" w:history="1">
            <w:r w:rsidRPr="00C04286">
              <w:rPr>
                <w:rStyle w:val="Hypertextovodkaz"/>
                <w:rFonts w:ascii="Garamond" w:hAnsi="Garamond"/>
                <w:b/>
                <w:noProof/>
              </w:rPr>
              <w:t>5.</w:t>
            </w:r>
            <w:r>
              <w:rPr>
                <w:rFonts w:eastAsiaTheme="minorEastAsia"/>
                <w:noProof/>
                <w:lang w:eastAsia="cs-CZ"/>
              </w:rPr>
              <w:tab/>
            </w:r>
            <w:r w:rsidRPr="00C04286">
              <w:rPr>
                <w:rStyle w:val="Hypertextovodkaz"/>
                <w:rFonts w:ascii="Garamond" w:hAnsi="Garamond"/>
                <w:b/>
                <w:noProof/>
              </w:rPr>
              <w:t>Vysvětlovací povinnost de lege ferenda</w:t>
            </w:r>
            <w:r>
              <w:rPr>
                <w:noProof/>
                <w:webHidden/>
              </w:rPr>
              <w:tab/>
            </w:r>
            <w:r>
              <w:rPr>
                <w:noProof/>
                <w:webHidden/>
              </w:rPr>
              <w:fldChar w:fldCharType="begin"/>
            </w:r>
            <w:r>
              <w:rPr>
                <w:noProof/>
                <w:webHidden/>
              </w:rPr>
              <w:instrText xml:space="preserve"> PAGEREF _Toc17881143 \h </w:instrText>
            </w:r>
            <w:r>
              <w:rPr>
                <w:noProof/>
                <w:webHidden/>
              </w:rPr>
            </w:r>
            <w:r>
              <w:rPr>
                <w:noProof/>
                <w:webHidden/>
              </w:rPr>
              <w:fldChar w:fldCharType="separate"/>
            </w:r>
            <w:r>
              <w:rPr>
                <w:noProof/>
                <w:webHidden/>
              </w:rPr>
              <w:t>37</w:t>
            </w:r>
            <w:r>
              <w:rPr>
                <w:noProof/>
                <w:webHidden/>
              </w:rPr>
              <w:fldChar w:fldCharType="end"/>
            </w:r>
          </w:hyperlink>
        </w:p>
        <w:p w14:paraId="3157D977" w14:textId="6582198D" w:rsidR="002B2CDE" w:rsidRDefault="002B2CDE" w:rsidP="002B2CDE">
          <w:pPr>
            <w:pStyle w:val="Obsah1"/>
            <w:ind w:left="0"/>
            <w:rPr>
              <w:rFonts w:eastAsiaTheme="minorEastAsia"/>
              <w:noProof/>
              <w:lang w:eastAsia="cs-CZ"/>
            </w:rPr>
          </w:pPr>
          <w:hyperlink w:anchor="_Toc17881144" w:history="1">
            <w:r w:rsidRPr="00C04286">
              <w:rPr>
                <w:rStyle w:val="Hypertextovodkaz"/>
                <w:rFonts w:ascii="Garamond" w:hAnsi="Garamond"/>
                <w:b/>
                <w:noProof/>
              </w:rPr>
              <w:t>6.</w:t>
            </w:r>
            <w:r>
              <w:rPr>
                <w:rFonts w:eastAsiaTheme="minorEastAsia"/>
                <w:noProof/>
                <w:lang w:eastAsia="cs-CZ"/>
              </w:rPr>
              <w:tab/>
            </w:r>
            <w:r w:rsidRPr="00C04286">
              <w:rPr>
                <w:rStyle w:val="Hypertextovodkaz"/>
                <w:rFonts w:ascii="Garamond" w:hAnsi="Garamond"/>
                <w:b/>
                <w:noProof/>
              </w:rPr>
              <w:t>Závěr</w:t>
            </w:r>
            <w:r>
              <w:rPr>
                <w:noProof/>
                <w:webHidden/>
              </w:rPr>
              <w:tab/>
            </w:r>
            <w:r>
              <w:rPr>
                <w:noProof/>
                <w:webHidden/>
              </w:rPr>
              <w:fldChar w:fldCharType="begin"/>
            </w:r>
            <w:r>
              <w:rPr>
                <w:noProof/>
                <w:webHidden/>
              </w:rPr>
              <w:instrText xml:space="preserve"> PAGEREF _Toc17881144 \h </w:instrText>
            </w:r>
            <w:r>
              <w:rPr>
                <w:noProof/>
                <w:webHidden/>
              </w:rPr>
            </w:r>
            <w:r>
              <w:rPr>
                <w:noProof/>
                <w:webHidden/>
              </w:rPr>
              <w:fldChar w:fldCharType="separate"/>
            </w:r>
            <w:r>
              <w:rPr>
                <w:noProof/>
                <w:webHidden/>
              </w:rPr>
              <w:t>39</w:t>
            </w:r>
            <w:r>
              <w:rPr>
                <w:noProof/>
                <w:webHidden/>
              </w:rPr>
              <w:fldChar w:fldCharType="end"/>
            </w:r>
          </w:hyperlink>
        </w:p>
        <w:p w14:paraId="5CE9FE6B" w14:textId="4F7EC1F8" w:rsidR="00DF7A2B" w:rsidRPr="00632E30" w:rsidRDefault="00DF7A2B">
          <w:pPr>
            <w:rPr>
              <w:rFonts w:ascii="Garamond" w:hAnsi="Garamond"/>
            </w:rPr>
          </w:pPr>
          <w:r w:rsidRPr="00632E30">
            <w:rPr>
              <w:rFonts w:ascii="Garamond" w:hAnsi="Garamond"/>
              <w:b/>
              <w:bCs/>
            </w:rPr>
            <w:fldChar w:fldCharType="end"/>
          </w:r>
        </w:p>
      </w:sdtContent>
    </w:sdt>
    <w:p w14:paraId="4C16835C" w14:textId="77777777" w:rsidR="00AE3F7E" w:rsidRDefault="00680479" w:rsidP="00680479">
      <w:pPr>
        <w:rPr>
          <w:rFonts w:ascii="Garamond" w:hAnsi="Garamond"/>
        </w:rPr>
        <w:sectPr w:rsidR="00AE3F7E" w:rsidSect="0082514F">
          <w:footerReference w:type="default" r:id="rId8"/>
          <w:footerReference w:type="first" r:id="rId9"/>
          <w:pgSz w:w="11906" w:h="16838"/>
          <w:pgMar w:top="1417" w:right="1417" w:bottom="1417" w:left="1417" w:header="708" w:footer="708" w:gutter="0"/>
          <w:cols w:space="708"/>
          <w:docGrid w:linePitch="360"/>
        </w:sectPr>
      </w:pPr>
      <w:r w:rsidRPr="00632E30">
        <w:rPr>
          <w:rFonts w:ascii="Garamond" w:hAnsi="Garamond"/>
        </w:rPr>
        <w:br w:type="page"/>
      </w:r>
    </w:p>
    <w:p w14:paraId="75763404" w14:textId="5B131DFC" w:rsidR="00680479" w:rsidRPr="00632E30" w:rsidRDefault="00680479" w:rsidP="00BE56B8">
      <w:pPr>
        <w:pStyle w:val="Nadpis1"/>
        <w:numPr>
          <w:ilvl w:val="0"/>
          <w:numId w:val="12"/>
        </w:numPr>
        <w:ind w:left="0" w:firstLine="0"/>
        <w:rPr>
          <w:rFonts w:ascii="Garamond" w:hAnsi="Garamond"/>
          <w:b/>
          <w:color w:val="auto"/>
        </w:rPr>
      </w:pPr>
      <w:bookmarkStart w:id="8" w:name="_Toc17881129"/>
      <w:r w:rsidRPr="00632E30">
        <w:rPr>
          <w:rFonts w:ascii="Garamond" w:hAnsi="Garamond"/>
          <w:b/>
          <w:color w:val="auto"/>
        </w:rPr>
        <w:lastRenderedPageBreak/>
        <w:t>Úvod</w:t>
      </w:r>
      <w:bookmarkEnd w:id="8"/>
    </w:p>
    <w:p w14:paraId="52B685D2" w14:textId="77777777" w:rsidR="00680479" w:rsidRPr="00632E30" w:rsidRDefault="00680479" w:rsidP="00680479">
      <w:pPr>
        <w:rPr>
          <w:rFonts w:ascii="Garamond" w:hAnsi="Garamond"/>
        </w:rPr>
      </w:pPr>
    </w:p>
    <w:p w14:paraId="3F38B99B" w14:textId="77777777" w:rsidR="00C50805" w:rsidRPr="00632E30" w:rsidRDefault="002574A2" w:rsidP="006C2E2B">
      <w:pPr>
        <w:spacing w:line="360" w:lineRule="auto"/>
        <w:ind w:firstLine="708"/>
        <w:jc w:val="both"/>
        <w:rPr>
          <w:rFonts w:ascii="Garamond" w:hAnsi="Garamond"/>
          <w:sz w:val="24"/>
          <w:szCs w:val="24"/>
        </w:rPr>
      </w:pPr>
      <w:r w:rsidRPr="00632E30">
        <w:rPr>
          <w:rFonts w:ascii="Garamond" w:hAnsi="Garamond"/>
          <w:sz w:val="24"/>
          <w:szCs w:val="24"/>
        </w:rPr>
        <w:t>Účelem civilního soudního řízení je především poskytování ochrany porušeným nebo ohroženým subjektivním soukromým právům.</w:t>
      </w:r>
      <w:r w:rsidRPr="00632E30">
        <w:rPr>
          <w:rStyle w:val="Znakapoznpodarou"/>
          <w:rFonts w:ascii="Garamond" w:hAnsi="Garamond"/>
          <w:sz w:val="24"/>
          <w:szCs w:val="24"/>
        </w:rPr>
        <w:footnoteReference w:id="2"/>
      </w:r>
      <w:r w:rsidR="006C6475" w:rsidRPr="00632E30">
        <w:rPr>
          <w:rStyle w:val="Znakapoznpodarou"/>
          <w:rFonts w:ascii="Garamond" w:hAnsi="Garamond"/>
          <w:sz w:val="24"/>
          <w:szCs w:val="24"/>
        </w:rPr>
        <w:footnoteReference w:id="3"/>
      </w:r>
      <w:r w:rsidR="00BC3EC9" w:rsidRPr="00632E30">
        <w:rPr>
          <w:rFonts w:ascii="Garamond" w:hAnsi="Garamond"/>
          <w:sz w:val="24"/>
          <w:szCs w:val="24"/>
        </w:rPr>
        <w:t xml:space="preserve"> </w:t>
      </w:r>
      <w:r w:rsidR="007442F6" w:rsidRPr="00632E30">
        <w:rPr>
          <w:rFonts w:ascii="Garamond" w:hAnsi="Garamond"/>
          <w:sz w:val="24"/>
          <w:szCs w:val="24"/>
        </w:rPr>
        <w:t>Děje se tak především v řízení sporném, nikoliv však výlučně, jež je součástí řízení nalézacího</w:t>
      </w:r>
      <w:r w:rsidR="00443C7A" w:rsidRPr="00632E30">
        <w:rPr>
          <w:rFonts w:ascii="Garamond" w:hAnsi="Garamond"/>
          <w:sz w:val="24"/>
          <w:szCs w:val="24"/>
        </w:rPr>
        <w:t xml:space="preserve"> </w:t>
      </w:r>
      <w:r w:rsidR="007442F6" w:rsidRPr="00632E30">
        <w:rPr>
          <w:rFonts w:ascii="Garamond" w:hAnsi="Garamond"/>
          <w:sz w:val="24"/>
          <w:szCs w:val="24"/>
        </w:rPr>
        <w:t>jako základního druhu civilního soudního řízení.</w:t>
      </w:r>
    </w:p>
    <w:p w14:paraId="7E3553DC" w14:textId="77777777" w:rsidR="000C1445" w:rsidRPr="00632E30" w:rsidRDefault="007442F6" w:rsidP="006C2E2B">
      <w:pPr>
        <w:spacing w:line="360" w:lineRule="auto"/>
        <w:ind w:firstLine="708"/>
        <w:jc w:val="both"/>
        <w:rPr>
          <w:rFonts w:ascii="Garamond" w:hAnsi="Garamond"/>
          <w:sz w:val="24"/>
          <w:szCs w:val="24"/>
        </w:rPr>
      </w:pPr>
      <w:r w:rsidRPr="00632E30">
        <w:rPr>
          <w:rFonts w:ascii="Garamond" w:hAnsi="Garamond"/>
          <w:i/>
          <w:sz w:val="24"/>
          <w:szCs w:val="24"/>
        </w:rPr>
        <w:t xml:space="preserve">„Při něm běží o to, aby stát svými orgány (soudy) způsobem závazným a konečným rozhodl neshodu vzniklou mezi dvěma jednotlivci jakožto osobami soukromými o otázce upravené právním řádem soukromým, aby </w:t>
      </w:r>
      <w:r w:rsidR="000C1445" w:rsidRPr="00632E30">
        <w:rPr>
          <w:rFonts w:ascii="Garamond" w:hAnsi="Garamond"/>
          <w:i/>
          <w:sz w:val="24"/>
          <w:szCs w:val="24"/>
        </w:rPr>
        <w:t>vyslovil,</w:t>
      </w:r>
      <w:r w:rsidRPr="00632E30">
        <w:rPr>
          <w:rFonts w:ascii="Garamond" w:hAnsi="Garamond"/>
          <w:i/>
          <w:sz w:val="24"/>
          <w:szCs w:val="24"/>
        </w:rPr>
        <w:t xml:space="preserve"> na čí straně je právo, a takto rozhodnuv…</w:t>
      </w:r>
      <w:r w:rsidR="000C1445" w:rsidRPr="00632E30">
        <w:rPr>
          <w:rFonts w:ascii="Garamond" w:hAnsi="Garamond"/>
          <w:i/>
          <w:sz w:val="24"/>
          <w:szCs w:val="24"/>
        </w:rPr>
        <w:t xml:space="preserve">“ </w:t>
      </w:r>
      <w:r w:rsidRPr="00632E30">
        <w:rPr>
          <w:rStyle w:val="Znakapoznpodarou"/>
          <w:rFonts w:ascii="Garamond" w:hAnsi="Garamond"/>
          <w:i/>
          <w:sz w:val="24"/>
          <w:szCs w:val="24"/>
        </w:rPr>
        <w:footnoteReference w:id="4"/>
      </w:r>
      <w:r w:rsidR="00A640E5" w:rsidRPr="00632E30">
        <w:rPr>
          <w:rStyle w:val="Znakapoznpodarou"/>
          <w:rFonts w:ascii="Garamond" w:hAnsi="Garamond"/>
          <w:i/>
          <w:sz w:val="24"/>
          <w:szCs w:val="24"/>
        </w:rPr>
        <w:footnoteReference w:id="5"/>
      </w:r>
    </w:p>
    <w:p w14:paraId="5EDF15FB" w14:textId="0A71032E" w:rsidR="00447FC2" w:rsidRPr="00632E30" w:rsidRDefault="006E4C0D" w:rsidP="006C2E2B">
      <w:pPr>
        <w:spacing w:line="360" w:lineRule="auto"/>
        <w:ind w:firstLine="708"/>
        <w:jc w:val="both"/>
        <w:rPr>
          <w:rFonts w:ascii="Garamond" w:hAnsi="Garamond"/>
          <w:sz w:val="24"/>
          <w:szCs w:val="24"/>
        </w:rPr>
      </w:pPr>
      <w:r w:rsidRPr="00632E30">
        <w:rPr>
          <w:rFonts w:ascii="Garamond" w:hAnsi="Garamond"/>
          <w:sz w:val="24"/>
          <w:szCs w:val="24"/>
        </w:rPr>
        <w:t>V rámci sporného řízení se uplatňuje celá řada</w:t>
      </w:r>
      <w:r w:rsidR="00447FC2" w:rsidRPr="00632E30">
        <w:rPr>
          <w:rFonts w:ascii="Garamond" w:hAnsi="Garamond"/>
          <w:sz w:val="24"/>
          <w:szCs w:val="24"/>
        </w:rPr>
        <w:t xml:space="preserve"> </w:t>
      </w:r>
      <w:r w:rsidRPr="00632E30">
        <w:rPr>
          <w:rFonts w:ascii="Garamond" w:hAnsi="Garamond"/>
          <w:sz w:val="24"/>
          <w:szCs w:val="24"/>
        </w:rPr>
        <w:t>odvětvových principů civilního soudní</w:t>
      </w:r>
      <w:r w:rsidR="00F37A88" w:rsidRPr="00632E30">
        <w:rPr>
          <w:rFonts w:ascii="Garamond" w:hAnsi="Garamond"/>
          <w:sz w:val="24"/>
          <w:szCs w:val="24"/>
        </w:rPr>
        <w:t>ho</w:t>
      </w:r>
      <w:r w:rsidRPr="00632E30">
        <w:rPr>
          <w:rFonts w:ascii="Garamond" w:hAnsi="Garamond"/>
          <w:sz w:val="24"/>
          <w:szCs w:val="24"/>
        </w:rPr>
        <w:t xml:space="preserve"> řízení</w:t>
      </w:r>
      <w:r w:rsidR="00FA6250" w:rsidRPr="00632E30">
        <w:rPr>
          <w:rStyle w:val="Znakapoznpodarou"/>
          <w:rFonts w:ascii="Garamond" w:hAnsi="Garamond"/>
          <w:sz w:val="24"/>
          <w:szCs w:val="24"/>
        </w:rPr>
        <w:footnoteReference w:id="6"/>
      </w:r>
      <w:r w:rsidRPr="00632E30">
        <w:rPr>
          <w:rFonts w:ascii="Garamond" w:hAnsi="Garamond"/>
          <w:sz w:val="24"/>
          <w:szCs w:val="24"/>
        </w:rPr>
        <w:t>, předně zásada dispoziční</w:t>
      </w:r>
      <w:r w:rsidR="00F37A88" w:rsidRPr="00632E30">
        <w:rPr>
          <w:rFonts w:ascii="Garamond" w:hAnsi="Garamond"/>
          <w:sz w:val="24"/>
          <w:szCs w:val="24"/>
        </w:rPr>
        <w:t xml:space="preserve"> a</w:t>
      </w:r>
      <w:r w:rsidRPr="00632E30">
        <w:rPr>
          <w:rFonts w:ascii="Garamond" w:hAnsi="Garamond"/>
          <w:sz w:val="24"/>
          <w:szCs w:val="24"/>
        </w:rPr>
        <w:t xml:space="preserve"> projednací,</w:t>
      </w:r>
      <w:r w:rsidR="00447FC2" w:rsidRPr="00632E30">
        <w:rPr>
          <w:rFonts w:ascii="Garamond" w:hAnsi="Garamond"/>
          <w:sz w:val="24"/>
          <w:szCs w:val="24"/>
        </w:rPr>
        <w:t xml:space="preserve"> </w:t>
      </w:r>
      <w:r w:rsidR="00F37A88" w:rsidRPr="00632E30">
        <w:rPr>
          <w:rFonts w:ascii="Garamond" w:hAnsi="Garamond"/>
          <w:sz w:val="24"/>
          <w:szCs w:val="24"/>
        </w:rPr>
        <w:t>a rovněž</w:t>
      </w:r>
      <w:r w:rsidR="00447FC2" w:rsidRPr="00632E30">
        <w:rPr>
          <w:rFonts w:ascii="Garamond" w:hAnsi="Garamond"/>
          <w:sz w:val="24"/>
          <w:szCs w:val="24"/>
        </w:rPr>
        <w:t xml:space="preserve"> celá řada základních principů soudnictví a civilního procesu, jako např. zásada rovnosti a kontradiktornosti, jež společně utvářejí základy pro vedení sporného řízení</w:t>
      </w:r>
      <w:r w:rsidRPr="00632E30">
        <w:rPr>
          <w:rFonts w:ascii="Garamond" w:hAnsi="Garamond"/>
          <w:sz w:val="24"/>
          <w:szCs w:val="24"/>
        </w:rPr>
        <w:t>.</w:t>
      </w:r>
    </w:p>
    <w:p w14:paraId="2F5B3027" w14:textId="77777777" w:rsidR="00A640E5" w:rsidRPr="00632E30" w:rsidRDefault="00447FC2" w:rsidP="006C2E2B">
      <w:pPr>
        <w:spacing w:line="360" w:lineRule="auto"/>
        <w:ind w:firstLine="708"/>
        <w:jc w:val="both"/>
        <w:rPr>
          <w:rFonts w:ascii="Garamond" w:hAnsi="Garamond"/>
          <w:sz w:val="24"/>
          <w:szCs w:val="24"/>
        </w:rPr>
      </w:pPr>
      <w:r w:rsidRPr="00632E30">
        <w:rPr>
          <w:rFonts w:ascii="Garamond" w:hAnsi="Garamond"/>
          <w:sz w:val="24"/>
          <w:szCs w:val="24"/>
        </w:rPr>
        <w:t xml:space="preserve">Ve sporném řízení strany disponují jednak řízením, jednak </w:t>
      </w:r>
      <w:r w:rsidR="00C500C2" w:rsidRPr="00632E30">
        <w:rPr>
          <w:rFonts w:ascii="Garamond" w:hAnsi="Garamond"/>
          <w:sz w:val="24"/>
          <w:szCs w:val="24"/>
        </w:rPr>
        <w:t>jeho</w:t>
      </w:r>
      <w:r w:rsidRPr="00632E30">
        <w:rPr>
          <w:rFonts w:ascii="Garamond" w:hAnsi="Garamond"/>
          <w:sz w:val="24"/>
          <w:szCs w:val="24"/>
        </w:rPr>
        <w:t xml:space="preserve"> předmětem. Procesní aktivita tak leží na stranách sporu, jež uplatňuj</w:t>
      </w:r>
      <w:r w:rsidR="00C500C2" w:rsidRPr="00632E30">
        <w:rPr>
          <w:rFonts w:ascii="Garamond" w:hAnsi="Garamond"/>
          <w:sz w:val="24"/>
          <w:szCs w:val="24"/>
        </w:rPr>
        <w:t>í</w:t>
      </w:r>
      <w:r w:rsidRPr="00632E30">
        <w:rPr>
          <w:rFonts w:ascii="Garamond" w:hAnsi="Garamond"/>
          <w:sz w:val="24"/>
          <w:szCs w:val="24"/>
        </w:rPr>
        <w:t xml:space="preserve"> své právní zájmy. </w:t>
      </w:r>
      <w:r w:rsidR="008D5714" w:rsidRPr="00632E30">
        <w:rPr>
          <w:rFonts w:ascii="Garamond" w:hAnsi="Garamond"/>
          <w:sz w:val="24"/>
          <w:szCs w:val="24"/>
        </w:rPr>
        <w:t xml:space="preserve"> </w:t>
      </w:r>
      <w:r w:rsidR="00C500C2" w:rsidRPr="00632E30">
        <w:rPr>
          <w:rFonts w:ascii="Garamond" w:hAnsi="Garamond"/>
          <w:sz w:val="24"/>
          <w:szCs w:val="24"/>
        </w:rPr>
        <w:t>Projevuje se zde snaha každé ze stran sporu ohledně bránění svého práv</w:t>
      </w:r>
      <w:r w:rsidR="00443C7A" w:rsidRPr="00632E30">
        <w:rPr>
          <w:rFonts w:ascii="Garamond" w:hAnsi="Garamond"/>
          <w:sz w:val="24"/>
          <w:szCs w:val="24"/>
        </w:rPr>
        <w:t>n</w:t>
      </w:r>
      <w:r w:rsidR="00C500C2" w:rsidRPr="00632E30">
        <w:rPr>
          <w:rFonts w:ascii="Garamond" w:hAnsi="Garamond"/>
          <w:sz w:val="24"/>
          <w:szCs w:val="24"/>
        </w:rPr>
        <w:t>ího zájmu v</w:t>
      </w:r>
      <w:r w:rsidR="006B4D64" w:rsidRPr="00632E30">
        <w:rPr>
          <w:rFonts w:ascii="Garamond" w:hAnsi="Garamond"/>
          <w:sz w:val="24"/>
          <w:szCs w:val="24"/>
        </w:rPr>
        <w:t> rámci pravidel civilního soudního řádu o překažení dosažení cílů, které sleduje její protistrana.</w:t>
      </w:r>
      <w:r w:rsidR="00164AEB" w:rsidRPr="00632E30">
        <w:rPr>
          <w:rFonts w:ascii="Garamond" w:hAnsi="Garamond"/>
          <w:sz w:val="24"/>
          <w:szCs w:val="24"/>
        </w:rPr>
        <w:t xml:space="preserve"> </w:t>
      </w:r>
      <w:r w:rsidR="007C54E2" w:rsidRPr="00632E30">
        <w:rPr>
          <w:rFonts w:ascii="Garamond" w:hAnsi="Garamond"/>
          <w:sz w:val="24"/>
          <w:szCs w:val="24"/>
        </w:rPr>
        <w:t xml:space="preserve">Při respektu zásady projednací a dispoziční je tak stranám umožněno relativně svobodné a volné jednání při prosazování svých práv v rámci kontradiktorního procesu záležející především na </w:t>
      </w:r>
      <w:r w:rsidR="008B1704" w:rsidRPr="00632E30">
        <w:rPr>
          <w:rFonts w:ascii="Garamond" w:hAnsi="Garamond"/>
          <w:sz w:val="24"/>
          <w:szCs w:val="24"/>
        </w:rPr>
        <w:t>jejich</w:t>
      </w:r>
      <w:r w:rsidR="007C54E2" w:rsidRPr="00632E30">
        <w:rPr>
          <w:rFonts w:ascii="Garamond" w:hAnsi="Garamond"/>
          <w:sz w:val="24"/>
          <w:szCs w:val="24"/>
        </w:rPr>
        <w:t xml:space="preserve"> aktivitě.</w:t>
      </w:r>
      <w:r w:rsidR="00FA6250" w:rsidRPr="00632E30">
        <w:rPr>
          <w:rStyle w:val="Znakapoznpodarou"/>
          <w:rFonts w:ascii="Garamond" w:hAnsi="Garamond"/>
          <w:sz w:val="24"/>
          <w:szCs w:val="24"/>
        </w:rPr>
        <w:footnoteReference w:id="7"/>
      </w:r>
      <w:r w:rsidR="007C54E2" w:rsidRPr="00632E30">
        <w:rPr>
          <w:rFonts w:ascii="Garamond" w:hAnsi="Garamond"/>
          <w:sz w:val="24"/>
          <w:szCs w:val="24"/>
        </w:rPr>
        <w:t xml:space="preserve"> </w:t>
      </w:r>
    </w:p>
    <w:p w14:paraId="58530635" w14:textId="77777777" w:rsidR="007C54E2" w:rsidRPr="00632E30" w:rsidRDefault="004C2823" w:rsidP="006C2E2B">
      <w:pPr>
        <w:spacing w:line="360" w:lineRule="auto"/>
        <w:ind w:firstLine="708"/>
        <w:jc w:val="both"/>
        <w:rPr>
          <w:rFonts w:ascii="Garamond" w:hAnsi="Garamond"/>
          <w:sz w:val="24"/>
          <w:szCs w:val="24"/>
        </w:rPr>
      </w:pPr>
      <w:r w:rsidRPr="00632E30">
        <w:rPr>
          <w:rFonts w:ascii="Garamond" w:hAnsi="Garamond"/>
          <w:sz w:val="24"/>
          <w:szCs w:val="24"/>
        </w:rPr>
        <w:t xml:space="preserve">Záleží tak předně na stranách, které věci učiní předmětem řízení, jaká skutková tvrzení a jaké důkazy navrhnou. Procesní úloha soudu je zde výrazně slabší než v rámci jiných řízení, především v rámci nesporných řízení upravených zákonem číslo 292/2013 </w:t>
      </w:r>
      <w:proofErr w:type="spellStart"/>
      <w:r w:rsidRPr="00632E30">
        <w:rPr>
          <w:rFonts w:ascii="Garamond" w:hAnsi="Garamond"/>
          <w:sz w:val="24"/>
          <w:szCs w:val="24"/>
        </w:rPr>
        <w:t>Sb</w:t>
      </w:r>
      <w:proofErr w:type="spellEnd"/>
      <w:r w:rsidR="005D799D" w:rsidRPr="00632E30">
        <w:rPr>
          <w:rFonts w:ascii="Garamond" w:hAnsi="Garamond"/>
          <w:sz w:val="24"/>
          <w:szCs w:val="24"/>
        </w:rPr>
        <w:t>, o zvláštních řízeních soudních</w:t>
      </w:r>
      <w:r w:rsidR="00ED1C34" w:rsidRPr="00632E30">
        <w:rPr>
          <w:rFonts w:ascii="Garamond" w:hAnsi="Garamond"/>
          <w:sz w:val="24"/>
          <w:szCs w:val="24"/>
        </w:rPr>
        <w:t>.</w:t>
      </w:r>
      <w:r w:rsidR="002616B2" w:rsidRPr="00632E30">
        <w:rPr>
          <w:rFonts w:ascii="Garamond" w:hAnsi="Garamond"/>
          <w:sz w:val="24"/>
          <w:szCs w:val="24"/>
        </w:rPr>
        <w:t xml:space="preserve"> </w:t>
      </w:r>
      <w:r w:rsidR="000E74BA" w:rsidRPr="00632E30">
        <w:rPr>
          <w:rFonts w:ascii="Garamond" w:hAnsi="Garamond"/>
          <w:sz w:val="24"/>
          <w:szCs w:val="24"/>
        </w:rPr>
        <w:t xml:space="preserve"> Jeho úloha spočívá spíše ve vytváření procesních podmínek a předpokladů pro hladký průběh řízení s omezenými možnostmi mocenských zásahů.</w:t>
      </w:r>
      <w:r w:rsidR="005D799D" w:rsidRPr="00632E30">
        <w:rPr>
          <w:rStyle w:val="Znakapoznpodarou"/>
          <w:rFonts w:ascii="Garamond" w:hAnsi="Garamond"/>
          <w:sz w:val="24"/>
          <w:szCs w:val="24"/>
        </w:rPr>
        <w:footnoteReference w:id="8"/>
      </w:r>
    </w:p>
    <w:p w14:paraId="04220862" w14:textId="77777777" w:rsidR="00B012EE" w:rsidRPr="00632E30" w:rsidRDefault="00B012EE" w:rsidP="006C2E2B">
      <w:pPr>
        <w:spacing w:line="360" w:lineRule="auto"/>
        <w:ind w:firstLine="708"/>
        <w:jc w:val="both"/>
        <w:rPr>
          <w:rFonts w:ascii="Garamond" w:hAnsi="Garamond"/>
          <w:sz w:val="24"/>
          <w:szCs w:val="24"/>
        </w:rPr>
      </w:pPr>
      <w:r w:rsidRPr="00632E30">
        <w:rPr>
          <w:rFonts w:ascii="Garamond" w:hAnsi="Garamond"/>
          <w:sz w:val="24"/>
          <w:szCs w:val="24"/>
        </w:rPr>
        <w:lastRenderedPageBreak/>
        <w:t>Pro naplnění cíle civilního soudního řízení, respektive nalézacího řízení sporného, tedy poskytnutí ochrany porušeným nebo ohroženým subjektivním soukromým právům, a to předně formou autoritativního rozhodnutí, je nutno získat skutkové poznatky nutné pro takové rozhodnutí. Výhradním prostředkem pro získání takových relevantních poznatků je procesní dokazování. V něm strany mají možnost</w:t>
      </w:r>
      <w:r w:rsidR="00140E0F" w:rsidRPr="00632E30">
        <w:rPr>
          <w:rFonts w:ascii="Garamond" w:hAnsi="Garamond"/>
          <w:sz w:val="24"/>
          <w:szCs w:val="24"/>
        </w:rPr>
        <w:t>,</w:t>
      </w:r>
      <w:r w:rsidRPr="00632E30">
        <w:rPr>
          <w:rFonts w:ascii="Garamond" w:hAnsi="Garamond"/>
          <w:sz w:val="24"/>
          <w:szCs w:val="24"/>
        </w:rPr>
        <w:t xml:space="preserve"> v souladu s výše uvedeným</w:t>
      </w:r>
      <w:r w:rsidR="00140E0F" w:rsidRPr="00632E30">
        <w:rPr>
          <w:rFonts w:ascii="Garamond" w:hAnsi="Garamond"/>
          <w:sz w:val="24"/>
          <w:szCs w:val="24"/>
        </w:rPr>
        <w:t xml:space="preserve">, a zároveň povinnost takové skutečnosti uvádět a k jejich prokázání navrhovat důkazní prostředky. </w:t>
      </w:r>
      <w:r w:rsidR="006C4B1B" w:rsidRPr="00632E30">
        <w:rPr>
          <w:rFonts w:ascii="Garamond" w:hAnsi="Garamond"/>
          <w:sz w:val="24"/>
          <w:szCs w:val="24"/>
        </w:rPr>
        <w:t>Následkem nesplnění této povinnosti však není žádná přímá sankce, ale v souladu s</w:t>
      </w:r>
      <w:r w:rsidR="00A07770" w:rsidRPr="00632E30">
        <w:rPr>
          <w:rFonts w:ascii="Garamond" w:hAnsi="Garamond"/>
          <w:sz w:val="24"/>
          <w:szCs w:val="24"/>
        </w:rPr>
        <w:t xml:space="preserve"> objektivním břemenem neunesení sporu a prohra té strany, která </w:t>
      </w:r>
      <w:r w:rsidR="00694317" w:rsidRPr="00632E30">
        <w:rPr>
          <w:rFonts w:ascii="Garamond" w:hAnsi="Garamond"/>
          <w:sz w:val="24"/>
          <w:szCs w:val="24"/>
        </w:rPr>
        <w:t>neunesla své subjektivní břemeno.</w:t>
      </w:r>
      <w:r w:rsidR="00694317" w:rsidRPr="00632E30">
        <w:rPr>
          <w:rStyle w:val="Znakapoznpodarou"/>
          <w:rFonts w:ascii="Garamond" w:hAnsi="Garamond"/>
          <w:sz w:val="24"/>
          <w:szCs w:val="24"/>
        </w:rPr>
        <w:footnoteReference w:id="9"/>
      </w:r>
    </w:p>
    <w:p w14:paraId="28A84503" w14:textId="2C93B1D0" w:rsidR="00694317" w:rsidRPr="00632E30" w:rsidRDefault="00694317" w:rsidP="006C2E2B">
      <w:pPr>
        <w:spacing w:line="360" w:lineRule="auto"/>
        <w:ind w:firstLine="708"/>
        <w:jc w:val="both"/>
        <w:rPr>
          <w:rFonts w:ascii="Garamond" w:hAnsi="Garamond"/>
          <w:sz w:val="24"/>
          <w:szCs w:val="24"/>
        </w:rPr>
      </w:pPr>
      <w:r w:rsidRPr="00632E30">
        <w:rPr>
          <w:rFonts w:ascii="Garamond" w:hAnsi="Garamond"/>
          <w:sz w:val="24"/>
          <w:szCs w:val="24"/>
        </w:rPr>
        <w:t>V rámci takto vymezeného sporného řízení s rozdělenými povinnostmi vyplývající</w:t>
      </w:r>
      <w:r w:rsidR="00F37A88" w:rsidRPr="00632E30">
        <w:rPr>
          <w:rFonts w:ascii="Garamond" w:hAnsi="Garamond"/>
          <w:sz w:val="24"/>
          <w:szCs w:val="24"/>
        </w:rPr>
        <w:t>mi</w:t>
      </w:r>
      <w:r w:rsidRPr="00632E30">
        <w:rPr>
          <w:rFonts w:ascii="Garamond" w:hAnsi="Garamond"/>
          <w:sz w:val="24"/>
          <w:szCs w:val="24"/>
        </w:rPr>
        <w:t xml:space="preserve"> ze subjektivních břemen se může určitá strana sporu dostat do situace, kdy tato strana nedisponuje informacemi nutný</w:t>
      </w:r>
      <w:r w:rsidR="007624B0" w:rsidRPr="00632E30">
        <w:rPr>
          <w:rFonts w:ascii="Garamond" w:hAnsi="Garamond"/>
          <w:sz w:val="24"/>
          <w:szCs w:val="24"/>
        </w:rPr>
        <w:t xml:space="preserve">mi </w:t>
      </w:r>
      <w:r w:rsidRPr="00632E30">
        <w:rPr>
          <w:rFonts w:ascii="Garamond" w:hAnsi="Garamond"/>
          <w:sz w:val="24"/>
          <w:szCs w:val="24"/>
        </w:rPr>
        <w:t>pro splnění svých povinností tvrdit a prokazovat</w:t>
      </w:r>
      <w:r w:rsidR="008B1704" w:rsidRPr="00632E30">
        <w:rPr>
          <w:rFonts w:ascii="Garamond" w:hAnsi="Garamond"/>
          <w:sz w:val="24"/>
          <w:szCs w:val="24"/>
        </w:rPr>
        <w:t xml:space="preserve">, které jsou nezbytné pro uplatnění svých práv v rámci soudního řízení. Taková strana se tudíž dostává do tzv. informačního deficitu. Tento pojem není legálně definován, avšak ani věda civilního procesu neudává jednoznačnou definici. </w:t>
      </w:r>
    </w:p>
    <w:p w14:paraId="5A6C3A69" w14:textId="169003BD" w:rsidR="002616B2" w:rsidRPr="00632E30" w:rsidRDefault="00C84212" w:rsidP="006C2E2B">
      <w:pPr>
        <w:spacing w:line="360" w:lineRule="auto"/>
        <w:ind w:firstLine="708"/>
        <w:jc w:val="both"/>
        <w:rPr>
          <w:rFonts w:ascii="Garamond" w:hAnsi="Garamond"/>
          <w:i/>
          <w:sz w:val="24"/>
          <w:szCs w:val="24"/>
        </w:rPr>
      </w:pPr>
      <w:r w:rsidRPr="00632E30">
        <w:rPr>
          <w:rFonts w:ascii="Garamond" w:hAnsi="Garamond"/>
          <w:sz w:val="24"/>
          <w:szCs w:val="24"/>
        </w:rPr>
        <w:t xml:space="preserve">K informačnímu deficitu se vyjadřuje Dr. Svoboda, který jej pojímá jako </w:t>
      </w:r>
      <w:r w:rsidRPr="00632E30">
        <w:rPr>
          <w:rFonts w:ascii="Garamond" w:hAnsi="Garamond"/>
          <w:i/>
          <w:sz w:val="24"/>
          <w:szCs w:val="24"/>
        </w:rPr>
        <w:t>„nedostatek informací, jímž mohou účastníci, případně soud, během civilního procesu nebo v souvislosti s ním, trpět.“</w:t>
      </w:r>
      <w:r w:rsidR="002F4B1C" w:rsidRPr="00632E30">
        <w:rPr>
          <w:rFonts w:ascii="Garamond" w:hAnsi="Garamond"/>
          <w:sz w:val="24"/>
          <w:szCs w:val="24"/>
        </w:rPr>
        <w:t xml:space="preserve"> </w:t>
      </w:r>
      <w:r w:rsidR="002F4B1C" w:rsidRPr="00632E30">
        <w:rPr>
          <w:rStyle w:val="Znakapoznpodarou"/>
          <w:rFonts w:ascii="Garamond" w:hAnsi="Garamond"/>
          <w:sz w:val="24"/>
          <w:szCs w:val="24"/>
        </w:rPr>
        <w:footnoteReference w:id="10"/>
      </w:r>
      <w:r w:rsidR="002F4B1C" w:rsidRPr="00632E30">
        <w:rPr>
          <w:rFonts w:ascii="Garamond" w:hAnsi="Garamond"/>
          <w:sz w:val="24"/>
          <w:szCs w:val="24"/>
        </w:rPr>
        <w:t>nebo</w:t>
      </w:r>
      <w:r w:rsidRPr="00632E30">
        <w:rPr>
          <w:rFonts w:ascii="Garamond" w:hAnsi="Garamond"/>
          <w:sz w:val="24"/>
          <w:szCs w:val="24"/>
        </w:rPr>
        <w:t xml:space="preserve"> Dr. Kovářová Kochová: </w:t>
      </w:r>
      <w:r w:rsidRPr="00632E30">
        <w:rPr>
          <w:rFonts w:ascii="Garamond" w:hAnsi="Garamond"/>
          <w:i/>
          <w:sz w:val="24"/>
          <w:szCs w:val="24"/>
        </w:rPr>
        <w:t>„V procesu doka</w:t>
      </w:r>
      <w:r w:rsidR="00F37A88" w:rsidRPr="00632E30">
        <w:rPr>
          <w:rFonts w:ascii="Garamond" w:hAnsi="Garamond"/>
          <w:i/>
          <w:sz w:val="24"/>
          <w:szCs w:val="24"/>
        </w:rPr>
        <w:t>zová</w:t>
      </w:r>
      <w:r w:rsidRPr="00632E30">
        <w:rPr>
          <w:rFonts w:ascii="Garamond" w:hAnsi="Garamond"/>
          <w:i/>
          <w:sz w:val="24"/>
          <w:szCs w:val="24"/>
        </w:rPr>
        <w:t>ní však může nastat i situace, kdy strana sporu zatížená důkazním břemenem je v důkazní nouzi, kdy nemá povědomost o žádných konkrétních důkazních prostředcích, případně má mlhavou povědomost o existenci blíže neurčené skupiny, či alespoň jediného důkazního prostředku, dokonce v průběhu sporu v důsledku této situace nekonkretizuje dostatečně svá skutková tvrzení.“</w:t>
      </w:r>
      <w:r w:rsidR="002F4B1C" w:rsidRPr="00632E30">
        <w:rPr>
          <w:rStyle w:val="Znakapoznpodarou"/>
          <w:rFonts w:ascii="Garamond" w:hAnsi="Garamond"/>
          <w:i/>
          <w:sz w:val="24"/>
          <w:szCs w:val="24"/>
        </w:rPr>
        <w:footnoteReference w:id="11"/>
      </w:r>
    </w:p>
    <w:p w14:paraId="0509C270" w14:textId="0831AD07" w:rsidR="004C2823" w:rsidRPr="00632E30" w:rsidRDefault="00C837BF" w:rsidP="006C2E2B">
      <w:pPr>
        <w:spacing w:line="360" w:lineRule="auto"/>
        <w:ind w:firstLine="708"/>
        <w:jc w:val="both"/>
        <w:rPr>
          <w:rFonts w:ascii="Garamond" w:hAnsi="Garamond"/>
          <w:sz w:val="24"/>
          <w:szCs w:val="24"/>
        </w:rPr>
      </w:pPr>
      <w:r w:rsidRPr="00632E30">
        <w:rPr>
          <w:rFonts w:ascii="Garamond" w:hAnsi="Garamond"/>
          <w:sz w:val="24"/>
          <w:szCs w:val="24"/>
        </w:rPr>
        <w:t xml:space="preserve">V kontradiktorním sporném řízení se projevují jednotlivé zásady ve vzájemné symbióze. Nejinak tomu je u projednací zásady a zásady rovnosti. Tato rovnost se objevuje v rámci řízení v několika formách. Uplatňuje se například </w:t>
      </w:r>
      <w:r w:rsidRPr="00632E30">
        <w:rPr>
          <w:rFonts w:ascii="Garamond" w:hAnsi="Garamond"/>
          <w:sz w:val="24"/>
        </w:rPr>
        <w:t xml:space="preserve">v souvislosti </w:t>
      </w:r>
      <w:r w:rsidR="00CE207D" w:rsidRPr="00632E30">
        <w:rPr>
          <w:rFonts w:ascii="Garamond" w:hAnsi="Garamond"/>
          <w:sz w:val="24"/>
        </w:rPr>
        <w:t xml:space="preserve">s </w:t>
      </w:r>
      <w:r w:rsidRPr="00632E30">
        <w:rPr>
          <w:rFonts w:ascii="Garamond" w:hAnsi="Garamond"/>
          <w:sz w:val="24"/>
        </w:rPr>
        <w:t>právem být slyšen</w:t>
      </w:r>
      <w:r w:rsidRPr="00632E30">
        <w:rPr>
          <w:rFonts w:ascii="Garamond" w:hAnsi="Garamond"/>
          <w:sz w:val="24"/>
          <w:szCs w:val="24"/>
        </w:rPr>
        <w:t xml:space="preserve">, s poskytováním poučení či s právem shromažďovat </w:t>
      </w:r>
      <w:r w:rsidR="001D0000" w:rsidRPr="00632E30">
        <w:rPr>
          <w:rFonts w:ascii="Garamond" w:hAnsi="Garamond"/>
          <w:sz w:val="24"/>
          <w:szCs w:val="24"/>
        </w:rPr>
        <w:t xml:space="preserve">skutkové informace v rámci své procesní aktivity. </w:t>
      </w:r>
      <w:r w:rsidR="001D0000" w:rsidRPr="00632E30">
        <w:rPr>
          <w:rFonts w:ascii="Garamond" w:hAnsi="Garamond"/>
          <w:sz w:val="24"/>
        </w:rPr>
        <w:t>Tento poslední požadavek na rovný přístup k</w:t>
      </w:r>
      <w:r w:rsidR="00CE207D" w:rsidRPr="00632E30">
        <w:rPr>
          <w:rFonts w:ascii="Garamond" w:hAnsi="Garamond"/>
          <w:sz w:val="24"/>
        </w:rPr>
        <w:t> </w:t>
      </w:r>
      <w:r w:rsidR="001D0000" w:rsidRPr="00632E30">
        <w:rPr>
          <w:rFonts w:ascii="Garamond" w:hAnsi="Garamond"/>
          <w:sz w:val="24"/>
        </w:rPr>
        <w:t>informacím</w:t>
      </w:r>
      <w:r w:rsidR="00CE207D" w:rsidRPr="00632E30">
        <w:rPr>
          <w:rFonts w:ascii="Garamond" w:hAnsi="Garamond"/>
          <w:sz w:val="24"/>
        </w:rPr>
        <w:t xml:space="preserve"> je </w:t>
      </w:r>
      <w:r w:rsidR="001D0000" w:rsidRPr="00632E30">
        <w:rPr>
          <w:rFonts w:ascii="Garamond" w:hAnsi="Garamond"/>
          <w:sz w:val="24"/>
        </w:rPr>
        <w:t xml:space="preserve">procesně označován </w:t>
      </w:r>
      <w:r w:rsidR="00CE207D" w:rsidRPr="00632E30">
        <w:rPr>
          <w:rFonts w:ascii="Garamond" w:hAnsi="Garamond"/>
          <w:sz w:val="24"/>
        </w:rPr>
        <w:t xml:space="preserve">jako požadavek </w:t>
      </w:r>
      <w:r w:rsidR="001D0000" w:rsidRPr="00632E30">
        <w:rPr>
          <w:rFonts w:ascii="Garamond" w:hAnsi="Garamond"/>
          <w:sz w:val="24"/>
        </w:rPr>
        <w:t>rovnosti zbraní</w:t>
      </w:r>
      <w:r w:rsidR="0013151B" w:rsidRPr="00632E30">
        <w:rPr>
          <w:rFonts w:ascii="Garamond" w:hAnsi="Garamond"/>
          <w:sz w:val="24"/>
        </w:rPr>
        <w:t xml:space="preserve"> </w:t>
      </w:r>
      <w:r w:rsidR="001D0000" w:rsidRPr="00632E30">
        <w:rPr>
          <w:rFonts w:ascii="Garamond" w:hAnsi="Garamond"/>
          <w:sz w:val="24"/>
        </w:rPr>
        <w:t>obou stran.</w:t>
      </w:r>
      <w:r w:rsidR="0013151B" w:rsidRPr="00632E30">
        <w:rPr>
          <w:rFonts w:ascii="Garamond" w:hAnsi="Garamond"/>
          <w:sz w:val="24"/>
          <w:szCs w:val="24"/>
        </w:rPr>
        <w:t xml:space="preserve"> </w:t>
      </w:r>
      <w:r w:rsidR="00A430B1" w:rsidRPr="00632E30">
        <w:rPr>
          <w:rFonts w:ascii="Garamond" w:hAnsi="Garamond"/>
          <w:sz w:val="24"/>
          <w:szCs w:val="24"/>
        </w:rPr>
        <w:t xml:space="preserve">V případě absence možnosti získat klíčové informace pro jednu stranu se tato </w:t>
      </w:r>
      <w:r w:rsidR="00A430B1" w:rsidRPr="00632E30">
        <w:rPr>
          <w:rFonts w:ascii="Garamond" w:hAnsi="Garamond"/>
          <w:sz w:val="24"/>
          <w:szCs w:val="24"/>
        </w:rPr>
        <w:lastRenderedPageBreak/>
        <w:t xml:space="preserve">strana </w:t>
      </w:r>
      <w:r w:rsidR="00525083" w:rsidRPr="00632E30">
        <w:rPr>
          <w:rFonts w:ascii="Garamond" w:hAnsi="Garamond"/>
          <w:sz w:val="24"/>
          <w:szCs w:val="24"/>
        </w:rPr>
        <w:t xml:space="preserve">dostává </w:t>
      </w:r>
      <w:r w:rsidR="00A430B1" w:rsidRPr="00632E30">
        <w:rPr>
          <w:rFonts w:ascii="Garamond" w:hAnsi="Garamond"/>
          <w:sz w:val="24"/>
          <w:szCs w:val="24"/>
        </w:rPr>
        <w:t>do informačního deficitu, je</w:t>
      </w:r>
      <w:r w:rsidR="00525083" w:rsidRPr="00632E30">
        <w:rPr>
          <w:rFonts w:ascii="Garamond" w:hAnsi="Garamond"/>
          <w:sz w:val="24"/>
          <w:szCs w:val="24"/>
        </w:rPr>
        <w:t>nž</w:t>
      </w:r>
      <w:r w:rsidR="00A430B1" w:rsidRPr="00632E30">
        <w:rPr>
          <w:rFonts w:ascii="Garamond" w:hAnsi="Garamond"/>
          <w:sz w:val="24"/>
          <w:szCs w:val="24"/>
        </w:rPr>
        <w:t xml:space="preserve"> má za následky ohrožení </w:t>
      </w:r>
      <w:r w:rsidR="00525083" w:rsidRPr="00632E30">
        <w:rPr>
          <w:rFonts w:ascii="Garamond" w:hAnsi="Garamond"/>
          <w:sz w:val="24"/>
          <w:szCs w:val="24"/>
        </w:rPr>
        <w:t>jejího</w:t>
      </w:r>
      <w:r w:rsidR="00A430B1" w:rsidRPr="00632E30">
        <w:rPr>
          <w:rFonts w:ascii="Garamond" w:hAnsi="Garamond"/>
          <w:sz w:val="24"/>
          <w:szCs w:val="24"/>
        </w:rPr>
        <w:t xml:space="preserve"> subjektivního práva. Je </w:t>
      </w:r>
      <w:r w:rsidR="00525083" w:rsidRPr="00632E30">
        <w:rPr>
          <w:rFonts w:ascii="Garamond" w:hAnsi="Garamond"/>
          <w:sz w:val="24"/>
          <w:szCs w:val="24"/>
        </w:rPr>
        <w:t>zřejmé</w:t>
      </w:r>
      <w:r w:rsidR="00A430B1" w:rsidRPr="00632E30">
        <w:rPr>
          <w:rFonts w:ascii="Garamond" w:hAnsi="Garamond"/>
          <w:sz w:val="24"/>
          <w:szCs w:val="24"/>
        </w:rPr>
        <w:t>, že informační deficit je negativním jevem</w:t>
      </w:r>
      <w:r w:rsidR="002B2E5C" w:rsidRPr="00632E30">
        <w:rPr>
          <w:rFonts w:ascii="Garamond" w:hAnsi="Garamond"/>
          <w:sz w:val="24"/>
          <w:szCs w:val="24"/>
        </w:rPr>
        <w:t xml:space="preserve"> s možností ohrožení</w:t>
      </w:r>
      <w:r w:rsidR="00525083" w:rsidRPr="00632E30">
        <w:rPr>
          <w:rFonts w:ascii="Garamond" w:hAnsi="Garamond"/>
          <w:sz w:val="24"/>
          <w:szCs w:val="24"/>
        </w:rPr>
        <w:t>,</w:t>
      </w:r>
      <w:r w:rsidR="002B2E5C" w:rsidRPr="00632E30">
        <w:rPr>
          <w:rFonts w:ascii="Garamond" w:hAnsi="Garamond"/>
          <w:sz w:val="24"/>
          <w:szCs w:val="24"/>
        </w:rPr>
        <w:t xml:space="preserve"> ne-li porušení shora uvedeného účelu civilního soudního řízení.</w:t>
      </w:r>
      <w:r w:rsidR="005565D6" w:rsidRPr="00632E30">
        <w:rPr>
          <w:rStyle w:val="Znakapoznpodarou"/>
          <w:rFonts w:ascii="Garamond" w:hAnsi="Garamond"/>
          <w:sz w:val="24"/>
          <w:szCs w:val="24"/>
        </w:rPr>
        <w:footnoteReference w:id="12"/>
      </w:r>
    </w:p>
    <w:p w14:paraId="6274F291" w14:textId="1F1FDC8A" w:rsidR="002B2E5C" w:rsidRPr="00632E30" w:rsidRDefault="002B2E5C" w:rsidP="006C2E2B">
      <w:pPr>
        <w:spacing w:line="360" w:lineRule="auto"/>
        <w:ind w:firstLine="708"/>
        <w:jc w:val="both"/>
        <w:rPr>
          <w:rFonts w:ascii="Garamond" w:hAnsi="Garamond"/>
          <w:sz w:val="24"/>
          <w:szCs w:val="24"/>
        </w:rPr>
      </w:pPr>
      <w:r w:rsidRPr="00632E30">
        <w:rPr>
          <w:rFonts w:ascii="Garamond" w:hAnsi="Garamond"/>
          <w:sz w:val="24"/>
          <w:szCs w:val="24"/>
        </w:rPr>
        <w:t xml:space="preserve">V současné době existuje několik způsobů, jak tento problém řešit. Prvním způsobem je institut tzv. vyšetřovacího důkazu. Další možností je institut vysvětlovací povinnosti strany nezatížené důkazním břemenem. Existuje i model, který je však kontinentální </w:t>
      </w:r>
      <w:proofErr w:type="spellStart"/>
      <w:r w:rsidRPr="00632E30">
        <w:rPr>
          <w:rFonts w:ascii="Garamond" w:hAnsi="Garamond"/>
          <w:sz w:val="24"/>
          <w:szCs w:val="24"/>
        </w:rPr>
        <w:t>procesualistice</w:t>
      </w:r>
      <w:proofErr w:type="spellEnd"/>
      <w:r w:rsidRPr="00632E30">
        <w:rPr>
          <w:rFonts w:ascii="Garamond" w:hAnsi="Garamond"/>
          <w:sz w:val="24"/>
          <w:szCs w:val="24"/>
        </w:rPr>
        <w:t xml:space="preserve"> poměrně vzdálen. Jedná se o institut </w:t>
      </w:r>
      <w:proofErr w:type="spellStart"/>
      <w:r w:rsidRPr="00632E30">
        <w:rPr>
          <w:rFonts w:ascii="Garamond" w:hAnsi="Garamond"/>
          <w:sz w:val="24"/>
          <w:szCs w:val="24"/>
        </w:rPr>
        <w:t>discovery</w:t>
      </w:r>
      <w:proofErr w:type="spellEnd"/>
      <w:r w:rsidRPr="00632E30">
        <w:rPr>
          <w:rFonts w:ascii="Garamond" w:hAnsi="Garamond"/>
          <w:sz w:val="24"/>
          <w:szCs w:val="24"/>
        </w:rPr>
        <w:t>, je</w:t>
      </w:r>
      <w:r w:rsidR="00525083" w:rsidRPr="00632E30">
        <w:rPr>
          <w:rFonts w:ascii="Garamond" w:hAnsi="Garamond"/>
          <w:sz w:val="24"/>
          <w:szCs w:val="24"/>
        </w:rPr>
        <w:t>n</w:t>
      </w:r>
      <w:r w:rsidRPr="00632E30">
        <w:rPr>
          <w:rFonts w:ascii="Garamond" w:hAnsi="Garamond"/>
          <w:sz w:val="24"/>
          <w:szCs w:val="24"/>
        </w:rPr>
        <w:t>ž se běžně používá v zemích s anglosaským modelem.</w:t>
      </w:r>
      <w:r w:rsidR="005565D6" w:rsidRPr="00632E30">
        <w:rPr>
          <w:rStyle w:val="Znakapoznpodarou"/>
          <w:rFonts w:ascii="Garamond" w:hAnsi="Garamond"/>
          <w:sz w:val="24"/>
          <w:szCs w:val="24"/>
        </w:rPr>
        <w:footnoteReference w:id="13"/>
      </w:r>
      <w:r w:rsidRPr="00632E30">
        <w:rPr>
          <w:rFonts w:ascii="Garamond" w:hAnsi="Garamond"/>
          <w:sz w:val="24"/>
          <w:szCs w:val="24"/>
        </w:rPr>
        <w:t xml:space="preserve"> </w:t>
      </w:r>
    </w:p>
    <w:p w14:paraId="4B88FB19" w14:textId="50A36BCC" w:rsidR="00E45C5B" w:rsidRPr="00632E30" w:rsidRDefault="002B2E5C" w:rsidP="006C2E2B">
      <w:pPr>
        <w:spacing w:line="360" w:lineRule="auto"/>
        <w:ind w:firstLine="708"/>
        <w:jc w:val="both"/>
        <w:rPr>
          <w:rFonts w:ascii="Garamond" w:hAnsi="Garamond"/>
          <w:sz w:val="24"/>
          <w:szCs w:val="24"/>
        </w:rPr>
      </w:pPr>
      <w:r w:rsidRPr="00632E30">
        <w:rPr>
          <w:rFonts w:ascii="Garamond" w:hAnsi="Garamond"/>
          <w:sz w:val="24"/>
          <w:szCs w:val="24"/>
        </w:rPr>
        <w:t xml:space="preserve">V rámci této práce jsou rozebrány první dva instituty, </w:t>
      </w:r>
      <w:r w:rsidR="00525083" w:rsidRPr="00632E30">
        <w:rPr>
          <w:rFonts w:ascii="Garamond" w:hAnsi="Garamond"/>
          <w:sz w:val="24"/>
          <w:szCs w:val="24"/>
        </w:rPr>
        <w:t>přičemž</w:t>
      </w:r>
      <w:r w:rsidRPr="00632E30">
        <w:rPr>
          <w:rFonts w:ascii="Garamond" w:hAnsi="Garamond"/>
          <w:sz w:val="24"/>
          <w:szCs w:val="24"/>
        </w:rPr>
        <w:t xml:space="preserve"> první z těchto dvou </w:t>
      </w:r>
      <w:r w:rsidR="00525083" w:rsidRPr="00632E30">
        <w:rPr>
          <w:rFonts w:ascii="Garamond" w:hAnsi="Garamond"/>
          <w:sz w:val="24"/>
          <w:szCs w:val="24"/>
        </w:rPr>
        <w:t>je rozebrán</w:t>
      </w:r>
      <w:r w:rsidRPr="00632E30">
        <w:rPr>
          <w:rFonts w:ascii="Garamond" w:hAnsi="Garamond"/>
          <w:sz w:val="24"/>
          <w:szCs w:val="24"/>
        </w:rPr>
        <w:t xml:space="preserve"> pouze obecně. Poslouží především jako východisk</w:t>
      </w:r>
      <w:r w:rsidR="00CD3461" w:rsidRPr="00632E30">
        <w:rPr>
          <w:rFonts w:ascii="Garamond" w:hAnsi="Garamond"/>
          <w:sz w:val="24"/>
          <w:szCs w:val="24"/>
        </w:rPr>
        <w:t>o</w:t>
      </w:r>
      <w:r w:rsidRPr="00632E30">
        <w:rPr>
          <w:rFonts w:ascii="Garamond" w:hAnsi="Garamond"/>
          <w:sz w:val="24"/>
          <w:szCs w:val="24"/>
        </w:rPr>
        <w:t xml:space="preserve"> a pro lepší ori</w:t>
      </w:r>
      <w:r w:rsidR="00653572" w:rsidRPr="00632E30">
        <w:rPr>
          <w:rFonts w:ascii="Garamond" w:hAnsi="Garamond"/>
          <w:sz w:val="24"/>
          <w:szCs w:val="24"/>
        </w:rPr>
        <w:t xml:space="preserve">entaci v problematice vzhledem k provázanosti obou témat. </w:t>
      </w:r>
      <w:r w:rsidR="00565B95">
        <w:rPr>
          <w:rFonts w:ascii="Garamond" w:hAnsi="Garamond"/>
          <w:sz w:val="24"/>
          <w:szCs w:val="24"/>
        </w:rPr>
        <w:t xml:space="preserve">Cílem této práce je </w:t>
      </w:r>
      <w:r w:rsidR="00061556">
        <w:rPr>
          <w:rFonts w:ascii="Garamond" w:hAnsi="Garamond"/>
          <w:sz w:val="24"/>
          <w:szCs w:val="24"/>
        </w:rPr>
        <w:t xml:space="preserve">nejen </w:t>
      </w:r>
      <w:r w:rsidR="00565B95">
        <w:rPr>
          <w:rFonts w:ascii="Garamond" w:hAnsi="Garamond"/>
          <w:sz w:val="24"/>
          <w:szCs w:val="24"/>
        </w:rPr>
        <w:t xml:space="preserve">zachycení vývoje problematiky institutu vysvětlovací povinnosti od teoretických prací prof. Macura až po její </w:t>
      </w:r>
      <w:r w:rsidR="00061556">
        <w:rPr>
          <w:rFonts w:ascii="Garamond" w:hAnsi="Garamond"/>
          <w:sz w:val="24"/>
          <w:szCs w:val="24"/>
        </w:rPr>
        <w:t>soudobé</w:t>
      </w:r>
      <w:r w:rsidR="00565B95">
        <w:rPr>
          <w:rFonts w:ascii="Garamond" w:hAnsi="Garamond"/>
          <w:sz w:val="24"/>
          <w:szCs w:val="24"/>
        </w:rPr>
        <w:t xml:space="preserve"> pojímání v teorii a praxi</w:t>
      </w:r>
      <w:r w:rsidR="00061556">
        <w:rPr>
          <w:rFonts w:ascii="Garamond" w:hAnsi="Garamond"/>
          <w:sz w:val="24"/>
          <w:szCs w:val="24"/>
        </w:rPr>
        <w:t xml:space="preserve">, ale též komparace současných teoretických závěrů se závěry prof. Macura. </w:t>
      </w:r>
      <w:r w:rsidR="00653572" w:rsidRPr="00632E30">
        <w:rPr>
          <w:rFonts w:ascii="Garamond" w:hAnsi="Garamond"/>
          <w:sz w:val="24"/>
          <w:szCs w:val="24"/>
        </w:rPr>
        <w:t>Celou problematiku</w:t>
      </w:r>
      <w:r w:rsidR="00565B95">
        <w:rPr>
          <w:rFonts w:ascii="Garamond" w:hAnsi="Garamond"/>
          <w:sz w:val="24"/>
          <w:szCs w:val="24"/>
        </w:rPr>
        <w:t xml:space="preserve"> vysvětlovací povinnosti</w:t>
      </w:r>
      <w:r w:rsidR="00653572" w:rsidRPr="00632E30">
        <w:rPr>
          <w:rFonts w:ascii="Garamond" w:hAnsi="Garamond"/>
          <w:sz w:val="24"/>
          <w:szCs w:val="24"/>
        </w:rPr>
        <w:t xml:space="preserve"> uzavírá pohled de lege </w:t>
      </w:r>
      <w:proofErr w:type="spellStart"/>
      <w:r w:rsidR="00653572" w:rsidRPr="00632E30">
        <w:rPr>
          <w:rFonts w:ascii="Garamond" w:hAnsi="Garamond"/>
          <w:sz w:val="24"/>
          <w:szCs w:val="24"/>
        </w:rPr>
        <w:t>ferenda</w:t>
      </w:r>
      <w:proofErr w:type="spellEnd"/>
      <w:r w:rsidR="00565B95">
        <w:rPr>
          <w:rFonts w:ascii="Garamond" w:hAnsi="Garamond"/>
          <w:sz w:val="24"/>
          <w:szCs w:val="24"/>
        </w:rPr>
        <w:t xml:space="preserve"> ve světle připravované rekodifikace civilního soudního řízení.</w:t>
      </w:r>
    </w:p>
    <w:p w14:paraId="6CBCE978" w14:textId="0FB5ED84" w:rsidR="001679B5" w:rsidRPr="00632E30" w:rsidRDefault="00E45C5B" w:rsidP="00E45C5B">
      <w:pPr>
        <w:rPr>
          <w:rFonts w:ascii="Garamond" w:hAnsi="Garamond"/>
          <w:sz w:val="24"/>
          <w:szCs w:val="24"/>
        </w:rPr>
      </w:pPr>
      <w:r w:rsidRPr="00632E30">
        <w:rPr>
          <w:rFonts w:ascii="Garamond" w:hAnsi="Garamond"/>
          <w:sz w:val="24"/>
          <w:szCs w:val="24"/>
        </w:rPr>
        <w:br w:type="page"/>
      </w:r>
    </w:p>
    <w:p w14:paraId="4A84CB66" w14:textId="77777777" w:rsidR="00E45C5B" w:rsidRPr="00632E30" w:rsidRDefault="001679B5" w:rsidP="00BE56B8">
      <w:pPr>
        <w:pStyle w:val="Nadpis1"/>
        <w:numPr>
          <w:ilvl w:val="0"/>
          <w:numId w:val="2"/>
        </w:numPr>
        <w:ind w:left="0" w:firstLine="0"/>
        <w:rPr>
          <w:rFonts w:ascii="Garamond" w:hAnsi="Garamond"/>
          <w:b/>
          <w:color w:val="auto"/>
        </w:rPr>
      </w:pPr>
      <w:bookmarkStart w:id="19" w:name="_Toc17881130"/>
      <w:r w:rsidRPr="00632E30">
        <w:rPr>
          <w:rFonts w:ascii="Garamond" w:hAnsi="Garamond"/>
          <w:b/>
          <w:color w:val="auto"/>
        </w:rPr>
        <w:lastRenderedPageBreak/>
        <w:t>Vyšetřovací důkaz</w:t>
      </w:r>
      <w:bookmarkEnd w:id="19"/>
    </w:p>
    <w:p w14:paraId="192F2AF0" w14:textId="79EC46FA" w:rsidR="0096004B" w:rsidRPr="00632E30" w:rsidRDefault="0096004B" w:rsidP="00BE56B8">
      <w:pPr>
        <w:pStyle w:val="Nadpis2"/>
        <w:numPr>
          <w:ilvl w:val="1"/>
          <w:numId w:val="27"/>
        </w:numPr>
        <w:spacing w:before="160" w:after="160"/>
        <w:rPr>
          <w:rFonts w:ascii="Garamond" w:hAnsi="Garamond"/>
          <w:b/>
          <w:color w:val="auto"/>
          <w:sz w:val="32"/>
          <w:szCs w:val="32"/>
        </w:rPr>
      </w:pPr>
      <w:bookmarkStart w:id="20" w:name="_Toc17881131"/>
      <w:r w:rsidRPr="00632E30">
        <w:rPr>
          <w:rFonts w:ascii="Garamond" w:hAnsi="Garamond"/>
          <w:b/>
          <w:color w:val="auto"/>
        </w:rPr>
        <w:t>Obecně o vyšetřovacím důkazu</w:t>
      </w:r>
      <w:bookmarkEnd w:id="20"/>
    </w:p>
    <w:p w14:paraId="3DCE22CF" w14:textId="77777777" w:rsidR="006C2E2B" w:rsidRPr="00632E30" w:rsidRDefault="006C2E2B" w:rsidP="006C2E2B">
      <w:pPr>
        <w:spacing w:line="360" w:lineRule="auto"/>
        <w:jc w:val="both"/>
        <w:rPr>
          <w:rFonts w:ascii="Garamond" w:hAnsi="Garamond"/>
          <w:sz w:val="24"/>
          <w:szCs w:val="24"/>
        </w:rPr>
      </w:pPr>
      <w:r w:rsidRPr="00632E30">
        <w:rPr>
          <w:rFonts w:ascii="Garamond" w:hAnsi="Garamond"/>
          <w:sz w:val="24"/>
          <w:szCs w:val="24"/>
        </w:rPr>
        <w:tab/>
      </w:r>
      <w:r w:rsidR="00621813" w:rsidRPr="00632E30">
        <w:rPr>
          <w:rFonts w:ascii="Garamond" w:hAnsi="Garamond"/>
          <w:sz w:val="24"/>
          <w:szCs w:val="24"/>
        </w:rPr>
        <w:t>Definování tohoto institutu provází značné obtíže způsobené rozličným chápání</w:t>
      </w:r>
      <w:r w:rsidR="00525083" w:rsidRPr="00632E30">
        <w:rPr>
          <w:rFonts w:ascii="Garamond" w:hAnsi="Garamond"/>
          <w:sz w:val="24"/>
          <w:szCs w:val="24"/>
        </w:rPr>
        <w:t>m</w:t>
      </w:r>
      <w:r w:rsidR="00621813" w:rsidRPr="00632E30">
        <w:rPr>
          <w:rFonts w:ascii="Garamond" w:hAnsi="Garamond"/>
          <w:sz w:val="24"/>
          <w:szCs w:val="24"/>
        </w:rPr>
        <w:t xml:space="preserve"> tohoto pojmu. </w:t>
      </w:r>
      <w:r w:rsidR="001E4B50" w:rsidRPr="00632E30">
        <w:rPr>
          <w:rFonts w:ascii="Garamond" w:hAnsi="Garamond"/>
          <w:sz w:val="24"/>
          <w:szCs w:val="24"/>
        </w:rPr>
        <w:t xml:space="preserve">Značná nejednotnost panuje i </w:t>
      </w:r>
      <w:r w:rsidR="00525083" w:rsidRPr="00632E30">
        <w:rPr>
          <w:rFonts w:ascii="Garamond" w:hAnsi="Garamond"/>
          <w:sz w:val="24"/>
          <w:szCs w:val="24"/>
        </w:rPr>
        <w:t>v obsahovém</w:t>
      </w:r>
      <w:r w:rsidR="001E4B50" w:rsidRPr="00632E30">
        <w:rPr>
          <w:rFonts w:ascii="Garamond" w:hAnsi="Garamond"/>
          <w:sz w:val="24"/>
          <w:szCs w:val="24"/>
        </w:rPr>
        <w:t xml:space="preserve"> vymezení </w:t>
      </w:r>
      <w:r w:rsidR="005E4258" w:rsidRPr="00632E30">
        <w:rPr>
          <w:rFonts w:ascii="Garamond" w:hAnsi="Garamond"/>
          <w:sz w:val="24"/>
          <w:szCs w:val="24"/>
        </w:rPr>
        <w:t>vyšetřovacího důkazu</w:t>
      </w:r>
      <w:r w:rsidR="001E4B50" w:rsidRPr="00632E30">
        <w:rPr>
          <w:rFonts w:ascii="Garamond" w:hAnsi="Garamond"/>
          <w:sz w:val="24"/>
          <w:szCs w:val="24"/>
        </w:rPr>
        <w:t xml:space="preserve"> v rámci kontinentální </w:t>
      </w:r>
      <w:proofErr w:type="spellStart"/>
      <w:r w:rsidR="001E4B50" w:rsidRPr="00632E30">
        <w:rPr>
          <w:rFonts w:ascii="Garamond" w:hAnsi="Garamond"/>
          <w:sz w:val="24"/>
          <w:szCs w:val="24"/>
        </w:rPr>
        <w:t>procesualistiky</w:t>
      </w:r>
      <w:proofErr w:type="spellEnd"/>
      <w:r w:rsidR="00A16186" w:rsidRPr="00632E30">
        <w:rPr>
          <w:rFonts w:ascii="Garamond" w:hAnsi="Garamond"/>
          <w:sz w:val="24"/>
          <w:szCs w:val="24"/>
        </w:rPr>
        <w:t xml:space="preserve">. </w:t>
      </w:r>
      <w:r w:rsidR="001E4B50" w:rsidRPr="00632E30">
        <w:rPr>
          <w:rFonts w:ascii="Garamond" w:hAnsi="Garamond"/>
          <w:sz w:val="24"/>
          <w:szCs w:val="24"/>
        </w:rPr>
        <w:t xml:space="preserve">Ohledně využívání tohoto teoretického konceptu lze v praxi aplikujících soudů vysledovat </w:t>
      </w:r>
      <w:r w:rsidR="00525083" w:rsidRPr="00632E30">
        <w:rPr>
          <w:rFonts w:ascii="Garamond" w:hAnsi="Garamond"/>
          <w:sz w:val="24"/>
          <w:szCs w:val="24"/>
        </w:rPr>
        <w:t>obecně</w:t>
      </w:r>
      <w:r w:rsidR="001E4B50" w:rsidRPr="00632E30">
        <w:rPr>
          <w:rFonts w:ascii="Garamond" w:hAnsi="Garamond"/>
          <w:sz w:val="24"/>
          <w:szCs w:val="24"/>
        </w:rPr>
        <w:t xml:space="preserve"> odmítavý postoj, respektive zákaz použití využití vyšetřovacího důkazu., aniž by se judikatura blíže pojmem vyšetřovací důkaz zabývala. Platí to zejména o judikatuře českých soudů</w:t>
      </w:r>
      <w:r w:rsidR="00997317" w:rsidRPr="00632E30">
        <w:rPr>
          <w:rFonts w:ascii="Garamond" w:hAnsi="Garamond"/>
          <w:sz w:val="24"/>
          <w:szCs w:val="24"/>
        </w:rPr>
        <w:t>. Obsáhlejší judikaturu k tomuto tématu lze vystopovat především v německojazyčných zemí</w:t>
      </w:r>
      <w:r w:rsidR="005E4258" w:rsidRPr="00632E30">
        <w:rPr>
          <w:rFonts w:ascii="Garamond" w:hAnsi="Garamond"/>
          <w:sz w:val="24"/>
          <w:szCs w:val="24"/>
        </w:rPr>
        <w:t>ch</w:t>
      </w:r>
      <w:r w:rsidR="00997317" w:rsidRPr="00632E30">
        <w:rPr>
          <w:rFonts w:ascii="Garamond" w:hAnsi="Garamond"/>
          <w:sz w:val="24"/>
          <w:szCs w:val="24"/>
        </w:rPr>
        <w:t>.</w:t>
      </w:r>
      <w:r w:rsidR="00CD3461" w:rsidRPr="00632E30">
        <w:rPr>
          <w:rStyle w:val="Znakapoznpodarou"/>
          <w:rFonts w:ascii="Garamond" w:hAnsi="Garamond"/>
          <w:sz w:val="24"/>
          <w:szCs w:val="24"/>
        </w:rPr>
        <w:footnoteReference w:id="14"/>
      </w:r>
      <w:r w:rsidRPr="00632E30">
        <w:rPr>
          <w:rFonts w:ascii="Garamond" w:hAnsi="Garamond"/>
          <w:sz w:val="24"/>
          <w:szCs w:val="24"/>
        </w:rPr>
        <w:t xml:space="preserve"> </w:t>
      </w:r>
    </w:p>
    <w:p w14:paraId="775D73B2" w14:textId="77777777" w:rsidR="006C2E2B" w:rsidRPr="00632E30" w:rsidRDefault="00621813" w:rsidP="006C2E2B">
      <w:pPr>
        <w:spacing w:line="360" w:lineRule="auto"/>
        <w:ind w:firstLine="708"/>
        <w:jc w:val="both"/>
        <w:rPr>
          <w:rFonts w:ascii="Garamond" w:hAnsi="Garamond"/>
          <w:sz w:val="24"/>
          <w:szCs w:val="24"/>
        </w:rPr>
      </w:pPr>
      <w:r w:rsidRPr="00632E30">
        <w:rPr>
          <w:rFonts w:ascii="Garamond" w:hAnsi="Garamond"/>
          <w:sz w:val="24"/>
          <w:szCs w:val="24"/>
        </w:rPr>
        <w:t>Prof. Macur spojuje problematiku</w:t>
      </w:r>
      <w:r w:rsidR="001E4B50" w:rsidRPr="00632E30">
        <w:rPr>
          <w:rFonts w:ascii="Garamond" w:hAnsi="Garamond"/>
          <w:sz w:val="24"/>
          <w:szCs w:val="24"/>
        </w:rPr>
        <w:t xml:space="preserve"> vyšetřovacího důkazu</w:t>
      </w:r>
      <w:r w:rsidRPr="00632E30">
        <w:rPr>
          <w:rFonts w:ascii="Garamond" w:hAnsi="Garamond"/>
          <w:sz w:val="24"/>
          <w:szCs w:val="24"/>
        </w:rPr>
        <w:t xml:space="preserve"> s důkazními návrhy, respektive s požadavkem úplnosti a určitosti těchto návrhů s ohledem na náležité </w:t>
      </w:r>
      <w:proofErr w:type="spellStart"/>
      <w:r w:rsidRPr="00632E30">
        <w:rPr>
          <w:rFonts w:ascii="Garamond" w:hAnsi="Garamond"/>
          <w:sz w:val="24"/>
          <w:szCs w:val="24"/>
        </w:rPr>
        <w:t>substancování</w:t>
      </w:r>
      <w:proofErr w:type="spellEnd"/>
      <w:r w:rsidRPr="00632E30">
        <w:rPr>
          <w:rFonts w:ascii="Garamond" w:hAnsi="Garamond"/>
          <w:sz w:val="24"/>
          <w:szCs w:val="24"/>
        </w:rPr>
        <w:t xml:space="preserve"> svých skutkových před</w:t>
      </w:r>
      <w:r w:rsidR="00141B98" w:rsidRPr="00632E30">
        <w:rPr>
          <w:rFonts w:ascii="Garamond" w:hAnsi="Garamond"/>
          <w:sz w:val="24"/>
          <w:szCs w:val="24"/>
        </w:rPr>
        <w:t>nesů</w:t>
      </w:r>
      <w:r w:rsidRPr="00632E30">
        <w:rPr>
          <w:rFonts w:ascii="Garamond" w:hAnsi="Garamond"/>
          <w:sz w:val="24"/>
          <w:szCs w:val="24"/>
        </w:rPr>
        <w:t xml:space="preserve">, jež </w:t>
      </w:r>
      <w:r w:rsidR="00CF2BD7" w:rsidRPr="00632E30">
        <w:rPr>
          <w:rFonts w:ascii="Garamond" w:hAnsi="Garamond"/>
          <w:sz w:val="24"/>
          <w:szCs w:val="24"/>
        </w:rPr>
        <w:t>vyplývají</w:t>
      </w:r>
      <w:r w:rsidRPr="00632E30">
        <w:rPr>
          <w:rFonts w:ascii="Garamond" w:hAnsi="Garamond"/>
          <w:sz w:val="24"/>
          <w:szCs w:val="24"/>
        </w:rPr>
        <w:t xml:space="preserve"> ze zásady projednací, ovládající sporné řízení. Nesplňuje-li </w:t>
      </w:r>
      <w:r w:rsidR="00A71D84" w:rsidRPr="00632E30">
        <w:rPr>
          <w:rFonts w:ascii="Garamond" w:hAnsi="Garamond"/>
          <w:sz w:val="24"/>
          <w:szCs w:val="24"/>
        </w:rPr>
        <w:t xml:space="preserve">takový návrh požadavky povinnosti náležitého </w:t>
      </w:r>
      <w:proofErr w:type="spellStart"/>
      <w:r w:rsidR="00A71D84" w:rsidRPr="00632E30">
        <w:rPr>
          <w:rFonts w:ascii="Garamond" w:hAnsi="Garamond"/>
          <w:sz w:val="24"/>
          <w:szCs w:val="24"/>
        </w:rPr>
        <w:t>substancování</w:t>
      </w:r>
      <w:proofErr w:type="spellEnd"/>
      <w:r w:rsidR="00A71D84" w:rsidRPr="00632E30">
        <w:rPr>
          <w:rFonts w:ascii="Garamond" w:hAnsi="Garamond"/>
          <w:sz w:val="24"/>
          <w:szCs w:val="24"/>
        </w:rPr>
        <w:t xml:space="preserve">, jedná se dle autora o uplatnění tzv. vyšetřovacího důkazu, jehož </w:t>
      </w:r>
      <w:r w:rsidR="00525083" w:rsidRPr="00632E30">
        <w:rPr>
          <w:rFonts w:ascii="Garamond" w:hAnsi="Garamond"/>
          <w:sz w:val="24"/>
          <w:szCs w:val="24"/>
        </w:rPr>
        <w:t>provedení</w:t>
      </w:r>
      <w:r w:rsidR="00A71D84" w:rsidRPr="00632E30">
        <w:rPr>
          <w:rFonts w:ascii="Garamond" w:hAnsi="Garamond"/>
          <w:sz w:val="24"/>
          <w:szCs w:val="24"/>
        </w:rPr>
        <w:t xml:space="preserve"> má té straně, která nedostatečný návrh dokazování předložila, umožnit získat skutkové poznatky pro následné, již konkrétní skutkové tvrzení a navazující řádný </w:t>
      </w:r>
      <w:proofErr w:type="spellStart"/>
      <w:r w:rsidR="00A71D84" w:rsidRPr="00632E30">
        <w:rPr>
          <w:rFonts w:ascii="Garamond" w:hAnsi="Garamond"/>
          <w:sz w:val="24"/>
          <w:szCs w:val="24"/>
        </w:rPr>
        <w:t>substancovaný</w:t>
      </w:r>
      <w:proofErr w:type="spellEnd"/>
      <w:r w:rsidR="00A71D84" w:rsidRPr="00632E30">
        <w:rPr>
          <w:rFonts w:ascii="Garamond" w:hAnsi="Garamond"/>
          <w:sz w:val="24"/>
          <w:szCs w:val="24"/>
        </w:rPr>
        <w:t xml:space="preserve"> důkazní návrh.</w:t>
      </w:r>
      <w:r w:rsidR="00DE7843" w:rsidRPr="00632E30">
        <w:rPr>
          <w:rStyle w:val="Znakapoznpodarou"/>
          <w:rFonts w:ascii="Garamond" w:hAnsi="Garamond"/>
          <w:sz w:val="24"/>
          <w:szCs w:val="24"/>
        </w:rPr>
        <w:footnoteReference w:id="15"/>
      </w:r>
    </w:p>
    <w:p w14:paraId="1EB0BEC4" w14:textId="77777777" w:rsidR="006C2E2B" w:rsidRPr="00632E30" w:rsidRDefault="00A16186" w:rsidP="006C2E2B">
      <w:pPr>
        <w:spacing w:line="360" w:lineRule="auto"/>
        <w:ind w:firstLine="708"/>
        <w:jc w:val="both"/>
        <w:rPr>
          <w:rFonts w:ascii="Garamond" w:hAnsi="Garamond"/>
          <w:sz w:val="24"/>
          <w:szCs w:val="24"/>
        </w:rPr>
      </w:pPr>
      <w:r w:rsidRPr="00632E30">
        <w:rPr>
          <w:rFonts w:ascii="Garamond" w:hAnsi="Garamond"/>
          <w:sz w:val="24"/>
          <w:szCs w:val="24"/>
        </w:rPr>
        <w:t xml:space="preserve">Dle </w:t>
      </w:r>
      <w:proofErr w:type="spellStart"/>
      <w:r w:rsidRPr="00632E30">
        <w:rPr>
          <w:rFonts w:ascii="Garamond" w:hAnsi="Garamond"/>
          <w:sz w:val="24"/>
          <w:szCs w:val="24"/>
        </w:rPr>
        <w:t>Jauenirga</w:t>
      </w:r>
      <w:proofErr w:type="spellEnd"/>
      <w:r w:rsidRPr="00632E30">
        <w:rPr>
          <w:rFonts w:ascii="Garamond" w:hAnsi="Garamond"/>
          <w:sz w:val="24"/>
          <w:szCs w:val="24"/>
        </w:rPr>
        <w:t xml:space="preserve"> </w:t>
      </w:r>
      <w:r w:rsidR="005E4258" w:rsidRPr="00632E30">
        <w:rPr>
          <w:rFonts w:ascii="Garamond" w:hAnsi="Garamond"/>
          <w:sz w:val="24"/>
          <w:szCs w:val="24"/>
        </w:rPr>
        <w:t xml:space="preserve">má soud odmítnout návrh na dokazování ve formě vyšetřovacího důkazu. Obecně jím chápe takový </w:t>
      </w:r>
      <w:r w:rsidR="005E4258" w:rsidRPr="00632E30">
        <w:rPr>
          <w:rFonts w:ascii="Garamond" w:hAnsi="Garamond"/>
          <w:sz w:val="24"/>
        </w:rPr>
        <w:t>návrh</w:t>
      </w:r>
      <w:r w:rsidR="00CE207D" w:rsidRPr="00632E30">
        <w:rPr>
          <w:rFonts w:ascii="Garamond" w:hAnsi="Garamond"/>
          <w:sz w:val="24"/>
        </w:rPr>
        <w:t>,</w:t>
      </w:r>
      <w:r w:rsidR="005E4258" w:rsidRPr="00632E30">
        <w:rPr>
          <w:rFonts w:ascii="Garamond" w:hAnsi="Garamond"/>
          <w:sz w:val="24"/>
        </w:rPr>
        <w:t xml:space="preserve"> „</w:t>
      </w:r>
      <w:r w:rsidR="005E4258" w:rsidRPr="00632E30">
        <w:rPr>
          <w:rFonts w:ascii="Garamond" w:hAnsi="Garamond"/>
          <w:i/>
          <w:sz w:val="24"/>
        </w:rPr>
        <w:t>který</w:t>
      </w:r>
      <w:r w:rsidR="005E4258" w:rsidRPr="00632E30">
        <w:rPr>
          <w:rFonts w:ascii="Garamond" w:hAnsi="Garamond"/>
          <w:i/>
          <w:sz w:val="24"/>
          <w:szCs w:val="24"/>
        </w:rPr>
        <w:t xml:space="preserve"> bez hodnověrného důvodu nepřesně označuje téma dokazování, anebo který spočívá na neurčitém tvrzení učiněném nazdařbůh</w:t>
      </w:r>
      <w:r w:rsidR="005E4258" w:rsidRPr="00632E30">
        <w:rPr>
          <w:rFonts w:ascii="Garamond" w:hAnsi="Garamond"/>
          <w:sz w:val="24"/>
          <w:szCs w:val="24"/>
        </w:rPr>
        <w:t>…“ Skutečnosti dokazováním takto získané dle autora mají dále posloužit jako podklad pro nové skutkové tvrzení, jež budou teprve následovně tématem dalšího dokazování.</w:t>
      </w:r>
      <w:r w:rsidR="00DE7843" w:rsidRPr="00632E30">
        <w:rPr>
          <w:rStyle w:val="Znakapoznpodarou"/>
          <w:rFonts w:ascii="Garamond" w:hAnsi="Garamond"/>
          <w:sz w:val="24"/>
          <w:szCs w:val="24"/>
        </w:rPr>
        <w:footnoteReference w:id="16"/>
      </w:r>
    </w:p>
    <w:p w14:paraId="19956FC5" w14:textId="3E0625A9" w:rsidR="005E4258" w:rsidRPr="00632E30" w:rsidRDefault="00E20A52" w:rsidP="006C2E2B">
      <w:pPr>
        <w:spacing w:line="360" w:lineRule="auto"/>
        <w:ind w:firstLine="708"/>
        <w:jc w:val="both"/>
        <w:rPr>
          <w:rFonts w:ascii="Garamond" w:hAnsi="Garamond"/>
          <w:sz w:val="24"/>
          <w:szCs w:val="24"/>
        </w:rPr>
      </w:pPr>
      <w:proofErr w:type="spellStart"/>
      <w:r w:rsidRPr="00632E30">
        <w:rPr>
          <w:rFonts w:ascii="Garamond" w:hAnsi="Garamond"/>
          <w:sz w:val="24"/>
          <w:szCs w:val="24"/>
        </w:rPr>
        <w:t>Fasching</w:t>
      </w:r>
      <w:proofErr w:type="spellEnd"/>
      <w:r w:rsidRPr="00632E30">
        <w:rPr>
          <w:rFonts w:ascii="Garamond" w:hAnsi="Garamond"/>
          <w:sz w:val="24"/>
          <w:szCs w:val="24"/>
        </w:rPr>
        <w:t xml:space="preserve"> chápe vyšetřovací důkaz nejen z pohled</w:t>
      </w:r>
      <w:r w:rsidR="00525083" w:rsidRPr="00632E30">
        <w:rPr>
          <w:rFonts w:ascii="Garamond" w:hAnsi="Garamond"/>
          <w:sz w:val="24"/>
          <w:szCs w:val="24"/>
        </w:rPr>
        <w:t>u</w:t>
      </w:r>
      <w:r w:rsidRPr="00632E30">
        <w:rPr>
          <w:rFonts w:ascii="Garamond" w:hAnsi="Garamond"/>
          <w:sz w:val="24"/>
          <w:szCs w:val="24"/>
        </w:rPr>
        <w:t xml:space="preserve"> procesních stran, ale i </w:t>
      </w:r>
      <w:r w:rsidR="00525083" w:rsidRPr="00632E30">
        <w:rPr>
          <w:rFonts w:ascii="Garamond" w:hAnsi="Garamond"/>
          <w:sz w:val="24"/>
          <w:szCs w:val="24"/>
        </w:rPr>
        <w:t xml:space="preserve">z </w:t>
      </w:r>
      <w:r w:rsidRPr="00632E30">
        <w:rPr>
          <w:rFonts w:ascii="Garamond" w:hAnsi="Garamond"/>
          <w:sz w:val="24"/>
          <w:szCs w:val="24"/>
        </w:rPr>
        <w:t>pohledu soudce. Ten je dle ustanovení civilního soudního řádu oprávněn vykonat z úřední povinnosti i takové důkazy, jež strany nenavrhly a ani nebyly předmětem jejich skutkových tvrzení.</w:t>
      </w:r>
      <w:r w:rsidR="00C32373" w:rsidRPr="00632E30">
        <w:rPr>
          <w:rStyle w:val="Znakapoznpodarou"/>
          <w:rFonts w:ascii="Garamond" w:hAnsi="Garamond"/>
          <w:sz w:val="24"/>
          <w:szCs w:val="24"/>
        </w:rPr>
        <w:footnoteReference w:id="17"/>
      </w:r>
      <w:r w:rsidRPr="00632E30">
        <w:rPr>
          <w:rFonts w:ascii="Garamond" w:hAnsi="Garamond"/>
          <w:sz w:val="24"/>
          <w:szCs w:val="24"/>
        </w:rPr>
        <w:t xml:space="preserve"> </w:t>
      </w:r>
    </w:p>
    <w:p w14:paraId="14EDA632" w14:textId="615CCA2A" w:rsidR="00E20A52" w:rsidRPr="00632E30" w:rsidRDefault="0003237B" w:rsidP="0036132A">
      <w:pPr>
        <w:pStyle w:val="Nadpis2"/>
        <w:numPr>
          <w:ilvl w:val="1"/>
          <w:numId w:val="13"/>
        </w:numPr>
        <w:spacing w:before="160" w:after="160"/>
        <w:jc w:val="both"/>
        <w:rPr>
          <w:rFonts w:ascii="Garamond" w:hAnsi="Garamond"/>
          <w:b/>
          <w:color w:val="auto"/>
        </w:rPr>
      </w:pPr>
      <w:bookmarkStart w:id="22" w:name="_Toc17881132"/>
      <w:r w:rsidRPr="00632E30">
        <w:rPr>
          <w:rFonts w:ascii="Garamond" w:hAnsi="Garamond"/>
          <w:b/>
          <w:color w:val="auto"/>
        </w:rPr>
        <w:t>Formy vyšetřovacího důkazu</w:t>
      </w:r>
      <w:bookmarkEnd w:id="22"/>
    </w:p>
    <w:p w14:paraId="678AE367" w14:textId="4DB77792" w:rsidR="006F62E0" w:rsidRPr="00632E30" w:rsidRDefault="0029310E" w:rsidP="006C2E2B">
      <w:pPr>
        <w:tabs>
          <w:tab w:val="left" w:pos="709"/>
        </w:tabs>
        <w:spacing w:line="360" w:lineRule="auto"/>
        <w:jc w:val="both"/>
        <w:rPr>
          <w:rFonts w:ascii="Garamond" w:hAnsi="Garamond"/>
          <w:sz w:val="24"/>
          <w:szCs w:val="24"/>
        </w:rPr>
      </w:pPr>
      <w:r w:rsidRPr="00632E30">
        <w:rPr>
          <w:rFonts w:ascii="Garamond" w:hAnsi="Garamond"/>
          <w:sz w:val="24"/>
          <w:szCs w:val="24"/>
        </w:rPr>
        <w:tab/>
      </w:r>
      <w:r w:rsidR="006F62E0" w:rsidRPr="00632E30">
        <w:rPr>
          <w:rFonts w:ascii="Garamond" w:hAnsi="Garamond"/>
          <w:sz w:val="24"/>
          <w:szCs w:val="24"/>
        </w:rPr>
        <w:t xml:space="preserve">Samotný institut vyšetřovacího důkazu se dále vnitřně diferencuje. Prof. Macur vyčleňuje tři základní stupně. Do prvního stupně bychom mohli zařadit situaci, kdy navrhovateli není znám přesný průběh určitého děje, na který se dovolává. Až samotné provedení dokazování, jež je </w:t>
      </w:r>
      <w:r w:rsidR="006F62E0" w:rsidRPr="00632E30">
        <w:rPr>
          <w:rFonts w:ascii="Garamond" w:hAnsi="Garamond"/>
          <w:sz w:val="24"/>
          <w:szCs w:val="24"/>
        </w:rPr>
        <w:lastRenderedPageBreak/>
        <w:t>předmětem jeho návrhu, mu umožní utvořit dostatečně určité skutkové tvrzení důležité pro další postup před soudem. Příkladem takové situace může být dle autora případ rozvodového sporu, kdy navrhovatel žádá o provedení výslechu svědka, jenž je způsobilý identifikovat muže, který navštěvoval odpůrkyni v nepřítomnosti navrhovatele. Provedením výslechu navrhovaného svědka umožní předvolání muže k objasnění jeho vztahu k odpůrkyni.</w:t>
      </w:r>
      <w:r w:rsidR="006C2E2B" w:rsidRPr="00632E30">
        <w:rPr>
          <w:rFonts w:ascii="Garamond" w:hAnsi="Garamond"/>
          <w:sz w:val="24"/>
          <w:szCs w:val="24"/>
        </w:rPr>
        <w:tab/>
      </w:r>
    </w:p>
    <w:p w14:paraId="290872A4" w14:textId="4B85D00A" w:rsidR="006C2E2B" w:rsidRPr="00632E30" w:rsidRDefault="00EA7650" w:rsidP="006C2E2B">
      <w:pPr>
        <w:tabs>
          <w:tab w:val="left" w:pos="709"/>
        </w:tabs>
        <w:spacing w:line="360" w:lineRule="auto"/>
        <w:jc w:val="both"/>
        <w:rPr>
          <w:rFonts w:ascii="Garamond" w:hAnsi="Garamond"/>
          <w:sz w:val="24"/>
          <w:szCs w:val="24"/>
        </w:rPr>
      </w:pPr>
      <w:r w:rsidRPr="00632E30">
        <w:rPr>
          <w:rFonts w:ascii="Garamond" w:hAnsi="Garamond"/>
          <w:sz w:val="24"/>
        </w:rPr>
        <w:t xml:space="preserve">Druhou </w:t>
      </w:r>
      <w:r w:rsidR="00CE207D" w:rsidRPr="00632E30">
        <w:rPr>
          <w:rFonts w:ascii="Garamond" w:hAnsi="Garamond"/>
          <w:sz w:val="24"/>
        </w:rPr>
        <w:t>kategorií vyšetřovacího důkazu</w:t>
      </w:r>
      <w:r w:rsidRPr="00632E30">
        <w:rPr>
          <w:rFonts w:ascii="Garamond" w:hAnsi="Garamond"/>
          <w:sz w:val="24"/>
          <w:szCs w:val="24"/>
        </w:rPr>
        <w:t xml:space="preserve"> je situace lišící se od předešlé ve vyšší míře obecnosti důkazního návrhu podávaného navrhovatelem</w:t>
      </w:r>
      <w:r w:rsidR="00160F47" w:rsidRPr="00632E30">
        <w:rPr>
          <w:rFonts w:ascii="Garamond" w:hAnsi="Garamond"/>
          <w:sz w:val="24"/>
          <w:szCs w:val="24"/>
        </w:rPr>
        <w:t xml:space="preserve"> ve vztahu k tématu dokazování</w:t>
      </w:r>
      <w:r w:rsidRPr="00632E30">
        <w:rPr>
          <w:rFonts w:ascii="Garamond" w:hAnsi="Garamond"/>
          <w:sz w:val="24"/>
          <w:szCs w:val="24"/>
        </w:rPr>
        <w:t xml:space="preserve"> a tak</w:t>
      </w:r>
      <w:r w:rsidR="00C35E6E" w:rsidRPr="00632E30">
        <w:rPr>
          <w:rFonts w:ascii="Garamond" w:hAnsi="Garamond"/>
          <w:sz w:val="24"/>
          <w:szCs w:val="24"/>
        </w:rPr>
        <w:t xml:space="preserve">é v nižší, až marginální znalosti skutkového děje, jehož se navrhovatel dovolává. </w:t>
      </w:r>
      <w:r w:rsidR="00EB448F" w:rsidRPr="00632E30">
        <w:rPr>
          <w:rFonts w:ascii="Garamond" w:hAnsi="Garamond"/>
          <w:sz w:val="24"/>
          <w:szCs w:val="24"/>
        </w:rPr>
        <w:t>Návrh takového účastníka řízení je tedy zcela neurčitý spolu s obecným vymezením téma</w:t>
      </w:r>
      <w:r w:rsidR="009D1A57" w:rsidRPr="00632E30">
        <w:rPr>
          <w:rFonts w:ascii="Garamond" w:hAnsi="Garamond"/>
          <w:sz w:val="24"/>
          <w:szCs w:val="24"/>
        </w:rPr>
        <w:t>tu</w:t>
      </w:r>
      <w:r w:rsidR="00EB448F" w:rsidRPr="00632E30">
        <w:rPr>
          <w:rFonts w:ascii="Garamond" w:hAnsi="Garamond"/>
          <w:sz w:val="24"/>
          <w:szCs w:val="24"/>
        </w:rPr>
        <w:t xml:space="preserve"> dokazování. Navrhovatel zpravidla skutkový děj vůbec nezná a uvádí svá skutková tvrzení bez </w:t>
      </w:r>
      <w:r w:rsidR="00D934D2" w:rsidRPr="00632E30">
        <w:rPr>
          <w:rFonts w:ascii="Garamond" w:hAnsi="Garamond"/>
          <w:sz w:val="24"/>
          <w:szCs w:val="24"/>
        </w:rPr>
        <w:t>jakýchkoliv poznatků, respektive indicií či opěrných bodů</w:t>
      </w:r>
      <w:r w:rsidR="00EB448F" w:rsidRPr="00632E30">
        <w:rPr>
          <w:rFonts w:ascii="Garamond" w:hAnsi="Garamond"/>
          <w:sz w:val="24"/>
          <w:szCs w:val="24"/>
        </w:rPr>
        <w:t>. Obšírně tak uvádí ničím nepodložené skutečnosti, pouze v intencích svého podezření, doufaj</w:t>
      </w:r>
      <w:r w:rsidR="004629E4" w:rsidRPr="00632E30">
        <w:rPr>
          <w:rFonts w:ascii="Garamond" w:hAnsi="Garamond"/>
          <w:sz w:val="24"/>
          <w:szCs w:val="24"/>
        </w:rPr>
        <w:t>e</w:t>
      </w:r>
      <w:r w:rsidR="00EB448F" w:rsidRPr="00632E30">
        <w:rPr>
          <w:rFonts w:ascii="Garamond" w:hAnsi="Garamond"/>
          <w:sz w:val="24"/>
          <w:szCs w:val="24"/>
        </w:rPr>
        <w:t xml:space="preserve"> v získání relevantních informací pro následné </w:t>
      </w:r>
      <w:proofErr w:type="spellStart"/>
      <w:r w:rsidR="00EB448F" w:rsidRPr="00632E30">
        <w:rPr>
          <w:rFonts w:ascii="Garamond" w:hAnsi="Garamond"/>
          <w:sz w:val="24"/>
          <w:szCs w:val="24"/>
        </w:rPr>
        <w:t>substancované</w:t>
      </w:r>
      <w:proofErr w:type="spellEnd"/>
      <w:r w:rsidR="00EB448F" w:rsidRPr="00632E30">
        <w:rPr>
          <w:rFonts w:ascii="Garamond" w:hAnsi="Garamond"/>
          <w:sz w:val="24"/>
          <w:szCs w:val="24"/>
        </w:rPr>
        <w:t xml:space="preserve"> </w:t>
      </w:r>
      <w:r w:rsidR="00D934D2" w:rsidRPr="00632E30">
        <w:rPr>
          <w:rFonts w:ascii="Garamond" w:hAnsi="Garamond"/>
          <w:sz w:val="24"/>
          <w:szCs w:val="24"/>
        </w:rPr>
        <w:t xml:space="preserve">skutkové </w:t>
      </w:r>
      <w:r w:rsidR="00EB448F" w:rsidRPr="00632E30">
        <w:rPr>
          <w:rFonts w:ascii="Garamond" w:hAnsi="Garamond"/>
          <w:sz w:val="24"/>
          <w:szCs w:val="24"/>
        </w:rPr>
        <w:t xml:space="preserve">tvrzení, jímž by mohl dostát </w:t>
      </w:r>
      <w:r w:rsidR="00D934D2" w:rsidRPr="00632E30">
        <w:rPr>
          <w:rFonts w:ascii="Garamond" w:hAnsi="Garamond"/>
          <w:sz w:val="24"/>
          <w:szCs w:val="24"/>
        </w:rPr>
        <w:t>svým procesním povinnostem vyplývajíc</w:t>
      </w:r>
      <w:r w:rsidR="009D1A57" w:rsidRPr="00632E30">
        <w:rPr>
          <w:rFonts w:ascii="Garamond" w:hAnsi="Garamond"/>
          <w:sz w:val="24"/>
          <w:szCs w:val="24"/>
        </w:rPr>
        <w:t>ím</w:t>
      </w:r>
      <w:r w:rsidR="00D934D2" w:rsidRPr="00632E30">
        <w:rPr>
          <w:rFonts w:ascii="Garamond" w:hAnsi="Garamond"/>
          <w:sz w:val="24"/>
          <w:szCs w:val="24"/>
        </w:rPr>
        <w:t xml:space="preserve"> ze zásady projednací.</w:t>
      </w:r>
      <w:r w:rsidR="00C32373" w:rsidRPr="00632E30">
        <w:rPr>
          <w:rStyle w:val="Znakapoznpodarou"/>
          <w:rFonts w:ascii="Garamond" w:hAnsi="Garamond"/>
          <w:sz w:val="24"/>
          <w:szCs w:val="24"/>
        </w:rPr>
        <w:footnoteReference w:id="18"/>
      </w:r>
      <w:r w:rsidR="00D934D2" w:rsidRPr="00632E30">
        <w:rPr>
          <w:rFonts w:ascii="Garamond" w:hAnsi="Garamond"/>
          <w:sz w:val="24"/>
          <w:szCs w:val="24"/>
        </w:rPr>
        <w:t xml:space="preserve"> Zde v</w:t>
      </w:r>
      <w:r w:rsidR="009D1A57" w:rsidRPr="00632E30">
        <w:rPr>
          <w:rFonts w:ascii="Garamond" w:hAnsi="Garamond"/>
          <w:sz w:val="24"/>
          <w:szCs w:val="24"/>
        </w:rPr>
        <w:t>yvstává</w:t>
      </w:r>
      <w:r w:rsidR="00D934D2" w:rsidRPr="00632E30">
        <w:rPr>
          <w:rFonts w:ascii="Garamond" w:hAnsi="Garamond"/>
          <w:sz w:val="24"/>
          <w:szCs w:val="24"/>
        </w:rPr>
        <w:t xml:space="preserve"> </w:t>
      </w:r>
      <w:r w:rsidR="009D1A57" w:rsidRPr="00632E30">
        <w:rPr>
          <w:rFonts w:ascii="Garamond" w:hAnsi="Garamond"/>
          <w:sz w:val="24"/>
          <w:szCs w:val="24"/>
        </w:rPr>
        <w:t>otázka</w:t>
      </w:r>
      <w:r w:rsidR="00D934D2" w:rsidRPr="00632E30">
        <w:rPr>
          <w:rFonts w:ascii="Garamond" w:hAnsi="Garamond"/>
          <w:sz w:val="24"/>
          <w:szCs w:val="24"/>
        </w:rPr>
        <w:t>, zda může strana takto učinit, aniž by postavila své skutkové tvrzení na tzv. opěrných bodech. Prof. Macur poukazuje na názory některých autorů, kteří v takovém počínání účastníka vidí možný rozkol s respektováním povinnosti pravdivosti procesní strany. Prof. Macur však takové názory odmítá za předpokladu, že se strana podávající neurčitý důkazní návrh nedopouští vědomé lži.</w:t>
      </w:r>
      <w:r w:rsidR="004629E4" w:rsidRPr="00632E30">
        <w:rPr>
          <w:rFonts w:ascii="Garamond" w:hAnsi="Garamond"/>
          <w:sz w:val="24"/>
          <w:szCs w:val="24"/>
        </w:rPr>
        <w:t xml:space="preserve"> </w:t>
      </w:r>
      <w:r w:rsidR="009D1A57" w:rsidRPr="00632E30">
        <w:rPr>
          <w:rFonts w:ascii="Garamond" w:hAnsi="Garamond"/>
          <w:sz w:val="24"/>
          <w:szCs w:val="24"/>
        </w:rPr>
        <w:t>Pak je dostačující,</w:t>
      </w:r>
      <w:r w:rsidR="004629E4" w:rsidRPr="00632E30">
        <w:rPr>
          <w:rFonts w:ascii="Garamond" w:hAnsi="Garamond"/>
          <w:sz w:val="24"/>
          <w:szCs w:val="24"/>
        </w:rPr>
        <w:t xml:space="preserve"> </w:t>
      </w:r>
      <w:r w:rsidR="00346945" w:rsidRPr="00632E30">
        <w:rPr>
          <w:rFonts w:ascii="Garamond" w:hAnsi="Garamond"/>
          <w:sz w:val="24"/>
          <w:szCs w:val="24"/>
        </w:rPr>
        <w:t>nevylučuje-li subjektivně pravdivost své domněnky</w:t>
      </w:r>
      <w:r w:rsidR="004629E4" w:rsidRPr="00632E30">
        <w:rPr>
          <w:rFonts w:ascii="Garamond" w:hAnsi="Garamond"/>
          <w:sz w:val="24"/>
          <w:szCs w:val="24"/>
        </w:rPr>
        <w:t>. Za předpokladu, že nevylučuje, lz</w:t>
      </w:r>
      <w:r w:rsidR="00983FFD" w:rsidRPr="00632E30">
        <w:rPr>
          <w:rFonts w:ascii="Garamond" w:hAnsi="Garamond"/>
          <w:sz w:val="24"/>
          <w:szCs w:val="24"/>
        </w:rPr>
        <w:t>e učinit závěr, že se nedopouští porušení povinnosti pravdivosti i přes absentující objektivní podklad pro své tvrzení. Jedná se tedy taktéž o vyšetřovací důkaz, a nikoliv o problematiku dodržování povinnosti pravdivosti.</w:t>
      </w:r>
      <w:r w:rsidR="00C32373" w:rsidRPr="00632E30">
        <w:rPr>
          <w:rStyle w:val="Znakapoznpodarou"/>
          <w:rFonts w:ascii="Garamond" w:hAnsi="Garamond"/>
          <w:sz w:val="24"/>
          <w:szCs w:val="24"/>
        </w:rPr>
        <w:footnoteReference w:id="19"/>
      </w:r>
      <w:r w:rsidR="00983FFD" w:rsidRPr="00632E30">
        <w:rPr>
          <w:rFonts w:ascii="Garamond" w:hAnsi="Garamond"/>
          <w:sz w:val="24"/>
          <w:szCs w:val="24"/>
        </w:rPr>
        <w:t xml:space="preserve"> Příkladem může být opět hypotetická situac</w:t>
      </w:r>
      <w:r w:rsidR="00DC7644" w:rsidRPr="00632E30">
        <w:rPr>
          <w:rFonts w:ascii="Garamond" w:hAnsi="Garamond"/>
          <w:sz w:val="24"/>
          <w:szCs w:val="24"/>
        </w:rPr>
        <w:t>e</w:t>
      </w:r>
      <w:r w:rsidR="00983FFD" w:rsidRPr="00632E30">
        <w:rPr>
          <w:rFonts w:ascii="Garamond" w:hAnsi="Garamond"/>
          <w:sz w:val="24"/>
          <w:szCs w:val="24"/>
        </w:rPr>
        <w:t xml:space="preserve"> v rámci rozvodového sporu, kdy navrhovatel vyslovuje podezření o nevěře </w:t>
      </w:r>
      <w:r w:rsidR="00DC7644" w:rsidRPr="00632E30">
        <w:rPr>
          <w:rFonts w:ascii="Garamond" w:hAnsi="Garamond"/>
          <w:sz w:val="24"/>
          <w:szCs w:val="24"/>
        </w:rPr>
        <w:t xml:space="preserve">manželky, aniž by takové tvrzení měl podložené konkrétními poznatky, </w:t>
      </w:r>
      <w:r w:rsidR="00DC7644" w:rsidRPr="00632E30">
        <w:rPr>
          <w:rFonts w:ascii="Garamond" w:hAnsi="Garamond"/>
          <w:sz w:val="24"/>
        </w:rPr>
        <w:t>a navrhuje její výslech na okolnost, se kterým mužem měl</w:t>
      </w:r>
      <w:r w:rsidR="009E30E2" w:rsidRPr="00632E30">
        <w:rPr>
          <w:rFonts w:ascii="Garamond" w:hAnsi="Garamond"/>
          <w:sz w:val="24"/>
        </w:rPr>
        <w:t>a</w:t>
      </w:r>
      <w:r w:rsidR="00DC7644" w:rsidRPr="00632E30">
        <w:rPr>
          <w:rFonts w:ascii="Garamond" w:hAnsi="Garamond"/>
          <w:sz w:val="24"/>
        </w:rPr>
        <w:t xml:space="preserve"> poměr.</w:t>
      </w:r>
      <w:r w:rsidR="0055623E" w:rsidRPr="00632E30">
        <w:rPr>
          <w:rStyle w:val="Znakapoznpodarou"/>
          <w:rFonts w:ascii="Garamond" w:hAnsi="Garamond"/>
          <w:sz w:val="24"/>
        </w:rPr>
        <w:footnoteReference w:id="20"/>
      </w:r>
    </w:p>
    <w:p w14:paraId="437F8D8E" w14:textId="1440D656" w:rsidR="006C2E2B" w:rsidRPr="00632E30" w:rsidRDefault="006C2E2B" w:rsidP="006C2E2B">
      <w:pPr>
        <w:tabs>
          <w:tab w:val="left" w:pos="709"/>
        </w:tabs>
        <w:spacing w:line="360" w:lineRule="auto"/>
        <w:jc w:val="both"/>
        <w:rPr>
          <w:rFonts w:ascii="Garamond" w:hAnsi="Garamond"/>
          <w:sz w:val="24"/>
          <w:szCs w:val="24"/>
        </w:rPr>
      </w:pPr>
      <w:r w:rsidRPr="00632E30">
        <w:rPr>
          <w:rFonts w:ascii="Garamond" w:hAnsi="Garamond"/>
          <w:sz w:val="24"/>
          <w:szCs w:val="24"/>
        </w:rPr>
        <w:tab/>
      </w:r>
      <w:r w:rsidR="00160F47" w:rsidRPr="00632E30">
        <w:rPr>
          <w:rFonts w:ascii="Garamond" w:hAnsi="Garamond"/>
          <w:sz w:val="24"/>
          <w:szCs w:val="24"/>
        </w:rPr>
        <w:t xml:space="preserve">S výše zmíněnou druhou kategorií souvisí třetí kategorie, </w:t>
      </w:r>
      <w:r w:rsidR="00DA0AA5" w:rsidRPr="00632E30">
        <w:rPr>
          <w:rFonts w:ascii="Garamond" w:hAnsi="Garamond"/>
          <w:sz w:val="24"/>
          <w:szCs w:val="24"/>
        </w:rPr>
        <w:t xml:space="preserve">kdy navrhovatel taktéž předestírá </w:t>
      </w:r>
      <w:r w:rsidR="00853FAA" w:rsidRPr="00632E30">
        <w:rPr>
          <w:rFonts w:ascii="Garamond" w:hAnsi="Garamond"/>
          <w:sz w:val="24"/>
          <w:szCs w:val="24"/>
        </w:rPr>
        <w:t>určité</w:t>
      </w:r>
      <w:r w:rsidR="00DA0AA5" w:rsidRPr="00632E30">
        <w:rPr>
          <w:rFonts w:ascii="Garamond" w:hAnsi="Garamond"/>
          <w:sz w:val="24"/>
          <w:szCs w:val="24"/>
        </w:rPr>
        <w:t xml:space="preserve"> tvrzení pouze na základě své </w:t>
      </w:r>
      <w:r w:rsidR="00853FAA" w:rsidRPr="00632E30">
        <w:rPr>
          <w:rFonts w:ascii="Garamond" w:hAnsi="Garamond"/>
          <w:sz w:val="24"/>
          <w:szCs w:val="24"/>
        </w:rPr>
        <w:t>domněnky</w:t>
      </w:r>
      <w:r w:rsidR="00160F47" w:rsidRPr="00632E30">
        <w:rPr>
          <w:rFonts w:ascii="Garamond" w:hAnsi="Garamond"/>
          <w:sz w:val="24"/>
          <w:szCs w:val="24"/>
        </w:rPr>
        <w:t xml:space="preserve">. Liší se však v míře určitosti a řádnosti </w:t>
      </w:r>
      <w:proofErr w:type="spellStart"/>
      <w:r w:rsidR="00160F47" w:rsidRPr="00632E30">
        <w:rPr>
          <w:rFonts w:ascii="Garamond" w:hAnsi="Garamond"/>
          <w:sz w:val="24"/>
          <w:szCs w:val="24"/>
        </w:rPr>
        <w:t>substancovaného</w:t>
      </w:r>
      <w:proofErr w:type="spellEnd"/>
      <w:r w:rsidR="00160F47" w:rsidRPr="00632E30">
        <w:rPr>
          <w:rFonts w:ascii="Garamond" w:hAnsi="Garamond"/>
          <w:sz w:val="24"/>
          <w:szCs w:val="24"/>
        </w:rPr>
        <w:t xml:space="preserve"> tématu dokazování důkazním návrhem</w:t>
      </w:r>
      <w:r w:rsidR="00DA0AA5" w:rsidRPr="00632E30">
        <w:rPr>
          <w:rFonts w:ascii="Garamond" w:hAnsi="Garamond"/>
          <w:sz w:val="24"/>
          <w:szCs w:val="24"/>
        </w:rPr>
        <w:t xml:space="preserve"> oproti druhé kategorii, kdy navrhovatel prakticky nezná skutkový děj a jen neurčitě vymezuje předmět dokazování. Jako příklad uvádí prof. Macur situaci, kdy zástupce žalované firmy navrhuje výslech konkrétní osoby jako zaměstnance této firmy, </w:t>
      </w:r>
      <w:r w:rsidR="006F0CC1" w:rsidRPr="00632E30">
        <w:rPr>
          <w:rFonts w:ascii="Garamond" w:hAnsi="Garamond"/>
          <w:sz w:val="24"/>
          <w:szCs w:val="24"/>
        </w:rPr>
        <w:t>jež</w:t>
      </w:r>
      <w:r w:rsidR="00DA0AA5" w:rsidRPr="00632E30">
        <w:rPr>
          <w:rFonts w:ascii="Garamond" w:hAnsi="Garamond"/>
          <w:sz w:val="24"/>
          <w:szCs w:val="24"/>
        </w:rPr>
        <w:t xml:space="preserve"> měla údajně být přítomna </w:t>
      </w:r>
      <w:r w:rsidR="004A6929" w:rsidRPr="00632E30">
        <w:rPr>
          <w:rFonts w:ascii="Garamond" w:hAnsi="Garamond"/>
          <w:sz w:val="24"/>
          <w:szCs w:val="24"/>
        </w:rPr>
        <w:t>situaci</w:t>
      </w:r>
      <w:r w:rsidR="00DA0AA5" w:rsidRPr="00632E30">
        <w:rPr>
          <w:rFonts w:ascii="Garamond" w:hAnsi="Garamond"/>
          <w:sz w:val="24"/>
          <w:szCs w:val="24"/>
        </w:rPr>
        <w:t xml:space="preserve"> odcizení důležitých firemních dokumentů. </w:t>
      </w:r>
      <w:r w:rsidR="00DA0AA5" w:rsidRPr="00632E30">
        <w:rPr>
          <w:rFonts w:ascii="Garamond" w:hAnsi="Garamond"/>
          <w:sz w:val="24"/>
          <w:szCs w:val="24"/>
        </w:rPr>
        <w:lastRenderedPageBreak/>
        <w:t>Navrhovatel tak přesně definuje téma dokazování, aniž by k tomuto měl hodnověrné informace.</w:t>
      </w:r>
      <w:r w:rsidR="00853FAA" w:rsidRPr="00632E30">
        <w:rPr>
          <w:rFonts w:ascii="Garamond" w:hAnsi="Garamond"/>
          <w:sz w:val="24"/>
          <w:szCs w:val="24"/>
        </w:rPr>
        <w:t xml:space="preserve"> I zde někteří autoři upozorňují, že takovéto počínání by nemělo být pojímáno jako problematika vyšetřovacího důkazu, ale jako problematika (ne)respektování povinnosti pravdivosti. Lze však, stejně jako u předchozího bodu, uzavřít, že neuvede-li strana takováto tvrzení jako vědomě lživá, jedná se o institut vyšetřovacího důkazu. V opačném případě by se opravdu jednalo o porušení povinnosti pravdivosti.</w:t>
      </w:r>
      <w:r w:rsidR="0055623E" w:rsidRPr="00632E30">
        <w:rPr>
          <w:rStyle w:val="Znakapoznpodarou"/>
          <w:rFonts w:ascii="Garamond" w:hAnsi="Garamond"/>
          <w:sz w:val="24"/>
          <w:szCs w:val="24"/>
        </w:rPr>
        <w:footnoteReference w:id="21"/>
      </w:r>
      <w:r w:rsidR="006F62E0" w:rsidRPr="00632E30">
        <w:rPr>
          <w:rFonts w:ascii="Garamond" w:hAnsi="Garamond"/>
          <w:sz w:val="24"/>
          <w:szCs w:val="24"/>
        </w:rPr>
        <w:t xml:space="preserve"> </w:t>
      </w:r>
    </w:p>
    <w:p w14:paraId="3A8EB951" w14:textId="0F666AEA" w:rsidR="00DA0AA5" w:rsidRPr="00632E30" w:rsidRDefault="006C2E2B" w:rsidP="006C2E2B">
      <w:pPr>
        <w:tabs>
          <w:tab w:val="left" w:pos="709"/>
        </w:tabs>
        <w:spacing w:line="360" w:lineRule="auto"/>
        <w:jc w:val="both"/>
        <w:rPr>
          <w:rFonts w:ascii="Garamond" w:hAnsi="Garamond"/>
          <w:sz w:val="24"/>
          <w:szCs w:val="24"/>
        </w:rPr>
      </w:pPr>
      <w:r w:rsidRPr="00632E30">
        <w:rPr>
          <w:rFonts w:ascii="Garamond" w:hAnsi="Garamond"/>
          <w:sz w:val="24"/>
          <w:szCs w:val="24"/>
        </w:rPr>
        <w:tab/>
      </w:r>
      <w:r w:rsidR="00DA0AA5" w:rsidRPr="00632E30">
        <w:rPr>
          <w:rFonts w:ascii="Garamond" w:hAnsi="Garamond"/>
          <w:sz w:val="24"/>
          <w:szCs w:val="24"/>
        </w:rPr>
        <w:t>Takovéto vnitřní členění vyšetřovacího důkazu však není jediné možné</w:t>
      </w:r>
      <w:r w:rsidR="00853FAA" w:rsidRPr="00632E30">
        <w:rPr>
          <w:rFonts w:ascii="Garamond" w:hAnsi="Garamond"/>
          <w:sz w:val="24"/>
          <w:szCs w:val="24"/>
        </w:rPr>
        <w:t xml:space="preserve">, sám prof. Macur vybírá tři předchozí varianty jako základní, nikoliv však výlučné. </w:t>
      </w:r>
      <w:r w:rsidR="00F50ECF" w:rsidRPr="00632E30">
        <w:rPr>
          <w:rFonts w:ascii="Garamond" w:hAnsi="Garamond"/>
          <w:sz w:val="24"/>
          <w:szCs w:val="24"/>
        </w:rPr>
        <w:t xml:space="preserve">Nadto je možno dle </w:t>
      </w:r>
      <w:proofErr w:type="spellStart"/>
      <w:r w:rsidR="00F50ECF" w:rsidRPr="00632E30">
        <w:rPr>
          <w:rFonts w:ascii="Garamond" w:hAnsi="Garamond"/>
          <w:sz w:val="24"/>
          <w:szCs w:val="24"/>
        </w:rPr>
        <w:t>Peterse</w:t>
      </w:r>
      <w:proofErr w:type="spellEnd"/>
      <w:r w:rsidR="00F50ECF" w:rsidRPr="00632E30">
        <w:rPr>
          <w:rFonts w:ascii="Garamond" w:hAnsi="Garamond"/>
          <w:sz w:val="24"/>
          <w:szCs w:val="24"/>
        </w:rPr>
        <w:t xml:space="preserve"> definovat ještě další skupinu pojmového vymezení vyšetřovacího důkazu lišící se od předchozích variant. </w:t>
      </w:r>
      <w:r w:rsidR="00221BCF" w:rsidRPr="00632E30">
        <w:rPr>
          <w:rStyle w:val="Znakapoznpodarou"/>
          <w:rFonts w:ascii="Garamond" w:hAnsi="Garamond"/>
          <w:sz w:val="24"/>
          <w:szCs w:val="24"/>
        </w:rPr>
        <w:footnoteReference w:id="22"/>
      </w:r>
    </w:p>
    <w:p w14:paraId="4833A979" w14:textId="77777777" w:rsidR="002830FA" w:rsidRPr="00632E30" w:rsidRDefault="002830FA" w:rsidP="002830FA">
      <w:pPr>
        <w:tabs>
          <w:tab w:val="left" w:pos="709"/>
        </w:tabs>
        <w:spacing w:line="360" w:lineRule="auto"/>
        <w:jc w:val="both"/>
        <w:rPr>
          <w:rFonts w:ascii="Garamond" w:hAnsi="Garamond"/>
          <w:sz w:val="24"/>
          <w:szCs w:val="24"/>
        </w:rPr>
      </w:pPr>
      <w:r w:rsidRPr="00632E30">
        <w:rPr>
          <w:rFonts w:ascii="Garamond" w:hAnsi="Garamond"/>
          <w:sz w:val="24"/>
          <w:szCs w:val="24"/>
        </w:rPr>
        <w:tab/>
      </w:r>
      <w:r w:rsidR="00F50ECF" w:rsidRPr="00632E30">
        <w:rPr>
          <w:rFonts w:ascii="Garamond" w:hAnsi="Garamond"/>
          <w:sz w:val="24"/>
          <w:szCs w:val="24"/>
        </w:rPr>
        <w:t xml:space="preserve">Nosným znakem takového pojetí vyšetřovacího důkazu je skutečnost, že není naplněno základní kritérium, kladené na důkazní návrh ve smyslu přesně vymezeného a přesně diferencovaného tématu dokazování. Tímto počínáním pak druhá procesní strana není nucena zaujmout své stanovisko s opatřením potřebných důkazních materiálů. Jako příklad je uvedena situace návrhu na náhradu škody z jakéhokoliv titulu, </w:t>
      </w:r>
      <w:r w:rsidR="003A700D" w:rsidRPr="00632E30">
        <w:rPr>
          <w:rFonts w:ascii="Garamond" w:hAnsi="Garamond"/>
          <w:sz w:val="24"/>
          <w:szCs w:val="24"/>
        </w:rPr>
        <w:t xml:space="preserve">v němž žalobce nevyčíslí a neuvede výši peněžitého plnění, jehož se po žalovaném domáhá. Navrhne pouze dokazování znalcem o okolnosti výše škody, jež byla způsobena žalobci žalovaným, a v žalobním petitu poukáže na případný výsledek tohoto dokazování. Takové podání však soud odmítne, samozřejmě po bezúspěšné výzvě k odstranění vad podání. </w:t>
      </w:r>
      <w:r w:rsidR="00221BCF" w:rsidRPr="00632E30">
        <w:rPr>
          <w:rStyle w:val="Znakapoznpodarou"/>
          <w:rFonts w:ascii="Garamond" w:hAnsi="Garamond"/>
          <w:sz w:val="24"/>
          <w:szCs w:val="24"/>
        </w:rPr>
        <w:footnoteReference w:id="23"/>
      </w:r>
    </w:p>
    <w:p w14:paraId="7A6569B8" w14:textId="77777777" w:rsidR="002830FA" w:rsidRPr="00632E30" w:rsidRDefault="002830FA" w:rsidP="002830FA">
      <w:pPr>
        <w:tabs>
          <w:tab w:val="left" w:pos="709"/>
        </w:tabs>
        <w:spacing w:line="360" w:lineRule="auto"/>
        <w:jc w:val="both"/>
        <w:rPr>
          <w:rFonts w:ascii="Garamond" w:hAnsi="Garamond"/>
          <w:sz w:val="24"/>
          <w:szCs w:val="24"/>
        </w:rPr>
      </w:pPr>
      <w:r w:rsidRPr="00632E30">
        <w:rPr>
          <w:rFonts w:ascii="Garamond" w:hAnsi="Garamond"/>
          <w:sz w:val="24"/>
          <w:szCs w:val="24"/>
        </w:rPr>
        <w:tab/>
      </w:r>
      <w:r w:rsidR="003A700D" w:rsidRPr="00632E30">
        <w:rPr>
          <w:rFonts w:ascii="Garamond" w:hAnsi="Garamond"/>
          <w:sz w:val="24"/>
          <w:szCs w:val="24"/>
        </w:rPr>
        <w:t xml:space="preserve">Vzhledem k výše předestřenému vymezení a mnohosti jevů spadajících pod pojem vyšetřovací důkaz vyvstává otázka </w:t>
      </w:r>
      <w:r w:rsidR="0099666B" w:rsidRPr="00632E30">
        <w:rPr>
          <w:rFonts w:ascii="Garamond" w:hAnsi="Garamond"/>
          <w:sz w:val="24"/>
          <w:szCs w:val="24"/>
        </w:rPr>
        <w:t xml:space="preserve">ohledně možnosti pojmenování těchto </w:t>
      </w:r>
      <w:r w:rsidR="00221BCF" w:rsidRPr="00632E30">
        <w:rPr>
          <w:rFonts w:ascii="Garamond" w:hAnsi="Garamond"/>
          <w:sz w:val="24"/>
          <w:szCs w:val="24"/>
        </w:rPr>
        <w:t>jevů jedním abstraktním pojmem.</w:t>
      </w:r>
      <w:r w:rsidR="005E4537" w:rsidRPr="00632E30">
        <w:rPr>
          <w:rStyle w:val="Znakapoznpodarou"/>
          <w:rFonts w:ascii="Garamond" w:hAnsi="Garamond"/>
          <w:sz w:val="24"/>
          <w:szCs w:val="24"/>
        </w:rPr>
        <w:footnoteReference w:id="24"/>
      </w:r>
      <w:r w:rsidR="00221BCF" w:rsidRPr="00632E30">
        <w:rPr>
          <w:rFonts w:ascii="Garamond" w:hAnsi="Garamond"/>
          <w:sz w:val="24"/>
          <w:szCs w:val="24"/>
        </w:rPr>
        <w:t xml:space="preserve"> </w:t>
      </w:r>
      <w:proofErr w:type="spellStart"/>
      <w:r w:rsidR="0099666B" w:rsidRPr="00632E30">
        <w:rPr>
          <w:rFonts w:ascii="Garamond" w:hAnsi="Garamond"/>
          <w:sz w:val="24"/>
          <w:szCs w:val="24"/>
        </w:rPr>
        <w:t>Peters</w:t>
      </w:r>
      <w:proofErr w:type="spellEnd"/>
      <w:r w:rsidR="0099666B" w:rsidRPr="00632E30">
        <w:rPr>
          <w:rFonts w:ascii="Garamond" w:hAnsi="Garamond"/>
          <w:sz w:val="24"/>
          <w:szCs w:val="24"/>
        </w:rPr>
        <w:t xml:space="preserve"> z tohoto důvodu kritizuje pojem vyšetřovacího důkazu, </w:t>
      </w:r>
      <w:r w:rsidR="004A6929" w:rsidRPr="00632E30">
        <w:rPr>
          <w:rFonts w:ascii="Garamond" w:hAnsi="Garamond"/>
          <w:sz w:val="24"/>
          <w:szCs w:val="24"/>
        </w:rPr>
        <w:t>který</w:t>
      </w:r>
      <w:r w:rsidR="0099666B" w:rsidRPr="00632E30">
        <w:rPr>
          <w:rFonts w:ascii="Garamond" w:hAnsi="Garamond"/>
          <w:sz w:val="24"/>
          <w:szCs w:val="24"/>
        </w:rPr>
        <w:t xml:space="preserve"> je podle něj </w:t>
      </w:r>
      <w:r w:rsidR="004A6929" w:rsidRPr="00632E30">
        <w:rPr>
          <w:rFonts w:ascii="Garamond" w:hAnsi="Garamond"/>
          <w:sz w:val="24"/>
          <w:szCs w:val="24"/>
        </w:rPr>
        <w:t>pouze</w:t>
      </w:r>
      <w:r w:rsidR="0099666B" w:rsidRPr="00632E30">
        <w:rPr>
          <w:rFonts w:ascii="Garamond" w:hAnsi="Garamond"/>
          <w:sz w:val="24"/>
          <w:szCs w:val="24"/>
        </w:rPr>
        <w:t xml:space="preserve"> „hlouběji nepodloženým heslem než hodnověrně vypracovaným pojmem procesního práva.“</w:t>
      </w:r>
      <w:r w:rsidR="00221BCF" w:rsidRPr="00632E30">
        <w:rPr>
          <w:rStyle w:val="Znakapoznpodarou"/>
          <w:rFonts w:ascii="Garamond" w:hAnsi="Garamond"/>
          <w:sz w:val="24"/>
          <w:szCs w:val="24"/>
        </w:rPr>
        <w:footnoteReference w:id="25"/>
      </w:r>
    </w:p>
    <w:p w14:paraId="01F17538" w14:textId="77777777" w:rsidR="00961F64" w:rsidRPr="00632E30" w:rsidRDefault="002830FA" w:rsidP="00961F64">
      <w:pPr>
        <w:tabs>
          <w:tab w:val="left" w:pos="709"/>
        </w:tabs>
        <w:spacing w:line="360" w:lineRule="auto"/>
        <w:jc w:val="both"/>
        <w:rPr>
          <w:rFonts w:ascii="Garamond" w:hAnsi="Garamond"/>
          <w:sz w:val="24"/>
          <w:szCs w:val="24"/>
        </w:rPr>
      </w:pPr>
      <w:r w:rsidRPr="00632E30">
        <w:rPr>
          <w:rFonts w:ascii="Garamond" w:hAnsi="Garamond"/>
          <w:sz w:val="24"/>
          <w:szCs w:val="24"/>
        </w:rPr>
        <w:tab/>
      </w:r>
      <w:r w:rsidR="0099666B" w:rsidRPr="00632E30">
        <w:rPr>
          <w:rFonts w:ascii="Garamond" w:hAnsi="Garamond"/>
          <w:sz w:val="24"/>
          <w:szCs w:val="24"/>
        </w:rPr>
        <w:t xml:space="preserve">Prof. Macur však tomuto názoru oponuje a uvádí, že </w:t>
      </w:r>
      <w:r w:rsidR="004A6929" w:rsidRPr="00632E30">
        <w:rPr>
          <w:rFonts w:ascii="Garamond" w:hAnsi="Garamond"/>
          <w:sz w:val="24"/>
          <w:szCs w:val="24"/>
        </w:rPr>
        <w:t>vzdání</w:t>
      </w:r>
      <w:r w:rsidR="0099666B" w:rsidRPr="00632E30">
        <w:rPr>
          <w:rFonts w:ascii="Garamond" w:hAnsi="Garamond"/>
          <w:sz w:val="24"/>
          <w:szCs w:val="24"/>
        </w:rPr>
        <w:t xml:space="preserve"> se takto tradičního a běžně užívaného pojmu by v praxi mohlo vyvolat mnohem větší potíže při rozboru a zkoumání této obsáhlé a významné problematiky v rámci civilního soudního řízení. Za předpokladu, že </w:t>
      </w:r>
      <w:r w:rsidR="004A6929" w:rsidRPr="00632E30">
        <w:rPr>
          <w:rFonts w:ascii="Garamond" w:hAnsi="Garamond"/>
          <w:sz w:val="24"/>
          <w:szCs w:val="24"/>
        </w:rPr>
        <w:t xml:space="preserve">jsou </w:t>
      </w:r>
      <w:r w:rsidR="0099666B" w:rsidRPr="00632E30">
        <w:rPr>
          <w:rFonts w:ascii="Garamond" w:hAnsi="Garamond"/>
          <w:sz w:val="24"/>
          <w:szCs w:val="24"/>
        </w:rPr>
        <w:t xml:space="preserve">si </w:t>
      </w:r>
      <w:r w:rsidR="0099666B" w:rsidRPr="00632E30">
        <w:rPr>
          <w:rFonts w:ascii="Garamond" w:hAnsi="Garamond"/>
          <w:sz w:val="24"/>
          <w:szCs w:val="24"/>
        </w:rPr>
        <w:lastRenderedPageBreak/>
        <w:t xml:space="preserve">teorie i praxe v rámci uplatňování pojmu vyšetřovacího důkazu </w:t>
      </w:r>
      <w:r w:rsidR="004A6929" w:rsidRPr="00632E30">
        <w:rPr>
          <w:rFonts w:ascii="Garamond" w:hAnsi="Garamond"/>
          <w:sz w:val="24"/>
          <w:szCs w:val="24"/>
        </w:rPr>
        <w:t>vědomy</w:t>
      </w:r>
      <w:r w:rsidR="0099666B" w:rsidRPr="00632E30">
        <w:rPr>
          <w:rFonts w:ascii="Garamond" w:hAnsi="Garamond"/>
          <w:sz w:val="24"/>
          <w:szCs w:val="24"/>
        </w:rPr>
        <w:t xml:space="preserve"> jeho vnitřního členění a složitosti</w:t>
      </w:r>
      <w:r w:rsidR="007C01EE" w:rsidRPr="00632E30">
        <w:rPr>
          <w:rFonts w:ascii="Garamond" w:hAnsi="Garamond"/>
          <w:sz w:val="24"/>
          <w:szCs w:val="24"/>
        </w:rPr>
        <w:t>, není důvodu k odmítání tohoto pojmu.</w:t>
      </w:r>
      <w:r w:rsidR="00640644" w:rsidRPr="00632E30">
        <w:rPr>
          <w:rStyle w:val="Znakapoznpodarou"/>
          <w:rFonts w:ascii="Garamond" w:hAnsi="Garamond"/>
          <w:sz w:val="24"/>
          <w:szCs w:val="24"/>
        </w:rPr>
        <w:footnoteReference w:id="26"/>
      </w:r>
    </w:p>
    <w:p w14:paraId="633C3A60" w14:textId="77777777" w:rsidR="00961F64" w:rsidRPr="00632E30" w:rsidRDefault="00961F64" w:rsidP="00961F64">
      <w:pPr>
        <w:tabs>
          <w:tab w:val="left" w:pos="709"/>
        </w:tabs>
        <w:spacing w:line="360" w:lineRule="auto"/>
        <w:jc w:val="both"/>
        <w:rPr>
          <w:rFonts w:ascii="Garamond" w:hAnsi="Garamond"/>
          <w:sz w:val="24"/>
          <w:szCs w:val="24"/>
        </w:rPr>
      </w:pPr>
      <w:r w:rsidRPr="00632E30">
        <w:rPr>
          <w:rFonts w:ascii="Garamond" w:hAnsi="Garamond"/>
          <w:sz w:val="24"/>
          <w:szCs w:val="24"/>
        </w:rPr>
        <w:tab/>
      </w:r>
      <w:r w:rsidR="007C01EE" w:rsidRPr="00632E30">
        <w:rPr>
          <w:rFonts w:ascii="Garamond" w:hAnsi="Garamond"/>
          <w:sz w:val="24"/>
          <w:szCs w:val="24"/>
        </w:rPr>
        <w:t>S ohledem na předešlé lze vyabstrahovat společné znaky v rámci všech zde uvedených kategorií pojmu vyšetřovacího důkazu. I přes rozdílné znaky všechny tyto podskupiny vyšetřovacího důkazu slouží k jednomu účelu</w:t>
      </w:r>
      <w:r w:rsidR="00E54FE4" w:rsidRPr="00632E30">
        <w:rPr>
          <w:rFonts w:ascii="Garamond" w:hAnsi="Garamond"/>
          <w:sz w:val="24"/>
          <w:szCs w:val="24"/>
        </w:rPr>
        <w:t>,</w:t>
      </w:r>
      <w:r w:rsidR="007C01EE" w:rsidRPr="00632E30">
        <w:rPr>
          <w:rFonts w:ascii="Garamond" w:hAnsi="Garamond"/>
          <w:sz w:val="24"/>
          <w:szCs w:val="24"/>
        </w:rPr>
        <w:t xml:space="preserve"> a to k získání dalších potřebných informací pro následné úplné a určité </w:t>
      </w:r>
      <w:proofErr w:type="spellStart"/>
      <w:r w:rsidR="007C01EE" w:rsidRPr="00632E30">
        <w:rPr>
          <w:rFonts w:ascii="Garamond" w:hAnsi="Garamond"/>
          <w:sz w:val="24"/>
          <w:szCs w:val="24"/>
        </w:rPr>
        <w:t>substancované</w:t>
      </w:r>
      <w:proofErr w:type="spellEnd"/>
      <w:r w:rsidR="007C01EE" w:rsidRPr="00632E30">
        <w:rPr>
          <w:rFonts w:ascii="Garamond" w:hAnsi="Garamond"/>
          <w:sz w:val="24"/>
          <w:szCs w:val="24"/>
        </w:rPr>
        <w:t xml:space="preserve"> skutkové tvrzení. Jedná se tedy o </w:t>
      </w:r>
      <w:r w:rsidR="00B200E2" w:rsidRPr="00632E30">
        <w:rPr>
          <w:rFonts w:ascii="Garamond" w:hAnsi="Garamond"/>
          <w:sz w:val="24"/>
          <w:szCs w:val="24"/>
        </w:rPr>
        <w:t>prostředek k překoná</w:t>
      </w:r>
      <w:r w:rsidR="004A6929" w:rsidRPr="00632E30">
        <w:rPr>
          <w:rFonts w:ascii="Garamond" w:hAnsi="Garamond"/>
          <w:sz w:val="24"/>
          <w:szCs w:val="24"/>
        </w:rPr>
        <w:t>ní</w:t>
      </w:r>
      <w:r w:rsidR="00B200E2" w:rsidRPr="00632E30">
        <w:rPr>
          <w:rFonts w:ascii="Garamond" w:hAnsi="Garamond"/>
          <w:sz w:val="24"/>
          <w:szCs w:val="24"/>
        </w:rPr>
        <w:t xml:space="preserve"> informačního deficitu strany. Institutu vyšetřovacího důkazu však v naší teorii i praxi není věnována dostatečná pozornost. Pokud se v rozhodovací praxi objevní zmínka o vyšetřovacím důkazu, </w:t>
      </w:r>
      <w:r w:rsidR="004469D9" w:rsidRPr="00632E30">
        <w:rPr>
          <w:rFonts w:ascii="Garamond" w:hAnsi="Garamond"/>
          <w:sz w:val="24"/>
          <w:szCs w:val="24"/>
        </w:rPr>
        <w:t xml:space="preserve">jedná se povětšinou </w:t>
      </w:r>
      <w:r w:rsidR="00A31A78" w:rsidRPr="00632E30">
        <w:rPr>
          <w:rFonts w:ascii="Garamond" w:hAnsi="Garamond"/>
          <w:sz w:val="24"/>
          <w:szCs w:val="24"/>
        </w:rPr>
        <w:t>o zákaz</w:t>
      </w:r>
      <w:r w:rsidR="004469D9" w:rsidRPr="00632E30">
        <w:rPr>
          <w:rFonts w:ascii="Garamond" w:hAnsi="Garamond"/>
          <w:sz w:val="24"/>
          <w:szCs w:val="24"/>
        </w:rPr>
        <w:t xml:space="preserve"> jeho použit</w:t>
      </w:r>
      <w:r w:rsidR="005E4537" w:rsidRPr="00632E30">
        <w:rPr>
          <w:rFonts w:ascii="Garamond" w:hAnsi="Garamond"/>
          <w:sz w:val="24"/>
          <w:szCs w:val="24"/>
        </w:rPr>
        <w:t xml:space="preserve">í. Nutno poukázat </w:t>
      </w:r>
      <w:r w:rsidR="003D7BB0" w:rsidRPr="00632E30">
        <w:rPr>
          <w:rFonts w:ascii="Garamond" w:hAnsi="Garamond"/>
          <w:sz w:val="24"/>
          <w:szCs w:val="24"/>
        </w:rPr>
        <w:t>závěry dr. Svobody o</w:t>
      </w:r>
      <w:r w:rsidR="005E4537" w:rsidRPr="00632E30">
        <w:rPr>
          <w:rFonts w:ascii="Garamond" w:hAnsi="Garamond"/>
          <w:sz w:val="24"/>
          <w:szCs w:val="24"/>
        </w:rPr>
        <w:t xml:space="preserve"> praxi ve sporném řízení, kdy </w:t>
      </w:r>
      <w:r w:rsidR="003D7BB0" w:rsidRPr="00632E30">
        <w:rPr>
          <w:rFonts w:ascii="Garamond" w:hAnsi="Garamond"/>
          <w:sz w:val="24"/>
          <w:szCs w:val="24"/>
        </w:rPr>
        <w:t xml:space="preserve">si </w:t>
      </w:r>
      <w:r w:rsidR="005E4537" w:rsidRPr="00632E30">
        <w:rPr>
          <w:rFonts w:ascii="Garamond" w:hAnsi="Garamond"/>
          <w:sz w:val="24"/>
          <w:szCs w:val="24"/>
        </w:rPr>
        <w:t>procesní strany své informace</w:t>
      </w:r>
      <w:r w:rsidR="003D7BB0" w:rsidRPr="00632E30">
        <w:rPr>
          <w:rFonts w:ascii="Garamond" w:hAnsi="Garamond"/>
          <w:sz w:val="24"/>
          <w:szCs w:val="24"/>
        </w:rPr>
        <w:t xml:space="preserve"> </w:t>
      </w:r>
      <w:r w:rsidR="005E4537" w:rsidRPr="00632E30">
        <w:rPr>
          <w:rFonts w:ascii="Garamond" w:hAnsi="Garamond"/>
          <w:sz w:val="24"/>
          <w:szCs w:val="24"/>
        </w:rPr>
        <w:t xml:space="preserve">nutné pro další postup v soudním řízení </w:t>
      </w:r>
      <w:r w:rsidR="003D7BB0" w:rsidRPr="00632E30">
        <w:rPr>
          <w:rFonts w:ascii="Garamond" w:hAnsi="Garamond"/>
          <w:sz w:val="24"/>
          <w:szCs w:val="24"/>
        </w:rPr>
        <w:t xml:space="preserve">zcela běžně </w:t>
      </w:r>
      <w:r w:rsidR="005E4537" w:rsidRPr="00632E30">
        <w:rPr>
          <w:rFonts w:ascii="Garamond" w:hAnsi="Garamond"/>
          <w:sz w:val="24"/>
          <w:szCs w:val="24"/>
        </w:rPr>
        <w:t>opatřují na základě provedených důkazů</w:t>
      </w:r>
      <w:r w:rsidR="004A6929" w:rsidRPr="00632E30">
        <w:rPr>
          <w:rFonts w:ascii="Garamond" w:hAnsi="Garamond"/>
          <w:sz w:val="24"/>
          <w:szCs w:val="24"/>
        </w:rPr>
        <w:t>, t</w:t>
      </w:r>
      <w:r w:rsidR="005E4537" w:rsidRPr="00632E30">
        <w:rPr>
          <w:rFonts w:ascii="Garamond" w:hAnsi="Garamond"/>
          <w:sz w:val="24"/>
          <w:szCs w:val="24"/>
        </w:rPr>
        <w:t xml:space="preserve">edy opírají svá stanoviska o fakta, která jim na počátku řízení nebyla </w:t>
      </w:r>
      <w:r w:rsidR="004A6929" w:rsidRPr="00632E30">
        <w:rPr>
          <w:rFonts w:ascii="Garamond" w:hAnsi="Garamond"/>
          <w:sz w:val="24"/>
          <w:szCs w:val="24"/>
        </w:rPr>
        <w:t>známa,</w:t>
      </w:r>
      <w:r w:rsidR="005E4537" w:rsidRPr="00632E30">
        <w:rPr>
          <w:rFonts w:ascii="Garamond" w:hAnsi="Garamond"/>
          <w:sz w:val="24"/>
          <w:szCs w:val="24"/>
        </w:rPr>
        <w:t xml:space="preserve"> a následným postupem v řízení jimi </w:t>
      </w:r>
      <w:r w:rsidR="004A6929" w:rsidRPr="00632E30">
        <w:rPr>
          <w:rFonts w:ascii="Garamond" w:hAnsi="Garamond"/>
          <w:sz w:val="24"/>
          <w:szCs w:val="24"/>
        </w:rPr>
        <w:t>doplňují</w:t>
      </w:r>
      <w:r w:rsidR="005E4537" w:rsidRPr="00632E30">
        <w:rPr>
          <w:rFonts w:ascii="Garamond" w:hAnsi="Garamond"/>
          <w:sz w:val="24"/>
          <w:szCs w:val="24"/>
        </w:rPr>
        <w:t xml:space="preserve"> </w:t>
      </w:r>
      <w:r w:rsidR="003D7BB0" w:rsidRPr="00632E30">
        <w:rPr>
          <w:rFonts w:ascii="Garamond" w:hAnsi="Garamond"/>
          <w:sz w:val="24"/>
          <w:szCs w:val="24"/>
        </w:rPr>
        <w:t>svá skutková tvrzení. Předně nelze s určitostí postavit na jisto, jaké informace se účastníci a soud dozví z provedené výpovědi svědka.</w:t>
      </w:r>
      <w:r w:rsidR="00371C68" w:rsidRPr="00632E30">
        <w:rPr>
          <w:rStyle w:val="Znakapoznpodarou"/>
          <w:rFonts w:ascii="Garamond" w:hAnsi="Garamond"/>
          <w:sz w:val="24"/>
          <w:szCs w:val="24"/>
        </w:rPr>
        <w:footnoteReference w:id="27"/>
      </w:r>
      <w:r w:rsidR="004A6929" w:rsidRPr="00632E30">
        <w:rPr>
          <w:rFonts w:ascii="Garamond" w:hAnsi="Garamond"/>
          <w:sz w:val="24"/>
          <w:szCs w:val="24"/>
        </w:rPr>
        <w:t xml:space="preserve"> </w:t>
      </w:r>
      <w:r w:rsidR="003D7BB0" w:rsidRPr="00632E30">
        <w:rPr>
          <w:rFonts w:ascii="Garamond" w:hAnsi="Garamond"/>
          <w:sz w:val="24"/>
          <w:szCs w:val="24"/>
        </w:rPr>
        <w:t>Lze tedy učinit závěr, že nejen účastníci, ale i soud během řízení trpí do jisté míry informačním deficitem. Soudce se často svědka dotazuje na průběh skutkového děje, tedy vyšetřuje</w:t>
      </w:r>
      <w:r w:rsidR="004A6929" w:rsidRPr="00632E30">
        <w:rPr>
          <w:rFonts w:ascii="Garamond" w:hAnsi="Garamond"/>
          <w:sz w:val="24"/>
          <w:szCs w:val="24"/>
        </w:rPr>
        <w:t>,</w:t>
      </w:r>
      <w:r w:rsidR="003D7BB0" w:rsidRPr="00632E30">
        <w:rPr>
          <w:rFonts w:ascii="Garamond" w:hAnsi="Garamond"/>
          <w:sz w:val="24"/>
          <w:szCs w:val="24"/>
        </w:rPr>
        <w:t xml:space="preserve"> jak se událost odehrála. Na základě těchto skutečností je </w:t>
      </w:r>
      <w:proofErr w:type="spellStart"/>
      <w:r w:rsidR="003D7BB0" w:rsidRPr="00632E30">
        <w:rPr>
          <w:rFonts w:ascii="Garamond" w:hAnsi="Garamond"/>
          <w:sz w:val="24"/>
          <w:szCs w:val="24"/>
        </w:rPr>
        <w:t>seznatelná</w:t>
      </w:r>
      <w:proofErr w:type="spellEnd"/>
      <w:r w:rsidR="003D7BB0" w:rsidRPr="00632E30">
        <w:rPr>
          <w:rFonts w:ascii="Garamond" w:hAnsi="Garamond"/>
          <w:sz w:val="24"/>
          <w:szCs w:val="24"/>
        </w:rPr>
        <w:t xml:space="preserve"> </w:t>
      </w:r>
      <w:r w:rsidR="00371C68" w:rsidRPr="00632E30">
        <w:rPr>
          <w:rFonts w:ascii="Garamond" w:hAnsi="Garamond"/>
          <w:sz w:val="24"/>
          <w:szCs w:val="24"/>
        </w:rPr>
        <w:t>jen tenká linie lišící postup zcela běžný a institut vyšetřovacího důkazu.</w:t>
      </w:r>
      <w:r w:rsidR="002368A6" w:rsidRPr="00632E30">
        <w:rPr>
          <w:rStyle w:val="Znakapoznpodarou"/>
          <w:rFonts w:ascii="Garamond" w:hAnsi="Garamond"/>
          <w:sz w:val="24"/>
          <w:szCs w:val="24"/>
        </w:rPr>
        <w:footnoteReference w:id="28"/>
      </w:r>
    </w:p>
    <w:p w14:paraId="5B05EDD6" w14:textId="77777777" w:rsidR="00961F64" w:rsidRPr="00632E30" w:rsidRDefault="00961F64" w:rsidP="00961F64">
      <w:pPr>
        <w:tabs>
          <w:tab w:val="left" w:pos="709"/>
        </w:tabs>
        <w:spacing w:line="360" w:lineRule="auto"/>
        <w:jc w:val="both"/>
        <w:rPr>
          <w:rFonts w:ascii="Garamond" w:hAnsi="Garamond"/>
          <w:sz w:val="24"/>
          <w:szCs w:val="24"/>
        </w:rPr>
      </w:pPr>
      <w:r w:rsidRPr="00632E30">
        <w:rPr>
          <w:rFonts w:ascii="Garamond" w:hAnsi="Garamond"/>
          <w:sz w:val="24"/>
          <w:szCs w:val="24"/>
        </w:rPr>
        <w:tab/>
      </w:r>
      <w:r w:rsidR="00995A5C" w:rsidRPr="00632E30">
        <w:rPr>
          <w:rFonts w:ascii="Garamond" w:hAnsi="Garamond"/>
          <w:sz w:val="24"/>
          <w:szCs w:val="24"/>
        </w:rPr>
        <w:t>Dr. Svoboda dále uvádí, že český civilní proces do jisté míry připouští uplatnění vyšetřovacího důkazu v rámci platného práva. Do novely číslo 7/2009 Sb., jíž se změnil zákon číslo 99/1963 Sb., občanský soudní řád, dále jen „o.</w:t>
      </w:r>
      <w:r w:rsidR="00BE00FF" w:rsidRPr="00632E30">
        <w:rPr>
          <w:rFonts w:ascii="Garamond" w:hAnsi="Garamond"/>
          <w:sz w:val="24"/>
          <w:szCs w:val="24"/>
        </w:rPr>
        <w:t xml:space="preserve"> </w:t>
      </w:r>
      <w:r w:rsidR="00995A5C" w:rsidRPr="00632E30">
        <w:rPr>
          <w:rFonts w:ascii="Garamond" w:hAnsi="Garamond"/>
          <w:sz w:val="24"/>
          <w:szCs w:val="24"/>
        </w:rPr>
        <w:t>s.</w:t>
      </w:r>
      <w:r w:rsidR="00BE00FF" w:rsidRPr="00632E30">
        <w:rPr>
          <w:rFonts w:ascii="Garamond" w:hAnsi="Garamond"/>
          <w:sz w:val="24"/>
          <w:szCs w:val="24"/>
        </w:rPr>
        <w:t xml:space="preserve"> </w:t>
      </w:r>
      <w:r w:rsidR="00995A5C" w:rsidRPr="00632E30">
        <w:rPr>
          <w:rFonts w:ascii="Garamond" w:hAnsi="Garamond"/>
          <w:sz w:val="24"/>
          <w:szCs w:val="24"/>
        </w:rPr>
        <w:t xml:space="preserve">ř.“, </w:t>
      </w:r>
      <w:r w:rsidR="0066666B" w:rsidRPr="00632E30">
        <w:rPr>
          <w:rFonts w:ascii="Garamond" w:hAnsi="Garamond"/>
          <w:sz w:val="24"/>
          <w:szCs w:val="24"/>
        </w:rPr>
        <w:t>bylo možno</w:t>
      </w:r>
      <w:r w:rsidR="00995A5C" w:rsidRPr="00632E30">
        <w:rPr>
          <w:rFonts w:ascii="Garamond" w:hAnsi="Garamond"/>
          <w:sz w:val="24"/>
          <w:szCs w:val="24"/>
        </w:rPr>
        <w:t xml:space="preserve"> tento využít prakticky bez jakýchkoliv </w:t>
      </w:r>
      <w:r w:rsidR="00843B75" w:rsidRPr="00632E30">
        <w:rPr>
          <w:rFonts w:ascii="Garamond" w:hAnsi="Garamond"/>
          <w:sz w:val="24"/>
          <w:szCs w:val="24"/>
        </w:rPr>
        <w:t>těžkostí,</w:t>
      </w:r>
      <w:r w:rsidR="00995A5C" w:rsidRPr="00632E30">
        <w:rPr>
          <w:rFonts w:ascii="Garamond" w:hAnsi="Garamond"/>
          <w:sz w:val="24"/>
          <w:szCs w:val="24"/>
        </w:rPr>
        <w:t xml:space="preserve"> a to díky </w:t>
      </w:r>
      <w:r w:rsidR="004A6929" w:rsidRPr="00632E30">
        <w:rPr>
          <w:rFonts w:ascii="Garamond" w:hAnsi="Garamond"/>
          <w:sz w:val="24"/>
          <w:szCs w:val="24"/>
        </w:rPr>
        <w:t>tehdejšímu</w:t>
      </w:r>
      <w:r w:rsidR="00995A5C" w:rsidRPr="00632E30">
        <w:rPr>
          <w:rFonts w:ascii="Garamond" w:hAnsi="Garamond"/>
          <w:sz w:val="24"/>
          <w:szCs w:val="24"/>
        </w:rPr>
        <w:t xml:space="preserve"> znění § 120 odst. 3 o.</w:t>
      </w:r>
      <w:r w:rsidR="00BE00FF" w:rsidRPr="00632E30">
        <w:rPr>
          <w:rFonts w:ascii="Garamond" w:hAnsi="Garamond"/>
          <w:sz w:val="24"/>
          <w:szCs w:val="24"/>
        </w:rPr>
        <w:t xml:space="preserve"> </w:t>
      </w:r>
      <w:r w:rsidR="00995A5C" w:rsidRPr="00632E30">
        <w:rPr>
          <w:rFonts w:ascii="Garamond" w:hAnsi="Garamond"/>
          <w:sz w:val="24"/>
          <w:szCs w:val="24"/>
        </w:rPr>
        <w:t>s.</w:t>
      </w:r>
      <w:r w:rsidR="00BE00FF" w:rsidRPr="00632E30">
        <w:rPr>
          <w:rFonts w:ascii="Garamond" w:hAnsi="Garamond"/>
          <w:sz w:val="24"/>
          <w:szCs w:val="24"/>
        </w:rPr>
        <w:t xml:space="preserve"> </w:t>
      </w:r>
      <w:r w:rsidR="00995A5C" w:rsidRPr="00632E30">
        <w:rPr>
          <w:rFonts w:ascii="Garamond" w:hAnsi="Garamond"/>
          <w:sz w:val="24"/>
          <w:szCs w:val="24"/>
        </w:rPr>
        <w:t>ř.</w:t>
      </w:r>
      <w:r w:rsidR="00995A5C" w:rsidRPr="00632E30">
        <w:rPr>
          <w:rStyle w:val="Znakapoznpodarou"/>
          <w:rFonts w:ascii="Garamond" w:hAnsi="Garamond"/>
          <w:sz w:val="24"/>
          <w:szCs w:val="24"/>
        </w:rPr>
        <w:footnoteReference w:id="29"/>
      </w:r>
      <w:r w:rsidR="00843B75" w:rsidRPr="00632E30">
        <w:rPr>
          <w:rFonts w:ascii="Garamond" w:hAnsi="Garamond"/>
          <w:sz w:val="24"/>
          <w:szCs w:val="24"/>
        </w:rPr>
        <w:t xml:space="preserve"> Výše uvedenou novelou pozměnil zákonodárce znění § 120 ve smyslu omezení možnosti aktivity soudu za účelem obstarávání skutečností pro své rozhodnutí.</w:t>
      </w:r>
      <w:r w:rsidR="003C13DC" w:rsidRPr="00632E30">
        <w:rPr>
          <w:rStyle w:val="Znakapoznpodarou"/>
          <w:rFonts w:ascii="Garamond" w:hAnsi="Garamond"/>
          <w:sz w:val="24"/>
          <w:szCs w:val="24"/>
        </w:rPr>
        <w:footnoteReference w:id="30"/>
      </w:r>
    </w:p>
    <w:p w14:paraId="67661E21" w14:textId="77777777" w:rsidR="00961F64" w:rsidRPr="00632E30" w:rsidRDefault="00961F64" w:rsidP="00961F64">
      <w:pPr>
        <w:tabs>
          <w:tab w:val="left" w:pos="709"/>
        </w:tabs>
        <w:spacing w:line="360" w:lineRule="auto"/>
        <w:jc w:val="both"/>
        <w:rPr>
          <w:rFonts w:ascii="Garamond" w:hAnsi="Garamond"/>
          <w:sz w:val="24"/>
          <w:szCs w:val="24"/>
        </w:rPr>
      </w:pPr>
      <w:r w:rsidRPr="00632E30">
        <w:rPr>
          <w:rFonts w:ascii="Garamond" w:hAnsi="Garamond"/>
          <w:sz w:val="24"/>
          <w:szCs w:val="24"/>
        </w:rPr>
        <w:tab/>
      </w:r>
      <w:r w:rsidR="00CC0BE2" w:rsidRPr="00632E30">
        <w:rPr>
          <w:rFonts w:ascii="Garamond" w:hAnsi="Garamond"/>
          <w:sz w:val="24"/>
          <w:szCs w:val="24"/>
        </w:rPr>
        <w:t xml:space="preserve">Toto omezení procesní aktivity soudu zákonodárcem </w:t>
      </w:r>
      <w:r w:rsidR="0066666B" w:rsidRPr="00632E30">
        <w:rPr>
          <w:rFonts w:ascii="Garamond" w:hAnsi="Garamond"/>
          <w:sz w:val="24"/>
          <w:szCs w:val="24"/>
        </w:rPr>
        <w:t xml:space="preserve">se </w:t>
      </w:r>
      <w:r w:rsidR="00CC0BE2" w:rsidRPr="00632E30">
        <w:rPr>
          <w:rFonts w:ascii="Garamond" w:hAnsi="Garamond"/>
          <w:sz w:val="24"/>
          <w:szCs w:val="24"/>
        </w:rPr>
        <w:t xml:space="preserve">však dle dr. Svobody bude míjet účinkem, jelikož novelované znění stále </w:t>
      </w:r>
      <w:r w:rsidR="0066666B" w:rsidRPr="00632E30">
        <w:rPr>
          <w:rFonts w:ascii="Garamond" w:hAnsi="Garamond"/>
          <w:sz w:val="24"/>
          <w:szCs w:val="24"/>
        </w:rPr>
        <w:t>nestanovuje</w:t>
      </w:r>
      <w:r w:rsidR="00CC0BE2" w:rsidRPr="00632E30">
        <w:rPr>
          <w:rFonts w:ascii="Garamond" w:hAnsi="Garamond"/>
          <w:sz w:val="24"/>
          <w:szCs w:val="24"/>
        </w:rPr>
        <w:t xml:space="preserve"> určité meze pro uplatňování důkazní iniciativy soudu</w:t>
      </w:r>
      <w:r w:rsidR="007C5106" w:rsidRPr="00632E30">
        <w:rPr>
          <w:rFonts w:ascii="Garamond" w:hAnsi="Garamond"/>
          <w:sz w:val="24"/>
          <w:szCs w:val="24"/>
        </w:rPr>
        <w:t>.</w:t>
      </w:r>
      <w:r w:rsidR="003C13DC" w:rsidRPr="00632E30">
        <w:rPr>
          <w:rStyle w:val="Znakapoznpodarou"/>
          <w:rFonts w:ascii="Garamond" w:hAnsi="Garamond"/>
          <w:sz w:val="24"/>
          <w:szCs w:val="24"/>
        </w:rPr>
        <w:footnoteReference w:id="31"/>
      </w:r>
      <w:r w:rsidR="007C5106" w:rsidRPr="00632E30">
        <w:rPr>
          <w:rFonts w:ascii="Garamond" w:hAnsi="Garamond"/>
          <w:sz w:val="24"/>
          <w:szCs w:val="24"/>
        </w:rPr>
        <w:t xml:space="preserve"> Další procesní problém spatřuje dr. Svoboda ve vymezení § 43 odst. 2 o.</w:t>
      </w:r>
      <w:r w:rsidR="00BE00FF" w:rsidRPr="00632E30">
        <w:rPr>
          <w:rFonts w:ascii="Garamond" w:hAnsi="Garamond"/>
          <w:sz w:val="24"/>
          <w:szCs w:val="24"/>
        </w:rPr>
        <w:t xml:space="preserve"> </w:t>
      </w:r>
      <w:r w:rsidR="007C5106" w:rsidRPr="00632E30">
        <w:rPr>
          <w:rFonts w:ascii="Garamond" w:hAnsi="Garamond"/>
          <w:sz w:val="24"/>
          <w:szCs w:val="24"/>
        </w:rPr>
        <w:t>s.</w:t>
      </w:r>
      <w:r w:rsidR="00BE00FF" w:rsidRPr="00632E30">
        <w:rPr>
          <w:rFonts w:ascii="Garamond" w:hAnsi="Garamond"/>
          <w:sz w:val="24"/>
          <w:szCs w:val="24"/>
        </w:rPr>
        <w:t xml:space="preserve"> </w:t>
      </w:r>
      <w:r w:rsidR="007C5106" w:rsidRPr="00632E30">
        <w:rPr>
          <w:rFonts w:ascii="Garamond" w:hAnsi="Garamond"/>
          <w:sz w:val="24"/>
          <w:szCs w:val="24"/>
        </w:rPr>
        <w:t xml:space="preserve">ř. </w:t>
      </w:r>
      <w:r w:rsidR="0066666B" w:rsidRPr="00632E30">
        <w:rPr>
          <w:rFonts w:ascii="Garamond" w:hAnsi="Garamond"/>
          <w:sz w:val="24"/>
          <w:szCs w:val="24"/>
        </w:rPr>
        <w:t>zejména</w:t>
      </w:r>
      <w:r w:rsidR="007C5106" w:rsidRPr="00632E30">
        <w:rPr>
          <w:rFonts w:ascii="Garamond" w:hAnsi="Garamond"/>
          <w:sz w:val="24"/>
          <w:szCs w:val="24"/>
        </w:rPr>
        <w:t xml:space="preserve"> ve vztahu k žalobě, jíž se zahajuje řízení. </w:t>
      </w:r>
      <w:r w:rsidR="0066666B" w:rsidRPr="00632E30">
        <w:rPr>
          <w:rFonts w:ascii="Garamond" w:hAnsi="Garamond"/>
          <w:sz w:val="24"/>
          <w:szCs w:val="24"/>
        </w:rPr>
        <w:t>Nevyplývají</w:t>
      </w:r>
      <w:r w:rsidR="007C5106" w:rsidRPr="00632E30">
        <w:rPr>
          <w:rFonts w:ascii="Garamond" w:hAnsi="Garamond"/>
          <w:sz w:val="24"/>
          <w:szCs w:val="24"/>
        </w:rPr>
        <w:t xml:space="preserve">-li z takového procesního úkonu všechny </w:t>
      </w:r>
      <w:r w:rsidR="007C5106" w:rsidRPr="00632E30">
        <w:rPr>
          <w:rFonts w:ascii="Garamond" w:hAnsi="Garamond"/>
          <w:sz w:val="24"/>
          <w:szCs w:val="24"/>
        </w:rPr>
        <w:lastRenderedPageBreak/>
        <w:t>relevantní skutečnosti, soud po marné výzvě k opravě vad podání takový návrh odmítne.</w:t>
      </w:r>
      <w:r w:rsidR="003C13DC" w:rsidRPr="00632E30">
        <w:rPr>
          <w:rStyle w:val="Znakapoznpodarou"/>
          <w:rFonts w:ascii="Garamond" w:hAnsi="Garamond"/>
          <w:sz w:val="24"/>
          <w:szCs w:val="24"/>
        </w:rPr>
        <w:footnoteReference w:id="32"/>
      </w:r>
      <w:r w:rsidR="007C5106" w:rsidRPr="00632E30">
        <w:rPr>
          <w:rFonts w:ascii="Garamond" w:hAnsi="Garamond"/>
          <w:sz w:val="24"/>
          <w:szCs w:val="24"/>
        </w:rPr>
        <w:t xml:space="preserve"> Uvážíme-li situaci žalobce, jenž </w:t>
      </w:r>
      <w:r w:rsidR="0066666B" w:rsidRPr="00632E30">
        <w:rPr>
          <w:rFonts w:ascii="Garamond" w:hAnsi="Garamond"/>
          <w:sz w:val="24"/>
          <w:szCs w:val="24"/>
        </w:rPr>
        <w:t>se</w:t>
      </w:r>
      <w:r w:rsidR="007C5106" w:rsidRPr="00632E30">
        <w:rPr>
          <w:rFonts w:ascii="Garamond" w:hAnsi="Garamond"/>
          <w:sz w:val="24"/>
          <w:szCs w:val="24"/>
        </w:rPr>
        <w:t xml:space="preserve"> v důsledku důkazní nouze, případně </w:t>
      </w:r>
      <w:r w:rsidR="00DF3BDE" w:rsidRPr="00632E30">
        <w:rPr>
          <w:rFonts w:ascii="Garamond" w:hAnsi="Garamond"/>
          <w:sz w:val="24"/>
          <w:szCs w:val="24"/>
        </w:rPr>
        <w:t xml:space="preserve">omezené znalosti skutkového děje, nachází v informačním deficitu z objektivních důvodů, </w:t>
      </w:r>
      <w:r w:rsidR="0066666B" w:rsidRPr="00632E30">
        <w:rPr>
          <w:rFonts w:ascii="Garamond" w:hAnsi="Garamond"/>
          <w:sz w:val="24"/>
          <w:szCs w:val="24"/>
        </w:rPr>
        <w:t>nemůže tento</w:t>
      </w:r>
      <w:r w:rsidR="00DF3BDE" w:rsidRPr="00632E30">
        <w:rPr>
          <w:rFonts w:ascii="Garamond" w:hAnsi="Garamond"/>
          <w:sz w:val="24"/>
          <w:szCs w:val="24"/>
        </w:rPr>
        <w:t xml:space="preserve"> v důsledku aplikace uvedeného § 43 odst. 2 o.</w:t>
      </w:r>
      <w:r w:rsidR="00BE00FF" w:rsidRPr="00632E30">
        <w:rPr>
          <w:rFonts w:ascii="Garamond" w:hAnsi="Garamond"/>
          <w:sz w:val="24"/>
          <w:szCs w:val="24"/>
        </w:rPr>
        <w:t xml:space="preserve"> </w:t>
      </w:r>
      <w:r w:rsidR="00DF3BDE" w:rsidRPr="00632E30">
        <w:rPr>
          <w:rFonts w:ascii="Garamond" w:hAnsi="Garamond"/>
          <w:sz w:val="24"/>
          <w:szCs w:val="24"/>
        </w:rPr>
        <w:t>s.</w:t>
      </w:r>
      <w:r w:rsidR="00BE00FF" w:rsidRPr="00632E30">
        <w:rPr>
          <w:rFonts w:ascii="Garamond" w:hAnsi="Garamond"/>
          <w:sz w:val="24"/>
          <w:szCs w:val="24"/>
        </w:rPr>
        <w:t xml:space="preserve"> </w:t>
      </w:r>
      <w:r w:rsidR="00DF3BDE" w:rsidRPr="00632E30">
        <w:rPr>
          <w:rFonts w:ascii="Garamond" w:hAnsi="Garamond"/>
          <w:sz w:val="24"/>
          <w:szCs w:val="24"/>
        </w:rPr>
        <w:t xml:space="preserve">ř. objektivně překlenout výzvu k odstranění vad podání. Není možné, aby soud v tomto ohledu vyvíjel </w:t>
      </w:r>
      <w:r w:rsidR="00EF68D1" w:rsidRPr="00632E30">
        <w:rPr>
          <w:rFonts w:ascii="Garamond" w:hAnsi="Garamond"/>
          <w:sz w:val="24"/>
          <w:szCs w:val="24"/>
        </w:rPr>
        <w:t xml:space="preserve">důkazní aktivitu pro překonání informačního deficitu strany v rámci návrhu, jímž se celé řízení teprve zahajuje. Dle dr. Svobody je však možné překlenout tento stav pomocí výkladu. K tomu lze využít zejména procesní </w:t>
      </w:r>
      <w:r w:rsidR="00EF68D1" w:rsidRPr="00632E30">
        <w:rPr>
          <w:rFonts w:ascii="Garamond" w:hAnsi="Garamond"/>
          <w:sz w:val="24"/>
        </w:rPr>
        <w:t>povinnost s</w:t>
      </w:r>
      <w:r w:rsidR="00392FEC" w:rsidRPr="00632E30">
        <w:rPr>
          <w:rFonts w:ascii="Garamond" w:hAnsi="Garamond"/>
          <w:sz w:val="24"/>
        </w:rPr>
        <w:t xml:space="preserve">oučinnosti soudu </w:t>
      </w:r>
      <w:r w:rsidR="00D22162" w:rsidRPr="00632E30">
        <w:rPr>
          <w:rFonts w:ascii="Garamond" w:hAnsi="Garamond"/>
          <w:sz w:val="24"/>
        </w:rPr>
        <w:t>s</w:t>
      </w:r>
      <w:r w:rsidR="00392FEC" w:rsidRPr="00632E30">
        <w:rPr>
          <w:rFonts w:ascii="Garamond" w:hAnsi="Garamond"/>
          <w:sz w:val="24"/>
        </w:rPr>
        <w:t> účastní</w:t>
      </w:r>
      <w:r w:rsidR="00D22162" w:rsidRPr="00632E30">
        <w:rPr>
          <w:rFonts w:ascii="Garamond" w:hAnsi="Garamond"/>
          <w:sz w:val="24"/>
        </w:rPr>
        <w:t>ky</w:t>
      </w:r>
      <w:r w:rsidR="00392FEC" w:rsidRPr="00632E30">
        <w:rPr>
          <w:rFonts w:ascii="Garamond" w:hAnsi="Garamond"/>
          <w:sz w:val="24"/>
        </w:rPr>
        <w:t xml:space="preserve"> řízení</w:t>
      </w:r>
      <w:r w:rsidR="00AE0108" w:rsidRPr="00632E30">
        <w:rPr>
          <w:rFonts w:ascii="Garamond" w:hAnsi="Garamond"/>
          <w:sz w:val="24"/>
          <w:szCs w:val="24"/>
        </w:rPr>
        <w:t xml:space="preserve"> tak</w:t>
      </w:r>
      <w:r w:rsidR="00BE00FF" w:rsidRPr="00632E30">
        <w:rPr>
          <w:rFonts w:ascii="Garamond" w:hAnsi="Garamond"/>
          <w:sz w:val="24"/>
          <w:szCs w:val="24"/>
        </w:rPr>
        <w:t>,</w:t>
      </w:r>
      <w:r w:rsidR="00AE0108" w:rsidRPr="00632E30">
        <w:rPr>
          <w:rFonts w:ascii="Garamond" w:hAnsi="Garamond"/>
          <w:sz w:val="24"/>
          <w:szCs w:val="24"/>
        </w:rPr>
        <w:t xml:space="preserve"> jak je vymezena v § 6 o.</w:t>
      </w:r>
      <w:r w:rsidR="00BE00FF" w:rsidRPr="00632E30">
        <w:rPr>
          <w:rFonts w:ascii="Garamond" w:hAnsi="Garamond"/>
          <w:sz w:val="24"/>
          <w:szCs w:val="24"/>
        </w:rPr>
        <w:t xml:space="preserve"> </w:t>
      </w:r>
      <w:r w:rsidR="00AE0108" w:rsidRPr="00632E30">
        <w:rPr>
          <w:rFonts w:ascii="Garamond" w:hAnsi="Garamond"/>
          <w:sz w:val="24"/>
          <w:szCs w:val="24"/>
        </w:rPr>
        <w:t>s.</w:t>
      </w:r>
      <w:r w:rsidR="00BE00FF" w:rsidRPr="00632E30">
        <w:rPr>
          <w:rFonts w:ascii="Garamond" w:hAnsi="Garamond"/>
          <w:sz w:val="24"/>
          <w:szCs w:val="24"/>
        </w:rPr>
        <w:t xml:space="preserve"> </w:t>
      </w:r>
      <w:r w:rsidR="00AE0108" w:rsidRPr="00632E30">
        <w:rPr>
          <w:rFonts w:ascii="Garamond" w:hAnsi="Garamond"/>
          <w:sz w:val="24"/>
          <w:szCs w:val="24"/>
        </w:rPr>
        <w:t>ř.</w:t>
      </w:r>
      <w:r w:rsidR="00AE0108" w:rsidRPr="00632E30">
        <w:rPr>
          <w:rStyle w:val="Znakapoznpodarou"/>
          <w:rFonts w:ascii="Garamond" w:hAnsi="Garamond"/>
          <w:sz w:val="24"/>
          <w:szCs w:val="24"/>
        </w:rPr>
        <w:footnoteReference w:id="33"/>
      </w:r>
      <w:r w:rsidR="009D3613" w:rsidRPr="00632E30">
        <w:rPr>
          <w:rFonts w:ascii="Garamond" w:hAnsi="Garamond"/>
          <w:sz w:val="24"/>
          <w:szCs w:val="24"/>
        </w:rPr>
        <w:t xml:space="preserve"> Takováto povinnost soudu vzniká, </w:t>
      </w:r>
      <w:r w:rsidR="00BE00FF" w:rsidRPr="00632E30">
        <w:rPr>
          <w:rFonts w:ascii="Garamond" w:hAnsi="Garamond"/>
          <w:sz w:val="24"/>
          <w:szCs w:val="24"/>
        </w:rPr>
        <w:t>pokud</w:t>
      </w:r>
      <w:r w:rsidR="009D3613" w:rsidRPr="00632E30">
        <w:rPr>
          <w:rFonts w:ascii="Garamond" w:hAnsi="Garamond"/>
          <w:sz w:val="24"/>
          <w:szCs w:val="24"/>
        </w:rPr>
        <w:t xml:space="preserve"> je objektivně nezbytná, tedy i za předpokladu výše uvedeného informačního deficitu procesní strany, která tuto situaci nezavinila a je pro </w:t>
      </w:r>
      <w:r w:rsidR="00BE00FF" w:rsidRPr="00632E30">
        <w:rPr>
          <w:rFonts w:ascii="Garamond" w:hAnsi="Garamond"/>
          <w:sz w:val="24"/>
          <w:szCs w:val="24"/>
        </w:rPr>
        <w:t>ni</w:t>
      </w:r>
      <w:r w:rsidR="009D3613" w:rsidRPr="00632E30">
        <w:rPr>
          <w:rFonts w:ascii="Garamond" w:hAnsi="Garamond"/>
          <w:sz w:val="24"/>
          <w:szCs w:val="24"/>
        </w:rPr>
        <w:t xml:space="preserve"> vlastními silami nepřekonatelná. V souladu s řečeným tak není za </w:t>
      </w:r>
      <w:r w:rsidR="00BE00FF" w:rsidRPr="00632E30">
        <w:rPr>
          <w:rFonts w:ascii="Garamond" w:hAnsi="Garamond"/>
          <w:sz w:val="24"/>
          <w:szCs w:val="24"/>
        </w:rPr>
        <w:t>pomoci</w:t>
      </w:r>
      <w:r w:rsidR="009D3613" w:rsidRPr="00632E30">
        <w:rPr>
          <w:rFonts w:ascii="Garamond" w:hAnsi="Garamond"/>
          <w:sz w:val="24"/>
          <w:szCs w:val="24"/>
        </w:rPr>
        <w:t xml:space="preserve"> výkladu smyslem § 43 odst. 2 uložit účastníku řízení povinnost, kterou by nemohl naplnit, spočívající v odstranění vad podání, respektive žaloby. Za tohoto stavu by měl soud pomoci procesní straně zatížené informačním deficitem buď formou přípravného jednání dle § 114c a násl. o.</w:t>
      </w:r>
      <w:r w:rsidR="00BE00FF" w:rsidRPr="00632E30">
        <w:rPr>
          <w:rFonts w:ascii="Garamond" w:hAnsi="Garamond"/>
          <w:sz w:val="24"/>
          <w:szCs w:val="24"/>
        </w:rPr>
        <w:t xml:space="preserve"> </w:t>
      </w:r>
      <w:r w:rsidR="009D3613" w:rsidRPr="00632E30">
        <w:rPr>
          <w:rFonts w:ascii="Garamond" w:hAnsi="Garamond"/>
          <w:sz w:val="24"/>
          <w:szCs w:val="24"/>
        </w:rPr>
        <w:t>s.</w:t>
      </w:r>
      <w:r w:rsidR="00BE00FF" w:rsidRPr="00632E30">
        <w:rPr>
          <w:rFonts w:ascii="Garamond" w:hAnsi="Garamond"/>
          <w:sz w:val="24"/>
          <w:szCs w:val="24"/>
        </w:rPr>
        <w:t xml:space="preserve"> </w:t>
      </w:r>
      <w:r w:rsidR="009D3613" w:rsidRPr="00632E30">
        <w:rPr>
          <w:rFonts w:ascii="Garamond" w:hAnsi="Garamond"/>
          <w:sz w:val="24"/>
          <w:szCs w:val="24"/>
        </w:rPr>
        <w:t>ř., případně uložením povinnosti doložení potřebných vysvětlení či důkazů nutných pro vyhotovení žalobního návrhu</w:t>
      </w:r>
      <w:r w:rsidR="00BE00FF" w:rsidRPr="00632E30">
        <w:rPr>
          <w:rFonts w:ascii="Garamond" w:hAnsi="Garamond"/>
          <w:sz w:val="24"/>
          <w:szCs w:val="24"/>
        </w:rPr>
        <w:t xml:space="preserve"> protistraně</w:t>
      </w:r>
      <w:r w:rsidR="009D3613" w:rsidRPr="00632E30">
        <w:rPr>
          <w:rFonts w:ascii="Garamond" w:hAnsi="Garamond"/>
          <w:sz w:val="24"/>
          <w:szCs w:val="24"/>
        </w:rPr>
        <w:t>.</w:t>
      </w:r>
      <w:r w:rsidR="00F517D2" w:rsidRPr="00632E30">
        <w:rPr>
          <w:rStyle w:val="Znakapoznpodarou"/>
          <w:rFonts w:ascii="Garamond" w:hAnsi="Garamond"/>
          <w:sz w:val="24"/>
          <w:szCs w:val="24"/>
        </w:rPr>
        <w:footnoteReference w:id="34"/>
      </w:r>
    </w:p>
    <w:p w14:paraId="554D0444" w14:textId="539EBA5E" w:rsidR="002A10EC" w:rsidRPr="00632E30" w:rsidRDefault="00961F64" w:rsidP="00961F64">
      <w:pPr>
        <w:tabs>
          <w:tab w:val="left" w:pos="709"/>
        </w:tabs>
        <w:spacing w:line="360" w:lineRule="auto"/>
        <w:jc w:val="both"/>
        <w:rPr>
          <w:rFonts w:ascii="Garamond" w:hAnsi="Garamond"/>
          <w:sz w:val="24"/>
          <w:szCs w:val="24"/>
        </w:rPr>
      </w:pPr>
      <w:r w:rsidRPr="00632E30">
        <w:rPr>
          <w:rFonts w:ascii="Garamond" w:hAnsi="Garamond"/>
          <w:sz w:val="24"/>
          <w:szCs w:val="24"/>
        </w:rPr>
        <w:tab/>
      </w:r>
      <w:r w:rsidR="009D3613" w:rsidRPr="00632E30">
        <w:rPr>
          <w:rFonts w:ascii="Garamond" w:hAnsi="Garamond"/>
          <w:sz w:val="24"/>
          <w:szCs w:val="24"/>
        </w:rPr>
        <w:t xml:space="preserve">Závěry dr. Svobody jsou zajímavé ve smyslu řešení jednoho z typů vyšetřovacího důkazu tak, jak </w:t>
      </w:r>
      <w:r w:rsidR="00EC4C3E" w:rsidRPr="00632E30">
        <w:rPr>
          <w:rFonts w:ascii="Garamond" w:hAnsi="Garamond"/>
          <w:sz w:val="24"/>
          <w:szCs w:val="24"/>
        </w:rPr>
        <w:t xml:space="preserve">byl </w:t>
      </w:r>
      <w:r w:rsidR="009D3613" w:rsidRPr="00632E30">
        <w:rPr>
          <w:rFonts w:ascii="Garamond" w:hAnsi="Garamond"/>
          <w:sz w:val="24"/>
          <w:szCs w:val="24"/>
        </w:rPr>
        <w:t>vymezen v souvislosti s</w:t>
      </w:r>
      <w:r w:rsidR="00EC4C3E" w:rsidRPr="00632E30">
        <w:rPr>
          <w:rFonts w:ascii="Garamond" w:hAnsi="Garamond"/>
          <w:sz w:val="24"/>
          <w:szCs w:val="24"/>
        </w:rPr>
        <w:t> </w:t>
      </w:r>
      <w:proofErr w:type="spellStart"/>
      <w:r w:rsidR="009D3613" w:rsidRPr="00632E30">
        <w:rPr>
          <w:rFonts w:ascii="Garamond" w:hAnsi="Garamond"/>
          <w:sz w:val="24"/>
          <w:szCs w:val="24"/>
        </w:rPr>
        <w:t>Peters</w:t>
      </w:r>
      <w:r w:rsidR="00EC4C3E" w:rsidRPr="00632E30">
        <w:rPr>
          <w:rFonts w:ascii="Garamond" w:hAnsi="Garamond"/>
          <w:sz w:val="24"/>
          <w:szCs w:val="24"/>
        </w:rPr>
        <w:t>em</w:t>
      </w:r>
      <w:proofErr w:type="spellEnd"/>
      <w:r w:rsidR="00EC4C3E" w:rsidRPr="00632E30">
        <w:rPr>
          <w:rFonts w:ascii="Garamond" w:hAnsi="Garamond"/>
          <w:sz w:val="24"/>
          <w:szCs w:val="24"/>
        </w:rPr>
        <w:t xml:space="preserve"> (viz výše). V tomto pojetí navrhovatel nesplňuje základní předpoklady určitosti </w:t>
      </w:r>
      <w:r w:rsidR="00EC4C3E" w:rsidRPr="00632E30">
        <w:rPr>
          <w:rFonts w:ascii="Garamond" w:hAnsi="Garamond"/>
          <w:sz w:val="24"/>
        </w:rPr>
        <w:t xml:space="preserve">důkazního návrhu </w:t>
      </w:r>
      <w:r w:rsidR="000A3797" w:rsidRPr="00632E30">
        <w:rPr>
          <w:rFonts w:ascii="Garamond" w:hAnsi="Garamond"/>
          <w:sz w:val="24"/>
        </w:rPr>
        <w:t>v rámci</w:t>
      </w:r>
      <w:r w:rsidR="00EC4C3E" w:rsidRPr="00632E30">
        <w:rPr>
          <w:rFonts w:ascii="Garamond" w:hAnsi="Garamond"/>
          <w:sz w:val="24"/>
        </w:rPr>
        <w:t xml:space="preserve"> vnitřní</w:t>
      </w:r>
      <w:r w:rsidR="000A3797" w:rsidRPr="00632E30">
        <w:rPr>
          <w:rFonts w:ascii="Garamond" w:hAnsi="Garamond"/>
          <w:sz w:val="24"/>
        </w:rPr>
        <w:t>ho</w:t>
      </w:r>
      <w:r w:rsidR="00EC4C3E" w:rsidRPr="00632E30">
        <w:rPr>
          <w:rFonts w:ascii="Garamond" w:hAnsi="Garamond"/>
          <w:sz w:val="24"/>
        </w:rPr>
        <w:t xml:space="preserve"> členění tématu dokazování</w:t>
      </w:r>
      <w:r w:rsidR="00EC4C3E" w:rsidRPr="00632E30">
        <w:rPr>
          <w:rFonts w:ascii="Garamond" w:hAnsi="Garamond"/>
          <w:sz w:val="24"/>
          <w:szCs w:val="24"/>
        </w:rPr>
        <w:t xml:space="preserve">. V rámci takového pojetí pak nemůže druhá strana zaujmout své stanovisko, aby naplnila svou procesní roli v rámci kontradiktornosti sporného řízení a mohla se efektivně bránit. </w:t>
      </w:r>
      <w:r w:rsidR="00222FA8" w:rsidRPr="00632E30">
        <w:rPr>
          <w:rFonts w:ascii="Garamond" w:hAnsi="Garamond"/>
          <w:sz w:val="24"/>
          <w:szCs w:val="24"/>
        </w:rPr>
        <w:t>V rámci zde uvedeného příkladu spočívajícího v nedostatečném návrhu na zahájení řízení, kdy se účastník domáhal peněžitého plnění, avšak jeho výši nespecifikoval, respektive pouze odkázal na následné dokazování formou znaleckého posudku, lze uvažovat o využití pomoci soudu takovému navrhovateli v souladu s § 6 o.</w:t>
      </w:r>
      <w:r w:rsidR="00BE00FF" w:rsidRPr="00632E30">
        <w:rPr>
          <w:rFonts w:ascii="Garamond" w:hAnsi="Garamond"/>
          <w:sz w:val="24"/>
          <w:szCs w:val="24"/>
        </w:rPr>
        <w:t xml:space="preserve"> </w:t>
      </w:r>
      <w:r w:rsidR="00222FA8" w:rsidRPr="00632E30">
        <w:rPr>
          <w:rFonts w:ascii="Garamond" w:hAnsi="Garamond"/>
          <w:sz w:val="24"/>
          <w:szCs w:val="24"/>
        </w:rPr>
        <w:t>s.</w:t>
      </w:r>
      <w:r w:rsidR="00BE00FF" w:rsidRPr="00632E30">
        <w:rPr>
          <w:rFonts w:ascii="Garamond" w:hAnsi="Garamond"/>
          <w:sz w:val="24"/>
          <w:szCs w:val="24"/>
        </w:rPr>
        <w:t xml:space="preserve"> </w:t>
      </w:r>
      <w:r w:rsidR="00222FA8" w:rsidRPr="00632E30">
        <w:rPr>
          <w:rFonts w:ascii="Garamond" w:hAnsi="Garamond"/>
          <w:sz w:val="24"/>
          <w:szCs w:val="24"/>
        </w:rPr>
        <w:t xml:space="preserve">ř. </w:t>
      </w:r>
      <w:r w:rsidR="00B53452" w:rsidRPr="00632E30">
        <w:rPr>
          <w:rFonts w:ascii="Garamond" w:hAnsi="Garamond"/>
          <w:sz w:val="24"/>
          <w:szCs w:val="24"/>
        </w:rPr>
        <w:t>To však pouze</w:t>
      </w:r>
      <w:r w:rsidR="00222FA8" w:rsidRPr="00632E30">
        <w:rPr>
          <w:rFonts w:ascii="Garamond" w:hAnsi="Garamond"/>
          <w:sz w:val="24"/>
          <w:szCs w:val="24"/>
        </w:rPr>
        <w:t xml:space="preserve"> za předpokladu, že tento navrhovatel se nachází v informačním deficitu, který je předně nezaviněný a objektivně nepřekonatelný</w:t>
      </w:r>
      <w:r w:rsidR="00B53452" w:rsidRPr="00632E30">
        <w:rPr>
          <w:rFonts w:ascii="Garamond" w:hAnsi="Garamond"/>
          <w:sz w:val="24"/>
          <w:szCs w:val="24"/>
        </w:rPr>
        <w:t>,</w:t>
      </w:r>
      <w:r w:rsidR="00222FA8" w:rsidRPr="00632E30">
        <w:rPr>
          <w:rFonts w:ascii="Garamond" w:hAnsi="Garamond"/>
          <w:sz w:val="24"/>
          <w:szCs w:val="24"/>
        </w:rPr>
        <w:t xml:space="preserve"> a určení výše plnění mu pomůže určit soud </w:t>
      </w:r>
      <w:r w:rsidR="002A10EC" w:rsidRPr="00632E30">
        <w:rPr>
          <w:rFonts w:ascii="Garamond" w:hAnsi="Garamond"/>
          <w:sz w:val="24"/>
          <w:szCs w:val="24"/>
        </w:rPr>
        <w:t>s ohledem na konkrétní situaci</w:t>
      </w:r>
      <w:r w:rsidR="00B53452" w:rsidRPr="00632E30">
        <w:rPr>
          <w:rFonts w:ascii="Garamond" w:hAnsi="Garamond"/>
          <w:sz w:val="24"/>
          <w:szCs w:val="24"/>
        </w:rPr>
        <w:t>, například</w:t>
      </w:r>
      <w:r w:rsidR="002A10EC" w:rsidRPr="00632E30">
        <w:rPr>
          <w:rFonts w:ascii="Garamond" w:hAnsi="Garamond"/>
          <w:sz w:val="24"/>
          <w:szCs w:val="24"/>
        </w:rPr>
        <w:t xml:space="preserve"> </w:t>
      </w:r>
      <w:r w:rsidR="00B53452" w:rsidRPr="00632E30">
        <w:rPr>
          <w:rFonts w:ascii="Garamond" w:hAnsi="Garamond"/>
          <w:sz w:val="24"/>
          <w:szCs w:val="24"/>
        </w:rPr>
        <w:t>tím, že</w:t>
      </w:r>
      <w:r w:rsidR="002A10EC" w:rsidRPr="00632E30">
        <w:rPr>
          <w:rFonts w:ascii="Garamond" w:hAnsi="Garamond"/>
          <w:sz w:val="24"/>
          <w:szCs w:val="24"/>
        </w:rPr>
        <w:t xml:space="preserve"> protistraně</w:t>
      </w:r>
      <w:r w:rsidR="00B53452" w:rsidRPr="00632E30">
        <w:rPr>
          <w:rFonts w:ascii="Garamond" w:hAnsi="Garamond"/>
          <w:sz w:val="24"/>
          <w:szCs w:val="24"/>
        </w:rPr>
        <w:t xml:space="preserve"> uloží povinnost</w:t>
      </w:r>
      <w:r w:rsidR="002A10EC" w:rsidRPr="00632E30">
        <w:rPr>
          <w:rFonts w:ascii="Garamond" w:hAnsi="Garamond"/>
          <w:sz w:val="24"/>
          <w:szCs w:val="24"/>
        </w:rPr>
        <w:t xml:space="preserve"> vydat určité dokumenty, z nichž lze získat konkrétnější poznatky pro případné uplatnění nároku žalobce.</w:t>
      </w:r>
      <w:r w:rsidR="008F0B21" w:rsidRPr="00632E30">
        <w:rPr>
          <w:rFonts w:ascii="Garamond" w:hAnsi="Garamond"/>
          <w:sz w:val="24"/>
          <w:szCs w:val="24"/>
        </w:rPr>
        <w:br w:type="page"/>
      </w:r>
    </w:p>
    <w:p w14:paraId="06A9983F" w14:textId="7C39FB36" w:rsidR="002A10EC" w:rsidRPr="00632E30" w:rsidRDefault="002A10EC" w:rsidP="00BE56B8">
      <w:pPr>
        <w:pStyle w:val="Nadpis1"/>
        <w:numPr>
          <w:ilvl w:val="0"/>
          <w:numId w:val="13"/>
        </w:numPr>
        <w:ind w:left="0" w:firstLine="0"/>
        <w:rPr>
          <w:rFonts w:ascii="Garamond" w:hAnsi="Garamond"/>
          <w:b/>
          <w:color w:val="auto"/>
        </w:rPr>
      </w:pPr>
      <w:bookmarkStart w:id="24" w:name="_Toc17881133"/>
      <w:r w:rsidRPr="00632E30">
        <w:rPr>
          <w:rFonts w:ascii="Garamond" w:hAnsi="Garamond"/>
          <w:b/>
          <w:color w:val="auto"/>
        </w:rPr>
        <w:lastRenderedPageBreak/>
        <w:t>Vysvětlovací povinnost</w:t>
      </w:r>
      <w:bookmarkEnd w:id="24"/>
      <w:r w:rsidRPr="00632E30">
        <w:rPr>
          <w:rFonts w:ascii="Garamond" w:hAnsi="Garamond"/>
          <w:b/>
          <w:color w:val="auto"/>
        </w:rPr>
        <w:t xml:space="preserve"> </w:t>
      </w:r>
    </w:p>
    <w:p w14:paraId="33425FCF" w14:textId="77777777" w:rsidR="0075128C" w:rsidRPr="00632E30" w:rsidRDefault="0075128C" w:rsidP="0075128C">
      <w:pPr>
        <w:rPr>
          <w:rFonts w:ascii="Garamond" w:hAnsi="Garamond"/>
        </w:rPr>
      </w:pPr>
    </w:p>
    <w:p w14:paraId="14626783" w14:textId="2D79A281" w:rsidR="003C1097" w:rsidRPr="00632E30" w:rsidRDefault="003C1097" w:rsidP="00BE56B8">
      <w:pPr>
        <w:pStyle w:val="Nadpis2"/>
        <w:numPr>
          <w:ilvl w:val="1"/>
          <w:numId w:val="28"/>
        </w:numPr>
        <w:rPr>
          <w:rFonts w:ascii="Garamond" w:hAnsi="Garamond"/>
          <w:b/>
          <w:color w:val="auto"/>
        </w:rPr>
      </w:pPr>
      <w:bookmarkStart w:id="25" w:name="_Toc17881134"/>
      <w:r w:rsidRPr="00632E30">
        <w:rPr>
          <w:rFonts w:ascii="Garamond" w:hAnsi="Garamond"/>
          <w:b/>
          <w:color w:val="auto"/>
        </w:rPr>
        <w:t>Pojem vysvětlovací povinnosti a její relace k vyšetřovacímu důkazu</w:t>
      </w:r>
      <w:bookmarkEnd w:id="25"/>
    </w:p>
    <w:p w14:paraId="1E29C1DE" w14:textId="77777777" w:rsidR="0075128C" w:rsidRPr="00632E30" w:rsidRDefault="0075128C" w:rsidP="0075128C">
      <w:pPr>
        <w:rPr>
          <w:rFonts w:ascii="Garamond" w:hAnsi="Garamond"/>
        </w:rPr>
      </w:pPr>
    </w:p>
    <w:p w14:paraId="0E53EA90" w14:textId="77777777" w:rsidR="00961F64" w:rsidRPr="00632E30" w:rsidRDefault="00961F64" w:rsidP="00961F64">
      <w:pPr>
        <w:tabs>
          <w:tab w:val="left" w:pos="709"/>
        </w:tabs>
        <w:spacing w:line="360" w:lineRule="auto"/>
        <w:jc w:val="both"/>
        <w:rPr>
          <w:rFonts w:ascii="Garamond" w:hAnsi="Garamond"/>
          <w:sz w:val="24"/>
          <w:szCs w:val="24"/>
        </w:rPr>
      </w:pPr>
      <w:r w:rsidRPr="00632E30">
        <w:rPr>
          <w:rFonts w:ascii="Garamond" w:hAnsi="Garamond"/>
          <w:sz w:val="24"/>
          <w:szCs w:val="24"/>
        </w:rPr>
        <w:tab/>
      </w:r>
      <w:r w:rsidR="00CA3813" w:rsidRPr="00632E30">
        <w:rPr>
          <w:rFonts w:ascii="Garamond" w:hAnsi="Garamond"/>
          <w:sz w:val="24"/>
          <w:szCs w:val="24"/>
        </w:rPr>
        <w:t xml:space="preserve">Pokud chápeme vyšetřovací důkaz jako </w:t>
      </w:r>
      <w:r w:rsidR="00313208" w:rsidRPr="00632E30">
        <w:rPr>
          <w:rFonts w:ascii="Garamond" w:hAnsi="Garamond"/>
          <w:sz w:val="24"/>
          <w:szCs w:val="24"/>
        </w:rPr>
        <w:t>důkazní prostředek či důkazní návrh procesní strany, který</w:t>
      </w:r>
      <w:r w:rsidR="00B53452" w:rsidRPr="00632E30">
        <w:rPr>
          <w:rFonts w:ascii="Garamond" w:hAnsi="Garamond"/>
          <w:sz w:val="24"/>
          <w:szCs w:val="24"/>
        </w:rPr>
        <w:t>,</w:t>
      </w:r>
      <w:r w:rsidR="00313208" w:rsidRPr="00632E30">
        <w:rPr>
          <w:rFonts w:ascii="Garamond" w:hAnsi="Garamond"/>
          <w:sz w:val="24"/>
          <w:szCs w:val="24"/>
        </w:rPr>
        <w:t xml:space="preserve"> ač nezpůsobilý podat této straně důkaz o pravdivosti konkrétních skutkových tvrzení</w:t>
      </w:r>
      <w:r w:rsidR="00B53452" w:rsidRPr="00632E30">
        <w:rPr>
          <w:rFonts w:ascii="Garamond" w:hAnsi="Garamond"/>
          <w:sz w:val="24"/>
          <w:szCs w:val="24"/>
        </w:rPr>
        <w:t>,</w:t>
      </w:r>
      <w:r w:rsidR="00313208" w:rsidRPr="00632E30">
        <w:rPr>
          <w:rFonts w:ascii="Garamond" w:hAnsi="Garamond"/>
          <w:sz w:val="24"/>
          <w:szCs w:val="24"/>
        </w:rPr>
        <w:t xml:space="preserve"> má za cíl zajistit této straně možnost poznání nových skutečností důležitých pro další postup v řízení, na nichž by tato strana následně mohla přednést s dostatečnou určitostí a přesností svá skutková tvrzení</w:t>
      </w:r>
      <w:r w:rsidR="00D64F0C" w:rsidRPr="00632E30">
        <w:rPr>
          <w:rFonts w:ascii="Garamond" w:hAnsi="Garamond"/>
          <w:sz w:val="24"/>
          <w:szCs w:val="24"/>
        </w:rPr>
        <w:t>, lze vysvětlovací povinnost považovat za jednu z možných forem vyšetřovacího důkazu.</w:t>
      </w:r>
      <w:r w:rsidR="00273FE3" w:rsidRPr="00632E30">
        <w:rPr>
          <w:rStyle w:val="Znakapoznpodarou"/>
          <w:rFonts w:ascii="Garamond" w:hAnsi="Garamond"/>
          <w:sz w:val="24"/>
          <w:szCs w:val="24"/>
        </w:rPr>
        <w:footnoteReference w:id="35"/>
      </w:r>
    </w:p>
    <w:p w14:paraId="14EA3E27" w14:textId="77777777" w:rsidR="00961F64" w:rsidRPr="00632E30" w:rsidRDefault="00961F64" w:rsidP="00961F64">
      <w:pPr>
        <w:tabs>
          <w:tab w:val="left" w:pos="709"/>
        </w:tabs>
        <w:spacing w:line="360" w:lineRule="auto"/>
        <w:jc w:val="both"/>
        <w:rPr>
          <w:rFonts w:ascii="Garamond" w:hAnsi="Garamond"/>
          <w:sz w:val="24"/>
          <w:szCs w:val="24"/>
        </w:rPr>
      </w:pPr>
      <w:r w:rsidRPr="00632E30">
        <w:rPr>
          <w:rFonts w:ascii="Garamond" w:hAnsi="Garamond"/>
          <w:sz w:val="24"/>
          <w:szCs w:val="24"/>
        </w:rPr>
        <w:tab/>
      </w:r>
      <w:r w:rsidR="00B53452" w:rsidRPr="00632E30">
        <w:rPr>
          <w:rFonts w:ascii="Garamond" w:hAnsi="Garamond"/>
          <w:sz w:val="24"/>
          <w:szCs w:val="24"/>
        </w:rPr>
        <w:t>Vztah</w:t>
      </w:r>
      <w:r w:rsidR="00620621" w:rsidRPr="00632E30">
        <w:rPr>
          <w:rFonts w:ascii="Garamond" w:hAnsi="Garamond"/>
          <w:sz w:val="24"/>
          <w:szCs w:val="24"/>
        </w:rPr>
        <w:t xml:space="preserve"> vysvětlovací povinnosti k vyšetřovacímu důkazu lze tedy charakterizovat jako prostředek k vykonání vyšetřovacího důkazu. Vysvětlovací povinnost tedy vede stranu s dostatečnými informacemi k podrobnému vysvětlení a objasnění skutečností, jimiž doplňuje skutková tvrzení svého odpůrce, byť by tyto skutečnosti měl ve svém vlastním zájmu ve svých skutkových tvrzení</w:t>
      </w:r>
      <w:r w:rsidR="00B53452" w:rsidRPr="00632E30">
        <w:rPr>
          <w:rFonts w:ascii="Garamond" w:hAnsi="Garamond"/>
          <w:sz w:val="24"/>
          <w:szCs w:val="24"/>
        </w:rPr>
        <w:t>ch</w:t>
      </w:r>
      <w:r w:rsidR="00620621" w:rsidRPr="00632E30">
        <w:rPr>
          <w:rFonts w:ascii="Garamond" w:hAnsi="Garamond"/>
          <w:sz w:val="24"/>
          <w:szCs w:val="24"/>
        </w:rPr>
        <w:t xml:space="preserve"> podrobně přednést odpůrce strany zatížené vysvětlovací povinností. Vysvětlovací povinnost tuto procesní stranu tíží </w:t>
      </w:r>
      <w:r w:rsidR="00CB68B8" w:rsidRPr="00632E30">
        <w:rPr>
          <w:rFonts w:ascii="Garamond" w:hAnsi="Garamond"/>
          <w:sz w:val="24"/>
          <w:szCs w:val="24"/>
        </w:rPr>
        <w:t xml:space="preserve">právě z důvodu informačního deficitu druhé strany, která nemůže své skutkové přednesy, na nichž zakládá svou procesní obranu, </w:t>
      </w:r>
      <w:proofErr w:type="spellStart"/>
      <w:r w:rsidR="00CB68B8" w:rsidRPr="00632E30">
        <w:rPr>
          <w:rFonts w:ascii="Garamond" w:hAnsi="Garamond"/>
          <w:sz w:val="24"/>
          <w:szCs w:val="24"/>
        </w:rPr>
        <w:t>substancovat</w:t>
      </w:r>
      <w:proofErr w:type="spellEnd"/>
      <w:r w:rsidR="00CB68B8" w:rsidRPr="00632E30">
        <w:rPr>
          <w:rFonts w:ascii="Garamond" w:hAnsi="Garamond"/>
          <w:sz w:val="24"/>
          <w:szCs w:val="24"/>
        </w:rPr>
        <w:t>.</w:t>
      </w:r>
      <w:r w:rsidR="00EA0EF5" w:rsidRPr="00632E30">
        <w:rPr>
          <w:rStyle w:val="Znakapoznpodarou"/>
          <w:rFonts w:ascii="Garamond" w:hAnsi="Garamond"/>
          <w:sz w:val="24"/>
          <w:szCs w:val="24"/>
        </w:rPr>
        <w:footnoteReference w:id="36"/>
      </w:r>
      <w:r w:rsidR="00CB68B8" w:rsidRPr="00632E30">
        <w:rPr>
          <w:rFonts w:ascii="Garamond" w:hAnsi="Garamond"/>
          <w:sz w:val="24"/>
          <w:szCs w:val="24"/>
        </w:rPr>
        <w:t xml:space="preserve"> </w:t>
      </w:r>
    </w:p>
    <w:p w14:paraId="3FC77B4F" w14:textId="77777777" w:rsidR="00961F64" w:rsidRPr="00632E30" w:rsidRDefault="00961F64" w:rsidP="00961F64">
      <w:pPr>
        <w:tabs>
          <w:tab w:val="left" w:pos="709"/>
        </w:tabs>
        <w:spacing w:line="360" w:lineRule="auto"/>
        <w:jc w:val="both"/>
        <w:rPr>
          <w:rFonts w:ascii="Garamond" w:hAnsi="Garamond"/>
          <w:sz w:val="24"/>
          <w:szCs w:val="24"/>
        </w:rPr>
      </w:pPr>
      <w:r w:rsidRPr="00632E30">
        <w:rPr>
          <w:rFonts w:ascii="Garamond" w:hAnsi="Garamond"/>
          <w:sz w:val="24"/>
          <w:szCs w:val="24"/>
        </w:rPr>
        <w:tab/>
      </w:r>
      <w:r w:rsidR="002F0DD6" w:rsidRPr="00632E30">
        <w:rPr>
          <w:rFonts w:ascii="Garamond" w:hAnsi="Garamond"/>
          <w:sz w:val="24"/>
          <w:szCs w:val="24"/>
        </w:rPr>
        <w:t xml:space="preserve">Strana zatížená procesními břemeny, </w:t>
      </w:r>
      <w:r w:rsidR="009806D7" w:rsidRPr="00632E30">
        <w:rPr>
          <w:rFonts w:ascii="Garamond" w:hAnsi="Garamond"/>
          <w:sz w:val="24"/>
        </w:rPr>
        <w:t>konkrétně</w:t>
      </w:r>
      <w:r w:rsidR="002F0DD6" w:rsidRPr="00632E30">
        <w:rPr>
          <w:rFonts w:ascii="Garamond" w:hAnsi="Garamond"/>
          <w:sz w:val="24"/>
          <w:szCs w:val="24"/>
        </w:rPr>
        <w:t xml:space="preserve"> </w:t>
      </w:r>
      <w:r w:rsidR="003159E2" w:rsidRPr="00632E30">
        <w:rPr>
          <w:rFonts w:ascii="Garamond" w:hAnsi="Garamond"/>
          <w:sz w:val="24"/>
          <w:szCs w:val="24"/>
        </w:rPr>
        <w:t>břemenem tvrzení a břemenem důkazním</w:t>
      </w:r>
      <w:r w:rsidR="00B53452" w:rsidRPr="00632E30">
        <w:rPr>
          <w:rFonts w:ascii="Garamond" w:hAnsi="Garamond"/>
          <w:sz w:val="24"/>
          <w:szCs w:val="24"/>
        </w:rPr>
        <w:t>,</w:t>
      </w:r>
      <w:r w:rsidR="003159E2" w:rsidRPr="00632E30">
        <w:rPr>
          <w:rFonts w:ascii="Garamond" w:hAnsi="Garamond"/>
          <w:sz w:val="24"/>
          <w:szCs w:val="24"/>
        </w:rPr>
        <w:t xml:space="preserve"> se může za jistých okolností dostat do situace, kdy objektivně není </w:t>
      </w:r>
      <w:r w:rsidR="00B53452" w:rsidRPr="00632E30">
        <w:rPr>
          <w:rFonts w:ascii="Garamond" w:hAnsi="Garamond"/>
          <w:sz w:val="24"/>
          <w:szCs w:val="24"/>
        </w:rPr>
        <w:t>schopna</w:t>
      </w:r>
      <w:r w:rsidR="003159E2" w:rsidRPr="00632E30">
        <w:rPr>
          <w:rFonts w:ascii="Garamond" w:hAnsi="Garamond"/>
          <w:sz w:val="24"/>
          <w:szCs w:val="24"/>
        </w:rPr>
        <w:t xml:space="preserve"> zjistit rozhodné skutečnosti nebo nemůže své tvrzení prokázat. Za předpokladu, </w:t>
      </w:r>
      <w:r w:rsidR="00B53452" w:rsidRPr="00632E30">
        <w:rPr>
          <w:rFonts w:ascii="Garamond" w:hAnsi="Garamond"/>
          <w:sz w:val="24"/>
          <w:szCs w:val="24"/>
        </w:rPr>
        <w:t>že</w:t>
      </w:r>
      <w:r w:rsidR="003159E2" w:rsidRPr="00632E30">
        <w:rPr>
          <w:rFonts w:ascii="Garamond" w:hAnsi="Garamond"/>
          <w:sz w:val="24"/>
          <w:szCs w:val="24"/>
        </w:rPr>
        <w:t xml:space="preserve"> druhá procesní strana nezatížená břemenem rozhodné skutečnosti zná, popřípadě má ve své dispozici důkazní prostředky, jimiž lze tyto skutečnosti zjistit, může za určitých dále specifikovaných předpokladů nastat výše uvedená povinnost této procesní strany poskytnout součinnost svému procesnímu odpůrci.</w:t>
      </w:r>
      <w:r w:rsidR="00EA0EF5" w:rsidRPr="00632E30">
        <w:rPr>
          <w:rStyle w:val="Znakapoznpodarou"/>
          <w:rFonts w:ascii="Garamond" w:hAnsi="Garamond"/>
          <w:sz w:val="24"/>
          <w:szCs w:val="24"/>
        </w:rPr>
        <w:footnoteReference w:id="37"/>
      </w:r>
      <w:r w:rsidR="003B638B" w:rsidRPr="00632E30">
        <w:rPr>
          <w:rFonts w:ascii="Garamond" w:hAnsi="Garamond"/>
          <w:sz w:val="24"/>
          <w:szCs w:val="24"/>
        </w:rPr>
        <w:t xml:space="preserve"> Např. ve sporu o náhradu škody, vzniklé z dopravní nehody, se v automobilu procesní strany nezatížené důkazním břemenem nacházeli spolujezdci. </w:t>
      </w:r>
      <w:r w:rsidR="00730AC8" w:rsidRPr="00632E30">
        <w:rPr>
          <w:rFonts w:ascii="Garamond" w:hAnsi="Garamond"/>
          <w:sz w:val="24"/>
          <w:szCs w:val="24"/>
        </w:rPr>
        <w:t xml:space="preserve">Identitu těchto osob, jež jsou </w:t>
      </w:r>
      <w:r w:rsidR="00730AC8" w:rsidRPr="00632E30">
        <w:rPr>
          <w:rFonts w:ascii="Garamond" w:hAnsi="Garamond"/>
          <w:sz w:val="24"/>
          <w:szCs w:val="24"/>
        </w:rPr>
        <w:lastRenderedPageBreak/>
        <w:t>schopny vylíčit průběh havárie, a tedy objasnit a konkretizovat skutkové přednesy protistrany, zná procesní strana nezatížená důkazním břemenem.</w:t>
      </w:r>
      <w:r w:rsidR="00EA0EF5" w:rsidRPr="00632E30">
        <w:rPr>
          <w:rStyle w:val="Znakapoznpodarou"/>
          <w:rFonts w:ascii="Garamond" w:hAnsi="Garamond"/>
          <w:sz w:val="24"/>
          <w:szCs w:val="24"/>
        </w:rPr>
        <w:footnoteReference w:id="38"/>
      </w:r>
    </w:p>
    <w:p w14:paraId="4E65246F" w14:textId="62D24AB5" w:rsidR="00CB68B8" w:rsidRPr="00632E30" w:rsidRDefault="00961F64" w:rsidP="00961F64">
      <w:pPr>
        <w:tabs>
          <w:tab w:val="left" w:pos="709"/>
        </w:tabs>
        <w:spacing w:line="360" w:lineRule="auto"/>
        <w:jc w:val="both"/>
        <w:rPr>
          <w:rFonts w:ascii="Garamond" w:hAnsi="Garamond"/>
          <w:sz w:val="24"/>
          <w:szCs w:val="24"/>
        </w:rPr>
      </w:pPr>
      <w:r w:rsidRPr="00632E30">
        <w:rPr>
          <w:rFonts w:ascii="Garamond" w:hAnsi="Garamond"/>
          <w:sz w:val="24"/>
          <w:szCs w:val="24"/>
        </w:rPr>
        <w:tab/>
      </w:r>
      <w:r w:rsidR="00CB68B8" w:rsidRPr="00632E30">
        <w:rPr>
          <w:rFonts w:ascii="Garamond" w:hAnsi="Garamond"/>
          <w:sz w:val="24"/>
          <w:szCs w:val="24"/>
        </w:rPr>
        <w:t xml:space="preserve">Prof. Macur k tomu uvádí: „Rozbor problematiky vyšetřovacího důkazu proto nutně zahrnuje jako speciální, avšak velmi významnou složku, také otázku vysvětlovací povinnosti procesní strany, která v dané procesní situaci nenese </w:t>
      </w:r>
      <w:r w:rsidR="00C717BB" w:rsidRPr="00632E30">
        <w:rPr>
          <w:rFonts w:ascii="Garamond" w:hAnsi="Garamond"/>
          <w:sz w:val="24"/>
          <w:szCs w:val="24"/>
        </w:rPr>
        <w:t xml:space="preserve">břemeno </w:t>
      </w:r>
      <w:r w:rsidR="00CB68B8" w:rsidRPr="00632E30">
        <w:rPr>
          <w:rFonts w:ascii="Garamond" w:hAnsi="Garamond"/>
          <w:sz w:val="24"/>
          <w:szCs w:val="24"/>
        </w:rPr>
        <w:t>důkazní ani břemeno tvrzení, avšak je povinna poskytnout vysvětlení určitých významných skutkových okolností.</w:t>
      </w:r>
      <w:r w:rsidR="00A70857" w:rsidRPr="00632E30">
        <w:rPr>
          <w:rFonts w:ascii="Garamond" w:hAnsi="Garamond"/>
          <w:sz w:val="24"/>
          <w:szCs w:val="24"/>
        </w:rPr>
        <w:t>“</w:t>
      </w:r>
      <w:r w:rsidR="00A70857" w:rsidRPr="00632E30">
        <w:rPr>
          <w:rStyle w:val="Znakapoznpodarou"/>
          <w:rFonts w:ascii="Garamond" w:hAnsi="Garamond"/>
          <w:sz w:val="24"/>
          <w:szCs w:val="24"/>
        </w:rPr>
        <w:footnoteReference w:id="39"/>
      </w:r>
    </w:p>
    <w:p w14:paraId="68BE7D7B" w14:textId="3294CA2D" w:rsidR="008474A9" w:rsidRPr="00632E30" w:rsidRDefault="008474A9" w:rsidP="00BE56B8">
      <w:pPr>
        <w:pStyle w:val="Nadpis2"/>
        <w:numPr>
          <w:ilvl w:val="1"/>
          <w:numId w:val="28"/>
        </w:numPr>
        <w:ind w:left="0" w:firstLine="0"/>
        <w:rPr>
          <w:rFonts w:ascii="Garamond" w:hAnsi="Garamond"/>
          <w:b/>
          <w:color w:val="auto"/>
        </w:rPr>
      </w:pPr>
      <w:bookmarkStart w:id="27" w:name="_Toc17881135"/>
      <w:r w:rsidRPr="00632E30">
        <w:rPr>
          <w:rFonts w:ascii="Garamond" w:hAnsi="Garamond"/>
          <w:b/>
          <w:color w:val="auto"/>
        </w:rPr>
        <w:t>Právní povaha vysvětlovací povinnosti</w:t>
      </w:r>
      <w:bookmarkEnd w:id="27"/>
    </w:p>
    <w:p w14:paraId="158252B9" w14:textId="77777777" w:rsidR="00961F64" w:rsidRPr="00632E30" w:rsidRDefault="00961F64" w:rsidP="0036132A">
      <w:pPr>
        <w:tabs>
          <w:tab w:val="left" w:pos="709"/>
        </w:tabs>
        <w:spacing w:before="160" w:line="360" w:lineRule="auto"/>
        <w:jc w:val="both"/>
        <w:rPr>
          <w:rFonts w:ascii="Garamond" w:hAnsi="Garamond"/>
          <w:sz w:val="24"/>
          <w:szCs w:val="24"/>
        </w:rPr>
      </w:pPr>
      <w:r w:rsidRPr="00632E30">
        <w:rPr>
          <w:rFonts w:ascii="Garamond" w:hAnsi="Garamond"/>
          <w:sz w:val="24"/>
          <w:szCs w:val="24"/>
        </w:rPr>
        <w:tab/>
      </w:r>
      <w:r w:rsidR="0054139E" w:rsidRPr="00632E30">
        <w:rPr>
          <w:rFonts w:ascii="Garamond" w:hAnsi="Garamond"/>
          <w:sz w:val="24"/>
          <w:szCs w:val="24"/>
        </w:rPr>
        <w:t xml:space="preserve">Problematika právní povahy vysvětlovací povinnosti </w:t>
      </w:r>
      <w:r w:rsidR="00B42098" w:rsidRPr="00632E30">
        <w:rPr>
          <w:rFonts w:ascii="Garamond" w:hAnsi="Garamond"/>
          <w:sz w:val="24"/>
          <w:szCs w:val="24"/>
        </w:rPr>
        <w:t xml:space="preserve">stále osciluje mezi pojetím procesní povinnosti v plném slova smyslu </w:t>
      </w:r>
      <w:r w:rsidR="00E00C66" w:rsidRPr="00632E30">
        <w:rPr>
          <w:rFonts w:ascii="Garamond" w:hAnsi="Garamond"/>
          <w:sz w:val="24"/>
          <w:szCs w:val="24"/>
        </w:rPr>
        <w:t>a pojetím procesní povin</w:t>
      </w:r>
      <w:r w:rsidR="009806D7" w:rsidRPr="00632E30">
        <w:rPr>
          <w:rFonts w:ascii="Garamond" w:hAnsi="Garamond"/>
          <w:sz w:val="24"/>
          <w:szCs w:val="24"/>
        </w:rPr>
        <w:t>nosti jakožto procesního břemene</w:t>
      </w:r>
      <w:r w:rsidR="00B42098" w:rsidRPr="00632E30">
        <w:rPr>
          <w:rFonts w:ascii="Garamond" w:hAnsi="Garamond"/>
          <w:sz w:val="24"/>
          <w:szCs w:val="24"/>
        </w:rPr>
        <w:t>. Prof</w:t>
      </w:r>
      <w:r w:rsidR="005565D6" w:rsidRPr="00632E30">
        <w:rPr>
          <w:rFonts w:ascii="Garamond" w:hAnsi="Garamond"/>
          <w:sz w:val="24"/>
          <w:szCs w:val="24"/>
        </w:rPr>
        <w:t>.</w:t>
      </w:r>
      <w:r w:rsidR="00B42098" w:rsidRPr="00632E30">
        <w:rPr>
          <w:rFonts w:ascii="Garamond" w:hAnsi="Garamond"/>
          <w:sz w:val="24"/>
          <w:szCs w:val="24"/>
        </w:rPr>
        <w:t xml:space="preserve"> Macur v této souvislosti dále poukazuje na nutnost vymezení vzájemného vztahu procesních povinností a procesních břemen. Zdůrazňuje přitom tři základní </w:t>
      </w:r>
      <w:r w:rsidR="00E00C66" w:rsidRPr="00632E30">
        <w:rPr>
          <w:rFonts w:ascii="Garamond" w:hAnsi="Garamond"/>
          <w:sz w:val="24"/>
          <w:szCs w:val="24"/>
        </w:rPr>
        <w:t xml:space="preserve">teoretické </w:t>
      </w:r>
      <w:r w:rsidR="00B42098" w:rsidRPr="00632E30">
        <w:rPr>
          <w:rFonts w:ascii="Garamond" w:hAnsi="Garamond"/>
          <w:sz w:val="24"/>
        </w:rPr>
        <w:t>proudy</w:t>
      </w:r>
      <w:r w:rsidR="00E00C66" w:rsidRPr="00632E30">
        <w:rPr>
          <w:rFonts w:ascii="Garamond" w:hAnsi="Garamond"/>
          <w:sz w:val="24"/>
          <w:szCs w:val="24"/>
        </w:rPr>
        <w:t>,</w:t>
      </w:r>
      <w:r w:rsidR="00C717BB" w:rsidRPr="00632E30">
        <w:rPr>
          <w:rFonts w:ascii="Garamond" w:hAnsi="Garamond"/>
          <w:sz w:val="24"/>
          <w:szCs w:val="24"/>
        </w:rPr>
        <w:t xml:space="preserve"> které</w:t>
      </w:r>
      <w:r w:rsidR="00B42098" w:rsidRPr="00632E30">
        <w:rPr>
          <w:rFonts w:ascii="Garamond" w:hAnsi="Garamond"/>
          <w:sz w:val="24"/>
        </w:rPr>
        <w:t xml:space="preserve"> se </w:t>
      </w:r>
      <w:r w:rsidR="00C717BB" w:rsidRPr="00632E30">
        <w:rPr>
          <w:rFonts w:ascii="Garamond" w:hAnsi="Garamond"/>
          <w:sz w:val="24"/>
          <w:szCs w:val="24"/>
        </w:rPr>
        <w:t>od sebe odlišují svým náhledem na výš</w:t>
      </w:r>
      <w:r w:rsidR="004E2F67" w:rsidRPr="00632E30">
        <w:rPr>
          <w:rFonts w:ascii="Garamond" w:hAnsi="Garamond"/>
          <w:sz w:val="24"/>
          <w:szCs w:val="24"/>
        </w:rPr>
        <w:t>e uvedené instituty, zejména v tom</w:t>
      </w:r>
      <w:r w:rsidR="00C717BB" w:rsidRPr="00632E30">
        <w:rPr>
          <w:rFonts w:ascii="Garamond" w:hAnsi="Garamond"/>
          <w:sz w:val="24"/>
          <w:szCs w:val="24"/>
        </w:rPr>
        <w:t xml:space="preserve"> smyslu</w:t>
      </w:r>
      <w:r w:rsidR="004E2F67" w:rsidRPr="00632E30">
        <w:rPr>
          <w:rFonts w:ascii="Garamond" w:hAnsi="Garamond"/>
          <w:sz w:val="24"/>
          <w:szCs w:val="24"/>
        </w:rPr>
        <w:t>,</w:t>
      </w:r>
      <w:r w:rsidR="00C717BB" w:rsidRPr="00632E30">
        <w:rPr>
          <w:rFonts w:ascii="Garamond" w:hAnsi="Garamond"/>
          <w:sz w:val="24"/>
          <w:szCs w:val="24"/>
        </w:rPr>
        <w:t xml:space="preserve"> zda uznávají oba tyto insti</w:t>
      </w:r>
      <w:r w:rsidR="004E2F67" w:rsidRPr="00632E30">
        <w:rPr>
          <w:rFonts w:ascii="Garamond" w:hAnsi="Garamond"/>
          <w:sz w:val="24"/>
          <w:szCs w:val="24"/>
        </w:rPr>
        <w:t>tuty nebo pouze některé</w:t>
      </w:r>
      <w:r w:rsidR="00C717BB" w:rsidRPr="00632E30">
        <w:rPr>
          <w:rFonts w:ascii="Garamond" w:hAnsi="Garamond"/>
          <w:sz w:val="24"/>
          <w:szCs w:val="24"/>
        </w:rPr>
        <w:t xml:space="preserve"> z</w:t>
      </w:r>
      <w:r w:rsidR="004E2F67" w:rsidRPr="00632E30">
        <w:rPr>
          <w:rFonts w:ascii="Garamond" w:hAnsi="Garamond"/>
          <w:sz w:val="24"/>
          <w:szCs w:val="24"/>
        </w:rPr>
        <w:t> </w:t>
      </w:r>
      <w:r w:rsidR="00C717BB" w:rsidRPr="00632E30">
        <w:rPr>
          <w:rFonts w:ascii="Garamond" w:hAnsi="Garamond"/>
          <w:sz w:val="24"/>
          <w:szCs w:val="24"/>
        </w:rPr>
        <w:t>nich</w:t>
      </w:r>
      <w:r w:rsidR="004E2F67" w:rsidRPr="00632E30">
        <w:rPr>
          <w:rFonts w:ascii="Garamond" w:hAnsi="Garamond"/>
          <w:sz w:val="24"/>
          <w:szCs w:val="24"/>
        </w:rPr>
        <w:t xml:space="preserve">, </w:t>
      </w:r>
      <w:r w:rsidR="00C717BB" w:rsidRPr="00632E30">
        <w:rPr>
          <w:rFonts w:ascii="Garamond" w:hAnsi="Garamond"/>
          <w:sz w:val="24"/>
          <w:szCs w:val="24"/>
        </w:rPr>
        <w:t xml:space="preserve">a případně při </w:t>
      </w:r>
      <w:r w:rsidR="00B42098" w:rsidRPr="00632E30">
        <w:rPr>
          <w:rFonts w:ascii="Garamond" w:hAnsi="Garamond"/>
          <w:sz w:val="24"/>
        </w:rPr>
        <w:t xml:space="preserve">vymezení </w:t>
      </w:r>
      <w:r w:rsidR="00C717BB" w:rsidRPr="00632E30">
        <w:rPr>
          <w:rFonts w:ascii="Garamond" w:hAnsi="Garamond"/>
          <w:sz w:val="24"/>
          <w:szCs w:val="24"/>
        </w:rPr>
        <w:t xml:space="preserve">jejich </w:t>
      </w:r>
      <w:r w:rsidR="00B42098" w:rsidRPr="00632E30">
        <w:rPr>
          <w:rFonts w:ascii="Garamond" w:hAnsi="Garamond"/>
          <w:sz w:val="24"/>
        </w:rPr>
        <w:t>vzájemného vztahu</w:t>
      </w:r>
      <w:r w:rsidR="004E2F67" w:rsidRPr="00632E30">
        <w:rPr>
          <w:rFonts w:ascii="Garamond" w:hAnsi="Garamond"/>
          <w:sz w:val="24"/>
          <w:szCs w:val="24"/>
        </w:rPr>
        <w:t>.</w:t>
      </w:r>
      <w:r w:rsidR="00AD0D6B" w:rsidRPr="00632E30">
        <w:rPr>
          <w:rStyle w:val="Znakapoznpodarou"/>
          <w:rFonts w:ascii="Garamond" w:hAnsi="Garamond"/>
          <w:sz w:val="24"/>
        </w:rPr>
        <w:footnoteReference w:id="40"/>
      </w:r>
    </w:p>
    <w:p w14:paraId="5E26DA29" w14:textId="77777777" w:rsidR="00961F64" w:rsidRPr="00632E30" w:rsidRDefault="00961F64" w:rsidP="00961F64">
      <w:pPr>
        <w:tabs>
          <w:tab w:val="left" w:pos="709"/>
        </w:tabs>
        <w:spacing w:line="360" w:lineRule="auto"/>
        <w:jc w:val="both"/>
        <w:rPr>
          <w:rFonts w:ascii="Garamond" w:hAnsi="Garamond"/>
          <w:sz w:val="24"/>
          <w:szCs w:val="24"/>
        </w:rPr>
      </w:pPr>
      <w:r w:rsidRPr="00632E30">
        <w:rPr>
          <w:rFonts w:ascii="Garamond" w:hAnsi="Garamond"/>
          <w:sz w:val="24"/>
          <w:szCs w:val="24"/>
        </w:rPr>
        <w:tab/>
      </w:r>
      <w:r w:rsidR="00B42098" w:rsidRPr="00632E30">
        <w:rPr>
          <w:rFonts w:ascii="Garamond" w:hAnsi="Garamond"/>
          <w:sz w:val="24"/>
          <w:szCs w:val="24"/>
        </w:rPr>
        <w:t xml:space="preserve">První skupinu představuje názorový proud zastávaný některými významnými </w:t>
      </w:r>
      <w:proofErr w:type="spellStart"/>
      <w:r w:rsidR="00B42098" w:rsidRPr="00632E30">
        <w:rPr>
          <w:rFonts w:ascii="Garamond" w:hAnsi="Garamond"/>
          <w:sz w:val="24"/>
          <w:szCs w:val="24"/>
        </w:rPr>
        <w:t>procesualisty</w:t>
      </w:r>
      <w:proofErr w:type="spellEnd"/>
      <w:r w:rsidR="00B42098" w:rsidRPr="00632E30">
        <w:rPr>
          <w:rFonts w:ascii="Garamond" w:hAnsi="Garamond"/>
          <w:sz w:val="24"/>
          <w:szCs w:val="24"/>
        </w:rPr>
        <w:t>, kteří vylučovali existenci jakýchkoli procesních povinností zatěžující</w:t>
      </w:r>
      <w:r w:rsidR="00AF14F9" w:rsidRPr="00632E30">
        <w:rPr>
          <w:rFonts w:ascii="Garamond" w:hAnsi="Garamond"/>
          <w:sz w:val="24"/>
          <w:szCs w:val="24"/>
        </w:rPr>
        <w:t>ch</w:t>
      </w:r>
      <w:r w:rsidR="00B42098" w:rsidRPr="00632E30">
        <w:rPr>
          <w:rFonts w:ascii="Garamond" w:hAnsi="Garamond"/>
          <w:sz w:val="24"/>
          <w:szCs w:val="24"/>
        </w:rPr>
        <w:t xml:space="preserve"> procesní strany. V rámci civilního soudní</w:t>
      </w:r>
      <w:r w:rsidR="00AF14F9" w:rsidRPr="00632E30">
        <w:rPr>
          <w:rFonts w:ascii="Garamond" w:hAnsi="Garamond"/>
          <w:sz w:val="24"/>
          <w:szCs w:val="24"/>
        </w:rPr>
        <w:t>ho</w:t>
      </w:r>
      <w:r w:rsidR="00B42098" w:rsidRPr="00632E30">
        <w:rPr>
          <w:rFonts w:ascii="Garamond" w:hAnsi="Garamond"/>
          <w:sz w:val="24"/>
          <w:szCs w:val="24"/>
        </w:rPr>
        <w:t xml:space="preserve"> řízení u jednotlivých sporných stran </w:t>
      </w:r>
      <w:r w:rsidR="00996D4F" w:rsidRPr="00632E30">
        <w:rPr>
          <w:rFonts w:ascii="Garamond" w:hAnsi="Garamond"/>
          <w:sz w:val="24"/>
          <w:szCs w:val="24"/>
        </w:rPr>
        <w:t>mohou tedy vznikat pouze procesní břemena jako typický institut civilního práva procesního.</w:t>
      </w:r>
    </w:p>
    <w:p w14:paraId="1A71FC0F" w14:textId="77777777" w:rsidR="0036132A" w:rsidRDefault="00961F64" w:rsidP="0036132A">
      <w:pPr>
        <w:tabs>
          <w:tab w:val="left" w:pos="709"/>
        </w:tabs>
        <w:spacing w:line="360" w:lineRule="auto"/>
        <w:jc w:val="both"/>
        <w:rPr>
          <w:rFonts w:ascii="Garamond" w:hAnsi="Garamond"/>
          <w:sz w:val="24"/>
          <w:szCs w:val="24"/>
        </w:rPr>
      </w:pPr>
      <w:r w:rsidRPr="00632E30">
        <w:rPr>
          <w:rFonts w:ascii="Garamond" w:hAnsi="Garamond"/>
          <w:sz w:val="24"/>
          <w:szCs w:val="24"/>
        </w:rPr>
        <w:tab/>
      </w:r>
      <w:r w:rsidR="00996D4F" w:rsidRPr="00632E30">
        <w:rPr>
          <w:rFonts w:ascii="Garamond" w:hAnsi="Garamond"/>
          <w:sz w:val="24"/>
          <w:szCs w:val="24"/>
        </w:rPr>
        <w:t xml:space="preserve">Druhý a dodnes převládající </w:t>
      </w:r>
      <w:r w:rsidR="00AF14F9" w:rsidRPr="00632E30">
        <w:rPr>
          <w:rFonts w:ascii="Garamond" w:hAnsi="Garamond"/>
          <w:sz w:val="24"/>
          <w:szCs w:val="24"/>
        </w:rPr>
        <w:t xml:space="preserve">názorový proud </w:t>
      </w:r>
      <w:r w:rsidR="00996D4F" w:rsidRPr="00632E30">
        <w:rPr>
          <w:rFonts w:ascii="Garamond" w:hAnsi="Garamond"/>
          <w:sz w:val="24"/>
          <w:szCs w:val="24"/>
        </w:rPr>
        <w:t xml:space="preserve">nepopírá existenci určitých procesních povinností. </w:t>
      </w:r>
      <w:r w:rsidR="003A4453" w:rsidRPr="00632E30">
        <w:rPr>
          <w:rFonts w:ascii="Garamond" w:hAnsi="Garamond"/>
          <w:sz w:val="24"/>
          <w:szCs w:val="24"/>
        </w:rPr>
        <w:t xml:space="preserve"> Respekt</w:t>
      </w:r>
      <w:r w:rsidR="00AF14F9" w:rsidRPr="00632E30">
        <w:rPr>
          <w:rFonts w:ascii="Garamond" w:hAnsi="Garamond"/>
          <w:sz w:val="24"/>
          <w:szCs w:val="24"/>
        </w:rPr>
        <w:t>uje</w:t>
      </w:r>
      <w:r w:rsidR="003A4453" w:rsidRPr="00632E30">
        <w:rPr>
          <w:rFonts w:ascii="Garamond" w:hAnsi="Garamond"/>
          <w:sz w:val="24"/>
          <w:szCs w:val="24"/>
        </w:rPr>
        <w:t xml:space="preserve"> určité situace, kdy vedle procesních břemen stranám sporu vzni</w:t>
      </w:r>
      <w:r w:rsidR="00AF14F9" w:rsidRPr="00632E30">
        <w:rPr>
          <w:rFonts w:ascii="Garamond" w:hAnsi="Garamond"/>
          <w:sz w:val="24"/>
          <w:szCs w:val="24"/>
        </w:rPr>
        <w:t>kají</w:t>
      </w:r>
      <w:r w:rsidR="003A4453" w:rsidRPr="00632E30">
        <w:rPr>
          <w:rFonts w:ascii="Garamond" w:hAnsi="Garamond"/>
          <w:sz w:val="24"/>
          <w:szCs w:val="24"/>
        </w:rPr>
        <w:t xml:space="preserve"> i některé procesní povinnosti. </w:t>
      </w:r>
      <w:r w:rsidR="00AF14F9" w:rsidRPr="00632E30">
        <w:rPr>
          <w:rFonts w:ascii="Garamond" w:hAnsi="Garamond"/>
          <w:sz w:val="24"/>
          <w:szCs w:val="24"/>
        </w:rPr>
        <w:t>P</w:t>
      </w:r>
      <w:r w:rsidR="00FC7C2B" w:rsidRPr="00632E30">
        <w:rPr>
          <w:rFonts w:ascii="Garamond" w:hAnsi="Garamond"/>
          <w:sz w:val="24"/>
          <w:szCs w:val="24"/>
        </w:rPr>
        <w:t>očet</w:t>
      </w:r>
      <w:r w:rsidR="00AF14F9" w:rsidRPr="00632E30">
        <w:rPr>
          <w:rFonts w:ascii="Garamond" w:hAnsi="Garamond"/>
          <w:sz w:val="24"/>
          <w:szCs w:val="24"/>
        </w:rPr>
        <w:t xml:space="preserve"> těchto</w:t>
      </w:r>
      <w:r w:rsidR="00FC7C2B" w:rsidRPr="00632E30">
        <w:rPr>
          <w:rFonts w:ascii="Garamond" w:hAnsi="Garamond"/>
          <w:sz w:val="24"/>
          <w:szCs w:val="24"/>
        </w:rPr>
        <w:t xml:space="preserve"> procesních povinností stran sporu není nikterak vysoký. </w:t>
      </w:r>
      <w:r w:rsidR="00C717BB" w:rsidRPr="00632E30">
        <w:rPr>
          <w:rFonts w:ascii="Garamond" w:hAnsi="Garamond"/>
          <w:sz w:val="24"/>
          <w:szCs w:val="24"/>
        </w:rPr>
        <w:t>Dle většinového názoru</w:t>
      </w:r>
      <w:r w:rsidR="00FC7C2B" w:rsidRPr="00632E30">
        <w:rPr>
          <w:rFonts w:ascii="Garamond" w:hAnsi="Garamond"/>
          <w:sz w:val="24"/>
          <w:szCs w:val="24"/>
        </w:rPr>
        <w:t xml:space="preserve"> počet takových procesních povinností nepřevyšuje jednu desítku.</w:t>
      </w:r>
    </w:p>
    <w:p w14:paraId="51C4AE12" w14:textId="77777777" w:rsidR="0036132A" w:rsidRDefault="0036132A" w:rsidP="0036132A">
      <w:pPr>
        <w:tabs>
          <w:tab w:val="left" w:pos="709"/>
        </w:tabs>
        <w:spacing w:line="360" w:lineRule="auto"/>
        <w:jc w:val="both"/>
        <w:rPr>
          <w:rFonts w:ascii="Garamond" w:hAnsi="Garamond"/>
          <w:sz w:val="24"/>
          <w:szCs w:val="24"/>
        </w:rPr>
      </w:pPr>
      <w:r>
        <w:rPr>
          <w:rFonts w:ascii="Garamond" w:hAnsi="Garamond"/>
          <w:sz w:val="24"/>
          <w:szCs w:val="24"/>
        </w:rPr>
        <w:tab/>
      </w:r>
      <w:r w:rsidR="00FC7C2B" w:rsidRPr="00632E30">
        <w:rPr>
          <w:rFonts w:ascii="Garamond" w:hAnsi="Garamond"/>
          <w:sz w:val="24"/>
          <w:szCs w:val="24"/>
        </w:rPr>
        <w:t xml:space="preserve">Poslední a </w:t>
      </w:r>
      <w:r w:rsidR="00C717BB" w:rsidRPr="00632E30">
        <w:rPr>
          <w:rFonts w:ascii="Garamond" w:hAnsi="Garamond"/>
          <w:sz w:val="24"/>
          <w:szCs w:val="24"/>
        </w:rPr>
        <w:t xml:space="preserve">v teorii </w:t>
      </w:r>
      <w:r w:rsidR="00FC7C2B" w:rsidRPr="00632E30">
        <w:rPr>
          <w:rFonts w:ascii="Garamond" w:hAnsi="Garamond"/>
          <w:sz w:val="24"/>
          <w:szCs w:val="24"/>
        </w:rPr>
        <w:t>méně zastávané stanovisko neguje existenci procesních břemen ve prospěch procesních povinností stran. V kontinentálním právním systému je takový názor značně menšinový</w:t>
      </w:r>
      <w:r w:rsidR="00631D67" w:rsidRPr="00632E30">
        <w:rPr>
          <w:rFonts w:ascii="Garamond" w:hAnsi="Garamond"/>
          <w:sz w:val="24"/>
          <w:szCs w:val="24"/>
        </w:rPr>
        <w:t xml:space="preserve"> </w:t>
      </w:r>
      <w:r w:rsidR="00FB1D22" w:rsidRPr="00632E30">
        <w:rPr>
          <w:rFonts w:ascii="Garamond" w:hAnsi="Garamond"/>
          <w:sz w:val="24"/>
          <w:szCs w:val="24"/>
        </w:rPr>
        <w:t>na rozdíl od</w:t>
      </w:r>
      <w:r w:rsidR="00631D67" w:rsidRPr="00632E30">
        <w:rPr>
          <w:rFonts w:ascii="Garamond" w:hAnsi="Garamond"/>
          <w:sz w:val="24"/>
          <w:szCs w:val="24"/>
        </w:rPr>
        <w:t xml:space="preserve"> anglo-</w:t>
      </w:r>
      <w:r w:rsidR="00AF14F9" w:rsidRPr="00632E30">
        <w:rPr>
          <w:rFonts w:ascii="Garamond" w:hAnsi="Garamond"/>
          <w:sz w:val="24"/>
          <w:szCs w:val="24"/>
        </w:rPr>
        <w:t>amerického právního</w:t>
      </w:r>
      <w:r w:rsidR="00631D67" w:rsidRPr="00632E30">
        <w:rPr>
          <w:rFonts w:ascii="Garamond" w:hAnsi="Garamond"/>
          <w:sz w:val="24"/>
          <w:szCs w:val="24"/>
        </w:rPr>
        <w:t xml:space="preserve"> systému, </w:t>
      </w:r>
      <w:r w:rsidR="00AF14F9" w:rsidRPr="00632E30">
        <w:rPr>
          <w:rFonts w:ascii="Garamond" w:hAnsi="Garamond"/>
          <w:sz w:val="24"/>
          <w:szCs w:val="24"/>
        </w:rPr>
        <w:t>v němž je</w:t>
      </w:r>
      <w:r w:rsidR="00631D67" w:rsidRPr="00632E30">
        <w:rPr>
          <w:rFonts w:ascii="Garamond" w:hAnsi="Garamond"/>
          <w:sz w:val="24"/>
          <w:szCs w:val="24"/>
        </w:rPr>
        <w:t xml:space="preserve"> existence jen a pouze procesních povinností samozřejmostí. Tomuto právnímu systému je totiž pojem a celková koncepce procesních břemen cizí.</w:t>
      </w:r>
      <w:r w:rsidR="00E313D4" w:rsidRPr="00632E30">
        <w:rPr>
          <w:rStyle w:val="Znakapoznpodarou"/>
          <w:rFonts w:ascii="Garamond" w:hAnsi="Garamond"/>
          <w:sz w:val="24"/>
          <w:szCs w:val="24"/>
        </w:rPr>
        <w:footnoteReference w:id="41"/>
      </w:r>
    </w:p>
    <w:p w14:paraId="1BD180B2" w14:textId="0156BC50" w:rsidR="00431E1A" w:rsidRPr="00632E30" w:rsidRDefault="0036132A" w:rsidP="0036132A">
      <w:pPr>
        <w:tabs>
          <w:tab w:val="left" w:pos="709"/>
        </w:tabs>
        <w:spacing w:line="360" w:lineRule="auto"/>
        <w:jc w:val="both"/>
        <w:rPr>
          <w:rFonts w:ascii="Garamond" w:hAnsi="Garamond"/>
          <w:sz w:val="24"/>
          <w:szCs w:val="24"/>
        </w:rPr>
      </w:pPr>
      <w:r>
        <w:rPr>
          <w:rFonts w:ascii="Garamond" w:hAnsi="Garamond"/>
          <w:sz w:val="24"/>
          <w:szCs w:val="24"/>
        </w:rPr>
        <w:tab/>
      </w:r>
      <w:r w:rsidR="0074184F" w:rsidRPr="00632E30">
        <w:rPr>
          <w:rFonts w:ascii="Garamond" w:hAnsi="Garamond"/>
          <w:sz w:val="24"/>
          <w:szCs w:val="24"/>
        </w:rPr>
        <w:t xml:space="preserve">Pro lepší pochopení situace je nezbytné si vymezit oba pojmy, tedy procesní břemena a procesní povinnosti. V této souvislosti poukazuje prof. Macur na nepříznivé následky, které zákon </w:t>
      </w:r>
      <w:r w:rsidR="0074184F" w:rsidRPr="00632E30">
        <w:rPr>
          <w:rFonts w:ascii="Garamond" w:hAnsi="Garamond"/>
          <w:sz w:val="24"/>
          <w:szCs w:val="24"/>
        </w:rPr>
        <w:lastRenderedPageBreak/>
        <w:t xml:space="preserve">spojuje s nečinností strany řízení </w:t>
      </w:r>
      <w:r w:rsidR="00C717BB" w:rsidRPr="00632E30">
        <w:rPr>
          <w:rFonts w:ascii="Garamond" w:hAnsi="Garamond"/>
          <w:sz w:val="24"/>
          <w:szCs w:val="24"/>
        </w:rPr>
        <w:t>zatížené</w:t>
      </w:r>
      <w:r w:rsidR="0074184F" w:rsidRPr="00632E30">
        <w:rPr>
          <w:rFonts w:ascii="Garamond" w:hAnsi="Garamond"/>
          <w:sz w:val="24"/>
          <w:szCs w:val="24"/>
        </w:rPr>
        <w:t xml:space="preserve"> procesním břemenem. Takovým následkům se lze vyhnout právě a pouze tím, že tato strana své procesní břemeno tzv. „unese“, respektive se ho zprostí.</w:t>
      </w:r>
    </w:p>
    <w:p w14:paraId="0C3DB054" w14:textId="77777777" w:rsidR="0036132A" w:rsidRDefault="0036132A" w:rsidP="0036132A">
      <w:pPr>
        <w:tabs>
          <w:tab w:val="left" w:pos="709"/>
        </w:tabs>
        <w:spacing w:line="360" w:lineRule="auto"/>
        <w:jc w:val="both"/>
        <w:rPr>
          <w:rFonts w:ascii="Garamond" w:hAnsi="Garamond"/>
          <w:sz w:val="24"/>
          <w:szCs w:val="24"/>
        </w:rPr>
      </w:pPr>
      <w:r>
        <w:rPr>
          <w:rFonts w:ascii="Garamond" w:hAnsi="Garamond"/>
          <w:sz w:val="24"/>
          <w:szCs w:val="24"/>
        </w:rPr>
        <w:tab/>
      </w:r>
      <w:r w:rsidR="0074184F" w:rsidRPr="00632E30">
        <w:rPr>
          <w:rFonts w:ascii="Garamond" w:hAnsi="Garamond"/>
          <w:sz w:val="24"/>
          <w:szCs w:val="24"/>
        </w:rPr>
        <w:t>Naopak o procesní povinnosti lze hovořit za předpokladu, že preskriptivní věta zákonného ustanovení předepisuje určitou formu jednání a za předpokladu jeho nedodržení</w:t>
      </w:r>
      <w:r w:rsidR="00242CEB" w:rsidRPr="00632E30">
        <w:rPr>
          <w:rFonts w:ascii="Garamond" w:hAnsi="Garamond"/>
          <w:sz w:val="24"/>
          <w:szCs w:val="24"/>
        </w:rPr>
        <w:t xml:space="preserve"> ukládá právní řád sankce.</w:t>
      </w:r>
      <w:r w:rsidR="00E313D4" w:rsidRPr="00632E30">
        <w:rPr>
          <w:rStyle w:val="Znakapoznpodarou"/>
          <w:rFonts w:ascii="Garamond" w:hAnsi="Garamond"/>
          <w:sz w:val="24"/>
          <w:szCs w:val="24"/>
        </w:rPr>
        <w:footnoteReference w:id="42"/>
      </w:r>
    </w:p>
    <w:p w14:paraId="42E304A4" w14:textId="77777777" w:rsidR="0036132A" w:rsidRDefault="0036132A" w:rsidP="0036132A">
      <w:pPr>
        <w:tabs>
          <w:tab w:val="left" w:pos="709"/>
        </w:tabs>
        <w:spacing w:line="360" w:lineRule="auto"/>
        <w:jc w:val="both"/>
        <w:rPr>
          <w:rFonts w:ascii="Garamond" w:hAnsi="Garamond"/>
          <w:sz w:val="24"/>
          <w:szCs w:val="24"/>
        </w:rPr>
      </w:pPr>
      <w:r>
        <w:rPr>
          <w:rFonts w:ascii="Garamond" w:hAnsi="Garamond"/>
          <w:sz w:val="24"/>
          <w:szCs w:val="24"/>
        </w:rPr>
        <w:tab/>
      </w:r>
      <w:r w:rsidR="00E0581C" w:rsidRPr="00632E30">
        <w:rPr>
          <w:rFonts w:ascii="Garamond" w:hAnsi="Garamond"/>
          <w:sz w:val="24"/>
          <w:szCs w:val="24"/>
        </w:rPr>
        <w:t>Rozdíl v obou institutech je tedy patrný. V případě procesní</w:t>
      </w:r>
      <w:r w:rsidR="00AF14F9" w:rsidRPr="00632E30">
        <w:rPr>
          <w:rFonts w:ascii="Garamond" w:hAnsi="Garamond"/>
          <w:sz w:val="24"/>
          <w:szCs w:val="24"/>
        </w:rPr>
        <w:t>ch</w:t>
      </w:r>
      <w:r w:rsidR="00E0581C" w:rsidRPr="00632E30">
        <w:rPr>
          <w:rFonts w:ascii="Garamond" w:hAnsi="Garamond"/>
          <w:sz w:val="24"/>
          <w:szCs w:val="24"/>
        </w:rPr>
        <w:t xml:space="preserve"> břemen zákonodárce od procesní strany nevyžaduje konkrétní chování </w:t>
      </w:r>
      <w:proofErr w:type="spellStart"/>
      <w:r w:rsidR="00E0581C" w:rsidRPr="00632E30">
        <w:rPr>
          <w:rFonts w:ascii="Garamond" w:hAnsi="Garamond"/>
          <w:sz w:val="24"/>
          <w:szCs w:val="24"/>
        </w:rPr>
        <w:t>sankcio</w:t>
      </w:r>
      <w:r w:rsidR="004E7409" w:rsidRPr="00632E30">
        <w:rPr>
          <w:rFonts w:ascii="Garamond" w:hAnsi="Garamond"/>
          <w:sz w:val="24"/>
          <w:szCs w:val="24"/>
        </w:rPr>
        <w:t>no</w:t>
      </w:r>
      <w:r w:rsidR="00E0581C" w:rsidRPr="00632E30">
        <w:rPr>
          <w:rFonts w:ascii="Garamond" w:hAnsi="Garamond"/>
          <w:sz w:val="24"/>
          <w:szCs w:val="24"/>
        </w:rPr>
        <w:t>vatelné</w:t>
      </w:r>
      <w:proofErr w:type="spellEnd"/>
      <w:r w:rsidR="00E0581C" w:rsidRPr="00632E30">
        <w:rPr>
          <w:rFonts w:ascii="Garamond" w:hAnsi="Garamond"/>
          <w:sz w:val="24"/>
          <w:szCs w:val="24"/>
        </w:rPr>
        <w:t xml:space="preserve"> v případě jeho nenaplnění či odchýlení se od něj. Strana nerespektující procesní břemeno, které ji tíží, tedy nejedná protiprávně, maximálně v rozporu se svými zájmy. Nepříznivé následky v případě neunesení svého procesního břemena nic nemění na svobodné vůli strany </w:t>
      </w:r>
      <w:r w:rsidR="0015384D" w:rsidRPr="00632E30">
        <w:rPr>
          <w:rFonts w:ascii="Garamond" w:hAnsi="Garamond"/>
          <w:sz w:val="24"/>
          <w:szCs w:val="24"/>
        </w:rPr>
        <w:t>činit dle své volné úvahy jakékoliv procesní úkony, případně žádné. Zákon tedy nedonucuje tuto stranu k určitému procesnímu jednání, ani jí neurčuje, jak má v řízení pokračovat.</w:t>
      </w:r>
      <w:r w:rsidR="00E313D4" w:rsidRPr="00632E30">
        <w:rPr>
          <w:rStyle w:val="Znakapoznpodarou"/>
          <w:rFonts w:ascii="Garamond" w:hAnsi="Garamond"/>
          <w:sz w:val="24"/>
          <w:szCs w:val="24"/>
        </w:rPr>
        <w:footnoteReference w:id="43"/>
      </w:r>
    </w:p>
    <w:p w14:paraId="167298A1" w14:textId="77777777" w:rsidR="0036132A" w:rsidRDefault="0036132A" w:rsidP="0036132A">
      <w:pPr>
        <w:tabs>
          <w:tab w:val="left" w:pos="709"/>
        </w:tabs>
        <w:spacing w:line="360" w:lineRule="auto"/>
        <w:jc w:val="both"/>
        <w:rPr>
          <w:rFonts w:ascii="Garamond" w:hAnsi="Garamond"/>
          <w:sz w:val="24"/>
          <w:szCs w:val="24"/>
        </w:rPr>
      </w:pPr>
      <w:r>
        <w:rPr>
          <w:rFonts w:ascii="Garamond" w:hAnsi="Garamond"/>
          <w:sz w:val="24"/>
          <w:szCs w:val="24"/>
        </w:rPr>
        <w:tab/>
      </w:r>
      <w:r w:rsidR="00421BC7" w:rsidRPr="00632E30">
        <w:rPr>
          <w:rFonts w:ascii="Garamond" w:hAnsi="Garamond"/>
          <w:sz w:val="24"/>
          <w:szCs w:val="24"/>
        </w:rPr>
        <w:t xml:space="preserve">Takovéto následky v případě procesních břemen </w:t>
      </w:r>
      <w:r w:rsidR="00A66B8C" w:rsidRPr="00632E30">
        <w:rPr>
          <w:rFonts w:ascii="Garamond" w:hAnsi="Garamond"/>
          <w:sz w:val="24"/>
          <w:szCs w:val="24"/>
        </w:rPr>
        <w:t xml:space="preserve">na rozdíl od procesních povinností </w:t>
      </w:r>
      <w:r w:rsidR="00421BC7" w:rsidRPr="00632E30">
        <w:rPr>
          <w:rFonts w:ascii="Garamond" w:hAnsi="Garamond"/>
          <w:sz w:val="24"/>
          <w:szCs w:val="24"/>
        </w:rPr>
        <w:t>nastupují bez ohledu na zavinění strany zatížené procesním břemenem. Okolnosti</w:t>
      </w:r>
      <w:r w:rsidR="00A66B8C" w:rsidRPr="00632E30">
        <w:rPr>
          <w:rFonts w:ascii="Garamond" w:hAnsi="Garamond"/>
          <w:sz w:val="24"/>
          <w:szCs w:val="24"/>
        </w:rPr>
        <w:t>,</w:t>
      </w:r>
      <w:r w:rsidR="00421BC7" w:rsidRPr="00632E30">
        <w:rPr>
          <w:rFonts w:ascii="Garamond" w:hAnsi="Garamond"/>
          <w:sz w:val="24"/>
          <w:szCs w:val="24"/>
        </w:rPr>
        <w:t xml:space="preserve"> zdali je strana způsobilá nebo nezpůsobilá splnit, respektive „unést“</w:t>
      </w:r>
      <w:r w:rsidR="00A66B8C" w:rsidRPr="00632E30">
        <w:rPr>
          <w:rFonts w:ascii="Garamond" w:hAnsi="Garamond"/>
          <w:sz w:val="24"/>
          <w:szCs w:val="24"/>
        </w:rPr>
        <w:t>,</w:t>
      </w:r>
      <w:r w:rsidR="00421BC7" w:rsidRPr="00632E30">
        <w:rPr>
          <w:rFonts w:ascii="Garamond" w:hAnsi="Garamond"/>
          <w:sz w:val="24"/>
          <w:szCs w:val="24"/>
        </w:rPr>
        <w:t xml:space="preserve"> své procesní břemeno</w:t>
      </w:r>
      <w:r w:rsidR="00A66B8C" w:rsidRPr="00632E30">
        <w:rPr>
          <w:rFonts w:ascii="Garamond" w:hAnsi="Garamond"/>
          <w:sz w:val="24"/>
          <w:szCs w:val="24"/>
        </w:rPr>
        <w:t>,</w:t>
      </w:r>
      <w:r w:rsidR="00421BC7" w:rsidRPr="00632E30">
        <w:rPr>
          <w:rFonts w:ascii="Garamond" w:hAnsi="Garamond"/>
          <w:sz w:val="24"/>
          <w:szCs w:val="24"/>
        </w:rPr>
        <w:t xml:space="preserve"> nemají vliv na negativní následky stíhající stranu, která toto své procesní břemeno „neunesla“.</w:t>
      </w:r>
      <w:r w:rsidR="00A66B8C" w:rsidRPr="00632E30">
        <w:rPr>
          <w:rFonts w:ascii="Garamond" w:hAnsi="Garamond"/>
          <w:sz w:val="24"/>
          <w:szCs w:val="24"/>
        </w:rPr>
        <w:t xml:space="preserve"> </w:t>
      </w:r>
      <w:r w:rsidR="00A66B8C" w:rsidRPr="00632E30">
        <w:rPr>
          <w:rFonts w:ascii="Garamond" w:hAnsi="Garamond"/>
          <w:i/>
          <w:sz w:val="24"/>
          <w:szCs w:val="24"/>
        </w:rPr>
        <w:t>„Soud tyto okolnosti není povinen ani oprávněn zkoumat a ze skutečností, že strana své procesní břemeno neunesla, musí bez dalšího vyvodit důsledky stanovené procesním právem.“</w:t>
      </w:r>
      <w:r w:rsidR="005E0CAA" w:rsidRPr="00632E30">
        <w:rPr>
          <w:rStyle w:val="Znakapoznpodarou"/>
          <w:rFonts w:ascii="Garamond" w:hAnsi="Garamond"/>
          <w:i/>
          <w:sz w:val="24"/>
          <w:szCs w:val="24"/>
        </w:rPr>
        <w:footnoteReference w:id="44"/>
      </w:r>
    </w:p>
    <w:p w14:paraId="490A7ECF" w14:textId="45560E10" w:rsidR="0088624D" w:rsidRPr="00632E30" w:rsidRDefault="0036132A" w:rsidP="0036132A">
      <w:pPr>
        <w:tabs>
          <w:tab w:val="left" w:pos="709"/>
        </w:tabs>
        <w:spacing w:line="360" w:lineRule="auto"/>
        <w:jc w:val="both"/>
        <w:rPr>
          <w:rFonts w:ascii="Garamond" w:hAnsi="Garamond"/>
          <w:sz w:val="24"/>
          <w:szCs w:val="24"/>
        </w:rPr>
      </w:pPr>
      <w:r>
        <w:rPr>
          <w:rFonts w:ascii="Garamond" w:hAnsi="Garamond"/>
          <w:sz w:val="24"/>
          <w:szCs w:val="24"/>
        </w:rPr>
        <w:tab/>
      </w:r>
      <w:r w:rsidR="00405557" w:rsidRPr="00632E30">
        <w:rPr>
          <w:rFonts w:ascii="Garamond" w:hAnsi="Garamond"/>
          <w:sz w:val="24"/>
          <w:szCs w:val="24"/>
        </w:rPr>
        <w:t>Způsob</w:t>
      </w:r>
      <w:r w:rsidR="008E0288" w:rsidRPr="00632E30">
        <w:rPr>
          <w:rFonts w:ascii="Garamond" w:hAnsi="Garamond"/>
          <w:sz w:val="24"/>
          <w:szCs w:val="24"/>
        </w:rPr>
        <w:t>, jakým jsou konstruována procesní břemena</w:t>
      </w:r>
      <w:r w:rsidR="00405557" w:rsidRPr="00632E30">
        <w:rPr>
          <w:rFonts w:ascii="Garamond" w:hAnsi="Garamond"/>
          <w:sz w:val="24"/>
          <w:szCs w:val="24"/>
        </w:rPr>
        <w:t>,</w:t>
      </w:r>
      <w:r w:rsidR="008E0288" w:rsidRPr="00632E30">
        <w:rPr>
          <w:rFonts w:ascii="Garamond" w:hAnsi="Garamond"/>
          <w:sz w:val="24"/>
          <w:szCs w:val="24"/>
        </w:rPr>
        <w:t xml:space="preserve"> umožňuje, aby sankce za jejich nerespektování spočívaly výhradně </w:t>
      </w:r>
      <w:r w:rsidR="00405557" w:rsidRPr="00632E30">
        <w:rPr>
          <w:rFonts w:ascii="Garamond" w:hAnsi="Garamond"/>
          <w:sz w:val="24"/>
          <w:szCs w:val="24"/>
        </w:rPr>
        <w:t>v</w:t>
      </w:r>
      <w:r w:rsidR="008E0288" w:rsidRPr="00632E30">
        <w:rPr>
          <w:rFonts w:ascii="Garamond" w:hAnsi="Garamond"/>
          <w:sz w:val="24"/>
          <w:szCs w:val="24"/>
        </w:rPr>
        <w:t xml:space="preserve"> oslabení procesní situace strany řízení zatížené procesním břemenem. </w:t>
      </w:r>
      <w:r w:rsidR="00A3634F" w:rsidRPr="00632E30">
        <w:rPr>
          <w:rFonts w:ascii="Garamond" w:hAnsi="Garamond"/>
          <w:sz w:val="24"/>
          <w:szCs w:val="24"/>
        </w:rPr>
        <w:t>S</w:t>
      </w:r>
      <w:r w:rsidR="008E0288" w:rsidRPr="00632E30">
        <w:rPr>
          <w:rFonts w:ascii="Garamond" w:hAnsi="Garamond"/>
          <w:sz w:val="24"/>
          <w:szCs w:val="24"/>
        </w:rPr>
        <w:t>ama sankce za neunesení procesního břemen</w:t>
      </w:r>
      <w:r w:rsidR="00E00C66" w:rsidRPr="00632E30">
        <w:rPr>
          <w:rFonts w:ascii="Garamond" w:hAnsi="Garamond"/>
          <w:sz w:val="24"/>
          <w:szCs w:val="24"/>
        </w:rPr>
        <w:t>e</w:t>
      </w:r>
      <w:r w:rsidR="008E0288" w:rsidRPr="00632E30">
        <w:rPr>
          <w:rFonts w:ascii="Garamond" w:hAnsi="Garamond"/>
          <w:sz w:val="24"/>
          <w:szCs w:val="24"/>
        </w:rPr>
        <w:t xml:space="preserve"> zpravidla spočívá právě v prohře pře s druhou procesní stranou, s nesplněním procesních břemen </w:t>
      </w:r>
      <w:r w:rsidR="00A3634F" w:rsidRPr="00632E30">
        <w:rPr>
          <w:rFonts w:ascii="Garamond" w:hAnsi="Garamond"/>
          <w:sz w:val="24"/>
          <w:szCs w:val="24"/>
        </w:rPr>
        <w:t xml:space="preserve">nelze </w:t>
      </w:r>
      <w:r w:rsidR="008E0288" w:rsidRPr="00632E30">
        <w:rPr>
          <w:rFonts w:ascii="Garamond" w:hAnsi="Garamond"/>
          <w:sz w:val="24"/>
          <w:szCs w:val="24"/>
        </w:rPr>
        <w:t>spojovat jiné následky než pouze zhoršení vyhlídek na přízn</w:t>
      </w:r>
      <w:r w:rsidR="0088624D" w:rsidRPr="00632E30">
        <w:rPr>
          <w:rFonts w:ascii="Garamond" w:hAnsi="Garamond"/>
          <w:sz w:val="24"/>
          <w:szCs w:val="24"/>
        </w:rPr>
        <w:t>ivý výsledek sporu. Prof. Macur podotýká, že jakékoliv jiné sankce bez ohledu na právní úpravu jsou úpravou procesních břemen vyloučeny.</w:t>
      </w:r>
      <w:r w:rsidR="005E0CAA" w:rsidRPr="00632E30">
        <w:rPr>
          <w:rStyle w:val="Znakapoznpodarou"/>
          <w:rFonts w:ascii="Garamond" w:hAnsi="Garamond"/>
          <w:sz w:val="24"/>
          <w:szCs w:val="24"/>
        </w:rPr>
        <w:footnoteReference w:id="45"/>
      </w:r>
    </w:p>
    <w:p w14:paraId="32AFB91F" w14:textId="6EDF9FFE" w:rsidR="0088624D" w:rsidRPr="00632E30" w:rsidRDefault="0088624D" w:rsidP="00A71D84">
      <w:pPr>
        <w:tabs>
          <w:tab w:val="left" w:pos="8388"/>
        </w:tabs>
        <w:spacing w:line="360" w:lineRule="auto"/>
        <w:jc w:val="both"/>
        <w:rPr>
          <w:rFonts w:ascii="Garamond" w:hAnsi="Garamond"/>
          <w:sz w:val="24"/>
          <w:szCs w:val="24"/>
        </w:rPr>
      </w:pPr>
      <w:r w:rsidRPr="00632E30">
        <w:rPr>
          <w:rFonts w:ascii="Garamond" w:hAnsi="Garamond"/>
          <w:sz w:val="24"/>
          <w:szCs w:val="24"/>
        </w:rPr>
        <w:t xml:space="preserve">Shora uvedené tedy ovšem neplatí pro procesní povinnosti. Porušení procesních povinností s sebou logicky nese i jiné sankce než pouze občanskoprávní, např. občanskoprávní sankce, které </w:t>
      </w:r>
      <w:r w:rsidRPr="00632E30">
        <w:rPr>
          <w:rFonts w:ascii="Garamond" w:hAnsi="Garamond"/>
          <w:sz w:val="24"/>
          <w:szCs w:val="24"/>
        </w:rPr>
        <w:lastRenderedPageBreak/>
        <w:t xml:space="preserve">mohou vyvstávat při porušení jakékoliv primární povinnosti, tedy i </w:t>
      </w:r>
      <w:r w:rsidR="00405557" w:rsidRPr="00632E30">
        <w:rPr>
          <w:rFonts w:ascii="Garamond" w:hAnsi="Garamond"/>
          <w:sz w:val="24"/>
          <w:szCs w:val="24"/>
        </w:rPr>
        <w:t>povinností</w:t>
      </w:r>
      <w:r w:rsidRPr="00632E30">
        <w:rPr>
          <w:rFonts w:ascii="Garamond" w:hAnsi="Garamond"/>
          <w:sz w:val="24"/>
          <w:szCs w:val="24"/>
        </w:rPr>
        <w:t xml:space="preserve"> obsažených v normách jiných než procesněprávních. </w:t>
      </w:r>
      <w:r w:rsidR="009567F3" w:rsidRPr="00632E30">
        <w:rPr>
          <w:rStyle w:val="Znakapoznpodarou"/>
          <w:rFonts w:ascii="Garamond" w:hAnsi="Garamond"/>
          <w:sz w:val="24"/>
          <w:szCs w:val="24"/>
        </w:rPr>
        <w:footnoteReference w:id="46"/>
      </w:r>
    </w:p>
    <w:p w14:paraId="1360DF0E" w14:textId="77777777" w:rsidR="0036132A" w:rsidRDefault="0036132A" w:rsidP="0036132A">
      <w:pPr>
        <w:tabs>
          <w:tab w:val="left" w:pos="709"/>
        </w:tabs>
        <w:spacing w:line="360" w:lineRule="auto"/>
        <w:jc w:val="both"/>
        <w:rPr>
          <w:rFonts w:ascii="Garamond" w:hAnsi="Garamond"/>
          <w:sz w:val="24"/>
          <w:szCs w:val="24"/>
        </w:rPr>
      </w:pPr>
      <w:r>
        <w:rPr>
          <w:rFonts w:ascii="Garamond" w:hAnsi="Garamond"/>
          <w:sz w:val="24"/>
          <w:szCs w:val="24"/>
        </w:rPr>
        <w:tab/>
      </w:r>
      <w:r w:rsidR="00CD3201" w:rsidRPr="00632E30">
        <w:rPr>
          <w:rFonts w:ascii="Garamond" w:hAnsi="Garamond"/>
          <w:sz w:val="24"/>
          <w:szCs w:val="24"/>
        </w:rPr>
        <w:t xml:space="preserve">To je ovšem i hlavním důvodem, proč zákonodárce při řešení rozličných procesních situací rezignuje na používání právě procesních povinností. Prof. Macur v této souvislosti správně poukazuje na neúnosnost stavu, kdyby všechny či většina takových procesních situací byla řešena právě formou procesních povinností. Logické spojení porušení jakékoliv povinnosti s mnohostí sankcí vyvěrajících z norem nejen občanskoprávních, ale také kupříkladu norem správních či trestních by mělo značný dopad na </w:t>
      </w:r>
      <w:r w:rsidR="00EB352F" w:rsidRPr="00632E30">
        <w:rPr>
          <w:rFonts w:ascii="Garamond" w:hAnsi="Garamond"/>
          <w:sz w:val="24"/>
          <w:szCs w:val="24"/>
        </w:rPr>
        <w:t>uplatňování subjektivních práv subjektů práva cestou soudního řízení. Představa hrozících různých druhů sankcí by pro potencionální účastníky řízení působila odpudivě, respektive jako nepřiměřené a neúměrné riziko, kterému by se raději chtěli vyhnout. Civilní procesní právo by tedy tyto subjekty nestimuloval</w:t>
      </w:r>
      <w:r w:rsidR="0005131F" w:rsidRPr="00632E30">
        <w:rPr>
          <w:rFonts w:ascii="Garamond" w:hAnsi="Garamond"/>
          <w:sz w:val="24"/>
          <w:szCs w:val="24"/>
        </w:rPr>
        <w:t>o</w:t>
      </w:r>
      <w:r w:rsidR="00EB352F" w:rsidRPr="00632E30">
        <w:rPr>
          <w:rFonts w:ascii="Garamond" w:hAnsi="Garamond"/>
          <w:sz w:val="24"/>
          <w:szCs w:val="24"/>
        </w:rPr>
        <w:t xml:space="preserve"> k využívání procesněprávní ochrany jejich ohrožených či porušených soukromých </w:t>
      </w:r>
      <w:r w:rsidR="00E2150E" w:rsidRPr="00632E30">
        <w:rPr>
          <w:rFonts w:ascii="Garamond" w:hAnsi="Garamond"/>
          <w:sz w:val="24"/>
          <w:szCs w:val="24"/>
        </w:rPr>
        <w:t xml:space="preserve">subjektivních </w:t>
      </w:r>
      <w:r w:rsidR="00EB352F" w:rsidRPr="00632E30">
        <w:rPr>
          <w:rFonts w:ascii="Garamond" w:hAnsi="Garamond"/>
          <w:sz w:val="24"/>
          <w:szCs w:val="24"/>
        </w:rPr>
        <w:t>práv.</w:t>
      </w:r>
      <w:r w:rsidR="00CD3201" w:rsidRPr="00632E30">
        <w:rPr>
          <w:rFonts w:ascii="Garamond" w:hAnsi="Garamond"/>
          <w:sz w:val="24"/>
          <w:szCs w:val="24"/>
        </w:rPr>
        <w:t xml:space="preserve"> </w:t>
      </w:r>
      <w:r w:rsidR="005E0CAA" w:rsidRPr="00632E30">
        <w:rPr>
          <w:rStyle w:val="Znakapoznpodarou"/>
          <w:rFonts w:ascii="Garamond" w:hAnsi="Garamond"/>
          <w:sz w:val="24"/>
          <w:szCs w:val="24"/>
        </w:rPr>
        <w:footnoteReference w:id="47"/>
      </w:r>
    </w:p>
    <w:p w14:paraId="0971525B" w14:textId="77777777" w:rsidR="0036132A" w:rsidRDefault="0036132A" w:rsidP="0036132A">
      <w:pPr>
        <w:tabs>
          <w:tab w:val="left" w:pos="709"/>
        </w:tabs>
        <w:spacing w:line="360" w:lineRule="auto"/>
        <w:jc w:val="both"/>
        <w:rPr>
          <w:rFonts w:ascii="Garamond" w:hAnsi="Garamond"/>
          <w:sz w:val="24"/>
          <w:szCs w:val="24"/>
        </w:rPr>
      </w:pPr>
      <w:r>
        <w:rPr>
          <w:rFonts w:ascii="Garamond" w:hAnsi="Garamond"/>
          <w:sz w:val="24"/>
          <w:szCs w:val="24"/>
        </w:rPr>
        <w:tab/>
      </w:r>
      <w:r w:rsidR="00813FE1" w:rsidRPr="00632E30">
        <w:rPr>
          <w:rFonts w:ascii="Garamond" w:hAnsi="Garamond"/>
          <w:sz w:val="24"/>
          <w:szCs w:val="24"/>
        </w:rPr>
        <w:t>Další dělící kritéri</w:t>
      </w:r>
      <w:r w:rsidR="008A68A3" w:rsidRPr="00632E30">
        <w:rPr>
          <w:rFonts w:ascii="Garamond" w:hAnsi="Garamond"/>
          <w:sz w:val="24"/>
          <w:szCs w:val="24"/>
        </w:rPr>
        <w:t>um</w:t>
      </w:r>
      <w:r w:rsidR="00813FE1" w:rsidRPr="00632E30">
        <w:rPr>
          <w:rFonts w:ascii="Garamond" w:hAnsi="Garamond"/>
          <w:sz w:val="24"/>
          <w:szCs w:val="24"/>
        </w:rPr>
        <w:t xml:space="preserve"> mezi procesními povinnostmi a procesními břemeny lze spatřovat </w:t>
      </w:r>
      <w:r w:rsidR="00B922E8" w:rsidRPr="00632E30">
        <w:rPr>
          <w:rFonts w:ascii="Garamond" w:hAnsi="Garamond"/>
          <w:sz w:val="24"/>
          <w:szCs w:val="24"/>
        </w:rPr>
        <w:t>v situaci, kdy oproti subjekt</w:t>
      </w:r>
      <w:r w:rsidR="008A68A3" w:rsidRPr="00632E30">
        <w:rPr>
          <w:rFonts w:ascii="Garamond" w:hAnsi="Garamond"/>
          <w:sz w:val="24"/>
          <w:szCs w:val="24"/>
        </w:rPr>
        <w:t>u</w:t>
      </w:r>
      <w:r w:rsidR="00B922E8" w:rsidRPr="00632E30">
        <w:rPr>
          <w:rFonts w:ascii="Garamond" w:hAnsi="Garamond"/>
          <w:sz w:val="24"/>
          <w:szCs w:val="24"/>
        </w:rPr>
        <w:t xml:space="preserve"> zatíženému procesní povinností stojí jiný subjekt, jemuž svědčí proti povinnému subjektu korelativní oprávnění.</w:t>
      </w:r>
      <w:r w:rsidR="007F4528" w:rsidRPr="00632E30">
        <w:rPr>
          <w:rFonts w:ascii="Garamond" w:hAnsi="Garamond"/>
          <w:sz w:val="24"/>
          <w:szCs w:val="24"/>
        </w:rPr>
        <w:t xml:space="preserve">  V situaci osoby zatížené</w:t>
      </w:r>
      <w:r w:rsidR="00B922E8" w:rsidRPr="00632E30">
        <w:rPr>
          <w:rFonts w:ascii="Garamond" w:hAnsi="Garamond"/>
          <w:sz w:val="24"/>
          <w:szCs w:val="24"/>
        </w:rPr>
        <w:t xml:space="preserve"> procesním břemenem však takovýto korelativní vztah „věřitele“ na straně oprávněné a „dlužníka“ na straně povinné nevzniká. Uvážíme-li tedy situaci, kdy břemeno </w:t>
      </w:r>
      <w:proofErr w:type="spellStart"/>
      <w:r w:rsidR="00515CFA" w:rsidRPr="00632E30">
        <w:rPr>
          <w:rFonts w:ascii="Garamond" w:hAnsi="Garamond"/>
          <w:sz w:val="24"/>
          <w:szCs w:val="24"/>
        </w:rPr>
        <w:t>substancování</w:t>
      </w:r>
      <w:proofErr w:type="spellEnd"/>
      <w:r w:rsidR="00515CFA" w:rsidRPr="00632E30">
        <w:rPr>
          <w:rFonts w:ascii="Garamond" w:hAnsi="Garamond"/>
          <w:sz w:val="24"/>
          <w:szCs w:val="24"/>
        </w:rPr>
        <w:t xml:space="preserve"> stimuluje stranu řízení</w:t>
      </w:r>
      <w:r w:rsidR="007F4528" w:rsidRPr="00632E30">
        <w:rPr>
          <w:rFonts w:ascii="Garamond" w:hAnsi="Garamond"/>
          <w:sz w:val="24"/>
          <w:szCs w:val="24"/>
        </w:rPr>
        <w:t xml:space="preserve"> k přednesu či vnesení</w:t>
      </w:r>
      <w:r w:rsidR="00515CFA" w:rsidRPr="00632E30">
        <w:rPr>
          <w:rFonts w:ascii="Garamond" w:hAnsi="Garamond"/>
          <w:sz w:val="24"/>
          <w:szCs w:val="24"/>
        </w:rPr>
        <w:t xml:space="preserve"> určitých právně relevantních skutečností</w:t>
      </w:r>
      <w:r w:rsidR="007F4528" w:rsidRPr="00632E30">
        <w:rPr>
          <w:rFonts w:ascii="Garamond" w:hAnsi="Garamond"/>
          <w:sz w:val="24"/>
          <w:szCs w:val="24"/>
        </w:rPr>
        <w:t xml:space="preserve"> do řízení</w:t>
      </w:r>
      <w:r w:rsidR="00515CFA" w:rsidRPr="00632E30">
        <w:rPr>
          <w:rFonts w:ascii="Garamond" w:hAnsi="Garamond"/>
          <w:sz w:val="24"/>
          <w:szCs w:val="24"/>
        </w:rPr>
        <w:t>, pak „unesením“ toho</w:t>
      </w:r>
      <w:r w:rsidR="007F4528" w:rsidRPr="00632E30">
        <w:rPr>
          <w:rFonts w:ascii="Garamond" w:hAnsi="Garamond"/>
          <w:sz w:val="24"/>
          <w:szCs w:val="24"/>
        </w:rPr>
        <w:t>to procesního břemene není naplněno</w:t>
      </w:r>
      <w:r w:rsidR="00515CFA" w:rsidRPr="00632E30">
        <w:rPr>
          <w:rFonts w:ascii="Garamond" w:hAnsi="Garamond"/>
          <w:sz w:val="24"/>
          <w:szCs w:val="24"/>
        </w:rPr>
        <w:t xml:space="preserve"> o</w:t>
      </w:r>
      <w:r w:rsidR="007F4528" w:rsidRPr="00632E30">
        <w:rPr>
          <w:rFonts w:ascii="Garamond" w:hAnsi="Garamond"/>
          <w:sz w:val="24"/>
          <w:szCs w:val="24"/>
        </w:rPr>
        <w:t>právnění druhé strany ani její</w:t>
      </w:r>
      <w:r w:rsidR="00515CFA" w:rsidRPr="00632E30">
        <w:rPr>
          <w:rFonts w:ascii="Garamond" w:hAnsi="Garamond"/>
          <w:sz w:val="24"/>
          <w:szCs w:val="24"/>
        </w:rPr>
        <w:t xml:space="preserve"> záj</w:t>
      </w:r>
      <w:r w:rsidR="007F4528" w:rsidRPr="00632E30">
        <w:rPr>
          <w:rFonts w:ascii="Garamond" w:hAnsi="Garamond"/>
          <w:sz w:val="24"/>
          <w:szCs w:val="24"/>
        </w:rPr>
        <w:t>em</w:t>
      </w:r>
      <w:r w:rsidR="00515CFA" w:rsidRPr="00632E30">
        <w:rPr>
          <w:rFonts w:ascii="Garamond" w:hAnsi="Garamond"/>
          <w:sz w:val="24"/>
          <w:szCs w:val="24"/>
        </w:rPr>
        <w:t>. V kontradiktorním sporném řízení převažuje naopak zce</w:t>
      </w:r>
      <w:r w:rsidR="007F4528" w:rsidRPr="00632E30">
        <w:rPr>
          <w:rFonts w:ascii="Garamond" w:hAnsi="Garamond"/>
          <w:sz w:val="24"/>
          <w:szCs w:val="24"/>
        </w:rPr>
        <w:t>la jiný zájem stran, jenž spočívá</w:t>
      </w:r>
      <w:r w:rsidR="00515CFA" w:rsidRPr="00632E30">
        <w:rPr>
          <w:rFonts w:ascii="Garamond" w:hAnsi="Garamond"/>
          <w:sz w:val="24"/>
          <w:szCs w:val="24"/>
        </w:rPr>
        <w:t xml:space="preserve"> ve snaze, aby druhá strana své procesní břemeno „neunesla“ a zvýšila se tak šance na úspěch ve sporu druhé strany řízení.</w:t>
      </w:r>
      <w:r w:rsidR="005E0CAA" w:rsidRPr="00632E30">
        <w:rPr>
          <w:rStyle w:val="Znakapoznpodarou"/>
          <w:rFonts w:ascii="Garamond" w:hAnsi="Garamond"/>
          <w:sz w:val="24"/>
          <w:szCs w:val="24"/>
        </w:rPr>
        <w:footnoteReference w:id="48"/>
      </w:r>
    </w:p>
    <w:p w14:paraId="7EE3B9C2" w14:textId="77777777" w:rsidR="0036132A" w:rsidRDefault="0036132A" w:rsidP="0036132A">
      <w:pPr>
        <w:tabs>
          <w:tab w:val="left" w:pos="709"/>
        </w:tabs>
        <w:spacing w:line="360" w:lineRule="auto"/>
        <w:jc w:val="both"/>
        <w:rPr>
          <w:rFonts w:ascii="Garamond" w:hAnsi="Garamond"/>
          <w:sz w:val="24"/>
          <w:szCs w:val="24"/>
        </w:rPr>
      </w:pPr>
      <w:r>
        <w:rPr>
          <w:rFonts w:ascii="Garamond" w:hAnsi="Garamond"/>
          <w:sz w:val="24"/>
          <w:szCs w:val="24"/>
        </w:rPr>
        <w:tab/>
      </w:r>
      <w:r w:rsidR="00B00270" w:rsidRPr="00632E30">
        <w:rPr>
          <w:rFonts w:ascii="Garamond" w:hAnsi="Garamond"/>
          <w:sz w:val="24"/>
          <w:szCs w:val="24"/>
        </w:rPr>
        <w:t xml:space="preserve">Prof. Macur vysvětlovací povinnost procesní strany nezatížené důkazním prostředkem pojímá jako procesní povinnost v plném slova smyslu. Dopadá na ni tak vše shora řečené ohledně procesních povinností. Prof. Macur však poukazuje na historicky různé pojímání vysvětlovací povinnosti zrcadlící </w:t>
      </w:r>
      <w:r w:rsidR="002C4AB0" w:rsidRPr="00632E30">
        <w:rPr>
          <w:rFonts w:ascii="Garamond" w:hAnsi="Garamond"/>
          <w:sz w:val="24"/>
          <w:szCs w:val="24"/>
        </w:rPr>
        <w:t>názorové proudy na celkovou problematiku existence či neexistence procesních povinností či procesních břemen v civilním soudním řízení vůbec.</w:t>
      </w:r>
      <w:r w:rsidR="005E0CAA" w:rsidRPr="00632E30">
        <w:rPr>
          <w:rStyle w:val="Znakapoznpodarou"/>
          <w:rFonts w:ascii="Garamond" w:hAnsi="Garamond"/>
          <w:sz w:val="24"/>
          <w:szCs w:val="24"/>
        </w:rPr>
        <w:footnoteReference w:id="49"/>
      </w:r>
    </w:p>
    <w:p w14:paraId="3533577B" w14:textId="015A3733" w:rsidR="00F84A43" w:rsidRPr="00632E30" w:rsidRDefault="0036132A" w:rsidP="0036132A">
      <w:pPr>
        <w:tabs>
          <w:tab w:val="left" w:pos="709"/>
        </w:tabs>
        <w:spacing w:line="360" w:lineRule="auto"/>
        <w:jc w:val="both"/>
        <w:rPr>
          <w:rFonts w:ascii="Garamond" w:hAnsi="Garamond"/>
          <w:sz w:val="24"/>
          <w:szCs w:val="24"/>
        </w:rPr>
      </w:pPr>
      <w:r>
        <w:rPr>
          <w:rFonts w:ascii="Garamond" w:hAnsi="Garamond"/>
          <w:sz w:val="24"/>
          <w:szCs w:val="24"/>
        </w:rPr>
        <w:tab/>
      </w:r>
      <w:r w:rsidR="002C4AB0" w:rsidRPr="00632E30">
        <w:rPr>
          <w:rFonts w:ascii="Garamond" w:hAnsi="Garamond"/>
          <w:sz w:val="24"/>
          <w:szCs w:val="24"/>
        </w:rPr>
        <w:t xml:space="preserve">Prof. Macur upozorňuje na názorové proudy, které popírají existenci procesních povinností. V jejich rámci </w:t>
      </w:r>
      <w:r w:rsidR="00DF378B" w:rsidRPr="00632E30">
        <w:rPr>
          <w:rFonts w:ascii="Garamond" w:hAnsi="Garamond"/>
          <w:sz w:val="24"/>
          <w:szCs w:val="24"/>
        </w:rPr>
        <w:t xml:space="preserve">je autorem zmiňován </w:t>
      </w:r>
      <w:proofErr w:type="spellStart"/>
      <w:r w:rsidR="00DF378B" w:rsidRPr="00632E30">
        <w:rPr>
          <w:rFonts w:ascii="Garamond" w:hAnsi="Garamond"/>
          <w:sz w:val="24"/>
          <w:szCs w:val="24"/>
        </w:rPr>
        <w:t>Goldschmitt</w:t>
      </w:r>
      <w:proofErr w:type="spellEnd"/>
      <w:r w:rsidR="00DF378B" w:rsidRPr="00632E30">
        <w:rPr>
          <w:rFonts w:ascii="Garamond" w:hAnsi="Garamond"/>
          <w:sz w:val="24"/>
          <w:szCs w:val="24"/>
        </w:rPr>
        <w:t xml:space="preserve">, který tvrdí, že s ohledem na povahu civilního procesu je vyloučeno, aby v něm vznikaly procesní povinnosti. Regulativnost </w:t>
      </w:r>
      <w:r w:rsidR="00DF378B" w:rsidRPr="00632E30">
        <w:rPr>
          <w:rFonts w:ascii="Garamond" w:hAnsi="Garamond"/>
          <w:sz w:val="24"/>
          <w:szCs w:val="24"/>
        </w:rPr>
        <w:lastRenderedPageBreak/>
        <w:t>představova</w:t>
      </w:r>
      <w:r w:rsidR="007F4528" w:rsidRPr="00632E30">
        <w:rPr>
          <w:rFonts w:ascii="Garamond" w:hAnsi="Garamond"/>
          <w:sz w:val="24"/>
          <w:szCs w:val="24"/>
        </w:rPr>
        <w:t>ná</w:t>
      </w:r>
      <w:r w:rsidR="00DF378B" w:rsidRPr="00632E30">
        <w:rPr>
          <w:rFonts w:ascii="Garamond" w:hAnsi="Garamond"/>
          <w:sz w:val="24"/>
          <w:szCs w:val="24"/>
        </w:rPr>
        <w:t xml:space="preserve"> v hmotném právu</w:t>
      </w:r>
      <w:r w:rsidR="009E7021" w:rsidRPr="00632E30">
        <w:rPr>
          <w:rFonts w:ascii="Garamond" w:hAnsi="Garamond"/>
          <w:sz w:val="24"/>
          <w:szCs w:val="24"/>
        </w:rPr>
        <w:t xml:space="preserve"> </w:t>
      </w:r>
      <w:r w:rsidR="00DF378B" w:rsidRPr="00632E30">
        <w:rPr>
          <w:rFonts w:ascii="Garamond" w:hAnsi="Garamond"/>
          <w:sz w:val="24"/>
          <w:szCs w:val="24"/>
        </w:rPr>
        <w:t>subjektivními soukromými právy a jejich korelativními subjektivními povinnostmi je v civilním procesu reprezentován</w:t>
      </w:r>
      <w:r w:rsidR="003F79F1" w:rsidRPr="00632E30">
        <w:rPr>
          <w:rFonts w:ascii="Garamond" w:hAnsi="Garamond"/>
          <w:sz w:val="24"/>
          <w:szCs w:val="24"/>
        </w:rPr>
        <w:t>a</w:t>
      </w:r>
      <w:r w:rsidR="00DF378B" w:rsidRPr="00632E30">
        <w:rPr>
          <w:rFonts w:ascii="Garamond" w:hAnsi="Garamond"/>
          <w:sz w:val="24"/>
          <w:szCs w:val="24"/>
        </w:rPr>
        <w:t xml:space="preserve"> procesními možnostmi a procesními břemeny. </w:t>
      </w:r>
    </w:p>
    <w:p w14:paraId="4EEDD31E" w14:textId="77777777" w:rsidR="0059550E" w:rsidRDefault="0059550E" w:rsidP="0059550E">
      <w:pPr>
        <w:tabs>
          <w:tab w:val="left" w:pos="709"/>
        </w:tabs>
        <w:spacing w:line="360" w:lineRule="auto"/>
        <w:jc w:val="both"/>
        <w:rPr>
          <w:rFonts w:ascii="Garamond" w:hAnsi="Garamond"/>
          <w:sz w:val="24"/>
          <w:szCs w:val="24"/>
        </w:rPr>
      </w:pPr>
      <w:r>
        <w:rPr>
          <w:rFonts w:ascii="Garamond" w:hAnsi="Garamond"/>
          <w:sz w:val="24"/>
          <w:szCs w:val="24"/>
        </w:rPr>
        <w:tab/>
      </w:r>
      <w:r w:rsidR="00F84A43" w:rsidRPr="00632E30">
        <w:rPr>
          <w:rFonts w:ascii="Garamond" w:hAnsi="Garamond"/>
          <w:sz w:val="24"/>
          <w:szCs w:val="24"/>
        </w:rPr>
        <w:t xml:space="preserve">Řešení informačního deficitu podle této teorie je tak veskrze možné pouze prostřednictvím procesních břemen, konkrétně břemene vysvětlení jako zvláštní formy procesního břemene, které je konstruováno některými autory tohoto názorového proudu. </w:t>
      </w:r>
      <w:r w:rsidR="00DF378B" w:rsidRPr="00632E30">
        <w:rPr>
          <w:rFonts w:ascii="Garamond" w:hAnsi="Garamond"/>
          <w:sz w:val="24"/>
          <w:szCs w:val="24"/>
        </w:rPr>
        <w:t xml:space="preserve">Takovéto břemeno vysvětlení by zatíženou stranu nepřímo nutilo </w:t>
      </w:r>
      <w:r w:rsidR="003F79F1" w:rsidRPr="00632E30">
        <w:rPr>
          <w:rFonts w:ascii="Garamond" w:hAnsi="Garamond"/>
          <w:sz w:val="24"/>
          <w:szCs w:val="24"/>
        </w:rPr>
        <w:t>k</w:t>
      </w:r>
      <w:r w:rsidR="00DF378B" w:rsidRPr="00632E30">
        <w:rPr>
          <w:rFonts w:ascii="Garamond" w:hAnsi="Garamond"/>
          <w:sz w:val="24"/>
          <w:szCs w:val="24"/>
        </w:rPr>
        <w:t xml:space="preserve"> poskytnutí vysvětlení a objasnění určitých skutkových okolností, a to ve vlastním zájmu, aby vyvrátila </w:t>
      </w:r>
      <w:r w:rsidR="00D8309E" w:rsidRPr="00632E30">
        <w:rPr>
          <w:rFonts w:ascii="Garamond" w:hAnsi="Garamond"/>
          <w:sz w:val="24"/>
          <w:szCs w:val="24"/>
        </w:rPr>
        <w:t>domněnky</w:t>
      </w:r>
      <w:r w:rsidR="00DF378B" w:rsidRPr="00632E30">
        <w:rPr>
          <w:rFonts w:ascii="Garamond" w:hAnsi="Garamond"/>
          <w:sz w:val="24"/>
          <w:szCs w:val="24"/>
        </w:rPr>
        <w:t xml:space="preserve"> a podezření uplatňované jejím odpůrcem.</w:t>
      </w:r>
      <w:r w:rsidR="00D22490" w:rsidRPr="00632E30">
        <w:rPr>
          <w:rStyle w:val="Znakapoznpodarou"/>
          <w:rFonts w:ascii="Garamond" w:hAnsi="Garamond"/>
          <w:sz w:val="24"/>
          <w:szCs w:val="24"/>
        </w:rPr>
        <w:footnoteReference w:id="50"/>
      </w:r>
    </w:p>
    <w:p w14:paraId="144C851D" w14:textId="77777777" w:rsidR="0059550E" w:rsidRDefault="0059550E" w:rsidP="0059550E">
      <w:pPr>
        <w:tabs>
          <w:tab w:val="left" w:pos="709"/>
        </w:tabs>
        <w:spacing w:line="360" w:lineRule="auto"/>
        <w:jc w:val="both"/>
        <w:rPr>
          <w:rFonts w:ascii="Garamond" w:hAnsi="Garamond"/>
          <w:sz w:val="24"/>
          <w:szCs w:val="24"/>
        </w:rPr>
      </w:pPr>
      <w:r>
        <w:rPr>
          <w:rFonts w:ascii="Garamond" w:hAnsi="Garamond"/>
          <w:sz w:val="24"/>
          <w:szCs w:val="24"/>
        </w:rPr>
        <w:tab/>
      </w:r>
      <w:r w:rsidR="006A5CF1" w:rsidRPr="00632E30">
        <w:rPr>
          <w:rFonts w:ascii="Garamond" w:hAnsi="Garamond"/>
          <w:sz w:val="24"/>
          <w:szCs w:val="24"/>
        </w:rPr>
        <w:t>Takové konstituování břemene vysvětlení prof. Macur zásadně odmítá. Svou argumentaci opírá o skutečnost, že v kontinentálním právním systému je nezbytné pro potřebu úspěchu žalobce v civilním soudním řízení, aby s naprostou jistotou a bez jakýchkoliv pochybností dokázal existenci skutečností</w:t>
      </w:r>
      <w:r w:rsidR="006A5CF1" w:rsidRPr="00632E30">
        <w:rPr>
          <w:rStyle w:val="Znakapoznpodarou"/>
          <w:rFonts w:ascii="Garamond" w:hAnsi="Garamond"/>
          <w:sz w:val="24"/>
          <w:szCs w:val="24"/>
        </w:rPr>
        <w:footnoteReference w:id="51"/>
      </w:r>
      <w:r w:rsidR="006A5CF1" w:rsidRPr="00632E30">
        <w:rPr>
          <w:rFonts w:ascii="Garamond" w:hAnsi="Garamond"/>
          <w:sz w:val="24"/>
          <w:szCs w:val="24"/>
        </w:rPr>
        <w:t>, jež jsou základem uplatňovaného nároku ve sporu.</w:t>
      </w:r>
      <w:r w:rsidR="003F79F1" w:rsidRPr="00632E30">
        <w:rPr>
          <w:rFonts w:ascii="Garamond" w:hAnsi="Garamond"/>
          <w:sz w:val="24"/>
          <w:szCs w:val="24"/>
        </w:rPr>
        <w:t xml:space="preserve"> Pouh</w:t>
      </w:r>
      <w:r w:rsidR="00A44511" w:rsidRPr="00632E30">
        <w:rPr>
          <w:rFonts w:ascii="Garamond" w:hAnsi="Garamond"/>
          <w:sz w:val="24"/>
          <w:szCs w:val="24"/>
        </w:rPr>
        <w:t>é domněnky a podezření nejsou s to u soudu nabýt vnitřní přesvědčení o jejich pravdivosti a nepochybnosti. Tyto domněnky a podezření bez potřebné odezvy v míře důkazu v rámci hodnocení důkazu nevyvolávají žádné procesní riziko žalovaného, jež by bylo nutné zajistit procesním břemenem. Žalovaný si za této situace vystačí s pouhým popíráním těchto neprokázaných domněnek a podezření bez nutnosti poskytovat druhé straně jakékoliv informace pro její úspěch ve sporu. Žalovaný tak v této situaci není zatížen žádným procesním břemenem</w:t>
      </w:r>
      <w:r w:rsidR="00373D14" w:rsidRPr="00632E30">
        <w:rPr>
          <w:rFonts w:ascii="Garamond" w:hAnsi="Garamond"/>
          <w:sz w:val="24"/>
          <w:szCs w:val="24"/>
        </w:rPr>
        <w:t>.</w:t>
      </w:r>
      <w:r w:rsidR="009F285A" w:rsidRPr="00632E30">
        <w:rPr>
          <w:rStyle w:val="Znakapoznpodarou"/>
          <w:rFonts w:ascii="Garamond" w:hAnsi="Garamond"/>
          <w:sz w:val="24"/>
          <w:szCs w:val="24"/>
        </w:rPr>
        <w:footnoteReference w:id="52"/>
      </w:r>
    </w:p>
    <w:p w14:paraId="65004F7C" w14:textId="569B7403" w:rsidR="00373D14" w:rsidRPr="00632E30" w:rsidRDefault="0059550E" w:rsidP="0059550E">
      <w:pPr>
        <w:tabs>
          <w:tab w:val="left" w:pos="709"/>
        </w:tabs>
        <w:spacing w:line="360" w:lineRule="auto"/>
        <w:jc w:val="both"/>
        <w:rPr>
          <w:rFonts w:ascii="Garamond" w:hAnsi="Garamond"/>
          <w:sz w:val="24"/>
          <w:szCs w:val="24"/>
        </w:rPr>
      </w:pPr>
      <w:r>
        <w:rPr>
          <w:rFonts w:ascii="Garamond" w:hAnsi="Garamond"/>
          <w:sz w:val="24"/>
          <w:szCs w:val="24"/>
        </w:rPr>
        <w:tab/>
      </w:r>
      <w:r w:rsidR="00373D14" w:rsidRPr="00632E30">
        <w:rPr>
          <w:rFonts w:ascii="Garamond" w:hAnsi="Garamond"/>
          <w:sz w:val="24"/>
          <w:szCs w:val="24"/>
        </w:rPr>
        <w:t>Pokud by žalobce poskytl relevantní skutková tvrzení podložená důkazními prostředky umožňující</w:t>
      </w:r>
      <w:r w:rsidR="00931E74" w:rsidRPr="00632E30">
        <w:rPr>
          <w:rFonts w:ascii="Garamond" w:hAnsi="Garamond"/>
          <w:sz w:val="24"/>
          <w:szCs w:val="24"/>
        </w:rPr>
        <w:t>mi</w:t>
      </w:r>
      <w:r w:rsidR="00373D14" w:rsidRPr="00632E30">
        <w:rPr>
          <w:rFonts w:ascii="Garamond" w:hAnsi="Garamond"/>
          <w:sz w:val="24"/>
          <w:szCs w:val="24"/>
        </w:rPr>
        <w:t xml:space="preserve"> podat přesvědčivé důkazy o těchto skutečnostech, nepotřeboval by další inf</w:t>
      </w:r>
      <w:r w:rsidR="00C121D3" w:rsidRPr="00632E30">
        <w:rPr>
          <w:rFonts w:ascii="Garamond" w:hAnsi="Garamond"/>
          <w:sz w:val="24"/>
          <w:szCs w:val="24"/>
        </w:rPr>
        <w:t>o</w:t>
      </w:r>
      <w:r w:rsidR="00373D14" w:rsidRPr="00632E30">
        <w:rPr>
          <w:rFonts w:ascii="Garamond" w:hAnsi="Garamond"/>
          <w:sz w:val="24"/>
          <w:szCs w:val="24"/>
        </w:rPr>
        <w:t xml:space="preserve">rmace </w:t>
      </w:r>
      <w:r w:rsidR="00373D14" w:rsidRPr="00632E30">
        <w:rPr>
          <w:rFonts w:ascii="Garamond" w:hAnsi="Garamond"/>
          <w:sz w:val="24"/>
          <w:szCs w:val="24"/>
        </w:rPr>
        <w:lastRenderedPageBreak/>
        <w:t>od protistrany. Pokud by soud nabyl vnitřní přesvědčení rovnající se praktické jistotě o skutečnostech prokázaných žalobcem, žalovaný by ve sporu podlehl, avšak nikoliv z důvodu neunesení svého důkazního břemene, ale z důvodu unesení svého důkazního břemene žalobcem.</w:t>
      </w:r>
      <w:r w:rsidR="009F285A" w:rsidRPr="00632E30">
        <w:rPr>
          <w:rStyle w:val="Znakapoznpodarou"/>
          <w:rFonts w:ascii="Garamond" w:hAnsi="Garamond"/>
          <w:sz w:val="24"/>
          <w:szCs w:val="24"/>
        </w:rPr>
        <w:footnoteReference w:id="53"/>
      </w:r>
    </w:p>
    <w:p w14:paraId="1CC8E1BD" w14:textId="1FA5DFE3" w:rsidR="00183F0B" w:rsidRPr="00632E30" w:rsidRDefault="00183F0B" w:rsidP="00BE56B8">
      <w:pPr>
        <w:pStyle w:val="Nadpis2"/>
        <w:numPr>
          <w:ilvl w:val="1"/>
          <w:numId w:val="28"/>
        </w:numPr>
        <w:rPr>
          <w:rFonts w:ascii="Garamond" w:hAnsi="Garamond"/>
          <w:b/>
          <w:color w:val="auto"/>
        </w:rPr>
      </w:pPr>
      <w:bookmarkStart w:id="29" w:name="_Toc17881136"/>
      <w:r w:rsidRPr="00632E30">
        <w:rPr>
          <w:rFonts w:ascii="Garamond" w:hAnsi="Garamond"/>
          <w:b/>
          <w:color w:val="auto"/>
        </w:rPr>
        <w:t>Vznik vysvětlovací povinnosti</w:t>
      </w:r>
      <w:bookmarkEnd w:id="29"/>
    </w:p>
    <w:p w14:paraId="6188C156" w14:textId="77777777" w:rsidR="008F0B21" w:rsidRPr="00632E30" w:rsidRDefault="008F0B21" w:rsidP="008F0B21">
      <w:pPr>
        <w:pStyle w:val="Odstavecseseznamem"/>
        <w:ind w:left="1068"/>
        <w:rPr>
          <w:rFonts w:ascii="Garamond" w:hAnsi="Garamond"/>
        </w:rPr>
      </w:pPr>
    </w:p>
    <w:p w14:paraId="573C2423" w14:textId="77777777" w:rsidR="0059550E" w:rsidRDefault="0059550E" w:rsidP="0059550E">
      <w:pPr>
        <w:tabs>
          <w:tab w:val="left" w:pos="709"/>
        </w:tabs>
        <w:spacing w:line="360" w:lineRule="auto"/>
        <w:jc w:val="both"/>
        <w:rPr>
          <w:rFonts w:ascii="Garamond" w:hAnsi="Garamond"/>
          <w:sz w:val="24"/>
          <w:szCs w:val="24"/>
        </w:rPr>
      </w:pPr>
      <w:r>
        <w:rPr>
          <w:rFonts w:ascii="Garamond" w:hAnsi="Garamond"/>
          <w:sz w:val="24"/>
          <w:szCs w:val="24"/>
        </w:rPr>
        <w:tab/>
      </w:r>
      <w:r w:rsidR="00A17774" w:rsidRPr="00632E30">
        <w:rPr>
          <w:rFonts w:ascii="Garamond" w:hAnsi="Garamond"/>
          <w:sz w:val="24"/>
          <w:szCs w:val="24"/>
        </w:rPr>
        <w:t>V teoretické rovině se uznává v zásadě dvojí přístup k problematice vzniku vysvětlovací povinnosti. Majoritně zastávaný názor vychází z teze, že vysvětlovací povinnost je v určité procesní situaci vždy předem dána a její vznik, obsah i formu lze odvodit buďto ze zákonných ustanovení, případně ze základních zásad a principů civilního soudního řízení.</w:t>
      </w:r>
      <w:r w:rsidR="009F285A" w:rsidRPr="00632E30">
        <w:rPr>
          <w:rStyle w:val="Znakapoznpodarou"/>
          <w:rFonts w:ascii="Garamond" w:hAnsi="Garamond"/>
          <w:sz w:val="24"/>
          <w:szCs w:val="24"/>
        </w:rPr>
        <w:footnoteReference w:id="54"/>
      </w:r>
    </w:p>
    <w:p w14:paraId="2C839764" w14:textId="77777777" w:rsidR="0059550E" w:rsidRDefault="0059550E" w:rsidP="0059550E">
      <w:pPr>
        <w:tabs>
          <w:tab w:val="left" w:pos="709"/>
        </w:tabs>
        <w:spacing w:line="360" w:lineRule="auto"/>
        <w:jc w:val="both"/>
        <w:rPr>
          <w:rFonts w:ascii="Garamond" w:hAnsi="Garamond"/>
          <w:sz w:val="24"/>
          <w:szCs w:val="24"/>
        </w:rPr>
      </w:pPr>
      <w:r>
        <w:rPr>
          <w:rFonts w:ascii="Garamond" w:hAnsi="Garamond"/>
          <w:sz w:val="24"/>
          <w:szCs w:val="24"/>
        </w:rPr>
        <w:tab/>
      </w:r>
      <w:r w:rsidR="00A17774" w:rsidRPr="00632E30">
        <w:rPr>
          <w:rFonts w:ascii="Garamond" w:hAnsi="Garamond"/>
          <w:sz w:val="24"/>
          <w:szCs w:val="24"/>
        </w:rPr>
        <w:t>Druhý názor pak vychází z opačné teze, tedy ze skutečnosti, že vysvětlovací povinnost</w:t>
      </w:r>
      <w:r w:rsidR="00923028" w:rsidRPr="00632E30">
        <w:rPr>
          <w:rFonts w:ascii="Garamond" w:hAnsi="Garamond"/>
          <w:sz w:val="24"/>
          <w:szCs w:val="24"/>
        </w:rPr>
        <w:t xml:space="preserve"> není předem dána, respektive</w:t>
      </w:r>
      <w:r w:rsidR="00A17774" w:rsidRPr="00632E30">
        <w:rPr>
          <w:rFonts w:ascii="Garamond" w:hAnsi="Garamond"/>
          <w:sz w:val="24"/>
          <w:szCs w:val="24"/>
        </w:rPr>
        <w:t xml:space="preserve"> nemá předem určenou </w:t>
      </w:r>
      <w:r w:rsidR="00A56546" w:rsidRPr="00632E30">
        <w:rPr>
          <w:rFonts w:ascii="Garamond" w:hAnsi="Garamond"/>
          <w:sz w:val="24"/>
          <w:szCs w:val="24"/>
        </w:rPr>
        <w:t>strukturu,</w:t>
      </w:r>
      <w:r w:rsidR="00923028" w:rsidRPr="00632E30">
        <w:rPr>
          <w:rFonts w:ascii="Garamond" w:hAnsi="Garamond"/>
          <w:sz w:val="24"/>
          <w:szCs w:val="24"/>
        </w:rPr>
        <w:t xml:space="preserve"> a jako takovou </w:t>
      </w:r>
      <w:r w:rsidR="00A17774" w:rsidRPr="00632E30">
        <w:rPr>
          <w:rFonts w:ascii="Garamond" w:hAnsi="Garamond"/>
          <w:sz w:val="24"/>
          <w:szCs w:val="24"/>
        </w:rPr>
        <w:t xml:space="preserve">ji nelze odvodit ani ze zákona, ani ze základních zásad civilního soudního řízení. </w:t>
      </w:r>
      <w:r w:rsidR="00923028" w:rsidRPr="00632E30">
        <w:rPr>
          <w:rFonts w:ascii="Garamond" w:hAnsi="Garamond"/>
          <w:sz w:val="24"/>
          <w:szCs w:val="24"/>
        </w:rPr>
        <w:t>Konkretizace této povinnosti pak vychází</w:t>
      </w:r>
      <w:r w:rsidR="003E34CB" w:rsidRPr="00632E30">
        <w:rPr>
          <w:rFonts w:ascii="Garamond" w:hAnsi="Garamond"/>
          <w:sz w:val="24"/>
          <w:szCs w:val="24"/>
        </w:rPr>
        <w:t xml:space="preserve"> z</w:t>
      </w:r>
      <w:r w:rsidR="00923028" w:rsidRPr="00632E30">
        <w:rPr>
          <w:rFonts w:ascii="Garamond" w:hAnsi="Garamond"/>
          <w:sz w:val="24"/>
          <w:szCs w:val="24"/>
        </w:rPr>
        <w:t xml:space="preserve"> procesní aktivity soudu při plnění své povinnosti náležitého zjišťování relevantních skutečností. Soud tak v rámci procesní činnosti volně rozhoduje, jakým způsobem se má p</w:t>
      </w:r>
      <w:r w:rsidR="003E34CB" w:rsidRPr="00632E30">
        <w:rPr>
          <w:rFonts w:ascii="Garamond" w:hAnsi="Garamond"/>
          <w:sz w:val="24"/>
          <w:szCs w:val="24"/>
        </w:rPr>
        <w:t>rocesní strana nezatížená důkaz</w:t>
      </w:r>
      <w:r w:rsidR="00923028" w:rsidRPr="00632E30">
        <w:rPr>
          <w:rFonts w:ascii="Garamond" w:hAnsi="Garamond"/>
          <w:sz w:val="24"/>
          <w:szCs w:val="24"/>
        </w:rPr>
        <w:t>ním břemenem přičinit na objasnění a vysvětlení skutkového stavu důležitého pro meritorní rozhodnutí.</w:t>
      </w:r>
      <w:r w:rsidR="005B2F63" w:rsidRPr="00632E30">
        <w:rPr>
          <w:rFonts w:ascii="Garamond" w:hAnsi="Garamond"/>
          <w:sz w:val="24"/>
          <w:szCs w:val="24"/>
        </w:rPr>
        <w:t xml:space="preserve"> Oproti postavení soudu v této koncepci stojí role soudu u výše předestřené </w:t>
      </w:r>
      <w:r w:rsidR="003E34CB" w:rsidRPr="00632E30">
        <w:rPr>
          <w:rFonts w:ascii="Garamond" w:hAnsi="Garamond"/>
          <w:sz w:val="24"/>
          <w:szCs w:val="24"/>
        </w:rPr>
        <w:t>teorie</w:t>
      </w:r>
      <w:r w:rsidR="005B2F63" w:rsidRPr="00632E30">
        <w:rPr>
          <w:rFonts w:ascii="Garamond" w:hAnsi="Garamond"/>
          <w:sz w:val="24"/>
          <w:szCs w:val="24"/>
        </w:rPr>
        <w:t xml:space="preserve"> vzniku vysvětlovací povinnosti. V této koncepci se role soudu omezuje na pouhého pasivního pozorovatele, který bdí nad dodržováním takto předem vzniklých vysvětlovacích povinností procesních stran. </w:t>
      </w:r>
      <w:r w:rsidR="009F285A" w:rsidRPr="00632E30">
        <w:rPr>
          <w:rStyle w:val="Znakapoznpodarou"/>
          <w:rFonts w:ascii="Garamond" w:hAnsi="Garamond"/>
          <w:sz w:val="24"/>
          <w:szCs w:val="24"/>
        </w:rPr>
        <w:footnoteReference w:id="55"/>
      </w:r>
    </w:p>
    <w:p w14:paraId="63CA9BFB" w14:textId="77777777" w:rsidR="0059550E" w:rsidRDefault="0059550E" w:rsidP="0059550E">
      <w:pPr>
        <w:tabs>
          <w:tab w:val="left" w:pos="709"/>
        </w:tabs>
        <w:spacing w:line="360" w:lineRule="auto"/>
        <w:jc w:val="both"/>
        <w:rPr>
          <w:rFonts w:ascii="Garamond" w:hAnsi="Garamond"/>
          <w:sz w:val="24"/>
          <w:szCs w:val="24"/>
        </w:rPr>
      </w:pPr>
      <w:r>
        <w:rPr>
          <w:rFonts w:ascii="Garamond" w:hAnsi="Garamond"/>
          <w:sz w:val="24"/>
          <w:szCs w:val="24"/>
        </w:rPr>
        <w:tab/>
      </w:r>
      <w:r w:rsidR="00D25252" w:rsidRPr="00632E30">
        <w:rPr>
          <w:rFonts w:ascii="Garamond" w:hAnsi="Garamond"/>
          <w:sz w:val="24"/>
          <w:szCs w:val="24"/>
        </w:rPr>
        <w:t>A</w:t>
      </w:r>
      <w:r w:rsidR="007F30AB" w:rsidRPr="00632E30">
        <w:rPr>
          <w:rFonts w:ascii="Garamond" w:hAnsi="Garamond"/>
          <w:sz w:val="24"/>
          <w:szCs w:val="24"/>
        </w:rPr>
        <w:t xml:space="preserve">nalogický </w:t>
      </w:r>
      <w:r w:rsidR="006312E3" w:rsidRPr="00632E30">
        <w:rPr>
          <w:rFonts w:ascii="Garamond" w:hAnsi="Garamond"/>
          <w:sz w:val="24"/>
          <w:szCs w:val="24"/>
        </w:rPr>
        <w:t xml:space="preserve">problém z hlediska původce vzniku </w:t>
      </w:r>
      <w:r w:rsidR="007F30AB" w:rsidRPr="00632E30">
        <w:rPr>
          <w:rFonts w:ascii="Garamond" w:hAnsi="Garamond"/>
          <w:sz w:val="24"/>
          <w:szCs w:val="24"/>
        </w:rPr>
        <w:t xml:space="preserve">pravidel </w:t>
      </w:r>
      <w:r w:rsidR="00842C16" w:rsidRPr="00632E30">
        <w:rPr>
          <w:rFonts w:ascii="Garamond" w:hAnsi="Garamond"/>
          <w:sz w:val="24"/>
          <w:szCs w:val="24"/>
        </w:rPr>
        <w:t xml:space="preserve">byl detailněji řešen teorií v rámci zatížení strany důkazním břemenem. Objevují se prakticky totožné názorové proudy ohledně možností, ze kterých lze vyvodit základní pravidla o důkazním břemenu. Většinový názor upřednostňuje </w:t>
      </w:r>
      <w:r w:rsidR="0030020E" w:rsidRPr="00632E30">
        <w:rPr>
          <w:rFonts w:ascii="Garamond" w:hAnsi="Garamond"/>
          <w:sz w:val="24"/>
          <w:szCs w:val="24"/>
        </w:rPr>
        <w:t>jako</w:t>
      </w:r>
      <w:r w:rsidR="00842C16" w:rsidRPr="00632E30">
        <w:rPr>
          <w:rFonts w:ascii="Garamond" w:hAnsi="Garamond"/>
          <w:sz w:val="24"/>
          <w:szCs w:val="24"/>
        </w:rPr>
        <w:t xml:space="preserve"> zdroj těchto základních pravidel o důkazním břemenu především zákonnou úpravu a </w:t>
      </w:r>
      <w:r w:rsidR="0030020E" w:rsidRPr="00632E30">
        <w:rPr>
          <w:rFonts w:ascii="Garamond" w:hAnsi="Garamond"/>
          <w:sz w:val="24"/>
          <w:szCs w:val="24"/>
        </w:rPr>
        <w:t>kvituje</w:t>
      </w:r>
      <w:r w:rsidR="00842C16" w:rsidRPr="00632E30">
        <w:rPr>
          <w:rFonts w:ascii="Garamond" w:hAnsi="Garamond"/>
          <w:sz w:val="24"/>
          <w:szCs w:val="24"/>
        </w:rPr>
        <w:t xml:space="preserve"> jejich předem objektivní danost nezávislou na volné úvaze soudu.</w:t>
      </w:r>
      <w:r w:rsidR="00AF5CEB" w:rsidRPr="00632E30">
        <w:rPr>
          <w:rStyle w:val="Znakapoznpodarou"/>
          <w:rFonts w:ascii="Garamond" w:hAnsi="Garamond"/>
          <w:sz w:val="24"/>
          <w:szCs w:val="24"/>
        </w:rPr>
        <w:footnoteReference w:id="56"/>
      </w:r>
    </w:p>
    <w:p w14:paraId="664A826A" w14:textId="6ECEE0D8" w:rsidR="00842C16" w:rsidRPr="00632E30" w:rsidRDefault="0059550E" w:rsidP="0059550E">
      <w:pPr>
        <w:tabs>
          <w:tab w:val="left" w:pos="709"/>
        </w:tabs>
        <w:spacing w:line="360" w:lineRule="auto"/>
        <w:jc w:val="both"/>
        <w:rPr>
          <w:rFonts w:ascii="Garamond" w:hAnsi="Garamond"/>
          <w:sz w:val="24"/>
          <w:szCs w:val="24"/>
        </w:rPr>
      </w:pPr>
      <w:r>
        <w:rPr>
          <w:rFonts w:ascii="Garamond" w:hAnsi="Garamond"/>
          <w:sz w:val="24"/>
          <w:szCs w:val="24"/>
        </w:rPr>
        <w:tab/>
      </w:r>
      <w:r w:rsidR="00842C16" w:rsidRPr="00632E30">
        <w:rPr>
          <w:rFonts w:ascii="Garamond" w:hAnsi="Garamond"/>
          <w:sz w:val="24"/>
          <w:szCs w:val="24"/>
        </w:rPr>
        <w:t>Druhá koncepce obdobně jako v rámci druhého názorového proudu u vzniku proces</w:t>
      </w:r>
      <w:r w:rsidR="00CF6DAD" w:rsidRPr="00632E30">
        <w:rPr>
          <w:rFonts w:ascii="Garamond" w:hAnsi="Garamond"/>
          <w:sz w:val="24"/>
          <w:szCs w:val="24"/>
        </w:rPr>
        <w:t>ních povinností předpokládá při stanovení důkazního břemene ve všech jeho konkrétních případech přední úlohu soudu a jeho svobodné iniciativy. Soud v tomto pojetí autonomně na základě svého uvážení ukládá procesní straně důkazní břemeno. Důkazní břemeno tedy není předem dáno, vychází však ze soudního rozhodnutí. V rámci této konce</w:t>
      </w:r>
      <w:r w:rsidR="00D83B9C" w:rsidRPr="00632E30">
        <w:rPr>
          <w:rFonts w:ascii="Garamond" w:hAnsi="Garamond"/>
          <w:sz w:val="24"/>
          <w:szCs w:val="24"/>
        </w:rPr>
        <w:t xml:space="preserve">pce došli někteří autoři </w:t>
      </w:r>
      <w:r w:rsidR="0030020E" w:rsidRPr="00632E30">
        <w:rPr>
          <w:rFonts w:ascii="Garamond" w:hAnsi="Garamond"/>
          <w:sz w:val="24"/>
          <w:szCs w:val="24"/>
        </w:rPr>
        <w:t>k myšlence</w:t>
      </w:r>
      <w:r w:rsidR="00A9341C" w:rsidRPr="00632E30">
        <w:rPr>
          <w:rFonts w:ascii="Garamond" w:hAnsi="Garamond"/>
          <w:sz w:val="24"/>
          <w:szCs w:val="24"/>
        </w:rPr>
        <w:t xml:space="preserve"> úplné </w:t>
      </w:r>
      <w:r w:rsidR="00A9341C" w:rsidRPr="00632E30">
        <w:rPr>
          <w:rFonts w:ascii="Garamond" w:hAnsi="Garamond"/>
          <w:sz w:val="24"/>
          <w:szCs w:val="24"/>
        </w:rPr>
        <w:lastRenderedPageBreak/>
        <w:t xml:space="preserve">absence normativního základu při určování důkazního břemene s primem volné úvahy soudu při jeho určování v konkrétním sporu. Soudce se pak orientuje na podkladě kritérií vypracovaných teorií a praxí, ovšem bez povinnosti se jimi řídit, jelikož tato kritéria jsou pro něj nezávazná. </w:t>
      </w:r>
      <w:r w:rsidR="00AF5CEB" w:rsidRPr="00632E30">
        <w:rPr>
          <w:rStyle w:val="Znakapoznpodarou"/>
          <w:rFonts w:ascii="Garamond" w:hAnsi="Garamond"/>
          <w:sz w:val="24"/>
          <w:szCs w:val="24"/>
        </w:rPr>
        <w:footnoteReference w:id="57"/>
      </w:r>
    </w:p>
    <w:p w14:paraId="6609B695" w14:textId="77777777" w:rsidR="0059550E" w:rsidRDefault="0059550E" w:rsidP="0059550E">
      <w:pPr>
        <w:tabs>
          <w:tab w:val="left" w:pos="709"/>
        </w:tabs>
        <w:spacing w:line="360" w:lineRule="auto"/>
        <w:jc w:val="both"/>
        <w:rPr>
          <w:rFonts w:ascii="Garamond" w:hAnsi="Garamond"/>
          <w:i/>
          <w:sz w:val="24"/>
          <w:szCs w:val="24"/>
        </w:rPr>
      </w:pPr>
      <w:r>
        <w:rPr>
          <w:rFonts w:ascii="Garamond" w:hAnsi="Garamond"/>
          <w:sz w:val="24"/>
          <w:szCs w:val="24"/>
        </w:rPr>
        <w:tab/>
      </w:r>
      <w:r w:rsidR="00462B69" w:rsidRPr="00632E30">
        <w:rPr>
          <w:rFonts w:ascii="Garamond" w:hAnsi="Garamond"/>
          <w:sz w:val="24"/>
          <w:szCs w:val="24"/>
        </w:rPr>
        <w:t xml:space="preserve">Druhá koncepce je však neúnosná z důvodu </w:t>
      </w:r>
      <w:r w:rsidR="0094755A" w:rsidRPr="00632E30">
        <w:rPr>
          <w:rFonts w:ascii="Garamond" w:hAnsi="Garamond"/>
          <w:sz w:val="24"/>
          <w:szCs w:val="24"/>
        </w:rPr>
        <w:t xml:space="preserve">principu právní jistoty a vázanosti soudu zákonem, spolu s vyloučenou libovůlí soudu. Pokud má být v rámci civilního soudního řízení tak, jak je definován v § 1 </w:t>
      </w:r>
      <w:r w:rsidR="009D662E" w:rsidRPr="00632E30">
        <w:rPr>
          <w:rFonts w:ascii="Garamond" w:hAnsi="Garamond"/>
          <w:sz w:val="24"/>
          <w:szCs w:val="24"/>
        </w:rPr>
        <w:t>občanského soudního řádu</w:t>
      </w:r>
      <w:r w:rsidR="009D662E" w:rsidRPr="00632E30">
        <w:rPr>
          <w:rStyle w:val="Znakapoznpodarou"/>
          <w:rFonts w:ascii="Garamond" w:hAnsi="Garamond"/>
          <w:sz w:val="24"/>
          <w:szCs w:val="24"/>
        </w:rPr>
        <w:footnoteReference w:id="58"/>
      </w:r>
      <w:r w:rsidR="0094755A" w:rsidRPr="00632E30">
        <w:rPr>
          <w:rFonts w:ascii="Garamond" w:hAnsi="Garamond"/>
          <w:sz w:val="24"/>
          <w:szCs w:val="24"/>
        </w:rPr>
        <w:t xml:space="preserve">, zachován účel tohoto řízení ve smyslu poskytování spravedlivé ochrany soukromým </w:t>
      </w:r>
      <w:r w:rsidR="007C5E4A" w:rsidRPr="00632E30">
        <w:rPr>
          <w:rFonts w:ascii="Garamond" w:hAnsi="Garamond"/>
          <w:sz w:val="24"/>
          <w:szCs w:val="24"/>
        </w:rPr>
        <w:t>právům a</w:t>
      </w:r>
      <w:r w:rsidR="0094755A" w:rsidRPr="00632E30">
        <w:rPr>
          <w:rFonts w:ascii="Garamond" w:hAnsi="Garamond"/>
          <w:sz w:val="24"/>
          <w:szCs w:val="24"/>
        </w:rPr>
        <w:t xml:space="preserve"> oprávněným zájmům účastníků řízení, nelze rezignovat na předem jasně a určitě stanovená pravidla</w:t>
      </w:r>
      <w:r w:rsidR="0030020E" w:rsidRPr="00632E30">
        <w:rPr>
          <w:rFonts w:ascii="Garamond" w:hAnsi="Garamond"/>
          <w:sz w:val="24"/>
          <w:szCs w:val="24"/>
        </w:rPr>
        <w:t>,</w:t>
      </w:r>
      <w:r w:rsidR="0094755A" w:rsidRPr="00632E30">
        <w:rPr>
          <w:rFonts w:ascii="Garamond" w:hAnsi="Garamond"/>
          <w:sz w:val="24"/>
          <w:szCs w:val="24"/>
        </w:rPr>
        <w:t xml:space="preserve"> v nichž se může spor na základě zásady projednací mezi účastníky řízení plně rozvinout. Absence těchto pravidel opírajících se o zákonné ustanovení, respektive alespoň o jednotlivé </w:t>
      </w:r>
      <w:r w:rsidR="007C5E4A" w:rsidRPr="00632E30">
        <w:rPr>
          <w:rFonts w:ascii="Garamond" w:hAnsi="Garamond"/>
          <w:sz w:val="24"/>
          <w:szCs w:val="24"/>
        </w:rPr>
        <w:t>zásady,</w:t>
      </w:r>
      <w:r w:rsidR="0094755A" w:rsidRPr="00632E30">
        <w:rPr>
          <w:rFonts w:ascii="Garamond" w:hAnsi="Garamond"/>
          <w:sz w:val="24"/>
          <w:szCs w:val="24"/>
        </w:rPr>
        <w:t xml:space="preserve"> na nichž stojí civilní soudní řízení</w:t>
      </w:r>
      <w:r w:rsidR="00837A65" w:rsidRPr="00632E30">
        <w:rPr>
          <w:rFonts w:ascii="Garamond" w:hAnsi="Garamond"/>
          <w:sz w:val="24"/>
          <w:szCs w:val="24"/>
        </w:rPr>
        <w:t>,</w:t>
      </w:r>
      <w:r w:rsidR="0094755A" w:rsidRPr="00632E30">
        <w:rPr>
          <w:rFonts w:ascii="Garamond" w:hAnsi="Garamond"/>
          <w:sz w:val="24"/>
          <w:szCs w:val="24"/>
        </w:rPr>
        <w:t xml:space="preserve"> by </w:t>
      </w:r>
      <w:r w:rsidR="00614587" w:rsidRPr="00632E30">
        <w:rPr>
          <w:rFonts w:ascii="Garamond" w:hAnsi="Garamond"/>
          <w:sz w:val="24"/>
          <w:szCs w:val="24"/>
        </w:rPr>
        <w:t>měla</w:t>
      </w:r>
      <w:r w:rsidR="0094755A" w:rsidRPr="00632E30">
        <w:rPr>
          <w:rFonts w:ascii="Garamond" w:hAnsi="Garamond"/>
          <w:sz w:val="24"/>
          <w:szCs w:val="24"/>
        </w:rPr>
        <w:t xml:space="preserve"> dopad na právní jistotu a důvodné očekávání stran řízení</w:t>
      </w:r>
      <w:r w:rsidR="007C5E4A" w:rsidRPr="00632E30">
        <w:rPr>
          <w:rFonts w:ascii="Garamond" w:hAnsi="Garamond"/>
          <w:sz w:val="24"/>
          <w:szCs w:val="24"/>
        </w:rPr>
        <w:t xml:space="preserve"> o rozhodnutí jejich sporu. K tomuto blíže uvádí prof. Macur následovné: </w:t>
      </w:r>
      <w:r w:rsidR="007C5E4A" w:rsidRPr="00632E30">
        <w:rPr>
          <w:rFonts w:ascii="Garamond" w:hAnsi="Garamond"/>
          <w:i/>
          <w:sz w:val="24"/>
          <w:szCs w:val="24"/>
        </w:rPr>
        <w:t>„Jestliže podstatnou obsahovou náplň procesní činnosti stran tvoří uplatňování různých protikladných tvrzení a jejich dokazování, musí být pevně, podrobně a přesně stanovena také pravidla o důkazním břemenu, vnášející do civilního procesu potřebný řád, který umožňuje, aby se každá strana mohla ve sporu náležitě orientovat a zejména aby předem věděla, které skutečnosti má ve svém zájmu tvrdit a dokazovat, i jakými nepříznivými procesními důsledky bude zatížena, jestliže neunese břemeno tvrzení a břemeno důkazní. Kdyby soud v průběhu civilního řízení volnou úvahou libovolně určoval pravidla o důkazním břemenu pro každou jednotlivou procesní situaci zvlášť, bylo by to v rozporu se samotnou právní povahou civilního procesu.</w:t>
      </w:r>
      <w:r w:rsidR="00A04083" w:rsidRPr="00632E30">
        <w:rPr>
          <w:rFonts w:ascii="Garamond" w:hAnsi="Garamond"/>
          <w:i/>
          <w:sz w:val="24"/>
          <w:szCs w:val="24"/>
        </w:rPr>
        <w:t xml:space="preserve"> Pravidla o důkazním břemenu musí být předem jednoznačně stanovena a musejí být závazná pro strany i soud.“</w:t>
      </w:r>
      <w:r w:rsidR="00AF5CEB" w:rsidRPr="00632E30">
        <w:rPr>
          <w:rStyle w:val="Znakapoznpodarou"/>
          <w:rFonts w:ascii="Garamond" w:hAnsi="Garamond"/>
          <w:sz w:val="24"/>
          <w:szCs w:val="24"/>
        </w:rPr>
        <w:footnoteReference w:id="59"/>
      </w:r>
    </w:p>
    <w:p w14:paraId="304F7508" w14:textId="77777777" w:rsidR="0059550E" w:rsidRDefault="0059550E" w:rsidP="0059550E">
      <w:pPr>
        <w:tabs>
          <w:tab w:val="left" w:pos="709"/>
        </w:tabs>
        <w:spacing w:line="360" w:lineRule="auto"/>
        <w:jc w:val="both"/>
        <w:rPr>
          <w:rFonts w:ascii="Garamond" w:hAnsi="Garamond"/>
          <w:i/>
          <w:sz w:val="24"/>
          <w:szCs w:val="24"/>
        </w:rPr>
      </w:pPr>
      <w:r>
        <w:rPr>
          <w:rFonts w:ascii="Garamond" w:hAnsi="Garamond"/>
          <w:i/>
          <w:sz w:val="24"/>
          <w:szCs w:val="24"/>
        </w:rPr>
        <w:tab/>
      </w:r>
      <w:r w:rsidR="005664EE" w:rsidRPr="00632E30">
        <w:rPr>
          <w:rFonts w:ascii="Garamond" w:hAnsi="Garamond"/>
          <w:sz w:val="24"/>
          <w:szCs w:val="24"/>
        </w:rPr>
        <w:t>Podstata civilního sporného řízení, v němž strany spolu vzájemně soupeří</w:t>
      </w:r>
      <w:r w:rsidR="00E74A39" w:rsidRPr="00632E30">
        <w:rPr>
          <w:rFonts w:ascii="Garamond" w:hAnsi="Garamond"/>
          <w:sz w:val="24"/>
          <w:szCs w:val="24"/>
        </w:rPr>
        <w:t>,</w:t>
      </w:r>
      <w:r w:rsidR="005664EE" w:rsidRPr="00632E30">
        <w:rPr>
          <w:rFonts w:ascii="Garamond" w:hAnsi="Garamond"/>
          <w:sz w:val="24"/>
          <w:szCs w:val="24"/>
        </w:rPr>
        <w:t xml:space="preserve"> tedy předpokládá vyšší míru stability a podrobnosti při vymezení „pravidel hry“ pro strany řízení, včetně pravidel o důkazním břemenu. Takto vymezená pravidla pak </w:t>
      </w:r>
      <w:r w:rsidR="00614587" w:rsidRPr="00632E30">
        <w:rPr>
          <w:rFonts w:ascii="Garamond" w:hAnsi="Garamond"/>
          <w:sz w:val="24"/>
          <w:szCs w:val="24"/>
        </w:rPr>
        <w:t xml:space="preserve">tedy musí platit </w:t>
      </w:r>
      <w:r w:rsidR="005664EE" w:rsidRPr="00632E30">
        <w:rPr>
          <w:rFonts w:ascii="Garamond" w:hAnsi="Garamond"/>
          <w:sz w:val="24"/>
          <w:szCs w:val="24"/>
        </w:rPr>
        <w:t>nejen pro strany ř</w:t>
      </w:r>
      <w:r w:rsidR="00B001B5" w:rsidRPr="00632E30">
        <w:rPr>
          <w:rFonts w:ascii="Garamond" w:hAnsi="Garamond"/>
          <w:sz w:val="24"/>
          <w:szCs w:val="24"/>
        </w:rPr>
        <w:t>ízení, ale především</w:t>
      </w:r>
      <w:r w:rsidR="00E74A39" w:rsidRPr="00632E30">
        <w:rPr>
          <w:rFonts w:ascii="Garamond" w:hAnsi="Garamond"/>
          <w:sz w:val="24"/>
          <w:szCs w:val="24"/>
        </w:rPr>
        <w:t xml:space="preserve"> pro soud</w:t>
      </w:r>
      <w:r w:rsidR="00614587" w:rsidRPr="00632E30">
        <w:rPr>
          <w:rFonts w:ascii="Garamond" w:hAnsi="Garamond"/>
          <w:sz w:val="24"/>
          <w:szCs w:val="24"/>
        </w:rPr>
        <w:t>,</w:t>
      </w:r>
      <w:r w:rsidR="00E74A39" w:rsidRPr="00632E30">
        <w:rPr>
          <w:rFonts w:ascii="Garamond" w:hAnsi="Garamond"/>
          <w:sz w:val="24"/>
          <w:szCs w:val="24"/>
        </w:rPr>
        <w:t xml:space="preserve"> nemá-li se dopouštět svévole. </w:t>
      </w:r>
    </w:p>
    <w:p w14:paraId="3167C620" w14:textId="734979E3" w:rsidR="005664EE" w:rsidRPr="0059550E" w:rsidRDefault="0059550E" w:rsidP="0059550E">
      <w:pPr>
        <w:tabs>
          <w:tab w:val="left" w:pos="709"/>
        </w:tabs>
        <w:spacing w:line="360" w:lineRule="auto"/>
        <w:jc w:val="both"/>
        <w:rPr>
          <w:rFonts w:ascii="Garamond" w:hAnsi="Garamond"/>
          <w:i/>
          <w:sz w:val="24"/>
          <w:szCs w:val="24"/>
        </w:rPr>
      </w:pPr>
      <w:r>
        <w:rPr>
          <w:rFonts w:ascii="Garamond" w:hAnsi="Garamond"/>
          <w:i/>
          <w:sz w:val="24"/>
          <w:szCs w:val="24"/>
        </w:rPr>
        <w:tab/>
      </w:r>
      <w:r w:rsidR="00E74A39" w:rsidRPr="00632E30">
        <w:rPr>
          <w:rFonts w:ascii="Garamond" w:hAnsi="Garamond"/>
          <w:sz w:val="24"/>
          <w:szCs w:val="24"/>
        </w:rPr>
        <w:t xml:space="preserve">Pokud pro řádné fungování civilního procesu mají být </w:t>
      </w:r>
      <w:r w:rsidR="007F25F1" w:rsidRPr="00632E30">
        <w:rPr>
          <w:rFonts w:ascii="Garamond" w:hAnsi="Garamond"/>
          <w:sz w:val="24"/>
          <w:szCs w:val="24"/>
        </w:rPr>
        <w:t>stanovena</w:t>
      </w:r>
      <w:r w:rsidR="00E74A39" w:rsidRPr="00632E30">
        <w:rPr>
          <w:rFonts w:ascii="Garamond" w:hAnsi="Garamond"/>
          <w:sz w:val="24"/>
          <w:szCs w:val="24"/>
        </w:rPr>
        <w:t xml:space="preserve"> předem jasná a určitá pravidla hry, předně pro vznik a dělení důkazního břemene, není zde důvodu, proč by to samé nemělo platit o jiných procesních břemenech včetně procesních povinností. Vrátíme-li se na začátek této podkapitoly, kde byly předestřeny dvě obdobné teorie ohledně vzniku a dělení procesních povinností, respektive povinnosti vysvětlovací, lze dospět </w:t>
      </w:r>
      <w:r w:rsidR="00E249A8" w:rsidRPr="00632E30">
        <w:rPr>
          <w:rFonts w:ascii="Garamond" w:hAnsi="Garamond"/>
          <w:sz w:val="24"/>
          <w:szCs w:val="24"/>
        </w:rPr>
        <w:t xml:space="preserve">na základě analogie se závěry u </w:t>
      </w:r>
      <w:r w:rsidR="00E74A39" w:rsidRPr="00632E30">
        <w:rPr>
          <w:rFonts w:ascii="Garamond" w:hAnsi="Garamond"/>
          <w:sz w:val="24"/>
          <w:szCs w:val="24"/>
        </w:rPr>
        <w:t xml:space="preserve">řešení problematiky </w:t>
      </w:r>
      <w:r w:rsidR="00E249A8" w:rsidRPr="00632E30">
        <w:rPr>
          <w:rFonts w:ascii="Garamond" w:hAnsi="Garamond"/>
          <w:sz w:val="24"/>
          <w:szCs w:val="24"/>
        </w:rPr>
        <w:t>vzniku a dělení důkazních břemen k</w:t>
      </w:r>
      <w:r w:rsidR="00E51C05" w:rsidRPr="00632E30">
        <w:rPr>
          <w:rFonts w:ascii="Garamond" w:hAnsi="Garamond"/>
          <w:sz w:val="24"/>
          <w:szCs w:val="24"/>
        </w:rPr>
        <w:t> </w:t>
      </w:r>
      <w:r w:rsidR="00E249A8" w:rsidRPr="00632E30">
        <w:rPr>
          <w:rFonts w:ascii="Garamond" w:hAnsi="Garamond"/>
          <w:sz w:val="24"/>
          <w:szCs w:val="24"/>
        </w:rPr>
        <w:t>obdobnému</w:t>
      </w:r>
      <w:r w:rsidR="00E51C05" w:rsidRPr="00632E30">
        <w:rPr>
          <w:rFonts w:ascii="Garamond" w:hAnsi="Garamond"/>
          <w:sz w:val="24"/>
          <w:szCs w:val="24"/>
        </w:rPr>
        <w:t>, t</w:t>
      </w:r>
      <w:r w:rsidR="00E249A8" w:rsidRPr="00632E30">
        <w:rPr>
          <w:rFonts w:ascii="Garamond" w:hAnsi="Garamond"/>
          <w:sz w:val="24"/>
          <w:szCs w:val="24"/>
        </w:rPr>
        <w:t xml:space="preserve">edy k nezbytnosti předem </w:t>
      </w:r>
      <w:r w:rsidR="00E249A8" w:rsidRPr="00632E30">
        <w:rPr>
          <w:rFonts w:ascii="Garamond" w:hAnsi="Garamond"/>
          <w:sz w:val="24"/>
          <w:szCs w:val="24"/>
        </w:rPr>
        <w:lastRenderedPageBreak/>
        <w:t>jasně stanovených pravidel pro vznik a dělení procesních povinností</w:t>
      </w:r>
      <w:r w:rsidR="009A22CC" w:rsidRPr="00632E30">
        <w:rPr>
          <w:rFonts w:ascii="Garamond" w:hAnsi="Garamond"/>
          <w:sz w:val="24"/>
          <w:szCs w:val="24"/>
        </w:rPr>
        <w:t>,</w:t>
      </w:r>
      <w:r w:rsidR="00E249A8" w:rsidRPr="00632E30">
        <w:rPr>
          <w:rFonts w:ascii="Garamond" w:hAnsi="Garamond"/>
          <w:sz w:val="24"/>
          <w:szCs w:val="24"/>
        </w:rPr>
        <w:t xml:space="preserve"> vysvětlovací povinnost nevyjímaje, ať už na základě zákona či zásad</w:t>
      </w:r>
      <w:r w:rsidR="00B0570C" w:rsidRPr="00632E30">
        <w:rPr>
          <w:rFonts w:ascii="Garamond" w:hAnsi="Garamond"/>
          <w:sz w:val="24"/>
          <w:szCs w:val="24"/>
        </w:rPr>
        <w:t>,</w:t>
      </w:r>
      <w:r w:rsidR="00E249A8" w:rsidRPr="00632E30">
        <w:rPr>
          <w:rFonts w:ascii="Garamond" w:hAnsi="Garamond"/>
          <w:sz w:val="24"/>
          <w:szCs w:val="24"/>
        </w:rPr>
        <w:t xml:space="preserve"> na kterých stojí civilní právo procesní.</w:t>
      </w:r>
      <w:r w:rsidR="005E38E0" w:rsidRPr="00632E30">
        <w:rPr>
          <w:rStyle w:val="Znakapoznpodarou"/>
          <w:rFonts w:ascii="Garamond" w:hAnsi="Garamond"/>
          <w:sz w:val="24"/>
          <w:szCs w:val="24"/>
        </w:rPr>
        <w:footnoteReference w:id="60"/>
      </w:r>
    </w:p>
    <w:p w14:paraId="159BBBA7" w14:textId="0984E5F2" w:rsidR="005664EE" w:rsidRPr="00632E30" w:rsidRDefault="009D2498" w:rsidP="00BE56B8">
      <w:pPr>
        <w:pStyle w:val="Nadpis2"/>
        <w:numPr>
          <w:ilvl w:val="1"/>
          <w:numId w:val="28"/>
        </w:numPr>
        <w:spacing w:before="160" w:after="160"/>
        <w:rPr>
          <w:rFonts w:ascii="Garamond" w:hAnsi="Garamond"/>
          <w:b/>
          <w:color w:val="auto"/>
        </w:rPr>
      </w:pPr>
      <w:bookmarkStart w:id="30" w:name="_Toc17881137"/>
      <w:r w:rsidRPr="00632E30">
        <w:rPr>
          <w:rFonts w:ascii="Garamond" w:hAnsi="Garamond"/>
          <w:b/>
          <w:color w:val="auto"/>
        </w:rPr>
        <w:t>Rozsah vysvětlovací povinnost</w:t>
      </w:r>
      <w:bookmarkEnd w:id="30"/>
    </w:p>
    <w:p w14:paraId="64464663" w14:textId="77777777" w:rsidR="0059550E" w:rsidRDefault="0059550E" w:rsidP="0059550E">
      <w:pPr>
        <w:tabs>
          <w:tab w:val="left" w:pos="709"/>
        </w:tabs>
        <w:spacing w:line="360" w:lineRule="auto"/>
        <w:jc w:val="both"/>
        <w:rPr>
          <w:rFonts w:ascii="Garamond" w:hAnsi="Garamond"/>
          <w:sz w:val="24"/>
          <w:szCs w:val="24"/>
        </w:rPr>
      </w:pPr>
      <w:r>
        <w:rPr>
          <w:rFonts w:ascii="Garamond" w:hAnsi="Garamond"/>
          <w:sz w:val="24"/>
          <w:szCs w:val="24"/>
        </w:rPr>
        <w:tab/>
      </w:r>
      <w:r w:rsidR="009221AF" w:rsidRPr="00632E30">
        <w:rPr>
          <w:rFonts w:ascii="Garamond" w:hAnsi="Garamond"/>
          <w:sz w:val="24"/>
          <w:szCs w:val="24"/>
        </w:rPr>
        <w:t>V </w:t>
      </w:r>
      <w:r w:rsidR="009D2498" w:rsidRPr="00632E30">
        <w:rPr>
          <w:rFonts w:ascii="Garamond" w:hAnsi="Garamond"/>
          <w:sz w:val="24"/>
          <w:szCs w:val="24"/>
        </w:rPr>
        <w:t>průběhu</w:t>
      </w:r>
      <w:r w:rsidR="009221AF" w:rsidRPr="00632E30">
        <w:rPr>
          <w:rFonts w:ascii="Garamond" w:hAnsi="Garamond"/>
          <w:sz w:val="24"/>
          <w:szCs w:val="24"/>
        </w:rPr>
        <w:t xml:space="preserve"> druhé poloviny dvacátého století</w:t>
      </w:r>
      <w:r w:rsidR="009D2498" w:rsidRPr="00632E30">
        <w:rPr>
          <w:rFonts w:ascii="Garamond" w:hAnsi="Garamond"/>
          <w:sz w:val="24"/>
          <w:szCs w:val="24"/>
        </w:rPr>
        <w:t xml:space="preserve"> prodělala teorie civilního práva procesního </w:t>
      </w:r>
      <w:r w:rsidR="009221AF" w:rsidRPr="00632E30">
        <w:rPr>
          <w:rFonts w:ascii="Garamond" w:hAnsi="Garamond"/>
          <w:sz w:val="24"/>
          <w:szCs w:val="24"/>
        </w:rPr>
        <w:t>v</w:t>
      </w:r>
      <w:r w:rsidR="009D2498" w:rsidRPr="00632E30">
        <w:rPr>
          <w:rFonts w:ascii="Garamond" w:hAnsi="Garamond"/>
          <w:sz w:val="24"/>
          <w:szCs w:val="24"/>
        </w:rPr>
        <w:t xml:space="preserve"> institutu vysvětlovací povinnosti značný vývoj, a to od původně široce uznávané k</w:t>
      </w:r>
      <w:r w:rsidR="00EA17C5" w:rsidRPr="00632E30">
        <w:rPr>
          <w:rFonts w:ascii="Garamond" w:hAnsi="Garamond"/>
          <w:sz w:val="24"/>
          <w:szCs w:val="24"/>
        </w:rPr>
        <w:t>oncepce vysvětlovací povinnosti</w:t>
      </w:r>
      <w:r w:rsidR="009D2498" w:rsidRPr="00632E30">
        <w:rPr>
          <w:rFonts w:ascii="Garamond" w:hAnsi="Garamond"/>
          <w:sz w:val="24"/>
          <w:szCs w:val="24"/>
        </w:rPr>
        <w:t xml:space="preserve"> až k umírněnějším a opatrnějším tendencím rozsahu této povinnosti.</w:t>
      </w:r>
      <w:r w:rsidR="008004F2" w:rsidRPr="00632E30">
        <w:rPr>
          <w:rStyle w:val="Znakapoznpodarou"/>
          <w:rFonts w:ascii="Garamond" w:hAnsi="Garamond"/>
          <w:sz w:val="24"/>
          <w:szCs w:val="24"/>
        </w:rPr>
        <w:footnoteReference w:id="61"/>
      </w:r>
      <w:r w:rsidR="009D2498" w:rsidRPr="00632E30">
        <w:rPr>
          <w:rFonts w:ascii="Garamond" w:hAnsi="Garamond"/>
          <w:sz w:val="24"/>
          <w:szCs w:val="24"/>
        </w:rPr>
        <w:t xml:space="preserve"> </w:t>
      </w:r>
    </w:p>
    <w:p w14:paraId="2173AB0F" w14:textId="77777777" w:rsidR="0059550E" w:rsidRDefault="0059550E" w:rsidP="0059550E">
      <w:pPr>
        <w:tabs>
          <w:tab w:val="left" w:pos="709"/>
        </w:tabs>
        <w:spacing w:line="360" w:lineRule="auto"/>
        <w:jc w:val="both"/>
        <w:rPr>
          <w:rFonts w:ascii="Garamond" w:hAnsi="Garamond"/>
          <w:sz w:val="24"/>
          <w:szCs w:val="24"/>
        </w:rPr>
      </w:pPr>
      <w:r>
        <w:rPr>
          <w:rFonts w:ascii="Garamond" w:hAnsi="Garamond"/>
          <w:sz w:val="24"/>
          <w:szCs w:val="24"/>
        </w:rPr>
        <w:tab/>
      </w:r>
      <w:r w:rsidR="00FF1E1E" w:rsidRPr="00632E30">
        <w:rPr>
          <w:rFonts w:ascii="Garamond" w:hAnsi="Garamond"/>
          <w:sz w:val="24"/>
          <w:szCs w:val="24"/>
        </w:rPr>
        <w:t>Jedna z původních teorií</w:t>
      </w:r>
      <w:r w:rsidR="00EA17C5" w:rsidRPr="00632E30">
        <w:rPr>
          <w:rFonts w:ascii="Garamond" w:hAnsi="Garamond"/>
          <w:sz w:val="24"/>
          <w:szCs w:val="24"/>
        </w:rPr>
        <w:t>, která upřednostňuje</w:t>
      </w:r>
      <w:r w:rsidR="00FF1E1E" w:rsidRPr="00632E30">
        <w:rPr>
          <w:rFonts w:ascii="Garamond" w:hAnsi="Garamond"/>
          <w:sz w:val="24"/>
          <w:szCs w:val="24"/>
        </w:rPr>
        <w:t xml:space="preserve"> širokou míru vysvětlovací povinnosti</w:t>
      </w:r>
      <w:r w:rsidR="00EA17C5" w:rsidRPr="00632E30">
        <w:rPr>
          <w:rFonts w:ascii="Garamond" w:hAnsi="Garamond"/>
          <w:sz w:val="24"/>
          <w:szCs w:val="24"/>
        </w:rPr>
        <w:t>,</w:t>
      </w:r>
      <w:r w:rsidR="00FF1E1E" w:rsidRPr="00632E30">
        <w:rPr>
          <w:rFonts w:ascii="Garamond" w:hAnsi="Garamond"/>
          <w:sz w:val="24"/>
          <w:szCs w:val="24"/>
        </w:rPr>
        <w:t xml:space="preserve"> se objevila po druhé světové válce. V jejím rámci se objevují názo</w:t>
      </w:r>
      <w:r w:rsidR="00811FE8" w:rsidRPr="00632E30">
        <w:rPr>
          <w:rFonts w:ascii="Garamond" w:hAnsi="Garamond"/>
          <w:sz w:val="24"/>
          <w:szCs w:val="24"/>
        </w:rPr>
        <w:t>ry relativizující význam zásady projednací, jež dle těchto názorů nemá v civilním soudním řízení většího významu. Dle a</w:t>
      </w:r>
      <w:r w:rsidR="00F13571" w:rsidRPr="00632E30">
        <w:rPr>
          <w:rFonts w:ascii="Garamond" w:hAnsi="Garamond"/>
          <w:sz w:val="24"/>
          <w:szCs w:val="24"/>
        </w:rPr>
        <w:t>utorů zastávající</w:t>
      </w:r>
      <w:r w:rsidR="00EA17C5" w:rsidRPr="00632E30">
        <w:rPr>
          <w:rFonts w:ascii="Garamond" w:hAnsi="Garamond"/>
          <w:sz w:val="24"/>
          <w:szCs w:val="24"/>
        </w:rPr>
        <w:t>ch</w:t>
      </w:r>
      <w:r w:rsidR="00F13571" w:rsidRPr="00632E30">
        <w:rPr>
          <w:rFonts w:ascii="Garamond" w:hAnsi="Garamond"/>
          <w:sz w:val="24"/>
          <w:szCs w:val="24"/>
        </w:rPr>
        <w:t xml:space="preserve"> koncepci široké </w:t>
      </w:r>
      <w:r w:rsidR="00811FE8" w:rsidRPr="00632E30">
        <w:rPr>
          <w:rFonts w:ascii="Garamond" w:hAnsi="Garamond"/>
          <w:sz w:val="24"/>
          <w:szCs w:val="24"/>
        </w:rPr>
        <w:t>vysvětlovací povinnosti je dělení zásady projednací a zásady vyšetřovací ryze teoretickou konstrukcí dělení dvou extrémních modelů</w:t>
      </w:r>
      <w:r w:rsidR="00EA17C5" w:rsidRPr="00632E30">
        <w:rPr>
          <w:rFonts w:ascii="Garamond" w:hAnsi="Garamond"/>
          <w:sz w:val="24"/>
          <w:szCs w:val="24"/>
        </w:rPr>
        <w:t>, které se v praxi ve své čisté podobě nevyskytují.</w:t>
      </w:r>
      <w:r w:rsidR="00811FE8" w:rsidRPr="00632E30">
        <w:rPr>
          <w:rFonts w:ascii="Garamond" w:hAnsi="Garamond"/>
          <w:sz w:val="24"/>
          <w:szCs w:val="24"/>
        </w:rPr>
        <w:t xml:space="preserve"> Jedná se o dělení bez hlubšího významu</w:t>
      </w:r>
      <w:r w:rsidR="00EA17C5" w:rsidRPr="00632E30">
        <w:rPr>
          <w:rFonts w:ascii="Garamond" w:hAnsi="Garamond"/>
          <w:sz w:val="24"/>
          <w:szCs w:val="24"/>
        </w:rPr>
        <w:t>, které je závislé</w:t>
      </w:r>
      <w:r w:rsidR="00811FE8" w:rsidRPr="00632E30">
        <w:rPr>
          <w:rFonts w:ascii="Garamond" w:hAnsi="Garamond"/>
          <w:sz w:val="24"/>
          <w:szCs w:val="24"/>
        </w:rPr>
        <w:t xml:space="preserve"> pouze na účelové úvaze zákonodárce, pro kterou situaci upřednostní konkrétní zásadu.</w:t>
      </w:r>
      <w:r w:rsidR="00802E9A" w:rsidRPr="00632E30">
        <w:rPr>
          <w:rFonts w:ascii="Garamond" w:hAnsi="Garamond"/>
          <w:sz w:val="24"/>
          <w:szCs w:val="24"/>
        </w:rPr>
        <w:t xml:space="preserve"> Rozlišování těchto zásad je pak dle některých autorů otázkou výběru pouze lepšího, respektive vhodnějšího technického prostředku pro snazší dosažení cíle civilního soudního řízení.</w:t>
      </w:r>
      <w:r w:rsidR="00621CC7" w:rsidRPr="00632E30">
        <w:rPr>
          <w:rStyle w:val="Znakapoznpodarou"/>
          <w:rFonts w:ascii="Garamond" w:hAnsi="Garamond"/>
          <w:sz w:val="24"/>
          <w:szCs w:val="24"/>
        </w:rPr>
        <w:footnoteReference w:id="62"/>
      </w:r>
    </w:p>
    <w:p w14:paraId="6629B0E0" w14:textId="77777777" w:rsidR="0059550E" w:rsidRDefault="0059550E" w:rsidP="0059550E">
      <w:pPr>
        <w:tabs>
          <w:tab w:val="left" w:pos="709"/>
        </w:tabs>
        <w:spacing w:line="360" w:lineRule="auto"/>
        <w:jc w:val="both"/>
        <w:rPr>
          <w:rFonts w:ascii="Garamond" w:hAnsi="Garamond"/>
          <w:sz w:val="24"/>
          <w:szCs w:val="24"/>
        </w:rPr>
      </w:pPr>
      <w:r>
        <w:rPr>
          <w:rFonts w:ascii="Garamond" w:hAnsi="Garamond"/>
          <w:sz w:val="24"/>
          <w:szCs w:val="24"/>
        </w:rPr>
        <w:tab/>
      </w:r>
      <w:r w:rsidR="004A4140" w:rsidRPr="00632E30">
        <w:rPr>
          <w:rFonts w:ascii="Garamond" w:hAnsi="Garamond"/>
          <w:sz w:val="24"/>
          <w:szCs w:val="24"/>
        </w:rPr>
        <w:t>Řešení pak spatřují v kladení</w:t>
      </w:r>
      <w:r w:rsidR="00811FE8" w:rsidRPr="00632E30">
        <w:rPr>
          <w:rFonts w:ascii="Garamond" w:hAnsi="Garamond"/>
          <w:sz w:val="24"/>
          <w:szCs w:val="24"/>
        </w:rPr>
        <w:t xml:space="preserve"> důrazu na zásad</w:t>
      </w:r>
      <w:r w:rsidR="00870823" w:rsidRPr="00632E30">
        <w:rPr>
          <w:rFonts w:ascii="Garamond" w:hAnsi="Garamond"/>
          <w:sz w:val="24"/>
          <w:szCs w:val="24"/>
        </w:rPr>
        <w:t xml:space="preserve">u pravdivosti, jež </w:t>
      </w:r>
      <w:r w:rsidR="00F13571" w:rsidRPr="00632E30">
        <w:rPr>
          <w:rFonts w:ascii="Garamond" w:hAnsi="Garamond"/>
          <w:sz w:val="24"/>
          <w:szCs w:val="24"/>
        </w:rPr>
        <w:t xml:space="preserve">stanovuje </w:t>
      </w:r>
      <w:r w:rsidR="00373E5E" w:rsidRPr="00632E30">
        <w:rPr>
          <w:rFonts w:ascii="Garamond" w:hAnsi="Garamond"/>
          <w:sz w:val="24"/>
          <w:szCs w:val="24"/>
        </w:rPr>
        <w:t>jasné meze pro další postup stran v</w:t>
      </w:r>
      <w:r w:rsidR="00224DB9" w:rsidRPr="00632E30">
        <w:rPr>
          <w:rFonts w:ascii="Garamond" w:hAnsi="Garamond"/>
          <w:sz w:val="24"/>
          <w:szCs w:val="24"/>
        </w:rPr>
        <w:t> </w:t>
      </w:r>
      <w:r w:rsidR="00373E5E" w:rsidRPr="00632E30">
        <w:rPr>
          <w:rFonts w:ascii="Garamond" w:hAnsi="Garamond"/>
          <w:sz w:val="24"/>
          <w:szCs w:val="24"/>
        </w:rPr>
        <w:t>řízení</w:t>
      </w:r>
      <w:r w:rsidR="00224DB9" w:rsidRPr="00632E30">
        <w:rPr>
          <w:rFonts w:ascii="Garamond" w:hAnsi="Garamond"/>
          <w:sz w:val="24"/>
          <w:szCs w:val="24"/>
        </w:rPr>
        <w:t>,</w:t>
      </w:r>
      <w:r w:rsidR="00373E5E" w:rsidRPr="00632E30">
        <w:rPr>
          <w:rFonts w:ascii="Garamond" w:hAnsi="Garamond"/>
          <w:sz w:val="24"/>
          <w:szCs w:val="24"/>
        </w:rPr>
        <w:t xml:space="preserve"> spolu</w:t>
      </w:r>
      <w:r w:rsidR="00F13571" w:rsidRPr="00632E30">
        <w:rPr>
          <w:rFonts w:ascii="Garamond" w:hAnsi="Garamond"/>
          <w:sz w:val="24"/>
          <w:szCs w:val="24"/>
        </w:rPr>
        <w:t xml:space="preserve"> s uplatněním zásady projednací. </w:t>
      </w:r>
      <w:r w:rsidR="0012010F" w:rsidRPr="00632E30">
        <w:rPr>
          <w:rFonts w:ascii="Garamond" w:hAnsi="Garamond"/>
          <w:sz w:val="24"/>
          <w:szCs w:val="24"/>
        </w:rPr>
        <w:t xml:space="preserve">V návaznosti na výše řečené vytvořil </w:t>
      </w:r>
      <w:proofErr w:type="spellStart"/>
      <w:r w:rsidR="00F13571" w:rsidRPr="00632E30">
        <w:rPr>
          <w:rFonts w:ascii="Garamond" w:hAnsi="Garamond"/>
          <w:sz w:val="24"/>
          <w:szCs w:val="24"/>
        </w:rPr>
        <w:t>S</w:t>
      </w:r>
      <w:r w:rsidR="00D60D13" w:rsidRPr="00632E30">
        <w:rPr>
          <w:rFonts w:ascii="Garamond" w:hAnsi="Garamond"/>
          <w:sz w:val="24"/>
          <w:szCs w:val="24"/>
        </w:rPr>
        <w:t>t</w:t>
      </w:r>
      <w:r w:rsidR="00F13571" w:rsidRPr="00632E30">
        <w:rPr>
          <w:rFonts w:ascii="Garamond" w:hAnsi="Garamond"/>
          <w:sz w:val="24"/>
          <w:szCs w:val="24"/>
        </w:rPr>
        <w:t>ürner</w:t>
      </w:r>
      <w:proofErr w:type="spellEnd"/>
      <w:r w:rsidR="00F13571" w:rsidRPr="00632E30">
        <w:rPr>
          <w:rFonts w:ascii="Garamond" w:hAnsi="Garamond"/>
          <w:sz w:val="24"/>
          <w:szCs w:val="24"/>
        </w:rPr>
        <w:t xml:space="preserve"> nov</w:t>
      </w:r>
      <w:r w:rsidR="0012010F" w:rsidRPr="00632E30">
        <w:rPr>
          <w:rFonts w:ascii="Garamond" w:hAnsi="Garamond"/>
          <w:sz w:val="24"/>
          <w:szCs w:val="24"/>
        </w:rPr>
        <w:t>ou</w:t>
      </w:r>
      <w:r w:rsidR="00F13571" w:rsidRPr="00632E30">
        <w:rPr>
          <w:rFonts w:ascii="Garamond" w:hAnsi="Garamond"/>
          <w:sz w:val="24"/>
          <w:szCs w:val="24"/>
        </w:rPr>
        <w:t xml:space="preserve"> koncepc</w:t>
      </w:r>
      <w:r w:rsidR="0012010F" w:rsidRPr="00632E30">
        <w:rPr>
          <w:rFonts w:ascii="Garamond" w:hAnsi="Garamond"/>
          <w:sz w:val="24"/>
          <w:szCs w:val="24"/>
        </w:rPr>
        <w:t>i</w:t>
      </w:r>
      <w:r w:rsidR="00F13571" w:rsidRPr="00632E30">
        <w:rPr>
          <w:rFonts w:ascii="Garamond" w:hAnsi="Garamond"/>
          <w:sz w:val="24"/>
          <w:szCs w:val="24"/>
        </w:rPr>
        <w:t xml:space="preserve"> tzv. ob</w:t>
      </w:r>
      <w:r w:rsidR="004F75AB" w:rsidRPr="00632E30">
        <w:rPr>
          <w:rFonts w:ascii="Garamond" w:hAnsi="Garamond"/>
          <w:sz w:val="24"/>
          <w:szCs w:val="24"/>
        </w:rPr>
        <w:t xml:space="preserve">ecné vysvětlovací povinnosti. Dle něj </w:t>
      </w:r>
      <w:r w:rsidR="00224DB9" w:rsidRPr="00632E30">
        <w:rPr>
          <w:rFonts w:ascii="Garamond" w:hAnsi="Garamond"/>
          <w:sz w:val="24"/>
          <w:szCs w:val="24"/>
        </w:rPr>
        <w:t xml:space="preserve">má být </w:t>
      </w:r>
      <w:r w:rsidR="004F75AB" w:rsidRPr="00632E30">
        <w:rPr>
          <w:rFonts w:ascii="Garamond" w:hAnsi="Garamond"/>
          <w:sz w:val="24"/>
          <w:szCs w:val="24"/>
        </w:rPr>
        <w:t>východiskem pro veškeré po</w:t>
      </w:r>
      <w:r w:rsidR="00224DB9" w:rsidRPr="00632E30">
        <w:rPr>
          <w:rFonts w:ascii="Garamond" w:hAnsi="Garamond"/>
          <w:sz w:val="24"/>
          <w:szCs w:val="24"/>
        </w:rPr>
        <w:t>užívání a rozvíjení práva</w:t>
      </w:r>
      <w:r w:rsidR="004F75AB" w:rsidRPr="00632E30">
        <w:rPr>
          <w:rFonts w:ascii="Garamond" w:hAnsi="Garamond"/>
          <w:sz w:val="24"/>
          <w:szCs w:val="24"/>
        </w:rPr>
        <w:t xml:space="preserve"> </w:t>
      </w:r>
      <w:r w:rsidR="004A4140" w:rsidRPr="00632E30">
        <w:rPr>
          <w:rFonts w:ascii="Garamond" w:hAnsi="Garamond"/>
          <w:sz w:val="24"/>
          <w:szCs w:val="24"/>
        </w:rPr>
        <w:t>nalézání pravdy při určitém pracovním společenství mezi stranami řízení.</w:t>
      </w:r>
      <w:r w:rsidR="004F75AB" w:rsidRPr="00632E30">
        <w:rPr>
          <w:rFonts w:ascii="Garamond" w:hAnsi="Garamond"/>
          <w:sz w:val="24"/>
          <w:szCs w:val="24"/>
        </w:rPr>
        <w:t xml:space="preserve"> Uvedené pojetí obecné vysvětlovací povinnosti odůvodňuje účelem civilního procesu, který plyne jak z ústavy, tak z celé </w:t>
      </w:r>
      <w:r w:rsidR="00224DB9" w:rsidRPr="00632E30">
        <w:rPr>
          <w:rFonts w:ascii="Garamond" w:hAnsi="Garamond"/>
          <w:sz w:val="24"/>
          <w:szCs w:val="24"/>
        </w:rPr>
        <w:t>konstrukce civilního soudního řádu</w:t>
      </w:r>
      <w:r w:rsidR="004F75AB" w:rsidRPr="00632E30">
        <w:rPr>
          <w:rFonts w:ascii="Garamond" w:hAnsi="Garamond"/>
          <w:sz w:val="24"/>
          <w:szCs w:val="24"/>
        </w:rPr>
        <w:t xml:space="preserve"> </w:t>
      </w:r>
      <w:r w:rsidR="00D60D13" w:rsidRPr="00632E30">
        <w:rPr>
          <w:rFonts w:ascii="Garamond" w:hAnsi="Garamond"/>
          <w:sz w:val="24"/>
          <w:szCs w:val="24"/>
        </w:rPr>
        <w:t>jako významného kritéria. Pro naplnění</w:t>
      </w:r>
      <w:r w:rsidR="004F75AB" w:rsidRPr="00632E30">
        <w:rPr>
          <w:rFonts w:ascii="Garamond" w:hAnsi="Garamond"/>
          <w:sz w:val="24"/>
          <w:szCs w:val="24"/>
        </w:rPr>
        <w:t> </w:t>
      </w:r>
      <w:r w:rsidR="00D60D13" w:rsidRPr="00632E30">
        <w:rPr>
          <w:rFonts w:ascii="Garamond" w:hAnsi="Garamond"/>
          <w:sz w:val="24"/>
          <w:szCs w:val="24"/>
        </w:rPr>
        <w:t>požadavků spravedlivého soudního procesu a principů</w:t>
      </w:r>
      <w:r w:rsidR="004F75AB" w:rsidRPr="00632E30">
        <w:rPr>
          <w:rFonts w:ascii="Garamond" w:hAnsi="Garamond"/>
          <w:sz w:val="24"/>
          <w:szCs w:val="24"/>
        </w:rPr>
        <w:t xml:space="preserve"> právního státu je nezbytné vyčerpat všechny prostředky zjištění pravdy, aniž by byla vyloučena jakákoliv možn</w:t>
      </w:r>
      <w:r w:rsidR="00D60D13" w:rsidRPr="00632E30">
        <w:rPr>
          <w:rFonts w:ascii="Garamond" w:hAnsi="Garamond"/>
          <w:sz w:val="24"/>
          <w:szCs w:val="24"/>
        </w:rPr>
        <w:t>ost objasnění skutkového stavu. V opačném případě, kdyby nebyla připuštěna v plném rozsahu možnost použití poznatků a důkazních prostředků, jimiž disponuje</w:t>
      </w:r>
      <w:r w:rsidR="00224DB9" w:rsidRPr="00632E30">
        <w:rPr>
          <w:rFonts w:ascii="Garamond" w:hAnsi="Garamond"/>
          <w:sz w:val="24"/>
          <w:szCs w:val="24"/>
        </w:rPr>
        <w:t xml:space="preserve"> druhá procesní strana</w:t>
      </w:r>
      <w:r w:rsidR="00D60D13" w:rsidRPr="00632E30">
        <w:rPr>
          <w:rFonts w:ascii="Garamond" w:hAnsi="Garamond"/>
          <w:sz w:val="24"/>
          <w:szCs w:val="24"/>
        </w:rPr>
        <w:t xml:space="preserve"> nezatížená důkazním břemenem, </w:t>
      </w:r>
      <w:r w:rsidR="00224DB9" w:rsidRPr="00632E30">
        <w:rPr>
          <w:rFonts w:ascii="Garamond" w:hAnsi="Garamond"/>
          <w:sz w:val="24"/>
          <w:szCs w:val="24"/>
        </w:rPr>
        <w:t xml:space="preserve">by se </w:t>
      </w:r>
      <w:r w:rsidR="00D60D13" w:rsidRPr="00632E30">
        <w:rPr>
          <w:rFonts w:ascii="Garamond" w:hAnsi="Garamond"/>
          <w:sz w:val="24"/>
          <w:szCs w:val="24"/>
        </w:rPr>
        <w:t xml:space="preserve">pravděpodobnost dosažení </w:t>
      </w:r>
      <w:r w:rsidR="00224DB9" w:rsidRPr="00632E30">
        <w:rPr>
          <w:rFonts w:ascii="Garamond" w:hAnsi="Garamond"/>
          <w:sz w:val="24"/>
          <w:szCs w:val="24"/>
        </w:rPr>
        <w:t>cíle civilního procesu</w:t>
      </w:r>
      <w:r w:rsidR="00D60D13" w:rsidRPr="00632E30">
        <w:rPr>
          <w:rFonts w:ascii="Garamond" w:hAnsi="Garamond"/>
          <w:sz w:val="24"/>
          <w:szCs w:val="24"/>
        </w:rPr>
        <w:t xml:space="preserve"> snížila, ne-li zcela vyloučila. </w:t>
      </w:r>
      <w:r w:rsidR="00B50709" w:rsidRPr="00632E30">
        <w:rPr>
          <w:rFonts w:ascii="Garamond" w:hAnsi="Garamond"/>
          <w:sz w:val="24"/>
          <w:szCs w:val="24"/>
        </w:rPr>
        <w:t>Nalézání pravdy, je</w:t>
      </w:r>
      <w:r w:rsidR="00C257F3" w:rsidRPr="00632E30">
        <w:rPr>
          <w:rFonts w:ascii="Garamond" w:hAnsi="Garamond"/>
          <w:sz w:val="24"/>
          <w:szCs w:val="24"/>
        </w:rPr>
        <w:t xml:space="preserve">ž by mělo být východiskem </w:t>
      </w:r>
      <w:r w:rsidR="00B50709" w:rsidRPr="00632E30">
        <w:rPr>
          <w:rFonts w:ascii="Garamond" w:hAnsi="Garamond"/>
          <w:sz w:val="24"/>
          <w:szCs w:val="24"/>
        </w:rPr>
        <w:t xml:space="preserve">i cílem </w:t>
      </w:r>
      <w:r w:rsidR="00C257F3" w:rsidRPr="00632E30">
        <w:rPr>
          <w:rFonts w:ascii="Garamond" w:hAnsi="Garamond"/>
          <w:sz w:val="24"/>
          <w:szCs w:val="24"/>
        </w:rPr>
        <w:t xml:space="preserve">civilního procesu při poskytování ochrany </w:t>
      </w:r>
      <w:r w:rsidR="00B50709" w:rsidRPr="00632E30">
        <w:rPr>
          <w:rFonts w:ascii="Garamond" w:hAnsi="Garamond"/>
          <w:sz w:val="24"/>
          <w:szCs w:val="24"/>
        </w:rPr>
        <w:t>subjektivním právům</w:t>
      </w:r>
      <w:r w:rsidR="00224DB9" w:rsidRPr="00632E30">
        <w:rPr>
          <w:rFonts w:ascii="Garamond" w:hAnsi="Garamond"/>
          <w:sz w:val="24"/>
          <w:szCs w:val="24"/>
        </w:rPr>
        <w:t>,</w:t>
      </w:r>
      <w:r w:rsidR="00B50709" w:rsidRPr="00632E30">
        <w:rPr>
          <w:rFonts w:ascii="Garamond" w:hAnsi="Garamond"/>
          <w:sz w:val="24"/>
          <w:szCs w:val="24"/>
        </w:rPr>
        <w:t xml:space="preserve"> je dle tohoto mínění nemyslitelné bez obsáhlé vysvětlovací povinnosti.</w:t>
      </w:r>
      <w:r w:rsidR="00466B17" w:rsidRPr="00632E30">
        <w:rPr>
          <w:rFonts w:ascii="Garamond" w:hAnsi="Garamond"/>
          <w:sz w:val="24"/>
          <w:szCs w:val="24"/>
        </w:rPr>
        <w:t xml:space="preserve"> Individuální zájmy strany nezatížené důkazním břemenem, které jsou v rozporu s vysvětleními, jež by měla tato strana poskytnout v rámci splnění své vysvětlovací </w:t>
      </w:r>
      <w:r w:rsidR="00466B17" w:rsidRPr="00632E30">
        <w:rPr>
          <w:rFonts w:ascii="Garamond" w:hAnsi="Garamond"/>
          <w:sz w:val="24"/>
          <w:szCs w:val="24"/>
        </w:rPr>
        <w:lastRenderedPageBreak/>
        <w:t xml:space="preserve">povinnosti, musí nutně ustoupit vyššímu zájmu, jímž je nalézání pravdy </w:t>
      </w:r>
      <w:r w:rsidR="00B50709" w:rsidRPr="00632E30">
        <w:rPr>
          <w:rFonts w:ascii="Garamond" w:hAnsi="Garamond"/>
          <w:sz w:val="24"/>
          <w:szCs w:val="24"/>
        </w:rPr>
        <w:t>pro individuální právní ochranu</w:t>
      </w:r>
      <w:r w:rsidR="00466B17" w:rsidRPr="00632E30">
        <w:rPr>
          <w:rFonts w:ascii="Garamond" w:hAnsi="Garamond"/>
          <w:sz w:val="24"/>
          <w:szCs w:val="24"/>
        </w:rPr>
        <w:t xml:space="preserve"> skutečných subjektivních práv</w:t>
      </w:r>
      <w:r w:rsidR="00B50709" w:rsidRPr="00632E30">
        <w:rPr>
          <w:rFonts w:ascii="Garamond" w:hAnsi="Garamond"/>
          <w:sz w:val="24"/>
          <w:szCs w:val="24"/>
        </w:rPr>
        <w:t xml:space="preserve"> a řádné fungování právního státu. Za těchto okolností je </w:t>
      </w:r>
      <w:r w:rsidR="00466B17" w:rsidRPr="00632E30">
        <w:rPr>
          <w:rFonts w:ascii="Garamond" w:hAnsi="Garamond"/>
          <w:sz w:val="24"/>
          <w:szCs w:val="24"/>
        </w:rPr>
        <w:t xml:space="preserve">dle zastánců této koncepce </w:t>
      </w:r>
      <w:r w:rsidR="00B50709" w:rsidRPr="00632E30">
        <w:rPr>
          <w:rFonts w:ascii="Garamond" w:hAnsi="Garamond"/>
          <w:sz w:val="24"/>
          <w:szCs w:val="24"/>
        </w:rPr>
        <w:t>dostatečně odůvodněno uložení obecné vysvětlovací povinnosti každému občanovi.</w:t>
      </w:r>
      <w:r w:rsidR="004A4140" w:rsidRPr="00632E30">
        <w:rPr>
          <w:rFonts w:ascii="Garamond" w:hAnsi="Garamond"/>
          <w:sz w:val="24"/>
          <w:szCs w:val="24"/>
        </w:rPr>
        <w:t xml:space="preserve"> </w:t>
      </w:r>
      <w:r w:rsidR="00621CC7" w:rsidRPr="00632E30">
        <w:rPr>
          <w:rStyle w:val="Znakapoznpodarou"/>
          <w:rFonts w:ascii="Garamond" w:hAnsi="Garamond"/>
          <w:sz w:val="24"/>
          <w:szCs w:val="24"/>
        </w:rPr>
        <w:footnoteReference w:id="63"/>
      </w:r>
    </w:p>
    <w:p w14:paraId="50213AF9" w14:textId="77777777" w:rsidR="0059550E" w:rsidRDefault="0059550E" w:rsidP="0059550E">
      <w:pPr>
        <w:tabs>
          <w:tab w:val="left" w:pos="709"/>
        </w:tabs>
        <w:spacing w:line="360" w:lineRule="auto"/>
        <w:jc w:val="both"/>
        <w:rPr>
          <w:rFonts w:ascii="Garamond" w:hAnsi="Garamond"/>
          <w:sz w:val="24"/>
          <w:szCs w:val="24"/>
        </w:rPr>
      </w:pPr>
      <w:r>
        <w:rPr>
          <w:rFonts w:ascii="Garamond" w:hAnsi="Garamond"/>
          <w:sz w:val="24"/>
          <w:szCs w:val="24"/>
        </w:rPr>
        <w:tab/>
      </w:r>
      <w:r w:rsidR="00B50709" w:rsidRPr="00632E30">
        <w:rPr>
          <w:rFonts w:ascii="Garamond" w:hAnsi="Garamond"/>
          <w:sz w:val="24"/>
          <w:szCs w:val="24"/>
        </w:rPr>
        <w:t>Vznikem teorie široké koncepce vysvětlovací povinnosti autoři v období po d</w:t>
      </w:r>
      <w:r w:rsidR="00646438" w:rsidRPr="00632E30">
        <w:rPr>
          <w:rFonts w:ascii="Garamond" w:hAnsi="Garamond"/>
          <w:sz w:val="24"/>
          <w:szCs w:val="24"/>
        </w:rPr>
        <w:t>ruhé světové válce reagovali na předcházející deformace a nedostatky předcházejícího období v rámci civilního soudního procesu. Společným rysem těchto širokých koncepcí vysvětlovacích povinností je kladení důrazu na nalézání pravdy soudem, jako korekci účelového zneužívání justice v průběhu válečného období, kdy docházelo k častému rozhodování v rozporu se skutečnými hmotněprá</w:t>
      </w:r>
      <w:r w:rsidR="00567EAB" w:rsidRPr="00632E30">
        <w:rPr>
          <w:rFonts w:ascii="Garamond" w:hAnsi="Garamond"/>
          <w:sz w:val="24"/>
          <w:szCs w:val="24"/>
        </w:rPr>
        <w:t>vními vztahy a neposkytování</w:t>
      </w:r>
      <w:r w:rsidR="00646438" w:rsidRPr="00632E30">
        <w:rPr>
          <w:rFonts w:ascii="Garamond" w:hAnsi="Garamond"/>
          <w:sz w:val="24"/>
          <w:szCs w:val="24"/>
        </w:rPr>
        <w:t xml:space="preserve"> ochrany subjektivním soukrom</w:t>
      </w:r>
      <w:r w:rsidR="00567EAB" w:rsidRPr="00632E30">
        <w:rPr>
          <w:rFonts w:ascii="Garamond" w:hAnsi="Garamond"/>
          <w:sz w:val="24"/>
          <w:szCs w:val="24"/>
        </w:rPr>
        <w:t>ým právům. Pochopitelný úmysl nápravy</w:t>
      </w:r>
      <w:r w:rsidR="00646438" w:rsidRPr="00632E30">
        <w:rPr>
          <w:rFonts w:ascii="Garamond" w:hAnsi="Garamond"/>
          <w:sz w:val="24"/>
          <w:szCs w:val="24"/>
        </w:rPr>
        <w:t xml:space="preserve"> těchto křivd však vedl při </w:t>
      </w:r>
      <w:r w:rsidR="004A4140" w:rsidRPr="00632E30">
        <w:rPr>
          <w:rFonts w:ascii="Garamond" w:hAnsi="Garamond"/>
          <w:sz w:val="24"/>
          <w:szCs w:val="24"/>
        </w:rPr>
        <w:t xml:space="preserve">jednostranném </w:t>
      </w:r>
      <w:r w:rsidR="00646438" w:rsidRPr="00632E30">
        <w:rPr>
          <w:rFonts w:ascii="Garamond" w:hAnsi="Garamond"/>
          <w:sz w:val="24"/>
          <w:szCs w:val="24"/>
        </w:rPr>
        <w:t>klade</w:t>
      </w:r>
      <w:r w:rsidR="004A4140" w:rsidRPr="00632E30">
        <w:rPr>
          <w:rFonts w:ascii="Garamond" w:hAnsi="Garamond"/>
          <w:sz w:val="24"/>
          <w:szCs w:val="24"/>
        </w:rPr>
        <w:t>ní důrazu na nalézání pravdy k ignorování faktu, že civilní soudní řízení nestojí pouze na pravdivém zjišťování rozhodných skutečností, ale i na dalších důležitých kritériích.</w:t>
      </w:r>
      <w:r w:rsidR="00621CC7" w:rsidRPr="00632E30">
        <w:rPr>
          <w:rStyle w:val="Znakapoznpodarou"/>
          <w:rFonts w:ascii="Garamond" w:hAnsi="Garamond"/>
          <w:sz w:val="24"/>
          <w:szCs w:val="24"/>
        </w:rPr>
        <w:footnoteReference w:id="64"/>
      </w:r>
      <w:r w:rsidR="004A4140" w:rsidRPr="00632E30">
        <w:rPr>
          <w:rFonts w:ascii="Garamond" w:hAnsi="Garamond"/>
          <w:sz w:val="24"/>
          <w:szCs w:val="24"/>
        </w:rPr>
        <w:t xml:space="preserve"> </w:t>
      </w:r>
    </w:p>
    <w:p w14:paraId="4B3EB52E" w14:textId="25E04F08" w:rsidR="004A4140" w:rsidRPr="00632E30" w:rsidRDefault="0059550E" w:rsidP="0059550E">
      <w:pPr>
        <w:tabs>
          <w:tab w:val="left" w:pos="709"/>
        </w:tabs>
        <w:spacing w:line="360" w:lineRule="auto"/>
        <w:jc w:val="both"/>
        <w:rPr>
          <w:rFonts w:ascii="Garamond" w:hAnsi="Garamond"/>
          <w:sz w:val="24"/>
          <w:szCs w:val="24"/>
        </w:rPr>
      </w:pPr>
      <w:r>
        <w:rPr>
          <w:rFonts w:ascii="Garamond" w:hAnsi="Garamond"/>
          <w:sz w:val="24"/>
          <w:szCs w:val="24"/>
        </w:rPr>
        <w:tab/>
      </w:r>
      <w:r w:rsidR="00E17778" w:rsidRPr="00632E30">
        <w:rPr>
          <w:rFonts w:ascii="Garamond" w:hAnsi="Garamond"/>
          <w:sz w:val="24"/>
          <w:szCs w:val="24"/>
        </w:rPr>
        <w:t>N</w:t>
      </w:r>
      <w:r w:rsidR="004279C1" w:rsidRPr="00632E30">
        <w:rPr>
          <w:rFonts w:ascii="Garamond" w:hAnsi="Garamond"/>
          <w:sz w:val="24"/>
          <w:szCs w:val="24"/>
        </w:rPr>
        <w:t>alézání pravdy není tedy jediným kritériem při poskytování právní ochrany ohroženým nebo porušeným subjektivním právům.</w:t>
      </w:r>
      <w:r w:rsidR="001A0C47" w:rsidRPr="00632E30">
        <w:rPr>
          <w:rStyle w:val="Znakapoznpodarou"/>
          <w:rFonts w:ascii="Garamond" w:hAnsi="Garamond"/>
          <w:sz w:val="24"/>
          <w:szCs w:val="24"/>
        </w:rPr>
        <w:footnoteReference w:id="65"/>
      </w:r>
      <w:r w:rsidR="004279C1" w:rsidRPr="00632E30">
        <w:rPr>
          <w:rFonts w:ascii="Garamond" w:hAnsi="Garamond"/>
          <w:sz w:val="24"/>
          <w:szCs w:val="24"/>
        </w:rPr>
        <w:t xml:space="preserve"> </w:t>
      </w:r>
      <w:r w:rsidR="00F91EC2" w:rsidRPr="00632E30">
        <w:rPr>
          <w:rFonts w:ascii="Garamond" w:hAnsi="Garamond"/>
          <w:sz w:val="24"/>
          <w:szCs w:val="24"/>
        </w:rPr>
        <w:t>Účelem civilního soudního řízení je především ochrana soukromých práv</w:t>
      </w:r>
      <w:r w:rsidR="00E26AB8" w:rsidRPr="00632E30">
        <w:rPr>
          <w:rFonts w:ascii="Garamond" w:hAnsi="Garamond"/>
          <w:sz w:val="24"/>
          <w:szCs w:val="24"/>
        </w:rPr>
        <w:t>. Aby civilní soudní řízení mohlo tento účel plnit, je nezbytné vystavět civilní proces na konstrukci odpovídající předmětu ochrany. Civilní právo procesní, ač</w:t>
      </w:r>
      <w:r w:rsidR="0012010F" w:rsidRPr="00632E30">
        <w:rPr>
          <w:rFonts w:ascii="Garamond" w:hAnsi="Garamond"/>
          <w:sz w:val="24"/>
          <w:szCs w:val="24"/>
        </w:rPr>
        <w:t>koliv je</w:t>
      </w:r>
      <w:r w:rsidR="00E26AB8" w:rsidRPr="00632E30">
        <w:rPr>
          <w:rFonts w:ascii="Garamond" w:hAnsi="Garamond"/>
          <w:sz w:val="24"/>
          <w:szCs w:val="24"/>
        </w:rPr>
        <w:t xml:space="preserve"> právem veřejným, je svou povahou a funkcí do určité míry </w:t>
      </w:r>
      <w:r w:rsidR="008A4DFD" w:rsidRPr="00632E30">
        <w:rPr>
          <w:rFonts w:ascii="Garamond" w:hAnsi="Garamond"/>
          <w:sz w:val="24"/>
          <w:szCs w:val="24"/>
        </w:rPr>
        <w:t>předurčeno</w:t>
      </w:r>
      <w:r w:rsidR="00E26AB8" w:rsidRPr="00632E30">
        <w:rPr>
          <w:rFonts w:ascii="Garamond" w:hAnsi="Garamond"/>
          <w:sz w:val="24"/>
          <w:szCs w:val="24"/>
        </w:rPr>
        <w:t xml:space="preserve"> předmětem poskytované ochrany. Pro hmotněprávní soukromé vztahy je příznačná svoboda a volnost subjektů těchto vztahů, jež mají v rámci civilního práva procesního svůj korelát předně v zásadě dispoziční a projednací. Tato míra korelace samozřejmě není a nemůže být totožná.</w:t>
      </w:r>
      <w:r w:rsidR="002134D7" w:rsidRPr="00632E30">
        <w:rPr>
          <w:rFonts w:ascii="Garamond" w:hAnsi="Garamond"/>
          <w:sz w:val="24"/>
          <w:szCs w:val="24"/>
        </w:rPr>
        <w:t xml:space="preserve"> Svoboda a volnost v dispozici s předmětem řízení a dalšími procesními prostředky v rámci dokazování a zjišťování skutkového stavu věci jsou ovlivněny povah</w:t>
      </w:r>
      <w:r w:rsidR="00F35993" w:rsidRPr="00632E30">
        <w:rPr>
          <w:rFonts w:ascii="Garamond" w:hAnsi="Garamond"/>
          <w:sz w:val="24"/>
          <w:szCs w:val="24"/>
        </w:rPr>
        <w:t>o</w:t>
      </w:r>
      <w:r w:rsidR="002134D7" w:rsidRPr="00632E30">
        <w:rPr>
          <w:rFonts w:ascii="Garamond" w:hAnsi="Garamond"/>
          <w:sz w:val="24"/>
          <w:szCs w:val="24"/>
        </w:rPr>
        <w:t>u civilního procesu jako institutu veřejného práva. Tato svoboda a volnost při zjišťování skutkového stavu věci a nalézání pravdy však musí být zachována v široké míře, jinak by hrozila přeměna civilního soudního ř</w:t>
      </w:r>
      <w:r w:rsidR="00BF64A9" w:rsidRPr="00632E30">
        <w:rPr>
          <w:rFonts w:ascii="Garamond" w:hAnsi="Garamond"/>
          <w:sz w:val="24"/>
          <w:szCs w:val="24"/>
        </w:rPr>
        <w:t xml:space="preserve">ízení ve státní paternalismus bez možnosti účastníků řízení ovlivnit </w:t>
      </w:r>
      <w:r w:rsidR="00F550F6" w:rsidRPr="00632E30">
        <w:rPr>
          <w:rFonts w:ascii="Garamond" w:hAnsi="Garamond"/>
          <w:sz w:val="24"/>
          <w:szCs w:val="24"/>
        </w:rPr>
        <w:t>jeho průběh.</w:t>
      </w:r>
      <w:r w:rsidR="009E2C66" w:rsidRPr="00632E30">
        <w:rPr>
          <w:rStyle w:val="Znakapoznpodarou"/>
          <w:rFonts w:ascii="Garamond" w:hAnsi="Garamond"/>
          <w:sz w:val="24"/>
          <w:szCs w:val="24"/>
        </w:rPr>
        <w:footnoteReference w:id="66"/>
      </w:r>
    </w:p>
    <w:p w14:paraId="3FB97DE7" w14:textId="13A5FC4A" w:rsidR="004375D7" w:rsidRPr="00632E30" w:rsidRDefault="00BF64A9" w:rsidP="00BE56B8">
      <w:pPr>
        <w:tabs>
          <w:tab w:val="left" w:pos="8388"/>
        </w:tabs>
        <w:spacing w:before="160" w:line="360" w:lineRule="auto"/>
        <w:jc w:val="both"/>
        <w:rPr>
          <w:rFonts w:ascii="Garamond" w:hAnsi="Garamond"/>
          <w:sz w:val="24"/>
          <w:szCs w:val="24"/>
        </w:rPr>
      </w:pPr>
      <w:r w:rsidRPr="00632E30">
        <w:rPr>
          <w:rFonts w:ascii="Garamond" w:hAnsi="Garamond"/>
          <w:sz w:val="24"/>
          <w:szCs w:val="24"/>
        </w:rPr>
        <w:lastRenderedPageBreak/>
        <w:t>Proto není správný výše uvedený názor, že rozlišování mezi zásadou projednací a vyšetřovací je zcela bez významu</w:t>
      </w:r>
      <w:r w:rsidR="004052D3" w:rsidRPr="00632E30">
        <w:rPr>
          <w:rFonts w:ascii="Garamond" w:hAnsi="Garamond"/>
          <w:sz w:val="24"/>
          <w:szCs w:val="24"/>
        </w:rPr>
        <w:t xml:space="preserve">, závislé jen a pouze na vůli zákonodárce, ve kterých procesních situacích zvolí konkrétní </w:t>
      </w:r>
      <w:r w:rsidR="009B4FEA" w:rsidRPr="00632E30">
        <w:rPr>
          <w:rFonts w:ascii="Garamond" w:hAnsi="Garamond"/>
          <w:sz w:val="24"/>
          <w:szCs w:val="24"/>
        </w:rPr>
        <w:t>model.</w:t>
      </w:r>
      <w:r w:rsidR="005E3562" w:rsidRPr="00632E30">
        <w:rPr>
          <w:rStyle w:val="Znakapoznpodarou"/>
          <w:rFonts w:ascii="Garamond" w:hAnsi="Garamond"/>
          <w:sz w:val="24"/>
          <w:szCs w:val="24"/>
        </w:rPr>
        <w:footnoteReference w:id="67"/>
      </w:r>
      <w:r w:rsidR="001A0C47" w:rsidRPr="00632E30">
        <w:rPr>
          <w:rFonts w:ascii="Garamond" w:hAnsi="Garamond"/>
          <w:sz w:val="24"/>
          <w:szCs w:val="24"/>
        </w:rPr>
        <w:t xml:space="preserve"> </w:t>
      </w:r>
    </w:p>
    <w:p w14:paraId="708F1455" w14:textId="5BD2D439" w:rsidR="00A64368" w:rsidRPr="00632E30" w:rsidRDefault="00A64368" w:rsidP="00BE56B8">
      <w:pPr>
        <w:pStyle w:val="Nadpis2"/>
        <w:numPr>
          <w:ilvl w:val="1"/>
          <w:numId w:val="28"/>
        </w:numPr>
        <w:spacing w:before="160" w:after="160"/>
        <w:jc w:val="both"/>
        <w:rPr>
          <w:rFonts w:ascii="Garamond" w:hAnsi="Garamond"/>
          <w:b/>
          <w:color w:val="auto"/>
        </w:rPr>
      </w:pPr>
      <w:bookmarkStart w:id="31" w:name="_Toc17881138"/>
      <w:r w:rsidRPr="00632E30">
        <w:rPr>
          <w:rFonts w:ascii="Garamond" w:hAnsi="Garamond"/>
          <w:b/>
          <w:color w:val="auto"/>
        </w:rPr>
        <w:t>Obsah vysvětlovací povinnosti</w:t>
      </w:r>
      <w:bookmarkEnd w:id="31"/>
    </w:p>
    <w:p w14:paraId="1D0E0BCA" w14:textId="77777777" w:rsidR="0059550E" w:rsidRDefault="0059550E" w:rsidP="0059550E">
      <w:pPr>
        <w:tabs>
          <w:tab w:val="left" w:pos="709"/>
        </w:tabs>
        <w:spacing w:line="360" w:lineRule="auto"/>
        <w:jc w:val="both"/>
        <w:rPr>
          <w:rFonts w:ascii="Garamond" w:hAnsi="Garamond"/>
          <w:sz w:val="24"/>
          <w:szCs w:val="24"/>
        </w:rPr>
      </w:pPr>
      <w:r>
        <w:rPr>
          <w:rFonts w:ascii="Garamond" w:hAnsi="Garamond"/>
          <w:sz w:val="24"/>
          <w:szCs w:val="24"/>
        </w:rPr>
        <w:tab/>
      </w:r>
      <w:r w:rsidR="00A64368" w:rsidRPr="00632E30">
        <w:rPr>
          <w:rFonts w:ascii="Garamond" w:hAnsi="Garamond"/>
          <w:sz w:val="24"/>
          <w:szCs w:val="24"/>
        </w:rPr>
        <w:t>S ohledem na význam vysvětlovací povinnosti při řešení mnohdy tíživých situací stran zatížených důkazním břemenem, jež nemohou objektivně překonat svůj informační deficit o určitých skutečnostech, je nezbytné jasně vymezit obsah vysvětlovací povinnosti.</w:t>
      </w:r>
    </w:p>
    <w:p w14:paraId="57DA5DE2" w14:textId="77777777" w:rsidR="0059550E" w:rsidRDefault="0059550E" w:rsidP="0059550E">
      <w:pPr>
        <w:tabs>
          <w:tab w:val="left" w:pos="709"/>
        </w:tabs>
        <w:spacing w:line="360" w:lineRule="auto"/>
        <w:jc w:val="both"/>
        <w:rPr>
          <w:rFonts w:ascii="Garamond" w:hAnsi="Garamond"/>
          <w:sz w:val="24"/>
          <w:szCs w:val="24"/>
        </w:rPr>
      </w:pPr>
      <w:r>
        <w:rPr>
          <w:rFonts w:ascii="Garamond" w:hAnsi="Garamond"/>
          <w:sz w:val="24"/>
          <w:szCs w:val="24"/>
        </w:rPr>
        <w:tab/>
      </w:r>
      <w:r w:rsidR="00A64368" w:rsidRPr="00632E30">
        <w:rPr>
          <w:rFonts w:ascii="Garamond" w:hAnsi="Garamond"/>
          <w:sz w:val="24"/>
          <w:szCs w:val="24"/>
        </w:rPr>
        <w:t>Vždy bude záležet na konkrétní situaci daného případu. Prof. Macur jako příklad uvádí situaci, kdy je lékař žalován o náhradu škody způsobené pacientovi na jeho zdraví pro nesprávnost léčebného postupu. Obsahem vysvětlovací povinnosti zde bude povinnost podat detailní zprávu o jednotlivých fázích lékařského postupu, tedy jaké konkrétní úkony učinil, jakým způsobem atp.</w:t>
      </w:r>
      <w:r w:rsidR="000A6547" w:rsidRPr="00632E30">
        <w:rPr>
          <w:rStyle w:val="Znakapoznpodarou"/>
          <w:rFonts w:ascii="Garamond" w:hAnsi="Garamond"/>
          <w:sz w:val="24"/>
          <w:szCs w:val="24"/>
        </w:rPr>
        <w:footnoteReference w:id="68"/>
      </w:r>
      <w:r w:rsidR="00A64368" w:rsidRPr="00632E30">
        <w:rPr>
          <w:rFonts w:ascii="Garamond" w:hAnsi="Garamond"/>
          <w:sz w:val="24"/>
          <w:szCs w:val="24"/>
        </w:rPr>
        <w:t xml:space="preserve">  Obsahem vysvětlovací povinnosti může být nejen poskytnutí zprávy o stavu určité věci, ale také podání zprávy o skutečnostech umožňující individualizaci dalších důkazních prostředků. Dále může být obsahem této povinnosti identifikace listin nebo předmětů ohledání, identifikace třetích osob, </w:t>
      </w:r>
      <w:r w:rsidR="003E7911" w:rsidRPr="00632E30">
        <w:rPr>
          <w:rFonts w:ascii="Garamond" w:hAnsi="Garamond"/>
          <w:sz w:val="24"/>
          <w:szCs w:val="24"/>
        </w:rPr>
        <w:t>které</w:t>
      </w:r>
      <w:r w:rsidR="00A64368" w:rsidRPr="00632E30">
        <w:rPr>
          <w:rFonts w:ascii="Garamond" w:hAnsi="Garamond"/>
          <w:sz w:val="24"/>
          <w:szCs w:val="24"/>
        </w:rPr>
        <w:t xml:space="preserve"> zadržují významné důkazní prostředky. V tomto směru musí strana povinná i spolupůsobit na tyto třetí osoby, aby potřebné důkazní prostředky vydaly. Tímto se však obsah vysvětlovací povinnosti nevyčerpává, jelikož splnit lze vysvětlovací povinnost například</w:t>
      </w:r>
      <w:r w:rsidR="003E7911" w:rsidRPr="00632E30">
        <w:rPr>
          <w:rFonts w:ascii="Garamond" w:hAnsi="Garamond"/>
          <w:sz w:val="24"/>
          <w:szCs w:val="24"/>
        </w:rPr>
        <w:t xml:space="preserve"> i</w:t>
      </w:r>
      <w:r w:rsidR="00A64368" w:rsidRPr="00632E30">
        <w:rPr>
          <w:rFonts w:ascii="Garamond" w:hAnsi="Garamond"/>
          <w:sz w:val="24"/>
          <w:szCs w:val="24"/>
        </w:rPr>
        <w:t xml:space="preserve"> zproštěním povinnosti mlčenlivosti třetí osoby povinnou procesní stranou nebo strpěním ohledání věcí v držbě či vlastnictví povinné procesní strany, případně jejich vydáním.</w:t>
      </w:r>
      <w:r w:rsidR="005044C5" w:rsidRPr="00632E30">
        <w:rPr>
          <w:rStyle w:val="Znakapoznpodarou"/>
          <w:rFonts w:ascii="Garamond" w:hAnsi="Garamond"/>
          <w:sz w:val="24"/>
          <w:szCs w:val="24"/>
        </w:rPr>
        <w:footnoteReference w:id="69"/>
      </w:r>
      <w:r w:rsidR="00A64368" w:rsidRPr="00632E30">
        <w:rPr>
          <w:rFonts w:ascii="Garamond" w:hAnsi="Garamond"/>
          <w:sz w:val="24"/>
          <w:szCs w:val="24"/>
        </w:rPr>
        <w:t xml:space="preserve">  Je očividné, že obsah vysvětlovací povinnosti je závislý od konkrétního případu informačního deficitu a možností jeho odstranění za respektování níže uvedených pravidel. </w:t>
      </w:r>
    </w:p>
    <w:p w14:paraId="1C6059F8" w14:textId="77777777" w:rsidR="0059550E" w:rsidRDefault="0059550E" w:rsidP="0059550E">
      <w:pPr>
        <w:tabs>
          <w:tab w:val="left" w:pos="709"/>
        </w:tabs>
        <w:spacing w:line="360" w:lineRule="auto"/>
        <w:jc w:val="both"/>
        <w:rPr>
          <w:rFonts w:ascii="Garamond" w:hAnsi="Garamond"/>
          <w:sz w:val="24"/>
          <w:szCs w:val="24"/>
        </w:rPr>
      </w:pPr>
      <w:r>
        <w:rPr>
          <w:rFonts w:ascii="Garamond" w:hAnsi="Garamond"/>
          <w:sz w:val="24"/>
          <w:szCs w:val="24"/>
        </w:rPr>
        <w:tab/>
      </w:r>
      <w:r w:rsidR="00A64368" w:rsidRPr="00632E30">
        <w:rPr>
          <w:rFonts w:ascii="Garamond" w:hAnsi="Garamond"/>
          <w:sz w:val="24"/>
          <w:szCs w:val="24"/>
        </w:rPr>
        <w:t>S otázkou obsahu vysvětlovací povinnosti úzce souvisí otázka její kontroly. Splnění rozsahu své vysvětlovací</w:t>
      </w:r>
      <w:r w:rsidR="003E7911" w:rsidRPr="00632E30">
        <w:rPr>
          <w:rFonts w:ascii="Garamond" w:hAnsi="Garamond"/>
          <w:sz w:val="24"/>
          <w:szCs w:val="24"/>
        </w:rPr>
        <w:t xml:space="preserve"> povinnosti</w:t>
      </w:r>
      <w:r w:rsidR="00A64368" w:rsidRPr="00632E30">
        <w:rPr>
          <w:rFonts w:ascii="Garamond" w:hAnsi="Garamond"/>
          <w:sz w:val="24"/>
          <w:szCs w:val="24"/>
        </w:rPr>
        <w:t xml:space="preserve"> lze dle prof. Macura verifikovat například účastnickou výpovědí povinné procesní strany nebo ověřením podané zprávy o skutečnostech</w:t>
      </w:r>
      <w:r w:rsidR="003E7911" w:rsidRPr="00632E30">
        <w:rPr>
          <w:rFonts w:ascii="Garamond" w:hAnsi="Garamond"/>
          <w:sz w:val="24"/>
          <w:szCs w:val="24"/>
        </w:rPr>
        <w:t>,</w:t>
      </w:r>
      <w:r w:rsidR="00A64368" w:rsidRPr="00632E30">
        <w:rPr>
          <w:rFonts w:ascii="Garamond" w:hAnsi="Garamond"/>
          <w:sz w:val="24"/>
          <w:szCs w:val="24"/>
        </w:rPr>
        <w:t xml:space="preserve"> srovnáním s listinami či jinými dokumenty, </w:t>
      </w:r>
      <w:r w:rsidR="003E7911" w:rsidRPr="00632E30">
        <w:rPr>
          <w:rFonts w:ascii="Garamond" w:hAnsi="Garamond"/>
          <w:sz w:val="24"/>
          <w:szCs w:val="24"/>
        </w:rPr>
        <w:t>které</w:t>
      </w:r>
      <w:r w:rsidR="00A64368" w:rsidRPr="00632E30">
        <w:rPr>
          <w:rFonts w:ascii="Garamond" w:hAnsi="Garamond"/>
          <w:sz w:val="24"/>
          <w:szCs w:val="24"/>
        </w:rPr>
        <w:t xml:space="preserve"> byla</w:t>
      </w:r>
      <w:r w:rsidR="003E7911" w:rsidRPr="00632E30">
        <w:rPr>
          <w:rFonts w:ascii="Garamond" w:hAnsi="Garamond"/>
          <w:sz w:val="24"/>
          <w:szCs w:val="24"/>
        </w:rPr>
        <w:t xml:space="preserve"> </w:t>
      </w:r>
      <w:r w:rsidR="00A64368" w:rsidRPr="00632E30">
        <w:rPr>
          <w:rFonts w:ascii="Garamond" w:hAnsi="Garamond"/>
          <w:sz w:val="24"/>
          <w:szCs w:val="24"/>
        </w:rPr>
        <w:t>procesní strana</w:t>
      </w:r>
      <w:r w:rsidR="003E7911" w:rsidRPr="00632E30">
        <w:rPr>
          <w:rFonts w:ascii="Garamond" w:hAnsi="Garamond"/>
          <w:sz w:val="24"/>
          <w:szCs w:val="24"/>
        </w:rPr>
        <w:t xml:space="preserve"> povinna</w:t>
      </w:r>
      <w:r w:rsidR="00A64368" w:rsidRPr="00632E30">
        <w:rPr>
          <w:rFonts w:ascii="Garamond" w:hAnsi="Garamond"/>
          <w:sz w:val="24"/>
          <w:szCs w:val="24"/>
        </w:rPr>
        <w:t xml:space="preserve"> předložit.</w:t>
      </w:r>
      <w:r w:rsidR="005044C5" w:rsidRPr="00632E30">
        <w:rPr>
          <w:rStyle w:val="Znakapoznpodarou"/>
          <w:rFonts w:ascii="Garamond" w:hAnsi="Garamond"/>
          <w:sz w:val="24"/>
          <w:szCs w:val="24"/>
        </w:rPr>
        <w:footnoteReference w:id="70"/>
      </w:r>
      <w:r w:rsidR="00A64368" w:rsidRPr="00632E30">
        <w:rPr>
          <w:rFonts w:ascii="Garamond" w:hAnsi="Garamond"/>
          <w:sz w:val="24"/>
          <w:szCs w:val="24"/>
        </w:rPr>
        <w:t xml:space="preserve"> </w:t>
      </w:r>
    </w:p>
    <w:p w14:paraId="42033ED5" w14:textId="376846A7" w:rsidR="00A64368" w:rsidRPr="00632E30" w:rsidRDefault="0059550E" w:rsidP="0059550E">
      <w:pPr>
        <w:tabs>
          <w:tab w:val="left" w:pos="709"/>
        </w:tabs>
        <w:spacing w:line="360" w:lineRule="auto"/>
        <w:jc w:val="both"/>
        <w:rPr>
          <w:rFonts w:ascii="Garamond" w:hAnsi="Garamond"/>
          <w:sz w:val="24"/>
          <w:szCs w:val="24"/>
        </w:rPr>
      </w:pPr>
      <w:r>
        <w:rPr>
          <w:rFonts w:ascii="Garamond" w:hAnsi="Garamond"/>
          <w:sz w:val="24"/>
          <w:szCs w:val="24"/>
        </w:rPr>
        <w:tab/>
      </w:r>
      <w:r w:rsidR="00A64368" w:rsidRPr="00632E30">
        <w:rPr>
          <w:rFonts w:ascii="Garamond" w:hAnsi="Garamond"/>
          <w:sz w:val="24"/>
          <w:szCs w:val="24"/>
        </w:rPr>
        <w:t xml:space="preserve">Jak bylo výše zmíněno, vysvětlovací povinnost lze splnit rozličnými způsoby, ovšem ne vždy lze informační deficit procesní strany zatížené důkazním břemenem určitým způsobem řešit. Patrné je to především při ohledání věcí, které má povinná procesní strana ve své držbě či vlastnictví, ovšem pro podstatu konkrétní věci lze uvažovanou prohlídku učinit jen se zásahem do </w:t>
      </w:r>
      <w:r w:rsidR="00A64368" w:rsidRPr="00632E30">
        <w:rPr>
          <w:rFonts w:ascii="Garamond" w:hAnsi="Garamond"/>
          <w:sz w:val="24"/>
          <w:szCs w:val="24"/>
        </w:rPr>
        <w:lastRenderedPageBreak/>
        <w:t>samotné podstaty předmětu, například provádění zkušebních vrtů či výkopů na pozemku povinné procesní strany. Do konfliktu se tak dostávají rozdílné zájmy, především zájem procesní strany nezatížené důkazním břemenem na integritě věci, jež je předmětem je</w:t>
      </w:r>
      <w:r w:rsidR="003E7911" w:rsidRPr="00632E30">
        <w:rPr>
          <w:rFonts w:ascii="Garamond" w:hAnsi="Garamond"/>
          <w:sz w:val="24"/>
          <w:szCs w:val="24"/>
        </w:rPr>
        <w:t>jí</w:t>
      </w:r>
      <w:r w:rsidR="00A64368" w:rsidRPr="00632E30">
        <w:rPr>
          <w:rFonts w:ascii="Garamond" w:hAnsi="Garamond"/>
          <w:sz w:val="24"/>
          <w:szCs w:val="24"/>
        </w:rPr>
        <w:t>ho vlastnického práva, oproti zájmu na zjištění skutečného stavu věci, respektive zájmu na překonání informačního deficitu strany zatížené důkazním břemenem.</w:t>
      </w:r>
      <w:r w:rsidR="005044C5" w:rsidRPr="00632E30">
        <w:rPr>
          <w:rStyle w:val="Znakapoznpodarou"/>
          <w:rFonts w:ascii="Garamond" w:hAnsi="Garamond"/>
          <w:sz w:val="24"/>
          <w:szCs w:val="24"/>
        </w:rPr>
        <w:footnoteReference w:id="71"/>
      </w:r>
      <w:r w:rsidR="00A64368" w:rsidRPr="00632E30">
        <w:rPr>
          <w:rFonts w:ascii="Garamond" w:hAnsi="Garamond"/>
          <w:sz w:val="24"/>
          <w:szCs w:val="24"/>
        </w:rPr>
        <w:t xml:space="preserve">  Na tomto místě pak bude nutné vždy poměřovat tyto zájmy. V případě zřejmé nerovnováhy nebude možnost uložit splnění vysvětlovací povinnosti procesní straně nezatížené důkazním břemenem v této intenzivní formě. Například návrh jedné procesní strany na zjištění důvodu nepatrného zatékání z nemovitosti druhé procesní strany formou hlubokých vrtů znamenající znehodnocení této nemovitosti.</w:t>
      </w:r>
      <w:r w:rsidR="005044C5" w:rsidRPr="00632E30">
        <w:rPr>
          <w:rStyle w:val="Znakapoznpodarou"/>
          <w:rFonts w:ascii="Garamond" w:hAnsi="Garamond"/>
          <w:sz w:val="24"/>
          <w:szCs w:val="24"/>
        </w:rPr>
        <w:footnoteReference w:id="72"/>
      </w:r>
      <w:r w:rsidR="00A64368" w:rsidRPr="00632E30">
        <w:rPr>
          <w:rFonts w:ascii="Garamond" w:hAnsi="Garamond"/>
          <w:sz w:val="24"/>
          <w:szCs w:val="24"/>
        </w:rPr>
        <w:t xml:space="preserve">  </w:t>
      </w:r>
    </w:p>
    <w:p w14:paraId="4A1FD8BD" w14:textId="3CCF8E4E" w:rsidR="00783817" w:rsidRPr="00632E30" w:rsidRDefault="005D54C9" w:rsidP="00BE56B8">
      <w:pPr>
        <w:pStyle w:val="Nadpis2"/>
        <w:numPr>
          <w:ilvl w:val="1"/>
          <w:numId w:val="28"/>
        </w:numPr>
        <w:spacing w:before="160" w:after="160"/>
        <w:jc w:val="both"/>
        <w:rPr>
          <w:rFonts w:ascii="Garamond" w:hAnsi="Garamond"/>
          <w:b/>
          <w:color w:val="auto"/>
        </w:rPr>
      </w:pPr>
      <w:bookmarkStart w:id="32" w:name="_Toc17881139"/>
      <w:r w:rsidRPr="00632E30">
        <w:rPr>
          <w:rFonts w:ascii="Garamond" w:hAnsi="Garamond"/>
          <w:b/>
          <w:color w:val="auto"/>
        </w:rPr>
        <w:t>Sankce za nesplnění vysvětlovací povinnosti</w:t>
      </w:r>
      <w:bookmarkEnd w:id="32"/>
      <w:r w:rsidRPr="00632E30">
        <w:rPr>
          <w:rFonts w:ascii="Garamond" w:hAnsi="Garamond"/>
          <w:b/>
          <w:color w:val="auto"/>
        </w:rPr>
        <w:t xml:space="preserve"> </w:t>
      </w:r>
    </w:p>
    <w:p w14:paraId="69F16321" w14:textId="77777777" w:rsidR="00C45FAF" w:rsidRDefault="00C45FAF" w:rsidP="00C45FAF">
      <w:pPr>
        <w:tabs>
          <w:tab w:val="left" w:pos="709"/>
        </w:tabs>
        <w:spacing w:line="360" w:lineRule="auto"/>
        <w:jc w:val="both"/>
        <w:rPr>
          <w:rFonts w:ascii="Garamond" w:hAnsi="Garamond"/>
          <w:sz w:val="24"/>
          <w:szCs w:val="24"/>
        </w:rPr>
      </w:pPr>
      <w:r>
        <w:rPr>
          <w:rFonts w:ascii="Garamond" w:hAnsi="Garamond"/>
          <w:sz w:val="24"/>
          <w:szCs w:val="24"/>
        </w:rPr>
        <w:tab/>
      </w:r>
      <w:r w:rsidR="00E308B3" w:rsidRPr="00632E30">
        <w:rPr>
          <w:rFonts w:ascii="Garamond" w:hAnsi="Garamond"/>
          <w:sz w:val="24"/>
          <w:szCs w:val="24"/>
        </w:rPr>
        <w:t>Najít odpověď na otázku, jakým právním následkem postihovat jednání procesní strany nezatížené důkazním břemenem porušující svou vysvětlovací povinnost</w:t>
      </w:r>
      <w:r w:rsidR="00B852A8" w:rsidRPr="00632E30">
        <w:rPr>
          <w:rFonts w:ascii="Garamond" w:hAnsi="Garamond"/>
          <w:sz w:val="24"/>
          <w:szCs w:val="24"/>
        </w:rPr>
        <w:t>, není jednoduché, což ostatně také</w:t>
      </w:r>
      <w:r w:rsidR="00E308B3" w:rsidRPr="00632E30">
        <w:rPr>
          <w:rFonts w:ascii="Garamond" w:hAnsi="Garamond"/>
          <w:sz w:val="24"/>
          <w:szCs w:val="24"/>
        </w:rPr>
        <w:t xml:space="preserve"> reflektují názorové proudy v rámci vědy civilního procesu. Samotné aplikaci nepříznivých následků porušení vysvětlovací povinnosti však musí předcházet zjištění, respektive postavení najisto porušení této povinnosti.</w:t>
      </w:r>
      <w:r w:rsidR="00863E22" w:rsidRPr="00632E30">
        <w:rPr>
          <w:rStyle w:val="Znakapoznpodarou"/>
          <w:rFonts w:ascii="Garamond" w:hAnsi="Garamond"/>
          <w:sz w:val="24"/>
          <w:szCs w:val="24"/>
        </w:rPr>
        <w:footnoteReference w:id="73"/>
      </w:r>
    </w:p>
    <w:p w14:paraId="59124E01" w14:textId="77777777" w:rsidR="00C45FAF" w:rsidRDefault="00C45FAF" w:rsidP="00C45FAF">
      <w:pPr>
        <w:tabs>
          <w:tab w:val="left" w:pos="709"/>
        </w:tabs>
        <w:spacing w:line="360" w:lineRule="auto"/>
        <w:jc w:val="both"/>
        <w:rPr>
          <w:rFonts w:ascii="Garamond" w:hAnsi="Garamond"/>
          <w:sz w:val="24"/>
          <w:szCs w:val="24"/>
        </w:rPr>
      </w:pPr>
      <w:r>
        <w:rPr>
          <w:rFonts w:ascii="Garamond" w:hAnsi="Garamond"/>
          <w:sz w:val="24"/>
          <w:szCs w:val="24"/>
        </w:rPr>
        <w:tab/>
      </w:r>
      <w:r w:rsidR="00E308B3" w:rsidRPr="00632E30">
        <w:rPr>
          <w:rFonts w:ascii="Garamond" w:hAnsi="Garamond"/>
          <w:sz w:val="24"/>
          <w:szCs w:val="24"/>
        </w:rPr>
        <w:t>Předběžně je takt</w:t>
      </w:r>
      <w:r w:rsidR="00370A89" w:rsidRPr="00632E30">
        <w:rPr>
          <w:rFonts w:ascii="Garamond" w:hAnsi="Garamond"/>
          <w:sz w:val="24"/>
          <w:szCs w:val="24"/>
        </w:rPr>
        <w:t>éž nutné posoudit otázku, není-li zde</w:t>
      </w:r>
      <w:r w:rsidR="00E308B3" w:rsidRPr="00632E30">
        <w:rPr>
          <w:rFonts w:ascii="Garamond" w:hAnsi="Garamond"/>
          <w:sz w:val="24"/>
          <w:szCs w:val="24"/>
        </w:rPr>
        <w:t xml:space="preserve"> dána možnost odepření vý</w:t>
      </w:r>
      <w:r w:rsidR="00370A89" w:rsidRPr="00632E30">
        <w:rPr>
          <w:rFonts w:ascii="Garamond" w:hAnsi="Garamond"/>
          <w:sz w:val="24"/>
          <w:szCs w:val="24"/>
        </w:rPr>
        <w:t>povědi procesní stranou. Pokud by zde byla</w:t>
      </w:r>
      <w:r w:rsidR="00E308B3" w:rsidRPr="00632E30">
        <w:rPr>
          <w:rFonts w:ascii="Garamond" w:hAnsi="Garamond"/>
          <w:sz w:val="24"/>
          <w:szCs w:val="24"/>
        </w:rPr>
        <w:t xml:space="preserve"> takováto okolnost, </w:t>
      </w:r>
      <w:r w:rsidR="002F5937" w:rsidRPr="00632E30">
        <w:rPr>
          <w:rFonts w:ascii="Garamond" w:hAnsi="Garamond"/>
          <w:sz w:val="24"/>
          <w:szCs w:val="24"/>
        </w:rPr>
        <w:t>tedy</w:t>
      </w:r>
      <w:r w:rsidR="00E308B3" w:rsidRPr="00632E30">
        <w:rPr>
          <w:rFonts w:ascii="Garamond" w:hAnsi="Garamond"/>
          <w:sz w:val="24"/>
          <w:szCs w:val="24"/>
        </w:rPr>
        <w:t xml:space="preserve"> právo procesní strany nezatížené důkazním břemenem odepřít svou výpověď, vylučovala by uložení jakékoliv p</w:t>
      </w:r>
      <w:r w:rsidR="00370A89" w:rsidRPr="00632E30">
        <w:rPr>
          <w:rFonts w:ascii="Garamond" w:hAnsi="Garamond"/>
          <w:sz w:val="24"/>
          <w:szCs w:val="24"/>
        </w:rPr>
        <w:t xml:space="preserve">rocesní sankce za nesplnění </w:t>
      </w:r>
      <w:r w:rsidR="00E308B3" w:rsidRPr="00632E30">
        <w:rPr>
          <w:rFonts w:ascii="Garamond" w:hAnsi="Garamond"/>
          <w:sz w:val="24"/>
          <w:szCs w:val="24"/>
        </w:rPr>
        <w:t>vysvětlovací povinnosti.</w:t>
      </w:r>
      <w:r w:rsidR="00863E22" w:rsidRPr="00632E30">
        <w:rPr>
          <w:rStyle w:val="Znakapoznpodarou"/>
          <w:rFonts w:ascii="Garamond" w:hAnsi="Garamond"/>
          <w:sz w:val="24"/>
          <w:szCs w:val="24"/>
        </w:rPr>
        <w:footnoteReference w:id="74"/>
      </w:r>
      <w:r w:rsidR="00E308B3" w:rsidRPr="00632E30">
        <w:rPr>
          <w:rFonts w:ascii="Garamond" w:hAnsi="Garamond"/>
          <w:sz w:val="24"/>
          <w:szCs w:val="24"/>
        </w:rPr>
        <w:t xml:space="preserve"> </w:t>
      </w:r>
    </w:p>
    <w:p w14:paraId="385D0695" w14:textId="77777777" w:rsidR="00C45FAF" w:rsidRDefault="00C45FAF" w:rsidP="00C45FAF">
      <w:pPr>
        <w:tabs>
          <w:tab w:val="left" w:pos="709"/>
        </w:tabs>
        <w:spacing w:line="360" w:lineRule="auto"/>
        <w:jc w:val="both"/>
        <w:rPr>
          <w:rFonts w:ascii="Garamond" w:hAnsi="Garamond"/>
          <w:sz w:val="24"/>
          <w:szCs w:val="24"/>
        </w:rPr>
      </w:pPr>
      <w:r>
        <w:rPr>
          <w:rFonts w:ascii="Garamond" w:hAnsi="Garamond"/>
          <w:sz w:val="24"/>
          <w:szCs w:val="24"/>
        </w:rPr>
        <w:tab/>
      </w:r>
      <w:r w:rsidR="00E308B3" w:rsidRPr="00632E30">
        <w:rPr>
          <w:rFonts w:ascii="Garamond" w:hAnsi="Garamond"/>
          <w:sz w:val="24"/>
          <w:szCs w:val="24"/>
        </w:rPr>
        <w:t>Porušen</w:t>
      </w:r>
      <w:r w:rsidR="00370A89" w:rsidRPr="00632E30">
        <w:rPr>
          <w:rFonts w:ascii="Garamond" w:hAnsi="Garamond"/>
          <w:sz w:val="24"/>
          <w:szCs w:val="24"/>
        </w:rPr>
        <w:t>í</w:t>
      </w:r>
      <w:r w:rsidR="00E308B3" w:rsidRPr="00632E30">
        <w:rPr>
          <w:rFonts w:ascii="Garamond" w:hAnsi="Garamond"/>
          <w:sz w:val="24"/>
          <w:szCs w:val="24"/>
        </w:rPr>
        <w:t xml:space="preserve"> vysvětlovací povinnosti je zjevné v situacích, kdy například strana odepře objasnění či vysvětlení sporných skutečností, odmítne vydání listiny, kterou má ve své držbě, jestliže odmítá umožnit vstup na svůj pozemek, bez něhož nelze objasnit věc samu apod. Nelze však vyloučit situace, kdy porušení vysvětlovací povinnosti procesní strany není takto na první pohled patrné a její existence bude muset být objektivně zjištěna a prokázána. Bude se jednat například o situace, kdy procesní strana tvrdí, že předmět, který má vydat, se již nenachází v její držbě, </w:t>
      </w:r>
      <w:r w:rsidR="00370A89" w:rsidRPr="00632E30">
        <w:rPr>
          <w:rFonts w:ascii="Garamond" w:hAnsi="Garamond"/>
          <w:sz w:val="24"/>
          <w:szCs w:val="24"/>
        </w:rPr>
        <w:t>případně došlo k jeho</w:t>
      </w:r>
      <w:r w:rsidR="00E308B3" w:rsidRPr="00632E30">
        <w:rPr>
          <w:rFonts w:ascii="Garamond" w:hAnsi="Garamond"/>
          <w:sz w:val="24"/>
          <w:szCs w:val="24"/>
        </w:rPr>
        <w:t xml:space="preserve"> zničení apod. </w:t>
      </w:r>
      <w:r w:rsidR="00863E22" w:rsidRPr="00632E30">
        <w:rPr>
          <w:rStyle w:val="Znakapoznpodarou"/>
          <w:rFonts w:ascii="Garamond" w:hAnsi="Garamond"/>
          <w:sz w:val="24"/>
          <w:szCs w:val="24"/>
        </w:rPr>
        <w:footnoteReference w:id="75"/>
      </w:r>
    </w:p>
    <w:p w14:paraId="5199A9F4" w14:textId="77777777" w:rsidR="00C45FAF" w:rsidRDefault="00C45FAF" w:rsidP="00C45FAF">
      <w:pPr>
        <w:tabs>
          <w:tab w:val="left" w:pos="709"/>
        </w:tabs>
        <w:spacing w:line="360" w:lineRule="auto"/>
        <w:jc w:val="both"/>
        <w:rPr>
          <w:rFonts w:ascii="Garamond" w:hAnsi="Garamond"/>
          <w:sz w:val="24"/>
          <w:szCs w:val="24"/>
        </w:rPr>
      </w:pPr>
      <w:r>
        <w:rPr>
          <w:rFonts w:ascii="Garamond" w:hAnsi="Garamond"/>
          <w:sz w:val="24"/>
          <w:szCs w:val="24"/>
        </w:rPr>
        <w:tab/>
      </w:r>
      <w:r w:rsidR="00E308B3" w:rsidRPr="00632E30">
        <w:rPr>
          <w:rFonts w:ascii="Garamond" w:hAnsi="Garamond"/>
          <w:sz w:val="24"/>
          <w:szCs w:val="24"/>
        </w:rPr>
        <w:t xml:space="preserve">Mnohotvárnost životních situací nevylučuje i jiné způsoby porušení vysvětlovací povinnosti procesní strany nezatížené důkazním břemenem. Může se jednat nejen o situace, kdy </w:t>
      </w:r>
      <w:r w:rsidR="00E308B3" w:rsidRPr="00632E30">
        <w:rPr>
          <w:rFonts w:ascii="Garamond" w:hAnsi="Garamond"/>
          <w:sz w:val="24"/>
          <w:szCs w:val="24"/>
        </w:rPr>
        <w:lastRenderedPageBreak/>
        <w:t>dotyčná strana lže o určité skutečnosti, jež je předmětem její vysvětlovací povinnosti, ale i o situace, kdy procesní strana není řádně připravena</w:t>
      </w:r>
      <w:r w:rsidR="00C06D5D" w:rsidRPr="00632E30">
        <w:rPr>
          <w:rFonts w:ascii="Garamond" w:hAnsi="Garamond"/>
          <w:sz w:val="24"/>
          <w:szCs w:val="24"/>
        </w:rPr>
        <w:t xml:space="preserve"> k podání</w:t>
      </w:r>
      <w:r w:rsidR="00E308B3" w:rsidRPr="00632E30">
        <w:rPr>
          <w:rFonts w:ascii="Garamond" w:hAnsi="Garamond"/>
          <w:sz w:val="24"/>
          <w:szCs w:val="24"/>
        </w:rPr>
        <w:t xml:space="preserve"> výpovědi či sdělení relevantních skutečností, protože se např. nestihla seznámit s příslušnými materiály nezbytnými pro splnění své vysvětlovací povinnosti.</w:t>
      </w:r>
      <w:r w:rsidR="00863E22" w:rsidRPr="00632E30">
        <w:rPr>
          <w:rStyle w:val="Znakapoznpodarou"/>
          <w:rFonts w:ascii="Garamond" w:hAnsi="Garamond"/>
          <w:sz w:val="24"/>
          <w:szCs w:val="24"/>
        </w:rPr>
        <w:footnoteReference w:id="76"/>
      </w:r>
    </w:p>
    <w:p w14:paraId="7A70F7BF" w14:textId="77777777" w:rsidR="00C45FAF" w:rsidRDefault="00C45FAF" w:rsidP="00C45FAF">
      <w:pPr>
        <w:tabs>
          <w:tab w:val="left" w:pos="709"/>
        </w:tabs>
        <w:spacing w:line="360" w:lineRule="auto"/>
        <w:jc w:val="both"/>
        <w:rPr>
          <w:rFonts w:ascii="Garamond" w:hAnsi="Garamond"/>
          <w:sz w:val="24"/>
          <w:szCs w:val="24"/>
        </w:rPr>
      </w:pPr>
      <w:r>
        <w:rPr>
          <w:rFonts w:ascii="Garamond" w:hAnsi="Garamond"/>
          <w:sz w:val="24"/>
          <w:szCs w:val="24"/>
        </w:rPr>
        <w:tab/>
      </w:r>
      <w:r w:rsidR="00C06D5D" w:rsidRPr="00632E30">
        <w:rPr>
          <w:rFonts w:ascii="Garamond" w:hAnsi="Garamond"/>
          <w:sz w:val="24"/>
          <w:szCs w:val="24"/>
        </w:rPr>
        <w:t>V histor</w:t>
      </w:r>
      <w:r w:rsidR="006B0A7E" w:rsidRPr="00632E30">
        <w:rPr>
          <w:rFonts w:ascii="Garamond" w:hAnsi="Garamond"/>
          <w:sz w:val="24"/>
          <w:szCs w:val="24"/>
        </w:rPr>
        <w:t>ii civilního procesu se vyvinuly</w:t>
      </w:r>
      <w:r w:rsidR="00C06D5D" w:rsidRPr="00632E30">
        <w:rPr>
          <w:rFonts w:ascii="Garamond" w:hAnsi="Garamond"/>
          <w:sz w:val="24"/>
          <w:szCs w:val="24"/>
        </w:rPr>
        <w:t xml:space="preserve"> tři odlišné koncepce, respektive tři různé sankce za porušení vysvětlovací povinnosti.</w:t>
      </w:r>
      <w:r w:rsidR="00AF03E9" w:rsidRPr="00632E30">
        <w:rPr>
          <w:rFonts w:ascii="Garamond" w:hAnsi="Garamond"/>
          <w:sz w:val="24"/>
          <w:szCs w:val="24"/>
        </w:rPr>
        <w:t xml:space="preserve"> První koncepce reflektuje porušení vysvětlovací povinnosti ve volném hodnocení důkazů. Druhá koncepce je založena n</w:t>
      </w:r>
      <w:r w:rsidR="006B0A7E" w:rsidRPr="00632E30">
        <w:rPr>
          <w:rFonts w:ascii="Garamond" w:hAnsi="Garamond"/>
          <w:sz w:val="24"/>
          <w:szCs w:val="24"/>
        </w:rPr>
        <w:t>a obrácení důkazního břemene</w:t>
      </w:r>
      <w:r w:rsidR="00AF03E9" w:rsidRPr="00632E30">
        <w:rPr>
          <w:rFonts w:ascii="Garamond" w:hAnsi="Garamond"/>
          <w:sz w:val="24"/>
          <w:szCs w:val="24"/>
        </w:rPr>
        <w:t xml:space="preserve"> jakožto následku za porušení této procesní </w:t>
      </w:r>
      <w:r w:rsidR="006B0A7E" w:rsidRPr="00632E30">
        <w:rPr>
          <w:rFonts w:ascii="Garamond" w:hAnsi="Garamond"/>
          <w:sz w:val="24"/>
          <w:szCs w:val="24"/>
        </w:rPr>
        <w:t>povinnosti. Třetí pak spočívá v</w:t>
      </w:r>
      <w:r w:rsidR="00AF03E9" w:rsidRPr="00632E30">
        <w:rPr>
          <w:rFonts w:ascii="Garamond" w:hAnsi="Garamond"/>
          <w:sz w:val="24"/>
          <w:szCs w:val="24"/>
        </w:rPr>
        <w:t xml:space="preserve"> právní fikci vysvětlení, jež je příznivé procesní straně zatížené důkazním břemenem. </w:t>
      </w:r>
      <w:r w:rsidR="00863E22" w:rsidRPr="00632E30">
        <w:rPr>
          <w:rStyle w:val="Znakapoznpodarou"/>
          <w:rFonts w:ascii="Garamond" w:hAnsi="Garamond"/>
          <w:sz w:val="24"/>
          <w:szCs w:val="24"/>
        </w:rPr>
        <w:footnoteReference w:id="77"/>
      </w:r>
    </w:p>
    <w:p w14:paraId="64F1C055" w14:textId="77777777" w:rsidR="00C45FAF" w:rsidRDefault="00C45FAF" w:rsidP="00C45FAF">
      <w:pPr>
        <w:tabs>
          <w:tab w:val="left" w:pos="709"/>
        </w:tabs>
        <w:spacing w:line="360" w:lineRule="auto"/>
        <w:jc w:val="both"/>
        <w:rPr>
          <w:rFonts w:ascii="Garamond" w:hAnsi="Garamond"/>
          <w:sz w:val="24"/>
          <w:szCs w:val="24"/>
        </w:rPr>
      </w:pPr>
      <w:r>
        <w:rPr>
          <w:rFonts w:ascii="Garamond" w:hAnsi="Garamond"/>
          <w:sz w:val="24"/>
          <w:szCs w:val="24"/>
        </w:rPr>
        <w:tab/>
      </w:r>
      <w:r w:rsidR="0074376D" w:rsidRPr="00632E30">
        <w:rPr>
          <w:rFonts w:ascii="Garamond" w:hAnsi="Garamond"/>
          <w:sz w:val="24"/>
          <w:szCs w:val="24"/>
        </w:rPr>
        <w:t xml:space="preserve">První koncepce </w:t>
      </w:r>
      <w:r w:rsidR="00A140F7" w:rsidRPr="00632E30">
        <w:rPr>
          <w:rFonts w:ascii="Garamond" w:hAnsi="Garamond"/>
          <w:sz w:val="24"/>
          <w:szCs w:val="24"/>
        </w:rPr>
        <w:t>předpokládá realizaci právních následků za porušení vysvětlovací povinnosti pouze v oblasti volného hodnocení důkazů soudem. Důležitým podkladem pro zastánce této teorie jsou i četná pozitivně právní ustanovení v procesních předpisech.</w:t>
      </w:r>
      <w:r w:rsidR="00824F9A" w:rsidRPr="00632E30">
        <w:rPr>
          <w:rFonts w:ascii="Garamond" w:hAnsi="Garamond"/>
          <w:sz w:val="24"/>
          <w:szCs w:val="24"/>
        </w:rPr>
        <w:t xml:space="preserve"> Nutno na tomto místě zdůraznit, že v rámci současného českého občanského soudního řádu ke škodě věci nenajdeme žádná ustanovení podporující tuto koncepci.</w:t>
      </w:r>
      <w:r w:rsidR="0038530B" w:rsidRPr="00632E30">
        <w:rPr>
          <w:rStyle w:val="Znakapoznpodarou"/>
          <w:rFonts w:ascii="Garamond" w:hAnsi="Garamond"/>
          <w:sz w:val="24"/>
          <w:szCs w:val="24"/>
        </w:rPr>
        <w:footnoteReference w:id="78"/>
      </w:r>
      <w:r w:rsidR="00824F9A" w:rsidRPr="00632E30">
        <w:rPr>
          <w:rFonts w:ascii="Garamond" w:hAnsi="Garamond"/>
          <w:sz w:val="24"/>
          <w:szCs w:val="24"/>
        </w:rPr>
        <w:t xml:space="preserve"> </w:t>
      </w:r>
    </w:p>
    <w:p w14:paraId="49656B0B" w14:textId="77777777" w:rsidR="00C45FAF" w:rsidRDefault="00C45FAF" w:rsidP="00C45FAF">
      <w:pPr>
        <w:tabs>
          <w:tab w:val="left" w:pos="709"/>
        </w:tabs>
        <w:spacing w:line="360" w:lineRule="auto"/>
        <w:jc w:val="both"/>
        <w:rPr>
          <w:rFonts w:ascii="Garamond" w:hAnsi="Garamond"/>
          <w:sz w:val="24"/>
          <w:szCs w:val="24"/>
        </w:rPr>
      </w:pPr>
      <w:r>
        <w:rPr>
          <w:rFonts w:ascii="Garamond" w:hAnsi="Garamond"/>
          <w:sz w:val="24"/>
          <w:szCs w:val="24"/>
        </w:rPr>
        <w:tab/>
      </w:r>
      <w:r w:rsidR="00824F9A" w:rsidRPr="00632E30">
        <w:rPr>
          <w:rFonts w:ascii="Garamond" w:hAnsi="Garamond"/>
          <w:sz w:val="24"/>
          <w:szCs w:val="24"/>
        </w:rPr>
        <w:t xml:space="preserve">Pro konkrétní příklad právních následků za porušení vysvětlovací povinnosti podporující výše zmíněnou koncepci musíme pátrat v zahraničních právních úpravách. </w:t>
      </w:r>
      <w:r w:rsidR="000542B4" w:rsidRPr="00632E30">
        <w:rPr>
          <w:rFonts w:ascii="Garamond" w:hAnsi="Garamond"/>
          <w:sz w:val="24"/>
          <w:szCs w:val="24"/>
        </w:rPr>
        <w:t xml:space="preserve">V rámci německé právní úpravy najdeme v ustanovení § 427 </w:t>
      </w:r>
      <w:r w:rsidR="003C5F3E" w:rsidRPr="00632E30">
        <w:rPr>
          <w:rFonts w:ascii="Garamond" w:hAnsi="Garamond"/>
          <w:sz w:val="24"/>
          <w:szCs w:val="24"/>
        </w:rPr>
        <w:t xml:space="preserve">německého </w:t>
      </w:r>
      <w:r w:rsidR="000542B4" w:rsidRPr="00632E30">
        <w:rPr>
          <w:rFonts w:ascii="Garamond" w:hAnsi="Garamond"/>
          <w:sz w:val="24"/>
          <w:szCs w:val="24"/>
        </w:rPr>
        <w:t>civilního soudního řádu</w:t>
      </w:r>
      <w:r w:rsidR="001B59CB" w:rsidRPr="00632E30">
        <w:rPr>
          <w:rFonts w:ascii="Garamond" w:hAnsi="Garamond"/>
          <w:sz w:val="24"/>
          <w:szCs w:val="24"/>
        </w:rPr>
        <w:t>, dále jen „</w:t>
      </w:r>
      <w:r w:rsidR="001B59CB" w:rsidRPr="00632E30">
        <w:rPr>
          <w:rFonts w:ascii="Garamond" w:hAnsi="Garamond"/>
          <w:i/>
          <w:sz w:val="24"/>
          <w:szCs w:val="24"/>
        </w:rPr>
        <w:t>ZPO</w:t>
      </w:r>
      <w:r w:rsidR="001B59CB" w:rsidRPr="00632E30">
        <w:rPr>
          <w:rFonts w:ascii="Garamond" w:hAnsi="Garamond"/>
          <w:sz w:val="24"/>
          <w:szCs w:val="24"/>
        </w:rPr>
        <w:t>“,</w:t>
      </w:r>
      <w:r w:rsidR="000542B4" w:rsidRPr="00632E30">
        <w:rPr>
          <w:rFonts w:ascii="Garamond" w:hAnsi="Garamond"/>
          <w:sz w:val="24"/>
          <w:szCs w:val="24"/>
        </w:rPr>
        <w:t xml:space="preserve"> povinnost soudu v situaci, kdy povinná strana nepředloží listinu nebo po takové listině s dostatečným úsilím nepátrá, považovat za správný pouhý opis listiny předložený druhou procesní stranou.</w:t>
      </w:r>
      <w:r w:rsidR="00093919" w:rsidRPr="00632E30">
        <w:rPr>
          <w:rStyle w:val="Znakapoznpodarou"/>
          <w:rFonts w:ascii="Garamond" w:hAnsi="Garamond"/>
          <w:sz w:val="24"/>
          <w:szCs w:val="24"/>
        </w:rPr>
        <w:footnoteReference w:id="79"/>
      </w:r>
      <w:r w:rsidR="001B59CB" w:rsidRPr="00632E30">
        <w:rPr>
          <w:rFonts w:ascii="Garamond" w:hAnsi="Garamond"/>
          <w:sz w:val="24"/>
          <w:szCs w:val="24"/>
        </w:rPr>
        <w:t xml:space="preserve"> Dále v ustanovení § 444 ZPO obdobně soud může považovat za prokázaná tvrzení procesní strany o obsahu listiny, odstranila-li druhá procesní strana tuto listinu v úmyslu znemožnit protistraně do ní nahlédnout.</w:t>
      </w:r>
      <w:r w:rsidR="001B59CB" w:rsidRPr="00632E30">
        <w:rPr>
          <w:rStyle w:val="Znakapoznpodarou"/>
          <w:rFonts w:ascii="Garamond" w:hAnsi="Garamond"/>
          <w:sz w:val="24"/>
          <w:szCs w:val="24"/>
        </w:rPr>
        <w:footnoteReference w:id="80"/>
      </w:r>
      <w:r w:rsidR="005E12D9" w:rsidRPr="00632E30">
        <w:rPr>
          <w:rFonts w:ascii="Garamond" w:hAnsi="Garamond"/>
          <w:sz w:val="24"/>
          <w:szCs w:val="24"/>
        </w:rPr>
        <w:t xml:space="preserve"> Nakonec dle ustanovení § 446 může soud za předpokladu negativního postoje</w:t>
      </w:r>
      <w:r w:rsidR="006B0A7E" w:rsidRPr="00632E30">
        <w:rPr>
          <w:rFonts w:ascii="Garamond" w:hAnsi="Garamond"/>
          <w:sz w:val="24"/>
          <w:szCs w:val="24"/>
        </w:rPr>
        <w:t xml:space="preserve"> procesní strany k jeho výslechu</w:t>
      </w:r>
      <w:r w:rsidR="005E12D9" w:rsidRPr="00632E30">
        <w:rPr>
          <w:rFonts w:ascii="Garamond" w:hAnsi="Garamond"/>
          <w:sz w:val="24"/>
          <w:szCs w:val="24"/>
        </w:rPr>
        <w:t xml:space="preserve"> či podání vysvětlení s ohledem na všechny </w:t>
      </w:r>
      <w:r w:rsidR="005E12D9" w:rsidRPr="00632E30">
        <w:rPr>
          <w:rFonts w:ascii="Garamond" w:hAnsi="Garamond"/>
          <w:sz w:val="24"/>
          <w:szCs w:val="24"/>
        </w:rPr>
        <w:lastRenderedPageBreak/>
        <w:t>okolnosti případu, zejména k důvodům uvedeným stranou k odůvodnění odmítnutí výpovědi, na základě své volné úvahy rozhodnout, že uvedené skutečnosti lze považovat za prokázané.</w:t>
      </w:r>
      <w:r w:rsidR="005E12D9" w:rsidRPr="00632E30">
        <w:rPr>
          <w:rStyle w:val="Znakapoznpodarou"/>
          <w:rFonts w:ascii="Garamond" w:hAnsi="Garamond"/>
          <w:sz w:val="24"/>
          <w:szCs w:val="24"/>
        </w:rPr>
        <w:footnoteReference w:id="81"/>
      </w:r>
    </w:p>
    <w:p w14:paraId="2DB8F4E6" w14:textId="77777777" w:rsidR="00C45FAF" w:rsidRDefault="00C45FAF" w:rsidP="00C45FAF">
      <w:pPr>
        <w:tabs>
          <w:tab w:val="left" w:pos="709"/>
        </w:tabs>
        <w:spacing w:line="360" w:lineRule="auto"/>
        <w:jc w:val="both"/>
        <w:rPr>
          <w:rFonts w:ascii="Garamond" w:hAnsi="Garamond"/>
          <w:sz w:val="24"/>
          <w:szCs w:val="24"/>
        </w:rPr>
      </w:pPr>
      <w:r>
        <w:rPr>
          <w:rFonts w:ascii="Garamond" w:hAnsi="Garamond"/>
          <w:sz w:val="24"/>
          <w:szCs w:val="24"/>
        </w:rPr>
        <w:tab/>
      </w:r>
      <w:r w:rsidR="003756A4" w:rsidRPr="00632E30">
        <w:rPr>
          <w:rFonts w:ascii="Garamond" w:hAnsi="Garamond"/>
          <w:sz w:val="24"/>
          <w:szCs w:val="24"/>
        </w:rPr>
        <w:t>Podobnou úpravu obsahují i ustanovení rakouského civilního soudního řádu. Například v § 381 rakouského civilního soudního řádu, dále jen „</w:t>
      </w:r>
      <w:r w:rsidR="003756A4" w:rsidRPr="00632E30">
        <w:rPr>
          <w:rFonts w:ascii="Garamond" w:hAnsi="Garamond"/>
          <w:i/>
          <w:sz w:val="24"/>
          <w:szCs w:val="24"/>
        </w:rPr>
        <w:t>OZPO</w:t>
      </w:r>
      <w:r w:rsidR="003756A4" w:rsidRPr="00632E30">
        <w:rPr>
          <w:rFonts w:ascii="Garamond" w:hAnsi="Garamond"/>
          <w:sz w:val="24"/>
          <w:szCs w:val="24"/>
        </w:rPr>
        <w:t xml:space="preserve">“, musí soud pečlivě posoudit, jaký vliv má na utvoření důkazu, pokud účastník řízení bez řádného důvodu odmítne výpověď nebo </w:t>
      </w:r>
      <w:r w:rsidR="008B3603" w:rsidRPr="00632E30">
        <w:rPr>
          <w:rFonts w:ascii="Garamond" w:hAnsi="Garamond"/>
          <w:sz w:val="24"/>
          <w:szCs w:val="24"/>
        </w:rPr>
        <w:t>odpovědět na</w:t>
      </w:r>
      <w:r w:rsidR="006B0A7E" w:rsidRPr="00632E30">
        <w:rPr>
          <w:rFonts w:ascii="Garamond" w:hAnsi="Garamond"/>
          <w:sz w:val="24"/>
          <w:szCs w:val="24"/>
        </w:rPr>
        <w:t xml:space="preserve"> jednotlivé otázky, případně pokud</w:t>
      </w:r>
      <w:r w:rsidR="003756A4" w:rsidRPr="00632E30">
        <w:rPr>
          <w:rFonts w:ascii="Garamond" w:hAnsi="Garamond"/>
          <w:sz w:val="24"/>
          <w:szCs w:val="24"/>
        </w:rPr>
        <w:t xml:space="preserve"> se předvolaná procesní strana nedostaví před soud k výslechu, nebo se v podstatných </w:t>
      </w:r>
      <w:r w:rsidR="008B3603" w:rsidRPr="00632E30">
        <w:rPr>
          <w:rFonts w:ascii="Garamond" w:hAnsi="Garamond"/>
          <w:sz w:val="24"/>
          <w:szCs w:val="24"/>
        </w:rPr>
        <w:t>bodech odchýlí</w:t>
      </w:r>
      <w:r w:rsidR="003756A4" w:rsidRPr="00632E30">
        <w:rPr>
          <w:rFonts w:ascii="Garamond" w:hAnsi="Garamond"/>
          <w:sz w:val="24"/>
          <w:szCs w:val="24"/>
        </w:rPr>
        <w:t xml:space="preserve"> od své předchozí výpovědi, která nebyla učiněna pod přísahou.</w:t>
      </w:r>
      <w:r w:rsidR="003756A4" w:rsidRPr="00632E30">
        <w:rPr>
          <w:rStyle w:val="Znakapoznpodarou"/>
          <w:rFonts w:ascii="Garamond" w:hAnsi="Garamond"/>
          <w:sz w:val="24"/>
          <w:szCs w:val="24"/>
        </w:rPr>
        <w:footnoteReference w:id="82"/>
      </w:r>
      <w:r w:rsidR="003756A4" w:rsidRPr="00632E30">
        <w:rPr>
          <w:rFonts w:ascii="Garamond" w:hAnsi="Garamond"/>
          <w:sz w:val="24"/>
          <w:szCs w:val="24"/>
        </w:rPr>
        <w:t xml:space="preserve"> </w:t>
      </w:r>
    </w:p>
    <w:p w14:paraId="37798CA4" w14:textId="77777777" w:rsidR="00C45FAF" w:rsidRDefault="00C45FAF" w:rsidP="00C45FAF">
      <w:pPr>
        <w:tabs>
          <w:tab w:val="left" w:pos="709"/>
        </w:tabs>
        <w:spacing w:line="360" w:lineRule="auto"/>
        <w:jc w:val="both"/>
        <w:rPr>
          <w:rFonts w:ascii="Garamond" w:hAnsi="Garamond"/>
          <w:sz w:val="24"/>
          <w:szCs w:val="24"/>
        </w:rPr>
      </w:pPr>
      <w:r>
        <w:rPr>
          <w:rFonts w:ascii="Garamond" w:hAnsi="Garamond"/>
          <w:sz w:val="24"/>
          <w:szCs w:val="24"/>
        </w:rPr>
        <w:tab/>
      </w:r>
      <w:r w:rsidR="00100A5C" w:rsidRPr="00632E30">
        <w:rPr>
          <w:rFonts w:ascii="Garamond" w:hAnsi="Garamond"/>
          <w:sz w:val="24"/>
          <w:szCs w:val="24"/>
        </w:rPr>
        <w:t xml:space="preserve">Obdobné ustanovení pak obsahuje i švýcarský civilní soudní řád </w:t>
      </w:r>
      <w:r w:rsidR="00CE51E4" w:rsidRPr="00632E30">
        <w:rPr>
          <w:rFonts w:ascii="Garamond" w:hAnsi="Garamond"/>
          <w:sz w:val="24"/>
          <w:szCs w:val="24"/>
        </w:rPr>
        <w:t xml:space="preserve">ve svém ustanovení </w:t>
      </w:r>
      <w:r w:rsidR="002A6E47" w:rsidRPr="00632E30">
        <w:rPr>
          <w:rFonts w:ascii="Garamond" w:hAnsi="Garamond"/>
          <w:sz w:val="24"/>
          <w:szCs w:val="24"/>
        </w:rPr>
        <w:t>článku</w:t>
      </w:r>
      <w:r w:rsidR="00CE51E4" w:rsidRPr="00632E30">
        <w:rPr>
          <w:rFonts w:ascii="Garamond" w:hAnsi="Garamond"/>
          <w:sz w:val="24"/>
          <w:szCs w:val="24"/>
        </w:rPr>
        <w:t xml:space="preserve"> </w:t>
      </w:r>
      <w:r w:rsidR="008C745C" w:rsidRPr="00632E30">
        <w:rPr>
          <w:rFonts w:ascii="Garamond" w:hAnsi="Garamond"/>
          <w:sz w:val="24"/>
          <w:szCs w:val="24"/>
        </w:rPr>
        <w:t>164</w:t>
      </w:r>
      <w:r w:rsidR="002A6E47" w:rsidRPr="00632E30">
        <w:rPr>
          <w:rFonts w:ascii="Garamond" w:hAnsi="Garamond"/>
          <w:sz w:val="24"/>
          <w:szCs w:val="24"/>
        </w:rPr>
        <w:t>, kde postihuje bezdůvodné odmítnutí součinnosti procesní strany formou zohlednění této skutečnosti při volném hodnocení důkazů.</w:t>
      </w:r>
      <w:r w:rsidR="002A6E47" w:rsidRPr="00632E30">
        <w:rPr>
          <w:rStyle w:val="Znakapoznpodarou"/>
          <w:rFonts w:ascii="Garamond" w:hAnsi="Garamond"/>
          <w:sz w:val="24"/>
          <w:szCs w:val="24"/>
        </w:rPr>
        <w:footnoteReference w:id="83"/>
      </w:r>
    </w:p>
    <w:p w14:paraId="52C3506C" w14:textId="77777777" w:rsidR="00C45FAF" w:rsidRDefault="00C45FAF" w:rsidP="00C45FAF">
      <w:pPr>
        <w:tabs>
          <w:tab w:val="left" w:pos="709"/>
        </w:tabs>
        <w:spacing w:line="360" w:lineRule="auto"/>
        <w:jc w:val="both"/>
        <w:rPr>
          <w:rFonts w:ascii="Garamond" w:hAnsi="Garamond"/>
          <w:sz w:val="24"/>
          <w:szCs w:val="24"/>
        </w:rPr>
      </w:pPr>
      <w:r>
        <w:rPr>
          <w:rFonts w:ascii="Garamond" w:hAnsi="Garamond"/>
          <w:sz w:val="24"/>
          <w:szCs w:val="24"/>
        </w:rPr>
        <w:tab/>
      </w:r>
      <w:r w:rsidR="000108EB" w:rsidRPr="00632E30">
        <w:rPr>
          <w:rFonts w:ascii="Garamond" w:hAnsi="Garamond"/>
          <w:sz w:val="24"/>
          <w:szCs w:val="24"/>
        </w:rPr>
        <w:t>Výše uvedené koncepci právních následků porušení vysvětlovací povinnosti, projevujících se ve volném hodnocení důkazů, bývá vyčítáno, že se jedná o nedostatečný prostředek sankcionování v určitých procesních situacích. Za předpokladu, že soud dochází ke svému vnit</w:t>
      </w:r>
      <w:r w:rsidR="004C49DA" w:rsidRPr="00632E30">
        <w:rPr>
          <w:rFonts w:ascii="Garamond" w:hAnsi="Garamond"/>
          <w:sz w:val="24"/>
          <w:szCs w:val="24"/>
        </w:rPr>
        <w:t>řnímu přesvědčení o pravdivosti</w:t>
      </w:r>
      <w:r w:rsidR="000108EB" w:rsidRPr="00632E30">
        <w:rPr>
          <w:rFonts w:ascii="Garamond" w:hAnsi="Garamond"/>
          <w:sz w:val="24"/>
          <w:szCs w:val="24"/>
        </w:rPr>
        <w:t xml:space="preserve"> nebo nepravdivosti skutkových tvrzení procesních stran prostřednictvím volného hodnocení </w:t>
      </w:r>
      <w:r w:rsidR="00C747FF" w:rsidRPr="00632E30">
        <w:rPr>
          <w:rFonts w:ascii="Garamond" w:hAnsi="Garamond"/>
          <w:sz w:val="24"/>
          <w:szCs w:val="24"/>
        </w:rPr>
        <w:t xml:space="preserve">celého průběhu </w:t>
      </w:r>
      <w:r w:rsidR="00AB7960" w:rsidRPr="00632E30">
        <w:rPr>
          <w:rFonts w:ascii="Garamond" w:hAnsi="Garamond"/>
          <w:sz w:val="24"/>
          <w:szCs w:val="24"/>
        </w:rPr>
        <w:t>řízení</w:t>
      </w:r>
      <w:r w:rsidR="00C747FF" w:rsidRPr="00632E30">
        <w:rPr>
          <w:rFonts w:ascii="Garamond" w:hAnsi="Garamond"/>
          <w:sz w:val="24"/>
          <w:szCs w:val="24"/>
        </w:rPr>
        <w:t>, vycházejícího z obecných zákonů logiky a z o</w:t>
      </w:r>
      <w:r w:rsidR="004C49DA" w:rsidRPr="00632E30">
        <w:rPr>
          <w:rFonts w:ascii="Garamond" w:hAnsi="Garamond"/>
          <w:sz w:val="24"/>
          <w:szCs w:val="24"/>
        </w:rPr>
        <w:t>becných zkušenostních poznatků</w:t>
      </w:r>
      <w:r w:rsidR="00C747FF" w:rsidRPr="00632E30">
        <w:rPr>
          <w:rFonts w:ascii="Garamond" w:hAnsi="Garamond"/>
          <w:sz w:val="24"/>
          <w:szCs w:val="24"/>
        </w:rPr>
        <w:t>, nelze, dle názorů kritiků této koncepce, na základě těchto kritér</w:t>
      </w:r>
      <w:r w:rsidR="004C49DA" w:rsidRPr="00632E30">
        <w:rPr>
          <w:rFonts w:ascii="Garamond" w:hAnsi="Garamond"/>
          <w:sz w:val="24"/>
          <w:szCs w:val="24"/>
        </w:rPr>
        <w:t>ií dojít k závěru o pravdivosti</w:t>
      </w:r>
      <w:r w:rsidR="00C747FF" w:rsidRPr="00632E30">
        <w:rPr>
          <w:rFonts w:ascii="Garamond" w:hAnsi="Garamond"/>
          <w:sz w:val="24"/>
          <w:szCs w:val="24"/>
        </w:rPr>
        <w:t xml:space="preserve"> nebo nepravdivosti skutkových tvrzení stran</w:t>
      </w:r>
      <w:r w:rsidR="002F5937" w:rsidRPr="00632E30">
        <w:rPr>
          <w:rFonts w:ascii="Garamond" w:hAnsi="Garamond"/>
          <w:sz w:val="24"/>
          <w:szCs w:val="24"/>
        </w:rPr>
        <w:t>y</w:t>
      </w:r>
      <w:r w:rsidR="00C747FF" w:rsidRPr="00632E30">
        <w:rPr>
          <w:rFonts w:ascii="Garamond" w:hAnsi="Garamond"/>
          <w:sz w:val="24"/>
          <w:szCs w:val="24"/>
        </w:rPr>
        <w:t xml:space="preserve"> porušující vysvětlovací povinnost, pokud </w:t>
      </w:r>
      <w:r w:rsidR="004C49DA" w:rsidRPr="00632E30">
        <w:rPr>
          <w:rFonts w:ascii="Garamond" w:hAnsi="Garamond"/>
          <w:sz w:val="24"/>
          <w:szCs w:val="24"/>
        </w:rPr>
        <w:t xml:space="preserve">se </w:t>
      </w:r>
      <w:r w:rsidR="00C747FF" w:rsidRPr="00632E30">
        <w:rPr>
          <w:rFonts w:ascii="Garamond" w:hAnsi="Garamond"/>
          <w:sz w:val="24"/>
          <w:szCs w:val="24"/>
        </w:rPr>
        <w:t>procesní strana tímto porušením nesnaží zaujmout určitý postoj ke sporným skutečnostem. Jedná se zejména o situace, kdy se strana neseznámí s potřebnými dokumenty</w:t>
      </w:r>
      <w:r w:rsidR="006765A9" w:rsidRPr="00632E30">
        <w:rPr>
          <w:rFonts w:ascii="Garamond" w:hAnsi="Garamond"/>
          <w:sz w:val="24"/>
          <w:szCs w:val="24"/>
        </w:rPr>
        <w:t>, takže pr</w:t>
      </w:r>
      <w:r w:rsidR="004C49DA" w:rsidRPr="00632E30">
        <w:rPr>
          <w:rFonts w:ascii="Garamond" w:hAnsi="Garamond"/>
          <w:sz w:val="24"/>
          <w:szCs w:val="24"/>
        </w:rPr>
        <w:t>o faktickou neznalost nemůže</w:t>
      </w:r>
      <w:r w:rsidR="006765A9" w:rsidRPr="00632E30">
        <w:rPr>
          <w:rFonts w:ascii="Garamond" w:hAnsi="Garamond"/>
          <w:sz w:val="24"/>
          <w:szCs w:val="24"/>
        </w:rPr>
        <w:t xml:space="preserve"> splnit </w:t>
      </w:r>
      <w:r w:rsidR="004C49DA" w:rsidRPr="00632E30">
        <w:rPr>
          <w:rFonts w:ascii="Garamond" w:hAnsi="Garamond"/>
          <w:sz w:val="24"/>
          <w:szCs w:val="24"/>
        </w:rPr>
        <w:t>vysvětlovací povinnost. Pro</w:t>
      </w:r>
      <w:r w:rsidR="006765A9" w:rsidRPr="00632E30">
        <w:rPr>
          <w:rFonts w:ascii="Garamond" w:hAnsi="Garamond"/>
          <w:sz w:val="24"/>
          <w:szCs w:val="24"/>
        </w:rPr>
        <w:t xml:space="preserve"> neutralitu takového postoje pak nelze zcela jistě</w:t>
      </w:r>
      <w:r w:rsidR="004C49DA" w:rsidRPr="00632E30">
        <w:rPr>
          <w:rFonts w:ascii="Garamond" w:hAnsi="Garamond"/>
          <w:sz w:val="24"/>
          <w:szCs w:val="24"/>
        </w:rPr>
        <w:t xml:space="preserve"> vyvozovat závěry o pravdivosti</w:t>
      </w:r>
      <w:r w:rsidR="006765A9" w:rsidRPr="00632E30">
        <w:rPr>
          <w:rFonts w:ascii="Garamond" w:hAnsi="Garamond"/>
          <w:sz w:val="24"/>
          <w:szCs w:val="24"/>
        </w:rPr>
        <w:t xml:space="preserve"> nebo nepravdivosti tvrzených skutečností protistrany oproti situaci, kdy procesní strana povinná podat vysvětlení úmyslně lže.</w:t>
      </w:r>
      <w:r w:rsidR="008B3603" w:rsidRPr="00632E30">
        <w:rPr>
          <w:rStyle w:val="Znakapoznpodarou"/>
          <w:rFonts w:ascii="Garamond" w:hAnsi="Garamond"/>
          <w:sz w:val="24"/>
          <w:szCs w:val="24"/>
        </w:rPr>
        <w:footnoteReference w:id="84"/>
      </w:r>
    </w:p>
    <w:p w14:paraId="097E102F" w14:textId="77777777" w:rsidR="00C45FAF" w:rsidRDefault="00C45FAF" w:rsidP="00C45FAF">
      <w:pPr>
        <w:tabs>
          <w:tab w:val="left" w:pos="709"/>
        </w:tabs>
        <w:spacing w:line="360" w:lineRule="auto"/>
        <w:jc w:val="both"/>
        <w:rPr>
          <w:rFonts w:ascii="Garamond" w:hAnsi="Garamond"/>
          <w:sz w:val="24"/>
          <w:szCs w:val="24"/>
        </w:rPr>
      </w:pPr>
      <w:r>
        <w:rPr>
          <w:rFonts w:ascii="Garamond" w:hAnsi="Garamond"/>
          <w:sz w:val="24"/>
          <w:szCs w:val="24"/>
        </w:rPr>
        <w:tab/>
      </w:r>
      <w:r w:rsidR="008B3603" w:rsidRPr="00632E30">
        <w:rPr>
          <w:rFonts w:ascii="Garamond" w:hAnsi="Garamond"/>
          <w:sz w:val="24"/>
          <w:szCs w:val="24"/>
        </w:rPr>
        <w:t>Kritici výše uvedené koncepce z většiny upřednost</w:t>
      </w:r>
      <w:r w:rsidR="00FB2246" w:rsidRPr="00632E30">
        <w:rPr>
          <w:rFonts w:ascii="Garamond" w:hAnsi="Garamond"/>
          <w:sz w:val="24"/>
          <w:szCs w:val="24"/>
        </w:rPr>
        <w:t>ňují obrácení důkazního břemene</w:t>
      </w:r>
      <w:r w:rsidR="008B3603" w:rsidRPr="00632E30">
        <w:rPr>
          <w:rFonts w:ascii="Garamond" w:hAnsi="Garamond"/>
          <w:sz w:val="24"/>
          <w:szCs w:val="24"/>
        </w:rPr>
        <w:t xml:space="preserve"> jakožto sankci za porušení vysvětlovací povinnosti procesní stranou nezatíženou důkazním </w:t>
      </w:r>
      <w:r w:rsidR="008B3603" w:rsidRPr="00632E30">
        <w:rPr>
          <w:rFonts w:ascii="Garamond" w:hAnsi="Garamond"/>
          <w:sz w:val="24"/>
          <w:szCs w:val="24"/>
        </w:rPr>
        <w:lastRenderedPageBreak/>
        <w:t>břemenem. Dle této koncepce strana porušující vysvětlovací povinnost nese důkazní riziko ohledně prokázání nesprávnosti tvrzení protistrany zatížen</w:t>
      </w:r>
      <w:r w:rsidR="00AB7960" w:rsidRPr="00632E30">
        <w:rPr>
          <w:rFonts w:ascii="Garamond" w:hAnsi="Garamond"/>
          <w:sz w:val="24"/>
          <w:szCs w:val="24"/>
        </w:rPr>
        <w:t>é</w:t>
      </w:r>
      <w:r w:rsidR="008B3603" w:rsidRPr="00632E30">
        <w:rPr>
          <w:rFonts w:ascii="Garamond" w:hAnsi="Garamond"/>
          <w:sz w:val="24"/>
          <w:szCs w:val="24"/>
        </w:rPr>
        <w:t xml:space="preserve"> důkazním břemenem. Představitelé této koncepce pak kritizují zákonodárce, který v procesních předpisech nereflektuje žádnou takovou změnu, respektive obrácení důkazního břemene. Této koncepci pak bývá vyčítán</w:t>
      </w:r>
      <w:r w:rsidR="002D62C9" w:rsidRPr="00632E30">
        <w:rPr>
          <w:rFonts w:ascii="Garamond" w:hAnsi="Garamond"/>
          <w:sz w:val="24"/>
          <w:szCs w:val="24"/>
        </w:rPr>
        <w:t>a nedostatečná flexibilita použití a neúměrná přísnost v případě méně závažného porušení vysvětlovací povinnosti.</w:t>
      </w:r>
      <w:r w:rsidR="002D62C9" w:rsidRPr="00632E30">
        <w:rPr>
          <w:rStyle w:val="Znakapoznpodarou"/>
          <w:rFonts w:ascii="Garamond" w:hAnsi="Garamond"/>
          <w:sz w:val="24"/>
          <w:szCs w:val="24"/>
        </w:rPr>
        <w:footnoteReference w:id="85"/>
      </w:r>
    </w:p>
    <w:p w14:paraId="438BC233" w14:textId="77777777" w:rsidR="00C45FAF" w:rsidRDefault="00C45FAF" w:rsidP="00C45FAF">
      <w:pPr>
        <w:tabs>
          <w:tab w:val="left" w:pos="709"/>
        </w:tabs>
        <w:spacing w:line="360" w:lineRule="auto"/>
        <w:jc w:val="both"/>
        <w:rPr>
          <w:rFonts w:ascii="Garamond" w:hAnsi="Garamond"/>
          <w:sz w:val="24"/>
          <w:szCs w:val="24"/>
        </w:rPr>
      </w:pPr>
      <w:r>
        <w:rPr>
          <w:rFonts w:ascii="Garamond" w:hAnsi="Garamond"/>
          <w:sz w:val="24"/>
          <w:szCs w:val="24"/>
        </w:rPr>
        <w:tab/>
      </w:r>
      <w:r w:rsidR="002D62C9" w:rsidRPr="00632E30">
        <w:rPr>
          <w:rFonts w:ascii="Garamond" w:hAnsi="Garamond"/>
          <w:sz w:val="24"/>
          <w:szCs w:val="24"/>
        </w:rPr>
        <w:t xml:space="preserve">Poslední </w:t>
      </w:r>
      <w:r w:rsidR="00AB7960" w:rsidRPr="00632E30">
        <w:rPr>
          <w:rFonts w:ascii="Garamond" w:hAnsi="Garamond"/>
          <w:sz w:val="24"/>
          <w:szCs w:val="24"/>
        </w:rPr>
        <w:t xml:space="preserve">nepříliš zastávaná </w:t>
      </w:r>
      <w:r w:rsidR="002D62C9" w:rsidRPr="00632E30">
        <w:rPr>
          <w:rFonts w:ascii="Garamond" w:hAnsi="Garamond"/>
          <w:sz w:val="24"/>
          <w:szCs w:val="24"/>
        </w:rPr>
        <w:t>koncepc</w:t>
      </w:r>
      <w:r w:rsidR="00AB7960" w:rsidRPr="00632E30">
        <w:rPr>
          <w:rFonts w:ascii="Garamond" w:hAnsi="Garamond"/>
          <w:sz w:val="24"/>
          <w:szCs w:val="24"/>
        </w:rPr>
        <w:t>e</w:t>
      </w:r>
      <w:r w:rsidR="002D62C9" w:rsidRPr="00632E30">
        <w:rPr>
          <w:rFonts w:ascii="Garamond" w:hAnsi="Garamond"/>
          <w:sz w:val="24"/>
          <w:szCs w:val="24"/>
        </w:rPr>
        <w:t xml:space="preserve"> sankce za porušení vysvětlovací povinnosti</w:t>
      </w:r>
      <w:r w:rsidR="00AB7960" w:rsidRPr="00632E30">
        <w:rPr>
          <w:rFonts w:ascii="Garamond" w:hAnsi="Garamond"/>
          <w:sz w:val="24"/>
          <w:szCs w:val="24"/>
        </w:rPr>
        <w:t xml:space="preserve"> se pokouší odstranit nedostatky předchozích teorií</w:t>
      </w:r>
      <w:r w:rsidR="00BF364A" w:rsidRPr="00632E30">
        <w:rPr>
          <w:rFonts w:ascii="Garamond" w:hAnsi="Garamond"/>
          <w:sz w:val="24"/>
          <w:szCs w:val="24"/>
        </w:rPr>
        <w:t xml:space="preserve">. </w:t>
      </w:r>
      <w:r w:rsidR="002D62C9" w:rsidRPr="00632E30">
        <w:rPr>
          <w:rFonts w:ascii="Garamond" w:hAnsi="Garamond"/>
          <w:sz w:val="24"/>
          <w:szCs w:val="24"/>
        </w:rPr>
        <w:t>Činí tak pomocí tzv. fikce vysvětlení skutečností příznivých straně zatížené důkazním břemenem při porušení vysvětlovací povinnosti její protistranou. Zastánci této teorie umožňují vyvrácení fikce vysvětlení pomocí předložených skutečností, jež jsou způsobilé vyvolat plné a zcela nezvratné vnitřní přesvědčení soudu o nepravdivosti tvrzení strany zatížené důkazním břemenem. Zároveň dle zastánců není možné použít tuto koncepci za situace, kdy je vysoce pravděpodobné, že procesní strana zatížená důkazním břemenem se dopustila zneužití procesní sankce, případně při lehkém porušení vysvětlovací povinnosti</w:t>
      </w:r>
      <w:r w:rsidR="00FE6346" w:rsidRPr="00632E30">
        <w:rPr>
          <w:rFonts w:ascii="Garamond" w:hAnsi="Garamond"/>
          <w:sz w:val="24"/>
          <w:szCs w:val="24"/>
        </w:rPr>
        <w:t>, při níž soud může s převažující pravděpodobností usuzovat na nepravdivost tvrzení protistrany.</w:t>
      </w:r>
      <w:r w:rsidR="00FE6346" w:rsidRPr="00632E30">
        <w:rPr>
          <w:rStyle w:val="Znakapoznpodarou"/>
          <w:rFonts w:ascii="Garamond" w:hAnsi="Garamond"/>
          <w:sz w:val="24"/>
          <w:szCs w:val="24"/>
        </w:rPr>
        <w:footnoteReference w:id="86"/>
      </w:r>
      <w:r w:rsidR="00FE6346" w:rsidRPr="00632E30">
        <w:rPr>
          <w:rFonts w:ascii="Garamond" w:hAnsi="Garamond"/>
          <w:sz w:val="24"/>
          <w:szCs w:val="24"/>
        </w:rPr>
        <w:t xml:space="preserve"> </w:t>
      </w:r>
    </w:p>
    <w:p w14:paraId="18BE3EE5" w14:textId="77777777" w:rsidR="00C45FAF" w:rsidRDefault="00C45FAF" w:rsidP="00C45FAF">
      <w:pPr>
        <w:tabs>
          <w:tab w:val="left" w:pos="709"/>
        </w:tabs>
        <w:spacing w:line="360" w:lineRule="auto"/>
        <w:jc w:val="both"/>
        <w:rPr>
          <w:rFonts w:ascii="Garamond" w:hAnsi="Garamond"/>
          <w:sz w:val="24"/>
          <w:szCs w:val="24"/>
        </w:rPr>
      </w:pPr>
      <w:r>
        <w:rPr>
          <w:rFonts w:ascii="Garamond" w:hAnsi="Garamond"/>
          <w:sz w:val="24"/>
          <w:szCs w:val="24"/>
        </w:rPr>
        <w:tab/>
      </w:r>
      <w:r w:rsidR="00D67C3A" w:rsidRPr="00632E30">
        <w:rPr>
          <w:rFonts w:ascii="Garamond" w:hAnsi="Garamond"/>
          <w:sz w:val="24"/>
          <w:szCs w:val="24"/>
        </w:rPr>
        <w:t xml:space="preserve">V rámci poslední z výše uvedených </w:t>
      </w:r>
      <w:r w:rsidR="006F3017" w:rsidRPr="00632E30">
        <w:rPr>
          <w:rFonts w:ascii="Garamond" w:hAnsi="Garamond"/>
          <w:sz w:val="24"/>
          <w:szCs w:val="24"/>
        </w:rPr>
        <w:t>teorií</w:t>
      </w:r>
      <w:r w:rsidR="00D67C3A" w:rsidRPr="00632E30">
        <w:rPr>
          <w:rFonts w:ascii="Garamond" w:hAnsi="Garamond"/>
          <w:sz w:val="24"/>
          <w:szCs w:val="24"/>
        </w:rPr>
        <w:t xml:space="preserve"> </w:t>
      </w:r>
      <w:r w:rsidR="006F3017" w:rsidRPr="00632E30">
        <w:rPr>
          <w:rFonts w:ascii="Garamond" w:hAnsi="Garamond"/>
          <w:sz w:val="24"/>
          <w:szCs w:val="24"/>
        </w:rPr>
        <w:t xml:space="preserve">její </w:t>
      </w:r>
      <w:r w:rsidR="00D67C3A" w:rsidRPr="00632E30">
        <w:rPr>
          <w:rFonts w:ascii="Garamond" w:hAnsi="Garamond"/>
          <w:sz w:val="24"/>
          <w:szCs w:val="24"/>
        </w:rPr>
        <w:t xml:space="preserve">zastánci prakticky ztotožňují důsledky koncepce obrácení důkazního břemene s jejich koncepcí fikce vysvětlení. Za předpokladu, že soud nenabude přesvědčení o pravdivosti tvrzení strany zatížené důkazním břemenem, položí za základ svého rozhodnutí fikci, že tato tvrzení jsou nepravdivá, ačkoliv nelze </w:t>
      </w:r>
      <w:r w:rsidR="005D4B41" w:rsidRPr="00632E30">
        <w:rPr>
          <w:rFonts w:ascii="Garamond" w:hAnsi="Garamond"/>
          <w:sz w:val="24"/>
          <w:szCs w:val="24"/>
        </w:rPr>
        <w:t>jednoznačně stanovit pravdivost</w:t>
      </w:r>
      <w:r w:rsidR="00D67C3A" w:rsidRPr="00632E30">
        <w:rPr>
          <w:rFonts w:ascii="Garamond" w:hAnsi="Garamond"/>
          <w:sz w:val="24"/>
          <w:szCs w:val="24"/>
        </w:rPr>
        <w:t xml:space="preserve"> nebo nepravdivost těchto tvrz</w:t>
      </w:r>
      <w:r w:rsidR="00CE3EFB" w:rsidRPr="00632E30">
        <w:rPr>
          <w:rFonts w:ascii="Garamond" w:hAnsi="Garamond"/>
          <w:sz w:val="24"/>
          <w:szCs w:val="24"/>
        </w:rPr>
        <w:t>e</w:t>
      </w:r>
      <w:r w:rsidR="00D67C3A" w:rsidRPr="00632E30">
        <w:rPr>
          <w:rFonts w:ascii="Garamond" w:hAnsi="Garamond"/>
          <w:sz w:val="24"/>
          <w:szCs w:val="24"/>
        </w:rPr>
        <w:t xml:space="preserve">ní, a to v důsledku stavu </w:t>
      </w:r>
      <w:r w:rsidR="00CE3EFB" w:rsidRPr="00632E30">
        <w:rPr>
          <w:rFonts w:ascii="Garamond" w:hAnsi="Garamond"/>
          <w:sz w:val="24"/>
          <w:szCs w:val="24"/>
        </w:rPr>
        <w:t xml:space="preserve">non </w:t>
      </w:r>
      <w:proofErr w:type="spellStart"/>
      <w:r w:rsidR="00CE3EFB" w:rsidRPr="00632E30">
        <w:rPr>
          <w:rFonts w:ascii="Garamond" w:hAnsi="Garamond"/>
          <w:sz w:val="24"/>
          <w:szCs w:val="24"/>
        </w:rPr>
        <w:t>liquet</w:t>
      </w:r>
      <w:proofErr w:type="spellEnd"/>
      <w:r w:rsidR="00D67C3A" w:rsidRPr="00632E30">
        <w:rPr>
          <w:rFonts w:ascii="Garamond" w:hAnsi="Garamond"/>
          <w:sz w:val="24"/>
          <w:szCs w:val="24"/>
        </w:rPr>
        <w:t>. Obdobně dle fikce vysvětlení při objektivní ne</w:t>
      </w:r>
      <w:r w:rsidR="00CE3EFB" w:rsidRPr="00632E30">
        <w:rPr>
          <w:rFonts w:ascii="Garamond" w:hAnsi="Garamond"/>
          <w:sz w:val="24"/>
          <w:szCs w:val="24"/>
        </w:rPr>
        <w:t>jasnosti rozhodných skutečností se postupuje stejně, jako kdyby byla zjištěna jejich nepravdivost. V rámci tohoto pojetí tak dochází k obrácení důkazního břemene, přesto však je autory této koncepce odmítáno ztotožnění nauky o fikci vysvětlení s teorií o obrácení břemene důkazního.</w:t>
      </w:r>
      <w:r w:rsidR="00CE3EFB" w:rsidRPr="00632E30">
        <w:rPr>
          <w:rStyle w:val="Znakapoznpodarou"/>
          <w:rFonts w:ascii="Garamond" w:hAnsi="Garamond"/>
          <w:sz w:val="24"/>
          <w:szCs w:val="24"/>
        </w:rPr>
        <w:footnoteReference w:id="87"/>
      </w:r>
    </w:p>
    <w:p w14:paraId="443A6D31" w14:textId="77777777" w:rsidR="00C45FAF" w:rsidRDefault="00C45FAF" w:rsidP="00C45FAF">
      <w:pPr>
        <w:tabs>
          <w:tab w:val="left" w:pos="709"/>
        </w:tabs>
        <w:spacing w:line="360" w:lineRule="auto"/>
        <w:jc w:val="both"/>
        <w:rPr>
          <w:rFonts w:ascii="Garamond" w:hAnsi="Garamond"/>
          <w:sz w:val="24"/>
          <w:szCs w:val="24"/>
        </w:rPr>
      </w:pPr>
      <w:r>
        <w:rPr>
          <w:rFonts w:ascii="Garamond" w:hAnsi="Garamond"/>
          <w:sz w:val="24"/>
          <w:szCs w:val="24"/>
        </w:rPr>
        <w:tab/>
      </w:r>
      <w:r w:rsidR="00020310" w:rsidRPr="00632E30">
        <w:rPr>
          <w:rFonts w:ascii="Garamond" w:hAnsi="Garamond"/>
          <w:sz w:val="24"/>
          <w:szCs w:val="24"/>
        </w:rPr>
        <w:t xml:space="preserve">Takto </w:t>
      </w:r>
      <w:r w:rsidR="00AB7960" w:rsidRPr="00632E30">
        <w:rPr>
          <w:rFonts w:ascii="Garamond" w:hAnsi="Garamond"/>
          <w:sz w:val="24"/>
          <w:szCs w:val="24"/>
        </w:rPr>
        <w:t>pojatá</w:t>
      </w:r>
      <w:r w:rsidR="00020310" w:rsidRPr="00632E30">
        <w:rPr>
          <w:rFonts w:ascii="Garamond" w:hAnsi="Garamond"/>
          <w:sz w:val="24"/>
          <w:szCs w:val="24"/>
        </w:rPr>
        <w:t xml:space="preserve"> tzv. vyvratitelné fikce má řadu závažných nedostatků. Předně fikce není a nemůže být vyvratitelná, </w:t>
      </w:r>
      <w:r w:rsidR="005D4B41" w:rsidRPr="00632E30">
        <w:rPr>
          <w:rFonts w:ascii="Garamond" w:hAnsi="Garamond"/>
          <w:sz w:val="24"/>
          <w:szCs w:val="24"/>
        </w:rPr>
        <w:t>pokud by byla, nejednalo by se</w:t>
      </w:r>
      <w:r w:rsidR="00020310" w:rsidRPr="00632E30">
        <w:rPr>
          <w:rFonts w:ascii="Garamond" w:hAnsi="Garamond"/>
          <w:sz w:val="24"/>
          <w:szCs w:val="24"/>
        </w:rPr>
        <w:t xml:space="preserve"> o fikci, ale vyvratitelnou domněnku. Nelze tedy uplatnit důkaz opaku, něco jiného by ovšem byl protidůkaz, jímž by se mělo prokázat, že v dané situace nejsou naplněny podmínky pro použití daného ustanovení. Fikce postrádá obecnou </w:t>
      </w:r>
      <w:r w:rsidR="00020310" w:rsidRPr="00632E30">
        <w:rPr>
          <w:rFonts w:ascii="Garamond" w:hAnsi="Garamond"/>
          <w:sz w:val="24"/>
          <w:szCs w:val="24"/>
        </w:rPr>
        <w:lastRenderedPageBreak/>
        <w:t xml:space="preserve">zkušenostní větu, která se uplatní typicky u domněnky, kdy určité skutečnosti jsou více či méně pravděpodobné, respektive mívají zpravidla podklad ve skutečnosti. U fikce toto ovšem neplatí. </w:t>
      </w:r>
      <w:r w:rsidR="000D1223" w:rsidRPr="00632E30">
        <w:rPr>
          <w:rFonts w:ascii="Garamond" w:hAnsi="Garamond"/>
          <w:sz w:val="24"/>
          <w:szCs w:val="24"/>
        </w:rPr>
        <w:t>Tato teorie, ačkoliv byla vytvořena za účelem zjednodušení následků porušení vysvětlovací povinnosti, komplikuje již tak složitou problematiku právních následků porušení této povinnosti.</w:t>
      </w:r>
      <w:r w:rsidR="0038530B" w:rsidRPr="00632E30">
        <w:rPr>
          <w:rStyle w:val="Znakapoznpodarou"/>
          <w:rFonts w:ascii="Garamond" w:hAnsi="Garamond"/>
          <w:sz w:val="24"/>
          <w:szCs w:val="24"/>
        </w:rPr>
        <w:footnoteReference w:id="88"/>
      </w:r>
    </w:p>
    <w:p w14:paraId="4E55029F" w14:textId="107BC027" w:rsidR="00076BF5" w:rsidRPr="00632E30" w:rsidRDefault="00C45FAF" w:rsidP="00C45FAF">
      <w:pPr>
        <w:tabs>
          <w:tab w:val="left" w:pos="709"/>
        </w:tabs>
        <w:spacing w:line="360" w:lineRule="auto"/>
        <w:jc w:val="both"/>
        <w:rPr>
          <w:rFonts w:ascii="Garamond" w:hAnsi="Garamond"/>
          <w:sz w:val="24"/>
          <w:szCs w:val="24"/>
        </w:rPr>
      </w:pPr>
      <w:r>
        <w:rPr>
          <w:rFonts w:ascii="Garamond" w:hAnsi="Garamond"/>
          <w:sz w:val="24"/>
          <w:szCs w:val="24"/>
        </w:rPr>
        <w:tab/>
      </w:r>
      <w:r w:rsidR="000D1223" w:rsidRPr="00632E30">
        <w:rPr>
          <w:rFonts w:ascii="Garamond" w:hAnsi="Garamond"/>
          <w:sz w:val="24"/>
          <w:szCs w:val="24"/>
        </w:rPr>
        <w:t>Druhé koncepci založené na obrácení břemene důkazního lze vytknout strnulost tohoto řešení a mnohdy neadekvátní sankci.</w:t>
      </w:r>
      <w:r w:rsidR="0038530B" w:rsidRPr="00632E30">
        <w:rPr>
          <w:rStyle w:val="Znakapoznpodarou"/>
          <w:rFonts w:ascii="Garamond" w:hAnsi="Garamond"/>
          <w:sz w:val="24"/>
          <w:szCs w:val="24"/>
        </w:rPr>
        <w:footnoteReference w:id="89"/>
      </w:r>
      <w:r w:rsidR="000D1223" w:rsidRPr="00632E30">
        <w:rPr>
          <w:rFonts w:ascii="Garamond" w:hAnsi="Garamond"/>
          <w:sz w:val="24"/>
          <w:szCs w:val="24"/>
        </w:rPr>
        <w:t xml:space="preserve"> Lze si představit situace, kdy z důvodu nepřekonatelného informačního d</w:t>
      </w:r>
      <w:r w:rsidR="005D4B41" w:rsidRPr="00632E30">
        <w:rPr>
          <w:rFonts w:ascii="Garamond" w:hAnsi="Garamond"/>
          <w:sz w:val="24"/>
          <w:szCs w:val="24"/>
        </w:rPr>
        <w:t>eficitu procesní strany zatížené</w:t>
      </w:r>
      <w:r w:rsidR="000D1223" w:rsidRPr="00632E30">
        <w:rPr>
          <w:rFonts w:ascii="Garamond" w:hAnsi="Garamond"/>
          <w:sz w:val="24"/>
          <w:szCs w:val="24"/>
        </w:rPr>
        <w:t xml:space="preserve"> důkazním břemenem dojde k přechodu, respektive k obrácení důkazního břemene na protistranu. Tato strana původně nezatížená důkazním břemenem následně </w:t>
      </w:r>
      <w:r w:rsidR="002956B6" w:rsidRPr="00632E30">
        <w:rPr>
          <w:rFonts w:ascii="Garamond" w:hAnsi="Garamond"/>
          <w:sz w:val="24"/>
          <w:szCs w:val="24"/>
        </w:rPr>
        <w:t>v důsledků okolností nezávislých na její vůli ztratí možnost splnit svou vysvětlovací povinnost.</w:t>
      </w:r>
      <w:r w:rsidR="003C5F3E" w:rsidRPr="00632E30">
        <w:rPr>
          <w:rFonts w:ascii="Garamond" w:hAnsi="Garamond"/>
          <w:sz w:val="24"/>
          <w:szCs w:val="24"/>
        </w:rPr>
        <w:t xml:space="preserve"> </w:t>
      </w:r>
      <w:r w:rsidR="00874E4A" w:rsidRPr="00632E30">
        <w:rPr>
          <w:rFonts w:ascii="Garamond" w:hAnsi="Garamond"/>
          <w:sz w:val="24"/>
          <w:szCs w:val="24"/>
        </w:rPr>
        <w:t>Neadekvátnost sankce v případě přenesení důkazního břemene je zde očividná. Procesní břemena sice nestanovují jednání, které je s nimi v rozporu za protiprávní, avšak stíhají stranu zatíženou procesním břemenem při jeho neunesením možnou ztrátou pře, a to nezávisle na zavinění. V případě koncepce spočívající na volném hodnocení by zohlednilo nemožnost splnění vysvětlovací povinnosti, které nenastaly v důsledku zavinění strany povinné z vysvětlovací povinnosti.</w:t>
      </w:r>
      <w:r w:rsidR="00874E4A" w:rsidRPr="00632E30">
        <w:rPr>
          <w:rStyle w:val="Znakapoznpodarou"/>
          <w:rFonts w:ascii="Garamond" w:hAnsi="Garamond"/>
          <w:sz w:val="24"/>
          <w:szCs w:val="24"/>
        </w:rPr>
        <w:footnoteReference w:id="90"/>
      </w:r>
      <w:r w:rsidR="00874E4A" w:rsidRPr="00632E30">
        <w:rPr>
          <w:rFonts w:ascii="Garamond" w:hAnsi="Garamond"/>
          <w:sz w:val="24"/>
          <w:szCs w:val="24"/>
        </w:rPr>
        <w:t xml:space="preserve"> </w:t>
      </w:r>
      <w:r w:rsidR="00076BF5" w:rsidRPr="00632E30">
        <w:rPr>
          <w:rFonts w:ascii="Garamond" w:hAnsi="Garamond"/>
          <w:sz w:val="24"/>
          <w:szCs w:val="24"/>
        </w:rPr>
        <w:br w:type="page"/>
      </w:r>
    </w:p>
    <w:p w14:paraId="24291165" w14:textId="77777777" w:rsidR="00FF53DD" w:rsidRPr="00632E30" w:rsidRDefault="00787199" w:rsidP="00BE56B8">
      <w:pPr>
        <w:pStyle w:val="Nadpis1"/>
        <w:numPr>
          <w:ilvl w:val="0"/>
          <w:numId w:val="28"/>
        </w:numPr>
        <w:rPr>
          <w:rFonts w:ascii="Garamond" w:hAnsi="Garamond"/>
          <w:b/>
          <w:color w:val="auto"/>
        </w:rPr>
      </w:pPr>
      <w:bookmarkStart w:id="33" w:name="_Toc17881140"/>
      <w:r w:rsidRPr="00632E30">
        <w:rPr>
          <w:rFonts w:ascii="Garamond" w:hAnsi="Garamond"/>
          <w:b/>
          <w:color w:val="auto"/>
        </w:rPr>
        <w:lastRenderedPageBreak/>
        <w:t>Vysvětlovací povinnost de lege lata</w:t>
      </w:r>
      <w:bookmarkEnd w:id="33"/>
    </w:p>
    <w:p w14:paraId="7CC90E53" w14:textId="33F048E4" w:rsidR="00076BF5" w:rsidRPr="00632E30" w:rsidRDefault="00076BF5" w:rsidP="00BE56B8">
      <w:pPr>
        <w:pStyle w:val="Nadpis1"/>
        <w:numPr>
          <w:ilvl w:val="1"/>
          <w:numId w:val="28"/>
        </w:numPr>
        <w:spacing w:before="160" w:after="160"/>
        <w:rPr>
          <w:rFonts w:ascii="Garamond" w:hAnsi="Garamond"/>
          <w:b/>
          <w:color w:val="auto"/>
          <w:sz w:val="26"/>
          <w:szCs w:val="26"/>
        </w:rPr>
      </w:pPr>
      <w:bookmarkStart w:id="34" w:name="_Toc17881141"/>
      <w:r w:rsidRPr="00632E30">
        <w:rPr>
          <w:rFonts w:ascii="Garamond" w:hAnsi="Garamond"/>
          <w:b/>
          <w:color w:val="auto"/>
          <w:sz w:val="26"/>
          <w:szCs w:val="26"/>
        </w:rPr>
        <w:t>Vysvětlovací povinnost ve světle judikatury</w:t>
      </w:r>
      <w:bookmarkEnd w:id="34"/>
    </w:p>
    <w:p w14:paraId="4A25BFC5" w14:textId="77777777" w:rsidR="00C45FAF" w:rsidRDefault="00C45FAF" w:rsidP="00C45FAF">
      <w:pPr>
        <w:tabs>
          <w:tab w:val="left" w:pos="709"/>
        </w:tabs>
        <w:spacing w:line="360" w:lineRule="auto"/>
        <w:jc w:val="both"/>
        <w:rPr>
          <w:rFonts w:ascii="Garamond" w:hAnsi="Garamond"/>
          <w:i/>
          <w:sz w:val="24"/>
          <w:szCs w:val="24"/>
        </w:rPr>
      </w:pPr>
      <w:r>
        <w:rPr>
          <w:rFonts w:ascii="Garamond" w:hAnsi="Garamond"/>
          <w:sz w:val="24"/>
          <w:szCs w:val="24"/>
        </w:rPr>
        <w:tab/>
      </w:r>
      <w:r w:rsidR="00216AEA" w:rsidRPr="00632E30">
        <w:rPr>
          <w:rFonts w:ascii="Garamond" w:hAnsi="Garamond"/>
          <w:sz w:val="24"/>
          <w:szCs w:val="24"/>
        </w:rPr>
        <w:t xml:space="preserve">Pojem vysvětlovací povinnosti se v judikatuře objevil v poměrně recentních rozhodnutích. </w:t>
      </w:r>
      <w:r w:rsidR="002A2786" w:rsidRPr="00632E30">
        <w:rPr>
          <w:rFonts w:ascii="Garamond" w:hAnsi="Garamond"/>
          <w:sz w:val="24"/>
          <w:szCs w:val="24"/>
        </w:rPr>
        <w:t xml:space="preserve">Pravděpodobně prvním </w:t>
      </w:r>
      <w:r w:rsidR="00216AEA" w:rsidRPr="00632E30">
        <w:rPr>
          <w:rFonts w:ascii="Garamond" w:hAnsi="Garamond"/>
          <w:sz w:val="24"/>
          <w:szCs w:val="24"/>
        </w:rPr>
        <w:t xml:space="preserve">takovým </w:t>
      </w:r>
      <w:r w:rsidR="00070A73" w:rsidRPr="00632E30">
        <w:rPr>
          <w:rFonts w:ascii="Garamond" w:hAnsi="Garamond"/>
          <w:sz w:val="24"/>
          <w:szCs w:val="24"/>
        </w:rPr>
        <w:t>rozhodnutím, které se obšírněji zabývalo institutem vysvětlovací povinnosti</w:t>
      </w:r>
      <w:r w:rsidR="00F30D9B" w:rsidRPr="00632E30">
        <w:rPr>
          <w:rFonts w:ascii="Garamond" w:hAnsi="Garamond"/>
          <w:sz w:val="24"/>
          <w:szCs w:val="24"/>
        </w:rPr>
        <w:t>,</w:t>
      </w:r>
      <w:r w:rsidR="00070A73" w:rsidRPr="00632E30">
        <w:rPr>
          <w:rFonts w:ascii="Garamond" w:hAnsi="Garamond"/>
          <w:sz w:val="24"/>
          <w:szCs w:val="24"/>
        </w:rPr>
        <w:t xml:space="preserve"> byl </w:t>
      </w:r>
      <w:bookmarkStart w:id="35" w:name="_Hlk17856291"/>
      <w:r w:rsidR="00070A73" w:rsidRPr="00632E30">
        <w:rPr>
          <w:rFonts w:ascii="Garamond" w:hAnsi="Garamond"/>
          <w:sz w:val="24"/>
          <w:szCs w:val="24"/>
        </w:rPr>
        <w:t xml:space="preserve">nález Ústavního soudu ze dne 28. 2. 2008 </w:t>
      </w:r>
      <w:proofErr w:type="spellStart"/>
      <w:r w:rsidR="00070A73" w:rsidRPr="00632E30">
        <w:rPr>
          <w:rFonts w:ascii="Garamond" w:hAnsi="Garamond"/>
          <w:sz w:val="24"/>
          <w:szCs w:val="24"/>
        </w:rPr>
        <w:t>sp</w:t>
      </w:r>
      <w:proofErr w:type="spellEnd"/>
      <w:r w:rsidR="00070A73" w:rsidRPr="00632E30">
        <w:rPr>
          <w:rFonts w:ascii="Garamond" w:hAnsi="Garamond"/>
          <w:sz w:val="24"/>
          <w:szCs w:val="24"/>
        </w:rPr>
        <w:t>. zn. I. ÚS 987/07</w:t>
      </w:r>
      <w:bookmarkEnd w:id="35"/>
      <w:r w:rsidR="00070A73" w:rsidRPr="00632E30">
        <w:rPr>
          <w:rFonts w:ascii="Garamond" w:hAnsi="Garamond"/>
          <w:sz w:val="24"/>
          <w:szCs w:val="24"/>
        </w:rPr>
        <w:t xml:space="preserve">, ve </w:t>
      </w:r>
      <w:r w:rsidR="009C7ED3" w:rsidRPr="00632E30">
        <w:rPr>
          <w:rFonts w:ascii="Garamond" w:hAnsi="Garamond"/>
          <w:sz w:val="24"/>
          <w:szCs w:val="24"/>
        </w:rPr>
        <w:t>kterém Ústavní</w:t>
      </w:r>
      <w:r w:rsidR="00070A73" w:rsidRPr="00632E30">
        <w:rPr>
          <w:rFonts w:ascii="Garamond" w:hAnsi="Garamond"/>
          <w:sz w:val="24"/>
          <w:szCs w:val="24"/>
        </w:rPr>
        <w:t xml:space="preserve"> soud </w:t>
      </w:r>
      <w:r w:rsidR="00BD145C" w:rsidRPr="00632E30">
        <w:rPr>
          <w:rFonts w:ascii="Garamond" w:hAnsi="Garamond"/>
          <w:sz w:val="24"/>
          <w:szCs w:val="24"/>
        </w:rPr>
        <w:t xml:space="preserve">řešil </w:t>
      </w:r>
      <w:r w:rsidR="00070A73" w:rsidRPr="00632E30">
        <w:rPr>
          <w:rFonts w:ascii="Garamond" w:hAnsi="Garamond"/>
          <w:sz w:val="24"/>
          <w:szCs w:val="24"/>
        </w:rPr>
        <w:t xml:space="preserve">oprávnění obecného soudu uložit pořádkovou pokutu muži, který se odmítal podrobit odebrání vzorků DNA v řízení o určení otcovství. Ve výše citovaném nálezu </w:t>
      </w:r>
      <w:r w:rsidR="001E1211" w:rsidRPr="00632E30">
        <w:rPr>
          <w:rFonts w:ascii="Garamond" w:hAnsi="Garamond"/>
          <w:sz w:val="24"/>
          <w:szCs w:val="24"/>
        </w:rPr>
        <w:t xml:space="preserve">se </w:t>
      </w:r>
      <w:r w:rsidR="00070A73" w:rsidRPr="00632E30">
        <w:rPr>
          <w:rFonts w:ascii="Garamond" w:hAnsi="Garamond"/>
          <w:sz w:val="24"/>
          <w:szCs w:val="24"/>
        </w:rPr>
        <w:t xml:space="preserve">pak blíže vyjádřil k vysvětlovací povinnosti: </w:t>
      </w:r>
      <w:r w:rsidR="00AB332E" w:rsidRPr="00632E30">
        <w:rPr>
          <w:rFonts w:ascii="Garamond" w:hAnsi="Garamond"/>
          <w:sz w:val="24"/>
          <w:szCs w:val="24"/>
        </w:rPr>
        <w:t>„</w:t>
      </w:r>
      <w:r w:rsidR="00070A73" w:rsidRPr="00632E30">
        <w:rPr>
          <w:rFonts w:ascii="Garamond" w:hAnsi="Garamond"/>
          <w:i/>
          <w:sz w:val="24"/>
          <w:szCs w:val="24"/>
        </w:rPr>
        <w:t xml:space="preserve">K argumentaci stěžovatele je namístě pro úplnost dodat, že </w:t>
      </w:r>
      <w:proofErr w:type="spellStart"/>
      <w:r w:rsidR="00070A73" w:rsidRPr="00632E30">
        <w:rPr>
          <w:rFonts w:ascii="Garamond" w:hAnsi="Garamond"/>
          <w:i/>
          <w:sz w:val="24"/>
          <w:szCs w:val="24"/>
        </w:rPr>
        <w:t>procesualistika</w:t>
      </w:r>
      <w:proofErr w:type="spellEnd"/>
      <w:r w:rsidR="00070A73" w:rsidRPr="00632E30">
        <w:rPr>
          <w:rFonts w:ascii="Garamond" w:hAnsi="Garamond"/>
          <w:i/>
          <w:sz w:val="24"/>
          <w:szCs w:val="24"/>
        </w:rPr>
        <w:t xml:space="preserve"> samozřejmě zásadně uznává, že není povinností procesní strany poskytovat důkazní materiál proti sobě samotné. Tento přístup se však může prosadit pouze v řízení ovládaném zásadou projednací, a nikoliv ještě vždy: průlom do tohoto principu představuje tzv. vysvětlovací povinnost strany nezatížené důkazním břemenem, na jejímž základě procesní strana, nezatížená (subjektivním) břemenem důkazním a břemenem tvrzení, podrobně vysvětluje a objasňuje skutečnosti, o nichž má dostatečné informace, ačkoliv tyto skutečnosti by měl ve vlastním zájmu ve svých skutkových tvrzeních podrobně přednést její odpůrce; ten však potřebnými informacemi nedisponuje a nemá ani reálnou možnost získat je jiným způsobem než na základě </w:t>
      </w:r>
      <w:proofErr w:type="spellStart"/>
      <w:r w:rsidR="00070A73" w:rsidRPr="00632E30">
        <w:rPr>
          <w:rFonts w:ascii="Garamond" w:hAnsi="Garamond"/>
          <w:i/>
          <w:sz w:val="24"/>
          <w:szCs w:val="24"/>
        </w:rPr>
        <w:t>substancovaného</w:t>
      </w:r>
      <w:proofErr w:type="spellEnd"/>
      <w:r w:rsidR="00070A73" w:rsidRPr="00632E30">
        <w:rPr>
          <w:rFonts w:ascii="Garamond" w:hAnsi="Garamond"/>
          <w:i/>
          <w:sz w:val="24"/>
          <w:szCs w:val="24"/>
        </w:rPr>
        <w:t xml:space="preserve"> přednesu druhé procesní strany (k tomu srov. Macur, J.: Kompenzace informačního deficitu procesní strany v civilním soudním sporu. Brno: MU, 2000, s. 96). Vysvětlovací povinnost procesní strany nezatížené důkazním břemenem vychází z ústavního hlediska z principu rovnosti zbraní, který se nutně musí vztahovat i na shromažďování skutkového materiálu v řízení ovládaném zásadou projednací. Shromažďování skutkového materiálu iniciativou procesních stran může plnit svoji funkci jenom za předpokladu, že obě strany mají stejnou možnost přístupu k informacím důležitým pro objasnění rozhodných skutečností. Jestliže jedna z procesních stran nemá reálnou možnost získat potřebné informace, a je tedy postižena "informačním deficitem", je ohroženo nebo porušeno její právo na "spravedlivý proces". Z objektivního hlediska je informačním deficitem procesní strany zase ohrožena nebo porušena základní společenská funkce civilního procesu, spočívající v poskytování ochrany skutečným subjektivním hmotným právům, jež vyplývají z pravdivě zjištěného skutkového stavu (srov. citované dílo s. 61 a násl.). Z právě uvedeného jednoznačně plyne, že i kdyby se ve sporu o určení otcovství měla uplatňovat projednací zásada (a nikoliv vyšetřovací, jak plyne z § 120 odst. 2 o. s. ř.), byl by stěžovatel povinen podrobit se odběru vzorků DNA, neboť jedině tímto způsobem lze získat informace, které jsou nezbytné k náležitému objasnění skutkového stavu a jimiž disponuje jedině on.</w:t>
      </w:r>
      <w:r w:rsidR="00AB332E" w:rsidRPr="00632E30">
        <w:rPr>
          <w:rFonts w:ascii="Garamond" w:hAnsi="Garamond"/>
          <w:i/>
          <w:sz w:val="24"/>
          <w:szCs w:val="24"/>
        </w:rPr>
        <w:t>“</w:t>
      </w:r>
    </w:p>
    <w:p w14:paraId="2D0E5970" w14:textId="77777777" w:rsidR="00C45FAF" w:rsidRDefault="00C45FAF" w:rsidP="00C45FAF">
      <w:pPr>
        <w:tabs>
          <w:tab w:val="left" w:pos="709"/>
        </w:tabs>
        <w:spacing w:line="360" w:lineRule="auto"/>
        <w:jc w:val="both"/>
        <w:rPr>
          <w:rFonts w:ascii="Garamond" w:hAnsi="Garamond"/>
          <w:i/>
          <w:sz w:val="24"/>
          <w:szCs w:val="24"/>
        </w:rPr>
      </w:pPr>
      <w:r>
        <w:rPr>
          <w:rFonts w:ascii="Garamond" w:hAnsi="Garamond"/>
          <w:i/>
          <w:sz w:val="24"/>
          <w:szCs w:val="24"/>
        </w:rPr>
        <w:tab/>
      </w:r>
      <w:r w:rsidR="002A1D77" w:rsidRPr="00632E30">
        <w:rPr>
          <w:rFonts w:ascii="Garamond" w:hAnsi="Garamond"/>
          <w:sz w:val="24"/>
          <w:szCs w:val="24"/>
        </w:rPr>
        <w:t>Výše citova</w:t>
      </w:r>
      <w:r w:rsidR="00F30D9B" w:rsidRPr="00632E30">
        <w:rPr>
          <w:rFonts w:ascii="Garamond" w:hAnsi="Garamond"/>
          <w:sz w:val="24"/>
          <w:szCs w:val="24"/>
        </w:rPr>
        <w:t>ným rozhodnutím tak Ústavní soud</w:t>
      </w:r>
      <w:r w:rsidR="002A1D77" w:rsidRPr="00632E30">
        <w:rPr>
          <w:rFonts w:ascii="Garamond" w:hAnsi="Garamond"/>
          <w:sz w:val="24"/>
          <w:szCs w:val="24"/>
        </w:rPr>
        <w:t xml:space="preserve"> jednoznačně potvrdil existenci vysvětlovací povinnosti procesní strany nezatížené důkazním břemenem a otevřel t</w:t>
      </w:r>
      <w:r w:rsidR="00F30D9B" w:rsidRPr="00632E30">
        <w:rPr>
          <w:rFonts w:ascii="Garamond" w:hAnsi="Garamond"/>
          <w:sz w:val="24"/>
          <w:szCs w:val="24"/>
        </w:rPr>
        <w:t>ak cestu pro její</w:t>
      </w:r>
      <w:r w:rsidR="002A1D77" w:rsidRPr="00632E30">
        <w:rPr>
          <w:rFonts w:ascii="Garamond" w:hAnsi="Garamond"/>
          <w:sz w:val="24"/>
          <w:szCs w:val="24"/>
        </w:rPr>
        <w:t xml:space="preserve"> aplikaci v judikatuře obecných soudů.</w:t>
      </w:r>
      <w:r w:rsidR="00C34F41" w:rsidRPr="00632E30">
        <w:rPr>
          <w:rFonts w:ascii="Garamond" w:hAnsi="Garamond"/>
          <w:sz w:val="24"/>
          <w:szCs w:val="24"/>
        </w:rPr>
        <w:t xml:space="preserve">  Ústavní soud se zde rovněž přihlásil k závěrům teorie procesního práva v této oblasti reprezentovan</w:t>
      </w:r>
      <w:r w:rsidR="00013451" w:rsidRPr="00632E30">
        <w:rPr>
          <w:rFonts w:ascii="Garamond" w:hAnsi="Garamond"/>
          <w:sz w:val="24"/>
          <w:szCs w:val="24"/>
        </w:rPr>
        <w:t>é</w:t>
      </w:r>
      <w:r w:rsidR="00C34F41" w:rsidRPr="00632E30">
        <w:rPr>
          <w:rFonts w:ascii="Garamond" w:hAnsi="Garamond"/>
          <w:sz w:val="24"/>
          <w:szCs w:val="24"/>
        </w:rPr>
        <w:t xml:space="preserve"> prof. Macurem. </w:t>
      </w:r>
      <w:r w:rsidR="00013451" w:rsidRPr="00632E30">
        <w:rPr>
          <w:rFonts w:ascii="Garamond" w:hAnsi="Garamond"/>
          <w:sz w:val="24"/>
          <w:szCs w:val="24"/>
        </w:rPr>
        <w:t>V rámci tohoto svého rozhodnutí</w:t>
      </w:r>
      <w:r w:rsidR="00C34F41" w:rsidRPr="00632E30">
        <w:rPr>
          <w:rFonts w:ascii="Garamond" w:hAnsi="Garamond"/>
          <w:sz w:val="24"/>
          <w:szCs w:val="24"/>
        </w:rPr>
        <w:t xml:space="preserve"> nastavil </w:t>
      </w:r>
      <w:r w:rsidR="00013451" w:rsidRPr="00632E30">
        <w:rPr>
          <w:rFonts w:ascii="Garamond" w:hAnsi="Garamond"/>
          <w:sz w:val="24"/>
          <w:szCs w:val="24"/>
        </w:rPr>
        <w:lastRenderedPageBreak/>
        <w:t xml:space="preserve">Ústavní soud </w:t>
      </w:r>
      <w:r w:rsidR="00C34F41" w:rsidRPr="00632E30">
        <w:rPr>
          <w:rFonts w:ascii="Garamond" w:hAnsi="Garamond"/>
          <w:sz w:val="24"/>
          <w:szCs w:val="24"/>
        </w:rPr>
        <w:t>několik základních podmínek, jakožto legitimizační</w:t>
      </w:r>
      <w:r w:rsidR="001E1211" w:rsidRPr="00632E30">
        <w:rPr>
          <w:rFonts w:ascii="Garamond" w:hAnsi="Garamond"/>
          <w:sz w:val="24"/>
          <w:szCs w:val="24"/>
        </w:rPr>
        <w:t>ch</w:t>
      </w:r>
      <w:r w:rsidR="00C34F41" w:rsidRPr="00632E30">
        <w:rPr>
          <w:rFonts w:ascii="Garamond" w:hAnsi="Garamond"/>
          <w:sz w:val="24"/>
          <w:szCs w:val="24"/>
        </w:rPr>
        <w:t xml:space="preserve"> prvků, jejichž splnění předpokládá využití institutu vysvětlovací povinnosti.</w:t>
      </w:r>
    </w:p>
    <w:p w14:paraId="5F76EF51" w14:textId="77777777" w:rsidR="00C45FAF" w:rsidRDefault="00C45FAF" w:rsidP="00C45FAF">
      <w:pPr>
        <w:tabs>
          <w:tab w:val="left" w:pos="709"/>
        </w:tabs>
        <w:spacing w:line="360" w:lineRule="auto"/>
        <w:jc w:val="both"/>
        <w:rPr>
          <w:rFonts w:ascii="Garamond" w:hAnsi="Garamond"/>
          <w:i/>
          <w:sz w:val="24"/>
          <w:szCs w:val="24"/>
        </w:rPr>
      </w:pPr>
      <w:r>
        <w:rPr>
          <w:rFonts w:ascii="Garamond" w:hAnsi="Garamond"/>
          <w:i/>
          <w:sz w:val="24"/>
          <w:szCs w:val="24"/>
        </w:rPr>
        <w:tab/>
      </w:r>
      <w:r w:rsidR="00C34F41" w:rsidRPr="00632E30">
        <w:rPr>
          <w:rFonts w:ascii="Garamond" w:hAnsi="Garamond"/>
          <w:sz w:val="24"/>
          <w:szCs w:val="24"/>
        </w:rPr>
        <w:t xml:space="preserve">Ústavní soud zde s ohledem na závěry prof. Macura připustil použití vysvětlovací povinnosti v řízeních ovládaných projednací zásadou. </w:t>
      </w:r>
      <w:r w:rsidR="00600C1F" w:rsidRPr="00632E30">
        <w:rPr>
          <w:rFonts w:ascii="Garamond" w:hAnsi="Garamond"/>
          <w:sz w:val="24"/>
          <w:szCs w:val="24"/>
        </w:rPr>
        <w:t xml:space="preserve">Sama vysvětlovací povinnost však koliduje v teorii i praxi </w:t>
      </w:r>
      <w:r w:rsidR="00013451" w:rsidRPr="00632E30">
        <w:rPr>
          <w:rFonts w:ascii="Garamond" w:hAnsi="Garamond"/>
          <w:sz w:val="24"/>
          <w:szCs w:val="24"/>
        </w:rPr>
        <w:t xml:space="preserve">s </w:t>
      </w:r>
      <w:r w:rsidR="00600C1F" w:rsidRPr="00632E30">
        <w:rPr>
          <w:rFonts w:ascii="Garamond" w:hAnsi="Garamond"/>
          <w:sz w:val="24"/>
          <w:szCs w:val="24"/>
        </w:rPr>
        <w:t xml:space="preserve">respektovaným zájmem procesní strany na </w:t>
      </w:r>
      <w:r w:rsidR="0024125A" w:rsidRPr="00632E30">
        <w:rPr>
          <w:rFonts w:ascii="Garamond" w:hAnsi="Garamond"/>
          <w:sz w:val="24"/>
          <w:szCs w:val="24"/>
        </w:rPr>
        <w:t>ne</w:t>
      </w:r>
      <w:r w:rsidR="00600C1F" w:rsidRPr="00632E30">
        <w:rPr>
          <w:rFonts w:ascii="Garamond" w:hAnsi="Garamond"/>
          <w:sz w:val="24"/>
          <w:szCs w:val="24"/>
        </w:rPr>
        <w:t xml:space="preserve">poskytování důkazních materiálů proti sobě samé. Tato zásada však neobstojí právě s ohledem na princip rovnosti stran, rozuměno účastníků řízení, v civilním soudním řízení. S ohledem na předchozí </w:t>
      </w:r>
      <w:r w:rsidR="0024125A" w:rsidRPr="00632E30">
        <w:rPr>
          <w:rFonts w:ascii="Garamond" w:hAnsi="Garamond"/>
          <w:sz w:val="24"/>
          <w:szCs w:val="24"/>
        </w:rPr>
        <w:t>uvedené</w:t>
      </w:r>
      <w:r w:rsidR="00600C1F" w:rsidRPr="00632E30">
        <w:rPr>
          <w:rFonts w:ascii="Garamond" w:hAnsi="Garamond"/>
          <w:sz w:val="24"/>
          <w:szCs w:val="24"/>
        </w:rPr>
        <w:t xml:space="preserve"> nelze naplnit účel civilního soudního řízení, je</w:t>
      </w:r>
      <w:r w:rsidR="00F30D9B" w:rsidRPr="00632E30">
        <w:rPr>
          <w:rFonts w:ascii="Garamond" w:hAnsi="Garamond"/>
          <w:sz w:val="24"/>
          <w:szCs w:val="24"/>
        </w:rPr>
        <w:t>n</w:t>
      </w:r>
      <w:r w:rsidR="00600C1F" w:rsidRPr="00632E30">
        <w:rPr>
          <w:rFonts w:ascii="Garamond" w:hAnsi="Garamond"/>
          <w:sz w:val="24"/>
          <w:szCs w:val="24"/>
        </w:rPr>
        <w:t>ž je spatřován poskytování, respektive zajišťování spravedlivé ochrany soukromých práv a oprávněných zájmů účastníků řízení</w:t>
      </w:r>
      <w:r w:rsidR="00D2041C" w:rsidRPr="00632E30">
        <w:rPr>
          <w:rStyle w:val="Znakapoznpodarou"/>
          <w:rFonts w:ascii="Garamond" w:hAnsi="Garamond"/>
          <w:sz w:val="24"/>
          <w:szCs w:val="24"/>
        </w:rPr>
        <w:footnoteReference w:id="91"/>
      </w:r>
      <w:r w:rsidR="00600C1F" w:rsidRPr="00632E30">
        <w:rPr>
          <w:rFonts w:ascii="Garamond" w:hAnsi="Garamond"/>
          <w:sz w:val="24"/>
          <w:szCs w:val="24"/>
        </w:rPr>
        <w:t xml:space="preserve"> za situace, kdy obě strany nemají možnost </w:t>
      </w:r>
      <w:r w:rsidR="004D16F1" w:rsidRPr="00632E30">
        <w:rPr>
          <w:rFonts w:ascii="Garamond" w:hAnsi="Garamond"/>
          <w:sz w:val="24"/>
          <w:szCs w:val="24"/>
        </w:rPr>
        <w:t>přístupu k rozhodným skutečnostem pro meritorní rozhodnutí. Soud tak ve smyslu práva na spravedlivý proces musí dbát na rovnocenné možnosti uplatnění jejich práv.</w:t>
      </w:r>
      <w:r w:rsidR="00D2041C" w:rsidRPr="00632E30">
        <w:rPr>
          <w:rStyle w:val="Znakapoznpodarou"/>
          <w:rFonts w:ascii="Garamond" w:hAnsi="Garamond"/>
          <w:sz w:val="24"/>
          <w:szCs w:val="24"/>
        </w:rPr>
        <w:footnoteReference w:id="92"/>
      </w:r>
    </w:p>
    <w:p w14:paraId="48FA682C" w14:textId="77777777" w:rsidR="00C45FAF" w:rsidRDefault="00C45FAF" w:rsidP="00C45FAF">
      <w:pPr>
        <w:tabs>
          <w:tab w:val="left" w:pos="709"/>
        </w:tabs>
        <w:spacing w:line="360" w:lineRule="auto"/>
        <w:jc w:val="both"/>
        <w:rPr>
          <w:rFonts w:ascii="Garamond" w:hAnsi="Garamond"/>
          <w:i/>
          <w:sz w:val="24"/>
          <w:szCs w:val="24"/>
        </w:rPr>
      </w:pPr>
      <w:r>
        <w:rPr>
          <w:rFonts w:ascii="Garamond" w:hAnsi="Garamond"/>
          <w:i/>
          <w:sz w:val="24"/>
          <w:szCs w:val="24"/>
        </w:rPr>
        <w:tab/>
      </w:r>
      <w:r w:rsidR="004D16F1" w:rsidRPr="00632E30">
        <w:rPr>
          <w:rFonts w:ascii="Garamond" w:hAnsi="Garamond"/>
          <w:sz w:val="24"/>
          <w:szCs w:val="24"/>
        </w:rPr>
        <w:t>Z rámce citované</w:t>
      </w:r>
      <w:r w:rsidR="005951E9" w:rsidRPr="00632E30">
        <w:rPr>
          <w:rFonts w:ascii="Garamond" w:hAnsi="Garamond"/>
          <w:sz w:val="24"/>
          <w:szCs w:val="24"/>
        </w:rPr>
        <w:t>ho</w:t>
      </w:r>
      <w:r w:rsidR="004D16F1" w:rsidRPr="00632E30">
        <w:rPr>
          <w:rFonts w:ascii="Garamond" w:hAnsi="Garamond"/>
          <w:sz w:val="24"/>
          <w:szCs w:val="24"/>
        </w:rPr>
        <w:t xml:space="preserve"> nálezu je taktéž patrné, že se Ústavní soud z prakticky tří možných koncepcí vysvětlovací povinnosti přiklonil ke kompromisní teorii neboli tzv. speciální vysvětlovací povinnosti</w:t>
      </w:r>
      <w:r w:rsidR="00213918" w:rsidRPr="00632E30">
        <w:rPr>
          <w:rFonts w:ascii="Garamond" w:hAnsi="Garamond"/>
          <w:sz w:val="24"/>
          <w:szCs w:val="24"/>
        </w:rPr>
        <w:t xml:space="preserve">, která </w:t>
      </w:r>
      <w:r w:rsidR="005951E9" w:rsidRPr="00632E30">
        <w:rPr>
          <w:rFonts w:ascii="Garamond" w:hAnsi="Garamond"/>
          <w:sz w:val="24"/>
          <w:szCs w:val="24"/>
        </w:rPr>
        <w:t>váže vysvětlovací povinnost na předpoklad, že strana zatížená touto povinností může bez obtíží poskytnout relevantní informace oproti straně zatížené břemenem tvrzení a břemenem důkazním, a která nemá objektivní možnost tyto informace získat.</w:t>
      </w:r>
      <w:r w:rsidR="005951E9" w:rsidRPr="00632E30">
        <w:rPr>
          <w:rStyle w:val="Znakapoznpodarou"/>
          <w:rFonts w:ascii="Garamond" w:hAnsi="Garamond"/>
          <w:sz w:val="24"/>
          <w:szCs w:val="24"/>
        </w:rPr>
        <w:footnoteReference w:id="93"/>
      </w:r>
      <w:r w:rsidR="005951E9" w:rsidRPr="00632E30">
        <w:rPr>
          <w:rFonts w:ascii="Garamond" w:hAnsi="Garamond"/>
          <w:sz w:val="24"/>
          <w:szCs w:val="24"/>
        </w:rPr>
        <w:t xml:space="preserve"> </w:t>
      </w:r>
    </w:p>
    <w:p w14:paraId="41BFD6C9" w14:textId="77777777" w:rsidR="00C45FAF" w:rsidRDefault="00C45FAF" w:rsidP="00C45FAF">
      <w:pPr>
        <w:tabs>
          <w:tab w:val="left" w:pos="709"/>
        </w:tabs>
        <w:spacing w:line="360" w:lineRule="auto"/>
        <w:jc w:val="both"/>
        <w:rPr>
          <w:rFonts w:ascii="Garamond" w:hAnsi="Garamond"/>
          <w:i/>
          <w:sz w:val="24"/>
          <w:szCs w:val="24"/>
        </w:rPr>
      </w:pPr>
      <w:r>
        <w:rPr>
          <w:rFonts w:ascii="Garamond" w:hAnsi="Garamond"/>
          <w:i/>
          <w:sz w:val="24"/>
          <w:szCs w:val="24"/>
        </w:rPr>
        <w:tab/>
      </w:r>
      <w:r w:rsidR="00DA18F3" w:rsidRPr="00632E30">
        <w:rPr>
          <w:rFonts w:ascii="Garamond" w:hAnsi="Garamond"/>
          <w:sz w:val="24"/>
          <w:szCs w:val="24"/>
        </w:rPr>
        <w:t>Na</w:t>
      </w:r>
      <w:r w:rsidR="00213918" w:rsidRPr="00632E30">
        <w:rPr>
          <w:rFonts w:ascii="Garamond" w:hAnsi="Garamond"/>
          <w:sz w:val="24"/>
          <w:szCs w:val="24"/>
        </w:rPr>
        <w:t xml:space="preserve"> citované rozhodnutí navázala</w:t>
      </w:r>
      <w:r w:rsidR="00DA18F3" w:rsidRPr="00632E30">
        <w:rPr>
          <w:rFonts w:ascii="Garamond" w:hAnsi="Garamond"/>
          <w:sz w:val="24"/>
          <w:szCs w:val="24"/>
        </w:rPr>
        <w:t xml:space="preserve"> další rozhodnutí, a to zejména rozhodnutí Nejvyššího soudu. Pravděpodobně nejvýznamnějším rozhodnutím, které navazuje na výše uvedený nález Ústavního soudu, který dále zpřesňuje a doplňuje, je rozhodnutí Nejvyššího soudu ze dne 16. prosince 2011</w:t>
      </w:r>
      <w:r w:rsidR="006F3017" w:rsidRPr="00632E30">
        <w:rPr>
          <w:rFonts w:ascii="Garamond" w:hAnsi="Garamond"/>
          <w:sz w:val="24"/>
          <w:szCs w:val="24"/>
        </w:rPr>
        <w:t xml:space="preserve">, </w:t>
      </w:r>
      <w:proofErr w:type="spellStart"/>
      <w:r w:rsidR="006F3017" w:rsidRPr="00632E30">
        <w:rPr>
          <w:rFonts w:ascii="Garamond" w:hAnsi="Garamond"/>
          <w:sz w:val="24"/>
          <w:szCs w:val="24"/>
        </w:rPr>
        <w:t>sp</w:t>
      </w:r>
      <w:proofErr w:type="spellEnd"/>
      <w:r w:rsidR="006F3017" w:rsidRPr="00632E30">
        <w:rPr>
          <w:rFonts w:ascii="Garamond" w:hAnsi="Garamond"/>
          <w:sz w:val="24"/>
          <w:szCs w:val="24"/>
        </w:rPr>
        <w:t xml:space="preserve">. zn. 22 </w:t>
      </w:r>
      <w:proofErr w:type="spellStart"/>
      <w:r w:rsidR="006F3017" w:rsidRPr="00632E30">
        <w:rPr>
          <w:rFonts w:ascii="Garamond" w:hAnsi="Garamond"/>
          <w:sz w:val="24"/>
          <w:szCs w:val="24"/>
        </w:rPr>
        <w:t>Cdo</w:t>
      </w:r>
      <w:proofErr w:type="spellEnd"/>
      <w:r w:rsidR="006F3017" w:rsidRPr="00632E30">
        <w:rPr>
          <w:rFonts w:ascii="Garamond" w:hAnsi="Garamond"/>
          <w:sz w:val="24"/>
          <w:szCs w:val="24"/>
        </w:rPr>
        <w:t xml:space="preserve"> 883/2010</w:t>
      </w:r>
      <w:r w:rsidR="002E30A1" w:rsidRPr="00632E30">
        <w:rPr>
          <w:rFonts w:ascii="Garamond" w:hAnsi="Garamond"/>
          <w:sz w:val="24"/>
          <w:szCs w:val="24"/>
        </w:rPr>
        <w:t>,</w:t>
      </w:r>
      <w:r w:rsidR="00DA18F3" w:rsidRPr="00632E30">
        <w:rPr>
          <w:rFonts w:ascii="Garamond" w:hAnsi="Garamond"/>
          <w:sz w:val="24"/>
          <w:szCs w:val="24"/>
        </w:rPr>
        <w:t xml:space="preserve"> ve věci vypořádání zaniklého společného jmění manželů (podle dřívější úpravy bezpodílového spoluvlastnictví manželů)</w:t>
      </w:r>
      <w:r w:rsidR="00BD7659" w:rsidRPr="00632E30">
        <w:rPr>
          <w:rFonts w:ascii="Garamond" w:hAnsi="Garamond"/>
          <w:sz w:val="24"/>
          <w:szCs w:val="24"/>
        </w:rPr>
        <w:t>. V jeho rámci Nejvyšší soud judikoval: „</w:t>
      </w:r>
      <w:r w:rsidR="00BD7659" w:rsidRPr="00632E30">
        <w:rPr>
          <w:rFonts w:ascii="Garamond" w:hAnsi="Garamond"/>
          <w:i/>
          <w:sz w:val="24"/>
          <w:szCs w:val="24"/>
        </w:rPr>
        <w:t xml:space="preserve">Dovolací soud však konstatuje, že postup odvolacího soudu byl v souladu s právní teorií, pokud jde o řešení tzv. informačního deficitu procesní strany v civilním řízení. Obecně platí, že důkazní břemeno ohledně určitých skutečností leží na tom účastníku řízení, který z existence těchto skutečností vyvozuje pro sebe příznivé právní důsledky; jde o toho účastníka, který existenci těchto skutečností také tvrdí. V některých případech strana zatížená důkazním břemenem však objektivně nemá a nemůže mít k dispozici informace o skutečnostech, významných pro rozhodnutí ve sporu, avšak protistrana má tyto informace k dispozici. Jestliže pak strana zatížená důkazním břemenem přednese alespoň opěrné body skutkového stavu a zvýší tak pravděpodobnost svých skutkových tvrzení, nastupuje vysvětlovací povinnost protistrany; nesplnění této povinnosti bude mít za následek hodnocení důkazu v neprospěch strany, která vysvětlovací povinnost nesplnila (srov. Macur, J.: Důkazní břemeno v civilním soudním </w:t>
      </w:r>
      <w:r w:rsidR="00BD7659" w:rsidRPr="00632E30">
        <w:rPr>
          <w:rFonts w:ascii="Garamond" w:hAnsi="Garamond"/>
          <w:i/>
          <w:sz w:val="24"/>
          <w:szCs w:val="24"/>
        </w:rPr>
        <w:lastRenderedPageBreak/>
        <w:t>řízení. Masarykova univerzita v Brně, 1995, s. 121 a násl.; týž: Kompenzace informačního deficitu procesní strany v civilním soudním sporu. Masarykova univerzita v Brně, 2000). Jestliže tedy v řízení o vypořádání BSM je třeba zjistit cenu podniku a strana, která disponuje (anebo by při zachování obvyklé péče měla disponovat) informacemi k takovému zjištění neposkytne soudu potřebnou součinnost a nesplní svou vysvětlovací povinnost, bude to mít za následek hodnocení důkazů ohledně skutečností, kterých se tato povinnost týká, v neprospěch strany, která ji nesplnila</w:t>
      </w:r>
      <w:r w:rsidR="00BD7659" w:rsidRPr="00632E30">
        <w:rPr>
          <w:rFonts w:ascii="Garamond" w:hAnsi="Garamond"/>
          <w:sz w:val="24"/>
          <w:szCs w:val="24"/>
        </w:rPr>
        <w:t>.“</w:t>
      </w:r>
    </w:p>
    <w:p w14:paraId="5EB34389" w14:textId="77777777" w:rsidR="00C45FAF" w:rsidRDefault="00C45FAF" w:rsidP="00C45FAF">
      <w:pPr>
        <w:tabs>
          <w:tab w:val="left" w:pos="709"/>
        </w:tabs>
        <w:spacing w:line="360" w:lineRule="auto"/>
        <w:jc w:val="both"/>
        <w:rPr>
          <w:rFonts w:ascii="Garamond" w:hAnsi="Garamond"/>
          <w:i/>
          <w:sz w:val="24"/>
          <w:szCs w:val="24"/>
        </w:rPr>
      </w:pPr>
      <w:r>
        <w:rPr>
          <w:rFonts w:ascii="Garamond" w:hAnsi="Garamond"/>
          <w:i/>
          <w:sz w:val="24"/>
          <w:szCs w:val="24"/>
        </w:rPr>
        <w:tab/>
      </w:r>
      <w:r w:rsidR="001E1211" w:rsidRPr="00632E30">
        <w:rPr>
          <w:rFonts w:ascii="Garamond" w:hAnsi="Garamond"/>
          <w:sz w:val="24"/>
          <w:szCs w:val="24"/>
        </w:rPr>
        <w:t>Tímto rozsudk</w:t>
      </w:r>
      <w:r w:rsidR="0024125A" w:rsidRPr="00632E30">
        <w:rPr>
          <w:rFonts w:ascii="Garamond" w:hAnsi="Garamond"/>
          <w:sz w:val="24"/>
          <w:szCs w:val="24"/>
        </w:rPr>
        <w:t>em</w:t>
      </w:r>
      <w:r w:rsidR="001E1211" w:rsidRPr="00632E30">
        <w:rPr>
          <w:rFonts w:ascii="Garamond" w:hAnsi="Garamond"/>
          <w:sz w:val="24"/>
          <w:szCs w:val="24"/>
        </w:rPr>
        <w:t xml:space="preserve"> tak Nejvyšší soud rozšířil podmínky, které je nezbytné naplnit pro aplikaci vysvětlovací povinnost</w:t>
      </w:r>
      <w:r w:rsidR="00213918" w:rsidRPr="00632E30">
        <w:rPr>
          <w:rFonts w:ascii="Garamond" w:hAnsi="Garamond"/>
          <w:sz w:val="24"/>
          <w:szCs w:val="24"/>
        </w:rPr>
        <w:t>i a</w:t>
      </w:r>
      <w:r w:rsidR="001E1211" w:rsidRPr="00632E30">
        <w:rPr>
          <w:rFonts w:ascii="Garamond" w:hAnsi="Garamond"/>
          <w:sz w:val="24"/>
          <w:szCs w:val="24"/>
        </w:rPr>
        <w:t xml:space="preserve"> postavil najisto, ke které koncepci právních následků se přiklonil.</w:t>
      </w:r>
    </w:p>
    <w:p w14:paraId="5F7A2B5D" w14:textId="77777777" w:rsidR="00C45FAF" w:rsidRDefault="00C45FAF" w:rsidP="00C45FAF">
      <w:pPr>
        <w:tabs>
          <w:tab w:val="left" w:pos="709"/>
        </w:tabs>
        <w:spacing w:line="360" w:lineRule="auto"/>
        <w:jc w:val="both"/>
        <w:rPr>
          <w:rFonts w:ascii="Garamond" w:hAnsi="Garamond"/>
          <w:i/>
          <w:sz w:val="24"/>
          <w:szCs w:val="24"/>
        </w:rPr>
      </w:pPr>
      <w:r>
        <w:rPr>
          <w:rFonts w:ascii="Garamond" w:hAnsi="Garamond"/>
          <w:i/>
          <w:sz w:val="24"/>
          <w:szCs w:val="24"/>
        </w:rPr>
        <w:tab/>
      </w:r>
      <w:r w:rsidR="00456070" w:rsidRPr="00632E30">
        <w:rPr>
          <w:rFonts w:ascii="Garamond" w:hAnsi="Garamond"/>
          <w:sz w:val="24"/>
          <w:szCs w:val="24"/>
        </w:rPr>
        <w:t>Další podmínkou nezbytnou pro uplatnění vysvětlovací povinnosti tak vedle objektivně nepřekonatelné informační nouze strany zatížené důkazním břemenem je zvýšení pravděpodobnosti svých skutkových tvrzení formou tzv. opěrných bodů.</w:t>
      </w:r>
      <w:r w:rsidR="00EC4DBE" w:rsidRPr="00632E30">
        <w:rPr>
          <w:rFonts w:ascii="Garamond" w:hAnsi="Garamond"/>
          <w:sz w:val="24"/>
          <w:szCs w:val="24"/>
        </w:rPr>
        <w:t xml:space="preserve"> </w:t>
      </w:r>
      <w:r w:rsidR="000E2F93" w:rsidRPr="00632E30">
        <w:rPr>
          <w:rFonts w:ascii="Garamond" w:hAnsi="Garamond"/>
          <w:sz w:val="24"/>
          <w:szCs w:val="24"/>
        </w:rPr>
        <w:t xml:space="preserve"> Jednoznačnou odpověď na otázku, co jsou tyto opěrné body, však judikatura nedává. </w:t>
      </w:r>
      <w:r w:rsidR="00213918" w:rsidRPr="00632E30">
        <w:rPr>
          <w:rFonts w:ascii="Garamond" w:hAnsi="Garamond"/>
          <w:sz w:val="24"/>
          <w:szCs w:val="24"/>
        </w:rPr>
        <w:t>Nesmí se však jednat</w:t>
      </w:r>
      <w:r w:rsidR="00A17F83" w:rsidRPr="00632E30">
        <w:rPr>
          <w:rFonts w:ascii="Garamond" w:hAnsi="Garamond"/>
          <w:sz w:val="24"/>
          <w:szCs w:val="24"/>
        </w:rPr>
        <w:t xml:space="preserve"> o</w:t>
      </w:r>
      <w:r w:rsidR="00213918" w:rsidRPr="00632E30">
        <w:rPr>
          <w:rFonts w:ascii="Garamond" w:hAnsi="Garamond"/>
          <w:sz w:val="24"/>
          <w:szCs w:val="24"/>
        </w:rPr>
        <w:t xml:space="preserve"> pouhá povšechná tvrzení strany zatížené</w:t>
      </w:r>
      <w:r w:rsidR="00A17F83" w:rsidRPr="00632E30">
        <w:rPr>
          <w:rFonts w:ascii="Garamond" w:hAnsi="Garamond"/>
          <w:sz w:val="24"/>
          <w:szCs w:val="24"/>
        </w:rPr>
        <w:t xml:space="preserve"> důkazním břemenem.</w:t>
      </w:r>
      <w:r w:rsidR="00A17F83" w:rsidRPr="00632E30">
        <w:rPr>
          <w:rStyle w:val="Znakapoznpodarou"/>
          <w:rFonts w:ascii="Garamond" w:hAnsi="Garamond"/>
          <w:sz w:val="24"/>
          <w:szCs w:val="24"/>
        </w:rPr>
        <w:footnoteReference w:id="94"/>
      </w:r>
      <w:r w:rsidR="00A17F83" w:rsidRPr="00632E30">
        <w:rPr>
          <w:rFonts w:ascii="Garamond" w:hAnsi="Garamond"/>
          <w:sz w:val="24"/>
          <w:szCs w:val="24"/>
        </w:rPr>
        <w:t xml:space="preserve"> Jisté vodítko dává </w:t>
      </w:r>
      <w:bookmarkStart w:id="38" w:name="_Hlk17856414"/>
      <w:r w:rsidR="00A17F83" w:rsidRPr="00632E30">
        <w:rPr>
          <w:rFonts w:ascii="Garamond" w:hAnsi="Garamond"/>
          <w:sz w:val="24"/>
          <w:szCs w:val="24"/>
        </w:rPr>
        <w:t xml:space="preserve">rozsudek Nejvyššího soudu ze dne 29. listopadu 2017, </w:t>
      </w:r>
      <w:proofErr w:type="spellStart"/>
      <w:r w:rsidR="00A17F83" w:rsidRPr="00632E30">
        <w:rPr>
          <w:rFonts w:ascii="Garamond" w:hAnsi="Garamond"/>
          <w:sz w:val="24"/>
          <w:szCs w:val="24"/>
        </w:rPr>
        <w:t>sp</w:t>
      </w:r>
      <w:proofErr w:type="spellEnd"/>
      <w:r w:rsidR="00A17F83" w:rsidRPr="00632E30">
        <w:rPr>
          <w:rFonts w:ascii="Garamond" w:hAnsi="Garamond"/>
          <w:sz w:val="24"/>
          <w:szCs w:val="24"/>
        </w:rPr>
        <w:t xml:space="preserve">. zn. 30 </w:t>
      </w:r>
      <w:proofErr w:type="spellStart"/>
      <w:r w:rsidR="00A17F83" w:rsidRPr="00632E30">
        <w:rPr>
          <w:rFonts w:ascii="Garamond" w:hAnsi="Garamond"/>
          <w:sz w:val="24"/>
          <w:szCs w:val="24"/>
        </w:rPr>
        <w:t>Cdo</w:t>
      </w:r>
      <w:proofErr w:type="spellEnd"/>
      <w:r w:rsidR="00A17F83" w:rsidRPr="00632E30">
        <w:rPr>
          <w:rFonts w:ascii="Garamond" w:hAnsi="Garamond"/>
          <w:sz w:val="24"/>
          <w:szCs w:val="24"/>
        </w:rPr>
        <w:t xml:space="preserve"> 698/2017</w:t>
      </w:r>
      <w:bookmarkEnd w:id="38"/>
      <w:r w:rsidR="00A17F83" w:rsidRPr="00632E30">
        <w:rPr>
          <w:rFonts w:ascii="Garamond" w:hAnsi="Garamond"/>
          <w:sz w:val="24"/>
          <w:szCs w:val="24"/>
        </w:rPr>
        <w:t>: „…</w:t>
      </w:r>
      <w:r w:rsidR="00A17F83" w:rsidRPr="00632E30">
        <w:rPr>
          <w:rFonts w:ascii="Garamond" w:hAnsi="Garamond"/>
          <w:i/>
          <w:sz w:val="24"/>
          <w:szCs w:val="24"/>
        </w:rPr>
        <w:t>jestliže zároveň sama žalovaná nijak nevysvětlovala a neprokazovala konkrétní okolnosti narušující jinak ucelený a logický řetězec (opěrné body) předestřený a prokázaný žalobkyní.“</w:t>
      </w:r>
      <w:r w:rsidR="00A17F83" w:rsidRPr="00632E30">
        <w:rPr>
          <w:rFonts w:ascii="Garamond" w:hAnsi="Garamond"/>
          <w:sz w:val="24"/>
          <w:szCs w:val="24"/>
        </w:rPr>
        <w:t xml:space="preserve"> </w:t>
      </w:r>
    </w:p>
    <w:p w14:paraId="0102D5F5" w14:textId="77777777" w:rsidR="00C45FAF" w:rsidRDefault="00C45FAF" w:rsidP="00C45FAF">
      <w:pPr>
        <w:tabs>
          <w:tab w:val="left" w:pos="709"/>
        </w:tabs>
        <w:spacing w:line="360" w:lineRule="auto"/>
        <w:jc w:val="both"/>
        <w:rPr>
          <w:rFonts w:ascii="Garamond" w:hAnsi="Garamond"/>
          <w:i/>
          <w:sz w:val="24"/>
          <w:szCs w:val="24"/>
        </w:rPr>
      </w:pPr>
      <w:r>
        <w:rPr>
          <w:rFonts w:ascii="Garamond" w:hAnsi="Garamond"/>
          <w:i/>
          <w:sz w:val="24"/>
          <w:szCs w:val="24"/>
        </w:rPr>
        <w:tab/>
      </w:r>
      <w:r w:rsidR="00986ED0" w:rsidRPr="00632E30">
        <w:rPr>
          <w:rFonts w:ascii="Garamond" w:hAnsi="Garamond"/>
          <w:sz w:val="24"/>
          <w:szCs w:val="24"/>
        </w:rPr>
        <w:t xml:space="preserve">Prof. Macur se k opěrným bodům vyjadřuje </w:t>
      </w:r>
      <w:r w:rsidR="00284866" w:rsidRPr="00632E30">
        <w:rPr>
          <w:rFonts w:ascii="Garamond" w:hAnsi="Garamond"/>
          <w:sz w:val="24"/>
          <w:szCs w:val="24"/>
        </w:rPr>
        <w:t>v rámci problematiky institutu vyšetřovacího důkazu</w:t>
      </w:r>
      <w:r w:rsidR="00986ED0" w:rsidRPr="00632E30">
        <w:rPr>
          <w:rFonts w:ascii="Garamond" w:hAnsi="Garamond"/>
          <w:sz w:val="24"/>
          <w:szCs w:val="24"/>
        </w:rPr>
        <w:t xml:space="preserve">, avšak s ohledem na pojímání vysvětlovací povinnosti </w:t>
      </w:r>
      <w:r w:rsidR="00213918" w:rsidRPr="00632E30">
        <w:rPr>
          <w:rFonts w:ascii="Garamond" w:hAnsi="Garamond"/>
          <w:sz w:val="24"/>
          <w:szCs w:val="24"/>
        </w:rPr>
        <w:t>jako druhu vyšetřovacího důkazu</w:t>
      </w:r>
      <w:r w:rsidR="00986ED0" w:rsidRPr="00632E30">
        <w:rPr>
          <w:rFonts w:ascii="Garamond" w:hAnsi="Garamond"/>
          <w:sz w:val="24"/>
          <w:szCs w:val="24"/>
        </w:rPr>
        <w:t xml:space="preserve"> lze uvedené v</w:t>
      </w:r>
      <w:r w:rsidR="0060403B" w:rsidRPr="00632E30">
        <w:rPr>
          <w:rFonts w:ascii="Garamond" w:hAnsi="Garamond"/>
          <w:sz w:val="24"/>
          <w:szCs w:val="24"/>
        </w:rPr>
        <w:t>ztáhnout i na opěrné body v rámci institutu vysvětlovací povinnosti:</w:t>
      </w:r>
      <w:r w:rsidR="00986ED0" w:rsidRPr="00632E30">
        <w:rPr>
          <w:rFonts w:ascii="Garamond" w:hAnsi="Garamond"/>
          <w:sz w:val="24"/>
          <w:szCs w:val="24"/>
        </w:rPr>
        <w:t xml:space="preserve"> „</w:t>
      </w:r>
      <w:r w:rsidR="00986ED0" w:rsidRPr="00632E30">
        <w:rPr>
          <w:rFonts w:ascii="Garamond" w:hAnsi="Garamond"/>
          <w:i/>
          <w:sz w:val="24"/>
          <w:szCs w:val="24"/>
        </w:rPr>
        <w:t>Charakteristika „opěrných bodů“ činí soudům celého kontinentálního právního systému nemalé potíže. Je velmi nesnadné dosáhnout v tomto směru jednotného a jednoznačného stanoviska. Judikatura zpravidla hovoří o důkazním návrhu nepodloženém ani skutkovými „opěrnými body“ jako o návrhu „bez skutkového základu“, „bez jakékoliv opory“, popřípadě o návrhu založeném na „vágním podezření“, „prázdné domněnce“ apod. Takový důkazní návrh soud odmítne. Naopak zase jako opodstatněné jsou uváděny návrhy vyšetřovacího důkazu, jež obsahují „určité, byť vzdálené důvody podezření“, „dostačující opěrné body“, „základní opěrné body“, „zřejmé opěrné body“, „zvláštní opěrné body“, „naléhavé podezření“, „v určitém stupni pravděpodobné skutkové tvrzení“ apod.</w:t>
      </w:r>
    </w:p>
    <w:p w14:paraId="5CFD3E69" w14:textId="77777777" w:rsidR="00C45FAF" w:rsidRDefault="00C45FAF" w:rsidP="00C45FAF">
      <w:pPr>
        <w:tabs>
          <w:tab w:val="left" w:pos="709"/>
        </w:tabs>
        <w:spacing w:line="360" w:lineRule="auto"/>
        <w:jc w:val="both"/>
        <w:rPr>
          <w:rFonts w:ascii="Garamond" w:hAnsi="Garamond"/>
          <w:i/>
          <w:sz w:val="24"/>
          <w:szCs w:val="24"/>
        </w:rPr>
      </w:pPr>
      <w:r>
        <w:rPr>
          <w:rFonts w:ascii="Garamond" w:hAnsi="Garamond"/>
          <w:i/>
          <w:sz w:val="24"/>
          <w:szCs w:val="24"/>
        </w:rPr>
        <w:tab/>
      </w:r>
      <w:r w:rsidR="00986ED0" w:rsidRPr="00632E30">
        <w:rPr>
          <w:rFonts w:ascii="Garamond" w:hAnsi="Garamond"/>
          <w:i/>
          <w:sz w:val="24"/>
          <w:szCs w:val="24"/>
        </w:rPr>
        <w:t xml:space="preserve">Povaha a procesní funkce „opěrných bodů“ v civilním sporném řízení zpravidla nevyžadují, aby jejich existence byla dokazována klasickými prostředky soudního dokazování, jako jsou svědkové, znalci či listiny. Soud přímo zhodnotí skutkové přednesy strany odkazující ve svém důkazním návrhu na určitý „opěrný bod“, neboť již samotné hodnocení tohoto skutkového přednesu (např. na základě obecné skutkové domněnky a životní zkušenosti) je nutno považovat za jeden ze způsobů dokazování, který je přiměřený daným okolnostem. Jestliže např. žalobce </w:t>
      </w:r>
      <w:r w:rsidR="00986ED0" w:rsidRPr="00632E30">
        <w:rPr>
          <w:rFonts w:ascii="Garamond" w:hAnsi="Garamond"/>
          <w:i/>
          <w:sz w:val="24"/>
          <w:szCs w:val="24"/>
        </w:rPr>
        <w:lastRenderedPageBreak/>
        <w:t>vysloví domněnku (podezření), že určitá osoba mohla vidět, jak žalovaný osobně napadl žalovaného a způsobil mu ublížení na zdraví, soud nebude nejdříve samostatně dokazovat opodstatněnost důkazního návrhu žalobce (zda určitá osoba mohla vidět žalobcem tvrzený děj), ale navržený důkaz přímo vykoná.“</w:t>
      </w:r>
      <w:r w:rsidR="00986ED0" w:rsidRPr="00632E30">
        <w:rPr>
          <w:rStyle w:val="Znakapoznpodarou"/>
          <w:rFonts w:ascii="Garamond" w:hAnsi="Garamond"/>
          <w:i/>
          <w:sz w:val="24"/>
          <w:szCs w:val="24"/>
        </w:rPr>
        <w:footnoteReference w:id="95"/>
      </w:r>
      <w:r w:rsidR="00986ED0" w:rsidRPr="00632E30">
        <w:rPr>
          <w:rFonts w:ascii="Garamond" w:hAnsi="Garamond"/>
          <w:i/>
          <w:sz w:val="24"/>
          <w:szCs w:val="24"/>
        </w:rPr>
        <w:t xml:space="preserve"> </w:t>
      </w:r>
    </w:p>
    <w:p w14:paraId="1638CC6E" w14:textId="5265676F" w:rsidR="00C45FAF" w:rsidRDefault="00C45FAF" w:rsidP="00C45FAF">
      <w:pPr>
        <w:tabs>
          <w:tab w:val="left" w:pos="709"/>
        </w:tabs>
        <w:spacing w:line="360" w:lineRule="auto"/>
        <w:jc w:val="both"/>
        <w:rPr>
          <w:rFonts w:ascii="Garamond" w:hAnsi="Garamond"/>
          <w:i/>
          <w:sz w:val="24"/>
          <w:szCs w:val="24"/>
        </w:rPr>
      </w:pPr>
      <w:r>
        <w:rPr>
          <w:rFonts w:ascii="Garamond" w:hAnsi="Garamond"/>
          <w:i/>
          <w:sz w:val="24"/>
          <w:szCs w:val="24"/>
        </w:rPr>
        <w:tab/>
      </w:r>
      <w:r w:rsidR="0060403B" w:rsidRPr="00632E30">
        <w:rPr>
          <w:rFonts w:ascii="Garamond" w:hAnsi="Garamond"/>
          <w:sz w:val="24"/>
          <w:szCs w:val="24"/>
        </w:rPr>
        <w:t xml:space="preserve">Na tomto místě tak lze uzavřít, že opěrnými body lze chápat takový souhrn skutečností, předestřených stranou zatíženou důkazním břemenem, který </w:t>
      </w:r>
      <w:r w:rsidR="00AC3144">
        <w:rPr>
          <w:rFonts w:ascii="Garamond" w:hAnsi="Garamond"/>
          <w:sz w:val="24"/>
          <w:szCs w:val="24"/>
        </w:rPr>
        <w:t xml:space="preserve">ve svém celku </w:t>
      </w:r>
      <w:r w:rsidR="0060403B" w:rsidRPr="00632E30">
        <w:rPr>
          <w:rFonts w:ascii="Garamond" w:hAnsi="Garamond"/>
          <w:sz w:val="24"/>
          <w:szCs w:val="24"/>
        </w:rPr>
        <w:t xml:space="preserve">tvoří ucelený a logický řetězec zvyšující pravděpodobnost </w:t>
      </w:r>
      <w:r w:rsidR="00AC3144">
        <w:rPr>
          <w:rFonts w:ascii="Garamond" w:hAnsi="Garamond"/>
          <w:sz w:val="24"/>
          <w:szCs w:val="24"/>
        </w:rPr>
        <w:t>na překonání informačního deficitu strany zatížené důkazním břemenem, a to touto stranou navrhovaným způsobem.</w:t>
      </w:r>
      <w:r w:rsidR="0060403B" w:rsidRPr="00632E30">
        <w:rPr>
          <w:rFonts w:ascii="Garamond" w:hAnsi="Garamond"/>
          <w:sz w:val="24"/>
          <w:szCs w:val="24"/>
        </w:rPr>
        <w:t xml:space="preserve"> Záležet přitom bude na okolnostech každého jednotlivého případu. </w:t>
      </w:r>
    </w:p>
    <w:p w14:paraId="1ED45E23" w14:textId="77777777" w:rsidR="00C45FAF" w:rsidRDefault="00C45FAF" w:rsidP="00C45FAF">
      <w:pPr>
        <w:tabs>
          <w:tab w:val="left" w:pos="709"/>
        </w:tabs>
        <w:spacing w:line="360" w:lineRule="auto"/>
        <w:jc w:val="both"/>
        <w:rPr>
          <w:rFonts w:ascii="Garamond" w:hAnsi="Garamond"/>
          <w:i/>
          <w:sz w:val="24"/>
          <w:szCs w:val="24"/>
        </w:rPr>
      </w:pPr>
      <w:r>
        <w:rPr>
          <w:rFonts w:ascii="Garamond" w:hAnsi="Garamond"/>
          <w:i/>
          <w:sz w:val="24"/>
          <w:szCs w:val="24"/>
        </w:rPr>
        <w:tab/>
      </w:r>
      <w:r w:rsidR="00C9182F" w:rsidRPr="00632E30">
        <w:rPr>
          <w:rFonts w:ascii="Garamond" w:hAnsi="Garamond"/>
          <w:sz w:val="24"/>
          <w:szCs w:val="24"/>
        </w:rPr>
        <w:t>Obsah vysvětlovací povinnosti nabývá v praxi rozličných forem. Co může být obsahem konkrétní vysvětlovací povinnosti řešila judikatura například v případě vypořádání společného jmění manželů</w:t>
      </w:r>
      <w:r w:rsidR="00122E5B" w:rsidRPr="00632E30">
        <w:rPr>
          <w:rFonts w:ascii="Garamond" w:hAnsi="Garamond"/>
          <w:sz w:val="24"/>
          <w:szCs w:val="24"/>
        </w:rPr>
        <w:t>, dále jen „</w:t>
      </w:r>
      <w:r w:rsidR="00122E5B" w:rsidRPr="00632E30">
        <w:rPr>
          <w:rFonts w:ascii="Garamond" w:hAnsi="Garamond"/>
          <w:i/>
          <w:sz w:val="24"/>
          <w:szCs w:val="24"/>
        </w:rPr>
        <w:t>SJM</w:t>
      </w:r>
      <w:r w:rsidR="00122E5B" w:rsidRPr="00632E30">
        <w:rPr>
          <w:rFonts w:ascii="Garamond" w:hAnsi="Garamond"/>
          <w:sz w:val="24"/>
          <w:szCs w:val="24"/>
        </w:rPr>
        <w:t>“.</w:t>
      </w:r>
      <w:r w:rsidR="00C9182F" w:rsidRPr="00632E30">
        <w:rPr>
          <w:rFonts w:ascii="Garamond" w:hAnsi="Garamond"/>
          <w:sz w:val="24"/>
          <w:szCs w:val="24"/>
        </w:rPr>
        <w:t xml:space="preserve"> V judikovaném případě žalobkyně tvrdila, že žalovaný v době zániku </w:t>
      </w:r>
      <w:r w:rsidR="00122E5B" w:rsidRPr="00632E30">
        <w:rPr>
          <w:rFonts w:ascii="Garamond" w:hAnsi="Garamond"/>
          <w:sz w:val="24"/>
          <w:szCs w:val="24"/>
        </w:rPr>
        <w:t>SJM</w:t>
      </w:r>
      <w:r w:rsidR="00C9182F" w:rsidRPr="00632E30">
        <w:rPr>
          <w:rFonts w:ascii="Garamond" w:hAnsi="Garamond"/>
          <w:sz w:val="24"/>
          <w:szCs w:val="24"/>
        </w:rPr>
        <w:t xml:space="preserve"> disponoval značnými finančními prostředk</w:t>
      </w:r>
      <w:r w:rsidR="00122E5B" w:rsidRPr="00632E30">
        <w:rPr>
          <w:rFonts w:ascii="Garamond" w:hAnsi="Garamond"/>
          <w:sz w:val="24"/>
          <w:szCs w:val="24"/>
        </w:rPr>
        <w:t>y, jež dle tvrzení žalobkyně spadaly do SJM. Vycházela mimo jiné ze zjištění, že žalovaný zakoupil bezprostředně po rozvodu manželství byt v ceně několika milionů Kč. Pokud by došlo k prokázání, že žalovaný skutečně předmětný byt nabyl, jednalo by se o nepřímý důkaz, kdy by za těchto okolností nastoupila vysvětlovací povinnost žalovaného. Obsahem své vysvětlovací povinnosti by bylo vysvětlení a prokázání skutečností, jak prostředky k zakoupení bytu získal.</w:t>
      </w:r>
      <w:r w:rsidR="004F1335" w:rsidRPr="00632E30">
        <w:rPr>
          <w:rStyle w:val="Znakapoznpodarou"/>
          <w:rFonts w:ascii="Garamond" w:hAnsi="Garamond"/>
          <w:sz w:val="24"/>
          <w:szCs w:val="24"/>
        </w:rPr>
        <w:footnoteReference w:id="96"/>
      </w:r>
    </w:p>
    <w:p w14:paraId="74C81D8F" w14:textId="542C1E42" w:rsidR="005F6317" w:rsidRPr="00C45FAF" w:rsidRDefault="00C45FAF" w:rsidP="00C45FAF">
      <w:pPr>
        <w:tabs>
          <w:tab w:val="left" w:pos="709"/>
        </w:tabs>
        <w:spacing w:line="360" w:lineRule="auto"/>
        <w:jc w:val="both"/>
        <w:rPr>
          <w:rFonts w:ascii="Garamond" w:hAnsi="Garamond"/>
          <w:i/>
          <w:sz w:val="24"/>
          <w:szCs w:val="24"/>
        </w:rPr>
      </w:pPr>
      <w:r>
        <w:rPr>
          <w:rFonts w:ascii="Garamond" w:hAnsi="Garamond"/>
          <w:i/>
          <w:sz w:val="24"/>
          <w:szCs w:val="24"/>
        </w:rPr>
        <w:tab/>
      </w:r>
      <w:r w:rsidR="00122E5B" w:rsidRPr="00632E30">
        <w:rPr>
          <w:rFonts w:ascii="Garamond" w:hAnsi="Garamond"/>
          <w:sz w:val="24"/>
          <w:szCs w:val="24"/>
        </w:rPr>
        <w:t xml:space="preserve">V jiném judikovaném případě došlo ke sporu </w:t>
      </w:r>
      <w:r w:rsidR="00CD6A2B" w:rsidRPr="00632E30">
        <w:rPr>
          <w:rFonts w:ascii="Garamond" w:hAnsi="Garamond"/>
          <w:sz w:val="24"/>
          <w:szCs w:val="24"/>
        </w:rPr>
        <w:t>ohle</w:t>
      </w:r>
      <w:r w:rsidR="005F6317" w:rsidRPr="00632E30">
        <w:rPr>
          <w:rFonts w:ascii="Garamond" w:hAnsi="Garamond"/>
          <w:sz w:val="24"/>
          <w:szCs w:val="24"/>
        </w:rPr>
        <w:t>dně bezdůvodného obohacení</w:t>
      </w:r>
      <w:r w:rsidR="00CD6A2B" w:rsidRPr="00632E30">
        <w:rPr>
          <w:rFonts w:ascii="Garamond" w:hAnsi="Garamond"/>
          <w:sz w:val="24"/>
          <w:szCs w:val="24"/>
        </w:rPr>
        <w:t xml:space="preserve"> dle zákona č. </w:t>
      </w:r>
      <w:r w:rsidR="005F6317" w:rsidRPr="00632E30">
        <w:rPr>
          <w:rFonts w:ascii="Garamond" w:hAnsi="Garamond"/>
          <w:sz w:val="24"/>
          <w:szCs w:val="24"/>
        </w:rPr>
        <w:t>121</w:t>
      </w:r>
      <w:r w:rsidR="00CD6A2B" w:rsidRPr="00632E30">
        <w:rPr>
          <w:rFonts w:ascii="Garamond" w:hAnsi="Garamond"/>
          <w:sz w:val="24"/>
          <w:szCs w:val="24"/>
        </w:rPr>
        <w:t>/200</w:t>
      </w:r>
      <w:r w:rsidR="005F6317" w:rsidRPr="00632E30">
        <w:rPr>
          <w:rFonts w:ascii="Garamond" w:hAnsi="Garamond"/>
          <w:sz w:val="24"/>
          <w:szCs w:val="24"/>
        </w:rPr>
        <w:t>0</w:t>
      </w:r>
      <w:r w:rsidR="00CD6A2B" w:rsidRPr="00632E30">
        <w:rPr>
          <w:rFonts w:ascii="Garamond" w:hAnsi="Garamond"/>
          <w:sz w:val="24"/>
          <w:szCs w:val="24"/>
        </w:rPr>
        <w:t xml:space="preserve"> Sb., o </w:t>
      </w:r>
      <w:r w:rsidR="005F6317" w:rsidRPr="00632E30">
        <w:rPr>
          <w:rFonts w:ascii="Garamond" w:hAnsi="Garamond"/>
          <w:sz w:val="24"/>
          <w:szCs w:val="24"/>
        </w:rPr>
        <w:t>právu autorském, o právech souvisejících s právem autorským a o změně některých zákonů</w:t>
      </w:r>
      <w:r w:rsidR="00CD6A2B" w:rsidRPr="00632E30">
        <w:rPr>
          <w:rFonts w:ascii="Garamond" w:hAnsi="Garamond"/>
          <w:sz w:val="24"/>
          <w:szCs w:val="24"/>
        </w:rPr>
        <w:t xml:space="preserve">. </w:t>
      </w:r>
      <w:r w:rsidR="000A04AA" w:rsidRPr="00632E30">
        <w:rPr>
          <w:rFonts w:ascii="Garamond" w:hAnsi="Garamond"/>
          <w:sz w:val="24"/>
          <w:szCs w:val="24"/>
        </w:rPr>
        <w:t xml:space="preserve">V rámci tohoto případu měl provozovatel léčebného zařízení bez příslušného povolení od kolektivního správce </w:t>
      </w:r>
      <w:r w:rsidR="005F6317" w:rsidRPr="00632E30">
        <w:rPr>
          <w:rFonts w:ascii="Garamond" w:hAnsi="Garamond"/>
          <w:sz w:val="24"/>
          <w:szCs w:val="24"/>
        </w:rPr>
        <w:t>zpřístupňovat výkony a záznamů výkonných umělců veřejnosti. Žalobkyně prostřednictvím nepřímých důkazů</w:t>
      </w:r>
      <w:r w:rsidR="00BC4787" w:rsidRPr="00632E30">
        <w:rPr>
          <w:rFonts w:ascii="Garamond" w:hAnsi="Garamond"/>
          <w:sz w:val="24"/>
          <w:szCs w:val="24"/>
        </w:rPr>
        <w:t xml:space="preserve">, spočívajících ve zprávě České televize o počtu televizních přijímačů, za něž provozovatel hradil televizní poplatky, a kopii inzerce provozovatele ohledně počtu pokojů vybavených televizními zařízeními, vytvořila opěrné body. Žalovaný by tak musel narušit tato ucelená tvrzení prostřednictvím vysvětlení, ale i předložení důkazů vyvracející </w:t>
      </w:r>
      <w:r w:rsidR="004F1335" w:rsidRPr="00632E30">
        <w:rPr>
          <w:rFonts w:ascii="Garamond" w:hAnsi="Garamond"/>
          <w:sz w:val="24"/>
          <w:szCs w:val="24"/>
        </w:rPr>
        <w:t>tvrzení protistrany.</w:t>
      </w:r>
      <w:r w:rsidR="004F1335" w:rsidRPr="00632E30">
        <w:rPr>
          <w:rStyle w:val="Znakapoznpodarou"/>
          <w:rFonts w:ascii="Garamond" w:hAnsi="Garamond"/>
          <w:sz w:val="24"/>
          <w:szCs w:val="24"/>
        </w:rPr>
        <w:footnoteReference w:id="97"/>
      </w:r>
    </w:p>
    <w:p w14:paraId="491DDE35" w14:textId="6C89928D" w:rsidR="00D37A73" w:rsidRPr="00632E30" w:rsidRDefault="00826387" w:rsidP="00421D14">
      <w:pPr>
        <w:tabs>
          <w:tab w:val="left" w:pos="8388"/>
        </w:tabs>
        <w:spacing w:line="360" w:lineRule="auto"/>
        <w:jc w:val="both"/>
        <w:rPr>
          <w:rFonts w:ascii="Garamond" w:hAnsi="Garamond"/>
          <w:sz w:val="24"/>
          <w:szCs w:val="24"/>
        </w:rPr>
      </w:pPr>
      <w:r w:rsidRPr="00632E30">
        <w:rPr>
          <w:rFonts w:ascii="Garamond" w:hAnsi="Garamond"/>
          <w:sz w:val="24"/>
          <w:szCs w:val="24"/>
        </w:rPr>
        <w:t xml:space="preserve">Co se týká </w:t>
      </w:r>
      <w:r w:rsidR="006A7F3E" w:rsidRPr="00632E30">
        <w:rPr>
          <w:rFonts w:ascii="Garamond" w:hAnsi="Garamond"/>
          <w:sz w:val="24"/>
          <w:szCs w:val="24"/>
        </w:rPr>
        <w:t xml:space="preserve">právních </w:t>
      </w:r>
      <w:r w:rsidRPr="00632E30">
        <w:rPr>
          <w:rFonts w:ascii="Garamond" w:hAnsi="Garamond"/>
          <w:sz w:val="24"/>
          <w:szCs w:val="24"/>
        </w:rPr>
        <w:t>následků nesplnění vysvětlovací povinnosti</w:t>
      </w:r>
      <w:r w:rsidR="006A7F3E" w:rsidRPr="00632E30">
        <w:rPr>
          <w:rFonts w:ascii="Garamond" w:hAnsi="Garamond"/>
          <w:sz w:val="24"/>
          <w:szCs w:val="24"/>
        </w:rPr>
        <w:t>, podle výše uvedeného rozsudku Nejvyššího soudu se tato sankce může projevit pouze v hodnocení důkazů.</w:t>
      </w:r>
      <w:r w:rsidR="007D15BF" w:rsidRPr="00632E30">
        <w:rPr>
          <w:rStyle w:val="Znakapoznpodarou"/>
          <w:rFonts w:ascii="Garamond" w:hAnsi="Garamond"/>
          <w:sz w:val="24"/>
          <w:szCs w:val="24"/>
        </w:rPr>
        <w:footnoteReference w:id="98"/>
      </w:r>
      <w:r w:rsidR="006A7F3E" w:rsidRPr="00632E30">
        <w:rPr>
          <w:rFonts w:ascii="Garamond" w:hAnsi="Garamond"/>
          <w:sz w:val="24"/>
          <w:szCs w:val="24"/>
        </w:rPr>
        <w:t xml:space="preserve"> </w:t>
      </w:r>
      <w:r w:rsidR="002B6BA4" w:rsidRPr="00632E30">
        <w:rPr>
          <w:rFonts w:ascii="Garamond" w:hAnsi="Garamond"/>
          <w:sz w:val="24"/>
          <w:szCs w:val="24"/>
        </w:rPr>
        <w:t xml:space="preserve">Nesplnění </w:t>
      </w:r>
      <w:r w:rsidR="002B6BA4" w:rsidRPr="00632E30">
        <w:rPr>
          <w:rFonts w:ascii="Garamond" w:hAnsi="Garamond"/>
          <w:sz w:val="24"/>
          <w:szCs w:val="24"/>
        </w:rPr>
        <w:lastRenderedPageBreak/>
        <w:t>vysvětlovací povinnosti procesní stranou nezatíženou důkazním břemenem pak bude nutno posuzovat podle míry porušení této povinnosti s ohledem na všechny okolnosti, které v průběhu řízení vyšly najevo, včetně toho, co uvedli účastníci řízení, všechny důkazy jednotlivě a ve vzájemné souvislosti.</w:t>
      </w:r>
      <w:r w:rsidR="002B6BA4" w:rsidRPr="00632E30">
        <w:rPr>
          <w:rStyle w:val="Znakapoznpodarou"/>
          <w:rFonts w:ascii="Garamond" w:hAnsi="Garamond"/>
          <w:sz w:val="24"/>
          <w:szCs w:val="24"/>
        </w:rPr>
        <w:footnoteReference w:id="99"/>
      </w:r>
      <w:r w:rsidR="002B6BA4" w:rsidRPr="00632E30">
        <w:rPr>
          <w:rStyle w:val="Znakapoznpodarou"/>
          <w:rFonts w:ascii="Garamond" w:hAnsi="Garamond"/>
          <w:sz w:val="24"/>
          <w:szCs w:val="24"/>
        </w:rPr>
        <w:footnoteReference w:id="100"/>
      </w:r>
    </w:p>
    <w:p w14:paraId="21249FDB" w14:textId="365ECA9E" w:rsidR="00421D14" w:rsidRPr="00632E30" w:rsidRDefault="00421D14" w:rsidP="00BE56B8">
      <w:pPr>
        <w:pStyle w:val="Nadpis2"/>
        <w:numPr>
          <w:ilvl w:val="1"/>
          <w:numId w:val="28"/>
        </w:numPr>
        <w:spacing w:before="160" w:after="160"/>
        <w:rPr>
          <w:rFonts w:ascii="Garamond" w:hAnsi="Garamond"/>
          <w:b/>
          <w:color w:val="auto"/>
        </w:rPr>
      </w:pPr>
      <w:bookmarkStart w:id="42" w:name="_Toc17881142"/>
      <w:r w:rsidRPr="00632E30">
        <w:rPr>
          <w:rFonts w:ascii="Garamond" w:hAnsi="Garamond"/>
          <w:b/>
          <w:color w:val="auto"/>
        </w:rPr>
        <w:t>Vysvětlovací povinnost v pozitivním právu a v současné vědě</w:t>
      </w:r>
      <w:bookmarkEnd w:id="42"/>
    </w:p>
    <w:p w14:paraId="6EFD35F8" w14:textId="59F69C84" w:rsidR="00421D14" w:rsidRPr="00632E30" w:rsidRDefault="002A06BC" w:rsidP="00C45FAF">
      <w:pPr>
        <w:spacing w:line="360" w:lineRule="auto"/>
        <w:ind w:firstLine="708"/>
        <w:jc w:val="both"/>
        <w:rPr>
          <w:rFonts w:ascii="Garamond" w:hAnsi="Garamond"/>
          <w:sz w:val="24"/>
          <w:szCs w:val="24"/>
        </w:rPr>
      </w:pPr>
      <w:r w:rsidRPr="00632E30">
        <w:rPr>
          <w:rFonts w:ascii="Garamond" w:hAnsi="Garamond"/>
          <w:sz w:val="24"/>
          <w:szCs w:val="24"/>
        </w:rPr>
        <w:t>Současné procesní předpisy ke škodě věci explicitně neupravují institut vysvětlovací povinnost procesní strany nezatížené důkazním břemenem. Procesní věda a judikatura však jisté komponenty této procesní povinnosti dovozují z některých ustanove</w:t>
      </w:r>
      <w:r w:rsidR="00213918" w:rsidRPr="00632E30">
        <w:rPr>
          <w:rFonts w:ascii="Garamond" w:hAnsi="Garamond"/>
          <w:sz w:val="24"/>
          <w:szCs w:val="24"/>
        </w:rPr>
        <w:t>ní občanského soudního řádu, p</w:t>
      </w:r>
      <w:r w:rsidR="00A96B98" w:rsidRPr="00632E30">
        <w:rPr>
          <w:rFonts w:ascii="Garamond" w:hAnsi="Garamond"/>
          <w:sz w:val="24"/>
          <w:szCs w:val="24"/>
        </w:rPr>
        <w:t>ředně z ediční povinnosti dle ustanovení § 129 odst. 2 občanského soudního řádu: „</w:t>
      </w:r>
      <w:r w:rsidR="00A96B98" w:rsidRPr="00632E30">
        <w:rPr>
          <w:rFonts w:ascii="Garamond" w:hAnsi="Garamond"/>
          <w:i/>
          <w:sz w:val="24"/>
          <w:szCs w:val="24"/>
        </w:rPr>
        <w:t>Předseda senátu může uložit tomu, kdo má listinu potřebnou k důkazu, aby ji předložil, nebo ji opatří sám od jiného soudu, orgánu nebo právnické osoby.“</w:t>
      </w:r>
      <w:r w:rsidR="001C1BE1" w:rsidRPr="00632E30">
        <w:rPr>
          <w:rStyle w:val="Znakapoznpodarou"/>
          <w:rFonts w:ascii="Garamond" w:hAnsi="Garamond"/>
          <w:i/>
          <w:sz w:val="24"/>
          <w:szCs w:val="24"/>
        </w:rPr>
        <w:footnoteReference w:id="101"/>
      </w:r>
      <w:r w:rsidR="00A96B98" w:rsidRPr="00632E30">
        <w:rPr>
          <w:rFonts w:ascii="Garamond" w:hAnsi="Garamond"/>
          <w:i/>
          <w:sz w:val="24"/>
          <w:szCs w:val="24"/>
        </w:rPr>
        <w:t xml:space="preserve"> </w:t>
      </w:r>
    </w:p>
    <w:p w14:paraId="030C6874" w14:textId="77777777" w:rsidR="00A96B98" w:rsidRPr="00632E30" w:rsidRDefault="00A96B98" w:rsidP="00C45FAF">
      <w:pPr>
        <w:spacing w:line="360" w:lineRule="auto"/>
        <w:ind w:firstLine="708"/>
        <w:jc w:val="both"/>
        <w:rPr>
          <w:rFonts w:ascii="Garamond" w:hAnsi="Garamond"/>
          <w:sz w:val="24"/>
          <w:szCs w:val="24"/>
        </w:rPr>
      </w:pPr>
      <w:r w:rsidRPr="00632E30">
        <w:rPr>
          <w:rFonts w:ascii="Garamond" w:hAnsi="Garamond"/>
          <w:sz w:val="24"/>
          <w:szCs w:val="24"/>
        </w:rPr>
        <w:t xml:space="preserve">Komentářová literatura k tomuto uvádí: </w:t>
      </w:r>
      <w:r w:rsidRPr="00632E30">
        <w:rPr>
          <w:rFonts w:ascii="Garamond" w:hAnsi="Garamond"/>
          <w:i/>
          <w:sz w:val="24"/>
          <w:szCs w:val="24"/>
        </w:rPr>
        <w:t>„Soud pak podle § 129 odst. 2 uloží tomu, kdo listinu potřebnou k důkazu má (druhému účastníkovi nebo třetí osobě), aby ji předložil…</w:t>
      </w:r>
      <w:r w:rsidRPr="00632E30">
        <w:rPr>
          <w:rFonts w:ascii="Garamond" w:hAnsi="Garamond"/>
          <w:i/>
        </w:rPr>
        <w:t xml:space="preserve"> </w:t>
      </w:r>
      <w:r w:rsidRPr="00632E30">
        <w:rPr>
          <w:rFonts w:ascii="Garamond" w:hAnsi="Garamond"/>
          <w:i/>
          <w:sz w:val="24"/>
          <w:szCs w:val="24"/>
        </w:rPr>
        <w:t>Porušení ediční povinnosti účastníkem, který nenese důkazní břemeno, nevede k obrácení důkazního břemene, ale může se projevit v hodnocení důkazů v neprospěch strany, která ediční povinnost nesplnila.“</w:t>
      </w:r>
      <w:r w:rsidRPr="00632E30">
        <w:rPr>
          <w:rStyle w:val="Znakapoznpodarou"/>
          <w:rFonts w:ascii="Garamond" w:hAnsi="Garamond"/>
          <w:i/>
          <w:sz w:val="24"/>
          <w:szCs w:val="24"/>
        </w:rPr>
        <w:footnoteReference w:id="102"/>
      </w:r>
      <w:r w:rsidR="001C1BE1" w:rsidRPr="00632E30">
        <w:rPr>
          <w:rFonts w:ascii="Garamond" w:hAnsi="Garamond"/>
          <w:i/>
          <w:sz w:val="24"/>
          <w:szCs w:val="24"/>
        </w:rPr>
        <w:t xml:space="preserve"> </w:t>
      </w:r>
      <w:r w:rsidR="001C1BE1" w:rsidRPr="00632E30">
        <w:rPr>
          <w:rFonts w:ascii="Garamond" w:hAnsi="Garamond"/>
          <w:sz w:val="24"/>
          <w:szCs w:val="24"/>
        </w:rPr>
        <w:t xml:space="preserve">Obdobné teoretické závěry lze nalézt napříč teorií civilního procesu, stejně jako v judikatuře. </w:t>
      </w:r>
    </w:p>
    <w:p w14:paraId="0E0FD946" w14:textId="77777777" w:rsidR="00887A96" w:rsidRPr="00632E30" w:rsidRDefault="00887A96" w:rsidP="00C45FAF">
      <w:pPr>
        <w:spacing w:line="360" w:lineRule="auto"/>
        <w:ind w:firstLine="708"/>
        <w:jc w:val="both"/>
        <w:rPr>
          <w:rFonts w:ascii="Garamond" w:hAnsi="Garamond"/>
          <w:sz w:val="24"/>
          <w:szCs w:val="24"/>
        </w:rPr>
      </w:pPr>
      <w:r w:rsidRPr="00632E30">
        <w:rPr>
          <w:rFonts w:ascii="Garamond" w:hAnsi="Garamond"/>
          <w:sz w:val="24"/>
          <w:szCs w:val="24"/>
        </w:rPr>
        <w:t xml:space="preserve">Současná teorie civilního procesu chápe vysvětlovací povinnost jako zvláštní procesní institut, který v rámci předem daných případů umožňuje </w:t>
      </w:r>
      <w:r w:rsidR="003F2FB5" w:rsidRPr="00632E30">
        <w:rPr>
          <w:rFonts w:ascii="Garamond" w:hAnsi="Garamond"/>
          <w:sz w:val="24"/>
          <w:szCs w:val="24"/>
        </w:rPr>
        <w:t>zasáhnout do koncepce sporného řízení. Institut vysvětlovací povinnosti proti sobě staví zájem na dodržení striktně kontradiktorního řízení v čele se zásadou projednací oproti požadavku na naplnění účelu civilního procesu.</w:t>
      </w:r>
      <w:r w:rsidR="00D80DE3" w:rsidRPr="00632E30">
        <w:rPr>
          <w:rStyle w:val="Znakapoznpodarou"/>
          <w:rFonts w:ascii="Garamond" w:hAnsi="Garamond"/>
          <w:sz w:val="24"/>
          <w:szCs w:val="24"/>
        </w:rPr>
        <w:footnoteReference w:id="103"/>
      </w:r>
      <w:r w:rsidR="003F2FB5" w:rsidRPr="00632E30">
        <w:rPr>
          <w:rFonts w:ascii="Garamond" w:hAnsi="Garamond"/>
          <w:sz w:val="24"/>
          <w:szCs w:val="24"/>
        </w:rPr>
        <w:t xml:space="preserve"> Většina autorů pak rovněž chápe tento institut jako zvláštní druh vyšetřovacího důkazu.</w:t>
      </w:r>
      <w:r w:rsidR="003F2FB5" w:rsidRPr="00632E30">
        <w:rPr>
          <w:rStyle w:val="Znakapoznpodarou"/>
          <w:rFonts w:ascii="Garamond" w:hAnsi="Garamond"/>
          <w:sz w:val="24"/>
          <w:szCs w:val="24"/>
        </w:rPr>
        <w:footnoteReference w:id="104"/>
      </w:r>
    </w:p>
    <w:p w14:paraId="110F0F94" w14:textId="031439C2" w:rsidR="0013748D" w:rsidRPr="00632E30" w:rsidRDefault="0013748D" w:rsidP="00C45FAF">
      <w:pPr>
        <w:spacing w:line="360" w:lineRule="auto"/>
        <w:ind w:firstLine="709"/>
        <w:jc w:val="both"/>
        <w:rPr>
          <w:rFonts w:ascii="Garamond" w:hAnsi="Garamond"/>
          <w:sz w:val="24"/>
          <w:szCs w:val="24"/>
        </w:rPr>
      </w:pPr>
      <w:r w:rsidRPr="00632E30">
        <w:rPr>
          <w:rFonts w:ascii="Garamond" w:hAnsi="Garamond"/>
          <w:sz w:val="24"/>
          <w:szCs w:val="24"/>
        </w:rPr>
        <w:lastRenderedPageBreak/>
        <w:t>Z hlediska rozsahu teorie upřednostňuje koncepci tzv. zvláštní procesní vysvětlovací povinnosti.</w:t>
      </w:r>
      <w:r w:rsidR="00DF4489" w:rsidRPr="00632E30">
        <w:rPr>
          <w:rStyle w:val="Znakapoznpodarou"/>
          <w:rFonts w:ascii="Garamond" w:hAnsi="Garamond"/>
          <w:sz w:val="24"/>
          <w:szCs w:val="24"/>
        </w:rPr>
        <w:footnoteReference w:id="105"/>
      </w:r>
      <w:r w:rsidRPr="00632E30">
        <w:rPr>
          <w:rFonts w:ascii="Garamond" w:hAnsi="Garamond"/>
          <w:sz w:val="24"/>
          <w:szCs w:val="24"/>
        </w:rPr>
        <w:t xml:space="preserve"> Tato koncepce vychází z myšlenky, že uložení takové povinnosti je zásadně možné, avšak za předpokladu splnění určitých specifických podmínek. Těmi v současné době jsou:</w:t>
      </w:r>
    </w:p>
    <w:p w14:paraId="09D54D47" w14:textId="031D720B" w:rsidR="0013748D" w:rsidRPr="00632E30" w:rsidRDefault="0013748D" w:rsidP="0013748D">
      <w:pPr>
        <w:pStyle w:val="Odstavecseseznamem"/>
        <w:numPr>
          <w:ilvl w:val="0"/>
          <w:numId w:val="3"/>
        </w:numPr>
        <w:spacing w:line="360" w:lineRule="auto"/>
        <w:jc w:val="both"/>
        <w:rPr>
          <w:rFonts w:ascii="Garamond" w:hAnsi="Garamond"/>
          <w:sz w:val="24"/>
          <w:szCs w:val="24"/>
        </w:rPr>
      </w:pPr>
      <w:r w:rsidRPr="00632E30">
        <w:rPr>
          <w:rFonts w:ascii="Garamond" w:hAnsi="Garamond"/>
          <w:sz w:val="24"/>
          <w:szCs w:val="24"/>
        </w:rPr>
        <w:t>Strana zatížená důkazním břemenem je v informačním deficitu, který si sama nezavinila a který je pro ni objektivně nepřekonatelný</w:t>
      </w:r>
      <w:r w:rsidR="005E5687" w:rsidRPr="00632E30">
        <w:rPr>
          <w:rFonts w:ascii="Garamond" w:hAnsi="Garamond"/>
          <w:sz w:val="24"/>
          <w:szCs w:val="24"/>
        </w:rPr>
        <w:t xml:space="preserve"> (proto nepostačí pouze zvýšená nákladnost či vyšší obtížnost při možnosti zjistit relevantní skutečnosti)</w:t>
      </w:r>
      <w:r w:rsidRPr="00632E30">
        <w:rPr>
          <w:rFonts w:ascii="Garamond" w:hAnsi="Garamond"/>
          <w:sz w:val="24"/>
          <w:szCs w:val="24"/>
        </w:rPr>
        <w:t xml:space="preserve">, </w:t>
      </w:r>
    </w:p>
    <w:p w14:paraId="57024C39" w14:textId="5A183D4B" w:rsidR="0013748D" w:rsidRPr="00632E30" w:rsidRDefault="0013748D" w:rsidP="0013748D">
      <w:pPr>
        <w:pStyle w:val="Odstavecseseznamem"/>
        <w:numPr>
          <w:ilvl w:val="0"/>
          <w:numId w:val="3"/>
        </w:numPr>
        <w:spacing w:line="360" w:lineRule="auto"/>
        <w:jc w:val="both"/>
        <w:rPr>
          <w:rFonts w:ascii="Garamond" w:hAnsi="Garamond"/>
          <w:sz w:val="24"/>
          <w:szCs w:val="24"/>
        </w:rPr>
      </w:pPr>
      <w:r w:rsidRPr="00632E30">
        <w:rPr>
          <w:rFonts w:ascii="Garamond" w:hAnsi="Garamond"/>
          <w:sz w:val="24"/>
          <w:szCs w:val="24"/>
        </w:rPr>
        <w:t>Strana nezatížená důkazním břemenem je schopna uloženou vysvětlovací povinnost splnit, vyloučen</w:t>
      </w:r>
      <w:r w:rsidR="004940D9" w:rsidRPr="00632E30">
        <w:rPr>
          <w:rFonts w:ascii="Garamond" w:hAnsi="Garamond"/>
          <w:sz w:val="24"/>
          <w:szCs w:val="24"/>
        </w:rPr>
        <w:t>y</w:t>
      </w:r>
      <w:r w:rsidRPr="00632E30">
        <w:rPr>
          <w:rFonts w:ascii="Garamond" w:hAnsi="Garamond"/>
          <w:sz w:val="24"/>
          <w:szCs w:val="24"/>
        </w:rPr>
        <w:t xml:space="preserve"> by byly situace, kdy by strana po takových materiálech musela pátrat, činit šetření apod. (viz výše), a</w:t>
      </w:r>
    </w:p>
    <w:p w14:paraId="0E32FFBA" w14:textId="77777777" w:rsidR="0013748D" w:rsidRPr="00632E30" w:rsidRDefault="0013748D" w:rsidP="0013748D">
      <w:pPr>
        <w:pStyle w:val="Odstavecseseznamem"/>
        <w:numPr>
          <w:ilvl w:val="0"/>
          <w:numId w:val="3"/>
        </w:numPr>
        <w:spacing w:line="360" w:lineRule="auto"/>
        <w:jc w:val="both"/>
        <w:rPr>
          <w:rFonts w:ascii="Garamond" w:hAnsi="Garamond"/>
          <w:sz w:val="24"/>
          <w:szCs w:val="24"/>
        </w:rPr>
      </w:pPr>
      <w:r w:rsidRPr="00632E30">
        <w:rPr>
          <w:rFonts w:ascii="Garamond" w:hAnsi="Garamond"/>
          <w:sz w:val="24"/>
          <w:szCs w:val="24"/>
        </w:rPr>
        <w:t>Strana zatížená důkazním břemenem přednese opěrné body</w:t>
      </w:r>
      <w:r w:rsidR="005E5687" w:rsidRPr="00632E30">
        <w:rPr>
          <w:rStyle w:val="Znakapoznpodarou"/>
          <w:rFonts w:ascii="Garamond" w:hAnsi="Garamond"/>
          <w:sz w:val="24"/>
          <w:szCs w:val="24"/>
        </w:rPr>
        <w:footnoteReference w:id="106"/>
      </w:r>
      <w:r w:rsidRPr="00632E30">
        <w:rPr>
          <w:rFonts w:ascii="Garamond" w:hAnsi="Garamond"/>
          <w:sz w:val="24"/>
          <w:szCs w:val="24"/>
        </w:rPr>
        <w:t xml:space="preserve"> skutkového stavu.</w:t>
      </w:r>
      <w:r w:rsidRPr="00632E30">
        <w:rPr>
          <w:rStyle w:val="Znakapoznpodarou"/>
          <w:rFonts w:ascii="Garamond" w:hAnsi="Garamond"/>
          <w:sz w:val="24"/>
          <w:szCs w:val="24"/>
        </w:rPr>
        <w:footnoteReference w:id="107"/>
      </w:r>
    </w:p>
    <w:p w14:paraId="55892DF4" w14:textId="6852B339" w:rsidR="0013748D" w:rsidRPr="00632E30" w:rsidRDefault="007F6707" w:rsidP="00C45FAF">
      <w:pPr>
        <w:spacing w:line="360" w:lineRule="auto"/>
        <w:ind w:firstLine="709"/>
        <w:jc w:val="both"/>
        <w:rPr>
          <w:rFonts w:ascii="Garamond" w:hAnsi="Garamond"/>
          <w:sz w:val="24"/>
          <w:szCs w:val="24"/>
        </w:rPr>
      </w:pPr>
      <w:r w:rsidRPr="00632E30">
        <w:rPr>
          <w:rFonts w:ascii="Garamond" w:hAnsi="Garamond"/>
          <w:sz w:val="24"/>
          <w:szCs w:val="24"/>
        </w:rPr>
        <w:t xml:space="preserve">Obsahem vysvětlovací povinnosti pak teorie shodně s judikaturou chápe povinnost poskytnutí informací rozličnými formami, například formou zprávy, prohlášení či identifikací </w:t>
      </w:r>
      <w:r w:rsidR="005D282B" w:rsidRPr="00632E30">
        <w:rPr>
          <w:rFonts w:ascii="Garamond" w:hAnsi="Garamond"/>
          <w:sz w:val="24"/>
          <w:szCs w:val="24"/>
        </w:rPr>
        <w:t>určitých osob.</w:t>
      </w:r>
      <w:r w:rsidR="005D282B" w:rsidRPr="00632E30">
        <w:rPr>
          <w:rStyle w:val="Znakapoznpodarou"/>
          <w:rFonts w:ascii="Garamond" w:hAnsi="Garamond"/>
          <w:sz w:val="24"/>
          <w:szCs w:val="24"/>
        </w:rPr>
        <w:footnoteReference w:id="108"/>
      </w:r>
      <w:r w:rsidR="005D282B" w:rsidRPr="00632E30">
        <w:rPr>
          <w:rFonts w:ascii="Garamond" w:hAnsi="Garamond"/>
          <w:sz w:val="24"/>
          <w:szCs w:val="24"/>
        </w:rPr>
        <w:t xml:space="preserve"> Jedná se tedy o povinnost detailně vysvětlit, doplnit a objasnit skutková tvrzení protistrany, která je prvotně zatížena důkazním břemenem.</w:t>
      </w:r>
      <w:r w:rsidR="005D282B" w:rsidRPr="00632E30">
        <w:rPr>
          <w:rStyle w:val="Znakapoznpodarou"/>
          <w:rFonts w:ascii="Garamond" w:hAnsi="Garamond"/>
          <w:sz w:val="24"/>
          <w:szCs w:val="24"/>
        </w:rPr>
        <w:footnoteReference w:id="109"/>
      </w:r>
    </w:p>
    <w:p w14:paraId="3B240333" w14:textId="77777777" w:rsidR="00C45FAF" w:rsidRDefault="005D282B" w:rsidP="00C45FAF">
      <w:pPr>
        <w:spacing w:line="360" w:lineRule="auto"/>
        <w:ind w:firstLine="709"/>
        <w:jc w:val="both"/>
        <w:rPr>
          <w:rFonts w:ascii="Garamond" w:hAnsi="Garamond"/>
          <w:sz w:val="24"/>
          <w:szCs w:val="24"/>
        </w:rPr>
      </w:pPr>
      <w:r w:rsidRPr="00632E30">
        <w:rPr>
          <w:rFonts w:ascii="Garamond" w:hAnsi="Garamond"/>
          <w:sz w:val="24"/>
          <w:szCs w:val="24"/>
        </w:rPr>
        <w:t>Většinově se autoři shodnou i v otázce právních následků za porušení vysvětlovací povinnost</w:t>
      </w:r>
      <w:r w:rsidR="006D767A" w:rsidRPr="00632E30">
        <w:rPr>
          <w:rFonts w:ascii="Garamond" w:hAnsi="Garamond"/>
          <w:sz w:val="24"/>
          <w:szCs w:val="24"/>
        </w:rPr>
        <w:t>i</w:t>
      </w:r>
      <w:r w:rsidRPr="00632E30">
        <w:rPr>
          <w:rFonts w:ascii="Garamond" w:hAnsi="Garamond"/>
          <w:sz w:val="24"/>
          <w:szCs w:val="24"/>
        </w:rPr>
        <w:t xml:space="preserve"> stranou nezatíženou důkazním břemenem. </w:t>
      </w:r>
      <w:r w:rsidR="00A0146E" w:rsidRPr="00632E30">
        <w:rPr>
          <w:rFonts w:ascii="Garamond" w:hAnsi="Garamond"/>
          <w:sz w:val="24"/>
          <w:szCs w:val="24"/>
        </w:rPr>
        <w:t>Násl</w:t>
      </w:r>
      <w:r w:rsidR="00442637" w:rsidRPr="00632E30">
        <w:rPr>
          <w:rFonts w:ascii="Garamond" w:hAnsi="Garamond"/>
          <w:sz w:val="24"/>
          <w:szCs w:val="24"/>
        </w:rPr>
        <w:t>edek porušení této povinnosti se tak dle teorie může projevit pouze ve volném hodnocení.</w:t>
      </w:r>
      <w:r w:rsidR="00442637" w:rsidRPr="00632E30">
        <w:rPr>
          <w:rStyle w:val="Znakapoznpodarou"/>
          <w:rFonts w:ascii="Garamond" w:hAnsi="Garamond"/>
          <w:sz w:val="24"/>
          <w:szCs w:val="24"/>
        </w:rPr>
        <w:footnoteReference w:id="110"/>
      </w:r>
      <w:r w:rsidR="00442637" w:rsidRPr="00632E30">
        <w:rPr>
          <w:rFonts w:ascii="Garamond" w:hAnsi="Garamond"/>
          <w:sz w:val="24"/>
          <w:szCs w:val="24"/>
        </w:rPr>
        <w:t xml:space="preserve"> </w:t>
      </w:r>
      <w:r w:rsidR="00442637" w:rsidRPr="00632E30">
        <w:rPr>
          <w:rStyle w:val="Znakapoznpodarou"/>
          <w:rFonts w:ascii="Garamond" w:hAnsi="Garamond"/>
          <w:sz w:val="24"/>
          <w:szCs w:val="24"/>
        </w:rPr>
        <w:footnoteReference w:id="111"/>
      </w:r>
      <w:r w:rsidR="00442637" w:rsidRPr="00632E30">
        <w:rPr>
          <w:rFonts w:ascii="Garamond" w:hAnsi="Garamond"/>
          <w:sz w:val="24"/>
          <w:szCs w:val="24"/>
        </w:rPr>
        <w:t xml:space="preserve"> Objevují se však i názory, které za následek porušení vysvětlovací povinnosti považují obrácení důkazního břemene.</w:t>
      </w:r>
      <w:r w:rsidR="007B07D3" w:rsidRPr="00632E30">
        <w:rPr>
          <w:rStyle w:val="Znakapoznpodarou"/>
          <w:rFonts w:ascii="Garamond" w:hAnsi="Garamond"/>
          <w:sz w:val="24"/>
          <w:szCs w:val="24"/>
        </w:rPr>
        <w:footnoteReference w:id="112"/>
      </w:r>
      <w:r w:rsidR="00442637" w:rsidRPr="00632E30">
        <w:rPr>
          <w:rFonts w:ascii="Garamond" w:hAnsi="Garamond"/>
          <w:sz w:val="24"/>
          <w:szCs w:val="24"/>
        </w:rPr>
        <w:t xml:space="preserve"> </w:t>
      </w:r>
    </w:p>
    <w:p w14:paraId="5FDBB457" w14:textId="77777777" w:rsidR="00AA2755" w:rsidRDefault="007610AE" w:rsidP="00AA2755">
      <w:pPr>
        <w:spacing w:line="360" w:lineRule="auto"/>
        <w:ind w:firstLine="709"/>
        <w:jc w:val="both"/>
        <w:rPr>
          <w:rFonts w:ascii="Garamond" w:hAnsi="Garamond"/>
          <w:sz w:val="24"/>
          <w:szCs w:val="24"/>
        </w:rPr>
      </w:pPr>
      <w:r w:rsidRPr="00632E30">
        <w:rPr>
          <w:rFonts w:ascii="Garamond" w:hAnsi="Garamond"/>
          <w:sz w:val="24"/>
          <w:szCs w:val="24"/>
        </w:rPr>
        <w:t xml:space="preserve">K zajímavým </w:t>
      </w:r>
      <w:r w:rsidR="00647E4E" w:rsidRPr="00632E30">
        <w:rPr>
          <w:rFonts w:ascii="Garamond" w:hAnsi="Garamond"/>
          <w:sz w:val="24"/>
          <w:szCs w:val="24"/>
        </w:rPr>
        <w:t>názorům v současné teorii procesní</w:t>
      </w:r>
      <w:r w:rsidR="006D767A" w:rsidRPr="00632E30">
        <w:rPr>
          <w:rFonts w:ascii="Garamond" w:hAnsi="Garamond"/>
          <w:sz w:val="24"/>
          <w:szCs w:val="24"/>
        </w:rPr>
        <w:t>ho</w:t>
      </w:r>
      <w:r w:rsidR="00647E4E" w:rsidRPr="00632E30">
        <w:rPr>
          <w:rFonts w:ascii="Garamond" w:hAnsi="Garamond"/>
          <w:sz w:val="24"/>
          <w:szCs w:val="24"/>
        </w:rPr>
        <w:t xml:space="preserve"> práva dochází Dr. </w:t>
      </w:r>
      <w:proofErr w:type="spellStart"/>
      <w:r w:rsidR="00647E4E" w:rsidRPr="00632E30">
        <w:rPr>
          <w:rFonts w:ascii="Garamond" w:hAnsi="Garamond"/>
          <w:sz w:val="24"/>
          <w:szCs w:val="24"/>
        </w:rPr>
        <w:t>Balarin</w:t>
      </w:r>
      <w:proofErr w:type="spellEnd"/>
      <w:r w:rsidR="00D270E6" w:rsidRPr="00632E30">
        <w:rPr>
          <w:rFonts w:ascii="Garamond" w:hAnsi="Garamond"/>
          <w:sz w:val="24"/>
          <w:szCs w:val="24"/>
        </w:rPr>
        <w:t>: „</w:t>
      </w:r>
      <w:r w:rsidR="00D270E6" w:rsidRPr="00632E30">
        <w:rPr>
          <w:rFonts w:ascii="Garamond" w:hAnsi="Garamond"/>
          <w:i/>
          <w:sz w:val="24"/>
          <w:szCs w:val="24"/>
        </w:rPr>
        <w:t xml:space="preserve">Z řečeného však lze podle mého názoru zároveň učinit úsudek, že nesplnění vysvětlovací povinnosti není pouze faktorem (jedním z faktorů), který vstupuje do mentálního procesu soudce při hodnocení důkazů, nýbrž umožňuje a předpokládá založení rozhodnutí na nižší než standardní míře důkazu (tzn. než na subjektivním přesvědčení soudce o pravdivosti </w:t>
      </w:r>
      <w:r w:rsidR="00D270E6" w:rsidRPr="00632E30">
        <w:rPr>
          <w:rFonts w:ascii="Garamond" w:hAnsi="Garamond"/>
          <w:i/>
          <w:sz w:val="24"/>
          <w:szCs w:val="24"/>
        </w:rPr>
        <w:lastRenderedPageBreak/>
        <w:t>skutkového stavu), konkrétně na tom, že soudce hodnotí skutková tvrzení strany zatížené důkazním břemenem jako pravděpodobná, nikoli tedy že je nutně přesvědčen o jejich pravdivosti. To je adekvátnější a procesně účelnější úvaha než fingování, že nesplnění vysvětlovací povinnosti představuje důkaz o nepravdivosti procesní obrany, jak popsáno výše. Zmírnění požadavků na unesení důkazního břemene je odůvodněno procesně-sankčním aspektem rozhodnutí vůči straně, která nedostála svému sekundárnímu břemenu tvrzení.“</w:t>
      </w:r>
      <w:r w:rsidR="00D22E34" w:rsidRPr="00632E30">
        <w:rPr>
          <w:rStyle w:val="Znakapoznpodarou"/>
          <w:rFonts w:ascii="Garamond" w:hAnsi="Garamond"/>
          <w:i/>
          <w:sz w:val="24"/>
          <w:szCs w:val="24"/>
        </w:rPr>
        <w:footnoteReference w:id="113"/>
      </w:r>
    </w:p>
    <w:p w14:paraId="5C67828B" w14:textId="77777777" w:rsidR="00AA2755" w:rsidRDefault="00D270E6" w:rsidP="00AA2755">
      <w:pPr>
        <w:spacing w:line="360" w:lineRule="auto"/>
        <w:ind w:firstLine="708"/>
        <w:jc w:val="both"/>
        <w:rPr>
          <w:rFonts w:ascii="Garamond" w:hAnsi="Garamond"/>
          <w:sz w:val="24"/>
          <w:szCs w:val="24"/>
        </w:rPr>
      </w:pPr>
      <w:r w:rsidRPr="00632E30">
        <w:rPr>
          <w:rFonts w:ascii="Garamond" w:hAnsi="Garamond"/>
          <w:sz w:val="24"/>
          <w:szCs w:val="24"/>
        </w:rPr>
        <w:t>Autor zde navrhuje snížení míry přesvědčení soudce o skutkových tvrzení</w:t>
      </w:r>
      <w:r w:rsidR="006D767A" w:rsidRPr="00632E30">
        <w:rPr>
          <w:rFonts w:ascii="Garamond" w:hAnsi="Garamond"/>
          <w:sz w:val="24"/>
          <w:szCs w:val="24"/>
        </w:rPr>
        <w:t>ch</w:t>
      </w:r>
      <w:r w:rsidRPr="00632E30">
        <w:rPr>
          <w:rFonts w:ascii="Garamond" w:hAnsi="Garamond"/>
          <w:sz w:val="24"/>
          <w:szCs w:val="24"/>
        </w:rPr>
        <w:t xml:space="preserve"> procesní strany zatížené důkazním břemenem v případě porušení vysvětlovací povinnosti </w:t>
      </w:r>
      <w:r w:rsidR="004600DB" w:rsidRPr="00632E30">
        <w:rPr>
          <w:rFonts w:ascii="Garamond" w:hAnsi="Garamond"/>
          <w:sz w:val="24"/>
          <w:szCs w:val="24"/>
        </w:rPr>
        <w:t>stranou nezatíženou důkazním břemenem</w:t>
      </w:r>
      <w:r w:rsidRPr="00632E30">
        <w:rPr>
          <w:rFonts w:ascii="Garamond" w:hAnsi="Garamond"/>
          <w:sz w:val="24"/>
          <w:szCs w:val="24"/>
        </w:rPr>
        <w:t xml:space="preserve">. Dle mého názoru se jedná o vhodné řešení. </w:t>
      </w:r>
      <w:r w:rsidR="0050738D" w:rsidRPr="00632E30">
        <w:rPr>
          <w:rFonts w:ascii="Garamond" w:hAnsi="Garamond"/>
          <w:sz w:val="24"/>
          <w:szCs w:val="24"/>
        </w:rPr>
        <w:t>Dle většiny autorů a judikatury se projevuje nesplnění vysvětlovací povinnosti stranou nezatíženou důkazním břemenem ve volném hodnocení soudu. Samotné porušení této vysvětlovací povinnosti však automaticky neznamená případný úspěch procesní strany zatížené důkazním břemenem, která se ocitá v objektivně nepřekonatelném informačním deficitu. Bude do jisté míry záležet i na míře porušení vysvětlovací povinnosti. Pokud strana povinná k podání vysvětlení určitých relevantních skutečností bude lhát o těchto skutečnostech, lze spatřovat v takovém jednání nepřímý důkaz</w:t>
      </w:r>
      <w:r w:rsidR="004600DB" w:rsidRPr="00632E30">
        <w:rPr>
          <w:rFonts w:ascii="Garamond" w:hAnsi="Garamond"/>
          <w:sz w:val="24"/>
          <w:szCs w:val="24"/>
        </w:rPr>
        <w:t>, který sám o sobě</w:t>
      </w:r>
      <w:r w:rsidR="006D767A" w:rsidRPr="00632E30">
        <w:rPr>
          <w:rFonts w:ascii="Garamond" w:hAnsi="Garamond"/>
          <w:sz w:val="24"/>
          <w:szCs w:val="24"/>
        </w:rPr>
        <w:t>,</w:t>
      </w:r>
      <w:r w:rsidR="004600DB" w:rsidRPr="00632E30">
        <w:rPr>
          <w:rFonts w:ascii="Garamond" w:hAnsi="Garamond"/>
          <w:sz w:val="24"/>
          <w:szCs w:val="24"/>
        </w:rPr>
        <w:t xml:space="preserve"> případně s dalšími skutečnostmi získanými během řízení</w:t>
      </w:r>
      <w:r w:rsidR="006D767A" w:rsidRPr="00632E30">
        <w:rPr>
          <w:rFonts w:ascii="Garamond" w:hAnsi="Garamond"/>
          <w:sz w:val="24"/>
          <w:szCs w:val="24"/>
        </w:rPr>
        <w:t>,</w:t>
      </w:r>
      <w:r w:rsidR="004600DB" w:rsidRPr="00632E30">
        <w:rPr>
          <w:rFonts w:ascii="Garamond" w:hAnsi="Garamond"/>
          <w:sz w:val="24"/>
          <w:szCs w:val="24"/>
        </w:rPr>
        <w:t xml:space="preserve"> založí přesvědčení soudce o pravdivosti tvrzení strany zatížené důkazním břemenem. </w:t>
      </w:r>
      <w:r w:rsidR="0050738D" w:rsidRPr="00632E30">
        <w:rPr>
          <w:rFonts w:ascii="Garamond" w:hAnsi="Garamond"/>
          <w:sz w:val="24"/>
          <w:szCs w:val="24"/>
        </w:rPr>
        <w:t>Situace se ovšem komplikuje v případech, kdy strana nezatížená důkazním břemenem nesplní svou vysvětlovací povinnost způsobem, za n</w:t>
      </w:r>
      <w:r w:rsidR="006D767A" w:rsidRPr="00632E30">
        <w:rPr>
          <w:rFonts w:ascii="Garamond" w:hAnsi="Garamond"/>
          <w:sz w:val="24"/>
          <w:szCs w:val="24"/>
        </w:rPr>
        <w:t>í</w:t>
      </w:r>
      <w:r w:rsidR="0050738D" w:rsidRPr="00632E30">
        <w:rPr>
          <w:rFonts w:ascii="Garamond" w:hAnsi="Garamond"/>
          <w:sz w:val="24"/>
          <w:szCs w:val="24"/>
        </w:rPr>
        <w:t>mž nelze spatřovat určitý konk</w:t>
      </w:r>
      <w:r w:rsidR="007169B5" w:rsidRPr="00632E30">
        <w:rPr>
          <w:rFonts w:ascii="Garamond" w:hAnsi="Garamond"/>
          <w:sz w:val="24"/>
          <w:szCs w:val="24"/>
        </w:rPr>
        <w:t>rétní postoj.</w:t>
      </w:r>
      <w:r w:rsidR="001D793E" w:rsidRPr="00632E30">
        <w:rPr>
          <w:rStyle w:val="Znakapoznpodarou"/>
          <w:rFonts w:ascii="Garamond" w:hAnsi="Garamond"/>
          <w:sz w:val="24"/>
          <w:szCs w:val="24"/>
        </w:rPr>
        <w:footnoteReference w:id="114"/>
      </w:r>
    </w:p>
    <w:p w14:paraId="7C8B7B1F" w14:textId="10565E2C" w:rsidR="00BB1F16" w:rsidRPr="00632E30" w:rsidRDefault="0050738D" w:rsidP="00AA2755">
      <w:pPr>
        <w:spacing w:line="360" w:lineRule="auto"/>
        <w:ind w:firstLine="708"/>
        <w:jc w:val="both"/>
        <w:rPr>
          <w:rFonts w:ascii="Garamond" w:hAnsi="Garamond"/>
          <w:sz w:val="24"/>
          <w:szCs w:val="24"/>
        </w:rPr>
      </w:pPr>
      <w:r w:rsidRPr="00632E30">
        <w:rPr>
          <w:rFonts w:ascii="Garamond" w:hAnsi="Garamond"/>
          <w:sz w:val="24"/>
          <w:szCs w:val="24"/>
        </w:rPr>
        <w:t>V případě porušení vysvětlovací povinnos</w:t>
      </w:r>
      <w:r w:rsidR="007169B5" w:rsidRPr="00632E30">
        <w:rPr>
          <w:rFonts w:ascii="Garamond" w:hAnsi="Garamond"/>
          <w:sz w:val="24"/>
          <w:szCs w:val="24"/>
        </w:rPr>
        <w:t xml:space="preserve">ti, při němž strana zaujímá neutrální postoj, soud zpravidla nemusí nabýt jednoznačného přesvědčení o pravdivosti tvrzení strany zatížené důkazním břemenem, a to ani v souvislosti s ostatními skutečnostmi, které během řízení vyšly najevo. Za těchto okolností tak strana zatížená důkazním břemenem neunese své břemeno důkazní a spor prohraje. Snížením míry </w:t>
      </w:r>
      <w:r w:rsidR="004600DB" w:rsidRPr="00632E30">
        <w:rPr>
          <w:rFonts w:ascii="Garamond" w:hAnsi="Garamond"/>
          <w:sz w:val="24"/>
          <w:szCs w:val="24"/>
        </w:rPr>
        <w:t>přesvědčení soudce o pravdivosti</w:t>
      </w:r>
      <w:r w:rsidR="00A96E69" w:rsidRPr="00632E30">
        <w:rPr>
          <w:rStyle w:val="Znakapoznpodarou"/>
          <w:rFonts w:ascii="Garamond" w:hAnsi="Garamond"/>
          <w:sz w:val="24"/>
          <w:szCs w:val="24"/>
        </w:rPr>
        <w:footnoteReference w:id="115"/>
      </w:r>
      <w:r w:rsidR="004600DB" w:rsidRPr="00632E30">
        <w:rPr>
          <w:rFonts w:ascii="Garamond" w:hAnsi="Garamond"/>
          <w:sz w:val="24"/>
          <w:szCs w:val="24"/>
        </w:rPr>
        <w:t xml:space="preserve"> skutkových tvrzení strany zatížené důkazním břemenem na míru pravděpodobnosti by tak v případě nesplnění vysvětlovací povinnosti procesní stranou nezatíženou důkazním břemenem </w:t>
      </w:r>
      <w:r w:rsidR="00DA519D" w:rsidRPr="00632E30">
        <w:rPr>
          <w:rFonts w:ascii="Garamond" w:hAnsi="Garamond"/>
          <w:sz w:val="24"/>
          <w:szCs w:val="24"/>
        </w:rPr>
        <w:t xml:space="preserve">bylo významným sankčním </w:t>
      </w:r>
      <w:r w:rsidR="00DA519D" w:rsidRPr="00632E30">
        <w:rPr>
          <w:rFonts w:ascii="Garamond" w:hAnsi="Garamond"/>
          <w:sz w:val="24"/>
          <w:szCs w:val="24"/>
        </w:rPr>
        <w:lastRenderedPageBreak/>
        <w:t>posílením tohoto institutu. Zároveň by byla zachována výhoda vysvětlovací povinnosti oproti obrácení důkazní</w:t>
      </w:r>
      <w:r w:rsidR="003E7911" w:rsidRPr="00632E30">
        <w:rPr>
          <w:rFonts w:ascii="Garamond" w:hAnsi="Garamond"/>
          <w:sz w:val="24"/>
          <w:szCs w:val="24"/>
        </w:rPr>
        <w:t>ho</w:t>
      </w:r>
      <w:r w:rsidR="00DA519D" w:rsidRPr="00632E30">
        <w:rPr>
          <w:rFonts w:ascii="Garamond" w:hAnsi="Garamond"/>
          <w:sz w:val="24"/>
          <w:szCs w:val="24"/>
        </w:rPr>
        <w:t xml:space="preserve"> břemen</w:t>
      </w:r>
      <w:r w:rsidR="003E7911" w:rsidRPr="00632E30">
        <w:rPr>
          <w:rFonts w:ascii="Garamond" w:hAnsi="Garamond"/>
          <w:sz w:val="24"/>
          <w:szCs w:val="24"/>
        </w:rPr>
        <w:t>e</w:t>
      </w:r>
      <w:r w:rsidR="00DA519D" w:rsidRPr="00632E30">
        <w:rPr>
          <w:rFonts w:ascii="Garamond" w:hAnsi="Garamond"/>
          <w:sz w:val="24"/>
          <w:szCs w:val="24"/>
        </w:rPr>
        <w:t xml:space="preserve"> ve smyslu možnosti exkulpace.</w:t>
      </w:r>
    </w:p>
    <w:p w14:paraId="32325CE2" w14:textId="77777777" w:rsidR="00EA7202" w:rsidRPr="00632E30" w:rsidRDefault="00EA7202" w:rsidP="00EA7202">
      <w:pPr>
        <w:pStyle w:val="Odstavecseseznamem"/>
        <w:numPr>
          <w:ilvl w:val="0"/>
          <w:numId w:val="13"/>
        </w:numPr>
        <w:rPr>
          <w:rFonts w:ascii="Garamond" w:hAnsi="Garamond"/>
          <w:vanish/>
          <w:sz w:val="24"/>
          <w:szCs w:val="24"/>
        </w:rPr>
      </w:pPr>
    </w:p>
    <w:p w14:paraId="6523CF77" w14:textId="4C07B39C" w:rsidR="004A1F10" w:rsidRPr="00632E30" w:rsidRDefault="00BB1F16" w:rsidP="00AA2755">
      <w:pPr>
        <w:pStyle w:val="Nadpis1"/>
        <w:numPr>
          <w:ilvl w:val="0"/>
          <w:numId w:val="13"/>
        </w:numPr>
        <w:spacing w:before="160" w:after="160"/>
        <w:ind w:left="0" w:firstLine="0"/>
        <w:rPr>
          <w:rFonts w:ascii="Garamond" w:hAnsi="Garamond"/>
          <w:b/>
        </w:rPr>
      </w:pPr>
      <w:r w:rsidRPr="00632E30">
        <w:rPr>
          <w:rFonts w:ascii="Garamond" w:hAnsi="Garamond"/>
          <w:sz w:val="24"/>
          <w:szCs w:val="24"/>
        </w:rPr>
        <w:br w:type="page"/>
      </w:r>
      <w:bookmarkStart w:id="47" w:name="_Toc17881143"/>
      <w:r w:rsidR="004A1F10" w:rsidRPr="00632E30">
        <w:rPr>
          <w:rFonts w:ascii="Garamond" w:hAnsi="Garamond"/>
          <w:b/>
          <w:color w:val="auto"/>
        </w:rPr>
        <w:lastRenderedPageBreak/>
        <w:t xml:space="preserve">Vysvětlovací povinnost de lege </w:t>
      </w:r>
      <w:proofErr w:type="spellStart"/>
      <w:r w:rsidR="004A1F10" w:rsidRPr="00632E30">
        <w:rPr>
          <w:rFonts w:ascii="Garamond" w:hAnsi="Garamond"/>
          <w:b/>
          <w:color w:val="auto"/>
        </w:rPr>
        <w:t>ferenda</w:t>
      </w:r>
      <w:bookmarkEnd w:id="47"/>
      <w:proofErr w:type="spellEnd"/>
    </w:p>
    <w:p w14:paraId="114F87E8" w14:textId="23E03588" w:rsidR="004A1F10" w:rsidRPr="00632E30" w:rsidRDefault="00DF46CC" w:rsidP="00626E78">
      <w:pPr>
        <w:spacing w:line="360" w:lineRule="auto"/>
        <w:ind w:firstLine="708"/>
        <w:jc w:val="both"/>
        <w:rPr>
          <w:rFonts w:ascii="Garamond" w:hAnsi="Garamond"/>
          <w:sz w:val="24"/>
          <w:szCs w:val="24"/>
        </w:rPr>
      </w:pPr>
      <w:r w:rsidRPr="00632E30">
        <w:rPr>
          <w:rFonts w:ascii="Garamond" w:hAnsi="Garamond"/>
          <w:sz w:val="24"/>
          <w:szCs w:val="24"/>
        </w:rPr>
        <w:t xml:space="preserve">Stěžejním dokumentem pro úvahy nad právní úpravou institutu vysvětlovací povinnosti de lege </w:t>
      </w:r>
      <w:proofErr w:type="spellStart"/>
      <w:r w:rsidRPr="00632E30">
        <w:rPr>
          <w:rFonts w:ascii="Garamond" w:hAnsi="Garamond"/>
          <w:sz w:val="24"/>
          <w:szCs w:val="24"/>
        </w:rPr>
        <w:t>ferenda</w:t>
      </w:r>
      <w:proofErr w:type="spellEnd"/>
      <w:r w:rsidRPr="00632E30">
        <w:rPr>
          <w:rFonts w:ascii="Garamond" w:hAnsi="Garamond"/>
          <w:sz w:val="24"/>
          <w:szCs w:val="24"/>
        </w:rPr>
        <w:t xml:space="preserve"> je věcný záměr civilního řádu soudního, dále jen „</w:t>
      </w:r>
      <w:r w:rsidRPr="00632E30">
        <w:rPr>
          <w:rFonts w:ascii="Garamond" w:hAnsi="Garamond"/>
          <w:i/>
          <w:sz w:val="24"/>
          <w:szCs w:val="24"/>
        </w:rPr>
        <w:t>věcný záměr</w:t>
      </w:r>
      <w:r w:rsidRPr="00632E30">
        <w:rPr>
          <w:rFonts w:ascii="Garamond" w:hAnsi="Garamond"/>
          <w:sz w:val="24"/>
          <w:szCs w:val="24"/>
        </w:rPr>
        <w:t>“.</w:t>
      </w:r>
      <w:r w:rsidRPr="00632E30">
        <w:rPr>
          <w:rStyle w:val="Znakapoznpodarou"/>
          <w:rFonts w:ascii="Garamond" w:hAnsi="Garamond"/>
          <w:sz w:val="24"/>
          <w:szCs w:val="24"/>
        </w:rPr>
        <w:footnoteReference w:id="116"/>
      </w:r>
      <w:r w:rsidR="00934DEE" w:rsidRPr="00632E30">
        <w:rPr>
          <w:rFonts w:ascii="Garamond" w:hAnsi="Garamond"/>
          <w:sz w:val="24"/>
          <w:szCs w:val="24"/>
        </w:rPr>
        <w:t xml:space="preserve"> </w:t>
      </w:r>
    </w:p>
    <w:p w14:paraId="6B726AB6" w14:textId="290314F7" w:rsidR="00934DEE" w:rsidRPr="00632E30" w:rsidRDefault="00934DEE" w:rsidP="00626E78">
      <w:pPr>
        <w:spacing w:line="360" w:lineRule="auto"/>
        <w:ind w:firstLine="708"/>
        <w:jc w:val="both"/>
        <w:rPr>
          <w:rFonts w:ascii="Garamond" w:hAnsi="Garamond"/>
          <w:sz w:val="24"/>
          <w:szCs w:val="24"/>
        </w:rPr>
      </w:pPr>
      <w:r w:rsidRPr="00632E30">
        <w:rPr>
          <w:rFonts w:ascii="Garamond" w:hAnsi="Garamond"/>
          <w:sz w:val="24"/>
          <w:szCs w:val="24"/>
        </w:rPr>
        <w:t xml:space="preserve">Explicitní ustanovení o vysvětlovací povinnosti stále v současné právní úpravě chybí. Přitom potřeba jasně a předem stanovených pravidel </w:t>
      </w:r>
      <w:r w:rsidR="001E2CBA" w:rsidRPr="00632E30">
        <w:rPr>
          <w:rFonts w:ascii="Garamond" w:hAnsi="Garamond"/>
          <w:sz w:val="24"/>
          <w:szCs w:val="24"/>
        </w:rPr>
        <w:t>pro právní jistotu adresátů norem je nezbytným předpokladem právního státu. Ne</w:t>
      </w:r>
      <w:r w:rsidR="00822812" w:rsidRPr="00632E30">
        <w:rPr>
          <w:rFonts w:ascii="Garamond" w:hAnsi="Garamond"/>
          <w:sz w:val="24"/>
          <w:szCs w:val="24"/>
        </w:rPr>
        <w:t>existuje</w:t>
      </w:r>
      <w:r w:rsidR="001E2CBA" w:rsidRPr="00632E30">
        <w:rPr>
          <w:rFonts w:ascii="Garamond" w:hAnsi="Garamond"/>
          <w:sz w:val="24"/>
          <w:szCs w:val="24"/>
        </w:rPr>
        <w:t xml:space="preserve"> důvod, proč by konkrétní ustanovení o široce uznávané vysvětlovací povinnosti neměl</w:t>
      </w:r>
      <w:r w:rsidR="006D767A" w:rsidRPr="00632E30">
        <w:rPr>
          <w:rFonts w:ascii="Garamond" w:hAnsi="Garamond"/>
          <w:sz w:val="24"/>
          <w:szCs w:val="24"/>
        </w:rPr>
        <w:t>o</w:t>
      </w:r>
      <w:r w:rsidR="001E2CBA" w:rsidRPr="00632E30">
        <w:rPr>
          <w:rFonts w:ascii="Garamond" w:hAnsi="Garamond"/>
          <w:sz w:val="24"/>
          <w:szCs w:val="24"/>
        </w:rPr>
        <w:t xml:space="preserve"> obsahovat předpis upravující civilní soudní řízení z důvodů výše uvedených.</w:t>
      </w:r>
      <w:r w:rsidR="001E2CBA" w:rsidRPr="00632E30">
        <w:rPr>
          <w:rStyle w:val="Znakapoznpodarou"/>
          <w:rFonts w:ascii="Garamond" w:hAnsi="Garamond"/>
          <w:sz w:val="24"/>
          <w:szCs w:val="24"/>
        </w:rPr>
        <w:footnoteReference w:id="117"/>
      </w:r>
      <w:r w:rsidR="001E2CBA" w:rsidRPr="00632E30">
        <w:rPr>
          <w:rFonts w:ascii="Garamond" w:hAnsi="Garamond"/>
          <w:sz w:val="24"/>
          <w:szCs w:val="24"/>
        </w:rPr>
        <w:t xml:space="preserve"> </w:t>
      </w:r>
    </w:p>
    <w:p w14:paraId="0E6182DE" w14:textId="19DED627" w:rsidR="001E2CBA" w:rsidRPr="00632E30" w:rsidRDefault="001E2CBA" w:rsidP="00626E78">
      <w:pPr>
        <w:spacing w:line="360" w:lineRule="auto"/>
        <w:ind w:firstLine="708"/>
        <w:jc w:val="both"/>
        <w:rPr>
          <w:rFonts w:ascii="Garamond" w:hAnsi="Garamond"/>
          <w:sz w:val="24"/>
          <w:szCs w:val="24"/>
        </w:rPr>
      </w:pPr>
      <w:r w:rsidRPr="00632E30">
        <w:rPr>
          <w:rFonts w:ascii="Garamond" w:hAnsi="Garamond"/>
          <w:sz w:val="24"/>
          <w:szCs w:val="24"/>
        </w:rPr>
        <w:t xml:space="preserve">V rámci věcného záměru by se tato skutečnost mohla do jisté míry zlepšit. </w:t>
      </w:r>
      <w:r w:rsidR="00394313" w:rsidRPr="00632E30">
        <w:rPr>
          <w:rFonts w:ascii="Garamond" w:hAnsi="Garamond"/>
          <w:sz w:val="24"/>
          <w:szCs w:val="24"/>
        </w:rPr>
        <w:t xml:space="preserve">Věcný záměr zmiňuje </w:t>
      </w:r>
      <w:r w:rsidR="00F73DE2" w:rsidRPr="00632E30">
        <w:rPr>
          <w:rFonts w:ascii="Garamond" w:hAnsi="Garamond"/>
          <w:sz w:val="24"/>
          <w:szCs w:val="24"/>
        </w:rPr>
        <w:t xml:space="preserve">v bodu 156 </w:t>
      </w:r>
      <w:r w:rsidR="00394313" w:rsidRPr="00632E30">
        <w:rPr>
          <w:rFonts w:ascii="Garamond" w:hAnsi="Garamond"/>
          <w:sz w:val="24"/>
          <w:szCs w:val="24"/>
        </w:rPr>
        <w:t>velmi obecně povinnost soudu vést strany řízení ke splnění svých povinnost</w:t>
      </w:r>
      <w:r w:rsidR="003A19F0" w:rsidRPr="00632E30">
        <w:rPr>
          <w:rFonts w:ascii="Garamond" w:hAnsi="Garamond"/>
          <w:sz w:val="24"/>
          <w:szCs w:val="24"/>
        </w:rPr>
        <w:t>i</w:t>
      </w:r>
      <w:r w:rsidR="00394313" w:rsidRPr="00632E30">
        <w:rPr>
          <w:rFonts w:ascii="Garamond" w:hAnsi="Garamond"/>
          <w:sz w:val="24"/>
          <w:szCs w:val="24"/>
        </w:rPr>
        <w:t xml:space="preserve"> tvrzení a důkazní</w:t>
      </w:r>
      <w:r w:rsidR="00F73DE2" w:rsidRPr="00632E30">
        <w:rPr>
          <w:rFonts w:ascii="Garamond" w:hAnsi="Garamond"/>
          <w:sz w:val="24"/>
          <w:szCs w:val="24"/>
        </w:rPr>
        <w:t>, společně s povinností soudu</w:t>
      </w:r>
      <w:r w:rsidR="00394313" w:rsidRPr="00632E30">
        <w:rPr>
          <w:rFonts w:ascii="Garamond" w:hAnsi="Garamond"/>
          <w:sz w:val="24"/>
          <w:szCs w:val="24"/>
        </w:rPr>
        <w:t xml:space="preserve"> vést strany k poskytnutí veškerých vysvětlení nutných k tomu, aby skutkový základ byl pravdivě zjištěn.</w:t>
      </w:r>
      <w:r w:rsidR="00F73DE2" w:rsidRPr="00632E30">
        <w:rPr>
          <w:rStyle w:val="Znakapoznpodarou"/>
          <w:rFonts w:ascii="Garamond" w:hAnsi="Garamond"/>
          <w:sz w:val="24"/>
          <w:szCs w:val="24"/>
        </w:rPr>
        <w:footnoteReference w:id="118"/>
      </w:r>
      <w:r w:rsidR="00F73DE2" w:rsidRPr="00632E30">
        <w:rPr>
          <w:rFonts w:ascii="Garamond" w:hAnsi="Garamond"/>
          <w:sz w:val="24"/>
          <w:szCs w:val="24"/>
        </w:rPr>
        <w:t xml:space="preserve"> K tomuto bodu věcného záměru se pak jeho autoři vyjadřují na jiném místě, a to u ediční povinnosti, která je upravena v bodech 196-198 věcného záměru, následovně: „</w:t>
      </w:r>
      <w:r w:rsidR="00F73DE2" w:rsidRPr="00632E30">
        <w:rPr>
          <w:rFonts w:ascii="Garamond" w:hAnsi="Garamond"/>
          <w:i/>
          <w:sz w:val="24"/>
          <w:szCs w:val="24"/>
        </w:rPr>
        <w:t>S povinností stran poskytovat součinnost při dokazování souvisí také tzv. sekundární břemeno tvrzení</w:t>
      </w:r>
      <w:r w:rsidR="00F73DE2" w:rsidRPr="00632E30">
        <w:rPr>
          <w:rStyle w:val="Znakapoznpodarou"/>
          <w:rFonts w:ascii="Garamond" w:hAnsi="Garamond"/>
          <w:i/>
          <w:sz w:val="24"/>
          <w:szCs w:val="24"/>
        </w:rPr>
        <w:footnoteReference w:id="119"/>
      </w:r>
      <w:r w:rsidR="00F73DE2" w:rsidRPr="00632E30">
        <w:rPr>
          <w:rFonts w:ascii="Garamond" w:hAnsi="Garamond"/>
          <w:i/>
          <w:sz w:val="24"/>
          <w:szCs w:val="24"/>
        </w:rPr>
        <w:t>, jež reaguje na situaci, kdy strana zatížená důkazním břemenem a břemenem tvrzení vůbec nemůže do řízení rozhodné skutečnosti uvést, protože nastaly ve sféře protistrany nebo jsou protistraně známy a může je do řízení uvést. Oporu pro uložení sekundárního břemena tvrzení straně nezatížené důkazním břemenem představuje bod 156; viz jeho formulace „aby vůbec (strany) poskytly veškerá vysvětlení nutná k tomu, aby skutkový základ věci byl pravdivě zjištěn“. Vymezení předpokladů, za nichž lze takové břemeno straně uložit, se ponechává na právní vědě a praxi.</w:t>
      </w:r>
      <w:r w:rsidR="00F73DE2" w:rsidRPr="00632E30">
        <w:rPr>
          <w:rFonts w:ascii="Garamond" w:hAnsi="Garamond"/>
          <w:sz w:val="24"/>
          <w:szCs w:val="24"/>
        </w:rPr>
        <w:t>“</w:t>
      </w:r>
      <w:r w:rsidR="00F73DE2" w:rsidRPr="00632E30">
        <w:rPr>
          <w:rStyle w:val="Znakapoznpodarou"/>
          <w:rFonts w:ascii="Garamond" w:hAnsi="Garamond"/>
          <w:sz w:val="24"/>
          <w:szCs w:val="24"/>
        </w:rPr>
        <w:footnoteReference w:id="120"/>
      </w:r>
    </w:p>
    <w:p w14:paraId="059B3BDE" w14:textId="6AA2ABBF" w:rsidR="00F73DE2" w:rsidRPr="00632E30" w:rsidRDefault="00F73DE2" w:rsidP="00626E78">
      <w:pPr>
        <w:spacing w:line="360" w:lineRule="auto"/>
        <w:ind w:firstLine="708"/>
        <w:jc w:val="both"/>
        <w:rPr>
          <w:rFonts w:ascii="Garamond" w:hAnsi="Garamond"/>
          <w:sz w:val="24"/>
          <w:szCs w:val="24"/>
        </w:rPr>
      </w:pPr>
      <w:r w:rsidRPr="00632E30">
        <w:rPr>
          <w:rFonts w:ascii="Garamond" w:hAnsi="Garamond"/>
          <w:sz w:val="24"/>
          <w:szCs w:val="24"/>
        </w:rPr>
        <w:t xml:space="preserve">Ke škodě věci autoři věcného záměru </w:t>
      </w:r>
      <w:r w:rsidR="00352D81" w:rsidRPr="00632E30">
        <w:rPr>
          <w:rFonts w:ascii="Garamond" w:hAnsi="Garamond"/>
          <w:sz w:val="24"/>
          <w:szCs w:val="24"/>
        </w:rPr>
        <w:t>nedefinovali vysvětlovací povinnost strany nezatížené důkazním břemenem, respektive se nepokusili o definování podmínek, za kterých lze tuto povinnost uložit. Místo toho použili v bodu 156 věcného záměru jen zcela širok</w:t>
      </w:r>
      <w:r w:rsidR="003A19F0" w:rsidRPr="00632E30">
        <w:rPr>
          <w:rFonts w:ascii="Garamond" w:hAnsi="Garamond"/>
          <w:sz w:val="24"/>
          <w:szCs w:val="24"/>
        </w:rPr>
        <w:t>ou</w:t>
      </w:r>
      <w:r w:rsidR="00352D81" w:rsidRPr="00632E30">
        <w:rPr>
          <w:rFonts w:ascii="Garamond" w:hAnsi="Garamond"/>
          <w:sz w:val="24"/>
          <w:szCs w:val="24"/>
        </w:rPr>
        <w:t xml:space="preserve"> a obecnou povinnost soud</w:t>
      </w:r>
      <w:r w:rsidR="003A19F0" w:rsidRPr="00632E30">
        <w:rPr>
          <w:rFonts w:ascii="Garamond" w:hAnsi="Garamond"/>
          <w:sz w:val="24"/>
          <w:szCs w:val="24"/>
        </w:rPr>
        <w:t>u</w:t>
      </w:r>
      <w:r w:rsidR="00352D81" w:rsidRPr="00632E30">
        <w:rPr>
          <w:rFonts w:ascii="Garamond" w:hAnsi="Garamond"/>
          <w:sz w:val="24"/>
          <w:szCs w:val="24"/>
        </w:rPr>
        <w:t xml:space="preserve"> vést strany řízení k poskytnutí veškerých vysvětlení v zájmu pravdivého zjištění skutkového základ</w:t>
      </w:r>
      <w:r w:rsidR="003A19F0" w:rsidRPr="00632E30">
        <w:rPr>
          <w:rFonts w:ascii="Garamond" w:hAnsi="Garamond"/>
          <w:sz w:val="24"/>
          <w:szCs w:val="24"/>
        </w:rPr>
        <w:t>u</w:t>
      </w:r>
      <w:r w:rsidR="00352D81" w:rsidRPr="00632E30">
        <w:rPr>
          <w:rFonts w:ascii="Garamond" w:hAnsi="Garamond"/>
          <w:sz w:val="24"/>
          <w:szCs w:val="24"/>
        </w:rPr>
        <w:t xml:space="preserve"> věci. Takto široce vymezená součinnost za účelem pravdivého zjištění nápadně připomíná koncepci tzv. obecné vysvětlovací povinnosti, tak jak byla prezentována </w:t>
      </w:r>
      <w:proofErr w:type="spellStart"/>
      <w:r w:rsidR="00352D81" w:rsidRPr="00632E30">
        <w:rPr>
          <w:rFonts w:ascii="Garamond" w:hAnsi="Garamond"/>
          <w:sz w:val="24"/>
          <w:szCs w:val="24"/>
        </w:rPr>
        <w:t>Stürnerem</w:t>
      </w:r>
      <w:proofErr w:type="spellEnd"/>
      <w:r w:rsidR="00352D81" w:rsidRPr="00632E30">
        <w:rPr>
          <w:rFonts w:ascii="Garamond" w:hAnsi="Garamond"/>
          <w:sz w:val="24"/>
          <w:szCs w:val="24"/>
        </w:rPr>
        <w:t>. Dle této t</w:t>
      </w:r>
      <w:r w:rsidR="003A19F0" w:rsidRPr="00632E30">
        <w:rPr>
          <w:rFonts w:ascii="Garamond" w:hAnsi="Garamond"/>
          <w:sz w:val="24"/>
          <w:szCs w:val="24"/>
        </w:rPr>
        <w:t>e</w:t>
      </w:r>
      <w:r w:rsidR="00352D81" w:rsidRPr="00632E30">
        <w:rPr>
          <w:rFonts w:ascii="Garamond" w:hAnsi="Garamond"/>
          <w:sz w:val="24"/>
          <w:szCs w:val="24"/>
        </w:rPr>
        <w:t xml:space="preserve">ze by povinnost pravdivosti měla být zásadním cílem civilního soudního řízení, v němž by </w:t>
      </w:r>
      <w:r w:rsidR="00352D81" w:rsidRPr="00632E30">
        <w:rPr>
          <w:rFonts w:ascii="Garamond" w:hAnsi="Garamond"/>
          <w:sz w:val="24"/>
          <w:szCs w:val="24"/>
        </w:rPr>
        <w:lastRenderedPageBreak/>
        <w:t>strany sporu vytvářely společně se soudem určité pracovní společenství, v jehož rámci by všichni vysvětloval</w:t>
      </w:r>
      <w:r w:rsidR="003A19F0" w:rsidRPr="00632E30">
        <w:rPr>
          <w:rFonts w:ascii="Garamond" w:hAnsi="Garamond"/>
          <w:sz w:val="24"/>
          <w:szCs w:val="24"/>
        </w:rPr>
        <w:t>i</w:t>
      </w:r>
      <w:r w:rsidR="00352D81" w:rsidRPr="00632E30">
        <w:rPr>
          <w:rFonts w:ascii="Garamond" w:hAnsi="Garamond"/>
          <w:sz w:val="24"/>
          <w:szCs w:val="24"/>
        </w:rPr>
        <w:t xml:space="preserve"> vše.</w:t>
      </w:r>
      <w:r w:rsidR="007163A7" w:rsidRPr="00632E30">
        <w:rPr>
          <w:rStyle w:val="Znakapoznpodarou"/>
          <w:rFonts w:ascii="Garamond" w:hAnsi="Garamond"/>
          <w:sz w:val="24"/>
          <w:szCs w:val="24"/>
        </w:rPr>
        <w:footnoteReference w:id="121"/>
      </w:r>
      <w:r w:rsidR="00352D81" w:rsidRPr="00632E30">
        <w:rPr>
          <w:rFonts w:ascii="Garamond" w:hAnsi="Garamond"/>
          <w:sz w:val="24"/>
          <w:szCs w:val="24"/>
        </w:rPr>
        <w:t xml:space="preserve"> Nepředpokládám, že by bylo záměrem autorů se přiblížit k této koncepci, avšak dané ustanovení k takovému výkladu částečně svádí. Autoři věcného záměru tak opět ponechávají bližší vymezení vysvětlovací povinnosti </w:t>
      </w:r>
      <w:r w:rsidR="00AB41FD" w:rsidRPr="00632E30">
        <w:rPr>
          <w:rFonts w:ascii="Garamond" w:hAnsi="Garamond"/>
          <w:sz w:val="24"/>
          <w:szCs w:val="24"/>
        </w:rPr>
        <w:t>teorii a judikatuře.</w:t>
      </w:r>
      <w:r w:rsidR="007163A7" w:rsidRPr="00632E30">
        <w:rPr>
          <w:rStyle w:val="Znakapoznpodarou"/>
          <w:rFonts w:ascii="Garamond" w:hAnsi="Garamond"/>
          <w:sz w:val="24"/>
          <w:szCs w:val="24"/>
        </w:rPr>
        <w:footnoteReference w:id="122"/>
      </w:r>
    </w:p>
    <w:p w14:paraId="53A14055" w14:textId="4FA291B6" w:rsidR="00AB41FD" w:rsidRPr="00632E30" w:rsidRDefault="00BE56B8" w:rsidP="00626E78">
      <w:pPr>
        <w:spacing w:after="0" w:line="360" w:lineRule="auto"/>
        <w:ind w:firstLine="708"/>
        <w:jc w:val="both"/>
        <w:rPr>
          <w:rFonts w:ascii="Garamond" w:hAnsi="Garamond"/>
          <w:i/>
          <w:sz w:val="24"/>
          <w:szCs w:val="24"/>
        </w:rPr>
      </w:pPr>
      <w:r w:rsidRPr="00632E30">
        <w:rPr>
          <w:rFonts w:ascii="Garamond" w:hAnsi="Garamond"/>
          <w:sz w:val="24"/>
          <w:szCs w:val="24"/>
        </w:rPr>
        <w:t>Ve věcném záměru kladně hodnotím</w:t>
      </w:r>
      <w:r w:rsidR="00AB41FD" w:rsidRPr="00632E30">
        <w:rPr>
          <w:rFonts w:ascii="Garamond" w:hAnsi="Garamond"/>
          <w:sz w:val="24"/>
          <w:szCs w:val="24"/>
        </w:rPr>
        <w:t xml:space="preserve"> postavení najisto ediční povinnosti vůči straně sporu, včetně následků nesplnění její povinnosti. Tyto následky nesplnění vysvětlovací povinnosti lze spatřovat pouze v rovině procesní. Věcný záměr tak činí výslovně v bodu 198, kdy stanoví: „</w:t>
      </w:r>
      <w:r w:rsidR="00AB41FD" w:rsidRPr="00632E30">
        <w:rPr>
          <w:rFonts w:ascii="Garamond" w:hAnsi="Garamond"/>
          <w:i/>
          <w:sz w:val="24"/>
          <w:szCs w:val="24"/>
        </w:rPr>
        <w:t>Odepře-li třetí osoba bezdůvodně předmět předložit, lze ji k jeho předložení donucovat ukládáním pořádkových pokut.</w:t>
      </w:r>
    </w:p>
    <w:p w14:paraId="2F29FCF8" w14:textId="0E675F1C" w:rsidR="006429B1" w:rsidRDefault="00AB41FD" w:rsidP="00BB1F16">
      <w:pPr>
        <w:spacing w:after="0" w:line="360" w:lineRule="auto"/>
        <w:jc w:val="both"/>
        <w:rPr>
          <w:rFonts w:ascii="Garamond" w:hAnsi="Garamond"/>
          <w:sz w:val="24"/>
          <w:szCs w:val="24"/>
        </w:rPr>
      </w:pPr>
      <w:r w:rsidRPr="00632E30">
        <w:rPr>
          <w:rFonts w:ascii="Garamond" w:hAnsi="Garamond"/>
          <w:i/>
          <w:sz w:val="24"/>
          <w:szCs w:val="24"/>
        </w:rPr>
        <w:t xml:space="preserve">Nepředloží-li bezdůvodně předmět protistrana, pokládá se skutečnost, která jím měla být dokázána, za doznanou.“ </w:t>
      </w:r>
      <w:r w:rsidRPr="00632E30">
        <w:rPr>
          <w:rFonts w:ascii="Garamond" w:hAnsi="Garamond"/>
          <w:sz w:val="24"/>
          <w:szCs w:val="24"/>
        </w:rPr>
        <w:t xml:space="preserve"> Dle bodu 175 věcného záměru pak takovéto doznané skutečnosti nepotřebují důkazu. Soud tedy o takových skutečnostech nebude muset v rámci volného hodnocení důkazů nabýt svého přesvědčení o jejich pravdivosti. S ohledem na </w:t>
      </w:r>
      <w:r w:rsidR="00673477" w:rsidRPr="00632E30">
        <w:rPr>
          <w:rFonts w:ascii="Garamond" w:hAnsi="Garamond"/>
          <w:sz w:val="24"/>
          <w:szCs w:val="24"/>
        </w:rPr>
        <w:t xml:space="preserve">pojímání ediční povinnosti u strany nezatížené důkazním břemenem jako součásti její vysvětlovací povinnosti lze takto stanovené následky za její nesplnění </w:t>
      </w:r>
      <w:r w:rsidR="00FF4964" w:rsidRPr="00632E30">
        <w:rPr>
          <w:rFonts w:ascii="Garamond" w:hAnsi="Garamond"/>
          <w:sz w:val="24"/>
          <w:szCs w:val="24"/>
        </w:rPr>
        <w:t xml:space="preserve">rozšířit i na nesplnění vysvětlovací povinnosti obecně, nejen tedy v rámci nevydání listiny. </w:t>
      </w:r>
      <w:r w:rsidR="00D916D9" w:rsidRPr="00632E30">
        <w:rPr>
          <w:rFonts w:ascii="Garamond" w:hAnsi="Garamond"/>
          <w:sz w:val="24"/>
          <w:szCs w:val="24"/>
        </w:rPr>
        <w:t>Takovéto následky nesplnění vysvětlovací povinnosti jsou přísnější než možnost hodnotit nesplnění vysvětlovací povinnosti pouze v rámci volného hodnocení důkazu. Samozřejmě by tento následek nenastal, pokud by strana povinná nemohla bez svého zavinění splnit tuto povinnost, stejně</w:t>
      </w:r>
      <w:r w:rsidR="003A19F0" w:rsidRPr="00632E30">
        <w:rPr>
          <w:rFonts w:ascii="Garamond" w:hAnsi="Garamond"/>
          <w:sz w:val="24"/>
          <w:szCs w:val="24"/>
        </w:rPr>
        <w:t xml:space="preserve"> tak</w:t>
      </w:r>
      <w:r w:rsidR="00D916D9" w:rsidRPr="00632E30">
        <w:rPr>
          <w:rFonts w:ascii="Garamond" w:hAnsi="Garamond"/>
          <w:sz w:val="24"/>
          <w:szCs w:val="24"/>
        </w:rPr>
        <w:t xml:space="preserve"> pokud by povinná strana musela po listině pátrat.</w:t>
      </w:r>
      <w:r w:rsidR="00D916D9" w:rsidRPr="00632E30">
        <w:rPr>
          <w:rStyle w:val="Znakapoznpodarou"/>
          <w:rFonts w:ascii="Garamond" w:hAnsi="Garamond"/>
          <w:sz w:val="24"/>
          <w:szCs w:val="24"/>
        </w:rPr>
        <w:footnoteReference w:id="123"/>
      </w:r>
      <w:r w:rsidR="006429B1">
        <w:rPr>
          <w:rFonts w:ascii="Garamond" w:hAnsi="Garamond"/>
          <w:sz w:val="24"/>
          <w:szCs w:val="24"/>
        </w:rPr>
        <w:br w:type="page"/>
      </w:r>
    </w:p>
    <w:p w14:paraId="2EB85DB6" w14:textId="3546FB49" w:rsidR="00BB1F16" w:rsidRDefault="006429B1" w:rsidP="00F9265B">
      <w:pPr>
        <w:pStyle w:val="Nadpis1"/>
        <w:numPr>
          <w:ilvl w:val="0"/>
          <w:numId w:val="13"/>
        </w:numPr>
        <w:spacing w:after="160"/>
        <w:ind w:left="0" w:firstLine="0"/>
        <w:rPr>
          <w:rFonts w:ascii="Garamond" w:hAnsi="Garamond"/>
          <w:b/>
          <w:color w:val="auto"/>
        </w:rPr>
      </w:pPr>
      <w:bookmarkStart w:id="49" w:name="_Toc17881144"/>
      <w:r w:rsidRPr="006429B1">
        <w:rPr>
          <w:rFonts w:ascii="Garamond" w:hAnsi="Garamond"/>
          <w:b/>
          <w:color w:val="auto"/>
        </w:rPr>
        <w:lastRenderedPageBreak/>
        <w:t>Závěr</w:t>
      </w:r>
      <w:bookmarkEnd w:id="49"/>
    </w:p>
    <w:p w14:paraId="06ACC470" w14:textId="77777777" w:rsidR="006E62F2" w:rsidRDefault="00751E3B" w:rsidP="006E62F2">
      <w:pPr>
        <w:spacing w:line="360" w:lineRule="auto"/>
        <w:ind w:firstLine="708"/>
        <w:jc w:val="both"/>
        <w:rPr>
          <w:rFonts w:ascii="Garamond" w:hAnsi="Garamond"/>
          <w:sz w:val="24"/>
          <w:szCs w:val="24"/>
        </w:rPr>
      </w:pPr>
      <w:r w:rsidRPr="006E5111">
        <w:rPr>
          <w:rFonts w:ascii="Garamond" w:hAnsi="Garamond"/>
          <w:sz w:val="24"/>
          <w:szCs w:val="24"/>
        </w:rPr>
        <w:t>Cílem</w:t>
      </w:r>
      <w:r w:rsidR="006E5111">
        <w:rPr>
          <w:rFonts w:ascii="Garamond" w:hAnsi="Garamond"/>
          <w:sz w:val="24"/>
          <w:szCs w:val="24"/>
        </w:rPr>
        <w:t xml:space="preserve"> práce bylo zachycení vývoje institutu vysvětlovací povinnosti procesní strany nezatížené důkazním břemenem od prací prof. Macura až po její současné pojímání v teorii a praxi, za současné komparace závěrů prof. Macura se závěry soudobé teorie a praxe. Tento cíl byl splněn. Jistým problémem v naplnění cíle v průběhu psaní práce byly omezené zdroje poznání této problematiky, především z oblasti současné teorie. Tuto skutečnost připisuji vyčerpávajícímu pojednání o této problematice ze strany prof. Macura</w:t>
      </w:r>
      <w:r w:rsidR="006E62F2">
        <w:rPr>
          <w:rFonts w:ascii="Garamond" w:hAnsi="Garamond"/>
          <w:sz w:val="24"/>
          <w:szCs w:val="24"/>
        </w:rPr>
        <w:t xml:space="preserve"> a přesvědčivosti jeho závěrů.</w:t>
      </w:r>
    </w:p>
    <w:p w14:paraId="3C898B8D" w14:textId="056FA1B2" w:rsidR="00AC3144" w:rsidRDefault="002E71CB" w:rsidP="00AC3144">
      <w:pPr>
        <w:spacing w:line="360" w:lineRule="auto"/>
        <w:ind w:firstLine="708"/>
        <w:jc w:val="both"/>
        <w:rPr>
          <w:rFonts w:ascii="Garamond" w:hAnsi="Garamond"/>
          <w:sz w:val="24"/>
          <w:szCs w:val="24"/>
        </w:rPr>
      </w:pPr>
      <w:proofErr w:type="spellStart"/>
      <w:r>
        <w:rPr>
          <w:rFonts w:ascii="Garamond" w:hAnsi="Garamond"/>
          <w:sz w:val="24"/>
          <w:szCs w:val="24"/>
        </w:rPr>
        <w:t>Judikatorní</w:t>
      </w:r>
      <w:proofErr w:type="spellEnd"/>
      <w:r>
        <w:rPr>
          <w:rFonts w:ascii="Garamond" w:hAnsi="Garamond"/>
          <w:sz w:val="24"/>
          <w:szCs w:val="24"/>
        </w:rPr>
        <w:t xml:space="preserve"> a teoretick</w:t>
      </w:r>
      <w:r w:rsidR="00B03CD0">
        <w:rPr>
          <w:rFonts w:ascii="Garamond" w:hAnsi="Garamond"/>
          <w:sz w:val="24"/>
          <w:szCs w:val="24"/>
        </w:rPr>
        <w:t>á</w:t>
      </w:r>
      <w:r>
        <w:rPr>
          <w:rFonts w:ascii="Garamond" w:hAnsi="Garamond"/>
          <w:sz w:val="24"/>
          <w:szCs w:val="24"/>
        </w:rPr>
        <w:t xml:space="preserve"> východiska jsou prakticky koherentní </w:t>
      </w:r>
      <w:r w:rsidR="00B03CD0">
        <w:rPr>
          <w:rFonts w:ascii="Garamond" w:hAnsi="Garamond"/>
          <w:sz w:val="24"/>
          <w:szCs w:val="24"/>
        </w:rPr>
        <w:t>se závěry prof. Macura. Zejména v judikatuře obecných soudů a Ústavního soudu pak lze zaznamenat určitý názorový vývoj. Judikatura se touto problematik</w:t>
      </w:r>
      <w:r w:rsidR="0031535F">
        <w:rPr>
          <w:rFonts w:ascii="Garamond" w:hAnsi="Garamond"/>
          <w:sz w:val="24"/>
          <w:szCs w:val="24"/>
        </w:rPr>
        <w:t>ou</w:t>
      </w:r>
      <w:r w:rsidR="00B03CD0">
        <w:rPr>
          <w:rFonts w:ascii="Garamond" w:hAnsi="Garamond"/>
          <w:sz w:val="24"/>
          <w:szCs w:val="24"/>
        </w:rPr>
        <w:t xml:space="preserve"> začala zabývat poměrně v nedávné době. S odkazem na práce prof. Macura pak připustila existenci vysvětlovací povinnost</w:t>
      </w:r>
      <w:r w:rsidR="007451FC">
        <w:rPr>
          <w:rFonts w:ascii="Garamond" w:hAnsi="Garamond"/>
          <w:sz w:val="24"/>
          <w:szCs w:val="24"/>
        </w:rPr>
        <w:t>i</w:t>
      </w:r>
      <w:r w:rsidR="00B03CD0">
        <w:rPr>
          <w:rFonts w:ascii="Garamond" w:hAnsi="Garamond"/>
          <w:sz w:val="24"/>
          <w:szCs w:val="24"/>
        </w:rPr>
        <w:t xml:space="preserve"> procesní strany nezatížené důkazním břemenem v její omezené míře. V pozdějších rozhodnutích soudy zpřesnily toto pojetí </w:t>
      </w:r>
      <w:r w:rsidR="0031535F">
        <w:rPr>
          <w:rFonts w:ascii="Garamond" w:hAnsi="Garamond"/>
          <w:sz w:val="24"/>
          <w:szCs w:val="24"/>
        </w:rPr>
        <w:t>stanovením podmínky</w:t>
      </w:r>
      <w:r w:rsidR="00B03CD0">
        <w:rPr>
          <w:rFonts w:ascii="Garamond" w:hAnsi="Garamond"/>
          <w:sz w:val="24"/>
          <w:szCs w:val="24"/>
        </w:rPr>
        <w:t xml:space="preserve"> </w:t>
      </w:r>
      <w:r w:rsidR="0031535F">
        <w:rPr>
          <w:rFonts w:ascii="Garamond" w:hAnsi="Garamond"/>
          <w:sz w:val="24"/>
          <w:szCs w:val="24"/>
        </w:rPr>
        <w:t>straně</w:t>
      </w:r>
      <w:r w:rsidR="00B03CD0">
        <w:rPr>
          <w:rFonts w:ascii="Garamond" w:hAnsi="Garamond"/>
          <w:sz w:val="24"/>
          <w:szCs w:val="24"/>
        </w:rPr>
        <w:t xml:space="preserve"> zatížen</w:t>
      </w:r>
      <w:r w:rsidR="0031535F">
        <w:rPr>
          <w:rFonts w:ascii="Garamond" w:hAnsi="Garamond"/>
          <w:sz w:val="24"/>
          <w:szCs w:val="24"/>
        </w:rPr>
        <w:t>é</w:t>
      </w:r>
      <w:r w:rsidR="00B03CD0">
        <w:rPr>
          <w:rFonts w:ascii="Garamond" w:hAnsi="Garamond"/>
          <w:sz w:val="24"/>
          <w:szCs w:val="24"/>
        </w:rPr>
        <w:t xml:space="preserve"> důkazním břemenem, která se ocitá v nezaviněném informačním deficitu,</w:t>
      </w:r>
      <w:r w:rsidR="0031535F">
        <w:rPr>
          <w:rFonts w:ascii="Garamond" w:hAnsi="Garamond"/>
          <w:sz w:val="24"/>
          <w:szCs w:val="24"/>
        </w:rPr>
        <w:t xml:space="preserve"> pro úspěšné uložení vysvětlovací povinnosti protistraně. Tímto požadavkem je vnesení určitých opěrných bodů, jež zvýší pravděpodobnost tvrzení strany zatížené důkazním břemenem. Opěrné body lze charakterizovat jako určitá zpřesňující tvrzení, která ve svém souhrnu tvoří určitý logicky koherentní řetězec zvyšující pravděpodobnost</w:t>
      </w:r>
      <w:r w:rsidR="00AC3144">
        <w:rPr>
          <w:rFonts w:ascii="Garamond" w:hAnsi="Garamond"/>
          <w:sz w:val="24"/>
          <w:szCs w:val="24"/>
        </w:rPr>
        <w:t xml:space="preserve"> překonání informačního deficitu procesní strany nezatížené důkazním břemenem právě určitým navrhovaným způsobem. </w:t>
      </w:r>
    </w:p>
    <w:p w14:paraId="7E218650" w14:textId="3E7C8188" w:rsidR="009853AE" w:rsidRDefault="00945299" w:rsidP="006E5111">
      <w:pPr>
        <w:spacing w:line="360" w:lineRule="auto"/>
        <w:jc w:val="both"/>
        <w:rPr>
          <w:rFonts w:ascii="Garamond" w:hAnsi="Garamond"/>
          <w:sz w:val="24"/>
          <w:szCs w:val="24"/>
        </w:rPr>
      </w:pPr>
      <w:r>
        <w:rPr>
          <w:rFonts w:ascii="Garamond" w:hAnsi="Garamond"/>
          <w:sz w:val="24"/>
          <w:szCs w:val="24"/>
        </w:rPr>
        <w:t>S otázkou vysvětlovací povinnosti úzce souvisí i sankce za její nesplnění. Má-li být vysvětlovací povinnost</w:t>
      </w:r>
      <w:r w:rsidR="007451FC">
        <w:rPr>
          <w:rFonts w:ascii="Garamond" w:hAnsi="Garamond"/>
          <w:sz w:val="24"/>
          <w:szCs w:val="24"/>
        </w:rPr>
        <w:t xml:space="preserve"> jakožto</w:t>
      </w:r>
      <w:r>
        <w:rPr>
          <w:rFonts w:ascii="Garamond" w:hAnsi="Garamond"/>
          <w:sz w:val="24"/>
          <w:szCs w:val="24"/>
        </w:rPr>
        <w:t xml:space="preserve"> účinný prostřed</w:t>
      </w:r>
      <w:r w:rsidR="007451FC">
        <w:rPr>
          <w:rFonts w:ascii="Garamond" w:hAnsi="Garamond"/>
          <w:sz w:val="24"/>
          <w:szCs w:val="24"/>
        </w:rPr>
        <w:t>ek</w:t>
      </w:r>
      <w:r>
        <w:rPr>
          <w:rFonts w:ascii="Garamond" w:hAnsi="Garamond"/>
          <w:sz w:val="24"/>
          <w:szCs w:val="24"/>
        </w:rPr>
        <w:t xml:space="preserve"> sledující „narovnání“ procesního postavení stran pře narušen faktickou nerovnováhou v důsledku nepřekonatelného informačního deficitu jedné strany, musí tomu odpovídat adekvátní sankce. Ze všech možných koncepcí se většina autorů a judikatura shoduj</w:t>
      </w:r>
      <w:r w:rsidR="007451FC">
        <w:rPr>
          <w:rFonts w:ascii="Garamond" w:hAnsi="Garamond"/>
          <w:sz w:val="24"/>
          <w:szCs w:val="24"/>
        </w:rPr>
        <w:t>í</w:t>
      </w:r>
      <w:r>
        <w:rPr>
          <w:rFonts w:ascii="Garamond" w:hAnsi="Garamond"/>
          <w:sz w:val="24"/>
          <w:szCs w:val="24"/>
        </w:rPr>
        <w:t xml:space="preserve"> na pojetí sankce za nesplnění vysvětlovací povinnosti ve volném hodnocení. Objevují se však zajímavé názory, jak zefektivnit tuto sankci, aby účinněji přispívala k obnovení narušené rovnováhy procesních stran v důsledku informačního deficitu. Jedná se o snížení nezbytné míry přesvědčení soudce o pravdivosti tvrzení strany zatížené důkazním břemenem v případě zaviněného nesplnění vysvětlovací povinnosti protistranou. Druhá koncepce pak stíhá porušení vysvětlovací povinnosti procesně přísnějším </w:t>
      </w:r>
      <w:r w:rsidR="009853AE">
        <w:rPr>
          <w:rFonts w:ascii="Garamond" w:hAnsi="Garamond"/>
          <w:sz w:val="24"/>
          <w:szCs w:val="24"/>
        </w:rPr>
        <w:t>způsobem, kdy spojuje toto porušení s doposud neznámým konceptem doznání těchto sporných skutečností. Soud by pak takovou skutečnost již nemohl učinit předmětem dokazování. Poslední zmíněná koncepce se objevuje v návrhu věcného záměru civilního řádu soudního.</w:t>
      </w:r>
    </w:p>
    <w:p w14:paraId="4D78EBDA" w14:textId="49820DE8" w:rsidR="00AC2AD2" w:rsidRDefault="009853AE" w:rsidP="005575A5">
      <w:pPr>
        <w:spacing w:line="360" w:lineRule="auto"/>
        <w:ind w:firstLine="708"/>
        <w:jc w:val="both"/>
        <w:rPr>
          <w:rFonts w:ascii="Garamond" w:hAnsi="Garamond"/>
          <w:sz w:val="24"/>
          <w:szCs w:val="24"/>
        </w:rPr>
      </w:pPr>
      <w:r>
        <w:rPr>
          <w:rFonts w:ascii="Garamond" w:hAnsi="Garamond"/>
          <w:sz w:val="24"/>
          <w:szCs w:val="24"/>
        </w:rPr>
        <w:t xml:space="preserve">Nutno dodat, že současná právní úprava neposkytuje výslovné zázemí pro tento institut. Přenechává tak definování vysvětlovací povinnosti, včetně stanovení podmínek jejího užití a sankcí </w:t>
      </w:r>
      <w:r>
        <w:rPr>
          <w:rFonts w:ascii="Garamond" w:hAnsi="Garamond"/>
          <w:sz w:val="24"/>
          <w:szCs w:val="24"/>
        </w:rPr>
        <w:lastRenderedPageBreak/>
        <w:t>za její nesplnění</w:t>
      </w:r>
      <w:r w:rsidR="007451FC">
        <w:rPr>
          <w:rFonts w:ascii="Garamond" w:hAnsi="Garamond"/>
          <w:sz w:val="24"/>
          <w:szCs w:val="24"/>
        </w:rPr>
        <w:t>,</w:t>
      </w:r>
      <w:r>
        <w:rPr>
          <w:rFonts w:ascii="Garamond" w:hAnsi="Garamond"/>
          <w:sz w:val="24"/>
          <w:szCs w:val="24"/>
        </w:rPr>
        <w:t xml:space="preserve"> na teorii a judikaturu. Takovéto řešení však nepovažuji za vhodné s ohledem na právní jistotu stran civilního soudního řízení. Institut vysvětlovací povinnosti by měl mít výslovný základ v pozitivním právu, aby po vzoru názorů prof. Macura vyloučil libovůli soudů. Návrh věcného záměru nového civilního řádu soudního částečně tuto skutečnost sanuje, alespoň co se týká </w:t>
      </w:r>
      <w:r w:rsidR="00AC2AD2">
        <w:rPr>
          <w:rFonts w:ascii="Garamond" w:hAnsi="Garamond"/>
          <w:sz w:val="24"/>
          <w:szCs w:val="24"/>
        </w:rPr>
        <w:t>následků za nesplnění vysvětlovací povinnosti. Ke škodě věci však neobsahuje dostatečně určité ustanovení, které by dávalo jasnější kontury této povinnosti. Naplnění pojmového vymezení tak opět přenechává teorii a judikatuře.</w:t>
      </w:r>
    </w:p>
    <w:p w14:paraId="21241459" w14:textId="0AAEBDD7" w:rsidR="00651B2F" w:rsidRPr="006E5111" w:rsidRDefault="00AC2AD2" w:rsidP="005575A5">
      <w:pPr>
        <w:spacing w:line="360" w:lineRule="auto"/>
        <w:ind w:firstLine="708"/>
        <w:jc w:val="both"/>
        <w:rPr>
          <w:rFonts w:ascii="Garamond" w:hAnsi="Garamond"/>
          <w:sz w:val="24"/>
          <w:szCs w:val="24"/>
        </w:rPr>
      </w:pPr>
      <w:bookmarkStart w:id="50" w:name="_GoBack"/>
      <w:bookmarkEnd w:id="50"/>
      <w:r>
        <w:rPr>
          <w:rFonts w:ascii="Garamond" w:hAnsi="Garamond"/>
          <w:sz w:val="24"/>
          <w:szCs w:val="24"/>
        </w:rPr>
        <w:t xml:space="preserve">Závěrem bych rád dodal, že zkoumání institutu vysvětlovací povinnosti skýtá možnost dalšího zkoumání, a to právě s ohledem na budoucí rekodifikaci civilního soudního řízení a na ní navázanou judikaturu. </w:t>
      </w:r>
      <w:r w:rsidR="00651B2F" w:rsidRPr="006E5111">
        <w:rPr>
          <w:rFonts w:ascii="Garamond" w:hAnsi="Garamond"/>
          <w:sz w:val="24"/>
          <w:szCs w:val="24"/>
        </w:rPr>
        <w:br w:type="page"/>
      </w:r>
    </w:p>
    <w:p w14:paraId="3AC2DBDF" w14:textId="0540DE9D" w:rsidR="006429B1" w:rsidRDefault="00651B2F" w:rsidP="00FF1E59">
      <w:pPr>
        <w:jc w:val="both"/>
        <w:rPr>
          <w:rFonts w:ascii="Garamond" w:hAnsi="Garamond"/>
          <w:b/>
          <w:sz w:val="28"/>
          <w:szCs w:val="28"/>
        </w:rPr>
      </w:pPr>
      <w:r>
        <w:rPr>
          <w:rFonts w:ascii="Garamond" w:hAnsi="Garamond"/>
          <w:b/>
          <w:sz w:val="28"/>
          <w:szCs w:val="28"/>
        </w:rPr>
        <w:lastRenderedPageBreak/>
        <w:t>Seznam použitých zdrojů:</w:t>
      </w:r>
    </w:p>
    <w:p w14:paraId="24A8EEC9" w14:textId="5A8D192B" w:rsidR="00651B2F" w:rsidRDefault="00651B2F" w:rsidP="00FF1E59">
      <w:pPr>
        <w:spacing w:before="160" w:line="360" w:lineRule="auto"/>
        <w:jc w:val="both"/>
        <w:rPr>
          <w:rFonts w:ascii="Garamond" w:hAnsi="Garamond"/>
          <w:b/>
          <w:sz w:val="24"/>
          <w:szCs w:val="24"/>
        </w:rPr>
      </w:pPr>
      <w:r>
        <w:rPr>
          <w:rFonts w:ascii="Garamond" w:hAnsi="Garamond"/>
          <w:b/>
          <w:sz w:val="24"/>
          <w:szCs w:val="24"/>
        </w:rPr>
        <w:t>Monografie</w:t>
      </w:r>
    </w:p>
    <w:p w14:paraId="720B5D03" w14:textId="567CD658" w:rsidR="00651B2F" w:rsidRDefault="0051748D" w:rsidP="00FF1E59">
      <w:pPr>
        <w:pStyle w:val="Odstavecseseznamem"/>
        <w:numPr>
          <w:ilvl w:val="0"/>
          <w:numId w:val="30"/>
        </w:numPr>
        <w:spacing w:line="360" w:lineRule="auto"/>
        <w:jc w:val="both"/>
        <w:rPr>
          <w:rFonts w:ascii="Garamond" w:hAnsi="Garamond"/>
          <w:sz w:val="24"/>
          <w:szCs w:val="24"/>
        </w:rPr>
      </w:pPr>
      <w:r w:rsidRPr="0051748D">
        <w:rPr>
          <w:rFonts w:ascii="Garamond" w:hAnsi="Garamond"/>
          <w:sz w:val="24"/>
          <w:szCs w:val="24"/>
        </w:rPr>
        <w:t xml:space="preserve">HORA, V. </w:t>
      </w:r>
      <w:r w:rsidRPr="0051748D">
        <w:rPr>
          <w:rFonts w:ascii="Garamond" w:hAnsi="Garamond"/>
          <w:i/>
          <w:sz w:val="24"/>
          <w:szCs w:val="24"/>
        </w:rPr>
        <w:t>Československé civilní právo procesní</w:t>
      </w:r>
      <w:r w:rsidRPr="0051748D">
        <w:rPr>
          <w:rFonts w:ascii="Garamond" w:hAnsi="Garamond"/>
          <w:sz w:val="24"/>
          <w:szCs w:val="24"/>
        </w:rPr>
        <w:t xml:space="preserve">. I. – III. díl. Praha: </w:t>
      </w:r>
      <w:proofErr w:type="spellStart"/>
      <w:r w:rsidRPr="0051748D">
        <w:rPr>
          <w:rFonts w:ascii="Garamond" w:hAnsi="Garamond"/>
          <w:sz w:val="24"/>
          <w:szCs w:val="24"/>
        </w:rPr>
        <w:t>Wolters</w:t>
      </w:r>
      <w:proofErr w:type="spellEnd"/>
      <w:r w:rsidRPr="0051748D">
        <w:rPr>
          <w:rFonts w:ascii="Garamond" w:hAnsi="Garamond"/>
          <w:sz w:val="24"/>
          <w:szCs w:val="24"/>
        </w:rPr>
        <w:t xml:space="preserve"> </w:t>
      </w:r>
      <w:proofErr w:type="spellStart"/>
      <w:r w:rsidRPr="0051748D">
        <w:rPr>
          <w:rFonts w:ascii="Garamond" w:hAnsi="Garamond"/>
          <w:sz w:val="24"/>
          <w:szCs w:val="24"/>
        </w:rPr>
        <w:t>Kluwer</w:t>
      </w:r>
      <w:proofErr w:type="spellEnd"/>
      <w:r w:rsidRPr="0051748D">
        <w:rPr>
          <w:rFonts w:ascii="Garamond" w:hAnsi="Garamond"/>
          <w:sz w:val="24"/>
          <w:szCs w:val="24"/>
        </w:rPr>
        <w:t xml:space="preserve"> ČR, a. s.</w:t>
      </w:r>
      <w:r w:rsidR="00BC50FD">
        <w:rPr>
          <w:rFonts w:ascii="Garamond" w:hAnsi="Garamond"/>
          <w:sz w:val="24"/>
          <w:szCs w:val="24"/>
        </w:rPr>
        <w:t xml:space="preserve"> </w:t>
      </w:r>
      <w:r>
        <w:rPr>
          <w:rFonts w:ascii="Garamond" w:hAnsi="Garamond"/>
          <w:sz w:val="24"/>
          <w:szCs w:val="24"/>
        </w:rPr>
        <w:t>988 s</w:t>
      </w:r>
      <w:r w:rsidR="00BC50FD">
        <w:rPr>
          <w:rFonts w:ascii="Garamond" w:hAnsi="Garamond"/>
          <w:sz w:val="24"/>
          <w:szCs w:val="24"/>
        </w:rPr>
        <w:t>.</w:t>
      </w:r>
    </w:p>
    <w:p w14:paraId="73FCCAF7" w14:textId="479E04DF" w:rsidR="00BC50FD" w:rsidRDefault="00BC50FD" w:rsidP="00FF1E59">
      <w:pPr>
        <w:pStyle w:val="Odstavecseseznamem"/>
        <w:numPr>
          <w:ilvl w:val="0"/>
          <w:numId w:val="30"/>
        </w:numPr>
        <w:spacing w:after="0" w:line="360" w:lineRule="auto"/>
        <w:jc w:val="both"/>
        <w:rPr>
          <w:rFonts w:ascii="Garamond" w:hAnsi="Garamond"/>
          <w:sz w:val="24"/>
          <w:szCs w:val="24"/>
        </w:rPr>
      </w:pPr>
      <w:r w:rsidRPr="00BC50FD">
        <w:rPr>
          <w:rFonts w:ascii="Garamond" w:hAnsi="Garamond"/>
          <w:sz w:val="24"/>
          <w:szCs w:val="24"/>
        </w:rPr>
        <w:t xml:space="preserve">OTT. E. </w:t>
      </w:r>
      <w:r w:rsidRPr="00BC50FD">
        <w:rPr>
          <w:rFonts w:ascii="Garamond" w:hAnsi="Garamond"/>
          <w:i/>
          <w:sz w:val="24"/>
          <w:szCs w:val="24"/>
        </w:rPr>
        <w:t>Soustavný úvod ve studiu m nového řízení soudního</w:t>
      </w:r>
      <w:r w:rsidRPr="00BC50FD">
        <w:rPr>
          <w:rFonts w:ascii="Garamond" w:hAnsi="Garamond"/>
          <w:sz w:val="24"/>
          <w:szCs w:val="24"/>
        </w:rPr>
        <w:t xml:space="preserve">. I. Díl. Praha: </w:t>
      </w:r>
      <w:proofErr w:type="spellStart"/>
      <w:r w:rsidRPr="00BC50FD">
        <w:rPr>
          <w:rFonts w:ascii="Garamond" w:hAnsi="Garamond"/>
          <w:sz w:val="24"/>
          <w:szCs w:val="24"/>
        </w:rPr>
        <w:t>Wolters</w:t>
      </w:r>
      <w:proofErr w:type="spellEnd"/>
      <w:r w:rsidRPr="00BC50FD">
        <w:rPr>
          <w:rFonts w:ascii="Garamond" w:hAnsi="Garamond"/>
          <w:sz w:val="24"/>
          <w:szCs w:val="24"/>
        </w:rPr>
        <w:t xml:space="preserve"> </w:t>
      </w:r>
      <w:proofErr w:type="spellStart"/>
      <w:r w:rsidRPr="00BC50FD">
        <w:rPr>
          <w:rFonts w:ascii="Garamond" w:hAnsi="Garamond"/>
          <w:sz w:val="24"/>
          <w:szCs w:val="24"/>
        </w:rPr>
        <w:t>Kluwer</w:t>
      </w:r>
      <w:proofErr w:type="spellEnd"/>
      <w:r w:rsidRPr="00BC50FD">
        <w:rPr>
          <w:rFonts w:ascii="Garamond" w:hAnsi="Garamond"/>
          <w:sz w:val="24"/>
          <w:szCs w:val="24"/>
        </w:rPr>
        <w:t xml:space="preserve"> ČR, 2012. </w:t>
      </w:r>
      <w:r>
        <w:rPr>
          <w:rFonts w:ascii="Garamond" w:hAnsi="Garamond"/>
          <w:sz w:val="24"/>
          <w:szCs w:val="24"/>
        </w:rPr>
        <w:t>1080 s.</w:t>
      </w:r>
    </w:p>
    <w:p w14:paraId="6A667829" w14:textId="2377D7C9" w:rsidR="00BC50FD" w:rsidRPr="00D74B7B" w:rsidRDefault="00BC50FD" w:rsidP="00FF1E59">
      <w:pPr>
        <w:pStyle w:val="Textpoznpodarou"/>
        <w:numPr>
          <w:ilvl w:val="0"/>
          <w:numId w:val="30"/>
        </w:numPr>
        <w:spacing w:line="360" w:lineRule="auto"/>
        <w:jc w:val="both"/>
        <w:rPr>
          <w:rFonts w:ascii="Garamond" w:hAnsi="Garamond"/>
          <w:sz w:val="24"/>
          <w:szCs w:val="24"/>
        </w:rPr>
      </w:pPr>
      <w:r w:rsidRPr="00D74B7B">
        <w:rPr>
          <w:rFonts w:ascii="Garamond" w:hAnsi="Garamond"/>
          <w:sz w:val="24"/>
          <w:szCs w:val="24"/>
        </w:rPr>
        <w:t xml:space="preserve">WINTEROVÁ, Alena a kol. </w:t>
      </w:r>
      <w:r w:rsidRPr="00D74B7B">
        <w:rPr>
          <w:rFonts w:ascii="Garamond" w:hAnsi="Garamond"/>
          <w:i/>
          <w:sz w:val="24"/>
          <w:szCs w:val="24"/>
        </w:rPr>
        <w:t xml:space="preserve">Civilní právo procesní. Díl první: řízení nalézací. </w:t>
      </w:r>
      <w:r w:rsidRPr="00D74B7B">
        <w:rPr>
          <w:rFonts w:ascii="Garamond" w:hAnsi="Garamond"/>
          <w:sz w:val="24"/>
          <w:szCs w:val="24"/>
        </w:rPr>
        <w:t xml:space="preserve">9. vydání. Praha: </w:t>
      </w:r>
      <w:proofErr w:type="spellStart"/>
      <w:r w:rsidRPr="00D74B7B">
        <w:rPr>
          <w:rFonts w:ascii="Garamond" w:hAnsi="Garamond"/>
          <w:sz w:val="24"/>
          <w:szCs w:val="24"/>
        </w:rPr>
        <w:t>Leges</w:t>
      </w:r>
      <w:proofErr w:type="spellEnd"/>
      <w:r w:rsidRPr="00D74B7B">
        <w:rPr>
          <w:rFonts w:ascii="Garamond" w:hAnsi="Garamond"/>
          <w:sz w:val="24"/>
          <w:szCs w:val="24"/>
        </w:rPr>
        <w:t xml:space="preserve">, 2018. </w:t>
      </w:r>
      <w:r>
        <w:rPr>
          <w:rFonts w:ascii="Garamond" w:hAnsi="Garamond"/>
          <w:sz w:val="24"/>
          <w:szCs w:val="24"/>
        </w:rPr>
        <w:t>648 s.</w:t>
      </w:r>
    </w:p>
    <w:p w14:paraId="07C999D6" w14:textId="1EB8F001" w:rsidR="00BC50FD" w:rsidRDefault="00BC50FD" w:rsidP="00FF1E59">
      <w:pPr>
        <w:pStyle w:val="Textpoznpodarou"/>
        <w:numPr>
          <w:ilvl w:val="0"/>
          <w:numId w:val="30"/>
        </w:numPr>
        <w:spacing w:line="360" w:lineRule="auto"/>
        <w:jc w:val="both"/>
        <w:rPr>
          <w:rFonts w:ascii="Garamond" w:hAnsi="Garamond"/>
          <w:sz w:val="24"/>
          <w:szCs w:val="24"/>
        </w:rPr>
      </w:pPr>
      <w:r w:rsidRPr="00D74B7B">
        <w:rPr>
          <w:rFonts w:ascii="Garamond" w:hAnsi="Garamond"/>
          <w:sz w:val="24"/>
          <w:szCs w:val="24"/>
        </w:rPr>
        <w:t xml:space="preserve">MACUR, Josef. </w:t>
      </w:r>
      <w:r w:rsidRPr="00BC50FD">
        <w:rPr>
          <w:rFonts w:ascii="Garamond" w:hAnsi="Garamond"/>
          <w:i/>
          <w:sz w:val="24"/>
          <w:szCs w:val="24"/>
        </w:rPr>
        <w:t>Kompenzace informačního deficitu procesní strany</w:t>
      </w:r>
      <w:r w:rsidRPr="00D74B7B">
        <w:rPr>
          <w:rFonts w:ascii="Garamond" w:hAnsi="Garamond"/>
          <w:sz w:val="24"/>
          <w:szCs w:val="24"/>
        </w:rPr>
        <w:t xml:space="preserve"> </w:t>
      </w:r>
      <w:r w:rsidRPr="00BC50FD">
        <w:rPr>
          <w:rFonts w:ascii="Garamond" w:hAnsi="Garamond"/>
          <w:i/>
          <w:sz w:val="24"/>
          <w:szCs w:val="24"/>
        </w:rPr>
        <w:t>v civilním soudním řízení.</w:t>
      </w:r>
      <w:r w:rsidRPr="00D74B7B">
        <w:rPr>
          <w:rFonts w:ascii="Garamond" w:hAnsi="Garamond"/>
          <w:sz w:val="24"/>
          <w:szCs w:val="24"/>
        </w:rPr>
        <w:t xml:space="preserve"> 1. vydání. </w:t>
      </w:r>
      <w:proofErr w:type="spellStart"/>
      <w:r w:rsidRPr="00D74B7B">
        <w:rPr>
          <w:rFonts w:ascii="Garamond" w:hAnsi="Garamond"/>
          <w:sz w:val="24"/>
          <w:szCs w:val="24"/>
        </w:rPr>
        <w:t>Brmo</w:t>
      </w:r>
      <w:proofErr w:type="spellEnd"/>
      <w:r w:rsidRPr="00D74B7B">
        <w:rPr>
          <w:rFonts w:ascii="Garamond" w:hAnsi="Garamond"/>
          <w:sz w:val="24"/>
          <w:szCs w:val="24"/>
        </w:rPr>
        <w:t xml:space="preserve">: </w:t>
      </w:r>
      <w:r w:rsidRPr="00BC50FD">
        <w:rPr>
          <w:rFonts w:ascii="Garamond" w:hAnsi="Garamond"/>
          <w:sz w:val="24"/>
          <w:szCs w:val="24"/>
        </w:rPr>
        <w:t xml:space="preserve">Masarykova univerzita, 2000. </w:t>
      </w:r>
      <w:r>
        <w:rPr>
          <w:rFonts w:ascii="Garamond" w:hAnsi="Garamond"/>
          <w:sz w:val="24"/>
          <w:szCs w:val="24"/>
        </w:rPr>
        <w:t>253 s.</w:t>
      </w:r>
    </w:p>
    <w:p w14:paraId="28D5A6DA" w14:textId="76BD8B03" w:rsidR="00BC50FD" w:rsidRDefault="00BC50FD" w:rsidP="00FF1E59">
      <w:pPr>
        <w:pStyle w:val="Textpoznpodarou"/>
        <w:numPr>
          <w:ilvl w:val="0"/>
          <w:numId w:val="30"/>
        </w:numPr>
        <w:spacing w:line="360" w:lineRule="auto"/>
        <w:jc w:val="both"/>
        <w:rPr>
          <w:rFonts w:ascii="Garamond" w:hAnsi="Garamond"/>
          <w:sz w:val="24"/>
          <w:szCs w:val="24"/>
        </w:rPr>
      </w:pPr>
      <w:r w:rsidRPr="00D74B7B">
        <w:rPr>
          <w:rFonts w:ascii="Garamond" w:hAnsi="Garamond"/>
          <w:sz w:val="24"/>
          <w:szCs w:val="24"/>
        </w:rPr>
        <w:t xml:space="preserve">SVOBODA, Karel. </w:t>
      </w:r>
      <w:r w:rsidRPr="00D74B7B">
        <w:rPr>
          <w:rFonts w:ascii="Garamond" w:hAnsi="Garamond"/>
          <w:i/>
          <w:sz w:val="24"/>
          <w:szCs w:val="24"/>
        </w:rPr>
        <w:t>Dokazování.</w:t>
      </w:r>
      <w:r w:rsidRPr="00D74B7B">
        <w:rPr>
          <w:rFonts w:ascii="Garamond" w:hAnsi="Garamond"/>
          <w:sz w:val="24"/>
          <w:szCs w:val="24"/>
        </w:rPr>
        <w:t xml:space="preserve"> Praha: ASPI – </w:t>
      </w:r>
      <w:proofErr w:type="spellStart"/>
      <w:r w:rsidRPr="00D74B7B">
        <w:rPr>
          <w:rFonts w:ascii="Garamond" w:hAnsi="Garamond"/>
          <w:sz w:val="24"/>
          <w:szCs w:val="24"/>
        </w:rPr>
        <w:t>Wolters</w:t>
      </w:r>
      <w:proofErr w:type="spellEnd"/>
      <w:r w:rsidRPr="00D74B7B">
        <w:rPr>
          <w:rFonts w:ascii="Garamond" w:hAnsi="Garamond"/>
          <w:sz w:val="24"/>
          <w:szCs w:val="24"/>
        </w:rPr>
        <w:t xml:space="preserve"> </w:t>
      </w:r>
      <w:proofErr w:type="spellStart"/>
      <w:r w:rsidRPr="00D74B7B">
        <w:rPr>
          <w:rFonts w:ascii="Garamond" w:hAnsi="Garamond"/>
          <w:sz w:val="24"/>
          <w:szCs w:val="24"/>
        </w:rPr>
        <w:t>Kluwer</w:t>
      </w:r>
      <w:proofErr w:type="spellEnd"/>
      <w:r w:rsidRPr="00D74B7B">
        <w:rPr>
          <w:rFonts w:ascii="Garamond" w:hAnsi="Garamond"/>
          <w:sz w:val="24"/>
          <w:szCs w:val="24"/>
        </w:rPr>
        <w:t>, 2009</w:t>
      </w:r>
      <w:r>
        <w:rPr>
          <w:rFonts w:ascii="Garamond" w:hAnsi="Garamond"/>
          <w:sz w:val="24"/>
          <w:szCs w:val="24"/>
        </w:rPr>
        <w:t>. 248 s.</w:t>
      </w:r>
    </w:p>
    <w:p w14:paraId="6373CD2E" w14:textId="111BDDDB" w:rsidR="008C22BD" w:rsidRPr="008C22BD" w:rsidRDefault="00BC50FD" w:rsidP="00FF1E59">
      <w:pPr>
        <w:pStyle w:val="Textpoznpodarou"/>
        <w:numPr>
          <w:ilvl w:val="0"/>
          <w:numId w:val="30"/>
        </w:numPr>
        <w:spacing w:after="160" w:line="360" w:lineRule="auto"/>
        <w:jc w:val="both"/>
        <w:rPr>
          <w:rFonts w:ascii="Garamond" w:hAnsi="Garamond"/>
          <w:sz w:val="24"/>
          <w:szCs w:val="24"/>
        </w:rPr>
      </w:pPr>
      <w:r w:rsidRPr="00D74B7B">
        <w:rPr>
          <w:rFonts w:ascii="Garamond" w:hAnsi="Garamond"/>
          <w:sz w:val="24"/>
          <w:szCs w:val="24"/>
        </w:rPr>
        <w:t xml:space="preserve">VALUŠ, Antonín. </w:t>
      </w:r>
      <w:r w:rsidRPr="00D74B7B">
        <w:rPr>
          <w:rFonts w:ascii="Garamond" w:hAnsi="Garamond"/>
          <w:i/>
          <w:sz w:val="24"/>
          <w:szCs w:val="24"/>
        </w:rPr>
        <w:t xml:space="preserve">Civilní spory mezi lékařem a pacientem při poskytování zdravotní péče. </w:t>
      </w:r>
      <w:r w:rsidRPr="00D74B7B">
        <w:rPr>
          <w:rFonts w:ascii="Garamond" w:hAnsi="Garamond"/>
          <w:sz w:val="24"/>
          <w:szCs w:val="24"/>
        </w:rPr>
        <w:t xml:space="preserve">Praha: </w:t>
      </w:r>
      <w:proofErr w:type="spellStart"/>
      <w:r w:rsidRPr="00D74B7B">
        <w:rPr>
          <w:rFonts w:ascii="Garamond" w:hAnsi="Garamond"/>
          <w:sz w:val="24"/>
          <w:szCs w:val="24"/>
        </w:rPr>
        <w:t>Leges</w:t>
      </w:r>
      <w:proofErr w:type="spellEnd"/>
      <w:r w:rsidRPr="00D74B7B">
        <w:rPr>
          <w:rFonts w:ascii="Garamond" w:hAnsi="Garamond"/>
          <w:sz w:val="24"/>
          <w:szCs w:val="24"/>
        </w:rPr>
        <w:t xml:space="preserve">, 2014. </w:t>
      </w:r>
      <w:r>
        <w:rPr>
          <w:rFonts w:ascii="Garamond" w:hAnsi="Garamond"/>
          <w:sz w:val="24"/>
          <w:szCs w:val="24"/>
        </w:rPr>
        <w:t>240 s.</w:t>
      </w:r>
    </w:p>
    <w:p w14:paraId="37DC1EF8" w14:textId="2807F8F0" w:rsidR="00BC50FD" w:rsidRPr="00BC50FD" w:rsidRDefault="00BC50FD" w:rsidP="00FF1E59">
      <w:pPr>
        <w:pStyle w:val="Textpoznpodarou"/>
        <w:spacing w:after="240" w:line="360" w:lineRule="auto"/>
        <w:jc w:val="both"/>
        <w:rPr>
          <w:rFonts w:ascii="Garamond" w:hAnsi="Garamond"/>
          <w:b/>
          <w:sz w:val="24"/>
          <w:szCs w:val="24"/>
        </w:rPr>
      </w:pPr>
      <w:r w:rsidRPr="00BC50FD">
        <w:rPr>
          <w:rFonts w:ascii="Garamond" w:hAnsi="Garamond"/>
          <w:b/>
          <w:sz w:val="24"/>
          <w:szCs w:val="24"/>
        </w:rPr>
        <w:t>Komentářová literatura</w:t>
      </w:r>
    </w:p>
    <w:p w14:paraId="2EB7A419" w14:textId="4D728525" w:rsidR="00BC50FD" w:rsidRDefault="00BC50FD" w:rsidP="00FF1E59">
      <w:pPr>
        <w:pStyle w:val="Textpoznpodarou"/>
        <w:numPr>
          <w:ilvl w:val="0"/>
          <w:numId w:val="33"/>
        </w:numPr>
        <w:spacing w:line="360" w:lineRule="auto"/>
        <w:jc w:val="both"/>
        <w:rPr>
          <w:rFonts w:ascii="Garamond" w:hAnsi="Garamond"/>
          <w:sz w:val="24"/>
          <w:szCs w:val="24"/>
        </w:rPr>
      </w:pPr>
      <w:r w:rsidRPr="00D74B7B">
        <w:rPr>
          <w:rFonts w:ascii="Garamond" w:hAnsi="Garamond"/>
          <w:sz w:val="24"/>
          <w:szCs w:val="24"/>
        </w:rPr>
        <w:t xml:space="preserve">LAVICKÝ, Petr </w:t>
      </w:r>
      <w:r>
        <w:rPr>
          <w:rFonts w:ascii="Garamond" w:hAnsi="Garamond"/>
          <w:sz w:val="24"/>
          <w:szCs w:val="24"/>
        </w:rPr>
        <w:t>a kol.</w:t>
      </w:r>
      <w:r w:rsidRPr="00D74B7B">
        <w:rPr>
          <w:rFonts w:ascii="Garamond" w:hAnsi="Garamond"/>
          <w:sz w:val="24"/>
          <w:szCs w:val="24"/>
        </w:rPr>
        <w:t xml:space="preserve"> </w:t>
      </w:r>
      <w:r w:rsidRPr="00D74B7B">
        <w:rPr>
          <w:rFonts w:ascii="Garamond" w:hAnsi="Garamond"/>
          <w:i/>
          <w:sz w:val="24"/>
          <w:szCs w:val="24"/>
        </w:rPr>
        <w:t xml:space="preserve">Občanský soudní řád (§ 1 až </w:t>
      </w:r>
      <w:proofErr w:type="gramStart"/>
      <w:r w:rsidRPr="00D74B7B">
        <w:rPr>
          <w:rFonts w:ascii="Garamond" w:hAnsi="Garamond"/>
          <w:i/>
          <w:sz w:val="24"/>
          <w:szCs w:val="24"/>
        </w:rPr>
        <w:t>250l</w:t>
      </w:r>
      <w:proofErr w:type="gramEnd"/>
      <w:r w:rsidRPr="00D74B7B">
        <w:rPr>
          <w:rFonts w:ascii="Garamond" w:hAnsi="Garamond"/>
          <w:i/>
          <w:sz w:val="24"/>
          <w:szCs w:val="24"/>
        </w:rPr>
        <w:t xml:space="preserve">). Řízení sporné. Praktický komentář. </w:t>
      </w:r>
      <w:r w:rsidRPr="00D74B7B">
        <w:rPr>
          <w:rFonts w:ascii="Garamond" w:hAnsi="Garamond"/>
          <w:sz w:val="24"/>
          <w:szCs w:val="24"/>
        </w:rPr>
        <w:t xml:space="preserve">Praha: </w:t>
      </w:r>
      <w:proofErr w:type="spellStart"/>
      <w:r w:rsidRPr="00D74B7B">
        <w:rPr>
          <w:rFonts w:ascii="Garamond" w:hAnsi="Garamond"/>
          <w:sz w:val="24"/>
          <w:szCs w:val="24"/>
        </w:rPr>
        <w:t>Wolters</w:t>
      </w:r>
      <w:proofErr w:type="spellEnd"/>
      <w:r w:rsidRPr="00D74B7B">
        <w:rPr>
          <w:rFonts w:ascii="Garamond" w:hAnsi="Garamond"/>
          <w:sz w:val="24"/>
          <w:szCs w:val="24"/>
        </w:rPr>
        <w:t xml:space="preserve"> </w:t>
      </w:r>
      <w:proofErr w:type="spellStart"/>
      <w:r w:rsidRPr="00D74B7B">
        <w:rPr>
          <w:rFonts w:ascii="Garamond" w:hAnsi="Garamond"/>
          <w:sz w:val="24"/>
          <w:szCs w:val="24"/>
        </w:rPr>
        <w:t>Kluwer</w:t>
      </w:r>
      <w:proofErr w:type="spellEnd"/>
      <w:r w:rsidRPr="00D74B7B">
        <w:rPr>
          <w:rFonts w:ascii="Garamond" w:hAnsi="Garamond"/>
          <w:sz w:val="24"/>
          <w:szCs w:val="24"/>
        </w:rPr>
        <w:t xml:space="preserve"> ČR, a. s., 2016</w:t>
      </w:r>
      <w:r>
        <w:rPr>
          <w:rFonts w:ascii="Garamond" w:hAnsi="Garamond"/>
          <w:sz w:val="24"/>
          <w:szCs w:val="24"/>
        </w:rPr>
        <w:t>. 1116 s.</w:t>
      </w:r>
    </w:p>
    <w:p w14:paraId="4CB58448" w14:textId="3C9C0A78" w:rsidR="00BC50FD" w:rsidRPr="00BC50FD" w:rsidRDefault="00BC50FD" w:rsidP="00FF1E59">
      <w:pPr>
        <w:pStyle w:val="Odstavecseseznamem"/>
        <w:numPr>
          <w:ilvl w:val="0"/>
          <w:numId w:val="33"/>
        </w:numPr>
        <w:spacing w:after="0" w:line="360" w:lineRule="auto"/>
        <w:jc w:val="both"/>
        <w:rPr>
          <w:rFonts w:ascii="Garamond" w:hAnsi="Garamond"/>
          <w:sz w:val="24"/>
          <w:szCs w:val="24"/>
        </w:rPr>
      </w:pPr>
      <w:r w:rsidRPr="00BC50FD">
        <w:rPr>
          <w:rFonts w:ascii="Garamond" w:hAnsi="Garamond"/>
          <w:sz w:val="24"/>
          <w:szCs w:val="24"/>
        </w:rPr>
        <w:t xml:space="preserve">JIRSA, Jaromír </w:t>
      </w:r>
      <w:r>
        <w:rPr>
          <w:rFonts w:ascii="Garamond" w:hAnsi="Garamond"/>
          <w:sz w:val="24"/>
          <w:szCs w:val="24"/>
        </w:rPr>
        <w:t>a kol.</w:t>
      </w:r>
      <w:r w:rsidRPr="00BC50FD">
        <w:rPr>
          <w:rFonts w:ascii="Garamond" w:hAnsi="Garamond"/>
          <w:sz w:val="24"/>
          <w:szCs w:val="24"/>
        </w:rPr>
        <w:t xml:space="preserve"> </w:t>
      </w:r>
      <w:r w:rsidRPr="00BC50FD">
        <w:rPr>
          <w:rFonts w:ascii="Garamond" w:hAnsi="Garamond"/>
          <w:i/>
          <w:sz w:val="24"/>
          <w:szCs w:val="24"/>
        </w:rPr>
        <w:t xml:space="preserve">Občanské soudní řízení soudcovský komentář: Kniha II § 79 až 200aa. </w:t>
      </w:r>
      <w:r w:rsidRPr="00BC50FD">
        <w:rPr>
          <w:rFonts w:ascii="Garamond" w:hAnsi="Garamond"/>
          <w:sz w:val="24"/>
          <w:szCs w:val="24"/>
        </w:rPr>
        <w:t xml:space="preserve">2. vydání. Praha: </w:t>
      </w:r>
      <w:proofErr w:type="spellStart"/>
      <w:r w:rsidRPr="00BC50FD">
        <w:rPr>
          <w:rFonts w:ascii="Garamond" w:hAnsi="Garamond"/>
          <w:sz w:val="24"/>
          <w:szCs w:val="24"/>
        </w:rPr>
        <w:t>Wolters</w:t>
      </w:r>
      <w:proofErr w:type="spellEnd"/>
      <w:r w:rsidRPr="00BC50FD">
        <w:rPr>
          <w:rFonts w:ascii="Garamond" w:hAnsi="Garamond"/>
          <w:sz w:val="24"/>
          <w:szCs w:val="24"/>
        </w:rPr>
        <w:t xml:space="preserve"> </w:t>
      </w:r>
      <w:proofErr w:type="spellStart"/>
      <w:r w:rsidRPr="00BC50FD">
        <w:rPr>
          <w:rFonts w:ascii="Garamond" w:hAnsi="Garamond"/>
          <w:sz w:val="24"/>
          <w:szCs w:val="24"/>
        </w:rPr>
        <w:t>Kluwer</w:t>
      </w:r>
      <w:proofErr w:type="spellEnd"/>
      <w:r w:rsidRPr="00BC50FD">
        <w:rPr>
          <w:rFonts w:ascii="Garamond" w:hAnsi="Garamond"/>
          <w:sz w:val="24"/>
          <w:szCs w:val="24"/>
        </w:rPr>
        <w:t>,</w:t>
      </w:r>
      <w:r>
        <w:rPr>
          <w:rFonts w:ascii="Garamond" w:hAnsi="Garamond"/>
          <w:sz w:val="24"/>
          <w:szCs w:val="24"/>
        </w:rPr>
        <w:t xml:space="preserve"> </w:t>
      </w:r>
      <w:r w:rsidRPr="00BC50FD">
        <w:rPr>
          <w:rFonts w:ascii="Garamond" w:hAnsi="Garamond"/>
          <w:sz w:val="24"/>
          <w:szCs w:val="24"/>
        </w:rPr>
        <w:t>2016</w:t>
      </w:r>
      <w:r>
        <w:rPr>
          <w:rFonts w:ascii="Garamond" w:hAnsi="Garamond"/>
          <w:sz w:val="24"/>
          <w:szCs w:val="24"/>
        </w:rPr>
        <w:t>. 528 s.</w:t>
      </w:r>
    </w:p>
    <w:p w14:paraId="570C6016" w14:textId="001BAA3F" w:rsidR="008C22BD" w:rsidRPr="008C22BD" w:rsidRDefault="008C22BD" w:rsidP="00FF1E59">
      <w:pPr>
        <w:pStyle w:val="Textpoznpodarou"/>
        <w:numPr>
          <w:ilvl w:val="0"/>
          <w:numId w:val="33"/>
        </w:numPr>
        <w:spacing w:after="160" w:line="360" w:lineRule="auto"/>
        <w:jc w:val="both"/>
        <w:rPr>
          <w:rFonts w:ascii="Garamond" w:hAnsi="Garamond"/>
          <w:sz w:val="24"/>
          <w:szCs w:val="24"/>
        </w:rPr>
      </w:pPr>
      <w:r w:rsidRPr="00D74B7B">
        <w:rPr>
          <w:rFonts w:ascii="Garamond" w:hAnsi="Garamond"/>
          <w:sz w:val="24"/>
          <w:szCs w:val="24"/>
        </w:rPr>
        <w:t xml:space="preserve">SVOBODA, Karel </w:t>
      </w:r>
      <w:r>
        <w:rPr>
          <w:rFonts w:ascii="Garamond" w:hAnsi="Garamond"/>
          <w:sz w:val="24"/>
          <w:szCs w:val="24"/>
        </w:rPr>
        <w:t xml:space="preserve">a kol. </w:t>
      </w:r>
      <w:r w:rsidRPr="00D74B7B">
        <w:rPr>
          <w:rFonts w:ascii="Garamond" w:hAnsi="Garamond"/>
          <w:i/>
          <w:sz w:val="24"/>
          <w:szCs w:val="24"/>
        </w:rPr>
        <w:t>Občanský soudní řád. 2. vydání.</w:t>
      </w:r>
      <w:r w:rsidRPr="00D74B7B">
        <w:rPr>
          <w:rFonts w:ascii="Garamond" w:hAnsi="Garamond"/>
          <w:sz w:val="24"/>
          <w:szCs w:val="24"/>
        </w:rPr>
        <w:t xml:space="preserve"> Praha: Nakladatelství C. H. Beck, 2017</w:t>
      </w:r>
      <w:r>
        <w:rPr>
          <w:rFonts w:ascii="Garamond" w:hAnsi="Garamond"/>
          <w:sz w:val="24"/>
          <w:szCs w:val="24"/>
        </w:rPr>
        <w:t>. 1632 s.</w:t>
      </w:r>
    </w:p>
    <w:p w14:paraId="1B464058" w14:textId="77777777" w:rsidR="008C22BD" w:rsidRDefault="008C22BD" w:rsidP="00FF1E59">
      <w:pPr>
        <w:pStyle w:val="Textpoznpodarou"/>
        <w:spacing w:after="160" w:line="360" w:lineRule="auto"/>
        <w:jc w:val="both"/>
        <w:rPr>
          <w:rFonts w:ascii="Garamond" w:hAnsi="Garamond"/>
          <w:b/>
          <w:sz w:val="24"/>
          <w:szCs w:val="24"/>
        </w:rPr>
      </w:pPr>
      <w:r w:rsidRPr="008C22BD">
        <w:rPr>
          <w:rFonts w:ascii="Garamond" w:hAnsi="Garamond"/>
          <w:b/>
          <w:sz w:val="24"/>
          <w:szCs w:val="24"/>
        </w:rPr>
        <w:t>Odborné články</w:t>
      </w:r>
    </w:p>
    <w:p w14:paraId="2F84D704" w14:textId="41CA4618" w:rsidR="008C22BD" w:rsidRDefault="008C22BD" w:rsidP="00FF1E59">
      <w:pPr>
        <w:pStyle w:val="Textpoznpodarou"/>
        <w:numPr>
          <w:ilvl w:val="0"/>
          <w:numId w:val="36"/>
        </w:numPr>
        <w:spacing w:line="360" w:lineRule="auto"/>
        <w:jc w:val="both"/>
        <w:rPr>
          <w:rFonts w:ascii="Garamond" w:hAnsi="Garamond"/>
          <w:sz w:val="24"/>
          <w:szCs w:val="24"/>
        </w:rPr>
      </w:pPr>
      <w:r w:rsidRPr="008C22BD">
        <w:rPr>
          <w:rFonts w:ascii="Garamond" w:hAnsi="Garamond"/>
          <w:sz w:val="24"/>
          <w:szCs w:val="24"/>
        </w:rPr>
        <w:t xml:space="preserve">MACUR, Josef. Vyšetřovací důkaz v civilním soudním řízení. </w:t>
      </w:r>
      <w:r w:rsidRPr="008C22BD">
        <w:rPr>
          <w:rFonts w:ascii="Garamond" w:hAnsi="Garamond"/>
          <w:i/>
          <w:sz w:val="24"/>
          <w:szCs w:val="24"/>
        </w:rPr>
        <w:t>Právní rozhledy</w:t>
      </w:r>
      <w:r w:rsidRPr="008C22BD">
        <w:rPr>
          <w:rFonts w:ascii="Garamond" w:hAnsi="Garamond"/>
          <w:sz w:val="24"/>
          <w:szCs w:val="24"/>
        </w:rPr>
        <w:t>, 2000, roč. 8, č. 2, s. 46</w:t>
      </w:r>
    </w:p>
    <w:p w14:paraId="07EFDBFE" w14:textId="0362DED1" w:rsidR="008C22BD" w:rsidRDefault="008C22BD" w:rsidP="00FF1E59">
      <w:pPr>
        <w:pStyle w:val="Odstavecseseznamem"/>
        <w:numPr>
          <w:ilvl w:val="0"/>
          <w:numId w:val="36"/>
        </w:numPr>
        <w:jc w:val="both"/>
        <w:rPr>
          <w:rFonts w:ascii="Garamond" w:hAnsi="Garamond"/>
          <w:sz w:val="24"/>
          <w:szCs w:val="24"/>
        </w:rPr>
      </w:pPr>
      <w:r w:rsidRPr="008C22BD">
        <w:rPr>
          <w:rFonts w:ascii="Garamond" w:hAnsi="Garamond"/>
          <w:sz w:val="24"/>
          <w:szCs w:val="24"/>
        </w:rPr>
        <w:t xml:space="preserve">BALARIN, Jan. Míra důkazu a důkazní břemeno v kontextu hodnocení důkazů v soudní praxi. </w:t>
      </w:r>
      <w:r w:rsidRPr="008C22BD">
        <w:rPr>
          <w:rFonts w:ascii="Garamond" w:hAnsi="Garamond"/>
          <w:i/>
          <w:sz w:val="24"/>
          <w:szCs w:val="24"/>
        </w:rPr>
        <w:t>Bulletin advokacie</w:t>
      </w:r>
      <w:r w:rsidRPr="008C22BD">
        <w:rPr>
          <w:rFonts w:ascii="Garamond" w:hAnsi="Garamond"/>
          <w:sz w:val="24"/>
          <w:szCs w:val="24"/>
        </w:rPr>
        <w:t>, 2019, roč. 26, č. 1-2, s. 26</w:t>
      </w:r>
    </w:p>
    <w:p w14:paraId="030AB9DE" w14:textId="77FD1BDF" w:rsidR="008C22BD" w:rsidRDefault="008C22BD" w:rsidP="00FF1E59">
      <w:pPr>
        <w:jc w:val="both"/>
        <w:rPr>
          <w:rFonts w:ascii="Garamond" w:hAnsi="Garamond"/>
          <w:b/>
          <w:sz w:val="24"/>
          <w:szCs w:val="24"/>
        </w:rPr>
      </w:pPr>
      <w:r w:rsidRPr="008C22BD">
        <w:rPr>
          <w:rFonts w:ascii="Garamond" w:hAnsi="Garamond"/>
          <w:b/>
          <w:sz w:val="24"/>
          <w:szCs w:val="24"/>
        </w:rPr>
        <w:t>Sborník</w:t>
      </w:r>
    </w:p>
    <w:p w14:paraId="44233AF7" w14:textId="22C92E4C" w:rsidR="008C22BD" w:rsidRPr="008C22BD" w:rsidRDefault="008C22BD" w:rsidP="00FF1E59">
      <w:pPr>
        <w:pStyle w:val="Odstavecseseznamem"/>
        <w:numPr>
          <w:ilvl w:val="0"/>
          <w:numId w:val="37"/>
        </w:numPr>
        <w:jc w:val="both"/>
        <w:rPr>
          <w:rFonts w:ascii="Garamond" w:hAnsi="Garamond"/>
          <w:b/>
          <w:sz w:val="24"/>
          <w:szCs w:val="24"/>
        </w:rPr>
      </w:pPr>
      <w:r w:rsidRPr="008C22BD">
        <w:rPr>
          <w:rFonts w:ascii="Garamond" w:hAnsi="Garamond"/>
          <w:sz w:val="24"/>
          <w:szCs w:val="24"/>
        </w:rPr>
        <w:t xml:space="preserve">SEHNÁLEK, David a kol. </w:t>
      </w:r>
      <w:r w:rsidRPr="008C22BD">
        <w:rPr>
          <w:rFonts w:ascii="Garamond" w:hAnsi="Garamond"/>
          <w:i/>
          <w:sz w:val="24"/>
          <w:szCs w:val="24"/>
        </w:rPr>
        <w:t xml:space="preserve">Dny práva – 2008 – </w:t>
      </w:r>
      <w:proofErr w:type="spellStart"/>
      <w:r w:rsidRPr="008C22BD">
        <w:rPr>
          <w:rFonts w:ascii="Garamond" w:hAnsi="Garamond"/>
          <w:i/>
          <w:sz w:val="24"/>
          <w:szCs w:val="24"/>
        </w:rPr>
        <w:t>Days</w:t>
      </w:r>
      <w:proofErr w:type="spellEnd"/>
      <w:r w:rsidRPr="008C22BD">
        <w:rPr>
          <w:rFonts w:ascii="Garamond" w:hAnsi="Garamond"/>
          <w:i/>
          <w:sz w:val="24"/>
          <w:szCs w:val="24"/>
        </w:rPr>
        <w:t xml:space="preserve"> </w:t>
      </w:r>
      <w:proofErr w:type="spellStart"/>
      <w:r w:rsidRPr="008C22BD">
        <w:rPr>
          <w:rFonts w:ascii="Garamond" w:hAnsi="Garamond"/>
          <w:i/>
          <w:sz w:val="24"/>
          <w:szCs w:val="24"/>
        </w:rPr>
        <w:t>of</w:t>
      </w:r>
      <w:proofErr w:type="spellEnd"/>
      <w:r w:rsidRPr="008C22BD">
        <w:rPr>
          <w:rFonts w:ascii="Garamond" w:hAnsi="Garamond"/>
          <w:i/>
          <w:sz w:val="24"/>
          <w:szCs w:val="24"/>
        </w:rPr>
        <w:t xml:space="preserve"> </w:t>
      </w:r>
      <w:proofErr w:type="spellStart"/>
      <w:r w:rsidRPr="008C22BD">
        <w:rPr>
          <w:rFonts w:ascii="Garamond" w:hAnsi="Garamond"/>
          <w:i/>
          <w:sz w:val="24"/>
          <w:szCs w:val="24"/>
        </w:rPr>
        <w:t>Law</w:t>
      </w:r>
      <w:proofErr w:type="spellEnd"/>
      <w:r w:rsidRPr="008C22BD">
        <w:rPr>
          <w:rFonts w:ascii="Garamond" w:hAnsi="Garamond"/>
          <w:i/>
          <w:sz w:val="24"/>
          <w:szCs w:val="24"/>
        </w:rPr>
        <w:t xml:space="preserve">. </w:t>
      </w:r>
      <w:r w:rsidRPr="008C22BD">
        <w:rPr>
          <w:rFonts w:ascii="Garamond" w:hAnsi="Garamond"/>
          <w:sz w:val="24"/>
          <w:szCs w:val="24"/>
        </w:rPr>
        <w:t xml:space="preserve">1. vydání. Brno: Tribun EU s. r. </w:t>
      </w:r>
      <w:proofErr w:type="gramStart"/>
      <w:r w:rsidRPr="008C22BD">
        <w:rPr>
          <w:rFonts w:ascii="Garamond" w:hAnsi="Garamond"/>
          <w:sz w:val="24"/>
          <w:szCs w:val="24"/>
        </w:rPr>
        <w:t>o. ,</w:t>
      </w:r>
      <w:proofErr w:type="gramEnd"/>
      <w:r w:rsidRPr="008C22BD">
        <w:rPr>
          <w:rFonts w:ascii="Garamond" w:hAnsi="Garamond"/>
          <w:sz w:val="24"/>
          <w:szCs w:val="24"/>
        </w:rPr>
        <w:t xml:space="preserve"> 2008. </w:t>
      </w:r>
      <w:r>
        <w:rPr>
          <w:rFonts w:ascii="Garamond" w:hAnsi="Garamond"/>
          <w:sz w:val="24"/>
          <w:szCs w:val="24"/>
        </w:rPr>
        <w:t>1929 s.</w:t>
      </w:r>
    </w:p>
    <w:p w14:paraId="1B01EFB4" w14:textId="4ACB6DE8" w:rsidR="008C22BD" w:rsidRDefault="008C22BD" w:rsidP="00FF1E59">
      <w:pPr>
        <w:jc w:val="both"/>
        <w:rPr>
          <w:rFonts w:ascii="Garamond" w:hAnsi="Garamond"/>
          <w:b/>
          <w:sz w:val="24"/>
          <w:szCs w:val="24"/>
        </w:rPr>
      </w:pPr>
      <w:r>
        <w:rPr>
          <w:rFonts w:ascii="Garamond" w:hAnsi="Garamond"/>
          <w:b/>
          <w:sz w:val="24"/>
          <w:szCs w:val="24"/>
        </w:rPr>
        <w:t>Internetové zdroje</w:t>
      </w:r>
    </w:p>
    <w:p w14:paraId="3280131E" w14:textId="77777777" w:rsidR="00FF1E59" w:rsidRPr="00FF1E59" w:rsidRDefault="00FF1E59" w:rsidP="00FF1E59">
      <w:pPr>
        <w:pStyle w:val="Odstavecseseznamem"/>
        <w:numPr>
          <w:ilvl w:val="0"/>
          <w:numId w:val="37"/>
        </w:numPr>
        <w:jc w:val="both"/>
        <w:rPr>
          <w:rFonts w:ascii="Garamond" w:hAnsi="Garamond"/>
          <w:sz w:val="24"/>
          <w:szCs w:val="24"/>
        </w:rPr>
      </w:pPr>
      <w:r w:rsidRPr="00FF1E59">
        <w:rPr>
          <w:rFonts w:ascii="Garamond" w:hAnsi="Garamond"/>
          <w:sz w:val="24"/>
          <w:szCs w:val="24"/>
        </w:rPr>
        <w:t xml:space="preserve">DOBROVOLNÁ, Eva a kol. </w:t>
      </w:r>
      <w:r w:rsidRPr="00FF1E59">
        <w:rPr>
          <w:rFonts w:ascii="Garamond" w:hAnsi="Garamond"/>
          <w:i/>
          <w:sz w:val="24"/>
          <w:szCs w:val="24"/>
        </w:rPr>
        <w:t xml:space="preserve">Věcný záměr civilního řádu soudního </w:t>
      </w:r>
      <w:r w:rsidRPr="00FF1E59">
        <w:rPr>
          <w:rFonts w:ascii="Garamond" w:hAnsi="Garamond"/>
          <w:sz w:val="24"/>
          <w:szCs w:val="24"/>
        </w:rPr>
        <w:t>[online]. crs.justice.cz, 2017 [cit. 14. 8. 2019]. Dostupné na &lt;</w:t>
      </w:r>
      <w:hyperlink r:id="rId10" w:history="1">
        <w:r w:rsidRPr="00FF1E59">
          <w:rPr>
            <w:rStyle w:val="Hypertextovodkaz"/>
            <w:rFonts w:ascii="Garamond" w:hAnsi="Garamond"/>
            <w:sz w:val="24"/>
            <w:szCs w:val="24"/>
          </w:rPr>
          <w:t>https://crs.justice.cz</w:t>
        </w:r>
      </w:hyperlink>
      <w:r w:rsidRPr="00FF1E59">
        <w:rPr>
          <w:rFonts w:ascii="Garamond" w:hAnsi="Garamond"/>
          <w:sz w:val="24"/>
          <w:szCs w:val="24"/>
        </w:rPr>
        <w:t>&gt;.</w:t>
      </w:r>
    </w:p>
    <w:p w14:paraId="794429A1" w14:textId="760EDE02" w:rsidR="008C22BD" w:rsidRDefault="00FF1E59" w:rsidP="00FF1E59">
      <w:pPr>
        <w:spacing w:line="360" w:lineRule="auto"/>
        <w:jc w:val="both"/>
        <w:rPr>
          <w:rFonts w:ascii="Garamond" w:hAnsi="Garamond"/>
          <w:b/>
          <w:sz w:val="24"/>
          <w:szCs w:val="24"/>
        </w:rPr>
      </w:pPr>
      <w:r>
        <w:rPr>
          <w:rFonts w:ascii="Garamond" w:hAnsi="Garamond"/>
          <w:b/>
          <w:sz w:val="24"/>
          <w:szCs w:val="24"/>
        </w:rPr>
        <w:lastRenderedPageBreak/>
        <w:t>Zákony</w:t>
      </w:r>
    </w:p>
    <w:p w14:paraId="228D3B14" w14:textId="77777777" w:rsidR="00FF1E59" w:rsidRPr="00FF1E59" w:rsidRDefault="00FF1E59" w:rsidP="00FF1E59">
      <w:pPr>
        <w:pStyle w:val="Odstavecseseznamem"/>
        <w:numPr>
          <w:ilvl w:val="0"/>
          <w:numId w:val="37"/>
        </w:numPr>
        <w:spacing w:line="360" w:lineRule="auto"/>
        <w:jc w:val="both"/>
        <w:rPr>
          <w:rFonts w:ascii="Garamond" w:hAnsi="Garamond"/>
          <w:sz w:val="24"/>
          <w:szCs w:val="24"/>
        </w:rPr>
      </w:pPr>
      <w:r w:rsidRPr="00FF1E59">
        <w:rPr>
          <w:rFonts w:ascii="Garamond" w:hAnsi="Garamond"/>
          <w:sz w:val="24"/>
          <w:szCs w:val="24"/>
        </w:rPr>
        <w:t>zákon číslo 99/1963, občanský soudní řád, ve znění pozdějších předpisů</w:t>
      </w:r>
    </w:p>
    <w:p w14:paraId="50AD4384" w14:textId="77777777" w:rsidR="00FF1E59" w:rsidRPr="00FF1E59" w:rsidRDefault="00FF1E59" w:rsidP="00FF1E59">
      <w:pPr>
        <w:pStyle w:val="Odstavecseseznamem"/>
        <w:numPr>
          <w:ilvl w:val="0"/>
          <w:numId w:val="37"/>
        </w:numPr>
        <w:spacing w:after="0" w:line="360" w:lineRule="auto"/>
        <w:jc w:val="both"/>
        <w:rPr>
          <w:rFonts w:ascii="Garamond" w:hAnsi="Garamond"/>
          <w:sz w:val="24"/>
          <w:szCs w:val="24"/>
        </w:rPr>
      </w:pPr>
      <w:proofErr w:type="spellStart"/>
      <w:r w:rsidRPr="00FF1E59">
        <w:rPr>
          <w:rFonts w:ascii="Garamond" w:hAnsi="Garamond"/>
          <w:sz w:val="24"/>
          <w:szCs w:val="24"/>
        </w:rPr>
        <w:t>Zivilprozessordnung</w:t>
      </w:r>
      <w:proofErr w:type="spellEnd"/>
      <w:r w:rsidRPr="00FF1E59">
        <w:rPr>
          <w:rFonts w:ascii="Garamond" w:hAnsi="Garamond"/>
          <w:sz w:val="24"/>
          <w:szCs w:val="24"/>
        </w:rPr>
        <w:t xml:space="preserve"> der </w:t>
      </w:r>
      <w:proofErr w:type="spellStart"/>
      <w:r w:rsidRPr="00FF1E59">
        <w:rPr>
          <w:rFonts w:ascii="Garamond" w:hAnsi="Garamond"/>
          <w:sz w:val="24"/>
          <w:szCs w:val="24"/>
        </w:rPr>
        <w:t>Bundesrepublik</w:t>
      </w:r>
      <w:proofErr w:type="spellEnd"/>
      <w:r w:rsidRPr="00FF1E59">
        <w:rPr>
          <w:rFonts w:ascii="Garamond" w:hAnsi="Garamond"/>
          <w:sz w:val="24"/>
          <w:szCs w:val="24"/>
        </w:rPr>
        <w:t xml:space="preserve"> </w:t>
      </w:r>
      <w:proofErr w:type="spellStart"/>
      <w:r w:rsidRPr="00FF1E59">
        <w:rPr>
          <w:rFonts w:ascii="Garamond" w:hAnsi="Garamond"/>
          <w:sz w:val="24"/>
          <w:szCs w:val="24"/>
        </w:rPr>
        <w:t>Deutschland</w:t>
      </w:r>
      <w:proofErr w:type="spellEnd"/>
      <w:r w:rsidRPr="00FF1E59">
        <w:rPr>
          <w:rFonts w:ascii="Garamond" w:hAnsi="Garamond"/>
          <w:sz w:val="24"/>
          <w:szCs w:val="24"/>
        </w:rPr>
        <w:t xml:space="preserve"> (BGRI. i. s. 3202; ber. 2006 i s. 431; BER 2007 I S. 1781).</w:t>
      </w:r>
    </w:p>
    <w:p w14:paraId="1729024B" w14:textId="77777777" w:rsidR="00FF1E59" w:rsidRPr="00FF1E59" w:rsidRDefault="00FF1E59" w:rsidP="00FF1E59">
      <w:pPr>
        <w:pStyle w:val="Odstavecseseznamem"/>
        <w:numPr>
          <w:ilvl w:val="0"/>
          <w:numId w:val="37"/>
        </w:numPr>
        <w:spacing w:after="0" w:line="360" w:lineRule="auto"/>
        <w:jc w:val="both"/>
        <w:rPr>
          <w:rFonts w:ascii="Garamond" w:hAnsi="Garamond"/>
          <w:sz w:val="24"/>
          <w:szCs w:val="24"/>
        </w:rPr>
      </w:pPr>
      <w:proofErr w:type="spellStart"/>
      <w:r w:rsidRPr="00FF1E59">
        <w:rPr>
          <w:rFonts w:ascii="Garamond" w:hAnsi="Garamond"/>
          <w:sz w:val="24"/>
          <w:szCs w:val="24"/>
        </w:rPr>
        <w:t>Zivilprozessordnung</w:t>
      </w:r>
      <w:proofErr w:type="spellEnd"/>
      <w:r w:rsidRPr="00FF1E59">
        <w:rPr>
          <w:rFonts w:ascii="Garamond" w:hAnsi="Garamond"/>
          <w:sz w:val="24"/>
          <w:szCs w:val="24"/>
        </w:rPr>
        <w:t xml:space="preserve"> </w:t>
      </w:r>
      <w:proofErr w:type="spellStart"/>
      <w:r w:rsidRPr="00FF1E59">
        <w:rPr>
          <w:rFonts w:ascii="Garamond" w:hAnsi="Garamond"/>
          <w:sz w:val="24"/>
          <w:szCs w:val="24"/>
        </w:rPr>
        <w:t>StF</w:t>
      </w:r>
      <w:proofErr w:type="spellEnd"/>
      <w:r w:rsidRPr="00FF1E59">
        <w:rPr>
          <w:rFonts w:ascii="Garamond" w:hAnsi="Garamond"/>
          <w:sz w:val="24"/>
          <w:szCs w:val="24"/>
        </w:rPr>
        <w:t xml:space="preserve">: </w:t>
      </w:r>
      <w:proofErr w:type="spellStart"/>
      <w:r w:rsidRPr="00FF1E59">
        <w:rPr>
          <w:rFonts w:ascii="Garamond" w:hAnsi="Garamond"/>
          <w:sz w:val="24"/>
          <w:szCs w:val="24"/>
        </w:rPr>
        <w:t>RGBl</w:t>
      </w:r>
      <w:proofErr w:type="spellEnd"/>
      <w:r w:rsidRPr="00FF1E59">
        <w:rPr>
          <w:rFonts w:ascii="Garamond" w:hAnsi="Garamond"/>
          <w:sz w:val="24"/>
          <w:szCs w:val="24"/>
        </w:rPr>
        <w:t xml:space="preserve">. </w:t>
      </w:r>
      <w:proofErr w:type="spellStart"/>
      <w:r w:rsidRPr="00FF1E59">
        <w:rPr>
          <w:rFonts w:ascii="Garamond" w:hAnsi="Garamond"/>
          <w:sz w:val="24"/>
          <w:szCs w:val="24"/>
        </w:rPr>
        <w:t>Nr</w:t>
      </w:r>
      <w:proofErr w:type="spellEnd"/>
      <w:r w:rsidRPr="00FF1E59">
        <w:rPr>
          <w:rFonts w:ascii="Garamond" w:hAnsi="Garamond"/>
          <w:sz w:val="24"/>
          <w:szCs w:val="24"/>
        </w:rPr>
        <w:t>. 113/1895</w:t>
      </w:r>
    </w:p>
    <w:p w14:paraId="188611D3" w14:textId="0FA0BE00" w:rsidR="00BC50FD" w:rsidRDefault="00FF1E59" w:rsidP="00FF1E59">
      <w:pPr>
        <w:pStyle w:val="Odstavecseseznamem"/>
        <w:numPr>
          <w:ilvl w:val="0"/>
          <w:numId w:val="37"/>
        </w:numPr>
        <w:spacing w:line="360" w:lineRule="auto"/>
        <w:jc w:val="both"/>
        <w:rPr>
          <w:rFonts w:ascii="Garamond" w:hAnsi="Garamond"/>
          <w:sz w:val="24"/>
          <w:szCs w:val="24"/>
        </w:rPr>
      </w:pPr>
      <w:r w:rsidRPr="00FF1E59">
        <w:rPr>
          <w:rFonts w:ascii="Garamond" w:hAnsi="Garamond"/>
          <w:sz w:val="24"/>
          <w:szCs w:val="24"/>
        </w:rPr>
        <w:t xml:space="preserve">272 - </w:t>
      </w:r>
      <w:proofErr w:type="spellStart"/>
      <w:r w:rsidRPr="00FF1E59">
        <w:rPr>
          <w:rFonts w:ascii="Garamond" w:hAnsi="Garamond"/>
          <w:sz w:val="24"/>
          <w:szCs w:val="24"/>
        </w:rPr>
        <w:t>Schweizerische</w:t>
      </w:r>
      <w:proofErr w:type="spellEnd"/>
      <w:r w:rsidRPr="00FF1E59">
        <w:rPr>
          <w:rFonts w:ascii="Garamond" w:hAnsi="Garamond"/>
          <w:sz w:val="24"/>
          <w:szCs w:val="24"/>
        </w:rPr>
        <w:t xml:space="preserve"> </w:t>
      </w:r>
      <w:proofErr w:type="spellStart"/>
      <w:r w:rsidRPr="00FF1E59">
        <w:rPr>
          <w:rFonts w:ascii="Garamond" w:hAnsi="Garamond"/>
          <w:sz w:val="24"/>
          <w:szCs w:val="24"/>
        </w:rPr>
        <w:t>Zivilprozessordnung</w:t>
      </w:r>
      <w:proofErr w:type="spellEnd"/>
      <w:r w:rsidRPr="00FF1E59">
        <w:rPr>
          <w:rFonts w:ascii="Garamond" w:hAnsi="Garamond"/>
          <w:sz w:val="24"/>
          <w:szCs w:val="24"/>
        </w:rPr>
        <w:t xml:space="preserve"> </w:t>
      </w:r>
      <w:proofErr w:type="spellStart"/>
      <w:r w:rsidRPr="00FF1E59">
        <w:rPr>
          <w:rFonts w:ascii="Garamond" w:hAnsi="Garamond"/>
          <w:sz w:val="24"/>
          <w:szCs w:val="24"/>
        </w:rPr>
        <w:t>vom</w:t>
      </w:r>
      <w:proofErr w:type="spellEnd"/>
      <w:r w:rsidRPr="00FF1E59">
        <w:rPr>
          <w:rFonts w:ascii="Garamond" w:hAnsi="Garamond"/>
          <w:sz w:val="24"/>
          <w:szCs w:val="24"/>
        </w:rPr>
        <w:t xml:space="preserve"> 19. </w:t>
      </w:r>
      <w:proofErr w:type="spellStart"/>
      <w:r w:rsidRPr="00FF1E59">
        <w:rPr>
          <w:rFonts w:ascii="Garamond" w:hAnsi="Garamond"/>
          <w:sz w:val="24"/>
          <w:szCs w:val="24"/>
        </w:rPr>
        <w:t>Dezember</w:t>
      </w:r>
      <w:proofErr w:type="spellEnd"/>
      <w:r w:rsidRPr="00FF1E59">
        <w:rPr>
          <w:rFonts w:ascii="Garamond" w:hAnsi="Garamond"/>
          <w:sz w:val="24"/>
          <w:szCs w:val="24"/>
        </w:rPr>
        <w:t xml:space="preserve"> 2008</w:t>
      </w:r>
    </w:p>
    <w:p w14:paraId="24A5C2EB" w14:textId="3CEF9C5F" w:rsidR="00FF1E59" w:rsidRPr="00FF1E59" w:rsidRDefault="00FF1E59" w:rsidP="00FF1E59">
      <w:pPr>
        <w:spacing w:line="360" w:lineRule="auto"/>
        <w:jc w:val="both"/>
        <w:rPr>
          <w:rFonts w:ascii="Garamond" w:hAnsi="Garamond"/>
          <w:b/>
          <w:sz w:val="24"/>
          <w:szCs w:val="24"/>
        </w:rPr>
      </w:pPr>
      <w:r w:rsidRPr="00FF1E59">
        <w:rPr>
          <w:rFonts w:ascii="Garamond" w:hAnsi="Garamond"/>
          <w:b/>
          <w:sz w:val="24"/>
          <w:szCs w:val="24"/>
        </w:rPr>
        <w:t>Judikatura</w:t>
      </w:r>
    </w:p>
    <w:p w14:paraId="1906FC72" w14:textId="0C0B5F75" w:rsidR="00FF1E59" w:rsidRPr="00FF1E59" w:rsidRDefault="00FF1E59" w:rsidP="00FF1E59">
      <w:pPr>
        <w:pStyle w:val="Textpoznpodarou"/>
        <w:numPr>
          <w:ilvl w:val="0"/>
          <w:numId w:val="39"/>
        </w:numPr>
        <w:spacing w:line="360" w:lineRule="auto"/>
        <w:jc w:val="both"/>
        <w:rPr>
          <w:rFonts w:ascii="Garamond" w:hAnsi="Garamond"/>
          <w:sz w:val="24"/>
          <w:szCs w:val="24"/>
        </w:rPr>
      </w:pPr>
      <w:r w:rsidRPr="00D74B7B">
        <w:rPr>
          <w:rFonts w:ascii="Garamond" w:hAnsi="Garamond"/>
          <w:sz w:val="24"/>
          <w:szCs w:val="24"/>
        </w:rPr>
        <w:t xml:space="preserve">nález Ústavního soudu ze dne 28. 2. 2008, </w:t>
      </w:r>
      <w:proofErr w:type="spellStart"/>
      <w:r w:rsidRPr="00D74B7B">
        <w:rPr>
          <w:rFonts w:ascii="Garamond" w:hAnsi="Garamond"/>
          <w:sz w:val="24"/>
          <w:szCs w:val="24"/>
        </w:rPr>
        <w:t>sp</w:t>
      </w:r>
      <w:proofErr w:type="spellEnd"/>
      <w:r w:rsidRPr="00D74B7B">
        <w:rPr>
          <w:rFonts w:ascii="Garamond" w:hAnsi="Garamond"/>
          <w:sz w:val="24"/>
          <w:szCs w:val="24"/>
        </w:rPr>
        <w:t>. zn. I. ÚS 987/07</w:t>
      </w:r>
    </w:p>
    <w:p w14:paraId="20D5AD43" w14:textId="5784B455" w:rsidR="00FF1E59" w:rsidRDefault="00FF1E59" w:rsidP="00FF1E59">
      <w:pPr>
        <w:pStyle w:val="Textpoznpodarou"/>
        <w:numPr>
          <w:ilvl w:val="0"/>
          <w:numId w:val="39"/>
        </w:numPr>
        <w:spacing w:line="360" w:lineRule="auto"/>
        <w:jc w:val="both"/>
        <w:rPr>
          <w:rFonts w:ascii="Garamond" w:hAnsi="Garamond"/>
          <w:sz w:val="24"/>
          <w:szCs w:val="24"/>
        </w:rPr>
      </w:pPr>
      <w:r w:rsidRPr="00D74B7B">
        <w:rPr>
          <w:rFonts w:ascii="Garamond" w:hAnsi="Garamond"/>
          <w:sz w:val="24"/>
          <w:szCs w:val="24"/>
        </w:rPr>
        <w:t xml:space="preserve">nález Ústavního soudu ze dne 7. 10. 2014, </w:t>
      </w:r>
      <w:proofErr w:type="spellStart"/>
      <w:r w:rsidRPr="00D74B7B">
        <w:rPr>
          <w:rFonts w:ascii="Garamond" w:hAnsi="Garamond"/>
          <w:sz w:val="24"/>
          <w:szCs w:val="24"/>
        </w:rPr>
        <w:t>sp</w:t>
      </w:r>
      <w:proofErr w:type="spellEnd"/>
      <w:r w:rsidRPr="00D74B7B">
        <w:rPr>
          <w:rFonts w:ascii="Garamond" w:hAnsi="Garamond"/>
          <w:sz w:val="24"/>
          <w:szCs w:val="24"/>
        </w:rPr>
        <w:t xml:space="preserve">. zn. </w:t>
      </w:r>
      <w:proofErr w:type="spellStart"/>
      <w:r w:rsidRPr="00D74B7B">
        <w:rPr>
          <w:rFonts w:ascii="Garamond" w:hAnsi="Garamond"/>
          <w:sz w:val="24"/>
          <w:szCs w:val="24"/>
        </w:rPr>
        <w:t>Pl</w:t>
      </w:r>
      <w:proofErr w:type="spellEnd"/>
      <w:r w:rsidRPr="00D74B7B">
        <w:rPr>
          <w:rFonts w:ascii="Garamond" w:hAnsi="Garamond"/>
          <w:sz w:val="24"/>
          <w:szCs w:val="24"/>
        </w:rPr>
        <w:t xml:space="preserve">. 39/13 </w:t>
      </w:r>
    </w:p>
    <w:p w14:paraId="456960A5" w14:textId="77777777" w:rsidR="00FF1E59" w:rsidRPr="00D74B7B" w:rsidRDefault="00FF1E59" w:rsidP="00FF1E59">
      <w:pPr>
        <w:pStyle w:val="Textpoznpodarou"/>
        <w:numPr>
          <w:ilvl w:val="0"/>
          <w:numId w:val="39"/>
        </w:numPr>
        <w:spacing w:line="360" w:lineRule="auto"/>
        <w:jc w:val="both"/>
        <w:rPr>
          <w:rFonts w:ascii="Garamond" w:hAnsi="Garamond"/>
          <w:sz w:val="24"/>
          <w:szCs w:val="24"/>
        </w:rPr>
      </w:pPr>
      <w:r w:rsidRPr="00D74B7B">
        <w:rPr>
          <w:rFonts w:ascii="Garamond" w:hAnsi="Garamond"/>
          <w:sz w:val="24"/>
          <w:szCs w:val="24"/>
        </w:rPr>
        <w:t xml:space="preserve">nálezu Ústavního soudu ze dne 20. 8. 2014, </w:t>
      </w:r>
      <w:proofErr w:type="spellStart"/>
      <w:r w:rsidRPr="00D74B7B">
        <w:rPr>
          <w:rFonts w:ascii="Garamond" w:hAnsi="Garamond"/>
          <w:sz w:val="24"/>
          <w:szCs w:val="24"/>
        </w:rPr>
        <w:t>sp</w:t>
      </w:r>
      <w:proofErr w:type="spellEnd"/>
      <w:r w:rsidRPr="00D74B7B">
        <w:rPr>
          <w:rFonts w:ascii="Garamond" w:hAnsi="Garamond"/>
          <w:sz w:val="24"/>
          <w:szCs w:val="24"/>
        </w:rPr>
        <w:t>. zn. I. ÚS 173/13</w:t>
      </w:r>
    </w:p>
    <w:p w14:paraId="2E45463E" w14:textId="6CAA812D" w:rsidR="00FF1E59" w:rsidRPr="00D74B7B" w:rsidRDefault="00FF1E59" w:rsidP="00FF1E59">
      <w:pPr>
        <w:pStyle w:val="Textpoznpodarou"/>
        <w:numPr>
          <w:ilvl w:val="0"/>
          <w:numId w:val="39"/>
        </w:numPr>
        <w:spacing w:line="360" w:lineRule="auto"/>
        <w:jc w:val="both"/>
        <w:rPr>
          <w:rFonts w:ascii="Garamond" w:hAnsi="Garamond"/>
          <w:sz w:val="24"/>
          <w:szCs w:val="24"/>
        </w:rPr>
      </w:pPr>
      <w:r>
        <w:rPr>
          <w:rFonts w:ascii="Garamond" w:hAnsi="Garamond"/>
          <w:sz w:val="24"/>
          <w:szCs w:val="24"/>
        </w:rPr>
        <w:t>u</w:t>
      </w:r>
      <w:r w:rsidRPr="00D74B7B">
        <w:rPr>
          <w:rFonts w:ascii="Garamond" w:hAnsi="Garamond"/>
          <w:sz w:val="24"/>
          <w:szCs w:val="24"/>
        </w:rPr>
        <w:t xml:space="preserve">snesení Ústavního soudu ze dne 19. března 2012, </w:t>
      </w:r>
      <w:proofErr w:type="spellStart"/>
      <w:r w:rsidRPr="00D74B7B">
        <w:rPr>
          <w:rFonts w:ascii="Garamond" w:hAnsi="Garamond"/>
          <w:sz w:val="24"/>
          <w:szCs w:val="24"/>
        </w:rPr>
        <w:t>sp</w:t>
      </w:r>
      <w:proofErr w:type="spellEnd"/>
      <w:r w:rsidRPr="00D74B7B">
        <w:rPr>
          <w:rFonts w:ascii="Garamond" w:hAnsi="Garamond"/>
          <w:sz w:val="24"/>
          <w:szCs w:val="24"/>
        </w:rPr>
        <w:t>. zn. IV.ÚS 2986/11</w:t>
      </w:r>
    </w:p>
    <w:p w14:paraId="7037A547" w14:textId="06E28227" w:rsidR="00FF1E59" w:rsidRPr="00D74B7B" w:rsidRDefault="00FF1E59" w:rsidP="00FF1E59">
      <w:pPr>
        <w:pStyle w:val="Textpoznpodarou"/>
        <w:numPr>
          <w:ilvl w:val="0"/>
          <w:numId w:val="39"/>
        </w:numPr>
        <w:spacing w:line="360" w:lineRule="auto"/>
        <w:jc w:val="both"/>
        <w:rPr>
          <w:rFonts w:ascii="Garamond" w:hAnsi="Garamond"/>
          <w:sz w:val="24"/>
          <w:szCs w:val="24"/>
        </w:rPr>
      </w:pPr>
      <w:r>
        <w:rPr>
          <w:rFonts w:ascii="Garamond" w:hAnsi="Garamond"/>
          <w:sz w:val="24"/>
          <w:szCs w:val="24"/>
        </w:rPr>
        <w:t>r</w:t>
      </w:r>
      <w:r w:rsidRPr="00D74B7B">
        <w:rPr>
          <w:rFonts w:ascii="Garamond" w:hAnsi="Garamond"/>
          <w:sz w:val="24"/>
          <w:szCs w:val="24"/>
        </w:rPr>
        <w:t xml:space="preserve">ozsudek Nejvyššího soudu ze dne 29. ledna 2014, </w:t>
      </w:r>
      <w:proofErr w:type="spellStart"/>
      <w:r w:rsidRPr="00D74B7B">
        <w:rPr>
          <w:rFonts w:ascii="Garamond" w:hAnsi="Garamond"/>
          <w:sz w:val="24"/>
          <w:szCs w:val="24"/>
        </w:rPr>
        <w:t>sp</w:t>
      </w:r>
      <w:proofErr w:type="spellEnd"/>
      <w:r w:rsidRPr="00D74B7B">
        <w:rPr>
          <w:rFonts w:ascii="Garamond" w:hAnsi="Garamond"/>
          <w:sz w:val="24"/>
          <w:szCs w:val="24"/>
        </w:rPr>
        <w:t xml:space="preserve">. zn. 22 </w:t>
      </w:r>
      <w:proofErr w:type="spellStart"/>
      <w:r w:rsidRPr="00D74B7B">
        <w:rPr>
          <w:rFonts w:ascii="Garamond" w:hAnsi="Garamond"/>
          <w:sz w:val="24"/>
          <w:szCs w:val="24"/>
        </w:rPr>
        <w:t>Cdo</w:t>
      </w:r>
      <w:proofErr w:type="spellEnd"/>
      <w:r w:rsidRPr="00D74B7B">
        <w:rPr>
          <w:rFonts w:ascii="Garamond" w:hAnsi="Garamond"/>
          <w:sz w:val="24"/>
          <w:szCs w:val="24"/>
        </w:rPr>
        <w:t xml:space="preserve"> 2851/2013</w:t>
      </w:r>
    </w:p>
    <w:p w14:paraId="22373F77" w14:textId="77777777" w:rsidR="00FF1E59" w:rsidRPr="00D74B7B" w:rsidRDefault="00FF1E59" w:rsidP="00FF1E59">
      <w:pPr>
        <w:pStyle w:val="Textpoznpodarou"/>
        <w:numPr>
          <w:ilvl w:val="0"/>
          <w:numId w:val="39"/>
        </w:numPr>
        <w:spacing w:line="360" w:lineRule="auto"/>
        <w:jc w:val="both"/>
        <w:rPr>
          <w:rFonts w:ascii="Garamond" w:hAnsi="Garamond"/>
          <w:sz w:val="24"/>
          <w:szCs w:val="24"/>
        </w:rPr>
      </w:pPr>
      <w:r w:rsidRPr="00D74B7B">
        <w:rPr>
          <w:rFonts w:ascii="Garamond" w:hAnsi="Garamond"/>
          <w:sz w:val="24"/>
          <w:szCs w:val="24"/>
        </w:rPr>
        <w:t xml:space="preserve">rozsudek Nejvyššího soudu ze dne 7. srpna 2017, </w:t>
      </w:r>
      <w:proofErr w:type="spellStart"/>
      <w:r w:rsidRPr="00D74B7B">
        <w:rPr>
          <w:rFonts w:ascii="Garamond" w:hAnsi="Garamond"/>
          <w:sz w:val="24"/>
          <w:szCs w:val="24"/>
        </w:rPr>
        <w:t>sp</w:t>
      </w:r>
      <w:proofErr w:type="spellEnd"/>
      <w:r w:rsidRPr="00D74B7B">
        <w:rPr>
          <w:rFonts w:ascii="Garamond" w:hAnsi="Garamond"/>
          <w:sz w:val="24"/>
          <w:szCs w:val="24"/>
        </w:rPr>
        <w:t xml:space="preserve">. zn. 22 </w:t>
      </w:r>
      <w:proofErr w:type="spellStart"/>
      <w:r w:rsidRPr="00D74B7B">
        <w:rPr>
          <w:rFonts w:ascii="Garamond" w:hAnsi="Garamond"/>
          <w:sz w:val="24"/>
          <w:szCs w:val="24"/>
        </w:rPr>
        <w:t>Cdo</w:t>
      </w:r>
      <w:proofErr w:type="spellEnd"/>
      <w:r w:rsidRPr="00D74B7B">
        <w:rPr>
          <w:rFonts w:ascii="Garamond" w:hAnsi="Garamond"/>
          <w:sz w:val="24"/>
          <w:szCs w:val="24"/>
        </w:rPr>
        <w:t xml:space="preserve"> 820/2017</w:t>
      </w:r>
    </w:p>
    <w:p w14:paraId="25F9335E" w14:textId="644086DE" w:rsidR="00FF1E59" w:rsidRPr="00FF1E59" w:rsidRDefault="00FF1E59" w:rsidP="00FF1E59">
      <w:pPr>
        <w:pStyle w:val="Textpoznpodarou"/>
        <w:numPr>
          <w:ilvl w:val="0"/>
          <w:numId w:val="39"/>
        </w:numPr>
        <w:spacing w:line="360" w:lineRule="auto"/>
        <w:jc w:val="both"/>
        <w:rPr>
          <w:rFonts w:ascii="Garamond" w:hAnsi="Garamond"/>
          <w:sz w:val="24"/>
          <w:szCs w:val="24"/>
        </w:rPr>
      </w:pPr>
      <w:r w:rsidRPr="00D74B7B">
        <w:rPr>
          <w:rFonts w:ascii="Garamond" w:hAnsi="Garamond"/>
          <w:sz w:val="24"/>
          <w:szCs w:val="24"/>
        </w:rPr>
        <w:t xml:space="preserve">rozsudek Nejvyššího soudu ze dne 29. listopadu 2017, </w:t>
      </w:r>
      <w:proofErr w:type="spellStart"/>
      <w:r w:rsidRPr="00D74B7B">
        <w:rPr>
          <w:rFonts w:ascii="Garamond" w:hAnsi="Garamond"/>
          <w:sz w:val="24"/>
          <w:szCs w:val="24"/>
        </w:rPr>
        <w:t>sp</w:t>
      </w:r>
      <w:proofErr w:type="spellEnd"/>
      <w:r w:rsidRPr="00D74B7B">
        <w:rPr>
          <w:rFonts w:ascii="Garamond" w:hAnsi="Garamond"/>
          <w:sz w:val="24"/>
          <w:szCs w:val="24"/>
        </w:rPr>
        <w:t xml:space="preserve">. zn. 30 </w:t>
      </w:r>
      <w:proofErr w:type="spellStart"/>
      <w:r w:rsidRPr="00D74B7B">
        <w:rPr>
          <w:rFonts w:ascii="Garamond" w:hAnsi="Garamond"/>
          <w:sz w:val="24"/>
          <w:szCs w:val="24"/>
        </w:rPr>
        <w:t>Cdo</w:t>
      </w:r>
      <w:proofErr w:type="spellEnd"/>
      <w:r w:rsidRPr="00D74B7B">
        <w:rPr>
          <w:rFonts w:ascii="Garamond" w:hAnsi="Garamond"/>
          <w:sz w:val="24"/>
          <w:szCs w:val="24"/>
        </w:rPr>
        <w:t xml:space="preserve"> 698/2017</w:t>
      </w:r>
    </w:p>
    <w:p w14:paraId="4DB02F3C" w14:textId="6F54DEEE" w:rsidR="00FF1E59" w:rsidRPr="00D74B7B" w:rsidRDefault="00FF1E59" w:rsidP="00FF1E59">
      <w:pPr>
        <w:pStyle w:val="Textpoznpodarou"/>
        <w:numPr>
          <w:ilvl w:val="0"/>
          <w:numId w:val="39"/>
        </w:numPr>
        <w:spacing w:line="360" w:lineRule="auto"/>
        <w:jc w:val="both"/>
        <w:rPr>
          <w:rFonts w:ascii="Garamond" w:hAnsi="Garamond"/>
          <w:sz w:val="24"/>
          <w:szCs w:val="24"/>
        </w:rPr>
      </w:pPr>
      <w:r>
        <w:rPr>
          <w:rFonts w:ascii="Garamond" w:hAnsi="Garamond"/>
          <w:sz w:val="24"/>
          <w:szCs w:val="24"/>
        </w:rPr>
        <w:t>u</w:t>
      </w:r>
      <w:r w:rsidRPr="00D74B7B">
        <w:rPr>
          <w:rFonts w:ascii="Garamond" w:hAnsi="Garamond"/>
          <w:sz w:val="24"/>
          <w:szCs w:val="24"/>
        </w:rPr>
        <w:t xml:space="preserve">snesení Nejvyššího soudu ze dne 30. července 2014, </w:t>
      </w:r>
      <w:proofErr w:type="spellStart"/>
      <w:r w:rsidRPr="00D74B7B">
        <w:rPr>
          <w:rFonts w:ascii="Garamond" w:hAnsi="Garamond"/>
          <w:sz w:val="24"/>
          <w:szCs w:val="24"/>
        </w:rPr>
        <w:t>sp</w:t>
      </w:r>
      <w:proofErr w:type="spellEnd"/>
      <w:r w:rsidRPr="00D74B7B">
        <w:rPr>
          <w:rFonts w:ascii="Garamond" w:hAnsi="Garamond"/>
          <w:sz w:val="24"/>
          <w:szCs w:val="24"/>
        </w:rPr>
        <w:t xml:space="preserve">. zn. 30 </w:t>
      </w:r>
      <w:proofErr w:type="spellStart"/>
      <w:r w:rsidRPr="00D74B7B">
        <w:rPr>
          <w:rFonts w:ascii="Garamond" w:hAnsi="Garamond"/>
          <w:sz w:val="24"/>
          <w:szCs w:val="24"/>
        </w:rPr>
        <w:t>Cdo</w:t>
      </w:r>
      <w:proofErr w:type="spellEnd"/>
      <w:r w:rsidRPr="00D74B7B">
        <w:rPr>
          <w:rFonts w:ascii="Garamond" w:hAnsi="Garamond"/>
          <w:sz w:val="24"/>
          <w:szCs w:val="24"/>
        </w:rPr>
        <w:t xml:space="preserve"> 2822/2013</w:t>
      </w:r>
    </w:p>
    <w:p w14:paraId="1D216119" w14:textId="77777777" w:rsidR="00FF1E59" w:rsidRPr="00D74B7B" w:rsidRDefault="00FF1E59" w:rsidP="00FF1E59">
      <w:pPr>
        <w:pStyle w:val="Textpoznpodarou"/>
        <w:ind w:left="720"/>
        <w:jc w:val="both"/>
        <w:rPr>
          <w:rFonts w:ascii="Garamond" w:hAnsi="Garamond"/>
          <w:sz w:val="24"/>
          <w:szCs w:val="24"/>
        </w:rPr>
      </w:pPr>
    </w:p>
    <w:bookmarkEnd w:id="1"/>
    <w:p w14:paraId="4F4ECD97" w14:textId="77777777" w:rsidR="00FF1E59" w:rsidRPr="00FF1E59" w:rsidRDefault="00FF1E59" w:rsidP="00FF1E59">
      <w:pPr>
        <w:pStyle w:val="Odstavecseseznamem"/>
        <w:spacing w:line="360" w:lineRule="auto"/>
        <w:rPr>
          <w:rFonts w:ascii="Garamond" w:hAnsi="Garamond"/>
          <w:sz w:val="24"/>
          <w:szCs w:val="24"/>
        </w:rPr>
      </w:pPr>
    </w:p>
    <w:sectPr w:rsidR="00FF1E59" w:rsidRPr="00FF1E59" w:rsidSect="0082514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FC939" w14:textId="77777777" w:rsidR="00521A40" w:rsidRDefault="00521A40" w:rsidP="002574A2">
      <w:pPr>
        <w:spacing w:after="0" w:line="240" w:lineRule="auto"/>
      </w:pPr>
      <w:r>
        <w:separator/>
      </w:r>
    </w:p>
  </w:endnote>
  <w:endnote w:type="continuationSeparator" w:id="0">
    <w:p w14:paraId="573E7B5C" w14:textId="77777777" w:rsidR="00521A40" w:rsidRDefault="00521A40" w:rsidP="002574A2">
      <w:pPr>
        <w:spacing w:after="0" w:line="240" w:lineRule="auto"/>
      </w:pPr>
      <w:r>
        <w:continuationSeparator/>
      </w:r>
    </w:p>
  </w:endnote>
  <w:endnote w:type="continuationNotice" w:id="1">
    <w:p w14:paraId="4EB3DBEC" w14:textId="77777777" w:rsidR="00521A40" w:rsidRDefault="00521A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B9764" w14:textId="54EF6141" w:rsidR="00945299" w:rsidRDefault="00945299">
    <w:pPr>
      <w:pStyle w:val="Zpat"/>
      <w:jc w:val="center"/>
    </w:pPr>
  </w:p>
  <w:p w14:paraId="0DBE0CE9" w14:textId="77777777" w:rsidR="00945299" w:rsidRDefault="0094529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C46F" w14:textId="5E3D1439" w:rsidR="00945299" w:rsidRDefault="00945299" w:rsidP="0082514F">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309407"/>
      <w:docPartObj>
        <w:docPartGallery w:val="Page Numbers (Bottom of Page)"/>
        <w:docPartUnique/>
      </w:docPartObj>
    </w:sdtPr>
    <w:sdtContent>
      <w:p w14:paraId="7E2D4E1B" w14:textId="2F820F94" w:rsidR="00945299" w:rsidRDefault="00945299">
        <w:pPr>
          <w:pStyle w:val="Zpat"/>
          <w:jc w:val="center"/>
        </w:pPr>
        <w:r>
          <w:fldChar w:fldCharType="begin"/>
        </w:r>
        <w:r>
          <w:instrText>PAGE   \* MERGEFORMAT</w:instrText>
        </w:r>
        <w:r>
          <w:fldChar w:fldCharType="separate"/>
        </w:r>
        <w:r>
          <w:t>2</w:t>
        </w:r>
        <w:r>
          <w:fldChar w:fldCharType="end"/>
        </w:r>
      </w:p>
    </w:sdtContent>
  </w:sdt>
  <w:p w14:paraId="148496DD" w14:textId="77777777" w:rsidR="00945299" w:rsidRDefault="0094529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D24AC" w14:textId="77777777" w:rsidR="00521A40" w:rsidRDefault="00521A40" w:rsidP="002574A2">
      <w:pPr>
        <w:spacing w:after="0" w:line="240" w:lineRule="auto"/>
      </w:pPr>
      <w:r>
        <w:separator/>
      </w:r>
    </w:p>
  </w:footnote>
  <w:footnote w:type="continuationSeparator" w:id="0">
    <w:p w14:paraId="62000E6E" w14:textId="77777777" w:rsidR="00521A40" w:rsidRDefault="00521A40" w:rsidP="002574A2">
      <w:pPr>
        <w:spacing w:after="0" w:line="240" w:lineRule="auto"/>
      </w:pPr>
      <w:r>
        <w:continuationSeparator/>
      </w:r>
    </w:p>
  </w:footnote>
  <w:footnote w:type="continuationNotice" w:id="1">
    <w:p w14:paraId="41F4398E" w14:textId="77777777" w:rsidR="00521A40" w:rsidRDefault="00521A40">
      <w:pPr>
        <w:spacing w:after="0" w:line="240" w:lineRule="auto"/>
      </w:pPr>
    </w:p>
  </w:footnote>
  <w:footnote w:id="2">
    <w:p w14:paraId="0AB4CA01"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K tomu blíže viz </w:t>
      </w:r>
      <w:bookmarkStart w:id="9" w:name="_Hlk17855081"/>
      <w:r w:rsidRPr="0038530B">
        <w:rPr>
          <w:rFonts w:ascii="Garamond" w:hAnsi="Garamond"/>
        </w:rPr>
        <w:t>nález Ústavního soudu ze dne 7. 10. 2014, sp. zn. Pl. 39/13 bod 48</w:t>
      </w:r>
    </w:p>
    <w:bookmarkEnd w:id="9"/>
  </w:footnote>
  <w:footnote w:id="3">
    <w:p w14:paraId="54B62C1A"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Přičemž o skutečné a efektivní ochraně lze uvažovat pouze za předpokladu, že civilní proces umožňuje prosazení skutečně existujících, nikoliv však fiktivních, subjektivních soukromých práv a povinností. K tomu viz LAVICKÝ, Petr. In. </w:t>
      </w:r>
      <w:bookmarkStart w:id="10" w:name="_Hlk17855059"/>
      <w:r w:rsidRPr="0038530B">
        <w:rPr>
          <w:rFonts w:ascii="Garamond" w:hAnsi="Garamond"/>
        </w:rPr>
        <w:t xml:space="preserve">LAVICKÝ, Petr (ed). </w:t>
      </w:r>
      <w:r w:rsidRPr="0038530B">
        <w:rPr>
          <w:rFonts w:ascii="Garamond" w:hAnsi="Garamond"/>
          <w:i/>
        </w:rPr>
        <w:t xml:space="preserve">Občanský soudní řád (§ 1 až </w:t>
      </w:r>
      <w:proofErr w:type="gramStart"/>
      <w:r w:rsidRPr="0038530B">
        <w:rPr>
          <w:rFonts w:ascii="Garamond" w:hAnsi="Garamond"/>
          <w:i/>
        </w:rPr>
        <w:t>250l</w:t>
      </w:r>
      <w:proofErr w:type="gramEnd"/>
      <w:r w:rsidRPr="0038530B">
        <w:rPr>
          <w:rFonts w:ascii="Garamond" w:hAnsi="Garamond"/>
          <w:i/>
        </w:rPr>
        <w:t xml:space="preserve">). Řízení sporné. Praktický komentář. </w:t>
      </w:r>
      <w:r w:rsidRPr="0038530B">
        <w:rPr>
          <w:rFonts w:ascii="Garamond" w:hAnsi="Garamond"/>
        </w:rPr>
        <w:t>Praha: Wolters Kluwer ČR, a. s., 2016, s. 4</w:t>
      </w:r>
    </w:p>
    <w:bookmarkEnd w:id="10"/>
  </w:footnote>
  <w:footnote w:id="4">
    <w:p w14:paraId="6BC6D3EF"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w:t>
      </w:r>
      <w:bookmarkStart w:id="11" w:name="_Hlk17854975"/>
      <w:r w:rsidRPr="0038530B">
        <w:rPr>
          <w:rFonts w:ascii="Garamond" w:hAnsi="Garamond"/>
        </w:rPr>
        <w:t>HORA, V. Československé civilní právo procesní. I. – III. díl. Praha: Wolters Kluwer ČR, a. s., s. 8</w:t>
      </w:r>
      <w:bookmarkEnd w:id="11"/>
    </w:p>
  </w:footnote>
  <w:footnote w:id="5">
    <w:p w14:paraId="45BD66A5"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Ke vzniku sporu uvádí </w:t>
      </w:r>
      <w:proofErr w:type="gramStart"/>
      <w:r w:rsidRPr="0038530B">
        <w:rPr>
          <w:rFonts w:ascii="Garamond" w:hAnsi="Garamond"/>
        </w:rPr>
        <w:t>prof.Emil</w:t>
      </w:r>
      <w:proofErr w:type="gramEnd"/>
      <w:r w:rsidRPr="0038530B">
        <w:rPr>
          <w:rFonts w:ascii="Garamond" w:hAnsi="Garamond"/>
        </w:rPr>
        <w:t xml:space="preserve"> Ott následující: </w:t>
      </w:r>
      <w:r w:rsidRPr="0038530B">
        <w:rPr>
          <w:rFonts w:ascii="Garamond" w:hAnsi="Garamond"/>
          <w:i/>
        </w:rPr>
        <w:t xml:space="preserve">„Srážkou vůle dvou osob odvolávajících se k zákonu vzhledem k témuž skutkovému poměru, z nichž jedna hájí stav, jaký jest, druhá o změnu jeho usiluje, vzniká spor.“ </w:t>
      </w:r>
      <w:r w:rsidRPr="0038530B">
        <w:rPr>
          <w:rFonts w:ascii="Garamond" w:hAnsi="Garamond"/>
        </w:rPr>
        <w:t xml:space="preserve">Viz </w:t>
      </w:r>
      <w:bookmarkStart w:id="12" w:name="_Hlk17854998"/>
      <w:r w:rsidRPr="0038530B">
        <w:rPr>
          <w:rFonts w:ascii="Garamond" w:hAnsi="Garamond"/>
        </w:rPr>
        <w:t xml:space="preserve">OTT. E. </w:t>
      </w:r>
      <w:r w:rsidRPr="0038530B">
        <w:rPr>
          <w:rFonts w:ascii="Garamond" w:hAnsi="Garamond"/>
          <w:i/>
        </w:rPr>
        <w:t>Soustavný úvod ve studiu m nového řízení soudního.</w:t>
      </w:r>
      <w:r w:rsidRPr="0038530B">
        <w:rPr>
          <w:rFonts w:ascii="Garamond" w:hAnsi="Garamond"/>
        </w:rPr>
        <w:t xml:space="preserve"> I. Díl. Praha: Wolters Kluwer ČR, 2012., s. 1</w:t>
      </w:r>
    </w:p>
    <w:bookmarkEnd w:id="12"/>
  </w:footnote>
  <w:footnote w:id="6">
    <w:p w14:paraId="0E17944C"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w:t>
      </w:r>
      <w:bookmarkStart w:id="13" w:name="_Hlk17855010"/>
      <w:r w:rsidRPr="0038530B">
        <w:rPr>
          <w:rFonts w:ascii="Garamond" w:hAnsi="Garamond"/>
        </w:rPr>
        <w:t xml:space="preserve">WINTEROVÁ, Alena a kol. </w:t>
      </w:r>
      <w:r w:rsidRPr="0038530B">
        <w:rPr>
          <w:rFonts w:ascii="Garamond" w:hAnsi="Garamond"/>
          <w:i/>
        </w:rPr>
        <w:t xml:space="preserve">Civilní právo procesní. Díl první: řízení nalézací. </w:t>
      </w:r>
      <w:r w:rsidRPr="0038530B">
        <w:rPr>
          <w:rFonts w:ascii="Garamond" w:hAnsi="Garamond"/>
        </w:rPr>
        <w:t>9. vydání. Praha: Leges, 2018. s. 38</w:t>
      </w:r>
    </w:p>
    <w:bookmarkEnd w:id="13"/>
  </w:footnote>
  <w:footnote w:id="7">
    <w:p w14:paraId="39A0DE9C"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w:t>
      </w:r>
      <w:bookmarkStart w:id="14" w:name="_Hlk17855029"/>
      <w:r w:rsidRPr="0038530B">
        <w:rPr>
          <w:rFonts w:ascii="Garamond" w:hAnsi="Garamond"/>
        </w:rPr>
        <w:t xml:space="preserve">MACUR, Josef. Vyšetřovací důkaz v civilním soudním řízení. </w:t>
      </w:r>
      <w:r w:rsidRPr="0038530B">
        <w:rPr>
          <w:rFonts w:ascii="Garamond" w:hAnsi="Garamond"/>
          <w:i/>
        </w:rPr>
        <w:t>Právní rozhledy</w:t>
      </w:r>
      <w:r w:rsidRPr="0038530B">
        <w:rPr>
          <w:rFonts w:ascii="Garamond" w:hAnsi="Garamond"/>
        </w:rPr>
        <w:t>, 2000, roč. 8, č. 2, s. 46</w:t>
      </w:r>
      <w:bookmarkEnd w:id="14"/>
    </w:p>
  </w:footnote>
  <w:footnote w:id="8">
    <w:p w14:paraId="6B88C695"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Tamtéž.</w:t>
      </w:r>
    </w:p>
  </w:footnote>
  <w:footnote w:id="9">
    <w:p w14:paraId="79374001"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w:t>
      </w:r>
      <w:bookmarkStart w:id="15" w:name="_Hlk17855128"/>
      <w:r w:rsidRPr="0038530B">
        <w:rPr>
          <w:rFonts w:ascii="Garamond" w:hAnsi="Garamond"/>
        </w:rPr>
        <w:t>MACUR, Josef. Kompenzace informačního deficitu procesní strany v civilním soudním řízení. 1. vydání. Brmo: Masarykova univerzita, 2000. s. 8</w:t>
      </w:r>
      <w:bookmarkEnd w:id="15"/>
    </w:p>
  </w:footnote>
  <w:footnote w:id="10">
    <w:p w14:paraId="579F6C8F"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Dle Dr. Svobody lze informační deficit vyjma výčtu konkrétních případů také podle příčin vzniku, přičemž z tohoto hlediska lze, dle autora, rozlišit dvě příčiny vzniku deficitu. Za prvé je onou příčinou nemožnost účastníka zjistit skutkové informace nutné pro podání žaloby či vedení samotného řízení. Za druhé neznalost skutkových či právních úvah, jimiž se budou řídit soud nebo znalec během řízení, a jež jsou důležité pro formulování petitu. K tomu viz </w:t>
      </w:r>
      <w:bookmarkStart w:id="16" w:name="_Hlk17437786"/>
      <w:bookmarkStart w:id="17" w:name="_Hlk17855183"/>
      <w:r w:rsidRPr="0038530B">
        <w:rPr>
          <w:rFonts w:ascii="Garamond" w:hAnsi="Garamond"/>
        </w:rPr>
        <w:t xml:space="preserve">SVOBODA, Karel. </w:t>
      </w:r>
      <w:r w:rsidRPr="0038530B">
        <w:rPr>
          <w:rFonts w:ascii="Garamond" w:hAnsi="Garamond"/>
          <w:i/>
        </w:rPr>
        <w:t>Dokazování.</w:t>
      </w:r>
      <w:r w:rsidRPr="0038530B">
        <w:rPr>
          <w:rFonts w:ascii="Garamond" w:hAnsi="Garamond"/>
        </w:rPr>
        <w:t xml:space="preserve"> Praha: ASPI – Wolters Kluwer, 2009, s. 100</w:t>
      </w:r>
      <w:bookmarkEnd w:id="16"/>
    </w:p>
    <w:bookmarkEnd w:id="17"/>
  </w:footnote>
  <w:footnote w:id="11">
    <w:p w14:paraId="1A149014" w14:textId="7CBD547A"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w:t>
      </w:r>
      <w:bookmarkStart w:id="18" w:name="_Hlk17855214"/>
      <w:r w:rsidRPr="0038530B">
        <w:rPr>
          <w:rFonts w:ascii="Garamond" w:hAnsi="Garamond"/>
        </w:rPr>
        <w:t xml:space="preserve">KOVÁŘOVÁ KOCHOVÁ, Ingrid. </w:t>
      </w:r>
      <w:r w:rsidRPr="0038530B">
        <w:rPr>
          <w:rFonts w:ascii="Garamond" w:hAnsi="Garamond"/>
          <w:i/>
        </w:rPr>
        <w:t xml:space="preserve">UST. §120 odst..3 O. S. Ř. Ve světle navrhované novely občanského soudního řád (Vyšetřovací důkaz ve sporném řízení?). </w:t>
      </w:r>
      <w:r w:rsidRPr="0038530B">
        <w:rPr>
          <w:rFonts w:ascii="Garamond" w:hAnsi="Garamond"/>
        </w:rPr>
        <w:t xml:space="preserve">In SEHNÁLEK, David a kol. (ed.) </w:t>
      </w:r>
      <w:r w:rsidRPr="0038530B">
        <w:rPr>
          <w:rFonts w:ascii="Garamond" w:hAnsi="Garamond"/>
          <w:i/>
        </w:rPr>
        <w:t xml:space="preserve">Dny práva – 2008 – Days of Law. </w:t>
      </w:r>
      <w:r w:rsidRPr="0038530B">
        <w:rPr>
          <w:rFonts w:ascii="Garamond" w:hAnsi="Garamond"/>
        </w:rPr>
        <w:t xml:space="preserve">1. vydání. Brno: Tribun EU s. r. </w:t>
      </w:r>
      <w:proofErr w:type="gramStart"/>
      <w:r w:rsidRPr="0038530B">
        <w:rPr>
          <w:rFonts w:ascii="Garamond" w:hAnsi="Garamond"/>
        </w:rPr>
        <w:t>o. ,</w:t>
      </w:r>
      <w:proofErr w:type="gramEnd"/>
      <w:r w:rsidRPr="0038530B">
        <w:rPr>
          <w:rFonts w:ascii="Garamond" w:hAnsi="Garamond"/>
        </w:rPr>
        <w:t xml:space="preserve"> 2008. s. 941</w:t>
      </w:r>
      <w:bookmarkEnd w:id="18"/>
    </w:p>
  </w:footnote>
  <w:footnote w:id="12">
    <w:p w14:paraId="21E818D9"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MACUR, Josef. Kompenzace informačního deficitu procesní strany v civilním soudním řízení. 1. vydání. Brmo: Masarykova univerzita, 2000. s. 8</w:t>
      </w:r>
    </w:p>
  </w:footnote>
  <w:footnote w:id="13">
    <w:p w14:paraId="600DFE8B" w14:textId="5F809122"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w:t>
      </w:r>
      <w:r>
        <w:rPr>
          <w:rFonts w:ascii="Garamond" w:hAnsi="Garamond"/>
        </w:rPr>
        <w:t>Tamtéž, s 9</w:t>
      </w:r>
    </w:p>
  </w:footnote>
  <w:footnote w:id="14">
    <w:p w14:paraId="13EAFFCD" w14:textId="6A32622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MACUR, Josef. Kompenzace informačního deficitu procesní strany v civilním soudním řízení. 1. vydání. </w:t>
      </w:r>
      <w:proofErr w:type="spellStart"/>
      <w:r w:rsidRPr="0038530B">
        <w:rPr>
          <w:rFonts w:ascii="Garamond" w:hAnsi="Garamond"/>
        </w:rPr>
        <w:t>Brmo</w:t>
      </w:r>
      <w:proofErr w:type="spellEnd"/>
      <w:r w:rsidRPr="0038530B">
        <w:rPr>
          <w:rFonts w:ascii="Garamond" w:hAnsi="Garamond"/>
        </w:rPr>
        <w:t xml:space="preserve">: Masarykova univerzita, 2000. s. </w:t>
      </w:r>
      <w:r>
        <w:rPr>
          <w:rFonts w:ascii="Garamond" w:hAnsi="Garamond"/>
        </w:rPr>
        <w:t>10</w:t>
      </w:r>
    </w:p>
  </w:footnote>
  <w:footnote w:id="15">
    <w:p w14:paraId="39642521"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MACUR, Josef. Vyšetřovací důkaz v civilním soudním řízení. </w:t>
      </w:r>
      <w:r w:rsidRPr="0038530B">
        <w:rPr>
          <w:rFonts w:ascii="Garamond" w:hAnsi="Garamond"/>
          <w:i/>
        </w:rPr>
        <w:t>Právní rozhledy</w:t>
      </w:r>
      <w:r w:rsidRPr="0038530B">
        <w:rPr>
          <w:rFonts w:ascii="Garamond" w:hAnsi="Garamond"/>
        </w:rPr>
        <w:t>, 2000, roč. 8, č. 2, s. 46</w:t>
      </w:r>
    </w:p>
  </w:footnote>
  <w:footnote w:id="16">
    <w:p w14:paraId="51F12BAB"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w:t>
      </w:r>
      <w:bookmarkStart w:id="21" w:name="_Hlk17396606"/>
      <w:r w:rsidRPr="0038530B">
        <w:rPr>
          <w:rFonts w:ascii="Garamond" w:hAnsi="Garamond"/>
        </w:rPr>
        <w:t xml:space="preserve">MACUR, Josef. </w:t>
      </w:r>
      <w:r w:rsidRPr="0038530B">
        <w:rPr>
          <w:rFonts w:ascii="Garamond" w:hAnsi="Garamond"/>
          <w:i/>
        </w:rPr>
        <w:t xml:space="preserve">Kompenzace informačního deficitu procesní strany v civilním soudním řízení. </w:t>
      </w:r>
      <w:r w:rsidRPr="0038530B">
        <w:rPr>
          <w:rFonts w:ascii="Garamond" w:hAnsi="Garamond"/>
        </w:rPr>
        <w:t>1. vydání. Brmo: Masarykova univerzita, 2000. s. 10</w:t>
      </w:r>
      <w:bookmarkEnd w:id="21"/>
    </w:p>
  </w:footnote>
  <w:footnote w:id="17">
    <w:p w14:paraId="2C25204E" w14:textId="2BB9FD72"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w:t>
      </w:r>
      <w:r>
        <w:rPr>
          <w:rFonts w:ascii="Garamond" w:hAnsi="Garamond"/>
        </w:rPr>
        <w:t>Tamtéž, s.</w:t>
      </w:r>
      <w:r w:rsidRPr="0038530B">
        <w:rPr>
          <w:rFonts w:ascii="Garamond" w:hAnsi="Garamond"/>
        </w:rPr>
        <w:t xml:space="preserve"> 11</w:t>
      </w:r>
    </w:p>
  </w:footnote>
  <w:footnote w:id="18">
    <w:p w14:paraId="06E14D50" w14:textId="0C701680"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MACUR, Josef. Vyšetřovací důkaz v civilním soudním řízení. </w:t>
      </w:r>
      <w:r w:rsidRPr="0038530B">
        <w:rPr>
          <w:rFonts w:ascii="Garamond" w:hAnsi="Garamond"/>
          <w:i/>
        </w:rPr>
        <w:t>Právní rozhledy</w:t>
      </w:r>
      <w:r w:rsidRPr="0038530B">
        <w:rPr>
          <w:rFonts w:ascii="Garamond" w:hAnsi="Garamond"/>
        </w:rPr>
        <w:t>, 2000, roč. 8, č. 2, s. 47</w:t>
      </w:r>
    </w:p>
  </w:footnote>
  <w:footnote w:id="19">
    <w:p w14:paraId="0C5F9C48"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MACUR, Josef. </w:t>
      </w:r>
      <w:r w:rsidRPr="0038530B">
        <w:rPr>
          <w:rFonts w:ascii="Garamond" w:hAnsi="Garamond"/>
          <w:i/>
        </w:rPr>
        <w:t xml:space="preserve">Kompenzace informačního deficitu procesní strany v civilním soudním řízení. </w:t>
      </w:r>
      <w:r w:rsidRPr="0038530B">
        <w:rPr>
          <w:rFonts w:ascii="Garamond" w:hAnsi="Garamond"/>
        </w:rPr>
        <w:t>1. vydání. Brmo: Masarykova univerzita, 2000. s. 16</w:t>
      </w:r>
    </w:p>
  </w:footnote>
  <w:footnote w:id="20">
    <w:p w14:paraId="4AFB1BB2" w14:textId="315EA56A"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Tamtéž.</w:t>
      </w:r>
    </w:p>
  </w:footnote>
  <w:footnote w:id="21">
    <w:p w14:paraId="1E625595"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MACUR, Josef. Vyšetřovací důkaz v civilním soudním řízení. </w:t>
      </w:r>
      <w:r w:rsidRPr="0038530B">
        <w:rPr>
          <w:rFonts w:ascii="Garamond" w:hAnsi="Garamond"/>
          <w:i/>
        </w:rPr>
        <w:t>Právní rozhledy</w:t>
      </w:r>
      <w:r w:rsidRPr="0038530B">
        <w:rPr>
          <w:rFonts w:ascii="Garamond" w:hAnsi="Garamond"/>
        </w:rPr>
        <w:t>, 2000, roč. 8, č. 2, s. 47</w:t>
      </w:r>
    </w:p>
  </w:footnote>
  <w:footnote w:id="22">
    <w:p w14:paraId="3D79E768"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MACUR, Josef. </w:t>
      </w:r>
      <w:r w:rsidRPr="0038530B">
        <w:rPr>
          <w:rFonts w:ascii="Garamond" w:hAnsi="Garamond"/>
          <w:i/>
        </w:rPr>
        <w:t xml:space="preserve">Kompenzace informačního deficitu procesní strany v civilním soudním řízení. </w:t>
      </w:r>
      <w:r w:rsidRPr="0038530B">
        <w:rPr>
          <w:rFonts w:ascii="Garamond" w:hAnsi="Garamond"/>
        </w:rPr>
        <w:t>1. vydání. Brmo: Masarykova univerzita, 2000. s. 18</w:t>
      </w:r>
    </w:p>
  </w:footnote>
  <w:footnote w:id="23">
    <w:p w14:paraId="08AF560E" w14:textId="7E8F1A86"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w:t>
      </w:r>
      <w:r>
        <w:rPr>
          <w:rFonts w:ascii="Garamond" w:hAnsi="Garamond"/>
        </w:rPr>
        <w:t>Tamtéž.</w:t>
      </w:r>
    </w:p>
  </w:footnote>
  <w:footnote w:id="24">
    <w:p w14:paraId="4984FF52"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Dr. Svoboda k vymezení pojmu vyšetřovacího důkazu uvádí: </w:t>
      </w:r>
      <w:r w:rsidRPr="0038530B">
        <w:rPr>
          <w:rFonts w:ascii="Garamond" w:hAnsi="Garamond"/>
          <w:i/>
        </w:rPr>
        <w:t xml:space="preserve">„Vyšetřovací důkaz je neurčitým pojmem proto, že se jej procesualisté vlastně ani nesnaží definovat. Jen jeho prostřednictvím vyjadřují svůj postoj, za jakých okolností by soud měl stranám poskytnout součinnost, pokud samy nejsou schopny unést své břemeno tvrzení a břemeno důkazní.“ </w:t>
      </w:r>
      <w:r w:rsidRPr="0038530B">
        <w:rPr>
          <w:rFonts w:ascii="Garamond" w:hAnsi="Garamond"/>
        </w:rPr>
        <w:t>Viz SVOBODA, Karel. Dokazování. Praha: ASPI – Wolters Kluwer, 2009, s. 120</w:t>
      </w:r>
    </w:p>
  </w:footnote>
  <w:footnote w:id="25">
    <w:p w14:paraId="0E43DB63"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Peters, E.: Ausforschungsbeweis im Zivilprozess, Köln – Berlin. 1966, str. 15 a 16 In MACUR, Josef. </w:t>
      </w:r>
      <w:r w:rsidRPr="0038530B">
        <w:rPr>
          <w:rFonts w:ascii="Garamond" w:hAnsi="Garamond"/>
          <w:i/>
        </w:rPr>
        <w:t xml:space="preserve">Kompenzace informačního deficitu procesní strany v civilním soudním řízení. </w:t>
      </w:r>
      <w:r w:rsidRPr="0038530B">
        <w:rPr>
          <w:rFonts w:ascii="Garamond" w:hAnsi="Garamond"/>
        </w:rPr>
        <w:t>1. vydání. Brmo: Masarykova univerzita, 2000. s. 19</w:t>
      </w:r>
    </w:p>
  </w:footnote>
  <w:footnote w:id="26">
    <w:p w14:paraId="5C441C56"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MACUR, Josef. </w:t>
      </w:r>
      <w:r w:rsidRPr="0038530B">
        <w:rPr>
          <w:rFonts w:ascii="Garamond" w:hAnsi="Garamond"/>
          <w:i/>
        </w:rPr>
        <w:t xml:space="preserve">Kompenzace informačního deficitu procesní strany v civilním soudním řízení. </w:t>
      </w:r>
      <w:r w:rsidRPr="0038530B">
        <w:rPr>
          <w:rFonts w:ascii="Garamond" w:hAnsi="Garamond"/>
        </w:rPr>
        <w:t>1. vydání. Brmo: Masarykova univerzita, 2000. s. 19</w:t>
      </w:r>
    </w:p>
  </w:footnote>
  <w:footnote w:id="27">
    <w:p w14:paraId="3BFFF200"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SVOBODA, Karel. </w:t>
      </w:r>
      <w:r w:rsidRPr="0038530B">
        <w:rPr>
          <w:rFonts w:ascii="Garamond" w:hAnsi="Garamond"/>
          <w:i/>
        </w:rPr>
        <w:t xml:space="preserve">Dokazování. </w:t>
      </w:r>
      <w:r w:rsidRPr="0038530B">
        <w:rPr>
          <w:rFonts w:ascii="Garamond" w:hAnsi="Garamond"/>
        </w:rPr>
        <w:t>Praha: ASPI – Wolters Kluwer, 2009, s. 121</w:t>
      </w:r>
    </w:p>
  </w:footnote>
  <w:footnote w:id="28">
    <w:p w14:paraId="64F3ACE9" w14:textId="6A66192E"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w:t>
      </w:r>
      <w:r>
        <w:rPr>
          <w:rFonts w:ascii="Garamond" w:hAnsi="Garamond"/>
        </w:rPr>
        <w:t>Tamtéž.</w:t>
      </w:r>
    </w:p>
  </w:footnote>
  <w:footnote w:id="29">
    <w:p w14:paraId="733D4859" w14:textId="380E94C6" w:rsidR="00945299" w:rsidRPr="0038530B" w:rsidRDefault="00945299" w:rsidP="007163A7">
      <w:pPr>
        <w:pStyle w:val="Textpoznpodarou"/>
        <w:jc w:val="both"/>
        <w:rPr>
          <w:rFonts w:ascii="Garamond" w:hAnsi="Garamond"/>
          <w:i/>
        </w:rPr>
      </w:pPr>
      <w:r w:rsidRPr="0038530B">
        <w:rPr>
          <w:rStyle w:val="Znakapoznpodarou"/>
          <w:rFonts w:ascii="Garamond" w:hAnsi="Garamond"/>
        </w:rPr>
        <w:footnoteRef/>
      </w:r>
      <w:r w:rsidRPr="0038530B">
        <w:rPr>
          <w:rFonts w:ascii="Garamond" w:hAnsi="Garamond"/>
        </w:rPr>
        <w:t xml:space="preserve"> Viz původní formulace § 120 odst. </w:t>
      </w:r>
      <w:proofErr w:type="gramStart"/>
      <w:r w:rsidRPr="0038530B">
        <w:rPr>
          <w:rFonts w:ascii="Garamond" w:hAnsi="Garamond"/>
        </w:rPr>
        <w:t>3 :</w:t>
      </w:r>
      <w:proofErr w:type="gramEnd"/>
      <w:r w:rsidRPr="0038530B">
        <w:rPr>
          <w:rFonts w:ascii="Garamond" w:hAnsi="Garamond" w:cs="Arial"/>
        </w:rPr>
        <w:t xml:space="preserve"> </w:t>
      </w:r>
      <w:r w:rsidRPr="0038530B">
        <w:rPr>
          <w:rFonts w:ascii="Garamond" w:hAnsi="Garamond" w:cs="Arial"/>
          <w:i/>
        </w:rPr>
        <w:t>„Nejde-li o řízení uvedená v odstavci 2, může soud provést jiné než účastníky navržené důkazy v případech, kdy potřeba jejich provedení ke zjištění skutkového stavu vyšla v řízení najevo…“</w:t>
      </w:r>
    </w:p>
  </w:footnote>
  <w:footnote w:id="30">
    <w:p w14:paraId="110D7925"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SVOBODA, Karel. </w:t>
      </w:r>
      <w:r w:rsidRPr="0038530B">
        <w:rPr>
          <w:rFonts w:ascii="Garamond" w:hAnsi="Garamond"/>
          <w:i/>
        </w:rPr>
        <w:t xml:space="preserve">Dokazování. </w:t>
      </w:r>
      <w:r w:rsidRPr="0038530B">
        <w:rPr>
          <w:rFonts w:ascii="Garamond" w:hAnsi="Garamond"/>
        </w:rPr>
        <w:t>Praha: ASPI – Wolters Kluwer, 2009, s. 122</w:t>
      </w:r>
    </w:p>
  </w:footnote>
  <w:footnote w:id="31">
    <w:p w14:paraId="4CED28D4"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Tamtéž.</w:t>
      </w:r>
    </w:p>
  </w:footnote>
  <w:footnote w:id="32">
    <w:p w14:paraId="4144232F" w14:textId="631970AD"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SVOBODA, Karel. </w:t>
      </w:r>
      <w:r w:rsidRPr="0038530B">
        <w:rPr>
          <w:rFonts w:ascii="Garamond" w:hAnsi="Garamond"/>
          <w:i/>
        </w:rPr>
        <w:t xml:space="preserve">Dokazování. </w:t>
      </w:r>
      <w:r w:rsidRPr="0038530B">
        <w:rPr>
          <w:rFonts w:ascii="Garamond" w:hAnsi="Garamond"/>
        </w:rPr>
        <w:t xml:space="preserve">Praha: ASPI – </w:t>
      </w:r>
      <w:proofErr w:type="spellStart"/>
      <w:r w:rsidRPr="0038530B">
        <w:rPr>
          <w:rFonts w:ascii="Garamond" w:hAnsi="Garamond"/>
        </w:rPr>
        <w:t>Wolters</w:t>
      </w:r>
      <w:proofErr w:type="spellEnd"/>
      <w:r w:rsidRPr="0038530B">
        <w:rPr>
          <w:rFonts w:ascii="Garamond" w:hAnsi="Garamond"/>
        </w:rPr>
        <w:t xml:space="preserve"> </w:t>
      </w:r>
      <w:proofErr w:type="spellStart"/>
      <w:r w:rsidRPr="0038530B">
        <w:rPr>
          <w:rFonts w:ascii="Garamond" w:hAnsi="Garamond"/>
        </w:rPr>
        <w:t>Kluwer</w:t>
      </w:r>
      <w:proofErr w:type="spellEnd"/>
      <w:r w:rsidRPr="0038530B">
        <w:rPr>
          <w:rFonts w:ascii="Garamond" w:hAnsi="Garamond"/>
        </w:rPr>
        <w:t>, 2009, s. 12</w:t>
      </w:r>
      <w:r>
        <w:rPr>
          <w:rFonts w:ascii="Garamond" w:hAnsi="Garamond"/>
        </w:rPr>
        <w:t>3</w:t>
      </w:r>
    </w:p>
  </w:footnote>
  <w:footnote w:id="33">
    <w:p w14:paraId="6E069791"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Viz § 6 aktuální znění: </w:t>
      </w:r>
      <w:bookmarkStart w:id="23" w:name="_Hlk17855294"/>
      <w:r w:rsidRPr="0038530B">
        <w:rPr>
          <w:rFonts w:ascii="Garamond" w:hAnsi="Garamond"/>
        </w:rPr>
        <w:t>zákon číslo 99/1963, občanský soudní řád, ve znění pozdějších předpisů</w:t>
      </w:r>
      <w:bookmarkEnd w:id="23"/>
      <w:r w:rsidRPr="0038530B">
        <w:rPr>
          <w:rFonts w:ascii="Garamond" w:hAnsi="Garamond"/>
        </w:rPr>
        <w:t xml:space="preserve">: </w:t>
      </w:r>
      <w:r w:rsidRPr="0038530B">
        <w:rPr>
          <w:rFonts w:ascii="Garamond" w:hAnsi="Garamond"/>
          <w:i/>
        </w:rPr>
        <w:t>„</w:t>
      </w:r>
      <w:r w:rsidRPr="0038530B">
        <w:rPr>
          <w:rFonts w:ascii="Garamond" w:hAnsi="Garamond" w:cs="Arial"/>
          <w:i/>
        </w:rPr>
        <w:t xml:space="preserve">V řízení postupuje soud předvídatelně a v součinnosti s účastníky řízení tak, aby ochrana práv byla rychlá a účinná...“ </w:t>
      </w:r>
      <w:r w:rsidRPr="0038530B">
        <w:rPr>
          <w:rFonts w:ascii="Garamond" w:hAnsi="Garamond" w:cs="Arial"/>
        </w:rPr>
        <w:t xml:space="preserve">K tomu dále: </w:t>
      </w:r>
      <w:r w:rsidRPr="0038530B">
        <w:rPr>
          <w:rFonts w:ascii="Garamond" w:hAnsi="Garamond" w:cs="Arial"/>
          <w:i/>
        </w:rPr>
        <w:t xml:space="preserve">„Obecná součinnost soudu s účastníky ve smyslu § 6 spočívá jednak v naplňování obecné a speciální poučovací povinnosti ze strany soudu (viz § 5), jednak v širší kooperaci přesahující pouhou poučovací povinnost.“ </w:t>
      </w:r>
      <w:r w:rsidRPr="0038530B">
        <w:rPr>
          <w:rFonts w:ascii="Garamond" w:hAnsi="Garamond" w:cs="Arial"/>
        </w:rPr>
        <w:t xml:space="preserve">Viz SVOBODA, Karel. In </w:t>
      </w:r>
      <w:r w:rsidRPr="0038530B">
        <w:rPr>
          <w:rFonts w:ascii="Garamond" w:hAnsi="Garamond" w:cs="Arial"/>
          <w:bCs/>
          <w:iCs/>
        </w:rPr>
        <w:t>Svoboda K., Smolík P., Levý J., Šínová R. (ed). Občanský soudní řád. Komentář. 2. vydání. Praha: C. H. Beck, 2017, s. 9</w:t>
      </w:r>
    </w:p>
  </w:footnote>
  <w:footnote w:id="34">
    <w:p w14:paraId="0DF1792F"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SVOBODA, Karel. </w:t>
      </w:r>
      <w:r w:rsidRPr="0038530B">
        <w:rPr>
          <w:rFonts w:ascii="Garamond" w:hAnsi="Garamond"/>
          <w:i/>
        </w:rPr>
        <w:t xml:space="preserve">Dokazování. </w:t>
      </w:r>
      <w:r w:rsidRPr="0038530B">
        <w:rPr>
          <w:rFonts w:ascii="Garamond" w:hAnsi="Garamond"/>
        </w:rPr>
        <w:t>Praha: ASPI – Wolters Kluwer, 2009, s. 123</w:t>
      </w:r>
    </w:p>
  </w:footnote>
  <w:footnote w:id="35">
    <w:p w14:paraId="03C2BBF2"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MACUR, Josef. Vysvětlovací povinnost strany nezatížené důkazním břemenem v civilním soudním řízení. </w:t>
      </w:r>
      <w:r w:rsidRPr="0038530B">
        <w:rPr>
          <w:rFonts w:ascii="Garamond" w:hAnsi="Garamond"/>
          <w:i/>
        </w:rPr>
        <w:t>Právní rozhledy</w:t>
      </w:r>
      <w:r w:rsidRPr="0038530B">
        <w:rPr>
          <w:rFonts w:ascii="Garamond" w:hAnsi="Garamond"/>
        </w:rPr>
        <w:t>, 2000, roč. 8, č. 5, s. 200</w:t>
      </w:r>
    </w:p>
  </w:footnote>
  <w:footnote w:id="36">
    <w:p w14:paraId="60B0EB69"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w:t>
      </w:r>
      <w:bookmarkStart w:id="26" w:name="_Hlk17213011"/>
      <w:r w:rsidRPr="0038530B">
        <w:rPr>
          <w:rFonts w:ascii="Garamond" w:hAnsi="Garamond"/>
        </w:rPr>
        <w:t xml:space="preserve">MACUR, Josef. </w:t>
      </w:r>
      <w:r w:rsidRPr="0038530B">
        <w:rPr>
          <w:rFonts w:ascii="Garamond" w:hAnsi="Garamond"/>
          <w:i/>
        </w:rPr>
        <w:t>Kompenzace informačního deficitu procesní strany v civilním soudním sporu.</w:t>
      </w:r>
      <w:r w:rsidRPr="0038530B">
        <w:rPr>
          <w:rFonts w:ascii="Garamond" w:hAnsi="Garamond"/>
        </w:rPr>
        <w:t xml:space="preserve"> Brno: Masarykova univerzita, 2000, s. 97</w:t>
      </w:r>
      <w:bookmarkEnd w:id="26"/>
    </w:p>
  </w:footnote>
  <w:footnote w:id="37">
    <w:p w14:paraId="7E43F355"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LAVICKÝ, Petr. In. LAVICKÝ, Petr (ed). </w:t>
      </w:r>
      <w:r w:rsidRPr="0038530B">
        <w:rPr>
          <w:rFonts w:ascii="Garamond" w:hAnsi="Garamond"/>
          <w:i/>
        </w:rPr>
        <w:t xml:space="preserve">Občanský soudní řád (§ 1 až </w:t>
      </w:r>
      <w:proofErr w:type="gramStart"/>
      <w:r w:rsidRPr="0038530B">
        <w:rPr>
          <w:rFonts w:ascii="Garamond" w:hAnsi="Garamond"/>
          <w:i/>
        </w:rPr>
        <w:t>250l</w:t>
      </w:r>
      <w:proofErr w:type="gramEnd"/>
      <w:r w:rsidRPr="0038530B">
        <w:rPr>
          <w:rFonts w:ascii="Garamond" w:hAnsi="Garamond"/>
          <w:i/>
        </w:rPr>
        <w:t xml:space="preserve">). Řízení sporné. Praktický komentář. </w:t>
      </w:r>
      <w:r w:rsidRPr="0038530B">
        <w:rPr>
          <w:rFonts w:ascii="Garamond" w:hAnsi="Garamond"/>
        </w:rPr>
        <w:t>Praha: Wolters Kluwer ČR, a. s., 2016, s. 592</w:t>
      </w:r>
    </w:p>
  </w:footnote>
  <w:footnote w:id="38">
    <w:p w14:paraId="0FDAFC11"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MACUR, Josef. </w:t>
      </w:r>
      <w:r w:rsidRPr="0038530B">
        <w:rPr>
          <w:rFonts w:ascii="Garamond" w:hAnsi="Garamond"/>
          <w:i/>
        </w:rPr>
        <w:t>Kompenzace informačního deficitu procesní strany v civilním soudním sporu.</w:t>
      </w:r>
      <w:r w:rsidRPr="0038530B">
        <w:rPr>
          <w:rFonts w:ascii="Garamond" w:hAnsi="Garamond"/>
        </w:rPr>
        <w:t xml:space="preserve"> Brno: Masarykova univerzita, 2000, s. 98</w:t>
      </w:r>
    </w:p>
  </w:footnote>
  <w:footnote w:id="39">
    <w:p w14:paraId="5F04D923" w14:textId="5A0B5FD2"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w:t>
      </w:r>
      <w:r>
        <w:rPr>
          <w:rFonts w:ascii="Garamond" w:hAnsi="Garamond"/>
        </w:rPr>
        <w:t>Tamtéž, s. 96</w:t>
      </w:r>
    </w:p>
  </w:footnote>
  <w:footnote w:id="40">
    <w:p w14:paraId="580B000F" w14:textId="55AD378A"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Tamtéž, s. 124</w:t>
      </w:r>
    </w:p>
  </w:footnote>
  <w:footnote w:id="41">
    <w:p w14:paraId="390E3251" w14:textId="0167EEFC"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Tamtéž</w:t>
      </w:r>
      <w:r>
        <w:rPr>
          <w:rFonts w:ascii="Garamond" w:hAnsi="Garamond"/>
        </w:rPr>
        <w:t>.</w:t>
      </w:r>
    </w:p>
  </w:footnote>
  <w:footnote w:id="42">
    <w:p w14:paraId="70AD125B"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MACUR, Josef. </w:t>
      </w:r>
      <w:r w:rsidRPr="0038530B">
        <w:rPr>
          <w:rFonts w:ascii="Garamond" w:hAnsi="Garamond"/>
          <w:i/>
        </w:rPr>
        <w:t>Kompenzace informačního deficitu procesní strany v civilním soudním sporu.</w:t>
      </w:r>
      <w:r w:rsidRPr="0038530B">
        <w:rPr>
          <w:rFonts w:ascii="Garamond" w:hAnsi="Garamond"/>
        </w:rPr>
        <w:t xml:space="preserve"> Brno: Masarykova univerzita, 2000, s. 124</w:t>
      </w:r>
    </w:p>
  </w:footnote>
  <w:footnote w:id="43">
    <w:p w14:paraId="3AA63175"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Tamtéž</w:t>
      </w:r>
    </w:p>
  </w:footnote>
  <w:footnote w:id="44">
    <w:p w14:paraId="14C42DD9" w14:textId="20FF70E1"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Tamtéž, s. 127</w:t>
      </w:r>
    </w:p>
  </w:footnote>
  <w:footnote w:id="45">
    <w:p w14:paraId="451F973A"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Tamtéž</w:t>
      </w:r>
    </w:p>
  </w:footnote>
  <w:footnote w:id="46">
    <w:p w14:paraId="67F96B27" w14:textId="0BC0C878"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MACUR, Josef. </w:t>
      </w:r>
      <w:r w:rsidRPr="0038530B">
        <w:rPr>
          <w:rFonts w:ascii="Garamond" w:hAnsi="Garamond"/>
          <w:i/>
        </w:rPr>
        <w:t>Kompenzace informačního deficitu procesní strany v civilním soudním sporu.</w:t>
      </w:r>
      <w:r w:rsidRPr="0038530B">
        <w:rPr>
          <w:rFonts w:ascii="Garamond" w:hAnsi="Garamond"/>
        </w:rPr>
        <w:t xml:space="preserve"> Brno: Masarykova univerzita, 2000, s. 12</w:t>
      </w:r>
      <w:r>
        <w:rPr>
          <w:rFonts w:ascii="Garamond" w:hAnsi="Garamond"/>
        </w:rPr>
        <w:t>6</w:t>
      </w:r>
    </w:p>
  </w:footnote>
  <w:footnote w:id="47">
    <w:p w14:paraId="6690A443" w14:textId="4E7BD16A"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w:t>
      </w:r>
      <w:r>
        <w:rPr>
          <w:rFonts w:ascii="Garamond" w:hAnsi="Garamond"/>
        </w:rPr>
        <w:t>Tamtéž, s. 125</w:t>
      </w:r>
    </w:p>
  </w:footnote>
  <w:footnote w:id="48">
    <w:p w14:paraId="55FA8A29" w14:textId="0B273598"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Tamtéž, s. 128</w:t>
      </w:r>
    </w:p>
  </w:footnote>
  <w:footnote w:id="49">
    <w:p w14:paraId="07932F59" w14:textId="7AA8C67A"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Tamtéž, s 129</w:t>
      </w:r>
    </w:p>
  </w:footnote>
  <w:footnote w:id="50">
    <w:p w14:paraId="348C24C0"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MACUR, Josef. </w:t>
      </w:r>
      <w:r w:rsidRPr="0038530B">
        <w:rPr>
          <w:rFonts w:ascii="Garamond" w:hAnsi="Garamond"/>
          <w:i/>
        </w:rPr>
        <w:t>Kompenzace informačního deficitu procesní strany v civilním soudním sporu.</w:t>
      </w:r>
      <w:r w:rsidRPr="0038530B">
        <w:rPr>
          <w:rFonts w:ascii="Garamond" w:hAnsi="Garamond"/>
        </w:rPr>
        <w:t xml:space="preserve"> Brno: Masarykova univerzita, 2000, s. 129-130</w:t>
      </w:r>
    </w:p>
  </w:footnote>
  <w:footnote w:id="51">
    <w:p w14:paraId="7F6AB529"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K tendenci snižování všeobecně uznávané míry důkazu, tedy k prokázání relevantních skutečností s naprostou jistotou a bez jakýchkoliv pochybností, Ústavním soudem v posledních letech se kriticky vyjadřuje doc. Lavický. Ústavní soud ve svém </w:t>
      </w:r>
      <w:bookmarkStart w:id="28" w:name="_Hlk17855349"/>
      <w:r w:rsidRPr="0038530B">
        <w:rPr>
          <w:rFonts w:ascii="Garamond" w:hAnsi="Garamond"/>
        </w:rPr>
        <w:t xml:space="preserve">nálezu ze dne 20. 8. 2014 I. ÚS 173/13 </w:t>
      </w:r>
      <w:bookmarkEnd w:id="28"/>
      <w:r w:rsidRPr="0038530B">
        <w:rPr>
          <w:rFonts w:ascii="Garamond" w:hAnsi="Garamond"/>
        </w:rPr>
        <w:t>vyslovil následující názor k důkazní míře: „</w:t>
      </w:r>
      <w:r w:rsidRPr="0038530B">
        <w:rPr>
          <w:rFonts w:ascii="Garamond" w:hAnsi="Garamond" w:cstheme="minorHAnsi"/>
          <w:i/>
          <w:color w:val="000000"/>
        </w:rPr>
        <w:t>Ve shrnutí Ústavní soud shledává důkazní standard "zcela jednoznačného skutkového závěru" a "bez jakéhokoliv náznaku pravděpodobnosti" používaný v ustálené judikatuře Nejvyššího soudu pro prokázání jednání v duševní poruše za účelem zneplatnění takového jednání za nadměrně vysoký…</w:t>
      </w:r>
      <w:r w:rsidRPr="0038530B">
        <w:rPr>
          <w:rFonts w:ascii="Garamond" w:hAnsi="Garamond" w:cs="Arial"/>
          <w:color w:val="000000"/>
        </w:rPr>
        <w:t xml:space="preserve"> </w:t>
      </w:r>
      <w:r w:rsidRPr="0038530B">
        <w:rPr>
          <w:rFonts w:ascii="Garamond" w:hAnsi="Garamond" w:cstheme="minorHAnsi"/>
          <w:i/>
          <w:color w:val="000000"/>
        </w:rPr>
        <w:t xml:space="preserve">Z těchto důvodů Ústavní soud dospěl k závěru, že spravedlivá rovnováha mezi soupeřícími oprávněnými zájmy bude nejlépe dosažena stanovením vysoké míry pravděpodobnosti prokázání, že plně svéprávná osoba jednala v duševní poruše, která ji v daný moment činila neschopnou právně jednat.“ </w:t>
      </w:r>
      <w:r w:rsidRPr="0038530B">
        <w:rPr>
          <w:rFonts w:ascii="Garamond" w:hAnsi="Garamond" w:cstheme="minorHAnsi"/>
          <w:color w:val="000000"/>
        </w:rPr>
        <w:t xml:space="preserve">Dle doc. Lavického stanovení míry důkazu má být v zájmu právní jistoty stanoveno obecně se uplatňujícím kritériem, nikoliv v dispozici soudce, respektive v jeho volné úvaze. Občanský soudní řád v platném znění, dále jen „o. s. ř.“, však v současné době výslovnou míru důkazu neobsahuje. Doc. Lavický však poukazuje, že ji lze vyvodit z ustanovení § 1 a 6 o. s. ř., *kdy se v současném civilním soudním řízení vychází ze subjektivního teorie míry důkazu. Tato teorie předpokládá určitou skutečnost za prokázanou tehdy, kdy soudce nabude vnitřního přesvědčení o pravdivosti skutkového přednesu na úrovni praktické jistoty. Za těchto okolností je pak zřejmé, že Ústavní soud vychází právě z objektivní teorie míry důkazu, čímž relativizuje současně pojímanou míru důkazu v rámci hodnocení důkazů. K tomu blíže viz </w:t>
      </w:r>
      <w:r w:rsidRPr="0038530B">
        <w:rPr>
          <w:rFonts w:ascii="Garamond" w:hAnsi="Garamond"/>
        </w:rPr>
        <w:t xml:space="preserve">LAVICKÝ, Petr. In. LAVICKÝ, Petr (ed). </w:t>
      </w:r>
      <w:r w:rsidRPr="0038530B">
        <w:rPr>
          <w:rFonts w:ascii="Garamond" w:hAnsi="Garamond"/>
          <w:i/>
        </w:rPr>
        <w:t xml:space="preserve">Občanský soudní řád (§ 1 až </w:t>
      </w:r>
      <w:proofErr w:type="gramStart"/>
      <w:r w:rsidRPr="0038530B">
        <w:rPr>
          <w:rFonts w:ascii="Garamond" w:hAnsi="Garamond"/>
          <w:i/>
        </w:rPr>
        <w:t>250l</w:t>
      </w:r>
      <w:proofErr w:type="gramEnd"/>
      <w:r w:rsidRPr="0038530B">
        <w:rPr>
          <w:rFonts w:ascii="Garamond" w:hAnsi="Garamond"/>
          <w:i/>
        </w:rPr>
        <w:t xml:space="preserve">). Řízení sporné. Praktický komentář. </w:t>
      </w:r>
      <w:r w:rsidRPr="0038530B">
        <w:rPr>
          <w:rFonts w:ascii="Garamond" w:hAnsi="Garamond"/>
        </w:rPr>
        <w:t>Praha: Wolters Kluwer ČR, a. s., 2016, s. 30 a s. 651</w:t>
      </w:r>
    </w:p>
  </w:footnote>
  <w:footnote w:id="52">
    <w:p w14:paraId="3BB4D6D0"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MACUR, Josef. </w:t>
      </w:r>
      <w:r w:rsidRPr="0038530B">
        <w:rPr>
          <w:rFonts w:ascii="Garamond" w:hAnsi="Garamond"/>
          <w:i/>
        </w:rPr>
        <w:t>Kompenzace informačního deficitu procesní strany v civilním soudním sporu.</w:t>
      </w:r>
      <w:r w:rsidRPr="0038530B">
        <w:rPr>
          <w:rFonts w:ascii="Garamond" w:hAnsi="Garamond"/>
        </w:rPr>
        <w:t xml:space="preserve"> Brno: Masarykova univerzita, 2000, s. 132-133</w:t>
      </w:r>
    </w:p>
  </w:footnote>
  <w:footnote w:id="53">
    <w:p w14:paraId="23A1B937" w14:textId="617D91B2"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MACUR, Josef. </w:t>
      </w:r>
      <w:r w:rsidRPr="0038530B">
        <w:rPr>
          <w:rFonts w:ascii="Garamond" w:hAnsi="Garamond"/>
          <w:i/>
        </w:rPr>
        <w:t>Kompenzace informačního deficitu procesní strany v civilním soudním sporu.</w:t>
      </w:r>
      <w:r w:rsidRPr="0038530B">
        <w:rPr>
          <w:rFonts w:ascii="Garamond" w:hAnsi="Garamond"/>
        </w:rPr>
        <w:t xml:space="preserve"> Brno: Masarykova univerzita, 2000, s. 132-133</w:t>
      </w:r>
    </w:p>
  </w:footnote>
  <w:footnote w:id="54">
    <w:p w14:paraId="0E4B29AE" w14:textId="691DA4B6"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w:t>
      </w:r>
      <w:r>
        <w:rPr>
          <w:rFonts w:ascii="Garamond" w:hAnsi="Garamond"/>
        </w:rPr>
        <w:t>Tamtéž, s</w:t>
      </w:r>
      <w:r w:rsidRPr="0038530B">
        <w:rPr>
          <w:rFonts w:ascii="Garamond" w:hAnsi="Garamond"/>
        </w:rPr>
        <w:t>. 134</w:t>
      </w:r>
    </w:p>
  </w:footnote>
  <w:footnote w:id="55">
    <w:p w14:paraId="748AC29D" w14:textId="3144CBDC"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Tamtéž</w:t>
      </w:r>
      <w:r>
        <w:rPr>
          <w:rFonts w:ascii="Garamond" w:hAnsi="Garamond"/>
        </w:rPr>
        <w:t>.</w:t>
      </w:r>
    </w:p>
  </w:footnote>
  <w:footnote w:id="56">
    <w:p w14:paraId="0A58E90A"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Tamtéž s. 134-136</w:t>
      </w:r>
    </w:p>
  </w:footnote>
  <w:footnote w:id="57">
    <w:p w14:paraId="0FF0DC9C" w14:textId="7F41E82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MACUR, Josef. </w:t>
      </w:r>
      <w:r w:rsidRPr="0038530B">
        <w:rPr>
          <w:rFonts w:ascii="Garamond" w:hAnsi="Garamond"/>
          <w:i/>
        </w:rPr>
        <w:t>Kompenzace informačního deficitu procesní strany v civilním soudním sporu.</w:t>
      </w:r>
      <w:r w:rsidRPr="0038530B">
        <w:rPr>
          <w:rFonts w:ascii="Garamond" w:hAnsi="Garamond"/>
        </w:rPr>
        <w:t xml:space="preserve"> Brno: Masarykova univerzita, 2000, s. 134-136</w:t>
      </w:r>
    </w:p>
  </w:footnote>
  <w:footnote w:id="58">
    <w:p w14:paraId="6F0A5FD1" w14:textId="4106EA6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Zákon č. 99/1963 Sb., občanský soudní řád, ve znění pozdějších předpisů.</w:t>
      </w:r>
    </w:p>
  </w:footnote>
  <w:footnote w:id="59">
    <w:p w14:paraId="264BF416"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MACUR, Josef. </w:t>
      </w:r>
      <w:r w:rsidRPr="0038530B">
        <w:rPr>
          <w:rFonts w:ascii="Garamond" w:hAnsi="Garamond"/>
          <w:i/>
        </w:rPr>
        <w:t>Kompenzace informačního deficitu procesní strany v civilním soudním sporu.</w:t>
      </w:r>
      <w:r w:rsidRPr="0038530B">
        <w:rPr>
          <w:rFonts w:ascii="Garamond" w:hAnsi="Garamond"/>
        </w:rPr>
        <w:t xml:space="preserve"> Brno: Masarykova univerzita, 2000, s. 136</w:t>
      </w:r>
    </w:p>
  </w:footnote>
  <w:footnote w:id="60">
    <w:p w14:paraId="4ADFB84C" w14:textId="2319F5A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MACUR, Josef. </w:t>
      </w:r>
      <w:r w:rsidRPr="0038530B">
        <w:rPr>
          <w:rFonts w:ascii="Garamond" w:hAnsi="Garamond"/>
          <w:i/>
        </w:rPr>
        <w:t>Kompenzace informačního deficitu procesní strany v civilním soudním sporu.</w:t>
      </w:r>
      <w:r w:rsidRPr="0038530B">
        <w:rPr>
          <w:rFonts w:ascii="Garamond" w:hAnsi="Garamond"/>
        </w:rPr>
        <w:t xml:space="preserve"> Brno: Masarykova univerzita, 2000, s. 136</w:t>
      </w:r>
    </w:p>
  </w:footnote>
  <w:footnote w:id="61">
    <w:p w14:paraId="78D9230E" w14:textId="7A068C27" w:rsidR="00945299" w:rsidRPr="0038530B" w:rsidRDefault="00945299">
      <w:pPr>
        <w:pStyle w:val="Textpoznpodarou"/>
        <w:rPr>
          <w:rFonts w:ascii="Garamond" w:hAnsi="Garamond"/>
        </w:rPr>
      </w:pPr>
      <w:r w:rsidRPr="0038530B">
        <w:rPr>
          <w:rStyle w:val="Znakapoznpodarou"/>
          <w:rFonts w:ascii="Garamond" w:hAnsi="Garamond"/>
        </w:rPr>
        <w:footnoteRef/>
      </w:r>
      <w:r w:rsidRPr="0038530B">
        <w:rPr>
          <w:rFonts w:ascii="Garamond" w:hAnsi="Garamond"/>
        </w:rPr>
        <w:t xml:space="preserve"> Tamtéž, 110</w:t>
      </w:r>
    </w:p>
  </w:footnote>
  <w:footnote w:id="62">
    <w:p w14:paraId="03AE2051" w14:textId="2D1A67FD"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Tamtéž, s. 110-111</w:t>
      </w:r>
    </w:p>
  </w:footnote>
  <w:footnote w:id="63">
    <w:p w14:paraId="4A1A7BB2" w14:textId="7CB6B112"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MACUR, Josef. </w:t>
      </w:r>
      <w:r w:rsidRPr="0038530B">
        <w:rPr>
          <w:rFonts w:ascii="Garamond" w:hAnsi="Garamond"/>
          <w:i/>
        </w:rPr>
        <w:t>Kompenzace informačního deficitu procesní strany v civilním soudním sporu.</w:t>
      </w:r>
      <w:r w:rsidRPr="0038530B">
        <w:rPr>
          <w:rFonts w:ascii="Garamond" w:hAnsi="Garamond"/>
        </w:rPr>
        <w:t xml:space="preserve"> Brno: Masarykova univerzita, 2000, s. 112-113</w:t>
      </w:r>
    </w:p>
  </w:footnote>
  <w:footnote w:id="64">
    <w:p w14:paraId="7508454F" w14:textId="3E9470C5"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Tamtéž, s. 110</w:t>
      </w:r>
    </w:p>
  </w:footnote>
  <w:footnote w:id="65">
    <w:p w14:paraId="5957EC3F" w14:textId="1E89DAAE"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K tomu blíže prof. Macur uvádí: </w:t>
      </w:r>
      <w:r w:rsidRPr="0038530B">
        <w:rPr>
          <w:rFonts w:ascii="Garamond" w:hAnsi="Garamond"/>
          <w:i/>
        </w:rPr>
        <w:t xml:space="preserve">„V civilním řízení nejde pouze o nalézání pravdy, ale také o to, jak jsou respektována základní práva a svobody procesních stran z hlediska jejich účasti na zjišťování skutkového stavu a objasňování skutečností důležitých pro rozhodnutí věci.“ </w:t>
      </w:r>
      <w:r w:rsidRPr="0038530B">
        <w:rPr>
          <w:rFonts w:ascii="Garamond" w:hAnsi="Garamond"/>
        </w:rPr>
        <w:t xml:space="preserve">Viz MACUR, Josef. Vysvětlovací povinnost strany nezatížené důkazním břemenem v civilním soudním řízení. </w:t>
      </w:r>
      <w:r w:rsidRPr="0038530B">
        <w:rPr>
          <w:rFonts w:ascii="Garamond" w:hAnsi="Garamond"/>
          <w:i/>
        </w:rPr>
        <w:t>Právní rozhledy</w:t>
      </w:r>
      <w:r w:rsidRPr="0038530B">
        <w:rPr>
          <w:rFonts w:ascii="Garamond" w:hAnsi="Garamond"/>
        </w:rPr>
        <w:t>. 2000, č. 5, s. 203</w:t>
      </w:r>
    </w:p>
  </w:footnote>
  <w:footnote w:id="66">
    <w:p w14:paraId="5DBA5CA2" w14:textId="576313B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MACUR, Josef. </w:t>
      </w:r>
      <w:r w:rsidRPr="0038530B">
        <w:rPr>
          <w:rFonts w:ascii="Garamond" w:hAnsi="Garamond"/>
          <w:i/>
        </w:rPr>
        <w:t>Kompenzace informačního deficitu procesní strany v civilním soudním sporu.</w:t>
      </w:r>
      <w:r w:rsidRPr="0038530B">
        <w:rPr>
          <w:rFonts w:ascii="Garamond" w:hAnsi="Garamond"/>
        </w:rPr>
        <w:t xml:space="preserve"> Brno: Masarykova univerzita, 2000, s. 111</w:t>
      </w:r>
    </w:p>
  </w:footnote>
  <w:footnote w:id="67">
    <w:p w14:paraId="00F7676D" w14:textId="7C11F8DE"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MACUR, Josef. </w:t>
      </w:r>
      <w:r w:rsidRPr="0038530B">
        <w:rPr>
          <w:rFonts w:ascii="Garamond" w:hAnsi="Garamond"/>
          <w:i/>
        </w:rPr>
        <w:t>Kompenzace informačního deficitu procesní strany v civilním soudním sporu.</w:t>
      </w:r>
      <w:r w:rsidRPr="0038530B">
        <w:rPr>
          <w:rFonts w:ascii="Garamond" w:hAnsi="Garamond"/>
        </w:rPr>
        <w:t xml:space="preserve"> Brno: Masarykova univerzita, 2000, s. 111</w:t>
      </w:r>
    </w:p>
  </w:footnote>
  <w:footnote w:id="68">
    <w:p w14:paraId="53EF2AA0" w14:textId="087B9575"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Tamtéž, s. 156</w:t>
      </w:r>
    </w:p>
  </w:footnote>
  <w:footnote w:id="69">
    <w:p w14:paraId="225B5AFE" w14:textId="01244FF1"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Tamtéž, s. 156-157</w:t>
      </w:r>
    </w:p>
  </w:footnote>
  <w:footnote w:id="70">
    <w:p w14:paraId="41AB2A58" w14:textId="2FADF0FD"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w:t>
      </w:r>
      <w:r>
        <w:rPr>
          <w:rFonts w:ascii="Garamond" w:hAnsi="Garamond"/>
        </w:rPr>
        <w:t>Tamtéž.</w:t>
      </w:r>
    </w:p>
  </w:footnote>
  <w:footnote w:id="71">
    <w:p w14:paraId="37259E45" w14:textId="6FC63D49"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MACUR, Josef. </w:t>
      </w:r>
      <w:r w:rsidRPr="0038530B">
        <w:rPr>
          <w:rFonts w:ascii="Garamond" w:hAnsi="Garamond"/>
          <w:i/>
        </w:rPr>
        <w:t>Kompenzace informačního deficitu procesní strany v civilním soudním sporu.</w:t>
      </w:r>
      <w:r w:rsidRPr="0038530B">
        <w:rPr>
          <w:rFonts w:ascii="Garamond" w:hAnsi="Garamond"/>
        </w:rPr>
        <w:t xml:space="preserve"> Brno: Masarykova univerzita, 2000, s. 1</w:t>
      </w:r>
      <w:r>
        <w:rPr>
          <w:rFonts w:ascii="Garamond" w:hAnsi="Garamond"/>
        </w:rPr>
        <w:t>58</w:t>
      </w:r>
    </w:p>
  </w:footnote>
  <w:footnote w:id="72">
    <w:p w14:paraId="4F5A2B40" w14:textId="218ABA29"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Tamtéž.</w:t>
      </w:r>
    </w:p>
  </w:footnote>
  <w:footnote w:id="73">
    <w:p w14:paraId="1D1B9F75" w14:textId="1B0B1E5E" w:rsidR="00945299" w:rsidRPr="0038530B" w:rsidRDefault="00945299">
      <w:pPr>
        <w:pStyle w:val="Textpoznpodarou"/>
        <w:rPr>
          <w:rFonts w:ascii="Garamond" w:hAnsi="Garamond"/>
        </w:rPr>
      </w:pPr>
      <w:r w:rsidRPr="0038530B">
        <w:rPr>
          <w:rStyle w:val="Znakapoznpodarou"/>
          <w:rFonts w:ascii="Garamond" w:hAnsi="Garamond"/>
        </w:rPr>
        <w:footnoteRef/>
      </w:r>
      <w:r w:rsidRPr="0038530B">
        <w:rPr>
          <w:rFonts w:ascii="Garamond" w:hAnsi="Garamond"/>
        </w:rPr>
        <w:t xml:space="preserve"> Tamtéž, s. 172</w:t>
      </w:r>
    </w:p>
  </w:footnote>
  <w:footnote w:id="74">
    <w:p w14:paraId="43C0FA54" w14:textId="296D5C83" w:rsidR="00945299" w:rsidRPr="0038530B" w:rsidRDefault="00945299">
      <w:pPr>
        <w:pStyle w:val="Textpoznpodarou"/>
        <w:rPr>
          <w:rFonts w:ascii="Garamond" w:hAnsi="Garamond"/>
        </w:rPr>
      </w:pPr>
      <w:r w:rsidRPr="0038530B">
        <w:rPr>
          <w:rStyle w:val="Znakapoznpodarou"/>
          <w:rFonts w:ascii="Garamond" w:hAnsi="Garamond"/>
        </w:rPr>
        <w:footnoteRef/>
      </w:r>
      <w:r w:rsidRPr="0038530B">
        <w:rPr>
          <w:rFonts w:ascii="Garamond" w:hAnsi="Garamond"/>
        </w:rPr>
        <w:t xml:space="preserve"> Tamtéž.</w:t>
      </w:r>
    </w:p>
  </w:footnote>
  <w:footnote w:id="75">
    <w:p w14:paraId="2BDEE7B5" w14:textId="114183A7" w:rsidR="00945299" w:rsidRPr="0038530B" w:rsidRDefault="00945299">
      <w:pPr>
        <w:pStyle w:val="Textpoznpodarou"/>
        <w:rPr>
          <w:rFonts w:ascii="Garamond" w:hAnsi="Garamond"/>
        </w:rPr>
      </w:pPr>
      <w:r w:rsidRPr="0038530B">
        <w:rPr>
          <w:rStyle w:val="Znakapoznpodarou"/>
          <w:rFonts w:ascii="Garamond" w:hAnsi="Garamond"/>
        </w:rPr>
        <w:footnoteRef/>
      </w:r>
      <w:r w:rsidRPr="0038530B">
        <w:rPr>
          <w:rFonts w:ascii="Garamond" w:hAnsi="Garamond"/>
        </w:rPr>
        <w:t xml:space="preserve"> </w:t>
      </w:r>
      <w:r>
        <w:rPr>
          <w:rFonts w:ascii="Garamond" w:hAnsi="Garamond"/>
        </w:rPr>
        <w:t>Tamtéž,</w:t>
      </w:r>
      <w:r w:rsidRPr="0038530B">
        <w:rPr>
          <w:rFonts w:ascii="Garamond" w:hAnsi="Garamond"/>
        </w:rPr>
        <w:t xml:space="preserve"> s. 173</w:t>
      </w:r>
    </w:p>
  </w:footnote>
  <w:footnote w:id="76">
    <w:p w14:paraId="6938A66B" w14:textId="0CC1540B" w:rsidR="00945299" w:rsidRPr="0038530B" w:rsidRDefault="00945299">
      <w:pPr>
        <w:pStyle w:val="Textpoznpodarou"/>
        <w:rPr>
          <w:rFonts w:ascii="Garamond" w:hAnsi="Garamond"/>
        </w:rPr>
      </w:pPr>
      <w:r w:rsidRPr="0038530B">
        <w:rPr>
          <w:rStyle w:val="Znakapoznpodarou"/>
          <w:rFonts w:ascii="Garamond" w:hAnsi="Garamond"/>
        </w:rPr>
        <w:footnoteRef/>
      </w:r>
      <w:r w:rsidRPr="0038530B">
        <w:rPr>
          <w:rFonts w:ascii="Garamond" w:hAnsi="Garamond"/>
        </w:rPr>
        <w:t xml:space="preserve"> MACUR, Josef. </w:t>
      </w:r>
      <w:r w:rsidRPr="0038530B">
        <w:rPr>
          <w:rFonts w:ascii="Garamond" w:hAnsi="Garamond"/>
          <w:i/>
        </w:rPr>
        <w:t>Kompenzace informačního deficitu procesní strany v civilním soudním sporu.</w:t>
      </w:r>
      <w:r w:rsidRPr="0038530B">
        <w:rPr>
          <w:rFonts w:ascii="Garamond" w:hAnsi="Garamond"/>
        </w:rPr>
        <w:t xml:space="preserve"> Brno: Masarykova univerzita, 2000, s. 1</w:t>
      </w:r>
      <w:r>
        <w:rPr>
          <w:rFonts w:ascii="Garamond" w:hAnsi="Garamond"/>
        </w:rPr>
        <w:t>73</w:t>
      </w:r>
    </w:p>
  </w:footnote>
  <w:footnote w:id="77">
    <w:p w14:paraId="6B198BB4" w14:textId="49AAD2F4" w:rsidR="00945299" w:rsidRPr="0038530B" w:rsidRDefault="00945299">
      <w:pPr>
        <w:pStyle w:val="Textpoznpodarou"/>
        <w:rPr>
          <w:rFonts w:ascii="Garamond" w:hAnsi="Garamond"/>
        </w:rPr>
      </w:pPr>
      <w:r w:rsidRPr="0038530B">
        <w:rPr>
          <w:rStyle w:val="Znakapoznpodarou"/>
          <w:rFonts w:ascii="Garamond" w:hAnsi="Garamond"/>
        </w:rPr>
        <w:footnoteRef/>
      </w:r>
      <w:r w:rsidRPr="0038530B">
        <w:rPr>
          <w:rFonts w:ascii="Garamond" w:hAnsi="Garamond"/>
        </w:rPr>
        <w:t xml:space="preserve"> Tamtéž, s. 174</w:t>
      </w:r>
    </w:p>
  </w:footnote>
  <w:footnote w:id="78">
    <w:p w14:paraId="0820A92F" w14:textId="1EF326E6" w:rsidR="00945299" w:rsidRPr="0038530B" w:rsidRDefault="00945299">
      <w:pPr>
        <w:pStyle w:val="Textpoznpodarou"/>
        <w:rPr>
          <w:rFonts w:ascii="Garamond" w:hAnsi="Garamond"/>
        </w:rPr>
      </w:pPr>
      <w:r w:rsidRPr="0038530B">
        <w:rPr>
          <w:rStyle w:val="Znakapoznpodarou"/>
          <w:rFonts w:ascii="Garamond" w:hAnsi="Garamond"/>
        </w:rPr>
        <w:footnoteRef/>
      </w:r>
      <w:r w:rsidRPr="0038530B">
        <w:rPr>
          <w:rFonts w:ascii="Garamond" w:hAnsi="Garamond"/>
        </w:rPr>
        <w:t xml:space="preserve"> Tamtéž.</w:t>
      </w:r>
    </w:p>
  </w:footnote>
  <w:footnote w:id="79">
    <w:p w14:paraId="1D0F132B"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Viz § 427 </w:t>
      </w:r>
      <w:proofErr w:type="spellStart"/>
      <w:r w:rsidRPr="0038530B">
        <w:rPr>
          <w:rFonts w:ascii="Garamond" w:hAnsi="Garamond"/>
        </w:rPr>
        <w:t>Zivilprozessordnung</w:t>
      </w:r>
      <w:proofErr w:type="spellEnd"/>
      <w:r w:rsidRPr="0038530B">
        <w:rPr>
          <w:rFonts w:ascii="Garamond" w:hAnsi="Garamond"/>
        </w:rPr>
        <w:t>: „</w:t>
      </w:r>
      <w:proofErr w:type="spellStart"/>
      <w:r w:rsidRPr="0038530B">
        <w:rPr>
          <w:rFonts w:ascii="Garamond" w:hAnsi="Garamond"/>
          <w:i/>
        </w:rPr>
        <w:t>Kommt</w:t>
      </w:r>
      <w:proofErr w:type="spellEnd"/>
      <w:r w:rsidRPr="0038530B">
        <w:rPr>
          <w:rFonts w:ascii="Garamond" w:hAnsi="Garamond"/>
          <w:i/>
        </w:rPr>
        <w:t xml:space="preserve"> der </w:t>
      </w:r>
      <w:proofErr w:type="spellStart"/>
      <w:r w:rsidRPr="0038530B">
        <w:rPr>
          <w:rFonts w:ascii="Garamond" w:hAnsi="Garamond"/>
          <w:i/>
        </w:rPr>
        <w:t>Gegner</w:t>
      </w:r>
      <w:proofErr w:type="spellEnd"/>
      <w:r w:rsidRPr="0038530B">
        <w:rPr>
          <w:rFonts w:ascii="Garamond" w:hAnsi="Garamond"/>
          <w:i/>
        </w:rPr>
        <w:t xml:space="preserve"> der </w:t>
      </w:r>
      <w:proofErr w:type="spellStart"/>
      <w:r w:rsidRPr="0038530B">
        <w:rPr>
          <w:rFonts w:ascii="Garamond" w:hAnsi="Garamond"/>
          <w:i/>
        </w:rPr>
        <w:t>Anordnung</w:t>
      </w:r>
      <w:proofErr w:type="spellEnd"/>
      <w:r w:rsidRPr="0038530B">
        <w:rPr>
          <w:rFonts w:ascii="Garamond" w:hAnsi="Garamond"/>
          <w:i/>
        </w:rPr>
        <w:t xml:space="preserve">, </w:t>
      </w:r>
      <w:proofErr w:type="spellStart"/>
      <w:r w:rsidRPr="0038530B">
        <w:rPr>
          <w:rFonts w:ascii="Garamond" w:hAnsi="Garamond"/>
          <w:i/>
        </w:rPr>
        <w:t>die</w:t>
      </w:r>
      <w:proofErr w:type="spellEnd"/>
      <w:r w:rsidRPr="0038530B">
        <w:rPr>
          <w:rFonts w:ascii="Garamond" w:hAnsi="Garamond"/>
          <w:i/>
        </w:rPr>
        <w:t xml:space="preserve"> </w:t>
      </w:r>
      <w:proofErr w:type="spellStart"/>
      <w:r w:rsidRPr="0038530B">
        <w:rPr>
          <w:rFonts w:ascii="Garamond" w:hAnsi="Garamond"/>
          <w:i/>
        </w:rPr>
        <w:t>Urkunde</w:t>
      </w:r>
      <w:proofErr w:type="spellEnd"/>
      <w:r w:rsidRPr="0038530B">
        <w:rPr>
          <w:rFonts w:ascii="Garamond" w:hAnsi="Garamond"/>
          <w:i/>
        </w:rPr>
        <w:t xml:space="preserve"> </w:t>
      </w:r>
      <w:proofErr w:type="spellStart"/>
      <w:r w:rsidRPr="0038530B">
        <w:rPr>
          <w:rFonts w:ascii="Garamond" w:hAnsi="Garamond"/>
          <w:i/>
        </w:rPr>
        <w:t>vorzulegen</w:t>
      </w:r>
      <w:proofErr w:type="spellEnd"/>
      <w:r w:rsidRPr="0038530B">
        <w:rPr>
          <w:rFonts w:ascii="Garamond" w:hAnsi="Garamond"/>
          <w:i/>
        </w:rPr>
        <w:t xml:space="preserve">, </w:t>
      </w:r>
      <w:proofErr w:type="spellStart"/>
      <w:r w:rsidRPr="0038530B">
        <w:rPr>
          <w:rFonts w:ascii="Garamond" w:hAnsi="Garamond"/>
          <w:i/>
        </w:rPr>
        <w:t>nicht</w:t>
      </w:r>
      <w:proofErr w:type="spellEnd"/>
      <w:r w:rsidRPr="0038530B">
        <w:rPr>
          <w:rFonts w:ascii="Garamond" w:hAnsi="Garamond"/>
          <w:i/>
        </w:rPr>
        <w:t xml:space="preserve"> nach oder </w:t>
      </w:r>
      <w:proofErr w:type="spellStart"/>
      <w:r w:rsidRPr="0038530B">
        <w:rPr>
          <w:rFonts w:ascii="Garamond" w:hAnsi="Garamond"/>
          <w:i/>
        </w:rPr>
        <w:t>gelangt</w:t>
      </w:r>
      <w:proofErr w:type="spellEnd"/>
      <w:r w:rsidRPr="0038530B">
        <w:rPr>
          <w:rFonts w:ascii="Garamond" w:hAnsi="Garamond"/>
          <w:i/>
        </w:rPr>
        <w:t xml:space="preserve"> </w:t>
      </w:r>
      <w:proofErr w:type="spellStart"/>
      <w:r w:rsidRPr="0038530B">
        <w:rPr>
          <w:rFonts w:ascii="Garamond" w:hAnsi="Garamond"/>
          <w:i/>
        </w:rPr>
        <w:t>das</w:t>
      </w:r>
      <w:proofErr w:type="spellEnd"/>
      <w:r w:rsidRPr="0038530B">
        <w:rPr>
          <w:rFonts w:ascii="Garamond" w:hAnsi="Garamond"/>
          <w:i/>
        </w:rPr>
        <w:t xml:space="preserve"> </w:t>
      </w:r>
      <w:proofErr w:type="spellStart"/>
      <w:r w:rsidRPr="0038530B">
        <w:rPr>
          <w:rFonts w:ascii="Garamond" w:hAnsi="Garamond"/>
          <w:i/>
        </w:rPr>
        <w:t>Gericht</w:t>
      </w:r>
      <w:proofErr w:type="spellEnd"/>
      <w:r w:rsidRPr="0038530B">
        <w:rPr>
          <w:rFonts w:ascii="Garamond" w:hAnsi="Garamond"/>
          <w:i/>
        </w:rPr>
        <w:t xml:space="preserve"> </w:t>
      </w:r>
      <w:proofErr w:type="spellStart"/>
      <w:r w:rsidRPr="0038530B">
        <w:rPr>
          <w:rFonts w:ascii="Garamond" w:hAnsi="Garamond"/>
          <w:i/>
        </w:rPr>
        <w:t>im</w:t>
      </w:r>
      <w:proofErr w:type="spellEnd"/>
      <w:r w:rsidRPr="0038530B">
        <w:rPr>
          <w:rFonts w:ascii="Garamond" w:hAnsi="Garamond"/>
          <w:i/>
        </w:rPr>
        <w:t xml:space="preserve"> </w:t>
      </w:r>
      <w:proofErr w:type="spellStart"/>
      <w:r w:rsidRPr="0038530B">
        <w:rPr>
          <w:rFonts w:ascii="Garamond" w:hAnsi="Garamond"/>
          <w:i/>
        </w:rPr>
        <w:t>Falle</w:t>
      </w:r>
      <w:proofErr w:type="spellEnd"/>
      <w:r w:rsidRPr="0038530B">
        <w:rPr>
          <w:rFonts w:ascii="Garamond" w:hAnsi="Garamond"/>
          <w:i/>
        </w:rPr>
        <w:t xml:space="preserve"> des § 426 </w:t>
      </w:r>
      <w:proofErr w:type="spellStart"/>
      <w:r w:rsidRPr="0038530B">
        <w:rPr>
          <w:rFonts w:ascii="Garamond" w:hAnsi="Garamond"/>
          <w:i/>
        </w:rPr>
        <w:t>zu</w:t>
      </w:r>
      <w:proofErr w:type="spellEnd"/>
      <w:r w:rsidRPr="0038530B">
        <w:rPr>
          <w:rFonts w:ascii="Garamond" w:hAnsi="Garamond"/>
          <w:i/>
        </w:rPr>
        <w:t xml:space="preserve"> der </w:t>
      </w:r>
      <w:proofErr w:type="spellStart"/>
      <w:r w:rsidRPr="0038530B">
        <w:rPr>
          <w:rFonts w:ascii="Garamond" w:hAnsi="Garamond"/>
          <w:i/>
        </w:rPr>
        <w:t>Überzeugung</w:t>
      </w:r>
      <w:proofErr w:type="spellEnd"/>
      <w:r w:rsidRPr="0038530B">
        <w:rPr>
          <w:rFonts w:ascii="Garamond" w:hAnsi="Garamond"/>
          <w:i/>
        </w:rPr>
        <w:t xml:space="preserve">, </w:t>
      </w:r>
      <w:proofErr w:type="spellStart"/>
      <w:r w:rsidRPr="0038530B">
        <w:rPr>
          <w:rFonts w:ascii="Garamond" w:hAnsi="Garamond"/>
          <w:i/>
        </w:rPr>
        <w:t>dass</w:t>
      </w:r>
      <w:proofErr w:type="spellEnd"/>
      <w:r w:rsidRPr="0038530B">
        <w:rPr>
          <w:rFonts w:ascii="Garamond" w:hAnsi="Garamond"/>
          <w:i/>
        </w:rPr>
        <w:t xml:space="preserve"> </w:t>
      </w:r>
      <w:proofErr w:type="spellStart"/>
      <w:r w:rsidRPr="0038530B">
        <w:rPr>
          <w:rFonts w:ascii="Garamond" w:hAnsi="Garamond"/>
          <w:i/>
        </w:rPr>
        <w:t>er</w:t>
      </w:r>
      <w:proofErr w:type="spellEnd"/>
      <w:r w:rsidRPr="0038530B">
        <w:rPr>
          <w:rFonts w:ascii="Garamond" w:hAnsi="Garamond"/>
          <w:i/>
        </w:rPr>
        <w:t xml:space="preserve"> nach dem </w:t>
      </w:r>
      <w:proofErr w:type="spellStart"/>
      <w:r w:rsidRPr="0038530B">
        <w:rPr>
          <w:rFonts w:ascii="Garamond" w:hAnsi="Garamond"/>
          <w:i/>
        </w:rPr>
        <w:t>Verbleib</w:t>
      </w:r>
      <w:proofErr w:type="spellEnd"/>
      <w:r w:rsidRPr="0038530B">
        <w:rPr>
          <w:rFonts w:ascii="Garamond" w:hAnsi="Garamond"/>
          <w:i/>
        </w:rPr>
        <w:t xml:space="preserve"> der </w:t>
      </w:r>
      <w:proofErr w:type="spellStart"/>
      <w:r w:rsidRPr="0038530B">
        <w:rPr>
          <w:rFonts w:ascii="Garamond" w:hAnsi="Garamond"/>
          <w:i/>
        </w:rPr>
        <w:t>Urkunde</w:t>
      </w:r>
      <w:proofErr w:type="spellEnd"/>
      <w:r w:rsidRPr="0038530B">
        <w:rPr>
          <w:rFonts w:ascii="Garamond" w:hAnsi="Garamond"/>
          <w:i/>
        </w:rPr>
        <w:t xml:space="preserve"> </w:t>
      </w:r>
      <w:proofErr w:type="spellStart"/>
      <w:r w:rsidRPr="0038530B">
        <w:rPr>
          <w:rFonts w:ascii="Garamond" w:hAnsi="Garamond"/>
          <w:i/>
        </w:rPr>
        <w:t>nicht</w:t>
      </w:r>
      <w:proofErr w:type="spellEnd"/>
      <w:r w:rsidRPr="0038530B">
        <w:rPr>
          <w:rFonts w:ascii="Garamond" w:hAnsi="Garamond"/>
          <w:i/>
        </w:rPr>
        <w:t xml:space="preserve"> </w:t>
      </w:r>
      <w:proofErr w:type="spellStart"/>
      <w:r w:rsidRPr="0038530B">
        <w:rPr>
          <w:rFonts w:ascii="Garamond" w:hAnsi="Garamond"/>
          <w:i/>
        </w:rPr>
        <w:t>sorgfältig</w:t>
      </w:r>
      <w:proofErr w:type="spellEnd"/>
      <w:r w:rsidRPr="0038530B">
        <w:rPr>
          <w:rFonts w:ascii="Garamond" w:hAnsi="Garamond"/>
          <w:i/>
        </w:rPr>
        <w:t xml:space="preserve"> </w:t>
      </w:r>
      <w:proofErr w:type="spellStart"/>
      <w:r w:rsidRPr="0038530B">
        <w:rPr>
          <w:rFonts w:ascii="Garamond" w:hAnsi="Garamond"/>
          <w:i/>
        </w:rPr>
        <w:t>geforscht</w:t>
      </w:r>
      <w:proofErr w:type="spellEnd"/>
      <w:r w:rsidRPr="0038530B">
        <w:rPr>
          <w:rFonts w:ascii="Garamond" w:hAnsi="Garamond"/>
          <w:i/>
        </w:rPr>
        <w:t xml:space="preserve"> </w:t>
      </w:r>
      <w:proofErr w:type="spellStart"/>
      <w:r w:rsidRPr="0038530B">
        <w:rPr>
          <w:rFonts w:ascii="Garamond" w:hAnsi="Garamond"/>
          <w:i/>
        </w:rPr>
        <w:t>habe</w:t>
      </w:r>
      <w:proofErr w:type="spellEnd"/>
      <w:r w:rsidRPr="0038530B">
        <w:rPr>
          <w:rFonts w:ascii="Garamond" w:hAnsi="Garamond"/>
          <w:i/>
        </w:rPr>
        <w:t xml:space="preserve">, so kann </w:t>
      </w:r>
      <w:proofErr w:type="spellStart"/>
      <w:r w:rsidRPr="0038530B">
        <w:rPr>
          <w:rFonts w:ascii="Garamond" w:hAnsi="Garamond"/>
          <w:i/>
        </w:rPr>
        <w:t>eine</w:t>
      </w:r>
      <w:proofErr w:type="spellEnd"/>
      <w:r w:rsidRPr="0038530B">
        <w:rPr>
          <w:rFonts w:ascii="Garamond" w:hAnsi="Garamond"/>
          <w:i/>
        </w:rPr>
        <w:t xml:space="preserve"> </w:t>
      </w:r>
      <w:proofErr w:type="spellStart"/>
      <w:r w:rsidRPr="0038530B">
        <w:rPr>
          <w:rFonts w:ascii="Garamond" w:hAnsi="Garamond"/>
          <w:i/>
        </w:rPr>
        <w:t>vom</w:t>
      </w:r>
      <w:proofErr w:type="spellEnd"/>
      <w:r w:rsidRPr="0038530B">
        <w:rPr>
          <w:rFonts w:ascii="Garamond" w:hAnsi="Garamond"/>
          <w:i/>
        </w:rPr>
        <w:t xml:space="preserve"> </w:t>
      </w:r>
      <w:proofErr w:type="spellStart"/>
      <w:r w:rsidRPr="0038530B">
        <w:rPr>
          <w:rFonts w:ascii="Garamond" w:hAnsi="Garamond"/>
          <w:i/>
        </w:rPr>
        <w:t>Beweisführer</w:t>
      </w:r>
      <w:proofErr w:type="spellEnd"/>
      <w:r w:rsidRPr="0038530B">
        <w:rPr>
          <w:rFonts w:ascii="Garamond" w:hAnsi="Garamond"/>
          <w:i/>
        </w:rPr>
        <w:t xml:space="preserve"> </w:t>
      </w:r>
      <w:proofErr w:type="spellStart"/>
      <w:r w:rsidRPr="0038530B">
        <w:rPr>
          <w:rFonts w:ascii="Garamond" w:hAnsi="Garamond"/>
          <w:i/>
        </w:rPr>
        <w:t>beigebrachte</w:t>
      </w:r>
      <w:proofErr w:type="spellEnd"/>
      <w:r w:rsidRPr="0038530B">
        <w:rPr>
          <w:rFonts w:ascii="Garamond" w:hAnsi="Garamond"/>
          <w:i/>
        </w:rPr>
        <w:t xml:space="preserve"> </w:t>
      </w:r>
      <w:proofErr w:type="spellStart"/>
      <w:r w:rsidRPr="0038530B">
        <w:rPr>
          <w:rFonts w:ascii="Garamond" w:hAnsi="Garamond"/>
          <w:i/>
        </w:rPr>
        <w:t>Abschrift</w:t>
      </w:r>
      <w:proofErr w:type="spellEnd"/>
      <w:r w:rsidRPr="0038530B">
        <w:rPr>
          <w:rFonts w:ascii="Garamond" w:hAnsi="Garamond"/>
          <w:i/>
        </w:rPr>
        <w:t xml:space="preserve"> der </w:t>
      </w:r>
      <w:proofErr w:type="spellStart"/>
      <w:r w:rsidRPr="0038530B">
        <w:rPr>
          <w:rFonts w:ascii="Garamond" w:hAnsi="Garamond"/>
          <w:i/>
        </w:rPr>
        <w:t>Urkunde</w:t>
      </w:r>
      <w:proofErr w:type="spellEnd"/>
      <w:r w:rsidRPr="0038530B">
        <w:rPr>
          <w:rFonts w:ascii="Garamond" w:hAnsi="Garamond"/>
          <w:i/>
        </w:rPr>
        <w:t xml:space="preserve"> </w:t>
      </w:r>
      <w:proofErr w:type="spellStart"/>
      <w:r w:rsidRPr="0038530B">
        <w:rPr>
          <w:rFonts w:ascii="Garamond" w:hAnsi="Garamond"/>
          <w:i/>
        </w:rPr>
        <w:t>als</w:t>
      </w:r>
      <w:proofErr w:type="spellEnd"/>
      <w:r w:rsidRPr="0038530B">
        <w:rPr>
          <w:rFonts w:ascii="Garamond" w:hAnsi="Garamond"/>
          <w:i/>
        </w:rPr>
        <w:t xml:space="preserve"> </w:t>
      </w:r>
      <w:proofErr w:type="spellStart"/>
      <w:r w:rsidRPr="0038530B">
        <w:rPr>
          <w:rFonts w:ascii="Garamond" w:hAnsi="Garamond"/>
          <w:i/>
        </w:rPr>
        <w:t>richtig</w:t>
      </w:r>
      <w:proofErr w:type="spellEnd"/>
      <w:r w:rsidRPr="0038530B">
        <w:rPr>
          <w:rFonts w:ascii="Garamond" w:hAnsi="Garamond"/>
          <w:i/>
        </w:rPr>
        <w:t xml:space="preserve"> </w:t>
      </w:r>
      <w:proofErr w:type="spellStart"/>
      <w:r w:rsidRPr="0038530B">
        <w:rPr>
          <w:rFonts w:ascii="Garamond" w:hAnsi="Garamond"/>
          <w:i/>
        </w:rPr>
        <w:t>angesehen</w:t>
      </w:r>
      <w:proofErr w:type="spellEnd"/>
      <w:r w:rsidRPr="0038530B">
        <w:rPr>
          <w:rFonts w:ascii="Garamond" w:hAnsi="Garamond"/>
          <w:i/>
        </w:rPr>
        <w:t xml:space="preserve"> </w:t>
      </w:r>
      <w:proofErr w:type="spellStart"/>
      <w:r w:rsidRPr="0038530B">
        <w:rPr>
          <w:rFonts w:ascii="Garamond" w:hAnsi="Garamond"/>
          <w:i/>
        </w:rPr>
        <w:t>werden</w:t>
      </w:r>
      <w:proofErr w:type="spellEnd"/>
      <w:r w:rsidRPr="0038530B">
        <w:rPr>
          <w:rFonts w:ascii="Garamond" w:hAnsi="Garamond"/>
          <w:i/>
        </w:rPr>
        <w:t>. Ist eine Abschrift der Urkunde nicht beigebracht, so können die Behauptungen des Beweisführers über die Beschaffenheit und den Inhalt der Urkunde als bewiesen angenommen werden</w:t>
      </w:r>
      <w:r w:rsidRPr="0038530B">
        <w:rPr>
          <w:rFonts w:ascii="Garamond" w:hAnsi="Garamond"/>
        </w:rPr>
        <w:t>.“</w:t>
      </w:r>
    </w:p>
  </w:footnote>
  <w:footnote w:id="80">
    <w:p w14:paraId="665F09C6" w14:textId="5A3580CF"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Viz § 444 Zivilprozessordnung: „</w:t>
      </w:r>
      <w:r w:rsidRPr="0038530B">
        <w:rPr>
          <w:rFonts w:ascii="Garamond" w:hAnsi="Garamond"/>
          <w:i/>
        </w:rPr>
        <w:t xml:space="preserve">Ist eine Urkunde von einer Partei in der Absicht, ihre Benutzung dem Gegner zu entziehen, beseitigt oder zur Benutzung untauglich gemacht, so können </w:t>
      </w:r>
      <w:proofErr w:type="spellStart"/>
      <w:r w:rsidRPr="0038530B">
        <w:rPr>
          <w:rFonts w:ascii="Garamond" w:hAnsi="Garamond"/>
          <w:i/>
        </w:rPr>
        <w:t>die</w:t>
      </w:r>
      <w:proofErr w:type="spellEnd"/>
      <w:r w:rsidRPr="0038530B">
        <w:rPr>
          <w:rFonts w:ascii="Garamond" w:hAnsi="Garamond"/>
          <w:i/>
        </w:rPr>
        <w:t xml:space="preserve"> </w:t>
      </w:r>
      <w:proofErr w:type="spellStart"/>
      <w:r w:rsidRPr="0038530B">
        <w:rPr>
          <w:rFonts w:ascii="Garamond" w:hAnsi="Garamond"/>
          <w:i/>
        </w:rPr>
        <w:t>Behauptungen</w:t>
      </w:r>
      <w:proofErr w:type="spellEnd"/>
      <w:r w:rsidRPr="0038530B">
        <w:rPr>
          <w:rFonts w:ascii="Garamond" w:hAnsi="Garamond"/>
          <w:i/>
        </w:rPr>
        <w:t xml:space="preserve"> des </w:t>
      </w:r>
      <w:proofErr w:type="spellStart"/>
      <w:r w:rsidRPr="0038530B">
        <w:rPr>
          <w:rFonts w:ascii="Garamond" w:hAnsi="Garamond"/>
          <w:i/>
        </w:rPr>
        <w:t>Gegners</w:t>
      </w:r>
      <w:proofErr w:type="spellEnd"/>
      <w:r w:rsidRPr="0038530B">
        <w:rPr>
          <w:rFonts w:ascii="Garamond" w:hAnsi="Garamond"/>
          <w:i/>
        </w:rPr>
        <w:t xml:space="preserve"> </w:t>
      </w:r>
      <w:proofErr w:type="spellStart"/>
      <w:r w:rsidRPr="0038530B">
        <w:rPr>
          <w:rFonts w:ascii="Garamond" w:hAnsi="Garamond"/>
          <w:i/>
        </w:rPr>
        <w:t>über</w:t>
      </w:r>
      <w:proofErr w:type="spellEnd"/>
      <w:r w:rsidRPr="0038530B">
        <w:rPr>
          <w:rFonts w:ascii="Garamond" w:hAnsi="Garamond"/>
          <w:i/>
        </w:rPr>
        <w:t xml:space="preserve"> </w:t>
      </w:r>
      <w:proofErr w:type="spellStart"/>
      <w:r w:rsidRPr="0038530B">
        <w:rPr>
          <w:rFonts w:ascii="Garamond" w:hAnsi="Garamond"/>
          <w:i/>
        </w:rPr>
        <w:t>die</w:t>
      </w:r>
      <w:proofErr w:type="spellEnd"/>
      <w:r w:rsidRPr="0038530B">
        <w:rPr>
          <w:rFonts w:ascii="Garamond" w:hAnsi="Garamond"/>
          <w:i/>
        </w:rPr>
        <w:t xml:space="preserve"> </w:t>
      </w:r>
      <w:proofErr w:type="spellStart"/>
      <w:r w:rsidRPr="0038530B">
        <w:rPr>
          <w:rFonts w:ascii="Garamond" w:hAnsi="Garamond"/>
          <w:i/>
        </w:rPr>
        <w:t>Beschaffenheit</w:t>
      </w:r>
      <w:proofErr w:type="spellEnd"/>
      <w:r w:rsidRPr="0038530B">
        <w:rPr>
          <w:rFonts w:ascii="Garamond" w:hAnsi="Garamond"/>
          <w:i/>
        </w:rPr>
        <w:t xml:space="preserve"> </w:t>
      </w:r>
      <w:proofErr w:type="spellStart"/>
      <w:r w:rsidRPr="0038530B">
        <w:rPr>
          <w:rFonts w:ascii="Garamond" w:hAnsi="Garamond"/>
          <w:i/>
        </w:rPr>
        <w:t>und</w:t>
      </w:r>
      <w:proofErr w:type="spellEnd"/>
      <w:r w:rsidRPr="0038530B">
        <w:rPr>
          <w:rFonts w:ascii="Garamond" w:hAnsi="Garamond"/>
          <w:i/>
        </w:rPr>
        <w:t xml:space="preserve"> den </w:t>
      </w:r>
      <w:proofErr w:type="spellStart"/>
      <w:r w:rsidRPr="0038530B">
        <w:rPr>
          <w:rFonts w:ascii="Garamond" w:hAnsi="Garamond"/>
          <w:i/>
        </w:rPr>
        <w:t>Inhalt</w:t>
      </w:r>
      <w:proofErr w:type="spellEnd"/>
      <w:r w:rsidRPr="0038530B">
        <w:rPr>
          <w:rFonts w:ascii="Garamond" w:hAnsi="Garamond"/>
          <w:i/>
        </w:rPr>
        <w:t xml:space="preserve"> der </w:t>
      </w:r>
      <w:proofErr w:type="spellStart"/>
      <w:r w:rsidRPr="0038530B">
        <w:rPr>
          <w:rFonts w:ascii="Garamond" w:hAnsi="Garamond"/>
          <w:i/>
        </w:rPr>
        <w:t>Urkunde</w:t>
      </w:r>
      <w:proofErr w:type="spellEnd"/>
      <w:r w:rsidRPr="0038530B">
        <w:rPr>
          <w:rFonts w:ascii="Garamond" w:hAnsi="Garamond"/>
          <w:i/>
        </w:rPr>
        <w:t xml:space="preserve"> </w:t>
      </w:r>
      <w:proofErr w:type="spellStart"/>
      <w:r w:rsidRPr="0038530B">
        <w:rPr>
          <w:rFonts w:ascii="Garamond" w:hAnsi="Garamond"/>
          <w:i/>
        </w:rPr>
        <w:t>als</w:t>
      </w:r>
      <w:proofErr w:type="spellEnd"/>
      <w:r w:rsidRPr="0038530B">
        <w:rPr>
          <w:rFonts w:ascii="Garamond" w:hAnsi="Garamond"/>
          <w:i/>
        </w:rPr>
        <w:t xml:space="preserve"> </w:t>
      </w:r>
      <w:proofErr w:type="spellStart"/>
      <w:r w:rsidRPr="0038530B">
        <w:rPr>
          <w:rFonts w:ascii="Garamond" w:hAnsi="Garamond"/>
          <w:i/>
        </w:rPr>
        <w:t>bewiesen</w:t>
      </w:r>
      <w:proofErr w:type="spellEnd"/>
      <w:r w:rsidRPr="0038530B">
        <w:rPr>
          <w:rFonts w:ascii="Garamond" w:hAnsi="Garamond"/>
          <w:i/>
        </w:rPr>
        <w:t xml:space="preserve"> </w:t>
      </w:r>
      <w:proofErr w:type="spellStart"/>
      <w:r w:rsidRPr="0038530B">
        <w:rPr>
          <w:rFonts w:ascii="Garamond" w:hAnsi="Garamond"/>
          <w:i/>
        </w:rPr>
        <w:t>angesehen</w:t>
      </w:r>
      <w:proofErr w:type="spellEnd"/>
      <w:r w:rsidRPr="0038530B">
        <w:rPr>
          <w:rFonts w:ascii="Garamond" w:hAnsi="Garamond"/>
          <w:i/>
        </w:rPr>
        <w:t xml:space="preserve"> </w:t>
      </w:r>
      <w:proofErr w:type="spellStart"/>
      <w:r w:rsidRPr="0038530B">
        <w:rPr>
          <w:rFonts w:ascii="Garamond" w:hAnsi="Garamond"/>
          <w:i/>
        </w:rPr>
        <w:t>werden</w:t>
      </w:r>
      <w:proofErr w:type="spellEnd"/>
      <w:r w:rsidRPr="0038530B">
        <w:rPr>
          <w:rFonts w:ascii="Garamond" w:hAnsi="Garamond"/>
        </w:rPr>
        <w:t xml:space="preserve">.“ </w:t>
      </w:r>
    </w:p>
  </w:footnote>
  <w:footnote w:id="81">
    <w:p w14:paraId="6706D0C3"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Viz § 446 Zivilprocessordnung: „</w:t>
      </w:r>
      <w:r w:rsidRPr="0038530B">
        <w:rPr>
          <w:rFonts w:ascii="Garamond" w:hAnsi="Garamond"/>
          <w:i/>
        </w:rPr>
        <w:t>Lehnt der Gegner ab, sich vernehmen zu lassen, oder gibt er auf Verlangen des Gerichts keine Erklärung ab, so hat das Gericht unter Berücksichtigung der gesamten Sachlage, insbesondere der für die Weigerung vorgebrachten Gründe, nach freier Überzeugung zu entscheiden, ob es die behauptete Tatsache als erwiesen ansehen will.“</w:t>
      </w:r>
    </w:p>
  </w:footnote>
  <w:footnote w:id="82">
    <w:p w14:paraId="0B83AEE5"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Viz § 381 </w:t>
      </w:r>
      <w:proofErr w:type="spellStart"/>
      <w:r w:rsidRPr="0038530B">
        <w:rPr>
          <w:rFonts w:ascii="Garamond" w:hAnsi="Garamond"/>
        </w:rPr>
        <w:t>Österreichische</w:t>
      </w:r>
      <w:proofErr w:type="spellEnd"/>
      <w:r w:rsidRPr="0038530B">
        <w:rPr>
          <w:rFonts w:ascii="Garamond" w:hAnsi="Garamond"/>
        </w:rPr>
        <w:t xml:space="preserve"> </w:t>
      </w:r>
      <w:proofErr w:type="spellStart"/>
      <w:r w:rsidRPr="0038530B">
        <w:rPr>
          <w:rFonts w:ascii="Garamond" w:hAnsi="Garamond"/>
        </w:rPr>
        <w:t>Zivilprozessordnung</w:t>
      </w:r>
      <w:proofErr w:type="spellEnd"/>
      <w:r w:rsidRPr="0038530B">
        <w:rPr>
          <w:rFonts w:ascii="Garamond" w:hAnsi="Garamond"/>
        </w:rPr>
        <w:t>: „</w:t>
      </w:r>
      <w:proofErr w:type="spellStart"/>
      <w:r w:rsidRPr="0038530B">
        <w:rPr>
          <w:rFonts w:ascii="Garamond" w:hAnsi="Garamond"/>
          <w:i/>
        </w:rPr>
        <w:t>Welchen</w:t>
      </w:r>
      <w:proofErr w:type="spellEnd"/>
      <w:r w:rsidRPr="0038530B">
        <w:rPr>
          <w:rFonts w:ascii="Garamond" w:hAnsi="Garamond"/>
          <w:i/>
        </w:rPr>
        <w:t xml:space="preserve"> </w:t>
      </w:r>
      <w:proofErr w:type="spellStart"/>
      <w:r w:rsidRPr="0038530B">
        <w:rPr>
          <w:rFonts w:ascii="Garamond" w:hAnsi="Garamond"/>
          <w:i/>
        </w:rPr>
        <w:t>Einfluss</w:t>
      </w:r>
      <w:proofErr w:type="spellEnd"/>
      <w:r w:rsidRPr="0038530B">
        <w:rPr>
          <w:rFonts w:ascii="Garamond" w:hAnsi="Garamond"/>
          <w:i/>
        </w:rPr>
        <w:t xml:space="preserve"> es </w:t>
      </w:r>
      <w:proofErr w:type="spellStart"/>
      <w:r w:rsidRPr="0038530B">
        <w:rPr>
          <w:rFonts w:ascii="Garamond" w:hAnsi="Garamond"/>
          <w:i/>
        </w:rPr>
        <w:t>auf</w:t>
      </w:r>
      <w:proofErr w:type="spellEnd"/>
      <w:r w:rsidRPr="0038530B">
        <w:rPr>
          <w:rFonts w:ascii="Garamond" w:hAnsi="Garamond"/>
          <w:i/>
        </w:rPr>
        <w:t xml:space="preserve"> </w:t>
      </w:r>
      <w:proofErr w:type="spellStart"/>
      <w:r w:rsidRPr="0038530B">
        <w:rPr>
          <w:rFonts w:ascii="Garamond" w:hAnsi="Garamond"/>
          <w:i/>
        </w:rPr>
        <w:t>die</w:t>
      </w:r>
      <w:proofErr w:type="spellEnd"/>
      <w:r w:rsidRPr="0038530B">
        <w:rPr>
          <w:rFonts w:ascii="Garamond" w:hAnsi="Garamond"/>
          <w:i/>
        </w:rPr>
        <w:t xml:space="preserve"> </w:t>
      </w:r>
      <w:proofErr w:type="spellStart"/>
      <w:r w:rsidRPr="0038530B">
        <w:rPr>
          <w:rFonts w:ascii="Garamond" w:hAnsi="Garamond"/>
          <w:i/>
        </w:rPr>
        <w:t>Herstellung</w:t>
      </w:r>
      <w:proofErr w:type="spellEnd"/>
      <w:r w:rsidRPr="0038530B">
        <w:rPr>
          <w:rFonts w:ascii="Garamond" w:hAnsi="Garamond"/>
          <w:i/>
        </w:rPr>
        <w:t xml:space="preserve"> des </w:t>
      </w:r>
      <w:proofErr w:type="spellStart"/>
      <w:r w:rsidRPr="0038530B">
        <w:rPr>
          <w:rFonts w:ascii="Garamond" w:hAnsi="Garamond"/>
          <w:i/>
        </w:rPr>
        <w:t>Beweises</w:t>
      </w:r>
      <w:proofErr w:type="spellEnd"/>
      <w:r w:rsidRPr="0038530B">
        <w:rPr>
          <w:rFonts w:ascii="Garamond" w:hAnsi="Garamond"/>
          <w:i/>
        </w:rPr>
        <w:t xml:space="preserve"> </w:t>
      </w:r>
      <w:proofErr w:type="spellStart"/>
      <w:r w:rsidRPr="0038530B">
        <w:rPr>
          <w:rFonts w:ascii="Garamond" w:hAnsi="Garamond"/>
          <w:i/>
        </w:rPr>
        <w:t>habe</w:t>
      </w:r>
      <w:proofErr w:type="spellEnd"/>
      <w:r w:rsidRPr="0038530B">
        <w:rPr>
          <w:rFonts w:ascii="Garamond" w:hAnsi="Garamond"/>
          <w:i/>
        </w:rPr>
        <w:t xml:space="preserve">, </w:t>
      </w:r>
      <w:proofErr w:type="spellStart"/>
      <w:r w:rsidRPr="0038530B">
        <w:rPr>
          <w:rFonts w:ascii="Garamond" w:hAnsi="Garamond"/>
          <w:i/>
        </w:rPr>
        <w:t>wenn</w:t>
      </w:r>
      <w:proofErr w:type="spellEnd"/>
      <w:r w:rsidRPr="0038530B">
        <w:rPr>
          <w:rFonts w:ascii="Garamond" w:hAnsi="Garamond"/>
          <w:i/>
        </w:rPr>
        <w:t xml:space="preserve"> </w:t>
      </w:r>
      <w:proofErr w:type="spellStart"/>
      <w:r w:rsidRPr="0038530B">
        <w:rPr>
          <w:rFonts w:ascii="Garamond" w:hAnsi="Garamond"/>
          <w:i/>
        </w:rPr>
        <w:t>die</w:t>
      </w:r>
      <w:proofErr w:type="spellEnd"/>
      <w:r w:rsidRPr="0038530B">
        <w:rPr>
          <w:rFonts w:ascii="Garamond" w:hAnsi="Garamond"/>
          <w:i/>
        </w:rPr>
        <w:t xml:space="preserve"> </w:t>
      </w:r>
      <w:proofErr w:type="spellStart"/>
      <w:r w:rsidRPr="0038530B">
        <w:rPr>
          <w:rFonts w:ascii="Garamond" w:hAnsi="Garamond"/>
          <w:i/>
        </w:rPr>
        <w:t>Partei</w:t>
      </w:r>
      <w:proofErr w:type="spellEnd"/>
      <w:r w:rsidRPr="0038530B">
        <w:rPr>
          <w:rFonts w:ascii="Garamond" w:hAnsi="Garamond"/>
          <w:i/>
        </w:rPr>
        <w:t xml:space="preserve"> ohne </w:t>
      </w:r>
      <w:proofErr w:type="spellStart"/>
      <w:r w:rsidRPr="0038530B">
        <w:rPr>
          <w:rFonts w:ascii="Garamond" w:hAnsi="Garamond"/>
          <w:i/>
        </w:rPr>
        <w:t>genügende</w:t>
      </w:r>
      <w:proofErr w:type="spellEnd"/>
      <w:r w:rsidRPr="0038530B">
        <w:rPr>
          <w:rFonts w:ascii="Garamond" w:hAnsi="Garamond"/>
          <w:i/>
        </w:rPr>
        <w:t xml:space="preserve"> </w:t>
      </w:r>
      <w:proofErr w:type="spellStart"/>
      <w:r w:rsidRPr="0038530B">
        <w:rPr>
          <w:rFonts w:ascii="Garamond" w:hAnsi="Garamond"/>
          <w:i/>
        </w:rPr>
        <w:t>Gründe</w:t>
      </w:r>
      <w:proofErr w:type="spellEnd"/>
      <w:r w:rsidRPr="0038530B">
        <w:rPr>
          <w:rFonts w:ascii="Garamond" w:hAnsi="Garamond"/>
          <w:i/>
        </w:rPr>
        <w:t xml:space="preserve"> </w:t>
      </w:r>
      <w:proofErr w:type="spellStart"/>
      <w:r w:rsidRPr="0038530B">
        <w:rPr>
          <w:rFonts w:ascii="Garamond" w:hAnsi="Garamond"/>
          <w:i/>
        </w:rPr>
        <w:t>die</w:t>
      </w:r>
      <w:proofErr w:type="spellEnd"/>
      <w:r w:rsidRPr="0038530B">
        <w:rPr>
          <w:rFonts w:ascii="Garamond" w:hAnsi="Garamond"/>
          <w:i/>
        </w:rPr>
        <w:t xml:space="preserve"> </w:t>
      </w:r>
      <w:proofErr w:type="spellStart"/>
      <w:r w:rsidRPr="0038530B">
        <w:rPr>
          <w:rFonts w:ascii="Garamond" w:hAnsi="Garamond"/>
          <w:i/>
        </w:rPr>
        <w:t>Aussage</w:t>
      </w:r>
      <w:proofErr w:type="spellEnd"/>
      <w:r w:rsidRPr="0038530B">
        <w:rPr>
          <w:rFonts w:ascii="Garamond" w:hAnsi="Garamond"/>
          <w:i/>
        </w:rPr>
        <w:t xml:space="preserve"> oder </w:t>
      </w:r>
      <w:proofErr w:type="spellStart"/>
      <w:r w:rsidRPr="0038530B">
        <w:rPr>
          <w:rFonts w:ascii="Garamond" w:hAnsi="Garamond"/>
          <w:i/>
        </w:rPr>
        <w:t>die</w:t>
      </w:r>
      <w:proofErr w:type="spellEnd"/>
      <w:r w:rsidRPr="0038530B">
        <w:rPr>
          <w:rFonts w:ascii="Garamond" w:hAnsi="Garamond"/>
          <w:i/>
        </w:rPr>
        <w:t xml:space="preserve"> </w:t>
      </w:r>
      <w:proofErr w:type="spellStart"/>
      <w:r w:rsidRPr="0038530B">
        <w:rPr>
          <w:rFonts w:ascii="Garamond" w:hAnsi="Garamond"/>
          <w:i/>
        </w:rPr>
        <w:t>Beantwortung</w:t>
      </w:r>
      <w:proofErr w:type="spellEnd"/>
      <w:r w:rsidRPr="0038530B">
        <w:rPr>
          <w:rFonts w:ascii="Garamond" w:hAnsi="Garamond"/>
          <w:i/>
        </w:rPr>
        <w:t xml:space="preserve"> </w:t>
      </w:r>
      <w:proofErr w:type="spellStart"/>
      <w:r w:rsidRPr="0038530B">
        <w:rPr>
          <w:rFonts w:ascii="Garamond" w:hAnsi="Garamond"/>
          <w:i/>
        </w:rPr>
        <w:t>einzelner</w:t>
      </w:r>
      <w:proofErr w:type="spellEnd"/>
      <w:r w:rsidRPr="0038530B">
        <w:rPr>
          <w:rFonts w:ascii="Garamond" w:hAnsi="Garamond"/>
          <w:i/>
        </w:rPr>
        <w:t xml:space="preserve"> </w:t>
      </w:r>
      <w:proofErr w:type="spellStart"/>
      <w:r w:rsidRPr="0038530B">
        <w:rPr>
          <w:rFonts w:ascii="Garamond" w:hAnsi="Garamond"/>
          <w:i/>
        </w:rPr>
        <w:t>Fragen</w:t>
      </w:r>
      <w:proofErr w:type="spellEnd"/>
      <w:r w:rsidRPr="0038530B">
        <w:rPr>
          <w:rFonts w:ascii="Garamond" w:hAnsi="Garamond"/>
          <w:i/>
        </w:rPr>
        <w:t xml:space="preserve"> </w:t>
      </w:r>
      <w:proofErr w:type="spellStart"/>
      <w:r w:rsidRPr="0038530B">
        <w:rPr>
          <w:rFonts w:ascii="Garamond" w:hAnsi="Garamond"/>
          <w:i/>
        </w:rPr>
        <w:t>ablehnt</w:t>
      </w:r>
      <w:proofErr w:type="spellEnd"/>
      <w:r w:rsidRPr="0038530B">
        <w:rPr>
          <w:rFonts w:ascii="Garamond" w:hAnsi="Garamond"/>
          <w:i/>
        </w:rPr>
        <w:t xml:space="preserve">, </w:t>
      </w:r>
      <w:proofErr w:type="spellStart"/>
      <w:r w:rsidRPr="0038530B">
        <w:rPr>
          <w:rFonts w:ascii="Garamond" w:hAnsi="Garamond"/>
          <w:i/>
        </w:rPr>
        <w:t>wenn</w:t>
      </w:r>
      <w:proofErr w:type="spellEnd"/>
      <w:r w:rsidRPr="0038530B">
        <w:rPr>
          <w:rFonts w:ascii="Garamond" w:hAnsi="Garamond"/>
          <w:i/>
        </w:rPr>
        <w:t xml:space="preserve"> </w:t>
      </w:r>
      <w:proofErr w:type="spellStart"/>
      <w:r w:rsidRPr="0038530B">
        <w:rPr>
          <w:rFonts w:ascii="Garamond" w:hAnsi="Garamond"/>
          <w:i/>
        </w:rPr>
        <w:t>die</w:t>
      </w:r>
      <w:proofErr w:type="spellEnd"/>
      <w:r w:rsidRPr="0038530B">
        <w:rPr>
          <w:rFonts w:ascii="Garamond" w:hAnsi="Garamond"/>
          <w:i/>
        </w:rPr>
        <w:t xml:space="preserve"> </w:t>
      </w:r>
      <w:proofErr w:type="spellStart"/>
      <w:r w:rsidRPr="0038530B">
        <w:rPr>
          <w:rFonts w:ascii="Garamond" w:hAnsi="Garamond"/>
          <w:i/>
        </w:rPr>
        <w:t>zum</w:t>
      </w:r>
      <w:proofErr w:type="spellEnd"/>
      <w:r w:rsidRPr="0038530B">
        <w:rPr>
          <w:rFonts w:ascii="Garamond" w:hAnsi="Garamond"/>
          <w:i/>
        </w:rPr>
        <w:t xml:space="preserve"> </w:t>
      </w:r>
      <w:proofErr w:type="spellStart"/>
      <w:r w:rsidRPr="0038530B">
        <w:rPr>
          <w:rFonts w:ascii="Garamond" w:hAnsi="Garamond"/>
          <w:i/>
        </w:rPr>
        <w:t>Zwecke</w:t>
      </w:r>
      <w:proofErr w:type="spellEnd"/>
      <w:r w:rsidRPr="0038530B">
        <w:rPr>
          <w:rFonts w:ascii="Garamond" w:hAnsi="Garamond"/>
          <w:i/>
        </w:rPr>
        <w:t xml:space="preserve"> der </w:t>
      </w:r>
      <w:proofErr w:type="spellStart"/>
      <w:r w:rsidRPr="0038530B">
        <w:rPr>
          <w:rFonts w:ascii="Garamond" w:hAnsi="Garamond"/>
          <w:i/>
        </w:rPr>
        <w:t>unbeeideten</w:t>
      </w:r>
      <w:proofErr w:type="spellEnd"/>
      <w:r w:rsidRPr="0038530B">
        <w:rPr>
          <w:rFonts w:ascii="Garamond" w:hAnsi="Garamond"/>
          <w:i/>
        </w:rPr>
        <w:t xml:space="preserve"> oder </w:t>
      </w:r>
      <w:proofErr w:type="spellStart"/>
      <w:r w:rsidRPr="0038530B">
        <w:rPr>
          <w:rFonts w:ascii="Garamond" w:hAnsi="Garamond"/>
          <w:i/>
        </w:rPr>
        <w:t>beeideten</w:t>
      </w:r>
      <w:proofErr w:type="spellEnd"/>
      <w:r w:rsidRPr="0038530B">
        <w:rPr>
          <w:rFonts w:ascii="Garamond" w:hAnsi="Garamond"/>
          <w:i/>
        </w:rPr>
        <w:t xml:space="preserve"> </w:t>
      </w:r>
      <w:proofErr w:type="spellStart"/>
      <w:r w:rsidRPr="0038530B">
        <w:rPr>
          <w:rFonts w:ascii="Garamond" w:hAnsi="Garamond"/>
          <w:i/>
        </w:rPr>
        <w:t>Vernehmung</w:t>
      </w:r>
      <w:proofErr w:type="spellEnd"/>
      <w:r w:rsidRPr="0038530B">
        <w:rPr>
          <w:rFonts w:ascii="Garamond" w:hAnsi="Garamond"/>
          <w:i/>
        </w:rPr>
        <w:t xml:space="preserve"> </w:t>
      </w:r>
      <w:proofErr w:type="spellStart"/>
      <w:r w:rsidRPr="0038530B">
        <w:rPr>
          <w:rFonts w:ascii="Garamond" w:hAnsi="Garamond"/>
          <w:i/>
        </w:rPr>
        <w:t>geladene</w:t>
      </w:r>
      <w:proofErr w:type="spellEnd"/>
      <w:r w:rsidRPr="0038530B">
        <w:rPr>
          <w:rFonts w:ascii="Garamond" w:hAnsi="Garamond"/>
          <w:i/>
        </w:rPr>
        <w:t xml:space="preserve"> </w:t>
      </w:r>
      <w:proofErr w:type="spellStart"/>
      <w:r w:rsidRPr="0038530B">
        <w:rPr>
          <w:rFonts w:ascii="Garamond" w:hAnsi="Garamond"/>
          <w:i/>
        </w:rPr>
        <w:t>Partei</w:t>
      </w:r>
      <w:proofErr w:type="spellEnd"/>
      <w:r w:rsidRPr="0038530B">
        <w:rPr>
          <w:rFonts w:ascii="Garamond" w:hAnsi="Garamond"/>
          <w:i/>
        </w:rPr>
        <w:t xml:space="preserve"> </w:t>
      </w:r>
      <w:proofErr w:type="spellStart"/>
      <w:r w:rsidRPr="0038530B">
        <w:rPr>
          <w:rFonts w:ascii="Garamond" w:hAnsi="Garamond"/>
          <w:i/>
        </w:rPr>
        <w:t>nicht</w:t>
      </w:r>
      <w:proofErr w:type="spellEnd"/>
      <w:r w:rsidRPr="0038530B">
        <w:rPr>
          <w:rFonts w:ascii="Garamond" w:hAnsi="Garamond"/>
          <w:i/>
        </w:rPr>
        <w:t xml:space="preserve"> </w:t>
      </w:r>
      <w:proofErr w:type="spellStart"/>
      <w:r w:rsidRPr="0038530B">
        <w:rPr>
          <w:rFonts w:ascii="Garamond" w:hAnsi="Garamond"/>
          <w:i/>
        </w:rPr>
        <w:t>erscheint</w:t>
      </w:r>
      <w:proofErr w:type="spellEnd"/>
      <w:r w:rsidRPr="0038530B">
        <w:rPr>
          <w:rFonts w:ascii="Garamond" w:hAnsi="Garamond"/>
          <w:i/>
        </w:rPr>
        <w:t xml:space="preserve">, oder </w:t>
      </w:r>
      <w:proofErr w:type="spellStart"/>
      <w:r w:rsidRPr="0038530B">
        <w:rPr>
          <w:rFonts w:ascii="Garamond" w:hAnsi="Garamond"/>
          <w:i/>
        </w:rPr>
        <w:t>wenn</w:t>
      </w:r>
      <w:proofErr w:type="spellEnd"/>
      <w:r w:rsidRPr="0038530B">
        <w:rPr>
          <w:rFonts w:ascii="Garamond" w:hAnsi="Garamond"/>
          <w:i/>
        </w:rPr>
        <w:t xml:space="preserve"> </w:t>
      </w:r>
      <w:proofErr w:type="spellStart"/>
      <w:r w:rsidRPr="0038530B">
        <w:rPr>
          <w:rFonts w:ascii="Garamond" w:hAnsi="Garamond"/>
          <w:i/>
        </w:rPr>
        <w:t>die</w:t>
      </w:r>
      <w:proofErr w:type="spellEnd"/>
      <w:r w:rsidRPr="0038530B">
        <w:rPr>
          <w:rFonts w:ascii="Garamond" w:hAnsi="Garamond"/>
          <w:i/>
        </w:rPr>
        <w:t xml:space="preserve"> </w:t>
      </w:r>
      <w:proofErr w:type="spellStart"/>
      <w:r w:rsidRPr="0038530B">
        <w:rPr>
          <w:rFonts w:ascii="Garamond" w:hAnsi="Garamond"/>
          <w:i/>
        </w:rPr>
        <w:t>eidliche</w:t>
      </w:r>
      <w:proofErr w:type="spellEnd"/>
      <w:r w:rsidRPr="0038530B">
        <w:rPr>
          <w:rFonts w:ascii="Garamond" w:hAnsi="Garamond"/>
          <w:i/>
        </w:rPr>
        <w:t xml:space="preserve"> </w:t>
      </w:r>
      <w:proofErr w:type="spellStart"/>
      <w:r w:rsidRPr="0038530B">
        <w:rPr>
          <w:rFonts w:ascii="Garamond" w:hAnsi="Garamond"/>
          <w:i/>
        </w:rPr>
        <w:t>Aussage</w:t>
      </w:r>
      <w:proofErr w:type="spellEnd"/>
      <w:r w:rsidRPr="0038530B">
        <w:rPr>
          <w:rFonts w:ascii="Garamond" w:hAnsi="Garamond"/>
          <w:i/>
        </w:rPr>
        <w:t xml:space="preserve"> </w:t>
      </w:r>
      <w:proofErr w:type="spellStart"/>
      <w:r w:rsidRPr="0038530B">
        <w:rPr>
          <w:rFonts w:ascii="Garamond" w:hAnsi="Garamond"/>
          <w:i/>
        </w:rPr>
        <w:t>einer</w:t>
      </w:r>
      <w:proofErr w:type="spellEnd"/>
      <w:r w:rsidRPr="0038530B">
        <w:rPr>
          <w:rFonts w:ascii="Garamond" w:hAnsi="Garamond"/>
          <w:i/>
        </w:rPr>
        <w:t xml:space="preserve"> </w:t>
      </w:r>
      <w:proofErr w:type="spellStart"/>
      <w:r w:rsidRPr="0038530B">
        <w:rPr>
          <w:rFonts w:ascii="Garamond" w:hAnsi="Garamond"/>
          <w:i/>
        </w:rPr>
        <w:t>Partei</w:t>
      </w:r>
      <w:proofErr w:type="spellEnd"/>
      <w:r w:rsidRPr="0038530B">
        <w:rPr>
          <w:rFonts w:ascii="Garamond" w:hAnsi="Garamond"/>
          <w:i/>
        </w:rPr>
        <w:t xml:space="preserve"> von den </w:t>
      </w:r>
      <w:proofErr w:type="spellStart"/>
      <w:r w:rsidRPr="0038530B">
        <w:rPr>
          <w:rFonts w:ascii="Garamond" w:hAnsi="Garamond"/>
          <w:i/>
        </w:rPr>
        <w:t>bei</w:t>
      </w:r>
      <w:proofErr w:type="spellEnd"/>
      <w:r w:rsidRPr="0038530B">
        <w:rPr>
          <w:rFonts w:ascii="Garamond" w:hAnsi="Garamond"/>
          <w:i/>
        </w:rPr>
        <w:t xml:space="preserve"> </w:t>
      </w:r>
      <w:proofErr w:type="spellStart"/>
      <w:r w:rsidRPr="0038530B">
        <w:rPr>
          <w:rFonts w:ascii="Garamond" w:hAnsi="Garamond"/>
          <w:i/>
        </w:rPr>
        <w:t>ihrer</w:t>
      </w:r>
      <w:proofErr w:type="spellEnd"/>
      <w:r w:rsidRPr="0038530B">
        <w:rPr>
          <w:rFonts w:ascii="Garamond" w:hAnsi="Garamond"/>
          <w:i/>
        </w:rPr>
        <w:t xml:space="preserve"> </w:t>
      </w:r>
      <w:proofErr w:type="spellStart"/>
      <w:r w:rsidRPr="0038530B">
        <w:rPr>
          <w:rFonts w:ascii="Garamond" w:hAnsi="Garamond"/>
          <w:i/>
        </w:rPr>
        <w:t>vorausgegangenen</w:t>
      </w:r>
      <w:proofErr w:type="spellEnd"/>
      <w:r w:rsidRPr="0038530B">
        <w:rPr>
          <w:rFonts w:ascii="Garamond" w:hAnsi="Garamond"/>
          <w:i/>
        </w:rPr>
        <w:t xml:space="preserve"> </w:t>
      </w:r>
      <w:proofErr w:type="spellStart"/>
      <w:r w:rsidRPr="0038530B">
        <w:rPr>
          <w:rFonts w:ascii="Garamond" w:hAnsi="Garamond"/>
          <w:i/>
        </w:rPr>
        <w:t>unbeeideten</w:t>
      </w:r>
      <w:proofErr w:type="spellEnd"/>
      <w:r w:rsidRPr="0038530B">
        <w:rPr>
          <w:rFonts w:ascii="Garamond" w:hAnsi="Garamond"/>
          <w:i/>
        </w:rPr>
        <w:t xml:space="preserve"> </w:t>
      </w:r>
      <w:proofErr w:type="spellStart"/>
      <w:r w:rsidRPr="0038530B">
        <w:rPr>
          <w:rFonts w:ascii="Garamond" w:hAnsi="Garamond"/>
          <w:i/>
        </w:rPr>
        <w:t>Vernehmung</w:t>
      </w:r>
      <w:proofErr w:type="spellEnd"/>
      <w:r w:rsidRPr="0038530B">
        <w:rPr>
          <w:rFonts w:ascii="Garamond" w:hAnsi="Garamond"/>
          <w:i/>
        </w:rPr>
        <w:t xml:space="preserve"> </w:t>
      </w:r>
      <w:proofErr w:type="spellStart"/>
      <w:r w:rsidRPr="0038530B">
        <w:rPr>
          <w:rFonts w:ascii="Garamond" w:hAnsi="Garamond"/>
          <w:i/>
        </w:rPr>
        <w:t>abgegebenen</w:t>
      </w:r>
      <w:proofErr w:type="spellEnd"/>
      <w:r w:rsidRPr="0038530B">
        <w:rPr>
          <w:rFonts w:ascii="Garamond" w:hAnsi="Garamond"/>
          <w:i/>
        </w:rPr>
        <w:t xml:space="preserve"> </w:t>
      </w:r>
      <w:proofErr w:type="spellStart"/>
      <w:r w:rsidRPr="0038530B">
        <w:rPr>
          <w:rFonts w:ascii="Garamond" w:hAnsi="Garamond"/>
          <w:i/>
        </w:rPr>
        <w:t>Erklärungen</w:t>
      </w:r>
      <w:proofErr w:type="spellEnd"/>
      <w:r w:rsidRPr="0038530B">
        <w:rPr>
          <w:rFonts w:ascii="Garamond" w:hAnsi="Garamond"/>
          <w:i/>
        </w:rPr>
        <w:t xml:space="preserve"> in </w:t>
      </w:r>
      <w:proofErr w:type="spellStart"/>
      <w:r w:rsidRPr="0038530B">
        <w:rPr>
          <w:rFonts w:ascii="Garamond" w:hAnsi="Garamond"/>
          <w:i/>
        </w:rPr>
        <w:t>erheblichen</w:t>
      </w:r>
      <w:proofErr w:type="spellEnd"/>
      <w:r w:rsidRPr="0038530B">
        <w:rPr>
          <w:rFonts w:ascii="Garamond" w:hAnsi="Garamond"/>
          <w:i/>
        </w:rPr>
        <w:t xml:space="preserve"> </w:t>
      </w:r>
      <w:proofErr w:type="spellStart"/>
      <w:r w:rsidRPr="0038530B">
        <w:rPr>
          <w:rFonts w:ascii="Garamond" w:hAnsi="Garamond"/>
          <w:i/>
        </w:rPr>
        <w:t>Punkten</w:t>
      </w:r>
      <w:proofErr w:type="spellEnd"/>
      <w:r w:rsidRPr="0038530B">
        <w:rPr>
          <w:rFonts w:ascii="Garamond" w:hAnsi="Garamond"/>
          <w:i/>
        </w:rPr>
        <w:t xml:space="preserve"> </w:t>
      </w:r>
      <w:proofErr w:type="spellStart"/>
      <w:r w:rsidRPr="0038530B">
        <w:rPr>
          <w:rFonts w:ascii="Garamond" w:hAnsi="Garamond"/>
          <w:i/>
        </w:rPr>
        <w:t>abweicht</w:t>
      </w:r>
      <w:proofErr w:type="spellEnd"/>
      <w:r w:rsidRPr="0038530B">
        <w:rPr>
          <w:rFonts w:ascii="Garamond" w:hAnsi="Garamond"/>
          <w:i/>
        </w:rPr>
        <w:t xml:space="preserve">, </w:t>
      </w:r>
      <w:proofErr w:type="spellStart"/>
      <w:r w:rsidRPr="0038530B">
        <w:rPr>
          <w:rFonts w:ascii="Garamond" w:hAnsi="Garamond"/>
          <w:i/>
        </w:rPr>
        <w:t>hat</w:t>
      </w:r>
      <w:proofErr w:type="spellEnd"/>
      <w:r w:rsidRPr="0038530B">
        <w:rPr>
          <w:rFonts w:ascii="Garamond" w:hAnsi="Garamond"/>
          <w:i/>
        </w:rPr>
        <w:t xml:space="preserve"> </w:t>
      </w:r>
      <w:proofErr w:type="spellStart"/>
      <w:r w:rsidRPr="0038530B">
        <w:rPr>
          <w:rFonts w:ascii="Garamond" w:hAnsi="Garamond"/>
          <w:i/>
        </w:rPr>
        <w:t>das</w:t>
      </w:r>
      <w:proofErr w:type="spellEnd"/>
      <w:r w:rsidRPr="0038530B">
        <w:rPr>
          <w:rFonts w:ascii="Garamond" w:hAnsi="Garamond"/>
          <w:i/>
        </w:rPr>
        <w:t xml:space="preserve"> </w:t>
      </w:r>
      <w:proofErr w:type="spellStart"/>
      <w:r w:rsidRPr="0038530B">
        <w:rPr>
          <w:rFonts w:ascii="Garamond" w:hAnsi="Garamond"/>
          <w:i/>
        </w:rPr>
        <w:t>Gericht</w:t>
      </w:r>
      <w:proofErr w:type="spellEnd"/>
      <w:r w:rsidRPr="0038530B">
        <w:rPr>
          <w:rFonts w:ascii="Garamond" w:hAnsi="Garamond"/>
          <w:i/>
        </w:rPr>
        <w:t xml:space="preserve"> </w:t>
      </w:r>
      <w:proofErr w:type="spellStart"/>
      <w:r w:rsidRPr="0038530B">
        <w:rPr>
          <w:rFonts w:ascii="Garamond" w:hAnsi="Garamond"/>
          <w:i/>
        </w:rPr>
        <w:t>unter</w:t>
      </w:r>
      <w:proofErr w:type="spellEnd"/>
      <w:r w:rsidRPr="0038530B">
        <w:rPr>
          <w:rFonts w:ascii="Garamond" w:hAnsi="Garamond"/>
          <w:i/>
        </w:rPr>
        <w:t xml:space="preserve"> </w:t>
      </w:r>
      <w:proofErr w:type="spellStart"/>
      <w:r w:rsidRPr="0038530B">
        <w:rPr>
          <w:rFonts w:ascii="Garamond" w:hAnsi="Garamond"/>
          <w:i/>
        </w:rPr>
        <w:t>sorgfältiger</w:t>
      </w:r>
      <w:proofErr w:type="spellEnd"/>
      <w:r w:rsidRPr="0038530B">
        <w:rPr>
          <w:rFonts w:ascii="Garamond" w:hAnsi="Garamond"/>
          <w:i/>
        </w:rPr>
        <w:t xml:space="preserve"> </w:t>
      </w:r>
      <w:proofErr w:type="spellStart"/>
      <w:r w:rsidRPr="0038530B">
        <w:rPr>
          <w:rFonts w:ascii="Garamond" w:hAnsi="Garamond"/>
          <w:i/>
        </w:rPr>
        <w:t>Würdigung</w:t>
      </w:r>
      <w:proofErr w:type="spellEnd"/>
      <w:r w:rsidRPr="0038530B">
        <w:rPr>
          <w:rFonts w:ascii="Garamond" w:hAnsi="Garamond"/>
          <w:i/>
        </w:rPr>
        <w:t xml:space="preserve"> </w:t>
      </w:r>
      <w:proofErr w:type="spellStart"/>
      <w:r w:rsidRPr="0038530B">
        <w:rPr>
          <w:rFonts w:ascii="Garamond" w:hAnsi="Garamond"/>
          <w:i/>
        </w:rPr>
        <w:t>aller</w:t>
      </w:r>
      <w:proofErr w:type="spellEnd"/>
      <w:r w:rsidRPr="0038530B">
        <w:rPr>
          <w:rFonts w:ascii="Garamond" w:hAnsi="Garamond"/>
          <w:i/>
        </w:rPr>
        <w:t xml:space="preserve"> </w:t>
      </w:r>
      <w:proofErr w:type="spellStart"/>
      <w:r w:rsidRPr="0038530B">
        <w:rPr>
          <w:rFonts w:ascii="Garamond" w:hAnsi="Garamond"/>
          <w:i/>
        </w:rPr>
        <w:t>Umstände</w:t>
      </w:r>
      <w:proofErr w:type="spellEnd"/>
      <w:r w:rsidRPr="0038530B">
        <w:rPr>
          <w:rFonts w:ascii="Garamond" w:hAnsi="Garamond"/>
          <w:i/>
        </w:rPr>
        <w:t xml:space="preserve"> </w:t>
      </w:r>
      <w:proofErr w:type="spellStart"/>
      <w:r w:rsidRPr="0038530B">
        <w:rPr>
          <w:rFonts w:ascii="Garamond" w:hAnsi="Garamond"/>
          <w:i/>
        </w:rPr>
        <w:t>zu</w:t>
      </w:r>
      <w:proofErr w:type="spellEnd"/>
      <w:r w:rsidRPr="0038530B">
        <w:rPr>
          <w:rFonts w:ascii="Garamond" w:hAnsi="Garamond"/>
          <w:i/>
        </w:rPr>
        <w:t xml:space="preserve"> </w:t>
      </w:r>
      <w:proofErr w:type="spellStart"/>
      <w:r w:rsidRPr="0038530B">
        <w:rPr>
          <w:rFonts w:ascii="Garamond" w:hAnsi="Garamond"/>
          <w:i/>
        </w:rPr>
        <w:t>beurtheilen</w:t>
      </w:r>
      <w:proofErr w:type="spellEnd"/>
      <w:r w:rsidRPr="0038530B">
        <w:rPr>
          <w:rFonts w:ascii="Garamond" w:hAnsi="Garamond"/>
        </w:rPr>
        <w:t>.“</w:t>
      </w:r>
    </w:p>
  </w:footnote>
  <w:footnote w:id="83">
    <w:p w14:paraId="55D949CD" w14:textId="77777777" w:rsidR="00945299" w:rsidRPr="0038530B" w:rsidRDefault="00945299" w:rsidP="007163A7">
      <w:pPr>
        <w:pStyle w:val="Textpoznpodarou"/>
        <w:jc w:val="both"/>
        <w:rPr>
          <w:rFonts w:ascii="Garamond" w:hAnsi="Garamond"/>
          <w:i/>
        </w:rPr>
      </w:pPr>
      <w:r w:rsidRPr="0038530B">
        <w:rPr>
          <w:rStyle w:val="Znakapoznpodarou"/>
          <w:rFonts w:ascii="Garamond" w:hAnsi="Garamond"/>
        </w:rPr>
        <w:footnoteRef/>
      </w:r>
      <w:r w:rsidRPr="0038530B">
        <w:rPr>
          <w:rFonts w:ascii="Garamond" w:hAnsi="Garamond"/>
        </w:rPr>
        <w:t xml:space="preserve"> Viz </w:t>
      </w:r>
      <w:proofErr w:type="spellStart"/>
      <w:r w:rsidRPr="0038530B">
        <w:rPr>
          <w:rFonts w:ascii="Garamond" w:hAnsi="Garamond"/>
        </w:rPr>
        <w:t>Artikel</w:t>
      </w:r>
      <w:proofErr w:type="spellEnd"/>
      <w:r w:rsidRPr="0038530B">
        <w:rPr>
          <w:rFonts w:ascii="Garamond" w:hAnsi="Garamond"/>
        </w:rPr>
        <w:t xml:space="preserve"> 164: „</w:t>
      </w:r>
      <w:proofErr w:type="spellStart"/>
      <w:r w:rsidRPr="0038530B">
        <w:rPr>
          <w:rFonts w:ascii="Garamond" w:hAnsi="Garamond"/>
          <w:i/>
        </w:rPr>
        <w:t>Verweigert</w:t>
      </w:r>
      <w:proofErr w:type="spellEnd"/>
      <w:r w:rsidRPr="0038530B">
        <w:rPr>
          <w:rFonts w:ascii="Garamond" w:hAnsi="Garamond"/>
          <w:i/>
        </w:rPr>
        <w:t xml:space="preserve"> </w:t>
      </w:r>
      <w:proofErr w:type="spellStart"/>
      <w:r w:rsidRPr="0038530B">
        <w:rPr>
          <w:rFonts w:ascii="Garamond" w:hAnsi="Garamond"/>
          <w:i/>
        </w:rPr>
        <w:t>eine</w:t>
      </w:r>
      <w:proofErr w:type="spellEnd"/>
      <w:r w:rsidRPr="0038530B">
        <w:rPr>
          <w:rFonts w:ascii="Garamond" w:hAnsi="Garamond"/>
          <w:i/>
        </w:rPr>
        <w:t xml:space="preserve"> </w:t>
      </w:r>
      <w:proofErr w:type="spellStart"/>
      <w:r w:rsidRPr="0038530B">
        <w:rPr>
          <w:rFonts w:ascii="Garamond" w:hAnsi="Garamond"/>
          <w:i/>
        </w:rPr>
        <w:t>Partei</w:t>
      </w:r>
      <w:proofErr w:type="spellEnd"/>
      <w:r w:rsidRPr="0038530B">
        <w:rPr>
          <w:rFonts w:ascii="Garamond" w:hAnsi="Garamond"/>
          <w:i/>
        </w:rPr>
        <w:t xml:space="preserve"> </w:t>
      </w:r>
      <w:proofErr w:type="spellStart"/>
      <w:r w:rsidRPr="0038530B">
        <w:rPr>
          <w:rFonts w:ascii="Garamond" w:hAnsi="Garamond"/>
          <w:i/>
        </w:rPr>
        <w:t>die</w:t>
      </w:r>
      <w:proofErr w:type="spellEnd"/>
      <w:r w:rsidRPr="0038530B">
        <w:rPr>
          <w:rFonts w:ascii="Garamond" w:hAnsi="Garamond"/>
          <w:i/>
        </w:rPr>
        <w:t xml:space="preserve"> </w:t>
      </w:r>
      <w:proofErr w:type="spellStart"/>
      <w:r w:rsidRPr="0038530B">
        <w:rPr>
          <w:rFonts w:ascii="Garamond" w:hAnsi="Garamond"/>
          <w:i/>
        </w:rPr>
        <w:t>Mitwirkung</w:t>
      </w:r>
      <w:proofErr w:type="spellEnd"/>
      <w:r w:rsidRPr="0038530B">
        <w:rPr>
          <w:rFonts w:ascii="Garamond" w:hAnsi="Garamond"/>
          <w:i/>
        </w:rPr>
        <w:t xml:space="preserve"> </w:t>
      </w:r>
      <w:proofErr w:type="spellStart"/>
      <w:r w:rsidRPr="0038530B">
        <w:rPr>
          <w:rFonts w:ascii="Garamond" w:hAnsi="Garamond"/>
          <w:i/>
        </w:rPr>
        <w:t>unberechtigterweise</w:t>
      </w:r>
      <w:proofErr w:type="spellEnd"/>
      <w:r w:rsidRPr="0038530B">
        <w:rPr>
          <w:rFonts w:ascii="Garamond" w:hAnsi="Garamond"/>
          <w:i/>
        </w:rPr>
        <w:t xml:space="preserve">, so </w:t>
      </w:r>
      <w:proofErr w:type="spellStart"/>
      <w:r w:rsidRPr="0038530B">
        <w:rPr>
          <w:rFonts w:ascii="Garamond" w:hAnsi="Garamond"/>
          <w:i/>
        </w:rPr>
        <w:t>berücksichtigt</w:t>
      </w:r>
      <w:proofErr w:type="spellEnd"/>
      <w:r w:rsidRPr="0038530B">
        <w:rPr>
          <w:rFonts w:ascii="Garamond" w:hAnsi="Garamond"/>
          <w:i/>
        </w:rPr>
        <w:t xml:space="preserve"> </w:t>
      </w:r>
      <w:proofErr w:type="spellStart"/>
      <w:r w:rsidRPr="0038530B">
        <w:rPr>
          <w:rFonts w:ascii="Garamond" w:hAnsi="Garamond"/>
          <w:i/>
        </w:rPr>
        <w:t>dies</w:t>
      </w:r>
      <w:proofErr w:type="spellEnd"/>
    </w:p>
    <w:p w14:paraId="0BF129AC" w14:textId="77777777" w:rsidR="00945299" w:rsidRPr="0038530B" w:rsidRDefault="00945299" w:rsidP="007163A7">
      <w:pPr>
        <w:pStyle w:val="Textpoznpodarou"/>
        <w:jc w:val="both"/>
        <w:rPr>
          <w:rFonts w:ascii="Garamond" w:hAnsi="Garamond"/>
        </w:rPr>
      </w:pPr>
      <w:r w:rsidRPr="0038530B">
        <w:rPr>
          <w:rFonts w:ascii="Garamond" w:hAnsi="Garamond"/>
          <w:i/>
        </w:rPr>
        <w:t>das Gericht bei der Beweiswürdigung</w:t>
      </w:r>
      <w:r w:rsidRPr="0038530B">
        <w:rPr>
          <w:rFonts w:ascii="Garamond" w:hAnsi="Garamond"/>
        </w:rPr>
        <w:t>.“</w:t>
      </w:r>
    </w:p>
  </w:footnote>
  <w:footnote w:id="84">
    <w:p w14:paraId="3DD86A0D"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MACUR, Josef. </w:t>
      </w:r>
      <w:r w:rsidRPr="0038530B">
        <w:rPr>
          <w:rFonts w:ascii="Garamond" w:hAnsi="Garamond"/>
          <w:i/>
        </w:rPr>
        <w:t>Kompenzace informačního deficitu procesní strany v civilním soudním sporu.</w:t>
      </w:r>
      <w:r w:rsidRPr="0038530B">
        <w:rPr>
          <w:rFonts w:ascii="Garamond" w:hAnsi="Garamond"/>
        </w:rPr>
        <w:t xml:space="preserve"> Brno: Masarykova univerzita, 2000, s. 175</w:t>
      </w:r>
    </w:p>
  </w:footnote>
  <w:footnote w:id="85">
    <w:p w14:paraId="326941E6" w14:textId="3F52DCBD"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MACUR, Josef. </w:t>
      </w:r>
      <w:r w:rsidRPr="0038530B">
        <w:rPr>
          <w:rFonts w:ascii="Garamond" w:hAnsi="Garamond"/>
          <w:i/>
        </w:rPr>
        <w:t>Kompenzace informačního deficitu procesní strany v civilním soudním sporu.</w:t>
      </w:r>
      <w:r w:rsidRPr="0038530B">
        <w:rPr>
          <w:rFonts w:ascii="Garamond" w:hAnsi="Garamond"/>
        </w:rPr>
        <w:t xml:space="preserve"> Brno: Masarykova univerzita, 2000, s. 17</w:t>
      </w:r>
      <w:r>
        <w:rPr>
          <w:rFonts w:ascii="Garamond" w:hAnsi="Garamond"/>
        </w:rPr>
        <w:t>6</w:t>
      </w:r>
    </w:p>
  </w:footnote>
  <w:footnote w:id="86">
    <w:p w14:paraId="0B11F1D8" w14:textId="689483CE"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Tamtéž, s. 177</w:t>
      </w:r>
    </w:p>
  </w:footnote>
  <w:footnote w:id="87">
    <w:p w14:paraId="4A77A46A" w14:textId="32857C5E"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w:t>
      </w:r>
      <w:r>
        <w:rPr>
          <w:rFonts w:ascii="Garamond" w:hAnsi="Garamond"/>
        </w:rPr>
        <w:t>Tamtéž, s. 178</w:t>
      </w:r>
    </w:p>
  </w:footnote>
  <w:footnote w:id="88">
    <w:p w14:paraId="29328F6B" w14:textId="4A79D2CD" w:rsidR="00945299" w:rsidRPr="0038530B" w:rsidRDefault="00945299">
      <w:pPr>
        <w:pStyle w:val="Textpoznpodarou"/>
        <w:rPr>
          <w:rFonts w:ascii="Garamond" w:hAnsi="Garamond"/>
        </w:rPr>
      </w:pPr>
      <w:r w:rsidRPr="0038530B">
        <w:rPr>
          <w:rStyle w:val="Znakapoznpodarou"/>
          <w:rFonts w:ascii="Garamond" w:hAnsi="Garamond"/>
        </w:rPr>
        <w:footnoteRef/>
      </w:r>
      <w:r w:rsidRPr="0038530B">
        <w:rPr>
          <w:rFonts w:ascii="Garamond" w:hAnsi="Garamond"/>
        </w:rPr>
        <w:t xml:space="preserve"> MACUR, Josef. </w:t>
      </w:r>
      <w:r w:rsidRPr="0038530B">
        <w:rPr>
          <w:rFonts w:ascii="Garamond" w:hAnsi="Garamond"/>
          <w:i/>
        </w:rPr>
        <w:t>Kompenzace informačního deficitu procesní strany v civilním soudním sporu.</w:t>
      </w:r>
      <w:r w:rsidRPr="0038530B">
        <w:rPr>
          <w:rFonts w:ascii="Garamond" w:hAnsi="Garamond"/>
        </w:rPr>
        <w:t xml:space="preserve"> Brno: Masarykova univerzita, 2000, s. 17</w:t>
      </w:r>
      <w:r>
        <w:rPr>
          <w:rFonts w:ascii="Garamond" w:hAnsi="Garamond"/>
        </w:rPr>
        <w:t>8</w:t>
      </w:r>
    </w:p>
  </w:footnote>
  <w:footnote w:id="89">
    <w:p w14:paraId="53DA83A4" w14:textId="30D1D2C9" w:rsidR="00945299" w:rsidRPr="0038530B" w:rsidRDefault="00945299">
      <w:pPr>
        <w:pStyle w:val="Textpoznpodarou"/>
        <w:rPr>
          <w:rFonts w:ascii="Garamond" w:hAnsi="Garamond"/>
        </w:rPr>
      </w:pPr>
      <w:r w:rsidRPr="0038530B">
        <w:rPr>
          <w:rStyle w:val="Znakapoznpodarou"/>
          <w:rFonts w:ascii="Garamond" w:hAnsi="Garamond"/>
        </w:rPr>
        <w:footnoteRef/>
      </w:r>
      <w:r w:rsidRPr="0038530B">
        <w:rPr>
          <w:rFonts w:ascii="Garamond" w:hAnsi="Garamond"/>
        </w:rPr>
        <w:t xml:space="preserve"> Tamtéž, s. 179</w:t>
      </w:r>
    </w:p>
  </w:footnote>
  <w:footnote w:id="90">
    <w:p w14:paraId="3E6B3E2F" w14:textId="40FC25C2"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K tomu viz předchozí výklad v podkapitole o právní povaze vysvětlovací povinnosti a MACUR, Josef. </w:t>
      </w:r>
      <w:r w:rsidRPr="0038530B">
        <w:rPr>
          <w:rFonts w:ascii="Garamond" w:hAnsi="Garamond"/>
          <w:i/>
        </w:rPr>
        <w:t>Kompenzace informačního deficitu procesní strany v civilním soudním sporu.</w:t>
      </w:r>
      <w:r w:rsidRPr="0038530B">
        <w:rPr>
          <w:rFonts w:ascii="Garamond" w:hAnsi="Garamond"/>
        </w:rPr>
        <w:t xml:space="preserve"> Brno: Masarykova univerzita, 2000, s. 127</w:t>
      </w:r>
    </w:p>
  </w:footnote>
  <w:footnote w:id="91">
    <w:p w14:paraId="6AEB5225"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Viz ustanovení § 1 zákona č. 99/1963 Sb., občanský soudní řád, ve znění pozdějších předpisů</w:t>
      </w:r>
    </w:p>
  </w:footnote>
  <w:footnote w:id="92">
    <w:p w14:paraId="60BB34E6"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w:t>
      </w:r>
      <w:bookmarkStart w:id="36" w:name="_Hlk17856393"/>
      <w:r w:rsidRPr="0038530B">
        <w:rPr>
          <w:rFonts w:ascii="Garamond" w:hAnsi="Garamond"/>
        </w:rPr>
        <w:t>Usnesení Ústavního soudu ze dne 19. března 2012, sp. zn. IV.ÚS 2986/11</w:t>
      </w:r>
      <w:bookmarkEnd w:id="36"/>
    </w:p>
  </w:footnote>
  <w:footnote w:id="93">
    <w:p w14:paraId="08E94548"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MACUR, Josef. Vysvětlovací povinnost strany nezatížené důkazním břemenem v civilním soudním řízení. </w:t>
      </w:r>
      <w:r w:rsidRPr="0038530B">
        <w:rPr>
          <w:rFonts w:ascii="Garamond" w:hAnsi="Garamond"/>
          <w:i/>
        </w:rPr>
        <w:t xml:space="preserve">Právní rozhledy, </w:t>
      </w:r>
      <w:r w:rsidRPr="0038530B">
        <w:rPr>
          <w:rFonts w:ascii="Garamond" w:hAnsi="Garamond"/>
        </w:rPr>
        <w:t>2000, roč. 8, č. 5, s. 200</w:t>
      </w:r>
    </w:p>
  </w:footnote>
  <w:footnote w:id="94">
    <w:p w14:paraId="781399F1"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w:t>
      </w:r>
      <w:bookmarkStart w:id="37" w:name="_Hlk17856431"/>
      <w:r w:rsidRPr="0038530B">
        <w:rPr>
          <w:rFonts w:ascii="Garamond" w:hAnsi="Garamond"/>
        </w:rPr>
        <w:t>Usnesení Nejvyššího soudu ze dne 30. července 2014, sp. zn. 30 Cdo 2822/2013</w:t>
      </w:r>
      <w:bookmarkEnd w:id="37"/>
    </w:p>
  </w:footnote>
  <w:footnote w:id="95">
    <w:p w14:paraId="2305BAFF"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MACUR, Josef. Vyšetřovací důkaz v civilním soudním řízení. </w:t>
      </w:r>
      <w:r w:rsidRPr="0038530B">
        <w:rPr>
          <w:rFonts w:ascii="Garamond" w:hAnsi="Garamond"/>
          <w:i/>
        </w:rPr>
        <w:t>Právní rozhledy</w:t>
      </w:r>
      <w:r w:rsidRPr="0038530B">
        <w:rPr>
          <w:rFonts w:ascii="Garamond" w:hAnsi="Garamond"/>
        </w:rPr>
        <w:t>, 2000, roč. 8, č. 2, s. 47</w:t>
      </w:r>
    </w:p>
  </w:footnote>
  <w:footnote w:id="96">
    <w:p w14:paraId="3EA4E281" w14:textId="56D0F6CA"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w:t>
      </w:r>
      <w:bookmarkStart w:id="39" w:name="_Hlk17856485"/>
      <w:r w:rsidRPr="0038530B">
        <w:rPr>
          <w:rFonts w:ascii="Garamond" w:hAnsi="Garamond"/>
        </w:rPr>
        <w:t xml:space="preserve">Rozsudek Nejvyššího soudu ze dne 29. ledna 2014, </w:t>
      </w:r>
      <w:proofErr w:type="spellStart"/>
      <w:r w:rsidRPr="0038530B">
        <w:rPr>
          <w:rFonts w:ascii="Garamond" w:hAnsi="Garamond"/>
        </w:rPr>
        <w:t>sp</w:t>
      </w:r>
      <w:proofErr w:type="spellEnd"/>
      <w:r w:rsidRPr="0038530B">
        <w:rPr>
          <w:rFonts w:ascii="Garamond" w:hAnsi="Garamond"/>
        </w:rPr>
        <w:t xml:space="preserve">. zn. 22 </w:t>
      </w:r>
      <w:proofErr w:type="spellStart"/>
      <w:r w:rsidRPr="0038530B">
        <w:rPr>
          <w:rFonts w:ascii="Garamond" w:hAnsi="Garamond"/>
        </w:rPr>
        <w:t>Cdo</w:t>
      </w:r>
      <w:proofErr w:type="spellEnd"/>
      <w:r w:rsidRPr="0038530B">
        <w:rPr>
          <w:rFonts w:ascii="Garamond" w:hAnsi="Garamond"/>
        </w:rPr>
        <w:t xml:space="preserve"> 2851/2013</w:t>
      </w:r>
      <w:bookmarkEnd w:id="39"/>
    </w:p>
  </w:footnote>
  <w:footnote w:id="97">
    <w:p w14:paraId="4717F057" w14:textId="3DAE4FCD"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Rozsudek Nejvyššího soudu ze dne 29. listopadu 2017, </w:t>
      </w:r>
      <w:proofErr w:type="spellStart"/>
      <w:r w:rsidRPr="0038530B">
        <w:rPr>
          <w:rFonts w:ascii="Garamond" w:hAnsi="Garamond"/>
        </w:rPr>
        <w:t>sp</w:t>
      </w:r>
      <w:proofErr w:type="spellEnd"/>
      <w:r w:rsidRPr="0038530B">
        <w:rPr>
          <w:rFonts w:ascii="Garamond" w:hAnsi="Garamond"/>
        </w:rPr>
        <w:t xml:space="preserve">. zn. 30 </w:t>
      </w:r>
      <w:proofErr w:type="spellStart"/>
      <w:r w:rsidRPr="0038530B">
        <w:rPr>
          <w:rFonts w:ascii="Garamond" w:hAnsi="Garamond"/>
        </w:rPr>
        <w:t>Cdo</w:t>
      </w:r>
      <w:proofErr w:type="spellEnd"/>
      <w:r w:rsidRPr="0038530B">
        <w:rPr>
          <w:rFonts w:ascii="Garamond" w:hAnsi="Garamond"/>
        </w:rPr>
        <w:t xml:space="preserve"> 698/2017</w:t>
      </w:r>
    </w:p>
  </w:footnote>
  <w:footnote w:id="98">
    <w:p w14:paraId="2DE399A3" w14:textId="32AD68D8"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Obdobně v návaznosti na citovanou judikaturu viz rozsudek Nejvyššího soudu ze dne 29. ledna 2014, sp. zn. 22 Cdo 2851/2013: </w:t>
      </w:r>
      <w:r w:rsidRPr="0038530B">
        <w:rPr>
          <w:rFonts w:ascii="Garamond" w:hAnsi="Garamond"/>
          <w:i/>
        </w:rPr>
        <w:t>„Jestliže pak strana zatížená důkazním břemenem přednese alespoň opěrné body skutkového stavu, a zvýší tak pravděpodobnost svých skutkových tvrzení, nastupuje vysvětlovací povinnost protistrany; nesplnění této povinnosti bude mít za následek hodnocení důkazu v neprospěch strany, která vysvětlovací povinnost nesplnila…“</w:t>
      </w:r>
      <w:r w:rsidRPr="0038530B">
        <w:rPr>
          <w:rFonts w:ascii="Garamond" w:hAnsi="Garamond"/>
        </w:rPr>
        <w:t xml:space="preserve">, nebo </w:t>
      </w:r>
      <w:bookmarkStart w:id="40" w:name="_Hlk17856560"/>
      <w:r w:rsidRPr="0038530B">
        <w:rPr>
          <w:rFonts w:ascii="Garamond" w:hAnsi="Garamond"/>
        </w:rPr>
        <w:t xml:space="preserve">rozsudek Nejvyššího soudu ze dne 7. srpna 2017, </w:t>
      </w:r>
      <w:proofErr w:type="spellStart"/>
      <w:r w:rsidRPr="0038530B">
        <w:rPr>
          <w:rFonts w:ascii="Garamond" w:hAnsi="Garamond"/>
        </w:rPr>
        <w:t>sp</w:t>
      </w:r>
      <w:proofErr w:type="spellEnd"/>
      <w:r w:rsidRPr="0038530B">
        <w:rPr>
          <w:rFonts w:ascii="Garamond" w:hAnsi="Garamond"/>
        </w:rPr>
        <w:t xml:space="preserve">. zn. 22 </w:t>
      </w:r>
      <w:proofErr w:type="spellStart"/>
      <w:r w:rsidRPr="0038530B">
        <w:rPr>
          <w:rFonts w:ascii="Garamond" w:hAnsi="Garamond"/>
        </w:rPr>
        <w:t>Cdo</w:t>
      </w:r>
      <w:proofErr w:type="spellEnd"/>
      <w:r w:rsidRPr="0038530B">
        <w:rPr>
          <w:rFonts w:ascii="Garamond" w:hAnsi="Garamond"/>
        </w:rPr>
        <w:t xml:space="preserve"> 820/2017</w:t>
      </w:r>
      <w:bookmarkEnd w:id="40"/>
      <w:r w:rsidRPr="0038530B">
        <w:rPr>
          <w:rFonts w:ascii="Garamond" w:hAnsi="Garamond"/>
        </w:rPr>
        <w:t>: „Nesplnění vysvětlovací povinnosti přitom může mít za následek hodnocení důkazu v neprospěch strany, která tuto povinnost nesplnila…“</w:t>
      </w:r>
    </w:p>
  </w:footnote>
  <w:footnote w:id="99">
    <w:p w14:paraId="0F89C342"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Viz ustanovení § 132 zákona č. 99/1963 Sb. občanský soudní řád, ve znění pozdějších předpisů.</w:t>
      </w:r>
    </w:p>
  </w:footnote>
  <w:footnote w:id="100">
    <w:p w14:paraId="33146191"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Soud pak hodnotí důkazy nejen jednotlivě a ve vzájemné souvislosti, ale také v souvislosti s veškerými tvrzeními účastníků řízení. Viz JIRSA, Jaromír. In </w:t>
      </w:r>
      <w:bookmarkStart w:id="41" w:name="_Hlk17856584"/>
      <w:r w:rsidRPr="0038530B">
        <w:rPr>
          <w:rFonts w:ascii="Garamond" w:hAnsi="Garamond"/>
        </w:rPr>
        <w:t xml:space="preserve">JIRSA, Jaromír (ed.) </w:t>
      </w:r>
      <w:r w:rsidRPr="0038530B">
        <w:rPr>
          <w:rFonts w:ascii="Garamond" w:hAnsi="Garamond"/>
          <w:i/>
        </w:rPr>
        <w:t xml:space="preserve">Občanské soudní řízení soudcovský komentář: Kniha II § 79 až 200aa. </w:t>
      </w:r>
      <w:r w:rsidRPr="0038530B">
        <w:rPr>
          <w:rFonts w:ascii="Garamond" w:hAnsi="Garamond"/>
        </w:rPr>
        <w:t>2. vydání. Praha: Wolters Kluwer,2016, s. 353</w:t>
      </w:r>
      <w:bookmarkEnd w:id="41"/>
    </w:p>
  </w:footnote>
  <w:footnote w:id="101">
    <w:p w14:paraId="2FEFC00F"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Zákon č. 99/1963 Sb., občanský soudní řád, ve znění pozdějších předpisů</w:t>
      </w:r>
    </w:p>
  </w:footnote>
  <w:footnote w:id="102">
    <w:p w14:paraId="1BA7C4C3"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HROMADA, Miroslav. In: </w:t>
      </w:r>
      <w:bookmarkStart w:id="43" w:name="_Hlk17856607"/>
      <w:r w:rsidRPr="0038530B">
        <w:rPr>
          <w:rFonts w:ascii="Garamond" w:hAnsi="Garamond"/>
        </w:rPr>
        <w:t xml:space="preserve">SVOBODA, Karel (ed.) </w:t>
      </w:r>
      <w:r w:rsidRPr="0038530B">
        <w:rPr>
          <w:rFonts w:ascii="Garamond" w:hAnsi="Garamond"/>
          <w:i/>
        </w:rPr>
        <w:t>Občanský soudní řád. 2. vydání.</w:t>
      </w:r>
      <w:r w:rsidRPr="0038530B">
        <w:rPr>
          <w:rFonts w:ascii="Garamond" w:hAnsi="Garamond"/>
        </w:rPr>
        <w:t xml:space="preserve"> Praha: Nakladatelství C. H. Beck, 2017, s. 552</w:t>
      </w:r>
    </w:p>
    <w:bookmarkEnd w:id="43"/>
  </w:footnote>
  <w:footnote w:id="103">
    <w:p w14:paraId="0E3420FE"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w:t>
      </w:r>
      <w:bookmarkStart w:id="44" w:name="_Hlk17856625"/>
      <w:r w:rsidRPr="0038530B">
        <w:rPr>
          <w:rFonts w:ascii="Garamond" w:hAnsi="Garamond"/>
        </w:rPr>
        <w:t xml:space="preserve">VALUŠ, Antonín. </w:t>
      </w:r>
      <w:r w:rsidRPr="0038530B">
        <w:rPr>
          <w:rFonts w:ascii="Garamond" w:hAnsi="Garamond"/>
          <w:i/>
        </w:rPr>
        <w:t xml:space="preserve">Civilní spory mezi lékařem a pacientem při poskytování zdravotní péče. </w:t>
      </w:r>
      <w:r w:rsidRPr="0038530B">
        <w:rPr>
          <w:rFonts w:ascii="Garamond" w:hAnsi="Garamond"/>
        </w:rPr>
        <w:t>Praha: Leges, 2014. s. 175</w:t>
      </w:r>
    </w:p>
    <w:bookmarkEnd w:id="44"/>
  </w:footnote>
  <w:footnote w:id="104">
    <w:p w14:paraId="00E273F0" w14:textId="418C75F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Tomuto oponuje zejména Dr. Svoboda: „</w:t>
      </w:r>
      <w:r w:rsidRPr="0038530B">
        <w:rPr>
          <w:rFonts w:ascii="Garamond" w:hAnsi="Garamond"/>
          <w:i/>
        </w:rPr>
        <w:t>Institut vysvětlovací povinnosti připadá v úvahu při řešení informačního deficitu účastníka v užším smyslu. Tedy tehdy, když účastník nemá dostatek informací, aby formuloval vlastní skutková tvrzení a nemůže naplnit svoje břemeno tvrzení. Institut vyšetřovacího důkazu naproti tomu řeší situace, kdy účastník sice má k dispozici dostatečně určité tvrzení, ale nemůže bez vlastního zavinění svými silami zajistit důkaz, který by jeho tvrzení podpořil. Napomáhá tedy při překlenutí břemene důkazního, nikoli k doplnění pro rozhodnutí důležitých tvrzení ze strany účastníka. Nesmíme přitom zapomínat, že břemeno tvrzení a břemeno prokazování jsou často spojité nádoby. Bývá pravidlem, že strana sporu, která se ocitne v nouzi s naplněním břemene svých tvrzení, zpravidla není schopna naplnit ani svoje břemeno důkazní. Přesto je třeba vysvětlovací povinnost a vyšetřovací důkaz od sebe navzájem odlišovat a neztotožňovat je</w:t>
      </w:r>
      <w:r w:rsidRPr="0038530B">
        <w:rPr>
          <w:rFonts w:ascii="Garamond" w:hAnsi="Garamond"/>
        </w:rPr>
        <w:t>.“ Viz SVOBODA, Karel. Dokazování. Praha: ASPI – Wolters Kluwer, 2009, s. 115</w:t>
      </w:r>
    </w:p>
  </w:footnote>
  <w:footnote w:id="105">
    <w:p w14:paraId="39F87256" w14:textId="4C921068"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LAVICKÝ, Petr. In. LAVICKÝ, Petr (</w:t>
      </w:r>
      <w:proofErr w:type="spellStart"/>
      <w:r w:rsidRPr="0038530B">
        <w:rPr>
          <w:rFonts w:ascii="Garamond" w:hAnsi="Garamond"/>
        </w:rPr>
        <w:t>ed</w:t>
      </w:r>
      <w:proofErr w:type="spellEnd"/>
      <w:r w:rsidRPr="0038530B">
        <w:rPr>
          <w:rFonts w:ascii="Garamond" w:hAnsi="Garamond"/>
        </w:rPr>
        <w:t xml:space="preserve">). </w:t>
      </w:r>
      <w:r w:rsidRPr="0038530B">
        <w:rPr>
          <w:rFonts w:ascii="Garamond" w:hAnsi="Garamond"/>
          <w:i/>
        </w:rPr>
        <w:t xml:space="preserve">Občanský soudní řád (§ 1 až </w:t>
      </w:r>
      <w:proofErr w:type="gramStart"/>
      <w:r w:rsidRPr="0038530B">
        <w:rPr>
          <w:rFonts w:ascii="Garamond" w:hAnsi="Garamond"/>
          <w:i/>
        </w:rPr>
        <w:t>250l</w:t>
      </w:r>
      <w:proofErr w:type="gramEnd"/>
      <w:r w:rsidRPr="0038530B">
        <w:rPr>
          <w:rFonts w:ascii="Garamond" w:hAnsi="Garamond"/>
          <w:i/>
        </w:rPr>
        <w:t xml:space="preserve">). Řízení sporné. Praktický komentář. </w:t>
      </w:r>
      <w:r w:rsidRPr="0038530B">
        <w:rPr>
          <w:rFonts w:ascii="Garamond" w:hAnsi="Garamond"/>
        </w:rPr>
        <w:t xml:space="preserve">Praha: </w:t>
      </w:r>
      <w:proofErr w:type="spellStart"/>
      <w:r w:rsidRPr="0038530B">
        <w:rPr>
          <w:rFonts w:ascii="Garamond" w:hAnsi="Garamond"/>
        </w:rPr>
        <w:t>Wolters</w:t>
      </w:r>
      <w:proofErr w:type="spellEnd"/>
      <w:r w:rsidRPr="0038530B">
        <w:rPr>
          <w:rFonts w:ascii="Garamond" w:hAnsi="Garamond"/>
        </w:rPr>
        <w:t xml:space="preserve"> </w:t>
      </w:r>
      <w:proofErr w:type="spellStart"/>
      <w:r w:rsidRPr="0038530B">
        <w:rPr>
          <w:rFonts w:ascii="Garamond" w:hAnsi="Garamond"/>
        </w:rPr>
        <w:t>Kluwer</w:t>
      </w:r>
      <w:proofErr w:type="spellEnd"/>
      <w:r w:rsidRPr="0038530B">
        <w:rPr>
          <w:rFonts w:ascii="Garamond" w:hAnsi="Garamond"/>
        </w:rPr>
        <w:t xml:space="preserve"> ČR, a. s., 2016, s. 592</w:t>
      </w:r>
    </w:p>
  </w:footnote>
  <w:footnote w:id="106">
    <w:p w14:paraId="0A86727E"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K opěrným bodům dále například Dr. Svoboda uvádí:</w:t>
      </w:r>
      <w:r w:rsidRPr="0038530B">
        <w:rPr>
          <w:rFonts w:ascii="Garamond" w:hAnsi="Garamond"/>
          <w:i/>
        </w:rPr>
        <w:t xml:space="preserve"> „…především tvrzení a podklady, které odůvodňují závěr, že účastník se bez své viny ocitl v informační a důkazní nouzi, kterou sám nemůže překonat. Za opěrný bod lze pokládat i logický předpoklad, že účastníkův návrh na odstranění informačního deficitu skutečně povede k získání pro rozhodnutí podstatné informace.“ </w:t>
      </w:r>
      <w:r w:rsidRPr="0038530B">
        <w:rPr>
          <w:rFonts w:ascii="Garamond" w:hAnsi="Garamond"/>
        </w:rPr>
        <w:t>Viz SVOBODA, Karel. Dokazování. Praha: ASPI – Wolters Kluwer, 2009, s. 113</w:t>
      </w:r>
    </w:p>
  </w:footnote>
  <w:footnote w:id="107">
    <w:p w14:paraId="62E2F702" w14:textId="77777777"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VALUŠ, Antonín. </w:t>
      </w:r>
      <w:r w:rsidRPr="0038530B">
        <w:rPr>
          <w:rFonts w:ascii="Garamond" w:hAnsi="Garamond"/>
          <w:i/>
        </w:rPr>
        <w:t xml:space="preserve">Civilní spory mezi lékařem a pacientem při poskytování zdravotní péče. </w:t>
      </w:r>
      <w:r w:rsidRPr="0038530B">
        <w:rPr>
          <w:rFonts w:ascii="Garamond" w:hAnsi="Garamond"/>
        </w:rPr>
        <w:t>Praha: Leges, 2014. s. 180</w:t>
      </w:r>
    </w:p>
  </w:footnote>
  <w:footnote w:id="108">
    <w:p w14:paraId="19E6CD37" w14:textId="580C8BB6"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Tamtéž, s. 183</w:t>
      </w:r>
    </w:p>
  </w:footnote>
  <w:footnote w:id="109">
    <w:p w14:paraId="3F257086" w14:textId="0AED3F9B"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LAVICKÝ, Petr. In. LAVICKÝ, Petr (</w:t>
      </w:r>
      <w:proofErr w:type="spellStart"/>
      <w:r w:rsidRPr="0038530B">
        <w:rPr>
          <w:rFonts w:ascii="Garamond" w:hAnsi="Garamond"/>
        </w:rPr>
        <w:t>ed</w:t>
      </w:r>
      <w:proofErr w:type="spellEnd"/>
      <w:r w:rsidRPr="0038530B">
        <w:rPr>
          <w:rFonts w:ascii="Garamond" w:hAnsi="Garamond"/>
        </w:rPr>
        <w:t xml:space="preserve">). </w:t>
      </w:r>
      <w:r w:rsidRPr="0038530B">
        <w:rPr>
          <w:rFonts w:ascii="Garamond" w:hAnsi="Garamond"/>
          <w:i/>
        </w:rPr>
        <w:t xml:space="preserve">Občanský soudní řád (§ 1 až </w:t>
      </w:r>
      <w:proofErr w:type="gramStart"/>
      <w:r w:rsidRPr="0038530B">
        <w:rPr>
          <w:rFonts w:ascii="Garamond" w:hAnsi="Garamond"/>
          <w:i/>
        </w:rPr>
        <w:t>250l</w:t>
      </w:r>
      <w:proofErr w:type="gramEnd"/>
      <w:r w:rsidRPr="0038530B">
        <w:rPr>
          <w:rFonts w:ascii="Garamond" w:hAnsi="Garamond"/>
          <w:i/>
        </w:rPr>
        <w:t xml:space="preserve">). Řízení sporné. Praktický komentář. </w:t>
      </w:r>
      <w:r w:rsidRPr="0038530B">
        <w:rPr>
          <w:rFonts w:ascii="Garamond" w:hAnsi="Garamond"/>
        </w:rPr>
        <w:t xml:space="preserve">Praha: </w:t>
      </w:r>
      <w:proofErr w:type="spellStart"/>
      <w:r w:rsidRPr="0038530B">
        <w:rPr>
          <w:rFonts w:ascii="Garamond" w:hAnsi="Garamond"/>
        </w:rPr>
        <w:t>Wolters</w:t>
      </w:r>
      <w:proofErr w:type="spellEnd"/>
      <w:r w:rsidRPr="0038530B">
        <w:rPr>
          <w:rFonts w:ascii="Garamond" w:hAnsi="Garamond"/>
        </w:rPr>
        <w:t xml:space="preserve"> </w:t>
      </w:r>
      <w:proofErr w:type="spellStart"/>
      <w:r w:rsidRPr="0038530B">
        <w:rPr>
          <w:rFonts w:ascii="Garamond" w:hAnsi="Garamond"/>
        </w:rPr>
        <w:t>Kluwer</w:t>
      </w:r>
      <w:proofErr w:type="spellEnd"/>
      <w:r w:rsidRPr="0038530B">
        <w:rPr>
          <w:rFonts w:ascii="Garamond" w:hAnsi="Garamond"/>
        </w:rPr>
        <w:t xml:space="preserve"> ČR, a. s., 2016, s. 592</w:t>
      </w:r>
    </w:p>
  </w:footnote>
  <w:footnote w:id="110">
    <w:p w14:paraId="327AEC52" w14:textId="30EAB3B1"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Tamtéž, s. 592-593</w:t>
      </w:r>
    </w:p>
  </w:footnote>
  <w:footnote w:id="111">
    <w:p w14:paraId="07D1F282" w14:textId="6A2F9590"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Rovněž viz JIRSA, Jaromír. In JIRSA, Jaromír (</w:t>
      </w:r>
      <w:proofErr w:type="spellStart"/>
      <w:r w:rsidRPr="0038530B">
        <w:rPr>
          <w:rFonts w:ascii="Garamond" w:hAnsi="Garamond"/>
        </w:rPr>
        <w:t>ed</w:t>
      </w:r>
      <w:proofErr w:type="spellEnd"/>
      <w:r w:rsidRPr="0038530B">
        <w:rPr>
          <w:rFonts w:ascii="Garamond" w:hAnsi="Garamond"/>
        </w:rPr>
        <w:t xml:space="preserve">.) </w:t>
      </w:r>
      <w:r w:rsidRPr="0038530B">
        <w:rPr>
          <w:rFonts w:ascii="Garamond" w:hAnsi="Garamond"/>
          <w:i/>
        </w:rPr>
        <w:t xml:space="preserve">Občanské soudní řízení soudcovský komentář: Kniha II § 79 až 200aa. </w:t>
      </w:r>
      <w:r w:rsidRPr="0038530B">
        <w:rPr>
          <w:rFonts w:ascii="Garamond" w:hAnsi="Garamond"/>
        </w:rPr>
        <w:t xml:space="preserve">2. vydání. Praha: </w:t>
      </w:r>
      <w:proofErr w:type="spellStart"/>
      <w:r w:rsidRPr="0038530B">
        <w:rPr>
          <w:rFonts w:ascii="Garamond" w:hAnsi="Garamond"/>
        </w:rPr>
        <w:t>Wolters</w:t>
      </w:r>
      <w:proofErr w:type="spellEnd"/>
      <w:r w:rsidRPr="0038530B">
        <w:rPr>
          <w:rFonts w:ascii="Garamond" w:hAnsi="Garamond"/>
        </w:rPr>
        <w:t xml:space="preserve"> Kluwer,2016, s. 353</w:t>
      </w:r>
    </w:p>
  </w:footnote>
  <w:footnote w:id="112">
    <w:p w14:paraId="40A46EFC" w14:textId="1A218CDE"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SVOBODA, Karel. Dokazování. Praha: ASPI – </w:t>
      </w:r>
      <w:proofErr w:type="spellStart"/>
      <w:r w:rsidRPr="0038530B">
        <w:rPr>
          <w:rFonts w:ascii="Garamond" w:hAnsi="Garamond"/>
        </w:rPr>
        <w:t>Wolters</w:t>
      </w:r>
      <w:proofErr w:type="spellEnd"/>
      <w:r w:rsidRPr="0038530B">
        <w:rPr>
          <w:rFonts w:ascii="Garamond" w:hAnsi="Garamond"/>
        </w:rPr>
        <w:t xml:space="preserve"> </w:t>
      </w:r>
      <w:proofErr w:type="spellStart"/>
      <w:r w:rsidRPr="0038530B">
        <w:rPr>
          <w:rFonts w:ascii="Garamond" w:hAnsi="Garamond"/>
        </w:rPr>
        <w:t>Kluwer</w:t>
      </w:r>
      <w:proofErr w:type="spellEnd"/>
      <w:r w:rsidRPr="0038530B">
        <w:rPr>
          <w:rFonts w:ascii="Garamond" w:hAnsi="Garamond"/>
        </w:rPr>
        <w:t>, 2009, s. 116</w:t>
      </w:r>
    </w:p>
    <w:p w14:paraId="450CD624" w14:textId="0072BC6B" w:rsidR="00945299" w:rsidRPr="0038530B" w:rsidRDefault="00945299" w:rsidP="007163A7">
      <w:pPr>
        <w:pStyle w:val="Textpoznpodarou"/>
        <w:jc w:val="both"/>
        <w:rPr>
          <w:rFonts w:ascii="Garamond" w:hAnsi="Garamond"/>
        </w:rPr>
      </w:pPr>
    </w:p>
  </w:footnote>
  <w:footnote w:id="113">
    <w:p w14:paraId="366C55A8" w14:textId="08FC6D8A" w:rsidR="00945299" w:rsidRPr="0038530B" w:rsidRDefault="00945299" w:rsidP="00D22E34">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w:t>
      </w:r>
      <w:bookmarkStart w:id="45" w:name="_Hlk17856722"/>
      <w:r w:rsidRPr="0038530B">
        <w:rPr>
          <w:rFonts w:ascii="Garamond" w:hAnsi="Garamond"/>
        </w:rPr>
        <w:t xml:space="preserve">BALARIN, Jan. Míra důkazu a důkazní břemeno v kontextu hodnocení důkazů v soudní praxi. </w:t>
      </w:r>
      <w:r w:rsidRPr="0038530B">
        <w:rPr>
          <w:rFonts w:ascii="Garamond" w:hAnsi="Garamond"/>
          <w:i/>
        </w:rPr>
        <w:t>Bulletin advokacie</w:t>
      </w:r>
      <w:r w:rsidRPr="0038530B">
        <w:rPr>
          <w:rFonts w:ascii="Garamond" w:hAnsi="Garamond"/>
        </w:rPr>
        <w:t>, 2019, roč. 26, č. 1-2, s. 26</w:t>
      </w:r>
      <w:bookmarkEnd w:id="45"/>
    </w:p>
  </w:footnote>
  <w:footnote w:id="114">
    <w:p w14:paraId="215D6AC1" w14:textId="0EC2F4B6"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MACUR, Josef. </w:t>
      </w:r>
      <w:r w:rsidRPr="0038530B">
        <w:rPr>
          <w:rFonts w:ascii="Garamond" w:hAnsi="Garamond"/>
          <w:i/>
        </w:rPr>
        <w:t>Kompenzace informačního deficitu procesní strany v civilním soudním sporu.</w:t>
      </w:r>
      <w:r w:rsidRPr="0038530B">
        <w:rPr>
          <w:rFonts w:ascii="Garamond" w:hAnsi="Garamond"/>
        </w:rPr>
        <w:t xml:space="preserve"> Brno: Masarykova univerzita, 2000, s. 175 </w:t>
      </w:r>
    </w:p>
  </w:footnote>
  <w:footnote w:id="115">
    <w:p w14:paraId="028115EE" w14:textId="28437F02" w:rsidR="00945299" w:rsidRPr="0038530B" w:rsidRDefault="00945299" w:rsidP="007163A7">
      <w:pPr>
        <w:pStyle w:val="Textpoznpodarou"/>
        <w:jc w:val="both"/>
        <w:rPr>
          <w:rFonts w:ascii="Garamond" w:hAnsi="Garamond"/>
          <w:i/>
        </w:rPr>
      </w:pPr>
      <w:r w:rsidRPr="0038530B">
        <w:rPr>
          <w:rStyle w:val="Znakapoznpodarou"/>
          <w:rFonts w:ascii="Garamond" w:hAnsi="Garamond"/>
        </w:rPr>
        <w:footnoteRef/>
      </w:r>
      <w:r w:rsidRPr="0038530B">
        <w:rPr>
          <w:rFonts w:ascii="Garamond" w:hAnsi="Garamond"/>
        </w:rPr>
        <w:t xml:space="preserve"> Určitý trend ve snižování obecné míry důkazu pro určité případy lze vidět v judikatuře, například v </w:t>
      </w:r>
      <w:bookmarkStart w:id="46" w:name="_Hlk17856681"/>
      <w:r w:rsidRPr="0038530B">
        <w:rPr>
          <w:rFonts w:ascii="Garamond" w:hAnsi="Garamond"/>
        </w:rPr>
        <w:t xml:space="preserve">nálezu Ústavního soudu ze dne 20. srpna 2014, </w:t>
      </w:r>
      <w:proofErr w:type="spellStart"/>
      <w:r w:rsidRPr="0038530B">
        <w:rPr>
          <w:rFonts w:ascii="Garamond" w:hAnsi="Garamond"/>
        </w:rPr>
        <w:t>sp</w:t>
      </w:r>
      <w:proofErr w:type="spellEnd"/>
      <w:r w:rsidRPr="0038530B">
        <w:rPr>
          <w:rFonts w:ascii="Garamond" w:hAnsi="Garamond"/>
        </w:rPr>
        <w:t>. zn. I. ÚS 173/13</w:t>
      </w:r>
      <w:bookmarkEnd w:id="46"/>
      <w:r w:rsidRPr="0038530B">
        <w:rPr>
          <w:rFonts w:ascii="Garamond" w:hAnsi="Garamond"/>
        </w:rPr>
        <w:t>, Ústavní soud uvedl: „</w:t>
      </w:r>
      <w:r w:rsidRPr="0038530B">
        <w:rPr>
          <w:rFonts w:ascii="Garamond" w:hAnsi="Garamond"/>
          <w:i/>
        </w:rPr>
        <w:t>Ústavní soud shledává důkazní standard „zcela jednoznačného skutkového závěru“ a „bez jakéhokoliv náznaku pravděpodobnosti“ používaný v ustálené judikatuře Nejvyššího soudu pro prokázání jednání v duševní poruše za účelem zneplatnění takového jednání za nadměrně vysoký. Takový standard narušuje spravedlivou rovnováhu mezi relevantními protichůdnými zájmy a v důsledku porušuje právo na ochranu majetku osob s duševním postižením, pokud daným jednáním byl negativně zasažen majetek těchto osob.</w:t>
      </w:r>
    </w:p>
    <w:p w14:paraId="11088004" w14:textId="0A7BD094" w:rsidR="00945299" w:rsidRPr="0038530B" w:rsidRDefault="00945299" w:rsidP="007163A7">
      <w:pPr>
        <w:pStyle w:val="Textpoznpodarou"/>
        <w:jc w:val="both"/>
        <w:rPr>
          <w:rFonts w:ascii="Garamond" w:hAnsi="Garamond"/>
        </w:rPr>
      </w:pPr>
      <w:r w:rsidRPr="0038530B">
        <w:rPr>
          <w:rFonts w:ascii="Garamond" w:hAnsi="Garamond"/>
          <w:i/>
        </w:rPr>
        <w:t>Spravedlivá rovnováha mezi soupeřícími oprávněnými zájmy bude nejlépe dosažena stanovením vysoké míry pravděpodobnosti prokázání, že plně svéprávná osoba jednala v duševní poruše, která ji v daný moment činila neschopnou právně jednat.“</w:t>
      </w:r>
    </w:p>
  </w:footnote>
  <w:footnote w:id="116">
    <w:p w14:paraId="55191740" w14:textId="4B86ED1F"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w:t>
      </w:r>
      <w:bookmarkStart w:id="48" w:name="_Hlk17856766"/>
      <w:r w:rsidRPr="0038530B">
        <w:rPr>
          <w:rFonts w:ascii="Garamond" w:hAnsi="Garamond"/>
        </w:rPr>
        <w:t xml:space="preserve">DOBROVOLNÁ, Eva a kol. </w:t>
      </w:r>
      <w:r w:rsidRPr="0038530B">
        <w:rPr>
          <w:rFonts w:ascii="Garamond" w:hAnsi="Garamond"/>
          <w:i/>
        </w:rPr>
        <w:t xml:space="preserve">Věcný záměr civilního řádu soudního </w:t>
      </w:r>
      <w:r w:rsidRPr="0038530B">
        <w:rPr>
          <w:rFonts w:ascii="Garamond" w:hAnsi="Garamond"/>
        </w:rPr>
        <w:t>[online]. crs.justice.cz, 2017 [cit. 14. 8. 2019]. Dostupné na &lt;</w:t>
      </w:r>
      <w:hyperlink r:id="rId1" w:history="1">
        <w:r w:rsidRPr="0038530B">
          <w:rPr>
            <w:rStyle w:val="Hypertextovodkaz"/>
            <w:rFonts w:ascii="Garamond" w:hAnsi="Garamond"/>
          </w:rPr>
          <w:t>https://crs.justice.cz</w:t>
        </w:r>
      </w:hyperlink>
      <w:r w:rsidRPr="0038530B">
        <w:rPr>
          <w:rFonts w:ascii="Garamond" w:hAnsi="Garamond"/>
        </w:rPr>
        <w:t>&gt;.</w:t>
      </w:r>
      <w:bookmarkEnd w:id="48"/>
    </w:p>
  </w:footnote>
  <w:footnote w:id="117">
    <w:p w14:paraId="43D23B64" w14:textId="14672E6A"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MACUR, Josef. </w:t>
      </w:r>
      <w:r w:rsidRPr="0038530B">
        <w:rPr>
          <w:rFonts w:ascii="Garamond" w:hAnsi="Garamond"/>
          <w:i/>
        </w:rPr>
        <w:t>Kompenzace informačního deficitu procesní strany v civilním soudním sporu.</w:t>
      </w:r>
      <w:r w:rsidRPr="0038530B">
        <w:rPr>
          <w:rFonts w:ascii="Garamond" w:hAnsi="Garamond"/>
        </w:rPr>
        <w:t xml:space="preserve"> Brno: Masarykova univerzita, 2000, s. 136</w:t>
      </w:r>
    </w:p>
  </w:footnote>
  <w:footnote w:id="118">
    <w:p w14:paraId="5FAF37A0" w14:textId="0442F7F5"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DOBROVOLNÁ, Eva a kol. </w:t>
      </w:r>
      <w:r w:rsidRPr="0038530B">
        <w:rPr>
          <w:rFonts w:ascii="Garamond" w:hAnsi="Garamond"/>
          <w:i/>
        </w:rPr>
        <w:t xml:space="preserve">Věcný záměr civilního řádu soudního </w:t>
      </w:r>
      <w:r w:rsidRPr="0038530B">
        <w:rPr>
          <w:rFonts w:ascii="Garamond" w:hAnsi="Garamond"/>
        </w:rPr>
        <w:t>[online]. crs.justice.cz, 2017 [cit. 14. 8. 2019]. Dostupné na &lt;</w:t>
      </w:r>
      <w:hyperlink r:id="rId2" w:history="1">
        <w:r w:rsidRPr="0038530B">
          <w:rPr>
            <w:rStyle w:val="Hypertextovodkaz"/>
            <w:rFonts w:ascii="Garamond" w:hAnsi="Garamond"/>
          </w:rPr>
          <w:t>https://crs.justice.cz</w:t>
        </w:r>
      </w:hyperlink>
      <w:r w:rsidRPr="0038530B">
        <w:rPr>
          <w:rFonts w:ascii="Garamond" w:hAnsi="Garamond"/>
        </w:rPr>
        <w:t>&gt;.</w:t>
      </w:r>
    </w:p>
  </w:footnote>
  <w:footnote w:id="119">
    <w:p w14:paraId="2B445462" w14:textId="5A0376D5"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Sekundární břemeno tvrzení představuje pojmově vysvětlovací povinnost.</w:t>
      </w:r>
    </w:p>
  </w:footnote>
  <w:footnote w:id="120">
    <w:p w14:paraId="60561327" w14:textId="77CAFCC3"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Tamtéž, bod 198</w:t>
      </w:r>
    </w:p>
  </w:footnote>
  <w:footnote w:id="121">
    <w:p w14:paraId="2FE03F6B" w14:textId="4843F844"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MACUR, Josef. </w:t>
      </w:r>
      <w:r w:rsidRPr="0038530B">
        <w:rPr>
          <w:rFonts w:ascii="Garamond" w:hAnsi="Garamond"/>
          <w:i/>
        </w:rPr>
        <w:t>Kompenzace informačního deficitu procesní strany v civilním soudním sporu.</w:t>
      </w:r>
      <w:r w:rsidRPr="0038530B">
        <w:rPr>
          <w:rFonts w:ascii="Garamond" w:hAnsi="Garamond"/>
        </w:rPr>
        <w:t xml:space="preserve"> Brno: Masarykova univerzita, 2000, s. 112-113</w:t>
      </w:r>
    </w:p>
  </w:footnote>
  <w:footnote w:id="122">
    <w:p w14:paraId="5238573E" w14:textId="6B747DCF"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Viz komentář k bodu 198 věcného záměru. DOBROVOLNÁ, Eva a kol. </w:t>
      </w:r>
      <w:r w:rsidRPr="0038530B">
        <w:rPr>
          <w:rFonts w:ascii="Garamond" w:hAnsi="Garamond"/>
          <w:i/>
        </w:rPr>
        <w:t xml:space="preserve">Věcný záměr civilního řádu soudního </w:t>
      </w:r>
      <w:r w:rsidRPr="0038530B">
        <w:rPr>
          <w:rFonts w:ascii="Garamond" w:hAnsi="Garamond"/>
        </w:rPr>
        <w:t>[online]. crs.justice.cz, 2017 [cit. 14. 8. 2019]. Dostupné na &lt;</w:t>
      </w:r>
      <w:hyperlink r:id="rId3" w:history="1">
        <w:r w:rsidRPr="0038530B">
          <w:rPr>
            <w:rStyle w:val="Hypertextovodkaz"/>
            <w:rFonts w:ascii="Garamond" w:hAnsi="Garamond"/>
          </w:rPr>
          <w:t>https://crs.justice.cz</w:t>
        </w:r>
      </w:hyperlink>
      <w:r w:rsidRPr="0038530B">
        <w:rPr>
          <w:rFonts w:ascii="Garamond" w:hAnsi="Garamond"/>
        </w:rPr>
        <w:t>&gt;.</w:t>
      </w:r>
    </w:p>
  </w:footnote>
  <w:footnote w:id="123">
    <w:p w14:paraId="25B96334" w14:textId="5816E636" w:rsidR="00945299" w:rsidRPr="0038530B" w:rsidRDefault="00945299" w:rsidP="007163A7">
      <w:pPr>
        <w:pStyle w:val="Textpoznpodarou"/>
        <w:jc w:val="both"/>
        <w:rPr>
          <w:rFonts w:ascii="Garamond" w:hAnsi="Garamond"/>
        </w:rPr>
      </w:pPr>
      <w:r w:rsidRPr="0038530B">
        <w:rPr>
          <w:rStyle w:val="Znakapoznpodarou"/>
          <w:rFonts w:ascii="Garamond" w:hAnsi="Garamond"/>
        </w:rPr>
        <w:footnoteRef/>
      </w:r>
      <w:r w:rsidRPr="0038530B">
        <w:rPr>
          <w:rFonts w:ascii="Garamond" w:hAnsi="Garamond"/>
        </w:rPr>
        <w:t xml:space="preserve"> Viz komentář k bodu 198 věcného záměru v rámci nesplnění ediční povinnosti: „</w:t>
      </w:r>
      <w:r w:rsidRPr="0038530B">
        <w:rPr>
          <w:rFonts w:ascii="Garamond" w:hAnsi="Garamond"/>
          <w:i/>
        </w:rPr>
        <w:t xml:space="preserve">Navržená sankce přitom vychází ze zkušenostního předpokladu, že pokud někdo nepředloží listinu, </w:t>
      </w:r>
      <w:r w:rsidRPr="0038530B">
        <w:rPr>
          <w:rFonts w:ascii="Garamond" w:hAnsi="Garamond"/>
          <w:b/>
          <w:i/>
        </w:rPr>
        <w:t>přestože ji má k dispozici a nic jejímu předložení nebrání</w:t>
      </w:r>
      <w:r w:rsidRPr="0038530B">
        <w:rPr>
          <w:rFonts w:ascii="Garamond" w:hAnsi="Garamond"/>
          <w:i/>
        </w:rPr>
        <w:t xml:space="preserve">, velmi pravděpodobně se obává nepříznivých důsledků, které by z ní vyšly najevo.“ </w:t>
      </w:r>
      <w:r w:rsidRPr="0038530B">
        <w:rPr>
          <w:rFonts w:ascii="Garamond" w:hAnsi="Garamond"/>
        </w:rPr>
        <w:t>Tamtéž.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01FC"/>
    <w:multiLevelType w:val="multilevel"/>
    <w:tmpl w:val="A04C2360"/>
    <w:lvl w:ilvl="0">
      <w:start w:val="2"/>
      <w:numFmt w:val="decimal"/>
      <w:lvlText w:val="%1."/>
      <w:lvlJc w:val="left"/>
      <w:pPr>
        <w:ind w:left="720" w:hanging="360"/>
      </w:pPr>
      <w:rPr>
        <w:rFonts w:hint="default"/>
      </w:rPr>
    </w:lvl>
    <w:lvl w:ilvl="1">
      <w:start w:val="2"/>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78A5728"/>
    <w:multiLevelType w:val="multilevel"/>
    <w:tmpl w:val="DCAA2494"/>
    <w:lvl w:ilvl="0">
      <w:start w:val="2"/>
      <w:numFmt w:val="decimal"/>
      <w:lvlText w:val="%1"/>
      <w:lvlJc w:val="left"/>
      <w:pPr>
        <w:ind w:left="360" w:hanging="360"/>
      </w:pPr>
      <w:rPr>
        <w:rFonts w:hint="default"/>
        <w:sz w:val="26"/>
      </w:rPr>
    </w:lvl>
    <w:lvl w:ilvl="1">
      <w:start w:val="1"/>
      <w:numFmt w:val="decimal"/>
      <w:lvlText w:val="%1.%2"/>
      <w:lvlJc w:val="left"/>
      <w:pPr>
        <w:ind w:left="1080" w:hanging="720"/>
      </w:pPr>
      <w:rPr>
        <w:rFonts w:hint="default"/>
        <w:sz w:val="26"/>
      </w:rPr>
    </w:lvl>
    <w:lvl w:ilvl="2">
      <w:start w:val="1"/>
      <w:numFmt w:val="decimal"/>
      <w:lvlText w:val="%1.%2.%3"/>
      <w:lvlJc w:val="left"/>
      <w:pPr>
        <w:ind w:left="1800" w:hanging="1080"/>
      </w:pPr>
      <w:rPr>
        <w:rFonts w:hint="default"/>
        <w:sz w:val="26"/>
      </w:rPr>
    </w:lvl>
    <w:lvl w:ilvl="3">
      <w:start w:val="1"/>
      <w:numFmt w:val="decimal"/>
      <w:lvlText w:val="%1.%2.%3.%4"/>
      <w:lvlJc w:val="left"/>
      <w:pPr>
        <w:ind w:left="2520" w:hanging="1440"/>
      </w:pPr>
      <w:rPr>
        <w:rFonts w:hint="default"/>
        <w:sz w:val="26"/>
      </w:rPr>
    </w:lvl>
    <w:lvl w:ilvl="4">
      <w:start w:val="1"/>
      <w:numFmt w:val="decimal"/>
      <w:lvlText w:val="%1.%2.%3.%4.%5"/>
      <w:lvlJc w:val="left"/>
      <w:pPr>
        <w:ind w:left="2880" w:hanging="1440"/>
      </w:pPr>
      <w:rPr>
        <w:rFonts w:hint="default"/>
        <w:sz w:val="26"/>
      </w:rPr>
    </w:lvl>
    <w:lvl w:ilvl="5">
      <w:start w:val="1"/>
      <w:numFmt w:val="decimal"/>
      <w:lvlText w:val="%1.%2.%3.%4.%5.%6"/>
      <w:lvlJc w:val="left"/>
      <w:pPr>
        <w:ind w:left="3600" w:hanging="1800"/>
      </w:pPr>
      <w:rPr>
        <w:rFonts w:hint="default"/>
        <w:sz w:val="26"/>
      </w:rPr>
    </w:lvl>
    <w:lvl w:ilvl="6">
      <w:start w:val="1"/>
      <w:numFmt w:val="decimal"/>
      <w:lvlText w:val="%1.%2.%3.%4.%5.%6.%7"/>
      <w:lvlJc w:val="left"/>
      <w:pPr>
        <w:ind w:left="4320" w:hanging="2160"/>
      </w:pPr>
      <w:rPr>
        <w:rFonts w:hint="default"/>
        <w:sz w:val="26"/>
      </w:rPr>
    </w:lvl>
    <w:lvl w:ilvl="7">
      <w:start w:val="1"/>
      <w:numFmt w:val="decimal"/>
      <w:lvlText w:val="%1.%2.%3.%4.%5.%6.%7.%8"/>
      <w:lvlJc w:val="left"/>
      <w:pPr>
        <w:ind w:left="5040" w:hanging="2520"/>
      </w:pPr>
      <w:rPr>
        <w:rFonts w:hint="default"/>
        <w:sz w:val="26"/>
      </w:rPr>
    </w:lvl>
    <w:lvl w:ilvl="8">
      <w:start w:val="1"/>
      <w:numFmt w:val="decimal"/>
      <w:lvlText w:val="%1.%2.%3.%4.%5.%6.%7.%8.%9"/>
      <w:lvlJc w:val="left"/>
      <w:pPr>
        <w:ind w:left="5760" w:hanging="2880"/>
      </w:pPr>
      <w:rPr>
        <w:rFonts w:hint="default"/>
        <w:sz w:val="26"/>
      </w:rPr>
    </w:lvl>
  </w:abstractNum>
  <w:abstractNum w:abstractNumId="2" w15:restartNumberingAfterBreak="0">
    <w:nsid w:val="07E16080"/>
    <w:multiLevelType w:val="multilevel"/>
    <w:tmpl w:val="CEF29214"/>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3F7CAC"/>
    <w:multiLevelType w:val="hybridMultilevel"/>
    <w:tmpl w:val="5074E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8634E5"/>
    <w:multiLevelType w:val="hybridMultilevel"/>
    <w:tmpl w:val="CCBE3D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7647FD"/>
    <w:multiLevelType w:val="hybridMultilevel"/>
    <w:tmpl w:val="B72A3E9E"/>
    <w:lvl w:ilvl="0" w:tplc="375AC74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9C307B"/>
    <w:multiLevelType w:val="multilevel"/>
    <w:tmpl w:val="39501F02"/>
    <w:lvl w:ilvl="0">
      <w:start w:val="2"/>
      <w:numFmt w:val="decimal"/>
      <w:lvlText w:val="%1"/>
      <w:lvlJc w:val="left"/>
      <w:pPr>
        <w:ind w:left="1068" w:hanging="360"/>
      </w:pPr>
      <w:rPr>
        <w:rFonts w:hint="default"/>
      </w:rPr>
    </w:lvl>
    <w:lvl w:ilvl="1">
      <w:start w:val="1"/>
      <w:numFmt w:val="decimal"/>
      <w:lvlText w:val="%1.%2"/>
      <w:lvlJc w:val="left"/>
      <w:pPr>
        <w:ind w:left="2496" w:hanging="720"/>
      </w:pPr>
      <w:rPr>
        <w:rFonts w:hint="default"/>
      </w:rPr>
    </w:lvl>
    <w:lvl w:ilvl="2">
      <w:start w:val="1"/>
      <w:numFmt w:val="decimal"/>
      <w:lvlText w:val="%1.%2.%3"/>
      <w:lvlJc w:val="left"/>
      <w:pPr>
        <w:ind w:left="3564" w:hanging="720"/>
      </w:pPr>
      <w:rPr>
        <w:rFonts w:hint="default"/>
      </w:rPr>
    </w:lvl>
    <w:lvl w:ilvl="3">
      <w:start w:val="1"/>
      <w:numFmt w:val="decimal"/>
      <w:lvlText w:val="%1.%2.%3.%4"/>
      <w:lvlJc w:val="left"/>
      <w:pPr>
        <w:ind w:left="4992" w:hanging="1080"/>
      </w:pPr>
      <w:rPr>
        <w:rFonts w:hint="default"/>
      </w:rPr>
    </w:lvl>
    <w:lvl w:ilvl="4">
      <w:start w:val="1"/>
      <w:numFmt w:val="decimal"/>
      <w:lvlText w:val="%1.%2.%3.%4.%5"/>
      <w:lvlJc w:val="left"/>
      <w:pPr>
        <w:ind w:left="6420" w:hanging="1440"/>
      </w:pPr>
      <w:rPr>
        <w:rFonts w:hint="default"/>
      </w:rPr>
    </w:lvl>
    <w:lvl w:ilvl="5">
      <w:start w:val="1"/>
      <w:numFmt w:val="decimal"/>
      <w:lvlText w:val="%1.%2.%3.%4.%5.%6"/>
      <w:lvlJc w:val="left"/>
      <w:pPr>
        <w:ind w:left="7488" w:hanging="1440"/>
      </w:pPr>
      <w:rPr>
        <w:rFonts w:hint="default"/>
      </w:rPr>
    </w:lvl>
    <w:lvl w:ilvl="6">
      <w:start w:val="1"/>
      <w:numFmt w:val="decimal"/>
      <w:lvlText w:val="%1.%2.%3.%4.%5.%6.%7"/>
      <w:lvlJc w:val="left"/>
      <w:pPr>
        <w:ind w:left="8916" w:hanging="1800"/>
      </w:pPr>
      <w:rPr>
        <w:rFonts w:hint="default"/>
      </w:rPr>
    </w:lvl>
    <w:lvl w:ilvl="7">
      <w:start w:val="1"/>
      <w:numFmt w:val="decimal"/>
      <w:lvlText w:val="%1.%2.%3.%4.%5.%6.%7.%8"/>
      <w:lvlJc w:val="left"/>
      <w:pPr>
        <w:ind w:left="10344" w:hanging="2160"/>
      </w:pPr>
      <w:rPr>
        <w:rFonts w:hint="default"/>
      </w:rPr>
    </w:lvl>
    <w:lvl w:ilvl="8">
      <w:start w:val="1"/>
      <w:numFmt w:val="decimal"/>
      <w:lvlText w:val="%1.%2.%3.%4.%5.%6.%7.%8.%9"/>
      <w:lvlJc w:val="left"/>
      <w:pPr>
        <w:ind w:left="11412" w:hanging="2160"/>
      </w:pPr>
      <w:rPr>
        <w:rFonts w:hint="default"/>
      </w:rPr>
    </w:lvl>
  </w:abstractNum>
  <w:abstractNum w:abstractNumId="7" w15:restartNumberingAfterBreak="0">
    <w:nsid w:val="15F6387A"/>
    <w:multiLevelType w:val="hybridMultilevel"/>
    <w:tmpl w:val="23643568"/>
    <w:lvl w:ilvl="0" w:tplc="4E00A422">
      <w:start w:val="5"/>
      <w:numFmt w:val="decimal"/>
      <w:lvlText w:val="%1."/>
      <w:lvlJc w:val="left"/>
      <w:pPr>
        <w:ind w:left="720" w:hanging="360"/>
      </w:pPr>
      <w:rPr>
        <w:rFonts w:ascii="Garamond" w:hAnsi="Garamond" w:hint="default"/>
        <w:b/>
        <w:sz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BC4CDC"/>
    <w:multiLevelType w:val="hybridMultilevel"/>
    <w:tmpl w:val="C8F871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8EA7903"/>
    <w:multiLevelType w:val="hybridMultilevel"/>
    <w:tmpl w:val="2C6225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3C313E"/>
    <w:multiLevelType w:val="hybridMultilevel"/>
    <w:tmpl w:val="9846275A"/>
    <w:lvl w:ilvl="0" w:tplc="BB3C66C6">
      <w:start w:val="5"/>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31208F"/>
    <w:multiLevelType w:val="hybridMultilevel"/>
    <w:tmpl w:val="82E2B4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EAC73CE"/>
    <w:multiLevelType w:val="multilevel"/>
    <w:tmpl w:val="A04C2360"/>
    <w:lvl w:ilvl="0">
      <w:start w:val="2"/>
      <w:numFmt w:val="decimal"/>
      <w:lvlText w:val="%1."/>
      <w:lvlJc w:val="left"/>
      <w:pPr>
        <w:ind w:left="720" w:hanging="360"/>
      </w:pPr>
      <w:rPr>
        <w:rFonts w:hint="default"/>
      </w:rPr>
    </w:lvl>
    <w:lvl w:ilvl="1">
      <w:start w:val="2"/>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833633F"/>
    <w:multiLevelType w:val="hybridMultilevel"/>
    <w:tmpl w:val="8214D72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297E73B4"/>
    <w:multiLevelType w:val="multilevel"/>
    <w:tmpl w:val="A04C2360"/>
    <w:lvl w:ilvl="0">
      <w:start w:val="2"/>
      <w:numFmt w:val="decimal"/>
      <w:lvlText w:val="%1."/>
      <w:lvlJc w:val="left"/>
      <w:pPr>
        <w:ind w:left="720" w:hanging="360"/>
      </w:pPr>
      <w:rPr>
        <w:rFonts w:hint="default"/>
      </w:rPr>
    </w:lvl>
    <w:lvl w:ilvl="1">
      <w:start w:val="2"/>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97F1DF3"/>
    <w:multiLevelType w:val="multilevel"/>
    <w:tmpl w:val="DCAA2494"/>
    <w:lvl w:ilvl="0">
      <w:start w:val="2"/>
      <w:numFmt w:val="decimal"/>
      <w:lvlText w:val="%1"/>
      <w:lvlJc w:val="left"/>
      <w:pPr>
        <w:ind w:left="360" w:hanging="360"/>
      </w:pPr>
      <w:rPr>
        <w:rFonts w:hint="default"/>
        <w:sz w:val="26"/>
      </w:rPr>
    </w:lvl>
    <w:lvl w:ilvl="1">
      <w:start w:val="1"/>
      <w:numFmt w:val="decimal"/>
      <w:lvlText w:val="%1.%2"/>
      <w:lvlJc w:val="left"/>
      <w:pPr>
        <w:ind w:left="1080" w:hanging="720"/>
      </w:pPr>
      <w:rPr>
        <w:rFonts w:hint="default"/>
        <w:sz w:val="26"/>
      </w:rPr>
    </w:lvl>
    <w:lvl w:ilvl="2">
      <w:start w:val="1"/>
      <w:numFmt w:val="decimal"/>
      <w:lvlText w:val="%1.%2.%3"/>
      <w:lvlJc w:val="left"/>
      <w:pPr>
        <w:ind w:left="1800" w:hanging="1080"/>
      </w:pPr>
      <w:rPr>
        <w:rFonts w:hint="default"/>
        <w:sz w:val="26"/>
      </w:rPr>
    </w:lvl>
    <w:lvl w:ilvl="3">
      <w:start w:val="1"/>
      <w:numFmt w:val="decimal"/>
      <w:lvlText w:val="%1.%2.%3.%4"/>
      <w:lvlJc w:val="left"/>
      <w:pPr>
        <w:ind w:left="2520" w:hanging="1440"/>
      </w:pPr>
      <w:rPr>
        <w:rFonts w:hint="default"/>
        <w:sz w:val="26"/>
      </w:rPr>
    </w:lvl>
    <w:lvl w:ilvl="4">
      <w:start w:val="1"/>
      <w:numFmt w:val="decimal"/>
      <w:lvlText w:val="%1.%2.%3.%4.%5"/>
      <w:lvlJc w:val="left"/>
      <w:pPr>
        <w:ind w:left="2880" w:hanging="1440"/>
      </w:pPr>
      <w:rPr>
        <w:rFonts w:hint="default"/>
        <w:sz w:val="26"/>
      </w:rPr>
    </w:lvl>
    <w:lvl w:ilvl="5">
      <w:start w:val="1"/>
      <w:numFmt w:val="decimal"/>
      <w:lvlText w:val="%1.%2.%3.%4.%5.%6"/>
      <w:lvlJc w:val="left"/>
      <w:pPr>
        <w:ind w:left="3600" w:hanging="1800"/>
      </w:pPr>
      <w:rPr>
        <w:rFonts w:hint="default"/>
        <w:sz w:val="26"/>
      </w:rPr>
    </w:lvl>
    <w:lvl w:ilvl="6">
      <w:start w:val="1"/>
      <w:numFmt w:val="decimal"/>
      <w:lvlText w:val="%1.%2.%3.%4.%5.%6.%7"/>
      <w:lvlJc w:val="left"/>
      <w:pPr>
        <w:ind w:left="4320" w:hanging="2160"/>
      </w:pPr>
      <w:rPr>
        <w:rFonts w:hint="default"/>
        <w:sz w:val="26"/>
      </w:rPr>
    </w:lvl>
    <w:lvl w:ilvl="7">
      <w:start w:val="1"/>
      <w:numFmt w:val="decimal"/>
      <w:lvlText w:val="%1.%2.%3.%4.%5.%6.%7.%8"/>
      <w:lvlJc w:val="left"/>
      <w:pPr>
        <w:ind w:left="5040" w:hanging="2520"/>
      </w:pPr>
      <w:rPr>
        <w:rFonts w:hint="default"/>
        <w:sz w:val="26"/>
      </w:rPr>
    </w:lvl>
    <w:lvl w:ilvl="8">
      <w:start w:val="1"/>
      <w:numFmt w:val="decimal"/>
      <w:lvlText w:val="%1.%2.%3.%4.%5.%6.%7.%8.%9"/>
      <w:lvlJc w:val="left"/>
      <w:pPr>
        <w:ind w:left="5760" w:hanging="2880"/>
      </w:pPr>
      <w:rPr>
        <w:rFonts w:hint="default"/>
        <w:sz w:val="26"/>
      </w:rPr>
    </w:lvl>
  </w:abstractNum>
  <w:abstractNum w:abstractNumId="16" w15:restartNumberingAfterBreak="0">
    <w:nsid w:val="2E5B1754"/>
    <w:multiLevelType w:val="multilevel"/>
    <w:tmpl w:val="37C84E2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F020F59"/>
    <w:multiLevelType w:val="multilevel"/>
    <w:tmpl w:val="D7902D6C"/>
    <w:lvl w:ilvl="0">
      <w:start w:val="2"/>
      <w:numFmt w:val="decimal"/>
      <w:lvlText w:val="%1."/>
      <w:lvlJc w:val="left"/>
      <w:pPr>
        <w:ind w:left="720" w:hanging="360"/>
      </w:pPr>
      <w:rPr>
        <w:rFonts w:hint="default"/>
      </w:rPr>
    </w:lvl>
    <w:lvl w:ilvl="1">
      <w:start w:val="1"/>
      <w:numFmt w:val="decimal"/>
      <w:lvlText w:val="%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0793E07"/>
    <w:multiLevelType w:val="multilevel"/>
    <w:tmpl w:val="DCAA2494"/>
    <w:lvl w:ilvl="0">
      <w:start w:val="2"/>
      <w:numFmt w:val="decimal"/>
      <w:lvlText w:val="%1"/>
      <w:lvlJc w:val="left"/>
      <w:pPr>
        <w:ind w:left="360" w:hanging="360"/>
      </w:pPr>
      <w:rPr>
        <w:rFonts w:hint="default"/>
        <w:sz w:val="26"/>
      </w:rPr>
    </w:lvl>
    <w:lvl w:ilvl="1">
      <w:start w:val="1"/>
      <w:numFmt w:val="decimal"/>
      <w:lvlText w:val="%1.%2"/>
      <w:lvlJc w:val="left"/>
      <w:pPr>
        <w:ind w:left="1080" w:hanging="720"/>
      </w:pPr>
      <w:rPr>
        <w:rFonts w:hint="default"/>
        <w:sz w:val="26"/>
      </w:rPr>
    </w:lvl>
    <w:lvl w:ilvl="2">
      <w:start w:val="1"/>
      <w:numFmt w:val="decimal"/>
      <w:lvlText w:val="%1.%2.%3"/>
      <w:lvlJc w:val="left"/>
      <w:pPr>
        <w:ind w:left="1800" w:hanging="1080"/>
      </w:pPr>
      <w:rPr>
        <w:rFonts w:hint="default"/>
        <w:sz w:val="26"/>
      </w:rPr>
    </w:lvl>
    <w:lvl w:ilvl="3">
      <w:start w:val="1"/>
      <w:numFmt w:val="decimal"/>
      <w:lvlText w:val="%1.%2.%3.%4"/>
      <w:lvlJc w:val="left"/>
      <w:pPr>
        <w:ind w:left="2520" w:hanging="1440"/>
      </w:pPr>
      <w:rPr>
        <w:rFonts w:hint="default"/>
        <w:sz w:val="26"/>
      </w:rPr>
    </w:lvl>
    <w:lvl w:ilvl="4">
      <w:start w:val="1"/>
      <w:numFmt w:val="decimal"/>
      <w:lvlText w:val="%1.%2.%3.%4.%5"/>
      <w:lvlJc w:val="left"/>
      <w:pPr>
        <w:ind w:left="2880" w:hanging="1440"/>
      </w:pPr>
      <w:rPr>
        <w:rFonts w:hint="default"/>
        <w:sz w:val="26"/>
      </w:rPr>
    </w:lvl>
    <w:lvl w:ilvl="5">
      <w:start w:val="1"/>
      <w:numFmt w:val="decimal"/>
      <w:lvlText w:val="%1.%2.%3.%4.%5.%6"/>
      <w:lvlJc w:val="left"/>
      <w:pPr>
        <w:ind w:left="3600" w:hanging="1800"/>
      </w:pPr>
      <w:rPr>
        <w:rFonts w:hint="default"/>
        <w:sz w:val="26"/>
      </w:rPr>
    </w:lvl>
    <w:lvl w:ilvl="6">
      <w:start w:val="1"/>
      <w:numFmt w:val="decimal"/>
      <w:lvlText w:val="%1.%2.%3.%4.%5.%6.%7"/>
      <w:lvlJc w:val="left"/>
      <w:pPr>
        <w:ind w:left="4320" w:hanging="2160"/>
      </w:pPr>
      <w:rPr>
        <w:rFonts w:hint="default"/>
        <w:sz w:val="26"/>
      </w:rPr>
    </w:lvl>
    <w:lvl w:ilvl="7">
      <w:start w:val="1"/>
      <w:numFmt w:val="decimal"/>
      <w:lvlText w:val="%1.%2.%3.%4.%5.%6.%7.%8"/>
      <w:lvlJc w:val="left"/>
      <w:pPr>
        <w:ind w:left="5040" w:hanging="2520"/>
      </w:pPr>
      <w:rPr>
        <w:rFonts w:hint="default"/>
        <w:sz w:val="26"/>
      </w:rPr>
    </w:lvl>
    <w:lvl w:ilvl="8">
      <w:start w:val="1"/>
      <w:numFmt w:val="decimal"/>
      <w:lvlText w:val="%1.%2.%3.%4.%5.%6.%7.%8.%9"/>
      <w:lvlJc w:val="left"/>
      <w:pPr>
        <w:ind w:left="5760" w:hanging="2880"/>
      </w:pPr>
      <w:rPr>
        <w:rFonts w:hint="default"/>
        <w:sz w:val="26"/>
      </w:rPr>
    </w:lvl>
  </w:abstractNum>
  <w:abstractNum w:abstractNumId="19" w15:restartNumberingAfterBreak="0">
    <w:nsid w:val="33BA1C58"/>
    <w:multiLevelType w:val="hybridMultilevel"/>
    <w:tmpl w:val="69BEFF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4876660"/>
    <w:multiLevelType w:val="hybridMultilevel"/>
    <w:tmpl w:val="BF665D7E"/>
    <w:lvl w:ilvl="0" w:tplc="4E00A422">
      <w:start w:val="5"/>
      <w:numFmt w:val="decimal"/>
      <w:lvlText w:val="%1."/>
      <w:lvlJc w:val="left"/>
      <w:pPr>
        <w:ind w:left="720" w:hanging="360"/>
      </w:pPr>
      <w:rPr>
        <w:rFonts w:ascii="Garamond" w:hAnsi="Garamond" w:hint="default"/>
        <w:b/>
        <w:sz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4986A66"/>
    <w:multiLevelType w:val="multilevel"/>
    <w:tmpl w:val="DCAA2494"/>
    <w:lvl w:ilvl="0">
      <w:start w:val="2"/>
      <w:numFmt w:val="decimal"/>
      <w:lvlText w:val="%1"/>
      <w:lvlJc w:val="left"/>
      <w:pPr>
        <w:ind w:left="360" w:hanging="360"/>
      </w:pPr>
      <w:rPr>
        <w:rFonts w:hint="default"/>
        <w:sz w:val="26"/>
      </w:rPr>
    </w:lvl>
    <w:lvl w:ilvl="1">
      <w:start w:val="1"/>
      <w:numFmt w:val="decimal"/>
      <w:lvlText w:val="%1.%2"/>
      <w:lvlJc w:val="left"/>
      <w:pPr>
        <w:ind w:left="1080" w:hanging="720"/>
      </w:pPr>
      <w:rPr>
        <w:rFonts w:hint="default"/>
        <w:sz w:val="26"/>
      </w:rPr>
    </w:lvl>
    <w:lvl w:ilvl="2">
      <w:start w:val="1"/>
      <w:numFmt w:val="decimal"/>
      <w:lvlText w:val="%1.%2.%3"/>
      <w:lvlJc w:val="left"/>
      <w:pPr>
        <w:ind w:left="1800" w:hanging="1080"/>
      </w:pPr>
      <w:rPr>
        <w:rFonts w:hint="default"/>
        <w:sz w:val="26"/>
      </w:rPr>
    </w:lvl>
    <w:lvl w:ilvl="3">
      <w:start w:val="1"/>
      <w:numFmt w:val="decimal"/>
      <w:lvlText w:val="%1.%2.%3.%4"/>
      <w:lvlJc w:val="left"/>
      <w:pPr>
        <w:ind w:left="2520" w:hanging="1440"/>
      </w:pPr>
      <w:rPr>
        <w:rFonts w:hint="default"/>
        <w:sz w:val="26"/>
      </w:rPr>
    </w:lvl>
    <w:lvl w:ilvl="4">
      <w:start w:val="1"/>
      <w:numFmt w:val="decimal"/>
      <w:lvlText w:val="%1.%2.%3.%4.%5"/>
      <w:lvlJc w:val="left"/>
      <w:pPr>
        <w:ind w:left="2880" w:hanging="1440"/>
      </w:pPr>
      <w:rPr>
        <w:rFonts w:hint="default"/>
        <w:sz w:val="26"/>
      </w:rPr>
    </w:lvl>
    <w:lvl w:ilvl="5">
      <w:start w:val="1"/>
      <w:numFmt w:val="decimal"/>
      <w:lvlText w:val="%1.%2.%3.%4.%5.%6"/>
      <w:lvlJc w:val="left"/>
      <w:pPr>
        <w:ind w:left="3600" w:hanging="1800"/>
      </w:pPr>
      <w:rPr>
        <w:rFonts w:hint="default"/>
        <w:sz w:val="26"/>
      </w:rPr>
    </w:lvl>
    <w:lvl w:ilvl="6">
      <w:start w:val="1"/>
      <w:numFmt w:val="decimal"/>
      <w:lvlText w:val="%1.%2.%3.%4.%5.%6.%7"/>
      <w:lvlJc w:val="left"/>
      <w:pPr>
        <w:ind w:left="4320" w:hanging="2160"/>
      </w:pPr>
      <w:rPr>
        <w:rFonts w:hint="default"/>
        <w:sz w:val="26"/>
      </w:rPr>
    </w:lvl>
    <w:lvl w:ilvl="7">
      <w:start w:val="1"/>
      <w:numFmt w:val="decimal"/>
      <w:lvlText w:val="%1.%2.%3.%4.%5.%6.%7.%8"/>
      <w:lvlJc w:val="left"/>
      <w:pPr>
        <w:ind w:left="5040" w:hanging="2520"/>
      </w:pPr>
      <w:rPr>
        <w:rFonts w:hint="default"/>
        <w:sz w:val="26"/>
      </w:rPr>
    </w:lvl>
    <w:lvl w:ilvl="8">
      <w:start w:val="1"/>
      <w:numFmt w:val="decimal"/>
      <w:lvlText w:val="%1.%2.%3.%4.%5.%6.%7.%8.%9"/>
      <w:lvlJc w:val="left"/>
      <w:pPr>
        <w:ind w:left="5760" w:hanging="2880"/>
      </w:pPr>
      <w:rPr>
        <w:rFonts w:hint="default"/>
        <w:sz w:val="26"/>
      </w:rPr>
    </w:lvl>
  </w:abstractNum>
  <w:abstractNum w:abstractNumId="22" w15:restartNumberingAfterBreak="0">
    <w:nsid w:val="38FB3C5C"/>
    <w:multiLevelType w:val="hybridMultilevel"/>
    <w:tmpl w:val="CA9AF0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DF061C2"/>
    <w:multiLevelType w:val="hybridMultilevel"/>
    <w:tmpl w:val="44E69F90"/>
    <w:lvl w:ilvl="0" w:tplc="4E00A422">
      <w:start w:val="5"/>
      <w:numFmt w:val="decimal"/>
      <w:lvlText w:val="%1."/>
      <w:lvlJc w:val="left"/>
      <w:pPr>
        <w:ind w:left="1004" w:hanging="360"/>
      </w:pPr>
      <w:rPr>
        <w:rFonts w:ascii="Garamond" w:hAnsi="Garamond" w:hint="default"/>
        <w:b/>
        <w:sz w:val="32"/>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4" w15:restartNumberingAfterBreak="0">
    <w:nsid w:val="4358594D"/>
    <w:multiLevelType w:val="multilevel"/>
    <w:tmpl w:val="DCAA2494"/>
    <w:lvl w:ilvl="0">
      <w:start w:val="2"/>
      <w:numFmt w:val="decimal"/>
      <w:lvlText w:val="%1"/>
      <w:lvlJc w:val="left"/>
      <w:pPr>
        <w:ind w:left="360" w:hanging="360"/>
      </w:pPr>
      <w:rPr>
        <w:rFonts w:hint="default"/>
        <w:sz w:val="26"/>
      </w:rPr>
    </w:lvl>
    <w:lvl w:ilvl="1">
      <w:start w:val="1"/>
      <w:numFmt w:val="decimal"/>
      <w:lvlText w:val="%1.%2"/>
      <w:lvlJc w:val="left"/>
      <w:pPr>
        <w:ind w:left="1080" w:hanging="720"/>
      </w:pPr>
      <w:rPr>
        <w:rFonts w:hint="default"/>
        <w:sz w:val="26"/>
      </w:rPr>
    </w:lvl>
    <w:lvl w:ilvl="2">
      <w:start w:val="1"/>
      <w:numFmt w:val="decimal"/>
      <w:lvlText w:val="%1.%2.%3"/>
      <w:lvlJc w:val="left"/>
      <w:pPr>
        <w:ind w:left="1800" w:hanging="1080"/>
      </w:pPr>
      <w:rPr>
        <w:rFonts w:hint="default"/>
        <w:sz w:val="26"/>
      </w:rPr>
    </w:lvl>
    <w:lvl w:ilvl="3">
      <w:start w:val="1"/>
      <w:numFmt w:val="decimal"/>
      <w:lvlText w:val="%1.%2.%3.%4"/>
      <w:lvlJc w:val="left"/>
      <w:pPr>
        <w:ind w:left="2520" w:hanging="1440"/>
      </w:pPr>
      <w:rPr>
        <w:rFonts w:hint="default"/>
        <w:sz w:val="26"/>
      </w:rPr>
    </w:lvl>
    <w:lvl w:ilvl="4">
      <w:start w:val="1"/>
      <w:numFmt w:val="decimal"/>
      <w:lvlText w:val="%1.%2.%3.%4.%5"/>
      <w:lvlJc w:val="left"/>
      <w:pPr>
        <w:ind w:left="2880" w:hanging="1440"/>
      </w:pPr>
      <w:rPr>
        <w:rFonts w:hint="default"/>
        <w:sz w:val="26"/>
      </w:rPr>
    </w:lvl>
    <w:lvl w:ilvl="5">
      <w:start w:val="1"/>
      <w:numFmt w:val="decimal"/>
      <w:lvlText w:val="%1.%2.%3.%4.%5.%6"/>
      <w:lvlJc w:val="left"/>
      <w:pPr>
        <w:ind w:left="3600" w:hanging="1800"/>
      </w:pPr>
      <w:rPr>
        <w:rFonts w:hint="default"/>
        <w:sz w:val="26"/>
      </w:rPr>
    </w:lvl>
    <w:lvl w:ilvl="6">
      <w:start w:val="1"/>
      <w:numFmt w:val="decimal"/>
      <w:lvlText w:val="%1.%2.%3.%4.%5.%6.%7"/>
      <w:lvlJc w:val="left"/>
      <w:pPr>
        <w:ind w:left="4320" w:hanging="2160"/>
      </w:pPr>
      <w:rPr>
        <w:rFonts w:hint="default"/>
        <w:sz w:val="26"/>
      </w:rPr>
    </w:lvl>
    <w:lvl w:ilvl="7">
      <w:start w:val="1"/>
      <w:numFmt w:val="decimal"/>
      <w:lvlText w:val="%1.%2.%3.%4.%5.%6.%7.%8"/>
      <w:lvlJc w:val="left"/>
      <w:pPr>
        <w:ind w:left="5040" w:hanging="2520"/>
      </w:pPr>
      <w:rPr>
        <w:rFonts w:hint="default"/>
        <w:sz w:val="26"/>
      </w:rPr>
    </w:lvl>
    <w:lvl w:ilvl="8">
      <w:start w:val="1"/>
      <w:numFmt w:val="decimal"/>
      <w:lvlText w:val="%1.%2.%3.%4.%5.%6.%7.%8.%9"/>
      <w:lvlJc w:val="left"/>
      <w:pPr>
        <w:ind w:left="5760" w:hanging="2880"/>
      </w:pPr>
      <w:rPr>
        <w:rFonts w:hint="default"/>
        <w:sz w:val="26"/>
      </w:rPr>
    </w:lvl>
  </w:abstractNum>
  <w:abstractNum w:abstractNumId="25" w15:restartNumberingAfterBreak="0">
    <w:nsid w:val="4416496A"/>
    <w:multiLevelType w:val="multilevel"/>
    <w:tmpl w:val="BD028E00"/>
    <w:lvl w:ilvl="0">
      <w:start w:val="2"/>
      <w:numFmt w:val="decimal"/>
      <w:lvlText w:val="%1."/>
      <w:lvlJc w:val="left"/>
      <w:pPr>
        <w:ind w:left="720" w:hanging="360"/>
      </w:pPr>
      <w:rPr>
        <w:rFonts w:ascii="Garamond" w:hAnsi="Garamond" w:hint="default"/>
        <w:b/>
        <w:color w:val="auto"/>
        <w:sz w:val="32"/>
        <w:szCs w:val="32"/>
      </w:rPr>
    </w:lvl>
    <w:lvl w:ilvl="1">
      <w:start w:val="2"/>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9CC5569"/>
    <w:multiLevelType w:val="hybridMultilevel"/>
    <w:tmpl w:val="D8223B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A072520"/>
    <w:multiLevelType w:val="hybridMultilevel"/>
    <w:tmpl w:val="408465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D04C71"/>
    <w:multiLevelType w:val="multilevel"/>
    <w:tmpl w:val="A04C2360"/>
    <w:lvl w:ilvl="0">
      <w:start w:val="2"/>
      <w:numFmt w:val="decimal"/>
      <w:lvlText w:val="%1."/>
      <w:lvlJc w:val="left"/>
      <w:pPr>
        <w:ind w:left="720" w:hanging="360"/>
      </w:pPr>
      <w:rPr>
        <w:rFonts w:hint="default"/>
      </w:rPr>
    </w:lvl>
    <w:lvl w:ilvl="1">
      <w:start w:val="2"/>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4E512EA"/>
    <w:multiLevelType w:val="hybridMultilevel"/>
    <w:tmpl w:val="811C71D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5ACF6F1B"/>
    <w:multiLevelType w:val="multilevel"/>
    <w:tmpl w:val="A04C2360"/>
    <w:lvl w:ilvl="0">
      <w:start w:val="2"/>
      <w:numFmt w:val="decimal"/>
      <w:lvlText w:val="%1."/>
      <w:lvlJc w:val="left"/>
      <w:pPr>
        <w:ind w:left="720" w:hanging="360"/>
      </w:pPr>
      <w:rPr>
        <w:rFonts w:hint="default"/>
      </w:rPr>
    </w:lvl>
    <w:lvl w:ilvl="1">
      <w:start w:val="2"/>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B447CF2"/>
    <w:multiLevelType w:val="multilevel"/>
    <w:tmpl w:val="2594EC92"/>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F882FEF"/>
    <w:multiLevelType w:val="hybridMultilevel"/>
    <w:tmpl w:val="5EE626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FF208A2"/>
    <w:multiLevelType w:val="multilevel"/>
    <w:tmpl w:val="0EA6576E"/>
    <w:lvl w:ilvl="0">
      <w:start w:val="5"/>
      <w:numFmt w:val="decimal"/>
      <w:lvlText w:val="%1."/>
      <w:lvlJc w:val="left"/>
      <w:pPr>
        <w:ind w:left="720" w:hanging="360"/>
      </w:pPr>
      <w:rPr>
        <w:rFonts w:ascii="Garamond" w:hAnsi="Garamond" w:hint="default"/>
        <w:b/>
        <w:sz w:val="32"/>
        <w:szCs w:val="32"/>
      </w:rPr>
    </w:lvl>
    <w:lvl w:ilvl="1">
      <w:start w:val="2"/>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8777603"/>
    <w:multiLevelType w:val="multilevel"/>
    <w:tmpl w:val="DCAA2494"/>
    <w:lvl w:ilvl="0">
      <w:start w:val="2"/>
      <w:numFmt w:val="decimal"/>
      <w:lvlText w:val="%1"/>
      <w:lvlJc w:val="left"/>
      <w:pPr>
        <w:ind w:left="360" w:hanging="360"/>
      </w:pPr>
      <w:rPr>
        <w:rFonts w:hint="default"/>
        <w:sz w:val="26"/>
      </w:rPr>
    </w:lvl>
    <w:lvl w:ilvl="1">
      <w:start w:val="1"/>
      <w:numFmt w:val="decimal"/>
      <w:lvlText w:val="%1.%2"/>
      <w:lvlJc w:val="left"/>
      <w:pPr>
        <w:ind w:left="1080" w:hanging="720"/>
      </w:pPr>
      <w:rPr>
        <w:rFonts w:hint="default"/>
        <w:sz w:val="26"/>
      </w:rPr>
    </w:lvl>
    <w:lvl w:ilvl="2">
      <w:start w:val="1"/>
      <w:numFmt w:val="decimal"/>
      <w:lvlText w:val="%1.%2.%3"/>
      <w:lvlJc w:val="left"/>
      <w:pPr>
        <w:ind w:left="1800" w:hanging="1080"/>
      </w:pPr>
      <w:rPr>
        <w:rFonts w:hint="default"/>
        <w:sz w:val="26"/>
      </w:rPr>
    </w:lvl>
    <w:lvl w:ilvl="3">
      <w:start w:val="1"/>
      <w:numFmt w:val="decimal"/>
      <w:lvlText w:val="%1.%2.%3.%4"/>
      <w:lvlJc w:val="left"/>
      <w:pPr>
        <w:ind w:left="2520" w:hanging="1440"/>
      </w:pPr>
      <w:rPr>
        <w:rFonts w:hint="default"/>
        <w:sz w:val="26"/>
      </w:rPr>
    </w:lvl>
    <w:lvl w:ilvl="4">
      <w:start w:val="1"/>
      <w:numFmt w:val="decimal"/>
      <w:lvlText w:val="%1.%2.%3.%4.%5"/>
      <w:lvlJc w:val="left"/>
      <w:pPr>
        <w:ind w:left="2880" w:hanging="1440"/>
      </w:pPr>
      <w:rPr>
        <w:rFonts w:hint="default"/>
        <w:sz w:val="26"/>
      </w:rPr>
    </w:lvl>
    <w:lvl w:ilvl="5">
      <w:start w:val="1"/>
      <w:numFmt w:val="decimal"/>
      <w:lvlText w:val="%1.%2.%3.%4.%5.%6"/>
      <w:lvlJc w:val="left"/>
      <w:pPr>
        <w:ind w:left="3600" w:hanging="1800"/>
      </w:pPr>
      <w:rPr>
        <w:rFonts w:hint="default"/>
        <w:sz w:val="26"/>
      </w:rPr>
    </w:lvl>
    <w:lvl w:ilvl="6">
      <w:start w:val="1"/>
      <w:numFmt w:val="decimal"/>
      <w:lvlText w:val="%1.%2.%3.%4.%5.%6.%7"/>
      <w:lvlJc w:val="left"/>
      <w:pPr>
        <w:ind w:left="4320" w:hanging="2160"/>
      </w:pPr>
      <w:rPr>
        <w:rFonts w:hint="default"/>
        <w:sz w:val="26"/>
      </w:rPr>
    </w:lvl>
    <w:lvl w:ilvl="7">
      <w:start w:val="1"/>
      <w:numFmt w:val="decimal"/>
      <w:lvlText w:val="%1.%2.%3.%4.%5.%6.%7.%8"/>
      <w:lvlJc w:val="left"/>
      <w:pPr>
        <w:ind w:left="5040" w:hanging="2520"/>
      </w:pPr>
      <w:rPr>
        <w:rFonts w:hint="default"/>
        <w:sz w:val="26"/>
      </w:rPr>
    </w:lvl>
    <w:lvl w:ilvl="8">
      <w:start w:val="1"/>
      <w:numFmt w:val="decimal"/>
      <w:lvlText w:val="%1.%2.%3.%4.%5.%6.%7.%8.%9"/>
      <w:lvlJc w:val="left"/>
      <w:pPr>
        <w:ind w:left="5760" w:hanging="2880"/>
      </w:pPr>
      <w:rPr>
        <w:rFonts w:hint="default"/>
        <w:sz w:val="26"/>
      </w:rPr>
    </w:lvl>
  </w:abstractNum>
  <w:abstractNum w:abstractNumId="35" w15:restartNumberingAfterBreak="0">
    <w:nsid w:val="69901309"/>
    <w:multiLevelType w:val="hybridMultilevel"/>
    <w:tmpl w:val="C2EEC18C"/>
    <w:lvl w:ilvl="0" w:tplc="4E00A422">
      <w:start w:val="5"/>
      <w:numFmt w:val="decimal"/>
      <w:lvlText w:val="%1."/>
      <w:lvlJc w:val="left"/>
      <w:pPr>
        <w:ind w:left="709" w:hanging="360"/>
      </w:pPr>
      <w:rPr>
        <w:rFonts w:ascii="Garamond" w:hAnsi="Garamond" w:hint="default"/>
        <w:b/>
        <w:sz w:val="32"/>
      </w:rPr>
    </w:lvl>
    <w:lvl w:ilvl="1" w:tplc="04050019" w:tentative="1">
      <w:start w:val="1"/>
      <w:numFmt w:val="lowerLetter"/>
      <w:lvlText w:val="%2."/>
      <w:lvlJc w:val="left"/>
      <w:pPr>
        <w:ind w:left="1429" w:hanging="360"/>
      </w:pPr>
    </w:lvl>
    <w:lvl w:ilvl="2" w:tplc="0405001B" w:tentative="1">
      <w:start w:val="1"/>
      <w:numFmt w:val="lowerRoman"/>
      <w:lvlText w:val="%3."/>
      <w:lvlJc w:val="right"/>
      <w:pPr>
        <w:ind w:left="2149" w:hanging="180"/>
      </w:pPr>
    </w:lvl>
    <w:lvl w:ilvl="3" w:tplc="0405000F" w:tentative="1">
      <w:start w:val="1"/>
      <w:numFmt w:val="decimal"/>
      <w:lvlText w:val="%4."/>
      <w:lvlJc w:val="left"/>
      <w:pPr>
        <w:ind w:left="2869" w:hanging="360"/>
      </w:pPr>
    </w:lvl>
    <w:lvl w:ilvl="4" w:tplc="04050019" w:tentative="1">
      <w:start w:val="1"/>
      <w:numFmt w:val="lowerLetter"/>
      <w:lvlText w:val="%5."/>
      <w:lvlJc w:val="left"/>
      <w:pPr>
        <w:ind w:left="3589" w:hanging="360"/>
      </w:pPr>
    </w:lvl>
    <w:lvl w:ilvl="5" w:tplc="0405001B" w:tentative="1">
      <w:start w:val="1"/>
      <w:numFmt w:val="lowerRoman"/>
      <w:lvlText w:val="%6."/>
      <w:lvlJc w:val="right"/>
      <w:pPr>
        <w:ind w:left="4309" w:hanging="180"/>
      </w:pPr>
    </w:lvl>
    <w:lvl w:ilvl="6" w:tplc="0405000F" w:tentative="1">
      <w:start w:val="1"/>
      <w:numFmt w:val="decimal"/>
      <w:lvlText w:val="%7."/>
      <w:lvlJc w:val="left"/>
      <w:pPr>
        <w:ind w:left="5029" w:hanging="360"/>
      </w:pPr>
    </w:lvl>
    <w:lvl w:ilvl="7" w:tplc="04050019" w:tentative="1">
      <w:start w:val="1"/>
      <w:numFmt w:val="lowerLetter"/>
      <w:lvlText w:val="%8."/>
      <w:lvlJc w:val="left"/>
      <w:pPr>
        <w:ind w:left="5749" w:hanging="360"/>
      </w:pPr>
    </w:lvl>
    <w:lvl w:ilvl="8" w:tplc="0405001B" w:tentative="1">
      <w:start w:val="1"/>
      <w:numFmt w:val="lowerRoman"/>
      <w:lvlText w:val="%9."/>
      <w:lvlJc w:val="right"/>
      <w:pPr>
        <w:ind w:left="6469" w:hanging="180"/>
      </w:pPr>
    </w:lvl>
  </w:abstractNum>
  <w:abstractNum w:abstractNumId="36" w15:restartNumberingAfterBreak="0">
    <w:nsid w:val="711E53E9"/>
    <w:multiLevelType w:val="hybridMultilevel"/>
    <w:tmpl w:val="B442D3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86A5BDB"/>
    <w:multiLevelType w:val="multilevel"/>
    <w:tmpl w:val="6B9A747A"/>
    <w:lvl w:ilvl="0">
      <w:start w:val="2"/>
      <w:numFmt w:val="decimal"/>
      <w:lvlText w:val="%1"/>
      <w:lvlJc w:val="left"/>
      <w:pPr>
        <w:ind w:left="360" w:hanging="360"/>
      </w:pPr>
      <w:rPr>
        <w:rFonts w:hint="default"/>
        <w:sz w:val="26"/>
      </w:rPr>
    </w:lvl>
    <w:lvl w:ilvl="1">
      <w:start w:val="1"/>
      <w:numFmt w:val="decimal"/>
      <w:lvlText w:val="%1.%2"/>
      <w:lvlJc w:val="left"/>
      <w:pPr>
        <w:ind w:left="720" w:hanging="720"/>
      </w:pPr>
      <w:rPr>
        <w:rFonts w:hint="default"/>
        <w:sz w:val="26"/>
      </w:rPr>
    </w:lvl>
    <w:lvl w:ilvl="2">
      <w:start w:val="1"/>
      <w:numFmt w:val="decimal"/>
      <w:lvlText w:val="%1.%2.%3"/>
      <w:lvlJc w:val="left"/>
      <w:pPr>
        <w:ind w:left="1080" w:hanging="108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440" w:hanging="1440"/>
      </w:pPr>
      <w:rPr>
        <w:rFonts w:hint="default"/>
        <w:sz w:val="26"/>
      </w:rPr>
    </w:lvl>
    <w:lvl w:ilvl="5">
      <w:start w:val="1"/>
      <w:numFmt w:val="decimal"/>
      <w:lvlText w:val="%1.%2.%3.%4.%5.%6"/>
      <w:lvlJc w:val="left"/>
      <w:pPr>
        <w:ind w:left="1800" w:hanging="1800"/>
      </w:pPr>
      <w:rPr>
        <w:rFonts w:hint="default"/>
        <w:sz w:val="26"/>
      </w:rPr>
    </w:lvl>
    <w:lvl w:ilvl="6">
      <w:start w:val="1"/>
      <w:numFmt w:val="decimal"/>
      <w:lvlText w:val="%1.%2.%3.%4.%5.%6.%7"/>
      <w:lvlJc w:val="left"/>
      <w:pPr>
        <w:ind w:left="2160" w:hanging="2160"/>
      </w:pPr>
      <w:rPr>
        <w:rFonts w:hint="default"/>
        <w:sz w:val="26"/>
      </w:rPr>
    </w:lvl>
    <w:lvl w:ilvl="7">
      <w:start w:val="1"/>
      <w:numFmt w:val="decimal"/>
      <w:lvlText w:val="%1.%2.%3.%4.%5.%6.%7.%8"/>
      <w:lvlJc w:val="left"/>
      <w:pPr>
        <w:ind w:left="2520" w:hanging="2520"/>
      </w:pPr>
      <w:rPr>
        <w:rFonts w:hint="default"/>
        <w:sz w:val="26"/>
      </w:rPr>
    </w:lvl>
    <w:lvl w:ilvl="8">
      <w:start w:val="1"/>
      <w:numFmt w:val="decimal"/>
      <w:lvlText w:val="%1.%2.%3.%4.%5.%6.%7.%8.%9"/>
      <w:lvlJc w:val="left"/>
      <w:pPr>
        <w:ind w:left="2520" w:hanging="2520"/>
      </w:pPr>
      <w:rPr>
        <w:rFonts w:hint="default"/>
        <w:sz w:val="26"/>
      </w:rPr>
    </w:lvl>
  </w:abstractNum>
  <w:abstractNum w:abstractNumId="38" w15:restartNumberingAfterBreak="0">
    <w:nsid w:val="7D3B0DFE"/>
    <w:multiLevelType w:val="hybridMultilevel"/>
    <w:tmpl w:val="A670B9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2"/>
  </w:num>
  <w:num w:numId="5">
    <w:abstractNumId w:val="31"/>
  </w:num>
  <w:num w:numId="6">
    <w:abstractNumId w:val="27"/>
  </w:num>
  <w:num w:numId="7">
    <w:abstractNumId w:val="38"/>
  </w:num>
  <w:num w:numId="8">
    <w:abstractNumId w:val="0"/>
  </w:num>
  <w:num w:numId="9">
    <w:abstractNumId w:val="28"/>
  </w:num>
  <w:num w:numId="10">
    <w:abstractNumId w:val="30"/>
  </w:num>
  <w:num w:numId="11">
    <w:abstractNumId w:val="12"/>
  </w:num>
  <w:num w:numId="12">
    <w:abstractNumId w:val="13"/>
  </w:num>
  <w:num w:numId="13">
    <w:abstractNumId w:val="25"/>
  </w:num>
  <w:num w:numId="14">
    <w:abstractNumId w:val="6"/>
  </w:num>
  <w:num w:numId="15">
    <w:abstractNumId w:val="17"/>
  </w:num>
  <w:num w:numId="16">
    <w:abstractNumId w:val="1"/>
  </w:num>
  <w:num w:numId="17">
    <w:abstractNumId w:val="24"/>
  </w:num>
  <w:num w:numId="18">
    <w:abstractNumId w:val="21"/>
  </w:num>
  <w:num w:numId="19">
    <w:abstractNumId w:val="34"/>
  </w:num>
  <w:num w:numId="20">
    <w:abstractNumId w:val="18"/>
  </w:num>
  <w:num w:numId="21">
    <w:abstractNumId w:val="15"/>
  </w:num>
  <w:num w:numId="22">
    <w:abstractNumId w:val="10"/>
  </w:num>
  <w:num w:numId="23">
    <w:abstractNumId w:val="7"/>
  </w:num>
  <w:num w:numId="24">
    <w:abstractNumId w:val="23"/>
  </w:num>
  <w:num w:numId="25">
    <w:abstractNumId w:val="20"/>
  </w:num>
  <w:num w:numId="26">
    <w:abstractNumId w:val="35"/>
  </w:num>
  <w:num w:numId="27">
    <w:abstractNumId w:val="37"/>
  </w:num>
  <w:num w:numId="28">
    <w:abstractNumId w:val="16"/>
  </w:num>
  <w:num w:numId="29">
    <w:abstractNumId w:val="33"/>
  </w:num>
  <w:num w:numId="30">
    <w:abstractNumId w:val="22"/>
  </w:num>
  <w:num w:numId="31">
    <w:abstractNumId w:val="29"/>
  </w:num>
  <w:num w:numId="32">
    <w:abstractNumId w:val="32"/>
  </w:num>
  <w:num w:numId="33">
    <w:abstractNumId w:val="26"/>
  </w:num>
  <w:num w:numId="34">
    <w:abstractNumId w:val="3"/>
  </w:num>
  <w:num w:numId="35">
    <w:abstractNumId w:val="8"/>
  </w:num>
  <w:num w:numId="36">
    <w:abstractNumId w:val="36"/>
  </w:num>
  <w:num w:numId="37">
    <w:abstractNumId w:val="19"/>
  </w:num>
  <w:num w:numId="38">
    <w:abstractNumId w:val="1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4A2"/>
    <w:rsid w:val="00001A87"/>
    <w:rsid w:val="0000722B"/>
    <w:rsid w:val="000108EB"/>
    <w:rsid w:val="00013451"/>
    <w:rsid w:val="00020310"/>
    <w:rsid w:val="00024AD9"/>
    <w:rsid w:val="0003237B"/>
    <w:rsid w:val="00035E85"/>
    <w:rsid w:val="000408ED"/>
    <w:rsid w:val="00043B87"/>
    <w:rsid w:val="0005131F"/>
    <w:rsid w:val="000542B4"/>
    <w:rsid w:val="00057486"/>
    <w:rsid w:val="00061556"/>
    <w:rsid w:val="00070A73"/>
    <w:rsid w:val="000720AF"/>
    <w:rsid w:val="00076BF5"/>
    <w:rsid w:val="0008181F"/>
    <w:rsid w:val="00091737"/>
    <w:rsid w:val="00093919"/>
    <w:rsid w:val="000940A9"/>
    <w:rsid w:val="00096222"/>
    <w:rsid w:val="000A04AA"/>
    <w:rsid w:val="000A0778"/>
    <w:rsid w:val="000A2360"/>
    <w:rsid w:val="000A3797"/>
    <w:rsid w:val="000A6547"/>
    <w:rsid w:val="000A796E"/>
    <w:rsid w:val="000B6FFC"/>
    <w:rsid w:val="000C1445"/>
    <w:rsid w:val="000D1223"/>
    <w:rsid w:val="000D5BF2"/>
    <w:rsid w:val="000E2156"/>
    <w:rsid w:val="000E2F93"/>
    <w:rsid w:val="000E74BA"/>
    <w:rsid w:val="000F6C46"/>
    <w:rsid w:val="00100A5C"/>
    <w:rsid w:val="00102145"/>
    <w:rsid w:val="0012010F"/>
    <w:rsid w:val="00120AC7"/>
    <w:rsid w:val="00122E5B"/>
    <w:rsid w:val="0012570E"/>
    <w:rsid w:val="00126CFF"/>
    <w:rsid w:val="0013151B"/>
    <w:rsid w:val="00134AEB"/>
    <w:rsid w:val="001362A1"/>
    <w:rsid w:val="0013748D"/>
    <w:rsid w:val="00140994"/>
    <w:rsid w:val="00140E0F"/>
    <w:rsid w:val="00141B98"/>
    <w:rsid w:val="0014213B"/>
    <w:rsid w:val="00145A2C"/>
    <w:rsid w:val="0015384D"/>
    <w:rsid w:val="00154D53"/>
    <w:rsid w:val="00154D85"/>
    <w:rsid w:val="00160F47"/>
    <w:rsid w:val="00164AEB"/>
    <w:rsid w:val="001679B5"/>
    <w:rsid w:val="0018050D"/>
    <w:rsid w:val="00183F0B"/>
    <w:rsid w:val="00184CD9"/>
    <w:rsid w:val="00196BE8"/>
    <w:rsid w:val="00196EC1"/>
    <w:rsid w:val="001A0C47"/>
    <w:rsid w:val="001B4A79"/>
    <w:rsid w:val="001B59CB"/>
    <w:rsid w:val="001C1BE1"/>
    <w:rsid w:val="001C2C5F"/>
    <w:rsid w:val="001C552D"/>
    <w:rsid w:val="001D0000"/>
    <w:rsid w:val="001D793E"/>
    <w:rsid w:val="001E03EB"/>
    <w:rsid w:val="001E1211"/>
    <w:rsid w:val="001E2CBA"/>
    <w:rsid w:val="001E4B50"/>
    <w:rsid w:val="001F5C64"/>
    <w:rsid w:val="001F673C"/>
    <w:rsid w:val="002114D3"/>
    <w:rsid w:val="002134D7"/>
    <w:rsid w:val="00213918"/>
    <w:rsid w:val="00216AEA"/>
    <w:rsid w:val="00221BCF"/>
    <w:rsid w:val="00222FA8"/>
    <w:rsid w:val="00224DB9"/>
    <w:rsid w:val="00225754"/>
    <w:rsid w:val="0023026D"/>
    <w:rsid w:val="002320BE"/>
    <w:rsid w:val="002368A6"/>
    <w:rsid w:val="00237925"/>
    <w:rsid w:val="0024125A"/>
    <w:rsid w:val="00242CEB"/>
    <w:rsid w:val="002574A2"/>
    <w:rsid w:val="002616B2"/>
    <w:rsid w:val="00273FE3"/>
    <w:rsid w:val="00274849"/>
    <w:rsid w:val="00277344"/>
    <w:rsid w:val="00282D99"/>
    <w:rsid w:val="002830FA"/>
    <w:rsid w:val="00284866"/>
    <w:rsid w:val="00284DB0"/>
    <w:rsid w:val="00286006"/>
    <w:rsid w:val="0029310E"/>
    <w:rsid w:val="002956B6"/>
    <w:rsid w:val="002A06BC"/>
    <w:rsid w:val="002A10EC"/>
    <w:rsid w:val="002A1D77"/>
    <w:rsid w:val="002A2786"/>
    <w:rsid w:val="002A6E47"/>
    <w:rsid w:val="002B2CDE"/>
    <w:rsid w:val="002B2E5C"/>
    <w:rsid w:val="002B6BA4"/>
    <w:rsid w:val="002C0C0E"/>
    <w:rsid w:val="002C4AB0"/>
    <w:rsid w:val="002D2A28"/>
    <w:rsid w:val="002D3447"/>
    <w:rsid w:val="002D55A1"/>
    <w:rsid w:val="002D62C9"/>
    <w:rsid w:val="002D678B"/>
    <w:rsid w:val="002E30A1"/>
    <w:rsid w:val="002E71CB"/>
    <w:rsid w:val="002F0DD6"/>
    <w:rsid w:val="002F402C"/>
    <w:rsid w:val="002F4B1C"/>
    <w:rsid w:val="002F5937"/>
    <w:rsid w:val="0030020E"/>
    <w:rsid w:val="00304853"/>
    <w:rsid w:val="00312FC6"/>
    <w:rsid w:val="00313208"/>
    <w:rsid w:val="0031535F"/>
    <w:rsid w:val="003159E2"/>
    <w:rsid w:val="003234F5"/>
    <w:rsid w:val="003366EE"/>
    <w:rsid w:val="00337C4F"/>
    <w:rsid w:val="00346945"/>
    <w:rsid w:val="00352D81"/>
    <w:rsid w:val="003571F7"/>
    <w:rsid w:val="0036132A"/>
    <w:rsid w:val="003668D8"/>
    <w:rsid w:val="00366BB0"/>
    <w:rsid w:val="00367530"/>
    <w:rsid w:val="003701DA"/>
    <w:rsid w:val="00370A89"/>
    <w:rsid w:val="00371C68"/>
    <w:rsid w:val="00373D14"/>
    <w:rsid w:val="00373E5E"/>
    <w:rsid w:val="003756A4"/>
    <w:rsid w:val="00376E0E"/>
    <w:rsid w:val="0038454D"/>
    <w:rsid w:val="0038530B"/>
    <w:rsid w:val="003915FC"/>
    <w:rsid w:val="00392FEC"/>
    <w:rsid w:val="00393C44"/>
    <w:rsid w:val="00394313"/>
    <w:rsid w:val="0039736C"/>
    <w:rsid w:val="003A19F0"/>
    <w:rsid w:val="003A293C"/>
    <w:rsid w:val="003A4453"/>
    <w:rsid w:val="003A590B"/>
    <w:rsid w:val="003A700D"/>
    <w:rsid w:val="003B0ED0"/>
    <w:rsid w:val="003B638B"/>
    <w:rsid w:val="003C00F2"/>
    <w:rsid w:val="003C1097"/>
    <w:rsid w:val="003C13DC"/>
    <w:rsid w:val="003C5F3E"/>
    <w:rsid w:val="003D652B"/>
    <w:rsid w:val="003D7BB0"/>
    <w:rsid w:val="003E34CB"/>
    <w:rsid w:val="003E7911"/>
    <w:rsid w:val="003F0021"/>
    <w:rsid w:val="003F0185"/>
    <w:rsid w:val="003F2FB5"/>
    <w:rsid w:val="003F79F1"/>
    <w:rsid w:val="0040368E"/>
    <w:rsid w:val="004052D3"/>
    <w:rsid w:val="00405557"/>
    <w:rsid w:val="004104EC"/>
    <w:rsid w:val="00410CB6"/>
    <w:rsid w:val="00412C0E"/>
    <w:rsid w:val="004204DD"/>
    <w:rsid w:val="0042158C"/>
    <w:rsid w:val="00421BC7"/>
    <w:rsid w:val="00421D14"/>
    <w:rsid w:val="00423899"/>
    <w:rsid w:val="004279C1"/>
    <w:rsid w:val="00431E1A"/>
    <w:rsid w:val="004375D7"/>
    <w:rsid w:val="00442637"/>
    <w:rsid w:val="00443C7A"/>
    <w:rsid w:val="00444B5D"/>
    <w:rsid w:val="004469D9"/>
    <w:rsid w:val="00447FC2"/>
    <w:rsid w:val="00452B2D"/>
    <w:rsid w:val="00454350"/>
    <w:rsid w:val="00456070"/>
    <w:rsid w:val="004600DB"/>
    <w:rsid w:val="004629E4"/>
    <w:rsid w:val="00462B69"/>
    <w:rsid w:val="0046403E"/>
    <w:rsid w:val="00466B17"/>
    <w:rsid w:val="0047558F"/>
    <w:rsid w:val="0048256E"/>
    <w:rsid w:val="004940D9"/>
    <w:rsid w:val="004A1F10"/>
    <w:rsid w:val="004A3BC0"/>
    <w:rsid w:val="004A4140"/>
    <w:rsid w:val="004A6929"/>
    <w:rsid w:val="004C2823"/>
    <w:rsid w:val="004C47E4"/>
    <w:rsid w:val="004C49DA"/>
    <w:rsid w:val="004C5F93"/>
    <w:rsid w:val="004D16F1"/>
    <w:rsid w:val="004E2F67"/>
    <w:rsid w:val="004E4DB9"/>
    <w:rsid w:val="004E62B7"/>
    <w:rsid w:val="004E7409"/>
    <w:rsid w:val="004F11AC"/>
    <w:rsid w:val="004F1335"/>
    <w:rsid w:val="004F33E5"/>
    <w:rsid w:val="004F3CC3"/>
    <w:rsid w:val="004F75AB"/>
    <w:rsid w:val="005044C5"/>
    <w:rsid w:val="00505F31"/>
    <w:rsid w:val="0050738D"/>
    <w:rsid w:val="00515CFA"/>
    <w:rsid w:val="0051748D"/>
    <w:rsid w:val="00521A40"/>
    <w:rsid w:val="00525083"/>
    <w:rsid w:val="00525D6C"/>
    <w:rsid w:val="005309B1"/>
    <w:rsid w:val="005333E7"/>
    <w:rsid w:val="0054139E"/>
    <w:rsid w:val="0055623E"/>
    <w:rsid w:val="005565D6"/>
    <w:rsid w:val="005575A5"/>
    <w:rsid w:val="005636DA"/>
    <w:rsid w:val="00565B95"/>
    <w:rsid w:val="005664EE"/>
    <w:rsid w:val="00567EAB"/>
    <w:rsid w:val="00573FE6"/>
    <w:rsid w:val="00580753"/>
    <w:rsid w:val="00590B03"/>
    <w:rsid w:val="005951E9"/>
    <w:rsid w:val="0059550E"/>
    <w:rsid w:val="005A00A6"/>
    <w:rsid w:val="005A112D"/>
    <w:rsid w:val="005A555D"/>
    <w:rsid w:val="005B2691"/>
    <w:rsid w:val="005B2F63"/>
    <w:rsid w:val="005B60CE"/>
    <w:rsid w:val="005C2F6A"/>
    <w:rsid w:val="005C7805"/>
    <w:rsid w:val="005D282B"/>
    <w:rsid w:val="005D4B41"/>
    <w:rsid w:val="005D54C9"/>
    <w:rsid w:val="005D799D"/>
    <w:rsid w:val="005E0CAA"/>
    <w:rsid w:val="005E12D9"/>
    <w:rsid w:val="005E3562"/>
    <w:rsid w:val="005E38E0"/>
    <w:rsid w:val="005E4258"/>
    <w:rsid w:val="005E4537"/>
    <w:rsid w:val="005E5687"/>
    <w:rsid w:val="005F1CD8"/>
    <w:rsid w:val="005F6317"/>
    <w:rsid w:val="00600C1F"/>
    <w:rsid w:val="0060403B"/>
    <w:rsid w:val="00605DFA"/>
    <w:rsid w:val="00610391"/>
    <w:rsid w:val="00614587"/>
    <w:rsid w:val="00620621"/>
    <w:rsid w:val="00621813"/>
    <w:rsid w:val="00621CC7"/>
    <w:rsid w:val="00626E78"/>
    <w:rsid w:val="006312E3"/>
    <w:rsid w:val="00631D67"/>
    <w:rsid w:val="00632E30"/>
    <w:rsid w:val="00640644"/>
    <w:rsid w:val="006429B1"/>
    <w:rsid w:val="00643D3F"/>
    <w:rsid w:val="00646438"/>
    <w:rsid w:val="00647E4E"/>
    <w:rsid w:val="00651B2F"/>
    <w:rsid w:val="006524A3"/>
    <w:rsid w:val="00653572"/>
    <w:rsid w:val="00657124"/>
    <w:rsid w:val="006641C7"/>
    <w:rsid w:val="006654AD"/>
    <w:rsid w:val="0066666B"/>
    <w:rsid w:val="00670016"/>
    <w:rsid w:val="00673477"/>
    <w:rsid w:val="0067550B"/>
    <w:rsid w:val="006765A9"/>
    <w:rsid w:val="00676816"/>
    <w:rsid w:val="00680479"/>
    <w:rsid w:val="00681F52"/>
    <w:rsid w:val="00682C27"/>
    <w:rsid w:val="00690BFF"/>
    <w:rsid w:val="00694317"/>
    <w:rsid w:val="006A077C"/>
    <w:rsid w:val="006A3CD0"/>
    <w:rsid w:val="006A45E3"/>
    <w:rsid w:val="006A5CF1"/>
    <w:rsid w:val="006A7F3E"/>
    <w:rsid w:val="006B0A7E"/>
    <w:rsid w:val="006B4D64"/>
    <w:rsid w:val="006C2E2B"/>
    <w:rsid w:val="006C4B1B"/>
    <w:rsid w:val="006C6475"/>
    <w:rsid w:val="006D264F"/>
    <w:rsid w:val="006D6840"/>
    <w:rsid w:val="006D767A"/>
    <w:rsid w:val="006E4C0D"/>
    <w:rsid w:val="006E5111"/>
    <w:rsid w:val="006E62F2"/>
    <w:rsid w:val="006E79FE"/>
    <w:rsid w:val="006F0CC1"/>
    <w:rsid w:val="006F3017"/>
    <w:rsid w:val="006F62E0"/>
    <w:rsid w:val="006F7082"/>
    <w:rsid w:val="007163A7"/>
    <w:rsid w:val="007169B5"/>
    <w:rsid w:val="00717CFA"/>
    <w:rsid w:val="00730AC8"/>
    <w:rsid w:val="007351A3"/>
    <w:rsid w:val="0074184F"/>
    <w:rsid w:val="0074376D"/>
    <w:rsid w:val="007442F6"/>
    <w:rsid w:val="007451FC"/>
    <w:rsid w:val="0075128C"/>
    <w:rsid w:val="00751E3B"/>
    <w:rsid w:val="0075530C"/>
    <w:rsid w:val="007610AE"/>
    <w:rsid w:val="007624B0"/>
    <w:rsid w:val="00764143"/>
    <w:rsid w:val="00772158"/>
    <w:rsid w:val="007747D5"/>
    <w:rsid w:val="0077528E"/>
    <w:rsid w:val="00783817"/>
    <w:rsid w:val="00787199"/>
    <w:rsid w:val="00787FF2"/>
    <w:rsid w:val="007B07D3"/>
    <w:rsid w:val="007C01EE"/>
    <w:rsid w:val="007C5106"/>
    <w:rsid w:val="007C54E2"/>
    <w:rsid w:val="007C5E4A"/>
    <w:rsid w:val="007D15BF"/>
    <w:rsid w:val="007D2639"/>
    <w:rsid w:val="007D7F6F"/>
    <w:rsid w:val="007E4770"/>
    <w:rsid w:val="007E615B"/>
    <w:rsid w:val="007F25F1"/>
    <w:rsid w:val="007F30AB"/>
    <w:rsid w:val="007F4528"/>
    <w:rsid w:val="007F6707"/>
    <w:rsid w:val="008004F2"/>
    <w:rsid w:val="00802E9A"/>
    <w:rsid w:val="00807B15"/>
    <w:rsid w:val="00811FE8"/>
    <w:rsid w:val="00813FE1"/>
    <w:rsid w:val="00822812"/>
    <w:rsid w:val="00824F9A"/>
    <w:rsid w:val="0082514F"/>
    <w:rsid w:val="00826387"/>
    <w:rsid w:val="00827C14"/>
    <w:rsid w:val="00830A1C"/>
    <w:rsid w:val="00831AB6"/>
    <w:rsid w:val="00831BE4"/>
    <w:rsid w:val="00831E73"/>
    <w:rsid w:val="00837A65"/>
    <w:rsid w:val="00842C16"/>
    <w:rsid w:val="00843B75"/>
    <w:rsid w:val="008474A9"/>
    <w:rsid w:val="00850927"/>
    <w:rsid w:val="00853FAA"/>
    <w:rsid w:val="008543E6"/>
    <w:rsid w:val="008628FC"/>
    <w:rsid w:val="00863E22"/>
    <w:rsid w:val="00870823"/>
    <w:rsid w:val="008714E5"/>
    <w:rsid w:val="00874E4A"/>
    <w:rsid w:val="008840DC"/>
    <w:rsid w:val="0088624D"/>
    <w:rsid w:val="00887A96"/>
    <w:rsid w:val="00894DD0"/>
    <w:rsid w:val="008974F2"/>
    <w:rsid w:val="008A2EE7"/>
    <w:rsid w:val="008A3976"/>
    <w:rsid w:val="008A4DFD"/>
    <w:rsid w:val="008A68A3"/>
    <w:rsid w:val="008B1704"/>
    <w:rsid w:val="008B24B3"/>
    <w:rsid w:val="008B3603"/>
    <w:rsid w:val="008C22BD"/>
    <w:rsid w:val="008C745C"/>
    <w:rsid w:val="008D5714"/>
    <w:rsid w:val="008D5C99"/>
    <w:rsid w:val="008E0288"/>
    <w:rsid w:val="008F0B21"/>
    <w:rsid w:val="008F6770"/>
    <w:rsid w:val="00905AC7"/>
    <w:rsid w:val="009221AF"/>
    <w:rsid w:val="00923028"/>
    <w:rsid w:val="00931E74"/>
    <w:rsid w:val="0093240B"/>
    <w:rsid w:val="00934DEE"/>
    <w:rsid w:val="00945299"/>
    <w:rsid w:val="0094755A"/>
    <w:rsid w:val="009567F3"/>
    <w:rsid w:val="0096004B"/>
    <w:rsid w:val="00961F64"/>
    <w:rsid w:val="0097224A"/>
    <w:rsid w:val="009741E0"/>
    <w:rsid w:val="009806D7"/>
    <w:rsid w:val="00983FFD"/>
    <w:rsid w:val="009853AE"/>
    <w:rsid w:val="00986ED0"/>
    <w:rsid w:val="00990E85"/>
    <w:rsid w:val="00995A5C"/>
    <w:rsid w:val="0099666B"/>
    <w:rsid w:val="00996D4F"/>
    <w:rsid w:val="00997317"/>
    <w:rsid w:val="009A22CC"/>
    <w:rsid w:val="009A7AB0"/>
    <w:rsid w:val="009B0EAA"/>
    <w:rsid w:val="009B40A9"/>
    <w:rsid w:val="009B4FEA"/>
    <w:rsid w:val="009C7ED3"/>
    <w:rsid w:val="009D1A57"/>
    <w:rsid w:val="009D2498"/>
    <w:rsid w:val="009D3613"/>
    <w:rsid w:val="009D662E"/>
    <w:rsid w:val="009E2C66"/>
    <w:rsid w:val="009E30E2"/>
    <w:rsid w:val="009E7021"/>
    <w:rsid w:val="009E7EAF"/>
    <w:rsid w:val="009F285A"/>
    <w:rsid w:val="00A0146E"/>
    <w:rsid w:val="00A024DE"/>
    <w:rsid w:val="00A04083"/>
    <w:rsid w:val="00A07770"/>
    <w:rsid w:val="00A140F7"/>
    <w:rsid w:val="00A16186"/>
    <w:rsid w:val="00A17774"/>
    <w:rsid w:val="00A17F83"/>
    <w:rsid w:val="00A248F8"/>
    <w:rsid w:val="00A31A78"/>
    <w:rsid w:val="00A34986"/>
    <w:rsid w:val="00A3634F"/>
    <w:rsid w:val="00A430B1"/>
    <w:rsid w:val="00A44511"/>
    <w:rsid w:val="00A56546"/>
    <w:rsid w:val="00A63F3B"/>
    <w:rsid w:val="00A640E5"/>
    <w:rsid w:val="00A64368"/>
    <w:rsid w:val="00A661A6"/>
    <w:rsid w:val="00A66B8C"/>
    <w:rsid w:val="00A70857"/>
    <w:rsid w:val="00A71D84"/>
    <w:rsid w:val="00A743B4"/>
    <w:rsid w:val="00A836D2"/>
    <w:rsid w:val="00A928D4"/>
    <w:rsid w:val="00A9341C"/>
    <w:rsid w:val="00A94ADE"/>
    <w:rsid w:val="00A96B98"/>
    <w:rsid w:val="00A96E69"/>
    <w:rsid w:val="00AA2755"/>
    <w:rsid w:val="00AB07CA"/>
    <w:rsid w:val="00AB332E"/>
    <w:rsid w:val="00AB41FD"/>
    <w:rsid w:val="00AB7960"/>
    <w:rsid w:val="00AC2AD2"/>
    <w:rsid w:val="00AC3144"/>
    <w:rsid w:val="00AD0D6B"/>
    <w:rsid w:val="00AE0108"/>
    <w:rsid w:val="00AE0435"/>
    <w:rsid w:val="00AE3F7E"/>
    <w:rsid w:val="00AF03E9"/>
    <w:rsid w:val="00AF14F9"/>
    <w:rsid w:val="00AF5CEB"/>
    <w:rsid w:val="00B000D5"/>
    <w:rsid w:val="00B001B5"/>
    <w:rsid w:val="00B00270"/>
    <w:rsid w:val="00B0034F"/>
    <w:rsid w:val="00B012EE"/>
    <w:rsid w:val="00B01E72"/>
    <w:rsid w:val="00B03CD0"/>
    <w:rsid w:val="00B0570C"/>
    <w:rsid w:val="00B127CE"/>
    <w:rsid w:val="00B200E2"/>
    <w:rsid w:val="00B31174"/>
    <w:rsid w:val="00B42098"/>
    <w:rsid w:val="00B460E5"/>
    <w:rsid w:val="00B50709"/>
    <w:rsid w:val="00B50BE5"/>
    <w:rsid w:val="00B53452"/>
    <w:rsid w:val="00B82276"/>
    <w:rsid w:val="00B852A8"/>
    <w:rsid w:val="00B86129"/>
    <w:rsid w:val="00B922E8"/>
    <w:rsid w:val="00BA78FD"/>
    <w:rsid w:val="00BB1F16"/>
    <w:rsid w:val="00BB7E3F"/>
    <w:rsid w:val="00BC3EC9"/>
    <w:rsid w:val="00BC4787"/>
    <w:rsid w:val="00BC50FD"/>
    <w:rsid w:val="00BD145C"/>
    <w:rsid w:val="00BD2356"/>
    <w:rsid w:val="00BD6044"/>
    <w:rsid w:val="00BD66C5"/>
    <w:rsid w:val="00BD7659"/>
    <w:rsid w:val="00BE00FF"/>
    <w:rsid w:val="00BE56B8"/>
    <w:rsid w:val="00BF309B"/>
    <w:rsid w:val="00BF364A"/>
    <w:rsid w:val="00BF64A9"/>
    <w:rsid w:val="00C06D5D"/>
    <w:rsid w:val="00C06F39"/>
    <w:rsid w:val="00C07D95"/>
    <w:rsid w:val="00C121D3"/>
    <w:rsid w:val="00C125CD"/>
    <w:rsid w:val="00C257F3"/>
    <w:rsid w:val="00C32373"/>
    <w:rsid w:val="00C32C52"/>
    <w:rsid w:val="00C34F41"/>
    <w:rsid w:val="00C3541F"/>
    <w:rsid w:val="00C3591B"/>
    <w:rsid w:val="00C35E6E"/>
    <w:rsid w:val="00C41069"/>
    <w:rsid w:val="00C45FAF"/>
    <w:rsid w:val="00C500C2"/>
    <w:rsid w:val="00C50805"/>
    <w:rsid w:val="00C6530A"/>
    <w:rsid w:val="00C717BB"/>
    <w:rsid w:val="00C747FF"/>
    <w:rsid w:val="00C75FC9"/>
    <w:rsid w:val="00C837BF"/>
    <w:rsid w:val="00C84212"/>
    <w:rsid w:val="00C87830"/>
    <w:rsid w:val="00C9182F"/>
    <w:rsid w:val="00C92906"/>
    <w:rsid w:val="00C93B00"/>
    <w:rsid w:val="00C97B4F"/>
    <w:rsid w:val="00CA3183"/>
    <w:rsid w:val="00CA3813"/>
    <w:rsid w:val="00CA5AA3"/>
    <w:rsid w:val="00CB271C"/>
    <w:rsid w:val="00CB68B8"/>
    <w:rsid w:val="00CC0BE2"/>
    <w:rsid w:val="00CC603F"/>
    <w:rsid w:val="00CD3201"/>
    <w:rsid w:val="00CD3461"/>
    <w:rsid w:val="00CD6A2B"/>
    <w:rsid w:val="00CE18E3"/>
    <w:rsid w:val="00CE207D"/>
    <w:rsid w:val="00CE3EFB"/>
    <w:rsid w:val="00CE51E4"/>
    <w:rsid w:val="00CF2BD7"/>
    <w:rsid w:val="00CF6DAD"/>
    <w:rsid w:val="00CF7212"/>
    <w:rsid w:val="00CF7AAA"/>
    <w:rsid w:val="00D0231C"/>
    <w:rsid w:val="00D07510"/>
    <w:rsid w:val="00D202A2"/>
    <w:rsid w:val="00D2041C"/>
    <w:rsid w:val="00D22162"/>
    <w:rsid w:val="00D22490"/>
    <w:rsid w:val="00D22E34"/>
    <w:rsid w:val="00D25252"/>
    <w:rsid w:val="00D263C6"/>
    <w:rsid w:val="00D270E6"/>
    <w:rsid w:val="00D271DF"/>
    <w:rsid w:val="00D37A73"/>
    <w:rsid w:val="00D54CE9"/>
    <w:rsid w:val="00D60D13"/>
    <w:rsid w:val="00D64F0C"/>
    <w:rsid w:val="00D67C3A"/>
    <w:rsid w:val="00D80DE3"/>
    <w:rsid w:val="00D81EB7"/>
    <w:rsid w:val="00D8309E"/>
    <w:rsid w:val="00D83B9C"/>
    <w:rsid w:val="00D84749"/>
    <w:rsid w:val="00D84A9C"/>
    <w:rsid w:val="00D916D9"/>
    <w:rsid w:val="00D9329F"/>
    <w:rsid w:val="00D9339E"/>
    <w:rsid w:val="00D934D2"/>
    <w:rsid w:val="00DA0AA5"/>
    <w:rsid w:val="00DA18F3"/>
    <w:rsid w:val="00DA2D9E"/>
    <w:rsid w:val="00DA519D"/>
    <w:rsid w:val="00DB0DEB"/>
    <w:rsid w:val="00DB1B16"/>
    <w:rsid w:val="00DB6072"/>
    <w:rsid w:val="00DB7F09"/>
    <w:rsid w:val="00DC7644"/>
    <w:rsid w:val="00DE7843"/>
    <w:rsid w:val="00DF378B"/>
    <w:rsid w:val="00DF3BDE"/>
    <w:rsid w:val="00DF4489"/>
    <w:rsid w:val="00DF46CC"/>
    <w:rsid w:val="00DF7A2B"/>
    <w:rsid w:val="00E00C66"/>
    <w:rsid w:val="00E0438D"/>
    <w:rsid w:val="00E0581C"/>
    <w:rsid w:val="00E0724E"/>
    <w:rsid w:val="00E17778"/>
    <w:rsid w:val="00E20A52"/>
    <w:rsid w:val="00E20F68"/>
    <w:rsid w:val="00E2150E"/>
    <w:rsid w:val="00E249A8"/>
    <w:rsid w:val="00E26AB8"/>
    <w:rsid w:val="00E308B3"/>
    <w:rsid w:val="00E313D4"/>
    <w:rsid w:val="00E337AB"/>
    <w:rsid w:val="00E33A23"/>
    <w:rsid w:val="00E44625"/>
    <w:rsid w:val="00E45C5B"/>
    <w:rsid w:val="00E51C05"/>
    <w:rsid w:val="00E54FE4"/>
    <w:rsid w:val="00E612F5"/>
    <w:rsid w:val="00E72E56"/>
    <w:rsid w:val="00E74A39"/>
    <w:rsid w:val="00E83ECA"/>
    <w:rsid w:val="00E924BB"/>
    <w:rsid w:val="00E934EB"/>
    <w:rsid w:val="00EA0EF5"/>
    <w:rsid w:val="00EA17C5"/>
    <w:rsid w:val="00EA7202"/>
    <w:rsid w:val="00EA7650"/>
    <w:rsid w:val="00EA7ADE"/>
    <w:rsid w:val="00EB1D92"/>
    <w:rsid w:val="00EB352F"/>
    <w:rsid w:val="00EB448F"/>
    <w:rsid w:val="00EC4C3E"/>
    <w:rsid w:val="00EC4C78"/>
    <w:rsid w:val="00EC4DBE"/>
    <w:rsid w:val="00ED1C34"/>
    <w:rsid w:val="00EE677A"/>
    <w:rsid w:val="00EF45C4"/>
    <w:rsid w:val="00EF68D1"/>
    <w:rsid w:val="00F05203"/>
    <w:rsid w:val="00F10B72"/>
    <w:rsid w:val="00F13571"/>
    <w:rsid w:val="00F254DD"/>
    <w:rsid w:val="00F3072B"/>
    <w:rsid w:val="00F30D9B"/>
    <w:rsid w:val="00F35993"/>
    <w:rsid w:val="00F37A88"/>
    <w:rsid w:val="00F44B59"/>
    <w:rsid w:val="00F454BF"/>
    <w:rsid w:val="00F50ECF"/>
    <w:rsid w:val="00F517D2"/>
    <w:rsid w:val="00F51FE6"/>
    <w:rsid w:val="00F550F6"/>
    <w:rsid w:val="00F73DE2"/>
    <w:rsid w:val="00F84A43"/>
    <w:rsid w:val="00F85A5E"/>
    <w:rsid w:val="00F87271"/>
    <w:rsid w:val="00F91EC2"/>
    <w:rsid w:val="00F9265B"/>
    <w:rsid w:val="00FA492F"/>
    <w:rsid w:val="00FA5419"/>
    <w:rsid w:val="00FA6250"/>
    <w:rsid w:val="00FB1D22"/>
    <w:rsid w:val="00FB2246"/>
    <w:rsid w:val="00FC7C2B"/>
    <w:rsid w:val="00FD1267"/>
    <w:rsid w:val="00FD1DB4"/>
    <w:rsid w:val="00FE6346"/>
    <w:rsid w:val="00FF17F6"/>
    <w:rsid w:val="00FF1E1E"/>
    <w:rsid w:val="00FF1E59"/>
    <w:rsid w:val="00FF3373"/>
    <w:rsid w:val="00FF4964"/>
    <w:rsid w:val="00FF53DD"/>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51173"/>
  <w15:chartTrackingRefBased/>
  <w15:docId w15:val="{7521F98A-19C7-4938-B7EC-C8170EEE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9600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9600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2574A2"/>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2574A2"/>
    <w:rPr>
      <w:sz w:val="20"/>
      <w:szCs w:val="20"/>
    </w:rPr>
  </w:style>
  <w:style w:type="character" w:styleId="Znakapoznpodarou">
    <w:name w:val="footnote reference"/>
    <w:basedOn w:val="Standardnpsmoodstavce"/>
    <w:uiPriority w:val="99"/>
    <w:semiHidden/>
    <w:unhideWhenUsed/>
    <w:rsid w:val="002574A2"/>
    <w:rPr>
      <w:vertAlign w:val="superscript"/>
    </w:rPr>
  </w:style>
  <w:style w:type="paragraph" w:styleId="Zhlav">
    <w:name w:val="header"/>
    <w:basedOn w:val="Normln"/>
    <w:link w:val="ZhlavChar"/>
    <w:uiPriority w:val="99"/>
    <w:unhideWhenUsed/>
    <w:rsid w:val="00986ED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6ED0"/>
  </w:style>
  <w:style w:type="paragraph" w:styleId="Zpat">
    <w:name w:val="footer"/>
    <w:basedOn w:val="Normln"/>
    <w:link w:val="ZpatChar"/>
    <w:uiPriority w:val="99"/>
    <w:unhideWhenUsed/>
    <w:rsid w:val="00986ED0"/>
    <w:pPr>
      <w:tabs>
        <w:tab w:val="center" w:pos="4536"/>
        <w:tab w:val="right" w:pos="9072"/>
      </w:tabs>
      <w:spacing w:after="0" w:line="240" w:lineRule="auto"/>
    </w:pPr>
  </w:style>
  <w:style w:type="character" w:customStyle="1" w:styleId="ZpatChar">
    <w:name w:val="Zápatí Char"/>
    <w:basedOn w:val="Standardnpsmoodstavce"/>
    <w:link w:val="Zpat"/>
    <w:uiPriority w:val="99"/>
    <w:rsid w:val="00986ED0"/>
  </w:style>
  <w:style w:type="character" w:customStyle="1" w:styleId="Nadpis1Char">
    <w:name w:val="Nadpis 1 Char"/>
    <w:basedOn w:val="Standardnpsmoodstavce"/>
    <w:link w:val="Nadpis1"/>
    <w:uiPriority w:val="9"/>
    <w:rsid w:val="0096004B"/>
    <w:rPr>
      <w:rFonts w:asciiTheme="majorHAnsi" w:eastAsiaTheme="majorEastAsia" w:hAnsiTheme="majorHAnsi" w:cstheme="majorBidi"/>
      <w:color w:val="2F5496" w:themeColor="accent1" w:themeShade="BF"/>
      <w:sz w:val="32"/>
      <w:szCs w:val="32"/>
    </w:rPr>
  </w:style>
  <w:style w:type="paragraph" w:styleId="Textbubliny">
    <w:name w:val="Balloon Text"/>
    <w:basedOn w:val="Normln"/>
    <w:link w:val="TextbublinyChar"/>
    <w:uiPriority w:val="99"/>
    <w:semiHidden/>
    <w:unhideWhenUsed/>
    <w:rsid w:val="0096004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004B"/>
    <w:rPr>
      <w:rFonts w:ascii="Segoe UI" w:hAnsi="Segoe UI" w:cs="Segoe UI"/>
      <w:sz w:val="18"/>
      <w:szCs w:val="18"/>
    </w:rPr>
  </w:style>
  <w:style w:type="character" w:customStyle="1" w:styleId="Nadpis2Char">
    <w:name w:val="Nadpis 2 Char"/>
    <w:basedOn w:val="Standardnpsmoodstavce"/>
    <w:link w:val="Nadpis2"/>
    <w:uiPriority w:val="9"/>
    <w:rsid w:val="0096004B"/>
    <w:rPr>
      <w:rFonts w:asciiTheme="majorHAnsi" w:eastAsiaTheme="majorEastAsia" w:hAnsiTheme="majorHAnsi" w:cstheme="majorBidi"/>
      <w:color w:val="2F5496" w:themeColor="accent1" w:themeShade="BF"/>
      <w:sz w:val="26"/>
      <w:szCs w:val="26"/>
    </w:rPr>
  </w:style>
  <w:style w:type="paragraph" w:styleId="Odstavecseseznamem">
    <w:name w:val="List Paragraph"/>
    <w:basedOn w:val="Normln"/>
    <w:uiPriority w:val="34"/>
    <w:qFormat/>
    <w:rsid w:val="0096004B"/>
    <w:pPr>
      <w:ind w:left="720"/>
      <w:contextualSpacing/>
    </w:pPr>
  </w:style>
  <w:style w:type="paragraph" w:styleId="Nadpisobsahu">
    <w:name w:val="TOC Heading"/>
    <w:basedOn w:val="Nadpis1"/>
    <w:next w:val="Normln"/>
    <w:uiPriority w:val="39"/>
    <w:unhideWhenUsed/>
    <w:qFormat/>
    <w:rsid w:val="00DF7A2B"/>
    <w:pPr>
      <w:outlineLvl w:val="9"/>
    </w:pPr>
    <w:rPr>
      <w:lang w:eastAsia="cs-CZ"/>
    </w:rPr>
  </w:style>
  <w:style w:type="paragraph" w:styleId="Obsah1">
    <w:name w:val="toc 1"/>
    <w:basedOn w:val="Normln"/>
    <w:next w:val="Normln"/>
    <w:autoRedefine/>
    <w:uiPriority w:val="39"/>
    <w:unhideWhenUsed/>
    <w:rsid w:val="00632E30"/>
    <w:pPr>
      <w:tabs>
        <w:tab w:val="left" w:pos="851"/>
        <w:tab w:val="right" w:leader="dot" w:pos="9062"/>
      </w:tabs>
      <w:spacing w:after="100"/>
      <w:ind w:left="221"/>
    </w:pPr>
  </w:style>
  <w:style w:type="paragraph" w:styleId="Obsah2">
    <w:name w:val="toc 2"/>
    <w:basedOn w:val="Normln"/>
    <w:next w:val="Normln"/>
    <w:autoRedefine/>
    <w:uiPriority w:val="39"/>
    <w:unhideWhenUsed/>
    <w:rsid w:val="00BB1F16"/>
    <w:pPr>
      <w:tabs>
        <w:tab w:val="left" w:pos="880"/>
        <w:tab w:val="right" w:leader="dot" w:pos="9062"/>
      </w:tabs>
      <w:spacing w:after="100"/>
      <w:ind w:left="220"/>
    </w:pPr>
  </w:style>
  <w:style w:type="character" w:styleId="Hypertextovodkaz">
    <w:name w:val="Hyperlink"/>
    <w:basedOn w:val="Standardnpsmoodstavce"/>
    <w:uiPriority w:val="99"/>
    <w:unhideWhenUsed/>
    <w:rsid w:val="00DF7A2B"/>
    <w:rPr>
      <w:color w:val="0563C1" w:themeColor="hyperlink"/>
      <w:u w:val="single"/>
    </w:rPr>
  </w:style>
  <w:style w:type="character" w:styleId="Nevyeenzmnka">
    <w:name w:val="Unresolved Mention"/>
    <w:basedOn w:val="Standardnpsmoodstavce"/>
    <w:uiPriority w:val="99"/>
    <w:semiHidden/>
    <w:unhideWhenUsed/>
    <w:rsid w:val="00934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crs.justice.cz" TargetMode="Externa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crs.justice.cz" TargetMode="External"/><Relationship Id="rId2" Type="http://schemas.openxmlformats.org/officeDocument/2006/relationships/hyperlink" Target="https://crs.justice.cz" TargetMode="External"/><Relationship Id="rId1" Type="http://schemas.openxmlformats.org/officeDocument/2006/relationships/hyperlink" Target="https://crs.justic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2D817-265A-4F8C-A031-488CF476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1958</TotalTime>
  <Pages>42</Pages>
  <Words>11344</Words>
  <Characters>71584</Characters>
  <Application>Microsoft Office Word</Application>
  <DocSecurity>0</DocSecurity>
  <Lines>967</Lines>
  <Paragraphs>164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richard.sukup@seznam.cz</dc:creator>
  <cp:keywords/>
  <dc:description/>
  <cp:lastModifiedBy>Richard.Sukup@seznam.cz</cp:lastModifiedBy>
  <cp:revision>81</cp:revision>
  <dcterms:created xsi:type="dcterms:W3CDTF">2019-08-26T00:16:00Z</dcterms:created>
  <dcterms:modified xsi:type="dcterms:W3CDTF">2019-08-28T09:25:00Z</dcterms:modified>
</cp:coreProperties>
</file>